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DA55" w14:textId="3B10AEDB" w:rsidR="00C619B5" w:rsidRPr="00E03D97" w:rsidRDefault="00FD2940" w:rsidP="00FD2940">
      <w:pPr>
        <w:pStyle w:val="Pagedecouverture"/>
        <w:rPr>
          <w:noProof/>
          <w:lang w:val="en-IE"/>
        </w:rPr>
      </w:pPr>
      <w:bookmarkStart w:id="0" w:name="LW_BM_COVERPAGE"/>
      <w:r>
        <w:rPr>
          <w:noProof/>
          <w:lang w:val="en-IE"/>
        </w:rPr>
        <w:pict w14:anchorId="4D455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BE577F5-54C9-4C56-AA8A-B4276ABA4D14" style="width:455.25pt;height:324pt">
            <v:imagedata r:id="rId8" o:title=""/>
          </v:shape>
        </w:pict>
      </w:r>
    </w:p>
    <w:bookmarkEnd w:id="0"/>
    <w:p w14:paraId="54D93261" w14:textId="77777777" w:rsidR="00C619B5" w:rsidRPr="00E03D97" w:rsidRDefault="00C619B5" w:rsidP="00C619B5">
      <w:pPr>
        <w:rPr>
          <w:noProof/>
          <w:lang w:val="en-IE"/>
        </w:rPr>
        <w:sectPr w:rsidR="00C619B5" w:rsidRPr="00E03D97" w:rsidSect="00FD294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08FCA05" w14:textId="77777777" w:rsidR="001F1738" w:rsidRPr="00E03D97" w:rsidRDefault="001F1738" w:rsidP="001F1738">
      <w:pPr>
        <w:keepNext/>
        <w:keepLines/>
        <w:spacing w:before="100" w:beforeAutospacing="1" w:after="100" w:afterAutospacing="1" w:line="240" w:lineRule="auto"/>
        <w:jc w:val="both"/>
        <w:outlineLvl w:val="0"/>
        <w:rPr>
          <w:rFonts w:ascii="Times New Roman" w:eastAsiaTheme="majorEastAsia" w:hAnsi="Times New Roman" w:cs="Times New Roman"/>
          <w:noProof/>
          <w:sz w:val="24"/>
          <w:szCs w:val="24"/>
          <w:lang w:val="en-IE"/>
        </w:rPr>
      </w:pPr>
      <w:bookmarkStart w:id="1" w:name="_GoBack"/>
      <w:bookmarkEnd w:id="1"/>
      <w:r w:rsidRPr="00E03D97">
        <w:rPr>
          <w:rFonts w:ascii="Times New Roman" w:eastAsiaTheme="majorEastAsia" w:hAnsi="Times New Roman" w:cs="Times New Roman"/>
          <w:noProof/>
          <w:sz w:val="24"/>
          <w:szCs w:val="24"/>
          <w:lang w:val="en-IE"/>
        </w:rPr>
        <w:lastRenderedPageBreak/>
        <w:t>1. INTRODUCTION</w:t>
      </w:r>
    </w:p>
    <w:p w14:paraId="0745FB22" w14:textId="546F2A8C"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eastAsia="en-GB"/>
        </w:rPr>
      </w:pPr>
      <w:r w:rsidRPr="00E03D97">
        <w:rPr>
          <w:rFonts w:ascii="Times New Roman" w:eastAsia="Times New Roman" w:hAnsi="Times New Roman" w:cs="Times New Roman"/>
          <w:noProof/>
          <w:sz w:val="24"/>
          <w:szCs w:val="24"/>
          <w:lang w:val="en-IE"/>
        </w:rPr>
        <w:t xml:space="preserve">The European Union (EU) has made important strides in </w:t>
      </w:r>
      <w:r w:rsidR="00A61F69">
        <w:rPr>
          <w:rFonts w:ascii="Times New Roman" w:eastAsia="Times New Roman" w:hAnsi="Times New Roman" w:cs="Times New Roman"/>
          <w:noProof/>
          <w:sz w:val="24"/>
          <w:szCs w:val="24"/>
          <w:lang w:val="en-IE"/>
        </w:rPr>
        <w:t xml:space="preserve">strengthening </w:t>
      </w:r>
      <w:r w:rsidRPr="00E03D97">
        <w:rPr>
          <w:rFonts w:ascii="Times New Roman" w:eastAsia="Times New Roman" w:hAnsi="Times New Roman" w:cs="Times New Roman"/>
          <w:noProof/>
          <w:sz w:val="24"/>
          <w:szCs w:val="24"/>
          <w:lang w:val="en-IE"/>
        </w:rPr>
        <w:t xml:space="preserve">its preparedness capacity to withstand </w:t>
      </w:r>
      <w:r w:rsidR="00A02810">
        <w:rPr>
          <w:rFonts w:ascii="Times New Roman" w:eastAsia="Times New Roman" w:hAnsi="Times New Roman" w:cs="Times New Roman"/>
          <w:noProof/>
          <w:sz w:val="24"/>
          <w:szCs w:val="24"/>
          <w:lang w:val="en-IE"/>
        </w:rPr>
        <w:t>serious</w:t>
      </w:r>
      <w:r w:rsidRPr="00E03D97">
        <w:rPr>
          <w:rFonts w:ascii="Times New Roman" w:eastAsia="Times New Roman" w:hAnsi="Times New Roman" w:cs="Times New Roman"/>
          <w:noProof/>
          <w:sz w:val="24"/>
          <w:szCs w:val="24"/>
          <w:lang w:val="en-IE"/>
        </w:rPr>
        <w:t xml:space="preserve"> cross-border health threats.</w:t>
      </w:r>
      <w:r w:rsidR="00F935BF">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December 2023</w:t>
      </w:r>
      <w:r w:rsidR="00F935BF">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mark</w:t>
      </w:r>
      <w:r w:rsidR="00F935BF">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w:t>
      </w:r>
      <w:r w:rsidR="005B4CF9">
        <w:rPr>
          <w:rFonts w:ascii="Times New Roman" w:eastAsia="Times New Roman" w:hAnsi="Times New Roman" w:cs="Times New Roman"/>
          <w:noProof/>
          <w:sz w:val="24"/>
          <w:szCs w:val="24"/>
          <w:lang w:val="en-IE"/>
        </w:rPr>
        <w:t>four</w:t>
      </w:r>
      <w:r w:rsidR="00F7232D"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years since SARS-CoV-2 was detected for the first time, eventually unleashing a full-blown pandemic and an unprecedented global health crisis. Since then, many initiatives and lessons</w:t>
      </w:r>
      <w:r w:rsidR="00AC1530">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learned have crystallised in new EU </w:t>
      </w:r>
      <w:r w:rsidR="006B5917">
        <w:rPr>
          <w:rFonts w:ascii="Times New Roman" w:eastAsia="Times New Roman" w:hAnsi="Times New Roman" w:cs="Times New Roman"/>
          <w:noProof/>
          <w:sz w:val="24"/>
          <w:szCs w:val="24"/>
          <w:lang w:val="en-IE"/>
        </w:rPr>
        <w:t>legislation</w:t>
      </w:r>
      <w:r w:rsidRPr="00E03D97">
        <w:rPr>
          <w:rFonts w:ascii="Times New Roman" w:eastAsia="Times New Roman" w:hAnsi="Times New Roman" w:cs="Times New Roman"/>
          <w:noProof/>
          <w:sz w:val="24"/>
          <w:szCs w:val="24"/>
          <w:lang w:val="en-IE"/>
        </w:rPr>
        <w:t xml:space="preserve"> </w:t>
      </w:r>
      <w:r w:rsidR="006B5917">
        <w:rPr>
          <w:rFonts w:ascii="Times New Roman" w:eastAsia="Times New Roman" w:hAnsi="Times New Roman" w:cs="Times New Roman"/>
          <w:noProof/>
          <w:sz w:val="24"/>
          <w:szCs w:val="24"/>
          <w:lang w:val="en-IE"/>
        </w:rPr>
        <w:t>to</w:t>
      </w:r>
      <w:r w:rsidRPr="00E03D97">
        <w:rPr>
          <w:rFonts w:ascii="Times New Roman" w:eastAsia="Times New Roman" w:hAnsi="Times New Roman" w:cs="Times New Roman"/>
          <w:noProof/>
          <w:sz w:val="24"/>
          <w:szCs w:val="24"/>
          <w:lang w:val="en-IE"/>
        </w:rPr>
        <w:t xml:space="preserve"> strengthen our collective defences and preparedness against pandemics and </w:t>
      </w:r>
      <w:r w:rsidR="00A02810">
        <w:rPr>
          <w:rFonts w:ascii="Times New Roman" w:eastAsia="Times New Roman" w:hAnsi="Times New Roman" w:cs="Times New Roman"/>
          <w:noProof/>
          <w:sz w:val="24"/>
          <w:szCs w:val="24"/>
          <w:lang w:val="en-IE"/>
        </w:rPr>
        <w:t xml:space="preserve">other </w:t>
      </w:r>
      <w:r w:rsidRPr="00E03D97">
        <w:rPr>
          <w:rFonts w:ascii="Times New Roman" w:eastAsia="Times New Roman" w:hAnsi="Times New Roman" w:cs="Times New Roman"/>
          <w:noProof/>
          <w:sz w:val="24"/>
          <w:szCs w:val="24"/>
          <w:lang w:val="en-IE"/>
        </w:rPr>
        <w:t>major threat</w:t>
      </w:r>
      <w:r w:rsidR="00750E41">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to health</w:t>
      </w:r>
      <w:r w:rsidR="006B5917">
        <w:rPr>
          <w:rFonts w:ascii="Times New Roman" w:eastAsia="Times New Roman" w:hAnsi="Times New Roman" w:cs="Times New Roman"/>
          <w:noProof/>
          <w:sz w:val="24"/>
          <w:szCs w:val="24"/>
          <w:lang w:val="en-IE"/>
        </w:rPr>
        <w:t>, such as those brought by climate change</w:t>
      </w:r>
      <w:r w:rsidRPr="00E03D97">
        <w:rPr>
          <w:rFonts w:ascii="Times New Roman" w:eastAsia="Times New Roman" w:hAnsi="Times New Roman" w:cs="Times New Roman"/>
          <w:noProof/>
          <w:sz w:val="24"/>
          <w:szCs w:val="24"/>
          <w:lang w:val="en-IE"/>
        </w:rPr>
        <w:t>.</w:t>
      </w:r>
    </w:p>
    <w:p w14:paraId="22C00E9C" w14:textId="03D3249F"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eastAsia="en-GB"/>
        </w:rPr>
      </w:pPr>
      <w:r w:rsidRPr="00E03D97">
        <w:rPr>
          <w:rFonts w:ascii="Times New Roman" w:eastAsia="Times New Roman" w:hAnsi="Times New Roman" w:cs="Times New Roman"/>
          <w:noProof/>
          <w:sz w:val="24"/>
          <w:szCs w:val="24"/>
          <w:lang w:val="en-IE"/>
        </w:rPr>
        <w:t xml:space="preserve">December 2023 also </w:t>
      </w:r>
      <w:r w:rsidR="00A61F69">
        <w:rPr>
          <w:rFonts w:ascii="Times New Roman" w:eastAsia="Times New Roman" w:hAnsi="Times New Roman" w:cs="Times New Roman"/>
          <w:noProof/>
          <w:sz w:val="24"/>
          <w:szCs w:val="24"/>
          <w:lang w:val="en-IE"/>
        </w:rPr>
        <w:t>sees the first anniversary of</w:t>
      </w:r>
      <w:r w:rsidRPr="00E03D97">
        <w:rPr>
          <w:rFonts w:ascii="Times New Roman" w:eastAsia="Times New Roman" w:hAnsi="Times New Roman" w:cs="Times New Roman"/>
          <w:noProof/>
          <w:sz w:val="24"/>
          <w:szCs w:val="24"/>
          <w:lang w:val="en-IE"/>
        </w:rPr>
        <w:t xml:space="preserve"> the entry into force of a key leg</w:t>
      </w:r>
      <w:r w:rsidR="00A02810">
        <w:rPr>
          <w:rFonts w:ascii="Times New Roman" w:eastAsia="Times New Roman" w:hAnsi="Times New Roman" w:cs="Times New Roman"/>
          <w:noProof/>
          <w:sz w:val="24"/>
          <w:szCs w:val="24"/>
          <w:lang w:val="en-IE"/>
        </w:rPr>
        <w:t>islative</w:t>
      </w:r>
      <w:r w:rsidRPr="00E03D97">
        <w:rPr>
          <w:rFonts w:ascii="Times New Roman" w:eastAsia="Times New Roman" w:hAnsi="Times New Roman" w:cs="Times New Roman"/>
          <w:noProof/>
          <w:sz w:val="24"/>
          <w:szCs w:val="24"/>
          <w:lang w:val="en-IE"/>
        </w:rPr>
        <w:t xml:space="preserve"> act in the EU health security framework</w:t>
      </w:r>
      <w:r w:rsidR="00A61F69">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Regulation</w:t>
      </w:r>
      <w:r w:rsidR="00ED3240">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(EU)</w:t>
      </w:r>
      <w:r w:rsidR="00ED3240">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2022/2371 on serious cross-border threats</w:t>
      </w:r>
      <w:r w:rsidR="00A02810">
        <w:rPr>
          <w:rFonts w:ascii="Times New Roman" w:eastAsia="Times New Roman" w:hAnsi="Times New Roman" w:cs="Times New Roman"/>
          <w:noProof/>
          <w:sz w:val="24"/>
          <w:szCs w:val="24"/>
          <w:lang w:val="en-IE"/>
        </w:rPr>
        <w:t xml:space="preserve"> to health</w:t>
      </w:r>
      <w:r w:rsidRPr="00E03D97">
        <w:rPr>
          <w:rFonts w:ascii="Times New Roman" w:eastAsia="Times New Roman" w:hAnsi="Times New Roman" w:cs="Times New Roman"/>
          <w:noProof/>
          <w:sz w:val="24"/>
          <w:szCs w:val="24"/>
          <w:lang w:val="en-IE"/>
        </w:rPr>
        <w:t>.</w:t>
      </w:r>
      <w:r w:rsidR="00A02810" w:rsidRPr="00A02810">
        <w:rPr>
          <w:rFonts w:ascii="Times New Roman" w:eastAsia="Times New Roman" w:hAnsi="Times New Roman" w:cs="Times New Roman"/>
          <w:noProof/>
          <w:sz w:val="24"/>
          <w:szCs w:val="24"/>
          <w:vertAlign w:val="superscript"/>
          <w:lang w:val="en-IE"/>
        </w:rPr>
        <w:footnoteReference w:id="1"/>
      </w:r>
      <w:r w:rsidR="00A02810" w:rsidRPr="00A02810">
        <w:rPr>
          <w:rFonts w:ascii="Times New Roman" w:eastAsia="Times New Roman" w:hAnsi="Times New Roman" w:cs="Times New Roman"/>
          <w:noProof/>
          <w:sz w:val="24"/>
          <w:szCs w:val="24"/>
        </w:rPr>
        <w:t xml:space="preserve"> </w:t>
      </w:r>
      <w:r w:rsidR="00ED3240">
        <w:rPr>
          <w:rFonts w:ascii="Times New Roman" w:eastAsia="Times New Roman" w:hAnsi="Times New Roman" w:cs="Times New Roman"/>
          <w:noProof/>
          <w:sz w:val="24"/>
          <w:szCs w:val="24"/>
          <w:lang w:val="en-IE"/>
        </w:rPr>
        <w:t>T</w:t>
      </w:r>
      <w:r w:rsidR="00ED3240" w:rsidRPr="00E03D97">
        <w:rPr>
          <w:rFonts w:ascii="Times New Roman" w:eastAsia="Times New Roman" w:hAnsi="Times New Roman" w:cs="Times New Roman"/>
          <w:noProof/>
          <w:sz w:val="24"/>
          <w:szCs w:val="24"/>
          <w:lang w:val="en-IE"/>
        </w:rPr>
        <w:t>h</w:t>
      </w:r>
      <w:r w:rsidR="00ED3240">
        <w:rPr>
          <w:rFonts w:ascii="Times New Roman" w:eastAsia="Times New Roman" w:hAnsi="Times New Roman" w:cs="Times New Roman"/>
          <w:noProof/>
          <w:sz w:val="24"/>
          <w:szCs w:val="24"/>
          <w:lang w:val="en-IE"/>
        </w:rPr>
        <w:t>e</w:t>
      </w:r>
      <w:r w:rsidR="00ED3240" w:rsidRPr="00E03D97">
        <w:rPr>
          <w:rFonts w:ascii="Times New Roman" w:eastAsia="Times New Roman" w:hAnsi="Times New Roman" w:cs="Times New Roman"/>
          <w:noProof/>
          <w:sz w:val="24"/>
          <w:szCs w:val="24"/>
          <w:lang w:val="en-IE"/>
        </w:rPr>
        <w:t xml:space="preserve"> </w:t>
      </w:r>
      <w:r w:rsidR="00ED3240">
        <w:rPr>
          <w:rFonts w:ascii="Times New Roman" w:eastAsia="Times New Roman" w:hAnsi="Times New Roman" w:cs="Times New Roman"/>
          <w:noProof/>
          <w:sz w:val="24"/>
          <w:szCs w:val="24"/>
          <w:lang w:val="en-IE"/>
        </w:rPr>
        <w:t xml:space="preserve">Commission proposed the </w:t>
      </w:r>
      <w:r w:rsidR="00ED3240" w:rsidRPr="00E03D97">
        <w:rPr>
          <w:rFonts w:ascii="Times New Roman" w:eastAsia="Times New Roman" w:hAnsi="Times New Roman" w:cs="Times New Roman"/>
          <w:noProof/>
          <w:sz w:val="24"/>
          <w:szCs w:val="24"/>
          <w:lang w:val="en-IE"/>
        </w:rPr>
        <w:t xml:space="preserve">Regulation </w:t>
      </w:r>
      <w:r w:rsidRPr="00E03D97">
        <w:rPr>
          <w:rFonts w:ascii="Times New Roman" w:eastAsia="Times New Roman" w:hAnsi="Times New Roman" w:cs="Times New Roman"/>
          <w:noProof/>
          <w:sz w:val="24"/>
          <w:szCs w:val="24"/>
          <w:lang w:val="en-IE"/>
        </w:rPr>
        <w:t xml:space="preserve">back in 2020 as part of the first pillar </w:t>
      </w:r>
      <w:r w:rsidR="00ED3240">
        <w:rPr>
          <w:rFonts w:ascii="Times New Roman" w:eastAsia="Times New Roman" w:hAnsi="Times New Roman" w:cs="Times New Roman"/>
          <w:noProof/>
          <w:sz w:val="24"/>
          <w:szCs w:val="24"/>
          <w:lang w:val="en-IE"/>
        </w:rPr>
        <w:t>of</w:t>
      </w:r>
      <w:r w:rsidR="00ED3240"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the European Health Union</w:t>
      </w:r>
      <w:r w:rsidR="00AC1530">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together with</w:t>
      </w:r>
      <w:r w:rsidR="00A02810">
        <w:rPr>
          <w:rFonts w:ascii="Times New Roman" w:eastAsia="Times New Roman" w:hAnsi="Times New Roman" w:cs="Times New Roman"/>
          <w:noProof/>
          <w:sz w:val="24"/>
          <w:szCs w:val="24"/>
          <w:lang w:val="en-IE"/>
        </w:rPr>
        <w:t xml:space="preserve"> proposals for the</w:t>
      </w:r>
      <w:r w:rsidRPr="00E03D97">
        <w:rPr>
          <w:rFonts w:ascii="Times New Roman" w:eastAsia="Times New Roman" w:hAnsi="Times New Roman" w:cs="Times New Roman"/>
          <w:noProof/>
          <w:sz w:val="24"/>
          <w:szCs w:val="24"/>
          <w:lang w:val="en-IE"/>
        </w:rPr>
        <w:t xml:space="preserve"> expanded mandates </w:t>
      </w:r>
      <w:r w:rsidR="00E67B0F">
        <w:rPr>
          <w:rFonts w:ascii="Times New Roman" w:eastAsia="Times New Roman" w:hAnsi="Times New Roman" w:cs="Times New Roman"/>
          <w:noProof/>
          <w:sz w:val="24"/>
          <w:szCs w:val="24"/>
          <w:lang w:val="en-IE"/>
        </w:rPr>
        <w:t xml:space="preserve">for </w:t>
      </w:r>
      <w:r w:rsidRPr="00E03D97">
        <w:rPr>
          <w:rFonts w:ascii="Times New Roman" w:eastAsia="Times New Roman" w:hAnsi="Times New Roman" w:cs="Times New Roman"/>
          <w:noProof/>
          <w:sz w:val="24"/>
          <w:szCs w:val="24"/>
          <w:lang w:val="en-IE"/>
        </w:rPr>
        <w:t>two key EU health agencies: the European Centre for Disease Prevention and Control (ECDC) and the European Medicines Agency (EMA)</w:t>
      </w:r>
      <w:r w:rsidR="00E67B0F">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sidR="00E67B0F">
        <w:rPr>
          <w:rFonts w:ascii="Times New Roman" w:eastAsia="Times New Roman" w:hAnsi="Times New Roman" w:cs="Times New Roman"/>
          <w:noProof/>
          <w:sz w:val="24"/>
          <w:szCs w:val="24"/>
          <w:lang w:val="en-IE"/>
        </w:rPr>
        <w:t>T</w:t>
      </w:r>
      <w:r w:rsidR="00E67B0F" w:rsidRPr="00E03D97">
        <w:rPr>
          <w:rFonts w:ascii="Times New Roman" w:eastAsia="Times New Roman" w:hAnsi="Times New Roman" w:cs="Times New Roman"/>
          <w:noProof/>
          <w:sz w:val="24"/>
          <w:szCs w:val="24"/>
          <w:lang w:val="en-IE"/>
        </w:rPr>
        <w:t>h</w:t>
      </w:r>
      <w:r w:rsidR="00E67B0F">
        <w:rPr>
          <w:rFonts w:ascii="Times New Roman" w:eastAsia="Times New Roman" w:hAnsi="Times New Roman" w:cs="Times New Roman"/>
          <w:noProof/>
          <w:sz w:val="24"/>
          <w:szCs w:val="24"/>
          <w:lang w:val="en-IE"/>
        </w:rPr>
        <w:t>e</w:t>
      </w:r>
      <w:r w:rsidR="00E67B0F"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Regulation</w:t>
      </w:r>
      <w:r w:rsidR="00D24071">
        <w:rPr>
          <w:rFonts w:ascii="Times New Roman" w:eastAsia="Times New Roman" w:hAnsi="Times New Roman" w:cs="Times New Roman"/>
          <w:noProof/>
          <w:sz w:val="24"/>
          <w:szCs w:val="24"/>
          <w:lang w:val="en-IE"/>
        </w:rPr>
        <w:t xml:space="preserve"> has</w:t>
      </w:r>
      <w:r w:rsidRPr="00E03D97">
        <w:rPr>
          <w:rFonts w:ascii="Times New Roman" w:eastAsia="Times New Roman" w:hAnsi="Times New Roman" w:cs="Times New Roman"/>
          <w:noProof/>
          <w:sz w:val="24"/>
          <w:szCs w:val="24"/>
          <w:lang w:val="en-IE"/>
        </w:rPr>
        <w:t xml:space="preserve"> upgraded the existing EU-level mechanisms for public health prevention, preparedness, surveillance, early warning and response,</w:t>
      </w:r>
      <w:r w:rsidR="007E1E67">
        <w:rPr>
          <w:rFonts w:ascii="Times New Roman" w:eastAsia="Times New Roman" w:hAnsi="Times New Roman" w:cs="Times New Roman"/>
          <w:noProof/>
          <w:sz w:val="24"/>
          <w:szCs w:val="24"/>
          <w:lang w:val="en-IE"/>
        </w:rPr>
        <w:t xml:space="preserve"> and has</w:t>
      </w:r>
      <w:r w:rsidRPr="00E03D97">
        <w:rPr>
          <w:rFonts w:ascii="Times New Roman" w:eastAsia="Times New Roman" w:hAnsi="Times New Roman" w:cs="Times New Roman"/>
          <w:noProof/>
          <w:sz w:val="24"/>
          <w:szCs w:val="24"/>
          <w:lang w:val="en-IE"/>
        </w:rPr>
        <w:t xml:space="preserve"> becom</w:t>
      </w:r>
      <w:r w:rsidR="007E1E67">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 the backbone of the EU’s health security architecture. The European Health Union – whose foundations were laid while we were still undergoing the unprecedented COVID-19 crisis – is now operational and delivering results</w:t>
      </w:r>
      <w:r w:rsidR="00750E41">
        <w:rPr>
          <w:rFonts w:ascii="Times New Roman" w:eastAsia="Times New Roman" w:hAnsi="Times New Roman" w:cs="Times New Roman"/>
          <w:noProof/>
          <w:sz w:val="24"/>
          <w:szCs w:val="24"/>
          <w:lang w:val="en-IE"/>
        </w:rPr>
        <w:t xml:space="preserve">, </w:t>
      </w:r>
      <w:r w:rsidR="00750E41" w:rsidRPr="00750E41">
        <w:rPr>
          <w:rFonts w:ascii="Times New Roman" w:eastAsia="Times New Roman" w:hAnsi="Times New Roman" w:cs="Times New Roman"/>
          <w:noProof/>
          <w:sz w:val="24"/>
          <w:szCs w:val="24"/>
        </w:rPr>
        <w:t xml:space="preserve">including </w:t>
      </w:r>
      <w:r w:rsidR="00750E41" w:rsidRPr="00650D45">
        <w:rPr>
          <w:rFonts w:ascii="Times New Roman" w:eastAsia="Times New Roman" w:hAnsi="Times New Roman" w:cs="Times New Roman"/>
          <w:noProof/>
          <w:sz w:val="24"/>
          <w:szCs w:val="24"/>
        </w:rPr>
        <w:t xml:space="preserve">the </w:t>
      </w:r>
      <w:r w:rsidR="00325A0A" w:rsidRPr="00650D45">
        <w:rPr>
          <w:rFonts w:ascii="Times New Roman" w:eastAsia="Times New Roman" w:hAnsi="Times New Roman" w:cs="Times New Roman"/>
          <w:noProof/>
          <w:sz w:val="24"/>
          <w:szCs w:val="24"/>
        </w:rPr>
        <w:t xml:space="preserve">Commission’s </w:t>
      </w:r>
      <w:r w:rsidR="00750E41" w:rsidRPr="00750E41">
        <w:rPr>
          <w:rFonts w:ascii="Times New Roman" w:eastAsia="Times New Roman" w:hAnsi="Times New Roman" w:cs="Times New Roman"/>
          <w:noProof/>
          <w:sz w:val="24"/>
          <w:szCs w:val="24"/>
        </w:rPr>
        <w:t>Health Emergency Preparedness and Response Authority (HERA),</w:t>
      </w:r>
      <w:r w:rsidR="00750E41">
        <w:rPr>
          <w:rFonts w:ascii="Times New Roman" w:eastAsia="Times New Roman" w:hAnsi="Times New Roman" w:cs="Times New Roman"/>
          <w:noProof/>
          <w:sz w:val="24"/>
          <w:szCs w:val="24"/>
        </w:rPr>
        <w:t xml:space="preserve"> </w:t>
      </w:r>
      <w:r w:rsidR="00750E41" w:rsidRPr="00750E41">
        <w:rPr>
          <w:rFonts w:ascii="Times New Roman" w:eastAsia="Times New Roman" w:hAnsi="Times New Roman" w:cs="Times New Roman"/>
          <w:noProof/>
          <w:sz w:val="24"/>
          <w:szCs w:val="24"/>
        </w:rPr>
        <w:t>created in September 2021</w:t>
      </w:r>
      <w:r w:rsidR="00785B9C">
        <w:rPr>
          <w:rStyle w:val="FootnoteReference"/>
          <w:rFonts w:ascii="Times New Roman" w:eastAsia="Times New Roman" w:hAnsi="Times New Roman" w:cs="Times New Roman"/>
          <w:noProof/>
          <w:sz w:val="24"/>
          <w:szCs w:val="24"/>
        </w:rPr>
        <w:footnoteReference w:id="2"/>
      </w:r>
      <w:r w:rsidRPr="00E03D97">
        <w:rPr>
          <w:rFonts w:ascii="Times New Roman" w:eastAsia="Times New Roman" w:hAnsi="Times New Roman" w:cs="Times New Roman"/>
          <w:noProof/>
          <w:sz w:val="24"/>
          <w:szCs w:val="24"/>
          <w:lang w:val="en-IE"/>
        </w:rPr>
        <w:t>. This report outlines those major developments to date.</w:t>
      </w:r>
    </w:p>
    <w:p w14:paraId="3CFD468C" w14:textId="7BC2B5DA" w:rsidR="001F1738"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eastAsia="en-GB"/>
        </w:rPr>
      </w:pPr>
      <w:r w:rsidRPr="00E03D97">
        <w:rPr>
          <w:rFonts w:ascii="Times New Roman" w:eastAsiaTheme="minorEastAsia" w:hAnsi="Times New Roman" w:cs="Times New Roman"/>
          <w:noProof/>
          <w:sz w:val="24"/>
          <w:szCs w:val="24"/>
          <w:lang w:val="en-IE"/>
        </w:rPr>
        <w:t xml:space="preserve">The political commitment to draft an annual </w:t>
      </w:r>
      <w:r w:rsidR="00D53521">
        <w:rPr>
          <w:rFonts w:ascii="Times New Roman" w:eastAsiaTheme="minorEastAsia" w:hAnsi="Times New Roman" w:cs="Times New Roman"/>
          <w:noProof/>
          <w:sz w:val="24"/>
          <w:szCs w:val="24"/>
          <w:lang w:val="en-IE"/>
        </w:rPr>
        <w:t>s</w:t>
      </w:r>
      <w:r w:rsidRPr="00E03D97">
        <w:rPr>
          <w:rFonts w:ascii="Times New Roman" w:eastAsiaTheme="minorEastAsia" w:hAnsi="Times New Roman" w:cs="Times New Roman"/>
          <w:noProof/>
          <w:sz w:val="24"/>
          <w:szCs w:val="24"/>
          <w:lang w:val="en-IE"/>
        </w:rPr>
        <w:t xml:space="preserve">tate of </w:t>
      </w:r>
      <w:r w:rsidR="00D53521">
        <w:rPr>
          <w:rFonts w:ascii="Times New Roman" w:eastAsiaTheme="minorEastAsia" w:hAnsi="Times New Roman" w:cs="Times New Roman"/>
          <w:noProof/>
          <w:sz w:val="24"/>
          <w:szCs w:val="24"/>
          <w:lang w:val="en-IE"/>
        </w:rPr>
        <w:t>health p</w:t>
      </w:r>
      <w:r w:rsidRPr="00E03D97">
        <w:rPr>
          <w:rFonts w:ascii="Times New Roman" w:eastAsiaTheme="minorEastAsia" w:hAnsi="Times New Roman" w:cs="Times New Roman"/>
          <w:noProof/>
          <w:sz w:val="24"/>
          <w:szCs w:val="24"/>
          <w:lang w:val="en-IE"/>
        </w:rPr>
        <w:t xml:space="preserve">reparedness </w:t>
      </w:r>
      <w:r w:rsidR="00D53521">
        <w:rPr>
          <w:rFonts w:ascii="Times New Roman" w:eastAsiaTheme="minorEastAsia" w:hAnsi="Times New Roman" w:cs="Times New Roman"/>
          <w:noProof/>
          <w:sz w:val="24"/>
          <w:szCs w:val="24"/>
          <w:lang w:val="en-IE"/>
        </w:rPr>
        <w:t>r</w:t>
      </w:r>
      <w:r w:rsidRPr="00E03D97">
        <w:rPr>
          <w:rFonts w:ascii="Times New Roman" w:eastAsiaTheme="minorEastAsia" w:hAnsi="Times New Roman" w:cs="Times New Roman"/>
          <w:noProof/>
          <w:sz w:val="24"/>
          <w:szCs w:val="24"/>
          <w:lang w:val="en-IE"/>
        </w:rPr>
        <w:t>eport to reflect the overall changing risk landscape in</w:t>
      </w:r>
      <w:r w:rsidR="00F935BF">
        <w:rPr>
          <w:rFonts w:ascii="Times New Roman" w:eastAsiaTheme="minorEastAsia" w:hAnsi="Times New Roman" w:cs="Times New Roman"/>
          <w:noProof/>
          <w:sz w:val="24"/>
          <w:szCs w:val="24"/>
          <w:lang w:val="en-IE"/>
        </w:rPr>
        <w:t xml:space="preserve"> the EU</w:t>
      </w:r>
      <w:r w:rsidRPr="00E03D97">
        <w:rPr>
          <w:rFonts w:ascii="Times New Roman" w:eastAsiaTheme="minorEastAsia" w:hAnsi="Times New Roman" w:cs="Times New Roman"/>
          <w:noProof/>
          <w:sz w:val="24"/>
          <w:szCs w:val="24"/>
          <w:lang w:val="en-IE"/>
        </w:rPr>
        <w:t xml:space="preserve"> and the state of </w:t>
      </w:r>
      <w:r w:rsidR="00236E4B">
        <w:rPr>
          <w:rFonts w:ascii="Times New Roman" w:eastAsiaTheme="minorEastAsia" w:hAnsi="Times New Roman" w:cs="Times New Roman"/>
          <w:noProof/>
          <w:sz w:val="24"/>
          <w:szCs w:val="24"/>
          <w:lang w:val="en-IE"/>
        </w:rPr>
        <w:t xml:space="preserve">health </w:t>
      </w:r>
      <w:r w:rsidRPr="00E03D97">
        <w:rPr>
          <w:rFonts w:ascii="Times New Roman" w:eastAsiaTheme="minorEastAsia" w:hAnsi="Times New Roman" w:cs="Times New Roman"/>
          <w:noProof/>
          <w:sz w:val="24"/>
          <w:szCs w:val="24"/>
          <w:lang w:val="en-IE"/>
        </w:rPr>
        <w:t xml:space="preserve">preparedness </w:t>
      </w:r>
      <w:r w:rsidR="00A02810">
        <w:rPr>
          <w:rFonts w:ascii="Times New Roman" w:eastAsiaTheme="minorEastAsia" w:hAnsi="Times New Roman" w:cs="Times New Roman"/>
          <w:noProof/>
          <w:sz w:val="24"/>
          <w:szCs w:val="24"/>
          <w:lang w:val="en-IE"/>
        </w:rPr>
        <w:t>was announced in</w:t>
      </w:r>
      <w:r w:rsidRPr="00E03D97">
        <w:rPr>
          <w:rFonts w:ascii="Times New Roman" w:eastAsiaTheme="minorEastAsia" w:hAnsi="Times New Roman" w:cs="Times New Roman"/>
          <w:noProof/>
          <w:sz w:val="24"/>
          <w:szCs w:val="24"/>
          <w:lang w:val="en-IE"/>
        </w:rPr>
        <w:t xml:space="preserve"> the 2021 Commission Communication </w:t>
      </w:r>
      <w:r w:rsidR="00236E4B">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Drawing the early lessons from the COVID-19 pandemic</w:t>
      </w:r>
      <w:r w:rsidR="00236E4B">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vertAlign w:val="superscript"/>
          <w:lang w:val="en-IE"/>
        </w:rPr>
        <w:footnoteReference w:id="3"/>
      </w:r>
      <w:r w:rsidRPr="00E03D97">
        <w:rPr>
          <w:rFonts w:ascii="Times New Roman" w:eastAsiaTheme="minorEastAsia" w:hAnsi="Times New Roman" w:cs="Times New Roman"/>
          <w:noProof/>
          <w:sz w:val="24"/>
          <w:szCs w:val="24"/>
          <w:lang w:val="en-IE"/>
        </w:rPr>
        <w:t xml:space="preserve">. </w:t>
      </w:r>
      <w:r w:rsidR="00236E4B">
        <w:rPr>
          <w:rFonts w:ascii="Times New Roman" w:eastAsia="Times New Roman" w:hAnsi="Times New Roman" w:cs="Times New Roman"/>
          <w:noProof/>
          <w:sz w:val="24"/>
          <w:szCs w:val="24"/>
          <w:lang w:val="en-IE"/>
        </w:rPr>
        <w:t>T</w:t>
      </w:r>
      <w:r w:rsidRPr="00E03D97">
        <w:rPr>
          <w:rFonts w:ascii="Times New Roman" w:eastAsia="Times New Roman" w:hAnsi="Times New Roman" w:cs="Times New Roman"/>
          <w:noProof/>
          <w:sz w:val="24"/>
          <w:szCs w:val="24"/>
          <w:lang w:val="en-IE"/>
        </w:rPr>
        <w:t xml:space="preserve">he first edition of the State of Health Preparedness </w:t>
      </w:r>
      <w:r w:rsidR="00236E4B">
        <w:rPr>
          <w:rFonts w:ascii="Times New Roman" w:eastAsia="Times New Roman" w:hAnsi="Times New Roman" w:cs="Times New Roman"/>
          <w:noProof/>
          <w:sz w:val="24"/>
          <w:szCs w:val="24"/>
          <w:lang w:val="en-IE"/>
        </w:rPr>
        <w:t>R</w:t>
      </w:r>
      <w:r w:rsidRPr="00E03D97">
        <w:rPr>
          <w:rFonts w:ascii="Times New Roman" w:eastAsia="Times New Roman" w:hAnsi="Times New Roman" w:cs="Times New Roman"/>
          <w:noProof/>
          <w:sz w:val="24"/>
          <w:szCs w:val="24"/>
          <w:lang w:val="en-IE"/>
        </w:rPr>
        <w:t>eport</w:t>
      </w:r>
      <w:r w:rsidR="00236E4B">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vertAlign w:val="superscript"/>
          <w:lang w:val="en-IE"/>
        </w:rPr>
        <w:footnoteReference w:id="4"/>
      </w:r>
      <w:r w:rsidR="00236E4B">
        <w:rPr>
          <w:rFonts w:ascii="Times New Roman" w:eastAsia="Times New Roman" w:hAnsi="Times New Roman" w:cs="Times New Roman"/>
          <w:noProof/>
          <w:sz w:val="24"/>
          <w:szCs w:val="24"/>
          <w:lang w:val="en-IE"/>
        </w:rPr>
        <w:t xml:space="preserve"> was</w:t>
      </w:r>
      <w:r w:rsidRPr="00E03D97">
        <w:rPr>
          <w:rFonts w:ascii="Times New Roman" w:eastAsia="Times New Roman" w:hAnsi="Times New Roman" w:cs="Times New Roman"/>
          <w:noProof/>
          <w:sz w:val="24"/>
          <w:szCs w:val="24"/>
          <w:lang w:val="en-IE"/>
        </w:rPr>
        <w:t xml:space="preserve"> published in 2022</w:t>
      </w:r>
      <w:r w:rsidR="00236E4B">
        <w:rPr>
          <w:rFonts w:ascii="Times New Roman" w:eastAsia="Times New Roman" w:hAnsi="Times New Roman" w:cs="Times New Roman"/>
          <w:noProof/>
          <w:sz w:val="24"/>
          <w:szCs w:val="24"/>
          <w:lang w:val="en-IE"/>
        </w:rPr>
        <w:t xml:space="preserve"> and</w:t>
      </w:r>
      <w:r w:rsidRPr="00E03D97">
        <w:rPr>
          <w:rFonts w:ascii="Times New Roman" w:eastAsia="Times New Roman" w:hAnsi="Times New Roman" w:cs="Times New Roman"/>
          <w:noProof/>
          <w:sz w:val="24"/>
          <w:szCs w:val="24"/>
          <w:lang w:val="en-IE"/>
        </w:rPr>
        <w:t xml:space="preserve"> focused on preparedness capabilities related to medical countermeasures</w:t>
      </w:r>
      <w:r w:rsidR="00236E4B">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sidR="00F935BF">
        <w:rPr>
          <w:rFonts w:ascii="Times New Roman" w:eastAsia="Times New Roman" w:hAnsi="Times New Roman" w:cs="Times New Roman"/>
          <w:noProof/>
          <w:sz w:val="24"/>
          <w:szCs w:val="24"/>
          <w:lang w:val="en-IE"/>
        </w:rPr>
        <w:t>T</w:t>
      </w:r>
      <w:r w:rsidRPr="00E03D97">
        <w:rPr>
          <w:rFonts w:ascii="Times New Roman" w:eastAsia="Times New Roman" w:hAnsi="Times New Roman" w:cs="Times New Roman"/>
          <w:noProof/>
          <w:sz w:val="24"/>
          <w:szCs w:val="24"/>
          <w:lang w:val="en-IE" w:eastAsia="en-GB"/>
        </w:rPr>
        <w:t xml:space="preserve">he primary objective of this year’s report is to map </w:t>
      </w:r>
      <w:r w:rsidR="00650D45">
        <w:rPr>
          <w:rFonts w:ascii="Times New Roman" w:eastAsia="Times New Roman" w:hAnsi="Times New Roman" w:cs="Times New Roman"/>
          <w:noProof/>
          <w:sz w:val="24"/>
          <w:szCs w:val="24"/>
          <w:lang w:val="en-IE" w:eastAsia="en-GB"/>
        </w:rPr>
        <w:t>t</w:t>
      </w:r>
      <w:r w:rsidR="00236E4B">
        <w:rPr>
          <w:rFonts w:ascii="Times New Roman" w:eastAsia="Times New Roman" w:hAnsi="Times New Roman" w:cs="Times New Roman"/>
          <w:noProof/>
          <w:sz w:val="24"/>
          <w:szCs w:val="24"/>
          <w:lang w:val="en-IE" w:eastAsia="en-GB"/>
        </w:rPr>
        <w:t xml:space="preserve">he </w:t>
      </w:r>
      <w:r w:rsidRPr="00E03D97">
        <w:rPr>
          <w:rFonts w:ascii="Times New Roman" w:eastAsia="Times New Roman" w:hAnsi="Times New Roman" w:cs="Times New Roman"/>
          <w:noProof/>
          <w:sz w:val="24"/>
          <w:szCs w:val="24"/>
          <w:lang w:val="en-IE" w:eastAsia="en-GB"/>
        </w:rPr>
        <w:t xml:space="preserve">EU actions </w:t>
      </w:r>
      <w:r w:rsidR="00236E4B">
        <w:rPr>
          <w:rFonts w:ascii="Times New Roman" w:eastAsia="Times New Roman" w:hAnsi="Times New Roman" w:cs="Times New Roman"/>
          <w:noProof/>
          <w:sz w:val="24"/>
          <w:szCs w:val="24"/>
          <w:lang w:val="en-IE" w:eastAsia="en-GB"/>
        </w:rPr>
        <w:t xml:space="preserve">that have been </w:t>
      </w:r>
      <w:r w:rsidRPr="00E03D97">
        <w:rPr>
          <w:rFonts w:ascii="Times New Roman" w:eastAsia="Times New Roman" w:hAnsi="Times New Roman" w:cs="Times New Roman"/>
          <w:noProof/>
          <w:sz w:val="24"/>
          <w:szCs w:val="24"/>
          <w:lang w:val="en-IE" w:eastAsia="en-GB"/>
        </w:rPr>
        <w:t xml:space="preserve">put in place </w:t>
      </w:r>
      <w:r w:rsidR="00236E4B">
        <w:rPr>
          <w:rFonts w:ascii="Times New Roman" w:eastAsia="Times New Roman" w:hAnsi="Times New Roman" w:cs="Times New Roman"/>
          <w:noProof/>
          <w:sz w:val="24"/>
          <w:szCs w:val="24"/>
          <w:lang w:val="en-IE" w:eastAsia="en-GB"/>
        </w:rPr>
        <w:t xml:space="preserve">to </w:t>
      </w:r>
      <w:r w:rsidRPr="00E03D97">
        <w:rPr>
          <w:rFonts w:ascii="Times New Roman" w:eastAsia="Times New Roman" w:hAnsi="Times New Roman" w:cs="Times New Roman"/>
          <w:noProof/>
          <w:sz w:val="24"/>
          <w:szCs w:val="24"/>
          <w:lang w:val="en-IE" w:eastAsia="en-GB"/>
        </w:rPr>
        <w:t xml:space="preserve">address </w:t>
      </w:r>
      <w:r w:rsidR="00A02810">
        <w:rPr>
          <w:rFonts w:ascii="Times New Roman" w:eastAsia="Times New Roman" w:hAnsi="Times New Roman" w:cs="Times New Roman"/>
          <w:noProof/>
          <w:sz w:val="24"/>
          <w:szCs w:val="24"/>
          <w:lang w:val="en-IE" w:eastAsia="en-GB"/>
        </w:rPr>
        <w:t xml:space="preserve">serious </w:t>
      </w:r>
      <w:r w:rsidRPr="00E03D97">
        <w:rPr>
          <w:rFonts w:ascii="Times New Roman" w:eastAsia="Times New Roman" w:hAnsi="Times New Roman" w:cs="Times New Roman"/>
          <w:noProof/>
          <w:sz w:val="24"/>
          <w:szCs w:val="24"/>
          <w:lang w:val="en-IE" w:eastAsia="en-GB"/>
        </w:rPr>
        <w:t>cross-border health threats, with a focus on those</w:t>
      </w:r>
      <w:r w:rsidR="00785B9C">
        <w:rPr>
          <w:rFonts w:ascii="Times New Roman" w:eastAsia="Times New Roman" w:hAnsi="Times New Roman" w:cs="Times New Roman"/>
          <w:noProof/>
          <w:sz w:val="24"/>
          <w:szCs w:val="24"/>
          <w:lang w:val="en-IE" w:eastAsia="en-GB"/>
        </w:rPr>
        <w:t xml:space="preserve"> actions</w:t>
      </w:r>
      <w:r w:rsidRPr="00E03D97">
        <w:rPr>
          <w:rFonts w:ascii="Times New Roman" w:eastAsia="Times New Roman" w:hAnsi="Times New Roman" w:cs="Times New Roman"/>
          <w:noProof/>
          <w:sz w:val="24"/>
          <w:szCs w:val="24"/>
          <w:lang w:val="en-IE" w:eastAsia="en-GB"/>
        </w:rPr>
        <w:t xml:space="preserve"> </w:t>
      </w:r>
      <w:r w:rsidR="00A02810">
        <w:rPr>
          <w:rFonts w:ascii="Times New Roman" w:eastAsia="Times New Roman" w:hAnsi="Times New Roman" w:cs="Times New Roman"/>
          <w:noProof/>
          <w:sz w:val="24"/>
          <w:szCs w:val="24"/>
          <w:lang w:val="en-IE" w:eastAsia="en-GB"/>
        </w:rPr>
        <w:t>implementing</w:t>
      </w:r>
      <w:r w:rsidRPr="00E03D97">
        <w:rPr>
          <w:rFonts w:ascii="Times New Roman" w:eastAsia="Times New Roman" w:hAnsi="Times New Roman" w:cs="Times New Roman"/>
          <w:noProof/>
          <w:sz w:val="24"/>
          <w:szCs w:val="24"/>
          <w:lang w:val="en-IE" w:eastAsia="en-GB"/>
        </w:rPr>
        <w:t xml:space="preserve"> Regulation (EU) 2022/2371</w:t>
      </w:r>
      <w:r w:rsidR="00271C7F">
        <w:rPr>
          <w:rFonts w:ascii="Times New Roman" w:eastAsia="Times New Roman" w:hAnsi="Times New Roman" w:cs="Times New Roman"/>
          <w:noProof/>
          <w:sz w:val="24"/>
          <w:szCs w:val="24"/>
          <w:lang w:val="en-IE" w:eastAsia="en-GB"/>
        </w:rPr>
        <w:t> </w:t>
      </w:r>
      <w:r w:rsidR="009C7E28">
        <w:rPr>
          <w:rFonts w:ascii="Times New Roman" w:eastAsia="Times New Roman" w:hAnsi="Times New Roman" w:cs="Times New Roman"/>
          <w:noProof/>
          <w:sz w:val="24"/>
          <w:szCs w:val="24"/>
          <w:lang w:val="en-IE" w:eastAsia="en-GB"/>
        </w:rPr>
        <w:t>(such reporting is, in fact, a</w:t>
      </w:r>
      <w:r w:rsidRPr="00E03D97">
        <w:rPr>
          <w:rFonts w:ascii="Times New Roman" w:eastAsia="Times New Roman" w:hAnsi="Times New Roman" w:cs="Times New Roman"/>
          <w:noProof/>
          <w:sz w:val="24"/>
          <w:szCs w:val="24"/>
          <w:lang w:val="en-IE" w:eastAsia="en-GB"/>
        </w:rPr>
        <w:t xml:space="preserve"> require</w:t>
      </w:r>
      <w:r w:rsidR="009C7E28">
        <w:rPr>
          <w:rFonts w:ascii="Times New Roman" w:eastAsia="Times New Roman" w:hAnsi="Times New Roman" w:cs="Times New Roman"/>
          <w:noProof/>
          <w:sz w:val="24"/>
          <w:szCs w:val="24"/>
          <w:lang w:val="en-IE" w:eastAsia="en-GB"/>
        </w:rPr>
        <w:t>ment</w:t>
      </w:r>
      <w:r w:rsidRPr="00E03D97">
        <w:rPr>
          <w:rFonts w:ascii="Times New Roman" w:eastAsia="Times New Roman" w:hAnsi="Times New Roman" w:cs="Times New Roman"/>
          <w:noProof/>
          <w:sz w:val="24"/>
          <w:szCs w:val="24"/>
          <w:lang w:val="en-IE" w:eastAsia="en-GB"/>
        </w:rPr>
        <w:t xml:space="preserve"> </w:t>
      </w:r>
      <w:r w:rsidR="009C7E28" w:rsidRPr="00650D45">
        <w:rPr>
          <w:rFonts w:ascii="Times New Roman" w:eastAsia="Times New Roman" w:hAnsi="Times New Roman" w:cs="Times New Roman"/>
          <w:noProof/>
          <w:sz w:val="24"/>
          <w:szCs w:val="24"/>
          <w:lang w:val="en-IE" w:eastAsia="en-GB"/>
        </w:rPr>
        <w:t>according to</w:t>
      </w:r>
      <w:r w:rsidRPr="00650D45">
        <w:rPr>
          <w:rFonts w:ascii="Times New Roman" w:eastAsia="Times New Roman" w:hAnsi="Times New Roman" w:cs="Times New Roman"/>
          <w:noProof/>
          <w:sz w:val="24"/>
          <w:szCs w:val="24"/>
          <w:lang w:val="en-IE" w:eastAsia="en-GB"/>
        </w:rPr>
        <w:t xml:space="preserve"> Article 9</w:t>
      </w:r>
      <w:r w:rsidRPr="00650D45">
        <w:rPr>
          <w:rFonts w:ascii="Times New Roman" w:eastAsia="Times New Roman" w:hAnsi="Times New Roman" w:cs="Times New Roman"/>
          <w:noProof/>
          <w:sz w:val="24"/>
          <w:szCs w:val="24"/>
          <w:vertAlign w:val="superscript"/>
          <w:lang w:val="en-IE" w:eastAsia="en-GB"/>
        </w:rPr>
        <w:footnoteReference w:id="5"/>
      </w:r>
      <w:r w:rsidR="009C7E28" w:rsidRPr="00650D45">
        <w:rPr>
          <w:rFonts w:ascii="Times New Roman" w:eastAsia="Times New Roman" w:hAnsi="Times New Roman" w:cs="Times New Roman"/>
          <w:noProof/>
          <w:sz w:val="24"/>
          <w:szCs w:val="24"/>
          <w:lang w:val="en-IE" w:eastAsia="en-GB"/>
        </w:rPr>
        <w:t>)</w:t>
      </w:r>
      <w:r w:rsidRPr="00650D45">
        <w:rPr>
          <w:rFonts w:ascii="Times New Roman" w:eastAsia="Times New Roman" w:hAnsi="Times New Roman" w:cs="Times New Roman"/>
          <w:noProof/>
          <w:sz w:val="24"/>
          <w:szCs w:val="24"/>
          <w:lang w:val="en-IE" w:eastAsia="en-GB"/>
        </w:rPr>
        <w:t>.</w:t>
      </w:r>
      <w:r w:rsidRPr="00E03D97">
        <w:rPr>
          <w:rFonts w:ascii="Times New Roman" w:eastAsia="Times New Roman" w:hAnsi="Times New Roman" w:cs="Times New Roman"/>
          <w:noProof/>
          <w:sz w:val="24"/>
          <w:szCs w:val="24"/>
          <w:lang w:val="en-IE" w:eastAsia="en-GB"/>
        </w:rPr>
        <w:t xml:space="preserve"> As a second objective, the </w:t>
      </w:r>
      <w:r w:rsidR="00271C7F">
        <w:rPr>
          <w:rFonts w:ascii="Times New Roman" w:eastAsia="Times New Roman" w:hAnsi="Times New Roman" w:cs="Times New Roman"/>
          <w:noProof/>
          <w:sz w:val="24"/>
          <w:szCs w:val="24"/>
          <w:lang w:val="en-IE" w:eastAsia="en-GB"/>
        </w:rPr>
        <w:t xml:space="preserve">2023 </w:t>
      </w:r>
      <w:r w:rsidR="00AD0A7E">
        <w:rPr>
          <w:rFonts w:ascii="Times New Roman" w:eastAsia="Times New Roman" w:hAnsi="Times New Roman" w:cs="Times New Roman"/>
          <w:noProof/>
          <w:sz w:val="24"/>
          <w:szCs w:val="24"/>
          <w:lang w:val="en-IE" w:eastAsia="en-GB"/>
        </w:rPr>
        <w:t>r</w:t>
      </w:r>
      <w:r w:rsidRPr="00E03D97">
        <w:rPr>
          <w:rFonts w:ascii="Times New Roman" w:eastAsia="Times New Roman" w:hAnsi="Times New Roman" w:cs="Times New Roman"/>
          <w:noProof/>
          <w:sz w:val="24"/>
          <w:szCs w:val="24"/>
          <w:lang w:val="en-IE" w:eastAsia="en-GB"/>
        </w:rPr>
        <w:t>eport outlines relevant ongoing initiatives and work that are closely related but that are, for example, coordinated by Commission services outside the public health</w:t>
      </w:r>
      <w:r w:rsidR="006B5917">
        <w:rPr>
          <w:rFonts w:ascii="Times New Roman" w:eastAsia="Times New Roman" w:hAnsi="Times New Roman" w:cs="Times New Roman"/>
          <w:noProof/>
          <w:sz w:val="24"/>
          <w:szCs w:val="24"/>
          <w:lang w:val="en-IE" w:eastAsia="en-GB"/>
        </w:rPr>
        <w:t xml:space="preserve"> policy</w:t>
      </w:r>
      <w:r w:rsidRPr="00E03D97">
        <w:rPr>
          <w:rFonts w:ascii="Times New Roman" w:eastAsia="Times New Roman" w:hAnsi="Times New Roman" w:cs="Times New Roman"/>
          <w:noProof/>
          <w:sz w:val="24"/>
          <w:szCs w:val="24"/>
          <w:lang w:val="en-IE" w:eastAsia="en-GB"/>
        </w:rPr>
        <w:t xml:space="preserve"> area</w:t>
      </w:r>
      <w:r w:rsidR="006B5917">
        <w:rPr>
          <w:rFonts w:ascii="Times New Roman" w:eastAsia="Times New Roman" w:hAnsi="Times New Roman" w:cs="Times New Roman"/>
          <w:noProof/>
          <w:sz w:val="24"/>
          <w:szCs w:val="24"/>
          <w:lang w:val="en-IE" w:eastAsia="en-GB"/>
        </w:rPr>
        <w:t>.</w:t>
      </w:r>
      <w:r w:rsidR="00750E41">
        <w:rPr>
          <w:rFonts w:ascii="Times New Roman" w:eastAsia="Times New Roman" w:hAnsi="Times New Roman" w:cs="Times New Roman"/>
          <w:noProof/>
          <w:sz w:val="24"/>
          <w:szCs w:val="24"/>
          <w:lang w:val="en-IE" w:eastAsia="en-GB"/>
        </w:rPr>
        <w:t xml:space="preserve"> </w:t>
      </w:r>
      <w:r w:rsidRPr="00E03D97">
        <w:rPr>
          <w:rFonts w:ascii="Times New Roman" w:eastAsia="Times New Roman" w:hAnsi="Times New Roman" w:cs="Times New Roman"/>
          <w:noProof/>
          <w:sz w:val="24"/>
          <w:szCs w:val="24"/>
          <w:lang w:val="en-IE" w:eastAsia="en-GB"/>
        </w:rPr>
        <w:t xml:space="preserve">By showing these interlinkages, the </w:t>
      </w:r>
      <w:r w:rsidR="00930A6E">
        <w:rPr>
          <w:rFonts w:ascii="Times New Roman" w:eastAsia="Times New Roman" w:hAnsi="Times New Roman" w:cs="Times New Roman"/>
          <w:noProof/>
          <w:sz w:val="24"/>
          <w:szCs w:val="24"/>
          <w:lang w:val="en-IE" w:eastAsia="en-GB"/>
        </w:rPr>
        <w:t>report</w:t>
      </w:r>
      <w:r w:rsidR="00930A6E" w:rsidRPr="00E03D97">
        <w:rPr>
          <w:rFonts w:ascii="Times New Roman" w:eastAsia="Times New Roman" w:hAnsi="Times New Roman" w:cs="Times New Roman"/>
          <w:noProof/>
          <w:sz w:val="24"/>
          <w:szCs w:val="24"/>
          <w:lang w:val="en-IE" w:eastAsia="en-GB"/>
        </w:rPr>
        <w:t xml:space="preserve"> </w:t>
      </w:r>
      <w:r w:rsidRPr="00E03D97">
        <w:rPr>
          <w:rFonts w:ascii="Times New Roman" w:eastAsia="Times New Roman" w:hAnsi="Times New Roman" w:cs="Times New Roman"/>
          <w:noProof/>
          <w:sz w:val="24"/>
          <w:szCs w:val="24"/>
          <w:lang w:val="en-IE" w:eastAsia="en-GB"/>
        </w:rPr>
        <w:t xml:space="preserve">takes stock of EU efforts in the area of stronger health security, emphasising the importance of taking a </w:t>
      </w:r>
      <w:r w:rsidR="00930A6E">
        <w:rPr>
          <w:rFonts w:ascii="Times New Roman" w:eastAsia="Times New Roman" w:hAnsi="Times New Roman" w:cs="Times New Roman"/>
          <w:noProof/>
          <w:sz w:val="24"/>
          <w:szCs w:val="24"/>
          <w:lang w:val="en-IE" w:eastAsia="en-GB"/>
        </w:rPr>
        <w:t>‘</w:t>
      </w:r>
      <w:r w:rsidRPr="00E03D97">
        <w:rPr>
          <w:rFonts w:ascii="Times New Roman" w:eastAsia="Times New Roman" w:hAnsi="Times New Roman" w:cs="Times New Roman"/>
          <w:noProof/>
          <w:sz w:val="24"/>
          <w:szCs w:val="24"/>
          <w:lang w:val="en-IE" w:eastAsia="en-GB"/>
        </w:rPr>
        <w:t>One Health</w:t>
      </w:r>
      <w:r w:rsidR="00930A6E">
        <w:rPr>
          <w:rFonts w:ascii="Times New Roman" w:eastAsia="Times New Roman" w:hAnsi="Times New Roman" w:cs="Times New Roman"/>
          <w:noProof/>
          <w:sz w:val="24"/>
          <w:szCs w:val="24"/>
          <w:lang w:val="en-IE" w:eastAsia="en-GB"/>
        </w:rPr>
        <w:t>’</w:t>
      </w:r>
      <w:r w:rsidRPr="00E03D97">
        <w:rPr>
          <w:rFonts w:ascii="Times New Roman" w:eastAsia="Times New Roman" w:hAnsi="Times New Roman" w:cs="Times New Roman"/>
          <w:noProof/>
          <w:sz w:val="24"/>
          <w:szCs w:val="24"/>
          <w:lang w:val="en-IE" w:eastAsia="en-GB"/>
        </w:rPr>
        <w:t xml:space="preserve"> approach</w:t>
      </w:r>
      <w:r w:rsidR="005B4CF9">
        <w:rPr>
          <w:rStyle w:val="FootnoteReference"/>
          <w:rFonts w:ascii="Times New Roman" w:eastAsia="Times New Roman" w:hAnsi="Times New Roman" w:cs="Times New Roman"/>
          <w:noProof/>
          <w:sz w:val="24"/>
          <w:szCs w:val="24"/>
          <w:lang w:eastAsia="en-GB"/>
        </w:rPr>
        <w:footnoteReference w:id="6"/>
      </w:r>
      <w:r w:rsidRPr="00E03D97">
        <w:rPr>
          <w:rFonts w:ascii="Times New Roman" w:eastAsia="Times New Roman" w:hAnsi="Times New Roman" w:cs="Times New Roman"/>
          <w:noProof/>
          <w:sz w:val="24"/>
          <w:szCs w:val="24"/>
          <w:lang w:val="en-IE" w:eastAsia="en-GB"/>
        </w:rPr>
        <w:t xml:space="preserve">. </w:t>
      </w:r>
      <w:r w:rsidR="00F935BF">
        <w:rPr>
          <w:rFonts w:ascii="Times New Roman" w:eastAsia="Times New Roman" w:hAnsi="Times New Roman" w:cs="Times New Roman"/>
          <w:noProof/>
          <w:sz w:val="24"/>
          <w:szCs w:val="24"/>
          <w:lang w:val="en-IE" w:eastAsia="en-GB"/>
        </w:rPr>
        <w:t xml:space="preserve">The value of the ‘One Health’ </w:t>
      </w:r>
      <w:r w:rsidRPr="00E03D97">
        <w:rPr>
          <w:rFonts w:ascii="Times New Roman" w:eastAsia="Times New Roman" w:hAnsi="Times New Roman" w:cs="Times New Roman"/>
          <w:noProof/>
          <w:sz w:val="24"/>
          <w:szCs w:val="24"/>
          <w:lang w:val="en-IE" w:eastAsia="en-GB"/>
        </w:rPr>
        <w:t xml:space="preserve">approach is recognised by the EU and by many governments, organisations and global industries due to </w:t>
      </w:r>
      <w:r w:rsidR="00930A6E">
        <w:rPr>
          <w:rFonts w:ascii="Times New Roman" w:eastAsia="Times New Roman" w:hAnsi="Times New Roman" w:cs="Times New Roman"/>
          <w:noProof/>
          <w:sz w:val="24"/>
          <w:szCs w:val="24"/>
          <w:lang w:val="en-IE" w:eastAsia="en-GB"/>
        </w:rPr>
        <w:t>its</w:t>
      </w:r>
      <w:r w:rsidR="00930A6E" w:rsidRPr="00E03D97">
        <w:rPr>
          <w:rFonts w:ascii="Times New Roman" w:eastAsia="Times New Roman" w:hAnsi="Times New Roman" w:cs="Times New Roman"/>
          <w:noProof/>
          <w:sz w:val="24"/>
          <w:szCs w:val="24"/>
          <w:lang w:val="en-IE" w:eastAsia="en-GB"/>
        </w:rPr>
        <w:t xml:space="preserve"> </w:t>
      </w:r>
      <w:r w:rsidRPr="00E03D97">
        <w:rPr>
          <w:rFonts w:ascii="Times New Roman" w:eastAsia="Times New Roman" w:hAnsi="Times New Roman" w:cs="Times New Roman"/>
          <w:noProof/>
          <w:sz w:val="24"/>
          <w:szCs w:val="24"/>
          <w:lang w:val="en-IE" w:eastAsia="en-GB"/>
        </w:rPr>
        <w:t>critical impact on overall prevention, preparedness and risk assessment processes.</w:t>
      </w:r>
    </w:p>
    <w:p w14:paraId="5C54852A" w14:textId="1634DE8E" w:rsidR="00BB0DE4" w:rsidRDefault="00BB0DE4" w:rsidP="001F1738">
      <w:pPr>
        <w:spacing w:before="100" w:beforeAutospacing="1" w:after="100" w:afterAutospacing="1" w:line="240" w:lineRule="auto"/>
        <w:jc w:val="both"/>
        <w:rPr>
          <w:rFonts w:ascii="Times New Roman" w:eastAsia="Times New Roman" w:hAnsi="Times New Roman" w:cs="Times New Roman"/>
          <w:noProof/>
          <w:sz w:val="24"/>
          <w:szCs w:val="24"/>
          <w:lang w:val="en-IE" w:eastAsia="en-GB"/>
        </w:rPr>
      </w:pPr>
    </w:p>
    <w:p w14:paraId="054ABB5E" w14:textId="77777777" w:rsidR="00031422" w:rsidRPr="00E03D97" w:rsidRDefault="00031422" w:rsidP="001F1738">
      <w:pPr>
        <w:spacing w:before="100" w:beforeAutospacing="1" w:after="100" w:afterAutospacing="1" w:line="240" w:lineRule="auto"/>
        <w:jc w:val="both"/>
        <w:rPr>
          <w:rFonts w:ascii="Times New Roman" w:eastAsia="Times New Roman" w:hAnsi="Times New Roman" w:cs="Times New Roman"/>
          <w:noProof/>
          <w:sz w:val="24"/>
          <w:szCs w:val="24"/>
          <w:lang w:val="en-IE" w:eastAsia="en-GB"/>
        </w:rPr>
      </w:pPr>
    </w:p>
    <w:p w14:paraId="13517746" w14:textId="77777777"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2. PREVENTION </w:t>
      </w:r>
      <w:bookmarkStart w:id="2" w:name="_Toc145428513"/>
    </w:p>
    <w:p w14:paraId="37597B31" w14:textId="44FA6307" w:rsidR="001F1738" w:rsidRPr="00E03D97" w:rsidRDefault="001F1738" w:rsidP="001F1738">
      <w:pPr>
        <w:spacing w:before="100" w:beforeAutospacing="1" w:after="100" w:afterAutospacing="1" w:line="240" w:lineRule="auto"/>
        <w:jc w:val="both"/>
        <w:rPr>
          <w:rFonts w:eastAsia="Times New Roman"/>
          <w:noProof/>
          <w:sz w:val="20"/>
          <w:szCs w:val="20"/>
          <w:lang w:val="en-IE"/>
        </w:rPr>
      </w:pPr>
      <w:r w:rsidRPr="00E03D97">
        <w:rPr>
          <w:rFonts w:ascii="Times New Roman" w:eastAsia="Times New Roman" w:hAnsi="Times New Roman" w:cs="Times New Roman"/>
          <w:noProof/>
          <w:sz w:val="24"/>
          <w:szCs w:val="24"/>
          <w:lang w:val="en-IE"/>
        </w:rPr>
        <w:t xml:space="preserve">Prevention is one of the essential steps in the crisis management cycle, comprising all activities that aim to minimise the burden of health threats and </w:t>
      </w:r>
      <w:r w:rsidR="005B40A9">
        <w:rPr>
          <w:rFonts w:ascii="Times New Roman" w:eastAsia="Times New Roman" w:hAnsi="Times New Roman" w:cs="Times New Roman"/>
          <w:noProof/>
          <w:sz w:val="24"/>
          <w:szCs w:val="24"/>
          <w:lang w:val="en-IE"/>
        </w:rPr>
        <w:t xml:space="preserve">mitigate </w:t>
      </w:r>
      <w:r w:rsidRPr="00E03D97">
        <w:rPr>
          <w:rFonts w:ascii="Times New Roman" w:eastAsia="Times New Roman" w:hAnsi="Times New Roman" w:cs="Times New Roman"/>
          <w:noProof/>
          <w:sz w:val="24"/>
          <w:szCs w:val="24"/>
          <w:lang w:val="en-IE"/>
        </w:rPr>
        <w:t>their associated risk factors. Regulation</w:t>
      </w:r>
      <w:r w:rsidR="00771AFF">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(EU)</w:t>
      </w:r>
      <w:r w:rsidR="00771AFF">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 xml:space="preserve">2022/2371 firmly codified the notion of prevention in addition to preparedness and response, thus </w:t>
      </w:r>
      <w:r w:rsidR="00A02810">
        <w:rPr>
          <w:rFonts w:ascii="Times New Roman" w:eastAsia="Times New Roman" w:hAnsi="Times New Roman" w:cs="Times New Roman"/>
          <w:noProof/>
          <w:sz w:val="24"/>
          <w:szCs w:val="24"/>
          <w:lang w:val="en-IE"/>
        </w:rPr>
        <w:t>providing</w:t>
      </w:r>
      <w:r w:rsidR="00A02810"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a strong legal basis for strengthening work in this area. Regulation</w:t>
      </w:r>
      <w:r w:rsidR="00771AFF">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(EU)</w:t>
      </w:r>
      <w:r w:rsidR="00771AFF">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 xml:space="preserve">2022/2371 </w:t>
      </w:r>
      <w:r w:rsidR="00771AFF">
        <w:rPr>
          <w:rFonts w:ascii="Times New Roman" w:eastAsia="Times New Roman" w:hAnsi="Times New Roman" w:cs="Times New Roman"/>
          <w:noProof/>
          <w:sz w:val="24"/>
          <w:szCs w:val="24"/>
          <w:lang w:val="en-IE"/>
        </w:rPr>
        <w:t xml:space="preserve">covers </w:t>
      </w:r>
      <w:r w:rsidR="00A02810">
        <w:rPr>
          <w:rFonts w:ascii="Times New Roman" w:eastAsia="Times New Roman" w:hAnsi="Times New Roman" w:cs="Times New Roman"/>
          <w:noProof/>
          <w:sz w:val="24"/>
          <w:szCs w:val="24"/>
          <w:lang w:val="en-IE"/>
        </w:rPr>
        <w:t xml:space="preserve">a wide scope of </w:t>
      </w:r>
      <w:r w:rsidR="00785B9C">
        <w:rPr>
          <w:rFonts w:ascii="Times New Roman" w:eastAsia="Times New Roman" w:hAnsi="Times New Roman" w:cs="Times New Roman"/>
          <w:noProof/>
          <w:sz w:val="24"/>
          <w:szCs w:val="24"/>
          <w:lang w:val="en-IE"/>
        </w:rPr>
        <w:t xml:space="preserve">serious </w:t>
      </w:r>
      <w:r w:rsidR="00A02810">
        <w:rPr>
          <w:rFonts w:ascii="Times New Roman" w:eastAsia="Times New Roman" w:hAnsi="Times New Roman" w:cs="Times New Roman"/>
          <w:noProof/>
          <w:sz w:val="24"/>
          <w:szCs w:val="24"/>
          <w:lang w:val="en-IE"/>
        </w:rPr>
        <w:t>cross-border</w:t>
      </w:r>
      <w:r w:rsidRPr="00E03D97">
        <w:rPr>
          <w:rFonts w:ascii="Times New Roman" w:eastAsia="Times New Roman" w:hAnsi="Times New Roman" w:cs="Times New Roman"/>
          <w:noProof/>
          <w:sz w:val="24"/>
          <w:szCs w:val="24"/>
          <w:lang w:val="en-IE"/>
        </w:rPr>
        <w:t xml:space="preserve"> public health threats</w:t>
      </w:r>
      <w:r w:rsidR="00A02810">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from communicable diseases to chemical and environmental threats</w:t>
      </w:r>
      <w:r w:rsidR="00A02810">
        <w:rPr>
          <w:rFonts w:ascii="Times New Roman" w:eastAsia="Times New Roman" w:hAnsi="Times New Roman" w:cs="Times New Roman"/>
          <w:noProof/>
          <w:sz w:val="24"/>
          <w:szCs w:val="24"/>
          <w:lang w:val="en-IE"/>
        </w:rPr>
        <w:t xml:space="preserve"> </w:t>
      </w:r>
      <w:r w:rsidR="00A02810" w:rsidRPr="00A02810">
        <w:rPr>
          <w:rFonts w:ascii="Times New Roman" w:eastAsia="Times New Roman" w:hAnsi="Times New Roman" w:cs="Times New Roman"/>
          <w:noProof/>
          <w:sz w:val="24"/>
          <w:szCs w:val="24"/>
        </w:rPr>
        <w:t>and threats of an unknown origin</w:t>
      </w:r>
      <w:r w:rsidR="00A02810" w:rsidRPr="00A02810">
        <w:rPr>
          <w:rFonts w:ascii="Times New Roman" w:eastAsia="Times New Roman" w:hAnsi="Times New Roman" w:cs="Times New Roman"/>
          <w:noProof/>
          <w:sz w:val="24"/>
          <w:szCs w:val="24"/>
          <w:vertAlign w:val="superscript"/>
          <w:lang w:val="en-IE"/>
        </w:rPr>
        <w:footnoteReference w:id="7"/>
      </w:r>
      <w:r w:rsidRPr="00E03D97">
        <w:rPr>
          <w:rFonts w:ascii="Times New Roman" w:eastAsia="Times New Roman" w:hAnsi="Times New Roman" w:cs="Times New Roman"/>
          <w:noProof/>
          <w:sz w:val="24"/>
          <w:szCs w:val="24"/>
          <w:lang w:val="en-IE"/>
        </w:rPr>
        <w:t xml:space="preserve">, thus creating an overarching and flexible framework for </w:t>
      </w:r>
      <w:r w:rsidR="00A02810">
        <w:rPr>
          <w:rFonts w:ascii="Times New Roman" w:eastAsia="Times New Roman" w:hAnsi="Times New Roman" w:cs="Times New Roman"/>
          <w:noProof/>
          <w:sz w:val="24"/>
          <w:szCs w:val="24"/>
          <w:lang w:val="en-IE"/>
        </w:rPr>
        <w:t>preparedness and response</w:t>
      </w:r>
      <w:r w:rsidRPr="00E03D97">
        <w:rPr>
          <w:rFonts w:ascii="Times New Roman" w:eastAsia="Times New Roman" w:hAnsi="Times New Roman" w:cs="Times New Roman"/>
          <w:noProof/>
          <w:sz w:val="24"/>
          <w:szCs w:val="24"/>
          <w:lang w:val="en-IE"/>
        </w:rPr>
        <w:t xml:space="preserve">. </w:t>
      </w:r>
      <w:r w:rsidR="007C75FF">
        <w:rPr>
          <w:rFonts w:ascii="Times New Roman" w:eastAsia="Times New Roman" w:hAnsi="Times New Roman" w:cs="Times New Roman"/>
          <w:noProof/>
          <w:sz w:val="24"/>
          <w:szCs w:val="24"/>
          <w:lang w:val="en-IE"/>
        </w:rPr>
        <w:t> </w:t>
      </w:r>
      <w:bookmarkEnd w:id="2"/>
    </w:p>
    <w:p w14:paraId="7ED7DA91" w14:textId="58E5BBF9" w:rsidR="001F1738" w:rsidRPr="00E03D97" w:rsidRDefault="001F1738" w:rsidP="001F1738">
      <w:pPr>
        <w:keepNext/>
        <w:keepLines/>
        <w:spacing w:before="100" w:beforeAutospacing="1" w:after="100" w:afterAutospacing="1" w:line="240" w:lineRule="auto"/>
        <w:jc w:val="both"/>
        <w:outlineLvl w:val="2"/>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 xml:space="preserve">Vaccination as </w:t>
      </w:r>
      <w:r w:rsidR="007C75FF">
        <w:rPr>
          <w:rFonts w:ascii="Times New Roman" w:eastAsia="Times New Roman" w:hAnsi="Times New Roman" w:cs="Times New Roman"/>
          <w:b/>
          <w:bCs/>
          <w:noProof/>
          <w:sz w:val="24"/>
          <w:szCs w:val="24"/>
          <w:lang w:val="en-IE"/>
        </w:rPr>
        <w:t xml:space="preserve">a </w:t>
      </w:r>
      <w:r w:rsidRPr="00E03D97">
        <w:rPr>
          <w:rFonts w:ascii="Times New Roman" w:eastAsia="Times New Roman" w:hAnsi="Times New Roman" w:cs="Times New Roman"/>
          <w:b/>
          <w:bCs/>
          <w:noProof/>
          <w:sz w:val="24"/>
          <w:szCs w:val="24"/>
          <w:lang w:val="en-IE"/>
        </w:rPr>
        <w:t>key prevention measure</w:t>
      </w:r>
    </w:p>
    <w:p w14:paraId="39E8EFBA" w14:textId="2EC1CA16" w:rsidR="001F1738" w:rsidRPr="00E03D97" w:rsidRDefault="00F82520"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V</w:t>
      </w:r>
      <w:r w:rsidRPr="00E03D97">
        <w:rPr>
          <w:rFonts w:ascii="Times New Roman" w:eastAsia="Times New Roman" w:hAnsi="Times New Roman" w:cs="Times New Roman"/>
          <w:noProof/>
          <w:sz w:val="24"/>
          <w:szCs w:val="24"/>
          <w:lang w:val="en-IE"/>
        </w:rPr>
        <w:t xml:space="preserve">accination </w:t>
      </w:r>
      <w:r>
        <w:rPr>
          <w:rFonts w:ascii="Times New Roman" w:eastAsia="Times New Roman" w:hAnsi="Times New Roman" w:cs="Times New Roman"/>
          <w:noProof/>
          <w:sz w:val="24"/>
          <w:szCs w:val="24"/>
          <w:lang w:val="en-IE"/>
        </w:rPr>
        <w:t>is k</w:t>
      </w:r>
      <w:r w:rsidR="0032059A" w:rsidRPr="00E03D97">
        <w:rPr>
          <w:rFonts w:ascii="Times New Roman" w:eastAsia="Times New Roman" w:hAnsi="Times New Roman" w:cs="Times New Roman"/>
          <w:noProof/>
          <w:sz w:val="24"/>
          <w:szCs w:val="24"/>
          <w:lang w:val="en-IE"/>
        </w:rPr>
        <w:t>ey</w:t>
      </w:r>
      <w:r w:rsidR="001F1738" w:rsidRPr="00E03D97">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 xml:space="preserve">to </w:t>
      </w:r>
      <w:r w:rsidR="001F1738" w:rsidRPr="00E03D97">
        <w:rPr>
          <w:rFonts w:ascii="Times New Roman" w:eastAsia="Times New Roman" w:hAnsi="Times New Roman" w:cs="Times New Roman"/>
          <w:noProof/>
          <w:sz w:val="24"/>
          <w:szCs w:val="24"/>
          <w:lang w:val="en-IE"/>
        </w:rPr>
        <w:t xml:space="preserve">preventing the spread of </w:t>
      </w:r>
      <w:r w:rsidR="00323831" w:rsidRPr="00E03D97">
        <w:rPr>
          <w:rFonts w:ascii="Times New Roman" w:eastAsia="Times New Roman" w:hAnsi="Times New Roman" w:cs="Times New Roman"/>
          <w:noProof/>
          <w:sz w:val="24"/>
          <w:szCs w:val="24"/>
          <w:lang w:val="en-IE"/>
        </w:rPr>
        <w:t>infectious</w:t>
      </w:r>
      <w:r w:rsidR="001F1738" w:rsidRPr="00E03D97">
        <w:rPr>
          <w:rFonts w:ascii="Times New Roman" w:eastAsia="Times New Roman" w:hAnsi="Times New Roman" w:cs="Times New Roman"/>
          <w:noProof/>
          <w:sz w:val="24"/>
          <w:szCs w:val="24"/>
          <w:lang w:val="en-IE"/>
        </w:rPr>
        <w:t xml:space="preserve"> diseases. As shown during the COVID-19 pandemic, the</w:t>
      </w:r>
      <w:r w:rsidR="00750E41">
        <w:rPr>
          <w:rFonts w:ascii="Times New Roman" w:eastAsia="Times New Roman" w:hAnsi="Times New Roman" w:cs="Times New Roman"/>
          <w:noProof/>
          <w:sz w:val="24"/>
          <w:szCs w:val="24"/>
          <w:lang w:val="en-IE"/>
        </w:rPr>
        <w:t xml:space="preserve"> </w:t>
      </w:r>
      <w:r w:rsidR="00750E41" w:rsidRPr="00750E41">
        <w:rPr>
          <w:rFonts w:ascii="Times New Roman" w:eastAsia="Times New Roman" w:hAnsi="Times New Roman" w:cs="Times New Roman"/>
          <w:noProof/>
          <w:sz w:val="24"/>
          <w:szCs w:val="24"/>
          <w:lang w:val="en-IE"/>
        </w:rPr>
        <w:t>EU Vaccines Strategy</w:t>
      </w:r>
      <w:r w:rsidR="00750E41" w:rsidRPr="00750E41">
        <w:rPr>
          <w:rFonts w:ascii="Times New Roman" w:eastAsia="Times New Roman" w:hAnsi="Times New Roman" w:cs="Times New Roman"/>
          <w:noProof/>
          <w:sz w:val="24"/>
          <w:szCs w:val="24"/>
          <w:vertAlign w:val="superscript"/>
          <w:lang w:val="en-IE"/>
        </w:rPr>
        <w:footnoteReference w:id="8"/>
      </w:r>
      <w:r w:rsidR="00750E41" w:rsidRPr="00750E41">
        <w:rPr>
          <w:rFonts w:ascii="Times New Roman" w:eastAsia="Times New Roman" w:hAnsi="Times New Roman" w:cs="Times New Roman"/>
          <w:noProof/>
          <w:sz w:val="24"/>
          <w:szCs w:val="24"/>
          <w:lang w:val="en-IE"/>
        </w:rPr>
        <w:t xml:space="preserve"> ensuring support to the</w:t>
      </w:r>
      <w:r w:rsidR="001F1738" w:rsidRPr="00E03D97">
        <w:rPr>
          <w:rFonts w:ascii="Times New Roman" w:eastAsia="Times New Roman" w:hAnsi="Times New Roman" w:cs="Times New Roman"/>
          <w:noProof/>
          <w:sz w:val="24"/>
          <w:szCs w:val="24"/>
          <w:lang w:val="en-IE"/>
        </w:rPr>
        <w:t xml:space="preserve"> development of vaccines</w:t>
      </w:r>
      <w:r w:rsidR="00750E41">
        <w:rPr>
          <w:rFonts w:ascii="Times New Roman" w:eastAsia="Times New Roman" w:hAnsi="Times New Roman" w:cs="Times New Roman"/>
          <w:noProof/>
          <w:sz w:val="24"/>
          <w:szCs w:val="24"/>
          <w:lang w:val="en-IE"/>
        </w:rPr>
        <w:t xml:space="preserve"> </w:t>
      </w:r>
      <w:r w:rsidR="00750E41" w:rsidRPr="00750E41">
        <w:rPr>
          <w:rFonts w:ascii="Times New Roman" w:eastAsia="Times New Roman" w:hAnsi="Times New Roman" w:cs="Times New Roman"/>
          <w:noProof/>
          <w:sz w:val="24"/>
          <w:szCs w:val="24"/>
          <w:lang w:val="en-IE"/>
        </w:rPr>
        <w:t>and their availability to all Member States</w:t>
      </w:r>
      <w:r w:rsidR="001F1738" w:rsidRPr="00E03D97">
        <w:rPr>
          <w:rFonts w:ascii="Times New Roman" w:eastAsia="Times New Roman" w:hAnsi="Times New Roman" w:cs="Times New Roman"/>
          <w:noProof/>
          <w:sz w:val="24"/>
          <w:szCs w:val="24"/>
          <w:lang w:val="en-IE"/>
        </w:rPr>
        <w:t xml:space="preserve"> and the national vaccination campaigns were able to substantially alter the course of events, saving tens of millions of lives globally (an estimated 20 million lives were saved</w:t>
      </w:r>
      <w:r w:rsidRPr="00F82520">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in the first year alone</w:t>
      </w:r>
      <w:r>
        <w:rPr>
          <w:rFonts w:ascii="Times New Roman" w:eastAsia="Times New Roman" w:hAnsi="Times New Roman" w:cs="Times New Roman"/>
          <w:noProof/>
          <w:sz w:val="24"/>
          <w:szCs w:val="24"/>
          <w:vertAlign w:val="superscript"/>
          <w:lang w:val="en-IE"/>
        </w:rPr>
        <w:t> </w:t>
      </w:r>
      <w:r w:rsidR="001F1738" w:rsidRPr="00E03D97">
        <w:rPr>
          <w:rFonts w:ascii="Times New Roman" w:eastAsia="Times New Roman" w:hAnsi="Times New Roman" w:cs="Times New Roman"/>
          <w:noProof/>
          <w:sz w:val="24"/>
          <w:szCs w:val="24"/>
          <w:vertAlign w:val="superscript"/>
          <w:lang w:val="en-IE"/>
        </w:rPr>
        <w:footnoteReference w:id="9"/>
      </w:r>
      <w:r w:rsidR="001F1738" w:rsidRPr="00E03D97">
        <w:rPr>
          <w:rFonts w:ascii="Times New Roman" w:eastAsia="Times New Roman" w:hAnsi="Times New Roman" w:cs="Times New Roman"/>
          <w:noProof/>
          <w:sz w:val="24"/>
          <w:szCs w:val="24"/>
          <w:lang w:val="en-IE"/>
        </w:rPr>
        <w:t xml:space="preserve">). COVID-19 is no longer considered a </w:t>
      </w:r>
      <w:r>
        <w:rPr>
          <w:rFonts w:ascii="Times New Roman" w:eastAsia="Times New Roman" w:hAnsi="Times New Roman" w:cs="Times New Roman"/>
          <w:noProof/>
          <w:sz w:val="24"/>
          <w:szCs w:val="24"/>
          <w:lang w:val="en-IE"/>
        </w:rPr>
        <w:t>p</w:t>
      </w:r>
      <w:r w:rsidR="001F1738" w:rsidRPr="00E03D97">
        <w:rPr>
          <w:rFonts w:ascii="Times New Roman" w:eastAsia="Times New Roman" w:hAnsi="Times New Roman" w:cs="Times New Roman"/>
          <w:noProof/>
          <w:sz w:val="24"/>
          <w:szCs w:val="24"/>
          <w:lang w:val="en-IE"/>
        </w:rPr>
        <w:t xml:space="preserve">ublic </w:t>
      </w:r>
      <w:r>
        <w:rPr>
          <w:rFonts w:ascii="Times New Roman" w:eastAsia="Times New Roman" w:hAnsi="Times New Roman" w:cs="Times New Roman"/>
          <w:noProof/>
          <w:sz w:val="24"/>
          <w:szCs w:val="24"/>
          <w:lang w:val="en-IE"/>
        </w:rPr>
        <w:t>h</w:t>
      </w:r>
      <w:r w:rsidR="001F1738" w:rsidRPr="00E03D97">
        <w:rPr>
          <w:rFonts w:ascii="Times New Roman" w:eastAsia="Times New Roman" w:hAnsi="Times New Roman" w:cs="Times New Roman"/>
          <w:noProof/>
          <w:sz w:val="24"/>
          <w:szCs w:val="24"/>
          <w:lang w:val="en-IE"/>
        </w:rPr>
        <w:t xml:space="preserve">ealth </w:t>
      </w:r>
      <w:r>
        <w:rPr>
          <w:rFonts w:ascii="Times New Roman" w:eastAsia="Times New Roman" w:hAnsi="Times New Roman" w:cs="Times New Roman"/>
          <w:noProof/>
          <w:sz w:val="24"/>
          <w:szCs w:val="24"/>
          <w:lang w:val="en-IE"/>
        </w:rPr>
        <w:t>e</w:t>
      </w:r>
      <w:r w:rsidR="001F1738" w:rsidRPr="00E03D97">
        <w:rPr>
          <w:rFonts w:ascii="Times New Roman" w:eastAsia="Times New Roman" w:hAnsi="Times New Roman" w:cs="Times New Roman"/>
          <w:noProof/>
          <w:sz w:val="24"/>
          <w:szCs w:val="24"/>
          <w:lang w:val="en-IE"/>
        </w:rPr>
        <w:t xml:space="preserve">mergency of </w:t>
      </w:r>
      <w:r>
        <w:rPr>
          <w:rFonts w:ascii="Times New Roman" w:eastAsia="Times New Roman" w:hAnsi="Times New Roman" w:cs="Times New Roman"/>
          <w:noProof/>
          <w:sz w:val="24"/>
          <w:szCs w:val="24"/>
          <w:lang w:val="en-IE"/>
        </w:rPr>
        <w:t>i</w:t>
      </w:r>
      <w:r w:rsidR="001F1738" w:rsidRPr="00E03D97">
        <w:rPr>
          <w:rFonts w:ascii="Times New Roman" w:eastAsia="Times New Roman" w:hAnsi="Times New Roman" w:cs="Times New Roman"/>
          <w:noProof/>
          <w:sz w:val="24"/>
          <w:szCs w:val="24"/>
          <w:lang w:val="en-IE"/>
        </w:rPr>
        <w:t xml:space="preserve">nternational </w:t>
      </w:r>
      <w:r>
        <w:rPr>
          <w:rFonts w:ascii="Times New Roman" w:eastAsia="Times New Roman" w:hAnsi="Times New Roman" w:cs="Times New Roman"/>
          <w:noProof/>
          <w:sz w:val="24"/>
          <w:szCs w:val="24"/>
          <w:lang w:val="en-IE"/>
        </w:rPr>
        <w:t>c</w:t>
      </w:r>
      <w:r w:rsidR="001F1738" w:rsidRPr="00E03D97">
        <w:rPr>
          <w:rFonts w:ascii="Times New Roman" w:eastAsia="Times New Roman" w:hAnsi="Times New Roman" w:cs="Times New Roman"/>
          <w:noProof/>
          <w:sz w:val="24"/>
          <w:szCs w:val="24"/>
          <w:lang w:val="en-IE"/>
        </w:rPr>
        <w:t>oncern</w:t>
      </w:r>
      <w:r w:rsidR="001F1738" w:rsidRPr="00E03D97">
        <w:rPr>
          <w:rFonts w:ascii="Times New Roman" w:eastAsia="Times New Roman" w:hAnsi="Times New Roman" w:cs="Times New Roman"/>
          <w:noProof/>
          <w:sz w:val="24"/>
          <w:szCs w:val="24"/>
          <w:vertAlign w:val="superscript"/>
          <w:lang w:val="en-IE"/>
        </w:rPr>
        <w:footnoteReference w:id="10"/>
      </w:r>
      <w:r w:rsidR="001F1738" w:rsidRPr="00E03D97">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 xml:space="preserve">but the </w:t>
      </w:r>
      <w:r w:rsidR="001F1738" w:rsidRPr="00E03D97">
        <w:rPr>
          <w:rFonts w:ascii="Times New Roman" w:eastAsia="Times New Roman" w:hAnsi="Times New Roman" w:cs="Times New Roman"/>
          <w:noProof/>
          <w:sz w:val="24"/>
          <w:szCs w:val="24"/>
          <w:lang w:val="en-IE"/>
        </w:rPr>
        <w:t xml:space="preserve">ECDC stresses that </w:t>
      </w:r>
      <w:r>
        <w:rPr>
          <w:rFonts w:ascii="Times New Roman" w:eastAsia="Times New Roman" w:hAnsi="Times New Roman" w:cs="Times New Roman"/>
          <w:noProof/>
          <w:sz w:val="24"/>
          <w:szCs w:val="24"/>
          <w:lang w:val="en-IE"/>
        </w:rPr>
        <w:t xml:space="preserve">the </w:t>
      </w:r>
      <w:r w:rsidR="001F1738" w:rsidRPr="00E03D97">
        <w:rPr>
          <w:rFonts w:ascii="Times New Roman" w:eastAsia="Times New Roman" w:hAnsi="Times New Roman" w:cs="Times New Roman"/>
          <w:noProof/>
          <w:sz w:val="24"/>
          <w:szCs w:val="24"/>
          <w:lang w:val="en-IE"/>
        </w:rPr>
        <w:t>continued roll-out of COVID-19 vaccines by countries</w:t>
      </w:r>
      <w:r>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particularly targeting older adults and other medically vulnerable groups</w:t>
      </w:r>
      <w:r>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 xml:space="preserve"> remains essential </w:t>
      </w:r>
      <w:r>
        <w:rPr>
          <w:rFonts w:ascii="Times New Roman" w:eastAsia="Times New Roman" w:hAnsi="Times New Roman" w:cs="Times New Roman"/>
          <w:noProof/>
          <w:sz w:val="24"/>
          <w:szCs w:val="24"/>
          <w:lang w:val="en-IE"/>
        </w:rPr>
        <w:t xml:space="preserve">in order </w:t>
      </w:r>
      <w:r w:rsidR="001F1738" w:rsidRPr="00E03D97">
        <w:rPr>
          <w:rFonts w:ascii="Times New Roman" w:eastAsia="Times New Roman" w:hAnsi="Times New Roman" w:cs="Times New Roman"/>
          <w:noProof/>
          <w:sz w:val="24"/>
          <w:szCs w:val="24"/>
          <w:lang w:val="en-IE"/>
        </w:rPr>
        <w:t xml:space="preserve">to reduce severe disease, </w:t>
      </w:r>
      <w:r w:rsidR="001F1738" w:rsidRPr="00650D45">
        <w:rPr>
          <w:rFonts w:ascii="Times New Roman" w:eastAsia="Times New Roman" w:hAnsi="Times New Roman" w:cs="Times New Roman"/>
          <w:noProof/>
          <w:sz w:val="24"/>
          <w:szCs w:val="24"/>
          <w:lang w:val="en-IE"/>
        </w:rPr>
        <w:t>hospitalisations and deaths from the virus</w:t>
      </w:r>
      <w:r w:rsidR="001F1738" w:rsidRPr="00650D45">
        <w:rPr>
          <w:rFonts w:ascii="Times New Roman" w:eastAsia="Times New Roman" w:hAnsi="Times New Roman" w:cs="Times New Roman"/>
          <w:noProof/>
          <w:sz w:val="24"/>
          <w:szCs w:val="24"/>
          <w:vertAlign w:val="superscript"/>
          <w:lang w:val="en-IE"/>
        </w:rPr>
        <w:footnoteReference w:id="11"/>
      </w:r>
      <w:r w:rsidR="001F1738" w:rsidRPr="00650D45">
        <w:rPr>
          <w:rFonts w:ascii="Times New Roman" w:eastAsia="Times New Roman" w:hAnsi="Times New Roman" w:cs="Times New Roman"/>
          <w:noProof/>
          <w:sz w:val="24"/>
          <w:szCs w:val="24"/>
          <w:lang w:val="en-IE"/>
        </w:rPr>
        <w:t>.</w:t>
      </w:r>
      <w:r w:rsidR="00750E41" w:rsidRPr="00650D45">
        <w:rPr>
          <w:rFonts w:ascii="Times New Roman" w:eastAsia="Times New Roman" w:hAnsi="Times New Roman" w:cs="Times New Roman"/>
          <w:noProof/>
          <w:sz w:val="24"/>
          <w:szCs w:val="24"/>
          <w:lang w:val="en-IE"/>
        </w:rPr>
        <w:t xml:space="preserve"> </w:t>
      </w:r>
      <w:r w:rsidR="0055491B" w:rsidRPr="00650D45">
        <w:rPr>
          <w:rFonts w:ascii="Times New Roman" w:eastAsia="Times New Roman" w:hAnsi="Times New Roman" w:cs="Times New Roman"/>
          <w:noProof/>
          <w:sz w:val="24"/>
          <w:szCs w:val="24"/>
          <w:lang w:val="en-IE"/>
        </w:rPr>
        <w:t xml:space="preserve">The Commission </w:t>
      </w:r>
      <w:r w:rsidR="00750E41" w:rsidRPr="00650D45">
        <w:rPr>
          <w:rFonts w:ascii="Times New Roman" w:eastAsia="Times New Roman" w:hAnsi="Times New Roman" w:cs="Times New Roman"/>
          <w:noProof/>
          <w:sz w:val="24"/>
          <w:szCs w:val="24"/>
          <w:lang w:val="en-IE"/>
        </w:rPr>
        <w:t>is supporting Member States in ensuring continued access to adapted COVID-19 vaccines.</w:t>
      </w:r>
    </w:p>
    <w:p w14:paraId="025FEE48" w14:textId="050D35AE" w:rsidR="00BC7FCB"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The Commission also continues to be active in the field of vaccination policy beyond COVID-19, by supporting the Member States </w:t>
      </w:r>
      <w:r w:rsidR="00630A39">
        <w:rPr>
          <w:rFonts w:ascii="Times New Roman" w:eastAsia="Times New Roman" w:hAnsi="Times New Roman" w:cs="Times New Roman"/>
          <w:noProof/>
          <w:sz w:val="24"/>
          <w:szCs w:val="24"/>
          <w:lang w:val="en-IE"/>
        </w:rPr>
        <w:t xml:space="preserve">in </w:t>
      </w:r>
      <w:r w:rsidRPr="00E03D97">
        <w:rPr>
          <w:rFonts w:ascii="Times New Roman" w:eastAsia="Times New Roman" w:hAnsi="Times New Roman" w:cs="Times New Roman"/>
          <w:noProof/>
          <w:sz w:val="24"/>
          <w:szCs w:val="24"/>
          <w:lang w:val="en-IE"/>
        </w:rPr>
        <w:t>increas</w:t>
      </w:r>
      <w:r w:rsidR="00630A39">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their vaccination coverage. </w:t>
      </w:r>
      <w:r w:rsidRPr="00650D45">
        <w:rPr>
          <w:rFonts w:ascii="Times New Roman" w:eastAsia="Times New Roman" w:hAnsi="Times New Roman" w:cs="Times New Roman"/>
          <w:noProof/>
          <w:sz w:val="24"/>
          <w:szCs w:val="24"/>
          <w:lang w:val="en-IE"/>
        </w:rPr>
        <w:t xml:space="preserve">The </w:t>
      </w:r>
      <w:r w:rsidR="00A2069E" w:rsidRPr="00650D45">
        <w:rPr>
          <w:rFonts w:ascii="Times New Roman" w:eastAsia="Times New Roman" w:hAnsi="Times New Roman" w:cs="Times New Roman"/>
          <w:noProof/>
          <w:sz w:val="24"/>
          <w:szCs w:val="24"/>
          <w:lang w:val="en-IE"/>
        </w:rPr>
        <w:t xml:space="preserve">Commission’s Communication and the </w:t>
      </w:r>
      <w:r w:rsidRPr="00650D45">
        <w:rPr>
          <w:rFonts w:ascii="Times New Roman" w:eastAsia="Times New Roman" w:hAnsi="Times New Roman" w:cs="Times New Roman"/>
          <w:noProof/>
          <w:sz w:val="24"/>
          <w:szCs w:val="24"/>
          <w:lang w:val="en-IE"/>
        </w:rPr>
        <w:t xml:space="preserve">Council Recommendation </w:t>
      </w:r>
      <w:r w:rsidR="00630A39" w:rsidRPr="00650D45">
        <w:rPr>
          <w:rFonts w:ascii="Times New Roman" w:eastAsia="Times New Roman" w:hAnsi="Times New Roman" w:cs="Times New Roman"/>
          <w:noProof/>
          <w:sz w:val="24"/>
          <w:szCs w:val="24"/>
          <w:lang w:val="en-IE"/>
        </w:rPr>
        <w:t xml:space="preserve">of 2018 </w:t>
      </w:r>
      <w:r w:rsidRPr="00650D45">
        <w:rPr>
          <w:rFonts w:ascii="Times New Roman" w:eastAsia="Times New Roman" w:hAnsi="Times New Roman" w:cs="Times New Roman"/>
          <w:noProof/>
          <w:sz w:val="24"/>
          <w:szCs w:val="24"/>
          <w:lang w:val="en-IE"/>
        </w:rPr>
        <w:t>on strengthened cooperation on vaccine-preventable diseases</w:t>
      </w:r>
      <w:r w:rsidR="00EE3209">
        <w:rPr>
          <w:rStyle w:val="FootnoteReference"/>
          <w:rFonts w:ascii="Times New Roman" w:eastAsia="Times New Roman" w:hAnsi="Times New Roman" w:cs="Times New Roman"/>
          <w:noProof/>
          <w:sz w:val="24"/>
          <w:szCs w:val="24"/>
        </w:rPr>
        <w:footnoteReference w:id="12"/>
      </w:r>
      <w:r w:rsidRPr="00650D45">
        <w:rPr>
          <w:rFonts w:ascii="Times New Roman" w:eastAsia="Times New Roman" w:hAnsi="Times New Roman" w:cs="Times New Roman"/>
          <w:noProof/>
          <w:sz w:val="24"/>
          <w:szCs w:val="24"/>
          <w:lang w:val="en-IE"/>
        </w:rPr>
        <w:t xml:space="preserve"> </w:t>
      </w:r>
      <w:r w:rsidR="00A2069E" w:rsidRPr="00650D45">
        <w:rPr>
          <w:rFonts w:ascii="Times New Roman" w:eastAsia="Times New Roman" w:hAnsi="Times New Roman" w:cs="Times New Roman"/>
          <w:noProof/>
          <w:sz w:val="24"/>
          <w:szCs w:val="24"/>
          <w:lang w:val="en-IE"/>
        </w:rPr>
        <w:t>referred to</w:t>
      </w:r>
      <w:r w:rsidRPr="00650D45">
        <w:rPr>
          <w:rFonts w:ascii="Times New Roman" w:eastAsia="Times New Roman" w:hAnsi="Times New Roman" w:cs="Times New Roman"/>
          <w:noProof/>
          <w:sz w:val="24"/>
          <w:szCs w:val="24"/>
          <w:lang w:val="en-IE"/>
        </w:rPr>
        <w:t xml:space="preserve"> a number of priorities in this field</w:t>
      </w:r>
      <w:r w:rsidRPr="00E03D97">
        <w:rPr>
          <w:rFonts w:ascii="Times New Roman" w:eastAsia="Times New Roman" w:hAnsi="Times New Roman" w:cs="Times New Roman"/>
          <w:noProof/>
          <w:sz w:val="24"/>
          <w:szCs w:val="24"/>
          <w:lang w:val="en-IE"/>
        </w:rPr>
        <w:t xml:space="preserve">, which </w:t>
      </w:r>
      <w:r w:rsidR="00B053A1">
        <w:rPr>
          <w:rFonts w:ascii="Times New Roman" w:eastAsia="Times New Roman" w:hAnsi="Times New Roman" w:cs="Times New Roman"/>
          <w:noProof/>
          <w:sz w:val="24"/>
          <w:szCs w:val="24"/>
          <w:lang w:val="en-IE"/>
        </w:rPr>
        <w:t>have been</w:t>
      </w:r>
      <w:r w:rsidR="00B053A1"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implemented by the Commission on the basis of a publicly available roadmap</w:t>
      </w:r>
      <w:r w:rsidRPr="00E03D97">
        <w:rPr>
          <w:rFonts w:ascii="Times New Roman" w:eastAsia="Times New Roman" w:hAnsi="Times New Roman" w:cs="Times New Roman"/>
          <w:noProof/>
          <w:sz w:val="24"/>
          <w:szCs w:val="24"/>
          <w:vertAlign w:val="superscript"/>
          <w:lang w:val="en-IE"/>
        </w:rPr>
        <w:footnoteReference w:id="13"/>
      </w:r>
      <w:r w:rsidRPr="00E03D97">
        <w:rPr>
          <w:rFonts w:ascii="Times New Roman" w:eastAsia="Times New Roman" w:hAnsi="Times New Roman" w:cs="Times New Roman"/>
          <w:noProof/>
          <w:sz w:val="24"/>
          <w:szCs w:val="24"/>
          <w:lang w:val="en-IE"/>
        </w:rPr>
        <w:t xml:space="preserve">. </w:t>
      </w:r>
      <w:r w:rsidR="00755BDD">
        <w:rPr>
          <w:rFonts w:ascii="Times New Roman" w:eastAsia="Times New Roman" w:hAnsi="Times New Roman" w:cs="Times New Roman"/>
          <w:noProof/>
          <w:sz w:val="24"/>
          <w:szCs w:val="24"/>
          <w:lang w:val="en-IE"/>
        </w:rPr>
        <w:t>For example, to</w:t>
      </w:r>
      <w:r w:rsidRPr="00E03D97">
        <w:rPr>
          <w:rFonts w:ascii="Times New Roman" w:eastAsia="Times New Roman" w:hAnsi="Times New Roman" w:cs="Times New Roman"/>
          <w:noProof/>
          <w:sz w:val="24"/>
          <w:szCs w:val="24"/>
          <w:lang w:val="en-IE"/>
        </w:rPr>
        <w:t xml:space="preserve"> counteract vaccine hesitancy in the population, </w:t>
      </w:r>
      <w:r w:rsidR="00630A39">
        <w:rPr>
          <w:rFonts w:ascii="Times New Roman" w:eastAsia="Times New Roman" w:hAnsi="Times New Roman" w:cs="Times New Roman"/>
          <w:noProof/>
          <w:sz w:val="24"/>
          <w:szCs w:val="24"/>
          <w:lang w:val="en-IE"/>
        </w:rPr>
        <w:t xml:space="preserve">which is </w:t>
      </w:r>
      <w:r w:rsidRPr="00E03D97">
        <w:rPr>
          <w:rFonts w:ascii="Times New Roman" w:eastAsia="Times New Roman" w:hAnsi="Times New Roman" w:cs="Times New Roman"/>
          <w:noProof/>
          <w:sz w:val="24"/>
          <w:szCs w:val="24"/>
          <w:lang w:val="en-IE"/>
        </w:rPr>
        <w:t xml:space="preserve">a growing risk to public health, the Commission </w:t>
      </w:r>
      <w:r w:rsidR="00630A39">
        <w:rPr>
          <w:rFonts w:ascii="Times New Roman" w:eastAsia="Times New Roman" w:hAnsi="Times New Roman" w:cs="Times New Roman"/>
          <w:noProof/>
          <w:sz w:val="24"/>
          <w:szCs w:val="24"/>
          <w:lang w:val="en-IE"/>
        </w:rPr>
        <w:t xml:space="preserve">has </w:t>
      </w:r>
      <w:r w:rsidRPr="00E03D97">
        <w:rPr>
          <w:rFonts w:ascii="Times New Roman" w:eastAsia="Times New Roman" w:hAnsi="Times New Roman" w:cs="Times New Roman"/>
          <w:noProof/>
          <w:sz w:val="24"/>
          <w:szCs w:val="24"/>
          <w:lang w:val="en-IE"/>
        </w:rPr>
        <w:t>launched initiatives such as behavioural studies</w:t>
      </w:r>
      <w:r w:rsidRPr="00E03D97">
        <w:rPr>
          <w:rFonts w:ascii="Times New Roman" w:eastAsia="Times New Roman" w:hAnsi="Times New Roman" w:cs="Times New Roman"/>
          <w:noProof/>
          <w:sz w:val="24"/>
          <w:szCs w:val="24"/>
          <w:vertAlign w:val="superscript"/>
          <w:lang w:val="en-IE"/>
        </w:rPr>
        <w:footnoteReference w:id="14"/>
      </w:r>
      <w:r w:rsidRPr="00E03D97">
        <w:rPr>
          <w:rFonts w:ascii="Times New Roman" w:eastAsia="Times New Roman" w:hAnsi="Times New Roman" w:cs="Times New Roman"/>
          <w:noProof/>
          <w:sz w:val="24"/>
          <w:szCs w:val="24"/>
          <w:vertAlign w:val="superscript"/>
          <w:lang w:val="en-IE"/>
        </w:rPr>
        <w:t>,</w:t>
      </w:r>
      <w:r w:rsidRPr="00E03D97">
        <w:rPr>
          <w:rFonts w:ascii="Times New Roman" w:eastAsia="Times New Roman" w:hAnsi="Times New Roman" w:cs="Times New Roman"/>
          <w:noProof/>
          <w:sz w:val="24"/>
          <w:szCs w:val="24"/>
          <w:vertAlign w:val="superscript"/>
          <w:lang w:val="en-IE"/>
        </w:rPr>
        <w:footnoteReference w:id="15"/>
      </w:r>
      <w:r w:rsidR="00BA55D7">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the Coalition for Vaccination</w:t>
      </w:r>
      <w:r w:rsidR="003E707F">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bringing together E</w:t>
      </w:r>
      <w:r w:rsidR="00F935BF">
        <w:rPr>
          <w:rFonts w:ascii="Times New Roman" w:eastAsia="Times New Roman" w:hAnsi="Times New Roman" w:cs="Times New Roman"/>
          <w:noProof/>
          <w:sz w:val="24"/>
          <w:szCs w:val="24"/>
          <w:lang w:val="en-IE"/>
        </w:rPr>
        <w:t>U</w:t>
      </w:r>
      <w:r w:rsidRPr="00E03D97">
        <w:rPr>
          <w:rFonts w:ascii="Times New Roman" w:eastAsia="Times New Roman" w:hAnsi="Times New Roman" w:cs="Times New Roman"/>
          <w:noProof/>
          <w:sz w:val="24"/>
          <w:szCs w:val="24"/>
          <w:lang w:val="en-IE"/>
        </w:rPr>
        <w:t xml:space="preserve"> health professionals’ and students’ associations to advocate for vaccination</w:t>
      </w:r>
      <w:r w:rsidR="00BA55D7">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as well as the European Vaccination Information Portal</w:t>
      </w:r>
      <w:r w:rsidRPr="00E03D97">
        <w:rPr>
          <w:rFonts w:ascii="Times New Roman" w:eastAsia="Times New Roman" w:hAnsi="Times New Roman" w:cs="Times New Roman"/>
          <w:noProof/>
          <w:sz w:val="24"/>
          <w:szCs w:val="24"/>
          <w:vertAlign w:val="superscript"/>
          <w:lang w:val="en-IE"/>
        </w:rPr>
        <w:footnoteReference w:id="16"/>
      </w:r>
      <w:r w:rsidRPr="00E03D97">
        <w:rPr>
          <w:rFonts w:ascii="Times New Roman" w:eastAsia="Times New Roman" w:hAnsi="Times New Roman" w:cs="Times New Roman"/>
          <w:noProof/>
          <w:sz w:val="24"/>
          <w:szCs w:val="24"/>
          <w:lang w:val="en-IE"/>
        </w:rPr>
        <w:t xml:space="preserve">, </w:t>
      </w:r>
      <w:r w:rsidR="00BA55D7">
        <w:rPr>
          <w:rFonts w:ascii="Times New Roman" w:eastAsia="Times New Roman" w:hAnsi="Times New Roman" w:cs="Times New Roman"/>
          <w:noProof/>
          <w:sz w:val="24"/>
          <w:szCs w:val="24"/>
          <w:lang w:val="en-IE"/>
        </w:rPr>
        <w:t xml:space="preserve">which is </w:t>
      </w:r>
      <w:r w:rsidRPr="00E03D97">
        <w:rPr>
          <w:rFonts w:ascii="Times New Roman" w:eastAsia="Times New Roman" w:hAnsi="Times New Roman" w:cs="Times New Roman"/>
          <w:noProof/>
          <w:sz w:val="24"/>
          <w:szCs w:val="24"/>
          <w:lang w:val="en-IE"/>
        </w:rPr>
        <w:t xml:space="preserve">an accurate source of information on vaccination for the </w:t>
      </w:r>
      <w:r w:rsidR="00B053A1">
        <w:rPr>
          <w:rFonts w:ascii="Times New Roman" w:eastAsia="Times New Roman" w:hAnsi="Times New Roman" w:cs="Times New Roman"/>
          <w:noProof/>
          <w:sz w:val="24"/>
          <w:szCs w:val="24"/>
          <w:lang w:val="en-IE"/>
        </w:rPr>
        <w:t xml:space="preserve">general </w:t>
      </w:r>
      <w:r w:rsidRPr="00E03D97">
        <w:rPr>
          <w:rFonts w:ascii="Times New Roman" w:eastAsia="Times New Roman" w:hAnsi="Times New Roman" w:cs="Times New Roman"/>
          <w:noProof/>
          <w:sz w:val="24"/>
          <w:szCs w:val="24"/>
          <w:lang w:val="en-IE"/>
        </w:rPr>
        <w:t>public. To continue those efforts, a subgroup of the</w:t>
      </w:r>
      <w:r w:rsidR="00F935BF">
        <w:rPr>
          <w:rFonts w:ascii="Times New Roman" w:eastAsia="Times New Roman" w:hAnsi="Times New Roman" w:cs="Times New Roman"/>
          <w:noProof/>
          <w:sz w:val="24"/>
          <w:szCs w:val="24"/>
          <w:lang w:val="en-IE"/>
        </w:rPr>
        <w:t xml:space="preserve"> Commission’s</w:t>
      </w:r>
      <w:r w:rsidRPr="00E03D97">
        <w:rPr>
          <w:rFonts w:ascii="Times New Roman" w:eastAsia="Times New Roman" w:hAnsi="Times New Roman" w:cs="Times New Roman"/>
          <w:noProof/>
          <w:sz w:val="24"/>
          <w:szCs w:val="24"/>
          <w:lang w:val="en-IE"/>
        </w:rPr>
        <w:t xml:space="preserve"> Public Health Expert Group (PHEG)</w:t>
      </w:r>
      <w:r w:rsidRPr="00E03D97">
        <w:rPr>
          <w:rFonts w:ascii="Times New Roman" w:eastAsia="Times New Roman" w:hAnsi="Times New Roman" w:cs="Times New Roman"/>
          <w:noProof/>
          <w:sz w:val="24"/>
          <w:szCs w:val="24"/>
          <w:vertAlign w:val="superscript"/>
          <w:lang w:val="en-IE"/>
        </w:rPr>
        <w:footnoteReference w:id="17"/>
      </w:r>
      <w:r w:rsidRPr="00E03D97">
        <w:rPr>
          <w:rFonts w:ascii="Times New Roman" w:eastAsia="Times New Roman" w:hAnsi="Times New Roman" w:cs="Times New Roman"/>
          <w:noProof/>
          <w:sz w:val="24"/>
          <w:szCs w:val="24"/>
          <w:lang w:val="en-IE"/>
        </w:rPr>
        <w:t xml:space="preserve"> is dedicated to vaccination. </w:t>
      </w:r>
      <w:r w:rsidR="00A02810" w:rsidRPr="00A02810">
        <w:rPr>
          <w:rFonts w:ascii="Times New Roman" w:eastAsia="Times New Roman" w:hAnsi="Times New Roman" w:cs="Times New Roman"/>
          <w:noProof/>
          <w:sz w:val="24"/>
          <w:szCs w:val="24"/>
          <w:lang w:val="en-IE"/>
        </w:rPr>
        <w:t xml:space="preserve">Moreover, </w:t>
      </w:r>
      <w:r w:rsidR="00AC1530">
        <w:rPr>
          <w:rFonts w:ascii="Times New Roman" w:eastAsia="Times New Roman" w:hAnsi="Times New Roman" w:cs="Times New Roman"/>
          <w:noProof/>
          <w:sz w:val="24"/>
          <w:szCs w:val="24"/>
          <w:lang w:val="en-IE"/>
        </w:rPr>
        <w:t xml:space="preserve">the </w:t>
      </w:r>
      <w:r w:rsidR="00A02810" w:rsidRPr="00A02810">
        <w:rPr>
          <w:rFonts w:ascii="Times New Roman" w:eastAsia="Times New Roman" w:hAnsi="Times New Roman" w:cs="Times New Roman"/>
          <w:noProof/>
          <w:sz w:val="24"/>
          <w:szCs w:val="24"/>
          <w:lang w:val="en-IE"/>
        </w:rPr>
        <w:t>ECDC now offers online training</w:t>
      </w:r>
      <w:r w:rsidR="006B5917">
        <w:rPr>
          <w:rFonts w:ascii="Times New Roman" w:eastAsia="Times New Roman" w:hAnsi="Times New Roman" w:cs="Times New Roman"/>
          <w:noProof/>
          <w:sz w:val="24"/>
          <w:szCs w:val="24"/>
          <w:lang w:val="en-IE"/>
        </w:rPr>
        <w:t xml:space="preserve"> to the public</w:t>
      </w:r>
      <w:r w:rsidR="00A02810" w:rsidRPr="00A02810">
        <w:rPr>
          <w:rFonts w:ascii="Times New Roman" w:eastAsia="Times New Roman" w:hAnsi="Times New Roman" w:cs="Times New Roman"/>
          <w:noProof/>
          <w:sz w:val="24"/>
          <w:szCs w:val="24"/>
          <w:lang w:val="en-IE"/>
        </w:rPr>
        <w:t xml:space="preserve"> on vaccine hesitancy and misinformation via its Virtual Academy</w:t>
      </w:r>
      <w:r w:rsidR="00A02810" w:rsidRPr="00A02810">
        <w:rPr>
          <w:rFonts w:ascii="Times New Roman" w:eastAsia="Times New Roman" w:hAnsi="Times New Roman" w:cs="Times New Roman"/>
          <w:noProof/>
          <w:sz w:val="24"/>
          <w:szCs w:val="24"/>
          <w:vertAlign w:val="superscript"/>
          <w:lang w:val="en-IE"/>
        </w:rPr>
        <w:footnoteReference w:id="18"/>
      </w:r>
      <w:r w:rsidR="00A02810" w:rsidRPr="00A02810">
        <w:rPr>
          <w:rFonts w:ascii="Times New Roman" w:eastAsia="Times New Roman" w:hAnsi="Times New Roman" w:cs="Times New Roman"/>
          <w:noProof/>
          <w:sz w:val="24"/>
          <w:szCs w:val="24"/>
          <w:lang w:val="en-IE"/>
        </w:rPr>
        <w:t xml:space="preserve"> and continues to host the National Immunisation Technical Advisory Group (NITAG) Collaboration</w:t>
      </w:r>
      <w:r w:rsidR="00854E12">
        <w:rPr>
          <w:rFonts w:ascii="Times New Roman" w:eastAsia="Times New Roman" w:hAnsi="Times New Roman" w:cs="Times New Roman"/>
          <w:noProof/>
          <w:sz w:val="24"/>
          <w:szCs w:val="24"/>
          <w:lang w:val="en-IE"/>
        </w:rPr>
        <w:t xml:space="preserve"> of countries in European Economic Area (EEA)</w:t>
      </w:r>
      <w:r w:rsidR="00A02810" w:rsidRPr="00A02810">
        <w:rPr>
          <w:rFonts w:ascii="Times New Roman" w:eastAsia="Times New Roman" w:hAnsi="Times New Roman" w:cs="Times New Roman"/>
          <w:noProof/>
          <w:sz w:val="24"/>
          <w:szCs w:val="24"/>
          <w:lang w:val="en-IE"/>
        </w:rPr>
        <w:t>, which assesses vaccination needs and advises national governments on vaccination strategies.</w:t>
      </w:r>
    </w:p>
    <w:p w14:paraId="38418092" w14:textId="556B8FFC" w:rsidR="001F1738"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Moving forward, </w:t>
      </w:r>
      <w:r w:rsidR="00151F96" w:rsidRPr="00650D45">
        <w:rPr>
          <w:rFonts w:ascii="Times New Roman" w:eastAsia="Times New Roman" w:hAnsi="Times New Roman" w:cs="Times New Roman"/>
          <w:noProof/>
          <w:sz w:val="24"/>
          <w:szCs w:val="24"/>
          <w:lang w:val="en-IE"/>
        </w:rPr>
        <w:t xml:space="preserve">the Commission </w:t>
      </w:r>
      <w:r w:rsidR="00750E41" w:rsidRPr="00750E41">
        <w:rPr>
          <w:rFonts w:ascii="Times New Roman" w:eastAsia="Times New Roman" w:hAnsi="Times New Roman" w:cs="Times New Roman"/>
          <w:noProof/>
          <w:sz w:val="24"/>
          <w:szCs w:val="24"/>
          <w:lang w:val="en-IE"/>
        </w:rPr>
        <w:t xml:space="preserve">is developing a vaccine strategy targeting priority threats for which the development of new vaccines or improvement of existing ones would be needed. In addition, </w:t>
      </w:r>
      <w:r w:rsidRPr="00E03D97">
        <w:rPr>
          <w:rFonts w:ascii="Times New Roman" w:eastAsia="Times New Roman" w:hAnsi="Times New Roman" w:cs="Times New Roman"/>
          <w:noProof/>
          <w:sz w:val="24"/>
          <w:szCs w:val="24"/>
          <w:lang w:val="en-IE"/>
        </w:rPr>
        <w:t>the Commission’s work on vaccination also has strong ties to Europe’s Beating Cancer Plan</w:t>
      </w:r>
      <w:r w:rsidRPr="00E03D97">
        <w:rPr>
          <w:rFonts w:ascii="Times New Roman" w:eastAsia="Times New Roman" w:hAnsi="Times New Roman" w:cs="Times New Roman"/>
          <w:noProof/>
          <w:sz w:val="24"/>
          <w:szCs w:val="24"/>
          <w:vertAlign w:val="superscript"/>
          <w:lang w:val="en-IE"/>
        </w:rPr>
        <w:footnoteReference w:id="19"/>
      </w:r>
      <w:r w:rsidR="00A02810">
        <w:rPr>
          <w:rFonts w:ascii="Times New Roman" w:eastAsia="Times New Roman" w:hAnsi="Times New Roman" w:cs="Times New Roman"/>
          <w:noProof/>
          <w:sz w:val="24"/>
          <w:szCs w:val="24"/>
          <w:lang w:val="en-IE"/>
        </w:rPr>
        <w:t xml:space="preserve">, </w:t>
      </w:r>
      <w:r w:rsidR="00A02810" w:rsidRPr="00A02810">
        <w:rPr>
          <w:rFonts w:ascii="Times New Roman" w:eastAsia="Times New Roman" w:hAnsi="Times New Roman" w:cs="Times New Roman"/>
          <w:noProof/>
          <w:sz w:val="24"/>
          <w:szCs w:val="24"/>
          <w:lang w:val="en-IE"/>
        </w:rPr>
        <w:t>which is illustrated by</w:t>
      </w:r>
      <w:r w:rsidR="00E83462">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an upcoming proposal for a Council </w:t>
      </w:r>
      <w:r w:rsidR="00AC1530">
        <w:rPr>
          <w:rFonts w:ascii="Times New Roman" w:eastAsia="Times New Roman" w:hAnsi="Times New Roman" w:cs="Times New Roman"/>
          <w:noProof/>
          <w:sz w:val="24"/>
          <w:szCs w:val="24"/>
          <w:lang w:val="en-IE"/>
        </w:rPr>
        <w:t>R</w:t>
      </w:r>
      <w:r w:rsidRPr="00E03D97">
        <w:rPr>
          <w:rFonts w:ascii="Times New Roman" w:eastAsia="Times New Roman" w:hAnsi="Times New Roman" w:cs="Times New Roman"/>
          <w:noProof/>
          <w:sz w:val="24"/>
          <w:szCs w:val="24"/>
          <w:lang w:val="en-IE"/>
        </w:rPr>
        <w:t xml:space="preserve">ecommendation on vaccine-preventable cancers. </w:t>
      </w:r>
    </w:p>
    <w:p w14:paraId="31ABCBF6" w14:textId="77777777" w:rsidR="00412481" w:rsidRPr="00412481" w:rsidRDefault="00412481" w:rsidP="00412481">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rFonts w:ascii="Times New Roman" w:eastAsia="Times New Roman" w:hAnsi="Times New Roman" w:cs="Times New Roman"/>
          <w:b/>
          <w:bCs/>
          <w:noProof/>
          <w:sz w:val="24"/>
          <w:szCs w:val="24"/>
          <w:lang w:val="en-IE"/>
        </w:rPr>
      </w:pPr>
      <w:r w:rsidRPr="00412481">
        <w:rPr>
          <w:rFonts w:ascii="Times New Roman" w:eastAsia="Times New Roman" w:hAnsi="Times New Roman" w:cs="Times New Roman"/>
          <w:b/>
          <w:bCs/>
          <w:noProof/>
          <w:sz w:val="24"/>
          <w:szCs w:val="24"/>
          <w:lang w:val="en-IE"/>
        </w:rPr>
        <w:t>Cross-border sharing of vaccination data with healthcare professionals in their language</w:t>
      </w:r>
    </w:p>
    <w:p w14:paraId="1A7FA272" w14:textId="26BC60DB" w:rsidR="00412481" w:rsidRPr="00E03D97" w:rsidRDefault="00412481" w:rsidP="00412481">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412481">
        <w:rPr>
          <w:rFonts w:ascii="Times New Roman" w:eastAsia="Times New Roman" w:hAnsi="Times New Roman" w:cs="Times New Roman"/>
          <w:noProof/>
          <w:sz w:val="24"/>
          <w:szCs w:val="24"/>
        </w:rPr>
        <w:t>The MyHealth@EU infrastructure was launched to allow health professionals to access, in their language, electronic health data, including vaccination records, of patients travelling or moving from their home country to another Member State. The objective is to ensure continuity of care. Participation is voluntary (based on Directive 2011/24/EU on patients’ rights in cross-border healthcare). As of July 2023, 11 Member States were already connected to MyHealth@EU and more are planning to join in the future. Under the Commission proposal for a regulation on a European Health Data Space, which is currently under negotiation by the co-legislators, the participation of Member States in the MyHealth@EU infrastructure would become mandatory. Under the EU4Health work programme 2023, direct grants to Member States’ authorities are planned for the development and enhancement of MyHealth@EU services, including vaccination card services.</w:t>
      </w:r>
    </w:p>
    <w:p w14:paraId="614B0833" w14:textId="77777777" w:rsidR="00412481" w:rsidRPr="00412481" w:rsidRDefault="00412481" w:rsidP="00412481">
      <w:pPr>
        <w:spacing w:after="0" w:line="240" w:lineRule="auto"/>
        <w:jc w:val="center"/>
        <w:rPr>
          <w:rFonts w:ascii="Times New Roman" w:eastAsia="Times New Roman" w:hAnsi="Times New Roman" w:cs="Times New Roman"/>
          <w:b/>
          <w:bCs/>
          <w:noProof/>
          <w:sz w:val="4"/>
          <w:szCs w:val="4"/>
          <w:lang w:val="en-IE"/>
        </w:rPr>
      </w:pPr>
    </w:p>
    <w:p w14:paraId="6291086D" w14:textId="78DA1455" w:rsidR="00412481" w:rsidRPr="00412481" w:rsidRDefault="00412481" w:rsidP="00412481">
      <w:pPr>
        <w:pBdr>
          <w:top w:val="single" w:sz="12" w:space="1" w:color="auto"/>
          <w:left w:val="single" w:sz="12" w:space="4" w:color="auto"/>
          <w:bottom w:val="single" w:sz="12" w:space="1" w:color="auto"/>
          <w:right w:val="single" w:sz="12" w:space="4" w:color="auto"/>
        </w:pBdr>
        <w:spacing w:after="100" w:afterAutospacing="1" w:line="240" w:lineRule="auto"/>
        <w:jc w:val="center"/>
        <w:rPr>
          <w:rFonts w:ascii="Times New Roman" w:eastAsia="Times New Roman" w:hAnsi="Times New Roman" w:cs="Times New Roman"/>
          <w:b/>
          <w:bCs/>
          <w:noProof/>
          <w:sz w:val="24"/>
          <w:szCs w:val="24"/>
          <w:lang w:val="en-IE"/>
        </w:rPr>
      </w:pPr>
      <w:r w:rsidRPr="00412481">
        <w:rPr>
          <w:rFonts w:ascii="Times New Roman" w:eastAsia="Times New Roman" w:hAnsi="Times New Roman" w:cs="Times New Roman"/>
          <w:b/>
          <w:bCs/>
          <w:noProof/>
          <w:sz w:val="24"/>
          <w:szCs w:val="24"/>
          <w:lang w:val="en-IE"/>
        </w:rPr>
        <w:t>Monitoring vaccines on the EU market</w:t>
      </w:r>
    </w:p>
    <w:p w14:paraId="70FD2C30" w14:textId="77777777" w:rsidR="00412481" w:rsidRPr="00412481" w:rsidRDefault="00412481" w:rsidP="00412481">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rPr>
      </w:pPr>
      <w:r w:rsidRPr="00412481">
        <w:rPr>
          <w:rFonts w:ascii="Times New Roman" w:eastAsia="Times New Roman" w:hAnsi="Times New Roman" w:cs="Times New Roman"/>
          <w:noProof/>
          <w:sz w:val="24"/>
          <w:szCs w:val="24"/>
        </w:rPr>
        <w:t>Experience with COVID-19 has reiterated the importance of post-marketing monitoring of vaccines. The Vaccine Monitoring Platform was therefore launched as a collaborative space between the ECDC and the EMA to address research questions through large-scale EU-wide independent studies on vaccine effectiveness and safety monitoring. It is necessary to build capacity in the Member States and create the infrastructures, at both national and subnational levels, to enable the sustainable and long-term monitoring that is required to inform public health and regulatory decisions regarding vaccines on the EU market and their use in real-life settings.</w:t>
      </w:r>
    </w:p>
    <w:p w14:paraId="4298819D" w14:textId="296E4DF1" w:rsidR="001F1738" w:rsidRPr="00E03D97" w:rsidRDefault="001F1738" w:rsidP="00031422">
      <w:pPr>
        <w:keepNext/>
        <w:keepLines/>
        <w:spacing w:before="480" w:after="100" w:afterAutospacing="1" w:line="240" w:lineRule="auto"/>
        <w:jc w:val="both"/>
        <w:outlineLvl w:val="2"/>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b/>
          <w:bCs/>
          <w:noProof/>
          <w:sz w:val="24"/>
          <w:szCs w:val="24"/>
          <w:lang w:val="en-IE"/>
        </w:rPr>
        <w:t>Addressing</w:t>
      </w:r>
      <w:r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b/>
          <w:bCs/>
          <w:noProof/>
          <w:sz w:val="24"/>
          <w:szCs w:val="24"/>
          <w:lang w:val="en-IE"/>
        </w:rPr>
        <w:t>antimicrobial</w:t>
      </w:r>
      <w:r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b/>
          <w:bCs/>
          <w:noProof/>
          <w:sz w:val="24"/>
          <w:szCs w:val="24"/>
          <w:lang w:val="en-IE"/>
        </w:rPr>
        <w:t>resistance</w:t>
      </w:r>
    </w:p>
    <w:p w14:paraId="6FB1431E" w14:textId="29CA716B"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eastAsia="en-IE"/>
        </w:rPr>
      </w:pPr>
      <w:r w:rsidRPr="00E03D97">
        <w:rPr>
          <w:rFonts w:ascii="Times New Roman" w:eastAsia="Times New Roman" w:hAnsi="Times New Roman" w:cs="Times New Roman"/>
          <w:noProof/>
          <w:sz w:val="24"/>
          <w:szCs w:val="24"/>
          <w:lang w:val="en-IE" w:eastAsia="en-IE"/>
        </w:rPr>
        <w:t xml:space="preserve">Antimicrobial resistance (AMR) </w:t>
      </w:r>
      <w:r w:rsidR="00C949DD">
        <w:rPr>
          <w:rFonts w:ascii="Times New Roman" w:eastAsia="Times New Roman" w:hAnsi="Times New Roman" w:cs="Times New Roman"/>
          <w:noProof/>
          <w:sz w:val="24"/>
          <w:szCs w:val="24"/>
          <w:lang w:val="en-IE" w:eastAsia="en-IE"/>
        </w:rPr>
        <w:t>is</w:t>
      </w:r>
      <w:r w:rsidRPr="00E03D97">
        <w:rPr>
          <w:rFonts w:ascii="Times New Roman" w:eastAsia="Times New Roman" w:hAnsi="Times New Roman" w:cs="Times New Roman"/>
          <w:noProof/>
          <w:sz w:val="24"/>
          <w:szCs w:val="24"/>
          <w:lang w:val="en-IE" w:eastAsia="en-IE"/>
        </w:rPr>
        <w:t xml:space="preserve"> the ability of microbes like bacteria, viruses and fungi to develop resistance and to overpower the medicines designed to kill them</w:t>
      </w:r>
      <w:r w:rsidR="00C949DD">
        <w:rPr>
          <w:rFonts w:ascii="Times New Roman" w:eastAsia="Times New Roman" w:hAnsi="Times New Roman" w:cs="Times New Roman"/>
          <w:noProof/>
          <w:sz w:val="24"/>
          <w:szCs w:val="24"/>
          <w:lang w:val="en-IE" w:eastAsia="en-IE"/>
        </w:rPr>
        <w:t>. AMR</w:t>
      </w:r>
      <w:r w:rsidRPr="00E03D97">
        <w:rPr>
          <w:rFonts w:ascii="Times New Roman" w:eastAsia="Times New Roman" w:hAnsi="Times New Roman" w:cs="Times New Roman"/>
          <w:noProof/>
          <w:sz w:val="24"/>
          <w:szCs w:val="24"/>
          <w:lang w:val="en-IE" w:eastAsia="en-IE"/>
        </w:rPr>
        <w:t xml:space="preserve"> threatens to unravel modern medicine as we know it. The coming years will be crucial to ensure </w:t>
      </w:r>
      <w:r w:rsidR="005A3A1A">
        <w:rPr>
          <w:rFonts w:ascii="Times New Roman" w:eastAsia="Times New Roman" w:hAnsi="Times New Roman" w:cs="Times New Roman"/>
          <w:noProof/>
          <w:sz w:val="24"/>
          <w:szCs w:val="24"/>
          <w:lang w:val="en-IE" w:eastAsia="en-IE"/>
        </w:rPr>
        <w:t>prudent use, access and development of effective antimicrobials and thus require greater awareness</w:t>
      </w:r>
      <w:r w:rsidRPr="00E03D97">
        <w:rPr>
          <w:rFonts w:ascii="Times New Roman" w:eastAsia="Times New Roman" w:hAnsi="Times New Roman" w:cs="Times New Roman"/>
          <w:noProof/>
          <w:sz w:val="24"/>
          <w:szCs w:val="24"/>
          <w:lang w:val="en-IE" w:eastAsia="en-IE"/>
        </w:rPr>
        <w:t xml:space="preserve"> </w:t>
      </w:r>
      <w:r w:rsidR="005A3A1A">
        <w:rPr>
          <w:rFonts w:ascii="Times New Roman" w:eastAsia="Times New Roman" w:hAnsi="Times New Roman" w:cs="Times New Roman"/>
          <w:noProof/>
          <w:sz w:val="24"/>
          <w:szCs w:val="24"/>
          <w:lang w:val="en-IE" w:eastAsia="en-IE"/>
        </w:rPr>
        <w:t>of</w:t>
      </w:r>
      <w:r w:rsidRPr="00E03D97">
        <w:rPr>
          <w:rFonts w:ascii="Times New Roman" w:eastAsia="Times New Roman" w:hAnsi="Times New Roman" w:cs="Times New Roman"/>
          <w:noProof/>
          <w:sz w:val="24"/>
          <w:szCs w:val="24"/>
          <w:lang w:val="en-IE" w:eastAsia="en-IE"/>
        </w:rPr>
        <w:t xml:space="preserve"> the fight against AMR. It is estimated that at least 35</w:t>
      </w:r>
      <w:r w:rsidR="00C949DD">
        <w:rPr>
          <w:rFonts w:ascii="Times New Roman" w:eastAsia="Times New Roman" w:hAnsi="Times New Roman" w:cs="Times New Roman"/>
          <w:noProof/>
          <w:sz w:val="24"/>
          <w:szCs w:val="24"/>
          <w:lang w:val="en-IE" w:eastAsia="en-IE"/>
        </w:rPr>
        <w:t> </w:t>
      </w:r>
      <w:r w:rsidRPr="00E03D97">
        <w:rPr>
          <w:rFonts w:ascii="Times New Roman" w:eastAsia="Times New Roman" w:hAnsi="Times New Roman" w:cs="Times New Roman"/>
          <w:noProof/>
          <w:sz w:val="24"/>
          <w:szCs w:val="24"/>
          <w:lang w:val="en-IE" w:eastAsia="en-IE"/>
        </w:rPr>
        <w:t>000 people die each year in the EU/EEA as a direct consequence of resistant infections</w:t>
      </w:r>
      <w:r w:rsidR="00C949DD">
        <w:rPr>
          <w:rFonts w:ascii="Times New Roman" w:eastAsia="Times New Roman" w:hAnsi="Times New Roman" w:cs="Times New Roman"/>
          <w:noProof/>
          <w:sz w:val="24"/>
          <w:szCs w:val="24"/>
          <w:lang w:val="en-IE" w:eastAsia="en-IE"/>
        </w:rPr>
        <w:t>. This is more than the combined total of deaths due to</w:t>
      </w:r>
      <w:r w:rsidRPr="00E03D97">
        <w:rPr>
          <w:rFonts w:ascii="Times New Roman" w:eastAsia="Times New Roman" w:hAnsi="Times New Roman" w:cs="Times New Roman"/>
          <w:noProof/>
          <w:sz w:val="24"/>
          <w:szCs w:val="24"/>
          <w:lang w:val="en-IE" w:eastAsia="en-IE"/>
        </w:rPr>
        <w:t xml:space="preserve"> influenza, tuberculosis and HIV/AIDS, and this number is growing</w:t>
      </w:r>
      <w:r w:rsidRPr="00E03D97">
        <w:rPr>
          <w:rFonts w:ascii="Times New Roman" w:eastAsia="Times New Roman" w:hAnsi="Times New Roman" w:cs="Times New Roman"/>
          <w:noProof/>
          <w:sz w:val="24"/>
          <w:szCs w:val="24"/>
          <w:vertAlign w:val="superscript"/>
          <w:lang w:val="en-IE" w:eastAsia="en-IE"/>
        </w:rPr>
        <w:footnoteReference w:id="20"/>
      </w:r>
      <w:r w:rsidRPr="00E03D97">
        <w:rPr>
          <w:rFonts w:ascii="Times New Roman" w:eastAsia="Times New Roman" w:hAnsi="Times New Roman" w:cs="Times New Roman"/>
          <w:noProof/>
          <w:sz w:val="24"/>
          <w:szCs w:val="24"/>
          <w:lang w:val="en-IE" w:eastAsia="en-IE"/>
        </w:rPr>
        <w:t xml:space="preserve">. AMR is not as acutely in the public eye as COVID-19 was, </w:t>
      </w:r>
      <w:r w:rsidR="001D3B97">
        <w:rPr>
          <w:rFonts w:ascii="Times New Roman" w:eastAsia="Times New Roman" w:hAnsi="Times New Roman" w:cs="Times New Roman"/>
          <w:noProof/>
          <w:sz w:val="24"/>
          <w:szCs w:val="24"/>
          <w:lang w:val="en-IE" w:eastAsia="en-IE"/>
        </w:rPr>
        <w:t xml:space="preserve">but it is no longer a silent </w:t>
      </w:r>
      <w:r w:rsidRPr="00E03D97">
        <w:rPr>
          <w:rFonts w:ascii="Times New Roman" w:eastAsia="Times New Roman" w:hAnsi="Times New Roman" w:cs="Times New Roman"/>
          <w:noProof/>
          <w:sz w:val="24"/>
          <w:szCs w:val="24"/>
          <w:lang w:val="en-IE" w:eastAsia="en-IE"/>
        </w:rPr>
        <w:t xml:space="preserve">pandemic </w:t>
      </w:r>
      <w:r w:rsidR="001D3B97">
        <w:rPr>
          <w:rFonts w:ascii="Times New Roman" w:eastAsia="Times New Roman" w:hAnsi="Times New Roman" w:cs="Times New Roman"/>
          <w:noProof/>
          <w:sz w:val="24"/>
          <w:szCs w:val="24"/>
          <w:lang w:val="en-IE" w:eastAsia="en-IE"/>
        </w:rPr>
        <w:t>and</w:t>
      </w:r>
      <w:r w:rsidRPr="00E03D97">
        <w:rPr>
          <w:rFonts w:ascii="Times New Roman" w:eastAsia="Times New Roman" w:hAnsi="Times New Roman" w:cs="Times New Roman"/>
          <w:noProof/>
          <w:sz w:val="24"/>
          <w:szCs w:val="24"/>
          <w:lang w:val="en-IE" w:eastAsia="en-IE"/>
        </w:rPr>
        <w:t xml:space="preserve"> needs urgent action to prevent </w:t>
      </w:r>
      <w:r w:rsidR="00E80216">
        <w:rPr>
          <w:rFonts w:ascii="Times New Roman" w:eastAsia="Times New Roman" w:hAnsi="Times New Roman" w:cs="Times New Roman"/>
          <w:noProof/>
          <w:sz w:val="24"/>
          <w:szCs w:val="24"/>
          <w:lang w:val="en-IE" w:eastAsia="en-IE"/>
        </w:rPr>
        <w:t>the</w:t>
      </w:r>
      <w:r w:rsidR="00650C17">
        <w:rPr>
          <w:rFonts w:ascii="Times New Roman" w:eastAsia="Times New Roman" w:hAnsi="Times New Roman" w:cs="Times New Roman"/>
          <w:noProof/>
          <w:sz w:val="24"/>
          <w:szCs w:val="24"/>
          <w:lang w:val="en-IE" w:eastAsia="en-IE"/>
        </w:rPr>
        <w:t xml:space="preserve"> currently</w:t>
      </w:r>
      <w:r w:rsidR="00E80216">
        <w:rPr>
          <w:rFonts w:ascii="Times New Roman" w:eastAsia="Times New Roman" w:hAnsi="Times New Roman" w:cs="Times New Roman"/>
          <w:noProof/>
          <w:sz w:val="24"/>
          <w:szCs w:val="24"/>
          <w:lang w:val="en-IE" w:eastAsia="en-IE"/>
        </w:rPr>
        <w:t xml:space="preserve"> </w:t>
      </w:r>
      <w:r w:rsidRPr="00E03D97">
        <w:rPr>
          <w:rFonts w:ascii="Times New Roman" w:eastAsia="Times New Roman" w:hAnsi="Times New Roman" w:cs="Times New Roman"/>
          <w:noProof/>
          <w:sz w:val="24"/>
          <w:szCs w:val="24"/>
          <w:lang w:val="en-IE" w:eastAsia="en-IE"/>
        </w:rPr>
        <w:t>projected catastrophic outcomes.</w:t>
      </w:r>
      <w:r w:rsidR="0061698F" w:rsidRPr="00E03D97">
        <w:rPr>
          <w:rFonts w:ascii="Times New Roman" w:eastAsia="Times New Roman" w:hAnsi="Times New Roman" w:cs="Times New Roman"/>
          <w:noProof/>
          <w:sz w:val="24"/>
          <w:szCs w:val="24"/>
          <w:lang w:val="en-IE" w:eastAsia="en-IE"/>
        </w:rPr>
        <w:t xml:space="preserve"> </w:t>
      </w:r>
    </w:p>
    <w:p w14:paraId="140D7619" w14:textId="4D0453F2" w:rsidR="001F1738"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Building on the 2017 EU </w:t>
      </w:r>
      <w:r w:rsidR="00EC0AFF">
        <w:rPr>
          <w:rFonts w:ascii="Times New Roman" w:eastAsia="Times New Roman" w:hAnsi="Times New Roman" w:cs="Times New Roman"/>
          <w:noProof/>
          <w:sz w:val="24"/>
          <w:szCs w:val="24"/>
          <w:lang w:val="en-IE"/>
        </w:rPr>
        <w:t>a</w:t>
      </w:r>
      <w:r w:rsidRPr="00E03D97">
        <w:rPr>
          <w:rFonts w:ascii="Times New Roman" w:eastAsia="Times New Roman" w:hAnsi="Times New Roman" w:cs="Times New Roman"/>
          <w:noProof/>
          <w:sz w:val="24"/>
          <w:szCs w:val="24"/>
          <w:lang w:val="en-IE"/>
        </w:rPr>
        <w:t xml:space="preserve">ction </w:t>
      </w:r>
      <w:r w:rsidR="00EC0AFF">
        <w:rPr>
          <w:rFonts w:ascii="Times New Roman" w:eastAsia="Times New Roman" w:hAnsi="Times New Roman" w:cs="Times New Roman"/>
          <w:noProof/>
          <w:sz w:val="24"/>
          <w:szCs w:val="24"/>
          <w:lang w:val="en-IE"/>
        </w:rPr>
        <w:t>p</w:t>
      </w:r>
      <w:r w:rsidRPr="00E03D97">
        <w:rPr>
          <w:rFonts w:ascii="Times New Roman" w:eastAsia="Times New Roman" w:hAnsi="Times New Roman" w:cs="Times New Roman"/>
          <w:noProof/>
          <w:sz w:val="24"/>
          <w:szCs w:val="24"/>
          <w:lang w:val="en-IE"/>
        </w:rPr>
        <w:t>lan on antimicrobial resistance</w:t>
      </w:r>
      <w:r w:rsidRPr="00E03D97">
        <w:rPr>
          <w:rFonts w:ascii="Times New Roman" w:eastAsia="Times New Roman" w:hAnsi="Times New Roman" w:cs="Times New Roman"/>
          <w:noProof/>
          <w:sz w:val="24"/>
          <w:szCs w:val="24"/>
          <w:vertAlign w:val="superscript"/>
          <w:lang w:val="en-IE"/>
        </w:rPr>
        <w:footnoteReference w:id="21"/>
      </w:r>
      <w:r w:rsidRPr="00E03D97">
        <w:rPr>
          <w:rFonts w:ascii="Times New Roman" w:eastAsia="Times New Roman" w:hAnsi="Times New Roman" w:cs="Times New Roman"/>
          <w:noProof/>
          <w:sz w:val="24"/>
          <w:szCs w:val="24"/>
          <w:lang w:val="en-IE"/>
        </w:rPr>
        <w:t>, in April 2023 the Commission proposed a Council Recommendation,</w:t>
      </w:r>
      <w:r w:rsidR="00CB3248">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adopted </w:t>
      </w:r>
      <w:r w:rsidR="005A3A1A">
        <w:rPr>
          <w:rFonts w:ascii="Times New Roman" w:eastAsia="Times New Roman" w:hAnsi="Times New Roman" w:cs="Times New Roman"/>
          <w:noProof/>
          <w:sz w:val="24"/>
          <w:szCs w:val="24"/>
          <w:lang w:val="en-IE"/>
        </w:rPr>
        <w:t>i</w:t>
      </w:r>
      <w:r w:rsidRPr="00E03D97">
        <w:rPr>
          <w:rFonts w:ascii="Times New Roman" w:eastAsia="Times New Roman" w:hAnsi="Times New Roman" w:cs="Times New Roman"/>
          <w:noProof/>
          <w:sz w:val="24"/>
          <w:szCs w:val="24"/>
          <w:lang w:val="en-IE"/>
        </w:rPr>
        <w:t>n June</w:t>
      </w:r>
      <w:r w:rsidR="00CB3248">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2023</w:t>
      </w:r>
      <w:r w:rsidRPr="00E03D97">
        <w:rPr>
          <w:rFonts w:ascii="Times New Roman" w:eastAsia="Times New Roman" w:hAnsi="Times New Roman" w:cs="Times New Roman"/>
          <w:noProof/>
          <w:sz w:val="24"/>
          <w:szCs w:val="24"/>
          <w:vertAlign w:val="superscript"/>
          <w:lang w:val="en-IE"/>
        </w:rPr>
        <w:footnoteReference w:id="22"/>
      </w:r>
      <w:r w:rsidR="005A3A1A">
        <w:rPr>
          <w:rFonts w:ascii="Times New Roman" w:eastAsia="Times New Roman" w:hAnsi="Times New Roman" w:cs="Times New Roman"/>
          <w:noProof/>
          <w:sz w:val="24"/>
          <w:szCs w:val="24"/>
          <w:lang w:val="en-IE"/>
        </w:rPr>
        <w:t>. It recommends</w:t>
      </w:r>
      <w:r w:rsidR="002B1144">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measures to combat AMR in the fields of human health, animal health and the environment through the </w:t>
      </w:r>
      <w:r w:rsidR="00031EDF">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One Health</w:t>
      </w:r>
      <w:r w:rsidR="00031EDF">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approach. For the first time in the EU, the Recommendation set</w:t>
      </w:r>
      <w:r w:rsidR="00BA233D">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w:t>
      </w:r>
      <w:r w:rsidR="002B1144">
        <w:rPr>
          <w:rFonts w:ascii="Times New Roman" w:eastAsia="Times New Roman" w:hAnsi="Times New Roman" w:cs="Times New Roman"/>
          <w:noProof/>
          <w:sz w:val="24"/>
          <w:szCs w:val="24"/>
          <w:lang w:val="en-IE"/>
        </w:rPr>
        <w:t xml:space="preserve">EU and national </w:t>
      </w:r>
      <w:r w:rsidRPr="00E03D97">
        <w:rPr>
          <w:rFonts w:ascii="Times New Roman" w:eastAsia="Times New Roman" w:hAnsi="Times New Roman" w:cs="Times New Roman"/>
          <w:noProof/>
          <w:sz w:val="24"/>
          <w:szCs w:val="24"/>
          <w:lang w:val="en-IE"/>
        </w:rPr>
        <w:t xml:space="preserve">targets to reduce the consumption of antimicrobial medicine and control the spread of critical pathogens in human health. Devised with the support of </w:t>
      </w:r>
      <w:r w:rsidR="00237625">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ECDC, the</w:t>
      </w:r>
      <w:r w:rsidR="002B1144">
        <w:rPr>
          <w:rFonts w:ascii="Times New Roman" w:eastAsia="Times New Roman" w:hAnsi="Times New Roman" w:cs="Times New Roman"/>
          <w:noProof/>
          <w:sz w:val="24"/>
          <w:szCs w:val="24"/>
          <w:lang w:val="en-IE"/>
        </w:rPr>
        <w:t>se recommended</w:t>
      </w:r>
      <w:r w:rsidRPr="00E03D97">
        <w:rPr>
          <w:rFonts w:ascii="Times New Roman" w:eastAsia="Times New Roman" w:hAnsi="Times New Roman" w:cs="Times New Roman"/>
          <w:noProof/>
          <w:sz w:val="24"/>
          <w:szCs w:val="24"/>
          <w:lang w:val="en-IE"/>
        </w:rPr>
        <w:t xml:space="preserve"> targets should serve as a driver </w:t>
      </w:r>
      <w:r w:rsidR="00237625">
        <w:rPr>
          <w:rFonts w:ascii="Times New Roman" w:eastAsia="Times New Roman" w:hAnsi="Times New Roman" w:cs="Times New Roman"/>
          <w:noProof/>
          <w:sz w:val="24"/>
          <w:szCs w:val="24"/>
          <w:lang w:val="en-IE"/>
        </w:rPr>
        <w:t>of</w:t>
      </w:r>
      <w:r w:rsidR="00237625"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national action and monitoring of progress in the coming years.</w:t>
      </w:r>
    </w:p>
    <w:p w14:paraId="2DE3E0DB" w14:textId="77777777" w:rsidR="00412481" w:rsidRPr="00412481" w:rsidRDefault="00412481" w:rsidP="00412481">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rFonts w:ascii="Times New Roman" w:eastAsia="Times New Roman" w:hAnsi="Times New Roman" w:cs="Times New Roman"/>
          <w:b/>
          <w:bCs/>
          <w:noProof/>
          <w:sz w:val="24"/>
          <w:szCs w:val="24"/>
          <w:lang w:val="en-IE"/>
        </w:rPr>
      </w:pPr>
      <w:r w:rsidRPr="00412481">
        <w:rPr>
          <w:rFonts w:ascii="Times New Roman" w:eastAsia="Times New Roman" w:hAnsi="Times New Roman" w:cs="Times New Roman"/>
          <w:b/>
          <w:bCs/>
          <w:noProof/>
          <w:sz w:val="24"/>
          <w:szCs w:val="24"/>
          <w:lang w:val="en-IE"/>
        </w:rPr>
        <w:t>Highlight: joint Action on AMR</w:t>
      </w:r>
    </w:p>
    <w:p w14:paraId="1A360448" w14:textId="77777777" w:rsidR="00412481" w:rsidRPr="00412481" w:rsidRDefault="00412481" w:rsidP="00412481">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412481">
        <w:rPr>
          <w:rFonts w:ascii="Times New Roman" w:eastAsia="Times New Roman" w:hAnsi="Times New Roman" w:cs="Times New Roman"/>
          <w:noProof/>
          <w:sz w:val="24"/>
          <w:szCs w:val="24"/>
          <w:lang w:val="en-IE"/>
        </w:rPr>
        <w:t>The EU is also mobilising its financial resources to support effective AMR policies and measures. Over EUR 57 million was invested under the EU4Health programme in its first 3 years (2021-2023) in tackling AMR – most notably a new joint action on AMR to be launched in 2024 to bring together all EU Member States, Iceland, Norway and Ukraine in common activities to combat AMR. across the One Health approach.</w:t>
      </w:r>
    </w:p>
    <w:p w14:paraId="63785F3E" w14:textId="1C279E68" w:rsidR="001F1738" w:rsidRDefault="00C371B7"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To address increasing AMR, it is essential to ensure both access to existing antimicrobials and the development of novel effective ones.</w:t>
      </w:r>
      <w:r w:rsidR="001F1738" w:rsidRPr="00E03D97">
        <w:rPr>
          <w:rFonts w:ascii="Times New Roman" w:eastAsia="Times New Roman" w:hAnsi="Times New Roman" w:cs="Times New Roman"/>
          <w:noProof/>
          <w:sz w:val="24"/>
          <w:szCs w:val="24"/>
          <w:lang w:val="en-IE"/>
        </w:rPr>
        <w:t xml:space="preserve"> On 26</w:t>
      </w:r>
      <w:r w:rsidR="00237625">
        <w:rPr>
          <w:rFonts w:ascii="Times New Roman" w:eastAsia="Times New Roman" w:hAnsi="Times New Roman" w:cs="Times New Roman"/>
          <w:noProof/>
          <w:sz w:val="24"/>
          <w:szCs w:val="24"/>
          <w:lang w:val="en-IE"/>
        </w:rPr>
        <w:t> </w:t>
      </w:r>
      <w:r w:rsidR="001F1738" w:rsidRPr="00E03D97">
        <w:rPr>
          <w:rFonts w:ascii="Times New Roman" w:eastAsia="Times New Roman" w:hAnsi="Times New Roman" w:cs="Times New Roman"/>
          <w:noProof/>
          <w:sz w:val="24"/>
          <w:szCs w:val="24"/>
          <w:lang w:val="en-IE"/>
        </w:rPr>
        <w:t>April</w:t>
      </w:r>
      <w:r w:rsidR="00237625">
        <w:rPr>
          <w:rFonts w:ascii="Times New Roman" w:eastAsia="Times New Roman" w:hAnsi="Times New Roman" w:cs="Times New Roman"/>
          <w:noProof/>
          <w:sz w:val="24"/>
          <w:szCs w:val="24"/>
          <w:lang w:val="en-IE"/>
        </w:rPr>
        <w:t> </w:t>
      </w:r>
      <w:r w:rsidR="001F1738" w:rsidRPr="00E03D97">
        <w:rPr>
          <w:rFonts w:ascii="Times New Roman" w:eastAsia="Times New Roman" w:hAnsi="Times New Roman" w:cs="Times New Roman"/>
          <w:noProof/>
          <w:sz w:val="24"/>
          <w:szCs w:val="24"/>
          <w:lang w:val="en-IE"/>
        </w:rPr>
        <w:t>2023, the Commission adopted proposal</w:t>
      </w:r>
      <w:r w:rsidR="00237625">
        <w:rPr>
          <w:rFonts w:ascii="Times New Roman" w:eastAsia="Times New Roman" w:hAnsi="Times New Roman" w:cs="Times New Roman"/>
          <w:noProof/>
          <w:sz w:val="24"/>
          <w:szCs w:val="24"/>
          <w:lang w:val="en-IE"/>
        </w:rPr>
        <w:t>s</w:t>
      </w:r>
      <w:r w:rsidR="001F1738" w:rsidRPr="00E03D97">
        <w:rPr>
          <w:rFonts w:ascii="Times New Roman" w:eastAsia="Times New Roman" w:hAnsi="Times New Roman" w:cs="Times New Roman"/>
          <w:noProof/>
          <w:sz w:val="24"/>
          <w:szCs w:val="24"/>
          <w:lang w:val="en-IE"/>
        </w:rPr>
        <w:t xml:space="preserve"> for a new </w:t>
      </w:r>
      <w:r w:rsidR="00237625">
        <w:rPr>
          <w:rFonts w:ascii="Times New Roman" w:eastAsia="Times New Roman" w:hAnsi="Times New Roman" w:cs="Times New Roman"/>
          <w:noProof/>
          <w:sz w:val="24"/>
          <w:szCs w:val="24"/>
          <w:lang w:val="en-IE"/>
        </w:rPr>
        <w:t>d</w:t>
      </w:r>
      <w:r w:rsidR="001F1738" w:rsidRPr="00E03D97">
        <w:rPr>
          <w:rFonts w:ascii="Times New Roman" w:eastAsia="Times New Roman" w:hAnsi="Times New Roman" w:cs="Times New Roman"/>
          <w:noProof/>
          <w:sz w:val="24"/>
          <w:szCs w:val="24"/>
          <w:lang w:val="en-IE"/>
        </w:rPr>
        <w:t xml:space="preserve">irective and </w:t>
      </w:r>
      <w:r w:rsidR="00237625">
        <w:rPr>
          <w:rFonts w:ascii="Times New Roman" w:eastAsia="Times New Roman" w:hAnsi="Times New Roman" w:cs="Times New Roman"/>
          <w:noProof/>
          <w:sz w:val="24"/>
          <w:szCs w:val="24"/>
          <w:lang w:val="en-IE"/>
        </w:rPr>
        <w:t>r</w:t>
      </w:r>
      <w:r w:rsidR="001F1738" w:rsidRPr="00E03D97">
        <w:rPr>
          <w:rFonts w:ascii="Times New Roman" w:eastAsia="Times New Roman" w:hAnsi="Times New Roman" w:cs="Times New Roman"/>
          <w:noProof/>
          <w:sz w:val="24"/>
          <w:szCs w:val="24"/>
          <w:lang w:val="en-IE"/>
        </w:rPr>
        <w:t xml:space="preserve">egulation </w:t>
      </w:r>
      <w:r w:rsidR="00237625">
        <w:rPr>
          <w:rFonts w:ascii="Times New Roman" w:eastAsia="Times New Roman" w:hAnsi="Times New Roman" w:cs="Times New Roman"/>
          <w:noProof/>
          <w:sz w:val="24"/>
          <w:szCs w:val="24"/>
          <w:lang w:val="en-IE"/>
        </w:rPr>
        <w:t>to</w:t>
      </w:r>
      <w:r w:rsidR="00237625"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revise and replace existing</w:t>
      </w:r>
      <w:r w:rsidR="002B1144">
        <w:rPr>
          <w:rFonts w:ascii="Times New Roman" w:eastAsia="Times New Roman" w:hAnsi="Times New Roman" w:cs="Times New Roman"/>
          <w:noProof/>
          <w:sz w:val="24"/>
          <w:szCs w:val="24"/>
          <w:lang w:val="en-IE"/>
        </w:rPr>
        <w:t xml:space="preserve"> Union</w:t>
      </w:r>
      <w:r w:rsidR="001F1738" w:rsidRPr="00E03D97">
        <w:rPr>
          <w:rFonts w:ascii="Times New Roman" w:eastAsia="Times New Roman" w:hAnsi="Times New Roman" w:cs="Times New Roman"/>
          <w:noProof/>
          <w:sz w:val="24"/>
          <w:szCs w:val="24"/>
          <w:lang w:val="en-IE"/>
        </w:rPr>
        <w:t xml:space="preserve"> general pharmaceutical legislation</w:t>
      </w:r>
      <w:r w:rsidR="001F1738" w:rsidRPr="00E03D97">
        <w:rPr>
          <w:rFonts w:ascii="Times New Roman" w:eastAsia="Times New Roman" w:hAnsi="Times New Roman" w:cs="Times New Roman"/>
          <w:noProof/>
          <w:sz w:val="24"/>
          <w:szCs w:val="24"/>
          <w:vertAlign w:val="superscript"/>
          <w:lang w:val="en-IE"/>
        </w:rPr>
        <w:footnoteReference w:id="23"/>
      </w:r>
      <w:r w:rsidR="001F1738" w:rsidRPr="00E03D97">
        <w:rPr>
          <w:rFonts w:ascii="Times New Roman" w:eastAsia="Times New Roman" w:hAnsi="Times New Roman" w:cs="Times New Roman"/>
          <w:noProof/>
          <w:sz w:val="24"/>
          <w:szCs w:val="24"/>
          <w:lang w:val="en-IE"/>
        </w:rPr>
        <w:t xml:space="preserve">. </w:t>
      </w:r>
      <w:r w:rsidR="00994E7B">
        <w:rPr>
          <w:rFonts w:ascii="Times New Roman" w:eastAsia="Times New Roman" w:hAnsi="Times New Roman" w:cs="Times New Roman"/>
          <w:noProof/>
          <w:sz w:val="24"/>
          <w:szCs w:val="24"/>
          <w:lang w:val="en-IE"/>
        </w:rPr>
        <w:t>These proposals contain</w:t>
      </w:r>
      <w:r w:rsidR="001F1738" w:rsidRPr="00E03D97">
        <w:rPr>
          <w:rFonts w:ascii="Times New Roman" w:eastAsia="Times New Roman" w:hAnsi="Times New Roman" w:cs="Times New Roman"/>
          <w:noProof/>
          <w:sz w:val="24"/>
          <w:szCs w:val="24"/>
          <w:lang w:val="en-IE"/>
        </w:rPr>
        <w:t xml:space="preserve"> measures to improve innovation and access to medicines in the EU, including antimicrobials. </w:t>
      </w:r>
      <w:r w:rsidR="00994E7B">
        <w:rPr>
          <w:rFonts w:ascii="Times New Roman" w:eastAsia="Times New Roman" w:hAnsi="Times New Roman" w:cs="Times New Roman"/>
          <w:noProof/>
          <w:sz w:val="24"/>
          <w:szCs w:val="24"/>
          <w:lang w:val="en-IE"/>
        </w:rPr>
        <w:t xml:space="preserve">Some </w:t>
      </w:r>
      <w:r w:rsidR="001F1738" w:rsidRPr="00E03D97">
        <w:rPr>
          <w:rFonts w:ascii="Times New Roman" w:eastAsia="Times New Roman" w:hAnsi="Times New Roman" w:cs="Times New Roman"/>
          <w:noProof/>
          <w:sz w:val="24"/>
          <w:szCs w:val="24"/>
          <w:lang w:val="en-IE"/>
        </w:rPr>
        <w:t>measures</w:t>
      </w:r>
      <w:r w:rsidRPr="00E03D97">
        <w:rPr>
          <w:rFonts w:ascii="Times New Roman" w:eastAsia="Times New Roman" w:hAnsi="Times New Roman" w:cs="Times New Roman"/>
          <w:noProof/>
          <w:sz w:val="24"/>
          <w:szCs w:val="24"/>
          <w:lang w:val="en-IE"/>
        </w:rPr>
        <w:t xml:space="preserve"> specifically address AMR</w:t>
      </w:r>
      <w:r w:rsidR="001F1738" w:rsidRPr="00E03D97">
        <w:rPr>
          <w:rFonts w:ascii="Times New Roman" w:eastAsia="Times New Roman" w:hAnsi="Times New Roman" w:cs="Times New Roman"/>
          <w:noProof/>
          <w:sz w:val="24"/>
          <w:szCs w:val="24"/>
          <w:lang w:val="en-IE"/>
        </w:rPr>
        <w:t xml:space="preserve">, </w:t>
      </w:r>
      <w:r w:rsidR="00994E7B">
        <w:rPr>
          <w:rFonts w:ascii="Times New Roman" w:eastAsia="Times New Roman" w:hAnsi="Times New Roman" w:cs="Times New Roman"/>
          <w:noProof/>
          <w:sz w:val="24"/>
          <w:szCs w:val="24"/>
          <w:lang w:val="en-IE"/>
        </w:rPr>
        <w:t>in conjunction with</w:t>
      </w:r>
      <w:r w:rsidR="001F1738"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the</w:t>
      </w:r>
      <w:r w:rsidR="001F1738" w:rsidRPr="00E03D97">
        <w:rPr>
          <w:rFonts w:ascii="Times New Roman" w:eastAsia="Times New Roman" w:hAnsi="Times New Roman" w:cs="Times New Roman"/>
          <w:noProof/>
          <w:sz w:val="24"/>
          <w:szCs w:val="24"/>
          <w:lang w:val="en-IE"/>
        </w:rPr>
        <w:t xml:space="preserve"> </w:t>
      </w:r>
      <w:r w:rsidR="00CA6122">
        <w:rPr>
          <w:rFonts w:ascii="Times New Roman" w:eastAsia="Times New Roman" w:hAnsi="Times New Roman" w:cs="Times New Roman"/>
          <w:noProof/>
          <w:sz w:val="24"/>
          <w:szCs w:val="24"/>
          <w:lang w:val="en-IE"/>
        </w:rPr>
        <w:t xml:space="preserve">above-mentioned </w:t>
      </w:r>
      <w:r w:rsidR="001F1738" w:rsidRPr="00E03D97">
        <w:rPr>
          <w:rFonts w:ascii="Times New Roman" w:eastAsia="Times New Roman" w:hAnsi="Times New Roman" w:cs="Times New Roman"/>
          <w:noProof/>
          <w:sz w:val="24"/>
          <w:szCs w:val="24"/>
          <w:lang w:val="en-IE"/>
        </w:rPr>
        <w:t>Council Recommendation</w:t>
      </w:r>
      <w:r w:rsidRPr="00E03D97">
        <w:rPr>
          <w:rFonts w:ascii="Times New Roman" w:eastAsia="Times New Roman" w:hAnsi="Times New Roman" w:cs="Times New Roman"/>
          <w:noProof/>
          <w:sz w:val="24"/>
          <w:szCs w:val="24"/>
          <w:lang w:val="en-IE"/>
        </w:rPr>
        <w:t xml:space="preserve">, </w:t>
      </w:r>
      <w:r w:rsidR="002B1144">
        <w:rPr>
          <w:rFonts w:ascii="Times New Roman" w:eastAsia="Times New Roman" w:hAnsi="Times New Roman" w:cs="Times New Roman"/>
          <w:noProof/>
          <w:sz w:val="24"/>
          <w:szCs w:val="24"/>
          <w:lang w:val="en-IE"/>
        </w:rPr>
        <w:t xml:space="preserve">which aim to </w:t>
      </w:r>
      <w:r w:rsidRPr="00E03D97">
        <w:rPr>
          <w:rFonts w:ascii="Times New Roman" w:eastAsia="Times New Roman" w:hAnsi="Times New Roman" w:cs="Times New Roman"/>
          <w:noProof/>
          <w:sz w:val="24"/>
          <w:szCs w:val="24"/>
          <w:lang w:val="en-IE"/>
        </w:rPr>
        <w:t>strengthen the prudent use of antimicrobials and includ</w:t>
      </w:r>
      <w:r w:rsidR="002B1144">
        <w:rPr>
          <w:rFonts w:ascii="Times New Roman" w:eastAsia="Times New Roman" w:hAnsi="Times New Roman" w:cs="Times New Roman"/>
          <w:noProof/>
          <w:sz w:val="24"/>
          <w:szCs w:val="24"/>
          <w:lang w:val="en-IE"/>
        </w:rPr>
        <w:t>e</w:t>
      </w:r>
      <w:r w:rsidR="001F1738" w:rsidRPr="00E03D97">
        <w:rPr>
          <w:rFonts w:ascii="Times New Roman" w:eastAsia="Times New Roman" w:hAnsi="Times New Roman" w:cs="Times New Roman"/>
          <w:noProof/>
          <w:sz w:val="24"/>
          <w:szCs w:val="24"/>
          <w:lang w:val="en-IE"/>
        </w:rPr>
        <w:t xml:space="preserve"> </w:t>
      </w:r>
      <w:r w:rsidR="00CA6122">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transferable data</w:t>
      </w:r>
      <w:r w:rsidR="00425C94">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protection vouchers</w:t>
      </w:r>
      <w:r w:rsidR="00CA6122">
        <w:rPr>
          <w:rFonts w:ascii="Times New Roman" w:eastAsia="Times New Roman" w:hAnsi="Times New Roman" w:cs="Times New Roman"/>
          <w:noProof/>
          <w:sz w:val="24"/>
          <w:szCs w:val="24"/>
          <w:lang w:val="en-IE"/>
        </w:rPr>
        <w:t>’</w:t>
      </w:r>
      <w:r w:rsidR="004A3885">
        <w:rPr>
          <w:rStyle w:val="FootnoteReference"/>
          <w:rFonts w:ascii="Times New Roman" w:eastAsia="Times New Roman" w:hAnsi="Times New Roman" w:cs="Times New Roman"/>
          <w:noProof/>
          <w:sz w:val="24"/>
          <w:szCs w:val="24"/>
        </w:rPr>
        <w:footnoteReference w:id="24"/>
      </w:r>
      <w:r w:rsidR="001F1738" w:rsidRPr="00E03D97">
        <w:rPr>
          <w:rFonts w:ascii="Times New Roman" w:eastAsia="Times New Roman" w:hAnsi="Times New Roman" w:cs="Times New Roman"/>
          <w:noProof/>
          <w:sz w:val="24"/>
          <w:szCs w:val="24"/>
          <w:lang w:val="en-IE"/>
        </w:rPr>
        <w:t xml:space="preserve"> to incentivise the development of novel antibiotics.</w:t>
      </w:r>
      <w:r w:rsidRPr="00E03D97">
        <w:rPr>
          <w:rFonts w:ascii="Times New Roman" w:eastAsia="Times New Roman" w:hAnsi="Times New Roman" w:cs="Times New Roman"/>
          <w:noProof/>
          <w:sz w:val="24"/>
          <w:szCs w:val="24"/>
          <w:lang w:val="en-IE"/>
        </w:rPr>
        <w:t xml:space="preserve"> </w:t>
      </w:r>
      <w:r w:rsidR="00CA6122">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ligibility </w:t>
      </w:r>
      <w:r w:rsidR="00CA6122">
        <w:rPr>
          <w:rFonts w:ascii="Times New Roman" w:eastAsia="Times New Roman" w:hAnsi="Times New Roman" w:cs="Times New Roman"/>
          <w:noProof/>
          <w:sz w:val="24"/>
          <w:szCs w:val="24"/>
          <w:lang w:val="en-IE"/>
        </w:rPr>
        <w:t xml:space="preserve">for </w:t>
      </w:r>
      <w:r w:rsidRPr="00E03D97">
        <w:rPr>
          <w:rFonts w:ascii="Times New Roman" w:eastAsia="Times New Roman" w:hAnsi="Times New Roman" w:cs="Times New Roman"/>
          <w:noProof/>
          <w:sz w:val="24"/>
          <w:szCs w:val="24"/>
          <w:lang w:val="en-IE"/>
        </w:rPr>
        <w:t>the voucher scheme w</w:t>
      </w:r>
      <w:r w:rsidR="002B1144">
        <w:rPr>
          <w:rFonts w:ascii="Times New Roman" w:eastAsia="Times New Roman" w:hAnsi="Times New Roman" w:cs="Times New Roman"/>
          <w:noProof/>
          <w:sz w:val="24"/>
          <w:szCs w:val="24"/>
          <w:lang w:val="en-IE"/>
        </w:rPr>
        <w:t>ould</w:t>
      </w:r>
      <w:r w:rsidRPr="00E03D97">
        <w:rPr>
          <w:rFonts w:ascii="Times New Roman" w:eastAsia="Times New Roman" w:hAnsi="Times New Roman" w:cs="Times New Roman"/>
          <w:noProof/>
          <w:sz w:val="24"/>
          <w:szCs w:val="24"/>
          <w:lang w:val="en-IE"/>
        </w:rPr>
        <w:t xml:space="preserve"> be restricted to </w:t>
      </w:r>
      <w:r w:rsidR="004A3885">
        <w:rPr>
          <w:rFonts w:ascii="Times New Roman" w:eastAsia="Times New Roman" w:hAnsi="Times New Roman" w:cs="Times New Roman"/>
          <w:noProof/>
          <w:sz w:val="24"/>
          <w:szCs w:val="24"/>
          <w:lang w:val="en-IE"/>
        </w:rPr>
        <w:t xml:space="preserve">novel </w:t>
      </w:r>
      <w:r w:rsidRPr="00E03D97">
        <w:rPr>
          <w:rFonts w:ascii="Times New Roman" w:eastAsia="Times New Roman" w:hAnsi="Times New Roman" w:cs="Times New Roman"/>
          <w:noProof/>
          <w:sz w:val="24"/>
          <w:szCs w:val="24"/>
          <w:lang w:val="en-IE"/>
        </w:rPr>
        <w:t xml:space="preserve">antimicrobials that address </w:t>
      </w:r>
      <w:r w:rsidR="00CA6122">
        <w:rPr>
          <w:rFonts w:ascii="Times New Roman" w:eastAsia="Times New Roman" w:hAnsi="Times New Roman" w:cs="Times New Roman"/>
          <w:noProof/>
          <w:sz w:val="24"/>
          <w:szCs w:val="24"/>
          <w:lang w:val="en-IE"/>
        </w:rPr>
        <w:t>AMR</w:t>
      </w:r>
      <w:r w:rsidRPr="00E03D97">
        <w:rPr>
          <w:rFonts w:ascii="Times New Roman" w:eastAsia="Times New Roman" w:hAnsi="Times New Roman" w:cs="Times New Roman"/>
          <w:noProof/>
          <w:sz w:val="24"/>
          <w:szCs w:val="24"/>
          <w:lang w:val="en-IE"/>
        </w:rPr>
        <w:t xml:space="preserve"> and the priority pathogens recognised by </w:t>
      </w:r>
      <w:r w:rsidR="00CA6122">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W</w:t>
      </w:r>
      <w:r w:rsidR="00CA6122">
        <w:rPr>
          <w:rFonts w:ascii="Times New Roman" w:eastAsia="Times New Roman" w:hAnsi="Times New Roman" w:cs="Times New Roman"/>
          <w:noProof/>
          <w:sz w:val="24"/>
          <w:szCs w:val="24"/>
          <w:lang w:val="en-IE"/>
        </w:rPr>
        <w:t>orld Health Organization (W</w:t>
      </w:r>
      <w:r w:rsidRPr="00E03D97">
        <w:rPr>
          <w:rFonts w:ascii="Times New Roman" w:eastAsia="Times New Roman" w:hAnsi="Times New Roman" w:cs="Times New Roman"/>
          <w:noProof/>
          <w:sz w:val="24"/>
          <w:szCs w:val="24"/>
          <w:lang w:val="en-IE"/>
        </w:rPr>
        <w:t>HO</w:t>
      </w:r>
      <w:r w:rsidR="00CA6122">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sidR="00CA6122">
        <w:rPr>
          <w:rFonts w:ascii="Times New Roman" w:eastAsia="Times New Roman" w:hAnsi="Times New Roman" w:cs="Times New Roman"/>
          <w:noProof/>
          <w:sz w:val="24"/>
          <w:szCs w:val="24"/>
          <w:lang w:val="en-IE"/>
        </w:rPr>
        <w:t>T</w:t>
      </w:r>
      <w:r w:rsidRPr="00E03D97">
        <w:rPr>
          <w:rFonts w:ascii="Times New Roman" w:eastAsia="Times New Roman" w:hAnsi="Times New Roman" w:cs="Times New Roman"/>
          <w:noProof/>
          <w:sz w:val="24"/>
          <w:szCs w:val="24"/>
          <w:lang w:val="en-IE"/>
        </w:rPr>
        <w:t>he Council Recommendation</w:t>
      </w:r>
      <w:r w:rsidR="002B1144">
        <w:rPr>
          <w:rFonts w:ascii="Times New Roman" w:eastAsia="Times New Roman" w:hAnsi="Times New Roman" w:cs="Times New Roman"/>
          <w:noProof/>
          <w:sz w:val="24"/>
          <w:szCs w:val="24"/>
          <w:lang w:val="en-IE"/>
        </w:rPr>
        <w:t xml:space="preserve"> </w:t>
      </w:r>
      <w:r w:rsidR="002B1144" w:rsidRPr="002B1144">
        <w:rPr>
          <w:rFonts w:ascii="Times New Roman" w:eastAsia="Times New Roman" w:hAnsi="Times New Roman" w:cs="Times New Roman"/>
          <w:noProof/>
          <w:sz w:val="24"/>
          <w:szCs w:val="24"/>
        </w:rPr>
        <w:t>on stepping up EU actions to combat AMR</w:t>
      </w:r>
      <w:r w:rsidRPr="00E03D97">
        <w:rPr>
          <w:rFonts w:ascii="Times New Roman" w:eastAsia="Times New Roman" w:hAnsi="Times New Roman" w:cs="Times New Roman"/>
          <w:noProof/>
          <w:sz w:val="24"/>
          <w:szCs w:val="24"/>
          <w:lang w:val="en-IE"/>
        </w:rPr>
        <w:t xml:space="preserve"> </w:t>
      </w:r>
      <w:r w:rsidR="00CA6122">
        <w:rPr>
          <w:rFonts w:ascii="Times New Roman" w:eastAsia="Times New Roman" w:hAnsi="Times New Roman" w:cs="Times New Roman"/>
          <w:noProof/>
          <w:sz w:val="24"/>
          <w:szCs w:val="24"/>
          <w:lang w:val="en-IE"/>
        </w:rPr>
        <w:t xml:space="preserve">also </w:t>
      </w:r>
      <w:r w:rsidRPr="00E03D97">
        <w:rPr>
          <w:rFonts w:ascii="Times New Roman" w:eastAsia="Times New Roman" w:hAnsi="Times New Roman" w:cs="Times New Roman"/>
          <w:noProof/>
          <w:sz w:val="24"/>
          <w:szCs w:val="24"/>
          <w:lang w:val="en-IE"/>
        </w:rPr>
        <w:t>welcomed the Commission</w:t>
      </w:r>
      <w:r w:rsidR="00CA6122">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intention to design an EU multi-country </w:t>
      </w:r>
      <w:r w:rsidR="00650C17">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pull</w:t>
      </w:r>
      <w:r w:rsidR="00650C17">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incentive scheme to improve innovation, the development of new antimicrobials and access to existing and new antimicrobials, with financial support from the EU4Health programme</w:t>
      </w:r>
      <w:r w:rsidR="002F4CA6">
        <w:rPr>
          <w:rStyle w:val="FootnoteReference"/>
          <w:rFonts w:ascii="Times New Roman" w:eastAsia="Times New Roman" w:hAnsi="Times New Roman" w:cs="Times New Roman"/>
          <w:noProof/>
          <w:sz w:val="24"/>
          <w:szCs w:val="24"/>
        </w:rPr>
        <w:footnoteReference w:id="25"/>
      </w:r>
      <w:r w:rsidRPr="00E03D97">
        <w:rPr>
          <w:rFonts w:ascii="Times New Roman" w:eastAsia="Times New Roman" w:hAnsi="Times New Roman" w:cs="Times New Roman"/>
          <w:noProof/>
          <w:sz w:val="24"/>
          <w:szCs w:val="24"/>
          <w:lang w:val="en-IE"/>
        </w:rPr>
        <w:t>.</w:t>
      </w:r>
      <w:r w:rsidR="006C6E3F" w:rsidRPr="00E03D97">
        <w:rPr>
          <w:rFonts w:ascii="Times New Roman" w:eastAsia="Times New Roman" w:hAnsi="Times New Roman" w:cs="Times New Roman"/>
          <w:noProof/>
          <w:sz w:val="24"/>
          <w:szCs w:val="24"/>
          <w:lang w:val="en-IE"/>
        </w:rPr>
        <w:t xml:space="preserve"> </w:t>
      </w:r>
    </w:p>
    <w:p w14:paraId="2A6557E9" w14:textId="01FEB5E5" w:rsidR="00DC40EF" w:rsidRPr="00E03D97" w:rsidRDefault="00DC40EF"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251752">
        <w:rPr>
          <w:rFonts w:ascii="Times New Roman" w:eastAsia="Times New Roman" w:hAnsi="Times New Roman" w:cs="Times New Roman"/>
          <w:noProof/>
          <w:sz w:val="24"/>
          <w:szCs w:val="24"/>
          <w:lang w:val="en-IE"/>
        </w:rPr>
        <w:t xml:space="preserve">As regards the availability of existing antibiotics and prevention of their shortages during the 2023 autumn and winter season, </w:t>
      </w:r>
      <w:r w:rsidR="002F4CA6">
        <w:rPr>
          <w:rFonts w:ascii="Times New Roman" w:eastAsia="Times New Roman" w:hAnsi="Times New Roman" w:cs="Times New Roman"/>
          <w:noProof/>
          <w:sz w:val="24"/>
          <w:szCs w:val="24"/>
          <w:lang w:val="en-IE"/>
        </w:rPr>
        <w:t>the Commission</w:t>
      </w:r>
      <w:r w:rsidRPr="00251752">
        <w:rPr>
          <w:rFonts w:ascii="Times New Roman" w:eastAsia="Times New Roman" w:hAnsi="Times New Roman" w:cs="Times New Roman"/>
          <w:noProof/>
          <w:sz w:val="24"/>
          <w:szCs w:val="24"/>
          <w:lang w:val="en-IE"/>
        </w:rPr>
        <w:t xml:space="preserve"> together with </w:t>
      </w:r>
      <w:r w:rsidR="00AC1530">
        <w:rPr>
          <w:rFonts w:ascii="Times New Roman" w:eastAsia="Times New Roman" w:hAnsi="Times New Roman" w:cs="Times New Roman"/>
          <w:noProof/>
          <w:sz w:val="24"/>
          <w:szCs w:val="24"/>
          <w:lang w:val="en-IE"/>
        </w:rPr>
        <w:t xml:space="preserve">the </w:t>
      </w:r>
      <w:r w:rsidRPr="00251752">
        <w:rPr>
          <w:rFonts w:ascii="Times New Roman" w:eastAsia="Times New Roman" w:hAnsi="Times New Roman" w:cs="Times New Roman"/>
          <w:noProof/>
          <w:sz w:val="24"/>
          <w:szCs w:val="24"/>
          <w:lang w:val="en-IE"/>
        </w:rPr>
        <w:t>EMA monitor the supply and demand of key antibiotics used in the treatment of respiratory infections.</w:t>
      </w:r>
      <w:r w:rsidR="00831B85">
        <w:rPr>
          <w:rStyle w:val="FootnoteReference"/>
          <w:rFonts w:ascii="Times New Roman" w:eastAsia="Times New Roman" w:hAnsi="Times New Roman" w:cs="Times New Roman"/>
          <w:noProof/>
          <w:sz w:val="24"/>
          <w:szCs w:val="24"/>
        </w:rPr>
        <w:footnoteReference w:id="26"/>
      </w:r>
      <w:r w:rsidRPr="00251752">
        <w:rPr>
          <w:rFonts w:ascii="Times New Roman" w:eastAsia="Times New Roman" w:hAnsi="Times New Roman" w:cs="Times New Roman"/>
          <w:noProof/>
          <w:sz w:val="24"/>
          <w:szCs w:val="24"/>
          <w:lang w:val="en-IE"/>
        </w:rPr>
        <w:t xml:space="preserve"> Based on the results of this monitoring, the EMA Executive Steering Group on Shortages and Safety of Medicinal Products issued recommendations to ensure the availability of antibiotics at potential risk of shortages. As announced in the </w:t>
      </w:r>
      <w:r w:rsidR="00AC1530">
        <w:rPr>
          <w:rFonts w:ascii="Times New Roman" w:eastAsia="Times New Roman" w:hAnsi="Times New Roman" w:cs="Times New Roman"/>
          <w:noProof/>
          <w:sz w:val="24"/>
          <w:szCs w:val="24"/>
          <w:lang w:val="en-IE"/>
        </w:rPr>
        <w:t>C</w:t>
      </w:r>
      <w:r w:rsidRPr="00251752">
        <w:rPr>
          <w:rFonts w:ascii="Times New Roman" w:eastAsia="Times New Roman" w:hAnsi="Times New Roman" w:cs="Times New Roman"/>
          <w:noProof/>
          <w:sz w:val="24"/>
          <w:szCs w:val="24"/>
          <w:lang w:val="en-IE"/>
        </w:rPr>
        <w:t>ommunication on addressing</w:t>
      </w:r>
      <w:r w:rsidR="009F619B">
        <w:rPr>
          <w:rFonts w:ascii="Times New Roman" w:eastAsia="Times New Roman" w:hAnsi="Times New Roman" w:cs="Times New Roman"/>
          <w:noProof/>
          <w:sz w:val="24"/>
          <w:szCs w:val="24"/>
          <w:lang w:val="en-IE"/>
        </w:rPr>
        <w:t xml:space="preserve"> medicine</w:t>
      </w:r>
      <w:r w:rsidRPr="00251752">
        <w:rPr>
          <w:rFonts w:ascii="Times New Roman" w:eastAsia="Times New Roman" w:hAnsi="Times New Roman" w:cs="Times New Roman"/>
          <w:noProof/>
          <w:sz w:val="24"/>
          <w:szCs w:val="24"/>
          <w:lang w:val="en-IE"/>
        </w:rPr>
        <w:t xml:space="preserve"> shortages in the EU</w:t>
      </w:r>
      <w:r w:rsidR="009F619B" w:rsidRPr="009F619B">
        <w:rPr>
          <w:rStyle w:val="FootnoteReference"/>
          <w:rFonts w:ascii="Times New Roman" w:eastAsia="Times New Roman" w:hAnsi="Times New Roman" w:cs="Times New Roman"/>
          <w:noProof/>
          <w:sz w:val="24"/>
          <w:szCs w:val="24"/>
        </w:rPr>
        <w:footnoteReference w:id="27"/>
      </w:r>
      <w:r w:rsidRPr="00251752">
        <w:rPr>
          <w:rFonts w:ascii="Times New Roman" w:eastAsia="Times New Roman" w:hAnsi="Times New Roman" w:cs="Times New Roman"/>
          <w:noProof/>
          <w:sz w:val="24"/>
          <w:szCs w:val="24"/>
          <w:lang w:val="en-IE"/>
        </w:rPr>
        <w:t xml:space="preserve">, the Commission and EMA will continue to closely monitor the </w:t>
      </w:r>
      <w:r w:rsidRPr="00251752">
        <w:rPr>
          <w:rFonts w:ascii="Times New Roman" w:eastAsia="Times New Roman" w:hAnsi="Times New Roman" w:cs="Times New Roman"/>
          <w:noProof/>
          <w:sz w:val="24"/>
          <w:szCs w:val="24"/>
        </w:rPr>
        <w:t>situation.</w:t>
      </w:r>
    </w:p>
    <w:p w14:paraId="1BEAB647" w14:textId="0679CD0E"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eastAsia="en-IE"/>
        </w:rPr>
      </w:pPr>
      <w:r w:rsidRPr="00E03D97">
        <w:rPr>
          <w:rFonts w:ascii="Times New Roman" w:eastAsia="Times New Roman" w:hAnsi="Times New Roman" w:cs="Times New Roman"/>
          <w:noProof/>
          <w:sz w:val="24"/>
          <w:szCs w:val="24"/>
          <w:lang w:val="en-IE" w:eastAsia="en-IE"/>
        </w:rPr>
        <w:t xml:space="preserve">The Commission </w:t>
      </w:r>
      <w:r w:rsidR="00B046F4">
        <w:rPr>
          <w:rFonts w:ascii="Times New Roman" w:eastAsia="Times New Roman" w:hAnsi="Times New Roman" w:cs="Times New Roman"/>
          <w:noProof/>
          <w:sz w:val="24"/>
          <w:szCs w:val="24"/>
          <w:lang w:val="en-IE" w:eastAsia="en-IE"/>
        </w:rPr>
        <w:t xml:space="preserve">is </w:t>
      </w:r>
      <w:r w:rsidR="00C371B7" w:rsidRPr="00E03D97">
        <w:rPr>
          <w:rFonts w:ascii="Times New Roman" w:eastAsia="Times New Roman" w:hAnsi="Times New Roman" w:cs="Times New Roman"/>
          <w:noProof/>
          <w:sz w:val="24"/>
          <w:szCs w:val="24"/>
          <w:lang w:val="en-IE" w:eastAsia="en-IE"/>
        </w:rPr>
        <w:t xml:space="preserve">further </w:t>
      </w:r>
      <w:r w:rsidRPr="00E03D97">
        <w:rPr>
          <w:rFonts w:ascii="Times New Roman" w:eastAsia="Times New Roman" w:hAnsi="Times New Roman" w:cs="Times New Roman"/>
          <w:noProof/>
          <w:sz w:val="24"/>
          <w:szCs w:val="24"/>
          <w:lang w:val="en-IE" w:eastAsia="en-IE"/>
        </w:rPr>
        <w:t>support</w:t>
      </w:r>
      <w:r w:rsidR="00B046F4">
        <w:rPr>
          <w:rFonts w:ascii="Times New Roman" w:eastAsia="Times New Roman" w:hAnsi="Times New Roman" w:cs="Times New Roman"/>
          <w:noProof/>
          <w:sz w:val="24"/>
          <w:szCs w:val="24"/>
          <w:lang w:val="en-IE" w:eastAsia="en-IE"/>
        </w:rPr>
        <w:t>ing</w:t>
      </w:r>
      <w:r w:rsidRPr="00E03D97">
        <w:rPr>
          <w:rFonts w:ascii="Times New Roman" w:eastAsia="Times New Roman" w:hAnsi="Times New Roman" w:cs="Times New Roman"/>
          <w:noProof/>
          <w:sz w:val="24"/>
          <w:szCs w:val="24"/>
          <w:lang w:val="en-IE" w:eastAsia="en-IE"/>
        </w:rPr>
        <w:t xml:space="preserve"> the development of and access to preventive, diagnostic and therapeutic medical countermeasures against AMR through its work</w:t>
      </w:r>
      <w:r w:rsidR="00B046F4">
        <w:rPr>
          <w:rFonts w:ascii="Times New Roman" w:eastAsia="Times New Roman" w:hAnsi="Times New Roman" w:cs="Times New Roman"/>
          <w:noProof/>
          <w:sz w:val="24"/>
          <w:szCs w:val="24"/>
          <w:lang w:val="en-IE" w:eastAsia="en-IE"/>
        </w:rPr>
        <w:t>. This support includes</w:t>
      </w:r>
      <w:r w:rsidRPr="00E03D97">
        <w:rPr>
          <w:rFonts w:ascii="Times New Roman" w:eastAsia="Times New Roman" w:hAnsi="Times New Roman" w:cs="Times New Roman"/>
          <w:noProof/>
          <w:sz w:val="24"/>
          <w:szCs w:val="24"/>
          <w:lang w:val="en-IE" w:eastAsia="en-IE"/>
        </w:rPr>
        <w:t xml:space="preserve"> funding international bodies such as the </w:t>
      </w:r>
      <w:r w:rsidR="00CA6122">
        <w:rPr>
          <w:rFonts w:ascii="Times New Roman" w:eastAsia="Times New Roman" w:hAnsi="Times New Roman" w:cs="Times New Roman"/>
          <w:noProof/>
          <w:sz w:val="24"/>
          <w:szCs w:val="24"/>
          <w:lang w:val="en-IE" w:eastAsia="en-IE"/>
        </w:rPr>
        <w:t>WHO</w:t>
      </w:r>
      <w:r w:rsidRPr="00E03D97">
        <w:rPr>
          <w:rFonts w:ascii="Times New Roman" w:eastAsia="Times New Roman" w:hAnsi="Times New Roman" w:cs="Times New Roman"/>
          <w:noProof/>
          <w:sz w:val="24"/>
          <w:szCs w:val="24"/>
          <w:lang w:val="en-IE" w:eastAsia="en-IE"/>
        </w:rPr>
        <w:t>, the Global Antibiotic Research &amp; Development Partnership</w:t>
      </w:r>
      <w:r w:rsidRPr="00E03D97">
        <w:rPr>
          <w:rFonts w:ascii="Times New Roman" w:eastAsia="Times New Roman" w:hAnsi="Times New Roman" w:cs="Times New Roman"/>
          <w:noProof/>
          <w:sz w:val="24"/>
          <w:szCs w:val="24"/>
          <w:vertAlign w:val="superscript"/>
          <w:lang w:val="en-IE" w:eastAsia="en-IE"/>
        </w:rPr>
        <w:footnoteReference w:id="28"/>
      </w:r>
      <w:r w:rsidRPr="00E03D97">
        <w:rPr>
          <w:rFonts w:ascii="Times New Roman" w:eastAsia="Times New Roman" w:hAnsi="Times New Roman" w:cs="Times New Roman"/>
          <w:noProof/>
          <w:sz w:val="24"/>
          <w:szCs w:val="24"/>
          <w:lang w:val="en-IE" w:eastAsia="en-IE"/>
        </w:rPr>
        <w:t xml:space="preserve"> and their joint initiative SECURE</w:t>
      </w:r>
      <w:r w:rsidRPr="00E03D97">
        <w:rPr>
          <w:rFonts w:ascii="Times New Roman" w:eastAsia="Times New Roman" w:hAnsi="Times New Roman" w:cs="Times New Roman"/>
          <w:noProof/>
          <w:sz w:val="24"/>
          <w:szCs w:val="24"/>
          <w:vertAlign w:val="superscript"/>
          <w:lang w:val="en-IE" w:eastAsia="en-IE"/>
        </w:rPr>
        <w:footnoteReference w:id="29"/>
      </w:r>
      <w:r w:rsidR="0009613C">
        <w:rPr>
          <w:rFonts w:ascii="Times New Roman" w:eastAsia="Times New Roman" w:hAnsi="Times New Roman" w:cs="Times New Roman"/>
          <w:noProof/>
          <w:sz w:val="24"/>
          <w:szCs w:val="24"/>
          <w:lang w:val="en-IE" w:eastAsia="en-IE"/>
        </w:rPr>
        <w:t>, which</w:t>
      </w:r>
      <w:r w:rsidRPr="00E03D97">
        <w:rPr>
          <w:rFonts w:ascii="Times New Roman" w:eastAsia="Times New Roman" w:hAnsi="Times New Roman" w:cs="Times New Roman"/>
          <w:noProof/>
          <w:sz w:val="24"/>
          <w:szCs w:val="24"/>
          <w:lang w:val="en-IE" w:eastAsia="en-IE"/>
        </w:rPr>
        <w:t xml:space="preserve"> </w:t>
      </w:r>
      <w:r w:rsidR="0009613C">
        <w:rPr>
          <w:rFonts w:ascii="Times New Roman" w:eastAsia="Times New Roman" w:hAnsi="Times New Roman" w:cs="Times New Roman"/>
          <w:noProof/>
          <w:sz w:val="24"/>
          <w:szCs w:val="24"/>
          <w:lang w:val="en-IE" w:eastAsia="en-IE"/>
        </w:rPr>
        <w:t xml:space="preserve">is </w:t>
      </w:r>
      <w:r w:rsidRPr="00E03D97">
        <w:rPr>
          <w:rFonts w:ascii="Times New Roman" w:eastAsia="Times New Roman" w:hAnsi="Times New Roman" w:cs="Times New Roman"/>
          <w:noProof/>
          <w:sz w:val="24"/>
          <w:szCs w:val="24"/>
          <w:lang w:val="en-IE" w:eastAsia="en-IE"/>
        </w:rPr>
        <w:t xml:space="preserve">working </w:t>
      </w:r>
      <w:r w:rsidR="0009613C">
        <w:rPr>
          <w:rFonts w:ascii="Times New Roman" w:eastAsia="Times New Roman" w:hAnsi="Times New Roman" w:cs="Times New Roman"/>
          <w:noProof/>
          <w:sz w:val="24"/>
          <w:szCs w:val="24"/>
          <w:lang w:val="en-IE" w:eastAsia="en-IE"/>
        </w:rPr>
        <w:t xml:space="preserve">to </w:t>
      </w:r>
      <w:r w:rsidRPr="00E03D97">
        <w:rPr>
          <w:rFonts w:ascii="Times New Roman" w:eastAsia="Times New Roman" w:hAnsi="Times New Roman" w:cs="Times New Roman"/>
          <w:noProof/>
          <w:sz w:val="24"/>
          <w:szCs w:val="24"/>
          <w:lang w:val="en-IE" w:eastAsia="en-IE"/>
        </w:rPr>
        <w:t>develop new antibiotics</w:t>
      </w:r>
      <w:r w:rsidRPr="00E03D97">
        <w:rPr>
          <w:rFonts w:ascii="Times New Roman" w:eastAsia="Times New Roman" w:hAnsi="Times New Roman" w:cs="Times New Roman"/>
          <w:noProof/>
          <w:sz w:val="24"/>
          <w:szCs w:val="24"/>
          <w:vertAlign w:val="superscript"/>
          <w:lang w:val="en-IE" w:eastAsia="en-IE"/>
        </w:rPr>
        <w:footnoteReference w:id="30"/>
      </w:r>
      <w:r w:rsidR="00DC40EF">
        <w:rPr>
          <w:rFonts w:ascii="Times New Roman" w:eastAsia="Times New Roman" w:hAnsi="Times New Roman" w:cs="Times New Roman"/>
          <w:noProof/>
          <w:sz w:val="24"/>
          <w:szCs w:val="24"/>
          <w:lang w:val="en-IE" w:eastAsia="en-IE"/>
        </w:rPr>
        <w:t xml:space="preserve"> and</w:t>
      </w:r>
      <w:r w:rsidR="0009613C">
        <w:rPr>
          <w:rFonts w:ascii="Times New Roman" w:eastAsia="Times New Roman" w:hAnsi="Times New Roman" w:cs="Times New Roman"/>
          <w:noProof/>
          <w:sz w:val="24"/>
          <w:szCs w:val="24"/>
          <w:lang w:val="en-IE" w:eastAsia="en-IE"/>
        </w:rPr>
        <w:t xml:space="preserve"> </w:t>
      </w:r>
      <w:r w:rsidRPr="00E03D97">
        <w:rPr>
          <w:rFonts w:ascii="Times New Roman" w:eastAsia="Times New Roman" w:hAnsi="Times New Roman" w:cs="Times New Roman"/>
          <w:noProof/>
          <w:sz w:val="24"/>
          <w:szCs w:val="24"/>
          <w:lang w:val="en-IE" w:eastAsia="en-IE"/>
        </w:rPr>
        <w:t>vaccines against AMR infections</w:t>
      </w:r>
      <w:r w:rsidRPr="00E03D97">
        <w:rPr>
          <w:rFonts w:ascii="Times New Roman" w:eastAsia="Times New Roman" w:hAnsi="Times New Roman" w:cs="Times New Roman"/>
          <w:noProof/>
          <w:sz w:val="24"/>
          <w:szCs w:val="24"/>
          <w:vertAlign w:val="superscript"/>
          <w:lang w:val="en-IE" w:eastAsia="en-IE"/>
        </w:rPr>
        <w:footnoteReference w:id="31"/>
      </w:r>
      <w:r w:rsidRPr="00E03D97">
        <w:rPr>
          <w:rFonts w:ascii="Times New Roman" w:eastAsia="Times New Roman" w:hAnsi="Times New Roman" w:cs="Times New Roman"/>
          <w:noProof/>
          <w:sz w:val="24"/>
          <w:szCs w:val="24"/>
          <w:lang w:val="en-IE" w:eastAsia="en-IE"/>
        </w:rPr>
        <w:t>. HERA Invest, a</w:t>
      </w:r>
      <w:r w:rsidR="007E7492">
        <w:rPr>
          <w:rFonts w:ascii="Times New Roman" w:eastAsia="Times New Roman" w:hAnsi="Times New Roman" w:cs="Times New Roman"/>
          <w:noProof/>
          <w:sz w:val="24"/>
          <w:szCs w:val="24"/>
          <w:lang w:val="en-IE" w:eastAsia="en-IE"/>
        </w:rPr>
        <w:t>n</w:t>
      </w:r>
      <w:r w:rsidRPr="00E03D97">
        <w:rPr>
          <w:rFonts w:ascii="Times New Roman" w:eastAsia="Times New Roman" w:hAnsi="Times New Roman" w:cs="Times New Roman"/>
          <w:noProof/>
          <w:sz w:val="24"/>
          <w:szCs w:val="24"/>
          <w:lang w:val="en-IE" w:eastAsia="en-IE"/>
        </w:rPr>
        <w:t xml:space="preserve"> </w:t>
      </w:r>
      <w:r w:rsidR="0009613C">
        <w:rPr>
          <w:rFonts w:ascii="Times New Roman" w:eastAsia="Times New Roman" w:hAnsi="Times New Roman" w:cs="Times New Roman"/>
          <w:noProof/>
          <w:sz w:val="24"/>
          <w:szCs w:val="24"/>
          <w:lang w:val="en-IE" w:eastAsia="en-IE"/>
        </w:rPr>
        <w:t>EUR </w:t>
      </w:r>
      <w:r w:rsidRPr="00E03D97">
        <w:rPr>
          <w:rFonts w:ascii="Times New Roman" w:eastAsia="Times New Roman" w:hAnsi="Times New Roman" w:cs="Times New Roman"/>
          <w:noProof/>
          <w:sz w:val="24"/>
          <w:szCs w:val="24"/>
          <w:lang w:val="en-IE" w:eastAsia="en-IE"/>
        </w:rPr>
        <w:t>100</w:t>
      </w:r>
      <w:r w:rsidR="0009613C">
        <w:rPr>
          <w:rFonts w:ascii="Times New Roman" w:eastAsia="Times New Roman" w:hAnsi="Times New Roman" w:cs="Times New Roman"/>
          <w:noProof/>
          <w:sz w:val="24"/>
          <w:szCs w:val="24"/>
          <w:lang w:val="en-IE" w:eastAsia="en-IE"/>
        </w:rPr>
        <w:t> </w:t>
      </w:r>
      <w:r w:rsidRPr="00E03D97">
        <w:rPr>
          <w:rFonts w:ascii="Times New Roman" w:eastAsia="Times New Roman" w:hAnsi="Times New Roman" w:cs="Times New Roman"/>
          <w:noProof/>
          <w:sz w:val="24"/>
          <w:szCs w:val="24"/>
          <w:lang w:val="en-IE" w:eastAsia="en-IE"/>
        </w:rPr>
        <w:t xml:space="preserve">million top-up to the InvestEU programme, </w:t>
      </w:r>
      <w:r w:rsidR="008B36BB">
        <w:rPr>
          <w:rFonts w:ascii="Times New Roman" w:eastAsia="Times New Roman" w:hAnsi="Times New Roman" w:cs="Times New Roman"/>
          <w:noProof/>
          <w:sz w:val="24"/>
          <w:szCs w:val="24"/>
          <w:lang w:val="en-IE" w:eastAsia="en-IE"/>
        </w:rPr>
        <w:t xml:space="preserve">which is </w:t>
      </w:r>
      <w:r w:rsidRPr="00E03D97">
        <w:rPr>
          <w:rFonts w:ascii="Times New Roman" w:eastAsia="Times New Roman" w:hAnsi="Times New Roman" w:cs="Times New Roman"/>
          <w:noProof/>
          <w:sz w:val="24"/>
          <w:szCs w:val="24"/>
          <w:lang w:val="en-IE" w:eastAsia="en-IE"/>
        </w:rPr>
        <w:t>geared towards small and m</w:t>
      </w:r>
      <w:r w:rsidR="00942BC7">
        <w:rPr>
          <w:rFonts w:ascii="Times New Roman" w:eastAsia="Times New Roman" w:hAnsi="Times New Roman" w:cs="Times New Roman"/>
          <w:noProof/>
          <w:sz w:val="24"/>
          <w:szCs w:val="24"/>
          <w:lang w:val="en-IE" w:eastAsia="en-IE"/>
        </w:rPr>
        <w:t>edium</w:t>
      </w:r>
      <w:r w:rsidRPr="00E03D97">
        <w:rPr>
          <w:rFonts w:ascii="Times New Roman" w:eastAsia="Times New Roman" w:hAnsi="Times New Roman" w:cs="Times New Roman"/>
          <w:noProof/>
          <w:sz w:val="24"/>
          <w:szCs w:val="24"/>
          <w:lang w:val="en-IE" w:eastAsia="en-IE"/>
        </w:rPr>
        <w:t>-sized companies that develop medical countermeasures</w:t>
      </w:r>
      <w:r w:rsidR="008B36BB">
        <w:rPr>
          <w:rFonts w:ascii="Times New Roman" w:eastAsia="Times New Roman" w:hAnsi="Times New Roman" w:cs="Times New Roman"/>
          <w:noProof/>
          <w:sz w:val="24"/>
          <w:szCs w:val="24"/>
          <w:lang w:val="en-IE" w:eastAsia="en-IE"/>
        </w:rPr>
        <w:t>,</w:t>
      </w:r>
      <w:r w:rsidRPr="00E03D97">
        <w:rPr>
          <w:rFonts w:ascii="Times New Roman" w:eastAsia="Times New Roman" w:hAnsi="Times New Roman" w:cs="Times New Roman"/>
          <w:noProof/>
          <w:sz w:val="24"/>
          <w:szCs w:val="24"/>
          <w:lang w:val="en-IE" w:eastAsia="en-IE"/>
        </w:rPr>
        <w:t xml:space="preserve"> will also address AMR.</w:t>
      </w:r>
    </w:p>
    <w:p w14:paraId="165F72B9" w14:textId="54549049"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imes New Roman" w:hAnsi="Times New Roman" w:cs="Times New Roman"/>
          <w:noProof/>
          <w:sz w:val="24"/>
          <w:szCs w:val="24"/>
          <w:lang w:val="en-IE"/>
        </w:rPr>
        <w:t>At the same time, the EU’s</w:t>
      </w:r>
      <w:r w:rsidR="002B1144">
        <w:rPr>
          <w:rFonts w:ascii="Times New Roman" w:eastAsia="Times New Roman" w:hAnsi="Times New Roman" w:cs="Times New Roman"/>
          <w:noProof/>
          <w:sz w:val="24"/>
          <w:szCs w:val="24"/>
          <w:lang w:val="en-IE"/>
        </w:rPr>
        <w:t xml:space="preserve"> </w:t>
      </w:r>
      <w:r w:rsidR="002B1144" w:rsidRPr="002B1144">
        <w:rPr>
          <w:rFonts w:ascii="Times New Roman" w:eastAsia="Times New Roman" w:hAnsi="Times New Roman" w:cs="Times New Roman"/>
          <w:noProof/>
          <w:sz w:val="24"/>
          <w:szCs w:val="24"/>
          <w:lang w:val="en-IE"/>
        </w:rPr>
        <w:t>framework programme for</w:t>
      </w:r>
      <w:r w:rsidRPr="00E03D97">
        <w:rPr>
          <w:rFonts w:ascii="Times New Roman" w:eastAsia="Times New Roman" w:hAnsi="Times New Roman" w:cs="Times New Roman"/>
          <w:noProof/>
          <w:sz w:val="24"/>
          <w:szCs w:val="24"/>
          <w:lang w:val="en-IE"/>
        </w:rPr>
        <w:t xml:space="preserve"> research</w:t>
      </w:r>
      <w:r w:rsidR="002B1144">
        <w:rPr>
          <w:rFonts w:ascii="Times New Roman" w:eastAsia="Times New Roman" w:hAnsi="Times New Roman" w:cs="Times New Roman"/>
          <w:noProof/>
          <w:sz w:val="24"/>
          <w:szCs w:val="24"/>
          <w:lang w:val="en-IE"/>
        </w:rPr>
        <w:t xml:space="preserve"> </w:t>
      </w:r>
      <w:r w:rsidR="002B1144" w:rsidRPr="002B1144">
        <w:rPr>
          <w:rFonts w:ascii="Times New Roman" w:eastAsia="Times New Roman" w:hAnsi="Times New Roman" w:cs="Times New Roman"/>
          <w:noProof/>
          <w:sz w:val="24"/>
          <w:szCs w:val="24"/>
          <w:lang w:val="en-IE"/>
        </w:rPr>
        <w:t>and innovation</w:t>
      </w:r>
      <w:r w:rsidR="00AC1530">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Horizon Europe</w:t>
      </w:r>
      <w:r w:rsidR="00AC1530">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is delivering </w:t>
      </w:r>
      <w:r w:rsidR="0054387A">
        <w:rPr>
          <w:rFonts w:ascii="Times New Roman" w:eastAsia="Times New Roman" w:hAnsi="Times New Roman" w:cs="Times New Roman"/>
          <w:noProof/>
          <w:sz w:val="24"/>
          <w:szCs w:val="24"/>
          <w:lang w:val="en-IE"/>
        </w:rPr>
        <w:t>on</w:t>
      </w:r>
      <w:r w:rsidR="0054387A"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the objectives of the 2017 EU action plan and the 2023 Council Recommendation on AMR. In the past year it has provided support through a </w:t>
      </w:r>
      <w:r w:rsidR="0054387A">
        <w:rPr>
          <w:rFonts w:ascii="Times New Roman" w:eastAsia="Times New Roman" w:hAnsi="Times New Roman" w:cs="Times New Roman"/>
          <w:noProof/>
          <w:sz w:val="24"/>
          <w:szCs w:val="24"/>
          <w:lang w:val="en-IE"/>
        </w:rPr>
        <w:t>c</w:t>
      </w:r>
      <w:r w:rsidRPr="00E03D97">
        <w:rPr>
          <w:rFonts w:ascii="Times New Roman" w:eastAsia="Times New Roman" w:hAnsi="Times New Roman" w:cs="Times New Roman"/>
          <w:noProof/>
          <w:sz w:val="24"/>
          <w:szCs w:val="24"/>
          <w:lang w:val="en-IE"/>
        </w:rPr>
        <w:t xml:space="preserve">oordination and </w:t>
      </w:r>
      <w:r w:rsidR="0054387A">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upport </w:t>
      </w:r>
      <w:r w:rsidR="0054387A">
        <w:rPr>
          <w:rFonts w:ascii="Times New Roman" w:eastAsia="Times New Roman" w:hAnsi="Times New Roman" w:cs="Times New Roman"/>
          <w:noProof/>
          <w:sz w:val="24"/>
          <w:szCs w:val="24"/>
          <w:lang w:val="en-IE"/>
        </w:rPr>
        <w:t>a</w:t>
      </w:r>
      <w:r w:rsidRPr="00E03D97">
        <w:rPr>
          <w:rFonts w:ascii="Times New Roman" w:eastAsia="Times New Roman" w:hAnsi="Times New Roman" w:cs="Times New Roman"/>
          <w:noProof/>
          <w:sz w:val="24"/>
          <w:szCs w:val="24"/>
          <w:lang w:val="en-IE"/>
        </w:rPr>
        <w:t>ction, DESIGN OH AMR</w:t>
      </w:r>
      <w:r w:rsidR="002C56BE">
        <w:rPr>
          <w:rFonts w:ascii="Times New Roman" w:eastAsia="Times New Roman" w:hAnsi="Times New Roman" w:cs="Times New Roman"/>
          <w:noProof/>
          <w:sz w:val="24"/>
          <w:szCs w:val="24"/>
          <w:lang w:val="en-IE"/>
        </w:rPr>
        <w:t xml:space="preserve"> (DESIGN One Health AntiMicrobial Resistance)</w:t>
      </w:r>
      <w:r w:rsidRPr="00E03D97">
        <w:rPr>
          <w:rFonts w:ascii="Times New Roman" w:eastAsia="Times New Roman" w:hAnsi="Times New Roman" w:cs="Times New Roman"/>
          <w:noProof/>
          <w:sz w:val="24"/>
          <w:szCs w:val="24"/>
          <w:vertAlign w:val="superscript"/>
          <w:lang w:val="en-IE"/>
        </w:rPr>
        <w:footnoteReference w:id="32"/>
      </w:r>
      <w:r w:rsidRPr="00E03D97">
        <w:rPr>
          <w:rFonts w:ascii="Times New Roman" w:eastAsia="Times New Roman" w:hAnsi="Times New Roman" w:cs="Times New Roman"/>
          <w:noProof/>
          <w:sz w:val="24"/>
          <w:szCs w:val="24"/>
          <w:lang w:val="en-IE"/>
        </w:rPr>
        <w:t xml:space="preserve">, for </w:t>
      </w:r>
      <w:r w:rsidRPr="00E03D97">
        <w:rPr>
          <w:rFonts w:ascii="Times New Roman" w:eastAsiaTheme="minorEastAsia" w:hAnsi="Times New Roman" w:cs="Times New Roman"/>
          <w:noProof/>
          <w:sz w:val="24"/>
          <w:szCs w:val="24"/>
          <w:lang w:val="en-IE"/>
        </w:rPr>
        <w:t>the development of a European co-fund partnership on OH AMR research and innovation</w:t>
      </w:r>
      <w:r w:rsidR="00E14569">
        <w:rPr>
          <w:rFonts w:ascii="Times New Roman" w:eastAsiaTheme="minorEastAsia" w:hAnsi="Times New Roman" w:cs="Times New Roman"/>
          <w:noProof/>
          <w:sz w:val="24"/>
          <w:szCs w:val="24"/>
          <w:lang w:val="en-IE"/>
        </w:rPr>
        <w:t>, to be launched in 2025,</w:t>
      </w:r>
      <w:r w:rsidR="00F213C4">
        <w:rPr>
          <w:rFonts w:ascii="Times New Roman" w:eastAsiaTheme="minorEastAsia" w:hAnsi="Times New Roman" w:cs="Times New Roman"/>
          <w:noProof/>
          <w:sz w:val="24"/>
          <w:szCs w:val="24"/>
          <w:lang w:val="en-IE"/>
        </w:rPr>
        <w:t xml:space="preserve"> to which</w:t>
      </w:r>
      <w:r w:rsidRPr="00E03D97">
        <w:rPr>
          <w:rFonts w:ascii="Times New Roman" w:eastAsiaTheme="minorEastAsia" w:hAnsi="Times New Roman" w:cs="Times New Roman"/>
          <w:noProof/>
          <w:sz w:val="24"/>
          <w:szCs w:val="24"/>
          <w:lang w:val="en-IE"/>
        </w:rPr>
        <w:t xml:space="preserve"> the EU </w:t>
      </w:r>
      <w:r w:rsidR="00F213C4">
        <w:rPr>
          <w:rFonts w:ascii="Times New Roman" w:eastAsiaTheme="minorEastAsia" w:hAnsi="Times New Roman" w:cs="Times New Roman"/>
          <w:noProof/>
          <w:sz w:val="24"/>
          <w:szCs w:val="24"/>
          <w:lang w:val="en-IE"/>
        </w:rPr>
        <w:t xml:space="preserve">is expected to </w:t>
      </w:r>
      <w:r w:rsidRPr="00E03D97">
        <w:rPr>
          <w:rFonts w:ascii="Times New Roman" w:eastAsiaTheme="minorEastAsia" w:hAnsi="Times New Roman" w:cs="Times New Roman"/>
          <w:noProof/>
          <w:sz w:val="24"/>
          <w:szCs w:val="24"/>
          <w:lang w:val="en-IE"/>
        </w:rPr>
        <w:t>contribut</w:t>
      </w:r>
      <w:r w:rsidR="00F213C4">
        <w:rPr>
          <w:rFonts w:ascii="Times New Roman" w:eastAsiaTheme="minorEastAsia" w:hAnsi="Times New Roman" w:cs="Times New Roman"/>
          <w:noProof/>
          <w:sz w:val="24"/>
          <w:szCs w:val="24"/>
          <w:lang w:val="en-IE"/>
        </w:rPr>
        <w:t>e</w:t>
      </w:r>
      <w:r w:rsidRPr="00E03D97">
        <w:rPr>
          <w:rFonts w:ascii="Times New Roman" w:eastAsiaTheme="minorEastAsia" w:hAnsi="Times New Roman" w:cs="Times New Roman"/>
          <w:noProof/>
          <w:sz w:val="24"/>
          <w:szCs w:val="24"/>
          <w:lang w:val="en-IE"/>
        </w:rPr>
        <w:t xml:space="preserve"> EUR</w:t>
      </w:r>
      <w:r w:rsidR="002C56BE">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100</w:t>
      </w:r>
      <w:r w:rsidR="002C56BE">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million.</w:t>
      </w:r>
      <w:r w:rsidR="00E14569">
        <w:rPr>
          <w:rStyle w:val="FootnoteReference"/>
          <w:rFonts w:ascii="Times New Roman" w:eastAsiaTheme="minorEastAsia" w:hAnsi="Times New Roman" w:cs="Times New Roman"/>
          <w:noProof/>
          <w:sz w:val="24"/>
          <w:szCs w:val="24"/>
        </w:rPr>
        <w:footnoteReference w:id="33"/>
      </w:r>
      <w:r w:rsidRPr="00E03D97">
        <w:rPr>
          <w:rFonts w:ascii="Times New Roman" w:eastAsiaTheme="minorEastAsia" w:hAnsi="Times New Roman" w:cs="Times New Roman"/>
          <w:noProof/>
          <w:sz w:val="24"/>
          <w:szCs w:val="24"/>
          <w:lang w:val="en-IE"/>
        </w:rPr>
        <w:t xml:space="preserve"> It </w:t>
      </w:r>
      <w:r w:rsidR="00F213C4">
        <w:rPr>
          <w:rFonts w:ascii="Times New Roman" w:eastAsiaTheme="minorEastAsia" w:hAnsi="Times New Roman" w:cs="Times New Roman"/>
          <w:noProof/>
          <w:sz w:val="24"/>
          <w:szCs w:val="24"/>
          <w:lang w:val="en-IE"/>
        </w:rPr>
        <w:t xml:space="preserve">has </w:t>
      </w:r>
      <w:r w:rsidRPr="00E03D97">
        <w:rPr>
          <w:rFonts w:ascii="Times New Roman" w:eastAsiaTheme="minorEastAsia" w:hAnsi="Times New Roman" w:cs="Times New Roman"/>
          <w:noProof/>
          <w:sz w:val="24"/>
          <w:szCs w:val="24"/>
          <w:lang w:val="en-IE"/>
        </w:rPr>
        <w:t>also continued to</w:t>
      </w:r>
      <w:r w:rsidR="00B5645C">
        <w:rPr>
          <w:rFonts w:ascii="Times New Roman" w:eastAsiaTheme="minorEastAsia" w:hAnsi="Times New Roman" w:cs="Times New Roman"/>
          <w:noProof/>
          <w:sz w:val="24"/>
          <w:szCs w:val="24"/>
          <w:lang w:val="en-IE"/>
        </w:rPr>
        <w:t xml:space="preserve"> provide funding</w:t>
      </w:r>
      <w:r w:rsidRPr="00E03D97">
        <w:rPr>
          <w:rFonts w:ascii="Times New Roman" w:eastAsiaTheme="minorEastAsia" w:hAnsi="Times New Roman" w:cs="Times New Roman"/>
          <w:noProof/>
          <w:sz w:val="24"/>
          <w:szCs w:val="24"/>
          <w:lang w:val="en-IE"/>
        </w:rPr>
        <w:t xml:space="preserve"> resources for research and innovation actions on OH AMR </w:t>
      </w:r>
      <w:r w:rsidR="00F77DED">
        <w:rPr>
          <w:rFonts w:ascii="Times New Roman" w:eastAsiaTheme="minorEastAsia" w:hAnsi="Times New Roman" w:cs="Times New Roman"/>
          <w:noProof/>
          <w:sz w:val="24"/>
          <w:szCs w:val="24"/>
          <w:lang w:val="en-IE"/>
        </w:rPr>
        <w:t>of</w:t>
      </w:r>
      <w:r w:rsidR="00F77DED" w:rsidRPr="00E03D97">
        <w:rPr>
          <w:rFonts w:ascii="Times New Roman" w:eastAsiaTheme="minorEastAsia" w:hAnsi="Times New Roman" w:cs="Times New Roman"/>
          <w:noProof/>
          <w:sz w:val="24"/>
          <w:szCs w:val="24"/>
          <w:lang w:val="en-IE"/>
        </w:rPr>
        <w:t xml:space="preserve"> </w:t>
      </w:r>
      <w:r w:rsidR="00E14569">
        <w:rPr>
          <w:rFonts w:ascii="Times New Roman" w:eastAsiaTheme="minorEastAsia" w:hAnsi="Times New Roman" w:cs="Times New Roman"/>
          <w:noProof/>
          <w:sz w:val="24"/>
          <w:szCs w:val="24"/>
          <w:lang w:val="en-IE"/>
        </w:rPr>
        <w:t>nearly</w:t>
      </w:r>
      <w:r w:rsidR="00E14569"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EUR</w:t>
      </w:r>
      <w:r w:rsidR="00F77DED">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200</w:t>
      </w:r>
      <w:r w:rsidR="00F77DED">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million since the start of the Horizon Europe programme</w:t>
      </w:r>
      <w:r w:rsidR="002B1144">
        <w:rPr>
          <w:rFonts w:ascii="Times New Roman" w:eastAsiaTheme="minorEastAsia" w:hAnsi="Times New Roman" w:cs="Times New Roman"/>
          <w:noProof/>
          <w:sz w:val="24"/>
          <w:szCs w:val="24"/>
          <w:lang w:val="en-IE"/>
        </w:rPr>
        <w:t>.</w:t>
      </w:r>
      <w:r w:rsidR="002B1144" w:rsidRPr="002B1144">
        <w:rPr>
          <w:rFonts w:ascii="Times New Roman" w:eastAsiaTheme="minorEastAsia" w:hAnsi="Times New Roman" w:cs="Times New Roman"/>
          <w:noProof/>
          <w:sz w:val="24"/>
          <w:szCs w:val="24"/>
          <w:vertAlign w:val="superscript"/>
          <w:lang w:val="en-IE"/>
        </w:rPr>
        <w:footnoteReference w:id="34"/>
      </w:r>
    </w:p>
    <w:p w14:paraId="7F2FFC58" w14:textId="6763CDD9" w:rsidR="00D00D56" w:rsidRDefault="001F1738" w:rsidP="00BC7FCB">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Besides </w:t>
      </w:r>
      <w:r w:rsidR="001C1A99">
        <w:rPr>
          <w:rFonts w:ascii="Times New Roman" w:eastAsia="Times New Roman" w:hAnsi="Times New Roman" w:cs="Times New Roman"/>
          <w:noProof/>
          <w:sz w:val="24"/>
          <w:szCs w:val="24"/>
          <w:lang w:val="en-IE"/>
        </w:rPr>
        <w:t>its</w:t>
      </w:r>
      <w:r w:rsidR="001C1A99"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efforts in human and animal health, the </w:t>
      </w:r>
      <w:r w:rsidR="001C1A99">
        <w:rPr>
          <w:rFonts w:ascii="Times New Roman" w:eastAsia="Times New Roman" w:hAnsi="Times New Roman" w:cs="Times New Roman"/>
          <w:noProof/>
          <w:sz w:val="24"/>
          <w:szCs w:val="24"/>
          <w:lang w:val="en-IE"/>
        </w:rPr>
        <w:t xml:space="preserve">Commission continues to recognise the </w:t>
      </w:r>
      <w:r w:rsidRPr="00E03D97">
        <w:rPr>
          <w:rFonts w:ascii="Times New Roman" w:eastAsia="Times New Roman" w:hAnsi="Times New Roman" w:cs="Times New Roman"/>
          <w:noProof/>
          <w:sz w:val="24"/>
          <w:szCs w:val="24"/>
          <w:lang w:val="en-IE"/>
        </w:rPr>
        <w:t xml:space="preserve">environment </w:t>
      </w:r>
      <w:r w:rsidR="001C1A99">
        <w:rPr>
          <w:rFonts w:ascii="Times New Roman" w:eastAsia="Times New Roman" w:hAnsi="Times New Roman" w:cs="Times New Roman"/>
          <w:noProof/>
          <w:sz w:val="24"/>
          <w:szCs w:val="24"/>
          <w:lang w:val="en-IE"/>
        </w:rPr>
        <w:t>as a</w:t>
      </w:r>
      <w:r w:rsidRPr="00E03D97">
        <w:rPr>
          <w:rFonts w:ascii="Times New Roman" w:eastAsia="Times New Roman" w:hAnsi="Times New Roman" w:cs="Times New Roman"/>
          <w:noProof/>
          <w:sz w:val="24"/>
          <w:szCs w:val="24"/>
          <w:lang w:val="en-IE"/>
        </w:rPr>
        <w:t xml:space="preserve"> reservoir of resistance that needs further understanding</w:t>
      </w:r>
      <w:r w:rsidR="00B554C1">
        <w:rPr>
          <w:rFonts w:ascii="Times New Roman" w:eastAsia="Times New Roman" w:hAnsi="Times New Roman" w:cs="Times New Roman"/>
          <w:noProof/>
          <w:sz w:val="24"/>
          <w:szCs w:val="24"/>
          <w:lang w:val="en-IE"/>
        </w:rPr>
        <w:t xml:space="preserve"> </w:t>
      </w:r>
      <w:r w:rsidR="00B554C1" w:rsidRPr="00B554C1">
        <w:rPr>
          <w:rFonts w:ascii="Times New Roman" w:eastAsia="Times New Roman" w:hAnsi="Times New Roman" w:cs="Times New Roman"/>
          <w:noProof/>
          <w:sz w:val="24"/>
          <w:szCs w:val="24"/>
          <w:lang w:val="en-IE"/>
        </w:rPr>
        <w:t>as recognised in the EU Strategic Approach to Pharmaceutical in the Environment</w:t>
      </w:r>
      <w:r w:rsidR="00B554C1" w:rsidRPr="00B554C1">
        <w:rPr>
          <w:rFonts w:ascii="Times New Roman" w:eastAsia="Times New Roman" w:hAnsi="Times New Roman" w:cs="Times New Roman"/>
          <w:noProof/>
          <w:sz w:val="24"/>
          <w:szCs w:val="24"/>
          <w:vertAlign w:val="superscript"/>
          <w:lang w:val="en-IE"/>
        </w:rPr>
        <w:footnoteReference w:id="35"/>
      </w:r>
      <w:r w:rsidRPr="00E03D97">
        <w:rPr>
          <w:rFonts w:ascii="Times New Roman" w:eastAsia="Times New Roman" w:hAnsi="Times New Roman" w:cs="Times New Roman"/>
          <w:noProof/>
          <w:sz w:val="24"/>
          <w:szCs w:val="24"/>
          <w:lang w:val="en-IE"/>
        </w:rPr>
        <w:t>. Through initiatives under the European Green Deal</w:t>
      </w:r>
      <w:r w:rsidR="001C1A99">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vertAlign w:val="superscript"/>
          <w:lang w:val="en-IE"/>
        </w:rPr>
        <w:footnoteReference w:id="36"/>
      </w:r>
      <w:r w:rsidR="00B554C1">
        <w:rPr>
          <w:rFonts w:ascii="Times New Roman" w:eastAsia="Times New Roman" w:hAnsi="Times New Roman" w:cs="Times New Roman"/>
          <w:noProof/>
          <w:sz w:val="24"/>
          <w:szCs w:val="24"/>
          <w:lang w:val="en-IE"/>
        </w:rPr>
        <w:t xml:space="preserve"> </w:t>
      </w:r>
      <w:r w:rsidR="00B554C1" w:rsidRPr="00B554C1">
        <w:rPr>
          <w:rFonts w:ascii="Times New Roman" w:eastAsia="Times New Roman" w:hAnsi="Times New Roman" w:cs="Times New Roman"/>
          <w:noProof/>
          <w:sz w:val="24"/>
          <w:szCs w:val="24"/>
          <w:lang w:val="en-IE"/>
        </w:rPr>
        <w:t>and in particular the Zero Pollution Action Plan</w:t>
      </w:r>
      <w:r w:rsidR="00B554C1">
        <w:rPr>
          <w:rStyle w:val="FootnoteReference"/>
          <w:rFonts w:ascii="Times New Roman" w:eastAsia="Times New Roman" w:hAnsi="Times New Roman" w:cs="Times New Roman"/>
          <w:noProof/>
          <w:sz w:val="24"/>
          <w:szCs w:val="24"/>
        </w:rPr>
        <w:footnoteReference w:id="37"/>
      </w:r>
      <w:r w:rsidRPr="00E03D97">
        <w:rPr>
          <w:rFonts w:ascii="Times New Roman" w:eastAsia="Times New Roman" w:hAnsi="Times New Roman" w:cs="Times New Roman"/>
          <w:noProof/>
          <w:sz w:val="24"/>
          <w:szCs w:val="24"/>
          <w:lang w:val="en-IE"/>
        </w:rPr>
        <w:t xml:space="preserve">, the Commission has acted in several environmental domains. </w:t>
      </w:r>
      <w:r w:rsidR="00774D74">
        <w:rPr>
          <w:rFonts w:ascii="Times New Roman" w:eastAsia="Times New Roman" w:hAnsi="Times New Roman" w:cs="Times New Roman"/>
          <w:noProof/>
          <w:sz w:val="24"/>
          <w:szCs w:val="24"/>
          <w:lang w:val="en-IE"/>
        </w:rPr>
        <w:t>Regarding</w:t>
      </w:r>
      <w:r w:rsidR="00774D74"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water, the Commission proposes to revise the list of pollutants in groundwater and surface water</w:t>
      </w:r>
      <w:r w:rsidRPr="00E03D97">
        <w:rPr>
          <w:rFonts w:ascii="Times New Roman" w:eastAsia="Times New Roman" w:hAnsi="Times New Roman" w:cs="Times New Roman"/>
          <w:noProof/>
          <w:sz w:val="24"/>
          <w:szCs w:val="24"/>
          <w:vertAlign w:val="superscript"/>
          <w:lang w:val="en-IE"/>
        </w:rPr>
        <w:footnoteReference w:id="38"/>
      </w:r>
      <w:r w:rsidRPr="00E03D97">
        <w:rPr>
          <w:rFonts w:ascii="Times New Roman" w:eastAsia="Times New Roman" w:hAnsi="Times New Roman" w:cs="Times New Roman"/>
          <w:noProof/>
          <w:sz w:val="24"/>
          <w:szCs w:val="24"/>
          <w:lang w:val="en-IE"/>
        </w:rPr>
        <w:t>, including a number of AMR substances and AMR genes. The</w:t>
      </w:r>
      <w:r w:rsidR="00B554C1">
        <w:rPr>
          <w:rFonts w:ascii="Times New Roman" w:eastAsia="Times New Roman" w:hAnsi="Times New Roman" w:cs="Times New Roman"/>
          <w:noProof/>
          <w:sz w:val="24"/>
          <w:szCs w:val="24"/>
          <w:lang w:val="en-IE"/>
        </w:rPr>
        <w:t xml:space="preserve"> </w:t>
      </w:r>
      <w:r w:rsidR="00B554C1" w:rsidRPr="00B554C1">
        <w:rPr>
          <w:rFonts w:ascii="Times New Roman" w:eastAsia="Times New Roman" w:hAnsi="Times New Roman" w:cs="Times New Roman"/>
          <w:noProof/>
          <w:sz w:val="24"/>
          <w:szCs w:val="24"/>
          <w:lang w:val="en-IE"/>
        </w:rPr>
        <w:t>Commission proposal for a recast</w:t>
      </w:r>
      <w:r w:rsidR="00B554C1">
        <w:rPr>
          <w:rFonts w:ascii="Times New Roman" w:eastAsia="Times New Roman" w:hAnsi="Times New Roman" w:cs="Times New Roman"/>
          <w:noProof/>
          <w:sz w:val="24"/>
          <w:szCs w:val="24"/>
          <w:lang w:val="en-IE"/>
        </w:rPr>
        <w:t xml:space="preserve"> of the</w:t>
      </w:r>
      <w:r w:rsidRPr="00E03D97">
        <w:rPr>
          <w:rFonts w:ascii="Times New Roman" w:eastAsia="Times New Roman" w:hAnsi="Times New Roman" w:cs="Times New Roman"/>
          <w:noProof/>
          <w:sz w:val="24"/>
          <w:szCs w:val="24"/>
          <w:lang w:val="en-IE"/>
        </w:rPr>
        <w:t xml:space="preserve"> Urban Wastewater Treatment Directive</w:t>
      </w:r>
      <w:r w:rsidRPr="00E03D97">
        <w:rPr>
          <w:rFonts w:ascii="Times New Roman" w:eastAsia="Times New Roman" w:hAnsi="Times New Roman" w:cs="Times New Roman"/>
          <w:noProof/>
          <w:sz w:val="24"/>
          <w:szCs w:val="24"/>
          <w:vertAlign w:val="superscript"/>
          <w:lang w:val="en-IE"/>
        </w:rPr>
        <w:footnoteReference w:id="39"/>
      </w:r>
      <w:r w:rsidRPr="00E03D97">
        <w:rPr>
          <w:rFonts w:ascii="Times New Roman" w:eastAsia="Times New Roman" w:hAnsi="Times New Roman" w:cs="Times New Roman"/>
          <w:noProof/>
          <w:sz w:val="24"/>
          <w:szCs w:val="24"/>
          <w:lang w:val="en-IE"/>
        </w:rPr>
        <w:t xml:space="preserve"> also establishes, among other</w:t>
      </w:r>
      <w:r w:rsidR="00792554">
        <w:rPr>
          <w:rFonts w:ascii="Times New Roman" w:eastAsia="Times New Roman" w:hAnsi="Times New Roman" w:cs="Times New Roman"/>
          <w:noProof/>
          <w:sz w:val="24"/>
          <w:szCs w:val="24"/>
          <w:lang w:val="en-IE"/>
        </w:rPr>
        <w:t xml:space="preserve"> measures</w:t>
      </w:r>
      <w:r w:rsidRPr="00E03D97">
        <w:rPr>
          <w:rFonts w:ascii="Times New Roman" w:eastAsia="Times New Roman" w:hAnsi="Times New Roman" w:cs="Times New Roman"/>
          <w:noProof/>
          <w:sz w:val="24"/>
          <w:szCs w:val="24"/>
          <w:lang w:val="en-IE"/>
        </w:rPr>
        <w:t>, the monitoring of health parameters in urban wastewater, including the mandatory surveillance of AMR</w:t>
      </w:r>
      <w:r w:rsidR="00B554C1">
        <w:rPr>
          <w:rFonts w:ascii="Times New Roman" w:eastAsia="Times New Roman" w:hAnsi="Times New Roman" w:cs="Times New Roman"/>
          <w:noProof/>
          <w:sz w:val="24"/>
          <w:szCs w:val="24"/>
          <w:lang w:val="en-IE"/>
        </w:rPr>
        <w:t xml:space="preserve"> </w:t>
      </w:r>
      <w:r w:rsidR="00B554C1" w:rsidRPr="00B554C1">
        <w:rPr>
          <w:rFonts w:ascii="Times New Roman" w:eastAsia="Times New Roman" w:hAnsi="Times New Roman" w:cs="Times New Roman"/>
          <w:noProof/>
          <w:sz w:val="24"/>
          <w:szCs w:val="24"/>
          <w:lang w:val="en-IE"/>
        </w:rPr>
        <w:t>to enhance the EU's preparedness against pandemics or other major public health threats, as is currently being done for COVID-19</w:t>
      </w:r>
      <w:r w:rsidRPr="00E03D97">
        <w:rPr>
          <w:rFonts w:ascii="Times New Roman" w:eastAsia="Times New Roman" w:hAnsi="Times New Roman" w:cs="Times New Roman"/>
          <w:noProof/>
          <w:sz w:val="24"/>
          <w:szCs w:val="24"/>
          <w:lang w:val="en-IE"/>
        </w:rPr>
        <w:t xml:space="preserve">. </w:t>
      </w:r>
    </w:p>
    <w:p w14:paraId="1E81BDED" w14:textId="05E02C6F" w:rsidR="00BC7FCB" w:rsidRPr="00E03D97" w:rsidRDefault="001F1738" w:rsidP="00BC7FCB">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Regarding soil, the Commission is looking into AMR genes in microorganisms </w:t>
      </w:r>
      <w:r w:rsidR="00B57523">
        <w:rPr>
          <w:rFonts w:ascii="Times New Roman" w:eastAsiaTheme="minorEastAsia" w:hAnsi="Times New Roman" w:cs="Times New Roman"/>
          <w:noProof/>
          <w:sz w:val="24"/>
          <w:szCs w:val="24"/>
          <w:lang w:val="en-IE"/>
        </w:rPr>
        <w:t>i</w:t>
      </w:r>
      <w:r w:rsidRPr="00E03D97">
        <w:rPr>
          <w:rFonts w:ascii="Times New Roman" w:eastAsiaTheme="minorEastAsia" w:hAnsi="Times New Roman" w:cs="Times New Roman"/>
          <w:noProof/>
          <w:sz w:val="24"/>
          <w:szCs w:val="24"/>
          <w:lang w:val="en-IE"/>
        </w:rPr>
        <w:t>n agricultural soils through</w:t>
      </w:r>
      <w:r w:rsidR="00B56A57">
        <w:rPr>
          <w:rFonts w:ascii="Times New Roman" w:eastAsiaTheme="minorEastAsia" w:hAnsi="Times New Roman" w:cs="Times New Roman"/>
          <w:noProof/>
          <w:sz w:val="24"/>
          <w:szCs w:val="24"/>
          <w:lang w:val="en-IE"/>
        </w:rPr>
        <w:t xml:space="preserve"> survey</w:t>
      </w:r>
      <w:r w:rsidRPr="00E03D97">
        <w:rPr>
          <w:rFonts w:ascii="Times New Roman" w:eastAsiaTheme="minorEastAsia" w:hAnsi="Times New Roman" w:cs="Times New Roman"/>
          <w:noProof/>
          <w:sz w:val="24"/>
          <w:szCs w:val="24"/>
          <w:lang w:val="en-IE"/>
        </w:rPr>
        <w:t xml:space="preserve"> LUCAS</w:t>
      </w:r>
      <w:r w:rsidR="00B57523">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Soil 2018</w:t>
      </w:r>
      <w:r w:rsidR="00B57523" w:rsidRPr="00E03D97">
        <w:rPr>
          <w:rFonts w:ascii="Times New Roman" w:eastAsiaTheme="minorEastAsia" w:hAnsi="Times New Roman" w:cs="Times New Roman"/>
          <w:noProof/>
          <w:sz w:val="24"/>
          <w:szCs w:val="24"/>
          <w:vertAlign w:val="superscript"/>
          <w:lang w:val="en-IE"/>
        </w:rPr>
        <w:footnoteReference w:id="40"/>
      </w:r>
      <w:r w:rsidRPr="00E03D97">
        <w:rPr>
          <w:rFonts w:ascii="Times New Roman" w:eastAsiaTheme="minorEastAsia" w:hAnsi="Times New Roman" w:cs="Times New Roman"/>
          <w:noProof/>
          <w:sz w:val="24"/>
          <w:szCs w:val="24"/>
          <w:lang w:val="en-IE"/>
        </w:rPr>
        <w:t xml:space="preserve">, with reports expected by </w:t>
      </w:r>
      <w:r w:rsidR="00B57523">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end of 2023. Preliminary results show that over 600 samples contained detectable levels of AMR genes</w:t>
      </w:r>
      <w:r w:rsidRPr="00E03D97">
        <w:rPr>
          <w:rFonts w:ascii="Times New Roman" w:eastAsia="Times New Roman" w:hAnsi="Times New Roman" w:cs="Times New Roman"/>
          <w:noProof/>
          <w:sz w:val="24"/>
          <w:szCs w:val="24"/>
          <w:vertAlign w:val="superscript"/>
          <w:lang w:val="en-IE"/>
        </w:rPr>
        <w:footnoteReference w:id="41"/>
      </w:r>
      <w:r w:rsidRPr="00E03D97">
        <w:rPr>
          <w:rFonts w:ascii="Times New Roman" w:eastAsiaTheme="minorEastAsia" w:hAnsi="Times New Roman" w:cs="Times New Roman"/>
          <w:noProof/>
          <w:sz w:val="24"/>
          <w:szCs w:val="24"/>
          <w:lang w:val="en-IE"/>
        </w:rPr>
        <w:t>.</w:t>
      </w:r>
      <w:r w:rsidR="00D00D56">
        <w:rPr>
          <w:rFonts w:ascii="Times New Roman" w:eastAsiaTheme="minorEastAsia" w:hAnsi="Times New Roman" w:cs="Times New Roman"/>
          <w:noProof/>
          <w:sz w:val="24"/>
          <w:szCs w:val="24"/>
          <w:lang w:val="en-IE"/>
        </w:rPr>
        <w:t xml:space="preserve"> </w:t>
      </w:r>
      <w:r w:rsidR="00B554C1" w:rsidRPr="00B554C1">
        <w:rPr>
          <w:rFonts w:ascii="Times New Roman" w:eastAsiaTheme="minorEastAsia" w:hAnsi="Times New Roman" w:cs="Times New Roman"/>
          <w:noProof/>
          <w:sz w:val="24"/>
          <w:szCs w:val="24"/>
          <w:lang w:val="en-IE"/>
        </w:rPr>
        <w:t xml:space="preserve">The Commission, through its proposal on the Nature Restoration Law, </w:t>
      </w:r>
      <w:r w:rsidR="00B554C1" w:rsidRPr="006E7456">
        <w:rPr>
          <w:rFonts w:ascii="Times New Roman" w:eastAsiaTheme="minorEastAsia" w:hAnsi="Times New Roman" w:cs="Times New Roman"/>
          <w:noProof/>
          <w:sz w:val="24"/>
          <w:szCs w:val="24"/>
          <w:lang w:val="en-IE"/>
        </w:rPr>
        <w:t xml:space="preserve">also </w:t>
      </w:r>
      <w:r w:rsidR="000150F5" w:rsidRPr="006E7456">
        <w:rPr>
          <w:rFonts w:ascii="Times New Roman" w:eastAsiaTheme="minorEastAsia" w:hAnsi="Times New Roman" w:cs="Times New Roman"/>
          <w:noProof/>
          <w:sz w:val="24"/>
          <w:szCs w:val="24"/>
          <w:lang w:val="en-IE"/>
        </w:rPr>
        <w:t xml:space="preserve">aims to </w:t>
      </w:r>
      <w:r w:rsidR="00B554C1" w:rsidRPr="006E7456">
        <w:rPr>
          <w:rFonts w:ascii="Times New Roman" w:eastAsiaTheme="minorEastAsia" w:hAnsi="Times New Roman" w:cs="Times New Roman"/>
          <w:noProof/>
          <w:sz w:val="24"/>
          <w:szCs w:val="24"/>
          <w:lang w:val="en-IE"/>
        </w:rPr>
        <w:t>act</w:t>
      </w:r>
      <w:r w:rsidR="00B554C1" w:rsidRPr="00B554C1">
        <w:rPr>
          <w:rFonts w:ascii="Times New Roman" w:eastAsiaTheme="minorEastAsia" w:hAnsi="Times New Roman" w:cs="Times New Roman"/>
          <w:noProof/>
          <w:sz w:val="24"/>
          <w:szCs w:val="24"/>
          <w:lang w:val="en-IE"/>
        </w:rPr>
        <w:t xml:space="preserve"> on increasing resilience against such genes by restoring the health of ecosystems that </w:t>
      </w:r>
      <w:r w:rsidR="00B554C1" w:rsidRPr="00B554C1">
        <w:rPr>
          <w:rFonts w:ascii="Times New Roman" w:eastAsiaTheme="minorEastAsia" w:hAnsi="Times New Roman" w:cs="Times New Roman"/>
          <w:noProof/>
          <w:sz w:val="24"/>
          <w:szCs w:val="24"/>
          <w:lang w:val="en-US"/>
        </w:rPr>
        <w:t>can act as a barrier to the spread of AMR.</w:t>
      </w:r>
      <w:r w:rsidR="00D00D56">
        <w:rPr>
          <w:rFonts w:ascii="Times New Roman" w:eastAsiaTheme="minorEastAsia" w:hAnsi="Times New Roman" w:cs="Times New Roman"/>
          <w:noProof/>
          <w:sz w:val="24"/>
          <w:szCs w:val="24"/>
          <w:lang w:val="en-US"/>
        </w:rPr>
        <w:t xml:space="preserve"> </w:t>
      </w:r>
      <w:r w:rsidR="00D00D56" w:rsidRPr="00D00D56">
        <w:rPr>
          <w:rFonts w:ascii="Times New Roman" w:eastAsiaTheme="minorEastAsia" w:hAnsi="Times New Roman" w:cs="Times New Roman"/>
          <w:noProof/>
          <w:sz w:val="24"/>
          <w:szCs w:val="24"/>
          <w:lang w:val="en-IE"/>
        </w:rPr>
        <w:t>In addition, through LUCAS Soil 2018, the Commission is looking into antibiotics synthesis</w:t>
      </w:r>
      <w:r w:rsidR="00D00D56">
        <w:rPr>
          <w:rFonts w:ascii="Times New Roman" w:eastAsiaTheme="minorEastAsia" w:hAnsi="Times New Roman" w:cs="Times New Roman"/>
          <w:noProof/>
          <w:sz w:val="24"/>
          <w:szCs w:val="24"/>
          <w:lang w:val="en-IE"/>
        </w:rPr>
        <w:t xml:space="preserve"> (ABG)</w:t>
      </w:r>
      <w:r w:rsidR="00D00D56" w:rsidRPr="00D00D56">
        <w:rPr>
          <w:rFonts w:ascii="Times New Roman" w:eastAsiaTheme="minorEastAsia" w:hAnsi="Times New Roman" w:cs="Times New Roman"/>
          <w:noProof/>
          <w:sz w:val="24"/>
          <w:szCs w:val="24"/>
          <w:lang w:val="en-IE"/>
        </w:rPr>
        <w:t xml:space="preserve"> genes in soils which can contribute to new medicines. The results of both AMR and ABG </w:t>
      </w:r>
      <w:r w:rsidR="00D00D56">
        <w:rPr>
          <w:rFonts w:ascii="Times New Roman" w:eastAsiaTheme="minorEastAsia" w:hAnsi="Times New Roman" w:cs="Times New Roman"/>
          <w:noProof/>
          <w:sz w:val="24"/>
          <w:szCs w:val="24"/>
          <w:lang w:val="en-IE"/>
        </w:rPr>
        <w:t xml:space="preserve">genes </w:t>
      </w:r>
      <w:r w:rsidR="00D00D56" w:rsidRPr="00D00D56">
        <w:rPr>
          <w:rFonts w:ascii="Times New Roman" w:eastAsiaTheme="minorEastAsia" w:hAnsi="Times New Roman" w:cs="Times New Roman"/>
          <w:noProof/>
          <w:sz w:val="24"/>
          <w:szCs w:val="24"/>
          <w:lang w:val="en-IE"/>
        </w:rPr>
        <w:t>will be hosted in the EU Soil Observatory (EUSO)</w:t>
      </w:r>
      <w:r w:rsidR="00D00D56">
        <w:rPr>
          <w:rStyle w:val="FootnoteReference"/>
          <w:rFonts w:ascii="Times New Roman" w:eastAsiaTheme="minorEastAsia" w:hAnsi="Times New Roman" w:cs="Times New Roman"/>
          <w:noProof/>
          <w:sz w:val="24"/>
          <w:szCs w:val="24"/>
        </w:rPr>
        <w:footnoteReference w:id="42"/>
      </w:r>
      <w:r w:rsidR="00D00D56">
        <w:rPr>
          <w:rFonts w:ascii="Times New Roman" w:eastAsiaTheme="minorEastAsia" w:hAnsi="Times New Roman" w:cs="Times New Roman"/>
          <w:noProof/>
          <w:sz w:val="24"/>
          <w:szCs w:val="24"/>
          <w:lang w:val="en-IE"/>
        </w:rPr>
        <w:t>.</w:t>
      </w:r>
    </w:p>
    <w:p w14:paraId="333B5703" w14:textId="216D172B" w:rsidR="00BC7FCB" w:rsidRPr="00E03D97" w:rsidRDefault="001F1738" w:rsidP="00BC7FCB">
      <w:pPr>
        <w:spacing w:before="100" w:beforeAutospacing="1" w:after="100" w:afterAutospacing="1" w:line="240" w:lineRule="auto"/>
        <w:jc w:val="both"/>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 xml:space="preserve">Preventing zoonotic diseases </w:t>
      </w:r>
      <w:r w:rsidR="002F4CA6">
        <w:rPr>
          <w:rFonts w:ascii="Times New Roman" w:eastAsia="Times New Roman" w:hAnsi="Times New Roman" w:cs="Times New Roman"/>
          <w:b/>
          <w:bCs/>
          <w:noProof/>
          <w:sz w:val="24"/>
          <w:szCs w:val="24"/>
          <w:lang w:val="en-IE"/>
        </w:rPr>
        <w:t>such as</w:t>
      </w:r>
      <w:r w:rsidRPr="00E03D97">
        <w:rPr>
          <w:rFonts w:ascii="Times New Roman" w:eastAsia="Times New Roman" w:hAnsi="Times New Roman" w:cs="Times New Roman"/>
          <w:b/>
          <w:bCs/>
          <w:noProof/>
          <w:sz w:val="24"/>
          <w:szCs w:val="24"/>
          <w:lang w:val="en-IE"/>
        </w:rPr>
        <w:t xml:space="preserve"> avian influenza</w:t>
      </w:r>
    </w:p>
    <w:p w14:paraId="3288095E" w14:textId="5850AB44" w:rsidR="00511B09" w:rsidRDefault="00B57523" w:rsidP="00511B09">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O</w:t>
      </w:r>
      <w:r w:rsidR="001F1738" w:rsidRPr="00E03D97">
        <w:rPr>
          <w:rFonts w:ascii="Times New Roman" w:eastAsia="Times New Roman" w:hAnsi="Times New Roman" w:cs="Times New Roman"/>
          <w:noProof/>
          <w:sz w:val="24"/>
          <w:szCs w:val="24"/>
          <w:lang w:val="en-IE"/>
        </w:rPr>
        <w:t xml:space="preserve">ver 60% of emerging infectious disease threats </w:t>
      </w:r>
      <w:r>
        <w:rPr>
          <w:rFonts w:ascii="Times New Roman" w:eastAsia="Times New Roman" w:hAnsi="Times New Roman" w:cs="Times New Roman"/>
          <w:noProof/>
          <w:sz w:val="24"/>
          <w:szCs w:val="24"/>
          <w:lang w:val="en-IE"/>
        </w:rPr>
        <w:t>are</w:t>
      </w:r>
      <w:r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of zoonotic origin</w:t>
      </w:r>
      <w:r w:rsidR="001F1738" w:rsidRPr="00E03D97">
        <w:rPr>
          <w:rFonts w:ascii="Times New Roman" w:eastAsia="Times New Roman" w:hAnsi="Times New Roman" w:cs="Times New Roman"/>
          <w:noProof/>
          <w:sz w:val="24"/>
          <w:szCs w:val="24"/>
          <w:vertAlign w:val="superscript"/>
          <w:lang w:val="en-IE"/>
        </w:rPr>
        <w:footnoteReference w:id="43"/>
      </w:r>
      <w:r w:rsidR="001F1738" w:rsidRPr="00E03D97">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 xml:space="preserve">so </w:t>
      </w:r>
      <w:r w:rsidR="001F1738" w:rsidRPr="00E03D97">
        <w:rPr>
          <w:rFonts w:ascii="Times New Roman" w:eastAsia="Times New Roman" w:hAnsi="Times New Roman" w:cs="Times New Roman"/>
          <w:noProof/>
          <w:sz w:val="24"/>
          <w:szCs w:val="24"/>
          <w:lang w:val="en-IE"/>
        </w:rPr>
        <w:t>we must remain vigilant about the possibility of a next pandemic coming from an animal source.</w:t>
      </w:r>
    </w:p>
    <w:p w14:paraId="31904970" w14:textId="29C7456B" w:rsidR="002B1144" w:rsidRDefault="001F1738" w:rsidP="002B1144">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 EU has relied on two main pieces of legislation to address infectious disease risks coming from animals. These are Directive 2003/99/EC</w:t>
      </w:r>
      <w:r w:rsidRPr="00E03D97">
        <w:rPr>
          <w:rFonts w:ascii="Times New Roman" w:eastAsia="Times New Roman" w:hAnsi="Times New Roman" w:cs="Times New Roman"/>
          <w:noProof/>
          <w:sz w:val="24"/>
          <w:szCs w:val="24"/>
          <w:vertAlign w:val="superscript"/>
          <w:lang w:val="en-IE"/>
        </w:rPr>
        <w:footnoteReference w:id="44"/>
      </w:r>
      <w:r w:rsidRPr="00E03D97">
        <w:rPr>
          <w:rFonts w:ascii="Times New Roman" w:eastAsia="Times New Roman" w:hAnsi="Times New Roman" w:cs="Times New Roman"/>
          <w:noProof/>
          <w:sz w:val="24"/>
          <w:szCs w:val="24"/>
          <w:lang w:val="en-IE"/>
        </w:rPr>
        <w:t>, ensuring proper monitoring and evaluation of zoonoses, zoonotic agents and food-borne outbreaks, and Regulation</w:t>
      </w:r>
      <w:r w:rsidR="00511B09">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(EU)</w:t>
      </w:r>
      <w:r w:rsidR="00511B09">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2016/429</w:t>
      </w:r>
      <w:r w:rsidR="00B56A57">
        <w:rPr>
          <w:rStyle w:val="FootnoteReference"/>
          <w:rFonts w:ascii="Times New Roman" w:eastAsia="Times New Roman" w:hAnsi="Times New Roman" w:cs="Times New Roman"/>
          <w:noProof/>
          <w:sz w:val="24"/>
          <w:szCs w:val="24"/>
        </w:rPr>
        <w:footnoteReference w:id="45"/>
      </w:r>
      <w:r w:rsidRPr="00E03D97">
        <w:rPr>
          <w:rFonts w:ascii="Times New Roman" w:eastAsia="Times New Roman" w:hAnsi="Times New Roman" w:cs="Times New Roman"/>
          <w:noProof/>
          <w:sz w:val="24"/>
          <w:szCs w:val="24"/>
          <w:lang w:val="en-IE"/>
        </w:rPr>
        <w:t xml:space="preserve"> (</w:t>
      </w:r>
      <w:r w:rsidR="00511B09">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‘Animal Health Law’) which lays down rules for the prevention and control of zoonoses, including their early detection, notification and reporting. </w:t>
      </w:r>
    </w:p>
    <w:p w14:paraId="78C8D82D" w14:textId="37D1632C" w:rsidR="002B1144" w:rsidRDefault="006F7A7A" w:rsidP="002B1144">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w:t>
      </w:r>
      <w:r w:rsidR="001F1738" w:rsidRPr="00E03D97">
        <w:rPr>
          <w:rFonts w:ascii="Times New Roman" w:eastAsia="Times New Roman" w:hAnsi="Times New Roman" w:cs="Times New Roman"/>
          <w:noProof/>
          <w:sz w:val="24"/>
          <w:szCs w:val="24"/>
          <w:lang w:val="en-IE"/>
        </w:rPr>
        <w:t xml:space="preserve">he One Health approach has </w:t>
      </w:r>
      <w:r w:rsidR="00D40880" w:rsidRPr="00E03D97">
        <w:rPr>
          <w:rFonts w:ascii="Times New Roman" w:eastAsia="Times New Roman" w:hAnsi="Times New Roman" w:cs="Times New Roman"/>
          <w:noProof/>
          <w:sz w:val="24"/>
          <w:szCs w:val="24"/>
          <w:lang w:val="en-IE"/>
        </w:rPr>
        <w:t xml:space="preserve">already </w:t>
      </w:r>
      <w:r w:rsidR="001F1738" w:rsidRPr="00E03D97">
        <w:rPr>
          <w:rFonts w:ascii="Times New Roman" w:eastAsia="Times New Roman" w:hAnsi="Times New Roman" w:cs="Times New Roman"/>
          <w:noProof/>
          <w:sz w:val="24"/>
          <w:szCs w:val="24"/>
          <w:lang w:val="en-IE"/>
        </w:rPr>
        <w:t>been considered in EU actions for decades,</w:t>
      </w:r>
      <w:r>
        <w:rPr>
          <w:rFonts w:ascii="Times New Roman" w:eastAsia="Times New Roman" w:hAnsi="Times New Roman" w:cs="Times New Roman"/>
          <w:noProof/>
          <w:sz w:val="24"/>
          <w:szCs w:val="24"/>
          <w:lang w:val="en-IE"/>
        </w:rPr>
        <w:t xml:space="preserve"> but </w:t>
      </w:r>
      <w:r w:rsidR="001F1738" w:rsidRPr="00E03D97">
        <w:rPr>
          <w:rFonts w:ascii="Times New Roman" w:eastAsia="Times New Roman" w:hAnsi="Times New Roman" w:cs="Times New Roman"/>
          <w:noProof/>
          <w:sz w:val="24"/>
          <w:szCs w:val="24"/>
          <w:lang w:val="en-IE"/>
        </w:rPr>
        <w:t xml:space="preserve">the COVID-19 pandemic </w:t>
      </w:r>
      <w:r w:rsidR="002F4CA6">
        <w:rPr>
          <w:rFonts w:ascii="Times New Roman" w:eastAsia="Times New Roman" w:hAnsi="Times New Roman" w:cs="Times New Roman"/>
          <w:noProof/>
          <w:sz w:val="24"/>
          <w:szCs w:val="24"/>
          <w:lang w:val="en-IE"/>
        </w:rPr>
        <w:t>underlined once again</w:t>
      </w:r>
      <w:r w:rsidR="002F4CA6"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 xml:space="preserve">the importance of </w:t>
      </w:r>
      <w:r w:rsidR="002F4CA6">
        <w:rPr>
          <w:rFonts w:ascii="Times New Roman" w:eastAsia="Times New Roman" w:hAnsi="Times New Roman" w:cs="Times New Roman"/>
          <w:noProof/>
          <w:sz w:val="24"/>
          <w:szCs w:val="24"/>
          <w:lang w:val="en-IE"/>
        </w:rPr>
        <w:t>this approach for prevention, preparedness and response</w:t>
      </w:r>
      <w:r w:rsidR="001F1738" w:rsidRPr="00E03D97">
        <w:rPr>
          <w:rFonts w:ascii="Times New Roman" w:eastAsia="Times New Roman" w:hAnsi="Times New Roman" w:cs="Times New Roman"/>
          <w:noProof/>
          <w:sz w:val="24"/>
          <w:szCs w:val="24"/>
          <w:lang w:val="en-IE"/>
        </w:rPr>
        <w:t xml:space="preserve"> and </w:t>
      </w:r>
      <w:r w:rsidR="002F4CA6">
        <w:rPr>
          <w:rFonts w:ascii="Times New Roman" w:eastAsia="Times New Roman" w:hAnsi="Times New Roman" w:cs="Times New Roman"/>
          <w:noProof/>
          <w:sz w:val="24"/>
          <w:szCs w:val="24"/>
          <w:lang w:val="en-IE"/>
        </w:rPr>
        <w:t>the need for</w:t>
      </w:r>
      <w:r w:rsidR="002F4CA6"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optimal coordination across sectors.</w:t>
      </w:r>
      <w:r>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 xml:space="preserve">Regulation (EU) 2022/2371 </w:t>
      </w:r>
      <w:r>
        <w:rPr>
          <w:rFonts w:ascii="Times New Roman" w:eastAsia="Times New Roman" w:hAnsi="Times New Roman" w:cs="Times New Roman"/>
          <w:noProof/>
          <w:sz w:val="24"/>
          <w:szCs w:val="24"/>
          <w:lang w:val="en-IE"/>
        </w:rPr>
        <w:t xml:space="preserve">now </w:t>
      </w:r>
      <w:r w:rsidR="001F1738" w:rsidRPr="00E03D97">
        <w:rPr>
          <w:rFonts w:ascii="Times New Roman" w:eastAsia="Times New Roman" w:hAnsi="Times New Roman" w:cs="Times New Roman"/>
          <w:noProof/>
          <w:sz w:val="24"/>
          <w:szCs w:val="24"/>
          <w:lang w:val="en-IE"/>
        </w:rPr>
        <w:t xml:space="preserve">explicitly calls for the One Health approach </w:t>
      </w:r>
      <w:r w:rsidR="002F4CA6">
        <w:rPr>
          <w:rFonts w:ascii="Times New Roman" w:eastAsia="Times New Roman" w:hAnsi="Times New Roman" w:cs="Times New Roman"/>
          <w:noProof/>
          <w:sz w:val="24"/>
          <w:szCs w:val="24"/>
          <w:lang w:val="en-IE"/>
        </w:rPr>
        <w:t>in</w:t>
      </w:r>
      <w:r w:rsidR="001F1738" w:rsidRPr="00E03D97">
        <w:rPr>
          <w:rFonts w:ascii="Times New Roman" w:eastAsia="Times New Roman" w:hAnsi="Times New Roman" w:cs="Times New Roman"/>
          <w:noProof/>
          <w:sz w:val="24"/>
          <w:szCs w:val="24"/>
          <w:lang w:val="en-IE"/>
        </w:rPr>
        <w:t xml:space="preserve"> addressing current and emerging crises. </w:t>
      </w:r>
    </w:p>
    <w:p w14:paraId="496EE332" w14:textId="56CF2270" w:rsidR="002B1144" w:rsidRDefault="001F1738" w:rsidP="002B1144">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Within months </w:t>
      </w:r>
      <w:r w:rsidR="00031A95">
        <w:rPr>
          <w:rFonts w:ascii="Times New Roman" w:eastAsia="Times New Roman" w:hAnsi="Times New Roman" w:cs="Times New Roman"/>
          <w:noProof/>
          <w:sz w:val="24"/>
          <w:szCs w:val="24"/>
          <w:lang w:val="en-IE"/>
        </w:rPr>
        <w:t>of</w:t>
      </w:r>
      <w:r w:rsidR="00031A95"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the adoption of Regulation </w:t>
      </w:r>
      <w:r w:rsidR="00031A95">
        <w:rPr>
          <w:rFonts w:ascii="Times New Roman" w:eastAsia="Times New Roman" w:hAnsi="Times New Roman" w:cs="Times New Roman"/>
          <w:noProof/>
          <w:sz w:val="24"/>
          <w:szCs w:val="24"/>
          <w:lang w:val="en-IE"/>
        </w:rPr>
        <w:t xml:space="preserve">(EU) </w:t>
      </w:r>
      <w:r w:rsidRPr="00E03D97">
        <w:rPr>
          <w:rFonts w:ascii="Times New Roman" w:eastAsia="Times New Roman" w:hAnsi="Times New Roman" w:cs="Times New Roman"/>
          <w:noProof/>
          <w:sz w:val="24"/>
          <w:szCs w:val="24"/>
          <w:lang w:val="en-IE"/>
        </w:rPr>
        <w:t>2022/2371</w:t>
      </w:r>
      <w:r w:rsidRPr="006E7456">
        <w:rPr>
          <w:rFonts w:ascii="Times New Roman" w:eastAsia="Times New Roman" w:hAnsi="Times New Roman" w:cs="Times New Roman"/>
          <w:noProof/>
          <w:sz w:val="24"/>
          <w:szCs w:val="24"/>
          <w:lang w:val="en-IE"/>
        </w:rPr>
        <w:t>, the Health Security Committee</w:t>
      </w:r>
      <w:r w:rsidR="00831B85" w:rsidRPr="006E7456">
        <w:rPr>
          <w:rStyle w:val="FootnoteReference"/>
          <w:rFonts w:ascii="Times New Roman" w:eastAsia="Times New Roman" w:hAnsi="Times New Roman" w:cs="Times New Roman"/>
          <w:noProof/>
          <w:sz w:val="24"/>
          <w:szCs w:val="24"/>
        </w:rPr>
        <w:footnoteReference w:id="46"/>
      </w:r>
      <w:r w:rsidRPr="00E03D97">
        <w:rPr>
          <w:rFonts w:ascii="Times New Roman" w:eastAsia="Times New Roman" w:hAnsi="Times New Roman" w:cs="Times New Roman"/>
          <w:noProof/>
          <w:sz w:val="24"/>
          <w:szCs w:val="24"/>
          <w:lang w:val="en-IE"/>
        </w:rPr>
        <w:t xml:space="preserve"> – the key EU body </w:t>
      </w:r>
      <w:r w:rsidRPr="0085365F">
        <w:rPr>
          <w:rFonts w:ascii="Times New Roman" w:eastAsia="Times New Roman" w:hAnsi="Times New Roman" w:cs="Times New Roman"/>
          <w:noProof/>
          <w:sz w:val="24"/>
          <w:szCs w:val="24"/>
          <w:lang w:val="en-IE"/>
        </w:rPr>
        <w:t>dealing with</w:t>
      </w:r>
      <w:r w:rsidRPr="00E03D97">
        <w:rPr>
          <w:rFonts w:ascii="Times New Roman" w:eastAsia="Times New Roman" w:hAnsi="Times New Roman" w:cs="Times New Roman"/>
          <w:noProof/>
          <w:sz w:val="24"/>
          <w:szCs w:val="24"/>
          <w:lang w:val="en-IE"/>
        </w:rPr>
        <w:t xml:space="preserve"> public health threats – held several joint meetings with the EU</w:t>
      </w:r>
      <w:r w:rsidR="00031A95">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Chief Veterinary Officers to discuss the threat of </w:t>
      </w:r>
      <w:r w:rsidR="009C65E8">
        <w:rPr>
          <w:rFonts w:ascii="Times New Roman" w:eastAsia="Times New Roman" w:hAnsi="Times New Roman" w:cs="Times New Roman"/>
          <w:noProof/>
          <w:sz w:val="24"/>
          <w:szCs w:val="24"/>
          <w:lang w:val="en-IE"/>
        </w:rPr>
        <w:t>H</w:t>
      </w:r>
      <w:r w:rsidRPr="00E03D97">
        <w:rPr>
          <w:rFonts w:ascii="Times New Roman" w:eastAsia="Times New Roman" w:hAnsi="Times New Roman" w:cs="Times New Roman"/>
          <w:noProof/>
          <w:sz w:val="24"/>
          <w:szCs w:val="24"/>
          <w:lang w:val="en-IE"/>
        </w:rPr>
        <w:t xml:space="preserve">ighly </w:t>
      </w:r>
      <w:r w:rsidR="009C65E8">
        <w:rPr>
          <w:rFonts w:ascii="Times New Roman" w:eastAsia="Times New Roman" w:hAnsi="Times New Roman" w:cs="Times New Roman"/>
          <w:noProof/>
          <w:sz w:val="24"/>
          <w:szCs w:val="24"/>
          <w:lang w:val="en-IE"/>
        </w:rPr>
        <w:t>P</w:t>
      </w:r>
      <w:r w:rsidRPr="00E03D97">
        <w:rPr>
          <w:rFonts w:ascii="Times New Roman" w:eastAsia="Times New Roman" w:hAnsi="Times New Roman" w:cs="Times New Roman"/>
          <w:noProof/>
          <w:sz w:val="24"/>
          <w:szCs w:val="24"/>
          <w:lang w:val="en-IE"/>
        </w:rPr>
        <w:t xml:space="preserve">athogenic </w:t>
      </w:r>
      <w:r w:rsidR="00CE1DAE">
        <w:rPr>
          <w:rFonts w:ascii="Times New Roman" w:eastAsia="Times New Roman" w:hAnsi="Times New Roman" w:cs="Times New Roman"/>
          <w:noProof/>
          <w:sz w:val="24"/>
          <w:szCs w:val="24"/>
          <w:lang w:val="en-IE"/>
        </w:rPr>
        <w:t>a</w:t>
      </w:r>
      <w:r w:rsidRPr="00E03D97">
        <w:rPr>
          <w:rFonts w:ascii="Times New Roman" w:eastAsia="Times New Roman" w:hAnsi="Times New Roman" w:cs="Times New Roman"/>
          <w:noProof/>
          <w:sz w:val="24"/>
          <w:szCs w:val="24"/>
          <w:lang w:val="en-IE"/>
        </w:rPr>
        <w:t xml:space="preserve">vian </w:t>
      </w:r>
      <w:r w:rsidR="00CE1DAE">
        <w:rPr>
          <w:rFonts w:ascii="Times New Roman" w:eastAsia="Times New Roman" w:hAnsi="Times New Roman" w:cs="Times New Roman"/>
          <w:noProof/>
          <w:sz w:val="24"/>
          <w:szCs w:val="24"/>
          <w:lang w:val="en-IE"/>
        </w:rPr>
        <w:t>i</w:t>
      </w:r>
      <w:r w:rsidRPr="00E03D97">
        <w:rPr>
          <w:rFonts w:ascii="Times New Roman" w:eastAsia="Times New Roman" w:hAnsi="Times New Roman" w:cs="Times New Roman"/>
          <w:noProof/>
          <w:sz w:val="24"/>
          <w:szCs w:val="24"/>
          <w:lang w:val="en-IE"/>
        </w:rPr>
        <w:t xml:space="preserve">nfluenza (HPAI) and the animal and human health </w:t>
      </w:r>
      <w:r w:rsidR="004E183E" w:rsidRPr="00E03D97">
        <w:rPr>
          <w:rFonts w:ascii="Times New Roman" w:eastAsia="Times New Roman" w:hAnsi="Times New Roman" w:cs="Times New Roman"/>
          <w:noProof/>
          <w:sz w:val="24"/>
          <w:szCs w:val="24"/>
          <w:lang w:val="en-IE"/>
        </w:rPr>
        <w:t>measures</w:t>
      </w:r>
      <w:r w:rsidR="004E183E">
        <w:rPr>
          <w:rFonts w:ascii="Times New Roman" w:eastAsia="Times New Roman" w:hAnsi="Times New Roman" w:cs="Times New Roman"/>
          <w:noProof/>
          <w:sz w:val="24"/>
          <w:szCs w:val="24"/>
          <w:lang w:val="en-IE"/>
        </w:rPr>
        <w:t xml:space="preserve"> needed </w:t>
      </w:r>
      <w:r w:rsidRPr="00E03D97">
        <w:rPr>
          <w:rFonts w:ascii="Times New Roman" w:eastAsia="Times New Roman" w:hAnsi="Times New Roman" w:cs="Times New Roman"/>
          <w:noProof/>
          <w:sz w:val="24"/>
          <w:szCs w:val="24"/>
          <w:lang w:val="en-IE"/>
        </w:rPr>
        <w:t>to prevent the risk of zoonotic spillover to humans. HPAI is a major health threat and requires vigilance</w:t>
      </w:r>
      <w:r w:rsidR="000222DA">
        <w:rPr>
          <w:rFonts w:ascii="Times New Roman" w:eastAsia="Times New Roman" w:hAnsi="Times New Roman" w:cs="Times New Roman"/>
          <w:noProof/>
          <w:sz w:val="24"/>
          <w:szCs w:val="24"/>
          <w:lang w:val="en-IE"/>
        </w:rPr>
        <w:t xml:space="preserve">, early detection and </w:t>
      </w:r>
      <w:r w:rsidR="004E183E">
        <w:rPr>
          <w:rFonts w:ascii="Times New Roman" w:eastAsia="Times New Roman" w:hAnsi="Times New Roman" w:cs="Times New Roman"/>
          <w:noProof/>
          <w:sz w:val="24"/>
          <w:szCs w:val="24"/>
          <w:lang w:val="en-IE"/>
        </w:rPr>
        <w:t xml:space="preserve">a </w:t>
      </w:r>
      <w:r w:rsidRPr="00E03D97">
        <w:rPr>
          <w:rFonts w:ascii="Times New Roman" w:eastAsia="Times New Roman" w:hAnsi="Times New Roman" w:cs="Times New Roman"/>
          <w:noProof/>
          <w:sz w:val="24"/>
          <w:szCs w:val="24"/>
          <w:lang w:val="en-IE"/>
        </w:rPr>
        <w:t>rapid and early response to any spillovers early on. The 2022/23 season saw one of the largest HPAI epidemics in wild birds and poultry in the EU to date</w:t>
      </w:r>
      <w:r w:rsidR="0032059A" w:rsidRPr="00E03D97">
        <w:rPr>
          <w:rFonts w:ascii="Times New Roman" w:eastAsia="Times New Roman" w:hAnsi="Times New Roman" w:cs="Times New Roman"/>
          <w:noProof/>
          <w:sz w:val="24"/>
          <w:szCs w:val="24"/>
          <w:lang w:val="en-IE"/>
        </w:rPr>
        <w:t xml:space="preserve"> and large outbreaks among mammals</w:t>
      </w:r>
      <w:r w:rsidRPr="00E03D97">
        <w:rPr>
          <w:rFonts w:ascii="Times New Roman" w:eastAsia="Times New Roman" w:hAnsi="Times New Roman" w:cs="Times New Roman"/>
          <w:noProof/>
          <w:sz w:val="24"/>
          <w:szCs w:val="24"/>
          <w:lang w:val="en-IE"/>
        </w:rPr>
        <w:t>. The relevant EU legislation</w:t>
      </w:r>
      <w:r w:rsidRPr="00E03D97">
        <w:rPr>
          <w:rFonts w:ascii="Times New Roman" w:eastAsia="Times New Roman" w:hAnsi="Times New Roman" w:cs="Times New Roman"/>
          <w:noProof/>
          <w:sz w:val="24"/>
          <w:szCs w:val="24"/>
          <w:vertAlign w:val="superscript"/>
          <w:lang w:val="en-IE"/>
        </w:rPr>
        <w:footnoteReference w:id="47"/>
      </w:r>
      <w:r w:rsidRPr="00E03D97">
        <w:rPr>
          <w:rFonts w:ascii="Times New Roman" w:eastAsia="Times New Roman" w:hAnsi="Times New Roman" w:cs="Times New Roman"/>
          <w:noProof/>
          <w:sz w:val="24"/>
          <w:szCs w:val="24"/>
          <w:lang w:val="en-IE"/>
        </w:rPr>
        <w:t xml:space="preserve"> provides that all Member States must carry out surveillance, to allow early detection of HPAI in birds and mammals. Animal </w:t>
      </w:r>
      <w:r w:rsidR="00ED1571">
        <w:rPr>
          <w:rFonts w:ascii="Times New Roman" w:eastAsia="Times New Roman" w:hAnsi="Times New Roman" w:cs="Times New Roman"/>
          <w:noProof/>
          <w:sz w:val="24"/>
          <w:szCs w:val="24"/>
          <w:lang w:val="en-IE"/>
        </w:rPr>
        <w:t>h</w:t>
      </w:r>
      <w:r w:rsidRPr="00E03D97">
        <w:rPr>
          <w:rFonts w:ascii="Times New Roman" w:eastAsia="Times New Roman" w:hAnsi="Times New Roman" w:cs="Times New Roman"/>
          <w:noProof/>
          <w:sz w:val="24"/>
          <w:szCs w:val="24"/>
          <w:lang w:val="en-IE"/>
        </w:rPr>
        <w:t xml:space="preserve">ealth </w:t>
      </w:r>
      <w:r w:rsidR="00ED1571">
        <w:rPr>
          <w:rFonts w:ascii="Times New Roman" w:eastAsia="Times New Roman" w:hAnsi="Times New Roman" w:cs="Times New Roman"/>
          <w:noProof/>
          <w:sz w:val="24"/>
          <w:szCs w:val="24"/>
          <w:lang w:val="en-IE"/>
        </w:rPr>
        <w:t>l</w:t>
      </w:r>
      <w:r w:rsidRPr="00E03D97">
        <w:rPr>
          <w:rFonts w:ascii="Times New Roman" w:eastAsia="Times New Roman" w:hAnsi="Times New Roman" w:cs="Times New Roman"/>
          <w:noProof/>
          <w:sz w:val="24"/>
          <w:szCs w:val="24"/>
          <w:lang w:val="en-IE"/>
        </w:rPr>
        <w:t>aw ensures harmoni</w:t>
      </w:r>
      <w:r w:rsidR="00CC751D">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ation of the measures that all Member States have to implement once </w:t>
      </w:r>
      <w:r w:rsidR="00ED1571">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HPAI virus is detected in kept birds</w:t>
      </w:r>
      <w:r w:rsidR="00ED1571">
        <w:rPr>
          <w:rFonts w:ascii="Times New Roman" w:eastAsia="Times New Roman" w:hAnsi="Times New Roman" w:cs="Times New Roman"/>
          <w:noProof/>
          <w:sz w:val="24"/>
          <w:szCs w:val="24"/>
          <w:lang w:val="en-IE"/>
        </w:rPr>
        <w:t xml:space="preserve"> in order to</w:t>
      </w:r>
      <w:r w:rsidRPr="00E03D97">
        <w:rPr>
          <w:rFonts w:ascii="Times New Roman" w:eastAsia="Times New Roman" w:hAnsi="Times New Roman" w:cs="Times New Roman"/>
          <w:noProof/>
          <w:sz w:val="24"/>
          <w:szCs w:val="24"/>
          <w:lang w:val="en-IE"/>
        </w:rPr>
        <w:t xml:space="preserve"> prevent and control </w:t>
      </w:r>
      <w:r w:rsidR="00ED1571">
        <w:rPr>
          <w:rFonts w:ascii="Times New Roman" w:eastAsia="Times New Roman" w:hAnsi="Times New Roman" w:cs="Times New Roman"/>
          <w:noProof/>
          <w:sz w:val="24"/>
          <w:szCs w:val="24"/>
          <w:lang w:val="en-IE"/>
        </w:rPr>
        <w:t xml:space="preserve">its </w:t>
      </w:r>
      <w:r w:rsidRPr="00E03D97">
        <w:rPr>
          <w:rFonts w:ascii="Times New Roman" w:eastAsia="Times New Roman" w:hAnsi="Times New Roman" w:cs="Times New Roman"/>
          <w:noProof/>
          <w:sz w:val="24"/>
          <w:szCs w:val="24"/>
          <w:lang w:val="en-IE"/>
        </w:rPr>
        <w:t>spread</w:t>
      </w:r>
      <w:r w:rsidR="00ED1571">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and provides the legal basis for the competent authorities to take the necessary measures when the virus is detected in mammals.</w:t>
      </w:r>
    </w:p>
    <w:p w14:paraId="61A7FEA1" w14:textId="1E7B5056" w:rsidR="002B1144" w:rsidRDefault="001F1738" w:rsidP="002B1144">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Since September 2017, </w:t>
      </w:r>
      <w:r w:rsidR="00D666BE">
        <w:rPr>
          <w:rFonts w:ascii="Times New Roman" w:eastAsia="Times New Roman" w:hAnsi="Times New Roman" w:cs="Times New Roman"/>
          <w:noProof/>
          <w:sz w:val="24"/>
          <w:szCs w:val="24"/>
          <w:lang w:val="en-IE"/>
        </w:rPr>
        <w:t>the European Food Safety Authority (</w:t>
      </w:r>
      <w:r w:rsidRPr="00E03D97">
        <w:rPr>
          <w:rFonts w:ascii="Times New Roman" w:eastAsia="Times New Roman" w:hAnsi="Times New Roman" w:cs="Times New Roman"/>
          <w:noProof/>
          <w:sz w:val="24"/>
          <w:szCs w:val="24"/>
          <w:lang w:val="en-IE"/>
        </w:rPr>
        <w:t>EFSA</w:t>
      </w:r>
      <w:r w:rsidR="00D666BE">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and </w:t>
      </w:r>
      <w:r w:rsidR="00D666BE">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ECDC </w:t>
      </w:r>
      <w:r w:rsidR="00ED1571">
        <w:rPr>
          <w:rFonts w:ascii="Times New Roman" w:eastAsia="Times New Roman" w:hAnsi="Times New Roman" w:cs="Times New Roman"/>
          <w:noProof/>
          <w:sz w:val="24"/>
          <w:szCs w:val="24"/>
          <w:lang w:val="en-IE"/>
        </w:rPr>
        <w:t>have been</w:t>
      </w:r>
      <w:r w:rsidR="00ED1571"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mandated by the Commission to regularly assess, jointly with the EU Reference Laboratory for avian influenza in animal health</w:t>
      </w:r>
      <w:r w:rsidRPr="00E03D97">
        <w:rPr>
          <w:rFonts w:ascii="Times New Roman" w:eastAsia="Times New Roman" w:hAnsi="Times New Roman" w:cs="Times New Roman"/>
          <w:noProof/>
          <w:sz w:val="24"/>
          <w:szCs w:val="24"/>
          <w:vertAlign w:val="superscript"/>
          <w:lang w:val="en-IE"/>
        </w:rPr>
        <w:footnoteReference w:id="48"/>
      </w:r>
      <w:r w:rsidRPr="00E03D97">
        <w:rPr>
          <w:rFonts w:ascii="Times New Roman" w:eastAsia="Times New Roman" w:hAnsi="Times New Roman" w:cs="Times New Roman"/>
          <w:noProof/>
          <w:sz w:val="24"/>
          <w:szCs w:val="24"/>
          <w:lang w:val="en-IE"/>
        </w:rPr>
        <w:t xml:space="preserve">, the HPAI epidemiological situation and the evolution of the genetic characteristics of HPAI viruses detected in animals. Scientific reports with the results of these assessments are published every </w:t>
      </w:r>
      <w:r w:rsidR="00DE60B4">
        <w:rPr>
          <w:rFonts w:ascii="Times New Roman" w:eastAsia="Times New Roman" w:hAnsi="Times New Roman" w:cs="Times New Roman"/>
          <w:noProof/>
          <w:sz w:val="24"/>
          <w:szCs w:val="24"/>
          <w:lang w:val="en-IE"/>
        </w:rPr>
        <w:t>2</w:t>
      </w:r>
      <w:r w:rsidR="00DE60B4"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to </w:t>
      </w:r>
      <w:r w:rsidR="00DE60B4">
        <w:rPr>
          <w:rFonts w:ascii="Times New Roman" w:eastAsia="Times New Roman" w:hAnsi="Times New Roman" w:cs="Times New Roman"/>
          <w:noProof/>
          <w:sz w:val="24"/>
          <w:szCs w:val="24"/>
          <w:lang w:val="en-IE"/>
        </w:rPr>
        <w:t xml:space="preserve">3 </w:t>
      </w:r>
      <w:r w:rsidRPr="00E03D97">
        <w:rPr>
          <w:rFonts w:ascii="Times New Roman" w:eastAsia="Times New Roman" w:hAnsi="Times New Roman" w:cs="Times New Roman"/>
          <w:noProof/>
          <w:sz w:val="24"/>
          <w:szCs w:val="24"/>
          <w:lang w:val="en-IE"/>
        </w:rPr>
        <w:t>months</w:t>
      </w:r>
      <w:r w:rsidRPr="00E03D97">
        <w:rPr>
          <w:rFonts w:ascii="Times New Roman" w:eastAsia="Times New Roman" w:hAnsi="Times New Roman" w:cs="Times New Roman"/>
          <w:noProof/>
          <w:sz w:val="24"/>
          <w:szCs w:val="24"/>
          <w:vertAlign w:val="superscript"/>
          <w:lang w:val="en-IE"/>
        </w:rPr>
        <w:footnoteReference w:id="49"/>
      </w:r>
      <w:r w:rsidRPr="00E03D97">
        <w:rPr>
          <w:rFonts w:ascii="Times New Roman" w:eastAsia="Times New Roman" w:hAnsi="Times New Roman" w:cs="Times New Roman"/>
          <w:noProof/>
          <w:sz w:val="24"/>
          <w:szCs w:val="24"/>
          <w:lang w:val="en-IE"/>
        </w:rPr>
        <w:t xml:space="preserve"> and </w:t>
      </w:r>
      <w:r w:rsidR="00B27846">
        <w:rPr>
          <w:rFonts w:ascii="Times New Roman" w:eastAsia="Times New Roman" w:hAnsi="Times New Roman" w:cs="Times New Roman"/>
          <w:noProof/>
          <w:sz w:val="24"/>
          <w:szCs w:val="24"/>
          <w:lang w:val="en-IE"/>
        </w:rPr>
        <w:t>present</w:t>
      </w:r>
      <w:r w:rsidR="00B27846"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options for respon</w:t>
      </w:r>
      <w:r w:rsidR="00DE60B4">
        <w:rPr>
          <w:rFonts w:ascii="Times New Roman" w:eastAsia="Times New Roman" w:hAnsi="Times New Roman" w:cs="Times New Roman"/>
          <w:noProof/>
          <w:sz w:val="24"/>
          <w:szCs w:val="24"/>
          <w:lang w:val="en-IE"/>
        </w:rPr>
        <w:t>ding</w:t>
      </w:r>
      <w:r w:rsidRPr="00E03D97">
        <w:rPr>
          <w:rFonts w:ascii="Times New Roman" w:eastAsia="Times New Roman" w:hAnsi="Times New Roman" w:cs="Times New Roman"/>
          <w:noProof/>
          <w:sz w:val="24"/>
          <w:szCs w:val="24"/>
          <w:lang w:val="en-IE"/>
        </w:rPr>
        <w:t xml:space="preserve"> to the identified risks for animal and public health. </w:t>
      </w:r>
    </w:p>
    <w:p w14:paraId="6EAC37D7" w14:textId="1AEEFFA3" w:rsidR="001F1738" w:rsidRPr="00E03D97" w:rsidRDefault="001F1738" w:rsidP="00BC2F11">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Together with </w:t>
      </w:r>
      <w:r w:rsidR="00DC40EF">
        <w:rPr>
          <w:rFonts w:ascii="Times New Roman" w:eastAsia="Times New Roman" w:hAnsi="Times New Roman" w:cs="Times New Roman"/>
          <w:noProof/>
          <w:sz w:val="24"/>
          <w:szCs w:val="24"/>
          <w:lang w:val="en-IE"/>
        </w:rPr>
        <w:t>some</w:t>
      </w:r>
      <w:r w:rsidR="00DE60B4">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Member States, the Commission is working on the possibility </w:t>
      </w:r>
      <w:r w:rsidR="00DE60B4">
        <w:rPr>
          <w:rFonts w:ascii="Times New Roman" w:eastAsia="Times New Roman" w:hAnsi="Times New Roman" w:cs="Times New Roman"/>
          <w:noProof/>
          <w:sz w:val="24"/>
          <w:szCs w:val="24"/>
          <w:lang w:val="en-IE"/>
        </w:rPr>
        <w:t>of</w:t>
      </w:r>
      <w:r w:rsidRPr="00E03D97">
        <w:rPr>
          <w:rFonts w:ascii="Times New Roman" w:eastAsia="Times New Roman" w:hAnsi="Times New Roman" w:cs="Times New Roman"/>
          <w:noProof/>
          <w:sz w:val="24"/>
          <w:szCs w:val="24"/>
          <w:lang w:val="en-IE"/>
        </w:rPr>
        <w:t xml:space="preserve"> secur</w:t>
      </w:r>
      <w:r w:rsidR="00DE60B4">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vaccines against zoonotic influenza</w:t>
      </w:r>
      <w:r w:rsidR="00BA32ED">
        <w:rPr>
          <w:rFonts w:ascii="Times New Roman" w:eastAsia="Times New Roman" w:hAnsi="Times New Roman" w:cs="Times New Roman"/>
          <w:noProof/>
          <w:sz w:val="24"/>
          <w:szCs w:val="24"/>
          <w:lang w:val="en-IE"/>
        </w:rPr>
        <w:t xml:space="preserve"> in humans</w:t>
      </w:r>
      <w:r w:rsidRPr="00E03D97">
        <w:rPr>
          <w:rFonts w:ascii="Times New Roman" w:eastAsia="Times New Roman" w:hAnsi="Times New Roman" w:cs="Times New Roman"/>
          <w:noProof/>
          <w:sz w:val="24"/>
          <w:szCs w:val="24"/>
          <w:lang w:val="en-IE"/>
        </w:rPr>
        <w:t xml:space="preserve"> via the </w:t>
      </w:r>
      <w:r w:rsidR="00AC1530">
        <w:rPr>
          <w:rFonts w:ascii="Times New Roman" w:eastAsia="Times New Roman" w:hAnsi="Times New Roman" w:cs="Times New Roman"/>
          <w:noProof/>
          <w:sz w:val="24"/>
          <w:szCs w:val="24"/>
          <w:lang w:val="en-IE"/>
        </w:rPr>
        <w:t>J</w:t>
      </w:r>
      <w:r w:rsidRPr="00E03D97">
        <w:rPr>
          <w:rFonts w:ascii="Times New Roman" w:eastAsia="Times New Roman" w:hAnsi="Times New Roman" w:cs="Times New Roman"/>
          <w:noProof/>
          <w:sz w:val="24"/>
          <w:szCs w:val="24"/>
          <w:lang w:val="en-IE"/>
        </w:rPr>
        <w:t xml:space="preserve">oint </w:t>
      </w:r>
      <w:r w:rsidR="00AC1530">
        <w:rPr>
          <w:rFonts w:ascii="Times New Roman" w:eastAsia="Times New Roman" w:hAnsi="Times New Roman" w:cs="Times New Roman"/>
          <w:noProof/>
          <w:sz w:val="24"/>
          <w:szCs w:val="24"/>
          <w:lang w:val="en-IE"/>
        </w:rPr>
        <w:t>P</w:t>
      </w:r>
      <w:r w:rsidRPr="00E03D97">
        <w:rPr>
          <w:rFonts w:ascii="Times New Roman" w:eastAsia="Times New Roman" w:hAnsi="Times New Roman" w:cs="Times New Roman"/>
          <w:noProof/>
          <w:sz w:val="24"/>
          <w:szCs w:val="24"/>
          <w:lang w:val="en-IE"/>
        </w:rPr>
        <w:t>rocurement mechanism.</w:t>
      </w:r>
      <w:r w:rsidR="00DC40EF">
        <w:rPr>
          <w:rFonts w:ascii="Times New Roman" w:eastAsia="Times New Roman" w:hAnsi="Times New Roman" w:cs="Times New Roman"/>
          <w:noProof/>
          <w:sz w:val="24"/>
          <w:szCs w:val="24"/>
          <w:lang w:val="en-IE"/>
        </w:rPr>
        <w:t xml:space="preserve"> </w:t>
      </w:r>
      <w:r w:rsidR="00DC40EF" w:rsidRPr="00DC40EF">
        <w:rPr>
          <w:rFonts w:ascii="Times New Roman" w:eastAsia="Times New Roman" w:hAnsi="Times New Roman" w:cs="Times New Roman"/>
          <w:noProof/>
          <w:sz w:val="24"/>
          <w:szCs w:val="24"/>
          <w:lang w:val="en-IE"/>
        </w:rPr>
        <w:t xml:space="preserve">First shipments of </w:t>
      </w:r>
      <w:r w:rsidR="00DC40EF">
        <w:rPr>
          <w:rFonts w:ascii="Times New Roman" w:eastAsia="Times New Roman" w:hAnsi="Times New Roman" w:cs="Times New Roman"/>
          <w:noProof/>
          <w:sz w:val="24"/>
          <w:szCs w:val="24"/>
          <w:lang w:val="en-IE"/>
        </w:rPr>
        <w:t>such a</w:t>
      </w:r>
      <w:r w:rsidR="00DC40EF" w:rsidRPr="00DC40EF">
        <w:rPr>
          <w:rFonts w:ascii="Times New Roman" w:eastAsia="Times New Roman" w:hAnsi="Times New Roman" w:cs="Times New Roman"/>
          <w:noProof/>
          <w:sz w:val="24"/>
          <w:szCs w:val="24"/>
          <w:lang w:val="en-IE"/>
        </w:rPr>
        <w:t xml:space="preserve"> vaccine to the Member States are planned for </w:t>
      </w:r>
      <w:r w:rsidR="00DC40EF" w:rsidRPr="00DD489A">
        <w:rPr>
          <w:rFonts w:ascii="Times New Roman" w:eastAsia="Times New Roman" w:hAnsi="Times New Roman" w:cs="Times New Roman"/>
          <w:noProof/>
          <w:sz w:val="24"/>
          <w:szCs w:val="24"/>
          <w:lang w:val="en-IE"/>
        </w:rPr>
        <w:t>early 2024. The common purchase of zoonotic vaccines w</w:t>
      </w:r>
      <w:r w:rsidR="000150F5" w:rsidRPr="00DD489A">
        <w:rPr>
          <w:rFonts w:ascii="Times New Roman" w:eastAsia="Times New Roman" w:hAnsi="Times New Roman" w:cs="Times New Roman"/>
          <w:noProof/>
          <w:sz w:val="24"/>
          <w:szCs w:val="24"/>
          <w:lang w:val="en-IE"/>
        </w:rPr>
        <w:t>ould</w:t>
      </w:r>
      <w:r w:rsidR="00DC40EF" w:rsidRPr="00DD489A">
        <w:rPr>
          <w:rFonts w:ascii="Times New Roman" w:eastAsia="Times New Roman" w:hAnsi="Times New Roman" w:cs="Times New Roman"/>
          <w:noProof/>
          <w:sz w:val="24"/>
          <w:szCs w:val="24"/>
          <w:lang w:val="en-IE"/>
        </w:rPr>
        <w:t xml:space="preserve"> strengthen the preparedness of the Member States in face of an (</w:t>
      </w:r>
      <w:r w:rsidR="009C65E8">
        <w:rPr>
          <w:rFonts w:ascii="Times New Roman" w:eastAsia="Times New Roman" w:hAnsi="Times New Roman" w:cs="Times New Roman"/>
          <w:noProof/>
          <w:sz w:val="24"/>
          <w:szCs w:val="24"/>
          <w:lang w:val="en-IE"/>
        </w:rPr>
        <w:t>A</w:t>
      </w:r>
      <w:r w:rsidR="00DC40EF" w:rsidRPr="00DD489A">
        <w:rPr>
          <w:rFonts w:ascii="Times New Roman" w:eastAsia="Times New Roman" w:hAnsi="Times New Roman" w:cs="Times New Roman"/>
          <w:noProof/>
          <w:sz w:val="24"/>
          <w:szCs w:val="24"/>
          <w:lang w:val="en-IE"/>
        </w:rPr>
        <w:t xml:space="preserve">vian) </w:t>
      </w:r>
      <w:r w:rsidR="009C65E8">
        <w:rPr>
          <w:rFonts w:ascii="Times New Roman" w:eastAsia="Times New Roman" w:hAnsi="Times New Roman" w:cs="Times New Roman"/>
          <w:noProof/>
          <w:sz w:val="24"/>
          <w:szCs w:val="24"/>
          <w:lang w:val="en-IE"/>
        </w:rPr>
        <w:t>I</w:t>
      </w:r>
      <w:r w:rsidR="00DC40EF" w:rsidRPr="00DD489A">
        <w:rPr>
          <w:rFonts w:ascii="Times New Roman" w:eastAsia="Times New Roman" w:hAnsi="Times New Roman" w:cs="Times New Roman"/>
          <w:noProof/>
          <w:sz w:val="24"/>
          <w:szCs w:val="24"/>
          <w:lang w:val="en-IE"/>
        </w:rPr>
        <w:t>nfluenza pandemic by adding up to the two existing framework contracts – also concluded under the Joint Procurement mechanism – for the reservation of over 110 million pandemic vaccine doses. The pandemic vaccine doses w</w:t>
      </w:r>
      <w:r w:rsidR="000150F5" w:rsidRPr="00DD489A">
        <w:rPr>
          <w:rFonts w:ascii="Times New Roman" w:eastAsia="Times New Roman" w:hAnsi="Times New Roman" w:cs="Times New Roman"/>
          <w:noProof/>
          <w:sz w:val="24"/>
          <w:szCs w:val="24"/>
          <w:lang w:val="en-IE"/>
        </w:rPr>
        <w:t>ould</w:t>
      </w:r>
      <w:r w:rsidR="00DC40EF" w:rsidRPr="00DD489A">
        <w:rPr>
          <w:rFonts w:ascii="Times New Roman" w:eastAsia="Times New Roman" w:hAnsi="Times New Roman" w:cs="Times New Roman"/>
          <w:noProof/>
          <w:sz w:val="24"/>
          <w:szCs w:val="24"/>
          <w:lang w:val="en-IE"/>
        </w:rPr>
        <w:t xml:space="preserve"> be distributed to the Member States participating in the reservation contracts after the declaration of an influenza pandemic by the WHO.</w:t>
      </w:r>
      <w:r w:rsidR="00DC40EF">
        <w:rPr>
          <w:rFonts w:ascii="Times New Roman" w:eastAsia="Times New Roman" w:hAnsi="Times New Roman" w:cs="Times New Roman"/>
          <w:noProof/>
          <w:sz w:val="24"/>
          <w:szCs w:val="24"/>
          <w:lang w:val="en-IE"/>
        </w:rPr>
        <w:t xml:space="preserve"> </w:t>
      </w:r>
    </w:p>
    <w:p w14:paraId="5FE726F1" w14:textId="2B79DFFD" w:rsidR="001F1738" w:rsidRPr="00E03D97" w:rsidRDefault="001F1738" w:rsidP="001F1738">
      <w:pPr>
        <w:keepNext/>
        <w:keepLines/>
        <w:spacing w:before="100" w:beforeAutospacing="1" w:after="100" w:afterAutospacing="1" w:line="240" w:lineRule="auto"/>
        <w:outlineLvl w:val="2"/>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Preventing climate</w:t>
      </w:r>
      <w:r w:rsidR="00DE60B4">
        <w:rPr>
          <w:rFonts w:ascii="Times New Roman" w:eastAsia="Times New Roman" w:hAnsi="Times New Roman" w:cs="Times New Roman"/>
          <w:b/>
          <w:bCs/>
          <w:noProof/>
          <w:sz w:val="24"/>
          <w:szCs w:val="24"/>
          <w:lang w:val="en-IE"/>
        </w:rPr>
        <w:t>-</w:t>
      </w:r>
      <w:r w:rsidRPr="00E03D97">
        <w:rPr>
          <w:rFonts w:ascii="Times New Roman" w:eastAsia="Times New Roman" w:hAnsi="Times New Roman" w:cs="Times New Roman"/>
          <w:b/>
          <w:bCs/>
          <w:noProof/>
          <w:sz w:val="24"/>
          <w:szCs w:val="24"/>
          <w:lang w:val="en-IE"/>
        </w:rPr>
        <w:t>change-</w:t>
      </w:r>
      <w:r w:rsidR="00B554C1">
        <w:rPr>
          <w:rFonts w:ascii="Times New Roman" w:eastAsia="Times New Roman" w:hAnsi="Times New Roman" w:cs="Times New Roman"/>
          <w:b/>
          <w:bCs/>
          <w:noProof/>
          <w:sz w:val="24"/>
          <w:szCs w:val="24"/>
          <w:lang w:val="en-IE"/>
        </w:rPr>
        <w:t xml:space="preserve"> and environment-</w:t>
      </w:r>
      <w:r w:rsidRPr="00E03D97">
        <w:rPr>
          <w:rFonts w:ascii="Times New Roman" w:eastAsia="Times New Roman" w:hAnsi="Times New Roman" w:cs="Times New Roman"/>
          <w:b/>
          <w:bCs/>
          <w:noProof/>
          <w:sz w:val="24"/>
          <w:szCs w:val="24"/>
          <w:lang w:val="en-IE"/>
        </w:rPr>
        <w:t>related health threats</w:t>
      </w:r>
      <w:r w:rsidR="009B5AF1">
        <w:rPr>
          <w:rFonts w:ascii="Times New Roman" w:eastAsia="Times New Roman" w:hAnsi="Times New Roman" w:cs="Times New Roman"/>
          <w:b/>
          <w:bCs/>
          <w:noProof/>
          <w:sz w:val="24"/>
          <w:szCs w:val="24"/>
          <w:lang w:val="en-IE"/>
        </w:rPr>
        <w:t xml:space="preserve"> </w:t>
      </w:r>
      <w:r w:rsidR="009B5AF1" w:rsidRPr="00E03D97">
        <w:rPr>
          <w:rFonts w:ascii="Times New Roman" w:eastAsia="Times New Roman" w:hAnsi="Times New Roman" w:cs="Times New Roman"/>
          <w:b/>
          <w:bCs/>
          <w:noProof/>
          <w:sz w:val="24"/>
          <w:szCs w:val="24"/>
          <w:lang w:val="en-IE"/>
        </w:rPr>
        <w:t>and preparing for</w:t>
      </w:r>
      <w:r w:rsidR="009B5AF1">
        <w:rPr>
          <w:rFonts w:ascii="Times New Roman" w:eastAsia="Times New Roman" w:hAnsi="Times New Roman" w:cs="Times New Roman"/>
          <w:b/>
          <w:bCs/>
          <w:noProof/>
          <w:sz w:val="24"/>
          <w:szCs w:val="24"/>
          <w:lang w:val="en-IE"/>
        </w:rPr>
        <w:t xml:space="preserve"> them</w:t>
      </w:r>
    </w:p>
    <w:p w14:paraId="41CDE4DC" w14:textId="57D79053"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 effects of climate change</w:t>
      </w:r>
      <w:r w:rsidR="006C4EE3">
        <w:rPr>
          <w:rFonts w:ascii="Times New Roman" w:eastAsia="Times New Roman" w:hAnsi="Times New Roman" w:cs="Times New Roman"/>
          <w:noProof/>
          <w:sz w:val="24"/>
          <w:szCs w:val="24"/>
          <w:lang w:val="en-IE"/>
        </w:rPr>
        <w:t xml:space="preserve"> and environmental degradation</w:t>
      </w:r>
      <w:r w:rsidRPr="00E03D97">
        <w:rPr>
          <w:rFonts w:ascii="Times New Roman" w:eastAsia="Times New Roman" w:hAnsi="Times New Roman" w:cs="Times New Roman"/>
          <w:noProof/>
          <w:sz w:val="24"/>
          <w:szCs w:val="24"/>
          <w:lang w:val="en-IE"/>
        </w:rPr>
        <w:t xml:space="preserve"> were felt heavily in the summer of 2023, as</w:t>
      </w:r>
      <w:r w:rsidR="007E4F2E" w:rsidRPr="00E03D97">
        <w:rPr>
          <w:rFonts w:ascii="Times New Roman" w:eastAsia="Times New Roman" w:hAnsi="Times New Roman" w:cs="Times New Roman"/>
          <w:noProof/>
          <w:sz w:val="24"/>
          <w:szCs w:val="24"/>
          <w:lang w:val="en-IE"/>
        </w:rPr>
        <w:t xml:space="preserve"> extreme weather events caused devastating floods in </w:t>
      </w:r>
      <w:r w:rsidR="006C4EE3">
        <w:rPr>
          <w:rFonts w:ascii="Times New Roman" w:eastAsia="Times New Roman" w:hAnsi="Times New Roman" w:cs="Times New Roman"/>
          <w:noProof/>
          <w:sz w:val="24"/>
          <w:szCs w:val="24"/>
          <w:lang w:val="en-IE"/>
        </w:rPr>
        <w:t xml:space="preserve">Bulgaria, Croatia, </w:t>
      </w:r>
      <w:r w:rsidR="006C1420" w:rsidRPr="00E03D97">
        <w:rPr>
          <w:rFonts w:ascii="Times New Roman" w:eastAsia="Times New Roman" w:hAnsi="Times New Roman" w:cs="Times New Roman"/>
          <w:noProof/>
          <w:sz w:val="24"/>
          <w:szCs w:val="24"/>
          <w:lang w:val="en-IE"/>
        </w:rPr>
        <w:t>Greece</w:t>
      </w:r>
      <w:r w:rsidR="006C1420">
        <w:rPr>
          <w:rFonts w:ascii="Times New Roman" w:eastAsia="Times New Roman" w:hAnsi="Times New Roman" w:cs="Times New Roman"/>
          <w:noProof/>
          <w:sz w:val="24"/>
          <w:szCs w:val="24"/>
          <w:lang w:val="en-IE"/>
        </w:rPr>
        <w:t>,</w:t>
      </w:r>
      <w:r w:rsidR="006C1420" w:rsidRPr="00E03D97">
        <w:rPr>
          <w:rFonts w:ascii="Times New Roman" w:eastAsia="Times New Roman" w:hAnsi="Times New Roman" w:cs="Times New Roman"/>
          <w:noProof/>
          <w:sz w:val="24"/>
          <w:szCs w:val="24"/>
          <w:lang w:val="en-IE"/>
        </w:rPr>
        <w:t xml:space="preserve"> Spain</w:t>
      </w:r>
      <w:r w:rsidR="006C1420">
        <w:rPr>
          <w:rFonts w:ascii="Times New Roman" w:eastAsia="Times New Roman" w:hAnsi="Times New Roman" w:cs="Times New Roman"/>
          <w:noProof/>
          <w:sz w:val="24"/>
          <w:szCs w:val="24"/>
          <w:lang w:val="en-IE"/>
        </w:rPr>
        <w:t>,</w:t>
      </w:r>
      <w:r w:rsidR="006C1420" w:rsidRPr="00E03D97">
        <w:rPr>
          <w:rFonts w:ascii="Times New Roman" w:eastAsia="Times New Roman" w:hAnsi="Times New Roman" w:cs="Times New Roman"/>
          <w:noProof/>
          <w:sz w:val="24"/>
          <w:szCs w:val="24"/>
          <w:lang w:val="en-IE"/>
        </w:rPr>
        <w:t xml:space="preserve"> </w:t>
      </w:r>
      <w:r w:rsidR="007E4F2E" w:rsidRPr="00E03D97">
        <w:rPr>
          <w:rFonts w:ascii="Times New Roman" w:eastAsia="Times New Roman" w:hAnsi="Times New Roman" w:cs="Times New Roman"/>
          <w:noProof/>
          <w:sz w:val="24"/>
          <w:szCs w:val="24"/>
          <w:lang w:val="en-IE"/>
        </w:rPr>
        <w:t>Italy, Romania</w:t>
      </w:r>
      <w:r w:rsidR="006C1420">
        <w:rPr>
          <w:rFonts w:ascii="Times New Roman" w:eastAsia="Times New Roman" w:hAnsi="Times New Roman" w:cs="Times New Roman"/>
          <w:noProof/>
          <w:sz w:val="24"/>
          <w:szCs w:val="24"/>
          <w:lang w:val="en-IE"/>
        </w:rPr>
        <w:t xml:space="preserve"> and</w:t>
      </w:r>
      <w:r w:rsidR="007E4F2E" w:rsidRPr="00E03D97">
        <w:rPr>
          <w:rFonts w:ascii="Times New Roman" w:eastAsia="Times New Roman" w:hAnsi="Times New Roman" w:cs="Times New Roman"/>
          <w:noProof/>
          <w:sz w:val="24"/>
          <w:szCs w:val="24"/>
          <w:lang w:val="en-IE"/>
        </w:rPr>
        <w:t xml:space="preserve"> Slovenia and</w:t>
      </w:r>
      <w:r w:rsidRPr="00E03D97">
        <w:rPr>
          <w:rFonts w:ascii="Times New Roman" w:eastAsia="Times New Roman" w:hAnsi="Times New Roman" w:cs="Times New Roman"/>
          <w:noProof/>
          <w:sz w:val="24"/>
          <w:szCs w:val="24"/>
          <w:lang w:val="en-IE"/>
        </w:rPr>
        <w:t xml:space="preserve"> a heatwave </w:t>
      </w:r>
      <w:r w:rsidR="00F06A1E">
        <w:rPr>
          <w:rFonts w:ascii="Times New Roman" w:eastAsia="Times New Roman" w:hAnsi="Times New Roman" w:cs="Times New Roman"/>
          <w:noProof/>
          <w:sz w:val="24"/>
          <w:szCs w:val="24"/>
          <w:lang w:val="en-IE"/>
        </w:rPr>
        <w:t xml:space="preserve">brought </w:t>
      </w:r>
      <w:r w:rsidRPr="00E03D97">
        <w:rPr>
          <w:rFonts w:ascii="Times New Roman" w:eastAsia="Times New Roman" w:hAnsi="Times New Roman" w:cs="Times New Roman"/>
          <w:noProof/>
          <w:sz w:val="24"/>
          <w:szCs w:val="24"/>
          <w:lang w:val="en-IE"/>
        </w:rPr>
        <w:t>some of the hottest temperatures ever recorded in</w:t>
      </w:r>
      <w:r w:rsidR="00F06A1E">
        <w:rPr>
          <w:rFonts w:ascii="Times New Roman" w:eastAsia="Times New Roman" w:hAnsi="Times New Roman" w:cs="Times New Roman"/>
          <w:noProof/>
          <w:sz w:val="24"/>
          <w:szCs w:val="24"/>
          <w:lang w:val="en-IE"/>
        </w:rPr>
        <w:t xml:space="preserve"> the EU</w:t>
      </w:r>
      <w:r w:rsidRPr="00E03D97">
        <w:rPr>
          <w:rFonts w:ascii="Times New Roman" w:eastAsia="Times New Roman" w:hAnsi="Times New Roman" w:cs="Times New Roman"/>
          <w:noProof/>
          <w:sz w:val="24"/>
          <w:szCs w:val="24"/>
          <w:lang w:val="en-IE"/>
        </w:rPr>
        <w:t>. Public health action is needed to protect the most vulnerable</w:t>
      </w:r>
      <w:r w:rsidR="00F06A1E" w:rsidRPr="00F06A1E">
        <w:rPr>
          <w:rFonts w:ascii="Times New Roman" w:eastAsia="Times New Roman" w:hAnsi="Times New Roman" w:cs="Times New Roman"/>
          <w:noProof/>
          <w:sz w:val="24"/>
          <w:szCs w:val="24"/>
          <w:lang w:val="en-IE"/>
        </w:rPr>
        <w:t xml:space="preserve"> </w:t>
      </w:r>
      <w:r w:rsidR="00F06A1E" w:rsidRPr="00E03D97">
        <w:rPr>
          <w:rFonts w:ascii="Times New Roman" w:eastAsia="Times New Roman" w:hAnsi="Times New Roman" w:cs="Times New Roman"/>
          <w:noProof/>
          <w:sz w:val="24"/>
          <w:szCs w:val="24"/>
          <w:lang w:val="en-IE"/>
        </w:rPr>
        <w:t>in particular</w:t>
      </w:r>
      <w:r w:rsidR="00AC1530">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and</w:t>
      </w:r>
      <w:r w:rsidR="00F06A1E">
        <w:rPr>
          <w:rFonts w:ascii="Times New Roman" w:eastAsia="Times New Roman" w:hAnsi="Times New Roman" w:cs="Times New Roman"/>
          <w:noProof/>
          <w:sz w:val="24"/>
          <w:szCs w:val="24"/>
          <w:lang w:val="en-IE"/>
        </w:rPr>
        <w:t xml:space="preserve"> to</w:t>
      </w:r>
      <w:r w:rsidRPr="00E03D97">
        <w:rPr>
          <w:rFonts w:ascii="Times New Roman" w:eastAsia="Times New Roman" w:hAnsi="Times New Roman" w:cs="Times New Roman"/>
          <w:noProof/>
          <w:sz w:val="24"/>
          <w:szCs w:val="24"/>
          <w:lang w:val="en-IE"/>
        </w:rPr>
        <w:t xml:space="preserve"> prevent as many heat-related deaths as possible. </w:t>
      </w:r>
      <w:r w:rsidR="00F06A1E">
        <w:rPr>
          <w:rFonts w:ascii="Times New Roman" w:eastAsia="Times New Roman" w:hAnsi="Times New Roman" w:cs="Times New Roman"/>
          <w:noProof/>
          <w:sz w:val="24"/>
          <w:szCs w:val="24"/>
          <w:lang w:val="en-IE"/>
        </w:rPr>
        <w:t>The EU</w:t>
      </w:r>
      <w:r w:rsidR="00F06A1E" w:rsidRPr="00E03D97">
        <w:rPr>
          <w:rFonts w:ascii="Times New Roman" w:eastAsia="Times New Roman" w:hAnsi="Times New Roman" w:cs="Times New Roman"/>
          <w:noProof/>
          <w:sz w:val="24"/>
          <w:szCs w:val="24"/>
          <w:lang w:val="en-IE"/>
        </w:rPr>
        <w:t xml:space="preserve">’s </w:t>
      </w:r>
      <w:r w:rsidRPr="00E03D97">
        <w:rPr>
          <w:rFonts w:ascii="Times New Roman" w:eastAsia="Times New Roman" w:hAnsi="Times New Roman" w:cs="Times New Roman"/>
          <w:noProof/>
          <w:sz w:val="24"/>
          <w:szCs w:val="24"/>
          <w:lang w:val="en-IE"/>
        </w:rPr>
        <w:t xml:space="preserve">fast-warming climate is also becoming increasingly suitable for certain climate-sensitive infectious diseases, notably vector-borne ones. Furthermore, climate change </w:t>
      </w:r>
      <w:r w:rsidR="0033212C">
        <w:rPr>
          <w:rFonts w:ascii="Times New Roman" w:eastAsia="Times New Roman" w:hAnsi="Times New Roman" w:cs="Times New Roman"/>
          <w:noProof/>
          <w:sz w:val="24"/>
          <w:szCs w:val="24"/>
          <w:lang w:val="en-IE"/>
        </w:rPr>
        <w:t xml:space="preserve">is </w:t>
      </w:r>
      <w:r w:rsidRPr="00E03D97">
        <w:rPr>
          <w:rFonts w:ascii="Times New Roman" w:eastAsia="Times New Roman" w:hAnsi="Times New Roman" w:cs="Times New Roman"/>
          <w:noProof/>
          <w:sz w:val="24"/>
          <w:szCs w:val="24"/>
          <w:lang w:val="en-IE"/>
        </w:rPr>
        <w:t>accelerat</w:t>
      </w:r>
      <w:r w:rsidR="0033212C">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permafrost thawing, which may release long-dormant microorganisms of concern.</w:t>
      </w:r>
    </w:p>
    <w:p w14:paraId="12D1A8B0" w14:textId="0B04C3B5"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Pandemic-prone pathogens that are also vector-borne,</w:t>
      </w:r>
      <w:r w:rsidR="00EC2573">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such as </w:t>
      </w:r>
      <w:r w:rsidR="00CE1DAE">
        <w:rPr>
          <w:rFonts w:ascii="Times New Roman" w:eastAsia="Times New Roman" w:hAnsi="Times New Roman" w:cs="Times New Roman"/>
          <w:noProof/>
          <w:sz w:val="24"/>
          <w:szCs w:val="24"/>
          <w:lang w:val="en-IE"/>
        </w:rPr>
        <w:t>y</w:t>
      </w:r>
      <w:r w:rsidRPr="00E03D97">
        <w:rPr>
          <w:rFonts w:ascii="Times New Roman" w:eastAsia="Times New Roman" w:hAnsi="Times New Roman" w:cs="Times New Roman"/>
          <w:noProof/>
          <w:sz w:val="24"/>
          <w:szCs w:val="24"/>
          <w:lang w:val="en-IE"/>
        </w:rPr>
        <w:t xml:space="preserve">ellow </w:t>
      </w:r>
      <w:r w:rsidR="00CE1DAE">
        <w:rPr>
          <w:rFonts w:ascii="Times New Roman" w:eastAsia="Times New Roman" w:hAnsi="Times New Roman" w:cs="Times New Roman"/>
          <w:noProof/>
          <w:sz w:val="24"/>
          <w:szCs w:val="24"/>
          <w:lang w:val="en-IE"/>
        </w:rPr>
        <w:t>f</w:t>
      </w:r>
      <w:r w:rsidRPr="00E03D97">
        <w:rPr>
          <w:rFonts w:ascii="Times New Roman" w:eastAsia="Times New Roman" w:hAnsi="Times New Roman" w:cs="Times New Roman"/>
          <w:noProof/>
          <w:sz w:val="24"/>
          <w:szCs w:val="24"/>
          <w:lang w:val="en-IE"/>
        </w:rPr>
        <w:t xml:space="preserve">ever, </w:t>
      </w:r>
      <w:r w:rsidR="00CE1DAE">
        <w:rPr>
          <w:rFonts w:ascii="Times New Roman" w:eastAsia="Times New Roman" w:hAnsi="Times New Roman" w:cs="Times New Roman"/>
          <w:noProof/>
          <w:sz w:val="24"/>
          <w:szCs w:val="24"/>
          <w:lang w:val="en-IE"/>
        </w:rPr>
        <w:t>d</w:t>
      </w:r>
      <w:r w:rsidRPr="00E03D97">
        <w:rPr>
          <w:rFonts w:ascii="Times New Roman" w:eastAsia="Times New Roman" w:hAnsi="Times New Roman" w:cs="Times New Roman"/>
          <w:noProof/>
          <w:sz w:val="24"/>
          <w:szCs w:val="24"/>
          <w:lang w:val="en-IE"/>
        </w:rPr>
        <w:t xml:space="preserve">engue, </w:t>
      </w:r>
      <w:r w:rsidR="00CE1DAE">
        <w:rPr>
          <w:rFonts w:ascii="Times New Roman" w:eastAsia="Times New Roman" w:hAnsi="Times New Roman" w:cs="Times New Roman"/>
          <w:noProof/>
          <w:sz w:val="24"/>
          <w:szCs w:val="24"/>
          <w:lang w:val="en-IE"/>
        </w:rPr>
        <w:t>z</w:t>
      </w:r>
      <w:r w:rsidRPr="00E03D97">
        <w:rPr>
          <w:rFonts w:ascii="Times New Roman" w:eastAsia="Times New Roman" w:hAnsi="Times New Roman" w:cs="Times New Roman"/>
          <w:noProof/>
          <w:sz w:val="24"/>
          <w:szCs w:val="24"/>
          <w:lang w:val="en-IE"/>
        </w:rPr>
        <w:t xml:space="preserve">ika, </w:t>
      </w:r>
      <w:r w:rsidR="00CE1DAE">
        <w:rPr>
          <w:rFonts w:ascii="Times New Roman" w:eastAsia="Times New Roman" w:hAnsi="Times New Roman" w:cs="Times New Roman"/>
          <w:noProof/>
          <w:sz w:val="24"/>
          <w:szCs w:val="24"/>
          <w:lang w:val="en-IE"/>
        </w:rPr>
        <w:t>c</w:t>
      </w:r>
      <w:r w:rsidRPr="00E03D97">
        <w:rPr>
          <w:rFonts w:ascii="Times New Roman" w:eastAsia="Times New Roman" w:hAnsi="Times New Roman" w:cs="Times New Roman"/>
          <w:noProof/>
          <w:sz w:val="24"/>
          <w:szCs w:val="24"/>
          <w:lang w:val="en-IE"/>
        </w:rPr>
        <w:t>hikungunya</w:t>
      </w:r>
      <w:r w:rsidR="0033212C">
        <w:rPr>
          <w:rFonts w:ascii="Times New Roman" w:eastAsia="Times New Roman" w:hAnsi="Times New Roman" w:cs="Times New Roman"/>
          <w:noProof/>
          <w:sz w:val="24"/>
          <w:szCs w:val="24"/>
          <w:lang w:val="en-IE"/>
        </w:rPr>
        <w:t xml:space="preserve"> and</w:t>
      </w:r>
      <w:r w:rsidRPr="00E03D97">
        <w:rPr>
          <w:rFonts w:ascii="Times New Roman" w:eastAsia="Times New Roman" w:hAnsi="Times New Roman" w:cs="Times New Roman"/>
          <w:noProof/>
          <w:sz w:val="24"/>
          <w:szCs w:val="24"/>
          <w:lang w:val="en-IE"/>
        </w:rPr>
        <w:t xml:space="preserve"> West Nile </w:t>
      </w:r>
      <w:r w:rsidR="00CE1DAE">
        <w:rPr>
          <w:rFonts w:ascii="Times New Roman" w:eastAsia="Times New Roman" w:hAnsi="Times New Roman" w:cs="Times New Roman"/>
          <w:noProof/>
          <w:sz w:val="24"/>
          <w:szCs w:val="24"/>
          <w:lang w:val="en-IE"/>
        </w:rPr>
        <w:t>f</w:t>
      </w:r>
      <w:r w:rsidRPr="00E03D97">
        <w:rPr>
          <w:rFonts w:ascii="Times New Roman" w:eastAsia="Times New Roman" w:hAnsi="Times New Roman" w:cs="Times New Roman"/>
          <w:noProof/>
          <w:sz w:val="24"/>
          <w:szCs w:val="24"/>
          <w:lang w:val="en-IE"/>
        </w:rPr>
        <w:t>ever</w:t>
      </w:r>
      <w:r w:rsidR="00EC2573">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sidR="0033212C">
        <w:rPr>
          <w:rFonts w:ascii="Times New Roman" w:eastAsia="Times New Roman" w:hAnsi="Times New Roman" w:cs="Times New Roman"/>
          <w:noProof/>
          <w:sz w:val="24"/>
          <w:szCs w:val="24"/>
          <w:lang w:val="en-IE"/>
        </w:rPr>
        <w:t xml:space="preserve">have been </w:t>
      </w:r>
      <w:r w:rsidRPr="00E03D97">
        <w:rPr>
          <w:rFonts w:ascii="Times New Roman" w:eastAsia="Times New Roman" w:hAnsi="Times New Roman" w:cs="Times New Roman"/>
          <w:noProof/>
          <w:sz w:val="24"/>
          <w:szCs w:val="24"/>
          <w:lang w:val="en-IE"/>
        </w:rPr>
        <w:t>identified</w:t>
      </w:r>
      <w:r w:rsidR="003F6A4D">
        <w:rPr>
          <w:rFonts w:ascii="Times New Roman" w:eastAsia="Times New Roman" w:hAnsi="Times New Roman" w:cs="Times New Roman"/>
          <w:noProof/>
          <w:sz w:val="24"/>
          <w:szCs w:val="24"/>
          <w:lang w:val="en-IE"/>
        </w:rPr>
        <w:t xml:space="preserve"> by HERA</w:t>
      </w:r>
      <w:r w:rsidRPr="00E03D97">
        <w:rPr>
          <w:rFonts w:ascii="Times New Roman" w:eastAsia="Times New Roman" w:hAnsi="Times New Roman" w:cs="Times New Roman"/>
          <w:noProof/>
          <w:sz w:val="24"/>
          <w:szCs w:val="24"/>
          <w:lang w:val="en-IE"/>
        </w:rPr>
        <w:t xml:space="preserve"> as priority threats and work is ongoing to expand the medical countermeasures arsenal by investing in </w:t>
      </w:r>
      <w:r w:rsidR="00D219E9">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research and development of innovative medical tools for pandemic preparedness through</w:t>
      </w:r>
      <w:r w:rsidR="002B1144">
        <w:rPr>
          <w:rFonts w:ascii="Times New Roman" w:eastAsia="Times New Roman" w:hAnsi="Times New Roman" w:cs="Times New Roman"/>
          <w:noProof/>
          <w:sz w:val="24"/>
          <w:szCs w:val="24"/>
          <w:lang w:val="en-IE"/>
        </w:rPr>
        <w:t xml:space="preserve"> the</w:t>
      </w:r>
      <w:r w:rsidRPr="00E03D97">
        <w:rPr>
          <w:rFonts w:ascii="Times New Roman" w:eastAsia="Times New Roman" w:hAnsi="Times New Roman" w:cs="Times New Roman"/>
          <w:noProof/>
          <w:sz w:val="24"/>
          <w:szCs w:val="24"/>
          <w:lang w:val="en-IE"/>
        </w:rPr>
        <w:t xml:space="preserve"> Horizon Europe and EU4Health</w:t>
      </w:r>
      <w:r w:rsidR="002B1144">
        <w:rPr>
          <w:rFonts w:ascii="Times New Roman" w:eastAsia="Times New Roman" w:hAnsi="Times New Roman" w:cs="Times New Roman"/>
          <w:noProof/>
          <w:sz w:val="24"/>
          <w:szCs w:val="24"/>
          <w:lang w:val="en-IE"/>
        </w:rPr>
        <w:t xml:space="preserve"> programmes</w:t>
      </w:r>
      <w:r w:rsidRPr="00E03D97">
        <w:rPr>
          <w:rFonts w:ascii="Times New Roman" w:eastAsia="Times New Roman" w:hAnsi="Times New Roman" w:cs="Times New Roman"/>
          <w:noProof/>
          <w:sz w:val="24"/>
          <w:szCs w:val="24"/>
          <w:lang w:val="en-IE"/>
        </w:rPr>
        <w:t xml:space="preserve">. For instance, the Commission </w:t>
      </w:r>
      <w:r w:rsidR="00D219E9">
        <w:rPr>
          <w:rFonts w:ascii="Times New Roman" w:eastAsia="Times New Roman" w:hAnsi="Times New Roman" w:cs="Times New Roman"/>
          <w:noProof/>
          <w:sz w:val="24"/>
          <w:szCs w:val="24"/>
          <w:lang w:val="en-IE"/>
        </w:rPr>
        <w:t>is</w:t>
      </w:r>
      <w:r w:rsidR="00E25652">
        <w:rPr>
          <w:rFonts w:ascii="Times New Roman" w:eastAsia="Times New Roman" w:hAnsi="Times New Roman" w:cs="Times New Roman"/>
          <w:noProof/>
          <w:sz w:val="24"/>
          <w:szCs w:val="24"/>
          <w:lang w:val="en-IE"/>
        </w:rPr>
        <w:t xml:space="preserve"> funding</w:t>
      </w:r>
      <w:r w:rsidRPr="00E03D97">
        <w:rPr>
          <w:rFonts w:ascii="Times New Roman" w:eastAsia="Times New Roman" w:hAnsi="Times New Roman" w:cs="Times New Roman"/>
          <w:noProof/>
          <w:sz w:val="24"/>
          <w:szCs w:val="24"/>
          <w:lang w:val="en-IE"/>
        </w:rPr>
        <w:t xml:space="preserve"> the Coalition for Epidemic Preparedness Innovations</w:t>
      </w:r>
      <w:r w:rsidR="00D219E9">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CEPI</w:t>
      </w:r>
      <w:r w:rsidR="00D219E9">
        <w:rPr>
          <w:rFonts w:ascii="Times New Roman" w:eastAsia="Times New Roman" w:hAnsi="Times New Roman" w:cs="Times New Roman"/>
          <w:noProof/>
          <w:sz w:val="24"/>
          <w:szCs w:val="24"/>
          <w:lang w:val="en-IE"/>
        </w:rPr>
        <w:t>)</w:t>
      </w:r>
      <w:r w:rsidR="00E25652">
        <w:rPr>
          <w:rFonts w:ascii="Times New Roman" w:eastAsia="Times New Roman" w:hAnsi="Times New Roman" w:cs="Times New Roman"/>
          <w:noProof/>
          <w:sz w:val="24"/>
          <w:szCs w:val="24"/>
          <w:lang w:val="en-IE"/>
        </w:rPr>
        <w:t xml:space="preserve"> through the Horizon Europe Programme</w:t>
      </w:r>
      <w:r w:rsidR="00CF28B7">
        <w:rPr>
          <w:rFonts w:ascii="Times New Roman" w:eastAsia="Times New Roman" w:hAnsi="Times New Roman" w:cs="Times New Roman"/>
          <w:noProof/>
          <w:sz w:val="24"/>
          <w:szCs w:val="24"/>
          <w:lang w:val="en-IE"/>
        </w:rPr>
        <w:t xml:space="preserve"> to carry out</w:t>
      </w:r>
      <w:r w:rsidRPr="00E03D97">
        <w:rPr>
          <w:rFonts w:ascii="Times New Roman" w:eastAsia="Times New Roman" w:hAnsi="Times New Roman" w:cs="Times New Roman"/>
          <w:noProof/>
          <w:sz w:val="24"/>
          <w:szCs w:val="24"/>
          <w:lang w:val="en-IE"/>
        </w:rPr>
        <w:t xml:space="preserve"> effectiveness and further scientific studies to expand the potential use of licensed </w:t>
      </w:r>
      <w:r w:rsidR="00CE1DAE">
        <w:rPr>
          <w:rFonts w:ascii="Times New Roman" w:eastAsia="Times New Roman" w:hAnsi="Times New Roman" w:cs="Times New Roman"/>
          <w:noProof/>
          <w:sz w:val="24"/>
          <w:szCs w:val="24"/>
          <w:lang w:val="en-IE"/>
        </w:rPr>
        <w:t>c</w:t>
      </w:r>
      <w:r w:rsidRPr="00E03D97">
        <w:rPr>
          <w:rFonts w:ascii="Times New Roman" w:eastAsia="Times New Roman" w:hAnsi="Times New Roman" w:cs="Times New Roman"/>
          <w:noProof/>
          <w:sz w:val="24"/>
          <w:szCs w:val="24"/>
          <w:lang w:val="en-IE"/>
        </w:rPr>
        <w:t xml:space="preserve">hikungunya vaccines to children, immunocompromised people and pregnant women. The Commission is also exploring </w:t>
      </w:r>
      <w:r w:rsidR="00D219E9">
        <w:rPr>
          <w:rFonts w:ascii="Times New Roman" w:eastAsia="Times New Roman" w:hAnsi="Times New Roman" w:cs="Times New Roman"/>
          <w:noProof/>
          <w:sz w:val="24"/>
          <w:szCs w:val="24"/>
          <w:lang w:val="en-IE"/>
        </w:rPr>
        <w:t>ways</w:t>
      </w:r>
      <w:r w:rsidR="00D219E9"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to support different vector</w:t>
      </w:r>
      <w:r w:rsidR="000624B0">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control measures (e.g. sterile insect techniques). </w:t>
      </w:r>
    </w:p>
    <w:p w14:paraId="10411679" w14:textId="163685D9" w:rsidR="001F1738" w:rsidRPr="00E03D97" w:rsidRDefault="00D219E9"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Other</w:t>
      </w:r>
      <w:r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recent work to support health preparedness in relation to climate change</w:t>
      </w:r>
      <w:r w:rsidR="006C4EE3">
        <w:rPr>
          <w:rFonts w:ascii="Times New Roman" w:eastAsia="Times New Roman" w:hAnsi="Times New Roman" w:cs="Times New Roman"/>
          <w:noProof/>
          <w:sz w:val="24"/>
          <w:szCs w:val="24"/>
          <w:lang w:val="en-IE"/>
        </w:rPr>
        <w:t xml:space="preserve"> and environmental</w:t>
      </w:r>
      <w:r w:rsidR="001F1738" w:rsidRPr="00E03D97">
        <w:rPr>
          <w:rFonts w:ascii="Times New Roman" w:eastAsia="Times New Roman" w:hAnsi="Times New Roman" w:cs="Times New Roman"/>
          <w:noProof/>
          <w:sz w:val="24"/>
          <w:szCs w:val="24"/>
          <w:lang w:val="en-IE"/>
        </w:rPr>
        <w:t xml:space="preserve"> risks include</w:t>
      </w:r>
      <w:r>
        <w:rPr>
          <w:rFonts w:ascii="Times New Roman" w:eastAsia="Times New Roman" w:hAnsi="Times New Roman" w:cs="Times New Roman"/>
          <w:noProof/>
          <w:sz w:val="24"/>
          <w:szCs w:val="24"/>
          <w:lang w:val="en-IE"/>
        </w:rPr>
        <w:t>s</w:t>
      </w:r>
      <w:r w:rsidR="00750E41">
        <w:rPr>
          <w:rFonts w:ascii="Times New Roman" w:eastAsia="Times New Roman" w:hAnsi="Times New Roman" w:cs="Times New Roman"/>
          <w:noProof/>
          <w:sz w:val="24"/>
          <w:szCs w:val="24"/>
          <w:lang w:val="en-IE"/>
        </w:rPr>
        <w:t xml:space="preserve"> </w:t>
      </w:r>
      <w:r w:rsidR="00750E41" w:rsidRPr="00BC2F11">
        <w:rPr>
          <w:rFonts w:ascii="Times New Roman" w:eastAsia="Times New Roman" w:hAnsi="Times New Roman" w:cs="Times New Roman"/>
          <w:i/>
          <w:iCs/>
          <w:noProof/>
          <w:sz w:val="24"/>
          <w:szCs w:val="24"/>
          <w:lang w:val="en-IE"/>
        </w:rPr>
        <w:t>inter alia</w:t>
      </w:r>
      <w:r w:rsidR="001F1738" w:rsidRPr="00E03D97">
        <w:rPr>
          <w:rFonts w:ascii="Times New Roman" w:eastAsia="Times New Roman" w:hAnsi="Times New Roman" w:cs="Times New Roman"/>
          <w:noProof/>
          <w:sz w:val="24"/>
          <w:szCs w:val="24"/>
          <w:lang w:val="en-IE"/>
        </w:rPr>
        <w:t>:</w:t>
      </w:r>
    </w:p>
    <w:p w14:paraId="2C07CBB7" w14:textId="053843F4" w:rsidR="001F1738" w:rsidRPr="00E03D97" w:rsidRDefault="001F1738" w:rsidP="001F1738">
      <w:pPr>
        <w:numPr>
          <w:ilvl w:val="0"/>
          <w:numId w:val="35"/>
        </w:num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new products of the </w:t>
      </w:r>
      <w:r w:rsidRPr="00E03D97">
        <w:rPr>
          <w:rFonts w:ascii="Times New Roman" w:eastAsia="Times New Roman" w:hAnsi="Times New Roman" w:cs="Times New Roman"/>
          <w:b/>
          <w:bCs/>
          <w:noProof/>
          <w:sz w:val="24"/>
          <w:szCs w:val="24"/>
          <w:lang w:val="en-IE"/>
        </w:rPr>
        <w:t>European Climate and Health Observatory</w:t>
      </w:r>
      <w:r w:rsidRPr="00B43F78">
        <w:rPr>
          <w:rFonts w:ascii="Times New Roman" w:eastAsia="Times New Roman" w:hAnsi="Times New Roman" w:cs="Times New Roman"/>
          <w:noProof/>
          <w:sz w:val="24"/>
          <w:szCs w:val="24"/>
          <w:vertAlign w:val="superscript"/>
          <w:lang w:val="en-IE"/>
        </w:rPr>
        <w:footnoteReference w:id="50"/>
      </w:r>
      <w:r w:rsidR="006C4EE3">
        <w:rPr>
          <w:rFonts w:ascii="Times New Roman" w:eastAsia="Times New Roman" w:hAnsi="Times New Roman" w:cs="Times New Roman"/>
          <w:b/>
          <w:bCs/>
          <w:noProof/>
          <w:sz w:val="24"/>
          <w:szCs w:val="24"/>
          <w:lang w:val="en-IE"/>
        </w:rPr>
        <w:t xml:space="preserve">, </w:t>
      </w:r>
      <w:r w:rsidR="006C4EE3" w:rsidRPr="00BC2F11">
        <w:rPr>
          <w:rFonts w:ascii="Times New Roman" w:eastAsia="Times New Roman" w:hAnsi="Times New Roman" w:cs="Times New Roman"/>
          <w:noProof/>
          <w:sz w:val="24"/>
          <w:szCs w:val="24"/>
          <w:lang w:val="en-IE"/>
        </w:rPr>
        <w:t>operated by the European Environment Agency and the European Commission</w:t>
      </w:r>
      <w:r w:rsidR="0003452E">
        <w:rPr>
          <w:rFonts w:ascii="Times New Roman" w:eastAsia="Times New Roman" w:hAnsi="Times New Roman" w:cs="Times New Roman"/>
          <w:noProof/>
          <w:sz w:val="24"/>
          <w:szCs w:val="24"/>
          <w:lang w:val="en-IE"/>
        </w:rPr>
        <w:t>,</w:t>
      </w:r>
      <w:r w:rsidRPr="006C4EE3">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released in 2023</w:t>
      </w:r>
      <w:r w:rsidR="00661741">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notably indicators, fact sheets and forecasts on heat health, infectious diseases, occupational health and air pollution</w:t>
      </w:r>
      <w:r w:rsidR="00661741">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w:t>
      </w:r>
    </w:p>
    <w:p w14:paraId="421F0851" w14:textId="02286668" w:rsidR="001F1738" w:rsidRPr="00E03D97" w:rsidRDefault="001F1738" w:rsidP="001F1738">
      <w:pPr>
        <w:numPr>
          <w:ilvl w:val="0"/>
          <w:numId w:val="35"/>
        </w:num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b/>
          <w:bCs/>
          <w:noProof/>
          <w:sz w:val="24"/>
          <w:szCs w:val="24"/>
          <w:lang w:val="en-IE"/>
        </w:rPr>
        <w:t>Declaration of the Seventh Ministerial Conference on Environment and Health (Budapest Declaration)</w:t>
      </w:r>
      <w:r w:rsidRPr="00B43F78">
        <w:rPr>
          <w:rFonts w:ascii="Times New Roman" w:eastAsia="Times New Roman" w:hAnsi="Times New Roman" w:cs="Times New Roman"/>
          <w:noProof/>
          <w:sz w:val="24"/>
          <w:szCs w:val="24"/>
          <w:vertAlign w:val="superscript"/>
          <w:lang w:val="en-IE"/>
        </w:rPr>
        <w:footnoteReference w:id="51"/>
      </w:r>
      <w:r w:rsidRPr="00E03D97">
        <w:rPr>
          <w:rFonts w:ascii="Times New Roman" w:eastAsia="Times New Roman" w:hAnsi="Times New Roman" w:cs="Times New Roman"/>
          <w:b/>
          <w:bCs/>
          <w:noProof/>
          <w:sz w:val="24"/>
          <w:szCs w:val="24"/>
          <w:lang w:val="en-IE"/>
        </w:rPr>
        <w:t xml:space="preserve"> </w:t>
      </w:r>
      <w:r w:rsidRPr="00E03D97">
        <w:rPr>
          <w:rFonts w:ascii="Times New Roman" w:eastAsia="Times New Roman" w:hAnsi="Times New Roman" w:cs="Times New Roman"/>
          <w:noProof/>
          <w:sz w:val="24"/>
          <w:szCs w:val="24"/>
          <w:lang w:val="en-IE"/>
        </w:rPr>
        <w:t>of</w:t>
      </w:r>
      <w:r w:rsidRPr="00E03D97">
        <w:rPr>
          <w:rFonts w:ascii="Times New Roman" w:eastAsia="Times New Roman" w:hAnsi="Times New Roman" w:cs="Times New Roman"/>
          <w:b/>
          <w:bCs/>
          <w:noProof/>
          <w:sz w:val="24"/>
          <w:szCs w:val="24"/>
          <w:lang w:val="en-IE"/>
        </w:rPr>
        <w:t xml:space="preserve"> </w:t>
      </w:r>
      <w:r w:rsidRPr="00E03D97">
        <w:rPr>
          <w:rFonts w:ascii="Times New Roman" w:eastAsia="Times New Roman" w:hAnsi="Times New Roman" w:cs="Times New Roman"/>
          <w:noProof/>
          <w:sz w:val="24"/>
          <w:szCs w:val="24"/>
          <w:lang w:val="en-IE"/>
        </w:rPr>
        <w:t>July 2023, which formulates political commitments and actions to address the health risks posed by climate change, pollution and biodiversity loss;</w:t>
      </w:r>
    </w:p>
    <w:p w14:paraId="56C33E04" w14:textId="7CB6253A" w:rsidR="007E4F2E" w:rsidRPr="00E03D97" w:rsidRDefault="007E4F2E" w:rsidP="001F1738">
      <w:pPr>
        <w:numPr>
          <w:ilvl w:val="0"/>
          <w:numId w:val="35"/>
        </w:num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b/>
          <w:bCs/>
          <w:noProof/>
          <w:sz w:val="24"/>
          <w:szCs w:val="24"/>
          <w:lang w:val="en-IE"/>
        </w:rPr>
        <w:t>COP28 Declaration on Climate and Health</w:t>
      </w:r>
      <w:r w:rsidRPr="00E03D97">
        <w:rPr>
          <w:rFonts w:ascii="Times New Roman" w:eastAsia="Times New Roman" w:hAnsi="Times New Roman" w:cs="Times New Roman"/>
          <w:noProof/>
          <w:sz w:val="24"/>
          <w:szCs w:val="24"/>
          <w:lang w:val="en-IE"/>
        </w:rPr>
        <w:t xml:space="preserve">, signed on the occasion of the first Health Day at the 28th session of the Conference of the Parties to the United Nations Framework Convention on Climate Change (COP28) on </w:t>
      </w:r>
      <w:r w:rsidR="000A69F5">
        <w:rPr>
          <w:rFonts w:ascii="Times New Roman" w:eastAsia="Times New Roman" w:hAnsi="Times New Roman" w:cs="Times New Roman"/>
          <w:noProof/>
          <w:sz w:val="24"/>
          <w:szCs w:val="24"/>
          <w:lang w:val="en-IE"/>
        </w:rPr>
        <w:t>2</w:t>
      </w:r>
      <w:r w:rsidRPr="00E03D97">
        <w:rPr>
          <w:rFonts w:ascii="Times New Roman" w:eastAsia="Times New Roman" w:hAnsi="Times New Roman" w:cs="Times New Roman"/>
          <w:noProof/>
          <w:sz w:val="24"/>
          <w:szCs w:val="24"/>
          <w:lang w:val="en-IE"/>
        </w:rPr>
        <w:t xml:space="preserve"> December</w:t>
      </w:r>
      <w:r w:rsidR="005B469D">
        <w:rPr>
          <w:rFonts w:ascii="Times New Roman" w:eastAsia="Times New Roman" w:hAnsi="Times New Roman" w:cs="Times New Roman"/>
          <w:noProof/>
          <w:sz w:val="24"/>
          <w:szCs w:val="24"/>
          <w:lang w:val="en-IE"/>
        </w:rPr>
        <w:t xml:space="preserve"> 2023</w:t>
      </w:r>
      <w:r w:rsidR="000A69F5">
        <w:rPr>
          <w:rStyle w:val="FootnoteReference"/>
          <w:rFonts w:ascii="Times New Roman" w:eastAsia="Times New Roman" w:hAnsi="Times New Roman" w:cs="Times New Roman"/>
          <w:noProof/>
          <w:sz w:val="24"/>
          <w:szCs w:val="24"/>
        </w:rPr>
        <w:footnoteReference w:id="52"/>
      </w:r>
      <w:r w:rsidRPr="00E03D97">
        <w:rPr>
          <w:rFonts w:ascii="Times New Roman" w:eastAsia="Times New Roman" w:hAnsi="Times New Roman" w:cs="Times New Roman"/>
          <w:noProof/>
          <w:sz w:val="24"/>
          <w:szCs w:val="24"/>
          <w:lang w:val="en-IE"/>
        </w:rPr>
        <w:t>;</w:t>
      </w:r>
    </w:p>
    <w:p w14:paraId="3B8EE74A" w14:textId="443BD1E5" w:rsidR="001F1738" w:rsidRPr="00E03D97" w:rsidRDefault="001F1738" w:rsidP="001F1738">
      <w:pPr>
        <w:numPr>
          <w:ilvl w:val="0"/>
          <w:numId w:val="35"/>
        </w:num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the launch of a major update of the </w:t>
      </w:r>
      <w:r w:rsidRPr="00E03D97">
        <w:rPr>
          <w:rFonts w:ascii="Times New Roman" w:eastAsia="Times New Roman" w:hAnsi="Times New Roman" w:cs="Times New Roman"/>
          <w:b/>
          <w:bCs/>
          <w:noProof/>
          <w:sz w:val="24"/>
          <w:szCs w:val="24"/>
          <w:lang w:val="en-IE"/>
        </w:rPr>
        <w:t>guidance on heat health action plans for the WHO European Region</w:t>
      </w:r>
      <w:r w:rsidRPr="00B43F78">
        <w:rPr>
          <w:rFonts w:ascii="Times New Roman" w:eastAsia="Times New Roman" w:hAnsi="Times New Roman" w:cs="Times New Roman"/>
          <w:noProof/>
          <w:sz w:val="24"/>
          <w:szCs w:val="24"/>
          <w:vertAlign w:val="superscript"/>
          <w:lang w:val="en-IE"/>
        </w:rPr>
        <w:footnoteReference w:id="53"/>
      </w:r>
      <w:r w:rsidRPr="00E03D97">
        <w:rPr>
          <w:rFonts w:ascii="Times New Roman" w:eastAsia="Times New Roman" w:hAnsi="Times New Roman" w:cs="Times New Roman"/>
          <w:noProof/>
          <w:sz w:val="24"/>
          <w:szCs w:val="24"/>
          <w:lang w:val="en-IE"/>
        </w:rPr>
        <w:t>, which the EU supports under its LIFE programme</w:t>
      </w:r>
      <w:r w:rsidR="0003452E">
        <w:rPr>
          <w:rStyle w:val="FootnoteReference"/>
          <w:rFonts w:ascii="Times New Roman" w:eastAsia="Times New Roman" w:hAnsi="Times New Roman" w:cs="Times New Roman"/>
          <w:noProof/>
          <w:sz w:val="24"/>
          <w:szCs w:val="24"/>
        </w:rPr>
        <w:footnoteReference w:id="54"/>
      </w:r>
      <w:r w:rsidRPr="00E03D97">
        <w:rPr>
          <w:rFonts w:ascii="Times New Roman" w:eastAsia="Times New Roman" w:hAnsi="Times New Roman" w:cs="Times New Roman"/>
          <w:noProof/>
          <w:sz w:val="24"/>
          <w:szCs w:val="24"/>
          <w:lang w:val="en-IE"/>
        </w:rPr>
        <w:t>;</w:t>
      </w:r>
    </w:p>
    <w:p w14:paraId="0A77858C" w14:textId="45F01AE1" w:rsidR="00750E41" w:rsidRPr="00DD489A" w:rsidRDefault="001F1738" w:rsidP="001F1738">
      <w:pPr>
        <w:numPr>
          <w:ilvl w:val="0"/>
          <w:numId w:val="35"/>
        </w:num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 development of the first</w:t>
      </w:r>
      <w:r w:rsidR="00B52839">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ever</w:t>
      </w:r>
      <w:r w:rsidRPr="00E03D97">
        <w:rPr>
          <w:rFonts w:ascii="Times New Roman" w:eastAsia="Times New Roman" w:hAnsi="Times New Roman" w:cs="Times New Roman"/>
          <w:b/>
          <w:bCs/>
          <w:noProof/>
          <w:sz w:val="24"/>
          <w:szCs w:val="24"/>
          <w:lang w:val="en-IE"/>
        </w:rPr>
        <w:t xml:space="preserve"> EU Climate Risk Assessment</w:t>
      </w:r>
      <w:r w:rsidRPr="00B43F78">
        <w:rPr>
          <w:rFonts w:ascii="Times New Roman" w:eastAsia="Times New Roman" w:hAnsi="Times New Roman" w:cs="Times New Roman"/>
          <w:noProof/>
          <w:sz w:val="24"/>
          <w:szCs w:val="24"/>
          <w:vertAlign w:val="superscript"/>
          <w:lang w:val="en-IE"/>
        </w:rPr>
        <w:footnoteReference w:id="55"/>
      </w:r>
      <w:r w:rsidRPr="00E03D97">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b/>
          <w:bCs/>
          <w:noProof/>
          <w:sz w:val="24"/>
          <w:szCs w:val="24"/>
          <w:lang w:val="en-IE"/>
        </w:rPr>
        <w:t xml:space="preserve"> </w:t>
      </w:r>
      <w:r w:rsidRPr="00E03D97">
        <w:rPr>
          <w:rFonts w:ascii="Times New Roman" w:eastAsia="Times New Roman" w:hAnsi="Times New Roman" w:cs="Times New Roman"/>
          <w:noProof/>
          <w:sz w:val="24"/>
          <w:szCs w:val="24"/>
          <w:lang w:val="en-IE"/>
        </w:rPr>
        <w:t xml:space="preserve">which </w:t>
      </w:r>
      <w:r w:rsidR="001B2E4C" w:rsidRPr="00DD489A">
        <w:rPr>
          <w:rFonts w:ascii="Times New Roman" w:eastAsia="Times New Roman" w:hAnsi="Times New Roman" w:cs="Times New Roman"/>
          <w:noProof/>
          <w:sz w:val="24"/>
          <w:szCs w:val="24"/>
          <w:lang w:val="en-IE"/>
        </w:rPr>
        <w:t xml:space="preserve">would </w:t>
      </w:r>
      <w:r w:rsidRPr="00DD489A">
        <w:rPr>
          <w:rFonts w:ascii="Times New Roman" w:eastAsia="Times New Roman" w:hAnsi="Times New Roman" w:cs="Times New Roman"/>
          <w:noProof/>
          <w:sz w:val="24"/>
          <w:szCs w:val="24"/>
          <w:lang w:val="en-IE"/>
        </w:rPr>
        <w:t xml:space="preserve">include dedicated chapters on health and </w:t>
      </w:r>
      <w:r w:rsidR="001B2E4C" w:rsidRPr="00DD489A">
        <w:rPr>
          <w:rFonts w:ascii="Times New Roman" w:eastAsia="Times New Roman" w:hAnsi="Times New Roman" w:cs="Times New Roman"/>
          <w:noProof/>
          <w:sz w:val="24"/>
          <w:szCs w:val="24"/>
          <w:lang w:val="en-IE"/>
        </w:rPr>
        <w:t xml:space="preserve">is scheduled to </w:t>
      </w:r>
      <w:r w:rsidRPr="00DD489A">
        <w:rPr>
          <w:rFonts w:ascii="Times New Roman" w:eastAsia="Times New Roman" w:hAnsi="Times New Roman" w:cs="Times New Roman"/>
          <w:noProof/>
          <w:sz w:val="24"/>
          <w:szCs w:val="24"/>
          <w:lang w:val="en-IE"/>
        </w:rPr>
        <w:t>be published</w:t>
      </w:r>
      <w:r w:rsidR="002B1144" w:rsidRPr="00DD489A">
        <w:rPr>
          <w:rFonts w:ascii="Times New Roman" w:eastAsia="Times New Roman" w:hAnsi="Times New Roman" w:cs="Times New Roman"/>
          <w:noProof/>
          <w:sz w:val="24"/>
          <w:szCs w:val="24"/>
          <w:lang w:val="en-IE"/>
        </w:rPr>
        <w:t xml:space="preserve"> by the European Environment Agency</w:t>
      </w:r>
      <w:r w:rsidRPr="00DD489A">
        <w:rPr>
          <w:rFonts w:ascii="Times New Roman" w:eastAsia="Times New Roman" w:hAnsi="Times New Roman" w:cs="Times New Roman"/>
          <w:noProof/>
          <w:sz w:val="24"/>
          <w:szCs w:val="24"/>
          <w:lang w:val="en-IE"/>
        </w:rPr>
        <w:t xml:space="preserve"> in spring 2024</w:t>
      </w:r>
      <w:r w:rsidR="006771C8" w:rsidRPr="00DD489A">
        <w:rPr>
          <w:rFonts w:ascii="Times New Roman" w:eastAsia="Times New Roman" w:hAnsi="Times New Roman" w:cs="Times New Roman"/>
          <w:noProof/>
          <w:sz w:val="24"/>
          <w:szCs w:val="24"/>
          <w:lang w:val="en-IE"/>
        </w:rPr>
        <w:t>;</w:t>
      </w:r>
    </w:p>
    <w:p w14:paraId="744BCFE1" w14:textId="6BE640A1" w:rsidR="001F1738" w:rsidRDefault="00750E41" w:rsidP="001F1738">
      <w:pPr>
        <w:numPr>
          <w:ilvl w:val="0"/>
          <w:numId w:val="35"/>
        </w:num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r w:rsidRPr="00750E41">
        <w:rPr>
          <w:rFonts w:ascii="Times New Roman" w:eastAsia="Times New Roman" w:hAnsi="Times New Roman" w:cs="Times New Roman"/>
          <w:noProof/>
          <w:sz w:val="24"/>
          <w:szCs w:val="24"/>
          <w:lang w:val="en-US"/>
        </w:rPr>
        <w:t xml:space="preserve">publication of an integrated </w:t>
      </w:r>
      <w:r w:rsidRPr="00750E41">
        <w:rPr>
          <w:rFonts w:ascii="Times New Roman" w:eastAsia="Times New Roman" w:hAnsi="Times New Roman" w:cs="Times New Roman"/>
          <w:b/>
          <w:bCs/>
          <w:noProof/>
          <w:sz w:val="24"/>
          <w:szCs w:val="24"/>
          <w:lang w:val="en-US"/>
        </w:rPr>
        <w:t>zero pollution monitoring and outlook</w:t>
      </w:r>
      <w:r w:rsidRPr="00750E41">
        <w:rPr>
          <w:rFonts w:ascii="Times New Roman" w:eastAsia="Times New Roman" w:hAnsi="Times New Roman" w:cs="Times New Roman"/>
          <w:noProof/>
          <w:sz w:val="24"/>
          <w:szCs w:val="24"/>
          <w:lang w:val="en-US"/>
        </w:rPr>
        <w:t xml:space="preserve"> report in December 2022, whose bi-yearly updated data will regularly feed</w:t>
      </w:r>
      <w:r w:rsidRPr="00750E41">
        <w:rPr>
          <w:rFonts w:ascii="Times New Roman" w:eastAsia="Times New Roman" w:hAnsi="Times New Roman" w:cs="Times New Roman"/>
          <w:noProof/>
          <w:sz w:val="24"/>
          <w:szCs w:val="24"/>
        </w:rPr>
        <w:t xml:space="preserve"> the Cancer Inequalities Registry and the Atlas of Demography, to better identify trends in relation also to other pollution-related diseases, enable people to compare how much pollution affects their health across EU regions and help targeting interventions at EU, national and local level to enhance cost-effectiveness and preparedness</w:t>
      </w:r>
      <w:r w:rsidR="001F1738" w:rsidRPr="00E03D97">
        <w:rPr>
          <w:rFonts w:ascii="Times New Roman" w:eastAsia="Times New Roman" w:hAnsi="Times New Roman" w:cs="Times New Roman"/>
          <w:noProof/>
          <w:sz w:val="24"/>
          <w:szCs w:val="24"/>
          <w:lang w:val="en-IE"/>
        </w:rPr>
        <w:t>.</w:t>
      </w:r>
    </w:p>
    <w:p w14:paraId="2F3739BA" w14:textId="0C6B0931" w:rsidR="00B554C1" w:rsidRDefault="00B554C1" w:rsidP="00B554C1">
      <w:p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p>
    <w:p w14:paraId="71A9F75E" w14:textId="7CE4DE78" w:rsidR="00B554C1" w:rsidRPr="00B554C1" w:rsidRDefault="00B554C1" w:rsidP="00B554C1">
      <w:pPr>
        <w:spacing w:before="100" w:beforeAutospacing="1" w:after="100" w:afterAutospacing="1" w:line="240" w:lineRule="auto"/>
        <w:contextualSpacing/>
        <w:jc w:val="both"/>
        <w:rPr>
          <w:rFonts w:ascii="Times New Roman" w:eastAsia="Times New Roman" w:hAnsi="Times New Roman" w:cs="Times New Roman"/>
          <w:noProof/>
          <w:sz w:val="24"/>
          <w:szCs w:val="24"/>
          <w:lang w:val="en-US"/>
        </w:rPr>
      </w:pPr>
      <w:r w:rsidRPr="00B554C1">
        <w:rPr>
          <w:rFonts w:ascii="Times New Roman" w:eastAsia="Times New Roman" w:hAnsi="Times New Roman" w:cs="Times New Roman"/>
          <w:noProof/>
          <w:sz w:val="24"/>
          <w:szCs w:val="24"/>
          <w:lang w:val="en-US"/>
        </w:rPr>
        <w:t>In the framework of the zero-pollution</w:t>
      </w:r>
      <w:r w:rsidRPr="00BC2F11">
        <w:rPr>
          <w:rFonts w:ascii="Times New Roman" w:eastAsia="Times New Roman" w:hAnsi="Times New Roman" w:cs="Times New Roman"/>
          <w:noProof/>
          <w:sz w:val="24"/>
          <w:szCs w:val="24"/>
          <w:lang w:val="en-US"/>
        </w:rPr>
        <w:t xml:space="preserve"> action plan</w:t>
      </w:r>
      <w:r w:rsidRPr="00B554C1">
        <w:rPr>
          <w:rFonts w:ascii="Times New Roman" w:eastAsia="Times New Roman" w:hAnsi="Times New Roman" w:cs="Times New Roman"/>
          <w:noProof/>
          <w:sz w:val="24"/>
          <w:szCs w:val="24"/>
          <w:lang w:val="en-US"/>
        </w:rPr>
        <w:t xml:space="preserve">, the Commission has taken further action to tackle air, water and soil pollution. Despite significant improvements in air quality during the past few decades, air pollution continues to be the largest environment-related health risk, with significant associated mortality (with estimated more than 230.000 premature deaths </w:t>
      </w:r>
      <w:r w:rsidRPr="00DD489A">
        <w:rPr>
          <w:rFonts w:ascii="Times New Roman" w:eastAsia="Times New Roman" w:hAnsi="Times New Roman" w:cs="Times New Roman"/>
          <w:noProof/>
          <w:sz w:val="24"/>
          <w:szCs w:val="24"/>
          <w:lang w:val="en-US"/>
        </w:rPr>
        <w:t xml:space="preserve">in the </w:t>
      </w:r>
      <w:r w:rsidR="0085365F" w:rsidRPr="00DD489A">
        <w:rPr>
          <w:rFonts w:ascii="Times New Roman" w:eastAsia="Times New Roman" w:hAnsi="Times New Roman" w:cs="Times New Roman"/>
          <w:noProof/>
          <w:sz w:val="24"/>
          <w:szCs w:val="24"/>
          <w:lang w:val="en-US"/>
        </w:rPr>
        <w:t xml:space="preserve">EU </w:t>
      </w:r>
      <w:r w:rsidRPr="00DD489A">
        <w:rPr>
          <w:rFonts w:ascii="Times New Roman" w:eastAsia="Times New Roman" w:hAnsi="Times New Roman" w:cs="Times New Roman"/>
          <w:noProof/>
          <w:sz w:val="24"/>
          <w:szCs w:val="24"/>
          <w:lang w:val="en-US"/>
        </w:rPr>
        <w:t>each year) and morbidity.</w:t>
      </w:r>
      <w:r w:rsidRPr="00DD489A">
        <w:rPr>
          <w:rFonts w:ascii="Times New Roman" w:eastAsia="Times New Roman" w:hAnsi="Times New Roman" w:cs="Times New Roman"/>
          <w:noProof/>
          <w:sz w:val="24"/>
          <w:szCs w:val="24"/>
          <w:vertAlign w:val="superscript"/>
          <w:lang w:val="en-IE"/>
        </w:rPr>
        <w:footnoteReference w:id="56"/>
      </w:r>
      <w:r w:rsidRPr="00DD489A">
        <w:rPr>
          <w:rFonts w:ascii="Times New Roman" w:eastAsia="Times New Roman" w:hAnsi="Times New Roman" w:cs="Times New Roman"/>
          <w:noProof/>
          <w:sz w:val="24"/>
          <w:szCs w:val="24"/>
          <w:lang w:val="en-US"/>
        </w:rPr>
        <w:t xml:space="preserve"> The Commission on 26 October 2022 proposed to align EU</w:t>
      </w:r>
      <w:r w:rsidRPr="00B554C1">
        <w:rPr>
          <w:rFonts w:ascii="Times New Roman" w:eastAsia="Times New Roman" w:hAnsi="Times New Roman" w:cs="Times New Roman"/>
          <w:noProof/>
          <w:sz w:val="24"/>
          <w:szCs w:val="24"/>
          <w:lang w:val="en-US"/>
        </w:rPr>
        <w:t xml:space="preserve"> air quality standards more closely with WHO recommendations as key element to its zero-pollution policy package.</w:t>
      </w:r>
      <w:r w:rsidRPr="00B554C1">
        <w:rPr>
          <w:rFonts w:ascii="Times New Roman" w:eastAsia="Times New Roman" w:hAnsi="Times New Roman" w:cs="Times New Roman"/>
          <w:noProof/>
          <w:sz w:val="24"/>
          <w:szCs w:val="24"/>
          <w:vertAlign w:val="superscript"/>
          <w:lang w:val="en-IE"/>
        </w:rPr>
        <w:footnoteReference w:id="57"/>
      </w:r>
    </w:p>
    <w:p w14:paraId="14605FEC" w14:textId="77777777" w:rsidR="00B554C1" w:rsidRPr="00B554C1" w:rsidRDefault="00B554C1" w:rsidP="00B554C1">
      <w:pPr>
        <w:spacing w:before="100" w:beforeAutospacing="1" w:after="100" w:afterAutospacing="1" w:line="240" w:lineRule="auto"/>
        <w:contextualSpacing/>
        <w:jc w:val="both"/>
        <w:rPr>
          <w:rFonts w:ascii="Times New Roman" w:eastAsia="Times New Roman" w:hAnsi="Times New Roman" w:cs="Times New Roman"/>
          <w:noProof/>
          <w:sz w:val="24"/>
          <w:szCs w:val="24"/>
          <w:lang w:val="en-US"/>
        </w:rPr>
      </w:pPr>
    </w:p>
    <w:p w14:paraId="2083D7F2" w14:textId="5C15EFF3" w:rsidR="00B554C1" w:rsidRPr="00B554C1" w:rsidRDefault="00B554C1" w:rsidP="00B554C1">
      <w:pPr>
        <w:spacing w:before="100" w:beforeAutospacing="1" w:after="100" w:afterAutospacing="1" w:line="240" w:lineRule="auto"/>
        <w:contextualSpacing/>
        <w:jc w:val="both"/>
        <w:rPr>
          <w:rFonts w:ascii="Times New Roman" w:eastAsia="Times New Roman" w:hAnsi="Times New Roman" w:cs="Times New Roman"/>
          <w:noProof/>
          <w:sz w:val="24"/>
          <w:szCs w:val="24"/>
          <w:lang w:val="en-US"/>
        </w:rPr>
      </w:pPr>
      <w:r w:rsidRPr="00B554C1">
        <w:rPr>
          <w:rFonts w:ascii="Times New Roman" w:eastAsia="Times New Roman" w:hAnsi="Times New Roman" w:cs="Times New Roman"/>
          <w:noProof/>
          <w:sz w:val="24"/>
          <w:szCs w:val="24"/>
          <w:lang w:val="en-US"/>
        </w:rPr>
        <w:t>In addition to the already mentioned proposals</w:t>
      </w:r>
      <w:r>
        <w:rPr>
          <w:rFonts w:ascii="Times New Roman" w:eastAsia="Times New Roman" w:hAnsi="Times New Roman" w:cs="Times New Roman"/>
          <w:noProof/>
          <w:sz w:val="24"/>
          <w:szCs w:val="24"/>
          <w:lang w:val="en-US"/>
        </w:rPr>
        <w:t xml:space="preserve"> on</w:t>
      </w:r>
      <w:r w:rsidRPr="00B554C1">
        <w:rPr>
          <w:rFonts w:ascii="Times New Roman" w:eastAsia="Times New Roman" w:hAnsi="Times New Roman" w:cs="Times New Roman"/>
          <w:noProof/>
          <w:sz w:val="24"/>
          <w:szCs w:val="24"/>
          <w:lang w:val="en-US"/>
        </w:rPr>
        <w:t xml:space="preserve"> wastewater treatment and water pollutants</w:t>
      </w:r>
      <w:r>
        <w:rPr>
          <w:rStyle w:val="FootnoteReference"/>
          <w:rFonts w:ascii="Times New Roman" w:eastAsia="Times New Roman" w:hAnsi="Times New Roman" w:cs="Times New Roman"/>
          <w:noProof/>
          <w:sz w:val="24"/>
          <w:szCs w:val="24"/>
        </w:rPr>
        <w:footnoteReference w:id="58"/>
      </w:r>
      <w:r w:rsidRPr="00B554C1">
        <w:rPr>
          <w:rFonts w:ascii="Times New Roman" w:eastAsia="Times New Roman" w:hAnsi="Times New Roman" w:cs="Times New Roman"/>
          <w:noProof/>
          <w:sz w:val="24"/>
          <w:szCs w:val="24"/>
          <w:lang w:val="en-US"/>
        </w:rPr>
        <w:t>, the Commission has also adopted proposals on the revision of the Industrial Emissions Directive</w:t>
      </w:r>
      <w:r w:rsidR="00DD489A">
        <w:rPr>
          <w:rStyle w:val="FootnoteReference"/>
          <w:rFonts w:ascii="Times New Roman" w:eastAsia="Times New Roman" w:hAnsi="Times New Roman" w:cs="Times New Roman"/>
          <w:noProof/>
          <w:sz w:val="24"/>
          <w:szCs w:val="24"/>
        </w:rPr>
        <w:footnoteReference w:id="59"/>
      </w:r>
      <w:r w:rsidRPr="00B554C1">
        <w:rPr>
          <w:rFonts w:ascii="Times New Roman" w:eastAsia="Times New Roman" w:hAnsi="Times New Roman" w:cs="Times New Roman"/>
          <w:noProof/>
          <w:sz w:val="24"/>
          <w:szCs w:val="24"/>
          <w:lang w:val="en-US"/>
        </w:rPr>
        <w:t>, as well as a new Soil Health and Resilience Directive</w:t>
      </w:r>
      <w:r w:rsidR="00DD489A">
        <w:rPr>
          <w:rStyle w:val="FootnoteReference"/>
          <w:rFonts w:ascii="Times New Roman" w:eastAsia="Times New Roman" w:hAnsi="Times New Roman" w:cs="Times New Roman"/>
          <w:noProof/>
          <w:sz w:val="24"/>
          <w:szCs w:val="24"/>
        </w:rPr>
        <w:footnoteReference w:id="60"/>
      </w:r>
      <w:r w:rsidRPr="00B554C1">
        <w:rPr>
          <w:rFonts w:ascii="Times New Roman" w:eastAsia="Times New Roman" w:hAnsi="Times New Roman" w:cs="Times New Roman"/>
          <w:noProof/>
          <w:sz w:val="24"/>
          <w:szCs w:val="24"/>
          <w:lang w:val="en-US"/>
        </w:rPr>
        <w:t xml:space="preserve"> that </w:t>
      </w:r>
      <w:r w:rsidRPr="00DD489A">
        <w:rPr>
          <w:rFonts w:ascii="Times New Roman" w:eastAsia="Times New Roman" w:hAnsi="Times New Roman" w:cs="Times New Roman"/>
          <w:noProof/>
          <w:sz w:val="24"/>
          <w:szCs w:val="24"/>
          <w:lang w:val="en-US"/>
        </w:rPr>
        <w:t xml:space="preserve">both </w:t>
      </w:r>
      <w:r w:rsidR="001B2E4C" w:rsidRPr="00DD489A">
        <w:rPr>
          <w:rFonts w:ascii="Times New Roman" w:eastAsia="Times New Roman" w:hAnsi="Times New Roman" w:cs="Times New Roman"/>
          <w:noProof/>
          <w:sz w:val="24"/>
          <w:szCs w:val="24"/>
          <w:lang w:val="en-US"/>
        </w:rPr>
        <w:t>aim to</w:t>
      </w:r>
      <w:r w:rsidR="001B2E4C">
        <w:rPr>
          <w:rFonts w:ascii="Times New Roman" w:eastAsia="Times New Roman" w:hAnsi="Times New Roman" w:cs="Times New Roman"/>
          <w:noProof/>
          <w:sz w:val="24"/>
          <w:szCs w:val="24"/>
          <w:lang w:val="en-US"/>
        </w:rPr>
        <w:t xml:space="preserve"> </w:t>
      </w:r>
      <w:r w:rsidRPr="00B554C1">
        <w:rPr>
          <w:rFonts w:ascii="Times New Roman" w:eastAsia="Times New Roman" w:hAnsi="Times New Roman" w:cs="Times New Roman"/>
          <w:noProof/>
          <w:sz w:val="24"/>
          <w:szCs w:val="24"/>
          <w:lang w:val="en-US"/>
        </w:rPr>
        <w:t>bring tangible health benefits.</w:t>
      </w:r>
    </w:p>
    <w:p w14:paraId="014C4EEF" w14:textId="4378B8D2" w:rsidR="00B554C1" w:rsidRPr="00BC2F11" w:rsidRDefault="00B554C1" w:rsidP="00B554C1">
      <w:pPr>
        <w:spacing w:before="100" w:beforeAutospacing="1" w:after="100" w:afterAutospacing="1" w:line="240" w:lineRule="auto"/>
        <w:contextualSpacing/>
        <w:jc w:val="both"/>
        <w:rPr>
          <w:rFonts w:ascii="Times New Roman" w:eastAsia="Times New Roman" w:hAnsi="Times New Roman" w:cs="Times New Roman"/>
          <w:noProof/>
          <w:sz w:val="24"/>
          <w:szCs w:val="24"/>
          <w:lang w:val="en-US"/>
        </w:rPr>
      </w:pPr>
    </w:p>
    <w:p w14:paraId="095728DC" w14:textId="77777777" w:rsidR="00B554C1" w:rsidRPr="00E03D97" w:rsidRDefault="00B554C1" w:rsidP="00BC2F11">
      <w:p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p>
    <w:p w14:paraId="232D4B68" w14:textId="1C273724" w:rsidR="001F1738" w:rsidRPr="00E03D97" w:rsidRDefault="001F1738" w:rsidP="001F1738">
      <w:pPr>
        <w:keepNext/>
        <w:keepLines/>
        <w:spacing w:before="100" w:beforeAutospacing="1" w:after="100" w:afterAutospacing="1" w:line="240" w:lineRule="auto"/>
        <w:jc w:val="both"/>
        <w:outlineLvl w:val="0"/>
        <w:rPr>
          <w:rFonts w:ascii="Times New Roman" w:eastAsiaTheme="majorEastAsia" w:hAnsi="Times New Roman" w:cs="Times New Roman"/>
          <w:noProof/>
          <w:sz w:val="24"/>
          <w:szCs w:val="24"/>
          <w:lang w:val="en-IE"/>
        </w:rPr>
      </w:pPr>
      <w:bookmarkStart w:id="3" w:name="_Toc145428518"/>
      <w:bookmarkEnd w:id="3"/>
      <w:r w:rsidRPr="00E03D97">
        <w:rPr>
          <w:rFonts w:ascii="Times New Roman" w:eastAsiaTheme="majorEastAsia" w:hAnsi="Times New Roman" w:cs="Times New Roman"/>
          <w:noProof/>
          <w:sz w:val="24"/>
          <w:szCs w:val="24"/>
          <w:lang w:val="en-IE"/>
        </w:rPr>
        <w:t>3. PREPAREDNESS</w:t>
      </w:r>
    </w:p>
    <w:p w14:paraId="1BB28E2E" w14:textId="277B1F78"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Preparedness – </w:t>
      </w:r>
      <w:r w:rsidR="00AE1ECF">
        <w:rPr>
          <w:rFonts w:ascii="Times New Roman" w:eastAsia="Times New Roman" w:hAnsi="Times New Roman" w:cs="Times New Roman"/>
          <w:noProof/>
          <w:sz w:val="24"/>
          <w:szCs w:val="24"/>
          <w:lang w:val="en-IE"/>
        </w:rPr>
        <w:t xml:space="preserve">having </w:t>
      </w:r>
      <w:r w:rsidRPr="00E03D97">
        <w:rPr>
          <w:rFonts w:ascii="Times New Roman" w:eastAsia="Times New Roman" w:hAnsi="Times New Roman" w:cs="Times New Roman"/>
          <w:noProof/>
          <w:sz w:val="24"/>
          <w:szCs w:val="24"/>
          <w:lang w:val="en-IE"/>
        </w:rPr>
        <w:t>the structures and capacities in place at national and EU level to effectively anticipate, respond to and recover from public health threats – is an essential element in the EU</w:t>
      </w:r>
      <w:r w:rsidR="00AE1ECF">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health security framework. Failing to prepare is preparing to fail. </w:t>
      </w:r>
    </w:p>
    <w:p w14:paraId="2C05336F" w14:textId="77777777"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Preparedness, reporting and assessment: stronger requirements</w:t>
      </w:r>
    </w:p>
    <w:p w14:paraId="5E92F00E" w14:textId="5274DCE1" w:rsidR="001F1738" w:rsidRPr="00E03D97" w:rsidRDefault="00AE1ECF"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w:t>
      </w:r>
      <w:r w:rsidR="001F1738" w:rsidRPr="00E03D97">
        <w:rPr>
          <w:rFonts w:ascii="Times New Roman" w:eastAsia="Times New Roman" w:hAnsi="Times New Roman" w:cs="Times New Roman"/>
          <w:noProof/>
          <w:sz w:val="24"/>
          <w:szCs w:val="24"/>
          <w:lang w:val="en-IE"/>
        </w:rPr>
        <w:t xml:space="preserve">he </w:t>
      </w:r>
      <w:r w:rsidR="00265D6B">
        <w:rPr>
          <w:rFonts w:ascii="Times New Roman" w:eastAsia="Times New Roman" w:hAnsi="Times New Roman" w:cs="Times New Roman"/>
          <w:noProof/>
          <w:sz w:val="24"/>
          <w:szCs w:val="24"/>
          <w:lang w:val="en-IE"/>
        </w:rPr>
        <w:t xml:space="preserve">recent </w:t>
      </w:r>
      <w:r w:rsidR="001F1738" w:rsidRPr="00E03D97">
        <w:rPr>
          <w:rFonts w:ascii="Times New Roman" w:eastAsia="Times New Roman" w:hAnsi="Times New Roman" w:cs="Times New Roman"/>
          <w:noProof/>
          <w:sz w:val="24"/>
          <w:szCs w:val="24"/>
          <w:lang w:val="en-IE"/>
        </w:rPr>
        <w:t>adoption of Regulation (EU) 2022/2371</w:t>
      </w:r>
      <w:r>
        <w:rPr>
          <w:rFonts w:ascii="Times New Roman" w:eastAsia="Times New Roman" w:hAnsi="Times New Roman" w:cs="Times New Roman"/>
          <w:noProof/>
          <w:sz w:val="24"/>
          <w:szCs w:val="24"/>
          <w:lang w:val="en-IE"/>
        </w:rPr>
        <w:t xml:space="preserve"> has allowed</w:t>
      </w:r>
      <w:r w:rsidR="001F1738" w:rsidRPr="00E03D97">
        <w:rPr>
          <w:rFonts w:ascii="Times New Roman" w:eastAsia="Times New Roman" w:hAnsi="Times New Roman" w:cs="Times New Roman"/>
          <w:noProof/>
          <w:sz w:val="24"/>
          <w:szCs w:val="24"/>
          <w:lang w:val="en-IE"/>
        </w:rPr>
        <w:t xml:space="preserve"> preparedness activities </w:t>
      </w:r>
      <w:r>
        <w:rPr>
          <w:rFonts w:ascii="Times New Roman" w:eastAsia="Times New Roman" w:hAnsi="Times New Roman" w:cs="Times New Roman"/>
          <w:noProof/>
          <w:sz w:val="24"/>
          <w:szCs w:val="24"/>
          <w:lang w:val="en-IE"/>
        </w:rPr>
        <w:t xml:space="preserve">to </w:t>
      </w:r>
      <w:r w:rsidR="001F1738" w:rsidRPr="00E03D97">
        <w:rPr>
          <w:rFonts w:ascii="Times New Roman" w:eastAsia="Times New Roman" w:hAnsi="Times New Roman" w:cs="Times New Roman"/>
          <w:noProof/>
          <w:sz w:val="24"/>
          <w:szCs w:val="24"/>
          <w:lang w:val="en-IE"/>
        </w:rPr>
        <w:t xml:space="preserve">be strengthened at </w:t>
      </w:r>
      <w:r>
        <w:rPr>
          <w:rFonts w:ascii="Times New Roman" w:eastAsia="Times New Roman" w:hAnsi="Times New Roman" w:cs="Times New Roman"/>
          <w:noProof/>
          <w:sz w:val="24"/>
          <w:szCs w:val="24"/>
          <w:lang w:val="en-IE"/>
        </w:rPr>
        <w:t>EU</w:t>
      </w:r>
      <w:r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level</w:t>
      </w:r>
      <w:r w:rsidR="00B23FC9">
        <w:rPr>
          <w:rFonts w:ascii="Times New Roman" w:eastAsia="Times New Roman" w:hAnsi="Times New Roman" w:cs="Times New Roman"/>
          <w:noProof/>
          <w:sz w:val="24"/>
          <w:szCs w:val="24"/>
          <w:lang w:val="en-IE"/>
        </w:rPr>
        <w:t xml:space="preserve"> and</w:t>
      </w:r>
      <w:r w:rsidR="001F1738" w:rsidRPr="00E03D97">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 xml:space="preserve">both </w:t>
      </w:r>
      <w:r w:rsidR="001F1738" w:rsidRPr="00E03D97">
        <w:rPr>
          <w:rFonts w:ascii="Times New Roman" w:eastAsia="Times New Roman" w:hAnsi="Times New Roman" w:cs="Times New Roman"/>
          <w:noProof/>
          <w:sz w:val="24"/>
          <w:szCs w:val="24"/>
          <w:lang w:val="en-IE"/>
        </w:rPr>
        <w:t xml:space="preserve">within </w:t>
      </w:r>
      <w:r>
        <w:rPr>
          <w:rFonts w:ascii="Times New Roman" w:eastAsia="Times New Roman" w:hAnsi="Times New Roman" w:cs="Times New Roman"/>
          <w:noProof/>
          <w:sz w:val="24"/>
          <w:szCs w:val="24"/>
          <w:lang w:val="en-IE"/>
        </w:rPr>
        <w:t xml:space="preserve">and </w:t>
      </w:r>
      <w:r w:rsidR="00372403">
        <w:rPr>
          <w:rFonts w:ascii="Times New Roman" w:eastAsia="Times New Roman" w:hAnsi="Times New Roman" w:cs="Times New Roman"/>
          <w:noProof/>
          <w:sz w:val="24"/>
          <w:szCs w:val="24"/>
          <w:lang w:val="en-IE"/>
        </w:rPr>
        <w:t>across</w:t>
      </w:r>
      <w:r w:rsidR="00CB6855">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 xml:space="preserve">Member States. Most notably, the Regulation requires </w:t>
      </w:r>
      <w:r w:rsidR="00B23FC9">
        <w:rPr>
          <w:rFonts w:ascii="Times New Roman" w:eastAsia="Times New Roman" w:hAnsi="Times New Roman" w:cs="Times New Roman"/>
          <w:noProof/>
          <w:sz w:val="24"/>
          <w:szCs w:val="24"/>
          <w:lang w:val="en-IE"/>
        </w:rPr>
        <w:t>expanded</w:t>
      </w:r>
      <w:r w:rsidR="00B23FC9"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reporting on national preparedness plan</w:t>
      </w:r>
      <w:r w:rsidR="0032059A" w:rsidRPr="00E03D97">
        <w:rPr>
          <w:rFonts w:ascii="Times New Roman" w:eastAsia="Times New Roman" w:hAnsi="Times New Roman" w:cs="Times New Roman"/>
          <w:noProof/>
          <w:sz w:val="24"/>
          <w:szCs w:val="24"/>
          <w:lang w:val="en-IE"/>
        </w:rPr>
        <w:t>ning</w:t>
      </w:r>
      <w:r w:rsidR="001F1738" w:rsidRPr="00E03D97">
        <w:rPr>
          <w:rFonts w:ascii="Times New Roman" w:eastAsia="Times New Roman" w:hAnsi="Times New Roman" w:cs="Times New Roman"/>
          <w:noProof/>
          <w:sz w:val="24"/>
          <w:szCs w:val="24"/>
          <w:lang w:val="en-IE"/>
        </w:rPr>
        <w:t xml:space="preserve"> and introduces the possibility </w:t>
      </w:r>
      <w:r w:rsidR="00265D6B">
        <w:rPr>
          <w:rFonts w:ascii="Times New Roman" w:eastAsia="Times New Roman" w:hAnsi="Times New Roman" w:cs="Times New Roman"/>
          <w:noProof/>
          <w:sz w:val="24"/>
          <w:szCs w:val="24"/>
          <w:lang w:val="en-IE"/>
        </w:rPr>
        <w:t>of</w:t>
      </w:r>
      <w:r w:rsidR="00265D6B"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EU review and assessment of national</w:t>
      </w:r>
      <w:r w:rsidR="0032059A" w:rsidRPr="00E03D97">
        <w:rPr>
          <w:rFonts w:ascii="Times New Roman" w:eastAsia="Times New Roman" w:hAnsi="Times New Roman" w:cs="Times New Roman"/>
          <w:noProof/>
          <w:sz w:val="24"/>
          <w:szCs w:val="24"/>
          <w:lang w:val="en-IE"/>
        </w:rPr>
        <w:t xml:space="preserve"> preparedness</w:t>
      </w:r>
      <w:r w:rsidR="001F1738" w:rsidRPr="00E03D97">
        <w:rPr>
          <w:rFonts w:ascii="Times New Roman" w:eastAsia="Times New Roman" w:hAnsi="Times New Roman" w:cs="Times New Roman"/>
          <w:noProof/>
          <w:sz w:val="24"/>
          <w:szCs w:val="24"/>
          <w:lang w:val="en-IE"/>
        </w:rPr>
        <w:t xml:space="preserve"> capacities to ensure that </w:t>
      </w:r>
      <w:r w:rsidR="00265D6B">
        <w:rPr>
          <w:rFonts w:ascii="Times New Roman" w:eastAsia="Times New Roman" w:hAnsi="Times New Roman" w:cs="Times New Roman"/>
          <w:noProof/>
          <w:sz w:val="24"/>
          <w:szCs w:val="24"/>
          <w:lang w:val="en-IE"/>
        </w:rPr>
        <w:t>they</w:t>
      </w:r>
      <w:r w:rsidR="00265D6B"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 xml:space="preserve">are adequately maintained. </w:t>
      </w:r>
      <w:r w:rsidR="001F1738" w:rsidRPr="00DD489A">
        <w:rPr>
          <w:rFonts w:ascii="Times New Roman" w:eastAsia="Times New Roman" w:hAnsi="Times New Roman" w:cs="Times New Roman"/>
          <w:noProof/>
          <w:sz w:val="24"/>
          <w:szCs w:val="24"/>
          <w:lang w:val="en-IE"/>
        </w:rPr>
        <w:t>A new</w:t>
      </w:r>
      <w:r w:rsidR="00437D3A" w:rsidRPr="00DD489A">
        <w:rPr>
          <w:rFonts w:ascii="Times New Roman" w:eastAsia="Times New Roman" w:hAnsi="Times New Roman" w:cs="Times New Roman"/>
          <w:noProof/>
          <w:sz w:val="24"/>
          <w:szCs w:val="24"/>
          <w:lang w:val="en-IE"/>
        </w:rPr>
        <w:t xml:space="preserve"> </w:t>
      </w:r>
      <w:r w:rsidR="0032059A" w:rsidRPr="00DD489A">
        <w:rPr>
          <w:rFonts w:ascii="Times New Roman" w:eastAsia="Times New Roman" w:hAnsi="Times New Roman" w:cs="Times New Roman"/>
          <w:noProof/>
          <w:sz w:val="24"/>
          <w:szCs w:val="24"/>
          <w:lang w:val="en-IE"/>
        </w:rPr>
        <w:t>reporting</w:t>
      </w:r>
      <w:r w:rsidR="001F1738" w:rsidRPr="00DD489A">
        <w:rPr>
          <w:rFonts w:ascii="Times New Roman" w:eastAsia="Times New Roman" w:hAnsi="Times New Roman" w:cs="Times New Roman"/>
          <w:noProof/>
          <w:sz w:val="24"/>
          <w:szCs w:val="24"/>
          <w:lang w:val="en-IE"/>
        </w:rPr>
        <w:t xml:space="preserve"> cycle has been introduced: expanded reporting</w:t>
      </w:r>
      <w:r w:rsidR="0032059A" w:rsidRPr="00DD489A">
        <w:rPr>
          <w:rFonts w:ascii="Times New Roman" w:eastAsia="Times New Roman" w:hAnsi="Times New Roman" w:cs="Times New Roman"/>
          <w:noProof/>
          <w:sz w:val="24"/>
          <w:szCs w:val="24"/>
          <w:lang w:val="en-IE"/>
        </w:rPr>
        <w:t xml:space="preserve"> on preparedness capacities</w:t>
      </w:r>
      <w:r w:rsidR="001F1738" w:rsidRPr="00DD489A">
        <w:rPr>
          <w:rFonts w:ascii="Times New Roman" w:eastAsia="Times New Roman" w:hAnsi="Times New Roman" w:cs="Times New Roman"/>
          <w:noProof/>
          <w:sz w:val="24"/>
          <w:szCs w:val="24"/>
          <w:lang w:val="en-IE"/>
        </w:rPr>
        <w:t xml:space="preserve"> of Member States to the Commission, followed by assessments carried out by </w:t>
      </w:r>
      <w:r w:rsidR="00AC1530">
        <w:rPr>
          <w:rFonts w:ascii="Times New Roman" w:eastAsia="Times New Roman" w:hAnsi="Times New Roman" w:cs="Times New Roman"/>
          <w:noProof/>
          <w:sz w:val="24"/>
          <w:szCs w:val="24"/>
          <w:lang w:val="en-IE"/>
        </w:rPr>
        <w:t xml:space="preserve">the </w:t>
      </w:r>
      <w:r w:rsidR="001F1738" w:rsidRPr="00DD489A">
        <w:rPr>
          <w:rFonts w:ascii="Times New Roman" w:eastAsia="Times New Roman" w:hAnsi="Times New Roman" w:cs="Times New Roman"/>
          <w:noProof/>
          <w:sz w:val="24"/>
          <w:szCs w:val="24"/>
          <w:lang w:val="en-IE"/>
        </w:rPr>
        <w:t>ECDC and a Commission report to the European Parliament and the Council.</w:t>
      </w:r>
      <w:r w:rsidR="001F1738" w:rsidRPr="00E03D97">
        <w:rPr>
          <w:rFonts w:ascii="Times New Roman" w:eastAsia="Times New Roman" w:hAnsi="Times New Roman" w:cs="Times New Roman"/>
          <w:noProof/>
          <w:sz w:val="24"/>
          <w:szCs w:val="24"/>
          <w:lang w:val="en-IE"/>
        </w:rPr>
        <w:t xml:space="preserve"> </w:t>
      </w:r>
      <w:r w:rsidR="00300C2A">
        <w:rPr>
          <w:rFonts w:ascii="Times New Roman" w:eastAsia="Times New Roman" w:hAnsi="Times New Roman" w:cs="Times New Roman"/>
          <w:noProof/>
          <w:sz w:val="24"/>
          <w:szCs w:val="24"/>
          <w:lang w:val="en-IE"/>
        </w:rPr>
        <w:t>T</w:t>
      </w:r>
      <w:r w:rsidR="001F1738" w:rsidRPr="00E03D97">
        <w:rPr>
          <w:rFonts w:ascii="Times New Roman" w:eastAsia="Times New Roman" w:hAnsi="Times New Roman" w:cs="Times New Roman"/>
          <w:noProof/>
          <w:sz w:val="24"/>
          <w:szCs w:val="24"/>
          <w:lang w:val="en-IE"/>
        </w:rPr>
        <w:t xml:space="preserve">he first implementing act under </w:t>
      </w:r>
      <w:r w:rsidR="00300C2A">
        <w:rPr>
          <w:rFonts w:ascii="Times New Roman" w:eastAsia="Times New Roman" w:hAnsi="Times New Roman" w:cs="Times New Roman"/>
          <w:noProof/>
          <w:sz w:val="24"/>
          <w:szCs w:val="24"/>
          <w:lang w:val="en-IE"/>
        </w:rPr>
        <w:t xml:space="preserve">the </w:t>
      </w:r>
      <w:r w:rsidR="001F1738" w:rsidRPr="00E03D97">
        <w:rPr>
          <w:rFonts w:ascii="Times New Roman" w:eastAsia="Times New Roman" w:hAnsi="Times New Roman" w:cs="Times New Roman"/>
          <w:noProof/>
          <w:sz w:val="24"/>
          <w:szCs w:val="24"/>
          <w:lang w:val="en-IE"/>
        </w:rPr>
        <w:t>Regulation was adopted</w:t>
      </w:r>
      <w:r w:rsidR="00300C2A">
        <w:rPr>
          <w:rFonts w:ascii="Times New Roman" w:eastAsia="Times New Roman" w:hAnsi="Times New Roman" w:cs="Times New Roman"/>
          <w:noProof/>
          <w:sz w:val="24"/>
          <w:szCs w:val="24"/>
          <w:lang w:val="en-IE"/>
        </w:rPr>
        <w:t xml:space="preserve"> in September 2023</w:t>
      </w:r>
      <w:r w:rsidR="001F1738" w:rsidRPr="00E03D97">
        <w:rPr>
          <w:rFonts w:ascii="Times New Roman" w:eastAsia="Times New Roman" w:hAnsi="Times New Roman" w:cs="Times New Roman"/>
          <w:noProof/>
          <w:sz w:val="24"/>
          <w:szCs w:val="24"/>
          <w:lang w:val="en-IE"/>
        </w:rPr>
        <w:t xml:space="preserve">, providing the specifications for the Member States reporting on </w:t>
      </w:r>
      <w:r w:rsidR="00CB6855" w:rsidRPr="00CB6855">
        <w:rPr>
          <w:rFonts w:ascii="Times New Roman" w:eastAsia="Times New Roman" w:hAnsi="Times New Roman" w:cs="Times New Roman"/>
          <w:noProof/>
          <w:sz w:val="24"/>
          <w:szCs w:val="24"/>
        </w:rPr>
        <w:t>prevention, preparedness and response planning</w:t>
      </w:r>
      <w:r w:rsidR="00CB6855">
        <w:rPr>
          <w:rFonts w:ascii="Times New Roman" w:eastAsia="Times New Roman" w:hAnsi="Times New Roman" w:cs="Times New Roman"/>
          <w:noProof/>
          <w:sz w:val="24"/>
          <w:szCs w:val="24"/>
        </w:rPr>
        <w:t xml:space="preserve"> at national level</w:t>
      </w:r>
      <w:r w:rsidR="001F1738" w:rsidRPr="00E03D97">
        <w:rPr>
          <w:rFonts w:ascii="Times New Roman" w:eastAsia="Times New Roman" w:hAnsi="Times New Roman" w:cs="Times New Roman"/>
          <w:noProof/>
          <w:sz w:val="24"/>
          <w:szCs w:val="24"/>
          <w:vertAlign w:val="superscript"/>
          <w:lang w:val="en-IE"/>
        </w:rPr>
        <w:footnoteReference w:id="61"/>
      </w:r>
      <w:r w:rsidR="001F1738" w:rsidRPr="00E03D97">
        <w:rPr>
          <w:rFonts w:ascii="Times New Roman" w:eastAsia="Times New Roman" w:hAnsi="Times New Roman" w:cs="Times New Roman"/>
          <w:noProof/>
          <w:sz w:val="24"/>
          <w:szCs w:val="24"/>
          <w:lang w:val="en-IE"/>
        </w:rPr>
        <w:t xml:space="preserve">. </w:t>
      </w:r>
    </w:p>
    <w:p w14:paraId="461034E8" w14:textId="5432A20D"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The Regulation also introduces the Union Prevention, Preparedness and Response plan, </w:t>
      </w:r>
      <w:r w:rsidR="00300C2A">
        <w:rPr>
          <w:rFonts w:ascii="Times New Roman" w:eastAsia="Times New Roman" w:hAnsi="Times New Roman" w:cs="Times New Roman"/>
          <w:noProof/>
          <w:sz w:val="24"/>
          <w:szCs w:val="24"/>
          <w:lang w:val="en-IE"/>
        </w:rPr>
        <w:t xml:space="preserve">which will </w:t>
      </w:r>
      <w:r w:rsidRPr="00E03D97">
        <w:rPr>
          <w:rFonts w:ascii="Times New Roman" w:eastAsia="Times New Roman" w:hAnsi="Times New Roman" w:cs="Times New Roman"/>
          <w:noProof/>
          <w:sz w:val="24"/>
          <w:szCs w:val="24"/>
          <w:lang w:val="en-IE"/>
        </w:rPr>
        <w:t xml:space="preserve">be </w:t>
      </w:r>
      <w:r w:rsidR="0032059A" w:rsidRPr="00E03D97">
        <w:rPr>
          <w:rFonts w:ascii="Times New Roman" w:eastAsia="Times New Roman" w:hAnsi="Times New Roman" w:cs="Times New Roman"/>
          <w:noProof/>
          <w:sz w:val="24"/>
          <w:szCs w:val="24"/>
          <w:lang w:val="en-IE"/>
        </w:rPr>
        <w:t>developed</w:t>
      </w:r>
      <w:r w:rsidRPr="00E03D97">
        <w:rPr>
          <w:rFonts w:ascii="Times New Roman" w:eastAsia="Times New Roman" w:hAnsi="Times New Roman" w:cs="Times New Roman"/>
          <w:noProof/>
          <w:sz w:val="24"/>
          <w:szCs w:val="24"/>
          <w:lang w:val="en-IE"/>
        </w:rPr>
        <w:t xml:space="preserve"> in 2024. The plan will cover work and activities related to health preparedness and respons</w:t>
      </w:r>
      <w:r w:rsidR="00300C2A">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 across all Commission services, the Council and </w:t>
      </w:r>
      <w:r w:rsidR="0018592C">
        <w:rPr>
          <w:rFonts w:ascii="Times New Roman" w:eastAsia="Times New Roman" w:hAnsi="Times New Roman" w:cs="Times New Roman"/>
          <w:noProof/>
          <w:sz w:val="24"/>
          <w:szCs w:val="24"/>
          <w:lang w:val="en-IE"/>
        </w:rPr>
        <w:t>EU</w:t>
      </w:r>
      <w:r w:rsidR="0018592C"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agencies and bodies, as well as interactions and coordination with relevant international</w:t>
      </w:r>
      <w:r w:rsidR="00CB6855">
        <w:rPr>
          <w:rFonts w:ascii="Times New Roman" w:eastAsia="Times New Roman" w:hAnsi="Times New Roman" w:cs="Times New Roman"/>
          <w:noProof/>
          <w:sz w:val="24"/>
          <w:szCs w:val="24"/>
          <w:lang w:val="en-IE"/>
        </w:rPr>
        <w:t xml:space="preserve"> bodies</w:t>
      </w:r>
      <w:r w:rsidRPr="00E03D97">
        <w:rPr>
          <w:rFonts w:ascii="Times New Roman" w:eastAsia="Times New Roman" w:hAnsi="Times New Roman" w:cs="Times New Roman"/>
          <w:noProof/>
          <w:sz w:val="24"/>
          <w:szCs w:val="24"/>
          <w:lang w:val="en-IE"/>
        </w:rPr>
        <w:t xml:space="preserve">. </w:t>
      </w:r>
    </w:p>
    <w:p w14:paraId="76CA90BA" w14:textId="1854C6E1"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In close cooperation with </w:t>
      </w:r>
      <w:r w:rsidR="00E5751D">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Member States, the Commission </w:t>
      </w:r>
      <w:r w:rsidR="00E5751D">
        <w:rPr>
          <w:rFonts w:ascii="Times New Roman" w:eastAsia="Times New Roman" w:hAnsi="Times New Roman" w:cs="Times New Roman"/>
          <w:noProof/>
          <w:sz w:val="24"/>
          <w:szCs w:val="24"/>
          <w:lang w:val="en-IE"/>
        </w:rPr>
        <w:t xml:space="preserve">is </w:t>
      </w:r>
      <w:r w:rsidRPr="00E03D97">
        <w:rPr>
          <w:rFonts w:ascii="Times New Roman" w:eastAsia="Times New Roman" w:hAnsi="Times New Roman" w:cs="Times New Roman"/>
          <w:noProof/>
          <w:sz w:val="24"/>
          <w:szCs w:val="24"/>
          <w:lang w:val="en-IE"/>
        </w:rPr>
        <w:t>also strengthen</w:t>
      </w:r>
      <w:r w:rsidR="00E5751D">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emergency health planning via the Union Civil Protection Mechanism (UCPM)</w:t>
      </w:r>
      <w:r w:rsidRPr="00E03D97">
        <w:rPr>
          <w:rFonts w:ascii="Times New Roman" w:eastAsia="Times New Roman" w:hAnsi="Times New Roman" w:cs="Times New Roman"/>
          <w:noProof/>
          <w:sz w:val="24"/>
          <w:szCs w:val="24"/>
          <w:vertAlign w:val="superscript"/>
          <w:lang w:val="en-IE"/>
        </w:rPr>
        <w:footnoteReference w:id="62"/>
      </w:r>
      <w:r w:rsidRPr="00E03D97">
        <w:rPr>
          <w:rFonts w:ascii="Times New Roman" w:eastAsia="Times New Roman" w:hAnsi="Times New Roman" w:cs="Times New Roman"/>
          <w:noProof/>
          <w:sz w:val="24"/>
          <w:szCs w:val="24"/>
          <w:lang w:val="en-IE"/>
        </w:rPr>
        <w:t>. This is done</w:t>
      </w:r>
      <w:r w:rsidR="00E5751D">
        <w:rPr>
          <w:rFonts w:ascii="Times New Roman" w:eastAsia="Times New Roman" w:hAnsi="Times New Roman" w:cs="Times New Roman"/>
          <w:noProof/>
          <w:sz w:val="24"/>
          <w:szCs w:val="24"/>
          <w:lang w:val="en-IE"/>
        </w:rPr>
        <w:t xml:space="preserve"> by</w:t>
      </w:r>
      <w:r w:rsidRPr="00E03D97">
        <w:rPr>
          <w:rFonts w:ascii="Times New Roman" w:eastAsia="Times New Roman" w:hAnsi="Times New Roman" w:cs="Times New Roman"/>
          <w:noProof/>
          <w:sz w:val="24"/>
          <w:szCs w:val="24"/>
          <w:lang w:val="en-IE"/>
        </w:rPr>
        <w:t xml:space="preserve"> </w:t>
      </w:r>
      <w:r w:rsidR="00E5751D">
        <w:rPr>
          <w:rFonts w:ascii="Times New Roman" w:eastAsia="Times New Roman" w:hAnsi="Times New Roman" w:cs="Times New Roman"/>
          <w:noProof/>
          <w:sz w:val="24"/>
          <w:szCs w:val="24"/>
          <w:lang w:val="en-IE"/>
        </w:rPr>
        <w:t xml:space="preserve">developing </w:t>
      </w:r>
      <w:r w:rsidRPr="00E03D97">
        <w:rPr>
          <w:rFonts w:ascii="Times New Roman" w:eastAsia="Times New Roman" w:hAnsi="Times New Roman" w:cs="Times New Roman"/>
          <w:noProof/>
          <w:sz w:val="24"/>
          <w:szCs w:val="24"/>
          <w:lang w:val="en-IE"/>
        </w:rPr>
        <w:t>specific emergency health preparedness and response plans, such as the burns preparedness plan</w:t>
      </w:r>
      <w:r w:rsidRPr="00E03D97">
        <w:rPr>
          <w:rFonts w:ascii="Times New Roman" w:eastAsia="Times New Roman" w:hAnsi="Times New Roman" w:cs="Times New Roman"/>
          <w:noProof/>
          <w:sz w:val="24"/>
          <w:szCs w:val="24"/>
          <w:vertAlign w:val="superscript"/>
          <w:lang w:val="en-IE"/>
        </w:rPr>
        <w:footnoteReference w:id="63"/>
      </w:r>
      <w:r w:rsidRPr="00E03D97">
        <w:rPr>
          <w:rFonts w:ascii="Times New Roman" w:eastAsia="Times New Roman" w:hAnsi="Times New Roman" w:cs="Times New Roman"/>
          <w:noProof/>
          <w:sz w:val="24"/>
          <w:szCs w:val="24"/>
          <w:lang w:val="en-IE"/>
        </w:rPr>
        <w:t xml:space="preserve">, which outlines the medical evacuation guidelines to follow in the event of a disaster involving mass burn patients. In addition, the Commission </w:t>
      </w:r>
      <w:r w:rsidR="00E5751D">
        <w:rPr>
          <w:rFonts w:ascii="Times New Roman" w:eastAsia="Times New Roman" w:hAnsi="Times New Roman" w:cs="Times New Roman"/>
          <w:noProof/>
          <w:sz w:val="24"/>
          <w:szCs w:val="24"/>
          <w:lang w:val="en-IE"/>
        </w:rPr>
        <w:t xml:space="preserve">is </w:t>
      </w:r>
      <w:r w:rsidRPr="00E03D97">
        <w:rPr>
          <w:rFonts w:ascii="Times New Roman" w:eastAsia="Times New Roman" w:hAnsi="Times New Roman" w:cs="Times New Roman"/>
          <w:noProof/>
          <w:sz w:val="24"/>
          <w:szCs w:val="24"/>
          <w:lang w:val="en-IE"/>
        </w:rPr>
        <w:t>develop</w:t>
      </w:r>
      <w:r w:rsidR="00E5751D">
        <w:rPr>
          <w:rFonts w:ascii="Times New Roman" w:eastAsia="Times New Roman" w:hAnsi="Times New Roman" w:cs="Times New Roman"/>
          <w:noProof/>
          <w:sz w:val="24"/>
          <w:szCs w:val="24"/>
          <w:lang w:val="en-IE"/>
        </w:rPr>
        <w:t>ing</w:t>
      </w:r>
      <w:r w:rsidR="00B51AA3">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under the UCPM and in close cooperation with Member States, two </w:t>
      </w:r>
      <w:r w:rsidR="00E5751D">
        <w:rPr>
          <w:rFonts w:ascii="Times New Roman" w:eastAsia="Times New Roman" w:hAnsi="Times New Roman" w:cs="Times New Roman"/>
          <w:noProof/>
          <w:sz w:val="24"/>
          <w:szCs w:val="24"/>
          <w:lang w:val="en-IE"/>
        </w:rPr>
        <w:t>EU</w:t>
      </w:r>
      <w:r w:rsidRPr="00E03D97">
        <w:rPr>
          <w:rFonts w:ascii="Times New Roman" w:eastAsia="Times New Roman" w:hAnsi="Times New Roman" w:cs="Times New Roman"/>
          <w:noProof/>
          <w:sz w:val="24"/>
          <w:szCs w:val="24"/>
          <w:lang w:val="en-IE"/>
        </w:rPr>
        <w:t xml:space="preserve">-wide disaster scenarios focusing entirely on the </w:t>
      </w:r>
      <w:r w:rsidR="007D4B14">
        <w:rPr>
          <w:rFonts w:ascii="Times New Roman" w:eastAsia="Times New Roman" w:hAnsi="Times New Roman" w:cs="Times New Roman"/>
          <w:noProof/>
          <w:sz w:val="24"/>
          <w:szCs w:val="24"/>
          <w:lang w:val="en-IE"/>
        </w:rPr>
        <w:t>scenario</w:t>
      </w:r>
      <w:r w:rsidR="007D4B14"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of a health emergency, such as a pandemic or nuclear disaster</w:t>
      </w:r>
      <w:r w:rsidR="00015AC9">
        <w:rPr>
          <w:rStyle w:val="FootnoteReference"/>
          <w:rFonts w:ascii="Times New Roman" w:eastAsia="Times New Roman" w:hAnsi="Times New Roman" w:cs="Times New Roman"/>
          <w:noProof/>
          <w:sz w:val="24"/>
          <w:szCs w:val="24"/>
        </w:rPr>
        <w:footnoteReference w:id="64"/>
      </w:r>
      <w:r w:rsidRPr="00E03D97">
        <w:rPr>
          <w:rFonts w:ascii="Times New Roman" w:eastAsia="Times New Roman" w:hAnsi="Times New Roman" w:cs="Times New Roman"/>
          <w:noProof/>
          <w:sz w:val="24"/>
          <w:szCs w:val="24"/>
          <w:lang w:val="en-IE"/>
        </w:rPr>
        <w:t xml:space="preserve">. </w:t>
      </w:r>
    </w:p>
    <w:p w14:paraId="541F37B7" w14:textId="075E7431" w:rsidR="001F1738" w:rsidRPr="00E03D97" w:rsidRDefault="007D4B14"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w:t>
      </w:r>
      <w:r w:rsidR="001F1738" w:rsidRPr="00E03D97">
        <w:rPr>
          <w:rFonts w:ascii="Times New Roman" w:eastAsia="Times New Roman" w:hAnsi="Times New Roman" w:cs="Times New Roman"/>
          <w:noProof/>
          <w:sz w:val="24"/>
          <w:szCs w:val="24"/>
          <w:lang w:val="en-IE"/>
        </w:rPr>
        <w:t>he Commission</w:t>
      </w:r>
      <w:r>
        <w:rPr>
          <w:rFonts w:ascii="Times New Roman" w:eastAsia="Times New Roman" w:hAnsi="Times New Roman" w:cs="Times New Roman"/>
          <w:noProof/>
          <w:sz w:val="24"/>
          <w:szCs w:val="24"/>
          <w:lang w:val="en-IE"/>
        </w:rPr>
        <w:t xml:space="preserve"> has also</w:t>
      </w:r>
      <w:r w:rsidR="001F1738" w:rsidRPr="00E03D97">
        <w:rPr>
          <w:rFonts w:ascii="Times New Roman" w:eastAsia="Times New Roman" w:hAnsi="Times New Roman" w:cs="Times New Roman"/>
          <w:noProof/>
          <w:sz w:val="24"/>
          <w:szCs w:val="24"/>
          <w:lang w:val="en-IE"/>
        </w:rPr>
        <w:t xml:space="preserve">, in its </w:t>
      </w:r>
      <w:r w:rsidR="00BA5B1A">
        <w:rPr>
          <w:rFonts w:ascii="Times New Roman" w:eastAsia="Times New Roman" w:hAnsi="Times New Roman" w:cs="Times New Roman"/>
          <w:noProof/>
          <w:sz w:val="24"/>
          <w:szCs w:val="24"/>
        </w:rPr>
        <w:t xml:space="preserve">Communication adopted in the context of the </w:t>
      </w:r>
      <w:r w:rsidR="001F1738" w:rsidRPr="00E03D97">
        <w:rPr>
          <w:rFonts w:ascii="Times New Roman" w:eastAsia="Times New Roman" w:hAnsi="Times New Roman" w:cs="Times New Roman"/>
          <w:noProof/>
          <w:sz w:val="24"/>
          <w:szCs w:val="24"/>
          <w:lang w:val="en-IE"/>
        </w:rPr>
        <w:t xml:space="preserve">2023 European Semester </w:t>
      </w:r>
      <w:r w:rsidR="00BA5B1A">
        <w:rPr>
          <w:rFonts w:ascii="Times New Roman" w:eastAsia="Times New Roman" w:hAnsi="Times New Roman" w:cs="Times New Roman"/>
          <w:noProof/>
          <w:sz w:val="24"/>
          <w:szCs w:val="24"/>
          <w:lang w:val="en-IE"/>
        </w:rPr>
        <w:t xml:space="preserve">on the </w:t>
      </w:r>
      <w:r w:rsidR="001F1738" w:rsidRPr="00E03D97">
        <w:rPr>
          <w:rFonts w:ascii="Times New Roman" w:eastAsia="Times New Roman" w:hAnsi="Times New Roman" w:cs="Times New Roman"/>
          <w:noProof/>
          <w:sz w:val="24"/>
          <w:szCs w:val="24"/>
          <w:lang w:val="en-IE"/>
        </w:rPr>
        <w:t>Annual Sustainable Growth Survey</w:t>
      </w:r>
      <w:r>
        <w:rPr>
          <w:rFonts w:ascii="Times New Roman" w:eastAsia="Times New Roman" w:hAnsi="Times New Roman" w:cs="Times New Roman"/>
          <w:noProof/>
          <w:sz w:val="24"/>
          <w:szCs w:val="24"/>
          <w:lang w:val="en-IE"/>
        </w:rPr>
        <w:t xml:space="preserve"> </w:t>
      </w:r>
      <w:r w:rsidR="00BA5B1A">
        <w:rPr>
          <w:rFonts w:ascii="Times New Roman" w:eastAsia="Times New Roman" w:hAnsi="Times New Roman" w:cs="Times New Roman"/>
          <w:noProof/>
          <w:sz w:val="24"/>
          <w:szCs w:val="24"/>
          <w:lang w:val="en-IE"/>
        </w:rPr>
        <w:t>2023</w:t>
      </w:r>
      <w:r w:rsidRPr="00E03D97">
        <w:rPr>
          <w:rFonts w:ascii="Times New Roman" w:eastAsia="Times New Roman" w:hAnsi="Times New Roman" w:cs="Times New Roman"/>
          <w:noProof/>
          <w:sz w:val="24"/>
          <w:szCs w:val="24"/>
          <w:vertAlign w:val="superscript"/>
          <w:lang w:val="en-IE"/>
        </w:rPr>
        <w:footnoteReference w:id="65"/>
      </w:r>
      <w:r w:rsidR="00BA5B1A">
        <w:rPr>
          <w:rFonts w:ascii="Times New Roman" w:eastAsia="Times New Roman" w:hAnsi="Times New Roman" w:cs="Times New Roman"/>
          <w:noProof/>
          <w:sz w:val="24"/>
          <w:szCs w:val="24"/>
          <w:lang w:val="en-IE"/>
        </w:rPr>
        <w:t>,</w:t>
      </w:r>
      <w:r>
        <w:rPr>
          <w:rFonts w:ascii="Times New Roman" w:eastAsia="Times New Roman" w:hAnsi="Times New Roman" w:cs="Times New Roman"/>
          <w:noProof/>
          <w:sz w:val="24"/>
          <w:szCs w:val="24"/>
          <w:lang w:val="en-IE"/>
        </w:rPr>
        <w:t xml:space="preserve"> underlined</w:t>
      </w:r>
      <w:r w:rsidR="001F1738" w:rsidRPr="00E03D97">
        <w:rPr>
          <w:rFonts w:ascii="Times New Roman" w:eastAsia="Times New Roman" w:hAnsi="Times New Roman" w:cs="Times New Roman"/>
          <w:noProof/>
          <w:sz w:val="24"/>
          <w:szCs w:val="24"/>
          <w:lang w:val="en-IE"/>
        </w:rPr>
        <w:t xml:space="preserve"> the need for increased vigilance and investment in </w:t>
      </w:r>
      <w:r w:rsidR="00BA5B1A">
        <w:rPr>
          <w:rFonts w:ascii="Times New Roman" w:eastAsia="Times New Roman" w:hAnsi="Times New Roman" w:cs="Times New Roman"/>
          <w:noProof/>
          <w:sz w:val="24"/>
          <w:szCs w:val="24"/>
          <w:lang w:val="en-IE"/>
        </w:rPr>
        <w:t xml:space="preserve">all </w:t>
      </w:r>
      <w:r w:rsidR="001F1738" w:rsidRPr="00E03D97">
        <w:rPr>
          <w:rFonts w:ascii="Times New Roman" w:eastAsia="Times New Roman" w:hAnsi="Times New Roman" w:cs="Times New Roman"/>
          <w:noProof/>
          <w:sz w:val="24"/>
          <w:szCs w:val="24"/>
          <w:lang w:val="en-IE"/>
        </w:rPr>
        <w:t xml:space="preserve">Member States </w:t>
      </w:r>
      <w:r w:rsidR="00B86E43">
        <w:rPr>
          <w:rFonts w:ascii="Times New Roman" w:eastAsia="Times New Roman" w:hAnsi="Times New Roman" w:cs="Times New Roman"/>
          <w:noProof/>
          <w:sz w:val="24"/>
          <w:szCs w:val="24"/>
          <w:lang w:val="en-IE"/>
        </w:rPr>
        <w:t>to ensure</w:t>
      </w:r>
      <w:r w:rsidR="001F1738" w:rsidRPr="00E03D97">
        <w:rPr>
          <w:rFonts w:ascii="Times New Roman" w:eastAsia="Times New Roman" w:hAnsi="Times New Roman" w:cs="Times New Roman"/>
          <w:noProof/>
          <w:sz w:val="24"/>
          <w:szCs w:val="24"/>
          <w:lang w:val="en-IE"/>
        </w:rPr>
        <w:t xml:space="preserve"> </w:t>
      </w:r>
      <w:r w:rsidR="00BA5B1A">
        <w:rPr>
          <w:rFonts w:ascii="Times New Roman" w:eastAsia="Times New Roman" w:hAnsi="Times New Roman" w:cs="Times New Roman"/>
          <w:noProof/>
          <w:sz w:val="24"/>
          <w:szCs w:val="24"/>
          <w:lang w:val="en-IE"/>
        </w:rPr>
        <w:t xml:space="preserve">that </w:t>
      </w:r>
      <w:r w:rsidR="001F1738" w:rsidRPr="00E03D97">
        <w:rPr>
          <w:rFonts w:ascii="Times New Roman" w:eastAsia="Times New Roman" w:hAnsi="Times New Roman" w:cs="Times New Roman"/>
          <w:noProof/>
          <w:sz w:val="24"/>
          <w:szCs w:val="24"/>
          <w:lang w:val="en-IE"/>
        </w:rPr>
        <w:t>health system</w:t>
      </w:r>
      <w:r w:rsidR="00BA5B1A">
        <w:rPr>
          <w:rFonts w:ascii="Times New Roman" w:eastAsia="Times New Roman" w:hAnsi="Times New Roman" w:cs="Times New Roman"/>
          <w:noProof/>
          <w:sz w:val="24"/>
          <w:szCs w:val="24"/>
          <w:lang w:val="en-IE"/>
        </w:rPr>
        <w:t>s are suitably</w:t>
      </w:r>
      <w:r w:rsidR="001F1738" w:rsidRPr="00E03D97">
        <w:rPr>
          <w:rFonts w:ascii="Times New Roman" w:eastAsia="Times New Roman" w:hAnsi="Times New Roman" w:cs="Times New Roman"/>
          <w:noProof/>
          <w:sz w:val="24"/>
          <w:szCs w:val="24"/>
          <w:lang w:val="en-IE"/>
        </w:rPr>
        <w:t xml:space="preserve"> prepared to deal with future health crises.</w:t>
      </w:r>
    </w:p>
    <w:p w14:paraId="4CA942F8" w14:textId="0740CD0A"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Training and testing of preparedness capacities</w:t>
      </w:r>
    </w:p>
    <w:p w14:paraId="2814D6B6"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rFonts w:ascii="Times New Roman" w:eastAsia="Times New Roman" w:hAnsi="Times New Roman" w:cs="Times New Roman"/>
          <w:b/>
          <w:bCs/>
          <w:noProof/>
          <w:sz w:val="24"/>
          <w:szCs w:val="24"/>
        </w:rPr>
      </w:pPr>
      <w:r w:rsidRPr="00003506">
        <w:rPr>
          <w:rFonts w:ascii="Times New Roman" w:eastAsia="Times New Roman" w:hAnsi="Times New Roman" w:cs="Times New Roman"/>
          <w:b/>
          <w:bCs/>
          <w:noProof/>
          <w:sz w:val="24"/>
          <w:szCs w:val="24"/>
        </w:rPr>
        <w:t>Training and capacity building</w:t>
      </w:r>
    </w:p>
    <w:p w14:paraId="427DCCDF"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003506">
        <w:rPr>
          <w:rFonts w:ascii="Times New Roman" w:eastAsia="Times New Roman" w:hAnsi="Times New Roman" w:cs="Times New Roman"/>
          <w:noProof/>
          <w:sz w:val="24"/>
          <w:szCs w:val="24"/>
          <w:lang w:val="en-IE"/>
        </w:rPr>
        <w:t>The EU PREPAREDNESS project, which is funded by the EU4Health programme, is intended to develop and deliver a training programme in 30 countries. It will help strengthen crisis preparedness and surveillance capacities and facilitate cross-country collaboration between experts in public health and other sectors.</w:t>
      </w:r>
    </w:p>
    <w:p w14:paraId="6F296F29"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003506">
        <w:rPr>
          <w:rFonts w:ascii="Times New Roman" w:eastAsia="Times New Roman" w:hAnsi="Times New Roman" w:cs="Times New Roman"/>
          <w:noProof/>
          <w:sz w:val="24"/>
          <w:szCs w:val="24"/>
          <w:lang w:val="en-IE"/>
        </w:rPr>
        <w:t xml:space="preserve">Moreover, under the UCPM, a number of medical field exercises have been organised to test the coordination and inter-operability of Emergency Medical Teams. </w:t>
      </w:r>
    </w:p>
    <w:p w14:paraId="239A642B"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003506">
        <w:rPr>
          <w:rFonts w:ascii="Times New Roman" w:eastAsia="Times New Roman" w:hAnsi="Times New Roman" w:cs="Times New Roman"/>
          <w:noProof/>
          <w:sz w:val="24"/>
          <w:szCs w:val="24"/>
          <w:lang w:val="en-IE"/>
        </w:rPr>
        <w:t>A training programme on management of medical countermeasures needed for preparedness for and response to serious cross-border health threats is also being developed. Initial training activities are focusing on stockpiling, procurement and supply-chain constraints and will be complemented with simulation exercises to test and improve coordination and response frameworks.</w:t>
      </w:r>
    </w:p>
    <w:p w14:paraId="147AF59E" w14:textId="32E0F2F7"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Training and capacity</w:t>
      </w:r>
      <w:r w:rsidR="0078272D">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building in the Member States are aspects of preparedness where the </w:t>
      </w:r>
      <w:r w:rsidR="00346B4D">
        <w:rPr>
          <w:rFonts w:ascii="Times New Roman" w:eastAsia="Times New Roman" w:hAnsi="Times New Roman" w:cs="Times New Roman"/>
          <w:noProof/>
          <w:sz w:val="24"/>
          <w:szCs w:val="24"/>
          <w:lang w:val="en-IE"/>
        </w:rPr>
        <w:t>EU</w:t>
      </w:r>
      <w:r w:rsidR="00346B4D"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can offer added value. Training activities are organised by the Commission in close cooperation with the relevant </w:t>
      </w:r>
      <w:r w:rsidR="00346B4D">
        <w:rPr>
          <w:rFonts w:ascii="Times New Roman" w:eastAsia="Times New Roman" w:hAnsi="Times New Roman" w:cs="Times New Roman"/>
          <w:noProof/>
          <w:sz w:val="24"/>
          <w:szCs w:val="24"/>
          <w:lang w:val="en-IE"/>
        </w:rPr>
        <w:t>EU</w:t>
      </w:r>
      <w:r w:rsidR="00346B4D"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agencies and bodies, as well as professional </w:t>
      </w:r>
      <w:r w:rsidR="00346B4D">
        <w:rPr>
          <w:rFonts w:ascii="Times New Roman" w:eastAsia="Times New Roman" w:hAnsi="Times New Roman" w:cs="Times New Roman"/>
          <w:noProof/>
          <w:sz w:val="24"/>
          <w:szCs w:val="24"/>
          <w:lang w:val="en-IE"/>
        </w:rPr>
        <w:t>and</w:t>
      </w:r>
      <w:r w:rsidRPr="00E03D97">
        <w:rPr>
          <w:rFonts w:ascii="Times New Roman" w:eastAsia="Times New Roman" w:hAnsi="Times New Roman" w:cs="Times New Roman"/>
          <w:noProof/>
          <w:sz w:val="24"/>
          <w:szCs w:val="24"/>
          <w:lang w:val="en-IE"/>
        </w:rPr>
        <w:t xml:space="preserve"> patient organisations. These activities provide healthcare and public health staff with the knowledge and skills necessary to develop and implement the national </w:t>
      </w:r>
      <w:r w:rsidR="00EF0085">
        <w:rPr>
          <w:rFonts w:ascii="Times New Roman" w:eastAsia="Times New Roman" w:hAnsi="Times New Roman" w:cs="Times New Roman"/>
          <w:noProof/>
          <w:sz w:val="24"/>
          <w:szCs w:val="24"/>
          <w:lang w:val="en-IE"/>
        </w:rPr>
        <w:t>p</w:t>
      </w:r>
      <w:r w:rsidRPr="00E03D97">
        <w:rPr>
          <w:rFonts w:ascii="Times New Roman" w:eastAsia="Times New Roman" w:hAnsi="Times New Roman" w:cs="Times New Roman"/>
          <w:noProof/>
          <w:sz w:val="24"/>
          <w:szCs w:val="24"/>
          <w:lang w:val="en-IE"/>
        </w:rPr>
        <w:t xml:space="preserve">revention, </w:t>
      </w:r>
      <w:r w:rsidR="00EF0085">
        <w:rPr>
          <w:rFonts w:ascii="Times New Roman" w:eastAsia="Times New Roman" w:hAnsi="Times New Roman" w:cs="Times New Roman"/>
          <w:noProof/>
          <w:sz w:val="24"/>
          <w:szCs w:val="24"/>
          <w:lang w:val="en-IE"/>
        </w:rPr>
        <w:t>p</w:t>
      </w:r>
      <w:r w:rsidRPr="00E03D97">
        <w:rPr>
          <w:rFonts w:ascii="Times New Roman" w:eastAsia="Times New Roman" w:hAnsi="Times New Roman" w:cs="Times New Roman"/>
          <w:noProof/>
          <w:sz w:val="24"/>
          <w:szCs w:val="24"/>
          <w:lang w:val="en-IE"/>
        </w:rPr>
        <w:t xml:space="preserve">reparedness and </w:t>
      </w:r>
      <w:r w:rsidR="00EF0085">
        <w:rPr>
          <w:rFonts w:ascii="Times New Roman" w:eastAsia="Times New Roman" w:hAnsi="Times New Roman" w:cs="Times New Roman"/>
          <w:noProof/>
          <w:sz w:val="24"/>
          <w:szCs w:val="24"/>
          <w:lang w:val="en-IE"/>
        </w:rPr>
        <w:t>r</w:t>
      </w:r>
      <w:r w:rsidRPr="00E03D97">
        <w:rPr>
          <w:rFonts w:ascii="Times New Roman" w:eastAsia="Times New Roman" w:hAnsi="Times New Roman" w:cs="Times New Roman"/>
          <w:noProof/>
          <w:sz w:val="24"/>
          <w:szCs w:val="24"/>
          <w:lang w:val="en-IE"/>
        </w:rPr>
        <w:t xml:space="preserve">esponse plans. </w:t>
      </w:r>
    </w:p>
    <w:p w14:paraId="4C2D79DA" w14:textId="3C5214C3" w:rsidR="001F1738"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In addition, resilience</w:t>
      </w:r>
      <w:r w:rsidR="000F7AAC">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testing of health systems against specific shock scenarios (e.g. pandemics, heat waves</w:t>
      </w:r>
      <w:r w:rsidR="00346B4D">
        <w:rPr>
          <w:rFonts w:ascii="Times New Roman" w:eastAsia="Times New Roman" w:hAnsi="Times New Roman" w:cs="Times New Roman"/>
          <w:noProof/>
          <w:sz w:val="24"/>
          <w:szCs w:val="24"/>
          <w:lang w:val="en-IE"/>
        </w:rPr>
        <w:t xml:space="preserve"> and</w:t>
      </w:r>
      <w:r w:rsidRPr="00E03D97">
        <w:rPr>
          <w:rFonts w:ascii="Times New Roman" w:eastAsia="Times New Roman" w:hAnsi="Times New Roman" w:cs="Times New Roman"/>
          <w:noProof/>
          <w:sz w:val="24"/>
          <w:szCs w:val="24"/>
          <w:lang w:val="en-IE"/>
        </w:rPr>
        <w:t xml:space="preserve"> shortage of health workers) can improve crisis preparedness. A project, co-led by the </w:t>
      </w:r>
      <w:r w:rsidRPr="00E03D97">
        <w:rPr>
          <w:rFonts w:ascii="Times New Roman" w:eastAsiaTheme="minorEastAsia" w:hAnsi="Times New Roman" w:cs="Times New Roman"/>
          <w:noProof/>
          <w:sz w:val="24"/>
          <w:szCs w:val="24"/>
          <w:shd w:val="clear" w:color="auto" w:fill="FFFFFF"/>
          <w:lang w:val="en-IE"/>
        </w:rPr>
        <w:t>Organisation for Economic Co-operation and Development</w:t>
      </w:r>
      <w:r w:rsidRPr="00E03D97">
        <w:rPr>
          <w:rFonts w:ascii="Times New Roman" w:eastAsia="Times New Roman" w:hAnsi="Times New Roman" w:cs="Times New Roman"/>
          <w:noProof/>
          <w:sz w:val="24"/>
          <w:szCs w:val="24"/>
          <w:lang w:val="en-IE"/>
        </w:rPr>
        <w:t xml:space="preserve"> (OECD) and the European Observatory on Health Systems and Policies</w:t>
      </w:r>
      <w:r w:rsidR="00B720F5">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and supported by the EU4Health programme, </w:t>
      </w:r>
      <w:r w:rsidR="00B86E43">
        <w:rPr>
          <w:rFonts w:ascii="Times New Roman" w:eastAsia="Times New Roman" w:hAnsi="Times New Roman" w:cs="Times New Roman"/>
          <w:noProof/>
          <w:sz w:val="24"/>
          <w:szCs w:val="24"/>
          <w:lang w:val="en-IE"/>
        </w:rPr>
        <w:t>is</w:t>
      </w:r>
      <w:r w:rsidRPr="00E03D97">
        <w:rPr>
          <w:rFonts w:ascii="Times New Roman" w:eastAsia="Times New Roman" w:hAnsi="Times New Roman" w:cs="Times New Roman"/>
          <w:noProof/>
          <w:sz w:val="24"/>
          <w:szCs w:val="24"/>
          <w:lang w:val="en-IE"/>
        </w:rPr>
        <w:t xml:space="preserve"> develop</w:t>
      </w:r>
      <w:r w:rsidR="00B86E43">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a resilience</w:t>
      </w:r>
      <w:r w:rsidR="00B720F5">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testing methodology for health systems. The methodology will enable Member States to regularly review health crisis preparedness and test their health systems’ resilience against specific high-pressure scenarios and long-term structural challenges.</w:t>
      </w:r>
    </w:p>
    <w:p w14:paraId="07A876AB" w14:textId="088B010C"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b/>
          <w:bCs/>
          <w:noProof/>
          <w:sz w:val="24"/>
          <w:szCs w:val="24"/>
          <w:lang w:val="en-IE"/>
        </w:rPr>
      </w:pPr>
      <w:bookmarkStart w:id="4" w:name="_Hlk150863393"/>
      <w:r w:rsidRPr="00E03D97">
        <w:rPr>
          <w:rFonts w:ascii="Times New Roman" w:eastAsia="Times New Roman" w:hAnsi="Times New Roman" w:cs="Times New Roman"/>
          <w:b/>
          <w:bCs/>
          <w:noProof/>
          <w:sz w:val="24"/>
          <w:szCs w:val="24"/>
          <w:lang w:val="en-IE"/>
        </w:rPr>
        <w:t>Preparedness in medical countermeasures</w:t>
      </w:r>
    </w:p>
    <w:p w14:paraId="4609C750" w14:textId="58C0C1A6" w:rsidR="00854E12" w:rsidRDefault="00854E12" w:rsidP="003836E7">
      <w:pPr>
        <w:spacing w:before="100" w:beforeAutospacing="1" w:after="100" w:afterAutospacing="1" w:line="240" w:lineRule="auto"/>
        <w:jc w:val="both"/>
        <w:rPr>
          <w:rFonts w:ascii="Times New Roman" w:hAnsi="Times New Roman" w:cs="Times New Roman"/>
          <w:noProof/>
          <w:sz w:val="24"/>
          <w:szCs w:val="24"/>
        </w:rPr>
      </w:pPr>
      <w:r w:rsidRPr="00480193">
        <w:rPr>
          <w:rFonts w:ascii="Times New Roman" w:hAnsi="Times New Roman" w:cs="Times New Roman"/>
          <w:noProof/>
          <w:sz w:val="24"/>
          <w:szCs w:val="24"/>
        </w:rPr>
        <w:t xml:space="preserve">Preparedness </w:t>
      </w:r>
      <w:r w:rsidR="00480193">
        <w:rPr>
          <w:rFonts w:ascii="Times New Roman" w:hAnsi="Times New Roman" w:cs="Times New Roman"/>
          <w:noProof/>
          <w:sz w:val="24"/>
          <w:szCs w:val="24"/>
        </w:rPr>
        <w:t xml:space="preserve">in medical countermeasures </w:t>
      </w:r>
      <w:r w:rsidRPr="00480193">
        <w:rPr>
          <w:rFonts w:ascii="Times New Roman" w:hAnsi="Times New Roman" w:cs="Times New Roman"/>
          <w:noProof/>
          <w:sz w:val="24"/>
          <w:szCs w:val="24"/>
        </w:rPr>
        <w:t xml:space="preserve">entails </w:t>
      </w:r>
      <w:r w:rsidRPr="00BC2F11">
        <w:rPr>
          <w:rFonts w:ascii="Times New Roman" w:hAnsi="Times New Roman" w:cs="Times New Roman"/>
          <w:noProof/>
          <w:sz w:val="24"/>
          <w:szCs w:val="24"/>
        </w:rPr>
        <w:t>strategic coordination for the</w:t>
      </w:r>
      <w:r w:rsidR="00480193">
        <w:rPr>
          <w:rFonts w:ascii="Times New Roman" w:hAnsi="Times New Roman" w:cs="Times New Roman"/>
          <w:noProof/>
          <w:sz w:val="24"/>
          <w:szCs w:val="24"/>
        </w:rPr>
        <w:t>ir</w:t>
      </w:r>
      <w:r w:rsidRPr="00BC2F11">
        <w:rPr>
          <w:rFonts w:ascii="Times New Roman" w:hAnsi="Times New Roman" w:cs="Times New Roman"/>
          <w:noProof/>
          <w:sz w:val="24"/>
          <w:szCs w:val="24"/>
        </w:rPr>
        <w:t xml:space="preserve"> development. </w:t>
      </w:r>
      <w:r w:rsidR="00480193">
        <w:rPr>
          <w:rFonts w:ascii="Times New Roman" w:hAnsi="Times New Roman" w:cs="Times New Roman"/>
          <w:noProof/>
          <w:sz w:val="24"/>
          <w:szCs w:val="24"/>
        </w:rPr>
        <w:t>I</w:t>
      </w:r>
      <w:r w:rsidRPr="00BC2F11">
        <w:rPr>
          <w:rFonts w:ascii="Times New Roman" w:hAnsi="Times New Roman" w:cs="Times New Roman"/>
          <w:noProof/>
          <w:sz w:val="24"/>
          <w:szCs w:val="24"/>
        </w:rPr>
        <w:t>n July 2022, the Commission concluded the first prioritisation exercise to identify the top three health threats for which medical countermeasures should be available in case of need, and that require coordination of measures at EU level: (1) pathogens with high pandemic potential; (2) chemical, biological, radiological, and nuclear threats; and (3) threats resulting from antimicrobial resistance</w:t>
      </w:r>
      <w:r w:rsidRPr="00E03D97">
        <w:rPr>
          <w:rFonts w:ascii="Times New Roman" w:eastAsia="Times New Roman" w:hAnsi="Times New Roman" w:cs="Times New Roman"/>
          <w:noProof/>
          <w:sz w:val="24"/>
          <w:szCs w:val="24"/>
          <w:vertAlign w:val="superscript"/>
          <w:lang w:val="en-IE"/>
        </w:rPr>
        <w:footnoteReference w:id="66"/>
      </w:r>
      <w:r>
        <w:rPr>
          <w:rFonts w:ascii="Times New Roman" w:eastAsia="Times New Roman" w:hAnsi="Times New Roman" w:cs="Times New Roman"/>
          <w:noProof/>
          <w:sz w:val="24"/>
          <w:szCs w:val="24"/>
          <w:lang w:val="en-IE"/>
        </w:rPr>
        <w:t>.</w:t>
      </w:r>
      <w:r w:rsidRPr="00BC2F11">
        <w:rPr>
          <w:rFonts w:ascii="Times New Roman" w:hAnsi="Times New Roman" w:cs="Times New Roman"/>
          <w:noProof/>
          <w:sz w:val="24"/>
          <w:szCs w:val="24"/>
        </w:rPr>
        <w:t xml:space="preserve"> </w:t>
      </w:r>
      <w:r w:rsidRPr="003C61EE">
        <w:rPr>
          <w:rFonts w:ascii="Times New Roman" w:hAnsi="Times New Roman" w:cs="Times New Roman"/>
          <w:noProof/>
          <w:sz w:val="24"/>
          <w:szCs w:val="24"/>
        </w:rPr>
        <w:t xml:space="preserve">The Commission’s HERA has been tasked </w:t>
      </w:r>
      <w:r w:rsidR="00A02657" w:rsidRPr="003C61EE">
        <w:rPr>
          <w:rFonts w:ascii="Times New Roman" w:hAnsi="Times New Roman" w:cs="Times New Roman"/>
          <w:noProof/>
          <w:sz w:val="24"/>
          <w:szCs w:val="24"/>
        </w:rPr>
        <w:t xml:space="preserve">to contribute to </w:t>
      </w:r>
      <w:r w:rsidRPr="003C61EE">
        <w:rPr>
          <w:rFonts w:ascii="Times New Roman" w:hAnsi="Times New Roman" w:cs="Times New Roman"/>
          <w:noProof/>
          <w:sz w:val="24"/>
          <w:szCs w:val="24"/>
        </w:rPr>
        <w:t xml:space="preserve">the development, production and distribution of medical countermeasures in case of emergency. </w:t>
      </w:r>
      <w:r w:rsidR="00A02657" w:rsidRPr="003C61EE">
        <w:rPr>
          <w:rFonts w:ascii="Times New Roman" w:hAnsi="Times New Roman" w:cs="Times New Roman"/>
          <w:noProof/>
          <w:sz w:val="24"/>
          <w:szCs w:val="24"/>
        </w:rPr>
        <w:t>E</w:t>
      </w:r>
      <w:r w:rsidRPr="003C61EE">
        <w:rPr>
          <w:rFonts w:ascii="Times New Roman" w:hAnsi="Times New Roman" w:cs="Times New Roman"/>
          <w:noProof/>
          <w:sz w:val="24"/>
          <w:szCs w:val="24"/>
        </w:rPr>
        <w:t>nsuring efficient procurement and stockpiling of medical countermeasures remain key elements of a good preparedness strategy.</w:t>
      </w:r>
      <w:r>
        <w:rPr>
          <w:rFonts w:ascii="Times New Roman" w:hAnsi="Times New Roman" w:cs="Times New Roman"/>
          <w:noProof/>
          <w:sz w:val="24"/>
          <w:szCs w:val="24"/>
        </w:rPr>
        <w:t xml:space="preserve"> </w:t>
      </w:r>
    </w:p>
    <w:bookmarkEnd w:id="4"/>
    <w:p w14:paraId="07A423B4" w14:textId="2D06F039" w:rsidR="007D720E"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rPr>
      </w:pPr>
      <w:r w:rsidRPr="00E03D97">
        <w:rPr>
          <w:rFonts w:ascii="Times New Roman" w:eastAsia="Times New Roman" w:hAnsi="Times New Roman" w:cs="Times New Roman"/>
          <w:noProof/>
          <w:sz w:val="24"/>
          <w:szCs w:val="24"/>
          <w:lang w:val="en-IE"/>
        </w:rPr>
        <w:t>The Joint Procurement Agreement for Medical Countermeasures (JPA),</w:t>
      </w:r>
      <w:r w:rsidR="00B720F5">
        <w:rPr>
          <w:rFonts w:ascii="Times New Roman" w:eastAsia="Times New Roman" w:hAnsi="Times New Roman" w:cs="Times New Roman"/>
          <w:noProof/>
          <w:sz w:val="24"/>
          <w:szCs w:val="24"/>
          <w:lang w:val="en-IE"/>
        </w:rPr>
        <w:t xml:space="preserve"> which was</w:t>
      </w:r>
      <w:r w:rsidRPr="00E03D97">
        <w:rPr>
          <w:rFonts w:ascii="Times New Roman" w:eastAsia="Times New Roman" w:hAnsi="Times New Roman" w:cs="Times New Roman"/>
          <w:noProof/>
          <w:sz w:val="24"/>
          <w:szCs w:val="24"/>
          <w:lang w:val="en-IE"/>
        </w:rPr>
        <w:t xml:space="preserve"> </w:t>
      </w:r>
      <w:r w:rsidR="00BA5B1A">
        <w:rPr>
          <w:rFonts w:ascii="Times New Roman" w:eastAsia="Times New Roman" w:hAnsi="Times New Roman" w:cs="Times New Roman"/>
          <w:noProof/>
          <w:sz w:val="24"/>
          <w:szCs w:val="24"/>
          <w:lang w:val="en-IE"/>
        </w:rPr>
        <w:t>concluded</w:t>
      </w:r>
      <w:r w:rsidRPr="00E03D97">
        <w:rPr>
          <w:rFonts w:ascii="Times New Roman" w:eastAsia="Times New Roman" w:hAnsi="Times New Roman" w:cs="Times New Roman"/>
          <w:noProof/>
          <w:sz w:val="24"/>
          <w:szCs w:val="24"/>
          <w:lang w:val="en-IE"/>
        </w:rPr>
        <w:t xml:space="preserve"> in 2014 as a response to the A/H1N1 influenza pandemic, has </w:t>
      </w:r>
      <w:r w:rsidR="00B720F5">
        <w:rPr>
          <w:rFonts w:ascii="Times New Roman" w:eastAsia="Times New Roman" w:hAnsi="Times New Roman" w:cs="Times New Roman"/>
          <w:noProof/>
          <w:sz w:val="24"/>
          <w:szCs w:val="24"/>
          <w:lang w:val="en-IE"/>
        </w:rPr>
        <w:t xml:space="preserve">played an essential role </w:t>
      </w:r>
      <w:r w:rsidRPr="00E03D97">
        <w:rPr>
          <w:rFonts w:ascii="Times New Roman" w:eastAsia="Times New Roman" w:hAnsi="Times New Roman" w:cs="Times New Roman"/>
          <w:noProof/>
          <w:sz w:val="24"/>
          <w:szCs w:val="24"/>
          <w:lang w:val="en-IE"/>
        </w:rPr>
        <w:t>in helping Member States to obtain critical medical products and supplies during the COVID-19 pandemic (therapeutics against COVID-19, personal protective equipment, ventilators, vaccination supplies, testing devices, etc.) through more than 200 contracts with a total value exceeding EUR</w:t>
      </w:r>
      <w:r w:rsidR="008728DA">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12</w:t>
      </w:r>
      <w:r w:rsidR="008728DA">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billion</w:t>
      </w:r>
      <w:r w:rsidRPr="00E03D97">
        <w:rPr>
          <w:rFonts w:ascii="Times New Roman" w:eastAsia="Times New Roman" w:hAnsi="Times New Roman" w:cs="Times New Roman"/>
          <w:noProof/>
          <w:sz w:val="24"/>
          <w:szCs w:val="24"/>
          <w:vertAlign w:val="superscript"/>
          <w:lang w:val="en-IE"/>
        </w:rPr>
        <w:footnoteReference w:id="67"/>
      </w:r>
      <w:r w:rsidRPr="00E03D97">
        <w:rPr>
          <w:rFonts w:ascii="Times New Roman" w:eastAsia="Times New Roman" w:hAnsi="Times New Roman" w:cs="Times New Roman"/>
          <w:noProof/>
          <w:sz w:val="24"/>
          <w:szCs w:val="24"/>
          <w:lang w:val="en-IE"/>
        </w:rPr>
        <w:t xml:space="preserve">. The Commission, Member States and other </w:t>
      </w:r>
      <w:r w:rsidR="008728DA">
        <w:rPr>
          <w:rFonts w:ascii="Times New Roman" w:eastAsia="Times New Roman" w:hAnsi="Times New Roman" w:cs="Times New Roman"/>
          <w:noProof/>
          <w:sz w:val="24"/>
          <w:szCs w:val="24"/>
          <w:lang w:val="en-IE"/>
        </w:rPr>
        <w:t xml:space="preserve">JPA </w:t>
      </w:r>
      <w:r w:rsidRPr="00E03D97">
        <w:rPr>
          <w:rFonts w:ascii="Times New Roman" w:eastAsia="Times New Roman" w:hAnsi="Times New Roman" w:cs="Times New Roman"/>
          <w:noProof/>
          <w:sz w:val="24"/>
          <w:szCs w:val="24"/>
          <w:lang w:val="en-IE"/>
        </w:rPr>
        <w:t xml:space="preserve">signatory countries are now building on this experience of cooperation </w:t>
      </w:r>
      <w:r w:rsidR="007A1DAD">
        <w:rPr>
          <w:rFonts w:ascii="Times New Roman" w:eastAsia="Times New Roman" w:hAnsi="Times New Roman" w:cs="Times New Roman"/>
          <w:noProof/>
          <w:sz w:val="24"/>
          <w:szCs w:val="24"/>
          <w:lang w:val="en-IE"/>
        </w:rPr>
        <w:t xml:space="preserve">during an emergency </w:t>
      </w:r>
      <w:r w:rsidR="00182221">
        <w:rPr>
          <w:rFonts w:ascii="Times New Roman" w:eastAsia="Times New Roman" w:hAnsi="Times New Roman" w:cs="Times New Roman"/>
          <w:noProof/>
          <w:sz w:val="24"/>
          <w:szCs w:val="24"/>
          <w:lang w:val="en-IE"/>
        </w:rPr>
        <w:t>in order to</w:t>
      </w:r>
      <w:r w:rsidR="00182221"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enhance</w:t>
      </w:r>
      <w:r w:rsidR="00182221">
        <w:rPr>
          <w:rFonts w:ascii="Times New Roman" w:eastAsia="Times New Roman" w:hAnsi="Times New Roman" w:cs="Times New Roman"/>
          <w:noProof/>
          <w:sz w:val="24"/>
          <w:szCs w:val="24"/>
          <w:lang w:val="en-IE"/>
        </w:rPr>
        <w:t xml:space="preserve"> the</w:t>
      </w:r>
      <w:r w:rsidRPr="00E03D97">
        <w:rPr>
          <w:rFonts w:ascii="Times New Roman" w:eastAsia="Times New Roman" w:hAnsi="Times New Roman" w:cs="Times New Roman"/>
          <w:noProof/>
          <w:sz w:val="24"/>
          <w:szCs w:val="24"/>
          <w:lang w:val="en-IE"/>
        </w:rPr>
        <w:t xml:space="preserve"> use of the JPA for preparedness</w:t>
      </w:r>
      <w:r w:rsidR="00FD68BD">
        <w:rPr>
          <w:rFonts w:ascii="Times New Roman" w:eastAsia="Times New Roman" w:hAnsi="Times New Roman" w:cs="Times New Roman"/>
          <w:noProof/>
          <w:sz w:val="24"/>
          <w:szCs w:val="24"/>
          <w:lang w:val="en-IE"/>
        </w:rPr>
        <w:t xml:space="preserve"> and response</w:t>
      </w:r>
      <w:r w:rsidRPr="00E03D97">
        <w:rPr>
          <w:rFonts w:ascii="Times New Roman" w:eastAsia="Times New Roman" w:hAnsi="Times New Roman" w:cs="Times New Roman"/>
          <w:noProof/>
          <w:sz w:val="24"/>
          <w:szCs w:val="24"/>
          <w:lang w:val="en-IE"/>
        </w:rPr>
        <w:t xml:space="preserve">. </w:t>
      </w:r>
      <w:r w:rsidR="006A69BA">
        <w:rPr>
          <w:rFonts w:ascii="Times New Roman" w:eastAsia="Times New Roman" w:hAnsi="Times New Roman" w:cs="Times New Roman"/>
          <w:noProof/>
          <w:sz w:val="24"/>
          <w:szCs w:val="24"/>
        </w:rPr>
        <w:t>A</w:t>
      </w:r>
      <w:r w:rsidR="007D720E" w:rsidRPr="007D720E">
        <w:rPr>
          <w:rFonts w:ascii="Times New Roman" w:eastAsia="Times New Roman" w:hAnsi="Times New Roman" w:cs="Times New Roman"/>
          <w:noProof/>
          <w:sz w:val="24"/>
          <w:szCs w:val="24"/>
        </w:rPr>
        <w:t xml:space="preserve">s announced in the </w:t>
      </w:r>
      <w:r w:rsidR="006A69BA">
        <w:rPr>
          <w:rFonts w:ascii="Times New Roman" w:eastAsia="Times New Roman" w:hAnsi="Times New Roman" w:cs="Times New Roman"/>
          <w:noProof/>
          <w:sz w:val="24"/>
          <w:szCs w:val="24"/>
        </w:rPr>
        <w:t>C</w:t>
      </w:r>
      <w:r w:rsidR="007D720E" w:rsidRPr="007D720E">
        <w:rPr>
          <w:rFonts w:ascii="Times New Roman" w:eastAsia="Times New Roman" w:hAnsi="Times New Roman" w:cs="Times New Roman"/>
          <w:noProof/>
          <w:sz w:val="24"/>
          <w:szCs w:val="24"/>
        </w:rPr>
        <w:t xml:space="preserve">ommunication on addressing medicines shortages in the </w:t>
      </w:r>
      <w:r w:rsidR="007D720E" w:rsidRPr="009F619B">
        <w:rPr>
          <w:rFonts w:ascii="Times New Roman" w:eastAsia="Times New Roman" w:hAnsi="Times New Roman" w:cs="Times New Roman"/>
          <w:noProof/>
          <w:sz w:val="24"/>
          <w:szCs w:val="24"/>
        </w:rPr>
        <w:t>EU,</w:t>
      </w:r>
      <w:r w:rsidR="009F619B">
        <w:rPr>
          <w:rFonts w:ascii="Times New Roman" w:eastAsia="Times New Roman" w:hAnsi="Times New Roman" w:cs="Times New Roman"/>
          <w:noProof/>
          <w:sz w:val="24"/>
          <w:szCs w:val="24"/>
        </w:rPr>
        <w:t xml:space="preserve"> </w:t>
      </w:r>
      <w:r w:rsidR="007D720E" w:rsidRPr="007D720E">
        <w:rPr>
          <w:rFonts w:ascii="Times New Roman" w:eastAsia="Times New Roman" w:hAnsi="Times New Roman" w:cs="Times New Roman"/>
          <w:noProof/>
          <w:sz w:val="24"/>
          <w:szCs w:val="24"/>
        </w:rPr>
        <w:t xml:space="preserve">the Commission will </w:t>
      </w:r>
      <w:r w:rsidR="006A69BA">
        <w:rPr>
          <w:rFonts w:ascii="Times New Roman" w:eastAsia="Times New Roman" w:hAnsi="Times New Roman" w:cs="Times New Roman"/>
          <w:noProof/>
          <w:sz w:val="24"/>
          <w:szCs w:val="24"/>
        </w:rPr>
        <w:t xml:space="preserve">also </w:t>
      </w:r>
      <w:r w:rsidR="007D720E" w:rsidRPr="007D720E">
        <w:rPr>
          <w:rFonts w:ascii="Times New Roman" w:eastAsia="Times New Roman" w:hAnsi="Times New Roman" w:cs="Times New Roman"/>
          <w:noProof/>
          <w:sz w:val="24"/>
          <w:szCs w:val="24"/>
        </w:rPr>
        <w:t xml:space="preserve">look at using joint procurement for antibiotics and treatments for respiratory viruses ahead of winter 2024/2025.  </w:t>
      </w:r>
    </w:p>
    <w:p w14:paraId="56E801D1"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rFonts w:ascii="Times New Roman" w:eastAsia="Times New Roman" w:hAnsi="Times New Roman" w:cs="Times New Roman"/>
          <w:b/>
          <w:bCs/>
          <w:noProof/>
          <w:sz w:val="24"/>
          <w:szCs w:val="24"/>
          <w:lang w:val="en-IE"/>
        </w:rPr>
      </w:pPr>
      <w:r w:rsidRPr="00003506">
        <w:rPr>
          <w:rFonts w:ascii="Times New Roman" w:eastAsia="Times New Roman" w:hAnsi="Times New Roman" w:cs="Times New Roman"/>
          <w:b/>
          <w:bCs/>
          <w:noProof/>
          <w:sz w:val="24"/>
          <w:szCs w:val="24"/>
          <w:lang w:val="en-IE"/>
        </w:rPr>
        <w:t>Joint procurement for influenza vaccines</w:t>
      </w:r>
    </w:p>
    <w:p w14:paraId="1D9A9C2C"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rPr>
      </w:pPr>
      <w:r w:rsidRPr="00003506">
        <w:rPr>
          <w:rFonts w:ascii="Times New Roman" w:eastAsia="Times New Roman" w:hAnsi="Times New Roman" w:cs="Times New Roman"/>
          <w:noProof/>
          <w:sz w:val="24"/>
          <w:szCs w:val="24"/>
        </w:rPr>
        <w:t xml:space="preserve">15 JPA signatory countries are taking part in the joint procurement of highly pathogenic influenza vaccines. The purpose is to vaccinate vulnerable target groups, such as farm workers, in order to help prevent the transfer of the virus from birds and animals to humans, and, thereby, a potential avian influenza outbreak. </w:t>
      </w:r>
    </w:p>
    <w:p w14:paraId="4F661761"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003506">
        <w:rPr>
          <w:rFonts w:ascii="Times New Roman" w:eastAsia="Times New Roman" w:hAnsi="Times New Roman" w:cs="Times New Roman"/>
          <w:noProof/>
          <w:sz w:val="24"/>
          <w:szCs w:val="24"/>
        </w:rPr>
        <w:t xml:space="preserve">The JPA also remains an important instrument for jointly reserving and securing the pandemic influenza preparedness vaccines. There are currently two standing contracts under the JPA for such vaccines. The Commission will by the end of 2024 consult the Member States and other JPA signatory countries on their willingness to renew such contracts within the framework of the JPA. </w:t>
      </w:r>
    </w:p>
    <w:p w14:paraId="64DD22C2" w14:textId="04EDACB3"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The JPA can be used flexibly </w:t>
      </w:r>
      <w:r w:rsidR="007D720E" w:rsidRPr="007D720E">
        <w:rPr>
          <w:rFonts w:ascii="Times New Roman" w:eastAsia="Times New Roman" w:hAnsi="Times New Roman" w:cs="Times New Roman"/>
          <w:noProof/>
          <w:sz w:val="24"/>
          <w:szCs w:val="24"/>
        </w:rPr>
        <w:t xml:space="preserve">and thereby, play an important role in health crisis preparedness by facilitating access for </w:t>
      </w:r>
      <w:r w:rsidR="007D720E" w:rsidRPr="003836E7">
        <w:rPr>
          <w:rFonts w:ascii="Times New Roman" w:eastAsia="Times New Roman" w:hAnsi="Times New Roman" w:cs="Times New Roman"/>
          <w:noProof/>
          <w:sz w:val="24"/>
          <w:szCs w:val="24"/>
        </w:rPr>
        <w:t xml:space="preserve">the </w:t>
      </w:r>
      <w:r w:rsidR="00A02657" w:rsidRPr="003836E7">
        <w:rPr>
          <w:rFonts w:ascii="Times New Roman" w:eastAsia="Times New Roman" w:hAnsi="Times New Roman" w:cs="Times New Roman"/>
          <w:noProof/>
          <w:sz w:val="24"/>
          <w:szCs w:val="24"/>
        </w:rPr>
        <w:t xml:space="preserve">Commission and the </w:t>
      </w:r>
      <w:r w:rsidR="007D720E" w:rsidRPr="003836E7">
        <w:rPr>
          <w:rFonts w:ascii="Times New Roman" w:eastAsia="Times New Roman" w:hAnsi="Times New Roman" w:cs="Times New Roman"/>
          <w:noProof/>
          <w:sz w:val="24"/>
          <w:szCs w:val="24"/>
        </w:rPr>
        <w:t>Member States to preparedness-relevant medical</w:t>
      </w:r>
      <w:r w:rsidR="007D720E" w:rsidRPr="007D720E">
        <w:rPr>
          <w:rFonts w:ascii="Times New Roman" w:eastAsia="Times New Roman" w:hAnsi="Times New Roman" w:cs="Times New Roman"/>
          <w:noProof/>
          <w:sz w:val="24"/>
          <w:szCs w:val="24"/>
        </w:rPr>
        <w:t xml:space="preserve"> countermeasures, including novel or rare medical countermeasures</w:t>
      </w:r>
      <w:r w:rsidRPr="00E03D97">
        <w:rPr>
          <w:rFonts w:ascii="Times New Roman" w:eastAsia="Times New Roman" w:hAnsi="Times New Roman" w:cs="Times New Roman"/>
          <w:noProof/>
          <w:sz w:val="24"/>
          <w:szCs w:val="24"/>
          <w:lang w:val="en-IE"/>
        </w:rPr>
        <w:t xml:space="preserve">. </w:t>
      </w:r>
    </w:p>
    <w:p w14:paraId="128B65DD" w14:textId="23CC9F79"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Regulation (EU) 2022/2371 </w:t>
      </w:r>
      <w:r w:rsidR="00D5551D" w:rsidRPr="003836E7">
        <w:rPr>
          <w:rFonts w:ascii="Times New Roman" w:eastAsia="Times New Roman" w:hAnsi="Times New Roman" w:cs="Times New Roman"/>
          <w:noProof/>
          <w:sz w:val="24"/>
          <w:szCs w:val="24"/>
          <w:lang w:val="en-IE"/>
        </w:rPr>
        <w:t xml:space="preserve">introduced </w:t>
      </w:r>
      <w:r w:rsidRPr="00E03D97">
        <w:rPr>
          <w:rFonts w:ascii="Times New Roman" w:eastAsia="Times New Roman" w:hAnsi="Times New Roman" w:cs="Times New Roman"/>
          <w:noProof/>
          <w:sz w:val="24"/>
          <w:szCs w:val="24"/>
          <w:lang w:val="en-IE"/>
        </w:rPr>
        <w:t>a refined framework for joint procurement, including the possibility for the Commission to propose an exclusivity clause for a particular joint procurement</w:t>
      </w:r>
      <w:r w:rsidR="009C4CDE">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i.e. once </w:t>
      </w:r>
      <w:r w:rsidR="003D5717">
        <w:rPr>
          <w:rFonts w:ascii="Times New Roman" w:eastAsia="Times New Roman" w:hAnsi="Times New Roman" w:cs="Times New Roman"/>
          <w:noProof/>
          <w:sz w:val="24"/>
          <w:szCs w:val="24"/>
          <w:lang w:val="en-IE"/>
        </w:rPr>
        <w:t>countr</w:t>
      </w:r>
      <w:r w:rsidR="0074362E">
        <w:rPr>
          <w:rFonts w:ascii="Times New Roman" w:eastAsia="Times New Roman" w:hAnsi="Times New Roman" w:cs="Times New Roman"/>
          <w:noProof/>
          <w:sz w:val="24"/>
          <w:szCs w:val="24"/>
          <w:lang w:val="en-IE"/>
        </w:rPr>
        <w:t>ies</w:t>
      </w:r>
      <w:r w:rsidR="00B51085" w:rsidRPr="00E03D97">
        <w:rPr>
          <w:rFonts w:ascii="Times New Roman" w:eastAsia="Times New Roman" w:hAnsi="Times New Roman" w:cs="Times New Roman"/>
          <w:noProof/>
          <w:sz w:val="24"/>
          <w:szCs w:val="24"/>
          <w:lang w:val="en-IE"/>
        </w:rPr>
        <w:t xml:space="preserve"> </w:t>
      </w:r>
      <w:r w:rsidR="00B51085">
        <w:rPr>
          <w:rFonts w:ascii="Times New Roman" w:eastAsia="Times New Roman" w:hAnsi="Times New Roman" w:cs="Times New Roman"/>
          <w:noProof/>
          <w:sz w:val="24"/>
          <w:szCs w:val="24"/>
          <w:lang w:val="en-IE"/>
        </w:rPr>
        <w:t>ha</w:t>
      </w:r>
      <w:r w:rsidR="0074362E">
        <w:rPr>
          <w:rFonts w:ascii="Times New Roman" w:eastAsia="Times New Roman" w:hAnsi="Times New Roman" w:cs="Times New Roman"/>
          <w:noProof/>
          <w:sz w:val="24"/>
          <w:szCs w:val="24"/>
          <w:lang w:val="en-IE"/>
        </w:rPr>
        <w:t>ve</w:t>
      </w:r>
      <w:r w:rsidR="00B51085">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opted </w:t>
      </w:r>
      <w:r w:rsidR="006A69BA">
        <w:rPr>
          <w:rFonts w:ascii="Times New Roman" w:eastAsia="Times New Roman" w:hAnsi="Times New Roman" w:cs="Times New Roman"/>
          <w:noProof/>
          <w:sz w:val="24"/>
          <w:szCs w:val="24"/>
          <w:lang w:val="en-IE"/>
        </w:rPr>
        <w:t>to</w:t>
      </w:r>
      <w:r w:rsidR="0074362E">
        <w:rPr>
          <w:rFonts w:ascii="Times New Roman" w:eastAsia="Times New Roman" w:hAnsi="Times New Roman" w:cs="Times New Roman"/>
          <w:noProof/>
          <w:sz w:val="24"/>
          <w:szCs w:val="24"/>
          <w:lang w:val="en-IE"/>
        </w:rPr>
        <w:t xml:space="preserve"> participat</w:t>
      </w:r>
      <w:r w:rsidR="006A69BA">
        <w:rPr>
          <w:rFonts w:ascii="Times New Roman" w:eastAsia="Times New Roman" w:hAnsi="Times New Roman" w:cs="Times New Roman"/>
          <w:noProof/>
          <w:sz w:val="24"/>
          <w:szCs w:val="24"/>
          <w:lang w:val="en-IE"/>
        </w:rPr>
        <w:t>e</w:t>
      </w:r>
      <w:r w:rsidR="0074362E">
        <w:rPr>
          <w:rFonts w:ascii="Times New Roman" w:eastAsia="Times New Roman" w:hAnsi="Times New Roman" w:cs="Times New Roman"/>
          <w:noProof/>
          <w:sz w:val="24"/>
          <w:szCs w:val="24"/>
          <w:lang w:val="en-IE"/>
        </w:rPr>
        <w:t xml:space="preserve"> in</w:t>
      </w:r>
      <w:r w:rsidRPr="00E03D97">
        <w:rPr>
          <w:rFonts w:ascii="Times New Roman" w:eastAsia="Times New Roman" w:hAnsi="Times New Roman" w:cs="Times New Roman"/>
          <w:noProof/>
          <w:sz w:val="24"/>
          <w:szCs w:val="24"/>
          <w:lang w:val="en-IE"/>
        </w:rPr>
        <w:t xml:space="preserve"> a</w:t>
      </w:r>
      <w:r w:rsidR="00EF0085">
        <w:rPr>
          <w:rFonts w:ascii="Times New Roman" w:eastAsia="Times New Roman" w:hAnsi="Times New Roman" w:cs="Times New Roman"/>
          <w:noProof/>
          <w:sz w:val="24"/>
          <w:szCs w:val="24"/>
          <w:lang w:val="en-IE"/>
        </w:rPr>
        <w:t>n EU</w:t>
      </w:r>
      <w:r w:rsidRPr="00E03D97">
        <w:rPr>
          <w:rFonts w:ascii="Times New Roman" w:eastAsia="Times New Roman" w:hAnsi="Times New Roman" w:cs="Times New Roman"/>
          <w:noProof/>
          <w:sz w:val="24"/>
          <w:szCs w:val="24"/>
          <w:lang w:val="en-IE"/>
        </w:rPr>
        <w:t xml:space="preserve"> joint procurement, </w:t>
      </w:r>
      <w:r w:rsidR="0074362E">
        <w:rPr>
          <w:rFonts w:ascii="Times New Roman" w:eastAsia="Times New Roman" w:hAnsi="Times New Roman" w:cs="Times New Roman"/>
          <w:noProof/>
          <w:sz w:val="24"/>
          <w:szCs w:val="24"/>
          <w:lang w:val="en-IE"/>
        </w:rPr>
        <w:t>they</w:t>
      </w:r>
      <w:r w:rsidR="003D5717">
        <w:rPr>
          <w:rFonts w:ascii="Times New Roman" w:eastAsia="Times New Roman" w:hAnsi="Times New Roman" w:cs="Times New Roman"/>
          <w:noProof/>
          <w:sz w:val="24"/>
          <w:szCs w:val="24"/>
          <w:lang w:val="en-IE"/>
        </w:rPr>
        <w:t xml:space="preserve"> must refrain</w:t>
      </w:r>
      <w:r w:rsidR="00A57838">
        <w:rPr>
          <w:rFonts w:ascii="Times New Roman" w:eastAsia="Times New Roman" w:hAnsi="Times New Roman" w:cs="Times New Roman"/>
          <w:noProof/>
          <w:sz w:val="24"/>
          <w:szCs w:val="24"/>
          <w:lang w:val="en-IE"/>
        </w:rPr>
        <w:t xml:space="preserve"> </w:t>
      </w:r>
      <w:r w:rsidR="009B415A">
        <w:rPr>
          <w:rFonts w:ascii="Times New Roman" w:eastAsia="Times New Roman" w:hAnsi="Times New Roman" w:cs="Times New Roman"/>
          <w:noProof/>
          <w:sz w:val="24"/>
          <w:szCs w:val="24"/>
          <w:lang w:val="en-IE"/>
        </w:rPr>
        <w:t>from</w:t>
      </w:r>
      <w:r w:rsidRPr="00E03D97">
        <w:rPr>
          <w:rFonts w:ascii="Times New Roman" w:eastAsia="Times New Roman" w:hAnsi="Times New Roman" w:cs="Times New Roman"/>
          <w:noProof/>
          <w:sz w:val="24"/>
          <w:szCs w:val="24"/>
          <w:lang w:val="en-IE"/>
        </w:rPr>
        <w:t xml:space="preserve"> carry</w:t>
      </w:r>
      <w:r w:rsidR="009B415A">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out a parallel </w:t>
      </w:r>
      <w:r w:rsidR="00EF0085">
        <w:rPr>
          <w:rFonts w:ascii="Times New Roman" w:eastAsia="Times New Roman" w:hAnsi="Times New Roman" w:cs="Times New Roman"/>
          <w:noProof/>
          <w:sz w:val="24"/>
          <w:szCs w:val="24"/>
          <w:lang w:val="en-IE"/>
        </w:rPr>
        <w:t xml:space="preserve">national </w:t>
      </w:r>
      <w:r w:rsidRPr="00E03D97">
        <w:rPr>
          <w:rFonts w:ascii="Times New Roman" w:eastAsia="Times New Roman" w:hAnsi="Times New Roman" w:cs="Times New Roman"/>
          <w:noProof/>
          <w:sz w:val="24"/>
          <w:szCs w:val="24"/>
          <w:lang w:val="en-IE"/>
        </w:rPr>
        <w:t>procurement</w:t>
      </w:r>
      <w:r w:rsidR="007D720E">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for the same medical countermeasure</w:t>
      </w:r>
      <w:r w:rsidR="009C4CDE">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In justified cases</w:t>
      </w:r>
      <w:r w:rsidR="009C4CDE">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and </w:t>
      </w:r>
      <w:r w:rsidR="009C4CDE">
        <w:rPr>
          <w:rFonts w:ascii="Times New Roman" w:eastAsia="Times New Roman" w:hAnsi="Times New Roman" w:cs="Times New Roman"/>
          <w:noProof/>
          <w:sz w:val="24"/>
          <w:szCs w:val="24"/>
          <w:lang w:val="en-IE"/>
        </w:rPr>
        <w:t>if</w:t>
      </w:r>
      <w:r w:rsidRPr="00E03D97">
        <w:rPr>
          <w:rFonts w:ascii="Times New Roman" w:eastAsia="Times New Roman" w:hAnsi="Times New Roman" w:cs="Times New Roman"/>
          <w:noProof/>
          <w:sz w:val="24"/>
          <w:szCs w:val="24"/>
          <w:lang w:val="en-IE"/>
        </w:rPr>
        <w:t xml:space="preserve"> all participating Member States and other JPA countries agree</w:t>
      </w:r>
      <w:r w:rsidR="009C4CDE">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applying the exclusivity clause </w:t>
      </w:r>
      <w:r w:rsidR="00726AF6">
        <w:rPr>
          <w:rFonts w:ascii="Times New Roman" w:eastAsia="Times New Roman" w:hAnsi="Times New Roman" w:cs="Times New Roman"/>
          <w:noProof/>
          <w:sz w:val="24"/>
          <w:szCs w:val="24"/>
          <w:lang w:val="en-IE"/>
        </w:rPr>
        <w:t>should strengthen</w:t>
      </w:r>
      <w:r w:rsidR="00726AF6" w:rsidRPr="00E03D97">
        <w:rPr>
          <w:rFonts w:ascii="Times New Roman" w:eastAsia="Times New Roman" w:hAnsi="Times New Roman" w:cs="Times New Roman"/>
          <w:noProof/>
          <w:sz w:val="24"/>
          <w:szCs w:val="24"/>
          <w:lang w:val="en-IE"/>
        </w:rPr>
        <w:t xml:space="preserve"> </w:t>
      </w:r>
      <w:r w:rsidR="00726AF6">
        <w:rPr>
          <w:rFonts w:ascii="Times New Roman" w:eastAsia="Times New Roman" w:hAnsi="Times New Roman" w:cs="Times New Roman"/>
          <w:noProof/>
          <w:sz w:val="24"/>
          <w:szCs w:val="24"/>
          <w:lang w:val="en-IE"/>
        </w:rPr>
        <w:t xml:space="preserve">the </w:t>
      </w:r>
      <w:r w:rsidR="00A57838">
        <w:rPr>
          <w:rFonts w:ascii="Times New Roman" w:eastAsia="Times New Roman" w:hAnsi="Times New Roman" w:cs="Times New Roman"/>
          <w:noProof/>
          <w:sz w:val="24"/>
          <w:szCs w:val="24"/>
          <w:lang w:val="en-IE"/>
        </w:rPr>
        <w:t xml:space="preserve">EU </w:t>
      </w:r>
      <w:r w:rsidRPr="00E03D97">
        <w:rPr>
          <w:rFonts w:ascii="Times New Roman" w:eastAsia="Times New Roman" w:hAnsi="Times New Roman" w:cs="Times New Roman"/>
          <w:noProof/>
          <w:sz w:val="24"/>
          <w:szCs w:val="24"/>
          <w:lang w:val="en-IE"/>
        </w:rPr>
        <w:t>negotiati</w:t>
      </w:r>
      <w:r w:rsidR="00726AF6">
        <w:rPr>
          <w:rFonts w:ascii="Times New Roman" w:eastAsia="Times New Roman" w:hAnsi="Times New Roman" w:cs="Times New Roman"/>
          <w:noProof/>
          <w:sz w:val="24"/>
          <w:szCs w:val="24"/>
          <w:lang w:val="en-IE"/>
        </w:rPr>
        <w:t>ng</w:t>
      </w:r>
      <w:r w:rsidRPr="00E03D97">
        <w:rPr>
          <w:rFonts w:ascii="Times New Roman" w:eastAsia="Times New Roman" w:hAnsi="Times New Roman" w:cs="Times New Roman"/>
          <w:noProof/>
          <w:sz w:val="24"/>
          <w:szCs w:val="24"/>
          <w:lang w:val="en-IE"/>
        </w:rPr>
        <w:t xml:space="preserve"> position and security of supply. The Commission will have to carry out a preliminary joint procurement assessment </w:t>
      </w:r>
      <w:r w:rsidR="00D5551D" w:rsidRPr="00C06B6B">
        <w:rPr>
          <w:rFonts w:ascii="Times New Roman" w:eastAsia="Times New Roman" w:hAnsi="Times New Roman" w:cs="Times New Roman"/>
          <w:noProof/>
          <w:sz w:val="24"/>
          <w:szCs w:val="24"/>
          <w:lang w:val="en-IE"/>
        </w:rPr>
        <w:t xml:space="preserve">indicating the general envisaged conditions of the joint procurement procedure, including as regards </w:t>
      </w:r>
      <w:r w:rsidRPr="00C06B6B">
        <w:rPr>
          <w:rFonts w:ascii="Times New Roman" w:eastAsia="Times New Roman" w:hAnsi="Times New Roman" w:cs="Times New Roman"/>
          <w:noProof/>
          <w:sz w:val="24"/>
          <w:szCs w:val="24"/>
          <w:lang w:val="en-IE"/>
        </w:rPr>
        <w:t xml:space="preserve">the </w:t>
      </w:r>
      <w:r w:rsidR="00D5551D" w:rsidRPr="00C06B6B">
        <w:rPr>
          <w:rFonts w:ascii="Times New Roman" w:eastAsia="Times New Roman" w:hAnsi="Times New Roman" w:cs="Times New Roman"/>
          <w:noProof/>
          <w:sz w:val="24"/>
          <w:szCs w:val="24"/>
          <w:lang w:val="en-IE"/>
        </w:rPr>
        <w:t>possible</w:t>
      </w:r>
      <w:r w:rsidR="00D5551D">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need for exclusivity on a case-by-case basis.</w:t>
      </w:r>
      <w:r w:rsidR="00FC03C1" w:rsidRPr="00E03D97">
        <w:rPr>
          <w:rFonts w:ascii="Times New Roman" w:eastAsia="Times New Roman" w:hAnsi="Times New Roman" w:cs="Times New Roman"/>
          <w:noProof/>
          <w:sz w:val="24"/>
          <w:szCs w:val="24"/>
          <w:lang w:val="en-IE"/>
        </w:rPr>
        <w:t xml:space="preserve"> </w:t>
      </w:r>
    </w:p>
    <w:p w14:paraId="0345EE17" w14:textId="77777777" w:rsidR="00003506" w:rsidRDefault="001F1738" w:rsidP="00003506">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Anticipating potential threats to</w:t>
      </w:r>
      <w:r w:rsidR="002207DE">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and vulnerabilities of</w:t>
      </w:r>
      <w:r w:rsidR="002207DE">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the supply chains of medical countermeasures is an important factor in preparedness, as is stockpiling </w:t>
      </w:r>
      <w:r w:rsidR="00E85970">
        <w:rPr>
          <w:rFonts w:ascii="Times New Roman" w:eastAsia="Times New Roman" w:hAnsi="Times New Roman" w:cs="Times New Roman"/>
          <w:noProof/>
          <w:sz w:val="24"/>
          <w:szCs w:val="24"/>
          <w:lang w:val="en-IE"/>
        </w:rPr>
        <w:t xml:space="preserve">and </w:t>
      </w:r>
      <w:r w:rsidRPr="00E03D97">
        <w:rPr>
          <w:rFonts w:ascii="Times New Roman" w:eastAsia="Times New Roman" w:hAnsi="Times New Roman" w:cs="Times New Roman"/>
          <w:noProof/>
          <w:sz w:val="24"/>
          <w:szCs w:val="24"/>
          <w:lang w:val="en-IE"/>
        </w:rPr>
        <w:t>facilitating the development of new and improved medical countermeasures. In 2022, the Commission launched EU FAB, a network</w:t>
      </w:r>
      <w:r w:rsidRPr="00E03D97">
        <w:rPr>
          <w:rFonts w:ascii="Times New Roman" w:eastAsiaTheme="minorEastAsia"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of </w:t>
      </w:r>
      <w:r w:rsidR="001A435E">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ever-warm</w:t>
      </w:r>
      <w:r w:rsidR="001A435E">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vaccine production capacities that can be </w:t>
      </w:r>
      <w:r w:rsidR="00E85970" w:rsidRPr="00E03D97">
        <w:rPr>
          <w:rFonts w:ascii="Times New Roman" w:eastAsia="Times New Roman" w:hAnsi="Times New Roman" w:cs="Times New Roman"/>
          <w:noProof/>
          <w:sz w:val="24"/>
          <w:szCs w:val="24"/>
          <w:lang w:val="en-IE"/>
        </w:rPr>
        <w:t xml:space="preserve">quickly </w:t>
      </w:r>
      <w:r w:rsidRPr="00E03D97">
        <w:rPr>
          <w:rFonts w:ascii="Times New Roman" w:eastAsia="Times New Roman" w:hAnsi="Times New Roman" w:cs="Times New Roman"/>
          <w:noProof/>
          <w:sz w:val="24"/>
          <w:szCs w:val="24"/>
          <w:lang w:val="en-IE"/>
        </w:rPr>
        <w:t xml:space="preserve">activated in </w:t>
      </w:r>
      <w:r w:rsidR="00E85970">
        <w:rPr>
          <w:rFonts w:ascii="Times New Roman" w:eastAsia="Times New Roman" w:hAnsi="Times New Roman" w:cs="Times New Roman"/>
          <w:noProof/>
          <w:sz w:val="24"/>
          <w:szCs w:val="24"/>
          <w:lang w:val="en-IE"/>
        </w:rPr>
        <w:t>the event</w:t>
      </w:r>
      <w:r w:rsidR="00E85970"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of a public health emergency. On 30</w:t>
      </w:r>
      <w:r w:rsidR="001A435E">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June</w:t>
      </w:r>
      <w:r w:rsidR="001A435E">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 xml:space="preserve">2023, four EU FAB contracts were signed with pharmaceutical manufacturers </w:t>
      </w:r>
      <w:r w:rsidR="00E85970">
        <w:rPr>
          <w:rFonts w:ascii="Times New Roman" w:eastAsia="Times New Roman" w:hAnsi="Times New Roman" w:cs="Times New Roman"/>
          <w:noProof/>
          <w:sz w:val="24"/>
          <w:szCs w:val="24"/>
          <w:lang w:val="en-IE"/>
        </w:rPr>
        <w:t xml:space="preserve">to </w:t>
      </w:r>
      <w:r w:rsidRPr="00E03D97">
        <w:rPr>
          <w:rFonts w:ascii="Times New Roman" w:eastAsia="Times New Roman" w:hAnsi="Times New Roman" w:cs="Times New Roman"/>
          <w:noProof/>
          <w:sz w:val="24"/>
          <w:szCs w:val="24"/>
          <w:lang w:val="en-IE"/>
        </w:rPr>
        <w:t>reserv</w:t>
      </w:r>
      <w:r w:rsidR="00E85970">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 </w:t>
      </w:r>
      <w:r w:rsidR="00E85970">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capacity to produce up to 325 million vaccines </w:t>
      </w:r>
      <w:r w:rsidR="00706E28">
        <w:rPr>
          <w:rFonts w:ascii="Times New Roman" w:eastAsia="Times New Roman" w:hAnsi="Times New Roman" w:cs="Times New Roman"/>
          <w:noProof/>
          <w:sz w:val="24"/>
          <w:szCs w:val="24"/>
          <w:lang w:val="en-IE"/>
        </w:rPr>
        <w:t xml:space="preserve">of different types </w:t>
      </w:r>
      <w:r w:rsidRPr="00E03D97">
        <w:rPr>
          <w:rFonts w:ascii="Times New Roman" w:eastAsia="Times New Roman" w:hAnsi="Times New Roman" w:cs="Times New Roman"/>
          <w:noProof/>
          <w:sz w:val="24"/>
          <w:szCs w:val="24"/>
          <w:lang w:val="en-IE"/>
        </w:rPr>
        <w:t xml:space="preserve">annually. The Commission also stockpiles medical countermeasures under rescEU </w:t>
      </w:r>
      <w:r w:rsidR="00E85970">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an EU-funded strategic reserve of last resort, </w:t>
      </w:r>
      <w:r w:rsidR="00E85970">
        <w:rPr>
          <w:rFonts w:ascii="Times New Roman" w:eastAsia="Times New Roman" w:hAnsi="Times New Roman" w:cs="Times New Roman"/>
          <w:noProof/>
          <w:sz w:val="24"/>
          <w:szCs w:val="24"/>
          <w:lang w:val="en-IE"/>
        </w:rPr>
        <w:t xml:space="preserve">from </w:t>
      </w:r>
      <w:r w:rsidRPr="00E03D97">
        <w:rPr>
          <w:rFonts w:ascii="Times New Roman" w:eastAsia="Times New Roman" w:hAnsi="Times New Roman" w:cs="Times New Roman"/>
          <w:noProof/>
          <w:sz w:val="24"/>
          <w:szCs w:val="24"/>
          <w:lang w:val="en-IE"/>
        </w:rPr>
        <w:t>which Member States and associated countries can request assistance. To date, EUR</w:t>
      </w:r>
      <w:r w:rsidR="000F7AAC">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1.2</w:t>
      </w:r>
      <w:r w:rsidR="000F7AAC">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billion ha</w:t>
      </w:r>
      <w:r w:rsidR="00935579">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been invested</w:t>
      </w:r>
      <w:r w:rsidR="00E85970">
        <w:rPr>
          <w:rFonts w:ascii="Times New Roman" w:eastAsia="Times New Roman" w:hAnsi="Times New Roman" w:cs="Times New Roman"/>
          <w:noProof/>
          <w:sz w:val="24"/>
          <w:szCs w:val="24"/>
          <w:lang w:val="en-IE"/>
        </w:rPr>
        <w:t xml:space="preserve"> in </w:t>
      </w:r>
      <w:r w:rsidRPr="00E03D97">
        <w:rPr>
          <w:rFonts w:ascii="Times New Roman" w:eastAsia="Times New Roman" w:hAnsi="Times New Roman" w:cs="Times New Roman"/>
          <w:noProof/>
          <w:sz w:val="24"/>
          <w:szCs w:val="24"/>
          <w:lang w:val="en-IE"/>
        </w:rPr>
        <w:t>build</w:t>
      </w:r>
      <w:r w:rsidR="00935579">
        <w:rPr>
          <w:rFonts w:ascii="Times New Roman" w:eastAsia="Times New Roman" w:hAnsi="Times New Roman" w:cs="Times New Roman"/>
          <w:noProof/>
          <w:sz w:val="24"/>
          <w:szCs w:val="24"/>
          <w:lang w:val="en-IE"/>
        </w:rPr>
        <w:t>ing</w:t>
      </w:r>
      <w:r w:rsidR="00E85970">
        <w:rPr>
          <w:rFonts w:ascii="Times New Roman" w:eastAsia="Times New Roman" w:hAnsi="Times New Roman" w:cs="Times New Roman"/>
          <w:noProof/>
          <w:sz w:val="24"/>
          <w:szCs w:val="24"/>
          <w:lang w:val="en-IE"/>
        </w:rPr>
        <w:t xml:space="preserve"> up</w:t>
      </w:r>
      <w:r w:rsidRPr="00E03D97">
        <w:rPr>
          <w:rFonts w:ascii="Times New Roman" w:eastAsia="Times New Roman" w:hAnsi="Times New Roman" w:cs="Times New Roman"/>
          <w:noProof/>
          <w:sz w:val="24"/>
          <w:szCs w:val="24"/>
          <w:lang w:val="en-IE"/>
        </w:rPr>
        <w:t xml:space="preserve"> stockpiles against</w:t>
      </w:r>
      <w:r w:rsidR="00691A69">
        <w:rPr>
          <w:rFonts w:ascii="Times New Roman" w:eastAsia="Times New Roman" w:hAnsi="Times New Roman" w:cs="Times New Roman"/>
          <w:noProof/>
          <w:sz w:val="24"/>
          <w:szCs w:val="24"/>
          <w:lang w:val="en-IE"/>
        </w:rPr>
        <w:t xml:space="preserve"> serious cross-border health threats, including</w:t>
      </w:r>
      <w:r w:rsidR="00A16E9E">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chemical, biological, radiological and nuclear (CBRN) threats. The first call </w:t>
      </w:r>
      <w:r w:rsidR="0033327F">
        <w:rPr>
          <w:rFonts w:ascii="Times New Roman" w:eastAsia="Times New Roman" w:hAnsi="Times New Roman" w:cs="Times New Roman"/>
          <w:noProof/>
          <w:sz w:val="24"/>
          <w:szCs w:val="24"/>
          <w:lang w:val="en-IE"/>
        </w:rPr>
        <w:t xml:space="preserve">for tender </w:t>
      </w:r>
      <w:r w:rsidRPr="00E03D97">
        <w:rPr>
          <w:rFonts w:ascii="Times New Roman" w:eastAsia="Times New Roman" w:hAnsi="Times New Roman" w:cs="Times New Roman"/>
          <w:noProof/>
          <w:sz w:val="24"/>
          <w:szCs w:val="24"/>
          <w:lang w:val="en-IE"/>
        </w:rPr>
        <w:t>in 2022 led to France, Croatia, Poland and Finland being chosen to host the stockpiles. The results of the second call will be announced in late 2023.</w:t>
      </w:r>
    </w:p>
    <w:p w14:paraId="295A19EC" w14:textId="77777777" w:rsidR="00003506" w:rsidRDefault="001F1738" w:rsidP="00031422">
      <w:pPr>
        <w:spacing w:before="480"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heme="majorEastAsia" w:hAnsi="Times New Roman" w:cs="Times New Roman"/>
          <w:noProof/>
          <w:sz w:val="24"/>
          <w:szCs w:val="24"/>
          <w:lang w:val="en-IE"/>
        </w:rPr>
        <w:t>3. SURVEILLANCE AND EARLY WARNING SYSTEMS</w:t>
      </w:r>
      <w:bookmarkStart w:id="5" w:name="_Toc145428521"/>
      <w:bookmarkEnd w:id="5"/>
    </w:p>
    <w:p w14:paraId="2BE0DF8A" w14:textId="77777777" w:rsidR="00003506" w:rsidRDefault="001F1738" w:rsidP="00003506">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b/>
          <w:bCs/>
          <w:noProof/>
          <w:sz w:val="24"/>
          <w:szCs w:val="24"/>
          <w:lang w:val="en-IE"/>
        </w:rPr>
        <w:t xml:space="preserve">Public health surveillance of communicable diseases </w:t>
      </w:r>
    </w:p>
    <w:p w14:paraId="012DD0D9" w14:textId="77777777" w:rsidR="00003506" w:rsidRDefault="001F1738" w:rsidP="00003506">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Without public health surveillance, we would be unable to monitor </w:t>
      </w:r>
      <w:r w:rsidRPr="00E03D97">
        <w:rPr>
          <w:rFonts w:ascii="Times New Roman" w:eastAsiaTheme="minorEastAsia" w:hAnsi="Times New Roman" w:cs="Times New Roman"/>
          <w:noProof/>
          <w:sz w:val="24"/>
          <w:szCs w:val="24"/>
          <w:lang w:val="en-IE"/>
        </w:rPr>
        <w:t>trends of communicable diseases</w:t>
      </w:r>
      <w:r w:rsidR="00434D7F">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w:t>
      </w:r>
      <w:r w:rsidR="00434D7F">
        <w:rPr>
          <w:rFonts w:ascii="Times New Roman" w:eastAsiaTheme="minorEastAsia" w:hAnsi="Times New Roman" w:cs="Times New Roman"/>
          <w:noProof/>
          <w:sz w:val="24"/>
          <w:szCs w:val="24"/>
          <w:lang w:val="en-IE"/>
        </w:rPr>
        <w:t xml:space="preserve">to </w:t>
      </w:r>
      <w:r w:rsidRPr="00E03D97">
        <w:rPr>
          <w:rFonts w:ascii="Times New Roman" w:eastAsiaTheme="minorEastAsia" w:hAnsi="Times New Roman" w:cs="Times New Roman"/>
          <w:noProof/>
          <w:sz w:val="24"/>
          <w:szCs w:val="24"/>
          <w:lang w:val="en-IE"/>
        </w:rPr>
        <w:t xml:space="preserve">detect outbreaks early </w:t>
      </w:r>
      <w:r w:rsidR="00434D7F">
        <w:rPr>
          <w:rFonts w:ascii="Times New Roman" w:eastAsiaTheme="minorEastAsia" w:hAnsi="Times New Roman" w:cs="Times New Roman"/>
          <w:noProof/>
          <w:sz w:val="24"/>
          <w:szCs w:val="24"/>
          <w:lang w:val="en-IE"/>
        </w:rPr>
        <w:t xml:space="preserve">on </w:t>
      </w:r>
      <w:r w:rsidRPr="00E03D97">
        <w:rPr>
          <w:rFonts w:ascii="Times New Roman" w:eastAsia="Times New Roman" w:hAnsi="Times New Roman" w:cs="Times New Roman"/>
          <w:noProof/>
          <w:sz w:val="24"/>
          <w:szCs w:val="24"/>
          <w:lang w:val="en-IE"/>
        </w:rPr>
        <w:t>or to evaluate the effectiveness of public health measures and policies. This was yet another key aspect of public health whose importance was emphasised during the COVID-19 pandemic. A recent study</w:t>
      </w:r>
      <w:r w:rsidR="00434D7F">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vertAlign w:val="superscript"/>
          <w:lang w:val="en-IE"/>
        </w:rPr>
        <w:footnoteReference w:id="68"/>
      </w:r>
      <w:r w:rsidRPr="00E03D97">
        <w:rPr>
          <w:rFonts w:ascii="Times New Roman" w:eastAsia="Times New Roman" w:hAnsi="Times New Roman" w:cs="Times New Roman"/>
          <w:noProof/>
          <w:sz w:val="24"/>
          <w:szCs w:val="24"/>
          <w:lang w:val="en-IE"/>
        </w:rPr>
        <w:t xml:space="preserve"> has looked into lessons learnt from surveillance in the EU during </w:t>
      </w:r>
      <w:r w:rsidR="00434D7F">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COVID-19</w:t>
      </w:r>
      <w:r w:rsidR="00434D7F">
        <w:rPr>
          <w:rFonts w:ascii="Times New Roman" w:eastAsia="Times New Roman" w:hAnsi="Times New Roman" w:cs="Times New Roman"/>
          <w:noProof/>
          <w:sz w:val="24"/>
          <w:szCs w:val="24"/>
          <w:lang w:val="en-IE"/>
        </w:rPr>
        <w:t xml:space="preserve"> pandemic</w:t>
      </w:r>
      <w:r w:rsidRPr="00E03D97">
        <w:rPr>
          <w:rFonts w:ascii="Times New Roman" w:eastAsia="Times New Roman" w:hAnsi="Times New Roman" w:cs="Times New Roman"/>
          <w:noProof/>
          <w:sz w:val="24"/>
          <w:szCs w:val="24"/>
          <w:lang w:val="en-IE"/>
        </w:rPr>
        <w:t xml:space="preserve">. There </w:t>
      </w:r>
      <w:r w:rsidR="00434D7F">
        <w:rPr>
          <w:rFonts w:ascii="Times New Roman" w:eastAsia="Times New Roman" w:hAnsi="Times New Roman" w:cs="Times New Roman"/>
          <w:noProof/>
          <w:sz w:val="24"/>
          <w:szCs w:val="24"/>
          <w:lang w:val="en-IE"/>
        </w:rPr>
        <w:t>remains some</w:t>
      </w:r>
      <w:r w:rsidRPr="00E03D97">
        <w:rPr>
          <w:rFonts w:ascii="Times New Roman" w:eastAsia="Times New Roman" w:hAnsi="Times New Roman" w:cs="Times New Roman"/>
          <w:noProof/>
          <w:sz w:val="24"/>
          <w:szCs w:val="24"/>
          <w:lang w:val="en-IE"/>
        </w:rPr>
        <w:t xml:space="preserve"> </w:t>
      </w:r>
      <w:r w:rsidR="00434D7F">
        <w:rPr>
          <w:rFonts w:ascii="Times New Roman" w:eastAsia="Times New Roman" w:hAnsi="Times New Roman" w:cs="Times New Roman"/>
          <w:noProof/>
          <w:sz w:val="24"/>
          <w:szCs w:val="24"/>
          <w:lang w:val="en-IE"/>
        </w:rPr>
        <w:t>variation</w:t>
      </w:r>
      <w:r w:rsidRPr="00E03D97">
        <w:rPr>
          <w:rFonts w:ascii="Times New Roman" w:eastAsia="Times New Roman" w:hAnsi="Times New Roman" w:cs="Times New Roman"/>
          <w:noProof/>
          <w:sz w:val="24"/>
          <w:szCs w:val="24"/>
          <w:lang w:val="en-IE"/>
        </w:rPr>
        <w:t xml:space="preserve"> in the quality of the data reported by the Member States across disease areas, despite </w:t>
      </w:r>
      <w:r w:rsidR="00434D7F">
        <w:rPr>
          <w:rFonts w:ascii="Times New Roman" w:eastAsia="Times New Roman" w:hAnsi="Times New Roman" w:cs="Times New Roman"/>
          <w:noProof/>
          <w:sz w:val="24"/>
          <w:szCs w:val="24"/>
          <w:lang w:val="en-IE"/>
        </w:rPr>
        <w:t xml:space="preserve">the ECDC’s </w:t>
      </w:r>
      <w:r w:rsidRPr="00E03D97">
        <w:rPr>
          <w:rFonts w:ascii="Times New Roman" w:eastAsia="Times New Roman" w:hAnsi="Times New Roman" w:cs="Times New Roman"/>
          <w:noProof/>
          <w:sz w:val="24"/>
          <w:szCs w:val="24"/>
          <w:lang w:val="en-IE"/>
        </w:rPr>
        <w:t xml:space="preserve">efforts to provide methodological support to </w:t>
      </w:r>
      <w:r w:rsidR="00434D7F">
        <w:rPr>
          <w:rFonts w:ascii="Times New Roman" w:eastAsia="Times New Roman" w:hAnsi="Times New Roman" w:cs="Times New Roman"/>
          <w:noProof/>
          <w:sz w:val="24"/>
          <w:szCs w:val="24"/>
          <w:lang w:val="en-IE"/>
        </w:rPr>
        <w:t>the Member States</w:t>
      </w:r>
      <w:r w:rsidR="00434D7F"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and reporting protocols. There is also room for improvement when it comes to technological advances</w:t>
      </w:r>
      <w:r w:rsidR="00312459">
        <w:rPr>
          <w:rFonts w:ascii="Times New Roman" w:eastAsia="Times New Roman" w:hAnsi="Times New Roman" w:cs="Times New Roman"/>
          <w:noProof/>
          <w:sz w:val="24"/>
          <w:szCs w:val="24"/>
          <w:lang w:val="en-IE"/>
        </w:rPr>
        <w:t>, such as digital platforms for surveillance</w:t>
      </w:r>
      <w:r w:rsidRPr="00E03D97">
        <w:rPr>
          <w:rFonts w:ascii="Times New Roman" w:eastAsia="Times New Roman" w:hAnsi="Times New Roman" w:cs="Times New Roman"/>
          <w:noProof/>
          <w:sz w:val="24"/>
          <w:szCs w:val="24"/>
          <w:lang w:val="en-IE"/>
        </w:rPr>
        <w:t xml:space="preserve">, </w:t>
      </w:r>
      <w:r w:rsidR="00837C3C">
        <w:rPr>
          <w:rFonts w:ascii="Times New Roman" w:eastAsia="Times New Roman" w:hAnsi="Times New Roman" w:cs="Times New Roman"/>
          <w:noProof/>
          <w:sz w:val="24"/>
          <w:szCs w:val="24"/>
          <w:lang w:val="en-IE"/>
        </w:rPr>
        <w:t xml:space="preserve">notwithstanding the major </w:t>
      </w:r>
      <w:r w:rsidRPr="00E03D97">
        <w:rPr>
          <w:rFonts w:ascii="Times New Roman" w:eastAsia="Times New Roman" w:hAnsi="Times New Roman" w:cs="Times New Roman"/>
          <w:noProof/>
          <w:sz w:val="24"/>
          <w:szCs w:val="24"/>
          <w:lang w:val="en-IE"/>
        </w:rPr>
        <w:t xml:space="preserve">efforts made during the pandemic years. </w:t>
      </w:r>
    </w:p>
    <w:p w14:paraId="4F89FD95" w14:textId="55B1D053" w:rsidR="00AE4ED2" w:rsidRPr="00E03D97" w:rsidRDefault="001F1738" w:rsidP="00003506">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Regulation (EU) 2022/2371 </w:t>
      </w:r>
      <w:r w:rsidR="0074362E">
        <w:rPr>
          <w:rFonts w:ascii="Times New Roman" w:eastAsia="Times New Roman" w:hAnsi="Times New Roman" w:cs="Times New Roman"/>
          <w:noProof/>
          <w:sz w:val="24"/>
          <w:szCs w:val="24"/>
          <w:lang w:val="en-IE"/>
        </w:rPr>
        <w:t>introduces</w:t>
      </w:r>
      <w:r w:rsidR="0074362E"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a new high-performing epidemiological surveillance system at EU level</w:t>
      </w:r>
      <w:r w:rsidR="00837C3C">
        <w:rPr>
          <w:rFonts w:ascii="Times New Roman" w:eastAsia="Times New Roman" w:hAnsi="Times New Roman" w:cs="Times New Roman"/>
          <w:noProof/>
          <w:sz w:val="24"/>
          <w:szCs w:val="24"/>
          <w:lang w:val="en-IE"/>
        </w:rPr>
        <w:t>. This</w:t>
      </w:r>
      <w:r w:rsidRPr="00E03D97">
        <w:rPr>
          <w:rFonts w:ascii="Times New Roman" w:eastAsia="Times New Roman" w:hAnsi="Times New Roman" w:cs="Times New Roman"/>
          <w:noProof/>
          <w:sz w:val="24"/>
          <w:szCs w:val="24"/>
          <w:lang w:val="en-IE"/>
        </w:rPr>
        <w:t xml:space="preserve"> incorporat</w:t>
      </w:r>
      <w:r w:rsidR="00837C3C">
        <w:rPr>
          <w:rFonts w:ascii="Times New Roman" w:eastAsia="Times New Roman" w:hAnsi="Times New Roman" w:cs="Times New Roman"/>
          <w:noProof/>
          <w:sz w:val="24"/>
          <w:szCs w:val="24"/>
          <w:lang w:val="en-IE"/>
        </w:rPr>
        <w:t>es</w:t>
      </w:r>
      <w:r w:rsidRPr="00E03D97">
        <w:rPr>
          <w:rFonts w:ascii="Times New Roman" w:eastAsia="Times New Roman" w:hAnsi="Times New Roman" w:cs="Times New Roman"/>
          <w:noProof/>
          <w:sz w:val="24"/>
          <w:szCs w:val="24"/>
          <w:lang w:val="en-IE"/>
        </w:rPr>
        <w:t xml:space="preserve"> </w:t>
      </w:r>
      <w:r w:rsidR="00312459">
        <w:rPr>
          <w:rFonts w:ascii="Times New Roman" w:eastAsia="Times New Roman" w:hAnsi="Times New Roman" w:cs="Times New Roman"/>
          <w:noProof/>
          <w:sz w:val="24"/>
          <w:szCs w:val="24"/>
          <w:lang w:val="en-IE"/>
        </w:rPr>
        <w:t xml:space="preserve">using </w:t>
      </w:r>
      <w:r w:rsidRPr="00E03D97">
        <w:rPr>
          <w:rFonts w:ascii="Times New Roman" w:eastAsia="Times New Roman" w:hAnsi="Times New Roman" w:cs="Times New Roman"/>
          <w:noProof/>
          <w:sz w:val="24"/>
          <w:szCs w:val="24"/>
          <w:lang w:val="en-IE"/>
        </w:rPr>
        <w:t>artificial intelligence and digital tools</w:t>
      </w:r>
      <w:r w:rsidR="0076180A">
        <w:rPr>
          <w:rFonts w:ascii="Times New Roman" w:eastAsia="Times New Roman" w:hAnsi="Times New Roman" w:cs="Times New Roman"/>
          <w:noProof/>
          <w:sz w:val="24"/>
          <w:szCs w:val="24"/>
          <w:lang w:val="en-IE"/>
        </w:rPr>
        <w:t xml:space="preserve"> </w:t>
      </w:r>
      <w:r w:rsidR="0076180A" w:rsidRPr="0076180A">
        <w:rPr>
          <w:rFonts w:ascii="Times New Roman" w:eastAsia="Times New Roman" w:hAnsi="Times New Roman" w:cs="Times New Roman"/>
          <w:noProof/>
          <w:sz w:val="24"/>
          <w:szCs w:val="24"/>
        </w:rPr>
        <w:t>for data validation, analysis and automated reporting,</w:t>
      </w:r>
      <w:r w:rsidR="0033327F">
        <w:rPr>
          <w:rFonts w:ascii="Times New Roman" w:eastAsia="Times New Roman" w:hAnsi="Times New Roman" w:cs="Times New Roman"/>
          <w:noProof/>
          <w:sz w:val="24"/>
          <w:szCs w:val="24"/>
          <w:lang w:val="en-IE"/>
        </w:rPr>
        <w:t xml:space="preserve"> ensur</w:t>
      </w:r>
      <w:r w:rsidR="0076180A">
        <w:rPr>
          <w:rFonts w:ascii="Times New Roman" w:eastAsia="Times New Roman" w:hAnsi="Times New Roman" w:cs="Times New Roman"/>
          <w:noProof/>
          <w:sz w:val="24"/>
          <w:szCs w:val="24"/>
          <w:lang w:val="en-IE"/>
        </w:rPr>
        <w:t>ing</w:t>
      </w:r>
      <w:r w:rsidR="0033327F"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accurate modelling</w:t>
      </w:r>
      <w:r w:rsidR="0033327F">
        <w:rPr>
          <w:rFonts w:ascii="Times New Roman" w:eastAsia="Times New Roman" w:hAnsi="Times New Roman" w:cs="Times New Roman"/>
          <w:noProof/>
          <w:sz w:val="24"/>
          <w:szCs w:val="24"/>
          <w:lang w:val="en-IE"/>
        </w:rPr>
        <w:t xml:space="preserve"> and</w:t>
      </w:r>
      <w:r w:rsidRPr="00E03D97">
        <w:rPr>
          <w:rFonts w:ascii="Times New Roman" w:eastAsia="Times New Roman" w:hAnsi="Times New Roman" w:cs="Times New Roman"/>
          <w:noProof/>
          <w:sz w:val="24"/>
          <w:szCs w:val="24"/>
          <w:lang w:val="en-IE"/>
        </w:rPr>
        <w:t xml:space="preserve"> risk assessment</w:t>
      </w:r>
      <w:r w:rsidR="0033327F">
        <w:rPr>
          <w:rFonts w:ascii="Times New Roman" w:eastAsia="Times New Roman" w:hAnsi="Times New Roman" w:cs="Times New Roman"/>
          <w:noProof/>
          <w:sz w:val="24"/>
          <w:szCs w:val="24"/>
          <w:lang w:val="en-IE"/>
        </w:rPr>
        <w:t>s</w:t>
      </w:r>
      <w:r w:rsidR="0076180A">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To complement epidemiological surveillance of communicable diseases, Regulation (EU) 2022/2371 requires Member States to step up their reporting of health systems indicators, including health</w:t>
      </w:r>
      <w:r w:rsidR="000F7AAC">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system capacity (e.g. hospital bed availability, specialised treatment and intensive care capacity,</w:t>
      </w:r>
      <w:r w:rsidR="00AE4ED2">
        <w:rPr>
          <w:rFonts w:ascii="Times New Roman" w:eastAsia="Times New Roman" w:hAnsi="Times New Roman" w:cs="Times New Roman"/>
          <w:noProof/>
          <w:sz w:val="24"/>
          <w:szCs w:val="24"/>
          <w:lang w:val="en-IE"/>
        </w:rPr>
        <w:t xml:space="preserve"> and</w:t>
      </w:r>
      <w:r w:rsidRPr="00E03D97">
        <w:rPr>
          <w:rFonts w:ascii="Times New Roman" w:eastAsia="Times New Roman" w:hAnsi="Times New Roman" w:cs="Times New Roman"/>
          <w:noProof/>
          <w:sz w:val="24"/>
          <w:szCs w:val="24"/>
          <w:lang w:val="en-IE"/>
        </w:rPr>
        <w:t xml:space="preserve"> </w:t>
      </w:r>
      <w:r w:rsidR="00AE4ED2">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number of medically trained staff). The Commission is revising the list of communicable diseases and special health issues</w:t>
      </w:r>
      <w:r w:rsidR="00AE4ED2">
        <w:rPr>
          <w:rFonts w:ascii="Times New Roman" w:eastAsia="Times New Roman" w:hAnsi="Times New Roman" w:cs="Times New Roman"/>
          <w:noProof/>
          <w:sz w:val="24"/>
          <w:szCs w:val="24"/>
          <w:lang w:val="en-IE"/>
        </w:rPr>
        <w:t xml:space="preserve"> (e.g. AMR) that are</w:t>
      </w:r>
      <w:r w:rsidRPr="00E03D97">
        <w:rPr>
          <w:rFonts w:ascii="Times New Roman" w:eastAsia="Times New Roman" w:hAnsi="Times New Roman" w:cs="Times New Roman"/>
          <w:noProof/>
          <w:sz w:val="24"/>
          <w:szCs w:val="24"/>
          <w:lang w:val="en-IE"/>
        </w:rPr>
        <w:t xml:space="preserve"> notifiable at EU level. The updated list is planned to be in place by mid</w:t>
      </w:r>
      <w:r w:rsidR="00AE4ED2">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2024. The Commission is supporting the upgrade of the</w:t>
      </w:r>
      <w:r w:rsidR="00AE4ED2" w:rsidRPr="00AE4ED2">
        <w:rPr>
          <w:rFonts w:ascii="Times New Roman" w:eastAsia="Times New Roman" w:hAnsi="Times New Roman" w:cs="Times New Roman"/>
          <w:noProof/>
          <w:sz w:val="24"/>
          <w:szCs w:val="24"/>
          <w:lang w:val="en-IE"/>
        </w:rPr>
        <w:t xml:space="preserve"> </w:t>
      </w:r>
      <w:r w:rsidR="00AE4ED2" w:rsidRPr="00E03D97">
        <w:rPr>
          <w:rFonts w:ascii="Times New Roman" w:eastAsia="Times New Roman" w:hAnsi="Times New Roman" w:cs="Times New Roman"/>
          <w:noProof/>
          <w:sz w:val="24"/>
          <w:szCs w:val="24"/>
          <w:lang w:val="en-IE"/>
        </w:rPr>
        <w:t>Member States</w:t>
      </w:r>
      <w:r w:rsidR="00AE4ED2">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national surveillance systems by providing nearly EUR</w:t>
      </w:r>
      <w:r w:rsidR="000F7AAC">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100</w:t>
      </w:r>
      <w:r w:rsidR="000F7AAC">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million in direct grants for infrastructure development, capacity</w:t>
      </w:r>
      <w:r w:rsidR="00AE4ED2">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building and specific national priorities.</w:t>
      </w:r>
    </w:p>
    <w:p w14:paraId="6CE53E40" w14:textId="77777777" w:rsidR="001F1738" w:rsidRPr="00E03D97" w:rsidRDefault="001F1738" w:rsidP="001F1738">
      <w:pPr>
        <w:keepNext/>
        <w:keepLines/>
        <w:spacing w:before="100" w:beforeAutospacing="1" w:after="100" w:afterAutospacing="1" w:line="240" w:lineRule="auto"/>
        <w:jc w:val="both"/>
        <w:outlineLvl w:val="2"/>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Strengthening laboratory capacities for surveillance and development of medical countermeasures</w:t>
      </w:r>
    </w:p>
    <w:p w14:paraId="31920660" w14:textId="1D64E4A4" w:rsidR="001F1738" w:rsidRPr="00E03D97" w:rsidRDefault="002260F0" w:rsidP="001F1738">
      <w:pPr>
        <w:keepNext/>
        <w:keepLines/>
        <w:spacing w:before="100" w:beforeAutospacing="1" w:after="100" w:afterAutospacing="1" w:line="240" w:lineRule="auto"/>
        <w:jc w:val="both"/>
        <w:outlineLvl w:val="2"/>
        <w:rPr>
          <w:rFonts w:ascii="Times New Roman" w:eastAsia="Times New Roman" w:hAnsi="Times New Roman" w:cs="Times New Roman"/>
          <w:i/>
          <w:iCs/>
          <w:noProof/>
          <w:sz w:val="24"/>
          <w:szCs w:val="24"/>
          <w:lang w:val="en-IE"/>
        </w:rPr>
      </w:pPr>
      <w:r>
        <w:rPr>
          <w:rFonts w:ascii="Times New Roman" w:eastAsia="Times New Roman" w:hAnsi="Times New Roman" w:cs="Times New Roman"/>
          <w:i/>
          <w:iCs/>
          <w:noProof/>
          <w:sz w:val="24"/>
          <w:szCs w:val="24"/>
          <w:lang w:val="en-IE"/>
        </w:rPr>
        <w:t>EU</w:t>
      </w:r>
      <w:r w:rsidRPr="00E03D97">
        <w:rPr>
          <w:rFonts w:ascii="Times New Roman" w:eastAsia="Times New Roman" w:hAnsi="Times New Roman" w:cs="Times New Roman"/>
          <w:i/>
          <w:iCs/>
          <w:noProof/>
          <w:sz w:val="24"/>
          <w:szCs w:val="24"/>
          <w:lang w:val="en-IE"/>
        </w:rPr>
        <w:t xml:space="preserve"> </w:t>
      </w:r>
      <w:r w:rsidR="00AE4ED2">
        <w:rPr>
          <w:rFonts w:ascii="Times New Roman" w:eastAsia="Times New Roman" w:hAnsi="Times New Roman" w:cs="Times New Roman"/>
          <w:i/>
          <w:iCs/>
          <w:noProof/>
          <w:sz w:val="24"/>
          <w:szCs w:val="24"/>
          <w:lang w:val="en-IE"/>
        </w:rPr>
        <w:t>r</w:t>
      </w:r>
      <w:r w:rsidR="001F1738" w:rsidRPr="00E03D97">
        <w:rPr>
          <w:rFonts w:ascii="Times New Roman" w:eastAsia="Times New Roman" w:hAnsi="Times New Roman" w:cs="Times New Roman"/>
          <w:i/>
          <w:iCs/>
          <w:noProof/>
          <w:sz w:val="24"/>
          <w:szCs w:val="24"/>
          <w:lang w:val="en-IE"/>
        </w:rPr>
        <w:t xml:space="preserve">eference laboratories in </w:t>
      </w:r>
      <w:r w:rsidR="00AE4ED2">
        <w:rPr>
          <w:rFonts w:ascii="Times New Roman" w:eastAsia="Times New Roman" w:hAnsi="Times New Roman" w:cs="Times New Roman"/>
          <w:i/>
          <w:iCs/>
          <w:noProof/>
          <w:sz w:val="24"/>
          <w:szCs w:val="24"/>
          <w:lang w:val="en-IE"/>
        </w:rPr>
        <w:t xml:space="preserve">the area of </w:t>
      </w:r>
      <w:r w:rsidR="001F1738" w:rsidRPr="00E03D97">
        <w:rPr>
          <w:rFonts w:ascii="Times New Roman" w:eastAsia="Times New Roman" w:hAnsi="Times New Roman" w:cs="Times New Roman"/>
          <w:i/>
          <w:iCs/>
          <w:noProof/>
          <w:sz w:val="24"/>
          <w:szCs w:val="24"/>
          <w:lang w:val="en-IE"/>
        </w:rPr>
        <w:t>public health</w:t>
      </w:r>
    </w:p>
    <w:p w14:paraId="4A0B64B8" w14:textId="7BD989B9"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Another </w:t>
      </w:r>
      <w:r w:rsidR="0074362E">
        <w:rPr>
          <w:rFonts w:ascii="Times New Roman" w:eastAsia="Times New Roman" w:hAnsi="Times New Roman" w:cs="Times New Roman"/>
          <w:noProof/>
          <w:sz w:val="24"/>
          <w:szCs w:val="24"/>
          <w:lang w:val="en-IE"/>
        </w:rPr>
        <w:t>novelty</w:t>
      </w:r>
      <w:r w:rsidRPr="00E03D97">
        <w:rPr>
          <w:rFonts w:ascii="Times New Roman" w:eastAsia="Times New Roman" w:hAnsi="Times New Roman" w:cs="Times New Roman"/>
          <w:noProof/>
          <w:sz w:val="24"/>
          <w:szCs w:val="24"/>
          <w:lang w:val="en-IE"/>
        </w:rPr>
        <w:t xml:space="preserve"> </w:t>
      </w:r>
      <w:r w:rsidR="0074362E">
        <w:rPr>
          <w:rFonts w:ascii="Times New Roman" w:eastAsia="Times New Roman" w:hAnsi="Times New Roman" w:cs="Times New Roman"/>
          <w:noProof/>
          <w:sz w:val="24"/>
          <w:szCs w:val="24"/>
          <w:lang w:val="en-IE"/>
        </w:rPr>
        <w:t>brought</w:t>
      </w:r>
      <w:r w:rsidR="00AE4ED2">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by Regulation (EU) 2022/2371 is the creation of EU reference laboratories (EURLs)</w:t>
      </w:r>
      <w:r w:rsidR="003534D7">
        <w:rPr>
          <w:rFonts w:ascii="Times New Roman" w:eastAsia="Times New Roman" w:hAnsi="Times New Roman" w:cs="Times New Roman"/>
          <w:noProof/>
          <w:sz w:val="24"/>
          <w:szCs w:val="24"/>
          <w:lang w:val="en-IE"/>
        </w:rPr>
        <w:t xml:space="preserve"> for public health,</w:t>
      </w:r>
      <w:r w:rsidRPr="00E03D97">
        <w:rPr>
          <w:rFonts w:ascii="Times New Roman" w:eastAsia="Times New Roman" w:hAnsi="Times New Roman" w:cs="Times New Roman"/>
          <w:noProof/>
          <w:sz w:val="24"/>
          <w:szCs w:val="24"/>
          <w:lang w:val="en-IE"/>
        </w:rPr>
        <w:t xml:space="preserve"> </w:t>
      </w:r>
      <w:r w:rsidR="0074362E">
        <w:rPr>
          <w:rFonts w:ascii="Times New Roman" w:eastAsia="Times New Roman" w:hAnsi="Times New Roman" w:cs="Times New Roman"/>
          <w:noProof/>
          <w:sz w:val="24"/>
          <w:szCs w:val="24"/>
          <w:lang w:val="en-IE"/>
        </w:rPr>
        <w:t xml:space="preserve">to </w:t>
      </w:r>
      <w:r w:rsidR="0074362E" w:rsidRPr="00B02CFF">
        <w:rPr>
          <w:rFonts w:ascii="Times New Roman" w:eastAsia="Times New Roman" w:hAnsi="Times New Roman" w:cs="Times New Roman"/>
          <w:noProof/>
          <w:sz w:val="24"/>
          <w:szCs w:val="24"/>
        </w:rPr>
        <w:t>provide support to national reference laboratories</w:t>
      </w:r>
      <w:r w:rsidR="003534D7">
        <w:rPr>
          <w:rFonts w:ascii="Times New Roman" w:eastAsia="Times New Roman" w:hAnsi="Times New Roman" w:cs="Times New Roman"/>
          <w:noProof/>
          <w:sz w:val="24"/>
          <w:szCs w:val="24"/>
        </w:rPr>
        <w:t xml:space="preserve"> and</w:t>
      </w:r>
      <w:r w:rsidR="0074362E">
        <w:rPr>
          <w:rFonts w:ascii="Times New Roman" w:eastAsia="Times New Roman" w:hAnsi="Times New Roman" w:cs="Times New Roman"/>
          <w:noProof/>
          <w:sz w:val="24"/>
          <w:szCs w:val="24"/>
        </w:rPr>
        <w:t xml:space="preserve"> to </w:t>
      </w:r>
      <w:r w:rsidR="0074362E" w:rsidRPr="001F1738">
        <w:rPr>
          <w:rFonts w:ascii="Times New Roman" w:eastAsia="Times New Roman" w:hAnsi="Times New Roman" w:cs="Times New Roman"/>
          <w:noProof/>
          <w:sz w:val="24"/>
          <w:szCs w:val="24"/>
        </w:rPr>
        <w:t xml:space="preserve">promote good practice and alignment </w:t>
      </w:r>
      <w:r w:rsidR="0074362E">
        <w:rPr>
          <w:rFonts w:ascii="Times New Roman" w:eastAsia="Times New Roman" w:hAnsi="Times New Roman" w:cs="Times New Roman"/>
          <w:noProof/>
          <w:sz w:val="24"/>
          <w:szCs w:val="24"/>
        </w:rPr>
        <w:t xml:space="preserve">on a voluntary basis </w:t>
      </w:r>
      <w:r w:rsidR="003534D7">
        <w:rPr>
          <w:rFonts w:ascii="Times New Roman" w:eastAsia="Times New Roman" w:hAnsi="Times New Roman" w:cs="Times New Roman"/>
          <w:noProof/>
          <w:sz w:val="24"/>
          <w:szCs w:val="24"/>
        </w:rPr>
        <w:t>regarding</w:t>
      </w:r>
      <w:r w:rsidR="0074362E" w:rsidRPr="00B84F71">
        <w:rPr>
          <w:rFonts w:ascii="Times New Roman" w:eastAsia="Times New Roman" w:hAnsi="Times New Roman" w:cs="Times New Roman"/>
          <w:noProof/>
          <w:sz w:val="24"/>
          <w:szCs w:val="24"/>
        </w:rPr>
        <w:t xml:space="preserve"> diagnostics, testing methods</w:t>
      </w:r>
      <w:r w:rsidR="003534D7">
        <w:rPr>
          <w:rFonts w:ascii="Times New Roman" w:eastAsia="Times New Roman" w:hAnsi="Times New Roman" w:cs="Times New Roman"/>
          <w:noProof/>
          <w:sz w:val="24"/>
          <w:szCs w:val="24"/>
        </w:rPr>
        <w:t xml:space="preserve"> and the</w:t>
      </w:r>
      <w:r w:rsidR="0074362E" w:rsidRPr="00B84F71">
        <w:rPr>
          <w:rFonts w:ascii="Times New Roman" w:eastAsia="Times New Roman" w:hAnsi="Times New Roman" w:cs="Times New Roman"/>
          <w:noProof/>
          <w:sz w:val="24"/>
          <w:szCs w:val="24"/>
        </w:rPr>
        <w:t xml:space="preserve"> use of certain tests for the uniform surveillance, notification and reporting of diseases by Member States</w:t>
      </w:r>
      <w:r w:rsidR="0074362E">
        <w:rPr>
          <w:rFonts w:ascii="Times New Roman" w:eastAsia="Times New Roman" w:hAnsi="Times New Roman" w:cs="Times New Roman"/>
          <w:noProof/>
          <w:sz w:val="24"/>
          <w:szCs w:val="24"/>
        </w:rPr>
        <w:t>.</w:t>
      </w:r>
      <w:r w:rsidRPr="00E03D97">
        <w:rPr>
          <w:rFonts w:ascii="Times New Roman" w:eastAsia="Times New Roman" w:hAnsi="Times New Roman" w:cs="Times New Roman"/>
          <w:noProof/>
          <w:sz w:val="24"/>
          <w:szCs w:val="24"/>
          <w:lang w:val="en-IE"/>
        </w:rPr>
        <w:t xml:space="preserve"> The Commission and </w:t>
      </w:r>
      <w:r w:rsidR="0078495C">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ECDC are working closely together in the implementation of the EURLs</w:t>
      </w:r>
      <w:r w:rsidR="0078495C">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sidR="0078495C">
        <w:rPr>
          <w:rFonts w:ascii="Times New Roman" w:eastAsia="Times New Roman" w:hAnsi="Times New Roman" w:cs="Times New Roman"/>
          <w:noProof/>
          <w:sz w:val="24"/>
          <w:szCs w:val="24"/>
          <w:lang w:val="en-IE"/>
        </w:rPr>
        <w:t>T</w:t>
      </w:r>
      <w:r w:rsidRPr="00E03D97">
        <w:rPr>
          <w:rFonts w:ascii="Times New Roman" w:eastAsia="Times New Roman" w:hAnsi="Times New Roman" w:cs="Times New Roman"/>
          <w:noProof/>
          <w:sz w:val="24"/>
          <w:szCs w:val="24"/>
          <w:lang w:val="en-IE"/>
        </w:rPr>
        <w:t xml:space="preserve">he first </w:t>
      </w:r>
      <w:r w:rsidR="0033327F">
        <w:rPr>
          <w:rFonts w:ascii="Times New Roman" w:eastAsia="Times New Roman" w:hAnsi="Times New Roman" w:cs="Times New Roman"/>
          <w:noProof/>
          <w:sz w:val="24"/>
          <w:szCs w:val="24"/>
          <w:lang w:val="en-IE"/>
        </w:rPr>
        <w:t xml:space="preserve">six </w:t>
      </w:r>
      <w:r w:rsidR="0078495C">
        <w:rPr>
          <w:rFonts w:ascii="Times New Roman" w:eastAsia="Times New Roman" w:hAnsi="Times New Roman" w:cs="Times New Roman"/>
          <w:noProof/>
          <w:sz w:val="24"/>
          <w:szCs w:val="24"/>
          <w:lang w:val="en-IE"/>
        </w:rPr>
        <w:t>EURL</w:t>
      </w:r>
      <w:r w:rsidR="0033327F">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will be designated in early 2024 and funded under</w:t>
      </w:r>
      <w:r w:rsidR="00AC0FDC">
        <w:rPr>
          <w:rFonts w:ascii="Times New Roman" w:eastAsia="Times New Roman" w:hAnsi="Times New Roman" w:cs="Times New Roman"/>
          <w:noProof/>
          <w:sz w:val="24"/>
          <w:szCs w:val="24"/>
          <w:lang w:val="en-IE"/>
        </w:rPr>
        <w:t xml:space="preserve"> the</w:t>
      </w:r>
      <w:r w:rsidRPr="00E03D97">
        <w:rPr>
          <w:rFonts w:ascii="Times New Roman" w:eastAsia="Times New Roman" w:hAnsi="Times New Roman" w:cs="Times New Roman"/>
          <w:noProof/>
          <w:sz w:val="24"/>
          <w:szCs w:val="24"/>
          <w:lang w:val="en-IE"/>
        </w:rPr>
        <w:t xml:space="preserve"> EU4</w:t>
      </w:r>
      <w:r w:rsidR="00EC0AFF">
        <w:rPr>
          <w:rFonts w:ascii="Times New Roman" w:eastAsia="Times New Roman" w:hAnsi="Times New Roman" w:cs="Times New Roman"/>
          <w:noProof/>
          <w:sz w:val="24"/>
          <w:szCs w:val="24"/>
          <w:lang w:val="en-IE"/>
        </w:rPr>
        <w:t>H</w:t>
      </w:r>
      <w:r w:rsidRPr="00E03D97">
        <w:rPr>
          <w:rFonts w:ascii="Times New Roman" w:eastAsia="Times New Roman" w:hAnsi="Times New Roman" w:cs="Times New Roman"/>
          <w:noProof/>
          <w:sz w:val="24"/>
          <w:szCs w:val="24"/>
          <w:lang w:val="en-IE"/>
        </w:rPr>
        <w:t>ealth</w:t>
      </w:r>
      <w:r w:rsidR="00AC0FDC">
        <w:rPr>
          <w:rFonts w:ascii="Times New Roman" w:eastAsia="Times New Roman" w:hAnsi="Times New Roman" w:cs="Times New Roman"/>
          <w:noProof/>
          <w:sz w:val="24"/>
          <w:szCs w:val="24"/>
          <w:lang w:val="en-IE"/>
        </w:rPr>
        <w:t xml:space="preserve"> programme</w:t>
      </w:r>
      <w:r w:rsidR="00C5325C">
        <w:rPr>
          <w:rStyle w:val="FootnoteReference"/>
          <w:rFonts w:ascii="Times New Roman" w:eastAsia="Times New Roman" w:hAnsi="Times New Roman" w:cs="Times New Roman"/>
          <w:noProof/>
          <w:sz w:val="24"/>
          <w:szCs w:val="24"/>
        </w:rPr>
        <w:footnoteReference w:id="69"/>
      </w:r>
      <w:r w:rsidRPr="00E03D97">
        <w:rPr>
          <w:rFonts w:ascii="Times New Roman" w:eastAsia="Times New Roman" w:hAnsi="Times New Roman" w:cs="Times New Roman"/>
          <w:noProof/>
          <w:sz w:val="24"/>
          <w:szCs w:val="24"/>
          <w:lang w:val="en-IE"/>
        </w:rPr>
        <w:t>.</w:t>
      </w:r>
    </w:p>
    <w:p w14:paraId="3223CA80" w14:textId="5B65B782"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i/>
          <w:iCs/>
          <w:noProof/>
          <w:sz w:val="24"/>
          <w:szCs w:val="24"/>
          <w:lang w:val="en-IE"/>
        </w:rPr>
      </w:pPr>
      <w:r w:rsidRPr="00E03D97">
        <w:rPr>
          <w:rFonts w:ascii="Times New Roman" w:eastAsia="Times New Roman" w:hAnsi="Times New Roman" w:cs="Times New Roman"/>
          <w:i/>
          <w:iCs/>
          <w:noProof/>
          <w:sz w:val="24"/>
          <w:szCs w:val="24"/>
          <w:lang w:val="en-IE"/>
        </w:rPr>
        <w:t>DURABLE</w:t>
      </w:r>
    </w:p>
    <w:p w14:paraId="221C5A4E" w14:textId="3D5B113D"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 Commission launched the DURABLE laboratory network project (2023-2027)</w:t>
      </w:r>
      <w:r w:rsidRPr="00E03D97">
        <w:rPr>
          <w:rFonts w:ascii="Times New Roman" w:eastAsia="Times New Roman" w:hAnsi="Times New Roman" w:cs="Times New Roman"/>
          <w:noProof/>
          <w:sz w:val="24"/>
          <w:szCs w:val="24"/>
          <w:vertAlign w:val="superscript"/>
          <w:lang w:val="en-IE"/>
        </w:rPr>
        <w:footnoteReference w:id="70"/>
      </w:r>
      <w:r w:rsidRPr="00E03D97">
        <w:rPr>
          <w:rFonts w:ascii="Times New Roman" w:eastAsia="Times New Roman" w:hAnsi="Times New Roman" w:cs="Times New Roman"/>
          <w:noProof/>
          <w:sz w:val="24"/>
          <w:szCs w:val="24"/>
          <w:lang w:val="en-IE"/>
        </w:rPr>
        <w:t xml:space="preserve"> composed of public health and academic laboratories to support the research and development of medical countermeasures. DURABLE</w:t>
      </w:r>
      <w:r w:rsidR="007E443B">
        <w:rPr>
          <w:rFonts w:ascii="Times New Roman" w:eastAsia="Times New Roman" w:hAnsi="Times New Roman" w:cs="Times New Roman"/>
          <w:noProof/>
          <w:sz w:val="24"/>
          <w:szCs w:val="24"/>
          <w:lang w:val="en-IE"/>
        </w:rPr>
        <w:t>, funded under the EU4Health programme,</w:t>
      </w:r>
      <w:r w:rsidRPr="00E03D97">
        <w:rPr>
          <w:rFonts w:ascii="Times New Roman" w:eastAsia="Times New Roman" w:hAnsi="Times New Roman" w:cs="Times New Roman"/>
          <w:noProof/>
          <w:sz w:val="24"/>
          <w:szCs w:val="24"/>
          <w:lang w:val="en-IE"/>
        </w:rPr>
        <w:t xml:space="preserve"> mobilises </w:t>
      </w:r>
      <w:r w:rsidR="0078495C">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experimental capacities of its members to speed</w:t>
      </w:r>
      <w:r w:rsidR="0078495C">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up the development of medical countermeasures, including diagnostics, therapeutics, and vaccines. </w:t>
      </w:r>
      <w:r w:rsidR="0031254B">
        <w:rPr>
          <w:rFonts w:ascii="Times New Roman" w:eastAsia="Times New Roman" w:hAnsi="Times New Roman" w:cs="Times New Roman"/>
          <w:noProof/>
          <w:sz w:val="24"/>
          <w:szCs w:val="24"/>
          <w:lang w:val="en-IE"/>
        </w:rPr>
        <w:t xml:space="preserve">DURABLE has a </w:t>
      </w:r>
      <w:r w:rsidRPr="00E03D97">
        <w:rPr>
          <w:rFonts w:ascii="Times New Roman" w:eastAsia="Times New Roman" w:hAnsi="Times New Roman" w:cs="Times New Roman"/>
          <w:noProof/>
          <w:sz w:val="24"/>
          <w:szCs w:val="24"/>
          <w:lang w:val="en-IE"/>
        </w:rPr>
        <w:t>global focus, thanks to the participation of members with laboratory capacities around the wor</w:t>
      </w:r>
      <w:r w:rsidR="0031254B">
        <w:rPr>
          <w:rFonts w:ascii="Times New Roman" w:eastAsia="Times New Roman" w:hAnsi="Times New Roman" w:cs="Times New Roman"/>
          <w:noProof/>
          <w:sz w:val="24"/>
          <w:szCs w:val="24"/>
          <w:lang w:val="en-IE"/>
        </w:rPr>
        <w:t>l</w:t>
      </w:r>
      <w:r w:rsidRPr="00E03D97">
        <w:rPr>
          <w:rFonts w:ascii="Times New Roman" w:eastAsia="Times New Roman" w:hAnsi="Times New Roman" w:cs="Times New Roman"/>
          <w:noProof/>
          <w:sz w:val="24"/>
          <w:szCs w:val="24"/>
          <w:lang w:val="en-IE"/>
        </w:rPr>
        <w:t xml:space="preserve">d </w:t>
      </w:r>
      <w:r w:rsidR="0031254B">
        <w:rPr>
          <w:rFonts w:ascii="Times New Roman" w:eastAsia="Times New Roman" w:hAnsi="Times New Roman" w:cs="Times New Roman"/>
          <w:noProof/>
          <w:sz w:val="24"/>
          <w:szCs w:val="24"/>
          <w:lang w:val="en-IE"/>
        </w:rPr>
        <w:t xml:space="preserve">and </w:t>
      </w:r>
      <w:r w:rsidR="00AC0FDC">
        <w:rPr>
          <w:rFonts w:ascii="Times New Roman" w:eastAsia="Times New Roman" w:hAnsi="Times New Roman" w:cs="Times New Roman"/>
          <w:noProof/>
          <w:sz w:val="24"/>
          <w:szCs w:val="24"/>
          <w:lang w:val="en-IE"/>
        </w:rPr>
        <w:t>is</w:t>
      </w:r>
      <w:r w:rsidR="0031254B">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complement</w:t>
      </w:r>
      <w:r w:rsidR="00AC0FDC">
        <w:rPr>
          <w:rFonts w:ascii="Times New Roman" w:eastAsia="Times New Roman" w:hAnsi="Times New Roman" w:cs="Times New Roman"/>
          <w:noProof/>
          <w:sz w:val="24"/>
          <w:szCs w:val="24"/>
          <w:lang w:val="en-IE"/>
        </w:rPr>
        <w:t>ary</w:t>
      </w:r>
      <w:r w:rsidRPr="00E03D97">
        <w:rPr>
          <w:rFonts w:ascii="Times New Roman" w:eastAsia="Times New Roman" w:hAnsi="Times New Roman" w:cs="Times New Roman"/>
          <w:noProof/>
          <w:sz w:val="24"/>
          <w:szCs w:val="24"/>
          <w:lang w:val="en-IE"/>
        </w:rPr>
        <w:t xml:space="preserve"> </w:t>
      </w:r>
      <w:r w:rsidR="00AC0FDC">
        <w:rPr>
          <w:rFonts w:ascii="Times New Roman" w:eastAsia="Times New Roman" w:hAnsi="Times New Roman" w:cs="Times New Roman"/>
          <w:noProof/>
          <w:sz w:val="24"/>
          <w:szCs w:val="24"/>
          <w:lang w:val="en-IE"/>
        </w:rPr>
        <w:t>to</w:t>
      </w:r>
      <w:r w:rsidR="0031254B">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the </w:t>
      </w:r>
      <w:r w:rsidR="0031254B">
        <w:rPr>
          <w:rFonts w:ascii="Times New Roman" w:eastAsia="Times New Roman" w:hAnsi="Times New Roman" w:cs="Times New Roman"/>
          <w:noProof/>
          <w:sz w:val="24"/>
          <w:szCs w:val="24"/>
          <w:lang w:val="en-IE"/>
        </w:rPr>
        <w:t>EURLs</w:t>
      </w:r>
      <w:r w:rsidRPr="00E03D97">
        <w:rPr>
          <w:rFonts w:ascii="Times New Roman" w:eastAsia="Times New Roman" w:hAnsi="Times New Roman" w:cs="Times New Roman"/>
          <w:noProof/>
          <w:sz w:val="24"/>
          <w:szCs w:val="24"/>
          <w:lang w:val="en-IE"/>
        </w:rPr>
        <w:t>. </w:t>
      </w:r>
    </w:p>
    <w:p w14:paraId="34C138F4" w14:textId="77777777" w:rsidR="001F1738" w:rsidRPr="00E03D97" w:rsidRDefault="001F1738" w:rsidP="001F1738">
      <w:pPr>
        <w:keepNext/>
        <w:keepLines/>
        <w:spacing w:before="100" w:beforeAutospacing="1" w:after="100" w:afterAutospacing="1" w:line="240" w:lineRule="auto"/>
        <w:jc w:val="both"/>
        <w:outlineLvl w:val="2"/>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Modern enhanced digital platforms for surveillance</w:t>
      </w:r>
    </w:p>
    <w:p w14:paraId="73B2C194" w14:textId="6B8FDCBC" w:rsidR="001F1738" w:rsidRPr="00E03D97" w:rsidRDefault="001F1738" w:rsidP="001F1738">
      <w:pPr>
        <w:spacing w:before="100" w:beforeAutospacing="1" w:after="100" w:afterAutospacing="1" w:line="240" w:lineRule="auto"/>
        <w:jc w:val="both"/>
        <w:textAlignment w:val="baseline"/>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 rapid development of digital tools is facilitating timely data</w:t>
      </w:r>
      <w:r w:rsidR="0031254B">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collection and sharing. To strengthen EU surveillance systems, Regulation (EU) 2022/2371 also enhances the use of digital platforms.</w:t>
      </w:r>
    </w:p>
    <w:p w14:paraId="2BB93BE9" w14:textId="16DE2F0E" w:rsidR="001F1738" w:rsidRPr="00E03D97" w:rsidRDefault="001F1738" w:rsidP="001F1738">
      <w:pPr>
        <w:spacing w:before="100" w:beforeAutospacing="1" w:after="100" w:afterAutospacing="1" w:line="240" w:lineRule="auto"/>
        <w:jc w:val="both"/>
        <w:textAlignment w:val="baseline"/>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In June 2021, </w:t>
      </w:r>
      <w:r w:rsidR="0031254B">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ECDC launched the European surveillance portal for infectious diseases (EpiPulse)</w:t>
      </w:r>
      <w:r w:rsidR="0031254B">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a platform for enabling real-time surveillance of infectious diseases</w:t>
      </w:r>
      <w:r w:rsidRPr="00E03D97">
        <w:rPr>
          <w:rFonts w:ascii="Times New Roman" w:eastAsia="Times New Roman" w:hAnsi="Times New Roman" w:cs="Times New Roman"/>
          <w:noProof/>
          <w:sz w:val="24"/>
          <w:szCs w:val="24"/>
          <w:vertAlign w:val="superscript"/>
          <w:lang w:val="en-IE"/>
        </w:rPr>
        <w:footnoteReference w:id="71"/>
      </w:r>
      <w:r w:rsidRPr="00E03D97">
        <w:rPr>
          <w:rFonts w:ascii="Times New Roman" w:eastAsia="Times New Roman" w:hAnsi="Times New Roman" w:cs="Times New Roman"/>
          <w:noProof/>
          <w:sz w:val="24"/>
          <w:szCs w:val="24"/>
          <w:lang w:val="en-IE"/>
        </w:rPr>
        <w:t>. EpiPulse is an online portal for EU/EEA public health authorities and partner organisations to collect, analyse, share and discuss infectious disease data. It supports threat detection, monitoring, risk assessment and outbreak response. EpiPulse will be further developed to</w:t>
      </w:r>
      <w:r w:rsidR="00937708">
        <w:rPr>
          <w:rFonts w:ascii="Times New Roman" w:eastAsia="Times New Roman" w:hAnsi="Times New Roman" w:cs="Times New Roman"/>
          <w:noProof/>
          <w:sz w:val="24"/>
          <w:szCs w:val="24"/>
          <w:lang w:val="en-IE"/>
        </w:rPr>
        <w:t xml:space="preserve"> take into</w:t>
      </w:r>
      <w:r w:rsidRPr="00E03D97">
        <w:rPr>
          <w:rFonts w:ascii="Times New Roman" w:eastAsia="Times New Roman" w:hAnsi="Times New Roman" w:cs="Times New Roman"/>
          <w:noProof/>
          <w:sz w:val="24"/>
          <w:szCs w:val="24"/>
          <w:lang w:val="en-IE"/>
        </w:rPr>
        <w:t xml:space="preserve"> account the requirements of Regulation (EU) 2022/2371 </w:t>
      </w:r>
      <w:r w:rsidR="00937708">
        <w:rPr>
          <w:rFonts w:ascii="Times New Roman" w:eastAsia="Times New Roman" w:hAnsi="Times New Roman" w:cs="Times New Roman"/>
          <w:noProof/>
          <w:sz w:val="24"/>
          <w:szCs w:val="24"/>
          <w:lang w:val="en-IE"/>
        </w:rPr>
        <w:t xml:space="preserve">and will </w:t>
      </w:r>
      <w:r w:rsidRPr="00E03D97">
        <w:rPr>
          <w:rFonts w:ascii="Times New Roman" w:eastAsia="Times New Roman" w:hAnsi="Times New Roman" w:cs="Times New Roman"/>
          <w:noProof/>
          <w:sz w:val="24"/>
          <w:szCs w:val="24"/>
          <w:lang w:val="en-IE"/>
        </w:rPr>
        <w:t>also integrat</w:t>
      </w:r>
      <w:r w:rsidR="00937708">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 other reporting tools such as the European Surveillance System for indicator-based surveillance (TESSy)</w:t>
      </w:r>
      <w:r w:rsidRPr="00E03D97">
        <w:rPr>
          <w:rFonts w:ascii="Times New Roman" w:eastAsia="Times New Roman" w:hAnsi="Times New Roman" w:cs="Times New Roman"/>
          <w:noProof/>
          <w:sz w:val="24"/>
          <w:szCs w:val="24"/>
          <w:vertAlign w:val="superscript"/>
          <w:lang w:val="en-IE"/>
        </w:rPr>
        <w:footnoteReference w:id="72"/>
      </w:r>
      <w:r w:rsidRPr="00E03D97">
        <w:rPr>
          <w:rFonts w:ascii="Times New Roman" w:eastAsia="Times New Roman" w:hAnsi="Times New Roman" w:cs="Times New Roman"/>
          <w:noProof/>
          <w:sz w:val="24"/>
          <w:szCs w:val="24"/>
          <w:lang w:val="en-IE"/>
        </w:rPr>
        <w:t xml:space="preserve">. </w:t>
      </w:r>
      <w:r w:rsidR="00937708">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ECDC is working on integrating Epidemic Intelligence from Open Sources (EIOS) </w:t>
      </w:r>
      <w:r w:rsidR="00937708">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 key </w:t>
      </w:r>
      <w:r w:rsidR="00937708" w:rsidRPr="00E03D97">
        <w:rPr>
          <w:rFonts w:ascii="Times New Roman" w:eastAsia="Times New Roman" w:hAnsi="Times New Roman" w:cs="Times New Roman"/>
          <w:noProof/>
          <w:sz w:val="24"/>
          <w:szCs w:val="24"/>
          <w:lang w:val="en-IE"/>
        </w:rPr>
        <w:t>threat</w:t>
      </w:r>
      <w:r w:rsidR="00937708">
        <w:rPr>
          <w:rFonts w:ascii="Times New Roman" w:eastAsia="Times New Roman" w:hAnsi="Times New Roman" w:cs="Times New Roman"/>
          <w:noProof/>
          <w:sz w:val="24"/>
          <w:szCs w:val="24"/>
          <w:lang w:val="en-IE"/>
        </w:rPr>
        <w:t>-</w:t>
      </w:r>
      <w:r w:rsidR="00937708" w:rsidRPr="00E03D97">
        <w:rPr>
          <w:rFonts w:ascii="Times New Roman" w:eastAsia="Times New Roman" w:hAnsi="Times New Roman" w:cs="Times New Roman"/>
          <w:noProof/>
          <w:sz w:val="24"/>
          <w:szCs w:val="24"/>
          <w:lang w:val="en-IE"/>
        </w:rPr>
        <w:t xml:space="preserve">detection </w:t>
      </w:r>
      <w:r w:rsidRPr="00E03D97">
        <w:rPr>
          <w:rFonts w:ascii="Times New Roman" w:eastAsia="Times New Roman" w:hAnsi="Times New Roman" w:cs="Times New Roman"/>
          <w:noProof/>
          <w:sz w:val="24"/>
          <w:szCs w:val="24"/>
          <w:lang w:val="en-IE"/>
        </w:rPr>
        <w:t xml:space="preserve">tool </w:t>
      </w:r>
      <w:r w:rsidR="00937708">
        <w:rPr>
          <w:rFonts w:ascii="Times New Roman" w:eastAsia="Times New Roman" w:hAnsi="Times New Roman" w:cs="Times New Roman"/>
          <w:noProof/>
          <w:sz w:val="24"/>
          <w:szCs w:val="24"/>
          <w:lang w:val="en-IE"/>
        </w:rPr>
        <w:t xml:space="preserve">that has been </w:t>
      </w:r>
      <w:r w:rsidRPr="00E03D97">
        <w:rPr>
          <w:rFonts w:ascii="Times New Roman" w:eastAsia="Times New Roman" w:hAnsi="Times New Roman" w:cs="Times New Roman"/>
          <w:noProof/>
          <w:sz w:val="24"/>
          <w:szCs w:val="24"/>
          <w:lang w:val="en-IE"/>
        </w:rPr>
        <w:t xml:space="preserve">developed in collaboration with </w:t>
      </w:r>
      <w:r w:rsidR="00937708">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WHO</w:t>
      </w:r>
      <w:r w:rsidRPr="00E03D97">
        <w:rPr>
          <w:rFonts w:ascii="Times New Roman" w:eastAsia="Times New Roman" w:hAnsi="Times New Roman" w:cs="Times New Roman"/>
          <w:noProof/>
          <w:sz w:val="24"/>
          <w:szCs w:val="24"/>
          <w:vertAlign w:val="superscript"/>
          <w:lang w:val="en-IE"/>
        </w:rPr>
        <w:footnoteReference w:id="73"/>
      </w:r>
      <w:r w:rsidRPr="00E03D97">
        <w:rPr>
          <w:rFonts w:ascii="Times New Roman" w:eastAsia="Times New Roman" w:hAnsi="Times New Roman" w:cs="Times New Roman"/>
          <w:noProof/>
          <w:sz w:val="24"/>
          <w:szCs w:val="24"/>
          <w:lang w:val="en-IE"/>
        </w:rPr>
        <w:t xml:space="preserve"> </w:t>
      </w:r>
      <w:r w:rsidR="00937708">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with EpiPulse in order to streamline the threat</w:t>
      </w:r>
      <w:r w:rsidR="000E393B">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detection, monitoring and assessment process. </w:t>
      </w:r>
    </w:p>
    <w:p w14:paraId="7C3C17E8" w14:textId="64BFEDF2" w:rsidR="001F1738"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 Commission</w:t>
      </w:r>
      <w:r w:rsidR="00F233F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is developing the ATHINA (Advanced Technology for Health INtelligence and Action)</w:t>
      </w:r>
      <w:r w:rsidRPr="00E03D97">
        <w:rPr>
          <w:rFonts w:ascii="Times New Roman" w:eastAsia="Times New Roman" w:hAnsi="Times New Roman" w:cs="Times New Roman"/>
          <w:noProof/>
          <w:sz w:val="24"/>
          <w:szCs w:val="24"/>
          <w:vertAlign w:val="superscript"/>
          <w:lang w:val="en-IE"/>
        </w:rPr>
        <w:footnoteReference w:id="74"/>
      </w:r>
      <w:r w:rsidRPr="00E03D97">
        <w:rPr>
          <w:rFonts w:ascii="Times New Roman" w:eastAsia="Times New Roman" w:hAnsi="Times New Roman" w:cs="Times New Roman"/>
          <w:noProof/>
          <w:sz w:val="24"/>
          <w:szCs w:val="24"/>
          <w:lang w:val="en-IE"/>
        </w:rPr>
        <w:t xml:space="preserve"> IT system to support its daily threat</w:t>
      </w:r>
      <w:r w:rsidR="000B2D2A">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assessment activities and </w:t>
      </w:r>
      <w:r w:rsidR="00524938">
        <w:rPr>
          <w:rFonts w:ascii="Times New Roman" w:eastAsia="Times New Roman" w:hAnsi="Times New Roman" w:cs="Times New Roman"/>
          <w:noProof/>
          <w:sz w:val="24"/>
          <w:szCs w:val="24"/>
          <w:lang w:val="en-IE"/>
        </w:rPr>
        <w:t xml:space="preserve">to </w:t>
      </w:r>
      <w:r w:rsidRPr="00E03D97">
        <w:rPr>
          <w:rFonts w:ascii="Times New Roman" w:eastAsia="Times New Roman" w:hAnsi="Times New Roman" w:cs="Times New Roman"/>
          <w:noProof/>
          <w:sz w:val="24"/>
          <w:szCs w:val="24"/>
          <w:lang w:val="en-IE"/>
        </w:rPr>
        <w:t xml:space="preserve">generate </w:t>
      </w:r>
      <w:r w:rsidR="0033327F">
        <w:rPr>
          <w:rFonts w:ascii="Times New Roman" w:eastAsia="Times New Roman" w:hAnsi="Times New Roman" w:cs="Times New Roman"/>
          <w:noProof/>
          <w:sz w:val="24"/>
          <w:szCs w:val="24"/>
          <w:lang w:val="en-IE"/>
        </w:rPr>
        <w:t>useful</w:t>
      </w:r>
      <w:r w:rsidR="0033327F"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insights for decision-making. ATHINA will </w:t>
      </w:r>
      <w:r w:rsidR="00B00385">
        <w:rPr>
          <w:rFonts w:ascii="Times New Roman" w:eastAsia="Times New Roman" w:hAnsi="Times New Roman" w:cs="Times New Roman"/>
          <w:noProof/>
          <w:sz w:val="24"/>
          <w:szCs w:val="24"/>
          <w:lang w:val="en-IE"/>
        </w:rPr>
        <w:t>help</w:t>
      </w:r>
      <w:r w:rsidR="006A69BA">
        <w:rPr>
          <w:rFonts w:ascii="Times New Roman" w:eastAsia="Times New Roman" w:hAnsi="Times New Roman" w:cs="Times New Roman"/>
          <w:noProof/>
          <w:sz w:val="24"/>
          <w:szCs w:val="24"/>
          <w:lang w:val="en-IE"/>
        </w:rPr>
        <w:t xml:space="preserve"> the Commission</w:t>
      </w:r>
      <w:r w:rsidRPr="00E03D97">
        <w:rPr>
          <w:rFonts w:ascii="Times New Roman" w:eastAsia="Times New Roman" w:hAnsi="Times New Roman" w:cs="Times New Roman"/>
          <w:noProof/>
          <w:sz w:val="24"/>
          <w:szCs w:val="24"/>
          <w:lang w:val="en-IE"/>
        </w:rPr>
        <w:t xml:space="preserve"> </w:t>
      </w:r>
      <w:r w:rsidR="00B00385">
        <w:rPr>
          <w:rFonts w:ascii="Times New Roman" w:eastAsia="Times New Roman" w:hAnsi="Times New Roman" w:cs="Times New Roman"/>
          <w:noProof/>
          <w:sz w:val="24"/>
          <w:szCs w:val="24"/>
          <w:lang w:val="en-IE"/>
        </w:rPr>
        <w:t>to detect</w:t>
      </w:r>
      <w:r w:rsidRPr="00E03D97">
        <w:rPr>
          <w:rFonts w:ascii="Times New Roman" w:eastAsia="Times New Roman" w:hAnsi="Times New Roman" w:cs="Times New Roman"/>
          <w:noProof/>
          <w:sz w:val="24"/>
          <w:szCs w:val="24"/>
          <w:lang w:val="en-IE"/>
        </w:rPr>
        <w:t xml:space="preserve"> </w:t>
      </w:r>
      <w:r w:rsidR="00B00385">
        <w:rPr>
          <w:rFonts w:ascii="Times New Roman" w:eastAsia="Times New Roman" w:hAnsi="Times New Roman" w:cs="Times New Roman"/>
          <w:noProof/>
          <w:sz w:val="24"/>
          <w:szCs w:val="24"/>
          <w:lang w:val="en-IE"/>
        </w:rPr>
        <w:t xml:space="preserve">relevant </w:t>
      </w:r>
      <w:r w:rsidRPr="00E03D97">
        <w:rPr>
          <w:rFonts w:ascii="Times New Roman" w:eastAsia="Times New Roman" w:hAnsi="Times New Roman" w:cs="Times New Roman"/>
          <w:noProof/>
          <w:sz w:val="24"/>
          <w:szCs w:val="24"/>
          <w:lang w:val="en-IE"/>
        </w:rPr>
        <w:t xml:space="preserve">signals on possible health threats </w:t>
      </w:r>
      <w:r w:rsidR="00B00385">
        <w:rPr>
          <w:rFonts w:ascii="Times New Roman" w:eastAsia="Times New Roman" w:hAnsi="Times New Roman" w:cs="Times New Roman"/>
          <w:noProof/>
          <w:sz w:val="24"/>
          <w:szCs w:val="24"/>
          <w:lang w:val="en-IE"/>
        </w:rPr>
        <w:t xml:space="preserve">that </w:t>
      </w:r>
      <w:r w:rsidRPr="00E03D97">
        <w:rPr>
          <w:rFonts w:ascii="Times New Roman" w:eastAsia="Times New Roman" w:hAnsi="Times New Roman" w:cs="Times New Roman"/>
          <w:noProof/>
          <w:sz w:val="24"/>
          <w:szCs w:val="24"/>
          <w:lang w:val="en-IE"/>
        </w:rPr>
        <w:t>requir</w:t>
      </w:r>
      <w:r w:rsidR="00B00385">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 a medical countermeasure response</w:t>
      </w:r>
      <w:r w:rsidR="007D720E">
        <w:rPr>
          <w:rFonts w:ascii="Times New Roman" w:eastAsia="Times New Roman" w:hAnsi="Times New Roman" w:cs="Times New Roman"/>
          <w:noProof/>
          <w:sz w:val="24"/>
          <w:szCs w:val="24"/>
          <w:lang w:val="en-IE"/>
        </w:rPr>
        <w:t xml:space="preserve"> </w:t>
      </w:r>
      <w:r w:rsidR="007D720E" w:rsidRPr="007D720E">
        <w:rPr>
          <w:rFonts w:ascii="Times New Roman" w:eastAsia="Times New Roman" w:hAnsi="Times New Roman" w:cs="Times New Roman"/>
          <w:noProof/>
          <w:sz w:val="24"/>
          <w:szCs w:val="24"/>
        </w:rPr>
        <w:t>bas</w:t>
      </w:r>
      <w:r w:rsidR="007D720E">
        <w:rPr>
          <w:rFonts w:ascii="Times New Roman" w:eastAsia="Times New Roman" w:hAnsi="Times New Roman" w:cs="Times New Roman"/>
          <w:noProof/>
          <w:sz w:val="24"/>
          <w:szCs w:val="24"/>
        </w:rPr>
        <w:t>ed</w:t>
      </w:r>
      <w:r w:rsidR="007D720E" w:rsidRPr="007D720E">
        <w:rPr>
          <w:rFonts w:ascii="Times New Roman" w:eastAsia="Times New Roman" w:hAnsi="Times New Roman" w:cs="Times New Roman"/>
          <w:noProof/>
          <w:sz w:val="24"/>
          <w:szCs w:val="24"/>
        </w:rPr>
        <w:t xml:space="preserve"> on supply chain analysis</w:t>
      </w:r>
      <w:r w:rsidR="00A96694">
        <w:rPr>
          <w:rFonts w:ascii="Times New Roman" w:eastAsia="Times New Roman" w:hAnsi="Times New Roman" w:cs="Times New Roman"/>
          <w:noProof/>
          <w:sz w:val="24"/>
          <w:szCs w:val="24"/>
        </w:rPr>
        <w:t xml:space="preserve"> and identified</w:t>
      </w:r>
      <w:r w:rsidR="007D720E">
        <w:rPr>
          <w:rFonts w:ascii="Times New Roman" w:eastAsia="Times New Roman" w:hAnsi="Times New Roman" w:cs="Times New Roman"/>
          <w:noProof/>
          <w:sz w:val="24"/>
          <w:szCs w:val="24"/>
        </w:rPr>
        <w:t xml:space="preserve"> </w:t>
      </w:r>
      <w:r w:rsidRPr="00E03D97">
        <w:rPr>
          <w:rFonts w:ascii="Times New Roman" w:eastAsia="Times New Roman" w:hAnsi="Times New Roman" w:cs="Times New Roman"/>
          <w:noProof/>
          <w:sz w:val="24"/>
          <w:szCs w:val="24"/>
          <w:lang w:val="en-IE"/>
        </w:rPr>
        <w:t>vulnerabilities in the supply of medical countermeasures</w:t>
      </w:r>
      <w:r w:rsidR="00A96694">
        <w:rPr>
          <w:rFonts w:ascii="Times New Roman" w:eastAsia="Times New Roman" w:hAnsi="Times New Roman" w:cs="Times New Roman"/>
          <w:noProof/>
          <w:sz w:val="24"/>
          <w:szCs w:val="24"/>
          <w:lang w:val="en-IE"/>
        </w:rPr>
        <w:t>, including the risk of shortages and strategic dependencies</w:t>
      </w:r>
      <w:r w:rsidR="00B00385">
        <w:rPr>
          <w:rFonts w:ascii="Times New Roman" w:eastAsia="Times New Roman" w:hAnsi="Times New Roman" w:cs="Times New Roman"/>
          <w:noProof/>
          <w:sz w:val="24"/>
          <w:szCs w:val="24"/>
          <w:lang w:val="en-IE"/>
        </w:rPr>
        <w:t xml:space="preserve">. </w:t>
      </w:r>
      <w:r w:rsidR="00F233F7">
        <w:rPr>
          <w:rFonts w:ascii="Times New Roman" w:eastAsia="Times New Roman" w:hAnsi="Times New Roman" w:cs="Times New Roman"/>
          <w:noProof/>
          <w:sz w:val="24"/>
          <w:szCs w:val="24"/>
          <w:lang w:val="en-IE"/>
        </w:rPr>
        <w:t xml:space="preserve">To this end, </w:t>
      </w:r>
      <w:r w:rsidRPr="00E03D97">
        <w:rPr>
          <w:rFonts w:ascii="Times New Roman" w:eastAsia="Times New Roman" w:hAnsi="Times New Roman" w:cs="Times New Roman"/>
          <w:noProof/>
          <w:sz w:val="24"/>
          <w:szCs w:val="24"/>
          <w:lang w:val="en-IE"/>
        </w:rPr>
        <w:t xml:space="preserve">ATHINA </w:t>
      </w:r>
      <w:r w:rsidR="00B00385">
        <w:rPr>
          <w:rFonts w:ascii="Times New Roman" w:eastAsia="Times New Roman" w:hAnsi="Times New Roman" w:cs="Times New Roman"/>
          <w:noProof/>
          <w:sz w:val="24"/>
          <w:szCs w:val="24"/>
          <w:lang w:val="en-IE"/>
        </w:rPr>
        <w:t>will</w:t>
      </w:r>
      <w:r w:rsidR="00B00385"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gather intelligence by exchanging data on medical countermeasures and public health threats </w:t>
      </w:r>
      <w:r w:rsidR="00B00385">
        <w:rPr>
          <w:rFonts w:ascii="Times New Roman" w:eastAsia="Times New Roman" w:hAnsi="Times New Roman" w:cs="Times New Roman"/>
          <w:noProof/>
          <w:sz w:val="24"/>
          <w:szCs w:val="24"/>
          <w:lang w:val="en-IE"/>
        </w:rPr>
        <w:t>with</w:t>
      </w:r>
      <w:r w:rsidR="00B00385"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relevant databases (e.g. </w:t>
      </w:r>
      <w:r w:rsidR="00B00385">
        <w:rPr>
          <w:rFonts w:ascii="Times New Roman" w:eastAsia="Times New Roman" w:hAnsi="Times New Roman" w:cs="Times New Roman"/>
          <w:noProof/>
          <w:sz w:val="24"/>
          <w:szCs w:val="24"/>
          <w:lang w:val="en-IE"/>
        </w:rPr>
        <w:t xml:space="preserve">those of the </w:t>
      </w:r>
      <w:r w:rsidRPr="00E03D97">
        <w:rPr>
          <w:rFonts w:ascii="Times New Roman" w:eastAsia="Times New Roman" w:hAnsi="Times New Roman" w:cs="Times New Roman"/>
          <w:noProof/>
          <w:sz w:val="24"/>
          <w:szCs w:val="24"/>
          <w:lang w:val="en-IE"/>
        </w:rPr>
        <w:t xml:space="preserve">ECDC and </w:t>
      </w:r>
      <w:r w:rsidR="009E6237">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EMA)</w:t>
      </w:r>
      <w:r w:rsidR="00B00385">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reusing existing systems (e.g. </w:t>
      </w:r>
      <w:r w:rsidR="00B00385">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WHO’s EIOS platform) and other sources</w:t>
      </w:r>
      <w:r w:rsidR="00B00385">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sidR="00B00385">
        <w:rPr>
          <w:rFonts w:ascii="Times New Roman" w:eastAsia="Times New Roman" w:hAnsi="Times New Roman" w:cs="Times New Roman"/>
          <w:noProof/>
          <w:sz w:val="24"/>
          <w:szCs w:val="24"/>
          <w:lang w:val="en-IE"/>
        </w:rPr>
        <w:t xml:space="preserve">and </w:t>
      </w:r>
      <w:r w:rsidRPr="00E03D97">
        <w:rPr>
          <w:rFonts w:ascii="Times New Roman" w:eastAsia="Times New Roman" w:hAnsi="Times New Roman" w:cs="Times New Roman"/>
          <w:noProof/>
          <w:sz w:val="24"/>
          <w:szCs w:val="24"/>
          <w:lang w:val="en-IE"/>
        </w:rPr>
        <w:t xml:space="preserve">ensuring interoperability </w:t>
      </w:r>
      <w:r w:rsidR="00F233F7">
        <w:rPr>
          <w:rFonts w:ascii="Times New Roman" w:eastAsia="Times New Roman" w:hAnsi="Times New Roman" w:cs="Times New Roman"/>
          <w:noProof/>
          <w:sz w:val="24"/>
          <w:szCs w:val="24"/>
          <w:lang w:val="en-IE"/>
        </w:rPr>
        <w:t>among</w:t>
      </w:r>
      <w:r w:rsidR="00F233F7"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digital solutions.</w:t>
      </w:r>
      <w:r w:rsidR="00F233F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w:t>
      </w:r>
    </w:p>
    <w:p w14:paraId="1E14372C"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rFonts w:ascii="Times New Roman" w:eastAsia="Times New Roman" w:hAnsi="Times New Roman" w:cs="Times New Roman"/>
          <w:b/>
          <w:bCs/>
          <w:noProof/>
          <w:sz w:val="24"/>
          <w:szCs w:val="24"/>
          <w:lang w:val="en-IE"/>
        </w:rPr>
      </w:pPr>
      <w:bookmarkStart w:id="6" w:name="_Hlk150770134"/>
      <w:bookmarkStart w:id="7" w:name="_Hlk150770135"/>
      <w:bookmarkStart w:id="8" w:name="_Hlk150770142"/>
      <w:bookmarkStart w:id="9" w:name="_Hlk150770143"/>
      <w:bookmarkStart w:id="10" w:name="_Hlk150770144"/>
      <w:bookmarkStart w:id="11" w:name="_Hlk150770145"/>
      <w:bookmarkStart w:id="12" w:name="_Hlk150770146"/>
      <w:bookmarkStart w:id="13" w:name="_Hlk150770147"/>
      <w:bookmarkStart w:id="14" w:name="_Hlk150770148"/>
      <w:bookmarkStart w:id="15" w:name="_Hlk150770149"/>
      <w:bookmarkStart w:id="16" w:name="_Hlk150770150"/>
      <w:bookmarkStart w:id="17" w:name="_Hlk150770151"/>
      <w:r w:rsidRPr="00003506">
        <w:rPr>
          <w:rFonts w:ascii="Times New Roman" w:eastAsia="Times New Roman" w:hAnsi="Times New Roman" w:cs="Times New Roman"/>
          <w:b/>
          <w:bCs/>
          <w:noProof/>
          <w:sz w:val="24"/>
          <w:szCs w:val="24"/>
          <w:lang w:val="en-IE"/>
        </w:rPr>
        <w:t>Unlocking the power of health data</w:t>
      </w:r>
    </w:p>
    <w:p w14:paraId="08955959"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003506">
        <w:rPr>
          <w:rFonts w:ascii="Times New Roman" w:eastAsia="Times New Roman" w:hAnsi="Times New Roman" w:cs="Times New Roman"/>
          <w:noProof/>
          <w:sz w:val="24"/>
          <w:szCs w:val="24"/>
          <w:lang w:val="en-IE"/>
        </w:rPr>
        <w:t>The proposal for a regulation on a European Health Data Space is intended to unlock the power of health data by enabling the reuse of electronic health data for research, innovation, official statistics, policy-making and regulatory activities. This includes the reuse of health data for surveillance purposes in order to protect against health threats or ensure high standards of quality and safety of healthcare and of medicinal products and medical devices. To develop and deploy the EU’s infrastructure for the secondary use of health data, HealthData@EU was launched in October 2022 as a two-year pilot project. It will test the infrastructure for the secondary use of health data on use cases. Examples include focusing on AMR surveillance and test use, hospitalisations, and vaccination adherence in vulnerable subpopulations. The ECDC will also participate in the project by assessing the use of the infrastructure for public health surveillance.</w:t>
      </w:r>
    </w:p>
    <w:bookmarkEnd w:id="6"/>
    <w:bookmarkEnd w:id="7"/>
    <w:bookmarkEnd w:id="8"/>
    <w:bookmarkEnd w:id="9"/>
    <w:bookmarkEnd w:id="10"/>
    <w:bookmarkEnd w:id="11"/>
    <w:bookmarkEnd w:id="12"/>
    <w:bookmarkEnd w:id="13"/>
    <w:bookmarkEnd w:id="14"/>
    <w:bookmarkEnd w:id="15"/>
    <w:bookmarkEnd w:id="16"/>
    <w:bookmarkEnd w:id="17"/>
    <w:p w14:paraId="286E1D50" w14:textId="77777777"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 xml:space="preserve">Boosting integrated One Health surveillance systems </w:t>
      </w:r>
    </w:p>
    <w:p w14:paraId="23674D9F" w14:textId="4193C5A3" w:rsidR="001F1738" w:rsidRPr="00E03D97" w:rsidRDefault="001F1738" w:rsidP="001F1738">
      <w:pPr>
        <w:spacing w:before="100" w:beforeAutospacing="1" w:after="100" w:afterAutospacing="1" w:line="240" w:lineRule="auto"/>
        <w:jc w:val="both"/>
        <w:textAlignment w:val="baseline"/>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 Commissio</w:t>
      </w:r>
      <w:r w:rsidR="00A96694">
        <w:rPr>
          <w:rFonts w:ascii="Times New Roman" w:eastAsia="Times New Roman" w:hAnsi="Times New Roman" w:cs="Times New Roman"/>
          <w:noProof/>
          <w:sz w:val="24"/>
          <w:szCs w:val="24"/>
          <w:lang w:val="en-IE"/>
        </w:rPr>
        <w:t>n</w:t>
      </w:r>
      <w:r w:rsidR="00E66B2E">
        <w:rPr>
          <w:rFonts w:ascii="Times New Roman" w:eastAsia="Times New Roman" w:hAnsi="Times New Roman" w:cs="Times New Roman"/>
          <w:noProof/>
          <w:sz w:val="24"/>
          <w:szCs w:val="24"/>
          <w:lang w:val="en-IE"/>
        </w:rPr>
        <w:t xml:space="preserve"> is</w:t>
      </w:r>
      <w:r w:rsidRPr="00E03D97">
        <w:rPr>
          <w:rFonts w:ascii="Times New Roman" w:eastAsia="Times New Roman" w:hAnsi="Times New Roman" w:cs="Times New Roman"/>
          <w:noProof/>
          <w:sz w:val="24"/>
          <w:szCs w:val="24"/>
          <w:lang w:val="en-IE"/>
        </w:rPr>
        <w:t xml:space="preserve"> support</w:t>
      </w:r>
      <w:r w:rsidR="00E66B2E">
        <w:rPr>
          <w:rFonts w:ascii="Times New Roman" w:eastAsia="Times New Roman" w:hAnsi="Times New Roman" w:cs="Times New Roman"/>
          <w:noProof/>
          <w:sz w:val="24"/>
          <w:szCs w:val="24"/>
          <w:lang w:val="en-IE"/>
        </w:rPr>
        <w:t xml:space="preserve">ing </w:t>
      </w:r>
      <w:r w:rsidRPr="00E03D97">
        <w:rPr>
          <w:rFonts w:ascii="Times New Roman" w:eastAsia="Times New Roman" w:hAnsi="Times New Roman" w:cs="Times New Roman"/>
          <w:noProof/>
          <w:sz w:val="24"/>
          <w:szCs w:val="24"/>
          <w:lang w:val="en-IE"/>
        </w:rPr>
        <w:t>integrated One Health surveillance systems</w:t>
      </w:r>
      <w:r w:rsidR="00E462D4">
        <w:rPr>
          <w:rFonts w:ascii="Times New Roman" w:eastAsia="Times New Roman" w:hAnsi="Times New Roman" w:cs="Times New Roman"/>
          <w:noProof/>
          <w:sz w:val="24"/>
          <w:szCs w:val="24"/>
          <w:lang w:val="en-IE"/>
        </w:rPr>
        <w:t xml:space="preserve"> that</w:t>
      </w:r>
      <w:r w:rsidRPr="00E03D97">
        <w:rPr>
          <w:rFonts w:ascii="Times New Roman" w:eastAsia="Times New Roman" w:hAnsi="Times New Roman" w:cs="Times New Roman"/>
          <w:noProof/>
          <w:sz w:val="24"/>
          <w:szCs w:val="24"/>
          <w:lang w:val="en-IE"/>
        </w:rPr>
        <w:t xml:space="preserve"> </w:t>
      </w:r>
      <w:r w:rsidR="00E462D4">
        <w:rPr>
          <w:rFonts w:ascii="Times New Roman" w:eastAsia="Times New Roman" w:hAnsi="Times New Roman" w:cs="Times New Roman"/>
          <w:noProof/>
          <w:sz w:val="24"/>
          <w:szCs w:val="24"/>
          <w:lang w:val="en-IE"/>
        </w:rPr>
        <w:t>cover</w:t>
      </w:r>
      <w:r w:rsidRPr="00E03D97">
        <w:rPr>
          <w:rFonts w:ascii="Times New Roman" w:eastAsia="Times New Roman" w:hAnsi="Times New Roman" w:cs="Times New Roman"/>
          <w:noProof/>
          <w:sz w:val="24"/>
          <w:szCs w:val="24"/>
          <w:lang w:val="en-IE"/>
        </w:rPr>
        <w:t xml:space="preserve"> the links between human and animal health and the environment. </w:t>
      </w:r>
      <w:r w:rsidR="004255C7">
        <w:rPr>
          <w:rFonts w:ascii="Times New Roman" w:eastAsia="Times New Roman" w:hAnsi="Times New Roman" w:cs="Times New Roman"/>
          <w:noProof/>
          <w:sz w:val="24"/>
          <w:szCs w:val="24"/>
          <w:lang w:val="en-IE"/>
        </w:rPr>
        <w:t>One of these is the</w:t>
      </w:r>
      <w:r w:rsidRPr="00E03D97">
        <w:rPr>
          <w:rFonts w:ascii="Times New Roman" w:eastAsia="Times New Roman" w:hAnsi="Times New Roman" w:cs="Times New Roman"/>
          <w:noProof/>
          <w:sz w:val="24"/>
          <w:szCs w:val="24"/>
          <w:lang w:val="en-IE"/>
        </w:rPr>
        <w:t xml:space="preserve"> EUR</w:t>
      </w:r>
      <w:r w:rsidR="00E462D4">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7.8</w:t>
      </w:r>
      <w:r w:rsidR="00E462D4">
        <w:rPr>
          <w:rFonts w:ascii="Times New Roman" w:eastAsia="Times New Roman" w:hAnsi="Times New Roman" w:cs="Times New Roman"/>
          <w:noProof/>
          <w:sz w:val="24"/>
          <w:szCs w:val="24"/>
          <w:lang w:val="en-IE"/>
        </w:rPr>
        <w:t> million</w:t>
      </w:r>
      <w:r w:rsidRPr="00E03D97">
        <w:rPr>
          <w:rFonts w:ascii="Times New Roman" w:eastAsia="Times New Roman" w:hAnsi="Times New Roman" w:cs="Times New Roman"/>
          <w:noProof/>
          <w:sz w:val="24"/>
          <w:szCs w:val="24"/>
          <w:lang w:val="en-IE"/>
        </w:rPr>
        <w:t xml:space="preserve"> </w:t>
      </w:r>
      <w:r w:rsidR="00E462D4">
        <w:rPr>
          <w:rFonts w:ascii="Times New Roman" w:eastAsia="Times New Roman" w:hAnsi="Times New Roman" w:cs="Times New Roman"/>
          <w:noProof/>
          <w:sz w:val="24"/>
          <w:szCs w:val="24"/>
          <w:lang w:val="en-IE"/>
        </w:rPr>
        <w:t>j</w:t>
      </w:r>
      <w:r w:rsidRPr="00E03D97">
        <w:rPr>
          <w:rFonts w:ascii="Times New Roman" w:eastAsia="Times New Roman" w:hAnsi="Times New Roman" w:cs="Times New Roman"/>
          <w:noProof/>
          <w:sz w:val="24"/>
          <w:szCs w:val="24"/>
          <w:lang w:val="en-IE"/>
        </w:rPr>
        <w:t xml:space="preserve">oint </w:t>
      </w:r>
      <w:r w:rsidR="00E462D4">
        <w:rPr>
          <w:rFonts w:ascii="Times New Roman" w:eastAsia="Times New Roman" w:hAnsi="Times New Roman" w:cs="Times New Roman"/>
          <w:noProof/>
          <w:sz w:val="24"/>
          <w:szCs w:val="24"/>
          <w:lang w:val="en-IE"/>
        </w:rPr>
        <w:t>a</w:t>
      </w:r>
      <w:r w:rsidRPr="00E03D97">
        <w:rPr>
          <w:rFonts w:ascii="Times New Roman" w:eastAsia="Times New Roman" w:hAnsi="Times New Roman" w:cs="Times New Roman"/>
          <w:noProof/>
          <w:sz w:val="24"/>
          <w:szCs w:val="24"/>
          <w:lang w:val="en-IE"/>
        </w:rPr>
        <w:t>cti</w:t>
      </w:r>
      <w:r w:rsidRPr="00E462D4">
        <w:rPr>
          <w:rFonts w:ascii="Times New Roman" w:eastAsia="Times New Roman" w:hAnsi="Times New Roman" w:cs="Times New Roman"/>
          <w:noProof/>
          <w:sz w:val="24"/>
          <w:szCs w:val="24"/>
          <w:lang w:val="en-IE"/>
        </w:rPr>
        <w:t xml:space="preserve">on </w:t>
      </w:r>
      <w:r w:rsidR="00E462D4" w:rsidRPr="00E462D4">
        <w:rPr>
          <w:rFonts w:ascii="Times New Roman" w:eastAsia="Times New Roman" w:hAnsi="Times New Roman" w:cs="Times New Roman"/>
          <w:noProof/>
          <w:sz w:val="24"/>
          <w:szCs w:val="24"/>
          <w:lang w:val="en-IE"/>
        </w:rPr>
        <w:t>‘</w:t>
      </w:r>
      <w:r w:rsidRPr="00B43F78">
        <w:rPr>
          <w:rFonts w:ascii="Times New Roman" w:eastAsia="Times New Roman" w:hAnsi="Times New Roman" w:cs="Times New Roman"/>
          <w:noProof/>
          <w:sz w:val="24"/>
          <w:szCs w:val="24"/>
          <w:lang w:val="en-IE"/>
        </w:rPr>
        <w:t>Union and National Capacity Building for IntegraTED Surveillance (UNITED4Surveillance)</w:t>
      </w:r>
      <w:r w:rsidR="00E462D4" w:rsidRPr="00B43F78">
        <w:rPr>
          <w:rFonts w:ascii="Times New Roman" w:eastAsia="Times New Roman" w:hAnsi="Times New Roman" w:cs="Times New Roman"/>
          <w:noProof/>
          <w:sz w:val="24"/>
          <w:szCs w:val="24"/>
          <w:lang w:val="en-IE"/>
        </w:rPr>
        <w:t>’</w:t>
      </w:r>
      <w:r w:rsidR="00E462D4" w:rsidRPr="00E03D97">
        <w:rPr>
          <w:rFonts w:ascii="Times New Roman" w:eastAsia="Times New Roman" w:hAnsi="Times New Roman" w:cs="Times New Roman"/>
          <w:noProof/>
          <w:sz w:val="24"/>
          <w:szCs w:val="24"/>
          <w:vertAlign w:val="superscript"/>
          <w:lang w:val="en-IE"/>
        </w:rPr>
        <w:footnoteReference w:id="75"/>
      </w:r>
      <w:r w:rsidR="004255C7">
        <w:rPr>
          <w:rFonts w:ascii="Times New Roman" w:eastAsia="Times New Roman" w:hAnsi="Times New Roman" w:cs="Times New Roman"/>
          <w:noProof/>
          <w:sz w:val="24"/>
          <w:szCs w:val="24"/>
          <w:lang w:val="en-IE"/>
        </w:rPr>
        <w:t>, f</w:t>
      </w:r>
      <w:r w:rsidR="004255C7" w:rsidRPr="00E03D97">
        <w:rPr>
          <w:rFonts w:ascii="Times New Roman" w:eastAsia="Times New Roman" w:hAnsi="Times New Roman" w:cs="Times New Roman"/>
          <w:noProof/>
          <w:sz w:val="24"/>
          <w:szCs w:val="24"/>
          <w:lang w:val="en-IE"/>
        </w:rPr>
        <w:t xml:space="preserve">unded under </w:t>
      </w:r>
      <w:r w:rsidR="004255C7">
        <w:rPr>
          <w:rFonts w:ascii="Times New Roman" w:eastAsia="Times New Roman" w:hAnsi="Times New Roman" w:cs="Times New Roman"/>
          <w:noProof/>
          <w:sz w:val="24"/>
          <w:szCs w:val="24"/>
          <w:lang w:val="en-IE"/>
        </w:rPr>
        <w:t xml:space="preserve">the </w:t>
      </w:r>
      <w:r w:rsidR="004255C7" w:rsidRPr="00E03D97">
        <w:rPr>
          <w:rFonts w:ascii="Times New Roman" w:eastAsia="Times New Roman" w:hAnsi="Times New Roman" w:cs="Times New Roman"/>
          <w:noProof/>
          <w:sz w:val="24"/>
          <w:szCs w:val="24"/>
          <w:lang w:val="en-IE"/>
        </w:rPr>
        <w:t>EU4Health</w:t>
      </w:r>
      <w:r w:rsidR="004255C7">
        <w:rPr>
          <w:rFonts w:ascii="Times New Roman" w:eastAsia="Times New Roman" w:hAnsi="Times New Roman" w:cs="Times New Roman"/>
          <w:noProof/>
          <w:sz w:val="24"/>
          <w:szCs w:val="24"/>
          <w:lang w:val="en-IE"/>
        </w:rPr>
        <w:t xml:space="preserve"> programme and</w:t>
      </w:r>
      <w:r w:rsidRPr="00E03D97">
        <w:rPr>
          <w:rFonts w:ascii="Times New Roman" w:eastAsia="Times New Roman" w:hAnsi="Times New Roman" w:cs="Times New Roman"/>
          <w:noProof/>
          <w:sz w:val="24"/>
          <w:szCs w:val="24"/>
          <w:lang w:val="en-IE"/>
        </w:rPr>
        <w:t xml:space="preserve"> launched in February 2023 with national competent authorities to promote the integration of surveillance systems at EU level by supporting improvements in national surveillance systems. </w:t>
      </w:r>
      <w:r w:rsidR="00E462D4" w:rsidRPr="000F170C">
        <w:rPr>
          <w:rFonts w:ascii="Times New Roman" w:eastAsia="Times New Roman" w:hAnsi="Times New Roman" w:cs="Times New Roman"/>
          <w:noProof/>
          <w:sz w:val="24"/>
          <w:szCs w:val="24"/>
          <w:lang w:val="en-IE"/>
        </w:rPr>
        <w:t>UNITED4Surveillance</w:t>
      </w:r>
      <w:r w:rsidR="00E462D4" w:rsidRPr="00E03D97" w:rsidDel="00E462D4">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focuses on defining guidelines for integrating different sources of electronic health data and digital registers/databases, surveillance capacity-building within </w:t>
      </w:r>
      <w:r w:rsidR="0073488A">
        <w:rPr>
          <w:rFonts w:ascii="Times New Roman" w:eastAsia="Times New Roman" w:hAnsi="Times New Roman" w:cs="Times New Roman"/>
          <w:noProof/>
          <w:sz w:val="24"/>
          <w:szCs w:val="24"/>
          <w:lang w:val="en-IE"/>
        </w:rPr>
        <w:t>the EU</w:t>
      </w:r>
      <w:r w:rsidR="0073488A"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and beyond, and improving global health security.</w:t>
      </w:r>
    </w:p>
    <w:p w14:paraId="4D199225" w14:textId="5D11C52C" w:rsidR="001F1738" w:rsidRPr="00E03D97" w:rsidRDefault="001F1738" w:rsidP="001F1738">
      <w:pPr>
        <w:spacing w:before="100" w:beforeAutospacing="1" w:after="100" w:afterAutospacing="1" w:line="240" w:lineRule="auto"/>
        <w:jc w:val="both"/>
        <w:textAlignment w:val="baseline"/>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In addition, </w:t>
      </w:r>
      <w:r w:rsidR="004255C7">
        <w:rPr>
          <w:rFonts w:ascii="Times New Roman" w:eastAsia="Times New Roman" w:hAnsi="Times New Roman" w:cs="Times New Roman"/>
          <w:noProof/>
          <w:sz w:val="24"/>
          <w:szCs w:val="24"/>
          <w:lang w:val="en-IE"/>
        </w:rPr>
        <w:t xml:space="preserve">another </w:t>
      </w:r>
      <w:r w:rsidRPr="00E03D97">
        <w:rPr>
          <w:rFonts w:ascii="Times New Roman" w:eastAsia="Times New Roman" w:hAnsi="Times New Roman" w:cs="Times New Roman"/>
          <w:noProof/>
          <w:sz w:val="24"/>
          <w:szCs w:val="24"/>
          <w:lang w:val="en-IE"/>
        </w:rPr>
        <w:t>EUR</w:t>
      </w:r>
      <w:r w:rsidR="0073488A">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20</w:t>
      </w:r>
      <w:r w:rsidR="0073488A">
        <w:rPr>
          <w:rFonts w:ascii="Times New Roman" w:eastAsia="Times New Roman" w:hAnsi="Times New Roman" w:cs="Times New Roman"/>
          <w:noProof/>
          <w:sz w:val="24"/>
          <w:szCs w:val="24"/>
          <w:lang w:val="en-IE"/>
        </w:rPr>
        <w:t> </w:t>
      </w:r>
      <w:r w:rsidR="0030164B" w:rsidRPr="00E03D97">
        <w:rPr>
          <w:rFonts w:ascii="Times New Roman" w:eastAsia="Times New Roman" w:hAnsi="Times New Roman" w:cs="Times New Roman"/>
          <w:noProof/>
          <w:sz w:val="24"/>
          <w:szCs w:val="24"/>
          <w:lang w:val="en-IE"/>
        </w:rPr>
        <w:t>million</w:t>
      </w:r>
      <w:r w:rsidRPr="00E03D97">
        <w:rPr>
          <w:rFonts w:ascii="Times New Roman" w:eastAsia="Times New Roman" w:hAnsi="Times New Roman" w:cs="Times New Roman"/>
          <w:noProof/>
          <w:sz w:val="24"/>
          <w:szCs w:val="24"/>
          <w:lang w:val="en-IE"/>
        </w:rPr>
        <w:t xml:space="preserve"> direct grant </w:t>
      </w:r>
      <w:r w:rsidR="0073488A">
        <w:rPr>
          <w:rFonts w:ascii="Times New Roman" w:eastAsia="Times New Roman" w:hAnsi="Times New Roman" w:cs="Times New Roman"/>
          <w:noProof/>
          <w:sz w:val="24"/>
          <w:szCs w:val="24"/>
          <w:lang w:val="en-IE"/>
        </w:rPr>
        <w:t>has been</w:t>
      </w:r>
      <w:r w:rsidR="0073488A"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made available to Member States for a coordinated surveillance system under the One Health approach for cross-border pathogens</w:t>
      </w:r>
      <w:r w:rsidRPr="00E03D97">
        <w:rPr>
          <w:rFonts w:ascii="Times New Roman" w:eastAsia="Times New Roman" w:hAnsi="Times New Roman" w:cs="Times New Roman"/>
          <w:noProof/>
          <w:sz w:val="24"/>
          <w:szCs w:val="24"/>
          <w:vertAlign w:val="superscript"/>
          <w:lang w:val="en-IE"/>
        </w:rPr>
        <w:footnoteReference w:id="76"/>
      </w:r>
      <w:r w:rsidRPr="00E03D97">
        <w:rPr>
          <w:rFonts w:ascii="Times New Roman" w:eastAsia="Times New Roman" w:hAnsi="Times New Roman" w:cs="Times New Roman"/>
          <w:noProof/>
          <w:sz w:val="24"/>
          <w:szCs w:val="24"/>
          <w:lang w:val="en-IE"/>
        </w:rPr>
        <w:t xml:space="preserve">. This grant will </w:t>
      </w:r>
      <w:r w:rsidR="0073488A">
        <w:rPr>
          <w:rFonts w:ascii="Times New Roman" w:eastAsia="Times New Roman" w:hAnsi="Times New Roman" w:cs="Times New Roman"/>
          <w:noProof/>
          <w:sz w:val="24"/>
          <w:szCs w:val="24"/>
          <w:lang w:val="en-IE"/>
        </w:rPr>
        <w:t xml:space="preserve">help </w:t>
      </w:r>
      <w:r w:rsidRPr="00E03D97">
        <w:rPr>
          <w:rFonts w:ascii="Times New Roman" w:eastAsia="Times New Roman" w:hAnsi="Times New Roman" w:cs="Times New Roman"/>
          <w:noProof/>
          <w:sz w:val="24"/>
          <w:szCs w:val="24"/>
          <w:lang w:val="en-IE"/>
        </w:rPr>
        <w:t>Member State authorities to contribute to the setting</w:t>
      </w:r>
      <w:r w:rsidR="0073488A">
        <w:rPr>
          <w:rFonts w:ascii="Times New Roman" w:eastAsia="Times New Roman" w:hAnsi="Times New Roman" w:cs="Times New Roman"/>
          <w:noProof/>
          <w:sz w:val="24"/>
          <w:szCs w:val="24"/>
          <w:lang w:val="en-IE"/>
        </w:rPr>
        <w:t>-</w:t>
      </w:r>
      <w:r w:rsidR="00937AAF">
        <w:rPr>
          <w:rFonts w:ascii="Times New Roman" w:eastAsia="Times New Roman" w:hAnsi="Times New Roman" w:cs="Times New Roman"/>
          <w:noProof/>
          <w:sz w:val="24"/>
          <w:szCs w:val="24"/>
          <w:lang w:val="en-IE"/>
        </w:rPr>
        <w:t>up</w:t>
      </w:r>
      <w:r w:rsidRPr="00E03D97">
        <w:rPr>
          <w:rFonts w:ascii="Times New Roman" w:eastAsia="Times New Roman" w:hAnsi="Times New Roman" w:cs="Times New Roman"/>
          <w:noProof/>
          <w:sz w:val="24"/>
          <w:szCs w:val="24"/>
          <w:lang w:val="en-IE"/>
        </w:rPr>
        <w:t xml:space="preserve"> and scaling</w:t>
      </w:r>
      <w:r w:rsidR="0073488A">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up of animal and environmental surveillance system for zoonoses, including the systematic ongoing collection and assessment of data by EFSA in collaboration with </w:t>
      </w:r>
      <w:r w:rsidR="0073488A">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ECDC. It will provide the animal health and environmental</w:t>
      </w:r>
      <w:r w:rsidRPr="00E03D97" w:rsidDel="0036446A">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elements to complement </w:t>
      </w:r>
      <w:r w:rsidR="004255C7">
        <w:rPr>
          <w:rFonts w:ascii="Times New Roman" w:eastAsia="Times New Roman" w:hAnsi="Times New Roman" w:cs="Times New Roman"/>
          <w:noProof/>
          <w:sz w:val="24"/>
          <w:szCs w:val="24"/>
          <w:lang w:val="en-IE"/>
        </w:rPr>
        <w:t>the above action</w:t>
      </w:r>
      <w:r w:rsidRPr="00E03D97">
        <w:rPr>
          <w:rFonts w:ascii="Times New Roman" w:eastAsia="Times New Roman" w:hAnsi="Times New Roman" w:cs="Times New Roman"/>
          <w:noProof/>
          <w:sz w:val="24"/>
          <w:szCs w:val="24"/>
          <w:lang w:val="en-IE"/>
        </w:rPr>
        <w:t xml:space="preserve"> on the human side, for a One Health integrated surveillance.</w:t>
      </w:r>
    </w:p>
    <w:p w14:paraId="690876EC" w14:textId="63B799D5" w:rsidR="001F1738" w:rsidRPr="00E03D97" w:rsidRDefault="001F1738" w:rsidP="001F1738">
      <w:pPr>
        <w:spacing w:before="100" w:beforeAutospacing="1" w:after="100" w:afterAutospacing="1" w:line="240" w:lineRule="auto"/>
        <w:jc w:val="both"/>
        <w:textAlignment w:val="baseline"/>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The Commission will be launching a feasibility study in early 2024 on integrated surveillance systems for AMR and antimicrobial use from the human, veterinary and environmental sectors. This study will support Member States in developing integrated surveillance systems </w:t>
      </w:r>
      <w:r w:rsidR="004F7E4C">
        <w:rPr>
          <w:rFonts w:ascii="Times New Roman" w:eastAsia="Times New Roman" w:hAnsi="Times New Roman" w:cs="Times New Roman"/>
          <w:noProof/>
          <w:sz w:val="24"/>
          <w:szCs w:val="24"/>
          <w:lang w:val="en-IE"/>
        </w:rPr>
        <w:t>to</w:t>
      </w:r>
      <w:r w:rsidRPr="00E03D97">
        <w:rPr>
          <w:rFonts w:ascii="Times New Roman" w:eastAsia="Times New Roman" w:hAnsi="Times New Roman" w:cs="Times New Roman"/>
          <w:noProof/>
          <w:sz w:val="24"/>
          <w:szCs w:val="24"/>
          <w:lang w:val="en-IE"/>
        </w:rPr>
        <w:t xml:space="preserve"> efficiently and rapidly detect emerging resistant infections and outbreaks</w:t>
      </w:r>
      <w:r w:rsidR="004F7E4C">
        <w:rPr>
          <w:rFonts w:ascii="Times New Roman" w:eastAsia="Times New Roman" w:hAnsi="Times New Roman" w:cs="Times New Roman"/>
          <w:noProof/>
          <w:sz w:val="24"/>
          <w:szCs w:val="24"/>
          <w:lang w:val="en-IE"/>
        </w:rPr>
        <w:t>; and</w:t>
      </w:r>
      <w:r w:rsidRPr="00E03D97">
        <w:rPr>
          <w:rFonts w:ascii="Times New Roman" w:eastAsia="Times New Roman" w:hAnsi="Times New Roman" w:cs="Times New Roman"/>
          <w:noProof/>
          <w:sz w:val="24"/>
          <w:szCs w:val="24"/>
          <w:lang w:val="en-IE"/>
        </w:rPr>
        <w:t xml:space="preserve"> also to determine trends </w:t>
      </w:r>
      <w:r w:rsidR="004F7E4C">
        <w:rPr>
          <w:rFonts w:ascii="Times New Roman" w:eastAsia="Times New Roman" w:hAnsi="Times New Roman" w:cs="Times New Roman"/>
          <w:noProof/>
          <w:sz w:val="24"/>
          <w:szCs w:val="24"/>
          <w:lang w:val="en-IE"/>
        </w:rPr>
        <w:t xml:space="preserve">in, </w:t>
      </w:r>
      <w:r w:rsidRPr="00E03D97">
        <w:rPr>
          <w:rFonts w:ascii="Times New Roman" w:eastAsia="Times New Roman" w:hAnsi="Times New Roman" w:cs="Times New Roman"/>
          <w:noProof/>
          <w:sz w:val="24"/>
          <w:szCs w:val="24"/>
          <w:lang w:val="en-IE"/>
        </w:rPr>
        <w:t xml:space="preserve">and </w:t>
      </w:r>
      <w:r w:rsidR="004F7E4C">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toxicity of</w:t>
      </w:r>
      <w:r w:rsidR="004F7E4C">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the presence of AMR genes and antimicrobials in soils and waters. This will enhance the understanding of the complex epidemiology of AMR to guide future policy recommendations to respond to AMR risks before they become large-scale emergencies.</w:t>
      </w:r>
    </w:p>
    <w:p w14:paraId="66E15B14" w14:textId="6F054140"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textAlignment w:val="baseline"/>
        <w:rPr>
          <w:rFonts w:ascii="Times New Roman" w:eastAsia="Times New Roman" w:hAnsi="Times New Roman" w:cs="Times New Roman"/>
          <w:b/>
          <w:bCs/>
          <w:noProof/>
          <w:sz w:val="24"/>
          <w:szCs w:val="24"/>
          <w:lang w:val="en-IE"/>
        </w:rPr>
      </w:pPr>
      <w:r w:rsidRPr="00003506">
        <w:rPr>
          <w:rFonts w:ascii="Times New Roman" w:eastAsia="Times New Roman" w:hAnsi="Times New Roman" w:cs="Times New Roman"/>
          <w:b/>
          <w:bCs/>
          <w:noProof/>
          <w:sz w:val="24"/>
          <w:szCs w:val="24"/>
          <w:lang w:val="en-IE"/>
        </w:rPr>
        <w:t>Wastewater: a source for public health surveillance</w:t>
      </w:r>
    </w:p>
    <w:p w14:paraId="6E700D91"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textAlignment w:val="baseline"/>
        <w:rPr>
          <w:rFonts w:ascii="Times New Roman" w:eastAsia="Times New Roman" w:hAnsi="Times New Roman" w:cs="Times New Roman"/>
          <w:noProof/>
          <w:sz w:val="24"/>
          <w:szCs w:val="24"/>
        </w:rPr>
      </w:pPr>
      <w:r w:rsidRPr="00003506">
        <w:rPr>
          <w:rFonts w:ascii="Times New Roman" w:eastAsia="Times New Roman" w:hAnsi="Times New Roman" w:cs="Times New Roman"/>
          <w:noProof/>
          <w:sz w:val="24"/>
          <w:szCs w:val="24"/>
        </w:rPr>
        <w:t>During the COVID-19 pandemic, wastewater-based surveillance of SARS-CoV-2 and its variants emerged as a powerful supplementary source of information on the presence of the virus and for an epidemiological investigation of the virus’s spread in the EU, enabled through the Digital European Exchange Platform (DEEP). HERA and the Joint Research Centre (JRC) are supporting a joint action to strengthen national capacities for pathogen prioritisation, sampling and integration of wastewater data into surveillance for public health decision-making and the establishment of an EU sentinel system to test wastewater samples when needed. Moreover, HERA is leading the process of setting up a global consortium for wastewater surveillance for public health – a network of stakeholders and authorities worldwide to provide comprehensive real-time monitoring in strategic locations that can help identify emerging risks and enable prompt action.</w:t>
      </w:r>
    </w:p>
    <w:p w14:paraId="66624540" w14:textId="14BC70C8" w:rsidR="001F1738" w:rsidRPr="00E03D97" w:rsidRDefault="001F1738" w:rsidP="001F1738">
      <w:pPr>
        <w:spacing w:before="100" w:beforeAutospacing="1" w:after="100" w:afterAutospacing="1" w:line="240" w:lineRule="auto"/>
        <w:jc w:val="both"/>
        <w:textAlignment w:val="baseline"/>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Horizon 2020 research projects like MOOD</w:t>
      </w:r>
      <w:r w:rsidRPr="00E03D97">
        <w:rPr>
          <w:rFonts w:ascii="Times New Roman" w:eastAsia="Times New Roman" w:hAnsi="Times New Roman" w:cs="Times New Roman"/>
          <w:noProof/>
          <w:sz w:val="24"/>
          <w:szCs w:val="24"/>
          <w:vertAlign w:val="superscript"/>
          <w:lang w:val="en-IE"/>
        </w:rPr>
        <w:footnoteReference w:id="77"/>
      </w:r>
      <w:r w:rsidRPr="00E03D97">
        <w:rPr>
          <w:rFonts w:ascii="Times New Roman" w:eastAsia="Times New Roman" w:hAnsi="Times New Roman" w:cs="Times New Roman"/>
          <w:noProof/>
          <w:sz w:val="24"/>
          <w:szCs w:val="24"/>
          <w:lang w:val="en-IE"/>
        </w:rPr>
        <w:t xml:space="preserve"> </w:t>
      </w:r>
      <w:r w:rsidR="00155C4C">
        <w:rPr>
          <w:rFonts w:ascii="Times New Roman" w:eastAsia="Times New Roman" w:hAnsi="Times New Roman" w:cs="Times New Roman"/>
          <w:noProof/>
          <w:sz w:val="24"/>
          <w:szCs w:val="24"/>
          <w:lang w:val="en-IE"/>
        </w:rPr>
        <w:t xml:space="preserve">and </w:t>
      </w:r>
      <w:r w:rsidRPr="00E03D97">
        <w:rPr>
          <w:rFonts w:ascii="Times New Roman" w:eastAsia="Times New Roman" w:hAnsi="Times New Roman" w:cs="Times New Roman"/>
          <w:noProof/>
          <w:sz w:val="24"/>
          <w:szCs w:val="24"/>
          <w:lang w:val="en-IE"/>
        </w:rPr>
        <w:t>VEO</w:t>
      </w:r>
      <w:r w:rsidRPr="00E03D97">
        <w:rPr>
          <w:rFonts w:ascii="Times New Roman" w:eastAsia="Times New Roman" w:hAnsi="Times New Roman" w:cs="Times New Roman"/>
          <w:noProof/>
          <w:sz w:val="24"/>
          <w:szCs w:val="24"/>
          <w:vertAlign w:val="superscript"/>
          <w:lang w:val="en-IE"/>
        </w:rPr>
        <w:footnoteReference w:id="78"/>
      </w:r>
      <w:r w:rsidRPr="00E03D97">
        <w:rPr>
          <w:rFonts w:ascii="Times New Roman" w:eastAsia="Times New Roman" w:hAnsi="Times New Roman" w:cs="Times New Roman"/>
          <w:noProof/>
          <w:sz w:val="24"/>
          <w:szCs w:val="24"/>
          <w:lang w:val="en-IE"/>
        </w:rPr>
        <w:t xml:space="preserve"> have contributed to the development of innovative approaches to improv</w:t>
      </w:r>
      <w:r w:rsidR="00155C4C">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disease surveillance through a One Health approach, using multisource big data and data on drivers of disease emergence, including human movements and climate change. PHIRI</w:t>
      </w:r>
      <w:r w:rsidRPr="00E03D97">
        <w:rPr>
          <w:rFonts w:ascii="Times New Roman" w:eastAsiaTheme="minorEastAsia" w:hAnsi="Times New Roman" w:cs="Times New Roman"/>
          <w:noProof/>
          <w:sz w:val="24"/>
          <w:szCs w:val="24"/>
          <w:vertAlign w:val="superscript"/>
          <w:lang w:val="en-IE"/>
        </w:rPr>
        <w:footnoteReference w:id="79"/>
      </w:r>
      <w:r w:rsidRPr="00E03D97">
        <w:rPr>
          <w:rFonts w:ascii="Times New Roman" w:eastAsiaTheme="minorEastAsia" w:hAnsi="Times New Roman" w:cs="Times New Roman"/>
          <w:noProof/>
          <w:sz w:val="24"/>
          <w:szCs w:val="24"/>
          <w:lang w:val="en-IE"/>
        </w:rPr>
        <w:t xml:space="preserve"> has developed a </w:t>
      </w:r>
      <w:r w:rsidR="004205C8">
        <w:rPr>
          <w:rFonts w:ascii="Times New Roman" w:eastAsiaTheme="minorEastAsia" w:hAnsi="Times New Roman" w:cs="Times New Roman"/>
          <w:noProof/>
          <w:sz w:val="24"/>
          <w:szCs w:val="24"/>
          <w:lang w:val="en-IE"/>
        </w:rPr>
        <w:t>h</w:t>
      </w:r>
      <w:r w:rsidRPr="00E03D97">
        <w:rPr>
          <w:rFonts w:ascii="Times New Roman" w:eastAsiaTheme="minorEastAsia" w:hAnsi="Times New Roman" w:cs="Times New Roman"/>
          <w:noProof/>
          <w:sz w:val="24"/>
          <w:szCs w:val="24"/>
          <w:lang w:val="en-IE"/>
        </w:rPr>
        <w:t xml:space="preserve">ealth </w:t>
      </w:r>
      <w:r w:rsidR="004205C8">
        <w:rPr>
          <w:rFonts w:ascii="Times New Roman" w:eastAsiaTheme="minorEastAsia" w:hAnsi="Times New Roman" w:cs="Times New Roman"/>
          <w:noProof/>
          <w:sz w:val="24"/>
          <w:szCs w:val="24"/>
          <w:lang w:val="en-IE"/>
        </w:rPr>
        <w:t>i</w:t>
      </w:r>
      <w:r w:rsidRPr="00E03D97">
        <w:rPr>
          <w:rFonts w:ascii="Times New Roman" w:eastAsiaTheme="minorEastAsia" w:hAnsi="Times New Roman" w:cs="Times New Roman"/>
          <w:noProof/>
          <w:sz w:val="24"/>
          <w:szCs w:val="24"/>
          <w:lang w:val="en-IE"/>
        </w:rPr>
        <w:t xml:space="preserve">nformation portal that centralises health and healthcare data and allows researchers to link and use different data sources from across the EU. </w:t>
      </w:r>
    </w:p>
    <w:p w14:paraId="63079CB0" w14:textId="19998B6B" w:rsidR="001F1738" w:rsidRPr="00E03D97" w:rsidRDefault="001F1738" w:rsidP="001F1738">
      <w:pPr>
        <w:keepNext/>
        <w:keepLines/>
        <w:spacing w:before="100" w:beforeAutospacing="1" w:after="100" w:afterAutospacing="1" w:line="240" w:lineRule="auto"/>
        <w:jc w:val="both"/>
        <w:outlineLvl w:val="1"/>
        <w:rPr>
          <w:rFonts w:asciiTheme="majorHAnsi" w:eastAsiaTheme="majorEastAsia" w:hAnsiTheme="majorHAnsi" w:cstheme="majorBidi"/>
          <w:noProof/>
          <w:sz w:val="28"/>
          <w:szCs w:val="28"/>
          <w:lang w:val="en-IE"/>
        </w:rPr>
      </w:pPr>
      <w:r w:rsidRPr="00E03D97">
        <w:rPr>
          <w:rFonts w:ascii="Times New Roman" w:eastAsiaTheme="majorEastAsia" w:hAnsi="Times New Roman" w:cs="Times New Roman"/>
          <w:b/>
          <w:bCs/>
          <w:noProof/>
          <w:sz w:val="24"/>
          <w:szCs w:val="24"/>
          <w:lang w:val="en-IE"/>
        </w:rPr>
        <w:t xml:space="preserve">Early </w:t>
      </w:r>
      <w:r w:rsidR="004205C8">
        <w:rPr>
          <w:rFonts w:ascii="Times New Roman" w:eastAsiaTheme="majorEastAsia" w:hAnsi="Times New Roman" w:cs="Times New Roman"/>
          <w:b/>
          <w:bCs/>
          <w:noProof/>
          <w:sz w:val="24"/>
          <w:szCs w:val="24"/>
          <w:lang w:val="en-IE"/>
        </w:rPr>
        <w:t>w</w:t>
      </w:r>
      <w:r w:rsidRPr="00E03D97">
        <w:rPr>
          <w:rFonts w:ascii="Times New Roman" w:eastAsiaTheme="majorEastAsia" w:hAnsi="Times New Roman" w:cs="Times New Roman"/>
          <w:b/>
          <w:bCs/>
          <w:noProof/>
          <w:sz w:val="24"/>
          <w:szCs w:val="24"/>
          <w:lang w:val="en-IE"/>
        </w:rPr>
        <w:t xml:space="preserve">arning </w:t>
      </w:r>
      <w:r w:rsidR="004205C8">
        <w:rPr>
          <w:rFonts w:ascii="Times New Roman" w:eastAsiaTheme="majorEastAsia" w:hAnsi="Times New Roman" w:cs="Times New Roman"/>
          <w:b/>
          <w:bCs/>
          <w:noProof/>
          <w:sz w:val="24"/>
          <w:szCs w:val="24"/>
          <w:lang w:val="en-IE"/>
        </w:rPr>
        <w:t>s</w:t>
      </w:r>
      <w:r w:rsidRPr="00E03D97">
        <w:rPr>
          <w:rFonts w:ascii="Times New Roman" w:eastAsiaTheme="majorEastAsia" w:hAnsi="Times New Roman" w:cs="Times New Roman"/>
          <w:b/>
          <w:bCs/>
          <w:noProof/>
          <w:sz w:val="24"/>
          <w:szCs w:val="24"/>
          <w:lang w:val="en-IE"/>
        </w:rPr>
        <w:t>ystems</w:t>
      </w:r>
    </w:p>
    <w:p w14:paraId="07DB9ECA" w14:textId="1FC9AD4D" w:rsidR="0032059A" w:rsidRPr="00E03D97" w:rsidRDefault="001F1738" w:rsidP="0032059A">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w:t>
      </w:r>
      <w:r w:rsidR="004205C8">
        <w:rPr>
          <w:rFonts w:ascii="Times New Roman" w:eastAsia="Times New Roman" w:hAnsi="Times New Roman" w:cs="Times New Roman"/>
          <w:noProof/>
          <w:sz w:val="24"/>
          <w:szCs w:val="24"/>
          <w:lang w:val="en-IE"/>
        </w:rPr>
        <w:t xml:space="preserve"> EU’s</w:t>
      </w:r>
      <w:r w:rsidRPr="00E03D97">
        <w:rPr>
          <w:rFonts w:ascii="Times New Roman" w:eastAsia="Times New Roman" w:hAnsi="Times New Roman" w:cs="Times New Roman"/>
          <w:noProof/>
          <w:sz w:val="24"/>
          <w:szCs w:val="24"/>
          <w:lang w:val="en-IE"/>
        </w:rPr>
        <w:t xml:space="preserve"> Early Warning and Response System (EWRS) </w:t>
      </w:r>
      <w:r w:rsidR="004205C8">
        <w:rPr>
          <w:rFonts w:ascii="Times New Roman" w:eastAsia="Times New Roman" w:hAnsi="Times New Roman" w:cs="Times New Roman"/>
          <w:noProof/>
          <w:sz w:val="24"/>
          <w:szCs w:val="24"/>
          <w:lang w:val="en-IE"/>
        </w:rPr>
        <w:t>was</w:t>
      </w:r>
      <w:r w:rsidRPr="00E03D97">
        <w:rPr>
          <w:rFonts w:ascii="Times New Roman" w:eastAsia="Times New Roman" w:hAnsi="Times New Roman" w:cs="Times New Roman"/>
          <w:noProof/>
          <w:sz w:val="24"/>
          <w:szCs w:val="24"/>
          <w:lang w:val="en-IE"/>
        </w:rPr>
        <w:t xml:space="preserve"> set up in 1998 (</w:t>
      </w:r>
      <w:r w:rsidR="0043500B">
        <w:rPr>
          <w:rFonts w:ascii="Times New Roman" w:eastAsia="Times New Roman" w:hAnsi="Times New Roman" w:cs="Times New Roman"/>
          <w:noProof/>
          <w:sz w:val="24"/>
          <w:szCs w:val="24"/>
          <w:lang w:val="en-IE"/>
        </w:rPr>
        <w:t>Decision No </w:t>
      </w:r>
      <w:r w:rsidRPr="00E03D97">
        <w:rPr>
          <w:rFonts w:ascii="Times New Roman" w:eastAsia="Times New Roman" w:hAnsi="Times New Roman" w:cs="Times New Roman"/>
          <w:noProof/>
          <w:sz w:val="24"/>
          <w:szCs w:val="24"/>
          <w:lang w:val="en-IE"/>
        </w:rPr>
        <w:t>2119/98/EC)</w:t>
      </w:r>
      <w:r w:rsidR="00E66B2E">
        <w:rPr>
          <w:rStyle w:val="FootnoteReference"/>
          <w:rFonts w:ascii="Times New Roman" w:eastAsia="Times New Roman" w:hAnsi="Times New Roman" w:cs="Times New Roman"/>
          <w:noProof/>
          <w:sz w:val="24"/>
          <w:szCs w:val="24"/>
        </w:rPr>
        <w:footnoteReference w:id="80"/>
      </w:r>
      <w:r w:rsidR="0043500B">
        <w:rPr>
          <w:rFonts w:ascii="Times New Roman" w:eastAsia="Times New Roman" w:hAnsi="Times New Roman" w:cs="Times New Roman"/>
          <w:noProof/>
          <w:sz w:val="24"/>
          <w:szCs w:val="24"/>
          <w:lang w:val="en-IE"/>
        </w:rPr>
        <w:t>. It</w:t>
      </w:r>
      <w:r w:rsidRPr="00E03D97">
        <w:rPr>
          <w:rFonts w:ascii="Times New Roman" w:eastAsia="Times New Roman" w:hAnsi="Times New Roman" w:cs="Times New Roman"/>
          <w:noProof/>
          <w:sz w:val="24"/>
          <w:szCs w:val="24"/>
          <w:lang w:val="en-IE"/>
        </w:rPr>
        <w:t xml:space="preserve"> is </w:t>
      </w:r>
      <w:r w:rsidR="0043500B">
        <w:rPr>
          <w:rFonts w:ascii="Times New Roman" w:eastAsia="Times New Roman" w:hAnsi="Times New Roman" w:cs="Times New Roman"/>
          <w:noProof/>
          <w:sz w:val="24"/>
          <w:szCs w:val="24"/>
          <w:lang w:val="en-IE"/>
        </w:rPr>
        <w:t xml:space="preserve">a </w:t>
      </w:r>
      <w:r w:rsidRPr="00E03D97">
        <w:rPr>
          <w:rFonts w:ascii="Times New Roman" w:eastAsia="Times New Roman" w:hAnsi="Times New Roman" w:cs="Times New Roman"/>
          <w:noProof/>
          <w:sz w:val="24"/>
          <w:szCs w:val="24"/>
          <w:lang w:val="en-IE"/>
        </w:rPr>
        <w:t xml:space="preserve">restricted access tool used to notify alerts and monitor public health threats. Over the years, it has been the channel for </w:t>
      </w:r>
      <w:r w:rsidR="00DC0170">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rapid notification of </w:t>
      </w:r>
      <w:r w:rsidRPr="00072774">
        <w:rPr>
          <w:rFonts w:ascii="Times New Roman" w:eastAsia="Times New Roman" w:hAnsi="Times New Roman" w:cs="Times New Roman"/>
          <w:noProof/>
          <w:sz w:val="24"/>
          <w:szCs w:val="24"/>
          <w:lang w:val="en-IE"/>
        </w:rPr>
        <w:t>thousands of alerts</w:t>
      </w:r>
      <w:r w:rsidR="00DC0170" w:rsidRPr="00072774">
        <w:rPr>
          <w:rFonts w:ascii="Times New Roman" w:eastAsia="Times New Roman" w:hAnsi="Times New Roman" w:cs="Times New Roman"/>
          <w:noProof/>
          <w:sz w:val="24"/>
          <w:szCs w:val="24"/>
          <w:lang w:val="en-IE"/>
        </w:rPr>
        <w:t>.</w:t>
      </w:r>
      <w:r w:rsidRPr="00072774">
        <w:rPr>
          <w:rFonts w:ascii="Times New Roman" w:eastAsia="Times New Roman" w:hAnsi="Times New Roman" w:cs="Times New Roman"/>
          <w:noProof/>
          <w:sz w:val="24"/>
          <w:szCs w:val="24"/>
          <w:lang w:val="en-IE"/>
        </w:rPr>
        <w:t xml:space="preserve"> </w:t>
      </w:r>
      <w:r w:rsidR="00DC0170" w:rsidRPr="00072774">
        <w:rPr>
          <w:rFonts w:ascii="Times New Roman" w:eastAsia="Times New Roman" w:hAnsi="Times New Roman" w:cs="Times New Roman"/>
          <w:noProof/>
          <w:sz w:val="24"/>
          <w:szCs w:val="24"/>
          <w:lang w:val="en-IE"/>
        </w:rPr>
        <w:t>T</w:t>
      </w:r>
      <w:r w:rsidRPr="00072774">
        <w:rPr>
          <w:rFonts w:ascii="Times New Roman" w:eastAsia="Times New Roman" w:hAnsi="Times New Roman" w:cs="Times New Roman"/>
          <w:noProof/>
          <w:sz w:val="24"/>
          <w:szCs w:val="24"/>
          <w:lang w:val="en-IE"/>
        </w:rPr>
        <w:t xml:space="preserve">he </w:t>
      </w:r>
      <w:r w:rsidR="00DC0170" w:rsidRPr="00072774">
        <w:rPr>
          <w:rFonts w:ascii="Times New Roman" w:eastAsia="Times New Roman" w:hAnsi="Times New Roman" w:cs="Times New Roman"/>
          <w:noProof/>
          <w:sz w:val="24"/>
          <w:szCs w:val="24"/>
          <w:lang w:val="en-IE"/>
        </w:rPr>
        <w:t xml:space="preserve">Commission posted the </w:t>
      </w:r>
      <w:r w:rsidRPr="00072774">
        <w:rPr>
          <w:rFonts w:ascii="Times New Roman" w:eastAsia="Times New Roman" w:hAnsi="Times New Roman" w:cs="Times New Roman"/>
          <w:noProof/>
          <w:sz w:val="24"/>
          <w:szCs w:val="24"/>
          <w:lang w:val="en-IE"/>
        </w:rPr>
        <w:t>first alert on COVID-19 back in early January 2020. To align with Regulation</w:t>
      </w:r>
      <w:r w:rsidR="00DC0170" w:rsidRPr="00072774">
        <w:rPr>
          <w:rFonts w:ascii="Times New Roman" w:eastAsia="Times New Roman" w:hAnsi="Times New Roman" w:cs="Times New Roman"/>
          <w:noProof/>
          <w:sz w:val="24"/>
          <w:szCs w:val="24"/>
          <w:lang w:val="en-IE"/>
        </w:rPr>
        <w:t> </w:t>
      </w:r>
      <w:r w:rsidRPr="00072774">
        <w:rPr>
          <w:rFonts w:ascii="Times New Roman" w:eastAsia="Times New Roman" w:hAnsi="Times New Roman" w:cs="Times New Roman"/>
          <w:noProof/>
          <w:sz w:val="24"/>
          <w:szCs w:val="24"/>
          <w:lang w:val="en-IE"/>
        </w:rPr>
        <w:t>(EU)</w:t>
      </w:r>
      <w:r w:rsidR="00DC0170" w:rsidRPr="00072774">
        <w:rPr>
          <w:rFonts w:ascii="Times New Roman" w:eastAsia="Times New Roman" w:hAnsi="Times New Roman" w:cs="Times New Roman"/>
          <w:noProof/>
          <w:sz w:val="24"/>
          <w:szCs w:val="24"/>
          <w:lang w:val="en-IE"/>
        </w:rPr>
        <w:t> </w:t>
      </w:r>
      <w:r w:rsidRPr="00072774">
        <w:rPr>
          <w:rFonts w:ascii="Times New Roman" w:eastAsia="Times New Roman" w:hAnsi="Times New Roman" w:cs="Times New Roman"/>
          <w:noProof/>
          <w:sz w:val="24"/>
          <w:szCs w:val="24"/>
          <w:lang w:val="en-IE"/>
        </w:rPr>
        <w:t xml:space="preserve">2022/2371, the EWRS is to be </w:t>
      </w:r>
      <w:r w:rsidR="00932C40" w:rsidRPr="00BC2F11">
        <w:rPr>
          <w:rFonts w:ascii="Times New Roman" w:eastAsia="Times New Roman" w:hAnsi="Times New Roman" w:cs="Times New Roman"/>
          <w:noProof/>
          <w:sz w:val="24"/>
          <w:szCs w:val="24"/>
          <w:lang w:val="en-IE"/>
        </w:rPr>
        <w:t xml:space="preserve">restructured </w:t>
      </w:r>
      <w:r w:rsidR="00072774" w:rsidRPr="00BC2F11">
        <w:rPr>
          <w:rFonts w:ascii="Times New Roman" w:eastAsia="Times New Roman" w:hAnsi="Times New Roman" w:cs="Times New Roman"/>
          <w:noProof/>
          <w:sz w:val="24"/>
          <w:szCs w:val="24"/>
          <w:lang w:val="en-IE"/>
        </w:rPr>
        <w:t>according to the main categories of</w:t>
      </w:r>
      <w:r w:rsidR="00932C40" w:rsidRPr="00072774">
        <w:rPr>
          <w:rFonts w:ascii="Times New Roman" w:eastAsia="Times New Roman" w:hAnsi="Times New Roman" w:cs="Times New Roman"/>
          <w:noProof/>
          <w:sz w:val="24"/>
          <w:szCs w:val="24"/>
          <w:lang w:val="en-IE"/>
        </w:rPr>
        <w:t xml:space="preserve"> </w:t>
      </w:r>
      <w:r w:rsidRPr="00072774">
        <w:rPr>
          <w:rFonts w:ascii="Times New Roman" w:eastAsia="Times New Roman" w:hAnsi="Times New Roman" w:cs="Times New Roman"/>
          <w:noProof/>
          <w:sz w:val="24"/>
          <w:szCs w:val="24"/>
          <w:lang w:val="en-IE"/>
        </w:rPr>
        <w:t>health threats</w:t>
      </w:r>
      <w:r w:rsidR="00072774" w:rsidRPr="00BC2F11">
        <w:rPr>
          <w:rFonts w:ascii="Times New Roman" w:eastAsia="Times New Roman" w:hAnsi="Times New Roman" w:cs="Times New Roman"/>
          <w:noProof/>
          <w:sz w:val="24"/>
          <w:szCs w:val="24"/>
          <w:lang w:val="en-IE"/>
        </w:rPr>
        <w:t>, i.e.</w:t>
      </w:r>
      <w:r w:rsidRPr="00072774">
        <w:rPr>
          <w:rFonts w:ascii="Times New Roman" w:eastAsia="Times New Roman" w:hAnsi="Times New Roman" w:cs="Times New Roman"/>
          <w:noProof/>
          <w:sz w:val="24"/>
          <w:szCs w:val="24"/>
          <w:lang w:val="en-IE"/>
        </w:rPr>
        <w:t xml:space="preserve"> related to biological, chemical and environmental sources as well as those of unknown origin.</w:t>
      </w:r>
      <w:r w:rsidRPr="00E03D97">
        <w:rPr>
          <w:rFonts w:ascii="Times New Roman" w:eastAsia="Times New Roman" w:hAnsi="Times New Roman" w:cs="Times New Roman"/>
          <w:noProof/>
          <w:sz w:val="24"/>
          <w:szCs w:val="24"/>
          <w:lang w:val="en-IE"/>
        </w:rPr>
        <w:t xml:space="preserve"> </w:t>
      </w:r>
    </w:p>
    <w:p w14:paraId="3612F01E" w14:textId="505B380C" w:rsidR="001F1738" w:rsidRPr="00E03D97" w:rsidRDefault="00072774"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A </w:t>
      </w:r>
      <w:r w:rsidRPr="00E03D97">
        <w:rPr>
          <w:rFonts w:ascii="Times New Roman" w:eastAsia="Times New Roman" w:hAnsi="Times New Roman" w:cs="Times New Roman"/>
          <w:noProof/>
          <w:sz w:val="24"/>
          <w:szCs w:val="24"/>
          <w:lang w:val="en-IE"/>
        </w:rPr>
        <w:t>preparatory action</w:t>
      </w:r>
      <w:r w:rsidRPr="00B43F78">
        <w:rPr>
          <w:rStyle w:val="FootnoteReference"/>
          <w:rFonts w:ascii="Times New Roman" w:eastAsia="Times New Roman" w:hAnsi="Times New Roman" w:cs="Times New Roman"/>
          <w:noProof/>
          <w:sz w:val="24"/>
          <w:szCs w:val="24"/>
        </w:rPr>
        <w:footnoteReference w:id="81"/>
      </w:r>
      <w:r w:rsidRPr="00E03D97">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for the</w:t>
      </w:r>
      <w:r w:rsidR="0032059A" w:rsidRPr="00E03D97">
        <w:rPr>
          <w:rFonts w:ascii="Times New Roman" w:eastAsia="Times New Roman" w:hAnsi="Times New Roman" w:cs="Times New Roman"/>
          <w:noProof/>
          <w:sz w:val="24"/>
          <w:szCs w:val="24"/>
          <w:lang w:val="en-IE"/>
        </w:rPr>
        <w:t xml:space="preserve"> EWRS</w:t>
      </w:r>
      <w:r w:rsidR="00DC0170">
        <w:rPr>
          <w:rFonts w:ascii="Times New Roman" w:eastAsia="Times New Roman" w:hAnsi="Times New Roman" w:cs="Times New Roman"/>
          <w:noProof/>
          <w:sz w:val="24"/>
          <w:szCs w:val="24"/>
          <w:lang w:val="en-IE"/>
        </w:rPr>
        <w:t>’s</w:t>
      </w:r>
      <w:r w:rsidR="0032059A" w:rsidRPr="00E03D97">
        <w:rPr>
          <w:rFonts w:ascii="Times New Roman" w:eastAsia="Times New Roman" w:hAnsi="Times New Roman" w:cs="Times New Roman"/>
          <w:noProof/>
          <w:sz w:val="24"/>
          <w:szCs w:val="24"/>
          <w:lang w:val="en-IE"/>
        </w:rPr>
        <w:t xml:space="preserve"> new development is </w:t>
      </w:r>
      <w:r w:rsidR="00DC0170">
        <w:rPr>
          <w:rFonts w:ascii="Times New Roman" w:eastAsia="Times New Roman" w:hAnsi="Times New Roman" w:cs="Times New Roman"/>
          <w:noProof/>
          <w:sz w:val="24"/>
          <w:szCs w:val="24"/>
          <w:lang w:val="en-IE"/>
        </w:rPr>
        <w:t xml:space="preserve">currently being </w:t>
      </w:r>
      <w:r w:rsidR="0032059A" w:rsidRPr="00E03D97">
        <w:rPr>
          <w:rFonts w:ascii="Times New Roman" w:eastAsia="Times New Roman" w:hAnsi="Times New Roman" w:cs="Times New Roman"/>
          <w:noProof/>
          <w:sz w:val="24"/>
          <w:szCs w:val="24"/>
          <w:lang w:val="en-IE"/>
        </w:rPr>
        <w:t>implement</w:t>
      </w:r>
      <w:r w:rsidR="00DC0170">
        <w:rPr>
          <w:rFonts w:ascii="Times New Roman" w:eastAsia="Times New Roman" w:hAnsi="Times New Roman" w:cs="Times New Roman"/>
          <w:noProof/>
          <w:sz w:val="24"/>
          <w:szCs w:val="24"/>
          <w:lang w:val="en-IE"/>
        </w:rPr>
        <w:t>ed</w:t>
      </w:r>
      <w:r w:rsidR="00716031">
        <w:rPr>
          <w:rFonts w:ascii="Times New Roman" w:eastAsia="Times New Roman" w:hAnsi="Times New Roman" w:cs="Times New Roman"/>
          <w:noProof/>
          <w:sz w:val="24"/>
          <w:szCs w:val="24"/>
          <w:lang w:val="en-IE"/>
        </w:rPr>
        <w:t>. The aim is to</w:t>
      </w:r>
      <w:r w:rsidR="0032059A" w:rsidRPr="00E03D97">
        <w:rPr>
          <w:rFonts w:ascii="Times New Roman" w:eastAsia="Times New Roman" w:hAnsi="Times New Roman" w:cs="Times New Roman"/>
          <w:noProof/>
          <w:sz w:val="24"/>
          <w:szCs w:val="24"/>
          <w:lang w:val="en-IE"/>
        </w:rPr>
        <w:t xml:space="preserve"> address the priorities for further development</w:t>
      </w:r>
      <w:r w:rsidR="00716031">
        <w:rPr>
          <w:rFonts w:ascii="Times New Roman" w:eastAsia="Times New Roman" w:hAnsi="Times New Roman" w:cs="Times New Roman"/>
          <w:noProof/>
          <w:sz w:val="24"/>
          <w:szCs w:val="24"/>
          <w:lang w:val="en-IE"/>
        </w:rPr>
        <w:t xml:space="preserve"> of the </w:t>
      </w:r>
      <w:r w:rsidR="00716031" w:rsidRPr="00E03D97">
        <w:rPr>
          <w:rFonts w:ascii="Times New Roman" w:eastAsia="Times New Roman" w:hAnsi="Times New Roman" w:cs="Times New Roman"/>
          <w:noProof/>
          <w:sz w:val="24"/>
          <w:szCs w:val="24"/>
          <w:lang w:val="en-IE"/>
        </w:rPr>
        <w:t>EWRS</w:t>
      </w:r>
      <w:r w:rsidR="0032059A" w:rsidRPr="00E03D97">
        <w:rPr>
          <w:rFonts w:ascii="Times New Roman" w:eastAsia="Times New Roman" w:hAnsi="Times New Roman" w:cs="Times New Roman"/>
          <w:noProof/>
          <w:sz w:val="24"/>
          <w:szCs w:val="24"/>
          <w:lang w:val="en-IE"/>
        </w:rPr>
        <w:t xml:space="preserve"> </w:t>
      </w:r>
      <w:r w:rsidR="00AC0FDC">
        <w:rPr>
          <w:rFonts w:ascii="Times New Roman" w:eastAsia="Times New Roman" w:hAnsi="Times New Roman" w:cs="Times New Roman"/>
          <w:noProof/>
          <w:sz w:val="24"/>
          <w:szCs w:val="24"/>
          <w:lang w:val="en-IE"/>
        </w:rPr>
        <w:t>in line</w:t>
      </w:r>
      <w:r w:rsidR="00716031">
        <w:rPr>
          <w:rFonts w:ascii="Times New Roman" w:eastAsia="Times New Roman" w:hAnsi="Times New Roman" w:cs="Times New Roman"/>
          <w:noProof/>
          <w:sz w:val="24"/>
          <w:szCs w:val="24"/>
          <w:lang w:val="en-IE"/>
        </w:rPr>
        <w:t xml:space="preserve"> </w:t>
      </w:r>
      <w:r w:rsidR="0032059A" w:rsidRPr="00E03D97">
        <w:rPr>
          <w:rFonts w:ascii="Times New Roman" w:eastAsia="Times New Roman" w:hAnsi="Times New Roman" w:cs="Times New Roman"/>
          <w:noProof/>
          <w:sz w:val="24"/>
          <w:szCs w:val="24"/>
          <w:lang w:val="en-IE"/>
        </w:rPr>
        <w:t>with Regulation</w:t>
      </w:r>
      <w:r w:rsidR="00716031">
        <w:rPr>
          <w:rFonts w:ascii="Times New Roman" w:eastAsia="Times New Roman" w:hAnsi="Times New Roman" w:cs="Times New Roman"/>
          <w:noProof/>
          <w:sz w:val="24"/>
          <w:szCs w:val="24"/>
          <w:lang w:val="en-IE"/>
        </w:rPr>
        <w:t> </w:t>
      </w:r>
      <w:r w:rsidR="00E57E84" w:rsidRPr="00E03D97">
        <w:rPr>
          <w:rFonts w:ascii="Times New Roman" w:eastAsia="Times New Roman" w:hAnsi="Times New Roman" w:cs="Times New Roman"/>
          <w:noProof/>
          <w:sz w:val="24"/>
          <w:szCs w:val="24"/>
          <w:lang w:val="en-IE"/>
        </w:rPr>
        <w:t>(EU)</w:t>
      </w:r>
      <w:r w:rsidR="00716031">
        <w:rPr>
          <w:rFonts w:ascii="Times New Roman" w:eastAsia="Times New Roman" w:hAnsi="Times New Roman" w:cs="Times New Roman"/>
          <w:noProof/>
          <w:sz w:val="24"/>
          <w:szCs w:val="24"/>
          <w:lang w:val="en-IE"/>
        </w:rPr>
        <w:t> </w:t>
      </w:r>
      <w:r w:rsidR="00E57E84" w:rsidRPr="00E03D97">
        <w:rPr>
          <w:rFonts w:ascii="Times New Roman" w:eastAsia="Times New Roman" w:hAnsi="Times New Roman" w:cs="Times New Roman"/>
          <w:noProof/>
          <w:sz w:val="24"/>
          <w:szCs w:val="24"/>
          <w:lang w:val="en-IE"/>
        </w:rPr>
        <w:t>2022/2371</w:t>
      </w:r>
      <w:r w:rsidR="00AC0FDC">
        <w:rPr>
          <w:rFonts w:ascii="Times New Roman" w:eastAsia="Times New Roman" w:hAnsi="Times New Roman" w:cs="Times New Roman"/>
          <w:noProof/>
          <w:sz w:val="24"/>
          <w:szCs w:val="24"/>
          <w:lang w:val="en-IE"/>
        </w:rPr>
        <w:t>:</w:t>
      </w:r>
      <w:r w:rsidR="0032059A" w:rsidRPr="00E03D97">
        <w:rPr>
          <w:rFonts w:ascii="Times New Roman" w:eastAsia="Times New Roman" w:hAnsi="Times New Roman" w:cs="Times New Roman"/>
          <w:noProof/>
          <w:sz w:val="24"/>
          <w:szCs w:val="24"/>
          <w:lang w:val="en-IE"/>
        </w:rPr>
        <w:t xml:space="preserve"> </w:t>
      </w:r>
      <w:r w:rsidR="00716031">
        <w:rPr>
          <w:rFonts w:ascii="Times New Roman" w:eastAsia="Times New Roman" w:hAnsi="Times New Roman" w:cs="Times New Roman"/>
          <w:noProof/>
          <w:sz w:val="24"/>
          <w:szCs w:val="24"/>
          <w:lang w:val="en-IE"/>
        </w:rPr>
        <w:t>introducing</w:t>
      </w:r>
      <w:r w:rsidR="00716031" w:rsidRPr="00E03D97">
        <w:rPr>
          <w:rFonts w:ascii="Times New Roman" w:eastAsia="Times New Roman" w:hAnsi="Times New Roman" w:cs="Times New Roman"/>
          <w:noProof/>
          <w:sz w:val="24"/>
          <w:szCs w:val="24"/>
          <w:lang w:val="en-IE"/>
        </w:rPr>
        <w:t xml:space="preserve"> </w:t>
      </w:r>
      <w:r w:rsidR="0032059A" w:rsidRPr="00E03D97">
        <w:rPr>
          <w:rFonts w:ascii="Times New Roman" w:eastAsia="Times New Roman" w:hAnsi="Times New Roman" w:cs="Times New Roman"/>
          <w:noProof/>
          <w:sz w:val="24"/>
          <w:szCs w:val="24"/>
          <w:lang w:val="en-IE"/>
        </w:rPr>
        <w:t>new governance, architecture and functionalities to support the expansion of structures and new user</w:t>
      </w:r>
      <w:r w:rsidR="00716031">
        <w:rPr>
          <w:rFonts w:ascii="Times New Roman" w:eastAsia="Times New Roman" w:hAnsi="Times New Roman" w:cs="Times New Roman"/>
          <w:noProof/>
          <w:sz w:val="24"/>
          <w:szCs w:val="24"/>
          <w:lang w:val="en-IE"/>
        </w:rPr>
        <w:t>-</w:t>
      </w:r>
      <w:r w:rsidR="0032059A" w:rsidRPr="00E03D97">
        <w:rPr>
          <w:rFonts w:ascii="Times New Roman" w:eastAsia="Times New Roman" w:hAnsi="Times New Roman" w:cs="Times New Roman"/>
          <w:noProof/>
          <w:sz w:val="24"/>
          <w:szCs w:val="24"/>
          <w:lang w:val="en-IE"/>
        </w:rPr>
        <w:t>groups and roles; reinforc</w:t>
      </w:r>
      <w:r w:rsidR="00971A8C">
        <w:rPr>
          <w:rFonts w:ascii="Times New Roman" w:eastAsia="Times New Roman" w:hAnsi="Times New Roman" w:cs="Times New Roman"/>
          <w:noProof/>
          <w:sz w:val="24"/>
          <w:szCs w:val="24"/>
          <w:lang w:val="en-IE"/>
        </w:rPr>
        <w:t xml:space="preserve">ing </w:t>
      </w:r>
      <w:r w:rsidR="0032059A" w:rsidRPr="00E03D97">
        <w:rPr>
          <w:rFonts w:ascii="Times New Roman" w:eastAsia="Times New Roman" w:hAnsi="Times New Roman" w:cs="Times New Roman"/>
          <w:noProof/>
          <w:sz w:val="24"/>
          <w:szCs w:val="24"/>
          <w:lang w:val="en-IE"/>
        </w:rPr>
        <w:t xml:space="preserve">security and data protection following </w:t>
      </w:r>
      <w:r w:rsidR="00E57E84" w:rsidRPr="00E03D97">
        <w:rPr>
          <w:rFonts w:ascii="Times New Roman" w:eastAsia="Times New Roman" w:hAnsi="Times New Roman" w:cs="Times New Roman"/>
          <w:noProof/>
          <w:sz w:val="24"/>
          <w:szCs w:val="24"/>
          <w:lang w:val="en-IE"/>
        </w:rPr>
        <w:t>a d</w:t>
      </w:r>
      <w:r w:rsidR="0032059A" w:rsidRPr="00E03D97">
        <w:rPr>
          <w:rFonts w:ascii="Times New Roman" w:eastAsia="Times New Roman" w:hAnsi="Times New Roman" w:cs="Times New Roman"/>
          <w:noProof/>
          <w:sz w:val="24"/>
          <w:szCs w:val="24"/>
          <w:lang w:val="en-IE"/>
        </w:rPr>
        <w:t>ata</w:t>
      </w:r>
      <w:r w:rsidR="00971A8C">
        <w:rPr>
          <w:rFonts w:ascii="Times New Roman" w:eastAsia="Times New Roman" w:hAnsi="Times New Roman" w:cs="Times New Roman"/>
          <w:noProof/>
          <w:sz w:val="24"/>
          <w:szCs w:val="24"/>
          <w:lang w:val="en-IE"/>
        </w:rPr>
        <w:t>-</w:t>
      </w:r>
      <w:r w:rsidR="0032059A" w:rsidRPr="00E03D97">
        <w:rPr>
          <w:rFonts w:ascii="Times New Roman" w:eastAsia="Times New Roman" w:hAnsi="Times New Roman" w:cs="Times New Roman"/>
          <w:noProof/>
          <w:sz w:val="24"/>
          <w:szCs w:val="24"/>
          <w:lang w:val="en-IE"/>
        </w:rPr>
        <w:t>protection impact assessment</w:t>
      </w:r>
      <w:r w:rsidR="00971A8C">
        <w:rPr>
          <w:rFonts w:ascii="Times New Roman" w:eastAsia="Times New Roman" w:hAnsi="Times New Roman" w:cs="Times New Roman"/>
          <w:noProof/>
          <w:sz w:val="24"/>
          <w:szCs w:val="24"/>
          <w:lang w:val="en-IE"/>
        </w:rPr>
        <w:t>;</w:t>
      </w:r>
      <w:r w:rsidR="0032059A" w:rsidRPr="00E03D97">
        <w:rPr>
          <w:rFonts w:ascii="Times New Roman" w:eastAsia="Times New Roman" w:hAnsi="Times New Roman" w:cs="Times New Roman"/>
          <w:noProof/>
          <w:sz w:val="24"/>
          <w:szCs w:val="24"/>
          <w:lang w:val="en-IE"/>
        </w:rPr>
        <w:t xml:space="preserve"> develop</w:t>
      </w:r>
      <w:r w:rsidR="00971A8C">
        <w:rPr>
          <w:rFonts w:ascii="Times New Roman" w:eastAsia="Times New Roman" w:hAnsi="Times New Roman" w:cs="Times New Roman"/>
          <w:noProof/>
          <w:sz w:val="24"/>
          <w:szCs w:val="24"/>
          <w:lang w:val="en-IE"/>
        </w:rPr>
        <w:t>ing</w:t>
      </w:r>
      <w:r w:rsidR="0032059A" w:rsidRPr="00E03D97">
        <w:rPr>
          <w:rFonts w:ascii="Times New Roman" w:eastAsia="Times New Roman" w:hAnsi="Times New Roman" w:cs="Times New Roman"/>
          <w:noProof/>
          <w:sz w:val="24"/>
          <w:szCs w:val="24"/>
          <w:lang w:val="en-IE"/>
        </w:rPr>
        <w:t xml:space="preserve"> new modules to support preparedness and response planning and reporting and crisis management capabilities</w:t>
      </w:r>
      <w:r w:rsidR="00971A8C">
        <w:rPr>
          <w:rFonts w:ascii="Times New Roman" w:eastAsia="Times New Roman" w:hAnsi="Times New Roman" w:cs="Times New Roman"/>
          <w:noProof/>
          <w:sz w:val="24"/>
          <w:szCs w:val="24"/>
          <w:lang w:val="en-IE"/>
        </w:rPr>
        <w:t>;</w:t>
      </w:r>
      <w:r w:rsidR="0032059A" w:rsidRPr="00E03D97">
        <w:rPr>
          <w:rFonts w:ascii="Times New Roman" w:eastAsia="Times New Roman" w:hAnsi="Times New Roman" w:cs="Times New Roman"/>
          <w:noProof/>
          <w:sz w:val="24"/>
          <w:szCs w:val="24"/>
          <w:lang w:val="en-IE"/>
        </w:rPr>
        <w:t xml:space="preserve"> and improv</w:t>
      </w:r>
      <w:r w:rsidR="00971A8C">
        <w:rPr>
          <w:rFonts w:ascii="Times New Roman" w:eastAsia="Times New Roman" w:hAnsi="Times New Roman" w:cs="Times New Roman"/>
          <w:noProof/>
          <w:sz w:val="24"/>
          <w:szCs w:val="24"/>
          <w:lang w:val="en-IE"/>
        </w:rPr>
        <w:t>ing</w:t>
      </w:r>
      <w:r w:rsidR="0032059A" w:rsidRPr="00E03D97">
        <w:rPr>
          <w:rFonts w:ascii="Times New Roman" w:eastAsia="Times New Roman" w:hAnsi="Times New Roman" w:cs="Times New Roman"/>
          <w:noProof/>
          <w:sz w:val="24"/>
          <w:szCs w:val="24"/>
          <w:lang w:val="en-IE"/>
        </w:rPr>
        <w:t xml:space="preserve"> user</w:t>
      </w:r>
      <w:r w:rsidR="00971A8C">
        <w:rPr>
          <w:rFonts w:ascii="Times New Roman" w:eastAsia="Times New Roman" w:hAnsi="Times New Roman" w:cs="Times New Roman"/>
          <w:noProof/>
          <w:sz w:val="24"/>
          <w:szCs w:val="24"/>
          <w:lang w:val="en-IE"/>
        </w:rPr>
        <w:t>-</w:t>
      </w:r>
      <w:r w:rsidR="0032059A" w:rsidRPr="00E03D97">
        <w:rPr>
          <w:rFonts w:ascii="Times New Roman" w:eastAsia="Times New Roman" w:hAnsi="Times New Roman" w:cs="Times New Roman"/>
          <w:noProof/>
          <w:sz w:val="24"/>
          <w:szCs w:val="24"/>
          <w:lang w:val="en-IE"/>
        </w:rPr>
        <w:t xml:space="preserve">support services (training and integrated user guidance). Under this </w:t>
      </w:r>
      <w:r w:rsidR="00C5325C">
        <w:rPr>
          <w:rFonts w:ascii="Times New Roman" w:eastAsia="Times New Roman" w:hAnsi="Times New Roman" w:cs="Times New Roman"/>
          <w:noProof/>
          <w:sz w:val="24"/>
          <w:szCs w:val="24"/>
          <w:lang w:val="en-IE"/>
        </w:rPr>
        <w:t>action,</w:t>
      </w:r>
      <w:r w:rsidR="00C5325C" w:rsidRPr="00E03D97">
        <w:rPr>
          <w:rFonts w:ascii="Times New Roman" w:eastAsia="Times New Roman" w:hAnsi="Times New Roman" w:cs="Times New Roman"/>
          <w:noProof/>
          <w:sz w:val="24"/>
          <w:szCs w:val="24"/>
          <w:lang w:val="en-IE"/>
        </w:rPr>
        <w:t xml:space="preserve"> </w:t>
      </w:r>
      <w:r w:rsidR="0032059A" w:rsidRPr="00E03D97">
        <w:rPr>
          <w:rFonts w:ascii="Times New Roman" w:eastAsia="Times New Roman" w:hAnsi="Times New Roman" w:cs="Times New Roman"/>
          <w:noProof/>
          <w:sz w:val="24"/>
          <w:szCs w:val="24"/>
          <w:lang w:val="en-IE"/>
        </w:rPr>
        <w:t xml:space="preserve">the feasibility assessment </w:t>
      </w:r>
      <w:r w:rsidR="00971A8C">
        <w:rPr>
          <w:rFonts w:ascii="Times New Roman" w:eastAsia="Times New Roman" w:hAnsi="Times New Roman" w:cs="Times New Roman"/>
          <w:noProof/>
          <w:sz w:val="24"/>
          <w:szCs w:val="24"/>
          <w:lang w:val="en-IE"/>
        </w:rPr>
        <w:t>for</w:t>
      </w:r>
      <w:r w:rsidR="00971A8C" w:rsidRPr="00E03D97">
        <w:rPr>
          <w:rFonts w:ascii="Times New Roman" w:eastAsia="Times New Roman" w:hAnsi="Times New Roman" w:cs="Times New Roman"/>
          <w:noProof/>
          <w:sz w:val="24"/>
          <w:szCs w:val="24"/>
          <w:lang w:val="en-IE"/>
        </w:rPr>
        <w:t xml:space="preserve"> </w:t>
      </w:r>
      <w:r w:rsidR="0032059A" w:rsidRPr="00E03D97">
        <w:rPr>
          <w:rFonts w:ascii="Times New Roman" w:eastAsia="Times New Roman" w:hAnsi="Times New Roman" w:cs="Times New Roman"/>
          <w:noProof/>
          <w:sz w:val="24"/>
          <w:szCs w:val="24"/>
          <w:lang w:val="en-IE"/>
        </w:rPr>
        <w:t xml:space="preserve">interlinkage with the EU and </w:t>
      </w:r>
      <w:r w:rsidR="00E57E84" w:rsidRPr="00E03D97">
        <w:rPr>
          <w:rFonts w:ascii="Times New Roman" w:eastAsia="Times New Roman" w:hAnsi="Times New Roman" w:cs="Times New Roman"/>
          <w:noProof/>
          <w:sz w:val="24"/>
          <w:szCs w:val="24"/>
          <w:lang w:val="en-IE"/>
        </w:rPr>
        <w:t>other i</w:t>
      </w:r>
      <w:r w:rsidR="0032059A" w:rsidRPr="00E03D97">
        <w:rPr>
          <w:rFonts w:ascii="Times New Roman" w:eastAsia="Times New Roman" w:hAnsi="Times New Roman" w:cs="Times New Roman"/>
          <w:noProof/>
          <w:sz w:val="24"/>
          <w:szCs w:val="24"/>
          <w:lang w:val="en-IE"/>
        </w:rPr>
        <w:t xml:space="preserve">nternational alert and information systems is </w:t>
      </w:r>
      <w:r w:rsidR="00971A8C">
        <w:rPr>
          <w:rFonts w:ascii="Times New Roman" w:eastAsia="Times New Roman" w:hAnsi="Times New Roman" w:cs="Times New Roman"/>
          <w:noProof/>
          <w:sz w:val="24"/>
          <w:szCs w:val="24"/>
          <w:lang w:val="en-IE"/>
        </w:rPr>
        <w:t>currently being</w:t>
      </w:r>
      <w:r w:rsidR="0032059A" w:rsidRPr="00E03D97">
        <w:rPr>
          <w:rFonts w:ascii="Times New Roman" w:eastAsia="Times New Roman" w:hAnsi="Times New Roman" w:cs="Times New Roman"/>
          <w:noProof/>
          <w:sz w:val="24"/>
          <w:szCs w:val="24"/>
          <w:lang w:val="en-IE"/>
        </w:rPr>
        <w:t xml:space="preserve"> finali</w:t>
      </w:r>
      <w:r w:rsidR="00971A8C">
        <w:rPr>
          <w:rFonts w:ascii="Times New Roman" w:eastAsia="Times New Roman" w:hAnsi="Times New Roman" w:cs="Times New Roman"/>
          <w:noProof/>
          <w:sz w:val="24"/>
          <w:szCs w:val="24"/>
          <w:lang w:val="en-IE"/>
        </w:rPr>
        <w:t>sed</w:t>
      </w:r>
      <w:r w:rsidR="0032059A" w:rsidRPr="00E03D97">
        <w:rPr>
          <w:rFonts w:ascii="Times New Roman" w:eastAsia="Times New Roman" w:hAnsi="Times New Roman" w:cs="Times New Roman"/>
          <w:noProof/>
          <w:sz w:val="24"/>
          <w:szCs w:val="24"/>
          <w:lang w:val="en-IE"/>
        </w:rPr>
        <w:t xml:space="preserve">. </w:t>
      </w:r>
      <w:r w:rsidR="00971A8C">
        <w:rPr>
          <w:rFonts w:ascii="Times New Roman" w:eastAsia="Times New Roman" w:hAnsi="Times New Roman" w:cs="Times New Roman"/>
          <w:noProof/>
          <w:sz w:val="24"/>
          <w:szCs w:val="24"/>
          <w:lang w:val="en-IE"/>
        </w:rPr>
        <w:t xml:space="preserve">13 </w:t>
      </w:r>
      <w:r w:rsidR="00E57E84" w:rsidRPr="00E03D97">
        <w:rPr>
          <w:rFonts w:ascii="Times New Roman" w:eastAsia="Times New Roman" w:hAnsi="Times New Roman" w:cs="Times New Roman"/>
          <w:noProof/>
          <w:sz w:val="24"/>
          <w:szCs w:val="24"/>
          <w:lang w:val="en-IE"/>
        </w:rPr>
        <w:t>such systems</w:t>
      </w:r>
      <w:r w:rsidR="0032059A" w:rsidRPr="00E03D97">
        <w:rPr>
          <w:rFonts w:ascii="Times New Roman" w:eastAsia="Times New Roman" w:hAnsi="Times New Roman" w:cs="Times New Roman"/>
          <w:noProof/>
          <w:sz w:val="24"/>
          <w:szCs w:val="24"/>
          <w:lang w:val="en-IE"/>
        </w:rPr>
        <w:t xml:space="preserve"> were assessed and </w:t>
      </w:r>
      <w:r w:rsidR="00971A8C">
        <w:rPr>
          <w:rFonts w:ascii="Times New Roman" w:eastAsia="Times New Roman" w:hAnsi="Times New Roman" w:cs="Times New Roman"/>
          <w:noProof/>
          <w:sz w:val="24"/>
          <w:szCs w:val="24"/>
          <w:lang w:val="en-IE"/>
        </w:rPr>
        <w:t>10</w:t>
      </w:r>
      <w:r w:rsidR="0032059A" w:rsidRPr="00E03D97">
        <w:rPr>
          <w:rFonts w:ascii="Times New Roman" w:eastAsia="Times New Roman" w:hAnsi="Times New Roman" w:cs="Times New Roman"/>
          <w:noProof/>
          <w:sz w:val="24"/>
          <w:szCs w:val="24"/>
          <w:lang w:val="en-IE"/>
        </w:rPr>
        <w:t xml:space="preserve"> will be prioritised for interlinkage with EWRS. To ensure interoperability with other alert information systems, the EWRS taxonomy for biological, chemical and environmental threats is </w:t>
      </w:r>
      <w:r>
        <w:rPr>
          <w:rFonts w:ascii="Times New Roman" w:eastAsia="Times New Roman" w:hAnsi="Times New Roman" w:cs="Times New Roman"/>
          <w:noProof/>
          <w:sz w:val="24"/>
          <w:szCs w:val="24"/>
          <w:lang w:val="en-IE"/>
        </w:rPr>
        <w:t xml:space="preserve">also </w:t>
      </w:r>
      <w:r w:rsidR="0032059A" w:rsidRPr="00E03D97">
        <w:rPr>
          <w:rFonts w:ascii="Times New Roman" w:eastAsia="Times New Roman" w:hAnsi="Times New Roman" w:cs="Times New Roman"/>
          <w:noProof/>
          <w:sz w:val="24"/>
          <w:szCs w:val="24"/>
          <w:lang w:val="en-IE"/>
        </w:rPr>
        <w:t>under review.</w:t>
      </w:r>
    </w:p>
    <w:p w14:paraId="0F92831F" w14:textId="665C0EE1" w:rsidR="001F1738" w:rsidRPr="00E03D97" w:rsidRDefault="00E57E84"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C</w:t>
      </w:r>
      <w:r w:rsidR="001F1738" w:rsidRPr="00E03D97">
        <w:rPr>
          <w:rFonts w:ascii="Times New Roman" w:eastAsia="Times New Roman" w:hAnsi="Times New Roman" w:cs="Times New Roman"/>
          <w:noProof/>
          <w:sz w:val="24"/>
          <w:szCs w:val="24"/>
          <w:lang w:val="en-IE"/>
        </w:rPr>
        <w:t>oordination with other alert systems is essential when faced, for example, with food-borne pathogens</w:t>
      </w:r>
      <w:r w:rsidR="00CE70D7">
        <w:rPr>
          <w:rFonts w:ascii="Times New Roman" w:eastAsia="Times New Roman" w:hAnsi="Times New Roman" w:cs="Times New Roman"/>
          <w:noProof/>
          <w:sz w:val="24"/>
          <w:szCs w:val="24"/>
          <w:lang w:val="en-IE"/>
        </w:rPr>
        <w:t xml:space="preserve"> (e.g.</w:t>
      </w:r>
      <w:r w:rsidR="001F1738" w:rsidRPr="00E03D97">
        <w:rPr>
          <w:rFonts w:ascii="Times New Roman" w:eastAsia="Times New Roman" w:hAnsi="Times New Roman" w:cs="Times New Roman"/>
          <w:noProof/>
          <w:sz w:val="24"/>
          <w:szCs w:val="24"/>
          <w:lang w:val="en-IE"/>
        </w:rPr>
        <w:t xml:space="preserve"> the case of resistant </w:t>
      </w:r>
      <w:r w:rsidR="00CE70D7">
        <w:rPr>
          <w:rFonts w:ascii="Times New Roman" w:eastAsia="Times New Roman" w:hAnsi="Times New Roman" w:cs="Times New Roman"/>
          <w:noProof/>
          <w:sz w:val="24"/>
          <w:szCs w:val="24"/>
          <w:lang w:val="en-IE"/>
        </w:rPr>
        <w:t>s</w:t>
      </w:r>
      <w:r w:rsidR="001F1738" w:rsidRPr="00B43F78">
        <w:rPr>
          <w:rFonts w:ascii="Times New Roman" w:eastAsia="Times New Roman" w:hAnsi="Times New Roman" w:cs="Times New Roman"/>
          <w:noProof/>
          <w:sz w:val="24"/>
          <w:szCs w:val="24"/>
          <w:lang w:val="en-IE"/>
        </w:rPr>
        <w:t>almonella</w:t>
      </w:r>
      <w:r w:rsidR="001F1738" w:rsidRPr="00E03D97">
        <w:rPr>
          <w:rFonts w:ascii="Times New Roman" w:eastAsia="Times New Roman" w:hAnsi="Times New Roman" w:cs="Times New Roman"/>
          <w:i/>
          <w:iCs/>
          <w:noProof/>
          <w:sz w:val="24"/>
          <w:szCs w:val="24"/>
          <w:lang w:val="en-IE"/>
        </w:rPr>
        <w:t xml:space="preserve"> </w:t>
      </w:r>
      <w:r w:rsidR="001F1738" w:rsidRPr="00E03D97">
        <w:rPr>
          <w:rFonts w:ascii="Times New Roman" w:eastAsia="Times New Roman" w:hAnsi="Times New Roman" w:cs="Times New Roman"/>
          <w:noProof/>
          <w:sz w:val="24"/>
          <w:szCs w:val="24"/>
          <w:lang w:val="en-IE"/>
        </w:rPr>
        <w:t>in chocolate eggs in 2022</w:t>
      </w:r>
      <w:r w:rsidR="00CE70D7">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 xml:space="preserve"> or zoonoses, such as avian influenza</w:t>
      </w:r>
      <w:r w:rsidR="00CE70D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as mentioned earlier in this report</w:t>
      </w:r>
      <w:r w:rsidR="00CE70D7">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 Upcoming changes called for by Regulation</w:t>
      </w:r>
      <w:r w:rsidR="00CE70D7">
        <w:rPr>
          <w:rFonts w:ascii="Times New Roman" w:eastAsia="Times New Roman" w:hAnsi="Times New Roman" w:cs="Times New Roman"/>
          <w:noProof/>
          <w:sz w:val="24"/>
          <w:szCs w:val="24"/>
          <w:lang w:val="en-IE"/>
        </w:rPr>
        <w:t> </w:t>
      </w:r>
      <w:r w:rsidR="001F1738" w:rsidRPr="00E03D97">
        <w:rPr>
          <w:rFonts w:ascii="Times New Roman" w:eastAsia="Times New Roman" w:hAnsi="Times New Roman" w:cs="Times New Roman"/>
          <w:noProof/>
          <w:sz w:val="24"/>
          <w:szCs w:val="24"/>
          <w:lang w:val="en-IE"/>
        </w:rPr>
        <w:t>(EU)</w:t>
      </w:r>
      <w:r w:rsidR="00CE70D7">
        <w:rPr>
          <w:rFonts w:ascii="Times New Roman" w:eastAsia="Times New Roman" w:hAnsi="Times New Roman" w:cs="Times New Roman"/>
          <w:noProof/>
          <w:sz w:val="24"/>
          <w:szCs w:val="24"/>
          <w:lang w:val="en-IE"/>
        </w:rPr>
        <w:t> </w:t>
      </w:r>
      <w:r w:rsidR="001F1738" w:rsidRPr="00E03D97">
        <w:rPr>
          <w:rFonts w:ascii="Times New Roman" w:eastAsia="Times New Roman" w:hAnsi="Times New Roman" w:cs="Times New Roman"/>
          <w:noProof/>
          <w:sz w:val="24"/>
          <w:szCs w:val="24"/>
          <w:lang w:val="en-IE"/>
        </w:rPr>
        <w:t>2022/2371 include</w:t>
      </w:r>
      <w:r w:rsidR="00CE70D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EWRS interoperability with other systems such as</w:t>
      </w:r>
      <w:r w:rsidR="00A776EE">
        <w:rPr>
          <w:rFonts w:ascii="Times New Roman" w:eastAsia="Times New Roman" w:hAnsi="Times New Roman" w:cs="Times New Roman"/>
          <w:noProof/>
          <w:sz w:val="24"/>
          <w:szCs w:val="24"/>
          <w:lang w:val="en-IE"/>
        </w:rPr>
        <w:t xml:space="preserve"> (i)</w:t>
      </w:r>
      <w:r w:rsidR="001F1738" w:rsidRPr="00E03D97">
        <w:rPr>
          <w:rFonts w:ascii="Times New Roman" w:eastAsia="Times New Roman" w:hAnsi="Times New Roman" w:cs="Times New Roman"/>
          <w:noProof/>
          <w:sz w:val="24"/>
          <w:szCs w:val="24"/>
          <w:lang w:val="en-IE"/>
        </w:rPr>
        <w:t xml:space="preserve"> the EU Animal Diseases Information System (ADIS)</w:t>
      </w:r>
      <w:r w:rsidR="00CE70D7">
        <w:rPr>
          <w:rFonts w:ascii="Times New Roman" w:eastAsia="Times New Roman" w:hAnsi="Times New Roman" w:cs="Times New Roman"/>
          <w:noProof/>
          <w:sz w:val="24"/>
          <w:szCs w:val="24"/>
          <w:lang w:val="en-IE"/>
        </w:rPr>
        <w:t xml:space="preserve"> in order</w:t>
      </w:r>
      <w:r w:rsidR="001F1738" w:rsidRPr="00E03D97">
        <w:rPr>
          <w:rFonts w:ascii="Times New Roman" w:eastAsia="Times New Roman" w:hAnsi="Times New Roman" w:cs="Times New Roman"/>
          <w:noProof/>
          <w:sz w:val="24"/>
          <w:szCs w:val="24"/>
          <w:lang w:val="en-IE"/>
        </w:rPr>
        <w:t xml:space="preserve"> to monitor infectious animal diseases</w:t>
      </w:r>
      <w:r w:rsidR="00CE70D7">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 xml:space="preserve"> </w:t>
      </w:r>
      <w:r w:rsidR="00CE70D7">
        <w:rPr>
          <w:rFonts w:ascii="Times New Roman" w:eastAsia="Times New Roman" w:hAnsi="Times New Roman" w:cs="Times New Roman"/>
          <w:noProof/>
          <w:sz w:val="24"/>
          <w:szCs w:val="24"/>
          <w:lang w:val="en-IE"/>
        </w:rPr>
        <w:t xml:space="preserve">(ii) </w:t>
      </w:r>
      <w:r w:rsidR="001F1738" w:rsidRPr="00E03D97">
        <w:rPr>
          <w:rFonts w:ascii="Times New Roman" w:eastAsia="Times New Roman" w:hAnsi="Times New Roman" w:cs="Times New Roman"/>
          <w:noProof/>
          <w:sz w:val="24"/>
          <w:szCs w:val="24"/>
          <w:lang w:val="en-IE"/>
        </w:rPr>
        <w:t xml:space="preserve">the Rapid Alert System for Food and Feed (RASFF) </w:t>
      </w:r>
      <w:r w:rsidR="00CE70D7">
        <w:rPr>
          <w:rFonts w:ascii="Times New Roman" w:eastAsia="Times New Roman" w:hAnsi="Times New Roman" w:cs="Times New Roman"/>
          <w:noProof/>
          <w:sz w:val="24"/>
          <w:szCs w:val="24"/>
          <w:lang w:val="en-IE"/>
        </w:rPr>
        <w:t>for</w:t>
      </w:r>
      <w:r w:rsidR="001F1738" w:rsidRPr="00E03D97">
        <w:rPr>
          <w:rFonts w:ascii="Times New Roman" w:eastAsia="Times New Roman" w:hAnsi="Times New Roman" w:cs="Times New Roman"/>
          <w:noProof/>
          <w:sz w:val="24"/>
          <w:szCs w:val="24"/>
          <w:lang w:val="en-IE"/>
        </w:rPr>
        <w:t xml:space="preserve"> risks to public health resulting from the food chain</w:t>
      </w:r>
      <w:r w:rsidR="00CE70D7">
        <w:rPr>
          <w:rFonts w:ascii="Times New Roman" w:eastAsia="Times New Roman" w:hAnsi="Times New Roman" w:cs="Times New Roman"/>
          <w:noProof/>
          <w:sz w:val="24"/>
          <w:szCs w:val="24"/>
          <w:lang w:val="en-IE"/>
        </w:rPr>
        <w:t>; (iii)</w:t>
      </w:r>
      <w:r w:rsidR="001F1738" w:rsidRPr="00E03D97">
        <w:rPr>
          <w:rFonts w:ascii="Times New Roman" w:eastAsia="Times New Roman" w:hAnsi="Times New Roman" w:cs="Times New Roman"/>
          <w:noProof/>
          <w:sz w:val="24"/>
          <w:szCs w:val="24"/>
          <w:lang w:val="en-IE"/>
        </w:rPr>
        <w:t xml:space="preserve"> </w:t>
      </w:r>
      <w:r w:rsidR="00F7122F">
        <w:rPr>
          <w:rFonts w:ascii="Times New Roman" w:eastAsia="Times New Roman" w:hAnsi="Times New Roman" w:cs="Times New Roman"/>
          <w:noProof/>
          <w:sz w:val="24"/>
          <w:szCs w:val="24"/>
          <w:lang w:val="en-IE"/>
        </w:rPr>
        <w:t>W</w:t>
      </w:r>
      <w:r w:rsidRPr="00E03D97">
        <w:rPr>
          <w:rFonts w:ascii="Times New Roman" w:eastAsia="Times New Roman" w:hAnsi="Times New Roman" w:cs="Times New Roman"/>
          <w:noProof/>
          <w:sz w:val="24"/>
          <w:szCs w:val="24"/>
          <w:lang w:val="en-IE"/>
        </w:rPr>
        <w:t>eb</w:t>
      </w:r>
      <w:r w:rsidR="001F1738" w:rsidRPr="00E03D97">
        <w:rPr>
          <w:rFonts w:ascii="Times New Roman" w:eastAsia="Times New Roman" w:hAnsi="Times New Roman" w:cs="Times New Roman"/>
          <w:noProof/>
          <w:sz w:val="24"/>
          <w:szCs w:val="24"/>
          <w:lang w:val="en-IE"/>
        </w:rPr>
        <w:t xml:space="preserve">ECURIE, the EU </w:t>
      </w:r>
      <w:r w:rsidR="00F7122F">
        <w:rPr>
          <w:rFonts w:ascii="Times New Roman" w:eastAsia="Times New Roman" w:hAnsi="Times New Roman" w:cs="Times New Roman"/>
          <w:noProof/>
          <w:sz w:val="24"/>
          <w:szCs w:val="24"/>
          <w:lang w:val="en-IE"/>
        </w:rPr>
        <w:t xml:space="preserve">early </w:t>
      </w:r>
      <w:r w:rsidR="001F1738" w:rsidRPr="00E03D97">
        <w:rPr>
          <w:rFonts w:ascii="Times New Roman" w:eastAsia="Times New Roman" w:hAnsi="Times New Roman" w:cs="Times New Roman"/>
          <w:noProof/>
          <w:sz w:val="24"/>
          <w:szCs w:val="24"/>
          <w:lang w:val="en-IE"/>
        </w:rPr>
        <w:t>notification and</w:t>
      </w:r>
      <w:r w:rsidR="00F7122F">
        <w:rPr>
          <w:rFonts w:ascii="Times New Roman" w:eastAsia="Times New Roman" w:hAnsi="Times New Roman" w:cs="Times New Roman"/>
          <w:noProof/>
          <w:sz w:val="24"/>
          <w:szCs w:val="24"/>
          <w:lang w:val="en-IE"/>
        </w:rPr>
        <w:t xml:space="preserve"> information</w:t>
      </w:r>
      <w:r w:rsidR="001F1738" w:rsidRPr="00E03D97">
        <w:rPr>
          <w:rFonts w:ascii="Times New Roman" w:eastAsia="Times New Roman" w:hAnsi="Times New Roman" w:cs="Times New Roman"/>
          <w:noProof/>
          <w:sz w:val="24"/>
          <w:szCs w:val="24"/>
          <w:lang w:val="en-IE"/>
        </w:rPr>
        <w:t xml:space="preserve"> exchange system in the event of a radiological emergency</w:t>
      </w:r>
      <w:r w:rsidR="00F7122F">
        <w:rPr>
          <w:rFonts w:ascii="Times New Roman" w:eastAsia="Times New Roman" w:hAnsi="Times New Roman" w:cs="Times New Roman"/>
          <w:noProof/>
          <w:sz w:val="24"/>
          <w:szCs w:val="24"/>
          <w:lang w:val="en-IE"/>
        </w:rPr>
        <w:t xml:space="preserve"> including nuclear</w:t>
      </w:r>
      <w:r w:rsidR="001F1738" w:rsidRPr="00E03D97">
        <w:rPr>
          <w:rFonts w:ascii="Times New Roman" w:eastAsia="Times New Roman" w:hAnsi="Times New Roman" w:cs="Times New Roman"/>
          <w:noProof/>
          <w:sz w:val="24"/>
          <w:szCs w:val="24"/>
          <w:lang w:val="en-IE"/>
        </w:rPr>
        <w:t xml:space="preserve"> accidents</w:t>
      </w:r>
      <w:r w:rsidR="00CE70D7">
        <w:rPr>
          <w:rFonts w:ascii="Times New Roman" w:eastAsia="Times New Roman" w:hAnsi="Times New Roman" w:cs="Times New Roman"/>
          <w:noProof/>
          <w:sz w:val="24"/>
          <w:szCs w:val="24"/>
          <w:lang w:val="en-IE"/>
        </w:rPr>
        <w:t>; (iv)</w:t>
      </w:r>
      <w:r w:rsidR="001F1738" w:rsidRPr="00E03D97">
        <w:rPr>
          <w:rFonts w:ascii="Times New Roman" w:eastAsia="Times New Roman" w:hAnsi="Times New Roman" w:cs="Times New Roman"/>
          <w:noProof/>
          <w:sz w:val="24"/>
          <w:szCs w:val="24"/>
          <w:lang w:val="en-IE"/>
        </w:rPr>
        <w:t xml:space="preserve"> RASCHEM for threats of a chemical nature</w:t>
      </w:r>
      <w:r w:rsidR="00CE70D7">
        <w:rPr>
          <w:rFonts w:ascii="Times New Roman" w:eastAsia="Times New Roman" w:hAnsi="Times New Roman" w:cs="Times New Roman"/>
          <w:noProof/>
          <w:sz w:val="24"/>
          <w:szCs w:val="24"/>
          <w:lang w:val="en-IE"/>
        </w:rPr>
        <w:t>; and</w:t>
      </w:r>
      <w:r w:rsidRPr="00E03D97">
        <w:rPr>
          <w:rFonts w:ascii="Times New Roman" w:eastAsia="Times New Roman" w:hAnsi="Times New Roman" w:cs="Times New Roman"/>
          <w:noProof/>
          <w:sz w:val="24"/>
          <w:szCs w:val="24"/>
          <w:lang w:val="en-IE"/>
        </w:rPr>
        <w:t xml:space="preserve"> </w:t>
      </w:r>
      <w:r w:rsidR="00CE70D7">
        <w:rPr>
          <w:rFonts w:ascii="Times New Roman" w:eastAsia="Times New Roman" w:hAnsi="Times New Roman" w:cs="Times New Roman"/>
          <w:noProof/>
          <w:sz w:val="24"/>
          <w:szCs w:val="24"/>
          <w:lang w:val="en-IE"/>
        </w:rPr>
        <w:t>(v) the s</w:t>
      </w:r>
      <w:r w:rsidRPr="00E03D97">
        <w:rPr>
          <w:rFonts w:ascii="Times New Roman" w:eastAsia="Times New Roman" w:hAnsi="Times New Roman" w:cs="Times New Roman"/>
          <w:noProof/>
          <w:sz w:val="24"/>
          <w:szCs w:val="24"/>
          <w:lang w:val="en-IE"/>
        </w:rPr>
        <w:t>afety</w:t>
      </w:r>
      <w:r w:rsidR="00CE70D7">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gate for threats of a biological or chemical nature in non-food consumer products</w:t>
      </w:r>
      <w:r w:rsidR="001F1738" w:rsidRPr="00E03D97">
        <w:rPr>
          <w:rFonts w:ascii="Times New Roman" w:eastAsia="Times New Roman" w:hAnsi="Times New Roman" w:cs="Times New Roman"/>
          <w:noProof/>
          <w:sz w:val="24"/>
          <w:szCs w:val="24"/>
          <w:lang w:val="en-IE"/>
        </w:rPr>
        <w:t xml:space="preserve">. </w:t>
      </w:r>
      <w:r w:rsidR="00CD7AD9">
        <w:rPr>
          <w:rFonts w:ascii="Times New Roman" w:eastAsia="Times New Roman" w:hAnsi="Times New Roman" w:cs="Times New Roman"/>
          <w:noProof/>
          <w:sz w:val="24"/>
          <w:szCs w:val="24"/>
          <w:lang w:val="en-IE"/>
        </w:rPr>
        <w:t xml:space="preserve">The </w:t>
      </w:r>
      <w:r w:rsidR="001F1738" w:rsidRPr="00E03D97">
        <w:rPr>
          <w:rFonts w:ascii="Times New Roman" w:eastAsia="Times New Roman" w:hAnsi="Times New Roman" w:cs="Times New Roman"/>
          <w:noProof/>
          <w:sz w:val="24"/>
          <w:szCs w:val="24"/>
          <w:lang w:val="en-IE"/>
        </w:rPr>
        <w:t>EWRS is also to be interoperable with EpiPulse</w:t>
      </w:r>
      <w:r w:rsidRPr="00E03D97">
        <w:rPr>
          <w:rFonts w:ascii="Times New Roman" w:eastAsia="Times New Roman" w:hAnsi="Times New Roman" w:cs="Times New Roman"/>
          <w:noProof/>
          <w:sz w:val="24"/>
          <w:szCs w:val="24"/>
          <w:lang w:val="en-IE"/>
        </w:rPr>
        <w:t xml:space="preserve"> for the notification of alerts and exchange of</w:t>
      </w:r>
      <w:r w:rsidR="001F1738" w:rsidRPr="00E03D97">
        <w:rPr>
          <w:rFonts w:ascii="Times New Roman" w:eastAsia="Times New Roman" w:hAnsi="Times New Roman" w:cs="Times New Roman"/>
          <w:noProof/>
          <w:sz w:val="24"/>
          <w:szCs w:val="24"/>
          <w:lang w:val="en-IE"/>
        </w:rPr>
        <w:t xml:space="preserve"> epidemiological summaries or risk assessments</w:t>
      </w:r>
      <w:r w:rsidR="00CE70D7">
        <w:rPr>
          <w:rFonts w:ascii="Times New Roman" w:eastAsia="Times New Roman" w:hAnsi="Times New Roman" w:cs="Times New Roman"/>
          <w:noProof/>
          <w:sz w:val="24"/>
          <w:szCs w:val="24"/>
          <w:lang w:val="en-IE"/>
        </w:rPr>
        <w:t xml:space="preserve"> as</w:t>
      </w:r>
      <w:r w:rsidRPr="00E03D97">
        <w:rPr>
          <w:rFonts w:ascii="Times New Roman" w:eastAsia="Times New Roman" w:hAnsi="Times New Roman" w:cs="Times New Roman"/>
          <w:noProof/>
          <w:sz w:val="24"/>
          <w:szCs w:val="24"/>
          <w:lang w:val="en-IE"/>
        </w:rPr>
        <w:t xml:space="preserve"> part of the EWRS situation awareness module.</w:t>
      </w:r>
    </w:p>
    <w:p w14:paraId="02BCF609" w14:textId="1B31E58E"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Within the Commission, ARGUS is the main crisis management and coordination mechanism</w:t>
      </w:r>
      <w:r w:rsidR="00CE70D7">
        <w:rPr>
          <w:rFonts w:ascii="Times New Roman" w:eastAsia="Times New Roman" w:hAnsi="Times New Roman" w:cs="Times New Roman"/>
          <w:noProof/>
          <w:sz w:val="24"/>
          <w:szCs w:val="24"/>
          <w:lang w:val="en-IE"/>
        </w:rPr>
        <w:t xml:space="preserve">. It </w:t>
      </w:r>
      <w:r w:rsidRPr="00E03D97">
        <w:rPr>
          <w:rFonts w:ascii="Times New Roman" w:eastAsia="Times New Roman" w:hAnsi="Times New Roman" w:cs="Times New Roman"/>
          <w:noProof/>
          <w:sz w:val="24"/>
          <w:szCs w:val="24"/>
          <w:lang w:val="en-IE"/>
        </w:rPr>
        <w:t>ensur</w:t>
      </w:r>
      <w:r w:rsidR="00CE70D7">
        <w:rPr>
          <w:rFonts w:ascii="Times New Roman" w:eastAsia="Times New Roman" w:hAnsi="Times New Roman" w:cs="Times New Roman"/>
          <w:noProof/>
          <w:sz w:val="24"/>
          <w:szCs w:val="24"/>
          <w:lang w:val="en-IE"/>
        </w:rPr>
        <w:t>es</w:t>
      </w:r>
      <w:r w:rsidRPr="00E03D97">
        <w:rPr>
          <w:rFonts w:ascii="Times New Roman" w:eastAsia="Times New Roman" w:hAnsi="Times New Roman" w:cs="Times New Roman"/>
          <w:noProof/>
          <w:sz w:val="24"/>
          <w:szCs w:val="24"/>
          <w:lang w:val="en-IE"/>
        </w:rPr>
        <w:t xml:space="preserve"> that relevant information from Commission services and EU </w:t>
      </w:r>
      <w:r w:rsidR="00EC0AFF">
        <w:rPr>
          <w:rFonts w:ascii="Times New Roman" w:eastAsia="Times New Roman" w:hAnsi="Times New Roman" w:cs="Times New Roman"/>
          <w:noProof/>
          <w:sz w:val="24"/>
          <w:szCs w:val="24"/>
          <w:lang w:val="en-IE"/>
        </w:rPr>
        <w:t>a</w:t>
      </w:r>
      <w:r w:rsidRPr="00E03D97">
        <w:rPr>
          <w:rFonts w:ascii="Times New Roman" w:eastAsia="Times New Roman" w:hAnsi="Times New Roman" w:cs="Times New Roman"/>
          <w:noProof/>
          <w:sz w:val="24"/>
          <w:szCs w:val="24"/>
          <w:lang w:val="en-IE"/>
        </w:rPr>
        <w:t>gencies, as well as from the Member States, is collected and used to form a timely and up-to-date situational picture to help contingency planning, appropriate coordination and decision</w:t>
      </w:r>
      <w:r w:rsidR="00AF26F4">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making. During the COVID-19 pandemic, ARGUS was instrumental in coordinating the Commission’s participation in meetings of the </w:t>
      </w:r>
      <w:r w:rsidR="00AF26F4">
        <w:rPr>
          <w:rFonts w:ascii="Times New Roman" w:eastAsia="Times New Roman" w:hAnsi="Times New Roman" w:cs="Times New Roman"/>
          <w:noProof/>
          <w:sz w:val="24"/>
          <w:szCs w:val="24"/>
          <w:lang w:val="en-IE"/>
        </w:rPr>
        <w:t xml:space="preserve">Council’s </w:t>
      </w:r>
      <w:r w:rsidRPr="00E03D97">
        <w:rPr>
          <w:rFonts w:ascii="Times New Roman" w:eastAsia="Times New Roman" w:hAnsi="Times New Roman" w:cs="Times New Roman"/>
          <w:noProof/>
          <w:sz w:val="24"/>
          <w:szCs w:val="24"/>
          <w:lang w:val="en-IE"/>
        </w:rPr>
        <w:t>Integrated Political Crisis Response</w:t>
      </w:r>
      <w:r w:rsidR="00A776EE">
        <w:rPr>
          <w:rFonts w:ascii="Times New Roman" w:eastAsia="Times New Roman" w:hAnsi="Times New Roman" w:cs="Times New Roman"/>
          <w:noProof/>
          <w:sz w:val="24"/>
          <w:szCs w:val="24"/>
          <w:lang w:val="en-IE"/>
        </w:rPr>
        <w:t xml:space="preserve"> mechanism</w:t>
      </w:r>
      <w:r w:rsidR="000F7855">
        <w:rPr>
          <w:rFonts w:ascii="Times New Roman" w:eastAsia="Times New Roman" w:hAnsi="Times New Roman" w:cs="Times New Roman"/>
          <w:noProof/>
          <w:sz w:val="24"/>
          <w:szCs w:val="24"/>
          <w:lang w:val="en-IE"/>
        </w:rPr>
        <w:t xml:space="preserve"> (IPCR)</w:t>
      </w:r>
      <w:r w:rsidRPr="00E03D97">
        <w:rPr>
          <w:rFonts w:ascii="Times New Roman" w:eastAsia="Times New Roman" w:hAnsi="Times New Roman" w:cs="Times New Roman"/>
          <w:noProof/>
          <w:sz w:val="24"/>
          <w:szCs w:val="24"/>
          <w:lang w:val="en-IE"/>
        </w:rPr>
        <w:t xml:space="preserve">, </w:t>
      </w:r>
      <w:r w:rsidR="00166FAE" w:rsidRPr="00E03D97">
        <w:rPr>
          <w:rFonts w:ascii="Times New Roman" w:eastAsia="Times New Roman" w:hAnsi="Times New Roman" w:cs="Times New Roman"/>
          <w:noProof/>
          <w:sz w:val="24"/>
          <w:szCs w:val="24"/>
          <w:lang w:val="en-IE"/>
        </w:rPr>
        <w:t>where</w:t>
      </w:r>
      <w:r w:rsidR="00166FAE" w:rsidRPr="00166FAE">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the Commission and Member States</w:t>
      </w:r>
      <w:r w:rsidR="00166FAE">
        <w:rPr>
          <w:rFonts w:ascii="Times New Roman" w:eastAsia="Times New Roman" w:hAnsi="Times New Roman" w:cs="Times New Roman"/>
          <w:noProof/>
          <w:sz w:val="24"/>
          <w:szCs w:val="24"/>
          <w:lang w:val="en-IE"/>
        </w:rPr>
        <w:t xml:space="preserve"> </w:t>
      </w:r>
      <w:r w:rsidR="00166FAE" w:rsidRPr="00E03D97">
        <w:rPr>
          <w:rFonts w:ascii="Times New Roman" w:eastAsia="Times New Roman" w:hAnsi="Times New Roman" w:cs="Times New Roman"/>
          <w:noProof/>
          <w:sz w:val="24"/>
          <w:szCs w:val="24"/>
          <w:lang w:val="en-IE"/>
        </w:rPr>
        <w:t xml:space="preserve">extensively discussed key issues </w:t>
      </w:r>
      <w:r w:rsidR="00166FAE">
        <w:rPr>
          <w:rFonts w:ascii="Times New Roman" w:eastAsia="Times New Roman" w:hAnsi="Times New Roman" w:cs="Times New Roman"/>
          <w:noProof/>
          <w:sz w:val="24"/>
          <w:szCs w:val="24"/>
          <w:lang w:val="en-IE"/>
        </w:rPr>
        <w:t>such as</w:t>
      </w:r>
      <w:r w:rsidRPr="00E03D97">
        <w:rPr>
          <w:rFonts w:ascii="Times New Roman" w:eastAsia="Times New Roman" w:hAnsi="Times New Roman" w:cs="Times New Roman"/>
          <w:noProof/>
          <w:sz w:val="24"/>
          <w:szCs w:val="24"/>
          <w:lang w:val="en-IE"/>
        </w:rPr>
        <w:t xml:space="preserve"> the </w:t>
      </w:r>
      <w:r w:rsidR="00CD7AD9">
        <w:rPr>
          <w:rFonts w:ascii="Times New Roman" w:eastAsia="Times New Roman" w:hAnsi="Times New Roman" w:cs="Times New Roman"/>
          <w:noProof/>
          <w:sz w:val="24"/>
          <w:szCs w:val="24"/>
          <w:lang w:val="en-IE"/>
        </w:rPr>
        <w:t xml:space="preserve">use of the </w:t>
      </w:r>
      <w:r w:rsidRPr="00E03D97">
        <w:rPr>
          <w:rFonts w:ascii="Times New Roman" w:eastAsia="Times New Roman" w:hAnsi="Times New Roman" w:cs="Times New Roman"/>
          <w:noProof/>
          <w:sz w:val="24"/>
          <w:szCs w:val="24"/>
          <w:lang w:val="en-IE"/>
        </w:rPr>
        <w:t>Emergency Support Instrument, green lanes, health protocols for transport and contact</w:t>
      </w:r>
      <w:r w:rsidR="00774F2C">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tracing, measures for travel into </w:t>
      </w:r>
      <w:r w:rsidR="00166FAE">
        <w:rPr>
          <w:rFonts w:ascii="Times New Roman" w:eastAsia="Times New Roman" w:hAnsi="Times New Roman" w:cs="Times New Roman"/>
          <w:noProof/>
          <w:sz w:val="24"/>
          <w:szCs w:val="24"/>
          <w:lang w:val="en-IE"/>
        </w:rPr>
        <w:t xml:space="preserve">and within </w:t>
      </w:r>
      <w:r w:rsidRPr="00E03D97">
        <w:rPr>
          <w:rFonts w:ascii="Times New Roman" w:eastAsia="Times New Roman" w:hAnsi="Times New Roman" w:cs="Times New Roman"/>
          <w:noProof/>
          <w:sz w:val="24"/>
          <w:szCs w:val="24"/>
          <w:lang w:val="en-IE"/>
        </w:rPr>
        <w:t>the EU, Re-Open EU, joint procurement for vaccines and vaccines</w:t>
      </w:r>
      <w:r w:rsidR="00166FAE">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sharing, the EU Digital COVID Certificate,</w:t>
      </w:r>
      <w:r w:rsidR="00166FAE">
        <w:rPr>
          <w:rFonts w:ascii="Times New Roman" w:eastAsia="Times New Roman" w:hAnsi="Times New Roman" w:cs="Times New Roman"/>
          <w:noProof/>
          <w:sz w:val="24"/>
          <w:szCs w:val="24"/>
          <w:lang w:val="en-IE"/>
        </w:rPr>
        <w:t xml:space="preserve"> and </w:t>
      </w:r>
      <w:r w:rsidRPr="00E03D97">
        <w:rPr>
          <w:rFonts w:ascii="Times New Roman" w:eastAsia="Times New Roman" w:hAnsi="Times New Roman" w:cs="Times New Roman"/>
          <w:noProof/>
          <w:sz w:val="24"/>
          <w:szCs w:val="24"/>
          <w:lang w:val="en-IE"/>
        </w:rPr>
        <w:t xml:space="preserve">communication and fighting disinformation. </w:t>
      </w:r>
      <w:r w:rsidR="00E57E84" w:rsidRPr="00E03D97">
        <w:rPr>
          <w:rFonts w:ascii="Times New Roman" w:eastAsia="Times New Roman" w:hAnsi="Times New Roman" w:cs="Times New Roman"/>
          <w:noProof/>
          <w:sz w:val="24"/>
          <w:szCs w:val="24"/>
          <w:lang w:val="en-IE"/>
        </w:rPr>
        <w:t xml:space="preserve">ARGUS and EWRS interlinkage </w:t>
      </w:r>
      <w:r w:rsidR="00166FAE">
        <w:rPr>
          <w:rFonts w:ascii="Times New Roman" w:eastAsia="Times New Roman" w:hAnsi="Times New Roman" w:cs="Times New Roman"/>
          <w:noProof/>
          <w:sz w:val="24"/>
          <w:szCs w:val="24"/>
          <w:lang w:val="en-IE"/>
        </w:rPr>
        <w:t>has been</w:t>
      </w:r>
      <w:r w:rsidR="00E57E84" w:rsidRPr="00E03D97">
        <w:rPr>
          <w:rFonts w:ascii="Times New Roman" w:eastAsia="Times New Roman" w:hAnsi="Times New Roman" w:cs="Times New Roman"/>
          <w:noProof/>
          <w:sz w:val="24"/>
          <w:szCs w:val="24"/>
          <w:lang w:val="en-IE"/>
        </w:rPr>
        <w:t xml:space="preserve"> effective since 2022, ensuring the exchange of </w:t>
      </w:r>
      <w:r w:rsidR="00A776EE">
        <w:rPr>
          <w:rFonts w:ascii="Times New Roman" w:eastAsia="Times New Roman" w:hAnsi="Times New Roman" w:cs="Times New Roman"/>
          <w:noProof/>
          <w:sz w:val="24"/>
          <w:szCs w:val="24"/>
          <w:lang w:val="en-IE"/>
        </w:rPr>
        <w:t xml:space="preserve">information on </w:t>
      </w:r>
      <w:r w:rsidR="00E57E84" w:rsidRPr="00E03D97">
        <w:rPr>
          <w:rFonts w:ascii="Times New Roman" w:eastAsia="Times New Roman" w:hAnsi="Times New Roman" w:cs="Times New Roman"/>
          <w:noProof/>
          <w:sz w:val="24"/>
          <w:szCs w:val="24"/>
          <w:lang w:val="en-IE"/>
        </w:rPr>
        <w:t>serious cross-border threats to health with the EU crisis managers.</w:t>
      </w:r>
      <w:r w:rsidR="00E61129">
        <w:rPr>
          <w:rFonts w:ascii="Times New Roman" w:eastAsia="Times New Roman" w:hAnsi="Times New Roman" w:cs="Times New Roman"/>
          <w:noProof/>
          <w:sz w:val="24"/>
          <w:szCs w:val="24"/>
          <w:lang w:val="en-IE"/>
        </w:rPr>
        <w:t xml:space="preserve"> ARGUS was also the channel for coordinating the </w:t>
      </w:r>
      <w:r w:rsidR="00E61129" w:rsidRPr="00E61129">
        <w:rPr>
          <w:rFonts w:ascii="Times New Roman" w:eastAsia="Times New Roman" w:hAnsi="Times New Roman" w:cs="Times New Roman"/>
          <w:noProof/>
          <w:sz w:val="24"/>
          <w:szCs w:val="24"/>
          <w:lang w:val="en-IE"/>
        </w:rPr>
        <w:t>I</w:t>
      </w:r>
      <w:r w:rsidR="00E61129">
        <w:rPr>
          <w:rFonts w:ascii="Times New Roman" w:eastAsia="Times New Roman" w:hAnsi="Times New Roman" w:cs="Times New Roman"/>
          <w:noProof/>
          <w:sz w:val="24"/>
          <w:szCs w:val="24"/>
          <w:lang w:val="en-IE"/>
        </w:rPr>
        <w:t xml:space="preserve">ntegrated </w:t>
      </w:r>
      <w:r w:rsidR="00E61129" w:rsidRPr="00E61129">
        <w:rPr>
          <w:rFonts w:ascii="Times New Roman" w:eastAsia="Times New Roman" w:hAnsi="Times New Roman" w:cs="Times New Roman"/>
          <w:noProof/>
          <w:sz w:val="24"/>
          <w:szCs w:val="24"/>
          <w:lang w:val="en-IE"/>
        </w:rPr>
        <w:t>S</w:t>
      </w:r>
      <w:r w:rsidR="00E61129">
        <w:rPr>
          <w:rFonts w:ascii="Times New Roman" w:eastAsia="Times New Roman" w:hAnsi="Times New Roman" w:cs="Times New Roman"/>
          <w:noProof/>
          <w:sz w:val="24"/>
          <w:szCs w:val="24"/>
          <w:lang w:val="en-IE"/>
        </w:rPr>
        <w:t xml:space="preserve">ituational </w:t>
      </w:r>
      <w:r w:rsidR="00E61129" w:rsidRPr="00E61129">
        <w:rPr>
          <w:rFonts w:ascii="Times New Roman" w:eastAsia="Times New Roman" w:hAnsi="Times New Roman" w:cs="Times New Roman"/>
          <w:noProof/>
          <w:sz w:val="24"/>
          <w:szCs w:val="24"/>
          <w:lang w:val="en-IE"/>
        </w:rPr>
        <w:t>A</w:t>
      </w:r>
      <w:r w:rsidR="00E61129">
        <w:rPr>
          <w:rFonts w:ascii="Times New Roman" w:eastAsia="Times New Roman" w:hAnsi="Times New Roman" w:cs="Times New Roman"/>
          <w:noProof/>
          <w:sz w:val="24"/>
          <w:szCs w:val="24"/>
          <w:lang w:val="en-IE"/>
        </w:rPr>
        <w:t xml:space="preserve">wareness and </w:t>
      </w:r>
      <w:r w:rsidR="00E61129" w:rsidRPr="00E61129">
        <w:rPr>
          <w:rFonts w:ascii="Times New Roman" w:eastAsia="Times New Roman" w:hAnsi="Times New Roman" w:cs="Times New Roman"/>
          <w:noProof/>
          <w:sz w:val="24"/>
          <w:szCs w:val="24"/>
          <w:lang w:val="en-IE"/>
        </w:rPr>
        <w:t>A</w:t>
      </w:r>
      <w:r w:rsidR="00E61129">
        <w:rPr>
          <w:rFonts w:ascii="Times New Roman" w:eastAsia="Times New Roman" w:hAnsi="Times New Roman" w:cs="Times New Roman"/>
          <w:noProof/>
          <w:sz w:val="24"/>
          <w:szCs w:val="24"/>
          <w:lang w:val="en-IE"/>
        </w:rPr>
        <w:t>nalysis (ISAA)</w:t>
      </w:r>
      <w:r w:rsidR="00E61129" w:rsidRPr="00E61129">
        <w:rPr>
          <w:rFonts w:ascii="Times New Roman" w:eastAsia="Times New Roman" w:hAnsi="Times New Roman" w:cs="Times New Roman"/>
          <w:noProof/>
          <w:sz w:val="24"/>
          <w:szCs w:val="24"/>
          <w:lang w:val="en-IE"/>
        </w:rPr>
        <w:t xml:space="preserve"> reports</w:t>
      </w:r>
      <w:r w:rsidR="00E61129">
        <w:rPr>
          <w:rFonts w:ascii="Times New Roman" w:eastAsia="Times New Roman" w:hAnsi="Times New Roman" w:cs="Times New Roman"/>
          <w:noProof/>
          <w:sz w:val="24"/>
          <w:szCs w:val="24"/>
          <w:lang w:val="en-IE"/>
        </w:rPr>
        <w:t>, which were</w:t>
      </w:r>
      <w:r w:rsidR="00E61129" w:rsidRPr="00E61129">
        <w:rPr>
          <w:rFonts w:ascii="Times New Roman" w:eastAsia="Times New Roman" w:hAnsi="Times New Roman" w:cs="Times New Roman"/>
          <w:noProof/>
          <w:sz w:val="24"/>
          <w:szCs w:val="24"/>
          <w:lang w:val="en-IE"/>
        </w:rPr>
        <w:t xml:space="preserve"> a key instrument to promot</w:t>
      </w:r>
      <w:r w:rsidR="00E61129">
        <w:rPr>
          <w:rFonts w:ascii="Times New Roman" w:eastAsia="Times New Roman" w:hAnsi="Times New Roman" w:cs="Times New Roman"/>
          <w:noProof/>
          <w:sz w:val="24"/>
          <w:szCs w:val="24"/>
          <w:lang w:val="en-IE"/>
        </w:rPr>
        <w:t>e</w:t>
      </w:r>
      <w:r w:rsidR="00E61129" w:rsidRPr="00E61129">
        <w:rPr>
          <w:rFonts w:ascii="Times New Roman" w:eastAsia="Times New Roman" w:hAnsi="Times New Roman" w:cs="Times New Roman"/>
          <w:noProof/>
          <w:sz w:val="24"/>
          <w:szCs w:val="24"/>
          <w:lang w:val="en-IE"/>
        </w:rPr>
        <w:t xml:space="preserve"> shared situational awareness during the</w:t>
      </w:r>
      <w:r w:rsidR="009E6237">
        <w:rPr>
          <w:rFonts w:ascii="Times New Roman" w:eastAsia="Times New Roman" w:hAnsi="Times New Roman" w:cs="Times New Roman"/>
          <w:noProof/>
          <w:sz w:val="24"/>
          <w:szCs w:val="24"/>
          <w:lang w:val="en-IE"/>
        </w:rPr>
        <w:t xml:space="preserve"> COVID-19</w:t>
      </w:r>
      <w:r w:rsidR="00E61129" w:rsidRPr="00E61129">
        <w:rPr>
          <w:rFonts w:ascii="Times New Roman" w:eastAsia="Times New Roman" w:hAnsi="Times New Roman" w:cs="Times New Roman"/>
          <w:noProof/>
          <w:sz w:val="24"/>
          <w:szCs w:val="24"/>
          <w:lang w:val="en-IE"/>
        </w:rPr>
        <w:t xml:space="preserve"> pandemic</w:t>
      </w:r>
      <w:r w:rsidR="00E61129">
        <w:rPr>
          <w:rFonts w:ascii="Times New Roman" w:eastAsia="Times New Roman" w:hAnsi="Times New Roman" w:cs="Times New Roman"/>
          <w:noProof/>
          <w:sz w:val="24"/>
          <w:szCs w:val="24"/>
          <w:lang w:val="en-IE"/>
        </w:rPr>
        <w:t>.</w:t>
      </w:r>
    </w:p>
    <w:p w14:paraId="26376C78" w14:textId="2F1EBD2D" w:rsidR="001F1738" w:rsidRPr="00E03D97" w:rsidRDefault="001F1738" w:rsidP="001F1738">
      <w:pPr>
        <w:keepNext/>
        <w:keepLines/>
        <w:spacing w:before="100" w:beforeAutospacing="1" w:after="100" w:afterAutospacing="1" w:line="240" w:lineRule="auto"/>
        <w:jc w:val="both"/>
        <w:outlineLvl w:val="1"/>
        <w:rPr>
          <w:rFonts w:ascii="Times New Roman" w:eastAsiaTheme="majorEastAsia" w:hAnsi="Times New Roman" w:cs="Times New Roman"/>
          <w:b/>
          <w:bCs/>
          <w:noProof/>
          <w:color w:val="404040" w:themeColor="text1" w:themeTint="BF"/>
          <w:sz w:val="24"/>
          <w:szCs w:val="24"/>
          <w:lang w:val="en-IE"/>
        </w:rPr>
      </w:pPr>
      <w:r w:rsidRPr="00E03D97">
        <w:rPr>
          <w:rFonts w:ascii="Times New Roman" w:eastAsiaTheme="majorEastAsia" w:hAnsi="Times New Roman" w:cs="Times New Roman"/>
          <w:b/>
          <w:bCs/>
          <w:noProof/>
          <w:sz w:val="24"/>
          <w:szCs w:val="24"/>
          <w:lang w:val="en-IE"/>
        </w:rPr>
        <w:t>Contact</w:t>
      </w:r>
      <w:r w:rsidR="00774F2C">
        <w:rPr>
          <w:rFonts w:ascii="Times New Roman" w:eastAsiaTheme="majorEastAsia" w:hAnsi="Times New Roman" w:cs="Times New Roman"/>
          <w:b/>
          <w:bCs/>
          <w:noProof/>
          <w:sz w:val="24"/>
          <w:szCs w:val="24"/>
          <w:lang w:val="en-IE"/>
        </w:rPr>
        <w:t>-</w:t>
      </w:r>
      <w:r w:rsidRPr="00E03D97">
        <w:rPr>
          <w:rFonts w:ascii="Times New Roman" w:eastAsiaTheme="majorEastAsia" w:hAnsi="Times New Roman" w:cs="Times New Roman"/>
          <w:b/>
          <w:bCs/>
          <w:noProof/>
          <w:sz w:val="24"/>
          <w:szCs w:val="24"/>
          <w:lang w:val="en-IE"/>
        </w:rPr>
        <w:t>tracing</w:t>
      </w:r>
      <w:r w:rsidR="00BB198E">
        <w:rPr>
          <w:rFonts w:ascii="Times New Roman" w:eastAsiaTheme="majorEastAsia" w:hAnsi="Times New Roman" w:cs="Times New Roman"/>
          <w:b/>
          <w:bCs/>
          <w:noProof/>
          <w:sz w:val="24"/>
          <w:szCs w:val="24"/>
          <w:lang w:val="en-IE"/>
        </w:rPr>
        <w:t>:</w:t>
      </w:r>
      <w:r w:rsidRPr="00E03D97">
        <w:rPr>
          <w:rFonts w:ascii="Times New Roman" w:eastAsiaTheme="majorEastAsia" w:hAnsi="Times New Roman" w:cs="Times New Roman"/>
          <w:b/>
          <w:bCs/>
          <w:noProof/>
          <w:sz w:val="24"/>
          <w:szCs w:val="24"/>
          <w:lang w:val="en-IE"/>
        </w:rPr>
        <w:t xml:space="preserve"> the European Federation Gateway </w:t>
      </w:r>
      <w:r w:rsidR="00166FAE">
        <w:rPr>
          <w:rFonts w:ascii="Times New Roman" w:eastAsiaTheme="majorEastAsia" w:hAnsi="Times New Roman" w:cs="Times New Roman"/>
          <w:b/>
          <w:bCs/>
          <w:noProof/>
          <w:sz w:val="24"/>
          <w:szCs w:val="24"/>
          <w:lang w:val="en-IE"/>
        </w:rPr>
        <w:t>Service</w:t>
      </w:r>
      <w:r w:rsidR="00BB198E">
        <w:rPr>
          <w:rFonts w:ascii="Times New Roman" w:eastAsiaTheme="majorEastAsia" w:hAnsi="Times New Roman" w:cs="Times New Roman"/>
          <w:b/>
          <w:bCs/>
          <w:noProof/>
          <w:sz w:val="24"/>
          <w:szCs w:val="24"/>
          <w:lang w:val="en-IE"/>
        </w:rPr>
        <w:t xml:space="preserve"> and </w:t>
      </w:r>
      <w:r w:rsidR="00BB198E" w:rsidRPr="00BB198E">
        <w:rPr>
          <w:rFonts w:ascii="Times New Roman" w:eastAsiaTheme="majorEastAsia" w:hAnsi="Times New Roman" w:cs="Times New Roman"/>
          <w:b/>
          <w:bCs/>
          <w:noProof/>
          <w:sz w:val="24"/>
          <w:szCs w:val="24"/>
          <w:lang w:val="en-IE"/>
        </w:rPr>
        <w:t>Passenger Locator Forms</w:t>
      </w:r>
    </w:p>
    <w:p w14:paraId="37491016" w14:textId="65E235BE"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At the time of the COVID-19 pandemic, 22 public health authorities launched national tracing and warning apps as part of a package of measures to prevent the spread of the virus. In October 2020,</w:t>
      </w:r>
      <w:r w:rsidR="009E6237">
        <w:rPr>
          <w:rFonts w:ascii="Times New Roman" w:eastAsia="Times New Roman" w:hAnsi="Times New Roman" w:cs="Times New Roman"/>
          <w:noProof/>
          <w:sz w:val="24"/>
          <w:szCs w:val="24"/>
          <w:lang w:val="en-IE"/>
        </w:rPr>
        <w:t xml:space="preserve"> EU Member States</w:t>
      </w:r>
      <w:r w:rsidR="009E6237" w:rsidRPr="00E03D97">
        <w:rPr>
          <w:rFonts w:ascii="Times New Roman" w:eastAsia="Times New Roman" w:hAnsi="Times New Roman" w:cs="Times New Roman"/>
          <w:noProof/>
          <w:sz w:val="24"/>
          <w:szCs w:val="24"/>
          <w:lang w:val="en-IE"/>
        </w:rPr>
        <w:t xml:space="preserve"> and the Commission</w:t>
      </w:r>
      <w:r w:rsidR="009E6237">
        <w:rPr>
          <w:rFonts w:ascii="Times New Roman" w:eastAsia="Times New Roman" w:hAnsi="Times New Roman" w:cs="Times New Roman"/>
          <w:noProof/>
          <w:sz w:val="24"/>
          <w:szCs w:val="24"/>
          <w:lang w:val="en-IE"/>
        </w:rPr>
        <w:t xml:space="preserve"> launched</w:t>
      </w:r>
      <w:r w:rsidRPr="00E03D97">
        <w:rPr>
          <w:rFonts w:ascii="Times New Roman" w:eastAsia="Times New Roman" w:hAnsi="Times New Roman" w:cs="Times New Roman"/>
          <w:noProof/>
          <w:sz w:val="24"/>
          <w:szCs w:val="24"/>
          <w:lang w:val="en-IE"/>
        </w:rPr>
        <w:t xml:space="preserve"> the European Federation Gateway </w:t>
      </w:r>
      <w:r w:rsidR="00166FAE">
        <w:rPr>
          <w:rFonts w:ascii="Times New Roman" w:eastAsia="Times New Roman" w:hAnsi="Times New Roman" w:cs="Times New Roman"/>
          <w:noProof/>
          <w:sz w:val="24"/>
          <w:szCs w:val="24"/>
          <w:lang w:val="en-IE"/>
        </w:rPr>
        <w:t xml:space="preserve">Service (EFGS) </w:t>
      </w:r>
      <w:r w:rsidRPr="00E03D97">
        <w:rPr>
          <w:rFonts w:ascii="Times New Roman" w:eastAsia="Times New Roman" w:hAnsi="Times New Roman" w:cs="Times New Roman"/>
          <w:noProof/>
          <w:sz w:val="24"/>
          <w:szCs w:val="24"/>
          <w:lang w:val="en-IE"/>
        </w:rPr>
        <w:t>to allow</w:t>
      </w:r>
      <w:r w:rsidR="009E6237">
        <w:rPr>
          <w:rFonts w:ascii="Times New Roman" w:eastAsia="Times New Roman" w:hAnsi="Times New Roman" w:cs="Times New Roman"/>
          <w:noProof/>
          <w:sz w:val="24"/>
          <w:szCs w:val="24"/>
          <w:lang w:val="en-IE"/>
        </w:rPr>
        <w:t xml:space="preserve"> for the interoperability of</w:t>
      </w:r>
      <w:r w:rsidRPr="00E03D97">
        <w:rPr>
          <w:rFonts w:ascii="Times New Roman" w:eastAsia="Times New Roman" w:hAnsi="Times New Roman" w:cs="Times New Roman"/>
          <w:noProof/>
          <w:sz w:val="24"/>
          <w:szCs w:val="24"/>
          <w:lang w:val="en-IE"/>
        </w:rPr>
        <w:t xml:space="preserve"> national apps throughout the </w:t>
      </w:r>
      <w:r w:rsidR="00166FAE">
        <w:rPr>
          <w:rFonts w:ascii="Times New Roman" w:eastAsia="Times New Roman" w:hAnsi="Times New Roman" w:cs="Times New Roman"/>
          <w:noProof/>
          <w:sz w:val="24"/>
          <w:szCs w:val="24"/>
          <w:lang w:val="en-IE"/>
        </w:rPr>
        <w:t>EU</w:t>
      </w:r>
      <w:r w:rsidRPr="00E03D97">
        <w:rPr>
          <w:rFonts w:ascii="Times New Roman" w:eastAsia="Times New Roman" w:hAnsi="Times New Roman" w:cs="Times New Roman"/>
          <w:noProof/>
          <w:sz w:val="24"/>
          <w:szCs w:val="24"/>
          <w:lang w:val="en-IE"/>
        </w:rPr>
        <w:t xml:space="preserve">. By autumn 2021, 19 </w:t>
      </w:r>
      <w:r w:rsidR="008724C3">
        <w:rPr>
          <w:rFonts w:ascii="Times New Roman" w:eastAsia="Times New Roman" w:hAnsi="Times New Roman" w:cs="Times New Roman"/>
          <w:noProof/>
          <w:sz w:val="24"/>
          <w:szCs w:val="24"/>
          <w:lang w:val="en-IE"/>
        </w:rPr>
        <w:t>Member States</w:t>
      </w:r>
      <w:r w:rsidRPr="00E03D97">
        <w:rPr>
          <w:rFonts w:ascii="Times New Roman" w:eastAsia="Times New Roman" w:hAnsi="Times New Roman" w:cs="Times New Roman"/>
          <w:noProof/>
          <w:sz w:val="24"/>
          <w:szCs w:val="24"/>
          <w:lang w:val="en-IE"/>
        </w:rPr>
        <w:t xml:space="preserve"> were exchanging risk contact information through the </w:t>
      </w:r>
      <w:r w:rsidR="00166FAE">
        <w:rPr>
          <w:rFonts w:ascii="Times New Roman" w:eastAsia="Times New Roman" w:hAnsi="Times New Roman" w:cs="Times New Roman"/>
          <w:noProof/>
          <w:sz w:val="24"/>
          <w:szCs w:val="24"/>
          <w:lang w:val="en-IE"/>
        </w:rPr>
        <w:t>EFGS</w:t>
      </w:r>
      <w:r w:rsidRPr="00E03D97">
        <w:rPr>
          <w:rFonts w:ascii="Times New Roman" w:eastAsia="Times New Roman" w:hAnsi="Times New Roman" w:cs="Times New Roman"/>
          <w:noProof/>
          <w:sz w:val="24"/>
          <w:szCs w:val="24"/>
          <w:lang w:val="en-IE"/>
        </w:rPr>
        <w:t xml:space="preserve">, representing tens of millions of active users in </w:t>
      </w:r>
      <w:r w:rsidR="00A776EE">
        <w:rPr>
          <w:rFonts w:ascii="Times New Roman" w:eastAsia="Times New Roman" w:hAnsi="Times New Roman" w:cs="Times New Roman"/>
          <w:noProof/>
          <w:sz w:val="24"/>
          <w:szCs w:val="24"/>
          <w:lang w:val="en-IE"/>
        </w:rPr>
        <w:t>the EU and the rest of Europe</w:t>
      </w:r>
      <w:r w:rsidRPr="00E03D97">
        <w:rPr>
          <w:rFonts w:ascii="Times New Roman" w:eastAsia="Times New Roman" w:hAnsi="Times New Roman" w:cs="Times New Roman"/>
          <w:noProof/>
          <w:sz w:val="24"/>
          <w:szCs w:val="24"/>
          <w:lang w:val="en-IE"/>
        </w:rPr>
        <w:t>.</w:t>
      </w:r>
    </w:p>
    <w:p w14:paraId="08FAFA55" w14:textId="4FFBBCF9" w:rsidR="001F1738"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In April 2022, the </w:t>
      </w:r>
      <w:r w:rsidR="008724C3">
        <w:rPr>
          <w:rFonts w:ascii="Times New Roman" w:eastAsia="Times New Roman" w:hAnsi="Times New Roman" w:cs="Times New Roman"/>
          <w:noProof/>
          <w:sz w:val="24"/>
          <w:szCs w:val="24"/>
          <w:lang w:val="en-IE"/>
        </w:rPr>
        <w:t>EFGS</w:t>
      </w:r>
      <w:r w:rsidRPr="00E03D97">
        <w:rPr>
          <w:rFonts w:ascii="Times New Roman" w:eastAsia="Times New Roman" w:hAnsi="Times New Roman" w:cs="Times New Roman"/>
          <w:noProof/>
          <w:sz w:val="24"/>
          <w:szCs w:val="24"/>
          <w:lang w:val="en-IE"/>
        </w:rPr>
        <w:t xml:space="preserve"> was transferred to </w:t>
      </w:r>
      <w:r w:rsidR="008724C3">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ECDC. This reinforced the EU’s digital contact</w:t>
      </w:r>
      <w:r w:rsidR="00AA7898">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tracing capabilities, in line with the ECDC’s new mandate, by pooling the necessary expertise at the ECDC. The </w:t>
      </w:r>
      <w:r w:rsidR="008724C3">
        <w:rPr>
          <w:rFonts w:ascii="Times New Roman" w:eastAsia="Times New Roman" w:hAnsi="Times New Roman" w:cs="Times New Roman"/>
          <w:noProof/>
          <w:sz w:val="24"/>
          <w:szCs w:val="24"/>
          <w:lang w:val="en-IE"/>
        </w:rPr>
        <w:t>EFGS</w:t>
      </w:r>
      <w:r w:rsidRPr="00E03D97">
        <w:rPr>
          <w:rFonts w:ascii="Times New Roman" w:eastAsia="Times New Roman" w:hAnsi="Times New Roman" w:cs="Times New Roman"/>
          <w:noProof/>
          <w:sz w:val="24"/>
          <w:szCs w:val="24"/>
          <w:lang w:val="en-IE"/>
        </w:rPr>
        <w:t xml:space="preserve"> </w:t>
      </w:r>
      <w:r w:rsidR="008724C3">
        <w:rPr>
          <w:rFonts w:ascii="Times New Roman" w:eastAsia="Times New Roman" w:hAnsi="Times New Roman" w:cs="Times New Roman"/>
          <w:noProof/>
          <w:sz w:val="24"/>
          <w:szCs w:val="24"/>
          <w:lang w:val="en-IE"/>
        </w:rPr>
        <w:t xml:space="preserve">has </w:t>
      </w:r>
      <w:r w:rsidRPr="00E03D97">
        <w:rPr>
          <w:rFonts w:ascii="Times New Roman" w:eastAsia="Times New Roman" w:hAnsi="Times New Roman" w:cs="Times New Roman"/>
          <w:noProof/>
          <w:sz w:val="24"/>
          <w:szCs w:val="24"/>
          <w:lang w:val="en-IE"/>
        </w:rPr>
        <w:t xml:space="preserve">since </w:t>
      </w:r>
      <w:r w:rsidR="008724C3">
        <w:rPr>
          <w:rFonts w:ascii="Times New Roman" w:eastAsia="Times New Roman" w:hAnsi="Times New Roman" w:cs="Times New Roman"/>
          <w:noProof/>
          <w:sz w:val="24"/>
          <w:szCs w:val="24"/>
          <w:lang w:val="en-IE"/>
        </w:rPr>
        <w:t>been withdrawn from service</w:t>
      </w:r>
      <w:r w:rsidRPr="00E03D97">
        <w:rPr>
          <w:rFonts w:ascii="Times New Roman" w:eastAsia="Times New Roman" w:hAnsi="Times New Roman" w:cs="Times New Roman"/>
          <w:noProof/>
          <w:sz w:val="24"/>
          <w:szCs w:val="24"/>
          <w:lang w:val="en-IE"/>
        </w:rPr>
        <w:t xml:space="preserve">, </w:t>
      </w:r>
      <w:r w:rsidR="008724C3">
        <w:rPr>
          <w:rFonts w:ascii="Times New Roman" w:eastAsia="Times New Roman" w:hAnsi="Times New Roman" w:cs="Times New Roman"/>
          <w:noProof/>
          <w:sz w:val="24"/>
          <w:szCs w:val="24"/>
          <w:lang w:val="en-IE"/>
        </w:rPr>
        <w:t xml:space="preserve">but the </w:t>
      </w:r>
      <w:r w:rsidRPr="00E03D97">
        <w:rPr>
          <w:rFonts w:ascii="Times New Roman" w:eastAsia="Times New Roman" w:hAnsi="Times New Roman" w:cs="Times New Roman"/>
          <w:noProof/>
          <w:sz w:val="24"/>
          <w:szCs w:val="24"/>
          <w:lang w:val="en-IE"/>
        </w:rPr>
        <w:t xml:space="preserve">ECDC and the Commission have </w:t>
      </w:r>
      <w:r w:rsidR="008724C3">
        <w:rPr>
          <w:rFonts w:ascii="Times New Roman" w:eastAsia="Times New Roman" w:hAnsi="Times New Roman" w:cs="Times New Roman"/>
          <w:noProof/>
          <w:sz w:val="24"/>
          <w:szCs w:val="24"/>
          <w:lang w:val="en-IE"/>
        </w:rPr>
        <w:t>prepared</w:t>
      </w:r>
      <w:r w:rsidR="008724C3"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 reactivation procedure to make it available to </w:t>
      </w:r>
      <w:r w:rsidR="008724C3">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EU Member States should the need arise.</w:t>
      </w:r>
    </w:p>
    <w:p w14:paraId="0383734E" w14:textId="11ADD0D6" w:rsidR="00BB198E" w:rsidRPr="00BB198E" w:rsidRDefault="00BB198E" w:rsidP="00BB198E">
      <w:pPr>
        <w:spacing w:before="100" w:beforeAutospacing="1" w:after="100" w:afterAutospacing="1" w:line="240" w:lineRule="auto"/>
        <w:jc w:val="both"/>
        <w:rPr>
          <w:rFonts w:ascii="Times New Roman" w:eastAsia="Times New Roman" w:hAnsi="Times New Roman" w:cs="Times New Roman"/>
          <w:iCs/>
          <w:noProof/>
          <w:sz w:val="24"/>
          <w:szCs w:val="24"/>
        </w:rPr>
      </w:pPr>
      <w:r w:rsidRPr="00BB198E">
        <w:rPr>
          <w:rFonts w:ascii="Times New Roman" w:eastAsia="Times New Roman" w:hAnsi="Times New Roman" w:cs="Times New Roman"/>
          <w:iCs/>
          <w:noProof/>
          <w:sz w:val="24"/>
          <w:szCs w:val="24"/>
        </w:rPr>
        <w:t>Between 1 June 2021 and 31 May 2022, a Passenger Locator Forms’ Exchange Platform (ePLF)</w:t>
      </w:r>
      <w:r w:rsidRPr="00BB198E">
        <w:rPr>
          <w:rFonts w:ascii="Times New Roman" w:eastAsia="Times New Roman" w:hAnsi="Times New Roman" w:cs="Times New Roman"/>
          <w:iCs/>
          <w:noProof/>
          <w:sz w:val="24"/>
          <w:szCs w:val="24"/>
          <w:vertAlign w:val="superscript"/>
          <w:lang w:val="en-IE"/>
        </w:rPr>
        <w:footnoteReference w:id="82"/>
      </w:r>
      <w:r w:rsidRPr="00BB198E">
        <w:rPr>
          <w:rFonts w:ascii="Times New Roman" w:eastAsia="Times New Roman" w:hAnsi="Times New Roman" w:cs="Times New Roman"/>
          <w:iCs/>
          <w:noProof/>
          <w:sz w:val="24"/>
          <w:szCs w:val="24"/>
        </w:rPr>
        <w:t xml:space="preserve"> </w:t>
      </w:r>
      <w:r>
        <w:rPr>
          <w:rFonts w:ascii="Times New Roman" w:eastAsia="Times New Roman" w:hAnsi="Times New Roman" w:cs="Times New Roman"/>
          <w:iCs/>
          <w:noProof/>
          <w:sz w:val="24"/>
          <w:szCs w:val="24"/>
        </w:rPr>
        <w:t>was made</w:t>
      </w:r>
      <w:r w:rsidRPr="00BB198E">
        <w:rPr>
          <w:rFonts w:ascii="Times New Roman" w:eastAsia="Times New Roman" w:hAnsi="Times New Roman" w:cs="Times New Roman"/>
          <w:iCs/>
          <w:noProof/>
          <w:sz w:val="24"/>
          <w:szCs w:val="24"/>
        </w:rPr>
        <w:t xml:space="preserve"> available to connect Member States and enable the secure exchange of passenger data</w:t>
      </w:r>
      <w:r>
        <w:rPr>
          <w:rFonts w:ascii="Times New Roman" w:eastAsia="Times New Roman" w:hAnsi="Times New Roman" w:cs="Times New Roman"/>
          <w:iCs/>
          <w:noProof/>
          <w:sz w:val="24"/>
          <w:szCs w:val="24"/>
        </w:rPr>
        <w:t xml:space="preserve"> for</w:t>
      </w:r>
      <w:r w:rsidRPr="00BB198E">
        <w:rPr>
          <w:rFonts w:ascii="Times New Roman" w:eastAsia="Times New Roman" w:hAnsi="Times New Roman" w:cs="Times New Roman"/>
          <w:iCs/>
          <w:noProof/>
          <w:sz w:val="24"/>
          <w:szCs w:val="24"/>
        </w:rPr>
        <w:t xml:space="preserve"> cross-border contact tracing in all transport modes in the EU.</w:t>
      </w:r>
      <w:r w:rsidRPr="00BB198E">
        <w:rPr>
          <w:rFonts w:ascii="Times New Roman" w:eastAsia="Times New Roman" w:hAnsi="Times New Roman" w:cs="Times New Roman"/>
          <w:iCs/>
          <w:noProof/>
          <w:sz w:val="24"/>
          <w:szCs w:val="24"/>
          <w:vertAlign w:val="superscript"/>
          <w:lang w:val="en-IE"/>
        </w:rPr>
        <w:footnoteReference w:id="83"/>
      </w:r>
      <w:r w:rsidRPr="00BB198E">
        <w:rPr>
          <w:rFonts w:ascii="Times New Roman" w:eastAsia="Times New Roman" w:hAnsi="Times New Roman" w:cs="Times New Roman"/>
          <w:iCs/>
          <w:noProof/>
          <w:sz w:val="24"/>
          <w:szCs w:val="24"/>
        </w:rPr>
        <w:t xml:space="preserve"> Based on feedback from Member States, the Commission started to work with the ECDC on the technical integration between the EWRS selective exchange functionality and the ePLF, thereby enabling </w:t>
      </w:r>
      <w:r w:rsidRPr="00F764E8">
        <w:rPr>
          <w:rFonts w:ascii="Times New Roman" w:eastAsia="Times New Roman" w:hAnsi="Times New Roman" w:cs="Times New Roman"/>
          <w:iCs/>
          <w:noProof/>
          <w:sz w:val="24"/>
          <w:szCs w:val="24"/>
        </w:rPr>
        <w:t>their interoperability.</w:t>
      </w:r>
      <w:r w:rsidRPr="00F764E8">
        <w:rPr>
          <w:rFonts w:ascii="Times New Roman" w:eastAsia="Times New Roman" w:hAnsi="Times New Roman" w:cs="Times New Roman"/>
          <w:iCs/>
          <w:noProof/>
          <w:sz w:val="24"/>
          <w:szCs w:val="24"/>
          <w:vertAlign w:val="superscript"/>
          <w:lang w:val="en-IE"/>
        </w:rPr>
        <w:footnoteReference w:id="84"/>
      </w:r>
      <w:r w:rsidRPr="00BB198E">
        <w:rPr>
          <w:rFonts w:ascii="Times New Roman" w:eastAsia="Times New Roman" w:hAnsi="Times New Roman" w:cs="Times New Roman"/>
          <w:iCs/>
          <w:noProof/>
          <w:sz w:val="24"/>
          <w:szCs w:val="24"/>
        </w:rPr>
        <w:t xml:space="preserve"> While the ePLF</w:t>
      </w:r>
      <w:r>
        <w:rPr>
          <w:rFonts w:ascii="Times New Roman" w:eastAsia="Times New Roman" w:hAnsi="Times New Roman" w:cs="Times New Roman"/>
          <w:iCs/>
          <w:noProof/>
          <w:sz w:val="24"/>
          <w:szCs w:val="24"/>
        </w:rPr>
        <w:t xml:space="preserve"> as such</w:t>
      </w:r>
      <w:r w:rsidRPr="00BB198E">
        <w:rPr>
          <w:rFonts w:ascii="Times New Roman" w:eastAsia="Times New Roman" w:hAnsi="Times New Roman" w:cs="Times New Roman"/>
          <w:iCs/>
          <w:noProof/>
          <w:sz w:val="24"/>
          <w:szCs w:val="24"/>
        </w:rPr>
        <w:t xml:space="preserve"> has been terminated, the insights gained through its development and the integration with the EWRS selective exchange functionality make the EU better equipped in case of future needs. </w:t>
      </w:r>
    </w:p>
    <w:p w14:paraId="15C9A38E" w14:textId="77777777" w:rsidR="001F1738" w:rsidRPr="00E03D97" w:rsidRDefault="001F1738" w:rsidP="00031422">
      <w:pPr>
        <w:keepNext/>
        <w:keepLines/>
        <w:spacing w:before="480" w:after="100" w:afterAutospacing="1" w:line="240" w:lineRule="auto"/>
        <w:jc w:val="both"/>
        <w:outlineLvl w:val="0"/>
        <w:rPr>
          <w:rFonts w:ascii="Times New Roman" w:eastAsiaTheme="majorEastAsia" w:hAnsi="Times New Roman" w:cs="Times New Roman"/>
          <w:noProof/>
          <w:sz w:val="24"/>
          <w:szCs w:val="24"/>
          <w:lang w:val="en-IE"/>
        </w:rPr>
      </w:pPr>
      <w:r w:rsidRPr="00E03D97">
        <w:rPr>
          <w:rFonts w:ascii="Times New Roman" w:eastAsiaTheme="majorEastAsia" w:hAnsi="Times New Roman" w:cs="Times New Roman"/>
          <w:noProof/>
          <w:sz w:val="24"/>
          <w:szCs w:val="24"/>
          <w:lang w:val="en-IE"/>
        </w:rPr>
        <w:t xml:space="preserve">4. RESPONSE </w:t>
      </w:r>
    </w:p>
    <w:p w14:paraId="7B43B27A" w14:textId="1EFD22E0" w:rsidR="008C6D1D" w:rsidRPr="008C6D1D" w:rsidRDefault="008C6D1D" w:rsidP="008C6D1D">
      <w:pPr>
        <w:spacing w:before="100" w:beforeAutospacing="1" w:after="100" w:afterAutospacing="1" w:line="240" w:lineRule="auto"/>
        <w:jc w:val="both"/>
        <w:rPr>
          <w:rFonts w:ascii="Times New Roman" w:eastAsiaTheme="minorEastAsia" w:hAnsi="Times New Roman" w:cs="Times New Roman"/>
          <w:bCs/>
          <w:noProof/>
          <w:sz w:val="24"/>
          <w:szCs w:val="24"/>
          <w:lang w:val="en-IE"/>
        </w:rPr>
      </w:pPr>
      <w:r>
        <w:rPr>
          <w:rFonts w:ascii="Times New Roman" w:eastAsiaTheme="minorEastAsia" w:hAnsi="Times New Roman" w:cs="Times New Roman"/>
          <w:bCs/>
          <w:noProof/>
          <w:sz w:val="24"/>
          <w:szCs w:val="24"/>
          <w:lang w:val="en-IE"/>
        </w:rPr>
        <w:t xml:space="preserve">During the very early phases of the COVID-19 pandemic, </w:t>
      </w:r>
      <w:r w:rsidRPr="008C6D1D">
        <w:rPr>
          <w:rFonts w:ascii="Times New Roman" w:eastAsiaTheme="minorEastAsia" w:hAnsi="Times New Roman" w:cs="Times New Roman"/>
          <w:bCs/>
          <w:noProof/>
          <w:sz w:val="24"/>
          <w:szCs w:val="24"/>
          <w:lang w:val="en-IE"/>
        </w:rPr>
        <w:t xml:space="preserve">the Crisis Coordination Committee (CCC) </w:t>
      </w:r>
      <w:r>
        <w:rPr>
          <w:rFonts w:ascii="Times New Roman" w:eastAsiaTheme="minorEastAsia" w:hAnsi="Times New Roman" w:cs="Times New Roman"/>
          <w:bCs/>
          <w:noProof/>
          <w:sz w:val="24"/>
          <w:szCs w:val="24"/>
          <w:lang w:val="en-IE"/>
        </w:rPr>
        <w:t xml:space="preserve">was convened through </w:t>
      </w:r>
      <w:r w:rsidRPr="008C6D1D">
        <w:rPr>
          <w:rFonts w:ascii="Times New Roman" w:eastAsiaTheme="minorEastAsia" w:hAnsi="Times New Roman" w:cs="Times New Roman"/>
          <w:bCs/>
          <w:noProof/>
          <w:sz w:val="24"/>
          <w:szCs w:val="24"/>
          <w:lang w:val="en-IE"/>
        </w:rPr>
        <w:t xml:space="preserve">ARGUS on 23 January 2020 to discuss situational updates as well as possible courses of action. These CCC meetings were chaired by Commissioner Lenarčič and the Secretary-General and attended by all relevant Directorates-General and EU Agencies. Numerous additional coordination meetings have been subsequently called in the framework of the Commission crisis management response mechanism at all levels, from daily calls of the President with relevant Commissioners, to more operational coordination at Directors-General or services level. </w:t>
      </w:r>
    </w:p>
    <w:p w14:paraId="73943CEC" w14:textId="2F6A076C"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bCs/>
          <w:noProof/>
          <w:sz w:val="24"/>
          <w:szCs w:val="24"/>
          <w:lang w:val="en-IE"/>
        </w:rPr>
      </w:pPr>
      <w:r w:rsidRPr="00E03D97">
        <w:rPr>
          <w:rFonts w:ascii="Times New Roman" w:eastAsiaTheme="minorEastAsia" w:hAnsi="Times New Roman" w:cs="Times New Roman"/>
          <w:bCs/>
          <w:noProof/>
          <w:sz w:val="24"/>
          <w:szCs w:val="24"/>
          <w:lang w:val="en-IE"/>
        </w:rPr>
        <w:t>In the aftermath of the COVID-19 pandemic, a number of improvements were made to the EU’s mechanisms for respon</w:t>
      </w:r>
      <w:r w:rsidR="008724C3">
        <w:rPr>
          <w:rFonts w:ascii="Times New Roman" w:eastAsiaTheme="minorEastAsia" w:hAnsi="Times New Roman" w:cs="Times New Roman"/>
          <w:bCs/>
          <w:noProof/>
          <w:sz w:val="24"/>
          <w:szCs w:val="24"/>
          <w:lang w:val="en-IE"/>
        </w:rPr>
        <w:t>ding</w:t>
      </w:r>
      <w:r w:rsidRPr="00E03D97">
        <w:rPr>
          <w:rFonts w:ascii="Times New Roman" w:eastAsiaTheme="minorEastAsia" w:hAnsi="Times New Roman" w:cs="Times New Roman"/>
          <w:bCs/>
          <w:noProof/>
          <w:sz w:val="24"/>
          <w:szCs w:val="24"/>
          <w:lang w:val="en-IE"/>
        </w:rPr>
        <w:t xml:space="preserve"> to </w:t>
      </w:r>
      <w:r w:rsidR="00CD7AD9">
        <w:rPr>
          <w:rFonts w:ascii="Times New Roman" w:eastAsiaTheme="minorEastAsia" w:hAnsi="Times New Roman" w:cs="Times New Roman"/>
          <w:bCs/>
          <w:noProof/>
          <w:sz w:val="24"/>
          <w:szCs w:val="24"/>
          <w:lang w:val="en-IE"/>
        </w:rPr>
        <w:t xml:space="preserve">serious </w:t>
      </w:r>
      <w:r w:rsidRPr="00E03D97">
        <w:rPr>
          <w:rFonts w:ascii="Times New Roman" w:eastAsiaTheme="minorEastAsia" w:hAnsi="Times New Roman" w:cs="Times New Roman"/>
          <w:bCs/>
          <w:noProof/>
          <w:sz w:val="24"/>
          <w:szCs w:val="24"/>
          <w:lang w:val="en-IE"/>
        </w:rPr>
        <w:t xml:space="preserve">cross-border threats to health. </w:t>
      </w:r>
      <w:r w:rsidR="008C6D1D">
        <w:rPr>
          <w:rFonts w:ascii="Times New Roman" w:eastAsiaTheme="minorEastAsia" w:hAnsi="Times New Roman" w:cs="Times New Roman"/>
          <w:bCs/>
          <w:noProof/>
          <w:sz w:val="24"/>
          <w:szCs w:val="24"/>
          <w:lang w:val="en-IE"/>
        </w:rPr>
        <w:t>Key ones</w:t>
      </w:r>
      <w:r w:rsidR="008C6D1D" w:rsidRPr="00E03D97">
        <w:rPr>
          <w:rFonts w:ascii="Times New Roman" w:eastAsiaTheme="minorEastAsia" w:hAnsi="Times New Roman" w:cs="Times New Roman"/>
          <w:bCs/>
          <w:noProof/>
          <w:sz w:val="24"/>
          <w:szCs w:val="24"/>
          <w:lang w:val="en-IE"/>
        </w:rPr>
        <w:t xml:space="preserve"> </w:t>
      </w:r>
      <w:r w:rsidRPr="00E03D97">
        <w:rPr>
          <w:rFonts w:ascii="Times New Roman" w:eastAsiaTheme="minorEastAsia" w:hAnsi="Times New Roman" w:cs="Times New Roman"/>
          <w:bCs/>
          <w:noProof/>
          <w:sz w:val="24"/>
          <w:szCs w:val="24"/>
          <w:lang w:val="en-IE"/>
        </w:rPr>
        <w:t>are based on Regulation</w:t>
      </w:r>
      <w:r w:rsidR="008724C3">
        <w:rPr>
          <w:rFonts w:ascii="Times New Roman" w:eastAsiaTheme="minorEastAsia" w:hAnsi="Times New Roman" w:cs="Times New Roman"/>
          <w:bCs/>
          <w:noProof/>
          <w:sz w:val="24"/>
          <w:szCs w:val="24"/>
          <w:lang w:val="en-IE"/>
        </w:rPr>
        <w:t> </w:t>
      </w:r>
      <w:r w:rsidRPr="00E03D97">
        <w:rPr>
          <w:rFonts w:ascii="Times New Roman" w:eastAsiaTheme="minorEastAsia" w:hAnsi="Times New Roman" w:cs="Times New Roman"/>
          <w:bCs/>
          <w:noProof/>
          <w:sz w:val="24"/>
          <w:szCs w:val="24"/>
          <w:lang w:val="en-IE"/>
        </w:rPr>
        <w:t>(EU)</w:t>
      </w:r>
      <w:r w:rsidR="008724C3">
        <w:rPr>
          <w:rFonts w:ascii="Times New Roman" w:eastAsiaTheme="minorEastAsia" w:hAnsi="Times New Roman" w:cs="Times New Roman"/>
          <w:bCs/>
          <w:noProof/>
          <w:sz w:val="24"/>
          <w:szCs w:val="24"/>
          <w:lang w:val="en-IE"/>
        </w:rPr>
        <w:t> </w:t>
      </w:r>
      <w:r w:rsidRPr="00E03D97">
        <w:rPr>
          <w:rFonts w:ascii="Times New Roman" w:eastAsiaTheme="minorEastAsia" w:hAnsi="Times New Roman" w:cs="Times New Roman"/>
          <w:bCs/>
          <w:noProof/>
          <w:sz w:val="24"/>
          <w:szCs w:val="24"/>
          <w:lang w:val="en-IE"/>
        </w:rPr>
        <w:t xml:space="preserve">2022/2371 and include a strengthened role for the EU Health Security Committee and a newly established EU capacity to declare a public health emergency at </w:t>
      </w:r>
      <w:r w:rsidR="008724C3">
        <w:rPr>
          <w:rFonts w:ascii="Times New Roman" w:eastAsiaTheme="minorEastAsia" w:hAnsi="Times New Roman" w:cs="Times New Roman"/>
          <w:bCs/>
          <w:noProof/>
          <w:sz w:val="24"/>
          <w:szCs w:val="24"/>
          <w:lang w:val="en-IE"/>
        </w:rPr>
        <w:t>EU</w:t>
      </w:r>
      <w:r w:rsidR="008724C3" w:rsidRPr="00E03D97">
        <w:rPr>
          <w:rFonts w:ascii="Times New Roman" w:eastAsiaTheme="minorEastAsia" w:hAnsi="Times New Roman" w:cs="Times New Roman"/>
          <w:bCs/>
          <w:noProof/>
          <w:sz w:val="24"/>
          <w:szCs w:val="24"/>
          <w:lang w:val="en-IE"/>
        </w:rPr>
        <w:t xml:space="preserve"> </w:t>
      </w:r>
      <w:r w:rsidRPr="00E03D97">
        <w:rPr>
          <w:rFonts w:ascii="Times New Roman" w:eastAsiaTheme="minorEastAsia" w:hAnsi="Times New Roman" w:cs="Times New Roman"/>
          <w:bCs/>
          <w:noProof/>
          <w:sz w:val="24"/>
          <w:szCs w:val="24"/>
          <w:lang w:val="en-IE"/>
        </w:rPr>
        <w:t>level.</w:t>
      </w:r>
    </w:p>
    <w:p w14:paraId="18F22EBC" w14:textId="77777777" w:rsidR="001F1738" w:rsidRPr="00E03D97" w:rsidRDefault="001F1738" w:rsidP="001F1738">
      <w:pPr>
        <w:spacing w:before="100" w:beforeAutospacing="1" w:after="100" w:afterAutospacing="1" w:line="240" w:lineRule="auto"/>
        <w:rPr>
          <w:rFonts w:ascii="Times New Roman" w:eastAsia="Times New Roman" w:hAnsi="Times New Roman" w:cs="Times New Roman"/>
          <w:b/>
          <w:bCs/>
          <w:noProof/>
          <w:sz w:val="24"/>
          <w:szCs w:val="24"/>
          <w:lang w:val="en-IE"/>
        </w:rPr>
      </w:pPr>
      <w:bookmarkStart w:id="18" w:name="_Toc145428528"/>
      <w:bookmarkEnd w:id="18"/>
      <w:r w:rsidRPr="00E03D97">
        <w:rPr>
          <w:rFonts w:ascii="Times New Roman" w:eastAsia="Times New Roman" w:hAnsi="Times New Roman" w:cs="Times New Roman"/>
          <w:b/>
          <w:bCs/>
          <w:noProof/>
          <w:sz w:val="24"/>
          <w:szCs w:val="24"/>
          <w:lang w:val="en-IE"/>
        </w:rPr>
        <w:t xml:space="preserve">EU Health Security Committee </w:t>
      </w:r>
    </w:p>
    <w:p w14:paraId="1DF7A5A9" w14:textId="580A124D"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heme="minorEastAsia" w:hAnsi="Times New Roman" w:cs="Times New Roman"/>
          <w:bCs/>
          <w:noProof/>
          <w:sz w:val="24"/>
          <w:szCs w:val="24"/>
          <w:lang w:val="en-IE"/>
        </w:rPr>
        <w:t>The EU Health Security Committee</w:t>
      </w:r>
      <w:r w:rsidR="008724C3">
        <w:rPr>
          <w:rFonts w:ascii="Times New Roman" w:eastAsiaTheme="minorEastAsia" w:hAnsi="Times New Roman" w:cs="Times New Roman"/>
          <w:bCs/>
          <w:noProof/>
          <w:sz w:val="24"/>
          <w:szCs w:val="24"/>
          <w:lang w:val="en-IE"/>
        </w:rPr>
        <w:t xml:space="preserve"> </w:t>
      </w:r>
      <w:r w:rsidR="008724C3" w:rsidRPr="00E03D97">
        <w:rPr>
          <w:rFonts w:ascii="Times New Roman" w:eastAsiaTheme="minorEastAsia" w:hAnsi="Times New Roman" w:cs="Times New Roman"/>
          <w:bCs/>
          <w:noProof/>
          <w:sz w:val="24"/>
          <w:szCs w:val="24"/>
          <w:lang w:val="en-IE"/>
        </w:rPr>
        <w:t xml:space="preserve">(HSC) </w:t>
      </w:r>
      <w:r w:rsidRPr="00E03D97">
        <w:rPr>
          <w:rFonts w:ascii="Times New Roman" w:eastAsiaTheme="minorEastAsia" w:hAnsi="Times New Roman" w:cs="Times New Roman"/>
          <w:bCs/>
          <w:noProof/>
          <w:sz w:val="24"/>
          <w:szCs w:val="24"/>
          <w:lang w:val="en-IE"/>
        </w:rPr>
        <w:t>is a key forum for exchang</w:t>
      </w:r>
      <w:r w:rsidR="008724C3">
        <w:rPr>
          <w:rFonts w:ascii="Times New Roman" w:eastAsiaTheme="minorEastAsia" w:hAnsi="Times New Roman" w:cs="Times New Roman"/>
          <w:bCs/>
          <w:noProof/>
          <w:sz w:val="24"/>
          <w:szCs w:val="24"/>
          <w:lang w:val="en-IE"/>
        </w:rPr>
        <w:t>ing information</w:t>
      </w:r>
      <w:r w:rsidRPr="00E03D97">
        <w:rPr>
          <w:rFonts w:ascii="Times New Roman" w:eastAsiaTheme="minorEastAsia" w:hAnsi="Times New Roman" w:cs="Times New Roman"/>
          <w:bCs/>
          <w:noProof/>
          <w:sz w:val="24"/>
          <w:szCs w:val="24"/>
          <w:lang w:val="en-IE"/>
        </w:rPr>
        <w:t xml:space="preserve"> on </w:t>
      </w:r>
      <w:r w:rsidR="00CD7AD9">
        <w:rPr>
          <w:rFonts w:ascii="Times New Roman" w:eastAsiaTheme="minorEastAsia" w:hAnsi="Times New Roman" w:cs="Times New Roman"/>
          <w:bCs/>
          <w:noProof/>
          <w:sz w:val="24"/>
          <w:szCs w:val="24"/>
          <w:lang w:val="en-IE"/>
        </w:rPr>
        <w:t xml:space="preserve">serious </w:t>
      </w:r>
      <w:r w:rsidRPr="00E03D97">
        <w:rPr>
          <w:rFonts w:ascii="Times New Roman" w:eastAsiaTheme="minorEastAsia" w:hAnsi="Times New Roman" w:cs="Times New Roman"/>
          <w:bCs/>
          <w:noProof/>
          <w:sz w:val="24"/>
          <w:szCs w:val="24"/>
          <w:lang w:val="en-IE"/>
        </w:rPr>
        <w:t xml:space="preserve">cross-border health threats at </w:t>
      </w:r>
      <w:r w:rsidR="008724C3">
        <w:rPr>
          <w:rFonts w:ascii="Times New Roman" w:eastAsiaTheme="minorEastAsia" w:hAnsi="Times New Roman" w:cs="Times New Roman"/>
          <w:bCs/>
          <w:noProof/>
          <w:sz w:val="24"/>
          <w:szCs w:val="24"/>
          <w:lang w:val="en-IE"/>
        </w:rPr>
        <w:t>EU</w:t>
      </w:r>
      <w:r w:rsidR="008724C3" w:rsidRPr="00E03D97">
        <w:rPr>
          <w:rFonts w:ascii="Times New Roman" w:eastAsiaTheme="minorEastAsia" w:hAnsi="Times New Roman" w:cs="Times New Roman"/>
          <w:bCs/>
          <w:noProof/>
          <w:sz w:val="24"/>
          <w:szCs w:val="24"/>
          <w:lang w:val="en-IE"/>
        </w:rPr>
        <w:t xml:space="preserve"> </w:t>
      </w:r>
      <w:r w:rsidRPr="00E03D97">
        <w:rPr>
          <w:rFonts w:ascii="Times New Roman" w:eastAsiaTheme="minorEastAsia" w:hAnsi="Times New Roman" w:cs="Times New Roman"/>
          <w:bCs/>
          <w:noProof/>
          <w:sz w:val="24"/>
          <w:szCs w:val="24"/>
          <w:lang w:val="en-IE"/>
        </w:rPr>
        <w:t>level</w:t>
      </w:r>
      <w:r w:rsidR="008724C3">
        <w:rPr>
          <w:rFonts w:ascii="Times New Roman" w:eastAsiaTheme="minorEastAsia" w:hAnsi="Times New Roman" w:cs="Times New Roman"/>
          <w:bCs/>
          <w:noProof/>
          <w:sz w:val="24"/>
          <w:szCs w:val="24"/>
          <w:lang w:val="en-IE"/>
        </w:rPr>
        <w:t>. It is made up of</w:t>
      </w:r>
      <w:r w:rsidRPr="00E03D97">
        <w:rPr>
          <w:rFonts w:ascii="Times New Roman" w:eastAsiaTheme="minorEastAsia" w:hAnsi="Times New Roman" w:cs="Times New Roman"/>
          <w:bCs/>
          <w:noProof/>
          <w:sz w:val="24"/>
          <w:szCs w:val="24"/>
          <w:lang w:val="en-IE"/>
        </w:rPr>
        <w:t xml:space="preserve"> representatives from the Member States’ health authorities. Created back in </w:t>
      </w:r>
      <w:r w:rsidR="00385C69">
        <w:rPr>
          <w:rFonts w:ascii="Times New Roman" w:eastAsiaTheme="minorEastAsia" w:hAnsi="Times New Roman" w:cs="Times New Roman"/>
          <w:bCs/>
          <w:noProof/>
          <w:sz w:val="24"/>
          <w:szCs w:val="24"/>
          <w:lang w:val="en-IE"/>
        </w:rPr>
        <w:t>2001</w:t>
      </w:r>
      <w:r w:rsidRPr="00E03D97">
        <w:rPr>
          <w:rFonts w:ascii="Times New Roman" w:eastAsiaTheme="minorEastAsia" w:hAnsi="Times New Roman" w:cs="Times New Roman"/>
          <w:bCs/>
          <w:noProof/>
          <w:sz w:val="24"/>
          <w:szCs w:val="24"/>
          <w:lang w:val="en-IE"/>
        </w:rPr>
        <w:t xml:space="preserve"> in the aftermath of</w:t>
      </w:r>
      <w:r w:rsidR="007226C9">
        <w:rPr>
          <w:rFonts w:ascii="Times New Roman" w:eastAsiaTheme="minorEastAsia" w:hAnsi="Times New Roman" w:cs="Times New Roman"/>
          <w:bCs/>
          <w:noProof/>
          <w:sz w:val="24"/>
          <w:szCs w:val="24"/>
          <w:lang w:val="en-IE"/>
        </w:rPr>
        <w:t xml:space="preserve"> the</w:t>
      </w:r>
      <w:r w:rsidRPr="00E03D97">
        <w:rPr>
          <w:rFonts w:ascii="Times New Roman" w:eastAsiaTheme="minorEastAsia" w:hAnsi="Times New Roman" w:cs="Times New Roman"/>
          <w:bCs/>
          <w:noProof/>
          <w:sz w:val="24"/>
          <w:szCs w:val="24"/>
          <w:lang w:val="en-IE"/>
        </w:rPr>
        <w:t xml:space="preserve"> 9/11</w:t>
      </w:r>
      <w:r w:rsidR="007226C9">
        <w:rPr>
          <w:rFonts w:ascii="Times New Roman" w:eastAsiaTheme="minorEastAsia" w:hAnsi="Times New Roman" w:cs="Times New Roman"/>
          <w:bCs/>
          <w:noProof/>
          <w:sz w:val="24"/>
          <w:szCs w:val="24"/>
          <w:lang w:val="en-IE"/>
        </w:rPr>
        <w:t xml:space="preserve"> attacks</w:t>
      </w:r>
      <w:r w:rsidRPr="00E03D97">
        <w:rPr>
          <w:rFonts w:ascii="Times New Roman" w:eastAsiaTheme="minorEastAsia" w:hAnsi="Times New Roman" w:cs="Times New Roman"/>
          <w:bCs/>
          <w:noProof/>
          <w:sz w:val="24"/>
          <w:szCs w:val="24"/>
          <w:lang w:val="en-IE"/>
        </w:rPr>
        <w:t xml:space="preserve">, the HSC has been facilitating the coordination of public health measures across the </w:t>
      </w:r>
      <w:r w:rsidR="000F7855">
        <w:rPr>
          <w:rFonts w:ascii="Times New Roman" w:eastAsiaTheme="minorEastAsia" w:hAnsi="Times New Roman" w:cs="Times New Roman"/>
          <w:bCs/>
          <w:noProof/>
          <w:sz w:val="24"/>
          <w:szCs w:val="24"/>
          <w:lang w:val="en-IE"/>
        </w:rPr>
        <w:t xml:space="preserve">EU </w:t>
      </w:r>
      <w:r w:rsidRPr="00E03D97">
        <w:rPr>
          <w:rFonts w:ascii="Times New Roman" w:eastAsiaTheme="minorEastAsia" w:hAnsi="Times New Roman" w:cs="Times New Roman"/>
          <w:bCs/>
          <w:noProof/>
          <w:sz w:val="24"/>
          <w:szCs w:val="24"/>
          <w:lang w:val="en-IE"/>
        </w:rPr>
        <w:t>over the years, culminating in weekly meetings during the height of the COVID-19 pandemic</w:t>
      </w:r>
      <w:r w:rsidRPr="00E03D97">
        <w:rPr>
          <w:rFonts w:ascii="Times New Roman" w:eastAsiaTheme="minorEastAsia" w:hAnsi="Times New Roman" w:cs="Times New Roman"/>
          <w:bCs/>
          <w:noProof/>
          <w:sz w:val="24"/>
          <w:szCs w:val="24"/>
          <w:vertAlign w:val="superscript"/>
          <w:lang w:val="en-IE"/>
        </w:rPr>
        <w:footnoteReference w:id="85"/>
      </w:r>
      <w:r w:rsidR="000F7855">
        <w:rPr>
          <w:rFonts w:ascii="Times New Roman" w:eastAsiaTheme="minorEastAsia" w:hAnsi="Times New Roman" w:cs="Times New Roman"/>
          <w:bCs/>
          <w:noProof/>
          <w:sz w:val="24"/>
          <w:szCs w:val="24"/>
          <w:lang w:val="en-IE"/>
        </w:rPr>
        <w:t>.</w:t>
      </w:r>
      <w:r w:rsidRPr="00E03D97">
        <w:rPr>
          <w:rFonts w:ascii="Times New Roman" w:eastAsiaTheme="minorEastAsia" w:hAnsi="Times New Roman" w:cs="Times New Roman"/>
          <w:bCs/>
          <w:noProof/>
          <w:sz w:val="24"/>
          <w:szCs w:val="24"/>
          <w:lang w:val="en-IE"/>
        </w:rPr>
        <w:t xml:space="preserve"> </w:t>
      </w:r>
      <w:r w:rsidRPr="00E03D97">
        <w:rPr>
          <w:rFonts w:ascii="Times New Roman" w:eastAsia="Times New Roman" w:hAnsi="Times New Roman" w:cs="Times New Roman"/>
          <w:noProof/>
          <w:sz w:val="24"/>
          <w:szCs w:val="24"/>
          <w:lang w:val="en-IE"/>
        </w:rPr>
        <w:t>The HSC played a key role in decisions regarding public health measures. Examples during the COVID-19 pandemic include</w:t>
      </w:r>
      <w:r w:rsidR="007226C9">
        <w:rPr>
          <w:rFonts w:ascii="Times New Roman" w:eastAsia="Times New Roman" w:hAnsi="Times New Roman" w:cs="Times New Roman"/>
          <w:noProof/>
          <w:sz w:val="24"/>
          <w:szCs w:val="24"/>
          <w:lang w:val="en-IE"/>
        </w:rPr>
        <w:t xml:space="preserve"> coordination on</w:t>
      </w:r>
      <w:r w:rsidRPr="00E03D97">
        <w:rPr>
          <w:rFonts w:ascii="Times New Roman" w:eastAsia="Times New Roman" w:hAnsi="Times New Roman" w:cs="Times New Roman"/>
          <w:noProof/>
          <w:sz w:val="24"/>
          <w:szCs w:val="24"/>
          <w:lang w:val="en-IE"/>
        </w:rPr>
        <w:t xml:space="preserve"> vaccination strategies, testing and surveillance and risk communication. Subsequent health crises </w:t>
      </w:r>
      <w:r w:rsidR="000F7855">
        <w:rPr>
          <w:rFonts w:ascii="Times New Roman" w:eastAsia="Times New Roman" w:hAnsi="Times New Roman" w:cs="Times New Roman"/>
          <w:noProof/>
          <w:sz w:val="24"/>
          <w:szCs w:val="24"/>
          <w:lang w:val="en-IE"/>
        </w:rPr>
        <w:t xml:space="preserve">in which </w:t>
      </w:r>
      <w:r w:rsidRPr="00E03D97">
        <w:rPr>
          <w:rFonts w:ascii="Times New Roman" w:eastAsia="Times New Roman" w:hAnsi="Times New Roman" w:cs="Times New Roman"/>
          <w:noProof/>
          <w:sz w:val="24"/>
          <w:szCs w:val="24"/>
          <w:lang w:val="en-IE"/>
        </w:rPr>
        <w:t xml:space="preserve">the HSC </w:t>
      </w:r>
      <w:r w:rsidR="007226C9">
        <w:rPr>
          <w:rFonts w:ascii="Times New Roman" w:eastAsia="Times New Roman" w:hAnsi="Times New Roman" w:cs="Times New Roman"/>
          <w:noProof/>
          <w:sz w:val="24"/>
          <w:szCs w:val="24"/>
          <w:lang w:val="en-IE"/>
        </w:rPr>
        <w:t>met regularly and made an important contribution to the coordination of response</w:t>
      </w:r>
      <w:r w:rsidRPr="00E03D97">
        <w:rPr>
          <w:rFonts w:ascii="Times New Roman" w:eastAsia="Times New Roman" w:hAnsi="Times New Roman" w:cs="Times New Roman"/>
          <w:noProof/>
          <w:sz w:val="24"/>
          <w:szCs w:val="24"/>
          <w:lang w:val="en-IE"/>
        </w:rPr>
        <w:t xml:space="preserve"> include the </w:t>
      </w:r>
      <w:r w:rsidR="00780847">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bola outbreak in Uganda and </w:t>
      </w:r>
      <w:r w:rsidR="000F7855">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MPOX outbreak in the EU in 2022</w:t>
      </w:r>
      <w:r w:rsidR="000F7855">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as well as close coordination on the threat of avian influenza in 2023</w:t>
      </w:r>
      <w:r w:rsidR="000F7855">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often jointly with </w:t>
      </w:r>
      <w:r w:rsidR="000F7855">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HSC</w:t>
      </w:r>
      <w:r w:rsidR="000F7855">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counterparts in animal health such as the EU Chief Veterinary Officers</w:t>
      </w:r>
      <w:r w:rsidR="000F7855">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w:t>
      </w:r>
    </w:p>
    <w:p w14:paraId="409B032F" w14:textId="2205E7D4"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A change introduced by Regulation (EU) 2022/2371 is the empowerment of the HSC to formally adopt opinions</w:t>
      </w:r>
      <w:r w:rsidR="00FC03C1"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and guidance. During the pandemic, the HSC issued a number of opinion papers, crystallising the views of the Member States on particular topics. These opinions contributed to the decisions of the Council’s IPCR, such as </w:t>
      </w:r>
      <w:r w:rsidR="00A776EE">
        <w:rPr>
          <w:rFonts w:ascii="Times New Roman" w:eastAsia="Times New Roman" w:hAnsi="Times New Roman" w:cs="Times New Roman"/>
          <w:noProof/>
          <w:sz w:val="24"/>
          <w:szCs w:val="24"/>
          <w:lang w:val="en-IE"/>
        </w:rPr>
        <w:t>it</w:t>
      </w:r>
      <w:r w:rsidR="00A776EE"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establish</w:t>
      </w:r>
      <w:r w:rsidR="00A776EE">
        <w:rPr>
          <w:rFonts w:ascii="Times New Roman" w:eastAsia="Times New Roman" w:hAnsi="Times New Roman" w:cs="Times New Roman"/>
          <w:noProof/>
          <w:sz w:val="24"/>
          <w:szCs w:val="24"/>
          <w:lang w:val="en-IE"/>
        </w:rPr>
        <w:t>ed</w:t>
      </w:r>
      <w:r w:rsidRPr="00E03D97">
        <w:rPr>
          <w:rFonts w:ascii="Times New Roman" w:eastAsia="Times New Roman" w:hAnsi="Times New Roman" w:cs="Times New Roman"/>
          <w:noProof/>
          <w:sz w:val="24"/>
          <w:szCs w:val="24"/>
          <w:lang w:val="en-IE"/>
        </w:rPr>
        <w:t xml:space="preserve"> coordinated </w:t>
      </w:r>
      <w:r w:rsidR="00AC74FE" w:rsidRPr="00E03D97">
        <w:rPr>
          <w:rFonts w:ascii="Times New Roman" w:eastAsia="Times New Roman" w:hAnsi="Times New Roman" w:cs="Times New Roman"/>
          <w:noProof/>
          <w:sz w:val="24"/>
          <w:szCs w:val="24"/>
          <w:lang w:val="en-IE"/>
        </w:rPr>
        <w:t xml:space="preserve">measures on travel from China into the EU in response to a </w:t>
      </w:r>
      <w:r w:rsidR="000F7855">
        <w:rPr>
          <w:rFonts w:ascii="Times New Roman" w:eastAsia="Times New Roman" w:hAnsi="Times New Roman" w:cs="Times New Roman"/>
          <w:noProof/>
          <w:sz w:val="24"/>
          <w:szCs w:val="24"/>
          <w:lang w:val="en-IE"/>
        </w:rPr>
        <w:t>deterioration in China’s</w:t>
      </w:r>
      <w:r w:rsidR="000F7855" w:rsidRPr="00E03D97">
        <w:rPr>
          <w:rFonts w:ascii="Times New Roman" w:eastAsia="Times New Roman" w:hAnsi="Times New Roman" w:cs="Times New Roman"/>
          <w:noProof/>
          <w:sz w:val="24"/>
          <w:szCs w:val="24"/>
          <w:lang w:val="en-IE"/>
        </w:rPr>
        <w:t xml:space="preserve"> </w:t>
      </w:r>
      <w:r w:rsidR="00AC74FE" w:rsidRPr="00E03D97">
        <w:rPr>
          <w:rFonts w:ascii="Times New Roman" w:eastAsia="Times New Roman" w:hAnsi="Times New Roman" w:cs="Times New Roman"/>
          <w:noProof/>
          <w:sz w:val="24"/>
          <w:szCs w:val="24"/>
          <w:lang w:val="en-IE"/>
        </w:rPr>
        <w:t>COVID-19 situation</w:t>
      </w:r>
      <w:r w:rsidRPr="00E03D97">
        <w:rPr>
          <w:rFonts w:ascii="Times New Roman" w:eastAsia="Times New Roman" w:hAnsi="Times New Roman" w:cs="Times New Roman"/>
          <w:noProof/>
          <w:sz w:val="24"/>
          <w:szCs w:val="24"/>
          <w:lang w:val="en-IE"/>
        </w:rPr>
        <w:t>.</w:t>
      </w:r>
    </w:p>
    <w:p w14:paraId="15D60429" w14:textId="77738B87" w:rsidR="001F1738"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p>
    <w:p w14:paraId="26BCC410" w14:textId="77777777" w:rsidR="00031422" w:rsidRPr="00E03D97" w:rsidRDefault="00031422"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p>
    <w:p w14:paraId="3B587C34"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rFonts w:ascii="Times New Roman" w:eastAsia="Times New Roman" w:hAnsi="Times New Roman" w:cs="Times New Roman"/>
          <w:b/>
          <w:bCs/>
          <w:noProof/>
          <w:sz w:val="24"/>
          <w:szCs w:val="24"/>
          <w:lang w:val="en-IE"/>
        </w:rPr>
      </w:pPr>
      <w:r w:rsidRPr="00003506">
        <w:rPr>
          <w:rFonts w:ascii="Times New Roman" w:eastAsia="Times New Roman" w:hAnsi="Times New Roman" w:cs="Times New Roman"/>
          <w:b/>
          <w:bCs/>
          <w:noProof/>
          <w:sz w:val="24"/>
          <w:szCs w:val="24"/>
          <w:lang w:val="en-IE"/>
        </w:rPr>
        <w:t>First HSC opinion, only days after the entry into force of Regulation (EU) 2022/2371</w:t>
      </w:r>
    </w:p>
    <w:p w14:paraId="4CA1A03F"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rPr>
      </w:pPr>
      <w:r w:rsidRPr="00003506">
        <w:rPr>
          <w:rFonts w:ascii="Times New Roman" w:eastAsia="Times New Roman" w:hAnsi="Times New Roman" w:cs="Times New Roman"/>
          <w:noProof/>
          <w:sz w:val="24"/>
          <w:szCs w:val="24"/>
          <w:lang w:val="en-IE"/>
        </w:rPr>
        <w:t xml:space="preserve">The first test for the newly empowered HSC came with the record levels of COVID-19 cases in China at the end of 2022 that resulted from relaxation of Chinese domestic measures. The HSC issued its first opinion under the Regulation as early as 5 January 2023, only 10 days after the Regulation’s entry into force. It contained several proposed steps for a staged, phased and proportionate common EU approach to mitigate any potential risks, which served to underpin further political decisions in the Council’s IPCR. </w:t>
      </w:r>
    </w:p>
    <w:p w14:paraId="4E6A4374" w14:textId="6BEF39E0"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191C05">
        <w:rPr>
          <w:rFonts w:ascii="Times New Roman" w:eastAsia="Times New Roman" w:hAnsi="Times New Roman" w:cs="Times New Roman"/>
          <w:noProof/>
          <w:sz w:val="24"/>
          <w:szCs w:val="24"/>
          <w:lang w:val="en-IE"/>
        </w:rPr>
        <w:t>The latest opinion</w:t>
      </w:r>
      <w:r w:rsidR="00542A7E">
        <w:rPr>
          <w:rStyle w:val="FootnoteReference"/>
          <w:rFonts w:ascii="Times New Roman" w:eastAsia="Times New Roman" w:hAnsi="Times New Roman" w:cs="Times New Roman"/>
          <w:noProof/>
          <w:sz w:val="24"/>
          <w:szCs w:val="24"/>
        </w:rPr>
        <w:footnoteReference w:id="86"/>
      </w:r>
      <w:r w:rsidRPr="00191C05">
        <w:rPr>
          <w:rFonts w:ascii="Times New Roman" w:eastAsia="Times New Roman" w:hAnsi="Times New Roman" w:cs="Times New Roman"/>
          <w:noProof/>
          <w:sz w:val="24"/>
          <w:szCs w:val="24"/>
          <w:lang w:val="en-IE"/>
        </w:rPr>
        <w:t xml:space="preserve"> of the HSC </w:t>
      </w:r>
      <w:r w:rsidRPr="00E03D97">
        <w:rPr>
          <w:rFonts w:ascii="Times New Roman" w:eastAsia="Times New Roman" w:hAnsi="Times New Roman" w:cs="Times New Roman"/>
          <w:noProof/>
          <w:sz w:val="24"/>
          <w:szCs w:val="24"/>
          <w:lang w:val="en-IE"/>
        </w:rPr>
        <w:t>focus</w:t>
      </w:r>
      <w:r w:rsidR="00C31A05">
        <w:rPr>
          <w:rFonts w:ascii="Times New Roman" w:eastAsia="Times New Roman" w:hAnsi="Times New Roman" w:cs="Times New Roman"/>
          <w:noProof/>
          <w:sz w:val="24"/>
          <w:szCs w:val="24"/>
          <w:lang w:val="en-IE"/>
        </w:rPr>
        <w:t>es</w:t>
      </w:r>
      <w:r w:rsidRPr="00E03D97">
        <w:rPr>
          <w:rFonts w:ascii="Times New Roman" w:eastAsia="Times New Roman" w:hAnsi="Times New Roman" w:cs="Times New Roman"/>
          <w:noProof/>
          <w:sz w:val="24"/>
          <w:szCs w:val="24"/>
          <w:lang w:val="en-IE"/>
        </w:rPr>
        <w:t xml:space="preserve"> on the need for continued vigilance around COVID-19, seasonal flu and other viruses</w:t>
      </w:r>
      <w:r w:rsidR="006D709B">
        <w:rPr>
          <w:rFonts w:ascii="Times New Roman" w:eastAsia="Times New Roman" w:hAnsi="Times New Roman" w:cs="Times New Roman"/>
          <w:noProof/>
          <w:sz w:val="24"/>
          <w:szCs w:val="24"/>
          <w:lang w:val="en-IE"/>
        </w:rPr>
        <w:t xml:space="preserve"> that are</w:t>
      </w:r>
      <w:r w:rsidRPr="00E03D97">
        <w:rPr>
          <w:rFonts w:ascii="Times New Roman" w:eastAsia="Times New Roman" w:hAnsi="Times New Roman" w:cs="Times New Roman"/>
          <w:noProof/>
          <w:sz w:val="24"/>
          <w:szCs w:val="24"/>
          <w:lang w:val="en-IE"/>
        </w:rPr>
        <w:t xml:space="preserve"> circulating </w:t>
      </w:r>
      <w:r w:rsidR="006D709B">
        <w:rPr>
          <w:rFonts w:ascii="Times New Roman" w:eastAsia="Times New Roman" w:hAnsi="Times New Roman" w:cs="Times New Roman"/>
          <w:noProof/>
          <w:sz w:val="24"/>
          <w:szCs w:val="24"/>
          <w:lang w:val="en-IE"/>
        </w:rPr>
        <w:t>in</w:t>
      </w:r>
      <w:r w:rsidR="006D709B"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the autumn/winter season.</w:t>
      </w:r>
    </w:p>
    <w:p w14:paraId="5DAA9992" w14:textId="1D718B1E"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noProof/>
          <w:sz w:val="24"/>
          <w:szCs w:val="24"/>
          <w:lang w:val="en-IE"/>
        </w:rPr>
      </w:pPr>
      <w:bookmarkStart w:id="19" w:name="_Toc145428530"/>
      <w:bookmarkEnd w:id="19"/>
      <w:r w:rsidRPr="00E03D97">
        <w:rPr>
          <w:rFonts w:ascii="Times New Roman" w:eastAsia="Times New Roman" w:hAnsi="Times New Roman" w:cs="Times New Roman"/>
          <w:b/>
          <w:bCs/>
          <w:noProof/>
          <w:sz w:val="24"/>
          <w:szCs w:val="24"/>
          <w:lang w:val="en-IE"/>
        </w:rPr>
        <w:t xml:space="preserve">Public </w:t>
      </w:r>
      <w:r w:rsidR="006D709B">
        <w:rPr>
          <w:rFonts w:ascii="Times New Roman" w:eastAsia="Times New Roman" w:hAnsi="Times New Roman" w:cs="Times New Roman"/>
          <w:b/>
          <w:bCs/>
          <w:noProof/>
          <w:sz w:val="24"/>
          <w:szCs w:val="24"/>
          <w:lang w:val="en-IE"/>
        </w:rPr>
        <w:t>h</w:t>
      </w:r>
      <w:r w:rsidRPr="00E03D97">
        <w:rPr>
          <w:rFonts w:ascii="Times New Roman" w:eastAsia="Times New Roman" w:hAnsi="Times New Roman" w:cs="Times New Roman"/>
          <w:b/>
          <w:bCs/>
          <w:noProof/>
          <w:sz w:val="24"/>
          <w:szCs w:val="24"/>
          <w:lang w:val="en-IE"/>
        </w:rPr>
        <w:t xml:space="preserve">ealth </w:t>
      </w:r>
      <w:r w:rsidR="006D709B">
        <w:rPr>
          <w:rFonts w:ascii="Times New Roman" w:eastAsia="Times New Roman" w:hAnsi="Times New Roman" w:cs="Times New Roman"/>
          <w:b/>
          <w:bCs/>
          <w:noProof/>
          <w:sz w:val="24"/>
          <w:szCs w:val="24"/>
          <w:lang w:val="en-IE"/>
        </w:rPr>
        <w:t>e</w:t>
      </w:r>
      <w:r w:rsidRPr="00E03D97">
        <w:rPr>
          <w:rFonts w:ascii="Times New Roman" w:eastAsia="Times New Roman" w:hAnsi="Times New Roman" w:cs="Times New Roman"/>
          <w:b/>
          <w:bCs/>
          <w:noProof/>
          <w:sz w:val="24"/>
          <w:szCs w:val="24"/>
          <w:lang w:val="en-IE"/>
        </w:rPr>
        <w:t xml:space="preserve">mergency at </w:t>
      </w:r>
      <w:r w:rsidR="007226C9">
        <w:rPr>
          <w:rFonts w:ascii="Times New Roman" w:eastAsia="Times New Roman" w:hAnsi="Times New Roman" w:cs="Times New Roman"/>
          <w:b/>
          <w:bCs/>
          <w:noProof/>
          <w:sz w:val="24"/>
          <w:szCs w:val="24"/>
          <w:lang w:val="en-IE"/>
        </w:rPr>
        <w:t>Union</w:t>
      </w:r>
      <w:r w:rsidR="006D709B" w:rsidRPr="00E03D97">
        <w:rPr>
          <w:rFonts w:ascii="Times New Roman" w:eastAsia="Times New Roman" w:hAnsi="Times New Roman" w:cs="Times New Roman"/>
          <w:b/>
          <w:bCs/>
          <w:noProof/>
          <w:sz w:val="24"/>
          <w:szCs w:val="24"/>
          <w:lang w:val="en-IE"/>
        </w:rPr>
        <w:t xml:space="preserve"> </w:t>
      </w:r>
      <w:r w:rsidRPr="00E03D97">
        <w:rPr>
          <w:rFonts w:ascii="Times New Roman" w:eastAsia="Times New Roman" w:hAnsi="Times New Roman" w:cs="Times New Roman"/>
          <w:b/>
          <w:bCs/>
          <w:noProof/>
          <w:sz w:val="24"/>
          <w:szCs w:val="24"/>
          <w:lang w:val="en-IE"/>
        </w:rPr>
        <w:t>level</w:t>
      </w:r>
    </w:p>
    <w:p w14:paraId="74D26D79" w14:textId="3B339478"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Until 2022, the EU relied </w:t>
      </w:r>
      <w:r w:rsidR="006D709B">
        <w:rPr>
          <w:rFonts w:ascii="Times New Roman" w:eastAsia="Times New Roman" w:hAnsi="Times New Roman" w:cs="Times New Roman"/>
          <w:noProof/>
          <w:sz w:val="24"/>
          <w:szCs w:val="24"/>
          <w:lang w:val="en-IE"/>
        </w:rPr>
        <w:t>entirely</w:t>
      </w:r>
      <w:r w:rsidR="006D709B"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on the WHO</w:t>
      </w:r>
      <w:r w:rsidR="006D709B">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assessment of pandemic situations and declaration of a </w:t>
      </w:r>
      <w:r w:rsidR="001A59BD">
        <w:rPr>
          <w:rFonts w:ascii="Times New Roman" w:eastAsia="Times New Roman" w:hAnsi="Times New Roman" w:cs="Times New Roman"/>
          <w:noProof/>
          <w:sz w:val="24"/>
          <w:szCs w:val="24"/>
          <w:lang w:val="en-IE"/>
        </w:rPr>
        <w:t>p</w:t>
      </w:r>
      <w:r w:rsidRPr="00E03D97">
        <w:rPr>
          <w:rFonts w:ascii="Times New Roman" w:eastAsia="Times New Roman" w:hAnsi="Times New Roman" w:cs="Times New Roman"/>
          <w:noProof/>
          <w:sz w:val="24"/>
          <w:szCs w:val="24"/>
          <w:lang w:val="en-IE"/>
        </w:rPr>
        <w:t xml:space="preserve">ublic </w:t>
      </w:r>
      <w:r w:rsidR="001A59BD">
        <w:rPr>
          <w:rFonts w:ascii="Times New Roman" w:eastAsia="Times New Roman" w:hAnsi="Times New Roman" w:cs="Times New Roman"/>
          <w:noProof/>
          <w:sz w:val="24"/>
          <w:szCs w:val="24"/>
          <w:lang w:val="en-IE"/>
        </w:rPr>
        <w:t>h</w:t>
      </w:r>
      <w:r w:rsidRPr="00E03D97">
        <w:rPr>
          <w:rFonts w:ascii="Times New Roman" w:eastAsia="Times New Roman" w:hAnsi="Times New Roman" w:cs="Times New Roman"/>
          <w:noProof/>
          <w:sz w:val="24"/>
          <w:szCs w:val="24"/>
          <w:lang w:val="en-IE"/>
        </w:rPr>
        <w:t xml:space="preserve">ealth </w:t>
      </w:r>
      <w:r w:rsidR="001A59BD">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mergency of </w:t>
      </w:r>
      <w:r w:rsidR="001A59BD">
        <w:rPr>
          <w:rFonts w:ascii="Times New Roman" w:eastAsia="Times New Roman" w:hAnsi="Times New Roman" w:cs="Times New Roman"/>
          <w:noProof/>
          <w:sz w:val="24"/>
          <w:szCs w:val="24"/>
          <w:lang w:val="en-IE"/>
        </w:rPr>
        <w:t>i</w:t>
      </w:r>
      <w:r w:rsidRPr="00E03D97">
        <w:rPr>
          <w:rFonts w:ascii="Times New Roman" w:eastAsia="Times New Roman" w:hAnsi="Times New Roman" w:cs="Times New Roman"/>
          <w:noProof/>
          <w:sz w:val="24"/>
          <w:szCs w:val="24"/>
          <w:lang w:val="en-IE"/>
        </w:rPr>
        <w:t xml:space="preserve">nternational </w:t>
      </w:r>
      <w:r w:rsidR="001A59BD">
        <w:rPr>
          <w:rFonts w:ascii="Times New Roman" w:eastAsia="Times New Roman" w:hAnsi="Times New Roman" w:cs="Times New Roman"/>
          <w:noProof/>
          <w:sz w:val="24"/>
          <w:szCs w:val="24"/>
          <w:lang w:val="en-IE"/>
        </w:rPr>
        <w:t>c</w:t>
      </w:r>
      <w:r w:rsidRPr="00E03D97">
        <w:rPr>
          <w:rFonts w:ascii="Times New Roman" w:eastAsia="Times New Roman" w:hAnsi="Times New Roman" w:cs="Times New Roman"/>
          <w:noProof/>
          <w:sz w:val="24"/>
          <w:szCs w:val="24"/>
          <w:lang w:val="en-IE"/>
        </w:rPr>
        <w:t>oncern. Regulation (EU) 2022/2371</w:t>
      </w:r>
      <w:r w:rsidR="006D709B">
        <w:rPr>
          <w:rFonts w:ascii="Times New Roman" w:eastAsia="Times New Roman" w:hAnsi="Times New Roman" w:cs="Times New Roman"/>
          <w:noProof/>
          <w:sz w:val="24"/>
          <w:szCs w:val="24"/>
          <w:lang w:val="en-IE"/>
        </w:rPr>
        <w:t xml:space="preserve"> has now empowered</w:t>
      </w:r>
      <w:r w:rsidRPr="00E03D97">
        <w:rPr>
          <w:rFonts w:ascii="Times New Roman" w:eastAsia="Times New Roman" w:hAnsi="Times New Roman" w:cs="Times New Roman"/>
          <w:noProof/>
          <w:sz w:val="24"/>
          <w:szCs w:val="24"/>
          <w:lang w:val="en-IE"/>
        </w:rPr>
        <w:t xml:space="preserve"> the Commission to formally recognise a public health emergency at </w:t>
      </w:r>
      <w:r w:rsidR="007226C9">
        <w:rPr>
          <w:rFonts w:ascii="Times New Roman" w:eastAsia="Times New Roman" w:hAnsi="Times New Roman" w:cs="Times New Roman"/>
          <w:noProof/>
          <w:sz w:val="24"/>
          <w:szCs w:val="24"/>
          <w:lang w:val="en-IE"/>
        </w:rPr>
        <w:t>Union</w:t>
      </w:r>
      <w:r w:rsidR="006D709B"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level, whe</w:t>
      </w:r>
      <w:r w:rsidR="006D709B">
        <w:rPr>
          <w:rFonts w:ascii="Times New Roman" w:eastAsia="Times New Roman" w:hAnsi="Times New Roman" w:cs="Times New Roman"/>
          <w:noProof/>
          <w:sz w:val="24"/>
          <w:szCs w:val="24"/>
          <w:lang w:val="en-IE"/>
        </w:rPr>
        <w:t>n</w:t>
      </w:r>
      <w:r w:rsidRPr="00E03D97">
        <w:rPr>
          <w:rFonts w:ascii="Times New Roman" w:eastAsia="Times New Roman" w:hAnsi="Times New Roman" w:cs="Times New Roman"/>
          <w:noProof/>
          <w:sz w:val="24"/>
          <w:szCs w:val="24"/>
          <w:lang w:val="en-IE"/>
        </w:rPr>
        <w:t xml:space="preserve"> a serious cross-border threat to health is considered to endanger public health </w:t>
      </w:r>
      <w:r w:rsidR="007226C9">
        <w:rPr>
          <w:rFonts w:ascii="Times New Roman" w:eastAsia="Times New Roman" w:hAnsi="Times New Roman" w:cs="Times New Roman"/>
          <w:noProof/>
          <w:sz w:val="24"/>
          <w:szCs w:val="24"/>
          <w:lang w:val="en-IE"/>
        </w:rPr>
        <w:t>in the</w:t>
      </w:r>
      <w:r w:rsidRPr="00E03D97">
        <w:rPr>
          <w:rFonts w:ascii="Times New Roman" w:eastAsia="Times New Roman" w:hAnsi="Times New Roman" w:cs="Times New Roman"/>
          <w:noProof/>
          <w:sz w:val="24"/>
          <w:szCs w:val="24"/>
          <w:lang w:val="en-IE"/>
        </w:rPr>
        <w:t xml:space="preserve"> </w:t>
      </w:r>
      <w:r w:rsidR="006D709B">
        <w:rPr>
          <w:rFonts w:ascii="Times New Roman" w:eastAsia="Times New Roman" w:hAnsi="Times New Roman" w:cs="Times New Roman"/>
          <w:noProof/>
          <w:sz w:val="24"/>
          <w:szCs w:val="24"/>
          <w:lang w:val="en-IE"/>
        </w:rPr>
        <w:t>EU</w:t>
      </w:r>
      <w:r w:rsidRPr="00E03D97">
        <w:rPr>
          <w:rFonts w:ascii="Times New Roman" w:eastAsia="Times New Roman" w:hAnsi="Times New Roman" w:cs="Times New Roman"/>
          <w:noProof/>
          <w:sz w:val="24"/>
          <w:szCs w:val="24"/>
          <w:lang w:val="en-IE"/>
        </w:rPr>
        <w:t xml:space="preserve">. </w:t>
      </w:r>
      <w:r w:rsidR="00482EA7">
        <w:rPr>
          <w:rFonts w:ascii="Times New Roman" w:eastAsia="Times New Roman" w:hAnsi="Times New Roman" w:cs="Times New Roman"/>
          <w:noProof/>
          <w:sz w:val="24"/>
          <w:szCs w:val="24"/>
        </w:rPr>
        <w:t xml:space="preserve">Once a public health emergency at Union level </w:t>
      </w:r>
      <w:r w:rsidR="00C5325C">
        <w:rPr>
          <w:rFonts w:ascii="Times New Roman" w:eastAsia="Times New Roman" w:hAnsi="Times New Roman" w:cs="Times New Roman"/>
          <w:noProof/>
          <w:sz w:val="24"/>
          <w:szCs w:val="24"/>
        </w:rPr>
        <w:t>is</w:t>
      </w:r>
      <w:r w:rsidR="00482EA7">
        <w:rPr>
          <w:rFonts w:ascii="Times New Roman" w:eastAsia="Times New Roman" w:hAnsi="Times New Roman" w:cs="Times New Roman"/>
          <w:noProof/>
          <w:sz w:val="24"/>
          <w:szCs w:val="24"/>
        </w:rPr>
        <w:t xml:space="preserve"> recognised, one or more measures of</w:t>
      </w:r>
      <w:r w:rsidR="00482EA7" w:rsidRPr="001F1738">
        <w:rPr>
          <w:rFonts w:ascii="Times New Roman" w:eastAsia="Times New Roman" w:hAnsi="Times New Roman" w:cs="Times New Roman"/>
          <w:noProof/>
          <w:sz w:val="24"/>
          <w:szCs w:val="24"/>
        </w:rPr>
        <w:t xml:space="preserve"> Regulation (EU) 2022/2372 </w:t>
      </w:r>
      <w:r w:rsidR="00482EA7">
        <w:rPr>
          <w:rFonts w:ascii="Times New Roman" w:eastAsia="Times New Roman" w:hAnsi="Times New Roman" w:cs="Times New Roman"/>
          <w:noProof/>
          <w:sz w:val="24"/>
          <w:szCs w:val="24"/>
        </w:rPr>
        <w:t xml:space="preserve">may be activated if that is appropriate to the economic situation, which includes </w:t>
      </w:r>
      <w:r w:rsidR="00482EA7" w:rsidRPr="00D748D7">
        <w:rPr>
          <w:rFonts w:ascii="Times New Roman" w:eastAsia="Times New Roman" w:hAnsi="Times New Roman" w:cs="Times New Roman"/>
          <w:noProof/>
          <w:sz w:val="24"/>
          <w:szCs w:val="24"/>
        </w:rPr>
        <w:t xml:space="preserve">the establishment of a Health Crisis Board to ensure coordination and integration of approaches to crisis-relevant medical countermeasures at </w:t>
      </w:r>
      <w:r w:rsidR="00C078C3">
        <w:rPr>
          <w:rFonts w:ascii="Times New Roman" w:eastAsia="Times New Roman" w:hAnsi="Times New Roman" w:cs="Times New Roman"/>
          <w:noProof/>
          <w:sz w:val="24"/>
          <w:szCs w:val="24"/>
        </w:rPr>
        <w:t>EU</w:t>
      </w:r>
      <w:r w:rsidR="00482EA7" w:rsidRPr="00D748D7">
        <w:rPr>
          <w:rFonts w:ascii="Times New Roman" w:eastAsia="Times New Roman" w:hAnsi="Times New Roman" w:cs="Times New Roman"/>
          <w:noProof/>
          <w:sz w:val="24"/>
          <w:szCs w:val="24"/>
        </w:rPr>
        <w:t xml:space="preserve"> level</w:t>
      </w:r>
      <w:r w:rsidR="00FD012D">
        <w:rPr>
          <w:rFonts w:ascii="Times New Roman" w:eastAsia="Times New Roman" w:hAnsi="Times New Roman" w:cs="Times New Roman"/>
          <w:noProof/>
          <w:sz w:val="24"/>
          <w:szCs w:val="24"/>
        </w:rPr>
        <w:t>,</w:t>
      </w:r>
      <w:r w:rsidR="00482EA7" w:rsidRPr="00D748D7">
        <w:rPr>
          <w:rFonts w:ascii="Times New Roman" w:eastAsia="Times New Roman" w:hAnsi="Times New Roman" w:cs="Times New Roman"/>
          <w:noProof/>
          <w:sz w:val="24"/>
          <w:szCs w:val="24"/>
        </w:rPr>
        <w:t xml:space="preserve"> </w:t>
      </w:r>
      <w:r w:rsidR="00482EA7">
        <w:rPr>
          <w:rFonts w:ascii="Times New Roman" w:eastAsia="Times New Roman" w:hAnsi="Times New Roman" w:cs="Times New Roman"/>
          <w:noProof/>
          <w:sz w:val="24"/>
          <w:szCs w:val="24"/>
        </w:rPr>
        <w:t xml:space="preserve">and which may include </w:t>
      </w:r>
      <w:r w:rsidR="00482EA7" w:rsidRPr="00D748D7">
        <w:rPr>
          <w:rFonts w:ascii="Times New Roman" w:eastAsia="Times New Roman" w:hAnsi="Times New Roman" w:cs="Times New Roman"/>
          <w:noProof/>
          <w:sz w:val="24"/>
          <w:szCs w:val="24"/>
        </w:rPr>
        <w:t xml:space="preserve">the establishment of mechanisms for the monitoring, activation of emergency funding, procurement and purchase of crisis-relevant medical countermeasures and raw materials; the activation of EU FAB facilities, the activation of emergency research and innovation plans, and the use of Union-wide clinical trial networks and provisions and platforms for the rapid sharing of data; </w:t>
      </w:r>
      <w:r w:rsidR="00482EA7">
        <w:rPr>
          <w:rFonts w:ascii="Times New Roman" w:eastAsia="Times New Roman" w:hAnsi="Times New Roman" w:cs="Times New Roman"/>
          <w:noProof/>
          <w:sz w:val="24"/>
          <w:szCs w:val="24"/>
        </w:rPr>
        <w:t xml:space="preserve">and </w:t>
      </w:r>
      <w:r w:rsidR="00482EA7" w:rsidRPr="00D748D7">
        <w:rPr>
          <w:rFonts w:ascii="Times New Roman" w:eastAsia="Times New Roman" w:hAnsi="Times New Roman" w:cs="Times New Roman"/>
          <w:noProof/>
          <w:sz w:val="24"/>
          <w:szCs w:val="24"/>
        </w:rPr>
        <w:t>measures concerning the production of crisis-relevant medical countermeasures.</w:t>
      </w:r>
      <w:r w:rsidR="00482EA7">
        <w:rPr>
          <w:rFonts w:ascii="Times New Roman" w:eastAsia="Times New Roman" w:hAnsi="Times New Roman" w:cs="Times New Roman"/>
          <w:noProof/>
          <w:sz w:val="24"/>
          <w:szCs w:val="24"/>
        </w:rPr>
        <w:t xml:space="preserve"> </w:t>
      </w:r>
      <w:r w:rsidR="00C078C3">
        <w:rPr>
          <w:rFonts w:ascii="Times New Roman" w:eastAsia="Times New Roman" w:hAnsi="Times New Roman" w:cs="Times New Roman"/>
          <w:noProof/>
          <w:sz w:val="24"/>
          <w:szCs w:val="24"/>
        </w:rPr>
        <w:t>The recognition of public health emergency</w:t>
      </w:r>
      <w:r w:rsidR="00482EA7">
        <w:rPr>
          <w:rFonts w:ascii="Times New Roman" w:eastAsia="Times New Roman" w:hAnsi="Times New Roman" w:cs="Times New Roman"/>
          <w:noProof/>
          <w:sz w:val="24"/>
          <w:szCs w:val="24"/>
        </w:rPr>
        <w:t xml:space="preserve"> also enables the introduction of</w:t>
      </w:r>
      <w:r w:rsidR="00482EA7" w:rsidRPr="001F1738">
        <w:rPr>
          <w:rFonts w:ascii="Times New Roman" w:eastAsia="Times New Roman" w:hAnsi="Times New Roman" w:cs="Times New Roman"/>
          <w:noProof/>
          <w:sz w:val="24"/>
          <w:szCs w:val="24"/>
        </w:rPr>
        <w:t xml:space="preserve"> </w:t>
      </w:r>
      <w:r w:rsidR="00482EA7" w:rsidRPr="00DD0D18">
        <w:rPr>
          <w:rFonts w:ascii="Times New Roman" w:eastAsia="Times New Roman" w:hAnsi="Times New Roman" w:cs="Times New Roman"/>
          <w:noProof/>
          <w:sz w:val="24"/>
          <w:szCs w:val="24"/>
        </w:rPr>
        <w:t>measures related to medicinal products and medical devices</w:t>
      </w:r>
      <w:r w:rsidR="00482EA7">
        <w:rPr>
          <w:rFonts w:ascii="Times New Roman" w:eastAsia="Times New Roman" w:hAnsi="Times New Roman" w:cs="Times New Roman"/>
          <w:noProof/>
          <w:sz w:val="24"/>
          <w:szCs w:val="24"/>
        </w:rPr>
        <w:t>,</w:t>
      </w:r>
      <w:r w:rsidR="00482EA7" w:rsidRPr="00DD0D18">
        <w:rPr>
          <w:noProof/>
        </w:rPr>
        <w:t xml:space="preserve"> </w:t>
      </w:r>
      <w:r w:rsidR="00482EA7" w:rsidRPr="00DD0D18">
        <w:rPr>
          <w:rFonts w:ascii="Times New Roman" w:eastAsia="Times New Roman" w:hAnsi="Times New Roman" w:cs="Times New Roman"/>
          <w:noProof/>
          <w:sz w:val="24"/>
          <w:szCs w:val="24"/>
        </w:rPr>
        <w:t>provided for in Regulation (EU) 2022/12</w:t>
      </w:r>
      <w:r w:rsidR="00FD012D">
        <w:rPr>
          <w:rFonts w:ascii="Times New Roman" w:eastAsia="Times New Roman" w:hAnsi="Times New Roman" w:cs="Times New Roman"/>
          <w:noProof/>
          <w:sz w:val="24"/>
          <w:szCs w:val="24"/>
        </w:rPr>
        <w:t>,</w:t>
      </w:r>
      <w:r w:rsidR="00482EA7">
        <w:rPr>
          <w:rFonts w:ascii="Times New Roman" w:eastAsia="Times New Roman" w:hAnsi="Times New Roman" w:cs="Times New Roman"/>
          <w:noProof/>
          <w:sz w:val="24"/>
          <w:szCs w:val="24"/>
        </w:rPr>
        <w:t xml:space="preserve"> </w:t>
      </w:r>
      <w:r w:rsidRPr="00E03D97">
        <w:rPr>
          <w:rFonts w:ascii="Times New Roman" w:eastAsia="Times New Roman" w:hAnsi="Times New Roman" w:cs="Times New Roman"/>
          <w:noProof/>
          <w:sz w:val="24"/>
          <w:szCs w:val="24"/>
          <w:lang w:val="en-IE"/>
        </w:rPr>
        <w:t xml:space="preserve">activation of support from the ECDC to mobilise and deploy experts to the affected areas under an EU </w:t>
      </w:r>
      <w:r w:rsidR="003C61EE">
        <w:rPr>
          <w:rFonts w:ascii="Times New Roman" w:eastAsia="Times New Roman" w:hAnsi="Times New Roman" w:cs="Times New Roman"/>
          <w:noProof/>
          <w:sz w:val="24"/>
          <w:szCs w:val="24"/>
          <w:lang w:val="en-IE"/>
        </w:rPr>
        <w:t>H</w:t>
      </w:r>
      <w:r w:rsidRPr="00E03D97">
        <w:rPr>
          <w:rFonts w:ascii="Times New Roman" w:eastAsia="Times New Roman" w:hAnsi="Times New Roman" w:cs="Times New Roman"/>
          <w:noProof/>
          <w:sz w:val="24"/>
          <w:szCs w:val="24"/>
          <w:lang w:val="en-IE"/>
        </w:rPr>
        <w:t xml:space="preserve">ealth </w:t>
      </w:r>
      <w:r w:rsidR="003C61EE">
        <w:rPr>
          <w:rFonts w:ascii="Times New Roman" w:eastAsia="Times New Roman" w:hAnsi="Times New Roman" w:cs="Times New Roman"/>
          <w:noProof/>
          <w:sz w:val="24"/>
          <w:szCs w:val="24"/>
          <w:lang w:val="en-IE"/>
        </w:rPr>
        <w:t>T</w:t>
      </w:r>
      <w:r w:rsidRPr="00E03D97">
        <w:rPr>
          <w:rFonts w:ascii="Times New Roman" w:eastAsia="Times New Roman" w:hAnsi="Times New Roman" w:cs="Times New Roman"/>
          <w:noProof/>
          <w:sz w:val="24"/>
          <w:szCs w:val="24"/>
          <w:lang w:val="en-IE"/>
        </w:rPr>
        <w:t xml:space="preserve">ask </w:t>
      </w:r>
      <w:r w:rsidR="003C61EE">
        <w:rPr>
          <w:rFonts w:ascii="Times New Roman" w:eastAsia="Times New Roman" w:hAnsi="Times New Roman" w:cs="Times New Roman"/>
          <w:noProof/>
          <w:sz w:val="24"/>
          <w:szCs w:val="24"/>
          <w:lang w:val="en-IE"/>
        </w:rPr>
        <w:t>F</w:t>
      </w:r>
      <w:r w:rsidRPr="00E03D97">
        <w:rPr>
          <w:rFonts w:ascii="Times New Roman" w:eastAsia="Times New Roman" w:hAnsi="Times New Roman" w:cs="Times New Roman"/>
          <w:noProof/>
          <w:sz w:val="24"/>
          <w:szCs w:val="24"/>
          <w:lang w:val="en-IE"/>
        </w:rPr>
        <w:t>orce</w:t>
      </w:r>
      <w:r w:rsidR="00FD012D">
        <w:rPr>
          <w:rFonts w:ascii="Times New Roman" w:eastAsia="Times New Roman" w:hAnsi="Times New Roman" w:cs="Times New Roman"/>
          <w:noProof/>
          <w:sz w:val="24"/>
          <w:szCs w:val="24"/>
          <w:lang w:val="en-IE"/>
        </w:rPr>
        <w:t>, and</w:t>
      </w:r>
      <w:r w:rsidRPr="00E03D97">
        <w:rPr>
          <w:rFonts w:ascii="Times New Roman" w:eastAsia="Times New Roman" w:hAnsi="Times New Roman" w:cs="Times New Roman"/>
          <w:noProof/>
          <w:sz w:val="24"/>
          <w:szCs w:val="24"/>
          <w:lang w:val="en-IE"/>
        </w:rPr>
        <w:t xml:space="preserve"> activat</w:t>
      </w:r>
      <w:r w:rsidR="00FD012D">
        <w:rPr>
          <w:rFonts w:ascii="Times New Roman" w:eastAsia="Times New Roman" w:hAnsi="Times New Roman" w:cs="Times New Roman"/>
          <w:noProof/>
          <w:sz w:val="24"/>
          <w:szCs w:val="24"/>
          <w:lang w:val="en-IE"/>
        </w:rPr>
        <w:t>ion of</w:t>
      </w:r>
      <w:r w:rsidRPr="00E03D97">
        <w:rPr>
          <w:rFonts w:ascii="Times New Roman" w:eastAsia="Times New Roman" w:hAnsi="Times New Roman" w:cs="Times New Roman"/>
          <w:noProof/>
          <w:sz w:val="24"/>
          <w:szCs w:val="24"/>
          <w:lang w:val="en-IE"/>
        </w:rPr>
        <w:t xml:space="preserve"> the Council’s IPCR. </w:t>
      </w:r>
    </w:p>
    <w:p w14:paraId="5544E5CB" w14:textId="4A1E5008"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rFonts w:ascii="Times New Roman" w:eastAsia="Times New Roman" w:hAnsi="Times New Roman" w:cs="Times New Roman"/>
          <w:b/>
          <w:bCs/>
          <w:noProof/>
          <w:sz w:val="24"/>
          <w:szCs w:val="24"/>
          <w:lang w:val="en-IE"/>
        </w:rPr>
      </w:pPr>
      <w:r w:rsidRPr="00003506">
        <w:rPr>
          <w:rFonts w:ascii="Times New Roman" w:eastAsia="Times New Roman" w:hAnsi="Times New Roman" w:cs="Times New Roman"/>
          <w:b/>
          <w:bCs/>
          <w:noProof/>
          <w:sz w:val="24"/>
          <w:szCs w:val="24"/>
          <w:lang w:val="en-IE"/>
        </w:rPr>
        <w:t>Public health risk assessment</w:t>
      </w:r>
    </w:p>
    <w:p w14:paraId="4F30899E"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003506">
        <w:rPr>
          <w:rFonts w:ascii="Times New Roman" w:eastAsia="Times New Roman" w:hAnsi="Times New Roman" w:cs="Times New Roman"/>
          <w:noProof/>
          <w:sz w:val="24"/>
          <w:szCs w:val="24"/>
          <w:lang w:val="en-IE"/>
        </w:rPr>
        <w:t>The first step in responding to an emerging cross-border health threat is to assess its magnitude and associated risks. Regulation </w:t>
      </w:r>
      <w:r w:rsidRPr="00003506">
        <w:rPr>
          <w:rFonts w:ascii="Times New Roman" w:eastAsia="Times New Roman" w:hAnsi="Times New Roman" w:cs="Times New Roman"/>
          <w:noProof/>
          <w:sz w:val="24"/>
          <w:szCs w:val="24"/>
        </w:rPr>
        <w:t>(EU) </w:t>
      </w:r>
      <w:r w:rsidRPr="00003506">
        <w:rPr>
          <w:rFonts w:ascii="Times New Roman" w:eastAsia="Times New Roman" w:hAnsi="Times New Roman" w:cs="Times New Roman"/>
          <w:noProof/>
          <w:sz w:val="24"/>
          <w:szCs w:val="24"/>
          <w:lang w:val="en-IE"/>
        </w:rPr>
        <w:t>2022/2371 expands the scope of EU agencies and bodies involved in public health risk assessments and defines their role and input. The Regulation references the European Centre for Disease Prevention and Control (ECDC), the European Medicines Agency (EMA), the European Food Safety Authority (EFSA), the European Chemicals Agency (ECHA), the European Environment Agency (EEA), the European Monitoring Centre for Drugs and Drug Addiction and the European Union Agency for Law Enforcement Cooperation (EUROPOL).</w:t>
      </w:r>
    </w:p>
    <w:p w14:paraId="283C1288" w14:textId="5E659E08" w:rsidR="00FC03C1" w:rsidRPr="00E03D97" w:rsidRDefault="001F1738" w:rsidP="00FC03C1">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To support the</w:t>
      </w:r>
      <w:r w:rsidR="00BE1A6C" w:rsidRPr="00E03D97">
        <w:rPr>
          <w:rFonts w:ascii="Times New Roman" w:eastAsia="Times New Roman" w:hAnsi="Times New Roman" w:cs="Times New Roman"/>
          <w:noProof/>
          <w:sz w:val="24"/>
          <w:szCs w:val="24"/>
          <w:lang w:val="en-IE"/>
        </w:rPr>
        <w:t xml:space="preserve"> Commission in the</w:t>
      </w:r>
      <w:r w:rsidRPr="00E03D97">
        <w:rPr>
          <w:rFonts w:ascii="Times New Roman" w:eastAsia="Times New Roman" w:hAnsi="Times New Roman" w:cs="Times New Roman"/>
          <w:noProof/>
          <w:sz w:val="24"/>
          <w:szCs w:val="24"/>
          <w:lang w:val="en-IE"/>
        </w:rPr>
        <w:t xml:space="preserve"> decision-making process regarding the formal recognition of such an event, Article 24 of Regulation</w:t>
      </w:r>
      <w:r w:rsidR="006D709B">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(EU)</w:t>
      </w:r>
      <w:r w:rsidR="006D709B">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 xml:space="preserve">2022/2371 envisages the </w:t>
      </w:r>
      <w:r w:rsidR="00FD012D">
        <w:rPr>
          <w:rFonts w:ascii="Times New Roman" w:eastAsia="Times New Roman" w:hAnsi="Times New Roman" w:cs="Times New Roman"/>
          <w:noProof/>
          <w:sz w:val="24"/>
          <w:szCs w:val="24"/>
          <w:lang w:val="en-IE"/>
        </w:rPr>
        <w:t>establishment</w:t>
      </w:r>
      <w:r w:rsidR="00FD012D"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of an </w:t>
      </w:r>
      <w:r w:rsidR="0008657C">
        <w:rPr>
          <w:rFonts w:ascii="Times New Roman" w:eastAsia="Times New Roman" w:hAnsi="Times New Roman" w:cs="Times New Roman"/>
          <w:noProof/>
          <w:sz w:val="24"/>
          <w:szCs w:val="24"/>
          <w:lang w:val="en-IE"/>
        </w:rPr>
        <w:t>A</w:t>
      </w:r>
      <w:r w:rsidRPr="00E03D97">
        <w:rPr>
          <w:rFonts w:ascii="Times New Roman" w:eastAsia="Times New Roman" w:hAnsi="Times New Roman" w:cs="Times New Roman"/>
          <w:noProof/>
          <w:sz w:val="24"/>
          <w:szCs w:val="24"/>
          <w:lang w:val="en-IE"/>
        </w:rPr>
        <w:t xml:space="preserve">dvisory </w:t>
      </w:r>
      <w:r w:rsidR="0008657C">
        <w:rPr>
          <w:rFonts w:ascii="Times New Roman" w:eastAsia="Times New Roman" w:hAnsi="Times New Roman" w:cs="Times New Roman"/>
          <w:noProof/>
          <w:sz w:val="24"/>
          <w:szCs w:val="24"/>
          <w:lang w:val="en-IE"/>
        </w:rPr>
        <w:t>C</w:t>
      </w:r>
      <w:r w:rsidRPr="00E03D97">
        <w:rPr>
          <w:rFonts w:ascii="Times New Roman" w:eastAsia="Times New Roman" w:hAnsi="Times New Roman" w:cs="Times New Roman"/>
          <w:noProof/>
          <w:sz w:val="24"/>
          <w:szCs w:val="24"/>
          <w:lang w:val="en-IE"/>
        </w:rPr>
        <w:t xml:space="preserve">ommittee on public health emergencies. The Commission decision </w:t>
      </w:r>
      <w:r w:rsidR="0038024E">
        <w:rPr>
          <w:rFonts w:ascii="Times New Roman" w:eastAsia="Times New Roman" w:hAnsi="Times New Roman" w:cs="Times New Roman"/>
          <w:noProof/>
          <w:sz w:val="24"/>
          <w:szCs w:val="24"/>
          <w:lang w:val="en-IE"/>
        </w:rPr>
        <w:t>setting up</w:t>
      </w:r>
      <w:r w:rsidR="0008657C">
        <w:rPr>
          <w:rFonts w:ascii="Times New Roman" w:eastAsia="Times New Roman" w:hAnsi="Times New Roman" w:cs="Times New Roman"/>
          <w:noProof/>
          <w:sz w:val="24"/>
          <w:szCs w:val="24"/>
          <w:lang w:val="en-IE"/>
        </w:rPr>
        <w:t xml:space="preserve"> the Advisory Committee </w:t>
      </w:r>
      <w:r w:rsidRPr="00E03D97">
        <w:rPr>
          <w:rFonts w:ascii="Times New Roman" w:eastAsia="Times New Roman" w:hAnsi="Times New Roman" w:cs="Times New Roman"/>
          <w:noProof/>
          <w:sz w:val="24"/>
          <w:szCs w:val="24"/>
          <w:lang w:val="en-IE"/>
        </w:rPr>
        <w:t>was adopted in September 2023</w:t>
      </w:r>
      <w:r w:rsidRPr="00E03D97">
        <w:rPr>
          <w:rFonts w:ascii="Times New Roman" w:eastAsia="Times New Roman" w:hAnsi="Times New Roman" w:cs="Times New Roman"/>
          <w:noProof/>
          <w:sz w:val="24"/>
          <w:szCs w:val="24"/>
          <w:vertAlign w:val="superscript"/>
          <w:lang w:val="en-IE"/>
        </w:rPr>
        <w:footnoteReference w:id="87"/>
      </w:r>
      <w:r w:rsidRPr="00E03D97">
        <w:rPr>
          <w:rFonts w:ascii="Times New Roman" w:eastAsia="Times New Roman" w:hAnsi="Times New Roman" w:cs="Times New Roman"/>
          <w:noProof/>
          <w:sz w:val="24"/>
          <w:szCs w:val="24"/>
          <w:lang w:val="en-IE"/>
        </w:rPr>
        <w:t xml:space="preserve"> and the final designation of the </w:t>
      </w:r>
      <w:r w:rsidR="006D709B">
        <w:rPr>
          <w:rFonts w:ascii="Times New Roman" w:eastAsia="Times New Roman" w:hAnsi="Times New Roman" w:cs="Times New Roman"/>
          <w:noProof/>
          <w:sz w:val="24"/>
          <w:szCs w:val="24"/>
          <w:lang w:val="en-IE"/>
        </w:rPr>
        <w:t>c</w:t>
      </w:r>
      <w:r w:rsidRPr="00E03D97">
        <w:rPr>
          <w:rFonts w:ascii="Times New Roman" w:eastAsia="Times New Roman" w:hAnsi="Times New Roman" w:cs="Times New Roman"/>
          <w:noProof/>
          <w:sz w:val="24"/>
          <w:szCs w:val="24"/>
          <w:lang w:val="en-IE"/>
        </w:rPr>
        <w:t xml:space="preserve">ommittee is planned for </w:t>
      </w:r>
      <w:r w:rsidR="00BE1A6C" w:rsidRPr="00E03D97">
        <w:rPr>
          <w:rFonts w:ascii="Times New Roman" w:eastAsia="Times New Roman" w:hAnsi="Times New Roman" w:cs="Times New Roman"/>
          <w:noProof/>
          <w:sz w:val="24"/>
          <w:szCs w:val="24"/>
          <w:lang w:val="en-IE"/>
        </w:rPr>
        <w:t>spring</w:t>
      </w:r>
      <w:r w:rsidRPr="00E03D97">
        <w:rPr>
          <w:rFonts w:ascii="Times New Roman" w:eastAsia="Times New Roman" w:hAnsi="Times New Roman" w:cs="Times New Roman"/>
          <w:noProof/>
          <w:sz w:val="24"/>
          <w:szCs w:val="24"/>
          <w:lang w:val="en-IE"/>
        </w:rPr>
        <w:t xml:space="preserve"> 2024. The </w:t>
      </w:r>
      <w:r w:rsidR="0008657C">
        <w:rPr>
          <w:rFonts w:ascii="Times New Roman" w:eastAsia="Times New Roman" w:hAnsi="Times New Roman" w:cs="Times New Roman"/>
          <w:noProof/>
          <w:sz w:val="24"/>
          <w:szCs w:val="24"/>
          <w:lang w:val="en-IE"/>
        </w:rPr>
        <w:t>A</w:t>
      </w:r>
      <w:r w:rsidRPr="00E03D97">
        <w:rPr>
          <w:rFonts w:ascii="Times New Roman" w:eastAsia="Times New Roman" w:hAnsi="Times New Roman" w:cs="Times New Roman"/>
          <w:noProof/>
          <w:sz w:val="24"/>
          <w:szCs w:val="24"/>
          <w:lang w:val="en-IE"/>
        </w:rPr>
        <w:t xml:space="preserve">dvisory </w:t>
      </w:r>
      <w:r w:rsidR="0008657C">
        <w:rPr>
          <w:rFonts w:ascii="Times New Roman" w:eastAsia="Times New Roman" w:hAnsi="Times New Roman" w:cs="Times New Roman"/>
          <w:noProof/>
          <w:sz w:val="24"/>
          <w:szCs w:val="24"/>
          <w:lang w:val="en-IE"/>
        </w:rPr>
        <w:t>C</w:t>
      </w:r>
      <w:r w:rsidRPr="00E03D97">
        <w:rPr>
          <w:rFonts w:ascii="Times New Roman" w:eastAsia="Times New Roman" w:hAnsi="Times New Roman" w:cs="Times New Roman"/>
          <w:noProof/>
          <w:sz w:val="24"/>
          <w:szCs w:val="24"/>
          <w:lang w:val="en-IE"/>
        </w:rPr>
        <w:t xml:space="preserve">ommittee will be a multidisciplinary expert group </w:t>
      </w:r>
      <w:r w:rsidR="00FD012D">
        <w:rPr>
          <w:rFonts w:ascii="Times New Roman" w:eastAsia="Times New Roman" w:hAnsi="Times New Roman" w:cs="Times New Roman"/>
          <w:noProof/>
          <w:sz w:val="24"/>
          <w:szCs w:val="24"/>
          <w:lang w:val="en-IE"/>
        </w:rPr>
        <w:t>that can</w:t>
      </w:r>
      <w:r w:rsidRPr="00E03D97">
        <w:rPr>
          <w:rFonts w:ascii="Times New Roman" w:eastAsia="Times New Roman" w:hAnsi="Times New Roman" w:cs="Times New Roman"/>
          <w:noProof/>
          <w:sz w:val="24"/>
          <w:szCs w:val="24"/>
          <w:lang w:val="en-IE"/>
        </w:rPr>
        <w:t xml:space="preserve"> advise</w:t>
      </w:r>
      <w:r w:rsidR="0008657C">
        <w:rPr>
          <w:rFonts w:ascii="Times New Roman" w:eastAsia="Times New Roman" w:hAnsi="Times New Roman" w:cs="Times New Roman"/>
          <w:noProof/>
          <w:sz w:val="24"/>
          <w:szCs w:val="24"/>
          <w:lang w:val="en-IE"/>
        </w:rPr>
        <w:t xml:space="preserve"> the Commission and the Health Security Committee</w:t>
      </w:r>
      <w:r w:rsidRPr="00E03D97">
        <w:rPr>
          <w:rFonts w:ascii="Times New Roman" w:eastAsia="Times New Roman" w:hAnsi="Times New Roman" w:cs="Times New Roman"/>
          <w:noProof/>
          <w:sz w:val="24"/>
          <w:szCs w:val="24"/>
          <w:lang w:val="en-IE"/>
        </w:rPr>
        <w:t xml:space="preserve"> on public health, biomedical, behavioural, social, economic, cultural and international aspects. It will include</w:t>
      </w:r>
      <w:r w:rsidR="006D709B">
        <w:rPr>
          <w:rFonts w:ascii="Times New Roman" w:eastAsia="Times New Roman" w:hAnsi="Times New Roman" w:cs="Times New Roman"/>
          <w:noProof/>
          <w:sz w:val="24"/>
          <w:szCs w:val="24"/>
          <w:lang w:val="en-IE"/>
        </w:rPr>
        <w:t xml:space="preserve"> </w:t>
      </w:r>
      <w:r w:rsidR="00FD012D">
        <w:rPr>
          <w:rFonts w:ascii="Times New Roman" w:eastAsia="Times New Roman" w:hAnsi="Times New Roman" w:cs="Times New Roman"/>
          <w:noProof/>
          <w:sz w:val="24"/>
          <w:szCs w:val="24"/>
          <w:lang w:val="en-IE"/>
        </w:rPr>
        <w:t xml:space="preserve">representatives of </w:t>
      </w:r>
      <w:r w:rsidR="006D709B">
        <w:rPr>
          <w:rFonts w:ascii="Times New Roman" w:eastAsia="Times New Roman" w:hAnsi="Times New Roman" w:cs="Times New Roman"/>
          <w:noProof/>
          <w:sz w:val="24"/>
          <w:szCs w:val="24"/>
          <w:lang w:val="en-IE"/>
        </w:rPr>
        <w:t>the</w:t>
      </w:r>
      <w:r w:rsidRPr="00E03D97">
        <w:rPr>
          <w:rFonts w:ascii="Times New Roman" w:eastAsia="Times New Roman" w:hAnsi="Times New Roman" w:cs="Times New Roman"/>
          <w:noProof/>
          <w:sz w:val="24"/>
          <w:szCs w:val="24"/>
          <w:lang w:val="en-IE"/>
        </w:rPr>
        <w:t xml:space="preserve"> ECDC and </w:t>
      </w:r>
      <w:r w:rsidR="00DA6408">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EMA as permanent observers</w:t>
      </w:r>
      <w:r w:rsidR="00FD012D">
        <w:rPr>
          <w:rFonts w:ascii="Times New Roman" w:eastAsia="Times New Roman" w:hAnsi="Times New Roman" w:cs="Times New Roman"/>
          <w:noProof/>
          <w:sz w:val="24"/>
          <w:szCs w:val="24"/>
          <w:lang w:val="en-IE"/>
        </w:rPr>
        <w:t>. Representatives of</w:t>
      </w:r>
      <w:r w:rsidRPr="00E03D97">
        <w:rPr>
          <w:rFonts w:ascii="Times New Roman" w:eastAsia="Times New Roman" w:hAnsi="Times New Roman" w:cs="Times New Roman"/>
          <w:noProof/>
          <w:sz w:val="24"/>
          <w:szCs w:val="24"/>
          <w:lang w:val="en-IE"/>
        </w:rPr>
        <w:t xml:space="preserve"> </w:t>
      </w:r>
      <w:r w:rsidR="006D709B">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WHO </w:t>
      </w:r>
      <w:r w:rsidR="00FD012D">
        <w:rPr>
          <w:rFonts w:ascii="Times New Roman" w:eastAsia="Times New Roman" w:hAnsi="Times New Roman" w:cs="Times New Roman"/>
          <w:noProof/>
          <w:sz w:val="24"/>
          <w:szCs w:val="24"/>
          <w:lang w:val="en-IE"/>
        </w:rPr>
        <w:t xml:space="preserve">may also participate </w:t>
      </w:r>
      <w:r w:rsidRPr="00E03D97">
        <w:rPr>
          <w:rFonts w:ascii="Times New Roman" w:eastAsia="Times New Roman" w:hAnsi="Times New Roman" w:cs="Times New Roman"/>
          <w:noProof/>
          <w:sz w:val="24"/>
          <w:szCs w:val="24"/>
          <w:lang w:val="en-IE"/>
        </w:rPr>
        <w:t>as observer</w:t>
      </w:r>
      <w:r w:rsidR="00FD012D">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The representatives of other </w:t>
      </w:r>
      <w:r w:rsidR="006D709B">
        <w:rPr>
          <w:rFonts w:ascii="Times New Roman" w:eastAsia="Times New Roman" w:hAnsi="Times New Roman" w:cs="Times New Roman"/>
          <w:noProof/>
          <w:sz w:val="24"/>
          <w:szCs w:val="24"/>
          <w:lang w:val="en-IE"/>
        </w:rPr>
        <w:t>EU</w:t>
      </w:r>
      <w:r w:rsidR="006D709B"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agencies </w:t>
      </w:r>
      <w:r w:rsidR="006D709B">
        <w:rPr>
          <w:rFonts w:ascii="Times New Roman" w:eastAsia="Times New Roman" w:hAnsi="Times New Roman" w:cs="Times New Roman"/>
          <w:noProof/>
          <w:sz w:val="24"/>
          <w:szCs w:val="24"/>
          <w:lang w:val="en-IE"/>
        </w:rPr>
        <w:t xml:space="preserve">and </w:t>
      </w:r>
      <w:r w:rsidRPr="00E03D97">
        <w:rPr>
          <w:rFonts w:ascii="Times New Roman" w:eastAsia="Times New Roman" w:hAnsi="Times New Roman" w:cs="Times New Roman"/>
          <w:noProof/>
          <w:sz w:val="24"/>
          <w:szCs w:val="24"/>
          <w:lang w:val="en-IE"/>
        </w:rPr>
        <w:t xml:space="preserve">bodies relevant to the specific threat may participate </w:t>
      </w:r>
      <w:r w:rsidR="005A4F58" w:rsidRPr="00E03D97">
        <w:rPr>
          <w:rFonts w:ascii="Times New Roman" w:eastAsia="Times New Roman" w:hAnsi="Times New Roman" w:cs="Times New Roman"/>
          <w:noProof/>
          <w:sz w:val="24"/>
          <w:szCs w:val="24"/>
          <w:lang w:val="en-IE"/>
        </w:rPr>
        <w:t xml:space="preserve">in the </w:t>
      </w:r>
      <w:r w:rsidR="00363EDB">
        <w:rPr>
          <w:rFonts w:ascii="Times New Roman" w:eastAsia="Times New Roman" w:hAnsi="Times New Roman" w:cs="Times New Roman"/>
          <w:noProof/>
          <w:sz w:val="24"/>
          <w:szCs w:val="24"/>
          <w:lang w:val="en-IE"/>
        </w:rPr>
        <w:t>A</w:t>
      </w:r>
      <w:r w:rsidR="005A4F58" w:rsidRPr="00E03D97">
        <w:rPr>
          <w:rFonts w:ascii="Times New Roman" w:eastAsia="Times New Roman" w:hAnsi="Times New Roman" w:cs="Times New Roman"/>
          <w:noProof/>
          <w:sz w:val="24"/>
          <w:szCs w:val="24"/>
          <w:lang w:val="en-IE"/>
        </w:rPr>
        <w:t xml:space="preserve">dvisory </w:t>
      </w:r>
      <w:r w:rsidR="00363EDB">
        <w:rPr>
          <w:rFonts w:ascii="Times New Roman" w:eastAsia="Times New Roman" w:hAnsi="Times New Roman" w:cs="Times New Roman"/>
          <w:noProof/>
          <w:sz w:val="24"/>
          <w:szCs w:val="24"/>
          <w:lang w:val="en-IE"/>
        </w:rPr>
        <w:t>C</w:t>
      </w:r>
      <w:r w:rsidR="005A4F58" w:rsidRPr="00E03D97">
        <w:rPr>
          <w:rFonts w:ascii="Times New Roman" w:eastAsia="Times New Roman" w:hAnsi="Times New Roman" w:cs="Times New Roman"/>
          <w:noProof/>
          <w:sz w:val="24"/>
          <w:szCs w:val="24"/>
          <w:lang w:val="en-IE"/>
        </w:rPr>
        <w:t xml:space="preserve">ommittee </w:t>
      </w:r>
      <w:r w:rsidRPr="00E03D97">
        <w:rPr>
          <w:rFonts w:ascii="Times New Roman" w:eastAsia="Times New Roman" w:hAnsi="Times New Roman" w:cs="Times New Roman"/>
          <w:noProof/>
          <w:sz w:val="24"/>
          <w:szCs w:val="24"/>
          <w:lang w:val="en-IE"/>
        </w:rPr>
        <w:t>as non-permanent observers. In addition</w:t>
      </w:r>
      <w:r w:rsidR="005A4F58">
        <w:rPr>
          <w:rFonts w:ascii="Times New Roman" w:eastAsia="Times New Roman" w:hAnsi="Times New Roman" w:cs="Times New Roman"/>
          <w:noProof/>
          <w:sz w:val="24"/>
          <w:szCs w:val="24"/>
          <w:lang w:val="en-IE"/>
        </w:rPr>
        <w:t>,</w:t>
      </w:r>
      <w:r w:rsidR="00E142EC">
        <w:rPr>
          <w:rFonts w:ascii="Times New Roman" w:eastAsia="Times New Roman" w:hAnsi="Times New Roman" w:cs="Times New Roman"/>
          <w:noProof/>
          <w:sz w:val="24"/>
          <w:szCs w:val="24"/>
          <w:lang w:val="en-IE"/>
        </w:rPr>
        <w:t xml:space="preserve"> and</w:t>
      </w:r>
      <w:r w:rsidRPr="00E03D97">
        <w:rPr>
          <w:rFonts w:ascii="Times New Roman" w:eastAsia="Times New Roman" w:hAnsi="Times New Roman" w:cs="Times New Roman"/>
          <w:noProof/>
          <w:sz w:val="24"/>
          <w:szCs w:val="24"/>
          <w:lang w:val="en-IE"/>
        </w:rPr>
        <w:t xml:space="preserve"> on an </w:t>
      </w:r>
      <w:r w:rsidRPr="00B43F78">
        <w:rPr>
          <w:rFonts w:ascii="Times New Roman" w:eastAsia="Times New Roman" w:hAnsi="Times New Roman" w:cs="Times New Roman"/>
          <w:noProof/>
          <w:sz w:val="24"/>
          <w:szCs w:val="24"/>
          <w:lang w:val="en-IE"/>
        </w:rPr>
        <w:t>ad hoc</w:t>
      </w:r>
      <w:r w:rsidRPr="00E03D97">
        <w:rPr>
          <w:rFonts w:ascii="Times New Roman" w:eastAsia="Times New Roman" w:hAnsi="Times New Roman" w:cs="Times New Roman"/>
          <w:noProof/>
          <w:sz w:val="24"/>
          <w:szCs w:val="24"/>
          <w:lang w:val="en-IE"/>
        </w:rPr>
        <w:t xml:space="preserve"> basis, the Commission may invite, or Member States may propose, the appointment of experts with relevant expertise to take part in the </w:t>
      </w:r>
      <w:r w:rsidR="00E142EC">
        <w:rPr>
          <w:rFonts w:ascii="Times New Roman" w:eastAsia="Times New Roman" w:hAnsi="Times New Roman" w:cs="Times New Roman"/>
          <w:noProof/>
          <w:sz w:val="24"/>
          <w:szCs w:val="24"/>
          <w:lang w:val="en-IE"/>
        </w:rPr>
        <w:t>c</w:t>
      </w:r>
      <w:r w:rsidR="00E142EC" w:rsidRPr="00E03D97">
        <w:rPr>
          <w:rFonts w:ascii="Times New Roman" w:eastAsia="Times New Roman" w:hAnsi="Times New Roman" w:cs="Times New Roman"/>
          <w:noProof/>
          <w:sz w:val="24"/>
          <w:szCs w:val="24"/>
          <w:lang w:val="en-IE"/>
        </w:rPr>
        <w:t>ommittee</w:t>
      </w:r>
      <w:r w:rsidR="00E142EC">
        <w:rPr>
          <w:rFonts w:ascii="Times New Roman" w:eastAsia="Times New Roman" w:hAnsi="Times New Roman" w:cs="Times New Roman"/>
          <w:noProof/>
          <w:sz w:val="24"/>
          <w:szCs w:val="24"/>
          <w:lang w:val="en-IE"/>
        </w:rPr>
        <w:t xml:space="preserve">’s </w:t>
      </w:r>
      <w:r w:rsidRPr="00E03D97">
        <w:rPr>
          <w:rFonts w:ascii="Times New Roman" w:eastAsia="Times New Roman" w:hAnsi="Times New Roman" w:cs="Times New Roman"/>
          <w:noProof/>
          <w:sz w:val="24"/>
          <w:szCs w:val="24"/>
          <w:lang w:val="en-IE"/>
        </w:rPr>
        <w:t xml:space="preserve">work, in particular from the countries </w:t>
      </w:r>
      <w:r w:rsidR="00E142EC">
        <w:rPr>
          <w:rFonts w:ascii="Times New Roman" w:eastAsia="Times New Roman" w:hAnsi="Times New Roman" w:cs="Times New Roman"/>
          <w:noProof/>
          <w:sz w:val="24"/>
          <w:szCs w:val="24"/>
          <w:lang w:val="en-IE"/>
        </w:rPr>
        <w:t>where</w:t>
      </w:r>
      <w:r w:rsidRPr="00E03D97">
        <w:rPr>
          <w:rFonts w:ascii="Times New Roman" w:eastAsia="Times New Roman" w:hAnsi="Times New Roman" w:cs="Times New Roman"/>
          <w:noProof/>
          <w:sz w:val="24"/>
          <w:szCs w:val="24"/>
          <w:lang w:val="en-IE"/>
        </w:rPr>
        <w:t xml:space="preserve"> the threat </w:t>
      </w:r>
      <w:r w:rsidR="00E142EC">
        <w:rPr>
          <w:rFonts w:ascii="Times New Roman" w:eastAsia="Times New Roman" w:hAnsi="Times New Roman" w:cs="Times New Roman"/>
          <w:noProof/>
          <w:sz w:val="24"/>
          <w:szCs w:val="24"/>
          <w:lang w:val="en-IE"/>
        </w:rPr>
        <w:t>has arisen</w:t>
      </w:r>
      <w:r w:rsidRPr="00E03D97">
        <w:rPr>
          <w:rFonts w:ascii="Times New Roman" w:eastAsia="Times New Roman" w:hAnsi="Times New Roman" w:cs="Times New Roman"/>
          <w:noProof/>
          <w:sz w:val="24"/>
          <w:szCs w:val="24"/>
          <w:lang w:val="en-IE"/>
        </w:rPr>
        <w:t xml:space="preserve">. </w:t>
      </w:r>
    </w:p>
    <w:p w14:paraId="2C312AE5" w14:textId="6C038132" w:rsidR="00FC03C1" w:rsidRPr="00E03D97" w:rsidRDefault="001F1738" w:rsidP="00FC03C1">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In addition, EU emergency response capacities, </w:t>
      </w:r>
      <w:r w:rsidR="00E142EC">
        <w:rPr>
          <w:rFonts w:ascii="Times New Roman" w:eastAsia="Times New Roman" w:hAnsi="Times New Roman" w:cs="Times New Roman"/>
          <w:noProof/>
          <w:sz w:val="24"/>
          <w:szCs w:val="24"/>
          <w:lang w:val="en-IE"/>
        </w:rPr>
        <w:t>not limited to</w:t>
      </w:r>
      <w:r w:rsidR="00E142EC"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public health, are maintained under the UCPM where the Commission, in close cooperation with the Member States, not only ensures emergency response coordination for products and medicinal devices, but also coordinates fully equipped and self-sufficient emergency medical teams at </w:t>
      </w:r>
      <w:r w:rsidR="00E142EC">
        <w:rPr>
          <w:rFonts w:ascii="Times New Roman" w:eastAsia="Times New Roman" w:hAnsi="Times New Roman" w:cs="Times New Roman"/>
          <w:noProof/>
          <w:sz w:val="24"/>
          <w:szCs w:val="24"/>
          <w:lang w:val="en-IE"/>
        </w:rPr>
        <w:t>EU</w:t>
      </w:r>
      <w:r w:rsidR="00E142EC"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level. </w:t>
      </w:r>
      <w:r w:rsidR="00E142EC">
        <w:rPr>
          <w:rFonts w:ascii="Times New Roman" w:eastAsia="Times New Roman" w:hAnsi="Times New Roman" w:cs="Times New Roman"/>
          <w:noProof/>
          <w:sz w:val="24"/>
          <w:szCs w:val="24"/>
          <w:lang w:val="en-IE"/>
        </w:rPr>
        <w:t>If</w:t>
      </w:r>
      <w:r w:rsidRPr="00E03D97">
        <w:rPr>
          <w:rFonts w:ascii="Times New Roman" w:eastAsia="Times New Roman" w:hAnsi="Times New Roman" w:cs="Times New Roman"/>
          <w:noProof/>
          <w:sz w:val="24"/>
          <w:szCs w:val="24"/>
          <w:lang w:val="en-IE"/>
        </w:rPr>
        <w:t xml:space="preserve"> the medical capacities of a country affected by an emergency are </w:t>
      </w:r>
      <w:r w:rsidR="00C34FD6">
        <w:rPr>
          <w:rFonts w:ascii="Times New Roman" w:eastAsia="Times New Roman" w:hAnsi="Times New Roman" w:cs="Times New Roman"/>
          <w:noProof/>
          <w:sz w:val="24"/>
          <w:szCs w:val="24"/>
          <w:lang w:val="en-IE"/>
        </w:rPr>
        <w:t>insufficient</w:t>
      </w:r>
      <w:r w:rsidRPr="00E03D97">
        <w:rPr>
          <w:rFonts w:ascii="Times New Roman" w:eastAsia="Times New Roman" w:hAnsi="Times New Roman" w:cs="Times New Roman"/>
          <w:noProof/>
          <w:sz w:val="24"/>
          <w:szCs w:val="24"/>
          <w:lang w:val="en-IE"/>
        </w:rPr>
        <w:t xml:space="preserve">, the UCPM can mobilise different emergency medical support from its European Civil Protection Pool (ECPP), including </w:t>
      </w:r>
      <w:r w:rsidR="00E142EC">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mergency </w:t>
      </w:r>
      <w:r w:rsidR="00E142EC">
        <w:rPr>
          <w:rFonts w:ascii="Times New Roman" w:eastAsia="Times New Roman" w:hAnsi="Times New Roman" w:cs="Times New Roman"/>
          <w:noProof/>
          <w:sz w:val="24"/>
          <w:szCs w:val="24"/>
          <w:lang w:val="en-IE"/>
        </w:rPr>
        <w:t>m</w:t>
      </w:r>
      <w:r w:rsidRPr="00E03D97">
        <w:rPr>
          <w:rFonts w:ascii="Times New Roman" w:eastAsia="Times New Roman" w:hAnsi="Times New Roman" w:cs="Times New Roman"/>
          <w:noProof/>
          <w:sz w:val="24"/>
          <w:szCs w:val="24"/>
          <w:lang w:val="en-IE"/>
        </w:rPr>
        <w:t xml:space="preserve">edical </w:t>
      </w:r>
      <w:r w:rsidR="00E142EC">
        <w:rPr>
          <w:rFonts w:ascii="Times New Roman" w:eastAsia="Times New Roman" w:hAnsi="Times New Roman" w:cs="Times New Roman"/>
          <w:noProof/>
          <w:sz w:val="24"/>
          <w:szCs w:val="24"/>
          <w:lang w:val="en-IE"/>
        </w:rPr>
        <w:t>t</w:t>
      </w:r>
      <w:r w:rsidRPr="00E03D97">
        <w:rPr>
          <w:rFonts w:ascii="Times New Roman" w:eastAsia="Times New Roman" w:hAnsi="Times New Roman" w:cs="Times New Roman"/>
          <w:noProof/>
          <w:sz w:val="24"/>
          <w:szCs w:val="24"/>
          <w:lang w:val="en-IE"/>
        </w:rPr>
        <w:t xml:space="preserve">eams (EMTs). </w:t>
      </w:r>
    </w:p>
    <w:p w14:paraId="11D8B1FF" w14:textId="255F69C2" w:rsidR="00FC03C1" w:rsidRPr="00E03D97" w:rsidRDefault="001F1738" w:rsidP="00FC03C1">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As part of rescEU</w:t>
      </w:r>
      <w:r w:rsidR="0008657C">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EUR</w:t>
      </w:r>
      <w:r w:rsidR="00E142EC">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106.2</w:t>
      </w:r>
      <w:r w:rsidR="00E142EC">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million ha</w:t>
      </w:r>
      <w:r w:rsidR="00E142EC">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been allocated to eight countries to develop new rescEU EMTs. The objective is to boost emergency medical support to populations affected by large-scale natural or human-induced disasters. This rescEU EMT capability will </w:t>
      </w:r>
      <w:r w:rsidR="00B93283" w:rsidRPr="00E03D97">
        <w:rPr>
          <w:rFonts w:ascii="Times New Roman" w:eastAsia="Times New Roman" w:hAnsi="Times New Roman" w:cs="Times New Roman"/>
          <w:noProof/>
          <w:sz w:val="24"/>
          <w:szCs w:val="24"/>
          <w:lang w:val="en-IE"/>
        </w:rPr>
        <w:t xml:space="preserve">gradually </w:t>
      </w:r>
      <w:r w:rsidRPr="00E03D97">
        <w:rPr>
          <w:rFonts w:ascii="Times New Roman" w:eastAsia="Times New Roman" w:hAnsi="Times New Roman" w:cs="Times New Roman"/>
          <w:noProof/>
          <w:sz w:val="24"/>
          <w:szCs w:val="24"/>
          <w:lang w:val="en-IE"/>
        </w:rPr>
        <w:t xml:space="preserve">become operational as of 2024 and will allow a response to a wide range of disaster scenarios. The teams will be able to operate autonomously and support existing national healthcare facilities in case the latter are not able to cope with a given emergency. Furthermore, rescEU also entails medical evacuation </w:t>
      </w:r>
      <w:r w:rsidR="00385C69">
        <w:rPr>
          <w:rFonts w:ascii="Times New Roman" w:eastAsia="Times New Roman" w:hAnsi="Times New Roman" w:cs="Times New Roman"/>
          <w:noProof/>
          <w:sz w:val="24"/>
          <w:szCs w:val="24"/>
          <w:lang w:val="en-IE"/>
        </w:rPr>
        <w:t>MEDEVAC</w:t>
      </w:r>
      <w:r w:rsidRPr="00E03D97">
        <w:rPr>
          <w:rFonts w:ascii="Times New Roman" w:eastAsia="Times New Roman" w:hAnsi="Times New Roman" w:cs="Times New Roman"/>
          <w:noProof/>
          <w:sz w:val="24"/>
          <w:szCs w:val="24"/>
          <w:lang w:val="en-IE"/>
        </w:rPr>
        <w:t>) capacities</w:t>
      </w:r>
      <w:r w:rsidRPr="00E03D97">
        <w:rPr>
          <w:rFonts w:ascii="Times New Roman" w:eastAsiaTheme="minorEastAsia"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in case of emergency needs for patients affected by highly infectious diseases, including dedicated planes.</w:t>
      </w:r>
      <w:bookmarkStart w:id="21" w:name="_Toc145428532"/>
      <w:bookmarkEnd w:id="21"/>
    </w:p>
    <w:p w14:paraId="4B3DC508" w14:textId="76ED8741" w:rsidR="001F1738" w:rsidRPr="00E03D97" w:rsidRDefault="001F1738" w:rsidP="00FC03C1">
      <w:pPr>
        <w:spacing w:before="100" w:beforeAutospacing="1" w:after="100" w:afterAutospacing="1" w:line="240" w:lineRule="auto"/>
        <w:jc w:val="both"/>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Safe and effective medicinal products and medical devices</w:t>
      </w:r>
    </w:p>
    <w:p w14:paraId="1BBCB08E" w14:textId="477EF169" w:rsidR="001F1738" w:rsidRPr="00E03D97" w:rsidRDefault="001F1738" w:rsidP="001F1738">
      <w:pPr>
        <w:autoSpaceDE w:val="0"/>
        <w:autoSpaceDN w:val="0"/>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The COVID-19 pandemic </w:t>
      </w:r>
      <w:r w:rsidR="009527BF">
        <w:rPr>
          <w:rFonts w:ascii="Times New Roman" w:eastAsia="Times New Roman" w:hAnsi="Times New Roman" w:cs="Times New Roman"/>
          <w:noProof/>
          <w:sz w:val="24"/>
          <w:szCs w:val="24"/>
          <w:lang w:val="en-IE"/>
        </w:rPr>
        <w:t>reiterated</w:t>
      </w:r>
      <w:r w:rsidR="009527BF"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the importance of ensuring the safety and </w:t>
      </w:r>
      <w:r w:rsidR="00363EDB">
        <w:rPr>
          <w:rFonts w:ascii="Times New Roman" w:eastAsia="Times New Roman" w:hAnsi="Times New Roman" w:cs="Times New Roman"/>
          <w:noProof/>
          <w:sz w:val="24"/>
          <w:szCs w:val="24"/>
          <w:lang w:val="en-IE"/>
        </w:rPr>
        <w:t xml:space="preserve">the </w:t>
      </w:r>
      <w:r w:rsidR="009527BF">
        <w:rPr>
          <w:rFonts w:ascii="Times New Roman" w:eastAsia="Times New Roman" w:hAnsi="Times New Roman" w:cs="Times New Roman"/>
          <w:noProof/>
          <w:sz w:val="24"/>
          <w:szCs w:val="24"/>
          <w:lang w:val="en-IE"/>
        </w:rPr>
        <w:t>effectiveness</w:t>
      </w:r>
      <w:r w:rsidRPr="00E03D97">
        <w:rPr>
          <w:rFonts w:ascii="Times New Roman" w:eastAsia="Times New Roman" w:hAnsi="Times New Roman" w:cs="Times New Roman"/>
          <w:noProof/>
          <w:sz w:val="24"/>
          <w:szCs w:val="24"/>
          <w:lang w:val="en-IE"/>
        </w:rPr>
        <w:t xml:space="preserve">, as well as the availability, of medical devices, diagnostics and medicines at times of health crisis. </w:t>
      </w:r>
    </w:p>
    <w:p w14:paraId="30CDF999" w14:textId="5CA3D907" w:rsidR="001F1738" w:rsidRPr="00E03D97" w:rsidRDefault="001F1738" w:rsidP="001F1738">
      <w:pPr>
        <w:autoSpaceDE w:val="0"/>
        <w:autoSpaceDN w:val="0"/>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Even outside emergency situations, Regulations (EU) 2017/745 and 2017/746 on medical devices and diagnostics </w:t>
      </w:r>
      <w:r w:rsidR="00E142EC">
        <w:rPr>
          <w:rFonts w:ascii="Times New Roman" w:eastAsia="Times New Roman" w:hAnsi="Times New Roman" w:cs="Times New Roman"/>
          <w:noProof/>
          <w:sz w:val="24"/>
          <w:szCs w:val="24"/>
          <w:lang w:val="en-IE"/>
        </w:rPr>
        <w:t xml:space="preserve">have </w:t>
      </w:r>
      <w:r w:rsidRPr="00E03D97">
        <w:rPr>
          <w:rFonts w:ascii="Times New Roman" w:eastAsiaTheme="minorEastAsia" w:hAnsi="Times New Roman" w:cs="Times New Roman"/>
          <w:noProof/>
          <w:sz w:val="24"/>
          <w:szCs w:val="24"/>
          <w:lang w:val="en-IE"/>
        </w:rPr>
        <w:t>create</w:t>
      </w:r>
      <w:r w:rsidR="00E142EC">
        <w:rPr>
          <w:rFonts w:ascii="Times New Roman" w:eastAsiaTheme="minorEastAsia" w:hAnsi="Times New Roman" w:cs="Times New Roman"/>
          <w:noProof/>
          <w:sz w:val="24"/>
          <w:szCs w:val="24"/>
          <w:lang w:val="en-IE"/>
        </w:rPr>
        <w:t>d</w:t>
      </w:r>
      <w:r w:rsidRPr="00E03D97">
        <w:rPr>
          <w:rFonts w:ascii="Times New Roman" w:eastAsiaTheme="minorEastAsia" w:hAnsi="Times New Roman" w:cs="Times New Roman"/>
          <w:noProof/>
          <w:sz w:val="24"/>
          <w:szCs w:val="24"/>
          <w:lang w:val="en-IE"/>
        </w:rPr>
        <w:t xml:space="preserve"> a robust regulatory framework, which harmonises and strengthens requirements for manufacturers. These </w:t>
      </w:r>
      <w:r w:rsidR="00E142EC">
        <w:rPr>
          <w:rFonts w:ascii="Times New Roman" w:eastAsiaTheme="minorEastAsia" w:hAnsi="Times New Roman" w:cs="Times New Roman"/>
          <w:noProof/>
          <w:sz w:val="24"/>
          <w:szCs w:val="24"/>
          <w:lang w:val="en-IE"/>
        </w:rPr>
        <w:t>r</w:t>
      </w:r>
      <w:r w:rsidRPr="00E03D97">
        <w:rPr>
          <w:rFonts w:ascii="Times New Roman" w:eastAsiaTheme="minorEastAsia" w:hAnsi="Times New Roman" w:cs="Times New Roman"/>
          <w:noProof/>
          <w:sz w:val="24"/>
          <w:szCs w:val="24"/>
          <w:lang w:val="en-IE"/>
        </w:rPr>
        <w:t>egulations ensure that medical devices on the EU market</w:t>
      </w:r>
      <w:r w:rsidR="00D07C78">
        <w:rPr>
          <w:rFonts w:ascii="Times New Roman" w:eastAsiaTheme="minorEastAsia" w:hAnsi="Times New Roman" w:cs="Times New Roman"/>
          <w:noProof/>
          <w:sz w:val="24"/>
          <w:szCs w:val="24"/>
          <w:lang w:val="en-IE"/>
        </w:rPr>
        <w:t xml:space="preserve"> are safe and effective</w:t>
      </w:r>
      <w:r w:rsidRPr="00E03D97">
        <w:rPr>
          <w:rFonts w:ascii="Times New Roman" w:eastAsiaTheme="minorEastAsia" w:hAnsi="Times New Roman" w:cs="Times New Roman"/>
          <w:noProof/>
          <w:sz w:val="24"/>
          <w:szCs w:val="24"/>
          <w:lang w:val="en-IE"/>
        </w:rPr>
        <w:t>. During the COVID-19 pandemic, the EU market was flooded with rapid antigen tests, which were not required to undergo independent third-party review. With the new regulatory framework</w:t>
      </w:r>
      <w:r w:rsidR="004F4EEB">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applicable since May 2021 for medical devices and May 2022 for diagnostics</w:t>
      </w:r>
      <w:r w:rsidR="004F4EEB">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medical devices must undergo a more stringent conformity assessment </w:t>
      </w:r>
      <w:r w:rsidR="00A776EE">
        <w:rPr>
          <w:rFonts w:ascii="Times New Roman" w:eastAsiaTheme="minorEastAsia" w:hAnsi="Times New Roman" w:cs="Times New Roman"/>
          <w:noProof/>
          <w:sz w:val="24"/>
          <w:szCs w:val="24"/>
          <w:lang w:val="en-IE"/>
        </w:rPr>
        <w:t xml:space="preserve">before they can be placed </w:t>
      </w:r>
      <w:r w:rsidRPr="00E03D97">
        <w:rPr>
          <w:rFonts w:ascii="Times New Roman" w:eastAsiaTheme="minorEastAsia" w:hAnsi="Times New Roman" w:cs="Times New Roman"/>
          <w:noProof/>
          <w:sz w:val="24"/>
          <w:szCs w:val="24"/>
          <w:lang w:val="en-IE"/>
        </w:rPr>
        <w:t xml:space="preserve">on the EU market. At the same time, Member States may </w:t>
      </w:r>
      <w:r w:rsidR="00DA5213" w:rsidRPr="00E03D97">
        <w:rPr>
          <w:rFonts w:ascii="Times New Roman" w:eastAsiaTheme="minorEastAsia" w:hAnsi="Times New Roman" w:cs="Times New Roman"/>
          <w:noProof/>
          <w:sz w:val="24"/>
          <w:szCs w:val="24"/>
          <w:lang w:val="en-IE"/>
        </w:rPr>
        <w:t xml:space="preserve">in exceptional situations </w:t>
      </w:r>
      <w:r w:rsidRPr="00E03D97">
        <w:rPr>
          <w:rFonts w:ascii="Times New Roman" w:eastAsiaTheme="minorEastAsia" w:hAnsi="Times New Roman" w:cs="Times New Roman"/>
          <w:noProof/>
          <w:sz w:val="24"/>
          <w:szCs w:val="24"/>
          <w:lang w:val="en-IE"/>
        </w:rPr>
        <w:t>grant derogations from conformity assessment if this is in the interest of public health (Art</w:t>
      </w:r>
      <w:r w:rsidR="004F4EEB">
        <w:rPr>
          <w:rFonts w:ascii="Times New Roman" w:eastAsiaTheme="minorEastAsia" w:hAnsi="Times New Roman" w:cs="Times New Roman"/>
          <w:noProof/>
          <w:sz w:val="24"/>
          <w:szCs w:val="24"/>
          <w:lang w:val="en-IE"/>
        </w:rPr>
        <w:t>icle</w:t>
      </w:r>
      <w:r w:rsidRPr="00E03D97">
        <w:rPr>
          <w:rFonts w:ascii="Times New Roman" w:eastAsiaTheme="minorEastAsia" w:hAnsi="Times New Roman" w:cs="Times New Roman"/>
          <w:noProof/>
          <w:sz w:val="24"/>
          <w:szCs w:val="24"/>
          <w:lang w:val="en-IE"/>
        </w:rPr>
        <w:t xml:space="preserve"> 59 </w:t>
      </w:r>
      <w:r w:rsidR="00CF3A23">
        <w:rPr>
          <w:rFonts w:ascii="Times New Roman" w:eastAsiaTheme="minorEastAsia" w:hAnsi="Times New Roman" w:cs="Times New Roman"/>
          <w:noProof/>
          <w:sz w:val="24"/>
          <w:szCs w:val="24"/>
          <w:lang w:val="en-IE"/>
        </w:rPr>
        <w:t xml:space="preserve">of </w:t>
      </w:r>
      <w:r w:rsidR="00CF3A23" w:rsidRPr="00E03D97">
        <w:rPr>
          <w:rFonts w:ascii="Times New Roman" w:eastAsiaTheme="minorEastAsia" w:hAnsi="Times New Roman" w:cs="Times New Roman"/>
          <w:noProof/>
          <w:sz w:val="24"/>
          <w:szCs w:val="24"/>
          <w:lang w:val="en-IE"/>
        </w:rPr>
        <w:t>Regulation</w:t>
      </w:r>
      <w:r w:rsidR="00CF3A23">
        <w:rPr>
          <w:rFonts w:ascii="Times New Roman" w:eastAsiaTheme="minorEastAsia" w:hAnsi="Times New Roman" w:cs="Times New Roman"/>
          <w:noProof/>
          <w:sz w:val="24"/>
          <w:szCs w:val="24"/>
          <w:lang w:val="en-IE"/>
        </w:rPr>
        <w:t xml:space="preserve"> (EU) </w:t>
      </w:r>
      <w:r w:rsidR="00CF3A23" w:rsidRPr="00E03D97">
        <w:rPr>
          <w:rFonts w:ascii="Times New Roman" w:eastAsiaTheme="minorEastAsia" w:hAnsi="Times New Roman" w:cs="Times New Roman"/>
          <w:noProof/>
          <w:sz w:val="24"/>
          <w:szCs w:val="24"/>
          <w:lang w:val="en-IE"/>
        </w:rPr>
        <w:t>2017/745</w:t>
      </w:r>
      <w:r w:rsidR="00CF3A23">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and </w:t>
      </w:r>
      <w:r w:rsidR="00CF3A23">
        <w:rPr>
          <w:rFonts w:ascii="Times New Roman" w:eastAsiaTheme="minorEastAsia" w:hAnsi="Times New Roman" w:cs="Times New Roman"/>
          <w:noProof/>
          <w:sz w:val="24"/>
          <w:szCs w:val="24"/>
          <w:lang w:val="en-IE"/>
        </w:rPr>
        <w:t xml:space="preserve">Article </w:t>
      </w:r>
      <w:r w:rsidRPr="00E03D97">
        <w:rPr>
          <w:rFonts w:ascii="Times New Roman" w:eastAsiaTheme="minorEastAsia" w:hAnsi="Times New Roman" w:cs="Times New Roman"/>
          <w:noProof/>
          <w:sz w:val="24"/>
          <w:szCs w:val="24"/>
          <w:lang w:val="en-IE"/>
        </w:rPr>
        <w:t xml:space="preserve">54 </w:t>
      </w:r>
      <w:r w:rsidR="00CF3A23">
        <w:rPr>
          <w:rFonts w:ascii="Times New Roman" w:eastAsiaTheme="minorEastAsia" w:hAnsi="Times New Roman" w:cs="Times New Roman"/>
          <w:noProof/>
          <w:sz w:val="24"/>
          <w:szCs w:val="24"/>
          <w:lang w:val="en-IE"/>
        </w:rPr>
        <w:t xml:space="preserve">of </w:t>
      </w:r>
      <w:r w:rsidR="00CF3A23" w:rsidRPr="00E03D97">
        <w:rPr>
          <w:rFonts w:ascii="Times New Roman" w:eastAsiaTheme="minorEastAsia" w:hAnsi="Times New Roman" w:cs="Times New Roman"/>
          <w:noProof/>
          <w:sz w:val="24"/>
          <w:szCs w:val="24"/>
          <w:lang w:val="en-IE"/>
        </w:rPr>
        <w:t>Regulation</w:t>
      </w:r>
      <w:r w:rsidR="00CF3A23">
        <w:rPr>
          <w:rFonts w:ascii="Times New Roman" w:eastAsiaTheme="minorEastAsia" w:hAnsi="Times New Roman" w:cs="Times New Roman"/>
          <w:noProof/>
          <w:sz w:val="24"/>
          <w:szCs w:val="24"/>
          <w:lang w:val="en-IE"/>
        </w:rPr>
        <w:t> (EU)</w:t>
      </w:r>
      <w:r w:rsidRPr="00E03D97">
        <w:rPr>
          <w:rFonts w:ascii="Times New Roman" w:eastAsiaTheme="minorEastAsia" w:hAnsi="Times New Roman" w:cs="Times New Roman"/>
          <w:noProof/>
          <w:sz w:val="24"/>
          <w:szCs w:val="24"/>
          <w:lang w:val="en-IE"/>
        </w:rPr>
        <w:t xml:space="preserve"> </w:t>
      </w:r>
      <w:r w:rsidR="004F4EEB">
        <w:rPr>
          <w:rFonts w:ascii="Times New Roman" w:eastAsiaTheme="minorEastAsia" w:hAnsi="Times New Roman" w:cs="Times New Roman"/>
          <w:noProof/>
          <w:sz w:val="24"/>
          <w:szCs w:val="24"/>
          <w:lang w:val="en-IE"/>
        </w:rPr>
        <w:t>2017/</w:t>
      </w:r>
      <w:r w:rsidRPr="00E03D97">
        <w:rPr>
          <w:rFonts w:ascii="Times New Roman" w:eastAsiaTheme="minorEastAsia" w:hAnsi="Times New Roman" w:cs="Times New Roman"/>
          <w:noProof/>
          <w:sz w:val="24"/>
          <w:szCs w:val="24"/>
          <w:lang w:val="en-IE"/>
        </w:rPr>
        <w:t>746).</w:t>
      </w:r>
    </w:p>
    <w:p w14:paraId="68ED3D65" w14:textId="1F4522AC"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In addition, supply issues of medicines are an ongoing concern in the EU and affect all EU Member States outside a declared public health emergency or a major event. A multifaceted system is in place</w:t>
      </w:r>
      <w:r w:rsidR="0030164B" w:rsidRPr="00E03D97">
        <w:rPr>
          <w:rFonts w:ascii="Times New Roman" w:eastAsia="Times New Roman" w:hAnsi="Times New Roman" w:cs="Times New Roman"/>
          <w:noProof/>
          <w:sz w:val="24"/>
          <w:szCs w:val="24"/>
          <w:lang w:val="en-IE"/>
        </w:rPr>
        <w:t xml:space="preserve"> to mitigate shortages. That system was also</w:t>
      </w:r>
      <w:r w:rsidRPr="00E03D97">
        <w:rPr>
          <w:rFonts w:ascii="Times New Roman" w:eastAsia="Times New Roman" w:hAnsi="Times New Roman" w:cs="Times New Roman"/>
          <w:noProof/>
          <w:sz w:val="24"/>
          <w:szCs w:val="24"/>
          <w:lang w:val="en-IE"/>
        </w:rPr>
        <w:t xml:space="preserve"> activated when the EU suffered shortages of antibiotics in </w:t>
      </w:r>
      <w:r w:rsidR="0030164B" w:rsidRPr="00E03D97">
        <w:rPr>
          <w:rFonts w:ascii="Times New Roman" w:eastAsia="Times New Roman" w:hAnsi="Times New Roman" w:cs="Times New Roman"/>
          <w:noProof/>
          <w:sz w:val="24"/>
          <w:szCs w:val="24"/>
          <w:lang w:val="en-IE"/>
        </w:rPr>
        <w:t xml:space="preserve">the winter </w:t>
      </w:r>
      <w:r w:rsidR="004F4EEB">
        <w:rPr>
          <w:rFonts w:ascii="Times New Roman" w:eastAsia="Times New Roman" w:hAnsi="Times New Roman" w:cs="Times New Roman"/>
          <w:noProof/>
          <w:sz w:val="24"/>
          <w:szCs w:val="24"/>
          <w:lang w:val="en-IE"/>
        </w:rPr>
        <w:t>of</w:t>
      </w:r>
      <w:r w:rsidR="004F4EEB" w:rsidRPr="00E03D97">
        <w:rPr>
          <w:rFonts w:ascii="Times New Roman" w:eastAsia="Times New Roman" w:hAnsi="Times New Roman" w:cs="Times New Roman"/>
          <w:noProof/>
          <w:sz w:val="24"/>
          <w:szCs w:val="24"/>
          <w:lang w:val="en-IE"/>
        </w:rPr>
        <w:t xml:space="preserve"> </w:t>
      </w:r>
      <w:r w:rsidR="0030164B" w:rsidRPr="00E03D97">
        <w:rPr>
          <w:rFonts w:ascii="Times New Roman" w:eastAsia="Times New Roman" w:hAnsi="Times New Roman" w:cs="Times New Roman"/>
          <w:noProof/>
          <w:sz w:val="24"/>
          <w:szCs w:val="24"/>
          <w:lang w:val="en-IE"/>
        </w:rPr>
        <w:t>2022/</w:t>
      </w:r>
      <w:r w:rsidRPr="00E03D97">
        <w:rPr>
          <w:rFonts w:ascii="Times New Roman" w:eastAsia="Times New Roman" w:hAnsi="Times New Roman" w:cs="Times New Roman"/>
          <w:noProof/>
          <w:sz w:val="24"/>
          <w:szCs w:val="24"/>
          <w:lang w:val="en-IE"/>
        </w:rPr>
        <w:t xml:space="preserve">2023. To ensure that a similar situation </w:t>
      </w:r>
      <w:r w:rsidR="004F4EEB">
        <w:rPr>
          <w:rFonts w:ascii="Times New Roman" w:eastAsia="Times New Roman" w:hAnsi="Times New Roman" w:cs="Times New Roman"/>
          <w:noProof/>
          <w:sz w:val="24"/>
          <w:szCs w:val="24"/>
          <w:lang w:val="en-IE"/>
        </w:rPr>
        <w:t>does not recur</w:t>
      </w:r>
      <w:r w:rsidRPr="00E03D97">
        <w:rPr>
          <w:rFonts w:ascii="Times New Roman" w:eastAsia="Times New Roman" w:hAnsi="Times New Roman" w:cs="Times New Roman"/>
          <w:noProof/>
          <w:sz w:val="24"/>
          <w:szCs w:val="24"/>
          <w:lang w:val="en-IE"/>
        </w:rPr>
        <w:t>, the Commission</w:t>
      </w:r>
      <w:r w:rsidR="004F4EEB">
        <w:rPr>
          <w:rFonts w:ascii="Times New Roman" w:eastAsia="Times New Roman" w:hAnsi="Times New Roman" w:cs="Times New Roman"/>
          <w:noProof/>
          <w:sz w:val="24"/>
          <w:szCs w:val="24"/>
          <w:lang w:val="en-IE"/>
        </w:rPr>
        <w:t xml:space="preserve"> and</w:t>
      </w:r>
      <w:r w:rsidRPr="00E03D97">
        <w:rPr>
          <w:rFonts w:ascii="Times New Roman" w:eastAsia="Times New Roman" w:hAnsi="Times New Roman" w:cs="Times New Roman"/>
          <w:noProof/>
          <w:sz w:val="24"/>
          <w:szCs w:val="24"/>
          <w:lang w:val="en-IE"/>
        </w:rPr>
        <w:t xml:space="preserve"> EMA continuously monitor</w:t>
      </w:r>
      <w:r w:rsidR="004F4EEB">
        <w:rPr>
          <w:rFonts w:ascii="Times New Roman" w:eastAsia="Times New Roman" w:hAnsi="Times New Roman" w:cs="Times New Roman"/>
          <w:noProof/>
          <w:sz w:val="24"/>
          <w:szCs w:val="24"/>
          <w:lang w:val="en-IE"/>
        </w:rPr>
        <w:t xml:space="preserve"> the </w:t>
      </w:r>
      <w:r w:rsidRPr="00E03D97">
        <w:rPr>
          <w:rFonts w:ascii="Times New Roman" w:eastAsia="Times New Roman" w:hAnsi="Times New Roman" w:cs="Times New Roman"/>
          <w:noProof/>
          <w:sz w:val="24"/>
          <w:szCs w:val="24"/>
          <w:lang w:val="en-IE"/>
        </w:rPr>
        <w:t xml:space="preserve">planned supply </w:t>
      </w:r>
      <w:r w:rsidR="004F4EEB">
        <w:rPr>
          <w:rFonts w:ascii="Times New Roman" w:eastAsia="Times New Roman" w:hAnsi="Times New Roman" w:cs="Times New Roman"/>
          <w:noProof/>
          <w:sz w:val="24"/>
          <w:szCs w:val="24"/>
          <w:lang w:val="en-IE"/>
        </w:rPr>
        <w:t xml:space="preserve">of, </w:t>
      </w:r>
      <w:r w:rsidRPr="00E03D97">
        <w:rPr>
          <w:rFonts w:ascii="Times New Roman" w:eastAsia="Times New Roman" w:hAnsi="Times New Roman" w:cs="Times New Roman"/>
          <w:noProof/>
          <w:sz w:val="24"/>
          <w:szCs w:val="24"/>
          <w:lang w:val="en-IE"/>
        </w:rPr>
        <w:t xml:space="preserve">and estimated demand </w:t>
      </w:r>
      <w:r w:rsidR="004F4EEB">
        <w:rPr>
          <w:rFonts w:ascii="Times New Roman" w:eastAsia="Times New Roman" w:hAnsi="Times New Roman" w:cs="Times New Roman"/>
          <w:noProof/>
          <w:sz w:val="24"/>
          <w:szCs w:val="24"/>
          <w:lang w:val="en-IE"/>
        </w:rPr>
        <w:t xml:space="preserve">for, </w:t>
      </w:r>
      <w:r w:rsidRPr="00E03D97">
        <w:rPr>
          <w:rFonts w:ascii="Times New Roman" w:eastAsia="Times New Roman" w:hAnsi="Times New Roman" w:cs="Times New Roman"/>
          <w:noProof/>
          <w:sz w:val="24"/>
          <w:szCs w:val="24"/>
          <w:lang w:val="en-IE"/>
        </w:rPr>
        <w:t xml:space="preserve">a set of key antibiotics, </w:t>
      </w:r>
      <w:r w:rsidR="004F4EEB">
        <w:rPr>
          <w:rFonts w:ascii="Times New Roman" w:eastAsia="Times New Roman" w:hAnsi="Times New Roman" w:cs="Times New Roman"/>
          <w:noProof/>
          <w:sz w:val="24"/>
          <w:szCs w:val="24"/>
          <w:lang w:val="en-IE"/>
        </w:rPr>
        <w:t xml:space="preserve">in order </w:t>
      </w:r>
      <w:r w:rsidRPr="00E03D97">
        <w:rPr>
          <w:rFonts w:ascii="Times New Roman" w:eastAsia="Times New Roman" w:hAnsi="Times New Roman" w:cs="Times New Roman"/>
          <w:noProof/>
          <w:sz w:val="24"/>
          <w:szCs w:val="24"/>
          <w:lang w:val="en-IE"/>
        </w:rPr>
        <w:t xml:space="preserve">to </w:t>
      </w:r>
      <w:r w:rsidR="004F4EEB" w:rsidRPr="00E03D97">
        <w:rPr>
          <w:rFonts w:ascii="Times New Roman" w:eastAsia="Times New Roman" w:hAnsi="Times New Roman" w:cs="Times New Roman"/>
          <w:noProof/>
          <w:sz w:val="24"/>
          <w:szCs w:val="24"/>
          <w:lang w:val="en-IE"/>
        </w:rPr>
        <w:t xml:space="preserve">proactively </w:t>
      </w:r>
      <w:r w:rsidRPr="00E03D97">
        <w:rPr>
          <w:rFonts w:ascii="Times New Roman" w:eastAsia="Times New Roman" w:hAnsi="Times New Roman" w:cs="Times New Roman"/>
          <w:noProof/>
          <w:sz w:val="24"/>
          <w:szCs w:val="24"/>
          <w:lang w:val="en-IE"/>
        </w:rPr>
        <w:t xml:space="preserve">identify any gaps in supply capacities. </w:t>
      </w:r>
      <w:r w:rsidR="00A776EE">
        <w:rPr>
          <w:rFonts w:ascii="Times New Roman" w:eastAsia="Times New Roman" w:hAnsi="Times New Roman" w:cs="Times New Roman"/>
          <w:noProof/>
          <w:sz w:val="24"/>
          <w:szCs w:val="24"/>
          <w:lang w:val="en-IE"/>
        </w:rPr>
        <w:t>In October</w:t>
      </w:r>
      <w:r w:rsidR="009527BF">
        <w:rPr>
          <w:rFonts w:ascii="Times New Roman" w:eastAsia="Times New Roman" w:hAnsi="Times New Roman" w:cs="Times New Roman"/>
          <w:noProof/>
          <w:sz w:val="24"/>
          <w:szCs w:val="24"/>
          <w:lang w:val="en-IE"/>
        </w:rPr>
        <w:t xml:space="preserve"> 2023</w:t>
      </w:r>
      <w:r w:rsidR="00A776EE">
        <w:rPr>
          <w:rFonts w:ascii="Times New Roman" w:eastAsia="Times New Roman" w:hAnsi="Times New Roman" w:cs="Times New Roman"/>
          <w:noProof/>
          <w:sz w:val="24"/>
          <w:szCs w:val="24"/>
          <w:lang w:val="en-IE"/>
        </w:rPr>
        <w:t>, the</w:t>
      </w:r>
      <w:r w:rsidR="002B4D6C" w:rsidRPr="00E03D97">
        <w:rPr>
          <w:rFonts w:ascii="Times New Roman" w:eastAsia="Times New Roman" w:hAnsi="Times New Roman" w:cs="Times New Roman"/>
          <w:noProof/>
          <w:sz w:val="24"/>
          <w:szCs w:val="24"/>
          <w:lang w:val="en-IE"/>
        </w:rPr>
        <w:t xml:space="preserve"> Commission adopted a </w:t>
      </w:r>
      <w:r w:rsidR="009F619B" w:rsidRPr="00251752">
        <w:rPr>
          <w:rFonts w:ascii="Times New Roman" w:eastAsia="Times New Roman" w:hAnsi="Times New Roman" w:cs="Times New Roman"/>
          <w:noProof/>
          <w:sz w:val="24"/>
          <w:szCs w:val="24"/>
          <w:lang w:val="en-IE"/>
        </w:rPr>
        <w:t>communication on addressing</w:t>
      </w:r>
      <w:r w:rsidR="009F619B">
        <w:rPr>
          <w:rFonts w:ascii="Times New Roman" w:eastAsia="Times New Roman" w:hAnsi="Times New Roman" w:cs="Times New Roman"/>
          <w:noProof/>
          <w:sz w:val="24"/>
          <w:szCs w:val="24"/>
          <w:lang w:val="en-IE"/>
        </w:rPr>
        <w:t xml:space="preserve"> medicine</w:t>
      </w:r>
      <w:r w:rsidR="009F619B" w:rsidRPr="00251752">
        <w:rPr>
          <w:rFonts w:ascii="Times New Roman" w:eastAsia="Times New Roman" w:hAnsi="Times New Roman" w:cs="Times New Roman"/>
          <w:noProof/>
          <w:sz w:val="24"/>
          <w:szCs w:val="24"/>
          <w:lang w:val="en-IE"/>
        </w:rPr>
        <w:t xml:space="preserve"> shortages in the EU</w:t>
      </w:r>
      <w:r w:rsidR="009F619B">
        <w:rPr>
          <w:rFonts w:ascii="Times New Roman" w:eastAsia="Times New Roman" w:hAnsi="Times New Roman" w:cs="Times New Roman"/>
          <w:noProof/>
          <w:sz w:val="24"/>
          <w:szCs w:val="24"/>
          <w:lang w:val="en-IE"/>
        </w:rPr>
        <w:t>, which aims to</w:t>
      </w:r>
      <w:r w:rsidR="008A1746" w:rsidRPr="008A1746">
        <w:rPr>
          <w:rFonts w:ascii="Times New Roman" w:eastAsia="Times New Roman" w:hAnsi="Times New Roman" w:cs="Times New Roman"/>
          <w:noProof/>
          <w:sz w:val="24"/>
          <w:szCs w:val="24"/>
          <w:lang w:val="en-IE"/>
        </w:rPr>
        <w:t xml:space="preserve"> strengthen security of supply in the </w:t>
      </w:r>
      <w:r w:rsidR="008A1746" w:rsidRPr="009F619B">
        <w:rPr>
          <w:rFonts w:ascii="Times New Roman" w:eastAsia="Times New Roman" w:hAnsi="Times New Roman" w:cs="Times New Roman"/>
          <w:noProof/>
          <w:sz w:val="24"/>
          <w:szCs w:val="24"/>
          <w:lang w:val="en-IE"/>
        </w:rPr>
        <w:t>EU</w:t>
      </w:r>
      <w:r w:rsidR="002B4D6C" w:rsidRPr="00E03D97">
        <w:rPr>
          <w:rFonts w:ascii="Times New Roman" w:eastAsia="Times New Roman" w:hAnsi="Times New Roman" w:cs="Times New Roman"/>
          <w:noProof/>
          <w:sz w:val="24"/>
          <w:szCs w:val="24"/>
          <w:lang w:val="en-IE"/>
        </w:rPr>
        <w:t xml:space="preserve"> with complementary actions to </w:t>
      </w:r>
      <w:r w:rsidR="004F4EEB" w:rsidRPr="00E03D97">
        <w:rPr>
          <w:rFonts w:ascii="Times New Roman" w:eastAsia="Times New Roman" w:hAnsi="Times New Roman" w:cs="Times New Roman"/>
          <w:noProof/>
          <w:sz w:val="24"/>
          <w:szCs w:val="24"/>
          <w:lang w:val="en-IE"/>
        </w:rPr>
        <w:t xml:space="preserve">further </w:t>
      </w:r>
      <w:r w:rsidR="002B4D6C" w:rsidRPr="00E03D97">
        <w:rPr>
          <w:rFonts w:ascii="Times New Roman" w:eastAsia="Times New Roman" w:hAnsi="Times New Roman" w:cs="Times New Roman"/>
          <w:noProof/>
          <w:sz w:val="24"/>
          <w:szCs w:val="24"/>
          <w:lang w:val="en-IE"/>
        </w:rPr>
        <w:t>improve the availability and security of supply of medicines.</w:t>
      </w:r>
    </w:p>
    <w:p w14:paraId="650C0B0C" w14:textId="4662F110" w:rsidR="00BC7FCB" w:rsidRDefault="001F1738" w:rsidP="00BC2F11">
      <w:p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Since the introduction of a strengthened mandate for </w:t>
      </w:r>
      <w:r w:rsidR="00DA6408">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EMA in 2022</w:t>
      </w:r>
      <w:r w:rsidRPr="00E03D97">
        <w:rPr>
          <w:rFonts w:ascii="Times New Roman" w:eastAsia="Times New Roman" w:hAnsi="Times New Roman" w:cs="Times New Roman"/>
          <w:noProof/>
          <w:sz w:val="24"/>
          <w:szCs w:val="24"/>
          <w:vertAlign w:val="superscript"/>
          <w:lang w:val="en-IE"/>
        </w:rPr>
        <w:footnoteReference w:id="88"/>
      </w:r>
      <w:r w:rsidRPr="00E03D97">
        <w:rPr>
          <w:rFonts w:ascii="Times New Roman" w:eastAsia="Times New Roman" w:hAnsi="Times New Roman" w:cs="Times New Roman"/>
          <w:noProof/>
          <w:sz w:val="24"/>
          <w:szCs w:val="24"/>
          <w:lang w:val="en-IE"/>
        </w:rPr>
        <w:t xml:space="preserve">, </w:t>
      </w:r>
      <w:r w:rsidR="00DA6408">
        <w:rPr>
          <w:rFonts w:ascii="Times New Roman" w:eastAsia="Times New Roman" w:hAnsi="Times New Roman" w:cs="Times New Roman"/>
          <w:noProof/>
          <w:sz w:val="24"/>
          <w:szCs w:val="24"/>
          <w:lang w:val="en-IE"/>
        </w:rPr>
        <w:t xml:space="preserve">the </w:t>
      </w:r>
      <w:r w:rsidR="004F4EEB">
        <w:rPr>
          <w:rFonts w:ascii="Times New Roman" w:eastAsia="Times New Roman" w:hAnsi="Times New Roman" w:cs="Times New Roman"/>
          <w:noProof/>
          <w:sz w:val="24"/>
          <w:szCs w:val="24"/>
          <w:lang w:val="en-IE"/>
        </w:rPr>
        <w:t>EMA</w:t>
      </w:r>
      <w:r w:rsidRPr="00E03D97">
        <w:rPr>
          <w:rFonts w:ascii="Times New Roman" w:eastAsia="Times New Roman" w:hAnsi="Times New Roman" w:cs="Times New Roman"/>
          <w:noProof/>
          <w:sz w:val="24"/>
          <w:szCs w:val="24"/>
          <w:lang w:val="en-IE"/>
        </w:rPr>
        <w:t xml:space="preserve"> has put in place new bodies and structures </w:t>
      </w:r>
      <w:r w:rsidR="004F4EEB">
        <w:rPr>
          <w:rFonts w:ascii="Times New Roman" w:eastAsia="Times New Roman" w:hAnsi="Times New Roman" w:cs="Times New Roman"/>
          <w:noProof/>
          <w:sz w:val="24"/>
          <w:szCs w:val="24"/>
          <w:lang w:val="en-IE"/>
        </w:rPr>
        <w:t xml:space="preserve">to </w:t>
      </w:r>
      <w:r w:rsidRPr="00E03D97">
        <w:rPr>
          <w:rFonts w:ascii="Times New Roman" w:eastAsia="Times New Roman" w:hAnsi="Times New Roman" w:cs="Times New Roman"/>
          <w:noProof/>
          <w:sz w:val="24"/>
          <w:szCs w:val="24"/>
          <w:lang w:val="en-IE"/>
        </w:rPr>
        <w:t>provid</w:t>
      </w:r>
      <w:r w:rsidR="004F4EEB">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 a quick response to medicine shortages. The Executive Steering Group on Shortages and Safety of Medicinal Products and the Executive Steering Group on Shortages of Medical Devices were created to coordinate EU actions </w:t>
      </w:r>
      <w:r w:rsidR="004F4EEB">
        <w:rPr>
          <w:rFonts w:ascii="Times New Roman" w:eastAsia="Times New Roman" w:hAnsi="Times New Roman" w:cs="Times New Roman"/>
          <w:noProof/>
          <w:sz w:val="24"/>
          <w:szCs w:val="24"/>
          <w:lang w:val="en-IE"/>
        </w:rPr>
        <w:t xml:space="preserve">to </w:t>
      </w:r>
      <w:r w:rsidRPr="00E03D97">
        <w:rPr>
          <w:rFonts w:ascii="Times New Roman" w:eastAsia="Times New Roman" w:hAnsi="Times New Roman" w:cs="Times New Roman"/>
          <w:noProof/>
          <w:sz w:val="24"/>
          <w:szCs w:val="24"/>
          <w:lang w:val="en-IE"/>
        </w:rPr>
        <w:t>mitigat</w:t>
      </w:r>
      <w:r w:rsidR="004F4EEB">
        <w:rPr>
          <w:rFonts w:ascii="Times New Roman" w:eastAsia="Times New Roman" w:hAnsi="Times New Roman" w:cs="Times New Roman"/>
          <w:noProof/>
          <w:sz w:val="24"/>
          <w:szCs w:val="24"/>
          <w:lang w:val="en-IE"/>
        </w:rPr>
        <w:t>e</w:t>
      </w:r>
      <w:r w:rsidRPr="00E03D97">
        <w:rPr>
          <w:rFonts w:ascii="Times New Roman" w:eastAsia="Times New Roman" w:hAnsi="Times New Roman" w:cs="Times New Roman"/>
          <w:noProof/>
          <w:sz w:val="24"/>
          <w:szCs w:val="24"/>
          <w:lang w:val="en-IE"/>
        </w:rPr>
        <w:t xml:space="preserve"> supply issues with medicines and medical devices. In addition, there are now two Single Point of Contact (SPOC) Working Parties</w:t>
      </w:r>
      <w:r w:rsidR="004F4EEB" w:rsidRPr="004F4EEB">
        <w:rPr>
          <w:rFonts w:ascii="Times New Roman" w:eastAsia="Times New Roman" w:hAnsi="Times New Roman" w:cs="Times New Roman"/>
          <w:noProof/>
          <w:sz w:val="24"/>
          <w:szCs w:val="24"/>
          <w:lang w:val="en-IE"/>
        </w:rPr>
        <w:t xml:space="preserve"> </w:t>
      </w:r>
      <w:r w:rsidR="004F4EEB" w:rsidRPr="00E03D97">
        <w:rPr>
          <w:rFonts w:ascii="Times New Roman" w:eastAsia="Times New Roman" w:hAnsi="Times New Roman" w:cs="Times New Roman"/>
          <w:noProof/>
          <w:sz w:val="24"/>
          <w:szCs w:val="24"/>
          <w:lang w:val="en-IE"/>
        </w:rPr>
        <w:t>to monitor and report on shortages</w:t>
      </w:r>
      <w:r w:rsidRPr="00E03D97">
        <w:rPr>
          <w:rFonts w:ascii="Times New Roman" w:eastAsia="Times New Roman" w:hAnsi="Times New Roman" w:cs="Times New Roman"/>
          <w:noProof/>
          <w:sz w:val="24"/>
          <w:szCs w:val="24"/>
          <w:lang w:val="en-IE"/>
        </w:rPr>
        <w:t xml:space="preserve">, for both medicine and medical device shortages. There is also an industry single point of contact (i-SPOC) network to provide guidance to </w:t>
      </w:r>
      <w:r w:rsidR="004F4EEB" w:rsidRPr="00E03D97">
        <w:rPr>
          <w:rFonts w:ascii="Times New Roman" w:eastAsia="Times New Roman" w:hAnsi="Times New Roman" w:cs="Times New Roman"/>
          <w:noProof/>
          <w:sz w:val="24"/>
          <w:szCs w:val="24"/>
          <w:lang w:val="en-IE"/>
        </w:rPr>
        <w:t>holders</w:t>
      </w:r>
      <w:r w:rsidR="004F4EEB">
        <w:rPr>
          <w:rFonts w:ascii="Times New Roman" w:eastAsia="Times New Roman" w:hAnsi="Times New Roman" w:cs="Times New Roman"/>
          <w:noProof/>
          <w:sz w:val="24"/>
          <w:szCs w:val="24"/>
          <w:lang w:val="en-IE"/>
        </w:rPr>
        <w:t xml:space="preserve"> of</w:t>
      </w:r>
      <w:r w:rsidR="004F4EEB"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marketing authorisation</w:t>
      </w:r>
      <w:r w:rsidR="004F4EEB">
        <w:rPr>
          <w:rFonts w:ascii="Times New Roman" w:eastAsia="Times New Roman" w:hAnsi="Times New Roman" w:cs="Times New Roman"/>
          <w:noProof/>
          <w:sz w:val="24"/>
          <w:szCs w:val="24"/>
          <w:lang w:val="en-IE"/>
        </w:rPr>
        <w:t>s</w:t>
      </w:r>
      <w:r w:rsidRPr="00E03D97">
        <w:rPr>
          <w:rFonts w:ascii="Times New Roman" w:eastAsia="Times New Roman" w:hAnsi="Times New Roman" w:cs="Times New Roman"/>
          <w:noProof/>
          <w:sz w:val="24"/>
          <w:szCs w:val="24"/>
          <w:lang w:val="en-IE"/>
        </w:rPr>
        <w:t xml:space="preserve">. A European Shortages Monitoring Platform is expected in 2025, to facilitate the collection of information on shortages </w:t>
      </w:r>
      <w:r w:rsidR="00C267D8">
        <w:rPr>
          <w:rFonts w:ascii="Times New Roman" w:eastAsia="Times New Roman" w:hAnsi="Times New Roman" w:cs="Times New Roman"/>
          <w:noProof/>
          <w:sz w:val="24"/>
          <w:szCs w:val="24"/>
          <w:lang w:val="en-IE"/>
        </w:rPr>
        <w:t xml:space="preserve">and on the </w:t>
      </w:r>
      <w:r w:rsidRPr="00E03D97">
        <w:rPr>
          <w:rFonts w:ascii="Times New Roman" w:eastAsia="Times New Roman" w:hAnsi="Times New Roman" w:cs="Times New Roman"/>
          <w:noProof/>
          <w:sz w:val="24"/>
          <w:szCs w:val="24"/>
          <w:lang w:val="en-IE"/>
        </w:rPr>
        <w:t xml:space="preserve">supply </w:t>
      </w:r>
      <w:r w:rsidR="00C267D8">
        <w:rPr>
          <w:rFonts w:ascii="Times New Roman" w:eastAsia="Times New Roman" w:hAnsi="Times New Roman" w:cs="Times New Roman"/>
          <w:noProof/>
          <w:sz w:val="24"/>
          <w:szCs w:val="24"/>
          <w:lang w:val="en-IE"/>
        </w:rPr>
        <w:t xml:space="preserve">of </w:t>
      </w:r>
      <w:r w:rsidRPr="00E03D97">
        <w:rPr>
          <w:rFonts w:ascii="Times New Roman" w:eastAsia="Times New Roman" w:hAnsi="Times New Roman" w:cs="Times New Roman"/>
          <w:noProof/>
          <w:sz w:val="24"/>
          <w:szCs w:val="24"/>
          <w:lang w:val="en-IE"/>
        </w:rPr>
        <w:t xml:space="preserve">and demand </w:t>
      </w:r>
      <w:r w:rsidR="00C267D8">
        <w:rPr>
          <w:rFonts w:ascii="Times New Roman" w:eastAsia="Times New Roman" w:hAnsi="Times New Roman" w:cs="Times New Roman"/>
          <w:noProof/>
          <w:sz w:val="24"/>
          <w:szCs w:val="24"/>
          <w:lang w:val="en-IE"/>
        </w:rPr>
        <w:t xml:space="preserve">for </w:t>
      </w:r>
      <w:r w:rsidRPr="00E03D97">
        <w:rPr>
          <w:rFonts w:ascii="Times New Roman" w:eastAsia="Times New Roman" w:hAnsi="Times New Roman" w:cs="Times New Roman"/>
          <w:noProof/>
          <w:sz w:val="24"/>
          <w:szCs w:val="24"/>
          <w:lang w:val="en-IE"/>
        </w:rPr>
        <w:t>medicinal products.</w:t>
      </w:r>
    </w:p>
    <w:p w14:paraId="5CC6C203" w14:textId="500DC6B4" w:rsidR="00003506" w:rsidRDefault="00003506" w:rsidP="00BC2F11">
      <w:pPr>
        <w:spacing w:before="100" w:beforeAutospacing="1" w:after="100" w:afterAutospacing="1" w:line="240" w:lineRule="auto"/>
        <w:contextualSpacing/>
        <w:jc w:val="both"/>
        <w:rPr>
          <w:rFonts w:ascii="Times New Roman" w:eastAsia="Times New Roman" w:hAnsi="Times New Roman" w:cs="Times New Roman"/>
          <w:noProof/>
          <w:sz w:val="24"/>
          <w:szCs w:val="24"/>
          <w:lang w:val="en-IE"/>
        </w:rPr>
      </w:pPr>
    </w:p>
    <w:p w14:paraId="5F45EA29"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rFonts w:ascii="Times New Roman" w:eastAsia="Times New Roman" w:hAnsi="Times New Roman" w:cs="Times New Roman"/>
          <w:b/>
          <w:bCs/>
          <w:noProof/>
          <w:sz w:val="24"/>
          <w:szCs w:val="24"/>
          <w:lang w:val="en-IE"/>
        </w:rPr>
      </w:pPr>
      <w:r w:rsidRPr="00003506">
        <w:rPr>
          <w:rFonts w:ascii="Times New Roman" w:eastAsia="Times New Roman" w:hAnsi="Times New Roman" w:cs="Times New Roman"/>
          <w:b/>
          <w:bCs/>
          <w:noProof/>
          <w:sz w:val="24"/>
          <w:szCs w:val="24"/>
          <w:lang w:val="en-IE"/>
        </w:rPr>
        <w:t>EU stockpiles for emergency response</w:t>
      </w:r>
    </w:p>
    <w:p w14:paraId="1834FEB7"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003506">
        <w:rPr>
          <w:rFonts w:ascii="Times New Roman" w:eastAsia="Times New Roman" w:hAnsi="Times New Roman" w:cs="Times New Roman"/>
          <w:noProof/>
          <w:sz w:val="24"/>
          <w:szCs w:val="24"/>
          <w:lang w:val="en-IE"/>
        </w:rPr>
        <w:t>Under the UCPM’s rescEU reserve, the Commission has established since 2020 stockpiling capacities of medical countermeasures for preparedness and response to serious cross-border health threats as well as CBRN threats. The medical stockpiling reserve enables the swift delivery of medical equipment such as ventilators and personal protective equipment. More than 3 million protective masks, ventilators and other equipment from the strategic rescEU distribution centres were distributed to Member States that needed them most. 10 Member States (Belgium, Croatia, Denmark, Germany, Greece, Hungary, Romania, Slovenia, Sweden, and the Netherlands) currently host the rescEU medical stockpiles.</w:t>
      </w:r>
    </w:p>
    <w:p w14:paraId="441C6176" w14:textId="77777777" w:rsidR="00003506" w:rsidRPr="00003506" w:rsidRDefault="00003506" w:rsidP="00003506">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both"/>
        <w:rPr>
          <w:rFonts w:ascii="Times New Roman" w:eastAsia="Times New Roman" w:hAnsi="Times New Roman" w:cs="Times New Roman"/>
          <w:noProof/>
          <w:sz w:val="24"/>
          <w:szCs w:val="24"/>
          <w:lang w:val="en-IE"/>
        </w:rPr>
      </w:pPr>
      <w:r w:rsidRPr="00003506">
        <w:rPr>
          <w:rFonts w:ascii="Times New Roman" w:eastAsia="Times New Roman" w:hAnsi="Times New Roman" w:cs="Times New Roman"/>
          <w:noProof/>
          <w:sz w:val="24"/>
          <w:szCs w:val="24"/>
          <w:lang w:val="en-IE"/>
        </w:rPr>
        <w:t>In parallel, in February 2023 the Commission awarded EUR 545.6 million in</w:t>
      </w:r>
      <w:r w:rsidRPr="00003506" w:rsidDel="00473F57">
        <w:rPr>
          <w:rFonts w:ascii="Times New Roman" w:eastAsia="Times New Roman" w:hAnsi="Times New Roman" w:cs="Times New Roman"/>
          <w:noProof/>
          <w:sz w:val="24"/>
          <w:szCs w:val="24"/>
          <w:lang w:val="en-IE"/>
        </w:rPr>
        <w:t xml:space="preserve"> </w:t>
      </w:r>
      <w:r w:rsidRPr="00003506">
        <w:rPr>
          <w:rFonts w:ascii="Times New Roman" w:eastAsia="Times New Roman" w:hAnsi="Times New Roman" w:cs="Times New Roman"/>
          <w:noProof/>
          <w:sz w:val="24"/>
          <w:szCs w:val="24"/>
          <w:lang w:val="en-IE"/>
        </w:rPr>
        <w:t xml:space="preserve">grants for rescEU stockpiles for chemical, biological and radiological (CBRN) emergencies. These will include antidotes, antibiotics, vaccines, sedatives and prophylactic treatments and specific CBRN response equipment, such as iodine thyroid blocking (ITB) tablets, detectors and decontamination supplies and personal protective equipment. The stockpiles will be progressively available from 2023 onwards. To further bolster preparedness, there is currently an open call to develop further medical and CBRN stockpiles with an indicative budget of EUR 636 million, with 9 proposals currently under evaluation. </w:t>
      </w:r>
    </w:p>
    <w:p w14:paraId="6852084B" w14:textId="77777777" w:rsidR="00BE1A6C" w:rsidRPr="00E03D97" w:rsidRDefault="001F1738" w:rsidP="00BE1A6C">
      <w:pPr>
        <w:spacing w:before="100" w:beforeAutospacing="1" w:after="100" w:afterAutospacing="1" w:line="240" w:lineRule="auto"/>
        <w:jc w:val="both"/>
        <w:rPr>
          <w:rFonts w:ascii="Times New Roman" w:eastAsia="Times New Roman" w:hAnsi="Times New Roman" w:cs="Times New Roman"/>
          <w:b/>
          <w:bCs/>
          <w:noProof/>
          <w:sz w:val="24"/>
          <w:szCs w:val="24"/>
          <w:lang w:val="en-IE"/>
        </w:rPr>
      </w:pPr>
      <w:bookmarkStart w:id="22" w:name="_Toc145428534"/>
      <w:bookmarkEnd w:id="22"/>
      <w:r w:rsidRPr="00E03D97">
        <w:rPr>
          <w:rFonts w:ascii="Times New Roman" w:eastAsia="Times New Roman" w:hAnsi="Times New Roman" w:cs="Times New Roman"/>
          <w:b/>
          <w:bCs/>
          <w:noProof/>
          <w:sz w:val="24"/>
          <w:szCs w:val="24"/>
          <w:lang w:val="en-IE"/>
        </w:rPr>
        <w:t>Protecting critical infrastructure and enhancing the resilience of critical entities</w:t>
      </w:r>
      <w:bookmarkStart w:id="23" w:name="_Hlk146274054"/>
    </w:p>
    <w:p w14:paraId="61CAF597" w14:textId="5A283D4B" w:rsidR="00BE1A6C" w:rsidRPr="00E03D97" w:rsidRDefault="001F1738" w:rsidP="00BE1A6C">
      <w:pPr>
        <w:spacing w:before="100" w:beforeAutospacing="1" w:after="100" w:afterAutospacing="1" w:line="240" w:lineRule="auto"/>
        <w:jc w:val="both"/>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noProof/>
          <w:sz w:val="24"/>
          <w:szCs w:val="24"/>
          <w:lang w:val="en-IE"/>
        </w:rPr>
        <w:t>Directive (EU) 2022/2557 on the resilience of critical entities</w:t>
      </w:r>
      <w:r w:rsidRPr="00E03D97">
        <w:rPr>
          <w:rFonts w:ascii="Times New Roman" w:eastAsiaTheme="minorEastAsia" w:hAnsi="Times New Roman" w:cs="Times New Roman"/>
          <w:noProof/>
          <w:sz w:val="24"/>
          <w:szCs w:val="24"/>
          <w:vertAlign w:val="superscript"/>
          <w:lang w:val="en-IE"/>
        </w:rPr>
        <w:footnoteReference w:id="89"/>
      </w:r>
      <w:r w:rsidRPr="00E03D97">
        <w:rPr>
          <w:rFonts w:ascii="Times New Roman" w:eastAsia="Times New Roman" w:hAnsi="Times New Roman" w:cs="Times New Roman"/>
          <w:noProof/>
          <w:sz w:val="24"/>
          <w:szCs w:val="24"/>
          <w:vertAlign w:val="superscript"/>
          <w:lang w:val="en-IE"/>
        </w:rPr>
        <w:t xml:space="preserve"> </w:t>
      </w:r>
      <w:r w:rsidRPr="00E03D97">
        <w:rPr>
          <w:rFonts w:ascii="Times New Roman" w:eastAsia="Times New Roman" w:hAnsi="Times New Roman" w:cs="Times New Roman"/>
          <w:noProof/>
          <w:sz w:val="24"/>
          <w:szCs w:val="24"/>
          <w:lang w:val="en-IE"/>
        </w:rPr>
        <w:t>(</w:t>
      </w:r>
      <w:r w:rsidR="00C267D8">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CER Directive) entered into force in</w:t>
      </w:r>
      <w:r w:rsidR="00BB198E">
        <w:rPr>
          <w:rFonts w:ascii="Times New Roman" w:eastAsia="Times New Roman" w:hAnsi="Times New Roman" w:cs="Times New Roman"/>
          <w:noProof/>
          <w:sz w:val="24"/>
          <w:szCs w:val="24"/>
          <w:lang w:val="en-IE"/>
        </w:rPr>
        <w:t xml:space="preserve"> January</w:t>
      </w:r>
      <w:r w:rsidRPr="00E03D97">
        <w:rPr>
          <w:rFonts w:ascii="Times New Roman" w:eastAsia="Times New Roman" w:hAnsi="Times New Roman" w:cs="Times New Roman"/>
          <w:noProof/>
          <w:sz w:val="24"/>
          <w:szCs w:val="24"/>
          <w:lang w:val="en-IE"/>
        </w:rPr>
        <w:t xml:space="preserve"> 202</w:t>
      </w:r>
      <w:r w:rsidR="00BB198E">
        <w:rPr>
          <w:rFonts w:ascii="Times New Roman" w:eastAsia="Times New Roman" w:hAnsi="Times New Roman" w:cs="Times New Roman"/>
          <w:noProof/>
          <w:sz w:val="24"/>
          <w:szCs w:val="24"/>
          <w:lang w:val="en-IE"/>
        </w:rPr>
        <w:t>3</w:t>
      </w:r>
      <w:r w:rsidRPr="00E03D97">
        <w:rPr>
          <w:rFonts w:ascii="Times New Roman" w:eastAsia="Times New Roman" w:hAnsi="Times New Roman" w:cs="Times New Roman"/>
          <w:noProof/>
          <w:sz w:val="24"/>
          <w:szCs w:val="24"/>
          <w:lang w:val="en-IE"/>
        </w:rPr>
        <w:t xml:space="preserve"> and will replace Directive 2008/114/EC on the identification and designation of European critical infrastructures</w:t>
      </w:r>
      <w:r w:rsidRPr="00E03D97">
        <w:rPr>
          <w:rFonts w:ascii="Times New Roman" w:eastAsia="Times New Roman" w:hAnsi="Times New Roman" w:cs="Times New Roman"/>
          <w:noProof/>
          <w:sz w:val="24"/>
          <w:szCs w:val="24"/>
          <w:vertAlign w:val="superscript"/>
          <w:lang w:val="en-IE"/>
        </w:rPr>
        <w:footnoteReference w:id="90"/>
      </w:r>
      <w:r w:rsidRPr="00E03D97">
        <w:rPr>
          <w:rFonts w:ascii="Times New Roman" w:eastAsia="Times New Roman" w:hAnsi="Times New Roman" w:cs="Times New Roman"/>
          <w:noProof/>
          <w:sz w:val="24"/>
          <w:szCs w:val="24"/>
          <w:vertAlign w:val="superscript"/>
          <w:lang w:val="en-IE"/>
        </w:rPr>
        <w:t xml:space="preserve"> </w:t>
      </w:r>
      <w:r w:rsidRPr="00E03D97">
        <w:rPr>
          <w:rFonts w:ascii="Times New Roman" w:eastAsia="Times New Roman" w:hAnsi="Times New Roman" w:cs="Times New Roman"/>
          <w:noProof/>
          <w:sz w:val="24"/>
          <w:szCs w:val="24"/>
          <w:lang w:val="en-IE"/>
        </w:rPr>
        <w:t xml:space="preserve">as of 18 October 2024. </w:t>
      </w:r>
      <w:r w:rsidRPr="00E03D97" w:rsidDel="009278B1">
        <w:rPr>
          <w:rFonts w:ascii="Times New Roman" w:eastAsia="Times New Roman" w:hAnsi="Times New Roman" w:cs="Times New Roman"/>
          <w:noProof/>
          <w:sz w:val="24"/>
          <w:szCs w:val="24"/>
          <w:lang w:val="en-IE"/>
        </w:rPr>
        <w:t>The CER Directive</w:t>
      </w:r>
      <w:r w:rsidRPr="00E03D97">
        <w:rPr>
          <w:rFonts w:ascii="Times New Roman" w:eastAsia="Times New Roman" w:hAnsi="Times New Roman" w:cs="Times New Roman"/>
          <w:noProof/>
          <w:sz w:val="24"/>
          <w:szCs w:val="24"/>
          <w:lang w:val="en-IE"/>
        </w:rPr>
        <w:t xml:space="preserve"> applies to 11 sectors, enhancing the resilience of the entities operating </w:t>
      </w:r>
      <w:r w:rsidR="00BB198E" w:rsidRPr="00BB198E">
        <w:rPr>
          <w:rFonts w:ascii="Times New Roman" w:eastAsia="Times New Roman" w:hAnsi="Times New Roman" w:cs="Times New Roman"/>
          <w:noProof/>
          <w:sz w:val="24"/>
          <w:szCs w:val="24"/>
        </w:rPr>
        <w:t>essential services within th</w:t>
      </w:r>
      <w:r w:rsidR="00BB198E">
        <w:rPr>
          <w:rFonts w:ascii="Times New Roman" w:eastAsia="Times New Roman" w:hAnsi="Times New Roman" w:cs="Times New Roman"/>
          <w:noProof/>
          <w:sz w:val="24"/>
          <w:szCs w:val="24"/>
        </w:rPr>
        <w:t>ose</w:t>
      </w:r>
      <w:r w:rsidR="00BB198E" w:rsidRPr="00BB198E">
        <w:rPr>
          <w:rFonts w:ascii="Times New Roman" w:eastAsia="Times New Roman" w:hAnsi="Times New Roman" w:cs="Times New Roman"/>
          <w:noProof/>
          <w:sz w:val="24"/>
          <w:szCs w:val="24"/>
        </w:rPr>
        <w:t xml:space="preserve"> sectors</w:t>
      </w:r>
      <w:r w:rsidR="00BD317E">
        <w:rPr>
          <w:rFonts w:ascii="Times New Roman" w:eastAsia="Times New Roman" w:hAnsi="Times New Roman" w:cs="Times New Roman"/>
          <w:noProof/>
          <w:sz w:val="24"/>
          <w:szCs w:val="24"/>
        </w:rPr>
        <w:t>, including health</w:t>
      </w:r>
      <w:r w:rsidRPr="00E03D97">
        <w:rPr>
          <w:rFonts w:ascii="Times New Roman" w:eastAsia="Times New Roman" w:hAnsi="Times New Roman" w:cs="Times New Roman"/>
          <w:noProof/>
          <w:sz w:val="24"/>
          <w:szCs w:val="24"/>
          <w:lang w:val="en-IE"/>
        </w:rPr>
        <w:t>.</w:t>
      </w:r>
      <w:bookmarkEnd w:id="23"/>
    </w:p>
    <w:p w14:paraId="00D28E75" w14:textId="5EF6676C" w:rsidR="00DE1D36" w:rsidRPr="00BC2F11" w:rsidRDefault="003E6744" w:rsidP="00BE1A6C">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I</w:t>
      </w:r>
      <w:r w:rsidRPr="00E03D97">
        <w:rPr>
          <w:rFonts w:ascii="Times New Roman" w:eastAsia="Times New Roman" w:hAnsi="Times New Roman" w:cs="Times New Roman"/>
          <w:noProof/>
          <w:sz w:val="24"/>
          <w:szCs w:val="24"/>
          <w:lang w:val="en-IE"/>
        </w:rPr>
        <w:t>n September 2023</w:t>
      </w:r>
      <w:r>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t</w:t>
      </w:r>
      <w:r w:rsidR="001F1738" w:rsidRPr="00E03D97">
        <w:rPr>
          <w:rFonts w:ascii="Times New Roman" w:eastAsia="Times New Roman" w:hAnsi="Times New Roman" w:cs="Times New Roman"/>
          <w:noProof/>
          <w:sz w:val="24"/>
          <w:szCs w:val="24"/>
          <w:lang w:val="en-IE"/>
        </w:rPr>
        <w:t xml:space="preserve">he Commission adopted a proposal for a Council </w:t>
      </w:r>
      <w:r w:rsidR="001776E2">
        <w:rPr>
          <w:rFonts w:ascii="Times New Roman" w:eastAsia="Times New Roman" w:hAnsi="Times New Roman" w:cs="Times New Roman"/>
          <w:noProof/>
          <w:sz w:val="24"/>
          <w:szCs w:val="24"/>
          <w:lang w:val="en-IE"/>
        </w:rPr>
        <w:t>r</w:t>
      </w:r>
      <w:r w:rsidR="001F1738" w:rsidRPr="00E03D97">
        <w:rPr>
          <w:rFonts w:ascii="Times New Roman" w:eastAsia="Times New Roman" w:hAnsi="Times New Roman" w:cs="Times New Roman"/>
          <w:noProof/>
          <w:sz w:val="24"/>
          <w:szCs w:val="24"/>
          <w:lang w:val="en-IE"/>
        </w:rPr>
        <w:t>ecommendation</w:t>
      </w:r>
      <w:r w:rsidR="00DE1D36">
        <w:rPr>
          <w:rStyle w:val="FootnoteReference"/>
          <w:rFonts w:ascii="Times New Roman" w:eastAsia="Times New Roman" w:hAnsi="Times New Roman" w:cs="Times New Roman"/>
          <w:noProof/>
          <w:sz w:val="24"/>
          <w:szCs w:val="24"/>
        </w:rPr>
        <w:footnoteReference w:id="91"/>
      </w:r>
      <w:r w:rsidR="001F1738" w:rsidRPr="00E03D97">
        <w:rPr>
          <w:rFonts w:ascii="Times New Roman" w:eastAsia="Times New Roman" w:hAnsi="Times New Roman" w:cs="Times New Roman"/>
          <w:noProof/>
          <w:sz w:val="24"/>
          <w:szCs w:val="24"/>
          <w:lang w:val="en-IE"/>
        </w:rPr>
        <w:t xml:space="preserve"> on a </w:t>
      </w:r>
      <w:r w:rsidR="001776E2">
        <w:rPr>
          <w:rFonts w:ascii="Times New Roman" w:eastAsia="Times New Roman" w:hAnsi="Times New Roman" w:cs="Times New Roman"/>
          <w:noProof/>
          <w:sz w:val="24"/>
          <w:szCs w:val="24"/>
          <w:lang w:val="en-IE"/>
        </w:rPr>
        <w:t>b</w:t>
      </w:r>
      <w:r w:rsidR="001F1738" w:rsidRPr="00E03D97">
        <w:rPr>
          <w:rFonts w:ascii="Times New Roman" w:eastAsia="Times New Roman" w:hAnsi="Times New Roman" w:cs="Times New Roman"/>
          <w:noProof/>
          <w:sz w:val="24"/>
          <w:szCs w:val="24"/>
          <w:lang w:val="en-IE"/>
        </w:rPr>
        <w:t>lueprint to coordinate a</w:t>
      </w:r>
      <w:r w:rsidR="001776E2">
        <w:rPr>
          <w:rFonts w:ascii="Times New Roman" w:eastAsia="Times New Roman" w:hAnsi="Times New Roman" w:cs="Times New Roman"/>
          <w:noProof/>
          <w:sz w:val="24"/>
          <w:szCs w:val="24"/>
          <w:lang w:val="en-IE"/>
        </w:rPr>
        <w:t>n EU</w:t>
      </w:r>
      <w:r w:rsidR="001F1738" w:rsidRPr="00E03D97">
        <w:rPr>
          <w:rFonts w:ascii="Times New Roman" w:eastAsia="Times New Roman" w:hAnsi="Times New Roman" w:cs="Times New Roman"/>
          <w:noProof/>
          <w:sz w:val="24"/>
          <w:szCs w:val="24"/>
          <w:lang w:val="en-IE"/>
        </w:rPr>
        <w:t xml:space="preserve">-level response to disruptions of critical infrastructure with significant cross-border relevance. </w:t>
      </w:r>
      <w:r w:rsidR="00625A59">
        <w:rPr>
          <w:rFonts w:ascii="Times New Roman" w:eastAsia="Times New Roman" w:hAnsi="Times New Roman" w:cs="Times New Roman"/>
          <w:noProof/>
          <w:sz w:val="24"/>
          <w:szCs w:val="24"/>
          <w:lang w:val="en-IE"/>
        </w:rPr>
        <w:t>This will</w:t>
      </w:r>
      <w:r w:rsidR="001F1738" w:rsidRPr="00E03D97">
        <w:rPr>
          <w:rFonts w:ascii="Times New Roman" w:eastAsia="Times New Roman" w:hAnsi="Times New Roman" w:cs="Times New Roman"/>
          <w:noProof/>
          <w:sz w:val="24"/>
          <w:szCs w:val="24"/>
          <w:lang w:val="en-IE"/>
        </w:rPr>
        <w:t xml:space="preserve"> complement the current framework on critical infrastructure protection and resilience of critical entities by explaining the interplay between different existing </w:t>
      </w:r>
      <w:r w:rsidR="00625A59">
        <w:rPr>
          <w:rFonts w:ascii="Times New Roman" w:eastAsia="Times New Roman" w:hAnsi="Times New Roman" w:cs="Times New Roman"/>
          <w:noProof/>
          <w:sz w:val="24"/>
          <w:szCs w:val="24"/>
          <w:lang w:val="en-IE"/>
        </w:rPr>
        <w:t>EU</w:t>
      </w:r>
      <w:r w:rsidR="001F1738" w:rsidRPr="00E03D97">
        <w:rPr>
          <w:rFonts w:ascii="Times New Roman" w:eastAsia="Times New Roman" w:hAnsi="Times New Roman" w:cs="Times New Roman"/>
          <w:noProof/>
          <w:sz w:val="24"/>
          <w:szCs w:val="24"/>
          <w:lang w:val="en-IE"/>
        </w:rPr>
        <w:t>-level arrangements and put</w:t>
      </w:r>
      <w:r w:rsidR="00625A59">
        <w:rPr>
          <w:rFonts w:ascii="Times New Roman" w:eastAsia="Times New Roman" w:hAnsi="Times New Roman" w:cs="Times New Roman"/>
          <w:noProof/>
          <w:sz w:val="24"/>
          <w:szCs w:val="24"/>
          <w:lang w:val="en-IE"/>
        </w:rPr>
        <w:t>ting</w:t>
      </w:r>
      <w:r w:rsidR="001F1738" w:rsidRPr="00E03D97">
        <w:rPr>
          <w:rFonts w:ascii="Times New Roman" w:eastAsia="Times New Roman" w:hAnsi="Times New Roman" w:cs="Times New Roman"/>
          <w:noProof/>
          <w:sz w:val="24"/>
          <w:szCs w:val="24"/>
          <w:lang w:val="en-IE"/>
        </w:rPr>
        <w:t xml:space="preserve"> forward the elements </w:t>
      </w:r>
      <w:r w:rsidR="00625A59">
        <w:rPr>
          <w:rFonts w:ascii="Times New Roman" w:eastAsia="Times New Roman" w:hAnsi="Times New Roman" w:cs="Times New Roman"/>
          <w:noProof/>
          <w:sz w:val="24"/>
          <w:szCs w:val="24"/>
          <w:lang w:val="en-IE"/>
        </w:rPr>
        <w:t>of</w:t>
      </w:r>
      <w:r w:rsidR="00625A59"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 xml:space="preserve">a coordinated </w:t>
      </w:r>
      <w:r w:rsidR="00625A59">
        <w:rPr>
          <w:rFonts w:ascii="Times New Roman" w:eastAsia="Times New Roman" w:hAnsi="Times New Roman" w:cs="Times New Roman"/>
          <w:noProof/>
          <w:sz w:val="24"/>
          <w:szCs w:val="24"/>
          <w:lang w:val="en-IE"/>
        </w:rPr>
        <w:t xml:space="preserve">EU-level </w:t>
      </w:r>
      <w:r w:rsidR="001F1738" w:rsidRPr="00E03D97">
        <w:rPr>
          <w:rFonts w:ascii="Times New Roman" w:eastAsia="Times New Roman" w:hAnsi="Times New Roman" w:cs="Times New Roman"/>
          <w:noProof/>
          <w:sz w:val="24"/>
          <w:szCs w:val="24"/>
          <w:lang w:val="en-IE"/>
        </w:rPr>
        <w:t xml:space="preserve">response in </w:t>
      </w:r>
      <w:r w:rsidR="00625A59">
        <w:rPr>
          <w:rFonts w:ascii="Times New Roman" w:eastAsia="Times New Roman" w:hAnsi="Times New Roman" w:cs="Times New Roman"/>
          <w:noProof/>
          <w:sz w:val="24"/>
          <w:szCs w:val="24"/>
          <w:lang w:val="en-IE"/>
        </w:rPr>
        <w:t xml:space="preserve">the event </w:t>
      </w:r>
      <w:r w:rsidR="001F1738" w:rsidRPr="00E03D97">
        <w:rPr>
          <w:rFonts w:ascii="Times New Roman" w:eastAsia="Times New Roman" w:hAnsi="Times New Roman" w:cs="Times New Roman"/>
          <w:noProof/>
          <w:sz w:val="24"/>
          <w:szCs w:val="24"/>
          <w:lang w:val="en-IE"/>
        </w:rPr>
        <w:t xml:space="preserve">of </w:t>
      </w:r>
      <w:r w:rsidR="00625A59">
        <w:rPr>
          <w:rFonts w:ascii="Times New Roman" w:eastAsia="Times New Roman" w:hAnsi="Times New Roman" w:cs="Times New Roman"/>
          <w:noProof/>
          <w:sz w:val="24"/>
          <w:szCs w:val="24"/>
          <w:lang w:val="en-IE"/>
        </w:rPr>
        <w:t xml:space="preserve">a </w:t>
      </w:r>
      <w:r w:rsidR="001F1738" w:rsidRPr="00E03D97">
        <w:rPr>
          <w:rFonts w:ascii="Times New Roman" w:eastAsia="Times New Roman" w:hAnsi="Times New Roman" w:cs="Times New Roman"/>
          <w:noProof/>
          <w:sz w:val="24"/>
          <w:szCs w:val="24"/>
          <w:lang w:val="en-IE"/>
        </w:rPr>
        <w:t xml:space="preserve">significant critical infrastructure incident. </w:t>
      </w:r>
    </w:p>
    <w:p w14:paraId="64F15539" w14:textId="7FB12C9C"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noProof/>
          <w:sz w:val="24"/>
          <w:szCs w:val="24"/>
          <w:lang w:val="en-IE"/>
        </w:rPr>
      </w:pPr>
      <w:bookmarkStart w:id="24" w:name="_Toc145428536"/>
      <w:bookmarkStart w:id="25" w:name="_Toc145428538"/>
      <w:bookmarkStart w:id="26" w:name="_Toc145428539"/>
      <w:bookmarkStart w:id="27" w:name="_Toc145428540"/>
      <w:bookmarkStart w:id="28" w:name="_Toc145428541"/>
      <w:bookmarkStart w:id="29" w:name="_Toc145428542"/>
      <w:bookmarkEnd w:id="24"/>
      <w:bookmarkEnd w:id="25"/>
      <w:bookmarkEnd w:id="26"/>
      <w:bookmarkEnd w:id="27"/>
      <w:bookmarkEnd w:id="28"/>
      <w:bookmarkEnd w:id="29"/>
      <w:r w:rsidRPr="00E03D97">
        <w:rPr>
          <w:rFonts w:ascii="Times New Roman" w:eastAsia="Times New Roman" w:hAnsi="Times New Roman" w:cs="Times New Roman"/>
          <w:b/>
          <w:bCs/>
          <w:noProof/>
          <w:sz w:val="24"/>
          <w:szCs w:val="24"/>
          <w:lang w:val="en-IE"/>
        </w:rPr>
        <w:t xml:space="preserve">Emergency </w:t>
      </w:r>
      <w:r w:rsidR="00625A59">
        <w:rPr>
          <w:rFonts w:ascii="Times New Roman" w:eastAsia="Times New Roman" w:hAnsi="Times New Roman" w:cs="Times New Roman"/>
          <w:b/>
          <w:bCs/>
          <w:noProof/>
          <w:sz w:val="24"/>
          <w:szCs w:val="24"/>
          <w:lang w:val="en-IE"/>
        </w:rPr>
        <w:t>t</w:t>
      </w:r>
      <w:r w:rsidRPr="00E03D97">
        <w:rPr>
          <w:rFonts w:ascii="Times New Roman" w:eastAsia="Times New Roman" w:hAnsi="Times New Roman" w:cs="Times New Roman"/>
          <w:b/>
          <w:bCs/>
          <w:noProof/>
          <w:sz w:val="24"/>
          <w:szCs w:val="24"/>
          <w:lang w:val="en-IE"/>
        </w:rPr>
        <w:t xml:space="preserve">ask </w:t>
      </w:r>
      <w:r w:rsidR="00625A59">
        <w:rPr>
          <w:rFonts w:ascii="Times New Roman" w:eastAsia="Times New Roman" w:hAnsi="Times New Roman" w:cs="Times New Roman"/>
          <w:b/>
          <w:bCs/>
          <w:noProof/>
          <w:sz w:val="24"/>
          <w:szCs w:val="24"/>
          <w:lang w:val="en-IE"/>
        </w:rPr>
        <w:t>f</w:t>
      </w:r>
      <w:r w:rsidRPr="00E03D97">
        <w:rPr>
          <w:rFonts w:ascii="Times New Roman" w:eastAsia="Times New Roman" w:hAnsi="Times New Roman" w:cs="Times New Roman"/>
          <w:b/>
          <w:bCs/>
          <w:noProof/>
          <w:sz w:val="24"/>
          <w:szCs w:val="24"/>
          <w:lang w:val="en-IE"/>
        </w:rPr>
        <w:t xml:space="preserve">orces </w:t>
      </w:r>
    </w:p>
    <w:p w14:paraId="195F58A8" w14:textId="77777777"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i/>
          <w:iCs/>
          <w:noProof/>
          <w:sz w:val="28"/>
          <w:szCs w:val="28"/>
          <w:lang w:val="en-IE"/>
        </w:rPr>
      </w:pPr>
      <w:r w:rsidRPr="00E03D97">
        <w:rPr>
          <w:rFonts w:ascii="Times New Roman" w:eastAsia="Times New Roman" w:hAnsi="Times New Roman" w:cs="Times New Roman"/>
          <w:b/>
          <w:bCs/>
          <w:i/>
          <w:iCs/>
          <w:noProof/>
          <w:sz w:val="24"/>
          <w:szCs w:val="24"/>
          <w:lang w:val="en-IE"/>
        </w:rPr>
        <w:t xml:space="preserve">EU Health Task Force </w:t>
      </w:r>
    </w:p>
    <w:p w14:paraId="79D8DC8D" w14:textId="3C25F687"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DE1D36">
        <w:rPr>
          <w:rFonts w:ascii="Times New Roman" w:eastAsia="Times New Roman" w:hAnsi="Times New Roman" w:cs="Times New Roman"/>
          <w:noProof/>
          <w:sz w:val="24"/>
          <w:szCs w:val="24"/>
          <w:lang w:val="en-IE"/>
        </w:rPr>
        <w:t xml:space="preserve">Under </w:t>
      </w:r>
      <w:r w:rsidR="00CF3A23" w:rsidRPr="00DE1D36">
        <w:rPr>
          <w:rFonts w:ascii="Times New Roman" w:eastAsia="Times New Roman" w:hAnsi="Times New Roman" w:cs="Times New Roman"/>
          <w:noProof/>
          <w:sz w:val="24"/>
          <w:szCs w:val="24"/>
          <w:lang w:val="en-IE"/>
        </w:rPr>
        <w:t>Regulation </w:t>
      </w:r>
      <w:r w:rsidR="00CF3A23" w:rsidRPr="00DE1D36">
        <w:rPr>
          <w:rFonts w:ascii="Times New Roman" w:eastAsia="Times New Roman" w:hAnsi="Times New Roman" w:cs="Times New Roman"/>
          <w:noProof/>
          <w:sz w:val="24"/>
          <w:szCs w:val="24"/>
        </w:rPr>
        <w:t>No 851/2004 establishing a European centre for disease prevention and control as amended by</w:t>
      </w:r>
      <w:r w:rsidR="00CF3A23" w:rsidRPr="00DE1D36">
        <w:rPr>
          <w:rFonts w:ascii="Times New Roman" w:eastAsia="Times New Roman" w:hAnsi="Times New Roman" w:cs="Times New Roman"/>
          <w:noProof/>
          <w:sz w:val="24"/>
          <w:szCs w:val="24"/>
          <w:lang w:val="en-IE"/>
        </w:rPr>
        <w:t xml:space="preserve"> </w:t>
      </w:r>
      <w:r w:rsidRPr="00DE1D36">
        <w:rPr>
          <w:rFonts w:ascii="Times New Roman" w:eastAsia="Times New Roman" w:hAnsi="Times New Roman" w:cs="Times New Roman"/>
          <w:noProof/>
          <w:sz w:val="24"/>
          <w:szCs w:val="24"/>
          <w:lang w:val="en-IE"/>
        </w:rPr>
        <w:t>Regulation</w:t>
      </w:r>
      <w:r w:rsidR="00625A59" w:rsidRPr="00DE1D36">
        <w:rPr>
          <w:rFonts w:ascii="Times New Roman" w:eastAsia="Times New Roman" w:hAnsi="Times New Roman" w:cs="Times New Roman"/>
          <w:noProof/>
          <w:sz w:val="24"/>
          <w:szCs w:val="24"/>
          <w:lang w:val="en-IE"/>
        </w:rPr>
        <w:t> </w:t>
      </w:r>
      <w:r w:rsidRPr="00DE1D36">
        <w:rPr>
          <w:rFonts w:ascii="Times New Roman" w:eastAsia="Times New Roman" w:hAnsi="Times New Roman" w:cs="Times New Roman"/>
          <w:noProof/>
          <w:sz w:val="24"/>
          <w:szCs w:val="24"/>
          <w:lang w:val="en-IE"/>
        </w:rPr>
        <w:t>(EU)</w:t>
      </w:r>
      <w:r w:rsidR="00625A59" w:rsidRPr="00DE1D36">
        <w:rPr>
          <w:rFonts w:ascii="Times New Roman" w:eastAsia="Times New Roman" w:hAnsi="Times New Roman" w:cs="Times New Roman"/>
          <w:noProof/>
          <w:sz w:val="24"/>
          <w:szCs w:val="24"/>
          <w:lang w:val="en-IE"/>
        </w:rPr>
        <w:t> </w:t>
      </w:r>
      <w:r w:rsidRPr="00DE1D36">
        <w:rPr>
          <w:rFonts w:ascii="Times New Roman" w:eastAsia="Times New Roman" w:hAnsi="Times New Roman" w:cs="Times New Roman"/>
          <w:noProof/>
          <w:sz w:val="24"/>
          <w:szCs w:val="24"/>
          <w:lang w:val="en-IE"/>
        </w:rPr>
        <w:t xml:space="preserve">2022/2370, the ECDC is to </w:t>
      </w:r>
      <w:r w:rsidR="00DE1D36" w:rsidRPr="00DE1D36">
        <w:rPr>
          <w:rFonts w:ascii="Times New Roman" w:eastAsia="Times New Roman" w:hAnsi="Times New Roman" w:cs="Times New Roman"/>
          <w:noProof/>
          <w:sz w:val="24"/>
          <w:szCs w:val="24"/>
          <w:lang w:val="en-IE"/>
        </w:rPr>
        <w:t xml:space="preserve">set up </w:t>
      </w:r>
      <w:r w:rsidR="00357B1E" w:rsidRPr="00DE1D36">
        <w:rPr>
          <w:rFonts w:ascii="Times New Roman" w:eastAsia="Times New Roman" w:hAnsi="Times New Roman" w:cs="Times New Roman"/>
          <w:noProof/>
          <w:sz w:val="24"/>
          <w:szCs w:val="24"/>
          <w:lang w:val="en-IE"/>
        </w:rPr>
        <w:t>the</w:t>
      </w:r>
      <w:r w:rsidRPr="00DE1D36">
        <w:rPr>
          <w:rFonts w:ascii="Times New Roman" w:eastAsia="Times New Roman" w:hAnsi="Times New Roman" w:cs="Times New Roman"/>
          <w:noProof/>
          <w:sz w:val="24"/>
          <w:szCs w:val="24"/>
          <w:lang w:val="en-IE"/>
        </w:rPr>
        <w:t xml:space="preserve"> EU Health Task Force to provide </w:t>
      </w:r>
      <w:r w:rsidR="00E34E49" w:rsidRPr="00DE1D36">
        <w:rPr>
          <w:rFonts w:ascii="Times New Roman" w:eastAsia="Times New Roman" w:hAnsi="Times New Roman" w:cs="Times New Roman"/>
          <w:noProof/>
          <w:sz w:val="24"/>
          <w:szCs w:val="24"/>
          <w:lang w:val="en-IE"/>
        </w:rPr>
        <w:t xml:space="preserve">rapid </w:t>
      </w:r>
      <w:r w:rsidRPr="00DE1D36">
        <w:rPr>
          <w:rFonts w:ascii="Times New Roman" w:eastAsia="Times New Roman" w:hAnsi="Times New Roman" w:cs="Times New Roman"/>
          <w:noProof/>
          <w:sz w:val="24"/>
          <w:szCs w:val="24"/>
          <w:lang w:val="en-IE"/>
        </w:rPr>
        <w:t xml:space="preserve">on-demand support in </w:t>
      </w:r>
      <w:r w:rsidR="00E34E49" w:rsidRPr="00DE1D36">
        <w:rPr>
          <w:rFonts w:ascii="Times New Roman" w:eastAsia="Times New Roman" w:hAnsi="Times New Roman" w:cs="Times New Roman"/>
          <w:noProof/>
          <w:sz w:val="24"/>
          <w:szCs w:val="24"/>
          <w:lang w:val="en-IE"/>
        </w:rPr>
        <w:t>the event</w:t>
      </w:r>
      <w:r w:rsidR="00E34E49"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of emergencies</w:t>
      </w:r>
      <w:r w:rsidR="00BE1A6C" w:rsidRPr="00E03D97">
        <w:rPr>
          <w:rFonts w:ascii="Times New Roman" w:eastAsia="Times New Roman" w:hAnsi="Times New Roman" w:cs="Times New Roman"/>
          <w:noProof/>
          <w:sz w:val="24"/>
          <w:szCs w:val="24"/>
          <w:lang w:val="en-IE"/>
        </w:rPr>
        <w:t xml:space="preserve"> along with</w:t>
      </w:r>
      <w:r w:rsidRPr="00E03D97">
        <w:rPr>
          <w:rFonts w:ascii="Times New Roman" w:eastAsia="Times New Roman" w:hAnsi="Times New Roman" w:cs="Times New Roman"/>
          <w:noProof/>
          <w:sz w:val="24"/>
          <w:szCs w:val="24"/>
          <w:lang w:val="en-IE"/>
        </w:rPr>
        <w:t xml:space="preserve"> assistance to Member States with the preparation of plans related to prevention, preparedness and response planning, local responses to outbreaks of communicable diseases and after-action reviews in </w:t>
      </w:r>
      <w:r w:rsidR="006D698D">
        <w:rPr>
          <w:rFonts w:ascii="Times New Roman" w:eastAsia="Times New Roman" w:hAnsi="Times New Roman" w:cs="Times New Roman"/>
          <w:noProof/>
          <w:sz w:val="24"/>
          <w:szCs w:val="24"/>
          <w:lang w:val="en-IE"/>
        </w:rPr>
        <w:t xml:space="preserve">EU </w:t>
      </w:r>
      <w:r w:rsidRPr="00E03D97">
        <w:rPr>
          <w:rFonts w:ascii="Times New Roman" w:eastAsia="Times New Roman" w:hAnsi="Times New Roman" w:cs="Times New Roman"/>
          <w:noProof/>
          <w:sz w:val="24"/>
          <w:szCs w:val="24"/>
          <w:lang w:val="en-IE"/>
        </w:rPr>
        <w:t xml:space="preserve">and </w:t>
      </w:r>
      <w:r w:rsidR="006D698D">
        <w:rPr>
          <w:rFonts w:ascii="Times New Roman" w:eastAsia="Times New Roman" w:hAnsi="Times New Roman" w:cs="Times New Roman"/>
          <w:noProof/>
          <w:sz w:val="24"/>
          <w:szCs w:val="24"/>
          <w:lang w:val="en-IE"/>
        </w:rPr>
        <w:t>non-EU</w:t>
      </w:r>
      <w:r w:rsidRPr="00E03D97">
        <w:rPr>
          <w:rFonts w:ascii="Times New Roman" w:eastAsia="Times New Roman" w:hAnsi="Times New Roman" w:cs="Times New Roman"/>
          <w:noProof/>
          <w:sz w:val="24"/>
          <w:szCs w:val="24"/>
          <w:lang w:val="en-IE"/>
        </w:rPr>
        <w:t xml:space="preserve"> countries, in cooperation with the WHO. The EU</w:t>
      </w:r>
      <w:r w:rsidR="00CF3A23">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H</w:t>
      </w:r>
      <w:r w:rsidR="00CF3A23">
        <w:rPr>
          <w:rFonts w:ascii="Times New Roman" w:eastAsia="Times New Roman" w:hAnsi="Times New Roman" w:cs="Times New Roman"/>
          <w:noProof/>
          <w:sz w:val="24"/>
          <w:szCs w:val="24"/>
          <w:lang w:val="en-IE"/>
        </w:rPr>
        <w:t xml:space="preserve">ealth </w:t>
      </w:r>
      <w:r w:rsidRPr="00E03D97">
        <w:rPr>
          <w:rFonts w:ascii="Times New Roman" w:eastAsia="Times New Roman" w:hAnsi="Times New Roman" w:cs="Times New Roman"/>
          <w:noProof/>
          <w:sz w:val="24"/>
          <w:szCs w:val="24"/>
          <w:lang w:val="en-IE"/>
        </w:rPr>
        <w:t>T</w:t>
      </w:r>
      <w:r w:rsidR="00CF3A23">
        <w:rPr>
          <w:rFonts w:ascii="Times New Roman" w:eastAsia="Times New Roman" w:hAnsi="Times New Roman" w:cs="Times New Roman"/>
          <w:noProof/>
          <w:sz w:val="24"/>
          <w:szCs w:val="24"/>
          <w:lang w:val="en-IE"/>
        </w:rPr>
        <w:t xml:space="preserve">ask </w:t>
      </w:r>
      <w:r w:rsidRPr="00E03D97">
        <w:rPr>
          <w:rFonts w:ascii="Times New Roman" w:eastAsia="Times New Roman" w:hAnsi="Times New Roman" w:cs="Times New Roman"/>
          <w:noProof/>
          <w:sz w:val="24"/>
          <w:szCs w:val="24"/>
          <w:lang w:val="en-IE"/>
        </w:rPr>
        <w:t>F</w:t>
      </w:r>
      <w:r w:rsidR="00CF3A23">
        <w:rPr>
          <w:rFonts w:ascii="Times New Roman" w:eastAsia="Times New Roman" w:hAnsi="Times New Roman" w:cs="Times New Roman"/>
          <w:noProof/>
          <w:sz w:val="24"/>
          <w:szCs w:val="24"/>
          <w:lang w:val="en-IE"/>
        </w:rPr>
        <w:t>orce</w:t>
      </w:r>
      <w:r w:rsidRPr="00E03D97">
        <w:rPr>
          <w:rFonts w:ascii="Times New Roman" w:eastAsia="Times New Roman" w:hAnsi="Times New Roman" w:cs="Times New Roman"/>
          <w:noProof/>
          <w:sz w:val="24"/>
          <w:szCs w:val="24"/>
          <w:lang w:val="en-IE"/>
        </w:rPr>
        <w:t xml:space="preserve"> will include experts from the Member States, ECDC staff</w:t>
      </w:r>
      <w:r w:rsidR="00BE1A6C" w:rsidRPr="00E03D97">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current and former fellows of the European Programme for Intervention Epidemiology Training </w:t>
      </w:r>
      <w:r w:rsidR="00BE1A6C" w:rsidRPr="00E03D97">
        <w:rPr>
          <w:rFonts w:ascii="Times New Roman" w:eastAsia="Times New Roman" w:hAnsi="Times New Roman" w:cs="Times New Roman"/>
          <w:noProof/>
          <w:sz w:val="24"/>
          <w:szCs w:val="24"/>
          <w:lang w:val="en-IE"/>
        </w:rPr>
        <w:t>and a newly established list of experts</w:t>
      </w:r>
      <w:r w:rsidRPr="00E03D97">
        <w:rPr>
          <w:rFonts w:ascii="Times New Roman" w:eastAsia="Times New Roman" w:hAnsi="Times New Roman" w:cs="Times New Roman"/>
          <w:noProof/>
          <w:sz w:val="24"/>
          <w:szCs w:val="24"/>
          <w:lang w:val="en-IE"/>
        </w:rPr>
        <w:t xml:space="preserve">. The </w:t>
      </w:r>
      <w:r w:rsidR="006D698D">
        <w:rPr>
          <w:rFonts w:ascii="Times New Roman" w:eastAsia="Times New Roman" w:hAnsi="Times New Roman" w:cs="Times New Roman"/>
          <w:noProof/>
          <w:sz w:val="24"/>
          <w:szCs w:val="24"/>
          <w:lang w:val="en-IE"/>
        </w:rPr>
        <w:t xml:space="preserve">EU </w:t>
      </w:r>
      <w:r w:rsidR="00CF3A23" w:rsidRPr="00E03D97">
        <w:rPr>
          <w:rFonts w:ascii="Times New Roman" w:eastAsia="Times New Roman" w:hAnsi="Times New Roman" w:cs="Times New Roman"/>
          <w:noProof/>
          <w:sz w:val="24"/>
          <w:szCs w:val="24"/>
          <w:lang w:val="en-IE"/>
        </w:rPr>
        <w:t>Health Task Force</w:t>
      </w:r>
      <w:r w:rsidRPr="00E03D97">
        <w:rPr>
          <w:rFonts w:ascii="Times New Roman" w:eastAsia="Times New Roman" w:hAnsi="Times New Roman" w:cs="Times New Roman"/>
          <w:noProof/>
          <w:sz w:val="24"/>
          <w:szCs w:val="24"/>
          <w:lang w:val="en-IE"/>
        </w:rPr>
        <w:t xml:space="preserve"> </w:t>
      </w:r>
      <w:r w:rsidR="00CF3A23">
        <w:rPr>
          <w:rFonts w:ascii="Times New Roman" w:eastAsia="Times New Roman" w:hAnsi="Times New Roman" w:cs="Times New Roman"/>
          <w:noProof/>
          <w:sz w:val="24"/>
          <w:szCs w:val="24"/>
          <w:lang w:val="en-IE"/>
        </w:rPr>
        <w:t>can</w:t>
      </w:r>
      <w:r w:rsidR="00CF3A23"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provide assistance to both EU and non-EU countries.</w:t>
      </w:r>
    </w:p>
    <w:p w14:paraId="0F91FDEB" w14:textId="5C73D23E" w:rsidR="001F1738" w:rsidRPr="00E03D97" w:rsidRDefault="00357B1E"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The </w:t>
      </w:r>
      <w:r w:rsidR="001F1738" w:rsidRPr="00E03D97">
        <w:rPr>
          <w:rFonts w:ascii="Times New Roman" w:eastAsia="Times New Roman" w:hAnsi="Times New Roman" w:cs="Times New Roman"/>
          <w:noProof/>
          <w:sz w:val="24"/>
          <w:szCs w:val="24"/>
          <w:lang w:val="en-IE"/>
        </w:rPr>
        <w:t xml:space="preserve">ECDC has created an </w:t>
      </w:r>
      <w:r w:rsidR="001F1738" w:rsidRPr="00B43F78">
        <w:rPr>
          <w:rFonts w:ascii="Times New Roman" w:eastAsia="Times New Roman" w:hAnsi="Times New Roman" w:cs="Times New Roman"/>
          <w:noProof/>
          <w:sz w:val="24"/>
          <w:szCs w:val="24"/>
          <w:lang w:val="en-IE"/>
        </w:rPr>
        <w:t>ad hoc</w:t>
      </w:r>
      <w:r w:rsidR="001F1738" w:rsidRPr="00E03D97">
        <w:rPr>
          <w:rFonts w:ascii="Times New Roman" w:eastAsia="Times New Roman" w:hAnsi="Times New Roman" w:cs="Times New Roman"/>
          <w:noProof/>
          <w:sz w:val="24"/>
          <w:szCs w:val="24"/>
          <w:lang w:val="en-IE"/>
        </w:rPr>
        <w:t xml:space="preserve"> </w:t>
      </w:r>
      <w:r w:rsidR="006D698D">
        <w:rPr>
          <w:rFonts w:ascii="Times New Roman" w:eastAsia="Times New Roman" w:hAnsi="Times New Roman" w:cs="Times New Roman"/>
          <w:noProof/>
          <w:sz w:val="24"/>
          <w:szCs w:val="24"/>
          <w:lang w:val="en-IE"/>
        </w:rPr>
        <w:t>w</w:t>
      </w:r>
      <w:r w:rsidR="001F1738" w:rsidRPr="00E03D97">
        <w:rPr>
          <w:rFonts w:ascii="Times New Roman" w:eastAsia="Times New Roman" w:hAnsi="Times New Roman" w:cs="Times New Roman"/>
          <w:noProof/>
          <w:sz w:val="24"/>
          <w:szCs w:val="24"/>
          <w:lang w:val="en-IE"/>
        </w:rPr>
        <w:t xml:space="preserve">orking </w:t>
      </w:r>
      <w:r w:rsidR="006D698D">
        <w:rPr>
          <w:rFonts w:ascii="Times New Roman" w:eastAsia="Times New Roman" w:hAnsi="Times New Roman" w:cs="Times New Roman"/>
          <w:noProof/>
          <w:sz w:val="24"/>
          <w:szCs w:val="24"/>
          <w:lang w:val="en-IE"/>
        </w:rPr>
        <w:t>g</w:t>
      </w:r>
      <w:r w:rsidR="001F1738" w:rsidRPr="00E03D97">
        <w:rPr>
          <w:rFonts w:ascii="Times New Roman" w:eastAsia="Times New Roman" w:hAnsi="Times New Roman" w:cs="Times New Roman"/>
          <w:noProof/>
          <w:sz w:val="24"/>
          <w:szCs w:val="24"/>
          <w:lang w:val="en-IE"/>
        </w:rPr>
        <w:t xml:space="preserve">roup </w:t>
      </w:r>
      <w:r w:rsidR="000F2FA6">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 xml:space="preserve">composed of Member State experts, representatives of </w:t>
      </w:r>
      <w:r w:rsidR="00393EBF">
        <w:rPr>
          <w:rFonts w:ascii="Times New Roman" w:eastAsia="Times New Roman" w:hAnsi="Times New Roman" w:cs="Times New Roman"/>
          <w:noProof/>
          <w:sz w:val="24"/>
          <w:szCs w:val="24"/>
          <w:lang w:val="en-IE"/>
        </w:rPr>
        <w:t>the Commission</w:t>
      </w:r>
      <w:r w:rsidR="001F1738" w:rsidRPr="00E03D97">
        <w:rPr>
          <w:rFonts w:ascii="Times New Roman" w:eastAsia="Times New Roman" w:hAnsi="Times New Roman" w:cs="Times New Roman"/>
          <w:noProof/>
          <w:sz w:val="24"/>
          <w:szCs w:val="24"/>
          <w:lang w:val="en-IE"/>
        </w:rPr>
        <w:t xml:space="preserve"> and </w:t>
      </w:r>
      <w:r w:rsidR="000F2FA6">
        <w:rPr>
          <w:rFonts w:ascii="Times New Roman" w:eastAsia="Times New Roman" w:hAnsi="Times New Roman" w:cs="Times New Roman"/>
          <w:noProof/>
          <w:sz w:val="24"/>
          <w:szCs w:val="24"/>
          <w:lang w:val="en-IE"/>
        </w:rPr>
        <w:t xml:space="preserve">the </w:t>
      </w:r>
      <w:r w:rsidR="001F1738" w:rsidRPr="00E03D97">
        <w:rPr>
          <w:rFonts w:ascii="Times New Roman" w:eastAsia="Times New Roman" w:hAnsi="Times New Roman" w:cs="Times New Roman"/>
          <w:noProof/>
          <w:sz w:val="24"/>
          <w:szCs w:val="24"/>
          <w:lang w:val="en-IE"/>
        </w:rPr>
        <w:t>WHO</w:t>
      </w:r>
      <w:r w:rsidR="000F2FA6">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 xml:space="preserve"> to advise </w:t>
      </w:r>
      <w:r w:rsidR="000F2FA6">
        <w:rPr>
          <w:rFonts w:ascii="Times New Roman" w:eastAsia="Times New Roman" w:hAnsi="Times New Roman" w:cs="Times New Roman"/>
          <w:noProof/>
          <w:sz w:val="24"/>
          <w:szCs w:val="24"/>
          <w:lang w:val="en-IE"/>
        </w:rPr>
        <w:t xml:space="preserve">the </w:t>
      </w:r>
      <w:r w:rsidR="001F1738" w:rsidRPr="00E03D97">
        <w:rPr>
          <w:rFonts w:ascii="Times New Roman" w:eastAsia="Times New Roman" w:hAnsi="Times New Roman" w:cs="Times New Roman"/>
          <w:noProof/>
          <w:sz w:val="24"/>
          <w:szCs w:val="24"/>
          <w:lang w:val="en-IE"/>
        </w:rPr>
        <w:t>ECDC on the establishment of the EU</w:t>
      </w:r>
      <w:r w:rsidR="00393EBF">
        <w:rPr>
          <w:rFonts w:ascii="Times New Roman" w:eastAsia="Times New Roman" w:hAnsi="Times New Roman" w:cs="Times New Roman"/>
          <w:noProof/>
          <w:sz w:val="24"/>
          <w:szCs w:val="24"/>
          <w:lang w:val="en-IE"/>
        </w:rPr>
        <w:t xml:space="preserve"> </w:t>
      </w:r>
      <w:r w:rsidR="00393EBF" w:rsidRPr="00E03D97">
        <w:rPr>
          <w:rFonts w:ascii="Times New Roman" w:eastAsia="Times New Roman" w:hAnsi="Times New Roman" w:cs="Times New Roman"/>
          <w:noProof/>
          <w:sz w:val="24"/>
          <w:szCs w:val="24"/>
          <w:lang w:val="en-IE"/>
        </w:rPr>
        <w:t>Health Task Force</w:t>
      </w:r>
      <w:r w:rsidR="001F1738" w:rsidRPr="00E03D97">
        <w:rPr>
          <w:rFonts w:ascii="Times New Roman" w:eastAsia="Times New Roman" w:hAnsi="Times New Roman" w:cs="Times New Roman"/>
          <w:noProof/>
          <w:sz w:val="24"/>
          <w:szCs w:val="24"/>
          <w:lang w:val="en-IE"/>
        </w:rPr>
        <w:t xml:space="preserve">. Once operational, the ECDC will set up a permanent advisory group and a team to coordinate the work of the </w:t>
      </w:r>
      <w:r w:rsidR="00393EBF" w:rsidRPr="00E03D97">
        <w:rPr>
          <w:rFonts w:ascii="Times New Roman" w:eastAsia="Times New Roman" w:hAnsi="Times New Roman" w:cs="Times New Roman"/>
          <w:noProof/>
          <w:sz w:val="24"/>
          <w:szCs w:val="24"/>
          <w:lang w:val="en-IE"/>
        </w:rPr>
        <w:t>Health Task Force</w:t>
      </w:r>
      <w:r w:rsidR="001F1738" w:rsidRPr="00E03D97">
        <w:rPr>
          <w:rFonts w:ascii="Times New Roman" w:eastAsia="Times New Roman" w:hAnsi="Times New Roman" w:cs="Times New Roman"/>
          <w:noProof/>
          <w:sz w:val="24"/>
          <w:szCs w:val="24"/>
          <w:lang w:val="en-IE"/>
        </w:rPr>
        <w:t>.</w:t>
      </w:r>
    </w:p>
    <w:p w14:paraId="6EC6DB0A" w14:textId="77777777"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i/>
          <w:iCs/>
          <w:noProof/>
          <w:sz w:val="28"/>
          <w:szCs w:val="28"/>
          <w:lang w:val="en-IE"/>
        </w:rPr>
      </w:pPr>
      <w:r w:rsidRPr="00E03D97">
        <w:rPr>
          <w:rFonts w:ascii="Times New Roman" w:eastAsia="Times New Roman" w:hAnsi="Times New Roman" w:cs="Times New Roman"/>
          <w:b/>
          <w:bCs/>
          <w:i/>
          <w:iCs/>
          <w:noProof/>
          <w:sz w:val="24"/>
          <w:szCs w:val="24"/>
          <w:lang w:val="en-IE"/>
        </w:rPr>
        <w:t xml:space="preserve">EMA Emergency Task Force </w:t>
      </w:r>
    </w:p>
    <w:p w14:paraId="5DCDF116" w14:textId="23138940"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The EMA Emergency Task Force (</w:t>
      </w:r>
      <w:r w:rsidR="000F2FA6">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ETF) is an advisory and support body that </w:t>
      </w:r>
      <w:r w:rsidR="000F2FA6">
        <w:rPr>
          <w:rFonts w:ascii="Times New Roman" w:eastAsia="Times New Roman" w:hAnsi="Times New Roman" w:cs="Times New Roman"/>
          <w:noProof/>
          <w:sz w:val="24"/>
          <w:szCs w:val="24"/>
          <w:lang w:val="en-IE"/>
        </w:rPr>
        <w:t>carries out</w:t>
      </w:r>
      <w:r w:rsidR="000F2FA6"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regulatory activities in preparation for and during a public</w:t>
      </w:r>
      <w:r w:rsidR="000F7AAC">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health emergency, such as a pandemic. </w:t>
      </w:r>
      <w:r w:rsidR="00393EBF" w:rsidRPr="001F1738">
        <w:rPr>
          <w:rFonts w:ascii="Times New Roman" w:eastAsia="Times New Roman" w:hAnsi="Times New Roman" w:cs="Times New Roman"/>
          <w:noProof/>
          <w:sz w:val="24"/>
          <w:szCs w:val="24"/>
          <w:lang w:val="en-IE"/>
        </w:rPr>
        <w:t>Regulation (EU) 2022/123</w:t>
      </w:r>
      <w:r w:rsidR="00393EBF">
        <w:rPr>
          <w:rFonts w:ascii="Times New Roman" w:eastAsia="Times New Roman" w:hAnsi="Times New Roman" w:cs="Times New Roman"/>
          <w:noProof/>
          <w:sz w:val="24"/>
          <w:szCs w:val="24"/>
          <w:lang w:val="en-IE"/>
        </w:rPr>
        <w:t>, which</w:t>
      </w:r>
      <w:r w:rsidRPr="00E03D97">
        <w:rPr>
          <w:rFonts w:ascii="Times New Roman" w:eastAsia="Times New Roman" w:hAnsi="Times New Roman" w:cs="Times New Roman"/>
          <w:noProof/>
          <w:sz w:val="24"/>
          <w:szCs w:val="24"/>
          <w:lang w:val="en-IE"/>
        </w:rPr>
        <w:t xml:space="preserve"> strengthened </w:t>
      </w:r>
      <w:r w:rsidR="00393EBF">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mandate</w:t>
      </w:r>
      <w:r w:rsidR="000F2FA6">
        <w:rPr>
          <w:rFonts w:ascii="Times New Roman" w:eastAsia="Times New Roman" w:hAnsi="Times New Roman" w:cs="Times New Roman"/>
          <w:noProof/>
          <w:sz w:val="24"/>
          <w:szCs w:val="24"/>
          <w:lang w:val="en-IE"/>
        </w:rPr>
        <w:t> </w:t>
      </w:r>
      <w:r w:rsidR="00393EBF">
        <w:rPr>
          <w:rFonts w:ascii="Times New Roman" w:eastAsia="Times New Roman" w:hAnsi="Times New Roman" w:cs="Times New Roman"/>
          <w:noProof/>
          <w:sz w:val="24"/>
          <w:szCs w:val="24"/>
          <w:lang w:val="en-IE"/>
        </w:rPr>
        <w:t xml:space="preserve">of </w:t>
      </w:r>
      <w:r w:rsidR="00DA6408">
        <w:rPr>
          <w:rFonts w:ascii="Times New Roman" w:eastAsia="Times New Roman" w:hAnsi="Times New Roman" w:cs="Times New Roman"/>
          <w:noProof/>
          <w:sz w:val="24"/>
          <w:szCs w:val="24"/>
          <w:lang w:val="en-IE"/>
        </w:rPr>
        <w:t xml:space="preserve">the </w:t>
      </w:r>
      <w:r w:rsidR="00393EBF">
        <w:rPr>
          <w:rFonts w:ascii="Times New Roman" w:eastAsia="Times New Roman" w:hAnsi="Times New Roman" w:cs="Times New Roman"/>
          <w:noProof/>
          <w:sz w:val="24"/>
          <w:szCs w:val="24"/>
          <w:lang w:val="en-IE"/>
        </w:rPr>
        <w:t>EMA</w:t>
      </w:r>
      <w:r w:rsidRPr="00E03D97">
        <w:rPr>
          <w:rFonts w:ascii="Times New Roman" w:eastAsia="Times New Roman" w:hAnsi="Times New Roman" w:cs="Times New Roman"/>
          <w:noProof/>
          <w:sz w:val="24"/>
          <w:szCs w:val="24"/>
          <w:vertAlign w:val="superscript"/>
          <w:lang w:val="en-IE"/>
        </w:rPr>
        <w:footnoteReference w:id="92"/>
      </w:r>
      <w:r w:rsidR="00393EBF">
        <w:rPr>
          <w:rFonts w:ascii="Times New Roman" w:eastAsia="Times New Roman" w:hAnsi="Times New Roman" w:cs="Times New Roman"/>
          <w:noProof/>
          <w:sz w:val="24"/>
          <w:szCs w:val="24"/>
          <w:lang w:val="en-IE"/>
        </w:rPr>
        <w:t xml:space="preserve">, and became applicable as of 1 </w:t>
      </w:r>
      <w:r w:rsidR="00393EBF" w:rsidRPr="001F1738">
        <w:rPr>
          <w:rFonts w:ascii="Times New Roman" w:eastAsia="Times New Roman" w:hAnsi="Times New Roman" w:cs="Times New Roman"/>
          <w:noProof/>
          <w:sz w:val="24"/>
          <w:szCs w:val="24"/>
          <w:lang w:val="en-IE"/>
        </w:rPr>
        <w:t>March 2022</w:t>
      </w:r>
      <w:r w:rsidR="00393EBF">
        <w:rPr>
          <w:rFonts w:ascii="Times New Roman" w:eastAsia="Times New Roman"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established </w:t>
      </w:r>
      <w:r w:rsidR="000F2FA6">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ETF as a formal advisory and support body focusing on medicines for public health emergencies and preparedness. </w:t>
      </w:r>
      <w:r w:rsidR="00393EBF">
        <w:rPr>
          <w:rFonts w:ascii="Times New Roman" w:eastAsia="Times New Roman" w:hAnsi="Times New Roman" w:cs="Times New Roman"/>
          <w:noProof/>
          <w:sz w:val="24"/>
          <w:szCs w:val="24"/>
          <w:lang w:val="en-IE"/>
        </w:rPr>
        <w:t>In April 2022, t</w:t>
      </w:r>
      <w:r w:rsidRPr="00E03D97">
        <w:rPr>
          <w:rFonts w:ascii="Times New Roman" w:eastAsia="Times New Roman" w:hAnsi="Times New Roman" w:cs="Times New Roman"/>
          <w:noProof/>
          <w:sz w:val="24"/>
          <w:szCs w:val="24"/>
          <w:lang w:val="en-IE"/>
        </w:rPr>
        <w:t xml:space="preserve">he ETF took over the activities of the COVID-19 EMA Pandemic Task Force, which </w:t>
      </w:r>
      <w:r w:rsidR="00DA6408">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EMA </w:t>
      </w:r>
      <w:r w:rsidR="005C3AB5">
        <w:rPr>
          <w:rFonts w:ascii="Times New Roman" w:eastAsia="Times New Roman" w:hAnsi="Times New Roman" w:cs="Times New Roman"/>
          <w:noProof/>
          <w:sz w:val="24"/>
          <w:szCs w:val="24"/>
          <w:lang w:val="en-IE"/>
        </w:rPr>
        <w:t xml:space="preserve">had </w:t>
      </w:r>
      <w:r w:rsidRPr="00E03D97">
        <w:rPr>
          <w:rFonts w:ascii="Times New Roman" w:eastAsia="Times New Roman" w:hAnsi="Times New Roman" w:cs="Times New Roman"/>
          <w:noProof/>
          <w:sz w:val="24"/>
          <w:szCs w:val="24"/>
          <w:lang w:val="en-IE"/>
        </w:rPr>
        <w:t>convened in March 2020 to address the COVID-19 pandemic. Regulation</w:t>
      </w:r>
      <w:r w:rsidR="005C3AB5">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(EU)</w:t>
      </w:r>
      <w:r w:rsidR="005C3AB5">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2022/123 made the group permanent and entrusted it with an important role in crisis preparedness. In 2023, the ETF continued supporting EMA scientific committees with the authorisation and safety</w:t>
      </w:r>
      <w:r w:rsidR="00605154">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monitoring of medicines and with recommendations on the use of medicines prior to authorisation. </w:t>
      </w:r>
      <w:r w:rsidR="00DA6408">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ETF looked into available treatment options to combat the COVID-19 pandemic and the MPOX outbreak, such as facilitating clinical trials and working with EU partners.</w:t>
      </w:r>
    </w:p>
    <w:p w14:paraId="5A0FBA0B" w14:textId="77777777" w:rsidR="001F1738" w:rsidRPr="00E03D97" w:rsidRDefault="001F1738" w:rsidP="00B55BF2">
      <w:pPr>
        <w:spacing w:before="480" w:after="100" w:afterAutospacing="1" w:line="240" w:lineRule="auto"/>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5. RECOVERY</w:t>
      </w:r>
    </w:p>
    <w:p w14:paraId="28612911" w14:textId="7D9C25F5" w:rsidR="001F1738" w:rsidRPr="00E03D97" w:rsidRDefault="001F1738" w:rsidP="001F1738">
      <w:pPr>
        <w:keepNext/>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The effects of a serious health crisis can be </w:t>
      </w:r>
      <w:r w:rsidR="00F11611">
        <w:rPr>
          <w:rFonts w:ascii="Times New Roman" w:eastAsiaTheme="minorEastAsia" w:hAnsi="Times New Roman" w:cs="Times New Roman"/>
          <w:noProof/>
          <w:sz w:val="24"/>
          <w:szCs w:val="24"/>
          <w:lang w:val="en-IE"/>
        </w:rPr>
        <w:t>profound</w:t>
      </w:r>
      <w:r w:rsidR="00F11611"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and long-lasting. </w:t>
      </w:r>
      <w:r w:rsidR="005C3AB5">
        <w:rPr>
          <w:rFonts w:ascii="Times New Roman" w:eastAsiaTheme="minorEastAsia" w:hAnsi="Times New Roman" w:cs="Times New Roman"/>
          <w:noProof/>
          <w:sz w:val="24"/>
          <w:szCs w:val="24"/>
          <w:lang w:val="en-IE"/>
        </w:rPr>
        <w:t>T</w:t>
      </w:r>
      <w:r w:rsidRPr="00E03D97">
        <w:rPr>
          <w:rFonts w:ascii="Times New Roman" w:eastAsiaTheme="minorEastAsia" w:hAnsi="Times New Roman" w:cs="Times New Roman"/>
          <w:noProof/>
          <w:sz w:val="24"/>
          <w:szCs w:val="24"/>
          <w:lang w:val="en-IE"/>
        </w:rPr>
        <w:t>he COVID-19 pandemic</w:t>
      </w:r>
      <w:r w:rsidR="005C3AB5">
        <w:rPr>
          <w:rFonts w:ascii="Times New Roman" w:eastAsiaTheme="minorEastAsia" w:hAnsi="Times New Roman" w:cs="Times New Roman"/>
          <w:noProof/>
          <w:sz w:val="24"/>
          <w:szCs w:val="24"/>
          <w:lang w:val="en-IE"/>
        </w:rPr>
        <w:t xml:space="preserve"> placed</w:t>
      </w:r>
      <w:r w:rsidRPr="00E03D97">
        <w:rPr>
          <w:rFonts w:ascii="Times New Roman" w:eastAsiaTheme="minorEastAsia" w:hAnsi="Times New Roman" w:cs="Times New Roman"/>
          <w:noProof/>
          <w:sz w:val="24"/>
          <w:szCs w:val="24"/>
          <w:lang w:val="en-IE"/>
        </w:rPr>
        <w:t xml:space="preserve"> health systems under severe strain, </w:t>
      </w:r>
      <w:r w:rsidR="00627FF6">
        <w:rPr>
          <w:rFonts w:ascii="Times New Roman" w:eastAsiaTheme="minorEastAsia" w:hAnsi="Times New Roman" w:cs="Times New Roman"/>
          <w:noProof/>
          <w:sz w:val="24"/>
          <w:szCs w:val="24"/>
          <w:lang w:val="en-IE"/>
        </w:rPr>
        <w:t>and even at</w:t>
      </w:r>
      <w:r w:rsidRPr="00E03D97">
        <w:rPr>
          <w:rFonts w:ascii="Times New Roman" w:eastAsiaTheme="minorEastAsia" w:hAnsi="Times New Roman" w:cs="Times New Roman"/>
          <w:noProof/>
          <w:sz w:val="24"/>
          <w:szCs w:val="24"/>
          <w:lang w:val="en-IE"/>
        </w:rPr>
        <w:t xml:space="preserve"> risk of collapse. It is essential to support the recovery of Member States and their respective health systems at all levels. This can be </w:t>
      </w:r>
      <w:r w:rsidR="002D6120">
        <w:rPr>
          <w:rFonts w:ascii="Times New Roman" w:eastAsiaTheme="minorEastAsia" w:hAnsi="Times New Roman" w:cs="Times New Roman"/>
          <w:noProof/>
          <w:sz w:val="24"/>
          <w:szCs w:val="24"/>
          <w:lang w:val="en-IE"/>
        </w:rPr>
        <w:t xml:space="preserve">done </w:t>
      </w:r>
      <w:r w:rsidR="00F11611">
        <w:rPr>
          <w:rFonts w:ascii="Times New Roman" w:eastAsiaTheme="minorEastAsia" w:hAnsi="Times New Roman" w:cs="Times New Roman"/>
          <w:noProof/>
          <w:sz w:val="24"/>
          <w:szCs w:val="24"/>
          <w:lang w:val="en-IE"/>
        </w:rPr>
        <w:t xml:space="preserve">not only </w:t>
      </w:r>
      <w:r w:rsidRPr="00E03D97">
        <w:rPr>
          <w:rFonts w:ascii="Times New Roman" w:eastAsiaTheme="minorEastAsia" w:hAnsi="Times New Roman" w:cs="Times New Roman"/>
          <w:noProof/>
          <w:sz w:val="24"/>
          <w:szCs w:val="24"/>
          <w:lang w:val="en-IE"/>
        </w:rPr>
        <w:t xml:space="preserve">through financial help, but also </w:t>
      </w:r>
      <w:r w:rsidR="00F11611">
        <w:rPr>
          <w:rFonts w:ascii="Times New Roman" w:eastAsiaTheme="minorEastAsia" w:hAnsi="Times New Roman" w:cs="Times New Roman"/>
          <w:noProof/>
          <w:sz w:val="24"/>
          <w:szCs w:val="24"/>
          <w:lang w:val="en-IE"/>
        </w:rPr>
        <w:t xml:space="preserve">through </w:t>
      </w:r>
      <w:r w:rsidRPr="00E03D97">
        <w:rPr>
          <w:rFonts w:ascii="Times New Roman" w:eastAsiaTheme="minorEastAsia" w:hAnsi="Times New Roman" w:cs="Times New Roman"/>
          <w:noProof/>
          <w:sz w:val="24"/>
          <w:szCs w:val="24"/>
          <w:lang w:val="en-IE"/>
        </w:rPr>
        <w:t>direct help to those most affected by the measures put in place in times of crisis. In the case of COVID-19, it is known that the mental health of many people deteriorated as a result of the pandemic and that many are still suffering from</w:t>
      </w:r>
      <w:r w:rsidR="00204A8F">
        <w:rPr>
          <w:rFonts w:ascii="Times New Roman" w:eastAsiaTheme="minorEastAsia" w:hAnsi="Times New Roman" w:cs="Times New Roman"/>
          <w:noProof/>
          <w:sz w:val="24"/>
          <w:szCs w:val="24"/>
          <w:lang w:val="en-IE"/>
        </w:rPr>
        <w:t xml:space="preserve"> </w:t>
      </w:r>
      <w:r w:rsidR="00CE1DAE">
        <w:rPr>
          <w:rFonts w:ascii="Times New Roman" w:eastAsiaTheme="minorEastAsia" w:hAnsi="Times New Roman" w:cs="Times New Roman"/>
          <w:noProof/>
          <w:sz w:val="24"/>
          <w:szCs w:val="24"/>
          <w:lang w:val="en-IE"/>
        </w:rPr>
        <w:t>l</w:t>
      </w:r>
      <w:r w:rsidRPr="00E03D97">
        <w:rPr>
          <w:rFonts w:ascii="Times New Roman" w:eastAsiaTheme="minorEastAsia" w:hAnsi="Times New Roman" w:cs="Times New Roman"/>
          <w:noProof/>
          <w:sz w:val="24"/>
          <w:szCs w:val="24"/>
          <w:lang w:val="en-IE"/>
        </w:rPr>
        <w:t>ong</w:t>
      </w:r>
      <w:r w:rsidR="0046793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COVID. At the same time, recovery also entails tak</w:t>
      </w:r>
      <w:r w:rsidR="00627FF6">
        <w:rPr>
          <w:rFonts w:ascii="Times New Roman" w:eastAsiaTheme="minorEastAsia" w:hAnsi="Times New Roman" w:cs="Times New Roman"/>
          <w:noProof/>
          <w:sz w:val="24"/>
          <w:szCs w:val="24"/>
          <w:lang w:val="en-IE"/>
        </w:rPr>
        <w:t>ing</w:t>
      </w:r>
      <w:r w:rsidRPr="00E03D97">
        <w:rPr>
          <w:rFonts w:ascii="Times New Roman" w:eastAsiaTheme="minorEastAsia" w:hAnsi="Times New Roman" w:cs="Times New Roman"/>
          <w:noProof/>
          <w:sz w:val="24"/>
          <w:szCs w:val="24"/>
          <w:lang w:val="en-IE"/>
        </w:rPr>
        <w:t xml:space="preserve"> stock of past events, so that we learn how to </w:t>
      </w:r>
      <w:r w:rsidR="002D6120" w:rsidRPr="00E03D97">
        <w:rPr>
          <w:rFonts w:ascii="Times New Roman" w:eastAsiaTheme="minorEastAsia" w:hAnsi="Times New Roman" w:cs="Times New Roman"/>
          <w:noProof/>
          <w:sz w:val="24"/>
          <w:szCs w:val="24"/>
          <w:lang w:val="en-IE"/>
        </w:rPr>
        <w:t xml:space="preserve">further </w:t>
      </w:r>
      <w:r w:rsidRPr="00E03D97">
        <w:rPr>
          <w:rFonts w:ascii="Times New Roman" w:eastAsiaTheme="minorEastAsia" w:hAnsi="Times New Roman" w:cs="Times New Roman"/>
          <w:noProof/>
          <w:sz w:val="24"/>
          <w:szCs w:val="24"/>
          <w:lang w:val="en-IE"/>
        </w:rPr>
        <w:t>improve our prevention</w:t>
      </w:r>
      <w:r w:rsidR="00393EBF">
        <w:rPr>
          <w:rFonts w:ascii="Times New Roman" w:eastAsiaTheme="minorEastAsia" w:hAnsi="Times New Roman" w:cs="Times New Roman"/>
          <w:noProof/>
          <w:sz w:val="24"/>
          <w:szCs w:val="24"/>
          <w:lang w:val="en-IE"/>
        </w:rPr>
        <w:t xml:space="preserve"> and</w:t>
      </w:r>
      <w:r w:rsidRPr="00E03D97">
        <w:rPr>
          <w:rFonts w:ascii="Times New Roman" w:eastAsiaTheme="minorEastAsia" w:hAnsi="Times New Roman" w:cs="Times New Roman"/>
          <w:noProof/>
          <w:sz w:val="24"/>
          <w:szCs w:val="24"/>
          <w:lang w:val="en-IE"/>
        </w:rPr>
        <w:t xml:space="preserve"> preparedness</w:t>
      </w:r>
      <w:r w:rsidR="00393EBF">
        <w:rPr>
          <w:rFonts w:ascii="Times New Roman" w:eastAsiaTheme="minorEastAsia" w:hAnsi="Times New Roman" w:cs="Times New Roman"/>
          <w:noProof/>
          <w:sz w:val="24"/>
          <w:szCs w:val="24"/>
          <w:lang w:val="en-IE"/>
        </w:rPr>
        <w:t xml:space="preserve"> for,</w:t>
      </w:r>
      <w:r w:rsidRPr="00E03D97">
        <w:rPr>
          <w:rFonts w:ascii="Times New Roman" w:eastAsiaTheme="minorEastAsia" w:hAnsi="Times New Roman" w:cs="Times New Roman"/>
          <w:noProof/>
          <w:sz w:val="24"/>
          <w:szCs w:val="24"/>
          <w:lang w:val="en-IE"/>
        </w:rPr>
        <w:t xml:space="preserve"> and response to</w:t>
      </w:r>
      <w:r w:rsidR="00393EBF">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w:t>
      </w:r>
      <w:r w:rsidR="00393EBF">
        <w:rPr>
          <w:rFonts w:ascii="Times New Roman" w:eastAsiaTheme="minorEastAsia" w:hAnsi="Times New Roman" w:cs="Times New Roman"/>
          <w:noProof/>
          <w:sz w:val="24"/>
          <w:szCs w:val="24"/>
          <w:lang w:val="en-IE"/>
        </w:rPr>
        <w:t xml:space="preserve">serious </w:t>
      </w:r>
      <w:r w:rsidRPr="00E03D97">
        <w:rPr>
          <w:rFonts w:ascii="Times New Roman" w:eastAsiaTheme="minorEastAsia" w:hAnsi="Times New Roman" w:cs="Times New Roman"/>
          <w:noProof/>
          <w:sz w:val="24"/>
          <w:szCs w:val="24"/>
          <w:lang w:val="en-IE"/>
        </w:rPr>
        <w:t>cross-border health threats.</w:t>
      </w:r>
    </w:p>
    <w:p w14:paraId="32712853" w14:textId="77777777"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 xml:space="preserve">Recovery and effectiveness of public health measures </w:t>
      </w:r>
    </w:p>
    <w:p w14:paraId="3A24C601" w14:textId="3E4B1903" w:rsidR="001F1738" w:rsidRPr="00E03D97" w:rsidRDefault="002D6120"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The </w:t>
      </w:r>
      <w:r w:rsidR="001F1738" w:rsidRPr="00E03D97">
        <w:rPr>
          <w:rFonts w:ascii="Times New Roman" w:eastAsia="Times New Roman" w:hAnsi="Times New Roman" w:cs="Times New Roman"/>
          <w:noProof/>
          <w:sz w:val="24"/>
          <w:szCs w:val="24"/>
          <w:lang w:val="en-IE"/>
        </w:rPr>
        <w:t>ECDC is continuing to assess the evidence</w:t>
      </w:r>
      <w:r w:rsidR="00DA6408">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base from the COVID-19 pandemic</w:t>
      </w:r>
      <w:r>
        <w:rPr>
          <w:rFonts w:ascii="Times New Roman" w:eastAsia="Times New Roman" w:hAnsi="Times New Roman" w:cs="Times New Roman"/>
          <w:noProof/>
          <w:sz w:val="24"/>
          <w:szCs w:val="24"/>
          <w:lang w:val="en-IE"/>
        </w:rPr>
        <w:t xml:space="preserve"> by</w:t>
      </w:r>
      <w:r w:rsidR="001F1738" w:rsidRPr="00E03D97">
        <w:rPr>
          <w:rFonts w:ascii="Times New Roman" w:eastAsia="Times New Roman" w:hAnsi="Times New Roman" w:cs="Times New Roman"/>
          <w:noProof/>
          <w:sz w:val="24"/>
          <w:szCs w:val="24"/>
          <w:lang w:val="en-IE"/>
        </w:rPr>
        <w:t xml:space="preserve"> carrying out systematic literature reviews on various operational and scientific questions that arose during the pandemic, including the </w:t>
      </w:r>
      <w:r w:rsidR="00C34FD6">
        <w:rPr>
          <w:rFonts w:ascii="Times New Roman" w:eastAsia="Times New Roman" w:hAnsi="Times New Roman" w:cs="Times New Roman"/>
          <w:noProof/>
          <w:sz w:val="24"/>
          <w:szCs w:val="24"/>
          <w:lang w:val="en-IE"/>
        </w:rPr>
        <w:t>efficiency</w:t>
      </w:r>
      <w:r w:rsidR="00C34FD6"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and cost</w:t>
      </w:r>
      <w:r w:rsidR="008C498B">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 xml:space="preserve">effectiveness of non-pharmaceutical interventions, aircraft transmission of SARS-CoV-2, </w:t>
      </w:r>
      <w:r w:rsidR="00CE1DAE">
        <w:rPr>
          <w:rFonts w:ascii="Times New Roman" w:eastAsia="Times New Roman" w:hAnsi="Times New Roman" w:cs="Times New Roman"/>
          <w:noProof/>
          <w:sz w:val="24"/>
          <w:szCs w:val="24"/>
          <w:lang w:val="en-IE"/>
        </w:rPr>
        <w:t>l</w:t>
      </w:r>
      <w:r w:rsidR="00393EBF" w:rsidRPr="00E03D97">
        <w:rPr>
          <w:rFonts w:ascii="Times New Roman" w:eastAsia="Times New Roman" w:hAnsi="Times New Roman" w:cs="Times New Roman"/>
          <w:noProof/>
          <w:sz w:val="24"/>
          <w:szCs w:val="24"/>
          <w:lang w:val="en-IE"/>
        </w:rPr>
        <w:t xml:space="preserve">ong </w:t>
      </w:r>
      <w:r w:rsidR="001F1738" w:rsidRPr="00E03D97">
        <w:rPr>
          <w:rFonts w:ascii="Times New Roman" w:eastAsia="Times New Roman" w:hAnsi="Times New Roman" w:cs="Times New Roman"/>
          <w:noProof/>
          <w:sz w:val="24"/>
          <w:szCs w:val="24"/>
          <w:lang w:val="en-IE"/>
        </w:rPr>
        <w:t xml:space="preserve">COVID, use of masks in community settings, etc. </w:t>
      </w:r>
      <w:r w:rsidR="006F40D0">
        <w:rPr>
          <w:rFonts w:ascii="Times New Roman" w:eastAsia="Times New Roman" w:hAnsi="Times New Roman" w:cs="Times New Roman"/>
          <w:noProof/>
          <w:sz w:val="24"/>
          <w:szCs w:val="24"/>
          <w:lang w:val="en-IE"/>
        </w:rPr>
        <w:t xml:space="preserve">The </w:t>
      </w:r>
      <w:r w:rsidR="001F1738" w:rsidRPr="00E03D97">
        <w:rPr>
          <w:rFonts w:ascii="Times New Roman" w:eastAsia="Times New Roman" w:hAnsi="Times New Roman" w:cs="Times New Roman"/>
          <w:noProof/>
          <w:sz w:val="24"/>
          <w:szCs w:val="24"/>
          <w:lang w:val="en-IE"/>
        </w:rPr>
        <w:t xml:space="preserve">ECDC has conducted several </w:t>
      </w:r>
      <w:r w:rsidR="006F40D0">
        <w:rPr>
          <w:rFonts w:ascii="Times New Roman" w:eastAsia="Times New Roman" w:hAnsi="Times New Roman" w:cs="Times New Roman"/>
          <w:noProof/>
          <w:sz w:val="24"/>
          <w:szCs w:val="24"/>
          <w:lang w:val="en-IE"/>
        </w:rPr>
        <w:t>a</w:t>
      </w:r>
      <w:r w:rsidR="001F1738" w:rsidRPr="00E03D97">
        <w:rPr>
          <w:rFonts w:ascii="Times New Roman" w:eastAsia="Times New Roman" w:hAnsi="Times New Roman" w:cs="Times New Roman"/>
          <w:noProof/>
          <w:sz w:val="24"/>
          <w:szCs w:val="24"/>
          <w:lang w:val="en-IE"/>
        </w:rPr>
        <w:t>fter</w:t>
      </w:r>
      <w:r w:rsidR="0078272D">
        <w:rPr>
          <w:rFonts w:ascii="Times New Roman" w:eastAsia="Times New Roman" w:hAnsi="Times New Roman" w:cs="Times New Roman"/>
          <w:noProof/>
          <w:sz w:val="24"/>
          <w:szCs w:val="24"/>
          <w:lang w:val="en-IE"/>
        </w:rPr>
        <w:t>-</w:t>
      </w:r>
      <w:r w:rsidR="006F40D0">
        <w:rPr>
          <w:rFonts w:ascii="Times New Roman" w:eastAsia="Times New Roman" w:hAnsi="Times New Roman" w:cs="Times New Roman"/>
          <w:noProof/>
          <w:sz w:val="24"/>
          <w:szCs w:val="24"/>
          <w:lang w:val="en-IE"/>
        </w:rPr>
        <w:t>a</w:t>
      </w:r>
      <w:r w:rsidR="001F1738" w:rsidRPr="00E03D97">
        <w:rPr>
          <w:rFonts w:ascii="Times New Roman" w:eastAsia="Times New Roman" w:hAnsi="Times New Roman" w:cs="Times New Roman"/>
          <w:noProof/>
          <w:sz w:val="24"/>
          <w:szCs w:val="24"/>
          <w:lang w:val="en-IE"/>
        </w:rPr>
        <w:t xml:space="preserve">ction </w:t>
      </w:r>
      <w:r w:rsidR="006F40D0">
        <w:rPr>
          <w:rFonts w:ascii="Times New Roman" w:eastAsia="Times New Roman" w:hAnsi="Times New Roman" w:cs="Times New Roman"/>
          <w:noProof/>
          <w:sz w:val="24"/>
          <w:szCs w:val="24"/>
          <w:lang w:val="en-IE"/>
        </w:rPr>
        <w:t>r</w:t>
      </w:r>
      <w:r w:rsidR="001F1738" w:rsidRPr="00E03D97">
        <w:rPr>
          <w:rFonts w:ascii="Times New Roman" w:eastAsia="Times New Roman" w:hAnsi="Times New Roman" w:cs="Times New Roman"/>
          <w:noProof/>
          <w:sz w:val="24"/>
          <w:szCs w:val="24"/>
          <w:lang w:val="en-IE"/>
        </w:rPr>
        <w:t>eviews on evidence-based decision</w:t>
      </w:r>
      <w:r w:rsidR="006F40D0">
        <w:rPr>
          <w:rFonts w:ascii="Times New Roman" w:eastAsia="Times New Roman" w:hAnsi="Times New Roman" w:cs="Times New Roman"/>
          <w:noProof/>
          <w:sz w:val="24"/>
          <w:szCs w:val="24"/>
          <w:lang w:val="en-IE"/>
        </w:rPr>
        <w:t>-</w:t>
      </w:r>
      <w:r w:rsidR="001F1738" w:rsidRPr="00E03D97">
        <w:rPr>
          <w:rFonts w:ascii="Times New Roman" w:eastAsia="Times New Roman" w:hAnsi="Times New Roman" w:cs="Times New Roman"/>
          <w:noProof/>
          <w:sz w:val="24"/>
          <w:szCs w:val="24"/>
          <w:lang w:val="en-IE"/>
        </w:rPr>
        <w:t>making in EU/EEA and EU Neighbourhood countries during the COVID-19 pandemic, focus</w:t>
      </w:r>
      <w:r w:rsidR="006F40D0">
        <w:rPr>
          <w:rFonts w:ascii="Times New Roman" w:eastAsia="Times New Roman" w:hAnsi="Times New Roman" w:cs="Times New Roman"/>
          <w:noProof/>
          <w:sz w:val="24"/>
          <w:szCs w:val="24"/>
          <w:lang w:val="en-IE"/>
        </w:rPr>
        <w:t>ing</w:t>
      </w:r>
      <w:r w:rsidR="001F1738" w:rsidRPr="00E03D97">
        <w:rPr>
          <w:rFonts w:ascii="Times New Roman" w:eastAsia="Times New Roman" w:hAnsi="Times New Roman" w:cs="Times New Roman"/>
          <w:noProof/>
          <w:sz w:val="24"/>
          <w:szCs w:val="24"/>
          <w:lang w:val="en-IE"/>
        </w:rPr>
        <w:t xml:space="preserve"> on </w:t>
      </w:r>
      <w:r w:rsidR="006F40D0">
        <w:rPr>
          <w:rFonts w:ascii="Times New Roman" w:eastAsia="Times New Roman" w:hAnsi="Times New Roman" w:cs="Times New Roman"/>
          <w:noProof/>
          <w:sz w:val="24"/>
          <w:szCs w:val="24"/>
          <w:lang w:val="en-IE"/>
        </w:rPr>
        <w:t>l</w:t>
      </w:r>
      <w:r w:rsidR="001F1738" w:rsidRPr="00E03D97">
        <w:rPr>
          <w:rFonts w:ascii="Times New Roman" w:eastAsia="Times New Roman" w:hAnsi="Times New Roman" w:cs="Times New Roman"/>
          <w:noProof/>
          <w:sz w:val="24"/>
          <w:szCs w:val="24"/>
          <w:lang w:val="en-IE"/>
        </w:rPr>
        <w:t>ong</w:t>
      </w:r>
      <w:r w:rsidR="006F40D0">
        <w:rPr>
          <w:rFonts w:ascii="Times New Roman" w:eastAsia="Times New Roman" w:hAnsi="Times New Roman" w:cs="Times New Roman"/>
          <w:noProof/>
          <w:sz w:val="24"/>
          <w:szCs w:val="24"/>
          <w:lang w:val="en-IE"/>
        </w:rPr>
        <w:t>-t</w:t>
      </w:r>
      <w:r w:rsidR="001F1738" w:rsidRPr="00E03D97">
        <w:rPr>
          <w:rFonts w:ascii="Times New Roman" w:eastAsia="Times New Roman" w:hAnsi="Times New Roman" w:cs="Times New Roman"/>
          <w:noProof/>
          <w:sz w:val="24"/>
          <w:szCs w:val="24"/>
          <w:lang w:val="en-IE"/>
        </w:rPr>
        <w:t xml:space="preserve">erm </w:t>
      </w:r>
      <w:r w:rsidR="006F40D0">
        <w:rPr>
          <w:rFonts w:ascii="Times New Roman" w:eastAsia="Times New Roman" w:hAnsi="Times New Roman" w:cs="Times New Roman"/>
          <w:noProof/>
          <w:sz w:val="24"/>
          <w:szCs w:val="24"/>
          <w:lang w:val="en-IE"/>
        </w:rPr>
        <w:t>c</w:t>
      </w:r>
      <w:r w:rsidR="001F1738" w:rsidRPr="00E03D97">
        <w:rPr>
          <w:rFonts w:ascii="Times New Roman" w:eastAsia="Times New Roman" w:hAnsi="Times New Roman" w:cs="Times New Roman"/>
          <w:noProof/>
          <w:sz w:val="24"/>
          <w:szCs w:val="24"/>
          <w:lang w:val="en-IE"/>
        </w:rPr>
        <w:t xml:space="preserve">are </w:t>
      </w:r>
      <w:r w:rsidR="006F40D0">
        <w:rPr>
          <w:rFonts w:ascii="Times New Roman" w:eastAsia="Times New Roman" w:hAnsi="Times New Roman" w:cs="Times New Roman"/>
          <w:noProof/>
          <w:sz w:val="24"/>
          <w:szCs w:val="24"/>
          <w:lang w:val="en-IE"/>
        </w:rPr>
        <w:t>f</w:t>
      </w:r>
      <w:r w:rsidR="001F1738" w:rsidRPr="00E03D97">
        <w:rPr>
          <w:rFonts w:ascii="Times New Roman" w:eastAsia="Times New Roman" w:hAnsi="Times New Roman" w:cs="Times New Roman"/>
          <w:noProof/>
          <w:sz w:val="24"/>
          <w:szCs w:val="24"/>
          <w:lang w:val="en-IE"/>
        </w:rPr>
        <w:t>acilities and school closures</w:t>
      </w:r>
      <w:r w:rsidR="006F40D0">
        <w:rPr>
          <w:rFonts w:ascii="Times New Roman" w:eastAsia="Times New Roman" w:hAnsi="Times New Roman" w:cs="Times New Roman"/>
          <w:noProof/>
          <w:sz w:val="24"/>
          <w:szCs w:val="24"/>
          <w:lang w:val="en-IE"/>
        </w:rPr>
        <w:t>. It has</w:t>
      </w:r>
      <w:r w:rsidR="001F1738" w:rsidRPr="00E03D97">
        <w:rPr>
          <w:rFonts w:ascii="Times New Roman" w:eastAsia="Times New Roman" w:hAnsi="Times New Roman" w:cs="Times New Roman"/>
          <w:noProof/>
          <w:sz w:val="24"/>
          <w:szCs w:val="24"/>
          <w:lang w:val="en-IE"/>
        </w:rPr>
        <w:t xml:space="preserve"> </w:t>
      </w:r>
      <w:r w:rsidR="006F40D0">
        <w:rPr>
          <w:rFonts w:ascii="Times New Roman" w:eastAsia="Times New Roman" w:hAnsi="Times New Roman" w:cs="Times New Roman"/>
          <w:noProof/>
          <w:sz w:val="24"/>
          <w:szCs w:val="24"/>
          <w:lang w:val="en-IE"/>
        </w:rPr>
        <w:t xml:space="preserve">also </w:t>
      </w:r>
      <w:r w:rsidR="001F1738" w:rsidRPr="00E03D97">
        <w:rPr>
          <w:rFonts w:ascii="Times New Roman" w:eastAsia="Times New Roman" w:hAnsi="Times New Roman" w:cs="Times New Roman"/>
          <w:noProof/>
          <w:sz w:val="24"/>
          <w:szCs w:val="24"/>
          <w:lang w:val="en-IE"/>
        </w:rPr>
        <w:t>published relevant guidance</w:t>
      </w:r>
      <w:r w:rsidR="006F40D0">
        <w:rPr>
          <w:rFonts w:ascii="Times New Roman" w:eastAsia="Times New Roman" w:hAnsi="Times New Roman" w:cs="Times New Roman"/>
          <w:noProof/>
          <w:sz w:val="24"/>
          <w:szCs w:val="24"/>
          <w:lang w:val="en-IE"/>
        </w:rPr>
        <w:t> </w:t>
      </w:r>
      <w:r w:rsidR="001F1738" w:rsidRPr="00E03D97">
        <w:rPr>
          <w:rFonts w:ascii="Times New Roman" w:eastAsia="Times New Roman" w:hAnsi="Times New Roman" w:cs="Times New Roman"/>
          <w:noProof/>
          <w:sz w:val="24"/>
          <w:szCs w:val="24"/>
          <w:vertAlign w:val="superscript"/>
          <w:lang w:val="en-IE"/>
        </w:rPr>
        <w:footnoteReference w:id="93"/>
      </w:r>
      <w:r w:rsidR="001F1738" w:rsidRPr="00E03D97">
        <w:rPr>
          <w:rFonts w:ascii="Times New Roman" w:eastAsia="Times New Roman" w:hAnsi="Times New Roman" w:cs="Times New Roman"/>
          <w:noProof/>
          <w:sz w:val="24"/>
          <w:szCs w:val="24"/>
          <w:lang w:val="en-IE"/>
        </w:rPr>
        <w:t xml:space="preserve"> to </w:t>
      </w:r>
      <w:r w:rsidR="006F40D0">
        <w:rPr>
          <w:rFonts w:ascii="Times New Roman" w:eastAsia="Times New Roman" w:hAnsi="Times New Roman" w:cs="Times New Roman"/>
          <w:noProof/>
          <w:sz w:val="24"/>
          <w:szCs w:val="24"/>
          <w:lang w:val="en-IE"/>
        </w:rPr>
        <w:t xml:space="preserve">help </w:t>
      </w:r>
      <w:r w:rsidR="001F1738" w:rsidRPr="00E03D97">
        <w:rPr>
          <w:rFonts w:ascii="Times New Roman" w:eastAsia="Times New Roman" w:hAnsi="Times New Roman" w:cs="Times New Roman"/>
          <w:noProof/>
          <w:sz w:val="24"/>
          <w:szCs w:val="24"/>
          <w:lang w:val="en-IE"/>
        </w:rPr>
        <w:t>countries design their own after-action reviews.</w:t>
      </w:r>
    </w:p>
    <w:p w14:paraId="2FCCE3A4" w14:textId="77777777"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 xml:space="preserve">Health system recovery </w:t>
      </w:r>
    </w:p>
    <w:p w14:paraId="6245C4CC" w14:textId="5709D7BB"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Under the Recovery and Resilience Facility, over EUR</w:t>
      </w:r>
      <w:r w:rsidR="006F40D0">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43</w:t>
      </w:r>
      <w:r w:rsidR="006F40D0">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 xml:space="preserve">billion </w:t>
      </w:r>
      <w:r w:rsidR="006F40D0">
        <w:rPr>
          <w:rFonts w:ascii="Times New Roman" w:eastAsia="Times New Roman" w:hAnsi="Times New Roman" w:cs="Times New Roman"/>
          <w:noProof/>
          <w:sz w:val="24"/>
          <w:szCs w:val="24"/>
          <w:lang w:val="en-IE"/>
        </w:rPr>
        <w:t>has been</w:t>
      </w:r>
      <w:r w:rsidR="006F40D0"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earmarked across 27 national Recovery and Resilience Plans (RRPs) to strengthen healthcare</w:t>
      </w:r>
      <w:r w:rsidR="00B00464">
        <w:rPr>
          <w:rFonts w:ascii="Times New Roman" w:eastAsia="Times New Roman" w:hAnsi="Times New Roman" w:cs="Times New Roman"/>
          <w:noProof/>
          <w:sz w:val="24"/>
          <w:szCs w:val="24"/>
          <w:lang w:val="en-IE"/>
        </w:rPr>
        <w:t>. This includes</w:t>
      </w:r>
      <w:r w:rsidRPr="00E03D97">
        <w:rPr>
          <w:rFonts w:ascii="Times New Roman" w:eastAsia="Times New Roman" w:hAnsi="Times New Roman" w:cs="Times New Roman"/>
          <w:noProof/>
          <w:sz w:val="24"/>
          <w:szCs w:val="24"/>
          <w:lang w:val="en-IE"/>
        </w:rPr>
        <w:t xml:space="preserve"> more than EUR</w:t>
      </w:r>
      <w:r w:rsidR="006F40D0">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14</w:t>
      </w:r>
      <w:r w:rsidR="006F40D0">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 xml:space="preserve">billion dedicated to measures for advancing the digital transition of health systems. In </w:t>
      </w:r>
      <w:r w:rsidR="00A4426A">
        <w:rPr>
          <w:rFonts w:ascii="Times New Roman" w:eastAsia="Times New Roman" w:hAnsi="Times New Roman" w:cs="Times New Roman"/>
          <w:noProof/>
          <w:sz w:val="24"/>
          <w:szCs w:val="24"/>
          <w:lang w:val="en-IE"/>
        </w:rPr>
        <w:t>addition</w:t>
      </w:r>
      <w:r w:rsidRPr="00E03D97">
        <w:rPr>
          <w:rFonts w:ascii="Times New Roman" w:eastAsia="Times New Roman" w:hAnsi="Times New Roman" w:cs="Times New Roman"/>
          <w:noProof/>
          <w:sz w:val="24"/>
          <w:szCs w:val="24"/>
          <w:lang w:val="en-IE"/>
        </w:rPr>
        <w:t xml:space="preserve">, health system reform challenges (such as </w:t>
      </w:r>
      <w:r w:rsidR="00A4426A">
        <w:rPr>
          <w:rFonts w:ascii="Times New Roman" w:eastAsia="Times New Roman" w:hAnsi="Times New Roman" w:cs="Times New Roman"/>
          <w:noProof/>
          <w:sz w:val="24"/>
          <w:szCs w:val="24"/>
          <w:lang w:val="en-IE"/>
        </w:rPr>
        <w:t xml:space="preserve">those </w:t>
      </w:r>
      <w:r w:rsidRPr="00E03D97">
        <w:rPr>
          <w:rFonts w:ascii="Times New Roman" w:eastAsia="Times New Roman" w:hAnsi="Times New Roman" w:cs="Times New Roman"/>
          <w:noProof/>
          <w:sz w:val="24"/>
          <w:szCs w:val="24"/>
          <w:lang w:val="en-IE"/>
        </w:rPr>
        <w:t>identified in the 2019 and 2020 European Semester Country Specific Recommendations</w:t>
      </w:r>
      <w:r w:rsidR="00A4426A">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CSRs</w:t>
      </w:r>
      <w:r w:rsidR="00A4426A">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sidR="00393EBF">
        <w:rPr>
          <w:rFonts w:ascii="Times New Roman" w:eastAsia="Times New Roman" w:hAnsi="Times New Roman" w:cs="Times New Roman"/>
          <w:noProof/>
          <w:sz w:val="24"/>
          <w:szCs w:val="24"/>
          <w:lang w:val="en-IE"/>
        </w:rPr>
        <w:t xml:space="preserve">that are </w:t>
      </w:r>
      <w:r w:rsidRPr="00E03D97">
        <w:rPr>
          <w:rFonts w:ascii="Times New Roman" w:eastAsia="Times New Roman" w:hAnsi="Times New Roman" w:cs="Times New Roman"/>
          <w:noProof/>
          <w:sz w:val="24"/>
          <w:szCs w:val="24"/>
          <w:lang w:val="en-IE"/>
        </w:rPr>
        <w:t xml:space="preserve">not sufficiently tackled under the </w:t>
      </w:r>
      <w:r w:rsidR="00393EBF" w:rsidRPr="00E03D97">
        <w:rPr>
          <w:rFonts w:ascii="Times New Roman" w:eastAsia="Times New Roman" w:hAnsi="Times New Roman" w:cs="Times New Roman"/>
          <w:noProof/>
          <w:sz w:val="24"/>
          <w:szCs w:val="24"/>
          <w:lang w:val="en-IE"/>
        </w:rPr>
        <w:t>Recovery and Resilience Plans</w:t>
      </w:r>
      <w:r w:rsidRPr="00E03D97">
        <w:rPr>
          <w:rFonts w:ascii="Times New Roman" w:eastAsia="Times New Roman" w:hAnsi="Times New Roman" w:cs="Times New Roman"/>
          <w:noProof/>
          <w:sz w:val="24"/>
          <w:szCs w:val="24"/>
          <w:lang w:val="en-IE"/>
        </w:rPr>
        <w:t xml:space="preserve"> can be addressed via the European Semester CSRs. </w:t>
      </w:r>
      <w:r w:rsidR="00C25B50">
        <w:rPr>
          <w:rFonts w:ascii="Times New Roman" w:eastAsia="Times New Roman" w:hAnsi="Times New Roman" w:cs="Times New Roman"/>
          <w:noProof/>
          <w:sz w:val="24"/>
          <w:szCs w:val="24"/>
          <w:lang w:val="en-IE"/>
        </w:rPr>
        <w:t>These</w:t>
      </w:r>
      <w:r w:rsidR="00C25B50"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CSRs also guide investment priorities for cohesion funds. Under the most recent European Semester (2023), six Member States received a healthcare CSR, including on challenges related to access, workforce and primary care. In </w:t>
      </w:r>
      <w:r w:rsidR="00EE108C">
        <w:rPr>
          <w:rFonts w:ascii="Times New Roman" w:eastAsia="Times New Roman" w:hAnsi="Times New Roman" w:cs="Times New Roman"/>
          <w:noProof/>
          <w:sz w:val="24"/>
          <w:szCs w:val="24"/>
          <w:lang w:val="en-IE"/>
        </w:rPr>
        <w:t>addition</w:t>
      </w:r>
      <w:r w:rsidRPr="00E03D97">
        <w:rPr>
          <w:rFonts w:ascii="Times New Roman" w:eastAsia="Times New Roman" w:hAnsi="Times New Roman" w:cs="Times New Roman"/>
          <w:noProof/>
          <w:sz w:val="24"/>
          <w:szCs w:val="24"/>
          <w:lang w:val="en-IE"/>
        </w:rPr>
        <w:t xml:space="preserve">, Member States </w:t>
      </w:r>
      <w:r w:rsidR="00EE108C">
        <w:rPr>
          <w:rFonts w:ascii="Times New Roman" w:eastAsia="Times New Roman" w:hAnsi="Times New Roman" w:cs="Times New Roman"/>
          <w:noProof/>
          <w:sz w:val="24"/>
          <w:szCs w:val="24"/>
          <w:lang w:val="en-IE"/>
        </w:rPr>
        <w:t xml:space="preserve">are </w:t>
      </w:r>
      <w:r w:rsidRPr="00E03D97">
        <w:rPr>
          <w:rFonts w:ascii="Times New Roman" w:eastAsia="Times New Roman" w:hAnsi="Times New Roman" w:cs="Times New Roman"/>
          <w:noProof/>
          <w:sz w:val="24"/>
          <w:szCs w:val="24"/>
          <w:lang w:val="en-IE"/>
        </w:rPr>
        <w:t>plan</w:t>
      </w:r>
      <w:r w:rsidR="00EE108C">
        <w:rPr>
          <w:rFonts w:ascii="Times New Roman" w:eastAsia="Times New Roman" w:hAnsi="Times New Roman" w:cs="Times New Roman"/>
          <w:noProof/>
          <w:sz w:val="24"/>
          <w:szCs w:val="24"/>
          <w:lang w:val="en-IE"/>
        </w:rPr>
        <w:t>ning to invest</w:t>
      </w:r>
      <w:r w:rsidRPr="00E03D97">
        <w:rPr>
          <w:rFonts w:ascii="Times New Roman" w:eastAsia="Times New Roman" w:hAnsi="Times New Roman" w:cs="Times New Roman"/>
          <w:noProof/>
          <w:sz w:val="24"/>
          <w:szCs w:val="24"/>
          <w:lang w:val="en-IE"/>
        </w:rPr>
        <w:t xml:space="preserve"> around EUR</w:t>
      </w:r>
      <w:r w:rsidR="00EE108C">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16</w:t>
      </w:r>
      <w:r w:rsidR="00EE108C">
        <w:rPr>
          <w:rFonts w:ascii="Times New Roman" w:eastAsia="Times New Roman" w:hAnsi="Times New Roman" w:cs="Times New Roman"/>
          <w:noProof/>
          <w:sz w:val="24"/>
          <w:szCs w:val="24"/>
          <w:lang w:val="en-IE"/>
        </w:rPr>
        <w:t> b</w:t>
      </w:r>
      <w:r w:rsidRPr="00E03D97">
        <w:rPr>
          <w:rFonts w:ascii="Times New Roman" w:eastAsia="Times New Roman" w:hAnsi="Times New Roman" w:cs="Times New Roman"/>
          <w:noProof/>
          <w:sz w:val="24"/>
          <w:szCs w:val="24"/>
          <w:lang w:val="en-IE"/>
        </w:rPr>
        <w:t>illion in healthcare</w:t>
      </w:r>
      <w:r w:rsidRPr="00E03D97">
        <w:rPr>
          <w:rFonts w:ascii="Times New Roman" w:eastAsia="Times New Roman" w:hAnsi="Times New Roman" w:cs="Times New Roman"/>
          <w:noProof/>
          <w:sz w:val="24"/>
          <w:szCs w:val="24"/>
          <w:vertAlign w:val="superscript"/>
          <w:lang w:val="en-IE"/>
        </w:rPr>
        <w:footnoteReference w:id="94"/>
      </w:r>
      <w:r w:rsidRPr="00E03D97">
        <w:rPr>
          <w:rFonts w:ascii="Times New Roman" w:eastAsia="Times New Roman" w:hAnsi="Times New Roman" w:cs="Times New Roman"/>
          <w:noProof/>
          <w:sz w:val="24"/>
          <w:szCs w:val="24"/>
          <w:lang w:val="en-IE"/>
        </w:rPr>
        <w:t>, including more than EUR</w:t>
      </w:r>
      <w:r w:rsidR="00EE108C">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2</w:t>
      </w:r>
      <w:r w:rsidR="00EE108C">
        <w:rPr>
          <w:rFonts w:ascii="Times New Roman" w:eastAsia="Times New Roman" w:hAnsi="Times New Roman" w:cs="Times New Roman"/>
          <w:noProof/>
          <w:sz w:val="24"/>
          <w:szCs w:val="24"/>
          <w:lang w:val="en-IE"/>
        </w:rPr>
        <w:t> b</w:t>
      </w:r>
      <w:r w:rsidRPr="00E03D97">
        <w:rPr>
          <w:rFonts w:ascii="Times New Roman" w:eastAsia="Times New Roman" w:hAnsi="Times New Roman" w:cs="Times New Roman"/>
          <w:noProof/>
          <w:sz w:val="24"/>
          <w:szCs w:val="24"/>
          <w:lang w:val="en-IE"/>
        </w:rPr>
        <w:t xml:space="preserve">illion </w:t>
      </w:r>
      <w:r w:rsidR="00EE108C">
        <w:rPr>
          <w:rFonts w:ascii="Times New Roman" w:eastAsia="Times New Roman" w:hAnsi="Times New Roman" w:cs="Times New Roman"/>
          <w:noProof/>
          <w:sz w:val="24"/>
          <w:szCs w:val="24"/>
          <w:lang w:val="en-IE"/>
        </w:rPr>
        <w:t xml:space="preserve">in </w:t>
      </w:r>
      <w:r w:rsidRPr="00E03D97">
        <w:rPr>
          <w:rFonts w:ascii="Times New Roman" w:eastAsia="Times New Roman" w:hAnsi="Times New Roman" w:cs="Times New Roman"/>
          <w:noProof/>
          <w:sz w:val="24"/>
          <w:szCs w:val="24"/>
          <w:lang w:val="en-IE"/>
        </w:rPr>
        <w:t>the digital transition of health systems. As mentioned in Health at a Glance: Europe 2022</w:t>
      </w:r>
      <w:r w:rsidRPr="00E03D97">
        <w:rPr>
          <w:rFonts w:ascii="Times New Roman" w:eastAsia="Times New Roman" w:hAnsi="Times New Roman" w:cs="Times New Roman"/>
          <w:noProof/>
          <w:sz w:val="24"/>
          <w:szCs w:val="24"/>
          <w:vertAlign w:val="superscript"/>
          <w:lang w:val="en-IE"/>
        </w:rPr>
        <w:footnoteReference w:id="95"/>
      </w:r>
      <w:r w:rsidRPr="00E03D97">
        <w:rPr>
          <w:rFonts w:ascii="Times New Roman" w:eastAsia="Times New Roman" w:hAnsi="Times New Roman" w:cs="Times New Roman"/>
          <w:noProof/>
          <w:sz w:val="24"/>
          <w:szCs w:val="24"/>
          <w:lang w:val="en-IE"/>
        </w:rPr>
        <w:t xml:space="preserve">, it is important that health systems overcome the big shock and reduction in care delivery during the pandemic. </w:t>
      </w:r>
      <w:r w:rsidR="003F1C3A">
        <w:rPr>
          <w:rFonts w:ascii="Times New Roman" w:eastAsia="Times New Roman" w:hAnsi="Times New Roman" w:cs="Times New Roman"/>
          <w:noProof/>
          <w:sz w:val="24"/>
          <w:szCs w:val="24"/>
          <w:lang w:val="en-IE"/>
        </w:rPr>
        <w:t>T</w:t>
      </w:r>
      <w:r w:rsidRPr="00E03D97">
        <w:rPr>
          <w:rFonts w:ascii="Times New Roman" w:eastAsia="Times New Roman" w:hAnsi="Times New Roman" w:cs="Times New Roman"/>
          <w:noProof/>
          <w:sz w:val="24"/>
          <w:szCs w:val="24"/>
          <w:lang w:val="en-IE"/>
        </w:rPr>
        <w:t xml:space="preserve">he </w:t>
      </w:r>
      <w:r w:rsidR="003F1C3A">
        <w:rPr>
          <w:rFonts w:ascii="Times New Roman" w:eastAsia="Times New Roman" w:hAnsi="Times New Roman" w:cs="Times New Roman"/>
          <w:noProof/>
          <w:sz w:val="24"/>
          <w:szCs w:val="24"/>
          <w:lang w:val="en-IE"/>
        </w:rPr>
        <w:t xml:space="preserve">surgery </w:t>
      </w:r>
      <w:r w:rsidRPr="00E03D97">
        <w:rPr>
          <w:rFonts w:ascii="Times New Roman" w:eastAsia="Times New Roman" w:hAnsi="Times New Roman" w:cs="Times New Roman"/>
          <w:noProof/>
          <w:sz w:val="24"/>
          <w:szCs w:val="24"/>
          <w:lang w:val="en-IE"/>
        </w:rPr>
        <w:t xml:space="preserve">backlog </w:t>
      </w:r>
      <w:r w:rsidR="003F1C3A">
        <w:rPr>
          <w:rFonts w:ascii="Times New Roman" w:eastAsia="Times New Roman" w:hAnsi="Times New Roman" w:cs="Times New Roman"/>
          <w:noProof/>
          <w:sz w:val="24"/>
          <w:szCs w:val="24"/>
          <w:lang w:val="en-IE"/>
        </w:rPr>
        <w:t>remains</w:t>
      </w:r>
      <w:r w:rsidRPr="00E03D97">
        <w:rPr>
          <w:rFonts w:ascii="Times New Roman" w:eastAsia="Times New Roman" w:hAnsi="Times New Roman" w:cs="Times New Roman"/>
          <w:noProof/>
          <w:sz w:val="24"/>
          <w:szCs w:val="24"/>
          <w:lang w:val="en-IE"/>
        </w:rPr>
        <w:t xml:space="preserve"> significant</w:t>
      </w:r>
      <w:r w:rsidR="003F1C3A">
        <w:rPr>
          <w:rFonts w:ascii="Times New Roman" w:eastAsia="Times New Roman" w:hAnsi="Times New Roman" w:cs="Times New Roman"/>
          <w:noProof/>
          <w:sz w:val="24"/>
          <w:szCs w:val="24"/>
          <w:lang w:val="en-IE"/>
        </w:rPr>
        <w:t xml:space="preserve"> in some countries</w:t>
      </w:r>
      <w:r w:rsidRPr="00E03D97">
        <w:rPr>
          <w:rFonts w:ascii="Times New Roman" w:eastAsia="Times New Roman" w:hAnsi="Times New Roman" w:cs="Times New Roman"/>
          <w:noProof/>
          <w:sz w:val="24"/>
          <w:szCs w:val="24"/>
          <w:lang w:val="en-IE"/>
        </w:rPr>
        <w:t>.</w:t>
      </w:r>
      <w:r w:rsidR="00393EBF">
        <w:rPr>
          <w:rFonts w:ascii="Times New Roman" w:eastAsia="Times New Roman" w:hAnsi="Times New Roman" w:cs="Times New Roman"/>
          <w:noProof/>
          <w:sz w:val="24"/>
          <w:szCs w:val="24"/>
          <w:lang w:val="en-IE"/>
        </w:rPr>
        <w:t xml:space="preserve"> </w:t>
      </w:r>
    </w:p>
    <w:p w14:paraId="299BA51F" w14:textId="146B615E"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 xml:space="preserve">Mental Health and </w:t>
      </w:r>
      <w:r w:rsidR="00CE1DAE">
        <w:rPr>
          <w:rFonts w:ascii="Times New Roman" w:eastAsia="Times New Roman" w:hAnsi="Times New Roman" w:cs="Times New Roman"/>
          <w:b/>
          <w:bCs/>
          <w:noProof/>
          <w:sz w:val="24"/>
          <w:szCs w:val="24"/>
          <w:lang w:val="en-IE"/>
        </w:rPr>
        <w:t>l</w:t>
      </w:r>
      <w:r w:rsidRPr="00E03D97">
        <w:rPr>
          <w:rFonts w:ascii="Times New Roman" w:eastAsia="Times New Roman" w:hAnsi="Times New Roman" w:cs="Times New Roman"/>
          <w:b/>
          <w:bCs/>
          <w:noProof/>
          <w:sz w:val="24"/>
          <w:szCs w:val="24"/>
          <w:lang w:val="en-IE"/>
        </w:rPr>
        <w:t>ong</w:t>
      </w:r>
      <w:r w:rsidR="00467937">
        <w:rPr>
          <w:rFonts w:ascii="Times New Roman" w:eastAsia="Times New Roman" w:hAnsi="Times New Roman" w:cs="Times New Roman"/>
          <w:b/>
          <w:bCs/>
          <w:noProof/>
          <w:sz w:val="24"/>
          <w:szCs w:val="24"/>
          <w:lang w:val="en-IE"/>
        </w:rPr>
        <w:t xml:space="preserve"> </w:t>
      </w:r>
      <w:r w:rsidRPr="00E03D97">
        <w:rPr>
          <w:rFonts w:ascii="Times New Roman" w:eastAsia="Times New Roman" w:hAnsi="Times New Roman" w:cs="Times New Roman"/>
          <w:b/>
          <w:bCs/>
          <w:noProof/>
          <w:sz w:val="24"/>
          <w:szCs w:val="24"/>
          <w:lang w:val="en-IE"/>
        </w:rPr>
        <w:t xml:space="preserve">COVID </w:t>
      </w:r>
    </w:p>
    <w:p w14:paraId="531A5606" w14:textId="69B53F90"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imes New Roman" w:hAnsi="Times New Roman" w:cs="Times New Roman"/>
          <w:noProof/>
          <w:sz w:val="24"/>
          <w:szCs w:val="24"/>
          <w:lang w:val="en-IE"/>
        </w:rPr>
        <w:t xml:space="preserve">Mental health problems are known to </w:t>
      </w:r>
      <w:r w:rsidR="00832EBF">
        <w:rPr>
          <w:rFonts w:ascii="Times New Roman" w:eastAsia="Times New Roman" w:hAnsi="Times New Roman" w:cs="Times New Roman"/>
          <w:noProof/>
          <w:sz w:val="24"/>
          <w:szCs w:val="24"/>
          <w:lang w:val="en-IE"/>
        </w:rPr>
        <w:t xml:space="preserve">be </w:t>
      </w:r>
      <w:r w:rsidRPr="00E03D97">
        <w:rPr>
          <w:rFonts w:ascii="Times New Roman" w:eastAsia="Times New Roman" w:hAnsi="Times New Roman" w:cs="Times New Roman"/>
          <w:noProof/>
          <w:sz w:val="24"/>
          <w:szCs w:val="24"/>
          <w:lang w:val="en-IE"/>
        </w:rPr>
        <w:t>affect</w:t>
      </w:r>
      <w:r w:rsidR="00832EBF">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more and more people in the EU. </w:t>
      </w:r>
      <w:r w:rsidR="00793ECA">
        <w:rPr>
          <w:rFonts w:ascii="Times New Roman" w:eastAsia="Times New Roman" w:hAnsi="Times New Roman" w:cs="Times New Roman"/>
          <w:noProof/>
          <w:sz w:val="24"/>
          <w:szCs w:val="24"/>
          <w:lang w:val="en-IE"/>
        </w:rPr>
        <w:t>Even</w:t>
      </w:r>
      <w:r w:rsidR="00793ECA"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before the COVID-19 pandemic, mental health problems affected about 84 million people</w:t>
      </w:r>
      <w:r w:rsidR="00832EBF">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1 in 6 </w:t>
      </w:r>
      <w:r w:rsidR="00627FF6">
        <w:rPr>
          <w:rFonts w:ascii="Times New Roman" w:eastAsia="Times New Roman" w:hAnsi="Times New Roman" w:cs="Times New Roman"/>
          <w:noProof/>
          <w:sz w:val="24"/>
          <w:szCs w:val="24"/>
          <w:lang w:val="en-IE"/>
        </w:rPr>
        <w:t>individuals)</w:t>
      </w:r>
      <w:r w:rsidRPr="00E03D97">
        <w:rPr>
          <w:rFonts w:ascii="Times New Roman" w:eastAsia="Times New Roman" w:hAnsi="Times New Roman" w:cs="Times New Roman"/>
          <w:noProof/>
          <w:sz w:val="24"/>
          <w:szCs w:val="24"/>
          <w:lang w:val="en-IE"/>
        </w:rPr>
        <w:t xml:space="preserve"> at an estimated cost of over EUR</w:t>
      </w:r>
      <w:r w:rsidR="00793ECA">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600</w:t>
      </w:r>
      <w:r w:rsidR="00793ECA">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billion</w:t>
      </w:r>
      <w:r w:rsidR="00793ECA">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more than 4% of GDP</w:t>
      </w:r>
      <w:r w:rsidR="00793ECA">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Moreover, the consequences of the pandemic and other global crises continue to increase the prevalence of anxiety and depression worldwide. </w:t>
      </w:r>
      <w:r w:rsidRPr="00E03D97">
        <w:rPr>
          <w:rFonts w:ascii="Times New Roman" w:eastAsia="Times New Roman" w:hAnsi="Times New Roman" w:cs="Times New Roman"/>
          <w:noProof/>
          <w:sz w:val="24"/>
          <w:szCs w:val="24"/>
          <w:lang w:val="en-IE"/>
        </w:rPr>
        <w:t xml:space="preserve">The devastating effects of the COVID-19 pandemic, the Russian </w:t>
      </w:r>
      <w:r w:rsidR="00627FF6">
        <w:rPr>
          <w:rFonts w:ascii="Times New Roman" w:eastAsia="Times New Roman" w:hAnsi="Times New Roman" w:cs="Times New Roman"/>
          <w:noProof/>
          <w:sz w:val="24"/>
          <w:szCs w:val="24"/>
          <w:lang w:val="en-IE"/>
        </w:rPr>
        <w:t xml:space="preserve">full-scale </w:t>
      </w:r>
      <w:r w:rsidRPr="00E03D97">
        <w:rPr>
          <w:rFonts w:ascii="Times New Roman" w:eastAsia="Times New Roman" w:hAnsi="Times New Roman" w:cs="Times New Roman"/>
          <w:noProof/>
          <w:sz w:val="24"/>
          <w:szCs w:val="24"/>
          <w:lang w:val="en-IE"/>
        </w:rPr>
        <w:t>invasion of Ukraine, the climate crisis, increased digitalisation, unemployment and rising living costs have further exacerbated the already poor levels of mental health. Vulnerable groups and people in socio</w:t>
      </w:r>
      <w:r w:rsidR="000459E3">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economic</w:t>
      </w:r>
      <w:r w:rsidR="000459E3">
        <w:rPr>
          <w:rFonts w:ascii="Times New Roman" w:eastAsia="Times New Roman" w:hAnsi="Times New Roman" w:cs="Times New Roman"/>
          <w:noProof/>
          <w:sz w:val="24"/>
          <w:szCs w:val="24"/>
          <w:lang w:val="en-IE"/>
        </w:rPr>
        <w:t xml:space="preserve">ally </w:t>
      </w:r>
      <w:r w:rsidRPr="00E03D97">
        <w:rPr>
          <w:rFonts w:ascii="Times New Roman" w:eastAsia="Times New Roman" w:hAnsi="Times New Roman" w:cs="Times New Roman"/>
          <w:noProof/>
          <w:sz w:val="24"/>
          <w:szCs w:val="24"/>
          <w:lang w:val="en-IE"/>
        </w:rPr>
        <w:t>disadvantaged situations suffer more than others. The Health at a Glance</w:t>
      </w:r>
      <w:r w:rsidR="00881CF4" w:rsidRPr="00E03D97">
        <w:rPr>
          <w:rFonts w:ascii="Times New Roman" w:eastAsia="Times New Roman" w:hAnsi="Times New Roman" w:cs="Times New Roman"/>
          <w:noProof/>
          <w:sz w:val="24"/>
          <w:szCs w:val="24"/>
          <w:lang w:val="en-IE"/>
        </w:rPr>
        <w:t>: Europe 2022</w:t>
      </w:r>
      <w:r w:rsidRPr="00E03D97">
        <w:rPr>
          <w:rFonts w:ascii="Times New Roman" w:eastAsia="Times New Roman" w:hAnsi="Times New Roman" w:cs="Times New Roman"/>
          <w:noProof/>
          <w:sz w:val="24"/>
          <w:szCs w:val="24"/>
          <w:lang w:val="en-IE"/>
        </w:rPr>
        <w:t xml:space="preserve"> report underlined that the pandemic </w:t>
      </w:r>
      <w:r w:rsidR="000459E3">
        <w:rPr>
          <w:rFonts w:ascii="Times New Roman" w:eastAsia="Times New Roman" w:hAnsi="Times New Roman" w:cs="Times New Roman"/>
          <w:noProof/>
          <w:sz w:val="24"/>
          <w:szCs w:val="24"/>
          <w:lang w:val="en-IE"/>
        </w:rPr>
        <w:t xml:space="preserve">had affected </w:t>
      </w:r>
      <w:r w:rsidRPr="00E03D97">
        <w:rPr>
          <w:rFonts w:ascii="Times New Roman" w:eastAsia="Times New Roman" w:hAnsi="Times New Roman" w:cs="Times New Roman"/>
          <w:noProof/>
          <w:sz w:val="24"/>
          <w:szCs w:val="24"/>
          <w:lang w:val="en-IE"/>
        </w:rPr>
        <w:t xml:space="preserve">the mental health of young people particularly hard: one in two young Europeans reported unmet needs and depression among young people </w:t>
      </w:r>
      <w:r w:rsidR="000F2866">
        <w:rPr>
          <w:rFonts w:ascii="Times New Roman" w:eastAsia="Times New Roman" w:hAnsi="Times New Roman" w:cs="Times New Roman"/>
          <w:noProof/>
          <w:sz w:val="24"/>
          <w:szCs w:val="24"/>
          <w:lang w:val="en-IE"/>
        </w:rPr>
        <w:t xml:space="preserve">had </w:t>
      </w:r>
      <w:r w:rsidRPr="00E03D97">
        <w:rPr>
          <w:rFonts w:ascii="Times New Roman" w:eastAsia="Times New Roman" w:hAnsi="Times New Roman" w:cs="Times New Roman"/>
          <w:noProof/>
          <w:sz w:val="24"/>
          <w:szCs w:val="24"/>
          <w:lang w:val="en-IE"/>
        </w:rPr>
        <w:t xml:space="preserve">more than doubled. </w:t>
      </w:r>
      <w:r w:rsidRPr="00E03D97">
        <w:rPr>
          <w:rFonts w:ascii="Times New Roman" w:eastAsiaTheme="minorEastAsia" w:hAnsi="Times New Roman" w:cs="Times New Roman"/>
          <w:noProof/>
          <w:sz w:val="24"/>
          <w:szCs w:val="24"/>
          <w:lang w:val="en-IE"/>
        </w:rPr>
        <w:t>In 2022</w:t>
      </w:r>
      <w:r w:rsidR="000F2866">
        <w:rPr>
          <w:rFonts w:ascii="Times New Roman" w:eastAsiaTheme="minorEastAsia" w:hAnsi="Times New Roman" w:cs="Times New Roman"/>
          <w:noProof/>
          <w:sz w:val="24"/>
          <w:szCs w:val="24"/>
          <w:lang w:val="en-IE"/>
        </w:rPr>
        <w:t>, the</w:t>
      </w:r>
      <w:r w:rsidRPr="00E03D97">
        <w:rPr>
          <w:rFonts w:ascii="Times New Roman" w:eastAsiaTheme="minorEastAsia" w:hAnsi="Times New Roman" w:cs="Times New Roman"/>
          <w:noProof/>
          <w:sz w:val="24"/>
          <w:szCs w:val="24"/>
          <w:lang w:val="en-IE"/>
        </w:rPr>
        <w:t xml:space="preserve"> WHO launched a global wake-up call to all countries to step up mental health services and support</w:t>
      </w:r>
      <w:r w:rsidR="000F2866">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vertAlign w:val="superscript"/>
          <w:lang w:val="en-IE"/>
        </w:rPr>
        <w:footnoteReference w:id="96"/>
      </w:r>
      <w:r w:rsidRPr="00E03D97">
        <w:rPr>
          <w:rFonts w:ascii="Times New Roman" w:eastAsiaTheme="minorEastAsia" w:hAnsi="Times New Roman" w:cs="Times New Roman"/>
          <w:noProof/>
          <w:sz w:val="24"/>
          <w:szCs w:val="24"/>
          <w:lang w:val="en-IE"/>
        </w:rPr>
        <w:t xml:space="preserve">. </w:t>
      </w:r>
    </w:p>
    <w:p w14:paraId="34631420" w14:textId="57AB5AB9"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The EU has set a clear recovery </w:t>
      </w:r>
      <w:r w:rsidR="00627FF6">
        <w:rPr>
          <w:rFonts w:ascii="Times New Roman" w:eastAsiaTheme="minorEastAsia" w:hAnsi="Times New Roman" w:cs="Times New Roman"/>
          <w:noProof/>
          <w:sz w:val="24"/>
          <w:szCs w:val="24"/>
          <w:lang w:val="en-IE"/>
        </w:rPr>
        <w:t>path</w:t>
      </w:r>
      <w:r w:rsidR="00627FF6" w:rsidRPr="00E03D97">
        <w:rPr>
          <w:rFonts w:ascii="Times New Roman" w:eastAsiaTheme="minorEastAsia" w:hAnsi="Times New Roman" w:cs="Times New Roman"/>
          <w:noProof/>
          <w:sz w:val="24"/>
          <w:szCs w:val="24"/>
          <w:lang w:val="en-IE"/>
        </w:rPr>
        <w:t xml:space="preserve"> </w:t>
      </w:r>
      <w:r w:rsidR="000F2866">
        <w:rPr>
          <w:rFonts w:ascii="Times New Roman" w:eastAsiaTheme="minorEastAsia" w:hAnsi="Times New Roman" w:cs="Times New Roman"/>
          <w:noProof/>
          <w:sz w:val="24"/>
          <w:szCs w:val="24"/>
          <w:lang w:val="en-IE"/>
        </w:rPr>
        <w:t>by launching</w:t>
      </w:r>
      <w:r w:rsidRPr="00E03D97">
        <w:rPr>
          <w:rFonts w:ascii="Times New Roman" w:eastAsiaTheme="minorEastAsia" w:hAnsi="Times New Roman" w:cs="Times New Roman"/>
          <w:noProof/>
          <w:sz w:val="24"/>
          <w:szCs w:val="24"/>
          <w:lang w:val="en-IE"/>
        </w:rPr>
        <w:t xml:space="preserve"> a comprehensive approach to mental health</w:t>
      </w:r>
      <w:r w:rsidRPr="00E03D97">
        <w:rPr>
          <w:rFonts w:ascii="Times New Roman" w:eastAsiaTheme="minorEastAsia" w:hAnsi="Times New Roman" w:cs="Times New Roman"/>
          <w:noProof/>
          <w:sz w:val="24"/>
          <w:szCs w:val="24"/>
          <w:vertAlign w:val="superscript"/>
          <w:lang w:val="en-IE"/>
        </w:rPr>
        <w:footnoteReference w:id="97"/>
      </w:r>
      <w:r w:rsidRPr="00E03D97">
        <w:rPr>
          <w:rFonts w:ascii="Times New Roman" w:eastAsiaTheme="minorEastAsia" w:hAnsi="Times New Roman" w:cs="Times New Roman"/>
          <w:noProof/>
          <w:sz w:val="24"/>
          <w:szCs w:val="24"/>
          <w:lang w:val="en-IE"/>
        </w:rPr>
        <w:t xml:space="preserve"> and supporting research activities for better health preparedness</w:t>
      </w:r>
      <w:r w:rsidRPr="00E03D97">
        <w:rPr>
          <w:rFonts w:ascii="Times New Roman" w:eastAsiaTheme="minorEastAsia" w:hAnsi="Times New Roman" w:cs="Times New Roman"/>
          <w:noProof/>
          <w:sz w:val="24"/>
          <w:szCs w:val="24"/>
          <w:vertAlign w:val="superscript"/>
          <w:lang w:val="en-IE"/>
        </w:rPr>
        <w:footnoteReference w:id="98"/>
      </w:r>
      <w:r w:rsidR="000F2866">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Following the announcement of </w:t>
      </w:r>
      <w:r w:rsidR="000F2866">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a</w:t>
      </w:r>
      <w:r w:rsidR="00FC34AB">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new initiative on mental health</w:t>
      </w:r>
      <w:r w:rsidR="000F2866">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by President von der Leyen in her 2022 State of the </w:t>
      </w:r>
      <w:r w:rsidR="00A66E30">
        <w:rPr>
          <w:rFonts w:ascii="Times New Roman" w:eastAsia="Times New Roman" w:hAnsi="Times New Roman" w:cs="Times New Roman"/>
          <w:noProof/>
          <w:sz w:val="24"/>
          <w:szCs w:val="24"/>
          <w:lang w:val="en-IE"/>
        </w:rPr>
        <w:t xml:space="preserve">European </w:t>
      </w:r>
      <w:r w:rsidRPr="00E03D97">
        <w:rPr>
          <w:rFonts w:ascii="Times New Roman" w:eastAsia="Times New Roman" w:hAnsi="Times New Roman" w:cs="Times New Roman"/>
          <w:noProof/>
          <w:sz w:val="24"/>
          <w:szCs w:val="24"/>
          <w:lang w:val="en-IE"/>
        </w:rPr>
        <w:t>Union</w:t>
      </w:r>
      <w:r w:rsidR="00A66E30">
        <w:rPr>
          <w:rFonts w:ascii="Times New Roman" w:eastAsia="Times New Roman" w:hAnsi="Times New Roman" w:cs="Times New Roman"/>
          <w:noProof/>
          <w:sz w:val="24"/>
          <w:szCs w:val="24"/>
          <w:lang w:val="en-IE"/>
        </w:rPr>
        <w:t xml:space="preserve"> address</w:t>
      </w:r>
      <w:r w:rsidRPr="00E03D97">
        <w:rPr>
          <w:rFonts w:ascii="Times New Roman" w:eastAsia="Times New Roman" w:hAnsi="Times New Roman" w:cs="Times New Roman"/>
          <w:noProof/>
          <w:sz w:val="24"/>
          <w:szCs w:val="24"/>
          <w:lang w:val="en-IE"/>
        </w:rPr>
        <w:t xml:space="preserve">, the Commission </w:t>
      </w:r>
      <w:r w:rsidR="00A66E30">
        <w:rPr>
          <w:rFonts w:ascii="Times New Roman" w:eastAsia="Times New Roman" w:hAnsi="Times New Roman" w:cs="Times New Roman"/>
          <w:noProof/>
          <w:sz w:val="24"/>
          <w:szCs w:val="24"/>
          <w:lang w:val="en-IE"/>
        </w:rPr>
        <w:t>adopted a c</w:t>
      </w:r>
      <w:r w:rsidRPr="00E03D97">
        <w:rPr>
          <w:rFonts w:ascii="Times New Roman" w:eastAsia="Times New Roman" w:hAnsi="Times New Roman" w:cs="Times New Roman"/>
          <w:noProof/>
          <w:sz w:val="24"/>
          <w:szCs w:val="24"/>
          <w:lang w:val="en-IE"/>
        </w:rPr>
        <w:t>ommunication on a comprehensive approach to mental health on 7 June 2023</w:t>
      </w:r>
      <w:r w:rsidR="00627FF6">
        <w:rPr>
          <w:rStyle w:val="FootnoteReference"/>
          <w:rFonts w:ascii="Times New Roman" w:eastAsia="Times New Roman" w:hAnsi="Times New Roman" w:cs="Times New Roman"/>
          <w:noProof/>
          <w:sz w:val="24"/>
          <w:szCs w:val="24"/>
        </w:rPr>
        <w:footnoteReference w:id="99"/>
      </w:r>
      <w:r w:rsidRPr="00E03D97">
        <w:rPr>
          <w:rFonts w:ascii="Times New Roman" w:eastAsia="Times New Roman" w:hAnsi="Times New Roman" w:cs="Times New Roman"/>
          <w:noProof/>
          <w:sz w:val="24"/>
          <w:szCs w:val="24"/>
          <w:lang w:val="en-IE"/>
        </w:rPr>
        <w:t xml:space="preserve">. This marks the starting point </w:t>
      </w:r>
      <w:r w:rsidR="001E2076">
        <w:rPr>
          <w:rFonts w:ascii="Times New Roman" w:eastAsia="Times New Roman" w:hAnsi="Times New Roman" w:cs="Times New Roman"/>
          <w:noProof/>
          <w:sz w:val="24"/>
          <w:szCs w:val="24"/>
          <w:lang w:val="en-IE"/>
        </w:rPr>
        <w:t>for</w:t>
      </w:r>
      <w:r w:rsidRPr="00E03D97">
        <w:rPr>
          <w:rFonts w:ascii="Times New Roman" w:eastAsia="Times New Roman" w:hAnsi="Times New Roman" w:cs="Times New Roman"/>
          <w:noProof/>
          <w:sz w:val="24"/>
          <w:szCs w:val="24"/>
          <w:lang w:val="en-IE"/>
        </w:rPr>
        <w:t xml:space="preserve"> a new approach to mental health: it looks beyond health</w:t>
      </w:r>
      <w:r w:rsidR="00B00464">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strongly involv</w:t>
      </w:r>
      <w:r w:rsidR="00B00464">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areas such as education, digitalisation, employment, research, urban development, environment and climate. The Communication has 20 flagship initiatives, identifies EUR</w:t>
      </w:r>
      <w:r w:rsidR="006857C6">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1.23</w:t>
      </w:r>
      <w:r w:rsidR="006857C6">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 xml:space="preserve">billion in funding opportunities and </w:t>
      </w:r>
      <w:r w:rsidR="006857C6">
        <w:rPr>
          <w:rFonts w:ascii="Times New Roman" w:eastAsia="Times New Roman" w:hAnsi="Times New Roman" w:cs="Times New Roman"/>
          <w:noProof/>
          <w:sz w:val="24"/>
          <w:szCs w:val="24"/>
          <w:lang w:val="en-IE"/>
        </w:rPr>
        <w:t xml:space="preserve">places </w:t>
      </w:r>
      <w:r w:rsidRPr="00E03D97">
        <w:rPr>
          <w:rFonts w:ascii="Times New Roman" w:eastAsia="Times New Roman" w:hAnsi="Times New Roman" w:cs="Times New Roman"/>
          <w:noProof/>
          <w:sz w:val="24"/>
          <w:szCs w:val="24"/>
          <w:lang w:val="en-IE"/>
        </w:rPr>
        <w:t xml:space="preserve">a focus on vulnerable groups (children, young people, </w:t>
      </w:r>
      <w:r w:rsidR="001E2076">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elderly). For example, one key flagship addresses mental health support for</w:t>
      </w:r>
      <w:r w:rsidR="002F1D2B">
        <w:rPr>
          <w:rFonts w:ascii="Times New Roman" w:eastAsia="Times New Roman" w:hAnsi="Times New Roman" w:cs="Times New Roman"/>
          <w:noProof/>
          <w:sz w:val="24"/>
          <w:szCs w:val="24"/>
          <w:lang w:val="en-IE"/>
        </w:rPr>
        <w:t xml:space="preserve"> people displaced from</w:t>
      </w:r>
      <w:r w:rsidRPr="00E03D97">
        <w:rPr>
          <w:rFonts w:ascii="Times New Roman" w:eastAsia="Times New Roman" w:hAnsi="Times New Roman" w:cs="Times New Roman"/>
          <w:noProof/>
          <w:sz w:val="24"/>
          <w:szCs w:val="24"/>
          <w:lang w:val="en-IE"/>
        </w:rPr>
        <w:t xml:space="preserve"> Ukraine, and another supports the dissemination of a minimum service package to deliver quality care in humanitarian emergencies. In the implementation phase, the Commission </w:t>
      </w:r>
      <w:r w:rsidR="0006408D">
        <w:rPr>
          <w:rFonts w:ascii="Times New Roman" w:eastAsia="Times New Roman" w:hAnsi="Times New Roman" w:cs="Times New Roman"/>
          <w:noProof/>
          <w:sz w:val="24"/>
          <w:szCs w:val="24"/>
          <w:lang w:val="en-IE"/>
        </w:rPr>
        <w:t xml:space="preserve">is </w:t>
      </w:r>
      <w:r w:rsidRPr="00E03D97">
        <w:rPr>
          <w:rFonts w:ascii="Times New Roman" w:eastAsia="Times New Roman" w:hAnsi="Times New Roman" w:cs="Times New Roman"/>
          <w:noProof/>
          <w:sz w:val="24"/>
          <w:szCs w:val="24"/>
          <w:lang w:val="en-IE"/>
        </w:rPr>
        <w:t>continu</w:t>
      </w:r>
      <w:r w:rsidR="0006408D">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to work closely with the Member States (</w:t>
      </w:r>
      <w:r w:rsidR="0006408D">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mental health subgroup of the Public Health Expert Group) and stakeholders (</w:t>
      </w:r>
      <w:r w:rsidR="0006408D">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network in the EU Health Policy Platform). In addition, the </w:t>
      </w:r>
      <w:r w:rsidR="00E57A58">
        <w:rPr>
          <w:rFonts w:ascii="Times New Roman" w:eastAsia="Times New Roman" w:hAnsi="Times New Roman" w:cs="Times New Roman"/>
          <w:noProof/>
          <w:sz w:val="24"/>
          <w:szCs w:val="24"/>
          <w:lang w:val="en-IE"/>
        </w:rPr>
        <w:t xml:space="preserve">Council’s </w:t>
      </w:r>
      <w:r w:rsidRPr="00E03D97">
        <w:rPr>
          <w:rFonts w:ascii="Times New Roman" w:eastAsia="Times New Roman" w:hAnsi="Times New Roman" w:cs="Times New Roman"/>
          <w:noProof/>
          <w:sz w:val="24"/>
          <w:szCs w:val="24"/>
          <w:lang w:val="en-IE"/>
        </w:rPr>
        <w:t xml:space="preserve">Trio Presidency has put mental </w:t>
      </w:r>
      <w:r w:rsidR="00B00464">
        <w:rPr>
          <w:rFonts w:ascii="Times New Roman" w:eastAsia="Times New Roman" w:hAnsi="Times New Roman" w:cs="Times New Roman"/>
          <w:noProof/>
          <w:sz w:val="24"/>
          <w:szCs w:val="24"/>
          <w:lang w:val="en-IE"/>
        </w:rPr>
        <w:t xml:space="preserve">health </w:t>
      </w:r>
      <w:r w:rsidRPr="00E03D97">
        <w:rPr>
          <w:rFonts w:ascii="Times New Roman" w:eastAsia="Times New Roman" w:hAnsi="Times New Roman" w:cs="Times New Roman"/>
          <w:noProof/>
          <w:sz w:val="24"/>
          <w:szCs w:val="24"/>
          <w:lang w:val="en-IE"/>
        </w:rPr>
        <w:t>high on its agenda</w:t>
      </w:r>
      <w:r w:rsidR="00E57A58">
        <w:rPr>
          <w:rFonts w:ascii="Times New Roman" w:eastAsia="Times New Roman" w:hAnsi="Times New Roman" w:cs="Times New Roman"/>
          <w:noProof/>
          <w:sz w:val="24"/>
          <w:szCs w:val="24"/>
          <w:lang w:val="en-IE"/>
        </w:rPr>
        <w:t xml:space="preserve"> and</w:t>
      </w:r>
      <w:r w:rsidRPr="00E03D97">
        <w:rPr>
          <w:rFonts w:ascii="Times New Roman" w:eastAsia="Times New Roman" w:hAnsi="Times New Roman" w:cs="Times New Roman"/>
          <w:noProof/>
          <w:sz w:val="24"/>
          <w:szCs w:val="24"/>
          <w:lang w:val="en-IE"/>
        </w:rPr>
        <w:t xml:space="preserve"> the Spanish Presidency will prepare a set of four Council conclusions</w:t>
      </w:r>
      <w:r w:rsidR="000D006B">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one </w:t>
      </w:r>
      <w:r w:rsidR="000D006B">
        <w:rPr>
          <w:rFonts w:ascii="Times New Roman" w:eastAsia="Times New Roman" w:hAnsi="Times New Roman" w:cs="Times New Roman"/>
          <w:noProof/>
          <w:sz w:val="24"/>
          <w:szCs w:val="24"/>
          <w:lang w:val="en-IE"/>
        </w:rPr>
        <w:t xml:space="preserve">setting out a </w:t>
      </w:r>
      <w:r w:rsidRPr="00E03D97">
        <w:rPr>
          <w:rFonts w:ascii="Times New Roman" w:eastAsia="Times New Roman" w:hAnsi="Times New Roman" w:cs="Times New Roman"/>
          <w:noProof/>
          <w:sz w:val="24"/>
          <w:szCs w:val="24"/>
          <w:lang w:val="en-IE"/>
        </w:rPr>
        <w:t xml:space="preserve">general approach and three </w:t>
      </w:r>
      <w:r w:rsidR="000D006B">
        <w:rPr>
          <w:rFonts w:ascii="Times New Roman" w:eastAsia="Times New Roman" w:hAnsi="Times New Roman" w:cs="Times New Roman"/>
          <w:noProof/>
          <w:sz w:val="24"/>
          <w:szCs w:val="24"/>
          <w:lang w:val="en-IE"/>
        </w:rPr>
        <w:t xml:space="preserve">addressing the </w:t>
      </w:r>
      <w:r w:rsidRPr="00E03D97">
        <w:rPr>
          <w:rFonts w:ascii="Times New Roman" w:eastAsia="Times New Roman" w:hAnsi="Times New Roman" w:cs="Times New Roman"/>
          <w:noProof/>
          <w:sz w:val="24"/>
          <w:szCs w:val="24"/>
          <w:lang w:val="en-IE"/>
        </w:rPr>
        <w:t xml:space="preserve">specific policy areas </w:t>
      </w:r>
      <w:r w:rsidR="000D006B">
        <w:rPr>
          <w:rFonts w:ascii="Times New Roman" w:eastAsia="Times New Roman" w:hAnsi="Times New Roman" w:cs="Times New Roman"/>
          <w:noProof/>
          <w:sz w:val="24"/>
          <w:szCs w:val="24"/>
          <w:lang w:val="en-IE"/>
        </w:rPr>
        <w:t xml:space="preserve">of </w:t>
      </w:r>
      <w:r w:rsidRPr="00E03D97">
        <w:rPr>
          <w:rFonts w:ascii="Times New Roman" w:eastAsia="Times New Roman" w:hAnsi="Times New Roman" w:cs="Times New Roman"/>
          <w:noProof/>
          <w:sz w:val="24"/>
          <w:szCs w:val="24"/>
          <w:lang w:val="en-IE"/>
        </w:rPr>
        <w:t>precarious work, drugs and youth</w:t>
      </w:r>
      <w:r w:rsidR="000D006B">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w:t>
      </w:r>
    </w:p>
    <w:p w14:paraId="5807D156" w14:textId="59EE12C1" w:rsidR="001F1738" w:rsidRPr="00E03D97" w:rsidRDefault="001F1738" w:rsidP="001F1738">
      <w:pPr>
        <w:keepNext/>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The Commission has created </w:t>
      </w:r>
      <w:r w:rsidR="004210CF">
        <w:rPr>
          <w:rFonts w:ascii="Times New Roman" w:eastAsiaTheme="minorEastAsia" w:hAnsi="Times New Roman" w:cs="Times New Roman"/>
          <w:noProof/>
          <w:sz w:val="24"/>
          <w:szCs w:val="24"/>
          <w:lang w:val="en-IE"/>
        </w:rPr>
        <w:t>the</w:t>
      </w:r>
      <w:r w:rsidRPr="00E03D97">
        <w:rPr>
          <w:rFonts w:ascii="Times New Roman" w:eastAsiaTheme="minorEastAsia" w:hAnsi="Times New Roman" w:cs="Times New Roman"/>
          <w:noProof/>
          <w:sz w:val="24"/>
          <w:szCs w:val="24"/>
          <w:lang w:val="en-IE"/>
        </w:rPr>
        <w:t xml:space="preserve"> high-level Network of Expertise on </w:t>
      </w:r>
      <w:r w:rsidR="00CE1DAE">
        <w:rPr>
          <w:rFonts w:ascii="Times New Roman" w:eastAsiaTheme="minorEastAsia" w:hAnsi="Times New Roman" w:cs="Times New Roman"/>
          <w:noProof/>
          <w:sz w:val="24"/>
          <w:szCs w:val="24"/>
          <w:lang w:val="en-IE"/>
        </w:rPr>
        <w:t>l</w:t>
      </w:r>
      <w:r w:rsidRPr="00E03D97">
        <w:rPr>
          <w:rFonts w:ascii="Times New Roman" w:eastAsiaTheme="minorEastAsia" w:hAnsi="Times New Roman" w:cs="Times New Roman"/>
          <w:noProof/>
          <w:sz w:val="24"/>
          <w:szCs w:val="24"/>
          <w:lang w:val="en-IE"/>
        </w:rPr>
        <w:t xml:space="preserve">ong COVID (NELC), which </w:t>
      </w:r>
      <w:r w:rsidR="00CF5DAE">
        <w:rPr>
          <w:rFonts w:ascii="Times New Roman" w:eastAsiaTheme="minorEastAsia" w:hAnsi="Times New Roman" w:cs="Times New Roman"/>
          <w:noProof/>
          <w:sz w:val="24"/>
          <w:szCs w:val="24"/>
          <w:lang w:val="en-IE"/>
        </w:rPr>
        <w:t>brings together</w:t>
      </w:r>
      <w:r w:rsidR="00CF5DAE"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national institutions </w:t>
      </w:r>
      <w:r w:rsidR="00CF5DAE">
        <w:rPr>
          <w:rFonts w:ascii="Times New Roman" w:eastAsiaTheme="minorEastAsia" w:hAnsi="Times New Roman" w:cs="Times New Roman"/>
          <w:noProof/>
          <w:sz w:val="24"/>
          <w:szCs w:val="24"/>
          <w:lang w:val="en-IE"/>
        </w:rPr>
        <w:t xml:space="preserve">that </w:t>
      </w:r>
      <w:r w:rsidRPr="00E03D97">
        <w:rPr>
          <w:rFonts w:ascii="Times New Roman" w:eastAsiaTheme="minorEastAsia" w:hAnsi="Times New Roman" w:cs="Times New Roman"/>
          <w:noProof/>
          <w:sz w:val="24"/>
          <w:szCs w:val="24"/>
          <w:lang w:val="en-IE"/>
        </w:rPr>
        <w:t xml:space="preserve">function as a reference centre to other healthcare institutions. The aim of the </w:t>
      </w:r>
      <w:r w:rsidR="00CF5DAE">
        <w:rPr>
          <w:rFonts w:ascii="Times New Roman" w:eastAsiaTheme="minorEastAsia" w:hAnsi="Times New Roman" w:cs="Times New Roman"/>
          <w:noProof/>
          <w:sz w:val="24"/>
          <w:szCs w:val="24"/>
          <w:lang w:val="en-IE"/>
        </w:rPr>
        <w:t xml:space="preserve">NELC </w:t>
      </w:r>
      <w:r w:rsidRPr="00E03D97">
        <w:rPr>
          <w:rFonts w:ascii="Times New Roman" w:eastAsiaTheme="minorEastAsia" w:hAnsi="Times New Roman" w:cs="Times New Roman"/>
          <w:noProof/>
          <w:sz w:val="24"/>
          <w:szCs w:val="24"/>
          <w:lang w:val="en-IE"/>
        </w:rPr>
        <w:t xml:space="preserve">is to facilitate an exchange of </w:t>
      </w:r>
      <w:r w:rsidR="00CF5DAE">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most relevant information and best practices of </w:t>
      </w:r>
      <w:r w:rsidR="00CE1DAE">
        <w:rPr>
          <w:rFonts w:ascii="Times New Roman" w:eastAsiaTheme="minorEastAsia" w:hAnsi="Times New Roman" w:cs="Times New Roman"/>
          <w:noProof/>
          <w:sz w:val="24"/>
          <w:szCs w:val="24"/>
          <w:lang w:val="en-IE"/>
        </w:rPr>
        <w:t>l</w:t>
      </w:r>
      <w:r w:rsidRPr="00E03D97">
        <w:rPr>
          <w:rFonts w:ascii="Times New Roman" w:eastAsiaTheme="minorEastAsia" w:hAnsi="Times New Roman" w:cs="Times New Roman"/>
          <w:noProof/>
          <w:sz w:val="24"/>
          <w:szCs w:val="24"/>
          <w:lang w:val="en-IE"/>
        </w:rPr>
        <w:t xml:space="preserve">ong COVID management in response </w:t>
      </w:r>
      <w:r w:rsidR="00CF5DAE">
        <w:rPr>
          <w:rFonts w:ascii="Times New Roman" w:eastAsiaTheme="minorEastAsia" w:hAnsi="Times New Roman" w:cs="Times New Roman"/>
          <w:noProof/>
          <w:sz w:val="24"/>
          <w:szCs w:val="24"/>
          <w:lang w:val="en-IE"/>
        </w:rPr>
        <w:t xml:space="preserve">to </w:t>
      </w:r>
      <w:r w:rsidRPr="00E03D97">
        <w:rPr>
          <w:rFonts w:ascii="Times New Roman" w:eastAsiaTheme="minorEastAsia" w:hAnsi="Times New Roman" w:cs="Times New Roman"/>
          <w:noProof/>
          <w:sz w:val="24"/>
          <w:szCs w:val="24"/>
          <w:lang w:val="en-IE"/>
        </w:rPr>
        <w:t>the latest scientific developments relating</w:t>
      </w:r>
      <w:r w:rsidR="00CF5DAE">
        <w:rPr>
          <w:rFonts w:ascii="Times New Roman" w:eastAsiaTheme="minorEastAsia" w:hAnsi="Times New Roman" w:cs="Times New Roman"/>
          <w:noProof/>
          <w:sz w:val="24"/>
          <w:szCs w:val="24"/>
          <w:lang w:val="en-IE"/>
        </w:rPr>
        <w:t xml:space="preserve"> to </w:t>
      </w:r>
      <w:r w:rsidR="00CE1DAE">
        <w:rPr>
          <w:rFonts w:ascii="Times New Roman" w:eastAsiaTheme="minorEastAsia" w:hAnsi="Times New Roman" w:cs="Times New Roman"/>
          <w:noProof/>
          <w:sz w:val="24"/>
          <w:szCs w:val="24"/>
          <w:lang w:val="en-IE"/>
        </w:rPr>
        <w:t>l</w:t>
      </w:r>
      <w:r w:rsidRPr="00E03D97">
        <w:rPr>
          <w:rFonts w:ascii="Times New Roman" w:eastAsiaTheme="minorEastAsia" w:hAnsi="Times New Roman" w:cs="Times New Roman"/>
          <w:noProof/>
          <w:sz w:val="24"/>
          <w:szCs w:val="24"/>
          <w:lang w:val="en-IE"/>
        </w:rPr>
        <w:t>ong</w:t>
      </w:r>
      <w:r w:rsidR="00FC193D">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COVID as a growing public health crisis</w:t>
      </w:r>
      <w:r w:rsidR="00CF5DAE">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vertAlign w:val="superscript"/>
          <w:lang w:val="en-IE"/>
        </w:rPr>
        <w:footnoteReference w:id="100"/>
      </w:r>
      <w:r w:rsidRPr="00E03D97">
        <w:rPr>
          <w:rFonts w:ascii="Times New Roman" w:eastAsiaTheme="minorEastAsia" w:hAnsi="Times New Roman" w:cs="Times New Roman"/>
          <w:noProof/>
          <w:sz w:val="24"/>
          <w:szCs w:val="24"/>
          <w:lang w:val="en-IE"/>
        </w:rPr>
        <w:t xml:space="preserve">. It will also contribute to coordinating initiatives </w:t>
      </w:r>
      <w:r w:rsidR="00CF5DAE">
        <w:rPr>
          <w:rFonts w:ascii="Times New Roman" w:eastAsiaTheme="minorEastAsia" w:hAnsi="Times New Roman" w:cs="Times New Roman"/>
          <w:noProof/>
          <w:sz w:val="24"/>
          <w:szCs w:val="24"/>
          <w:lang w:val="en-IE"/>
        </w:rPr>
        <w:t xml:space="preserve">at </w:t>
      </w:r>
      <w:r w:rsidRPr="00E03D97">
        <w:rPr>
          <w:rFonts w:ascii="Times New Roman" w:eastAsiaTheme="minorEastAsia" w:hAnsi="Times New Roman" w:cs="Times New Roman"/>
          <w:noProof/>
          <w:sz w:val="24"/>
          <w:szCs w:val="24"/>
          <w:lang w:val="en-IE"/>
        </w:rPr>
        <w:t xml:space="preserve">national, EU and WHO level. </w:t>
      </w:r>
      <w:r w:rsidR="00CF5DAE">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NELC met for the first time on 2 May 2023 </w:t>
      </w:r>
      <w:r w:rsidR="00EE4D10">
        <w:rPr>
          <w:rFonts w:ascii="Times New Roman" w:eastAsiaTheme="minorEastAsia" w:hAnsi="Times New Roman" w:cs="Times New Roman"/>
          <w:noProof/>
          <w:sz w:val="24"/>
          <w:szCs w:val="24"/>
          <w:lang w:val="en-IE"/>
        </w:rPr>
        <w:t xml:space="preserve">to </w:t>
      </w:r>
      <w:r w:rsidRPr="00E03D97">
        <w:rPr>
          <w:rFonts w:ascii="Times New Roman" w:eastAsiaTheme="minorEastAsia" w:hAnsi="Times New Roman" w:cs="Times New Roman"/>
          <w:noProof/>
          <w:sz w:val="24"/>
          <w:szCs w:val="24"/>
          <w:lang w:val="en-IE"/>
        </w:rPr>
        <w:t xml:space="preserve">discuss initial ideas and its priorities. The identification of research needs and gaps, together with </w:t>
      </w:r>
      <w:r w:rsidR="00EE4D10">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sharing of guidelines and intelligence on diagnosis and treatment, were </w:t>
      </w:r>
      <w:r w:rsidR="00EE4D10">
        <w:rPr>
          <w:rFonts w:ascii="Times New Roman" w:eastAsiaTheme="minorEastAsia" w:hAnsi="Times New Roman" w:cs="Times New Roman"/>
          <w:noProof/>
          <w:sz w:val="24"/>
          <w:szCs w:val="24"/>
          <w:lang w:val="en-IE"/>
        </w:rPr>
        <w:t>identified</w:t>
      </w:r>
      <w:r w:rsidR="00EE4D10"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as </w:t>
      </w:r>
      <w:r w:rsidR="00EE4D10">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two most urgent topics to</w:t>
      </w:r>
      <w:r w:rsidR="00EE4D10">
        <w:rPr>
          <w:rFonts w:ascii="Times New Roman" w:eastAsiaTheme="minorEastAsia" w:hAnsi="Times New Roman" w:cs="Times New Roman"/>
          <w:noProof/>
          <w:sz w:val="24"/>
          <w:szCs w:val="24"/>
          <w:lang w:val="en-IE"/>
        </w:rPr>
        <w:t xml:space="preserve"> address</w:t>
      </w:r>
      <w:r w:rsidRPr="00E03D97">
        <w:rPr>
          <w:rFonts w:ascii="Times New Roman" w:eastAsiaTheme="minorEastAsia" w:hAnsi="Times New Roman" w:cs="Times New Roman"/>
          <w:noProof/>
          <w:sz w:val="24"/>
          <w:szCs w:val="24"/>
          <w:lang w:val="en-IE"/>
        </w:rPr>
        <w:t xml:space="preserve">. Moreover, </w:t>
      </w:r>
      <w:r w:rsidR="00EE4D10">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NELC highlighted the need </w:t>
      </w:r>
      <w:r w:rsidR="00EE4D10">
        <w:rPr>
          <w:rFonts w:ascii="Times New Roman" w:eastAsiaTheme="minorEastAsia" w:hAnsi="Times New Roman" w:cs="Times New Roman"/>
          <w:noProof/>
          <w:sz w:val="24"/>
          <w:szCs w:val="24"/>
          <w:lang w:val="en-IE"/>
        </w:rPr>
        <w:t xml:space="preserve">for </w:t>
      </w:r>
      <w:r w:rsidRPr="00E03D97">
        <w:rPr>
          <w:rFonts w:ascii="Times New Roman" w:eastAsiaTheme="minorEastAsia" w:hAnsi="Times New Roman" w:cs="Times New Roman"/>
          <w:noProof/>
          <w:sz w:val="24"/>
          <w:szCs w:val="24"/>
          <w:lang w:val="en-IE"/>
        </w:rPr>
        <w:t xml:space="preserve">guidelines and clinical recommendations. </w:t>
      </w:r>
    </w:p>
    <w:p w14:paraId="3EF6B58C" w14:textId="7A171235"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The Horizon Europe programme supports projects (including large cohort studies on COVID-19) </w:t>
      </w:r>
      <w:r w:rsidR="00EE4D10">
        <w:rPr>
          <w:rFonts w:ascii="Times New Roman" w:eastAsiaTheme="minorEastAsia" w:hAnsi="Times New Roman" w:cs="Times New Roman"/>
          <w:noProof/>
          <w:sz w:val="24"/>
          <w:szCs w:val="24"/>
          <w:lang w:val="en-IE"/>
        </w:rPr>
        <w:t>to</w:t>
      </w:r>
      <w:r w:rsidRPr="00E03D97">
        <w:rPr>
          <w:rFonts w:ascii="Times New Roman" w:eastAsiaTheme="minorEastAsia" w:hAnsi="Times New Roman" w:cs="Times New Roman"/>
          <w:noProof/>
          <w:sz w:val="24"/>
          <w:szCs w:val="24"/>
          <w:lang w:val="en-IE"/>
        </w:rPr>
        <w:t xml:space="preserve"> determin</w:t>
      </w:r>
      <w:r w:rsidR="00EE4D10">
        <w:rPr>
          <w:rFonts w:ascii="Times New Roman" w:eastAsiaTheme="minorEastAsia" w:hAnsi="Times New Roman" w:cs="Times New Roman"/>
          <w:noProof/>
          <w:sz w:val="24"/>
          <w:szCs w:val="24"/>
          <w:lang w:val="en-IE"/>
        </w:rPr>
        <w:t>e</w:t>
      </w:r>
      <w:r w:rsidRPr="00E03D97">
        <w:rPr>
          <w:rFonts w:ascii="Times New Roman" w:eastAsiaTheme="minorEastAsia" w:hAnsi="Times New Roman" w:cs="Times New Roman"/>
          <w:noProof/>
          <w:sz w:val="24"/>
          <w:szCs w:val="24"/>
          <w:lang w:val="en-IE"/>
        </w:rPr>
        <w:t xml:space="preserve"> </w:t>
      </w:r>
      <w:r w:rsidR="00EE4D10">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long-term consequences and symptoms of SARS-CoV-2 infections for a better understanding, diagnosis and potential treatment of </w:t>
      </w:r>
      <w:r w:rsidR="00CE1DAE">
        <w:rPr>
          <w:rFonts w:ascii="Times New Roman" w:eastAsiaTheme="minorEastAsia" w:hAnsi="Times New Roman" w:cs="Times New Roman"/>
          <w:noProof/>
          <w:sz w:val="24"/>
          <w:szCs w:val="24"/>
          <w:lang w:val="en-IE"/>
        </w:rPr>
        <w:t>l</w:t>
      </w:r>
      <w:r w:rsidRPr="00E03D97">
        <w:rPr>
          <w:rFonts w:ascii="Times New Roman" w:eastAsiaTheme="minorEastAsia" w:hAnsi="Times New Roman" w:cs="Times New Roman"/>
          <w:noProof/>
          <w:sz w:val="24"/>
          <w:szCs w:val="24"/>
          <w:lang w:val="en-IE"/>
        </w:rPr>
        <w:t>ong</w:t>
      </w:r>
      <w:r w:rsidR="00FC193D">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COVID.</w:t>
      </w:r>
    </w:p>
    <w:p w14:paraId="17D1E1A3" w14:textId="77777777" w:rsidR="001F1738" w:rsidRPr="00E03D97" w:rsidRDefault="001F1738" w:rsidP="00B55BF2">
      <w:pPr>
        <w:keepNext/>
        <w:keepLines/>
        <w:spacing w:before="480" w:after="100" w:afterAutospacing="1" w:line="240" w:lineRule="auto"/>
        <w:outlineLvl w:val="0"/>
        <w:rPr>
          <w:rFonts w:ascii="Times New Roman" w:eastAsiaTheme="majorEastAsia" w:hAnsi="Times New Roman" w:cs="Times New Roman"/>
          <w:noProof/>
          <w:sz w:val="24"/>
          <w:szCs w:val="24"/>
          <w:lang w:val="en-IE"/>
        </w:rPr>
      </w:pPr>
      <w:r w:rsidRPr="00E03D97">
        <w:rPr>
          <w:rFonts w:ascii="Times New Roman" w:eastAsiaTheme="majorEastAsia" w:hAnsi="Times New Roman" w:cs="Times New Roman"/>
          <w:noProof/>
          <w:sz w:val="24"/>
          <w:szCs w:val="24"/>
          <w:lang w:val="en-IE"/>
        </w:rPr>
        <w:t>6. RESEARCH</w:t>
      </w:r>
    </w:p>
    <w:p w14:paraId="3D0E9698" w14:textId="65ABD0A9" w:rsidR="002F1D2B" w:rsidRPr="002F1D2B" w:rsidRDefault="002F1D2B" w:rsidP="002F1D2B">
      <w:pPr>
        <w:spacing w:before="100" w:beforeAutospacing="1" w:after="100" w:afterAutospacing="1" w:line="240" w:lineRule="auto"/>
        <w:jc w:val="both"/>
        <w:rPr>
          <w:rFonts w:ascii="Times New Roman" w:eastAsiaTheme="minorEastAsia" w:hAnsi="Times New Roman" w:cs="Times New Roman"/>
          <w:bCs/>
          <w:noProof/>
          <w:sz w:val="24"/>
          <w:szCs w:val="24"/>
          <w:lang w:val="en-IE"/>
        </w:rPr>
      </w:pPr>
      <w:r>
        <w:rPr>
          <w:rFonts w:ascii="Times New Roman" w:eastAsiaTheme="minorEastAsia" w:hAnsi="Times New Roman" w:cs="Times New Roman"/>
          <w:bCs/>
          <w:noProof/>
          <w:sz w:val="24"/>
          <w:szCs w:val="24"/>
          <w:lang w:val="en-IE"/>
        </w:rPr>
        <w:t>The Commission</w:t>
      </w:r>
      <w:r w:rsidRPr="002F1D2B">
        <w:rPr>
          <w:rFonts w:ascii="Times New Roman" w:eastAsiaTheme="minorEastAsia" w:hAnsi="Times New Roman" w:cs="Times New Roman"/>
          <w:bCs/>
          <w:noProof/>
          <w:sz w:val="24"/>
          <w:szCs w:val="24"/>
          <w:lang w:val="en-IE"/>
        </w:rPr>
        <w:t xml:space="preserve"> funds innovation and research of relevance</w:t>
      </w:r>
      <w:r>
        <w:rPr>
          <w:rFonts w:ascii="Times New Roman" w:eastAsiaTheme="minorEastAsia" w:hAnsi="Times New Roman" w:cs="Times New Roman"/>
          <w:bCs/>
          <w:noProof/>
          <w:sz w:val="24"/>
          <w:szCs w:val="24"/>
          <w:lang w:val="en-IE"/>
        </w:rPr>
        <w:t xml:space="preserve"> to health security </w:t>
      </w:r>
      <w:r w:rsidRPr="002F1D2B">
        <w:rPr>
          <w:rFonts w:ascii="Times New Roman" w:eastAsiaTheme="minorEastAsia" w:hAnsi="Times New Roman" w:cs="Times New Roman"/>
          <w:bCs/>
          <w:noProof/>
          <w:sz w:val="24"/>
          <w:szCs w:val="24"/>
          <w:lang w:val="en-IE"/>
        </w:rPr>
        <w:t>via H</w:t>
      </w:r>
      <w:r>
        <w:rPr>
          <w:rFonts w:ascii="Times New Roman" w:eastAsiaTheme="minorEastAsia" w:hAnsi="Times New Roman" w:cs="Times New Roman"/>
          <w:bCs/>
          <w:noProof/>
          <w:sz w:val="24"/>
          <w:szCs w:val="24"/>
          <w:lang w:val="en-IE"/>
        </w:rPr>
        <w:t>orizon Europe</w:t>
      </w:r>
      <w:r w:rsidRPr="002F1D2B">
        <w:rPr>
          <w:rFonts w:ascii="Times New Roman" w:eastAsiaTheme="minorEastAsia" w:hAnsi="Times New Roman" w:cs="Times New Roman"/>
          <w:bCs/>
          <w:noProof/>
          <w:sz w:val="24"/>
          <w:szCs w:val="24"/>
          <w:lang w:val="en-IE"/>
        </w:rPr>
        <w:t xml:space="preserve"> and HERA </w:t>
      </w:r>
      <w:r>
        <w:rPr>
          <w:rFonts w:ascii="Times New Roman" w:eastAsiaTheme="minorEastAsia" w:hAnsi="Times New Roman" w:cs="Times New Roman"/>
          <w:bCs/>
          <w:noProof/>
          <w:sz w:val="24"/>
          <w:szCs w:val="24"/>
          <w:lang w:val="en-IE"/>
        </w:rPr>
        <w:t>I</w:t>
      </w:r>
      <w:r w:rsidRPr="002F1D2B">
        <w:rPr>
          <w:rFonts w:ascii="Times New Roman" w:eastAsiaTheme="minorEastAsia" w:hAnsi="Times New Roman" w:cs="Times New Roman"/>
          <w:bCs/>
          <w:noProof/>
          <w:sz w:val="24"/>
          <w:szCs w:val="24"/>
          <w:lang w:val="en-IE"/>
        </w:rPr>
        <w:t>nvest</w:t>
      </w:r>
      <w:r w:rsidRPr="00E03D97">
        <w:rPr>
          <w:rFonts w:ascii="Times New Roman" w:eastAsiaTheme="minorEastAsia" w:hAnsi="Times New Roman" w:cs="Times New Roman"/>
          <w:noProof/>
          <w:sz w:val="24"/>
          <w:szCs w:val="24"/>
          <w:vertAlign w:val="superscript"/>
          <w:lang w:val="en-IE"/>
        </w:rPr>
        <w:footnoteReference w:id="101"/>
      </w:r>
      <w:r w:rsidRPr="002F1D2B">
        <w:rPr>
          <w:rFonts w:ascii="Times New Roman" w:eastAsiaTheme="minorEastAsia" w:hAnsi="Times New Roman" w:cs="Times New Roman"/>
          <w:bCs/>
          <w:noProof/>
          <w:sz w:val="24"/>
          <w:szCs w:val="24"/>
          <w:lang w:val="en-IE"/>
        </w:rPr>
        <w:t xml:space="preserve"> across a range of domains</w:t>
      </w:r>
      <w:r>
        <w:rPr>
          <w:rFonts w:ascii="Times New Roman" w:eastAsiaTheme="minorEastAsia" w:hAnsi="Times New Roman" w:cs="Times New Roman"/>
          <w:bCs/>
          <w:noProof/>
          <w:sz w:val="24"/>
          <w:szCs w:val="24"/>
          <w:lang w:val="en-IE"/>
        </w:rPr>
        <w:t>, such as preparedness and response.</w:t>
      </w:r>
    </w:p>
    <w:p w14:paraId="69C9E508" w14:textId="72FEB1A4" w:rsidR="001F1738" w:rsidRPr="00E03D97" w:rsidRDefault="001F1738" w:rsidP="001F1738">
      <w:pPr>
        <w:keepNext/>
        <w:keepLines/>
        <w:spacing w:before="100" w:beforeAutospacing="1" w:after="100" w:afterAutospacing="1" w:line="240" w:lineRule="auto"/>
        <w:outlineLvl w:val="1"/>
        <w:rPr>
          <w:rFonts w:ascii="Times New Roman" w:eastAsiaTheme="majorEastAsia" w:hAnsi="Times New Roman" w:cs="Times New Roman"/>
          <w:b/>
          <w:bCs/>
          <w:noProof/>
          <w:sz w:val="24"/>
          <w:szCs w:val="24"/>
          <w:lang w:val="en-IE"/>
        </w:rPr>
      </w:pPr>
      <w:r w:rsidRPr="00E03D97">
        <w:rPr>
          <w:rFonts w:ascii="Times New Roman" w:eastAsiaTheme="majorEastAsia" w:hAnsi="Times New Roman" w:cs="Times New Roman"/>
          <w:b/>
          <w:bCs/>
          <w:noProof/>
          <w:sz w:val="24"/>
          <w:szCs w:val="24"/>
          <w:lang w:val="en-IE"/>
        </w:rPr>
        <w:t xml:space="preserve">Research in preparedness </w:t>
      </w:r>
    </w:p>
    <w:p w14:paraId="51AEF88D" w14:textId="0D60544A" w:rsidR="00BE1A6C" w:rsidRPr="00E03D97" w:rsidRDefault="001F1738" w:rsidP="001F1738">
      <w:pPr>
        <w:spacing w:before="100" w:beforeAutospacing="1" w:after="100" w:afterAutospacing="1" w:line="240" w:lineRule="auto"/>
        <w:jc w:val="both"/>
        <w:rPr>
          <w:rFonts w:ascii="Times New Roman" w:eastAsiaTheme="minorEastAsia" w:hAnsi="Times New Roman" w:cs="Times New Roman"/>
          <w:bCs/>
          <w:noProof/>
          <w:sz w:val="24"/>
          <w:szCs w:val="24"/>
          <w:lang w:val="en-IE"/>
        </w:rPr>
      </w:pPr>
      <w:r w:rsidRPr="00E03D97">
        <w:rPr>
          <w:rFonts w:ascii="Times New Roman" w:eastAsiaTheme="minorEastAsia" w:hAnsi="Times New Roman" w:cs="Times New Roman"/>
          <w:bCs/>
          <w:noProof/>
          <w:sz w:val="24"/>
          <w:szCs w:val="24"/>
          <w:lang w:val="en-IE"/>
        </w:rPr>
        <w:t xml:space="preserve">The Horizon Europe programme is supporting projects to increase knowledge on </w:t>
      </w:r>
      <w:r w:rsidR="007A631E">
        <w:rPr>
          <w:rFonts w:ascii="Times New Roman" w:eastAsiaTheme="minorEastAsia" w:hAnsi="Times New Roman" w:cs="Times New Roman"/>
          <w:bCs/>
          <w:noProof/>
          <w:sz w:val="24"/>
          <w:szCs w:val="24"/>
          <w:lang w:val="en-IE"/>
        </w:rPr>
        <w:t xml:space="preserve">vaccine-induced </w:t>
      </w:r>
      <w:r w:rsidRPr="00E03D97">
        <w:rPr>
          <w:rFonts w:ascii="Times New Roman" w:eastAsiaTheme="minorEastAsia" w:hAnsi="Times New Roman" w:cs="Times New Roman"/>
          <w:bCs/>
          <w:noProof/>
          <w:sz w:val="24"/>
          <w:szCs w:val="24"/>
          <w:lang w:val="en-IE"/>
        </w:rPr>
        <w:t xml:space="preserve">immunity </w:t>
      </w:r>
      <w:r w:rsidR="007A631E">
        <w:rPr>
          <w:rFonts w:ascii="Times New Roman" w:eastAsiaTheme="minorEastAsia" w:hAnsi="Times New Roman" w:cs="Times New Roman"/>
          <w:bCs/>
          <w:noProof/>
          <w:sz w:val="24"/>
          <w:szCs w:val="24"/>
          <w:lang w:val="en-IE"/>
        </w:rPr>
        <w:t>to</w:t>
      </w:r>
      <w:r w:rsidR="007A631E" w:rsidRPr="00E03D97">
        <w:rPr>
          <w:rFonts w:ascii="Times New Roman" w:eastAsiaTheme="minorEastAsia" w:hAnsi="Times New Roman" w:cs="Times New Roman"/>
          <w:bCs/>
          <w:noProof/>
          <w:sz w:val="24"/>
          <w:szCs w:val="24"/>
          <w:lang w:val="en-IE"/>
        </w:rPr>
        <w:t xml:space="preserve"> </w:t>
      </w:r>
      <w:r w:rsidRPr="00E03D97">
        <w:rPr>
          <w:rFonts w:ascii="Times New Roman" w:eastAsiaTheme="minorEastAsia" w:hAnsi="Times New Roman" w:cs="Times New Roman"/>
          <w:bCs/>
          <w:noProof/>
          <w:sz w:val="24"/>
          <w:szCs w:val="24"/>
          <w:lang w:val="en-IE"/>
        </w:rPr>
        <w:t>viruses with a high epidemic or pandemic potential as well as to define optimal</w:t>
      </w:r>
      <w:r w:rsidR="0094565F">
        <w:rPr>
          <w:rFonts w:ascii="Times New Roman" w:eastAsiaTheme="minorEastAsia" w:hAnsi="Times New Roman" w:cs="Times New Roman"/>
          <w:bCs/>
          <w:noProof/>
          <w:sz w:val="24"/>
          <w:szCs w:val="24"/>
          <w:lang w:val="en-IE"/>
        </w:rPr>
        <w:t xml:space="preserve"> design of</w:t>
      </w:r>
      <w:r w:rsidRPr="00E03D97">
        <w:rPr>
          <w:rFonts w:ascii="Times New Roman" w:eastAsiaTheme="minorEastAsia" w:hAnsi="Times New Roman" w:cs="Times New Roman"/>
          <w:bCs/>
          <w:noProof/>
          <w:sz w:val="24"/>
          <w:szCs w:val="24"/>
          <w:lang w:val="en-IE"/>
        </w:rPr>
        <w:t xml:space="preserve"> vaccine</w:t>
      </w:r>
      <w:r w:rsidR="0094565F">
        <w:rPr>
          <w:rFonts w:ascii="Times New Roman" w:eastAsiaTheme="minorEastAsia" w:hAnsi="Times New Roman" w:cs="Times New Roman"/>
          <w:bCs/>
          <w:noProof/>
          <w:sz w:val="24"/>
          <w:szCs w:val="24"/>
          <w:lang w:val="en-IE"/>
        </w:rPr>
        <w:t>s against</w:t>
      </w:r>
      <w:r w:rsidRPr="00E03D97">
        <w:rPr>
          <w:rFonts w:ascii="Times New Roman" w:eastAsiaTheme="minorEastAsia" w:hAnsi="Times New Roman" w:cs="Times New Roman"/>
          <w:bCs/>
          <w:noProof/>
          <w:sz w:val="24"/>
          <w:szCs w:val="24"/>
          <w:lang w:val="en-IE"/>
        </w:rPr>
        <w:t xml:space="preserve"> pathogens, where information on host-pathogen interaction and viral surface structures is known. Other research actions for medical countermeasures focus on advancing broad-spectrum antiviral compounds and developing novel approaches to the development of such compounds, which target viruses with high epidemic or pandemic potential for the EU. </w:t>
      </w:r>
    </w:p>
    <w:p w14:paraId="0102D323" w14:textId="27E7CE84"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bCs/>
          <w:noProof/>
          <w:sz w:val="24"/>
          <w:szCs w:val="24"/>
          <w:lang w:val="en-IE"/>
        </w:rPr>
      </w:pPr>
      <w:r w:rsidRPr="00E03D97">
        <w:rPr>
          <w:rFonts w:ascii="Times New Roman" w:eastAsiaTheme="minorEastAsia" w:hAnsi="Times New Roman" w:cs="Times New Roman"/>
          <w:noProof/>
          <w:sz w:val="24"/>
          <w:szCs w:val="24"/>
          <w:lang w:val="en-IE"/>
        </w:rPr>
        <w:t xml:space="preserve">The Commission </w:t>
      </w:r>
      <w:r w:rsidR="00124BA9">
        <w:rPr>
          <w:rFonts w:ascii="Times New Roman" w:eastAsiaTheme="minorEastAsia" w:hAnsi="Times New Roman" w:cs="Times New Roman"/>
          <w:noProof/>
          <w:sz w:val="24"/>
          <w:szCs w:val="24"/>
          <w:lang w:val="en-IE"/>
        </w:rPr>
        <w:t xml:space="preserve">has </w:t>
      </w:r>
      <w:r w:rsidRPr="00E03D97">
        <w:rPr>
          <w:rFonts w:ascii="Times New Roman" w:eastAsiaTheme="minorEastAsia" w:hAnsi="Times New Roman" w:cs="Times New Roman"/>
          <w:noProof/>
          <w:sz w:val="24"/>
          <w:szCs w:val="24"/>
          <w:lang w:val="en-IE"/>
        </w:rPr>
        <w:t>also launched HERA Invest</w:t>
      </w:r>
      <w:r w:rsidR="00124BA9">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 xml:space="preserve">to promote advanced research and development of medical countermeasures and related technologies for tackling priority cross-border health threats. </w:t>
      </w:r>
      <w:r w:rsidR="00BB5600">
        <w:rPr>
          <w:rFonts w:ascii="Times New Roman" w:eastAsiaTheme="minorEastAsia" w:hAnsi="Times New Roman" w:cs="Times New Roman"/>
          <w:noProof/>
          <w:sz w:val="24"/>
          <w:szCs w:val="24"/>
        </w:rPr>
        <w:t>Part</w:t>
      </w:r>
      <w:r w:rsidR="00B00464">
        <w:rPr>
          <w:rFonts w:ascii="Times New Roman" w:eastAsiaTheme="minorEastAsia" w:hAnsi="Times New Roman" w:cs="Times New Roman"/>
          <w:noProof/>
          <w:sz w:val="24"/>
          <w:szCs w:val="24"/>
        </w:rPr>
        <w:t xml:space="preserve"> of InvestEU</w:t>
      </w:r>
      <w:r w:rsidR="002F1D2B">
        <w:rPr>
          <w:rStyle w:val="FootnoteReference"/>
          <w:rFonts w:ascii="Times New Roman" w:eastAsiaTheme="minorEastAsia" w:hAnsi="Times New Roman" w:cs="Times New Roman"/>
          <w:noProof/>
          <w:sz w:val="24"/>
          <w:szCs w:val="24"/>
        </w:rPr>
        <w:footnoteReference w:id="102"/>
      </w:r>
      <w:r w:rsidR="00FC34AB">
        <w:rPr>
          <w:rFonts w:ascii="Times New Roman" w:eastAsiaTheme="minorEastAsia" w:hAnsi="Times New Roman" w:cs="Times New Roman"/>
          <w:noProof/>
          <w:sz w:val="24"/>
          <w:szCs w:val="24"/>
        </w:rPr>
        <w:t xml:space="preserve"> </w:t>
      </w:r>
      <w:r w:rsidR="002F1D2B">
        <w:rPr>
          <w:rFonts w:ascii="Times New Roman" w:eastAsiaTheme="minorEastAsia" w:hAnsi="Times New Roman" w:cs="Times New Roman"/>
          <w:noProof/>
          <w:sz w:val="24"/>
          <w:szCs w:val="24"/>
        </w:rPr>
        <w:t xml:space="preserve">- the EU programme that </w:t>
      </w:r>
      <w:r w:rsidR="002F1D2B" w:rsidRPr="002F1D2B">
        <w:rPr>
          <w:rFonts w:ascii="Times New Roman" w:eastAsiaTheme="minorEastAsia" w:hAnsi="Times New Roman" w:cs="Times New Roman"/>
          <w:noProof/>
          <w:sz w:val="24"/>
          <w:szCs w:val="24"/>
        </w:rPr>
        <w:t>supports sustainable investment,</w:t>
      </w:r>
      <w:r w:rsidR="002F1D2B" w:rsidRPr="002F1D2B">
        <w:rPr>
          <w:rFonts w:ascii="Times New Roman" w:eastAsiaTheme="minorEastAsia" w:hAnsi="Times New Roman" w:cs="Times New Roman"/>
          <w:noProof/>
          <w:sz w:val="24"/>
          <w:szCs w:val="24"/>
        </w:rPr>
        <w:br/>
        <w:t>innovation and job creation in Europe</w:t>
      </w:r>
      <w:r w:rsidR="002F1D2B">
        <w:rPr>
          <w:rFonts w:ascii="Times New Roman" w:eastAsiaTheme="minorEastAsia" w:hAnsi="Times New Roman" w:cs="Times New Roman"/>
          <w:noProof/>
          <w:sz w:val="24"/>
          <w:szCs w:val="24"/>
        </w:rPr>
        <w:t>,</w:t>
      </w:r>
      <w:r w:rsidRPr="00E03D97">
        <w:rPr>
          <w:rFonts w:ascii="Times New Roman" w:eastAsiaTheme="minorEastAsia" w:hAnsi="Times New Roman" w:cs="Times New Roman"/>
          <w:noProof/>
          <w:sz w:val="24"/>
          <w:szCs w:val="24"/>
          <w:lang w:val="en-IE"/>
        </w:rPr>
        <w:t xml:space="preserve"> </w:t>
      </w:r>
      <w:r w:rsidR="002F1D2B">
        <w:rPr>
          <w:rFonts w:ascii="Times New Roman" w:eastAsiaTheme="minorEastAsia" w:hAnsi="Times New Roman" w:cs="Times New Roman"/>
          <w:noProof/>
          <w:sz w:val="24"/>
          <w:szCs w:val="24"/>
          <w:lang w:val="en-IE"/>
        </w:rPr>
        <w:t xml:space="preserve">HERA Invest fills </w:t>
      </w:r>
      <w:r w:rsidRPr="00E03D97">
        <w:rPr>
          <w:rFonts w:ascii="Times New Roman" w:eastAsiaTheme="minorEastAsia" w:hAnsi="Times New Roman" w:cs="Times New Roman"/>
          <w:noProof/>
          <w:sz w:val="24"/>
          <w:szCs w:val="24"/>
          <w:lang w:val="en-IE"/>
        </w:rPr>
        <w:t>a vital gap</w:t>
      </w:r>
      <w:r w:rsidR="00B00464">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in the field with </w:t>
      </w:r>
      <w:r w:rsidR="009250AB">
        <w:rPr>
          <w:rFonts w:ascii="Times New Roman" w:eastAsiaTheme="minorEastAsia" w:hAnsi="Times New Roman" w:cs="Times New Roman"/>
          <w:noProof/>
          <w:sz w:val="24"/>
          <w:szCs w:val="24"/>
          <w:lang w:val="en-IE"/>
        </w:rPr>
        <w:t>EUR </w:t>
      </w:r>
      <w:r w:rsidRPr="00E03D97">
        <w:rPr>
          <w:rFonts w:ascii="Times New Roman" w:eastAsiaTheme="minorEastAsia" w:hAnsi="Times New Roman" w:cs="Times New Roman"/>
          <w:noProof/>
          <w:sz w:val="24"/>
          <w:szCs w:val="24"/>
          <w:lang w:val="en-IE"/>
        </w:rPr>
        <w:t>100</w:t>
      </w:r>
      <w:r w:rsidR="009250AB">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 xml:space="preserve">million to support innovative SMEs in the early and late phases of clinical trials. HERA Invest aims to reduce market failures and to enhance the </w:t>
      </w:r>
      <w:r w:rsidR="009250AB">
        <w:rPr>
          <w:rFonts w:ascii="Times New Roman" w:eastAsiaTheme="minorEastAsia" w:hAnsi="Times New Roman" w:cs="Times New Roman"/>
          <w:noProof/>
          <w:sz w:val="24"/>
          <w:szCs w:val="24"/>
          <w:lang w:val="en-IE"/>
        </w:rPr>
        <w:t xml:space="preserve">EU’s </w:t>
      </w:r>
      <w:r w:rsidRPr="00E03D97">
        <w:rPr>
          <w:rFonts w:ascii="Times New Roman" w:eastAsiaTheme="minorEastAsia" w:hAnsi="Times New Roman" w:cs="Times New Roman"/>
          <w:noProof/>
          <w:sz w:val="24"/>
          <w:szCs w:val="24"/>
          <w:lang w:val="en-IE"/>
        </w:rPr>
        <w:t>strategic autonomy.</w:t>
      </w:r>
    </w:p>
    <w:p w14:paraId="646A8BED" w14:textId="64887093" w:rsidR="001F1738" w:rsidRPr="00E03D97" w:rsidRDefault="00B00464" w:rsidP="001F1738">
      <w:pPr>
        <w:spacing w:before="100" w:beforeAutospacing="1" w:after="100" w:afterAutospacing="1" w:line="240" w:lineRule="auto"/>
        <w:jc w:val="both"/>
        <w:rPr>
          <w:rFonts w:ascii="Times New Roman" w:eastAsiaTheme="minorEastAsia" w:hAnsi="Times New Roman" w:cs="Times New Roman"/>
          <w:bCs/>
          <w:noProof/>
          <w:sz w:val="24"/>
          <w:szCs w:val="24"/>
          <w:lang w:val="en-IE"/>
        </w:rPr>
      </w:pPr>
      <w:r>
        <w:rPr>
          <w:rFonts w:ascii="Times New Roman" w:eastAsiaTheme="minorEastAsia" w:hAnsi="Times New Roman" w:cs="Times New Roman"/>
          <w:bCs/>
          <w:noProof/>
          <w:sz w:val="24"/>
          <w:szCs w:val="24"/>
          <w:lang w:val="en-IE"/>
        </w:rPr>
        <w:t xml:space="preserve">The </w:t>
      </w:r>
      <w:r w:rsidR="001F1738" w:rsidRPr="00E03D97">
        <w:rPr>
          <w:rFonts w:ascii="Times New Roman" w:eastAsiaTheme="minorEastAsia" w:hAnsi="Times New Roman" w:cs="Times New Roman"/>
          <w:bCs/>
          <w:noProof/>
          <w:sz w:val="24"/>
          <w:szCs w:val="24"/>
          <w:lang w:val="en-IE"/>
        </w:rPr>
        <w:t xml:space="preserve">Horizon Europe </w:t>
      </w:r>
      <w:r>
        <w:rPr>
          <w:rFonts w:ascii="Times New Roman" w:eastAsiaTheme="minorEastAsia" w:hAnsi="Times New Roman" w:cs="Times New Roman"/>
          <w:bCs/>
          <w:noProof/>
          <w:sz w:val="24"/>
          <w:szCs w:val="24"/>
          <w:lang w:val="en-IE"/>
        </w:rPr>
        <w:t xml:space="preserve">programme </w:t>
      </w:r>
      <w:r w:rsidR="001F1738" w:rsidRPr="00E03D97">
        <w:rPr>
          <w:rFonts w:ascii="Times New Roman" w:eastAsiaTheme="minorEastAsia" w:hAnsi="Times New Roman" w:cs="Times New Roman"/>
          <w:bCs/>
          <w:noProof/>
          <w:sz w:val="24"/>
          <w:szCs w:val="24"/>
          <w:lang w:val="en-IE"/>
        </w:rPr>
        <w:t>is also supporting the development of</w:t>
      </w:r>
      <w:r w:rsidR="00355CB1">
        <w:rPr>
          <w:rFonts w:ascii="Times New Roman" w:eastAsiaTheme="minorEastAsia" w:hAnsi="Times New Roman" w:cs="Times New Roman"/>
          <w:bCs/>
          <w:noProof/>
          <w:sz w:val="24"/>
          <w:szCs w:val="24"/>
          <w:lang w:val="en-IE"/>
        </w:rPr>
        <w:t>,</w:t>
      </w:r>
      <w:r w:rsidR="001F1738" w:rsidRPr="00E03D97">
        <w:rPr>
          <w:rFonts w:ascii="Times New Roman" w:eastAsiaTheme="minorEastAsia" w:hAnsi="Times New Roman" w:cs="Times New Roman"/>
          <w:bCs/>
          <w:noProof/>
          <w:sz w:val="24"/>
          <w:szCs w:val="24"/>
          <w:lang w:val="en-IE"/>
        </w:rPr>
        <w:t xml:space="preserve"> and access to</w:t>
      </w:r>
      <w:r w:rsidR="00355CB1">
        <w:rPr>
          <w:rFonts w:ascii="Times New Roman" w:eastAsiaTheme="minorEastAsia" w:hAnsi="Times New Roman" w:cs="Times New Roman"/>
          <w:bCs/>
          <w:noProof/>
          <w:sz w:val="24"/>
          <w:szCs w:val="24"/>
          <w:lang w:val="en-IE"/>
        </w:rPr>
        <w:t>,</w:t>
      </w:r>
      <w:r w:rsidR="001F1738" w:rsidRPr="00E03D97">
        <w:rPr>
          <w:rFonts w:ascii="Times New Roman" w:eastAsiaTheme="minorEastAsia" w:hAnsi="Times New Roman" w:cs="Times New Roman"/>
          <w:bCs/>
          <w:noProof/>
          <w:sz w:val="24"/>
          <w:szCs w:val="24"/>
          <w:lang w:val="en-IE"/>
        </w:rPr>
        <w:t xml:space="preserve"> </w:t>
      </w:r>
      <w:r w:rsidR="001F1738" w:rsidRPr="00E03D97">
        <w:rPr>
          <w:rFonts w:ascii="Times New Roman" w:eastAsiaTheme="minorEastAsia" w:hAnsi="Times New Roman" w:cs="Times New Roman"/>
          <w:bCs/>
          <w:i/>
          <w:iCs/>
          <w:noProof/>
          <w:sz w:val="24"/>
          <w:szCs w:val="24"/>
          <w:lang w:val="en-IE"/>
        </w:rPr>
        <w:t>in</w:t>
      </w:r>
      <w:r w:rsidR="00355CB1">
        <w:rPr>
          <w:rFonts w:ascii="Times New Roman" w:eastAsiaTheme="minorEastAsia" w:hAnsi="Times New Roman" w:cs="Times New Roman"/>
          <w:bCs/>
          <w:i/>
          <w:iCs/>
          <w:noProof/>
          <w:sz w:val="24"/>
          <w:szCs w:val="24"/>
          <w:lang w:val="en-IE"/>
        </w:rPr>
        <w:t xml:space="preserve"> </w:t>
      </w:r>
      <w:r w:rsidR="001F1738" w:rsidRPr="00E03D97">
        <w:rPr>
          <w:rFonts w:ascii="Times New Roman" w:eastAsiaTheme="minorEastAsia" w:hAnsi="Times New Roman" w:cs="Times New Roman"/>
          <w:bCs/>
          <w:i/>
          <w:iCs/>
          <w:noProof/>
          <w:sz w:val="24"/>
          <w:szCs w:val="24"/>
          <w:lang w:val="en-IE"/>
        </w:rPr>
        <w:t>vitro</w:t>
      </w:r>
      <w:r w:rsidR="001F1738" w:rsidRPr="00E03D97">
        <w:rPr>
          <w:rFonts w:ascii="Times New Roman" w:eastAsiaTheme="minorEastAsia" w:hAnsi="Times New Roman" w:cs="Times New Roman"/>
          <w:bCs/>
          <w:noProof/>
          <w:sz w:val="24"/>
          <w:szCs w:val="24"/>
          <w:lang w:val="en-IE"/>
        </w:rPr>
        <w:t xml:space="preserve"> diagnostics for the detection and characterisation of pathogens with pandemic potential as well as </w:t>
      </w:r>
      <w:r w:rsidR="00355CB1">
        <w:rPr>
          <w:rFonts w:ascii="Times New Roman" w:eastAsiaTheme="minorEastAsia" w:hAnsi="Times New Roman" w:cs="Times New Roman"/>
          <w:bCs/>
          <w:noProof/>
          <w:sz w:val="24"/>
          <w:szCs w:val="24"/>
          <w:lang w:val="en-IE"/>
        </w:rPr>
        <w:t xml:space="preserve">supporting </w:t>
      </w:r>
      <w:r w:rsidR="001F1738" w:rsidRPr="00E03D97">
        <w:rPr>
          <w:rFonts w:ascii="Times New Roman" w:eastAsiaTheme="minorEastAsia" w:hAnsi="Times New Roman" w:cs="Times New Roman"/>
          <w:bCs/>
          <w:noProof/>
          <w:sz w:val="24"/>
          <w:szCs w:val="24"/>
          <w:lang w:val="en-IE"/>
        </w:rPr>
        <w:t xml:space="preserve">access to medical devices and </w:t>
      </w:r>
      <w:r w:rsidR="001F1738" w:rsidRPr="00B43F78">
        <w:rPr>
          <w:rFonts w:ascii="Times New Roman" w:eastAsiaTheme="minorEastAsia" w:hAnsi="Times New Roman" w:cs="Times New Roman"/>
          <w:bCs/>
          <w:i/>
          <w:iCs/>
          <w:noProof/>
          <w:sz w:val="24"/>
          <w:szCs w:val="24"/>
          <w:lang w:val="en-IE"/>
        </w:rPr>
        <w:t>in vitro</w:t>
      </w:r>
      <w:r w:rsidR="001F1738" w:rsidRPr="00E03D97">
        <w:rPr>
          <w:rFonts w:ascii="Times New Roman" w:eastAsiaTheme="minorEastAsia" w:hAnsi="Times New Roman" w:cs="Times New Roman"/>
          <w:bCs/>
          <w:noProof/>
          <w:sz w:val="24"/>
          <w:szCs w:val="24"/>
          <w:lang w:val="en-IE"/>
        </w:rPr>
        <w:t xml:space="preserve"> diagnostic medical devices for cross-border health threats. In addition, </w:t>
      </w:r>
      <w:r w:rsidR="00FC34AB">
        <w:rPr>
          <w:rFonts w:ascii="Times New Roman" w:eastAsiaTheme="minorEastAsia" w:hAnsi="Times New Roman" w:cs="Times New Roman"/>
          <w:bCs/>
          <w:noProof/>
          <w:sz w:val="24"/>
          <w:szCs w:val="24"/>
          <w:lang w:val="en-IE"/>
        </w:rPr>
        <w:t>the Commission</w:t>
      </w:r>
      <w:r w:rsidR="00355CB1">
        <w:rPr>
          <w:rFonts w:ascii="Times New Roman" w:eastAsiaTheme="minorEastAsia" w:hAnsi="Times New Roman" w:cs="Times New Roman"/>
          <w:bCs/>
          <w:noProof/>
          <w:sz w:val="24"/>
          <w:szCs w:val="24"/>
          <w:lang w:val="en-IE"/>
        </w:rPr>
        <w:t xml:space="preserve"> is</w:t>
      </w:r>
      <w:r w:rsidR="001F1738" w:rsidRPr="00E03D97">
        <w:rPr>
          <w:rFonts w:ascii="Times New Roman" w:eastAsiaTheme="minorEastAsia" w:hAnsi="Times New Roman" w:cs="Times New Roman"/>
          <w:bCs/>
          <w:noProof/>
          <w:sz w:val="24"/>
          <w:szCs w:val="24"/>
          <w:lang w:val="en-IE"/>
        </w:rPr>
        <w:t>, through the European Innovation Council</w:t>
      </w:r>
      <w:r w:rsidR="00355CB1">
        <w:rPr>
          <w:rFonts w:ascii="Times New Roman" w:eastAsiaTheme="minorEastAsia" w:hAnsi="Times New Roman" w:cs="Times New Roman"/>
          <w:bCs/>
          <w:noProof/>
          <w:sz w:val="24"/>
          <w:szCs w:val="24"/>
          <w:lang w:val="en-IE"/>
        </w:rPr>
        <w:t> </w:t>
      </w:r>
      <w:r w:rsidR="001F1738" w:rsidRPr="00E03D97">
        <w:rPr>
          <w:rFonts w:ascii="Times New Roman" w:eastAsiaTheme="minorEastAsia" w:hAnsi="Times New Roman" w:cs="Times New Roman"/>
          <w:bCs/>
          <w:noProof/>
          <w:sz w:val="24"/>
          <w:szCs w:val="24"/>
          <w:vertAlign w:val="superscript"/>
          <w:lang w:val="en-IE"/>
        </w:rPr>
        <w:footnoteReference w:id="103"/>
      </w:r>
      <w:r w:rsidR="00E14569">
        <w:rPr>
          <w:rFonts w:ascii="Times New Roman" w:eastAsiaTheme="minorEastAsia" w:hAnsi="Times New Roman" w:cs="Times New Roman"/>
          <w:bCs/>
          <w:noProof/>
          <w:sz w:val="24"/>
          <w:szCs w:val="24"/>
          <w:lang w:val="en-IE"/>
        </w:rPr>
        <w:t xml:space="preserve"> - </w:t>
      </w:r>
      <w:r w:rsidR="00E14569" w:rsidRPr="00E14569">
        <w:rPr>
          <w:rFonts w:ascii="Times New Roman" w:eastAsiaTheme="minorEastAsia" w:hAnsi="Times New Roman" w:cs="Times New Roman"/>
          <w:bCs/>
          <w:noProof/>
          <w:sz w:val="24"/>
          <w:szCs w:val="24"/>
        </w:rPr>
        <w:t>Europe’s flagship innovation programme established under Horizon Europe</w:t>
      </w:r>
      <w:r w:rsidR="001F1738" w:rsidRPr="00E03D97">
        <w:rPr>
          <w:rFonts w:ascii="Times New Roman" w:eastAsiaTheme="minorEastAsia" w:hAnsi="Times New Roman" w:cs="Times New Roman"/>
          <w:bCs/>
          <w:noProof/>
          <w:sz w:val="24"/>
          <w:szCs w:val="24"/>
          <w:lang w:val="en-IE"/>
        </w:rPr>
        <w:t>,</w:t>
      </w:r>
      <w:r w:rsidR="00355CB1">
        <w:rPr>
          <w:rFonts w:ascii="Times New Roman" w:eastAsiaTheme="minorEastAsia" w:hAnsi="Times New Roman" w:cs="Times New Roman"/>
          <w:bCs/>
          <w:noProof/>
          <w:sz w:val="24"/>
          <w:szCs w:val="24"/>
          <w:lang w:val="en-IE"/>
        </w:rPr>
        <w:t xml:space="preserve"> </w:t>
      </w:r>
      <w:r w:rsidR="001F1738" w:rsidRPr="00E03D97">
        <w:rPr>
          <w:rFonts w:ascii="Times New Roman" w:eastAsiaTheme="minorEastAsia" w:hAnsi="Times New Roman" w:cs="Times New Roman"/>
          <w:bCs/>
          <w:noProof/>
          <w:sz w:val="24"/>
          <w:szCs w:val="24"/>
          <w:lang w:val="en-IE"/>
        </w:rPr>
        <w:t xml:space="preserve">promoting the development and commercialisation of technological solutions for epi/pandemic management, </w:t>
      </w:r>
      <w:r w:rsidR="00355CB1">
        <w:rPr>
          <w:rFonts w:ascii="Times New Roman" w:eastAsiaTheme="minorEastAsia" w:hAnsi="Times New Roman" w:cs="Times New Roman"/>
          <w:bCs/>
          <w:noProof/>
          <w:sz w:val="24"/>
          <w:szCs w:val="24"/>
          <w:lang w:val="en-IE"/>
        </w:rPr>
        <w:t>(</w:t>
      </w:r>
      <w:r w:rsidR="001F1738" w:rsidRPr="00E03D97">
        <w:rPr>
          <w:rFonts w:ascii="Times New Roman" w:eastAsiaTheme="minorEastAsia" w:hAnsi="Times New Roman" w:cs="Times New Roman"/>
          <w:bCs/>
          <w:noProof/>
          <w:sz w:val="24"/>
          <w:szCs w:val="24"/>
          <w:lang w:val="en-IE"/>
        </w:rPr>
        <w:t>including</w:t>
      </w:r>
      <w:r w:rsidR="00355CB1">
        <w:rPr>
          <w:rFonts w:ascii="Times New Roman" w:eastAsiaTheme="minorEastAsia" w:hAnsi="Times New Roman" w:cs="Times New Roman"/>
          <w:bCs/>
          <w:noProof/>
          <w:sz w:val="24"/>
          <w:szCs w:val="24"/>
          <w:lang w:val="en-IE"/>
        </w:rPr>
        <w:t>,</w:t>
      </w:r>
      <w:r w:rsidR="001F1738" w:rsidRPr="00E03D97">
        <w:rPr>
          <w:rFonts w:ascii="Times New Roman" w:eastAsiaTheme="minorEastAsia" w:hAnsi="Times New Roman" w:cs="Times New Roman"/>
          <w:bCs/>
          <w:noProof/>
          <w:sz w:val="24"/>
          <w:szCs w:val="24"/>
          <w:lang w:val="en-IE"/>
        </w:rPr>
        <w:t xml:space="preserve"> for example</w:t>
      </w:r>
      <w:r w:rsidR="00355CB1">
        <w:rPr>
          <w:rFonts w:ascii="Times New Roman" w:eastAsiaTheme="minorEastAsia" w:hAnsi="Times New Roman" w:cs="Times New Roman"/>
          <w:bCs/>
          <w:noProof/>
          <w:sz w:val="24"/>
          <w:szCs w:val="24"/>
          <w:lang w:val="en-IE"/>
        </w:rPr>
        <w:t>,</w:t>
      </w:r>
      <w:r w:rsidR="001F1738" w:rsidRPr="00E03D97">
        <w:rPr>
          <w:rFonts w:ascii="Times New Roman" w:eastAsiaTheme="minorEastAsia" w:hAnsi="Times New Roman" w:cs="Times New Roman"/>
          <w:bCs/>
          <w:noProof/>
          <w:sz w:val="24"/>
          <w:szCs w:val="24"/>
          <w:lang w:val="en-IE"/>
        </w:rPr>
        <w:t xml:space="preserve"> advanced systems for aerosol capture, pathogen deactivation and air circulation optimisation, next generation face masks and rapid surface decontamination devices</w:t>
      </w:r>
      <w:r w:rsidR="00355CB1">
        <w:rPr>
          <w:rFonts w:ascii="Times New Roman" w:eastAsiaTheme="minorEastAsia" w:hAnsi="Times New Roman" w:cs="Times New Roman"/>
          <w:bCs/>
          <w:noProof/>
          <w:sz w:val="24"/>
          <w:szCs w:val="24"/>
          <w:lang w:val="en-IE"/>
        </w:rPr>
        <w:t>)</w:t>
      </w:r>
      <w:r w:rsidR="001F1738" w:rsidRPr="00E03D97">
        <w:rPr>
          <w:rFonts w:ascii="Times New Roman" w:eastAsiaTheme="minorEastAsia" w:hAnsi="Times New Roman" w:cs="Times New Roman"/>
          <w:bCs/>
          <w:noProof/>
          <w:sz w:val="24"/>
          <w:szCs w:val="24"/>
          <w:lang w:val="en-IE"/>
        </w:rPr>
        <w:t>.</w:t>
      </w:r>
    </w:p>
    <w:p w14:paraId="668700DC" w14:textId="2BFFCD53" w:rsidR="001F1738" w:rsidRPr="00E03D97" w:rsidRDefault="001F1738" w:rsidP="001F1738">
      <w:pPr>
        <w:keepNext/>
        <w:keepLines/>
        <w:spacing w:before="100" w:beforeAutospacing="1" w:after="100" w:afterAutospacing="1" w:line="240" w:lineRule="auto"/>
        <w:outlineLvl w:val="1"/>
        <w:rPr>
          <w:rFonts w:ascii="Times New Roman" w:eastAsiaTheme="majorEastAsia" w:hAnsi="Times New Roman" w:cs="Times New Roman"/>
          <w:b/>
          <w:bCs/>
          <w:noProof/>
          <w:sz w:val="24"/>
          <w:szCs w:val="24"/>
          <w:lang w:val="en-IE"/>
        </w:rPr>
      </w:pPr>
      <w:r w:rsidRPr="00E03D97">
        <w:rPr>
          <w:rFonts w:ascii="Times New Roman" w:eastAsiaTheme="majorEastAsia" w:hAnsi="Times New Roman" w:cs="Times New Roman"/>
          <w:b/>
          <w:bCs/>
          <w:noProof/>
          <w:sz w:val="24"/>
          <w:szCs w:val="24"/>
          <w:lang w:val="en-IE"/>
        </w:rPr>
        <w:t>Response and emergency research</w:t>
      </w:r>
    </w:p>
    <w:p w14:paraId="4A95C6A1" w14:textId="3107645B" w:rsidR="00E14569" w:rsidRDefault="00E14569"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14569">
        <w:rPr>
          <w:rFonts w:ascii="Times New Roman" w:eastAsiaTheme="minorEastAsia" w:hAnsi="Times New Roman" w:cs="Times New Roman"/>
          <w:noProof/>
          <w:sz w:val="24"/>
          <w:szCs w:val="24"/>
          <w:lang w:val="en-IE"/>
        </w:rPr>
        <w:t xml:space="preserve">The Horizon Europe work programmes for </w:t>
      </w:r>
      <w:r>
        <w:rPr>
          <w:rFonts w:ascii="Times New Roman" w:eastAsiaTheme="minorEastAsia" w:hAnsi="Times New Roman" w:cs="Times New Roman"/>
          <w:noProof/>
          <w:sz w:val="24"/>
          <w:szCs w:val="24"/>
          <w:lang w:val="en-IE"/>
        </w:rPr>
        <w:t>h</w:t>
      </w:r>
      <w:r w:rsidRPr="00E14569">
        <w:rPr>
          <w:rFonts w:ascii="Times New Roman" w:eastAsiaTheme="minorEastAsia" w:hAnsi="Times New Roman" w:cs="Times New Roman"/>
          <w:noProof/>
          <w:sz w:val="24"/>
          <w:szCs w:val="24"/>
          <w:lang w:val="en-IE"/>
        </w:rPr>
        <w:t>ealth continue to</w:t>
      </w:r>
      <w:r>
        <w:rPr>
          <w:rFonts w:ascii="Times New Roman" w:eastAsiaTheme="minorEastAsia" w:hAnsi="Times New Roman" w:cs="Times New Roman"/>
          <w:noProof/>
          <w:sz w:val="24"/>
          <w:szCs w:val="24"/>
          <w:lang w:val="en-IE"/>
        </w:rPr>
        <w:t xml:space="preserve"> envisage</w:t>
      </w:r>
      <w:r w:rsidRPr="00E14569">
        <w:rPr>
          <w:rFonts w:ascii="Times New Roman" w:eastAsiaTheme="minorEastAsia" w:hAnsi="Times New Roman" w:cs="Times New Roman"/>
          <w:noProof/>
          <w:sz w:val="24"/>
          <w:szCs w:val="24"/>
          <w:lang w:val="en-IE"/>
        </w:rPr>
        <w:t xml:space="preserve"> the possibility to mobilise </w:t>
      </w:r>
      <w:r w:rsidRPr="00E14569">
        <w:rPr>
          <w:rFonts w:ascii="Times New Roman" w:eastAsiaTheme="minorEastAsia" w:hAnsi="Times New Roman" w:cs="Times New Roman"/>
          <w:noProof/>
          <w:sz w:val="24"/>
          <w:szCs w:val="24"/>
        </w:rPr>
        <w:t>research funds in case of public health emergencies. This option was used in 2022 to support the EU RESPONSE</w:t>
      </w:r>
      <w:r w:rsidRPr="00E14569">
        <w:rPr>
          <w:rFonts w:ascii="Times New Roman" w:eastAsiaTheme="minorEastAsia" w:hAnsi="Times New Roman" w:cs="Times New Roman"/>
          <w:noProof/>
          <w:sz w:val="24"/>
          <w:szCs w:val="24"/>
          <w:vertAlign w:val="superscript"/>
          <w:lang w:val="en-IE"/>
        </w:rPr>
        <w:footnoteReference w:id="104"/>
      </w:r>
      <w:r w:rsidRPr="00E14569">
        <w:rPr>
          <w:rFonts w:ascii="Times New Roman" w:eastAsiaTheme="minorEastAsia" w:hAnsi="Times New Roman" w:cs="Times New Roman"/>
          <w:noProof/>
          <w:sz w:val="24"/>
          <w:szCs w:val="24"/>
        </w:rPr>
        <w:t xml:space="preserve"> network for the implementation of a clinical trial </w:t>
      </w:r>
      <w:r w:rsidRPr="00E14569">
        <w:rPr>
          <w:rFonts w:ascii="Times New Roman" w:eastAsiaTheme="minorEastAsia" w:hAnsi="Times New Roman" w:cs="Times New Roman"/>
          <w:noProof/>
          <w:sz w:val="24"/>
          <w:szCs w:val="24"/>
          <w:lang w:val="en-IE"/>
        </w:rPr>
        <w:t>to assess treatment for MPOX, as well as the cohorts from the VERDI</w:t>
      </w:r>
      <w:r w:rsidRPr="00E14569">
        <w:rPr>
          <w:rFonts w:ascii="Times New Roman" w:eastAsiaTheme="minorEastAsia" w:hAnsi="Times New Roman" w:cs="Times New Roman"/>
          <w:noProof/>
          <w:sz w:val="24"/>
          <w:szCs w:val="24"/>
          <w:vertAlign w:val="superscript"/>
          <w:lang w:val="en-IE"/>
        </w:rPr>
        <w:footnoteReference w:id="105"/>
      </w:r>
      <w:r w:rsidRPr="00E14569">
        <w:rPr>
          <w:rFonts w:ascii="Times New Roman" w:eastAsiaTheme="minorEastAsia" w:hAnsi="Times New Roman" w:cs="Times New Roman"/>
          <w:noProof/>
          <w:sz w:val="24"/>
          <w:szCs w:val="24"/>
          <w:lang w:val="en-IE"/>
        </w:rPr>
        <w:t xml:space="preserve"> project for a better understanding of the disease.</w:t>
      </w:r>
    </w:p>
    <w:p w14:paraId="6438EFE1" w14:textId="1892961E" w:rsidR="001F1738" w:rsidRPr="00E03D97" w:rsidRDefault="00A96694"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Pr>
          <w:rFonts w:ascii="Times New Roman" w:eastAsiaTheme="minorEastAsia" w:hAnsi="Times New Roman" w:cs="Times New Roman"/>
          <w:noProof/>
          <w:sz w:val="24"/>
          <w:szCs w:val="24"/>
          <w:lang w:val="en-IE"/>
        </w:rPr>
        <w:t xml:space="preserve">The Commission, through </w:t>
      </w:r>
      <w:r w:rsidR="001F1738" w:rsidRPr="00E03D97">
        <w:rPr>
          <w:rFonts w:ascii="Times New Roman" w:eastAsiaTheme="minorEastAsia" w:hAnsi="Times New Roman" w:cs="Times New Roman"/>
          <w:noProof/>
          <w:sz w:val="24"/>
          <w:szCs w:val="24"/>
          <w:lang w:val="en-IE"/>
        </w:rPr>
        <w:t>Horizon Europe</w:t>
      </w:r>
      <w:r>
        <w:rPr>
          <w:rFonts w:ascii="Times New Roman" w:eastAsiaTheme="minorEastAsia" w:hAnsi="Times New Roman" w:cs="Times New Roman"/>
          <w:noProof/>
          <w:sz w:val="24"/>
          <w:szCs w:val="24"/>
          <w:lang w:val="en-IE"/>
        </w:rPr>
        <w:t>,</w:t>
      </w:r>
      <w:r w:rsidR="001F1738" w:rsidRPr="00E03D97">
        <w:rPr>
          <w:rFonts w:ascii="Times New Roman" w:eastAsiaTheme="minorEastAsia" w:hAnsi="Times New Roman" w:cs="Times New Roman"/>
          <w:noProof/>
          <w:sz w:val="24"/>
          <w:szCs w:val="24"/>
          <w:lang w:val="en-IE"/>
        </w:rPr>
        <w:t xml:space="preserve"> will also build on existing adaptive platform trials and cohort studies to maintain and strengthen strategic coordination mechanisms in the </w:t>
      </w:r>
      <w:r w:rsidR="00665B07">
        <w:rPr>
          <w:rFonts w:ascii="Times New Roman" w:eastAsiaTheme="minorEastAsia" w:hAnsi="Times New Roman" w:cs="Times New Roman"/>
          <w:noProof/>
          <w:sz w:val="24"/>
          <w:szCs w:val="24"/>
          <w:lang w:val="en-IE"/>
        </w:rPr>
        <w:t>EU</w:t>
      </w:r>
      <w:r w:rsidR="00665B07" w:rsidRPr="00E03D97">
        <w:rPr>
          <w:rFonts w:ascii="Times New Roman" w:eastAsiaTheme="minorEastAsia" w:hAnsi="Times New Roman" w:cs="Times New Roman"/>
          <w:noProof/>
          <w:sz w:val="24"/>
          <w:szCs w:val="24"/>
          <w:lang w:val="en-IE"/>
        </w:rPr>
        <w:t xml:space="preserve"> </w:t>
      </w:r>
      <w:r w:rsidR="001F1738" w:rsidRPr="00E03D97">
        <w:rPr>
          <w:rFonts w:ascii="Times New Roman" w:eastAsiaTheme="minorEastAsia" w:hAnsi="Times New Roman" w:cs="Times New Roman"/>
          <w:noProof/>
          <w:sz w:val="24"/>
          <w:szCs w:val="24"/>
          <w:lang w:val="en-IE"/>
        </w:rPr>
        <w:t xml:space="preserve">and beyond. These networks </w:t>
      </w:r>
      <w:r w:rsidR="00665B07">
        <w:rPr>
          <w:rFonts w:ascii="Times New Roman" w:eastAsiaTheme="minorEastAsia" w:hAnsi="Times New Roman" w:cs="Times New Roman"/>
          <w:noProof/>
          <w:sz w:val="24"/>
          <w:szCs w:val="24"/>
          <w:lang w:val="en-IE"/>
        </w:rPr>
        <w:t xml:space="preserve">make possible </w:t>
      </w:r>
      <w:r w:rsidR="00D7634D">
        <w:rPr>
          <w:rFonts w:ascii="Times New Roman" w:eastAsiaTheme="minorEastAsia" w:hAnsi="Times New Roman" w:cs="Times New Roman"/>
          <w:noProof/>
          <w:sz w:val="24"/>
          <w:szCs w:val="24"/>
          <w:lang w:val="en-IE"/>
        </w:rPr>
        <w:t xml:space="preserve">the </w:t>
      </w:r>
      <w:r w:rsidR="001F1738" w:rsidRPr="00E03D97">
        <w:rPr>
          <w:rFonts w:ascii="Times New Roman" w:eastAsiaTheme="minorEastAsia" w:hAnsi="Times New Roman" w:cs="Times New Roman"/>
          <w:noProof/>
          <w:sz w:val="24"/>
          <w:szCs w:val="24"/>
          <w:lang w:val="en-IE"/>
        </w:rPr>
        <w:t xml:space="preserve">conduct </w:t>
      </w:r>
      <w:r w:rsidR="00D7634D">
        <w:rPr>
          <w:rFonts w:ascii="Times New Roman" w:eastAsiaTheme="minorEastAsia" w:hAnsi="Times New Roman" w:cs="Times New Roman"/>
          <w:noProof/>
          <w:sz w:val="24"/>
          <w:szCs w:val="24"/>
          <w:lang w:val="en-IE"/>
        </w:rPr>
        <w:t xml:space="preserve">of </w:t>
      </w:r>
      <w:r w:rsidR="001F1738" w:rsidRPr="00E03D97">
        <w:rPr>
          <w:rFonts w:ascii="Times New Roman" w:eastAsiaTheme="minorEastAsia" w:hAnsi="Times New Roman" w:cs="Times New Roman"/>
          <w:noProof/>
          <w:sz w:val="24"/>
          <w:szCs w:val="24"/>
          <w:lang w:val="en-IE"/>
        </w:rPr>
        <w:t>perpetual platform trials</w:t>
      </w:r>
      <w:r w:rsidR="00D7634D">
        <w:rPr>
          <w:rFonts w:ascii="Times New Roman" w:eastAsiaTheme="minorEastAsia" w:hAnsi="Times New Roman" w:cs="Times New Roman"/>
          <w:noProof/>
          <w:sz w:val="24"/>
          <w:szCs w:val="24"/>
          <w:lang w:val="en-IE"/>
        </w:rPr>
        <w:t>,</w:t>
      </w:r>
      <w:r w:rsidR="001F1738" w:rsidRPr="00E03D97">
        <w:rPr>
          <w:rFonts w:ascii="Times New Roman" w:eastAsiaTheme="minorEastAsia" w:hAnsi="Times New Roman" w:cs="Times New Roman"/>
          <w:noProof/>
          <w:sz w:val="24"/>
          <w:szCs w:val="24"/>
          <w:lang w:val="en-IE"/>
        </w:rPr>
        <w:t xml:space="preserve"> </w:t>
      </w:r>
      <w:r w:rsidR="00D7634D">
        <w:rPr>
          <w:rFonts w:ascii="Times New Roman" w:eastAsiaTheme="minorEastAsia" w:hAnsi="Times New Roman" w:cs="Times New Roman"/>
          <w:noProof/>
          <w:sz w:val="24"/>
          <w:szCs w:val="24"/>
          <w:lang w:val="en-IE"/>
        </w:rPr>
        <w:t xml:space="preserve">the pivoting of </w:t>
      </w:r>
      <w:r w:rsidR="001F1738" w:rsidRPr="00E03D97">
        <w:rPr>
          <w:rFonts w:ascii="Times New Roman" w:eastAsiaTheme="minorEastAsia" w:hAnsi="Times New Roman" w:cs="Times New Roman"/>
          <w:noProof/>
          <w:sz w:val="24"/>
          <w:szCs w:val="24"/>
          <w:lang w:val="en-IE"/>
        </w:rPr>
        <w:t>perpetual strategic cohorts to emerging diseases if an epidemic strikes</w:t>
      </w:r>
      <w:r w:rsidR="00D7634D">
        <w:rPr>
          <w:rFonts w:ascii="Times New Roman" w:eastAsiaTheme="minorEastAsia" w:hAnsi="Times New Roman" w:cs="Times New Roman"/>
          <w:noProof/>
          <w:sz w:val="24"/>
          <w:szCs w:val="24"/>
          <w:lang w:val="en-IE"/>
        </w:rPr>
        <w:t>,</w:t>
      </w:r>
      <w:r w:rsidR="001F1738" w:rsidRPr="00E03D97">
        <w:rPr>
          <w:rFonts w:ascii="Times New Roman" w:eastAsiaTheme="minorEastAsia" w:hAnsi="Times New Roman" w:cs="Times New Roman"/>
          <w:noProof/>
          <w:sz w:val="24"/>
          <w:szCs w:val="24"/>
          <w:lang w:val="en-IE"/>
        </w:rPr>
        <w:t xml:space="preserve"> and </w:t>
      </w:r>
      <w:r w:rsidR="00D7634D">
        <w:rPr>
          <w:rFonts w:ascii="Times New Roman" w:eastAsiaTheme="minorEastAsia" w:hAnsi="Times New Roman" w:cs="Times New Roman"/>
          <w:noProof/>
          <w:sz w:val="24"/>
          <w:szCs w:val="24"/>
          <w:lang w:val="en-IE"/>
        </w:rPr>
        <w:t xml:space="preserve">the </w:t>
      </w:r>
      <w:r w:rsidR="001F1738" w:rsidRPr="00E03D97">
        <w:rPr>
          <w:rFonts w:ascii="Times New Roman" w:eastAsiaTheme="minorEastAsia" w:hAnsi="Times New Roman" w:cs="Times New Roman"/>
          <w:noProof/>
          <w:sz w:val="24"/>
          <w:szCs w:val="24"/>
          <w:lang w:val="en-IE"/>
        </w:rPr>
        <w:t>generat</w:t>
      </w:r>
      <w:r w:rsidR="00D7634D">
        <w:rPr>
          <w:rFonts w:ascii="Times New Roman" w:eastAsiaTheme="minorEastAsia" w:hAnsi="Times New Roman" w:cs="Times New Roman"/>
          <w:noProof/>
          <w:sz w:val="24"/>
          <w:szCs w:val="24"/>
          <w:lang w:val="en-IE"/>
        </w:rPr>
        <w:t>ion of</w:t>
      </w:r>
      <w:r w:rsidR="001F1738" w:rsidRPr="00E03D97">
        <w:rPr>
          <w:rFonts w:ascii="Times New Roman" w:eastAsiaTheme="minorEastAsia" w:hAnsi="Times New Roman" w:cs="Times New Roman"/>
          <w:noProof/>
          <w:sz w:val="24"/>
          <w:szCs w:val="24"/>
          <w:lang w:val="en-IE"/>
        </w:rPr>
        <w:t xml:space="preserve"> scientific evidence on different possible medical countermeasures.</w:t>
      </w:r>
    </w:p>
    <w:p w14:paraId="77578385" w14:textId="0BD29652" w:rsidR="001F1738" w:rsidRPr="00E03D97" w:rsidRDefault="00D7634D"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Pr>
          <w:rFonts w:ascii="Times New Roman" w:eastAsiaTheme="minorEastAsia" w:hAnsi="Times New Roman" w:cs="Times New Roman"/>
          <w:noProof/>
          <w:sz w:val="24"/>
          <w:szCs w:val="24"/>
          <w:lang w:val="en-IE"/>
        </w:rPr>
        <w:t>T</w:t>
      </w:r>
      <w:r w:rsidR="001F1738" w:rsidRPr="00E03D97">
        <w:rPr>
          <w:rFonts w:ascii="Times New Roman" w:eastAsiaTheme="minorEastAsia" w:hAnsi="Times New Roman" w:cs="Times New Roman"/>
          <w:noProof/>
          <w:sz w:val="24"/>
          <w:szCs w:val="24"/>
          <w:lang w:val="en-IE"/>
        </w:rPr>
        <w:t>he Commission</w:t>
      </w:r>
      <w:r>
        <w:rPr>
          <w:rFonts w:ascii="Times New Roman" w:eastAsiaTheme="minorEastAsia" w:hAnsi="Times New Roman" w:cs="Times New Roman"/>
          <w:noProof/>
          <w:sz w:val="24"/>
          <w:szCs w:val="24"/>
          <w:lang w:val="en-IE"/>
        </w:rPr>
        <w:t>,</w:t>
      </w:r>
      <w:r w:rsidR="001F1738" w:rsidRPr="00E03D97">
        <w:rPr>
          <w:rFonts w:ascii="Times New Roman" w:eastAsiaTheme="minorEastAsia" w:hAnsi="Times New Roman" w:cs="Times New Roman"/>
          <w:noProof/>
          <w:sz w:val="24"/>
          <w:szCs w:val="24"/>
          <w:lang w:val="en-IE"/>
        </w:rPr>
        <w:t xml:space="preserve"> in cooperation with Member States, is involved in the preparatory phase of the EU Partnership on Pandemic Preparedness, which will develop a consolidated pandemic preparedness research agenda</w:t>
      </w:r>
      <w:r w:rsidR="00E14569">
        <w:rPr>
          <w:rFonts w:ascii="Times New Roman" w:eastAsiaTheme="minorEastAsia" w:hAnsi="Times New Roman" w:cs="Times New Roman"/>
          <w:noProof/>
          <w:sz w:val="24"/>
          <w:szCs w:val="24"/>
          <w:lang w:val="en-IE"/>
        </w:rPr>
        <w:t xml:space="preserve"> </w:t>
      </w:r>
      <w:r w:rsidR="00E14569" w:rsidRPr="00E14569">
        <w:rPr>
          <w:rFonts w:ascii="Times New Roman" w:eastAsiaTheme="minorEastAsia" w:hAnsi="Times New Roman" w:cs="Times New Roman"/>
          <w:noProof/>
          <w:sz w:val="24"/>
          <w:szCs w:val="24"/>
        </w:rPr>
        <w:t>strengthening the collaboration between Member States</w:t>
      </w:r>
      <w:r w:rsidR="001F1738" w:rsidRPr="00E03D97">
        <w:rPr>
          <w:rFonts w:ascii="Times New Roman" w:eastAsiaTheme="minorEastAsia" w:hAnsi="Times New Roman" w:cs="Times New Roman"/>
          <w:noProof/>
          <w:sz w:val="24"/>
          <w:szCs w:val="24"/>
          <w:lang w:val="en-IE"/>
        </w:rPr>
        <w:t xml:space="preserve"> as well as prepare for the management of the research response during a crisis by </w:t>
      </w:r>
      <w:r w:rsidR="00480AD0" w:rsidRPr="00480AD0">
        <w:rPr>
          <w:rFonts w:ascii="Times New Roman" w:eastAsiaTheme="minorEastAsia" w:hAnsi="Times New Roman" w:cs="Times New Roman"/>
          <w:noProof/>
          <w:sz w:val="24"/>
          <w:szCs w:val="24"/>
        </w:rPr>
        <w:t>establishing an EU network of ever-warm clinical trial sites and</w:t>
      </w:r>
      <w:r w:rsidR="00480AD0" w:rsidRPr="00480AD0" w:rsidDel="00480AD0">
        <w:rPr>
          <w:rFonts w:ascii="Times New Roman" w:eastAsiaTheme="minorEastAsia" w:hAnsi="Times New Roman" w:cs="Times New Roman"/>
          <w:noProof/>
          <w:sz w:val="24"/>
          <w:szCs w:val="24"/>
          <w:lang w:val="en-IE"/>
        </w:rPr>
        <w:t xml:space="preserve"> </w:t>
      </w:r>
      <w:r w:rsidR="001F1738" w:rsidRPr="00E03D97">
        <w:rPr>
          <w:rFonts w:ascii="Times New Roman" w:eastAsiaTheme="minorEastAsia" w:hAnsi="Times New Roman" w:cs="Times New Roman"/>
          <w:noProof/>
          <w:sz w:val="24"/>
          <w:szCs w:val="24"/>
          <w:lang w:val="en-IE"/>
        </w:rPr>
        <w:t>align investments</w:t>
      </w:r>
      <w:r w:rsidR="00A96694">
        <w:rPr>
          <w:rFonts w:ascii="Times New Roman" w:eastAsiaTheme="minorEastAsia" w:hAnsi="Times New Roman" w:cs="Times New Roman"/>
          <w:noProof/>
          <w:sz w:val="24"/>
          <w:szCs w:val="24"/>
          <w:lang w:val="en-IE"/>
        </w:rPr>
        <w:t xml:space="preserve"> </w:t>
      </w:r>
      <w:r w:rsidR="00A96694" w:rsidRPr="00A96694">
        <w:rPr>
          <w:rFonts w:ascii="Times New Roman" w:eastAsiaTheme="minorEastAsia" w:hAnsi="Times New Roman" w:cs="Times New Roman"/>
          <w:noProof/>
          <w:sz w:val="24"/>
          <w:szCs w:val="24"/>
        </w:rPr>
        <w:t>for pandemic preparedness and response, from basic research, to preclinical and clinical research</w:t>
      </w:r>
      <w:r w:rsidR="001F1738" w:rsidRPr="00E03D97">
        <w:rPr>
          <w:rFonts w:ascii="Times New Roman" w:eastAsiaTheme="minorEastAsia" w:hAnsi="Times New Roman" w:cs="Times New Roman"/>
          <w:noProof/>
          <w:sz w:val="24"/>
          <w:szCs w:val="24"/>
          <w:lang w:val="en-IE"/>
        </w:rPr>
        <w:t>.</w:t>
      </w:r>
    </w:p>
    <w:p w14:paraId="735D7E06" w14:textId="5BAAD030" w:rsidR="001F1738" w:rsidRDefault="00681330"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681330">
        <w:rPr>
          <w:rFonts w:ascii="Times New Roman" w:eastAsiaTheme="minorEastAsia" w:hAnsi="Times New Roman" w:cs="Times New Roman"/>
          <w:noProof/>
          <w:sz w:val="24"/>
          <w:szCs w:val="24"/>
          <w:lang w:val="en-IE"/>
        </w:rPr>
        <w:t>Considering that in a pandemic ‘nobody is safe until everybody is safe everywhere’</w:t>
      </w:r>
      <w:r w:rsidR="003E6744">
        <w:rPr>
          <w:rFonts w:ascii="Times New Roman" w:eastAsiaTheme="minorEastAsia" w:hAnsi="Times New Roman" w:cs="Times New Roman"/>
          <w:noProof/>
          <w:sz w:val="24"/>
          <w:szCs w:val="24"/>
          <w:lang w:val="en-IE"/>
        </w:rPr>
        <w:t>,</w:t>
      </w:r>
      <w:r w:rsidRPr="00681330">
        <w:rPr>
          <w:rFonts w:ascii="Times New Roman" w:eastAsiaTheme="minorEastAsia" w:hAnsi="Times New Roman" w:cs="Times New Roman"/>
          <w:noProof/>
          <w:sz w:val="24"/>
          <w:szCs w:val="24"/>
          <w:lang w:val="en-IE"/>
        </w:rPr>
        <w:t xml:space="preserve"> </w:t>
      </w:r>
      <w:r w:rsidR="001F1738" w:rsidRPr="00E03D97">
        <w:rPr>
          <w:rFonts w:ascii="Times New Roman" w:eastAsiaTheme="minorEastAsia" w:hAnsi="Times New Roman" w:cs="Times New Roman"/>
          <w:noProof/>
          <w:sz w:val="24"/>
          <w:szCs w:val="24"/>
          <w:lang w:val="en-IE"/>
        </w:rPr>
        <w:t xml:space="preserve">the EU Global Health </w:t>
      </w:r>
      <w:r w:rsidR="00EC0AFF">
        <w:rPr>
          <w:rFonts w:ascii="Times New Roman" w:eastAsiaTheme="minorEastAsia" w:hAnsi="Times New Roman" w:cs="Times New Roman"/>
          <w:noProof/>
          <w:sz w:val="24"/>
          <w:szCs w:val="24"/>
          <w:lang w:val="en-IE"/>
        </w:rPr>
        <w:t>S</w:t>
      </w:r>
      <w:r w:rsidR="001F1738" w:rsidRPr="00E03D97">
        <w:rPr>
          <w:rFonts w:ascii="Times New Roman" w:eastAsiaTheme="minorEastAsia" w:hAnsi="Times New Roman" w:cs="Times New Roman"/>
          <w:noProof/>
          <w:sz w:val="24"/>
          <w:szCs w:val="24"/>
          <w:lang w:val="en-IE"/>
        </w:rPr>
        <w:t>trategy</w:t>
      </w:r>
      <w:r w:rsidR="008739EF" w:rsidRPr="00E03D97">
        <w:rPr>
          <w:rFonts w:ascii="Times New Roman" w:eastAsiaTheme="minorEastAsia" w:hAnsi="Times New Roman" w:cs="Times New Roman"/>
          <w:noProof/>
          <w:sz w:val="24"/>
          <w:szCs w:val="24"/>
          <w:vertAlign w:val="superscript"/>
          <w:lang w:val="en-IE"/>
        </w:rPr>
        <w:footnoteReference w:id="106"/>
      </w:r>
      <w:r>
        <w:rPr>
          <w:rFonts w:ascii="Times New Roman" w:eastAsiaTheme="minorEastAsia" w:hAnsi="Times New Roman" w:cs="Times New Roman"/>
          <w:noProof/>
          <w:sz w:val="24"/>
          <w:szCs w:val="24"/>
          <w:lang w:val="en-IE"/>
        </w:rPr>
        <w:t xml:space="preserve"> </w:t>
      </w:r>
      <w:r w:rsidRPr="00681330">
        <w:rPr>
          <w:rFonts w:ascii="Times New Roman" w:eastAsiaTheme="minorEastAsia" w:hAnsi="Times New Roman" w:cs="Times New Roman"/>
          <w:noProof/>
          <w:sz w:val="24"/>
          <w:szCs w:val="24"/>
          <w:lang w:val="en-IE"/>
        </w:rPr>
        <w:t>launched in November 2022 represents the external dimension of the European Health Union</w:t>
      </w:r>
      <w:r>
        <w:rPr>
          <w:rFonts w:ascii="Times New Roman" w:eastAsiaTheme="minorEastAsia" w:hAnsi="Times New Roman" w:cs="Times New Roman"/>
          <w:noProof/>
          <w:sz w:val="24"/>
          <w:szCs w:val="24"/>
          <w:lang w:val="en-IE"/>
        </w:rPr>
        <w:t>. T</w:t>
      </w:r>
      <w:r w:rsidR="001F1738" w:rsidRPr="00E03D97">
        <w:rPr>
          <w:rFonts w:ascii="Times New Roman" w:eastAsiaTheme="minorEastAsia" w:hAnsi="Times New Roman" w:cs="Times New Roman"/>
          <w:noProof/>
          <w:sz w:val="24"/>
          <w:szCs w:val="24"/>
          <w:lang w:val="en-IE"/>
        </w:rPr>
        <w:t xml:space="preserve">he EU is investing in improving </w:t>
      </w:r>
      <w:r>
        <w:rPr>
          <w:rFonts w:ascii="Times New Roman" w:eastAsiaTheme="minorEastAsia" w:hAnsi="Times New Roman" w:cs="Times New Roman"/>
          <w:noProof/>
          <w:sz w:val="24"/>
          <w:szCs w:val="24"/>
          <w:lang w:val="en-IE"/>
        </w:rPr>
        <w:t>the pandemic prevention</w:t>
      </w:r>
      <w:r w:rsidRPr="00E03D97">
        <w:rPr>
          <w:rFonts w:ascii="Times New Roman" w:eastAsiaTheme="minorEastAsia" w:hAnsi="Times New Roman" w:cs="Times New Roman"/>
          <w:noProof/>
          <w:sz w:val="24"/>
          <w:szCs w:val="24"/>
          <w:lang w:val="en-IE"/>
        </w:rPr>
        <w:t xml:space="preserve"> </w:t>
      </w:r>
      <w:r w:rsidR="001F1738" w:rsidRPr="00E03D97">
        <w:rPr>
          <w:rFonts w:ascii="Times New Roman" w:eastAsiaTheme="minorEastAsia" w:hAnsi="Times New Roman" w:cs="Times New Roman"/>
          <w:noProof/>
          <w:sz w:val="24"/>
          <w:szCs w:val="24"/>
          <w:lang w:val="en-IE"/>
        </w:rPr>
        <w:t>preparedness and response</w:t>
      </w:r>
      <w:r>
        <w:rPr>
          <w:rFonts w:ascii="Times New Roman" w:eastAsiaTheme="minorEastAsia" w:hAnsi="Times New Roman" w:cs="Times New Roman"/>
          <w:noProof/>
          <w:sz w:val="24"/>
          <w:szCs w:val="24"/>
          <w:lang w:val="en-IE"/>
        </w:rPr>
        <w:t xml:space="preserve"> capacity</w:t>
      </w:r>
      <w:r w:rsidR="001F1738" w:rsidRPr="00E03D97">
        <w:rPr>
          <w:rFonts w:ascii="Times New Roman" w:eastAsiaTheme="minorEastAsia" w:hAnsi="Times New Roman" w:cs="Times New Roman"/>
          <w:noProof/>
          <w:sz w:val="24"/>
          <w:szCs w:val="24"/>
          <w:lang w:val="en-IE"/>
        </w:rPr>
        <w:t xml:space="preserve"> in</w:t>
      </w:r>
      <w:r>
        <w:rPr>
          <w:rFonts w:ascii="Times New Roman" w:eastAsiaTheme="minorEastAsia" w:hAnsi="Times New Roman" w:cs="Times New Roman"/>
          <w:noProof/>
          <w:sz w:val="24"/>
          <w:szCs w:val="24"/>
          <w:lang w:val="en-IE"/>
        </w:rPr>
        <w:t xml:space="preserve"> </w:t>
      </w:r>
      <w:r w:rsidRPr="00681330">
        <w:rPr>
          <w:rFonts w:ascii="Times New Roman" w:eastAsiaTheme="minorEastAsia" w:hAnsi="Times New Roman" w:cs="Times New Roman"/>
          <w:noProof/>
          <w:sz w:val="24"/>
          <w:szCs w:val="24"/>
          <w:lang w:val="en-IE"/>
        </w:rPr>
        <w:t>Lower and Middle Income Countries with a particular focus on sub Saharan Africa through various instruments as part of the Global Gateway strategy</w:t>
      </w:r>
      <w:r w:rsidR="008739EF">
        <w:rPr>
          <w:rStyle w:val="FootnoteReference"/>
          <w:rFonts w:ascii="Times New Roman" w:eastAsiaTheme="minorEastAsia" w:hAnsi="Times New Roman" w:cs="Times New Roman"/>
          <w:noProof/>
          <w:sz w:val="24"/>
          <w:szCs w:val="24"/>
        </w:rPr>
        <w:footnoteReference w:id="107"/>
      </w:r>
      <w:r>
        <w:rPr>
          <w:rFonts w:ascii="Times New Roman" w:eastAsiaTheme="minorEastAsia" w:hAnsi="Times New Roman" w:cs="Times New Roman"/>
          <w:noProof/>
          <w:sz w:val="24"/>
          <w:szCs w:val="24"/>
          <w:lang w:val="en-IE"/>
        </w:rPr>
        <w:t>.</w:t>
      </w:r>
      <w:r w:rsidR="001F1738" w:rsidRPr="00E03D97">
        <w:rPr>
          <w:rFonts w:ascii="Times New Roman" w:eastAsiaTheme="minorEastAsia" w:hAnsi="Times New Roman" w:cs="Times New Roman"/>
          <w:noProof/>
          <w:sz w:val="24"/>
          <w:szCs w:val="24"/>
          <w:lang w:val="en-IE"/>
        </w:rPr>
        <w:t xml:space="preserve"> </w:t>
      </w:r>
      <w:r>
        <w:rPr>
          <w:rFonts w:ascii="Times New Roman" w:eastAsiaTheme="minorEastAsia" w:hAnsi="Times New Roman" w:cs="Times New Roman"/>
          <w:noProof/>
          <w:sz w:val="24"/>
          <w:szCs w:val="24"/>
          <w:lang w:val="en-IE"/>
        </w:rPr>
        <w:t>T</w:t>
      </w:r>
      <w:r w:rsidR="001F1738" w:rsidRPr="00E03D97">
        <w:rPr>
          <w:rFonts w:ascii="Times New Roman" w:eastAsiaTheme="minorEastAsia" w:hAnsi="Times New Roman" w:cs="Times New Roman"/>
          <w:noProof/>
          <w:sz w:val="24"/>
          <w:szCs w:val="24"/>
          <w:lang w:val="en-IE"/>
        </w:rPr>
        <w:t>he European and Developing Countries Clinical Trials Partnership</w:t>
      </w:r>
      <w:r w:rsidR="00180D3E" w:rsidRPr="00180D3E">
        <w:rPr>
          <w:noProof/>
        </w:rPr>
        <w:t xml:space="preserve"> </w:t>
      </w:r>
      <w:r w:rsidR="00180D3E" w:rsidRPr="00180D3E">
        <w:rPr>
          <w:rFonts w:ascii="Times New Roman" w:eastAsiaTheme="minorEastAsia" w:hAnsi="Times New Roman" w:cs="Times New Roman"/>
          <w:noProof/>
          <w:sz w:val="24"/>
          <w:szCs w:val="24"/>
          <w:lang w:val="en-IE"/>
        </w:rPr>
        <w:t>Joint Undertaking</w:t>
      </w:r>
      <w:r w:rsidR="00180D3E">
        <w:rPr>
          <w:rStyle w:val="FootnoteReference"/>
          <w:rFonts w:ascii="Times New Roman" w:eastAsiaTheme="minorEastAsia" w:hAnsi="Times New Roman" w:cs="Times New Roman"/>
          <w:noProof/>
          <w:sz w:val="24"/>
          <w:szCs w:val="24"/>
        </w:rPr>
        <w:footnoteReference w:id="108"/>
      </w:r>
      <w:r>
        <w:rPr>
          <w:rFonts w:ascii="Times New Roman" w:eastAsiaTheme="minorEastAsia" w:hAnsi="Times New Roman" w:cs="Times New Roman"/>
          <w:noProof/>
          <w:sz w:val="24"/>
          <w:szCs w:val="24"/>
          <w:lang w:val="en-IE"/>
        </w:rPr>
        <w:t xml:space="preserve"> is</w:t>
      </w:r>
      <w:r w:rsidR="001F1738" w:rsidRPr="00E03D97">
        <w:rPr>
          <w:rFonts w:ascii="Times New Roman" w:eastAsiaTheme="minorEastAsia" w:hAnsi="Times New Roman" w:cs="Times New Roman"/>
          <w:noProof/>
          <w:sz w:val="24"/>
          <w:szCs w:val="24"/>
          <w:lang w:val="en-IE"/>
        </w:rPr>
        <w:t xml:space="preserve"> funding research for the development and testing of medical countermeasures as well as developing clinical trial networks and cohorts, linking the outcome of </w:t>
      </w:r>
      <w:r w:rsidR="00AE29DF">
        <w:rPr>
          <w:rFonts w:ascii="Times New Roman" w:eastAsiaTheme="minorEastAsia" w:hAnsi="Times New Roman" w:cs="Times New Roman"/>
          <w:noProof/>
          <w:sz w:val="24"/>
          <w:szCs w:val="24"/>
          <w:lang w:val="en-IE"/>
        </w:rPr>
        <w:t>this</w:t>
      </w:r>
      <w:r w:rsidR="00AE29DF" w:rsidRPr="00E03D97">
        <w:rPr>
          <w:rFonts w:ascii="Times New Roman" w:eastAsiaTheme="minorEastAsia" w:hAnsi="Times New Roman" w:cs="Times New Roman"/>
          <w:noProof/>
          <w:sz w:val="24"/>
          <w:szCs w:val="24"/>
          <w:lang w:val="en-IE"/>
        </w:rPr>
        <w:t xml:space="preserve"> </w:t>
      </w:r>
      <w:r w:rsidR="001F1738" w:rsidRPr="00E03D97">
        <w:rPr>
          <w:rFonts w:ascii="Times New Roman" w:eastAsiaTheme="minorEastAsia" w:hAnsi="Times New Roman" w:cs="Times New Roman"/>
          <w:noProof/>
          <w:sz w:val="24"/>
          <w:szCs w:val="24"/>
          <w:lang w:val="en-IE"/>
        </w:rPr>
        <w:t xml:space="preserve">research with the Team Europe Initiative on </w:t>
      </w:r>
      <w:r w:rsidRPr="00681330">
        <w:rPr>
          <w:rFonts w:ascii="Times New Roman" w:eastAsiaTheme="minorEastAsia" w:hAnsi="Times New Roman" w:cs="Times New Roman"/>
          <w:noProof/>
          <w:sz w:val="24"/>
          <w:szCs w:val="24"/>
          <w:lang w:val="en-IE"/>
        </w:rPr>
        <w:t xml:space="preserve">Manufacturing and Access to Vaccines, medicines and health technology in Africa (MAV+) and the </w:t>
      </w:r>
      <w:r w:rsidRPr="00681330">
        <w:rPr>
          <w:rFonts w:ascii="Times New Roman" w:eastAsiaTheme="minorEastAsia" w:hAnsi="Times New Roman" w:cs="Times New Roman"/>
          <w:noProof/>
          <w:sz w:val="24"/>
          <w:szCs w:val="24"/>
        </w:rPr>
        <w:t>EU–LAC Partnership on vaccine production and health systems resilience</w:t>
      </w:r>
      <w:r w:rsidR="001F1738" w:rsidRPr="00E03D97">
        <w:rPr>
          <w:rFonts w:ascii="Times New Roman" w:eastAsiaTheme="minorEastAsia" w:hAnsi="Times New Roman" w:cs="Times New Roman"/>
          <w:noProof/>
          <w:sz w:val="24"/>
          <w:szCs w:val="24"/>
          <w:lang w:val="en-IE"/>
        </w:rPr>
        <w:t>.</w:t>
      </w:r>
    </w:p>
    <w:p w14:paraId="64B89DFE" w14:textId="77777777"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p>
    <w:p w14:paraId="1992162E" w14:textId="77777777" w:rsidR="001F1738" w:rsidRPr="00E03D97" w:rsidRDefault="001F1738" w:rsidP="001F1738">
      <w:pPr>
        <w:keepNext/>
        <w:keepLines/>
        <w:spacing w:before="100" w:beforeAutospacing="1" w:after="100" w:afterAutospacing="1" w:line="240" w:lineRule="auto"/>
        <w:jc w:val="both"/>
        <w:outlineLvl w:val="0"/>
        <w:rPr>
          <w:rFonts w:ascii="Times New Roman" w:eastAsiaTheme="majorEastAsia" w:hAnsi="Times New Roman" w:cs="Times New Roman"/>
          <w:noProof/>
          <w:sz w:val="24"/>
          <w:szCs w:val="24"/>
          <w:lang w:val="en-IE"/>
        </w:rPr>
      </w:pPr>
      <w:r w:rsidRPr="00E03D97">
        <w:rPr>
          <w:rFonts w:ascii="Times New Roman" w:eastAsiaTheme="majorEastAsia" w:hAnsi="Times New Roman" w:cs="Times New Roman"/>
          <w:noProof/>
          <w:sz w:val="24"/>
          <w:szCs w:val="24"/>
          <w:lang w:val="en-IE"/>
        </w:rPr>
        <w:t xml:space="preserve">7. INTERNATIONAL DIMENSION </w:t>
      </w:r>
    </w:p>
    <w:p w14:paraId="1469B4AF" w14:textId="4301B726"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b/>
          <w:bCs/>
          <w:noProof/>
          <w:sz w:val="24"/>
          <w:szCs w:val="24"/>
          <w:lang w:val="en-IE"/>
        </w:rPr>
      </w:pPr>
      <w:r w:rsidRPr="00E03D97">
        <w:rPr>
          <w:rFonts w:ascii="Times New Roman" w:eastAsiaTheme="minorEastAsia" w:hAnsi="Times New Roman" w:cs="Times New Roman"/>
          <w:b/>
          <w:bCs/>
          <w:noProof/>
          <w:sz w:val="24"/>
          <w:szCs w:val="24"/>
          <w:lang w:val="en-IE"/>
        </w:rPr>
        <w:t xml:space="preserve">International </w:t>
      </w:r>
      <w:r w:rsidR="004A39FC">
        <w:rPr>
          <w:rFonts w:ascii="Times New Roman" w:eastAsiaTheme="minorEastAsia" w:hAnsi="Times New Roman" w:cs="Times New Roman"/>
          <w:b/>
          <w:bCs/>
          <w:noProof/>
          <w:sz w:val="24"/>
          <w:szCs w:val="24"/>
          <w:lang w:val="en-IE"/>
        </w:rPr>
        <w:t>partnerships</w:t>
      </w:r>
      <w:r w:rsidR="004A39FC" w:rsidRPr="00E03D97">
        <w:rPr>
          <w:rFonts w:ascii="Times New Roman" w:eastAsiaTheme="minorEastAsia" w:hAnsi="Times New Roman" w:cs="Times New Roman"/>
          <w:b/>
          <w:bCs/>
          <w:noProof/>
          <w:sz w:val="24"/>
          <w:szCs w:val="24"/>
          <w:lang w:val="en-IE"/>
        </w:rPr>
        <w:t xml:space="preserve"> </w:t>
      </w:r>
      <w:r w:rsidRPr="00E03D97">
        <w:rPr>
          <w:rFonts w:ascii="Times New Roman" w:eastAsiaTheme="minorEastAsia" w:hAnsi="Times New Roman" w:cs="Times New Roman"/>
          <w:b/>
          <w:bCs/>
          <w:noProof/>
          <w:sz w:val="24"/>
          <w:szCs w:val="24"/>
          <w:lang w:val="en-IE"/>
        </w:rPr>
        <w:t xml:space="preserve">to strengthen the global health security framework </w:t>
      </w:r>
    </w:p>
    <w:p w14:paraId="36456C7A" w14:textId="5E675E38"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Past health emergencies have shown that diseases do not </w:t>
      </w:r>
      <w:r w:rsidR="007D437A">
        <w:rPr>
          <w:rFonts w:ascii="Times New Roman" w:eastAsiaTheme="minorEastAsia" w:hAnsi="Times New Roman" w:cs="Times New Roman"/>
          <w:noProof/>
          <w:sz w:val="24"/>
          <w:szCs w:val="24"/>
          <w:lang w:val="en-IE"/>
        </w:rPr>
        <w:t>respect</w:t>
      </w:r>
      <w:r w:rsidR="00AE29DF"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borders. The EU is involved in addressing health emergencies at international level</w:t>
      </w:r>
      <w:r w:rsidR="00AE29DF">
        <w:rPr>
          <w:rFonts w:ascii="Times New Roman" w:eastAsiaTheme="minorEastAsia" w:hAnsi="Times New Roman" w:cs="Times New Roman"/>
          <w:noProof/>
          <w:sz w:val="24"/>
          <w:szCs w:val="24"/>
          <w:lang w:val="en-IE"/>
        </w:rPr>
        <w:t xml:space="preserve"> in order to</w:t>
      </w:r>
      <w:r w:rsidRPr="00E03D97">
        <w:rPr>
          <w:rFonts w:ascii="Times New Roman" w:eastAsiaTheme="minorEastAsia" w:hAnsi="Times New Roman" w:cs="Times New Roman"/>
          <w:noProof/>
          <w:sz w:val="24"/>
          <w:szCs w:val="24"/>
          <w:lang w:val="en-IE"/>
        </w:rPr>
        <w:t xml:space="preserve"> mitigat</w:t>
      </w:r>
      <w:r w:rsidR="00AE29DF">
        <w:rPr>
          <w:rFonts w:ascii="Times New Roman" w:eastAsiaTheme="minorEastAsia" w:hAnsi="Times New Roman" w:cs="Times New Roman"/>
          <w:noProof/>
          <w:sz w:val="24"/>
          <w:szCs w:val="24"/>
          <w:lang w:val="en-IE"/>
        </w:rPr>
        <w:t>e</w:t>
      </w:r>
      <w:r w:rsidRPr="00E03D97">
        <w:rPr>
          <w:rFonts w:ascii="Times New Roman" w:eastAsiaTheme="minorEastAsia" w:hAnsi="Times New Roman" w:cs="Times New Roman"/>
          <w:noProof/>
          <w:sz w:val="24"/>
          <w:szCs w:val="24"/>
          <w:lang w:val="en-IE"/>
        </w:rPr>
        <w:t xml:space="preserve"> the possible spread of health risks in the </w:t>
      </w:r>
      <w:r w:rsidR="00115C6D">
        <w:rPr>
          <w:rFonts w:ascii="Times New Roman" w:eastAsiaTheme="minorEastAsia" w:hAnsi="Times New Roman" w:cs="Times New Roman"/>
          <w:noProof/>
          <w:sz w:val="24"/>
          <w:szCs w:val="24"/>
          <w:lang w:val="en-IE"/>
        </w:rPr>
        <w:t>EU</w:t>
      </w:r>
      <w:r w:rsidRPr="00E03D97">
        <w:rPr>
          <w:rFonts w:ascii="Times New Roman" w:eastAsiaTheme="minorEastAsia" w:hAnsi="Times New Roman" w:cs="Times New Roman"/>
          <w:noProof/>
          <w:sz w:val="24"/>
          <w:szCs w:val="24"/>
          <w:lang w:val="en-IE"/>
        </w:rPr>
        <w:t xml:space="preserve">. </w:t>
      </w:r>
      <w:r w:rsidR="00AE29DF">
        <w:rPr>
          <w:rFonts w:ascii="Times New Roman" w:eastAsiaTheme="minorEastAsia" w:hAnsi="Times New Roman" w:cs="Times New Roman"/>
          <w:noProof/>
          <w:sz w:val="24"/>
          <w:szCs w:val="24"/>
          <w:lang w:val="en-IE"/>
        </w:rPr>
        <w:t>T</w:t>
      </w:r>
      <w:r w:rsidRPr="00E03D97">
        <w:rPr>
          <w:rFonts w:ascii="Times New Roman" w:eastAsiaTheme="minorEastAsia" w:hAnsi="Times New Roman" w:cs="Times New Roman"/>
          <w:noProof/>
          <w:sz w:val="24"/>
          <w:szCs w:val="24"/>
          <w:lang w:val="en-IE"/>
        </w:rPr>
        <w:t>he</w:t>
      </w:r>
      <w:r w:rsidR="00681330">
        <w:rPr>
          <w:rFonts w:ascii="Times New Roman" w:eastAsiaTheme="minorEastAsia" w:hAnsi="Times New Roman" w:cs="Times New Roman"/>
          <w:noProof/>
          <w:sz w:val="24"/>
          <w:szCs w:val="24"/>
          <w:lang w:val="en-IE"/>
        </w:rPr>
        <w:t xml:space="preserve"> external dimension of the European Health Union, the</w:t>
      </w:r>
      <w:r w:rsidRPr="00E03D97">
        <w:rPr>
          <w:rFonts w:ascii="Times New Roman" w:eastAsiaTheme="minorEastAsia" w:hAnsi="Times New Roman" w:cs="Times New Roman"/>
          <w:noProof/>
          <w:sz w:val="24"/>
          <w:szCs w:val="24"/>
          <w:lang w:val="en-IE"/>
        </w:rPr>
        <w:t xml:space="preserve"> EU Global Health Strategy, </w:t>
      </w:r>
      <w:r w:rsidR="00681330">
        <w:rPr>
          <w:rFonts w:ascii="Times New Roman" w:eastAsiaTheme="minorEastAsia" w:hAnsi="Times New Roman" w:cs="Times New Roman"/>
          <w:noProof/>
          <w:sz w:val="24"/>
          <w:szCs w:val="24"/>
          <w:lang w:val="en-IE"/>
        </w:rPr>
        <w:t xml:space="preserve">was </w:t>
      </w:r>
      <w:r w:rsidRPr="00E03D97">
        <w:rPr>
          <w:rFonts w:ascii="Times New Roman" w:eastAsiaTheme="minorEastAsia" w:hAnsi="Times New Roman" w:cs="Times New Roman"/>
          <w:noProof/>
          <w:sz w:val="24"/>
          <w:szCs w:val="24"/>
          <w:lang w:val="en-IE"/>
        </w:rPr>
        <w:t>adopted on 30</w:t>
      </w:r>
      <w:r w:rsidR="00AE29DF">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November</w:t>
      </w:r>
      <w:r w:rsidR="00AE29DF">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2022</w:t>
      </w:r>
      <w:r w:rsidR="00681330">
        <w:rPr>
          <w:rFonts w:ascii="Times New Roman" w:eastAsiaTheme="minorEastAsia" w:hAnsi="Times New Roman" w:cs="Times New Roman"/>
          <w:noProof/>
          <w:sz w:val="24"/>
          <w:szCs w:val="24"/>
          <w:lang w:val="en-IE"/>
        </w:rPr>
        <w:t xml:space="preserve"> and</w:t>
      </w:r>
      <w:r w:rsidRPr="00E03D97">
        <w:rPr>
          <w:rFonts w:ascii="Times New Roman" w:eastAsiaTheme="minorEastAsia" w:hAnsi="Times New Roman" w:cs="Times New Roman"/>
          <w:noProof/>
          <w:sz w:val="24"/>
          <w:szCs w:val="24"/>
          <w:lang w:val="en-IE"/>
        </w:rPr>
        <w:t xml:space="preserve"> </w:t>
      </w:r>
      <w:r w:rsidR="00AE29DF">
        <w:rPr>
          <w:rFonts w:ascii="Times New Roman" w:eastAsiaTheme="minorEastAsia" w:hAnsi="Times New Roman" w:cs="Times New Roman"/>
          <w:noProof/>
          <w:sz w:val="24"/>
          <w:szCs w:val="24"/>
          <w:lang w:val="en-IE"/>
        </w:rPr>
        <w:t xml:space="preserve">is </w:t>
      </w:r>
      <w:r w:rsidR="0094565F">
        <w:rPr>
          <w:rFonts w:ascii="Times New Roman" w:eastAsiaTheme="minorEastAsia" w:hAnsi="Times New Roman" w:cs="Times New Roman"/>
          <w:noProof/>
          <w:sz w:val="24"/>
          <w:szCs w:val="24"/>
          <w:lang w:val="en-IE"/>
        </w:rPr>
        <w:t>intended</w:t>
      </w:r>
      <w:r w:rsidR="0094565F"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to guide </w:t>
      </w:r>
      <w:r w:rsidR="00681330">
        <w:rPr>
          <w:rFonts w:ascii="Times New Roman" w:eastAsiaTheme="minorEastAsia" w:hAnsi="Times New Roman" w:cs="Times New Roman"/>
          <w:noProof/>
          <w:sz w:val="24"/>
          <w:szCs w:val="24"/>
          <w:lang w:val="en-IE"/>
        </w:rPr>
        <w:t xml:space="preserve">all </w:t>
      </w:r>
      <w:r w:rsidRPr="00E03D97">
        <w:rPr>
          <w:rFonts w:ascii="Times New Roman" w:eastAsiaTheme="minorEastAsia" w:hAnsi="Times New Roman" w:cs="Times New Roman"/>
          <w:noProof/>
          <w:sz w:val="24"/>
          <w:szCs w:val="24"/>
          <w:lang w:val="en-IE"/>
        </w:rPr>
        <w:t xml:space="preserve">EU action for ensuring better </w:t>
      </w:r>
      <w:r w:rsidR="00681330" w:rsidRPr="00681330">
        <w:rPr>
          <w:rFonts w:ascii="Times New Roman" w:eastAsiaTheme="minorEastAsia" w:hAnsi="Times New Roman" w:cs="Times New Roman"/>
          <w:noProof/>
          <w:sz w:val="24"/>
          <w:szCs w:val="24"/>
          <w:lang w:val="en-IE"/>
        </w:rPr>
        <w:t>health and well-being of people across the li</w:t>
      </w:r>
      <w:r w:rsidR="00681330">
        <w:rPr>
          <w:rFonts w:ascii="Times New Roman" w:eastAsiaTheme="minorEastAsia" w:hAnsi="Times New Roman" w:cs="Times New Roman"/>
          <w:noProof/>
          <w:sz w:val="24"/>
          <w:szCs w:val="24"/>
          <w:lang w:val="en-IE"/>
        </w:rPr>
        <w:t>f</w:t>
      </w:r>
      <w:r w:rsidR="00681330" w:rsidRPr="00681330">
        <w:rPr>
          <w:rFonts w:ascii="Times New Roman" w:eastAsiaTheme="minorEastAsia" w:hAnsi="Times New Roman" w:cs="Times New Roman"/>
          <w:noProof/>
          <w:sz w:val="24"/>
          <w:szCs w:val="24"/>
          <w:lang w:val="en-IE"/>
        </w:rPr>
        <w:t>e course through</w:t>
      </w:r>
      <w:r w:rsidR="00681330">
        <w:rPr>
          <w:rFonts w:ascii="Times New Roman" w:eastAsiaTheme="minorEastAsia" w:hAnsi="Times New Roman" w:cs="Times New Roman"/>
          <w:noProof/>
          <w:sz w:val="24"/>
          <w:szCs w:val="24"/>
          <w:lang w:val="en-IE"/>
        </w:rPr>
        <w:t>, on the one hand,</w:t>
      </w:r>
      <w:r w:rsidR="00681330" w:rsidRPr="00681330">
        <w:rPr>
          <w:rFonts w:ascii="Times New Roman" w:eastAsiaTheme="minorEastAsia" w:hAnsi="Times New Roman" w:cs="Times New Roman"/>
          <w:noProof/>
          <w:sz w:val="24"/>
          <w:szCs w:val="24"/>
          <w:lang w:val="en-IE"/>
        </w:rPr>
        <w:t xml:space="preserve"> strengthening health systems and advanc</w:t>
      </w:r>
      <w:r w:rsidR="00681330">
        <w:rPr>
          <w:rFonts w:ascii="Times New Roman" w:eastAsiaTheme="minorEastAsia" w:hAnsi="Times New Roman" w:cs="Times New Roman"/>
          <w:noProof/>
          <w:sz w:val="24"/>
          <w:szCs w:val="24"/>
          <w:lang w:val="en-IE"/>
        </w:rPr>
        <w:t>ing</w:t>
      </w:r>
      <w:r w:rsidR="00681330" w:rsidRPr="00681330">
        <w:rPr>
          <w:rFonts w:ascii="Times New Roman" w:eastAsiaTheme="minorEastAsia" w:hAnsi="Times New Roman" w:cs="Times New Roman"/>
          <w:noProof/>
          <w:sz w:val="24"/>
          <w:szCs w:val="24"/>
          <w:lang w:val="en-IE"/>
        </w:rPr>
        <w:t xml:space="preserve"> universal health coverage</w:t>
      </w:r>
      <w:r w:rsidR="00681330">
        <w:rPr>
          <w:rFonts w:ascii="Times New Roman" w:eastAsiaTheme="minorEastAsia" w:hAnsi="Times New Roman" w:cs="Times New Roman"/>
          <w:noProof/>
          <w:sz w:val="24"/>
          <w:szCs w:val="24"/>
          <w:lang w:val="en-IE"/>
        </w:rPr>
        <w:t>, and on the other,</w:t>
      </w:r>
      <w:r w:rsidR="00681330" w:rsidRPr="00681330">
        <w:rPr>
          <w:rFonts w:ascii="Times New Roman" w:eastAsiaTheme="minorEastAsia" w:hAnsi="Times New Roman" w:cs="Times New Roman"/>
          <w:noProof/>
          <w:sz w:val="24"/>
          <w:szCs w:val="24"/>
          <w:lang w:val="en-IE"/>
        </w:rPr>
        <w:t xml:space="preserve"> preventing and combating health threats, including pandemics, applying a One Health approach</w:t>
      </w:r>
      <w:r w:rsidRPr="00E03D97">
        <w:rPr>
          <w:rFonts w:ascii="Times New Roman" w:eastAsiaTheme="minorEastAsia" w:hAnsi="Times New Roman" w:cs="Times New Roman"/>
          <w:noProof/>
          <w:sz w:val="24"/>
          <w:szCs w:val="24"/>
          <w:lang w:val="en-IE"/>
        </w:rPr>
        <w:t>.</w:t>
      </w:r>
    </w:p>
    <w:p w14:paraId="205F4210" w14:textId="0550330D" w:rsidR="001F1738" w:rsidRDefault="00681330"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681330">
        <w:rPr>
          <w:rFonts w:ascii="Times New Roman" w:eastAsiaTheme="minorEastAsia" w:hAnsi="Times New Roman" w:cs="Times New Roman"/>
          <w:noProof/>
          <w:sz w:val="24"/>
          <w:szCs w:val="24"/>
          <w:lang w:val="en-IE"/>
        </w:rPr>
        <w:t xml:space="preserve">The three health-related political declarations passed during High Level Meetings at United Nations General Assembly in New York during September 2023 on Tuberculosis, Universal Health Coverage and Pandemic Prevention, Preparedness and Response highlighted the urgency for actions to strengthen national health systems and improve global health security to achieve the </w:t>
      </w:r>
      <w:r w:rsidR="00190020">
        <w:rPr>
          <w:rFonts w:ascii="Times New Roman" w:eastAsiaTheme="minorEastAsia" w:hAnsi="Times New Roman" w:cs="Times New Roman"/>
          <w:noProof/>
          <w:sz w:val="24"/>
          <w:szCs w:val="24"/>
          <w:lang w:val="en-IE"/>
        </w:rPr>
        <w:t>sustainable development</w:t>
      </w:r>
      <w:r w:rsidRPr="00681330">
        <w:rPr>
          <w:rFonts w:ascii="Times New Roman" w:eastAsiaTheme="minorEastAsia" w:hAnsi="Times New Roman" w:cs="Times New Roman"/>
          <w:noProof/>
          <w:sz w:val="24"/>
          <w:szCs w:val="24"/>
          <w:lang w:val="en-IE"/>
        </w:rPr>
        <w:t xml:space="preserve"> goals related to health. </w:t>
      </w:r>
      <w:r w:rsidR="001F1738" w:rsidRPr="00E03D97">
        <w:rPr>
          <w:rFonts w:ascii="Times New Roman" w:eastAsiaTheme="minorEastAsia" w:hAnsi="Times New Roman" w:cs="Times New Roman"/>
          <w:noProof/>
          <w:sz w:val="24"/>
          <w:szCs w:val="24"/>
          <w:lang w:val="en-IE"/>
        </w:rPr>
        <w:t>In this context, the EU continues to be strongly engaged in the ongoing negotiations for the adoption of a WHO convention, agreement or other international instrument on pandemic prevention, preparedness and response (</w:t>
      </w:r>
      <w:r>
        <w:rPr>
          <w:rFonts w:ascii="Times New Roman" w:eastAsiaTheme="minorEastAsia" w:hAnsi="Times New Roman" w:cs="Times New Roman"/>
          <w:noProof/>
          <w:sz w:val="24"/>
          <w:szCs w:val="24"/>
          <w:lang w:val="en-IE"/>
        </w:rPr>
        <w:t>“P</w:t>
      </w:r>
      <w:r w:rsidR="001F1738" w:rsidRPr="00E03D97">
        <w:rPr>
          <w:rFonts w:ascii="Times New Roman" w:eastAsiaTheme="minorEastAsia" w:hAnsi="Times New Roman" w:cs="Times New Roman"/>
          <w:noProof/>
          <w:sz w:val="24"/>
          <w:szCs w:val="24"/>
          <w:lang w:val="en-IE"/>
        </w:rPr>
        <w:t xml:space="preserve">andemic </w:t>
      </w:r>
      <w:r>
        <w:rPr>
          <w:rFonts w:ascii="Times New Roman" w:eastAsiaTheme="minorEastAsia" w:hAnsi="Times New Roman" w:cs="Times New Roman"/>
          <w:noProof/>
          <w:sz w:val="24"/>
          <w:szCs w:val="24"/>
          <w:lang w:val="en-IE"/>
        </w:rPr>
        <w:t>A</w:t>
      </w:r>
      <w:r w:rsidR="001F1738" w:rsidRPr="00E03D97">
        <w:rPr>
          <w:rFonts w:ascii="Times New Roman" w:eastAsiaTheme="minorEastAsia" w:hAnsi="Times New Roman" w:cs="Times New Roman"/>
          <w:noProof/>
          <w:sz w:val="24"/>
          <w:szCs w:val="24"/>
          <w:lang w:val="en-IE"/>
        </w:rPr>
        <w:t>greement</w:t>
      </w:r>
      <w:r>
        <w:rPr>
          <w:rFonts w:ascii="Times New Roman" w:eastAsiaTheme="minorEastAsia" w:hAnsi="Times New Roman" w:cs="Times New Roman"/>
          <w:noProof/>
          <w:sz w:val="24"/>
          <w:szCs w:val="24"/>
          <w:lang w:val="en-IE"/>
        </w:rPr>
        <w:t>”</w:t>
      </w:r>
      <w:r w:rsidR="001F1738" w:rsidRPr="00E03D97">
        <w:rPr>
          <w:rFonts w:ascii="Times New Roman" w:eastAsiaTheme="minorEastAsia" w:hAnsi="Times New Roman" w:cs="Times New Roman"/>
          <w:noProof/>
          <w:sz w:val="24"/>
          <w:szCs w:val="24"/>
          <w:lang w:val="en-IE"/>
        </w:rPr>
        <w:t xml:space="preserve">) and in the complementary negotiations on the revision of the International Health Regulations. The EU has made ambitious proposals that promote equity and </w:t>
      </w:r>
      <w:r w:rsidR="0094565F">
        <w:rPr>
          <w:rFonts w:ascii="Times New Roman" w:eastAsiaTheme="minorEastAsia" w:hAnsi="Times New Roman" w:cs="Times New Roman"/>
          <w:noProof/>
          <w:sz w:val="24"/>
          <w:szCs w:val="24"/>
          <w:lang w:val="en-IE"/>
        </w:rPr>
        <w:t>include</w:t>
      </w:r>
      <w:r w:rsidR="001F1738" w:rsidRPr="00E03D97">
        <w:rPr>
          <w:rFonts w:ascii="Times New Roman" w:eastAsiaTheme="minorEastAsia" w:hAnsi="Times New Roman" w:cs="Times New Roman"/>
          <w:noProof/>
          <w:sz w:val="24"/>
          <w:szCs w:val="24"/>
          <w:lang w:val="en-IE"/>
        </w:rPr>
        <w:t xml:space="preserve"> operative provisions on the entire </w:t>
      </w:r>
      <w:r w:rsidR="006D3EDF">
        <w:rPr>
          <w:rFonts w:ascii="Times New Roman" w:eastAsiaTheme="minorEastAsia" w:hAnsi="Times New Roman" w:cs="Times New Roman"/>
          <w:noProof/>
          <w:sz w:val="24"/>
          <w:szCs w:val="24"/>
          <w:lang w:val="en-IE"/>
        </w:rPr>
        <w:t>p</w:t>
      </w:r>
      <w:r w:rsidR="001F1738" w:rsidRPr="00E03D97">
        <w:rPr>
          <w:rFonts w:ascii="Times New Roman" w:eastAsiaTheme="minorEastAsia" w:hAnsi="Times New Roman" w:cs="Times New Roman"/>
          <w:noProof/>
          <w:sz w:val="24"/>
          <w:szCs w:val="24"/>
          <w:lang w:val="en-IE"/>
        </w:rPr>
        <w:t xml:space="preserve">revention, </w:t>
      </w:r>
      <w:r w:rsidR="006D3EDF">
        <w:rPr>
          <w:rFonts w:ascii="Times New Roman" w:eastAsiaTheme="minorEastAsia" w:hAnsi="Times New Roman" w:cs="Times New Roman"/>
          <w:noProof/>
          <w:sz w:val="24"/>
          <w:szCs w:val="24"/>
          <w:lang w:val="en-IE"/>
        </w:rPr>
        <w:t>p</w:t>
      </w:r>
      <w:r w:rsidR="001F1738" w:rsidRPr="00E03D97">
        <w:rPr>
          <w:rFonts w:ascii="Times New Roman" w:eastAsiaTheme="minorEastAsia" w:hAnsi="Times New Roman" w:cs="Times New Roman"/>
          <w:noProof/>
          <w:sz w:val="24"/>
          <w:szCs w:val="24"/>
          <w:lang w:val="en-IE"/>
        </w:rPr>
        <w:t xml:space="preserve">reparedness and </w:t>
      </w:r>
      <w:r w:rsidR="006D3EDF">
        <w:rPr>
          <w:rFonts w:ascii="Times New Roman" w:eastAsiaTheme="minorEastAsia" w:hAnsi="Times New Roman" w:cs="Times New Roman"/>
          <w:noProof/>
          <w:sz w:val="24"/>
          <w:szCs w:val="24"/>
          <w:lang w:val="en-IE"/>
        </w:rPr>
        <w:t>r</w:t>
      </w:r>
      <w:r w:rsidR="001F1738" w:rsidRPr="00E03D97">
        <w:rPr>
          <w:rFonts w:ascii="Times New Roman" w:eastAsiaTheme="minorEastAsia" w:hAnsi="Times New Roman" w:cs="Times New Roman"/>
          <w:noProof/>
          <w:sz w:val="24"/>
          <w:szCs w:val="24"/>
          <w:lang w:val="en-IE"/>
        </w:rPr>
        <w:t xml:space="preserve">esponse cycle, with </w:t>
      </w:r>
      <w:r w:rsidR="006D3EDF">
        <w:rPr>
          <w:rFonts w:ascii="Times New Roman" w:eastAsiaTheme="minorEastAsia" w:hAnsi="Times New Roman" w:cs="Times New Roman"/>
          <w:noProof/>
          <w:sz w:val="24"/>
          <w:szCs w:val="24"/>
          <w:lang w:val="en-IE"/>
        </w:rPr>
        <w:t xml:space="preserve">a </w:t>
      </w:r>
      <w:r w:rsidR="001F1738" w:rsidRPr="00E03D97">
        <w:rPr>
          <w:rFonts w:ascii="Times New Roman" w:eastAsiaTheme="minorEastAsia" w:hAnsi="Times New Roman" w:cs="Times New Roman"/>
          <w:noProof/>
          <w:sz w:val="24"/>
          <w:szCs w:val="24"/>
          <w:lang w:val="en-IE"/>
        </w:rPr>
        <w:t xml:space="preserve">view to delivering significant and concrete improvements in the interest and for the benefit </w:t>
      </w:r>
      <w:r w:rsidR="006D3EDF">
        <w:rPr>
          <w:rFonts w:ascii="Times New Roman" w:eastAsiaTheme="minorEastAsia" w:hAnsi="Times New Roman" w:cs="Times New Roman"/>
          <w:noProof/>
          <w:sz w:val="24"/>
          <w:szCs w:val="24"/>
          <w:lang w:val="en-IE"/>
        </w:rPr>
        <w:t>of</w:t>
      </w:r>
      <w:r w:rsidR="006D3EDF" w:rsidRPr="00E03D97">
        <w:rPr>
          <w:rFonts w:ascii="Times New Roman" w:eastAsiaTheme="minorEastAsia" w:hAnsi="Times New Roman" w:cs="Times New Roman"/>
          <w:noProof/>
          <w:sz w:val="24"/>
          <w:szCs w:val="24"/>
          <w:lang w:val="en-IE"/>
        </w:rPr>
        <w:t xml:space="preserve"> </w:t>
      </w:r>
      <w:r w:rsidR="001F1738" w:rsidRPr="00E03D97">
        <w:rPr>
          <w:rFonts w:ascii="Times New Roman" w:eastAsiaTheme="minorEastAsia" w:hAnsi="Times New Roman" w:cs="Times New Roman"/>
          <w:noProof/>
          <w:sz w:val="24"/>
          <w:szCs w:val="24"/>
          <w:lang w:val="en-IE"/>
        </w:rPr>
        <w:t xml:space="preserve">all. Achieving a successful outcome </w:t>
      </w:r>
      <w:r w:rsidR="006D3EDF">
        <w:rPr>
          <w:rFonts w:ascii="Times New Roman" w:eastAsiaTheme="minorEastAsia" w:hAnsi="Times New Roman" w:cs="Times New Roman"/>
          <w:noProof/>
          <w:sz w:val="24"/>
          <w:szCs w:val="24"/>
          <w:lang w:val="en-IE"/>
        </w:rPr>
        <w:t>for</w:t>
      </w:r>
      <w:r w:rsidR="001F1738" w:rsidRPr="00E03D97">
        <w:rPr>
          <w:rFonts w:ascii="Times New Roman" w:eastAsiaTheme="minorEastAsia" w:hAnsi="Times New Roman" w:cs="Times New Roman"/>
          <w:noProof/>
          <w:sz w:val="24"/>
          <w:szCs w:val="24"/>
          <w:lang w:val="en-IE"/>
        </w:rPr>
        <w:t xml:space="preserve"> both processes by the </w:t>
      </w:r>
      <w:r w:rsidR="006D3EDF" w:rsidRPr="00E03D97">
        <w:rPr>
          <w:rFonts w:ascii="Times New Roman" w:eastAsiaTheme="minorEastAsia" w:hAnsi="Times New Roman" w:cs="Times New Roman"/>
          <w:noProof/>
          <w:sz w:val="24"/>
          <w:szCs w:val="24"/>
          <w:lang w:val="en-IE"/>
        </w:rPr>
        <w:t>May 2024</w:t>
      </w:r>
      <w:r w:rsidR="006D3EDF">
        <w:rPr>
          <w:rFonts w:ascii="Times New Roman" w:eastAsiaTheme="minorEastAsia" w:hAnsi="Times New Roman" w:cs="Times New Roman"/>
          <w:noProof/>
          <w:sz w:val="24"/>
          <w:szCs w:val="24"/>
          <w:lang w:val="en-IE"/>
        </w:rPr>
        <w:t xml:space="preserve"> </w:t>
      </w:r>
      <w:r w:rsidR="001F1738" w:rsidRPr="00E03D97">
        <w:rPr>
          <w:rFonts w:ascii="Times New Roman" w:eastAsiaTheme="minorEastAsia" w:hAnsi="Times New Roman" w:cs="Times New Roman"/>
          <w:noProof/>
          <w:sz w:val="24"/>
          <w:szCs w:val="24"/>
          <w:lang w:val="en-IE"/>
        </w:rPr>
        <w:t xml:space="preserve">World Health Assembly is a priority for the </w:t>
      </w:r>
      <w:r w:rsidR="004A39FC">
        <w:rPr>
          <w:rFonts w:ascii="Times New Roman" w:eastAsiaTheme="minorEastAsia" w:hAnsi="Times New Roman" w:cs="Times New Roman"/>
          <w:noProof/>
          <w:sz w:val="24"/>
          <w:szCs w:val="24"/>
          <w:lang w:val="en-IE"/>
        </w:rPr>
        <w:t>EU</w:t>
      </w:r>
      <w:r w:rsidR="001F1738" w:rsidRPr="00E03D97">
        <w:rPr>
          <w:rFonts w:ascii="Times New Roman" w:eastAsiaTheme="minorEastAsia" w:hAnsi="Times New Roman" w:cs="Times New Roman"/>
          <w:noProof/>
          <w:sz w:val="24"/>
          <w:szCs w:val="24"/>
          <w:lang w:val="en-IE"/>
        </w:rPr>
        <w:t xml:space="preserve">. </w:t>
      </w:r>
    </w:p>
    <w:p w14:paraId="1AA16188" w14:textId="4B5600C6" w:rsidR="00681330" w:rsidRPr="00E03D97" w:rsidRDefault="00681330"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681330">
        <w:rPr>
          <w:rFonts w:ascii="Times New Roman" w:eastAsiaTheme="minorEastAsia" w:hAnsi="Times New Roman" w:cs="Times New Roman"/>
          <w:noProof/>
          <w:sz w:val="24"/>
          <w:szCs w:val="24"/>
          <w:lang w:val="en-IE"/>
        </w:rPr>
        <w:t xml:space="preserve">In addition, the </w:t>
      </w:r>
      <w:r w:rsidR="008739EF">
        <w:rPr>
          <w:rFonts w:ascii="Times New Roman" w:eastAsiaTheme="minorEastAsia" w:hAnsi="Times New Roman" w:cs="Times New Roman"/>
          <w:noProof/>
          <w:sz w:val="24"/>
          <w:szCs w:val="24"/>
          <w:lang w:val="en-IE"/>
        </w:rPr>
        <w:t>Commission</w:t>
      </w:r>
      <w:r w:rsidRPr="00681330">
        <w:rPr>
          <w:rFonts w:ascii="Times New Roman" w:eastAsiaTheme="minorEastAsia" w:hAnsi="Times New Roman" w:cs="Times New Roman"/>
          <w:noProof/>
          <w:sz w:val="24"/>
          <w:szCs w:val="24"/>
          <w:lang w:val="en-IE"/>
        </w:rPr>
        <w:t xml:space="preserve"> is a founding member of and contributor to the Pandemic Fund launched by the G20 in 2022 and hosted by the World Bank. The Fund provides long-term financing to strengthen pandemic prevention, preparedness and response (PPR) capacity and capabilities in low- and middle-income countries and addresses critical gaps through investments and technical support at the national, regional, and global levels.</w:t>
      </w:r>
    </w:p>
    <w:p w14:paraId="01762D11" w14:textId="0A95D9EF"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Recognising the important opportunity to strengthen global commitments against antimicrobial resistance, the EU </w:t>
      </w:r>
      <w:r w:rsidR="00836E45">
        <w:rPr>
          <w:rFonts w:ascii="Times New Roman" w:eastAsiaTheme="minorEastAsia" w:hAnsi="Times New Roman" w:cs="Times New Roman"/>
          <w:noProof/>
          <w:sz w:val="24"/>
          <w:szCs w:val="24"/>
          <w:lang w:val="en-IE"/>
        </w:rPr>
        <w:t xml:space="preserve">has </w:t>
      </w:r>
      <w:r w:rsidRPr="00E03D97">
        <w:rPr>
          <w:rFonts w:ascii="Times New Roman" w:eastAsiaTheme="minorEastAsia" w:hAnsi="Times New Roman" w:cs="Times New Roman"/>
          <w:noProof/>
          <w:sz w:val="24"/>
          <w:szCs w:val="24"/>
          <w:lang w:val="en-IE"/>
        </w:rPr>
        <w:t xml:space="preserve">put forward a comprehensive proposal for concrete AMR provisions as part of the negotiations </w:t>
      </w:r>
      <w:r w:rsidR="00836E45">
        <w:rPr>
          <w:rFonts w:ascii="Times New Roman" w:eastAsiaTheme="minorEastAsia" w:hAnsi="Times New Roman" w:cs="Times New Roman"/>
          <w:noProof/>
          <w:sz w:val="24"/>
          <w:szCs w:val="24"/>
          <w:lang w:val="en-IE"/>
        </w:rPr>
        <w:t>for</w:t>
      </w:r>
      <w:r w:rsidR="00836E45"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a WHO international agreement on pandemic prevention, preparedness and response. </w:t>
      </w:r>
      <w:r w:rsidR="00836E45">
        <w:rPr>
          <w:rFonts w:ascii="Times New Roman" w:eastAsiaTheme="minorEastAsia" w:hAnsi="Times New Roman" w:cs="Times New Roman"/>
          <w:noProof/>
          <w:sz w:val="24"/>
          <w:szCs w:val="24"/>
          <w:lang w:val="en-IE"/>
        </w:rPr>
        <w:t>The EU is c</w:t>
      </w:r>
      <w:r w:rsidRPr="00E03D97">
        <w:rPr>
          <w:rFonts w:ascii="Times New Roman" w:eastAsiaTheme="minorEastAsia" w:hAnsi="Times New Roman" w:cs="Times New Roman"/>
          <w:noProof/>
          <w:sz w:val="24"/>
          <w:szCs w:val="24"/>
          <w:lang w:val="en-IE"/>
        </w:rPr>
        <w:t>ommitted to global cooperation on AMR</w:t>
      </w:r>
      <w:r w:rsidR="00836E45">
        <w:rPr>
          <w:rFonts w:ascii="Times New Roman" w:eastAsiaTheme="minorEastAsia" w:hAnsi="Times New Roman" w:cs="Times New Roman"/>
          <w:noProof/>
          <w:sz w:val="24"/>
          <w:szCs w:val="24"/>
          <w:lang w:val="en-IE"/>
        </w:rPr>
        <w:t xml:space="preserve"> and</w:t>
      </w:r>
      <w:r w:rsidRPr="00E03D97">
        <w:rPr>
          <w:rFonts w:ascii="Times New Roman" w:eastAsiaTheme="minorEastAsia" w:hAnsi="Times New Roman" w:cs="Times New Roman"/>
          <w:noProof/>
          <w:sz w:val="24"/>
          <w:szCs w:val="24"/>
          <w:lang w:val="en-IE"/>
        </w:rPr>
        <w:t xml:space="preserve"> hosted </w:t>
      </w:r>
      <w:r w:rsidR="00836E45">
        <w:rPr>
          <w:rFonts w:ascii="Times New Roman" w:eastAsiaTheme="minorEastAsia" w:hAnsi="Times New Roman" w:cs="Times New Roman"/>
          <w:noProof/>
          <w:sz w:val="24"/>
          <w:szCs w:val="24"/>
          <w:lang w:val="en-IE"/>
        </w:rPr>
        <w:t xml:space="preserve">an </w:t>
      </w:r>
      <w:r w:rsidRPr="00E03D97">
        <w:rPr>
          <w:rFonts w:ascii="Times New Roman" w:eastAsiaTheme="minorEastAsia" w:hAnsi="Times New Roman" w:cs="Times New Roman"/>
          <w:noProof/>
          <w:sz w:val="24"/>
          <w:szCs w:val="24"/>
          <w:lang w:val="en-IE"/>
        </w:rPr>
        <w:t xml:space="preserve">in-person meeting of the Transatlantic Task Force on Antimicrobial Resistance </w:t>
      </w:r>
      <w:r w:rsidR="00836E45" w:rsidRPr="00E03D97">
        <w:rPr>
          <w:rFonts w:ascii="Times New Roman" w:eastAsiaTheme="minorEastAsia" w:hAnsi="Times New Roman" w:cs="Times New Roman"/>
          <w:noProof/>
          <w:sz w:val="24"/>
          <w:szCs w:val="24"/>
          <w:lang w:val="en-IE"/>
        </w:rPr>
        <w:t>on 14-15 November</w:t>
      </w:r>
      <w:r w:rsidR="0094565F">
        <w:rPr>
          <w:rFonts w:ascii="Times New Roman" w:eastAsiaTheme="minorEastAsia" w:hAnsi="Times New Roman" w:cs="Times New Roman"/>
          <w:noProof/>
          <w:sz w:val="24"/>
          <w:szCs w:val="24"/>
          <w:lang w:val="en-IE"/>
        </w:rPr>
        <w:t xml:space="preserve"> 2023</w:t>
      </w:r>
      <w:r w:rsidR="00836E45"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that </w:t>
      </w:r>
      <w:r w:rsidR="00A64808">
        <w:rPr>
          <w:rFonts w:ascii="Times New Roman" w:eastAsiaTheme="minorEastAsia" w:hAnsi="Times New Roman" w:cs="Times New Roman"/>
          <w:noProof/>
          <w:sz w:val="24"/>
          <w:szCs w:val="24"/>
          <w:lang w:val="en-IE"/>
        </w:rPr>
        <w:t>brought</w:t>
      </w:r>
      <w:r w:rsidR="00A64808"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together authorities from the EU, </w:t>
      </w:r>
      <w:r w:rsidR="008C23E5">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US, Canada, Norway and the </w:t>
      </w:r>
      <w:r w:rsidR="008C23E5">
        <w:rPr>
          <w:rFonts w:ascii="Times New Roman" w:eastAsiaTheme="minorEastAsia" w:hAnsi="Times New Roman" w:cs="Times New Roman"/>
          <w:noProof/>
          <w:sz w:val="24"/>
          <w:szCs w:val="24"/>
          <w:lang w:val="en-IE"/>
        </w:rPr>
        <w:t>UK</w:t>
      </w:r>
      <w:r w:rsidRPr="00E03D97">
        <w:rPr>
          <w:rFonts w:ascii="Times New Roman" w:eastAsiaTheme="minorEastAsia" w:hAnsi="Times New Roman" w:cs="Times New Roman"/>
          <w:noProof/>
          <w:sz w:val="24"/>
          <w:szCs w:val="24"/>
          <w:lang w:val="en-IE"/>
        </w:rPr>
        <w:t xml:space="preserve">, to collaborate and share best practices to strengthen domestic and global efforts. The EU is also supporting international efforts to combat AMR </w:t>
      </w:r>
      <w:r w:rsidR="005C393F">
        <w:rPr>
          <w:rFonts w:ascii="Times New Roman" w:eastAsiaTheme="minorEastAsia" w:hAnsi="Times New Roman" w:cs="Times New Roman"/>
          <w:noProof/>
          <w:sz w:val="24"/>
          <w:szCs w:val="24"/>
          <w:lang w:val="en-IE"/>
        </w:rPr>
        <w:t xml:space="preserve">within the </w:t>
      </w:r>
      <w:r w:rsidRPr="00E03D97">
        <w:rPr>
          <w:rFonts w:ascii="Times New Roman" w:eastAsiaTheme="minorEastAsia" w:hAnsi="Times New Roman" w:cs="Times New Roman"/>
          <w:noProof/>
          <w:sz w:val="24"/>
          <w:szCs w:val="24"/>
          <w:lang w:val="en-IE"/>
        </w:rPr>
        <w:t>G7 and G20</w:t>
      </w:r>
      <w:r w:rsidR="005C393F">
        <w:rPr>
          <w:rFonts w:ascii="Times New Roman" w:eastAsiaTheme="minorEastAsia" w:hAnsi="Times New Roman" w:cs="Times New Roman"/>
          <w:noProof/>
          <w:sz w:val="24"/>
          <w:szCs w:val="24"/>
          <w:lang w:val="en-IE"/>
        </w:rPr>
        <w:t xml:space="preserve"> contexts</w:t>
      </w:r>
      <w:r w:rsidRPr="00E03D97">
        <w:rPr>
          <w:rFonts w:ascii="Times New Roman" w:eastAsiaTheme="minorEastAsia" w:hAnsi="Times New Roman" w:cs="Times New Roman"/>
          <w:noProof/>
          <w:sz w:val="24"/>
          <w:szCs w:val="24"/>
          <w:lang w:val="en-IE"/>
        </w:rPr>
        <w:t xml:space="preserve"> and is involved in preparations for a successful </w:t>
      </w:r>
      <w:r w:rsidR="001D1539">
        <w:rPr>
          <w:rFonts w:ascii="Times New Roman" w:eastAsiaTheme="minorEastAsia" w:hAnsi="Times New Roman" w:cs="Times New Roman"/>
          <w:noProof/>
          <w:sz w:val="24"/>
          <w:szCs w:val="24"/>
          <w:lang w:val="en-IE"/>
        </w:rPr>
        <w:t xml:space="preserve">United Nations General Assembly </w:t>
      </w:r>
      <w:r w:rsidR="005C393F">
        <w:rPr>
          <w:rFonts w:ascii="Times New Roman" w:eastAsiaTheme="minorEastAsia" w:hAnsi="Times New Roman" w:cs="Times New Roman"/>
          <w:noProof/>
          <w:sz w:val="24"/>
          <w:szCs w:val="24"/>
          <w:lang w:val="en-IE"/>
        </w:rPr>
        <w:t>h</w:t>
      </w:r>
      <w:r w:rsidRPr="00E03D97">
        <w:rPr>
          <w:rFonts w:ascii="Times New Roman" w:eastAsiaTheme="minorEastAsia" w:hAnsi="Times New Roman" w:cs="Times New Roman"/>
          <w:noProof/>
          <w:sz w:val="24"/>
          <w:szCs w:val="24"/>
          <w:lang w:val="en-IE"/>
        </w:rPr>
        <w:t>igh-level meeting on AMR in 2024. Through its financial contribution to the AMR Multi-Partner Trust Fund, the EU is supporting efforts in low</w:t>
      </w:r>
      <w:r w:rsidR="00666256">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and middle-income countries to strengthen their capacities to fight AMR.</w:t>
      </w:r>
    </w:p>
    <w:p w14:paraId="2DABA311" w14:textId="1D048347" w:rsidR="001F1738" w:rsidRPr="006B5917" w:rsidRDefault="001F1738" w:rsidP="001F1738">
      <w:pPr>
        <w:spacing w:before="100" w:beforeAutospacing="1" w:after="100" w:afterAutospacing="1" w:line="240" w:lineRule="auto"/>
        <w:jc w:val="both"/>
        <w:rPr>
          <w:rFonts w:ascii="Times New Roman" w:eastAsiaTheme="minorEastAsia" w:hAnsi="Times New Roman" w:cs="Times New Roman"/>
          <w:b/>
          <w:bCs/>
          <w:noProof/>
          <w:sz w:val="24"/>
          <w:szCs w:val="24"/>
          <w:lang w:val="en-IE"/>
        </w:rPr>
      </w:pPr>
      <w:r w:rsidRPr="006B5917">
        <w:rPr>
          <w:rFonts w:ascii="Times New Roman" w:eastAsiaTheme="minorEastAsia" w:hAnsi="Times New Roman" w:cs="Times New Roman"/>
          <w:b/>
          <w:bCs/>
          <w:noProof/>
          <w:sz w:val="24"/>
          <w:szCs w:val="24"/>
          <w:lang w:val="en-IE"/>
        </w:rPr>
        <w:t xml:space="preserve">EU </w:t>
      </w:r>
      <w:r w:rsidR="00180D3E" w:rsidRPr="006B5917">
        <w:rPr>
          <w:rFonts w:ascii="Times New Roman" w:eastAsiaTheme="minorEastAsia" w:hAnsi="Times New Roman" w:cs="Times New Roman"/>
          <w:b/>
          <w:bCs/>
          <w:noProof/>
          <w:sz w:val="24"/>
          <w:szCs w:val="24"/>
          <w:lang w:val="en-IE"/>
        </w:rPr>
        <w:t>C</w:t>
      </w:r>
      <w:r w:rsidRPr="006B5917">
        <w:rPr>
          <w:rFonts w:ascii="Times New Roman" w:eastAsiaTheme="minorEastAsia" w:hAnsi="Times New Roman" w:cs="Times New Roman"/>
          <w:b/>
          <w:bCs/>
          <w:noProof/>
          <w:sz w:val="24"/>
          <w:szCs w:val="24"/>
          <w:lang w:val="en-IE"/>
        </w:rPr>
        <w:t xml:space="preserve">ivil </w:t>
      </w:r>
      <w:r w:rsidR="00180D3E" w:rsidRPr="006B5917">
        <w:rPr>
          <w:rFonts w:ascii="Times New Roman" w:eastAsiaTheme="minorEastAsia" w:hAnsi="Times New Roman" w:cs="Times New Roman"/>
          <w:b/>
          <w:bCs/>
          <w:noProof/>
          <w:sz w:val="24"/>
          <w:szCs w:val="24"/>
          <w:lang w:val="en-IE"/>
        </w:rPr>
        <w:t>P</w:t>
      </w:r>
      <w:r w:rsidRPr="006B5917">
        <w:rPr>
          <w:rFonts w:ascii="Times New Roman" w:eastAsiaTheme="minorEastAsia" w:hAnsi="Times New Roman" w:cs="Times New Roman"/>
          <w:b/>
          <w:bCs/>
          <w:noProof/>
          <w:sz w:val="24"/>
          <w:szCs w:val="24"/>
          <w:lang w:val="en-IE"/>
        </w:rPr>
        <w:t xml:space="preserve">rotection </w:t>
      </w:r>
      <w:r w:rsidR="00180D3E" w:rsidRPr="006B5917">
        <w:rPr>
          <w:rFonts w:ascii="Times New Roman" w:eastAsiaTheme="minorEastAsia" w:hAnsi="Times New Roman" w:cs="Times New Roman"/>
          <w:b/>
          <w:bCs/>
          <w:noProof/>
          <w:sz w:val="24"/>
          <w:szCs w:val="24"/>
          <w:lang w:val="en-IE"/>
        </w:rPr>
        <w:t>M</w:t>
      </w:r>
      <w:r w:rsidRPr="006B5917">
        <w:rPr>
          <w:rFonts w:ascii="Times New Roman" w:eastAsiaTheme="minorEastAsia" w:hAnsi="Times New Roman" w:cs="Times New Roman"/>
          <w:b/>
          <w:bCs/>
          <w:noProof/>
          <w:sz w:val="24"/>
          <w:szCs w:val="24"/>
          <w:lang w:val="en-IE"/>
        </w:rPr>
        <w:t>echanism</w:t>
      </w:r>
      <w:r w:rsidR="00180D3E" w:rsidRPr="006B5917">
        <w:rPr>
          <w:rFonts w:ascii="Times New Roman" w:eastAsiaTheme="minorEastAsia" w:hAnsi="Times New Roman" w:cs="Times New Roman"/>
          <w:b/>
          <w:bCs/>
          <w:noProof/>
          <w:sz w:val="24"/>
          <w:szCs w:val="24"/>
          <w:lang w:val="en-IE"/>
        </w:rPr>
        <w:t xml:space="preserve"> (</w:t>
      </w:r>
      <w:r w:rsidR="00180D3E" w:rsidRPr="00BC2F11">
        <w:rPr>
          <w:rFonts w:ascii="Times New Roman" w:eastAsiaTheme="minorEastAsia" w:hAnsi="Times New Roman" w:cs="Times New Roman"/>
          <w:b/>
          <w:bCs/>
          <w:noProof/>
          <w:sz w:val="24"/>
          <w:szCs w:val="24"/>
          <w:lang w:val="en-IE"/>
        </w:rPr>
        <w:t>UCPM)</w:t>
      </w:r>
    </w:p>
    <w:p w14:paraId="2C9B9E5E" w14:textId="512D0EB6"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The UCPM is committed to </w:t>
      </w:r>
      <w:r w:rsidR="001E698A">
        <w:rPr>
          <w:rFonts w:ascii="Times New Roman" w:eastAsiaTheme="minorEastAsia" w:hAnsi="Times New Roman" w:cs="Times New Roman"/>
          <w:noProof/>
          <w:sz w:val="24"/>
          <w:szCs w:val="24"/>
          <w:lang w:val="en-IE"/>
        </w:rPr>
        <w:t>providing</w:t>
      </w:r>
      <w:r w:rsidR="001E698A"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assistance to any requesting country, inside and outside the </w:t>
      </w:r>
      <w:r w:rsidR="00666256">
        <w:rPr>
          <w:rFonts w:ascii="Times New Roman" w:eastAsiaTheme="minorEastAsia" w:hAnsi="Times New Roman" w:cs="Times New Roman"/>
          <w:noProof/>
          <w:sz w:val="24"/>
          <w:szCs w:val="24"/>
          <w:lang w:val="en-IE"/>
        </w:rPr>
        <w:t>EU</w:t>
      </w:r>
      <w:r w:rsidRPr="00E03D97">
        <w:rPr>
          <w:rFonts w:ascii="Times New Roman" w:eastAsiaTheme="minorEastAsia" w:hAnsi="Times New Roman" w:cs="Times New Roman"/>
          <w:noProof/>
          <w:sz w:val="24"/>
          <w:szCs w:val="24"/>
          <w:lang w:val="en-IE"/>
        </w:rPr>
        <w:t xml:space="preserve">. So far in 2023, 10 requests </w:t>
      </w:r>
      <w:r w:rsidR="00666256">
        <w:rPr>
          <w:rFonts w:ascii="Times New Roman" w:eastAsiaTheme="minorEastAsia" w:hAnsi="Times New Roman" w:cs="Times New Roman"/>
          <w:noProof/>
          <w:sz w:val="24"/>
          <w:szCs w:val="24"/>
          <w:lang w:val="en-IE"/>
        </w:rPr>
        <w:t>have been</w:t>
      </w:r>
      <w:r w:rsidR="00666256"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received through the </w:t>
      </w:r>
      <w:r w:rsidR="0094565F">
        <w:rPr>
          <w:rFonts w:ascii="Times New Roman" w:eastAsiaTheme="minorEastAsia" w:hAnsi="Times New Roman" w:cs="Times New Roman"/>
          <w:noProof/>
          <w:sz w:val="24"/>
          <w:szCs w:val="24"/>
          <w:lang w:val="en-IE"/>
        </w:rPr>
        <w:t>UCPM</w:t>
      </w:r>
      <w:r w:rsidRPr="00E03D97">
        <w:rPr>
          <w:rFonts w:ascii="Times New Roman" w:eastAsiaTheme="minorEastAsia" w:hAnsi="Times New Roman" w:cs="Times New Roman"/>
          <w:noProof/>
          <w:sz w:val="24"/>
          <w:szCs w:val="24"/>
          <w:lang w:val="en-IE"/>
        </w:rPr>
        <w:t xml:space="preserve"> from </w:t>
      </w:r>
      <w:r w:rsidR="00666256">
        <w:rPr>
          <w:rFonts w:ascii="Times New Roman" w:eastAsiaTheme="minorEastAsia" w:hAnsi="Times New Roman" w:cs="Times New Roman"/>
          <w:noProof/>
          <w:sz w:val="24"/>
          <w:szCs w:val="24"/>
          <w:lang w:val="en-IE"/>
        </w:rPr>
        <w:t xml:space="preserve">non-EU </w:t>
      </w:r>
      <w:r w:rsidRPr="00E03D97">
        <w:rPr>
          <w:rFonts w:ascii="Times New Roman" w:eastAsiaTheme="minorEastAsia" w:hAnsi="Times New Roman" w:cs="Times New Roman"/>
          <w:noProof/>
          <w:sz w:val="24"/>
          <w:szCs w:val="24"/>
          <w:lang w:val="en-IE"/>
        </w:rPr>
        <w:t>countries for COVID-19 related items (vaccines, medical equipment, etc</w:t>
      </w:r>
      <w:r w:rsidR="00666256">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and all were fully </w:t>
      </w:r>
      <w:r w:rsidR="00666256">
        <w:rPr>
          <w:rFonts w:ascii="Times New Roman" w:eastAsiaTheme="minorEastAsia" w:hAnsi="Times New Roman" w:cs="Times New Roman"/>
          <w:noProof/>
          <w:sz w:val="24"/>
          <w:szCs w:val="24"/>
          <w:lang w:val="en-IE"/>
        </w:rPr>
        <w:t>met with</w:t>
      </w:r>
      <w:r w:rsidRPr="00E03D97">
        <w:rPr>
          <w:rFonts w:ascii="Times New Roman" w:eastAsiaTheme="minorEastAsia" w:hAnsi="Times New Roman" w:cs="Times New Roman"/>
          <w:noProof/>
          <w:sz w:val="24"/>
          <w:szCs w:val="24"/>
          <w:lang w:val="en-IE"/>
        </w:rPr>
        <w:t xml:space="preserve"> offers from EU Member and UCPM</w:t>
      </w:r>
      <w:r w:rsidR="00666256">
        <w:rPr>
          <w:rFonts w:ascii="Times New Roman" w:eastAsiaTheme="minorEastAsia" w:hAnsi="Times New Roman" w:cs="Times New Roman"/>
          <w:noProof/>
          <w:sz w:val="24"/>
          <w:szCs w:val="24"/>
          <w:lang w:val="en-IE"/>
        </w:rPr>
        <w:t>-p</w:t>
      </w:r>
      <w:r w:rsidRPr="00E03D97">
        <w:rPr>
          <w:rFonts w:ascii="Times New Roman" w:eastAsiaTheme="minorEastAsia" w:hAnsi="Times New Roman" w:cs="Times New Roman"/>
          <w:noProof/>
          <w:sz w:val="24"/>
          <w:szCs w:val="24"/>
          <w:lang w:val="en-IE"/>
        </w:rPr>
        <w:t xml:space="preserve">articipating States. Furthermore, if needed, the Commission can also directly support humanitarian health partners </w:t>
      </w:r>
      <w:r w:rsidR="001E698A" w:rsidRPr="00E03D97">
        <w:rPr>
          <w:rFonts w:ascii="Times New Roman" w:eastAsiaTheme="minorEastAsia" w:hAnsi="Times New Roman" w:cs="Times New Roman"/>
          <w:noProof/>
          <w:sz w:val="24"/>
          <w:szCs w:val="24"/>
          <w:lang w:val="en-IE"/>
        </w:rPr>
        <w:t>through the European Humanitarian Response Capacity</w:t>
      </w:r>
      <w:r w:rsidR="001E698A">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with the </w:t>
      </w:r>
      <w:r w:rsidR="00AB48FE">
        <w:rPr>
          <w:rFonts w:ascii="Times New Roman" w:eastAsiaTheme="minorEastAsia" w:hAnsi="Times New Roman" w:cs="Times New Roman"/>
          <w:noProof/>
          <w:sz w:val="24"/>
          <w:szCs w:val="24"/>
          <w:lang w:val="en-IE"/>
        </w:rPr>
        <w:t>provision</w:t>
      </w:r>
      <w:r w:rsidR="00AB48FE"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of complementary emergency kits (i.e. shelter, hygiene and cholera kits) as well as the deployment of health experts (in close collaboration with </w:t>
      </w:r>
      <w:r w:rsidR="00AB48FE">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ECDC) in </w:t>
      </w:r>
      <w:r w:rsidR="00AB48FE">
        <w:rPr>
          <w:rFonts w:ascii="Times New Roman" w:eastAsiaTheme="minorEastAsia" w:hAnsi="Times New Roman" w:cs="Times New Roman"/>
          <w:noProof/>
          <w:sz w:val="24"/>
          <w:szCs w:val="24"/>
          <w:lang w:val="en-IE"/>
        </w:rPr>
        <w:t xml:space="preserve">the event </w:t>
      </w:r>
      <w:r w:rsidRPr="00E03D97">
        <w:rPr>
          <w:rFonts w:ascii="Times New Roman" w:eastAsiaTheme="minorEastAsia" w:hAnsi="Times New Roman" w:cs="Times New Roman"/>
          <w:noProof/>
          <w:sz w:val="24"/>
          <w:szCs w:val="24"/>
          <w:lang w:val="en-IE"/>
        </w:rPr>
        <w:t>of a health emergency in a humanitarian context.</w:t>
      </w:r>
    </w:p>
    <w:p w14:paraId="69173D4C" w14:textId="77777777"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b/>
          <w:bCs/>
          <w:noProof/>
          <w:sz w:val="24"/>
          <w:szCs w:val="24"/>
          <w:lang w:val="en-IE"/>
        </w:rPr>
      </w:pPr>
      <w:r w:rsidRPr="00E03D97">
        <w:rPr>
          <w:rFonts w:ascii="Times New Roman" w:eastAsiaTheme="minorEastAsia" w:hAnsi="Times New Roman" w:cs="Times New Roman"/>
          <w:b/>
          <w:bCs/>
          <w:noProof/>
          <w:sz w:val="24"/>
          <w:szCs w:val="24"/>
          <w:lang w:val="en-IE"/>
        </w:rPr>
        <w:t>International dimension in EU-funded research and innovation</w:t>
      </w:r>
    </w:p>
    <w:p w14:paraId="3B977732" w14:textId="25B83A57"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To better coordinate research on pandemic preparedness and response, the EU has helped set up and is funding the </w:t>
      </w:r>
      <w:r w:rsidR="00AB48FE">
        <w:rPr>
          <w:rFonts w:ascii="Times New Roman" w:eastAsiaTheme="minorEastAsia" w:hAnsi="Times New Roman" w:cs="Times New Roman"/>
          <w:noProof/>
          <w:sz w:val="24"/>
          <w:szCs w:val="24"/>
          <w:lang w:val="en-IE"/>
        </w:rPr>
        <w:t>g</w:t>
      </w:r>
      <w:r w:rsidRPr="00E03D97">
        <w:rPr>
          <w:rFonts w:ascii="Times New Roman" w:eastAsiaTheme="minorEastAsia" w:hAnsi="Times New Roman" w:cs="Times New Roman"/>
          <w:noProof/>
          <w:sz w:val="24"/>
          <w:szCs w:val="24"/>
          <w:lang w:val="en-IE"/>
        </w:rPr>
        <w:t xml:space="preserve">lobal research collaboration for infectious disease preparedness (GloPID-R). Its living roadmap for clinical trial coordination defines epidemic-ready clinical trial networks and platforms, an agile and effective clinical trial response and an equitable research environment as the core of guidance to funders. GloPID-R’s regional hubs in Africa and </w:t>
      </w:r>
      <w:r w:rsidR="006208F7">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Asia-Pacific support stronger coordination at a regional level.</w:t>
      </w:r>
    </w:p>
    <w:p w14:paraId="3CC48E95" w14:textId="434BCE15"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To promote global collaboration on clinical trials, the EU-funded EDCTP Association bring</w:t>
      </w:r>
      <w:r w:rsidR="006208F7">
        <w:rPr>
          <w:rFonts w:ascii="Times New Roman" w:eastAsiaTheme="minorEastAsia" w:hAnsi="Times New Roman" w:cs="Times New Roman"/>
          <w:noProof/>
          <w:sz w:val="24"/>
          <w:szCs w:val="24"/>
          <w:lang w:val="en-IE"/>
        </w:rPr>
        <w:t>s</w:t>
      </w:r>
      <w:r w:rsidRPr="00E03D97">
        <w:rPr>
          <w:rFonts w:ascii="Times New Roman" w:eastAsiaTheme="minorEastAsia" w:hAnsi="Times New Roman" w:cs="Times New Roman"/>
          <w:noProof/>
          <w:sz w:val="24"/>
          <w:szCs w:val="24"/>
          <w:lang w:val="en-IE"/>
        </w:rPr>
        <w:t xml:space="preserve"> together 26 countries in Africa and 15 in Europe in a clinical trial partnership that </w:t>
      </w:r>
      <w:r w:rsidR="006208F7">
        <w:rPr>
          <w:rFonts w:ascii="Times New Roman" w:eastAsiaTheme="minorEastAsia" w:hAnsi="Times New Roman" w:cs="Times New Roman"/>
          <w:noProof/>
          <w:sz w:val="24"/>
          <w:szCs w:val="24"/>
          <w:lang w:val="en-IE"/>
        </w:rPr>
        <w:t>was</w:t>
      </w:r>
      <w:r w:rsidRPr="00E03D97">
        <w:rPr>
          <w:rFonts w:ascii="Times New Roman" w:eastAsiaTheme="minorEastAsia" w:hAnsi="Times New Roman" w:cs="Times New Roman"/>
          <w:noProof/>
          <w:sz w:val="24"/>
          <w:szCs w:val="24"/>
          <w:lang w:val="en-IE"/>
        </w:rPr>
        <w:t xml:space="preserve"> established in 2003 to promote multi</w:t>
      </w:r>
      <w:r w:rsidR="00780847">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count</w:t>
      </w:r>
      <w:r w:rsidR="008351E5">
        <w:rPr>
          <w:rFonts w:ascii="Times New Roman" w:eastAsiaTheme="minorEastAsia" w:hAnsi="Times New Roman" w:cs="Times New Roman"/>
          <w:noProof/>
          <w:sz w:val="24"/>
          <w:szCs w:val="24"/>
          <w:lang w:val="en-IE"/>
        </w:rPr>
        <w:t>r</w:t>
      </w:r>
      <w:r w:rsidRPr="00E03D97">
        <w:rPr>
          <w:rFonts w:ascii="Times New Roman" w:eastAsiaTheme="minorEastAsia" w:hAnsi="Times New Roman" w:cs="Times New Roman"/>
          <w:noProof/>
          <w:sz w:val="24"/>
          <w:szCs w:val="24"/>
          <w:lang w:val="en-IE"/>
        </w:rPr>
        <w:t xml:space="preserve">y clinical trial networks in Africa and collaboration with Europe. </w:t>
      </w:r>
      <w:r w:rsidR="00F96C5A">
        <w:rPr>
          <w:rFonts w:ascii="Times New Roman" w:eastAsiaTheme="minorEastAsia" w:hAnsi="Times New Roman" w:cs="Times New Roman"/>
          <w:noProof/>
          <w:sz w:val="24"/>
          <w:szCs w:val="24"/>
          <w:lang w:val="en-IE"/>
        </w:rPr>
        <w:t>The EDCTP is c</w:t>
      </w:r>
      <w:r w:rsidRPr="00E03D97">
        <w:rPr>
          <w:rFonts w:ascii="Times New Roman" w:eastAsiaTheme="minorEastAsia" w:hAnsi="Times New Roman" w:cs="Times New Roman"/>
          <w:noProof/>
          <w:sz w:val="24"/>
          <w:szCs w:val="24"/>
          <w:lang w:val="en-IE"/>
        </w:rPr>
        <w:t>urrently in its third iteration</w:t>
      </w:r>
      <w:r w:rsidR="00180D3E">
        <w:rPr>
          <w:rFonts w:ascii="Times New Roman" w:eastAsiaTheme="minorEastAsia" w:hAnsi="Times New Roman" w:cs="Times New Roman"/>
          <w:noProof/>
          <w:sz w:val="24"/>
          <w:szCs w:val="24"/>
          <w:lang w:val="en-IE"/>
        </w:rPr>
        <w:t>, as a Joint Undertaking,</w:t>
      </w:r>
      <w:r w:rsidR="00F96C5A">
        <w:rPr>
          <w:rFonts w:ascii="Times New Roman" w:eastAsiaTheme="minorEastAsia" w:hAnsi="Times New Roman" w:cs="Times New Roman"/>
          <w:noProof/>
          <w:sz w:val="24"/>
          <w:szCs w:val="24"/>
          <w:lang w:val="en-IE"/>
        </w:rPr>
        <w:t xml:space="preserve"> and</w:t>
      </w:r>
      <w:r w:rsidRPr="00E03D97">
        <w:rPr>
          <w:rFonts w:ascii="Times New Roman" w:eastAsiaTheme="minorEastAsia" w:hAnsi="Times New Roman" w:cs="Times New Roman"/>
          <w:noProof/>
          <w:sz w:val="24"/>
          <w:szCs w:val="24"/>
          <w:lang w:val="en-IE"/>
        </w:rPr>
        <w:t xml:space="preserve"> has enhanced research capacity and accelerated the development of new or improved medical interventions for the identification, treatment and prevention of poverty-related infectious diseases, including emerging and re-emerging diseases in sub-Saharan Africa, through all phases of clinical trials</w:t>
      </w:r>
      <w:r w:rsidR="00F96C5A">
        <w:rPr>
          <w:rFonts w:ascii="Times New Roman" w:eastAsiaTheme="minorEastAsia" w:hAnsi="Times New Roman" w:cs="Times New Roman"/>
          <w:noProof/>
          <w:sz w:val="24"/>
          <w:szCs w:val="24"/>
          <w:lang w:val="en-IE"/>
        </w:rPr>
        <w:t xml:space="preserve"> and</w:t>
      </w:r>
      <w:r w:rsidRPr="00E03D97">
        <w:rPr>
          <w:rFonts w:ascii="Times New Roman" w:eastAsiaTheme="minorEastAsia" w:hAnsi="Times New Roman" w:cs="Times New Roman"/>
          <w:noProof/>
          <w:sz w:val="24"/>
          <w:szCs w:val="24"/>
          <w:lang w:val="en-IE"/>
        </w:rPr>
        <w:t xml:space="preserve"> with </w:t>
      </w:r>
      <w:r w:rsidR="00F96C5A">
        <w:rPr>
          <w:rFonts w:ascii="Times New Roman" w:eastAsiaTheme="minorEastAsia" w:hAnsi="Times New Roman" w:cs="Times New Roman"/>
          <w:noProof/>
          <w:sz w:val="24"/>
          <w:szCs w:val="24"/>
          <w:lang w:val="en-IE"/>
        </w:rPr>
        <w:t xml:space="preserve">an </w:t>
      </w:r>
      <w:r w:rsidRPr="00E03D97">
        <w:rPr>
          <w:rFonts w:ascii="Times New Roman" w:eastAsiaTheme="minorEastAsia" w:hAnsi="Times New Roman" w:cs="Times New Roman"/>
          <w:noProof/>
          <w:sz w:val="24"/>
          <w:szCs w:val="24"/>
          <w:lang w:val="en-IE"/>
        </w:rPr>
        <w:t>emphasis on phase II and III trials.</w:t>
      </w:r>
    </w:p>
    <w:p w14:paraId="5B9EC6AA" w14:textId="5F0689ED"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Engagement and close collaboration with international stakeholders </w:t>
      </w:r>
      <w:r w:rsidR="00F96C5A">
        <w:rPr>
          <w:rFonts w:ascii="Times New Roman" w:eastAsiaTheme="minorEastAsia" w:hAnsi="Times New Roman" w:cs="Times New Roman"/>
          <w:noProof/>
          <w:sz w:val="24"/>
          <w:szCs w:val="24"/>
          <w:lang w:val="en-IE"/>
        </w:rPr>
        <w:t>are fundamental to</w:t>
      </w:r>
      <w:r w:rsidRPr="00E03D97">
        <w:rPr>
          <w:rFonts w:ascii="Times New Roman" w:eastAsiaTheme="minorEastAsia" w:hAnsi="Times New Roman" w:cs="Times New Roman"/>
          <w:noProof/>
          <w:sz w:val="24"/>
          <w:szCs w:val="24"/>
          <w:lang w:val="en-IE"/>
        </w:rPr>
        <w:t xml:space="preserve"> strengthening pandemic preparedness and response efforts globally. Over the past year, implementation of the 2022 administrative arrangement with the United States’ Administration for Strategic Preparedness and Response (ASPR) has continued, including through an exchange of experts and a developing partnership on funding innovation in the diagnostics sector, specifically on technologies for early</w:t>
      </w:r>
      <w:r w:rsidR="003101DD">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outbreak detection. </w:t>
      </w:r>
      <w:r w:rsidR="00435FDF">
        <w:rPr>
          <w:rFonts w:ascii="Times New Roman" w:eastAsiaTheme="minorEastAsia" w:hAnsi="Times New Roman" w:cs="Times New Roman"/>
          <w:noProof/>
          <w:sz w:val="24"/>
          <w:szCs w:val="24"/>
          <w:lang w:val="en-IE"/>
        </w:rPr>
        <w:t xml:space="preserve">HERA </w:t>
      </w:r>
      <w:r w:rsidRPr="00E03D97">
        <w:rPr>
          <w:rFonts w:ascii="Times New Roman" w:eastAsiaTheme="minorEastAsia" w:hAnsi="Times New Roman" w:cs="Times New Roman"/>
          <w:noProof/>
          <w:sz w:val="24"/>
          <w:szCs w:val="24"/>
          <w:lang w:val="en-IE"/>
        </w:rPr>
        <w:t xml:space="preserve">is also expanding </w:t>
      </w:r>
      <w:r w:rsidR="00180D3E">
        <w:rPr>
          <w:rFonts w:ascii="Times New Roman" w:eastAsiaTheme="minorEastAsia" w:hAnsi="Times New Roman" w:cs="Times New Roman"/>
          <w:noProof/>
          <w:sz w:val="24"/>
          <w:szCs w:val="24"/>
          <w:lang w:val="en-IE"/>
        </w:rPr>
        <w:t>cooperation</w:t>
      </w:r>
      <w:r w:rsidR="00180D3E"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with partners in Asia and recently signed administrative arrangements </w:t>
      </w:r>
      <w:r w:rsidRPr="003C61EE">
        <w:rPr>
          <w:rFonts w:ascii="Times New Roman" w:eastAsiaTheme="minorEastAsia" w:hAnsi="Times New Roman" w:cs="Times New Roman"/>
          <w:noProof/>
          <w:sz w:val="24"/>
          <w:szCs w:val="24"/>
          <w:lang w:val="en-IE"/>
        </w:rPr>
        <w:t>with</w:t>
      </w:r>
      <w:r w:rsidR="008739EF" w:rsidRPr="003C61EE">
        <w:rPr>
          <w:rFonts w:ascii="Times New Roman" w:eastAsiaTheme="minorEastAsia" w:hAnsi="Times New Roman" w:cs="Times New Roman"/>
          <w:noProof/>
          <w:sz w:val="24"/>
          <w:szCs w:val="24"/>
          <w:lang w:val="en-IE"/>
        </w:rPr>
        <w:t xml:space="preserve"> the </w:t>
      </w:r>
      <w:r w:rsidR="003A661B" w:rsidRPr="003C61EE">
        <w:rPr>
          <w:rFonts w:ascii="Times New Roman" w:eastAsiaTheme="minorEastAsia" w:hAnsi="Times New Roman" w:cs="Times New Roman"/>
          <w:noProof/>
          <w:sz w:val="24"/>
          <w:szCs w:val="24"/>
          <w:lang w:val="en-IE"/>
        </w:rPr>
        <w:t>Ministry of Health and Welfare of</w:t>
      </w:r>
      <w:r w:rsidR="004A39FC" w:rsidRPr="003C61EE">
        <w:rPr>
          <w:rFonts w:ascii="Times New Roman" w:eastAsiaTheme="minorEastAsia" w:hAnsi="Times New Roman" w:cs="Times New Roman"/>
          <w:noProof/>
          <w:sz w:val="24"/>
          <w:szCs w:val="24"/>
          <w:lang w:val="en-IE"/>
        </w:rPr>
        <w:t xml:space="preserve"> the Republic of Korea and </w:t>
      </w:r>
      <w:r w:rsidR="003A661B" w:rsidRPr="003C61EE">
        <w:rPr>
          <w:rFonts w:ascii="Times New Roman" w:eastAsiaTheme="minorEastAsia" w:hAnsi="Times New Roman" w:cs="Times New Roman"/>
          <w:noProof/>
          <w:sz w:val="24"/>
          <w:szCs w:val="24"/>
          <w:lang w:val="en-IE"/>
        </w:rPr>
        <w:t>the Japan Agency for Medical Research and Development</w:t>
      </w:r>
      <w:r w:rsidRPr="003C61EE">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w:t>
      </w:r>
    </w:p>
    <w:p w14:paraId="75384E1B" w14:textId="7B264729"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Close cooperation is also continuing with Ukraine and other neighbouring countries, as well as partners in the global South, particularly in Africa. Key objectives in the preparedness phase are improving surveillance</w:t>
      </w:r>
      <w:r w:rsidR="00A07C06">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sequencing capacity, facilitating data exchange and supporting sustainable production and distribution capacities for relevant medical countermeasures so that partners can </w:t>
      </w:r>
      <w:r w:rsidR="0016343E">
        <w:rPr>
          <w:rFonts w:ascii="Times New Roman" w:eastAsiaTheme="minorEastAsia" w:hAnsi="Times New Roman" w:cs="Times New Roman"/>
          <w:noProof/>
          <w:sz w:val="24"/>
          <w:szCs w:val="24"/>
          <w:lang w:val="en-IE"/>
        </w:rPr>
        <w:t>i</w:t>
      </w:r>
      <w:r w:rsidR="0016343E" w:rsidRPr="00E03D97">
        <w:rPr>
          <w:rFonts w:ascii="Times New Roman" w:eastAsiaTheme="minorEastAsia" w:hAnsi="Times New Roman" w:cs="Times New Roman"/>
          <w:noProof/>
          <w:sz w:val="24"/>
          <w:szCs w:val="24"/>
          <w:lang w:val="en-IE"/>
        </w:rPr>
        <w:t>n times of crisis</w:t>
      </w:r>
      <w:r w:rsidR="0016343E">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rapidly identify and characterise pathogens of concern and have broad and </w:t>
      </w:r>
      <w:r w:rsidR="00503DA0">
        <w:rPr>
          <w:rFonts w:ascii="Times New Roman" w:eastAsiaTheme="minorEastAsia" w:hAnsi="Times New Roman" w:cs="Times New Roman"/>
          <w:noProof/>
          <w:sz w:val="24"/>
          <w:szCs w:val="24"/>
          <w:lang w:val="en-IE"/>
        </w:rPr>
        <w:t>quick</w:t>
      </w:r>
      <w:r w:rsidR="00503DA0"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access to medical countermeasures. </w:t>
      </w:r>
    </w:p>
    <w:p w14:paraId="0C1966A9" w14:textId="40328DF9" w:rsidR="001F1738" w:rsidRPr="00E03D97" w:rsidRDefault="001F1738" w:rsidP="001F1738">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This includes work through international partnerships</w:t>
      </w:r>
      <w:r w:rsidR="0016343E">
        <w:rPr>
          <w:rFonts w:ascii="Times New Roman" w:eastAsiaTheme="minorEastAsia" w:hAnsi="Times New Roman" w:cs="Times New Roman"/>
          <w:noProof/>
          <w:sz w:val="24"/>
          <w:szCs w:val="24"/>
          <w:lang w:val="en-IE"/>
        </w:rPr>
        <w:t xml:space="preserve"> (e.g. </w:t>
      </w:r>
      <w:r w:rsidRPr="00E03D97">
        <w:rPr>
          <w:rFonts w:ascii="Times New Roman" w:eastAsiaTheme="minorEastAsia" w:hAnsi="Times New Roman" w:cs="Times New Roman"/>
          <w:noProof/>
          <w:sz w:val="24"/>
          <w:szCs w:val="24"/>
          <w:lang w:val="en-IE"/>
        </w:rPr>
        <w:t>GH-EDCTP3JU to advance the development of medical countermeasures for infectious diseases affecting Africa</w:t>
      </w:r>
      <w:r w:rsidR="0016343E">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With particular regard to global, regional or national initiatives in the field of pandemic preparedness, </w:t>
      </w:r>
      <w:r w:rsidR="00180D3E">
        <w:rPr>
          <w:rFonts w:ascii="Times New Roman" w:eastAsiaTheme="minorEastAsia" w:hAnsi="Times New Roman" w:cs="Times New Roman"/>
          <w:noProof/>
          <w:sz w:val="24"/>
          <w:szCs w:val="24"/>
          <w:lang w:val="en-IE"/>
        </w:rPr>
        <w:t>the Commission has</w:t>
      </w:r>
      <w:r w:rsidRPr="00E03D97">
        <w:rPr>
          <w:rFonts w:ascii="Times New Roman" w:eastAsiaTheme="minorEastAsia" w:hAnsi="Times New Roman" w:cs="Times New Roman"/>
          <w:noProof/>
          <w:sz w:val="24"/>
          <w:szCs w:val="24"/>
          <w:lang w:val="en-IE"/>
        </w:rPr>
        <w:t xml:space="preserve"> invested around EUR</w:t>
      </w:r>
      <w:r w:rsidR="0016343E">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25</w:t>
      </w:r>
      <w:r w:rsidR="0016343E">
        <w:rPr>
          <w:rFonts w:ascii="Times New Roman" w:eastAsiaTheme="minorEastAsia" w:hAnsi="Times New Roman" w:cs="Times New Roman"/>
          <w:noProof/>
          <w:sz w:val="24"/>
          <w:szCs w:val="24"/>
          <w:lang w:val="en-IE"/>
        </w:rPr>
        <w:t> </w:t>
      </w:r>
      <w:r w:rsidRPr="00E03D97">
        <w:rPr>
          <w:rFonts w:ascii="Times New Roman" w:eastAsiaTheme="minorEastAsia" w:hAnsi="Times New Roman" w:cs="Times New Roman"/>
          <w:noProof/>
          <w:sz w:val="24"/>
          <w:szCs w:val="24"/>
          <w:lang w:val="en-IE"/>
        </w:rPr>
        <w:t xml:space="preserve">million from </w:t>
      </w:r>
      <w:r w:rsidR="00180D3E">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EU4Health</w:t>
      </w:r>
      <w:r w:rsidR="00180D3E">
        <w:rPr>
          <w:rFonts w:ascii="Times New Roman" w:eastAsiaTheme="minorEastAsia" w:hAnsi="Times New Roman" w:cs="Times New Roman"/>
          <w:noProof/>
          <w:sz w:val="24"/>
          <w:szCs w:val="24"/>
          <w:lang w:val="en-IE"/>
        </w:rPr>
        <w:t xml:space="preserve"> programme</w:t>
      </w:r>
      <w:r w:rsidRPr="00E03D97">
        <w:rPr>
          <w:rFonts w:ascii="Times New Roman" w:eastAsiaTheme="minorEastAsia" w:hAnsi="Times New Roman" w:cs="Times New Roman"/>
          <w:noProof/>
          <w:sz w:val="24"/>
          <w:szCs w:val="24"/>
          <w:lang w:val="en-IE"/>
        </w:rPr>
        <w:t xml:space="preserve">. Actions include support </w:t>
      </w:r>
      <w:r w:rsidR="003C537A">
        <w:rPr>
          <w:rFonts w:ascii="Times New Roman" w:eastAsiaTheme="minorEastAsia" w:hAnsi="Times New Roman" w:cs="Times New Roman"/>
          <w:noProof/>
          <w:sz w:val="24"/>
          <w:szCs w:val="24"/>
          <w:lang w:val="en-IE"/>
        </w:rPr>
        <w:t>for</w:t>
      </w:r>
      <w:r w:rsidR="003C537A"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 xml:space="preserve">late-stage clinical trials of vaccines and treatments against priority health threats (e.g. </w:t>
      </w:r>
      <w:r w:rsidR="00780847">
        <w:rPr>
          <w:rFonts w:ascii="Times New Roman" w:eastAsiaTheme="minorEastAsia" w:hAnsi="Times New Roman" w:cs="Times New Roman"/>
          <w:noProof/>
          <w:sz w:val="24"/>
          <w:szCs w:val="24"/>
          <w:lang w:val="en-IE"/>
        </w:rPr>
        <w:t>E</w:t>
      </w:r>
      <w:r w:rsidRPr="00E03D97">
        <w:rPr>
          <w:rFonts w:ascii="Times New Roman" w:eastAsiaTheme="minorEastAsia" w:hAnsi="Times New Roman" w:cs="Times New Roman"/>
          <w:noProof/>
          <w:sz w:val="24"/>
          <w:szCs w:val="24"/>
          <w:lang w:val="en-IE"/>
        </w:rPr>
        <w:t>bola</w:t>
      </w:r>
      <w:r w:rsidR="003C537A">
        <w:rPr>
          <w:rFonts w:ascii="Times New Roman" w:eastAsiaTheme="minorEastAsia" w:hAnsi="Times New Roman" w:cs="Times New Roman"/>
          <w:noProof/>
          <w:sz w:val="24"/>
          <w:szCs w:val="24"/>
          <w:lang w:val="en-IE"/>
        </w:rPr>
        <w:t xml:space="preserve"> and</w:t>
      </w:r>
      <w:r w:rsidRPr="00E03D97">
        <w:rPr>
          <w:rFonts w:ascii="Times New Roman" w:eastAsiaTheme="minorEastAsia" w:hAnsi="Times New Roman" w:cs="Times New Roman"/>
          <w:noProof/>
          <w:sz w:val="24"/>
          <w:szCs w:val="24"/>
          <w:lang w:val="en-IE"/>
        </w:rPr>
        <w:t xml:space="preserve"> </w:t>
      </w:r>
      <w:r w:rsidR="00780847">
        <w:rPr>
          <w:rFonts w:ascii="Times New Roman" w:eastAsiaTheme="minorEastAsia" w:hAnsi="Times New Roman" w:cs="Times New Roman"/>
          <w:noProof/>
          <w:sz w:val="24"/>
          <w:szCs w:val="24"/>
          <w:lang w:val="en-IE"/>
        </w:rPr>
        <w:t>Marburg virus</w:t>
      </w:r>
      <w:r w:rsidRPr="00E03D97">
        <w:rPr>
          <w:rFonts w:ascii="Times New Roman" w:eastAsiaTheme="minorEastAsia" w:hAnsi="Times New Roman" w:cs="Times New Roman"/>
          <w:noProof/>
          <w:sz w:val="24"/>
          <w:szCs w:val="24"/>
          <w:lang w:val="en-IE"/>
        </w:rPr>
        <w:t>)</w:t>
      </w:r>
      <w:r w:rsidR="003C537A">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the enhancement of sequencing capacities in Africa, in collaboration with the African Centre for Disease Control (CDC)</w:t>
      </w:r>
      <w:r w:rsidR="003C537A">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xml:space="preserve"> and collection </w:t>
      </w:r>
      <w:r w:rsidR="003C537A">
        <w:rPr>
          <w:rFonts w:ascii="Times New Roman" w:eastAsiaTheme="minorEastAsia" w:hAnsi="Times New Roman" w:cs="Times New Roman"/>
          <w:noProof/>
          <w:sz w:val="24"/>
          <w:szCs w:val="24"/>
          <w:lang w:val="en-IE"/>
        </w:rPr>
        <w:t xml:space="preserve">of </w:t>
      </w:r>
      <w:r w:rsidR="003C537A" w:rsidRPr="00E03D97">
        <w:rPr>
          <w:rFonts w:ascii="Times New Roman" w:eastAsiaTheme="minorEastAsia" w:hAnsi="Times New Roman" w:cs="Times New Roman"/>
          <w:noProof/>
          <w:sz w:val="24"/>
          <w:szCs w:val="24"/>
          <w:lang w:val="en-IE"/>
        </w:rPr>
        <w:t xml:space="preserve">data </w:t>
      </w:r>
      <w:r w:rsidRPr="00E03D97">
        <w:rPr>
          <w:rFonts w:ascii="Times New Roman" w:eastAsiaTheme="minorEastAsia" w:hAnsi="Times New Roman" w:cs="Times New Roman"/>
          <w:noProof/>
          <w:sz w:val="24"/>
          <w:szCs w:val="24"/>
          <w:lang w:val="en-IE"/>
        </w:rPr>
        <w:t xml:space="preserve">on emerging pathogens in Africa in collaboration with the WHO pandemic </w:t>
      </w:r>
      <w:r w:rsidR="003C537A">
        <w:rPr>
          <w:rFonts w:ascii="Times New Roman" w:eastAsiaTheme="minorEastAsia" w:hAnsi="Times New Roman" w:cs="Times New Roman"/>
          <w:noProof/>
          <w:sz w:val="24"/>
          <w:szCs w:val="24"/>
          <w:lang w:val="en-IE"/>
        </w:rPr>
        <w:t>h</w:t>
      </w:r>
      <w:r w:rsidRPr="00E03D97">
        <w:rPr>
          <w:rFonts w:ascii="Times New Roman" w:eastAsiaTheme="minorEastAsia" w:hAnsi="Times New Roman" w:cs="Times New Roman"/>
          <w:noProof/>
          <w:sz w:val="24"/>
          <w:szCs w:val="24"/>
          <w:lang w:val="en-IE"/>
        </w:rPr>
        <w:t xml:space="preserve">ub and WHO AFRO. </w:t>
      </w:r>
    </w:p>
    <w:p w14:paraId="458416D2" w14:textId="6416EC75" w:rsidR="001F1738" w:rsidRPr="00E03D97" w:rsidRDefault="001F1738" w:rsidP="001F1738">
      <w:pPr>
        <w:keepNext/>
        <w:keepLines/>
        <w:spacing w:before="100" w:beforeAutospacing="1" w:after="100" w:afterAutospacing="1" w:line="240" w:lineRule="auto"/>
        <w:outlineLvl w:val="1"/>
        <w:rPr>
          <w:rFonts w:ascii="Times New Roman" w:eastAsiaTheme="majorEastAsia" w:hAnsi="Times New Roman" w:cs="Times New Roman"/>
          <w:b/>
          <w:bCs/>
          <w:noProof/>
          <w:sz w:val="24"/>
          <w:szCs w:val="24"/>
          <w:lang w:val="en-IE"/>
        </w:rPr>
      </w:pPr>
      <w:r w:rsidRPr="00E03D97">
        <w:rPr>
          <w:rFonts w:ascii="Times New Roman" w:eastAsiaTheme="majorEastAsia" w:hAnsi="Times New Roman" w:cs="Times New Roman"/>
          <w:b/>
          <w:bCs/>
          <w:noProof/>
          <w:sz w:val="24"/>
          <w:szCs w:val="24"/>
          <w:lang w:val="en-IE"/>
        </w:rPr>
        <w:t xml:space="preserve">EU Digital COVID Certificates and </w:t>
      </w:r>
      <w:r w:rsidR="00736200">
        <w:rPr>
          <w:rFonts w:ascii="Times New Roman" w:eastAsiaTheme="majorEastAsia" w:hAnsi="Times New Roman" w:cs="Times New Roman"/>
          <w:b/>
          <w:bCs/>
          <w:noProof/>
          <w:sz w:val="24"/>
          <w:szCs w:val="24"/>
          <w:lang w:val="en-IE"/>
        </w:rPr>
        <w:t xml:space="preserve">the </w:t>
      </w:r>
      <w:r w:rsidRPr="00E03D97">
        <w:rPr>
          <w:rFonts w:ascii="Times New Roman" w:eastAsiaTheme="majorEastAsia" w:hAnsi="Times New Roman" w:cs="Times New Roman"/>
          <w:b/>
          <w:bCs/>
          <w:noProof/>
          <w:sz w:val="24"/>
          <w:szCs w:val="24"/>
          <w:lang w:val="en-IE"/>
        </w:rPr>
        <w:t>WHO Global Digital Health Certification Network</w:t>
      </w:r>
    </w:p>
    <w:p w14:paraId="7359B307" w14:textId="76B466CB" w:rsidR="00AC74FE" w:rsidRPr="00E03D97" w:rsidRDefault="00AC74FE" w:rsidP="00AC74FE">
      <w:pPr>
        <w:spacing w:before="100" w:beforeAutospacing="1" w:after="100" w:afterAutospacing="1" w:line="240" w:lineRule="auto"/>
        <w:jc w:val="both"/>
        <w:rPr>
          <w:rFonts w:ascii="Times New Roman" w:hAnsi="Times New Roman" w:cs="Times New Roman"/>
          <w:noProof/>
          <w:sz w:val="24"/>
          <w:szCs w:val="24"/>
          <w:lang w:val="en-IE"/>
        </w:rPr>
      </w:pPr>
      <w:r w:rsidRPr="00E03D97">
        <w:rPr>
          <w:rFonts w:ascii="Times New Roman" w:hAnsi="Times New Roman" w:cs="Times New Roman"/>
          <w:noProof/>
          <w:sz w:val="24"/>
          <w:szCs w:val="24"/>
          <w:lang w:val="en-IE"/>
        </w:rPr>
        <w:t>The development and use of EU Digital COVID Certificates have been key in the fight against the COVID-19 pandemic. During the pandemic</w:t>
      </w:r>
      <w:r w:rsidR="00736200">
        <w:rPr>
          <w:rFonts w:ascii="Times New Roman" w:hAnsi="Times New Roman" w:cs="Times New Roman"/>
          <w:noProof/>
          <w:sz w:val="24"/>
          <w:szCs w:val="24"/>
          <w:lang w:val="en-IE"/>
        </w:rPr>
        <w:t>,</w:t>
      </w:r>
      <w:r w:rsidRPr="00E03D97">
        <w:rPr>
          <w:rFonts w:ascii="Times New Roman" w:hAnsi="Times New Roman" w:cs="Times New Roman"/>
          <w:noProof/>
          <w:sz w:val="24"/>
          <w:szCs w:val="24"/>
          <w:lang w:val="en-IE"/>
        </w:rPr>
        <w:t xml:space="preserve"> the EU Digital COVID Certificate facilitated travel within the EU when travel restrictions were deemed necessary</w:t>
      </w:r>
      <w:r w:rsidR="00736200">
        <w:rPr>
          <w:rFonts w:ascii="Times New Roman" w:hAnsi="Times New Roman" w:cs="Times New Roman"/>
          <w:noProof/>
          <w:sz w:val="24"/>
          <w:szCs w:val="24"/>
          <w:lang w:val="en-IE"/>
        </w:rPr>
        <w:t>. It also</w:t>
      </w:r>
      <w:r w:rsidRPr="00E03D97">
        <w:rPr>
          <w:rFonts w:ascii="Times New Roman" w:hAnsi="Times New Roman" w:cs="Times New Roman"/>
          <w:noProof/>
          <w:sz w:val="24"/>
          <w:szCs w:val="24"/>
          <w:lang w:val="en-IE"/>
        </w:rPr>
        <w:t xml:space="preserve"> allowed for a coordinated lifting of these restrictions once </w:t>
      </w:r>
      <w:r w:rsidR="00736200">
        <w:rPr>
          <w:rFonts w:ascii="Times New Roman" w:hAnsi="Times New Roman" w:cs="Times New Roman"/>
          <w:noProof/>
          <w:sz w:val="24"/>
          <w:szCs w:val="24"/>
          <w:lang w:val="en-IE"/>
        </w:rPr>
        <w:t xml:space="preserve">this became </w:t>
      </w:r>
      <w:r w:rsidRPr="00E03D97">
        <w:rPr>
          <w:rFonts w:ascii="Times New Roman" w:hAnsi="Times New Roman" w:cs="Times New Roman"/>
          <w:noProof/>
          <w:sz w:val="24"/>
          <w:szCs w:val="24"/>
          <w:lang w:val="en-IE"/>
        </w:rPr>
        <w:t xml:space="preserve">possible. </w:t>
      </w:r>
    </w:p>
    <w:p w14:paraId="7FDC959C" w14:textId="2B986760" w:rsidR="00AC74FE" w:rsidRPr="00E03D97" w:rsidRDefault="00AC74FE" w:rsidP="00AC74FE">
      <w:pPr>
        <w:spacing w:before="100" w:beforeAutospacing="1" w:after="100" w:afterAutospacing="1" w:line="240" w:lineRule="auto"/>
        <w:jc w:val="both"/>
        <w:rPr>
          <w:rFonts w:ascii="Times New Roman" w:hAnsi="Times New Roman" w:cs="Times New Roman"/>
          <w:noProof/>
          <w:sz w:val="24"/>
          <w:szCs w:val="24"/>
          <w:lang w:val="en-IE"/>
        </w:rPr>
      </w:pPr>
      <w:r w:rsidRPr="00E03D97">
        <w:rPr>
          <w:rFonts w:ascii="Times New Roman" w:hAnsi="Times New Roman" w:cs="Times New Roman"/>
          <w:noProof/>
          <w:sz w:val="24"/>
          <w:szCs w:val="24"/>
          <w:lang w:val="en-IE"/>
        </w:rPr>
        <w:t>The EU Digital COVID Certificate also had an important international dimension</w:t>
      </w:r>
      <w:r w:rsidR="001960DC">
        <w:rPr>
          <w:rFonts w:ascii="Times New Roman" w:hAnsi="Times New Roman" w:cs="Times New Roman"/>
          <w:noProof/>
          <w:sz w:val="24"/>
          <w:szCs w:val="24"/>
          <w:lang w:val="en-IE"/>
        </w:rPr>
        <w:t>.</w:t>
      </w:r>
      <w:r w:rsidRPr="00E03D97">
        <w:rPr>
          <w:rFonts w:ascii="Times New Roman" w:hAnsi="Times New Roman" w:cs="Times New Roman"/>
          <w:noProof/>
          <w:sz w:val="24"/>
          <w:szCs w:val="24"/>
          <w:lang w:val="en-IE"/>
        </w:rPr>
        <w:t xml:space="preserve"> </w:t>
      </w:r>
      <w:r w:rsidR="001960DC">
        <w:rPr>
          <w:rFonts w:ascii="Times New Roman" w:hAnsi="Times New Roman" w:cs="Times New Roman"/>
          <w:noProof/>
          <w:sz w:val="24"/>
          <w:szCs w:val="24"/>
          <w:lang w:val="en-IE"/>
        </w:rPr>
        <w:t>B</w:t>
      </w:r>
      <w:r w:rsidRPr="00E03D97">
        <w:rPr>
          <w:rFonts w:ascii="Times New Roman" w:hAnsi="Times New Roman" w:cs="Times New Roman"/>
          <w:noProof/>
          <w:sz w:val="24"/>
          <w:szCs w:val="24"/>
          <w:lang w:val="en-IE"/>
        </w:rPr>
        <w:t xml:space="preserve">ased on open-source technologies and standards, it allowed connection </w:t>
      </w:r>
      <w:r w:rsidR="001960DC">
        <w:rPr>
          <w:rFonts w:ascii="Times New Roman" w:hAnsi="Times New Roman" w:cs="Times New Roman"/>
          <w:noProof/>
          <w:sz w:val="24"/>
          <w:szCs w:val="24"/>
          <w:lang w:val="en-IE"/>
        </w:rPr>
        <w:t xml:space="preserve">with </w:t>
      </w:r>
      <w:r w:rsidRPr="00E03D97">
        <w:rPr>
          <w:rFonts w:ascii="Times New Roman" w:hAnsi="Times New Roman" w:cs="Times New Roman"/>
          <w:noProof/>
          <w:sz w:val="24"/>
          <w:szCs w:val="24"/>
          <w:lang w:val="en-IE"/>
        </w:rPr>
        <w:t xml:space="preserve">non-EU countries that issued certificates according to EU Digital COVID Certificate standards and specifications. With 78 countries and territories connected, the EU Digital COVID Certificate system became the most widely used solution for the issuance and validation of digital COVID-19 certificates. Through this system, more than 1.8 billion people had access to interoperable digital certificates, and more than 2.3 billion certificates were issued in the EU alone. </w:t>
      </w:r>
    </w:p>
    <w:p w14:paraId="0E795420" w14:textId="4C721827" w:rsidR="001F1738" w:rsidRPr="00E03D97" w:rsidRDefault="001F1738" w:rsidP="00AC74FE">
      <w:pPr>
        <w:spacing w:before="100" w:beforeAutospacing="1" w:after="100" w:afterAutospacing="1" w:line="240" w:lineRule="auto"/>
        <w:jc w:val="both"/>
        <w:rPr>
          <w:rFonts w:ascii="Times New Roman" w:eastAsiaTheme="minorEastAsia" w:hAnsi="Times New Roman" w:cs="Times New Roman"/>
          <w:noProof/>
          <w:sz w:val="24"/>
          <w:szCs w:val="24"/>
          <w:lang w:val="en-IE"/>
        </w:rPr>
      </w:pPr>
      <w:r w:rsidRPr="00E03D97">
        <w:rPr>
          <w:rFonts w:ascii="Times New Roman" w:eastAsiaTheme="minorEastAsia" w:hAnsi="Times New Roman" w:cs="Times New Roman"/>
          <w:noProof/>
          <w:sz w:val="24"/>
          <w:szCs w:val="24"/>
          <w:lang w:val="en-IE"/>
        </w:rPr>
        <w:t xml:space="preserve">From the onset of the pandemic, </w:t>
      </w:r>
      <w:r w:rsidR="0030184B">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WHO engaged with all WHO </w:t>
      </w:r>
      <w:r w:rsidR="0030184B">
        <w:rPr>
          <w:rFonts w:ascii="Times New Roman" w:eastAsiaTheme="minorEastAsia" w:hAnsi="Times New Roman" w:cs="Times New Roman"/>
          <w:noProof/>
          <w:sz w:val="24"/>
          <w:szCs w:val="24"/>
          <w:lang w:val="en-IE"/>
        </w:rPr>
        <w:t>r</w:t>
      </w:r>
      <w:r w:rsidRPr="00E03D97">
        <w:rPr>
          <w:rFonts w:ascii="Times New Roman" w:eastAsiaTheme="minorEastAsia" w:hAnsi="Times New Roman" w:cs="Times New Roman"/>
          <w:noProof/>
          <w:sz w:val="24"/>
          <w:szCs w:val="24"/>
          <w:lang w:val="en-IE"/>
        </w:rPr>
        <w:t>egions to define overall guidelines for COVID-19 certificates, recognising an existing gap and continu</w:t>
      </w:r>
      <w:r w:rsidR="006D0E13">
        <w:rPr>
          <w:rFonts w:ascii="Times New Roman" w:eastAsiaTheme="minorEastAsia" w:hAnsi="Times New Roman" w:cs="Times New Roman"/>
          <w:noProof/>
          <w:sz w:val="24"/>
          <w:szCs w:val="24"/>
          <w:lang w:val="en-IE"/>
        </w:rPr>
        <w:t>ing</w:t>
      </w:r>
      <w:r w:rsidRPr="00E03D97">
        <w:rPr>
          <w:rFonts w:ascii="Times New Roman" w:eastAsiaTheme="minorEastAsia" w:hAnsi="Times New Roman" w:cs="Times New Roman"/>
          <w:noProof/>
          <w:sz w:val="24"/>
          <w:szCs w:val="24"/>
          <w:lang w:val="en-IE"/>
        </w:rPr>
        <w:t xml:space="preserve"> need for a global mechanism that would support bilateral verification of the provenance and authenticity of health documents for pandemic preparedness and continuity of care. Leveraging the experience of the </w:t>
      </w:r>
      <w:r w:rsidR="00AC74FE" w:rsidRPr="00E03D97">
        <w:rPr>
          <w:rFonts w:ascii="Times New Roman" w:hAnsi="Times New Roman" w:cs="Times New Roman"/>
          <w:noProof/>
          <w:sz w:val="24"/>
          <w:szCs w:val="24"/>
          <w:lang w:val="en-IE"/>
        </w:rPr>
        <w:t>EU Digital COVID Certificate</w:t>
      </w:r>
      <w:r w:rsidRPr="00E03D97">
        <w:rPr>
          <w:rFonts w:ascii="Times New Roman" w:eastAsiaTheme="minorEastAsia" w:hAnsi="Times New Roman" w:cs="Times New Roman"/>
          <w:noProof/>
          <w:sz w:val="24"/>
          <w:szCs w:val="24"/>
          <w:lang w:val="en-IE"/>
        </w:rPr>
        <w:t xml:space="preserve">, </w:t>
      </w:r>
      <w:r w:rsidR="0030184B">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WHO launched in June 2023 a Global Digital Health Certification Network (GDHCN), which builds on the solid foundations of the </w:t>
      </w:r>
      <w:r w:rsidR="00AC74FE" w:rsidRPr="00E03D97">
        <w:rPr>
          <w:rFonts w:ascii="Times New Roman" w:eastAsiaTheme="minorEastAsia" w:hAnsi="Times New Roman" w:cs="Times New Roman"/>
          <w:noProof/>
          <w:sz w:val="24"/>
          <w:szCs w:val="24"/>
          <w:lang w:val="en-IE"/>
        </w:rPr>
        <w:t xml:space="preserve">EU </w:t>
      </w:r>
      <w:r w:rsidR="00AC74FE" w:rsidRPr="00E03D97">
        <w:rPr>
          <w:rFonts w:ascii="Times New Roman" w:hAnsi="Times New Roman" w:cs="Times New Roman"/>
          <w:noProof/>
          <w:sz w:val="24"/>
          <w:szCs w:val="24"/>
          <w:lang w:val="en-IE"/>
        </w:rPr>
        <w:t xml:space="preserve">Digital COVID Certificate </w:t>
      </w:r>
      <w:r w:rsidRPr="00E03D97">
        <w:rPr>
          <w:rFonts w:ascii="Times New Roman" w:eastAsiaTheme="minorEastAsia" w:hAnsi="Times New Roman" w:cs="Times New Roman"/>
          <w:noProof/>
          <w:sz w:val="24"/>
          <w:szCs w:val="24"/>
          <w:lang w:val="en-IE"/>
        </w:rPr>
        <w:t xml:space="preserve">framework, principles, specifications and open technologies. </w:t>
      </w:r>
      <w:r w:rsidR="0030184B">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WHO and the Commission have agreed </w:t>
      </w:r>
      <w:r w:rsidR="0030184B">
        <w:rPr>
          <w:rFonts w:ascii="Times New Roman" w:eastAsiaTheme="minorEastAsia" w:hAnsi="Times New Roman" w:cs="Times New Roman"/>
          <w:noProof/>
          <w:sz w:val="24"/>
          <w:szCs w:val="24"/>
          <w:lang w:val="en-IE"/>
        </w:rPr>
        <w:t xml:space="preserve">on </w:t>
      </w:r>
      <w:r w:rsidR="00532DD6">
        <w:rPr>
          <w:rFonts w:ascii="Times New Roman" w:eastAsiaTheme="minorEastAsia" w:hAnsi="Times New Roman" w:cs="Times New Roman"/>
          <w:noProof/>
          <w:sz w:val="24"/>
          <w:szCs w:val="24"/>
          <w:lang w:val="en-IE"/>
        </w:rPr>
        <w:t xml:space="preserve">a </w:t>
      </w:r>
      <w:r w:rsidRPr="00E03D97">
        <w:rPr>
          <w:rFonts w:ascii="Times New Roman" w:eastAsiaTheme="minorEastAsia" w:hAnsi="Times New Roman" w:cs="Times New Roman"/>
          <w:noProof/>
          <w:sz w:val="24"/>
          <w:szCs w:val="24"/>
          <w:lang w:val="en-IE"/>
        </w:rPr>
        <w:t>partner</w:t>
      </w:r>
      <w:r w:rsidR="00532DD6">
        <w:rPr>
          <w:rFonts w:ascii="Times New Roman" w:eastAsiaTheme="minorEastAsia" w:hAnsi="Times New Roman" w:cs="Times New Roman"/>
          <w:noProof/>
          <w:sz w:val="24"/>
          <w:szCs w:val="24"/>
          <w:lang w:val="en-IE"/>
        </w:rPr>
        <w:t>ship</w:t>
      </w:r>
      <w:r w:rsidRPr="00E03D97">
        <w:rPr>
          <w:rFonts w:ascii="Times New Roman" w:eastAsiaTheme="minorEastAsia" w:hAnsi="Times New Roman" w:cs="Times New Roman"/>
          <w:noProof/>
          <w:sz w:val="24"/>
          <w:szCs w:val="24"/>
          <w:lang w:val="en-IE"/>
        </w:rPr>
        <w:t xml:space="preserve"> to facilitate the uptake of the EU </w:t>
      </w:r>
      <w:r w:rsidR="00AC74FE" w:rsidRPr="00E03D97">
        <w:rPr>
          <w:rFonts w:ascii="Times New Roman" w:hAnsi="Times New Roman" w:cs="Times New Roman"/>
          <w:noProof/>
          <w:sz w:val="24"/>
          <w:szCs w:val="24"/>
          <w:lang w:val="en-IE"/>
        </w:rPr>
        <w:t>Digital COVID Certificate</w:t>
      </w:r>
      <w:r w:rsidRPr="00E03D97">
        <w:rPr>
          <w:rFonts w:ascii="Times New Roman" w:eastAsiaTheme="minorEastAsia" w:hAnsi="Times New Roman" w:cs="Times New Roman"/>
          <w:noProof/>
          <w:sz w:val="24"/>
          <w:szCs w:val="24"/>
          <w:lang w:val="en-IE"/>
        </w:rPr>
        <w:t xml:space="preserve"> and </w:t>
      </w:r>
      <w:r w:rsidR="00532DD6">
        <w:rPr>
          <w:rFonts w:ascii="Times New Roman" w:eastAsiaTheme="minorEastAsia" w:hAnsi="Times New Roman" w:cs="Times New Roman"/>
          <w:noProof/>
          <w:sz w:val="24"/>
          <w:szCs w:val="24"/>
          <w:lang w:val="en-IE"/>
        </w:rPr>
        <w:t xml:space="preserve">on </w:t>
      </w:r>
      <w:r w:rsidRPr="00E03D97">
        <w:rPr>
          <w:rFonts w:ascii="Times New Roman" w:eastAsiaTheme="minorEastAsia" w:hAnsi="Times New Roman" w:cs="Times New Roman"/>
          <w:noProof/>
          <w:sz w:val="24"/>
          <w:szCs w:val="24"/>
          <w:lang w:val="en-IE"/>
        </w:rPr>
        <w:t>collaborat</w:t>
      </w:r>
      <w:r w:rsidR="00532DD6">
        <w:rPr>
          <w:rFonts w:ascii="Times New Roman" w:eastAsiaTheme="minorEastAsia" w:hAnsi="Times New Roman" w:cs="Times New Roman"/>
          <w:noProof/>
          <w:sz w:val="24"/>
          <w:szCs w:val="24"/>
          <w:lang w:val="en-IE"/>
        </w:rPr>
        <w:t>ion</w:t>
      </w:r>
      <w:r w:rsidRPr="00E03D97">
        <w:rPr>
          <w:rFonts w:ascii="Times New Roman" w:eastAsiaTheme="minorEastAsia" w:hAnsi="Times New Roman" w:cs="Times New Roman"/>
          <w:noProof/>
          <w:sz w:val="24"/>
          <w:szCs w:val="24"/>
          <w:lang w:val="en-IE"/>
        </w:rPr>
        <w:t xml:space="preserve"> </w:t>
      </w:r>
      <w:r w:rsidR="00532DD6">
        <w:rPr>
          <w:rFonts w:ascii="Times New Roman" w:eastAsiaTheme="minorEastAsia" w:hAnsi="Times New Roman" w:cs="Times New Roman"/>
          <w:noProof/>
          <w:sz w:val="24"/>
          <w:szCs w:val="24"/>
          <w:lang w:val="en-IE"/>
        </w:rPr>
        <w:t>in</w:t>
      </w:r>
      <w:r w:rsidRPr="00E03D97">
        <w:rPr>
          <w:rFonts w:ascii="Times New Roman" w:eastAsiaTheme="minorEastAsia" w:hAnsi="Times New Roman" w:cs="Times New Roman"/>
          <w:noProof/>
          <w:sz w:val="24"/>
          <w:szCs w:val="24"/>
          <w:lang w:val="en-IE"/>
        </w:rPr>
        <w:t xml:space="preserve"> </w:t>
      </w:r>
      <w:r w:rsidR="00532DD6">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GDHCN’s operation and further development. The GDHCN will allow the world to benefit from convergence of digital certificates, while respecting and promoting common values and </w:t>
      </w:r>
      <w:r w:rsidR="00532DD6">
        <w:rPr>
          <w:rFonts w:ascii="Times New Roman" w:eastAsiaTheme="minorEastAsia" w:hAnsi="Times New Roman" w:cs="Times New Roman"/>
          <w:noProof/>
          <w:sz w:val="24"/>
          <w:szCs w:val="24"/>
          <w:lang w:val="en-IE"/>
        </w:rPr>
        <w:t xml:space="preserve">the </w:t>
      </w:r>
      <w:r w:rsidRPr="00E03D97">
        <w:rPr>
          <w:rFonts w:ascii="Times New Roman" w:eastAsiaTheme="minorEastAsia" w:hAnsi="Times New Roman" w:cs="Times New Roman"/>
          <w:noProof/>
          <w:sz w:val="24"/>
          <w:szCs w:val="24"/>
          <w:lang w:val="en-IE"/>
        </w:rPr>
        <w:t xml:space="preserve">principles of transparency and openness, inclusiveness, accountability, data protection and privacy, security, scalability at a global level and equity. The Commission/WHO partnership </w:t>
      </w:r>
      <w:r w:rsidR="009F2751">
        <w:rPr>
          <w:rFonts w:ascii="Times New Roman" w:eastAsiaTheme="minorEastAsia" w:hAnsi="Times New Roman" w:cs="Times New Roman"/>
          <w:noProof/>
          <w:sz w:val="24"/>
          <w:szCs w:val="24"/>
          <w:lang w:val="en-IE"/>
        </w:rPr>
        <w:t>aims to</w:t>
      </w:r>
      <w:r w:rsidR="009F2751" w:rsidRPr="00E03D97">
        <w:rPr>
          <w:rFonts w:ascii="Times New Roman" w:eastAsiaTheme="minorEastAsia" w:hAnsi="Times New Roman" w:cs="Times New Roman"/>
          <w:noProof/>
          <w:sz w:val="24"/>
          <w:szCs w:val="24"/>
          <w:lang w:val="en-IE"/>
        </w:rPr>
        <w:t xml:space="preserve"> </w:t>
      </w:r>
      <w:r w:rsidRPr="00E03D97">
        <w:rPr>
          <w:rFonts w:ascii="Times New Roman" w:eastAsiaTheme="minorEastAsia" w:hAnsi="Times New Roman" w:cs="Times New Roman"/>
          <w:noProof/>
          <w:sz w:val="24"/>
          <w:szCs w:val="24"/>
          <w:lang w:val="en-IE"/>
        </w:rPr>
        <w:t>work to technically develop the WHO system with a staged approach to cover additional use cases in the future</w:t>
      </w:r>
      <w:r w:rsidR="0094565F">
        <w:rPr>
          <w:rFonts w:ascii="Times New Roman" w:eastAsiaTheme="minorEastAsia" w:hAnsi="Times New Roman" w:cs="Times New Roman"/>
          <w:noProof/>
          <w:sz w:val="24"/>
          <w:szCs w:val="24"/>
          <w:lang w:val="en-IE"/>
        </w:rPr>
        <w:t xml:space="preserve"> (t</w:t>
      </w:r>
      <w:r w:rsidR="00224662">
        <w:rPr>
          <w:rFonts w:ascii="Times New Roman" w:eastAsiaTheme="minorEastAsia" w:hAnsi="Times New Roman" w:cs="Times New Roman"/>
          <w:noProof/>
          <w:sz w:val="24"/>
          <w:szCs w:val="24"/>
          <w:lang w:val="en-IE"/>
        </w:rPr>
        <w:t>his</w:t>
      </w:r>
      <w:r w:rsidRPr="00E03D97">
        <w:rPr>
          <w:rFonts w:ascii="Times New Roman" w:eastAsiaTheme="minorEastAsia" w:hAnsi="Times New Roman" w:cs="Times New Roman"/>
          <w:noProof/>
          <w:sz w:val="24"/>
          <w:szCs w:val="24"/>
          <w:lang w:val="en-IE"/>
        </w:rPr>
        <w:t xml:space="preserve"> may include, for example, the digit</w:t>
      </w:r>
      <w:r w:rsidR="0094565F">
        <w:rPr>
          <w:rFonts w:ascii="Times New Roman" w:eastAsiaTheme="minorEastAsia" w:hAnsi="Times New Roman" w:cs="Times New Roman"/>
          <w:noProof/>
          <w:sz w:val="24"/>
          <w:szCs w:val="24"/>
          <w:lang w:val="en-IE"/>
        </w:rPr>
        <w:t>ali</w:t>
      </w:r>
      <w:r w:rsidR="00532DD6">
        <w:rPr>
          <w:rFonts w:ascii="Times New Roman" w:eastAsiaTheme="minorEastAsia" w:hAnsi="Times New Roman" w:cs="Times New Roman"/>
          <w:noProof/>
          <w:sz w:val="24"/>
          <w:szCs w:val="24"/>
          <w:lang w:val="en-IE"/>
        </w:rPr>
        <w:t>s</w:t>
      </w:r>
      <w:r w:rsidRPr="00E03D97">
        <w:rPr>
          <w:rFonts w:ascii="Times New Roman" w:eastAsiaTheme="minorEastAsia" w:hAnsi="Times New Roman" w:cs="Times New Roman"/>
          <w:noProof/>
          <w:sz w:val="24"/>
          <w:szCs w:val="24"/>
          <w:lang w:val="en-IE"/>
        </w:rPr>
        <w:t>ation of the International Certificate of Vaccination or Prophylaxis</w:t>
      </w:r>
      <w:r w:rsidR="0094565F">
        <w:rPr>
          <w:rFonts w:ascii="Times New Roman" w:eastAsiaTheme="minorEastAsia" w:hAnsi="Times New Roman" w:cs="Times New Roman"/>
          <w:noProof/>
          <w:sz w:val="24"/>
          <w:szCs w:val="24"/>
          <w:lang w:val="en-IE"/>
        </w:rPr>
        <w:t>)</w:t>
      </w:r>
      <w:r w:rsidRPr="00E03D97">
        <w:rPr>
          <w:rFonts w:ascii="Times New Roman" w:eastAsiaTheme="minorEastAsia" w:hAnsi="Times New Roman" w:cs="Times New Roman"/>
          <w:noProof/>
          <w:sz w:val="24"/>
          <w:szCs w:val="24"/>
          <w:lang w:val="en-IE"/>
        </w:rPr>
        <w:t>. Expanding such digital solutions will be essential to deliver</w:t>
      </w:r>
      <w:r w:rsidR="00AA3787">
        <w:rPr>
          <w:rFonts w:ascii="Times New Roman" w:eastAsiaTheme="minorEastAsia" w:hAnsi="Times New Roman" w:cs="Times New Roman"/>
          <w:noProof/>
          <w:sz w:val="24"/>
          <w:szCs w:val="24"/>
          <w:lang w:val="en-IE"/>
        </w:rPr>
        <w:t>ing</w:t>
      </w:r>
      <w:r w:rsidRPr="00E03D97">
        <w:rPr>
          <w:rFonts w:ascii="Times New Roman" w:eastAsiaTheme="minorEastAsia" w:hAnsi="Times New Roman" w:cs="Times New Roman"/>
          <w:noProof/>
          <w:sz w:val="24"/>
          <w:szCs w:val="24"/>
          <w:lang w:val="en-IE"/>
        </w:rPr>
        <w:t xml:space="preserve"> better health for citizens </w:t>
      </w:r>
      <w:r w:rsidR="0094565F">
        <w:rPr>
          <w:rFonts w:ascii="Times New Roman" w:eastAsiaTheme="minorEastAsia" w:hAnsi="Times New Roman" w:cs="Times New Roman"/>
          <w:noProof/>
          <w:sz w:val="24"/>
          <w:szCs w:val="24"/>
          <w:lang w:val="en-IE"/>
        </w:rPr>
        <w:t>throughout the world</w:t>
      </w:r>
      <w:r w:rsidRPr="00E03D97">
        <w:rPr>
          <w:rFonts w:ascii="Times New Roman" w:eastAsiaTheme="minorEastAsia" w:hAnsi="Times New Roman" w:cs="Times New Roman"/>
          <w:noProof/>
          <w:sz w:val="24"/>
          <w:szCs w:val="24"/>
          <w:lang w:val="en-IE"/>
        </w:rPr>
        <w:t>.</w:t>
      </w:r>
    </w:p>
    <w:p w14:paraId="5F9D014D" w14:textId="394EBDD2" w:rsidR="001F1738" w:rsidRPr="00E03D97" w:rsidRDefault="001F1738" w:rsidP="001F1738">
      <w:pPr>
        <w:keepNext/>
        <w:keepLines/>
        <w:spacing w:before="100" w:beforeAutospacing="1" w:after="100" w:afterAutospacing="1" w:line="240" w:lineRule="auto"/>
        <w:jc w:val="both"/>
        <w:outlineLvl w:val="1"/>
        <w:rPr>
          <w:rFonts w:ascii="Times New Roman" w:eastAsia="Times New Roman" w:hAnsi="Times New Roman" w:cs="Times New Roman"/>
          <w:b/>
          <w:bCs/>
          <w:noProof/>
          <w:sz w:val="24"/>
          <w:szCs w:val="24"/>
          <w:lang w:val="en-IE"/>
        </w:rPr>
      </w:pPr>
      <w:r w:rsidRPr="00E03D97">
        <w:rPr>
          <w:rFonts w:ascii="Times New Roman" w:eastAsia="Times New Roman" w:hAnsi="Times New Roman" w:cs="Times New Roman"/>
          <w:b/>
          <w:bCs/>
          <w:noProof/>
          <w:sz w:val="24"/>
          <w:szCs w:val="24"/>
          <w:lang w:val="en-IE"/>
        </w:rPr>
        <w:t>EU response</w:t>
      </w:r>
      <w:r w:rsidR="00AA3787">
        <w:rPr>
          <w:rFonts w:ascii="Times New Roman" w:eastAsia="Times New Roman" w:hAnsi="Times New Roman" w:cs="Times New Roman"/>
          <w:b/>
          <w:bCs/>
          <w:noProof/>
          <w:sz w:val="24"/>
          <w:szCs w:val="24"/>
          <w:lang w:val="en-IE"/>
        </w:rPr>
        <w:t xml:space="preserve"> in</w:t>
      </w:r>
      <w:r w:rsidRPr="00E03D97">
        <w:rPr>
          <w:rFonts w:ascii="Times New Roman" w:eastAsia="Times New Roman" w:hAnsi="Times New Roman" w:cs="Times New Roman"/>
          <w:b/>
          <w:bCs/>
          <w:noProof/>
          <w:sz w:val="24"/>
          <w:szCs w:val="24"/>
          <w:lang w:val="en-IE"/>
        </w:rPr>
        <w:t xml:space="preserve"> support </w:t>
      </w:r>
      <w:r w:rsidR="00AA3787">
        <w:rPr>
          <w:rFonts w:ascii="Times New Roman" w:eastAsia="Times New Roman" w:hAnsi="Times New Roman" w:cs="Times New Roman"/>
          <w:b/>
          <w:bCs/>
          <w:noProof/>
          <w:sz w:val="24"/>
          <w:szCs w:val="24"/>
          <w:lang w:val="en-IE"/>
        </w:rPr>
        <w:t xml:space="preserve">of </w:t>
      </w:r>
      <w:r w:rsidRPr="00E03D97">
        <w:rPr>
          <w:rFonts w:ascii="Times New Roman" w:eastAsia="Times New Roman" w:hAnsi="Times New Roman" w:cs="Times New Roman"/>
          <w:b/>
          <w:bCs/>
          <w:noProof/>
          <w:sz w:val="24"/>
          <w:szCs w:val="24"/>
          <w:lang w:val="en-IE"/>
        </w:rPr>
        <w:t>Ukraine</w:t>
      </w:r>
    </w:p>
    <w:p w14:paraId="2547D139" w14:textId="0A0519BE" w:rsidR="001F1738" w:rsidRPr="00E03D97" w:rsidRDefault="004A39FC"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Russia’s</w:t>
      </w:r>
      <w:r w:rsidR="001F1738" w:rsidRPr="00E03D97">
        <w:rPr>
          <w:rFonts w:ascii="Times New Roman" w:eastAsia="Times New Roman" w:hAnsi="Times New Roman" w:cs="Times New Roman"/>
          <w:noProof/>
          <w:sz w:val="24"/>
          <w:szCs w:val="24"/>
          <w:lang w:val="en-IE"/>
        </w:rPr>
        <w:t xml:space="preserve"> war </w:t>
      </w:r>
      <w:r>
        <w:rPr>
          <w:rFonts w:ascii="Times New Roman" w:eastAsia="Times New Roman" w:hAnsi="Times New Roman" w:cs="Times New Roman"/>
          <w:noProof/>
          <w:sz w:val="24"/>
          <w:szCs w:val="24"/>
          <w:lang w:val="en-IE"/>
        </w:rPr>
        <w:t>against</w:t>
      </w:r>
      <w:r w:rsidR="001F1738" w:rsidRPr="00E03D97">
        <w:rPr>
          <w:rFonts w:ascii="Times New Roman" w:eastAsia="Times New Roman" w:hAnsi="Times New Roman" w:cs="Times New Roman"/>
          <w:noProof/>
          <w:sz w:val="24"/>
          <w:szCs w:val="24"/>
          <w:lang w:val="en-IE"/>
        </w:rPr>
        <w:t xml:space="preserve"> Ukraine has been a major humanitarian crisis</w:t>
      </w:r>
      <w:r w:rsidR="00AA3787">
        <w:rPr>
          <w:rFonts w:ascii="Times New Roman" w:eastAsia="Times New Roman" w:hAnsi="Times New Roman" w:cs="Times New Roman"/>
          <w:noProof/>
          <w:sz w:val="24"/>
          <w:szCs w:val="24"/>
          <w:lang w:val="en-IE"/>
        </w:rPr>
        <w:t xml:space="preserve"> that has affected</w:t>
      </w:r>
      <w:r w:rsidR="001F1738" w:rsidRPr="00E03D97">
        <w:rPr>
          <w:rFonts w:ascii="Times New Roman" w:eastAsia="Times New Roman" w:hAnsi="Times New Roman" w:cs="Times New Roman"/>
          <w:noProof/>
          <w:sz w:val="24"/>
          <w:szCs w:val="24"/>
          <w:lang w:val="en-IE"/>
        </w:rPr>
        <w:t xml:space="preserve"> Ukraine’s healthcare system</w:t>
      </w:r>
      <w:r w:rsidR="00AA3787">
        <w:rPr>
          <w:rFonts w:ascii="Times New Roman" w:eastAsia="Times New Roman" w:hAnsi="Times New Roman" w:cs="Times New Roman"/>
          <w:noProof/>
          <w:sz w:val="24"/>
          <w:szCs w:val="24"/>
          <w:lang w:val="en-IE"/>
        </w:rPr>
        <w:t xml:space="preserve"> and</w:t>
      </w:r>
      <w:r w:rsidR="001F1738" w:rsidRPr="00E03D97">
        <w:rPr>
          <w:rFonts w:ascii="Times New Roman" w:eastAsia="Times New Roman" w:hAnsi="Times New Roman" w:cs="Times New Roman"/>
          <w:noProof/>
          <w:sz w:val="24"/>
          <w:szCs w:val="24"/>
          <w:lang w:val="en-IE"/>
        </w:rPr>
        <w:t xml:space="preserve"> creat</w:t>
      </w:r>
      <w:r w:rsidR="00AA3787">
        <w:rPr>
          <w:rFonts w:ascii="Times New Roman" w:eastAsia="Times New Roman" w:hAnsi="Times New Roman" w:cs="Times New Roman"/>
          <w:noProof/>
          <w:sz w:val="24"/>
          <w:szCs w:val="24"/>
          <w:lang w:val="en-IE"/>
        </w:rPr>
        <w:t>ed</w:t>
      </w:r>
      <w:r w:rsidR="001F1738" w:rsidRPr="00E03D97">
        <w:rPr>
          <w:rFonts w:ascii="Times New Roman" w:eastAsia="Times New Roman" w:hAnsi="Times New Roman" w:cs="Times New Roman"/>
          <w:noProof/>
          <w:sz w:val="24"/>
          <w:szCs w:val="24"/>
          <w:lang w:val="en-IE"/>
        </w:rPr>
        <w:t xml:space="preserve"> risks for public health both within Ukraine and beyond. </w:t>
      </w:r>
      <w:r w:rsidR="00AA3787">
        <w:rPr>
          <w:rFonts w:ascii="Times New Roman" w:eastAsia="Times New Roman" w:hAnsi="Times New Roman" w:cs="Times New Roman"/>
          <w:noProof/>
          <w:sz w:val="24"/>
          <w:szCs w:val="24"/>
          <w:lang w:val="en-IE"/>
        </w:rPr>
        <w:t xml:space="preserve">The EU’s </w:t>
      </w:r>
      <w:r w:rsidR="001F1738" w:rsidRPr="00E03D97">
        <w:rPr>
          <w:rFonts w:ascii="Times New Roman" w:eastAsia="Times New Roman" w:hAnsi="Times New Roman" w:cs="Times New Roman"/>
          <w:noProof/>
          <w:sz w:val="24"/>
          <w:szCs w:val="24"/>
          <w:lang w:val="en-IE"/>
        </w:rPr>
        <w:t xml:space="preserve">Member States and the Commission have sent medical countermeasures </w:t>
      </w:r>
      <w:r w:rsidR="00B40B91">
        <w:rPr>
          <w:rFonts w:ascii="Times New Roman" w:eastAsia="Times New Roman" w:hAnsi="Times New Roman" w:cs="Times New Roman"/>
          <w:noProof/>
          <w:sz w:val="24"/>
          <w:szCs w:val="24"/>
          <w:lang w:val="en-IE"/>
        </w:rPr>
        <w:t xml:space="preserve">via </w:t>
      </w:r>
      <w:r w:rsidR="00B40B91" w:rsidRPr="00E03D97">
        <w:rPr>
          <w:rFonts w:ascii="Times New Roman" w:eastAsia="Times New Roman" w:hAnsi="Times New Roman" w:cs="Times New Roman"/>
          <w:noProof/>
          <w:sz w:val="24"/>
          <w:szCs w:val="24"/>
          <w:lang w:val="en-IE"/>
        </w:rPr>
        <w:t>the UCPM</w:t>
      </w:r>
      <w:r w:rsidR="00B40B91">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to protect against chemical, biological, radiological and nuclear attacks</w:t>
      </w:r>
      <w:r w:rsidR="00F7122F">
        <w:rPr>
          <w:rFonts w:ascii="Times New Roman" w:eastAsia="Times New Roman" w:hAnsi="Times New Roman" w:cs="Times New Roman"/>
          <w:noProof/>
          <w:sz w:val="24"/>
          <w:szCs w:val="24"/>
          <w:lang w:val="en-IE"/>
        </w:rPr>
        <w:t xml:space="preserve"> and emergencies</w:t>
      </w:r>
      <w:r w:rsidR="001F1738" w:rsidRPr="00E03D97">
        <w:rPr>
          <w:rFonts w:ascii="Times New Roman" w:eastAsia="Times New Roman" w:hAnsi="Times New Roman" w:cs="Times New Roman"/>
          <w:noProof/>
          <w:sz w:val="24"/>
          <w:szCs w:val="24"/>
          <w:lang w:val="en-IE"/>
        </w:rPr>
        <w:t xml:space="preserve"> </w:t>
      </w:r>
      <w:r w:rsidR="00F7122F">
        <w:rPr>
          <w:rFonts w:ascii="Times New Roman" w:eastAsia="Times New Roman" w:hAnsi="Times New Roman" w:cs="Times New Roman"/>
          <w:noProof/>
          <w:sz w:val="24"/>
          <w:szCs w:val="24"/>
          <w:lang w:val="en-IE"/>
        </w:rPr>
        <w:t>i</w:t>
      </w:r>
      <w:r w:rsidR="00B40B91">
        <w:rPr>
          <w:rFonts w:ascii="Times New Roman" w:eastAsia="Times New Roman" w:hAnsi="Times New Roman" w:cs="Times New Roman"/>
          <w:noProof/>
          <w:sz w:val="24"/>
          <w:szCs w:val="24"/>
          <w:lang w:val="en-IE"/>
        </w:rPr>
        <w:t>n</w:t>
      </w:r>
      <w:r w:rsidR="001F1738" w:rsidRPr="00E03D97">
        <w:rPr>
          <w:rFonts w:ascii="Times New Roman" w:eastAsia="Times New Roman" w:hAnsi="Times New Roman" w:cs="Times New Roman"/>
          <w:noProof/>
          <w:sz w:val="24"/>
          <w:szCs w:val="24"/>
          <w:lang w:val="en-IE"/>
        </w:rPr>
        <w:t xml:space="preserve"> Ukraine. The Commission </w:t>
      </w:r>
      <w:r w:rsidR="00B40B91">
        <w:rPr>
          <w:rFonts w:ascii="Times New Roman" w:eastAsia="Times New Roman" w:hAnsi="Times New Roman" w:cs="Times New Roman"/>
          <w:noProof/>
          <w:sz w:val="24"/>
          <w:szCs w:val="24"/>
          <w:lang w:val="en-IE"/>
        </w:rPr>
        <w:t xml:space="preserve">has </w:t>
      </w:r>
      <w:r w:rsidR="001F1738" w:rsidRPr="00E03D97">
        <w:rPr>
          <w:rFonts w:ascii="Times New Roman" w:eastAsia="Times New Roman" w:hAnsi="Times New Roman" w:cs="Times New Roman"/>
          <w:noProof/>
          <w:sz w:val="24"/>
          <w:szCs w:val="24"/>
          <w:lang w:val="en-IE"/>
        </w:rPr>
        <w:t xml:space="preserve">also set up a scheme to facilitate the logistics for donations of medical goods from EU companies to Ukraine </w:t>
      </w:r>
      <w:r w:rsidR="00B40B91">
        <w:rPr>
          <w:rFonts w:ascii="Times New Roman" w:eastAsia="Times New Roman" w:hAnsi="Times New Roman" w:cs="Times New Roman"/>
          <w:noProof/>
          <w:sz w:val="24"/>
          <w:szCs w:val="24"/>
          <w:lang w:val="en-IE"/>
        </w:rPr>
        <w:t>via</w:t>
      </w:r>
      <w:r w:rsidR="00B40B91" w:rsidRPr="00E03D97">
        <w:rPr>
          <w:rFonts w:ascii="Times New Roman" w:eastAsia="Times New Roman" w:hAnsi="Times New Roman" w:cs="Times New Roman"/>
          <w:noProof/>
          <w:sz w:val="24"/>
          <w:szCs w:val="24"/>
          <w:lang w:val="en-IE"/>
        </w:rPr>
        <w:t xml:space="preserve"> </w:t>
      </w:r>
      <w:r w:rsidR="001F1738" w:rsidRPr="00E03D97">
        <w:rPr>
          <w:rFonts w:ascii="Times New Roman" w:eastAsia="Times New Roman" w:hAnsi="Times New Roman" w:cs="Times New Roman"/>
          <w:noProof/>
          <w:sz w:val="24"/>
          <w:szCs w:val="24"/>
          <w:lang w:val="en-IE"/>
        </w:rPr>
        <w:t>the UCPM.</w:t>
      </w:r>
    </w:p>
    <w:p w14:paraId="4F3240E9" w14:textId="1BF2A794" w:rsidR="001F1738" w:rsidRPr="00E03D97" w:rsidRDefault="001F1738" w:rsidP="001F1738">
      <w:pPr>
        <w:spacing w:before="100" w:beforeAutospacing="1" w:after="100" w:afterAutospacing="1" w:line="240" w:lineRule="auto"/>
        <w:jc w:val="both"/>
        <w:rPr>
          <w:rFonts w:ascii="Times New Roman" w:eastAsia="Times New Roman" w:hAnsi="Times New Roman" w:cs="Times New Roman"/>
          <w:noProof/>
          <w:sz w:val="24"/>
          <w:szCs w:val="24"/>
          <w:lang w:val="en-IE"/>
        </w:rPr>
      </w:pPr>
      <w:r w:rsidRPr="00E03D97">
        <w:rPr>
          <w:rFonts w:ascii="Times New Roman" w:eastAsia="Times New Roman" w:hAnsi="Times New Roman" w:cs="Times New Roman"/>
          <w:noProof/>
          <w:sz w:val="24"/>
          <w:szCs w:val="24"/>
          <w:lang w:val="en-IE"/>
        </w:rPr>
        <w:t>A medical evacuation (</w:t>
      </w:r>
      <w:r w:rsidR="00385C69">
        <w:rPr>
          <w:rFonts w:ascii="Times New Roman" w:eastAsia="Times New Roman" w:hAnsi="Times New Roman" w:cs="Times New Roman"/>
          <w:noProof/>
          <w:sz w:val="24"/>
          <w:szCs w:val="24"/>
          <w:lang w:val="en-IE"/>
        </w:rPr>
        <w:t>MEDEVAC</w:t>
      </w:r>
      <w:r w:rsidRPr="00E03D97">
        <w:rPr>
          <w:rFonts w:ascii="Times New Roman" w:eastAsia="Times New Roman" w:hAnsi="Times New Roman" w:cs="Times New Roman"/>
          <w:noProof/>
          <w:sz w:val="24"/>
          <w:szCs w:val="24"/>
          <w:lang w:val="en-IE"/>
        </w:rPr>
        <w:t xml:space="preserve">) system established by </w:t>
      </w:r>
      <w:r w:rsidR="00B40B91">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 xml:space="preserve">UCPM has been operational since </w:t>
      </w:r>
      <w:r w:rsidR="00BE1A6C" w:rsidRPr="00E03D97">
        <w:rPr>
          <w:rFonts w:ascii="Times New Roman" w:eastAsia="Times New Roman" w:hAnsi="Times New Roman" w:cs="Times New Roman"/>
          <w:noProof/>
          <w:sz w:val="24"/>
          <w:szCs w:val="24"/>
          <w:lang w:val="en-IE"/>
        </w:rPr>
        <w:t xml:space="preserve">March </w:t>
      </w:r>
      <w:r w:rsidRPr="00E03D97">
        <w:rPr>
          <w:rFonts w:ascii="Times New Roman" w:eastAsia="Times New Roman" w:hAnsi="Times New Roman" w:cs="Times New Roman"/>
          <w:noProof/>
          <w:sz w:val="24"/>
          <w:szCs w:val="24"/>
          <w:lang w:val="en-IE"/>
        </w:rPr>
        <w:t xml:space="preserve">2022. It has so far enabled </w:t>
      </w:r>
      <w:r w:rsidR="00B40B91">
        <w:rPr>
          <w:rFonts w:ascii="Times New Roman" w:eastAsia="Times New Roman" w:hAnsi="Times New Roman" w:cs="Times New Roman"/>
          <w:noProof/>
          <w:sz w:val="24"/>
          <w:szCs w:val="24"/>
          <w:lang w:val="en-IE"/>
        </w:rPr>
        <w:t xml:space="preserve">the </w:t>
      </w:r>
      <w:r w:rsidRPr="00E03D97">
        <w:rPr>
          <w:rFonts w:ascii="Times New Roman" w:eastAsia="Times New Roman" w:hAnsi="Times New Roman" w:cs="Times New Roman"/>
          <w:noProof/>
          <w:sz w:val="24"/>
          <w:szCs w:val="24"/>
          <w:lang w:val="en-IE"/>
        </w:rPr>
        <w:t>safe evacuation of over 2</w:t>
      </w:r>
      <w:r w:rsidR="00224662">
        <w:rPr>
          <w:rFonts w:ascii="Times New Roman" w:eastAsia="Times New Roman" w:hAnsi="Times New Roman" w:cs="Times New Roman"/>
          <w:noProof/>
          <w:sz w:val="24"/>
          <w:szCs w:val="24"/>
          <w:lang w:val="en-IE"/>
        </w:rPr>
        <w:t> </w:t>
      </w:r>
      <w:r w:rsidR="00E35E03">
        <w:rPr>
          <w:rFonts w:ascii="Times New Roman" w:eastAsia="Times New Roman" w:hAnsi="Times New Roman" w:cs="Times New Roman"/>
          <w:noProof/>
          <w:sz w:val="24"/>
          <w:szCs w:val="24"/>
          <w:lang w:val="en-IE"/>
        </w:rPr>
        <w:t>8</w:t>
      </w:r>
      <w:r w:rsidRPr="00E03D97">
        <w:rPr>
          <w:rFonts w:ascii="Times New Roman" w:eastAsia="Times New Roman" w:hAnsi="Times New Roman" w:cs="Times New Roman"/>
          <w:noProof/>
          <w:sz w:val="24"/>
          <w:szCs w:val="24"/>
          <w:lang w:val="en-IE"/>
        </w:rPr>
        <w:t xml:space="preserve">00 wounded and critically ill Ukrainian patients, from </w:t>
      </w:r>
      <w:r w:rsidR="00B40B91" w:rsidRPr="00E03D97">
        <w:rPr>
          <w:rFonts w:ascii="Times New Roman" w:eastAsia="Times New Roman" w:hAnsi="Times New Roman" w:cs="Times New Roman"/>
          <w:noProof/>
          <w:sz w:val="24"/>
          <w:szCs w:val="24"/>
          <w:lang w:val="en-IE"/>
        </w:rPr>
        <w:t xml:space="preserve">both </w:t>
      </w:r>
      <w:r w:rsidRPr="00E03D97">
        <w:rPr>
          <w:rFonts w:ascii="Times New Roman" w:eastAsia="Times New Roman" w:hAnsi="Times New Roman" w:cs="Times New Roman"/>
          <w:noProof/>
          <w:sz w:val="24"/>
          <w:szCs w:val="24"/>
          <w:lang w:val="en-IE"/>
        </w:rPr>
        <w:t xml:space="preserve">Ukraine and neighbouring countries to hospitals </w:t>
      </w:r>
      <w:r w:rsidR="00AA5DC0">
        <w:rPr>
          <w:rFonts w:ascii="Times New Roman" w:eastAsia="Times New Roman" w:hAnsi="Times New Roman" w:cs="Times New Roman"/>
          <w:noProof/>
          <w:sz w:val="24"/>
          <w:szCs w:val="24"/>
          <w:lang w:val="en-IE"/>
        </w:rPr>
        <w:t>in</w:t>
      </w:r>
      <w:r w:rsidR="00AA5DC0"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21 European </w:t>
      </w:r>
      <w:r w:rsidR="004926A9">
        <w:rPr>
          <w:rFonts w:ascii="Times New Roman" w:eastAsia="Times New Roman" w:hAnsi="Times New Roman" w:cs="Times New Roman"/>
          <w:noProof/>
          <w:sz w:val="24"/>
          <w:szCs w:val="24"/>
          <w:lang w:val="en-IE"/>
        </w:rPr>
        <w:t>countries</w:t>
      </w:r>
      <w:r w:rsidRPr="00E03D97">
        <w:rPr>
          <w:rFonts w:ascii="Times New Roman" w:eastAsia="Times New Roman" w:hAnsi="Times New Roman" w:cs="Times New Roman"/>
          <w:noProof/>
          <w:sz w:val="24"/>
          <w:szCs w:val="24"/>
          <w:lang w:val="en-IE"/>
        </w:rPr>
        <w:t xml:space="preserve">. Such a collective </w:t>
      </w:r>
      <w:r w:rsidR="00385C69">
        <w:rPr>
          <w:rFonts w:ascii="Times New Roman" w:eastAsia="Times New Roman" w:hAnsi="Times New Roman" w:cs="Times New Roman"/>
          <w:noProof/>
          <w:sz w:val="24"/>
          <w:szCs w:val="24"/>
          <w:lang w:val="en-IE"/>
        </w:rPr>
        <w:t>MEDEVAC</w:t>
      </w:r>
      <w:r w:rsidR="00385C69"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system is unprecedented at E</w:t>
      </w:r>
      <w:r w:rsidR="0094565F">
        <w:rPr>
          <w:rFonts w:ascii="Times New Roman" w:eastAsia="Times New Roman" w:hAnsi="Times New Roman" w:cs="Times New Roman"/>
          <w:noProof/>
          <w:sz w:val="24"/>
          <w:szCs w:val="24"/>
          <w:lang w:val="en-IE"/>
        </w:rPr>
        <w:t>U</w:t>
      </w:r>
      <w:r w:rsidRPr="00E03D97">
        <w:rPr>
          <w:rFonts w:ascii="Times New Roman" w:eastAsia="Times New Roman" w:hAnsi="Times New Roman" w:cs="Times New Roman"/>
          <w:noProof/>
          <w:sz w:val="24"/>
          <w:szCs w:val="24"/>
          <w:lang w:val="en-IE"/>
        </w:rPr>
        <w:t xml:space="preserve"> level. The Commission has also established a medical facility in a dedicated hub in Poland to increase the well</w:t>
      </w:r>
      <w:r w:rsidR="001D3ED8">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being of patients awaiting transport to European hospitals and to increase the reliability and predictability of </w:t>
      </w:r>
      <w:r w:rsidR="00385C69">
        <w:rPr>
          <w:rFonts w:ascii="Times New Roman" w:eastAsia="Times New Roman" w:hAnsi="Times New Roman" w:cs="Times New Roman"/>
          <w:noProof/>
          <w:sz w:val="24"/>
          <w:szCs w:val="24"/>
          <w:lang w:val="en-IE"/>
        </w:rPr>
        <w:t>MEDEVAC</w:t>
      </w:r>
      <w:r w:rsidRPr="00E03D97">
        <w:rPr>
          <w:rFonts w:ascii="Times New Roman" w:eastAsia="Times New Roman" w:hAnsi="Times New Roman" w:cs="Times New Roman"/>
          <w:noProof/>
          <w:sz w:val="24"/>
          <w:szCs w:val="24"/>
          <w:lang w:val="en-IE"/>
        </w:rPr>
        <w:t xml:space="preserve">. From the rescEU strategic reserve and since the beginning of Russia’s </w:t>
      </w:r>
      <w:r w:rsidR="00751592">
        <w:rPr>
          <w:rFonts w:ascii="Times New Roman" w:eastAsia="Times New Roman" w:hAnsi="Times New Roman" w:cs="Times New Roman"/>
          <w:noProof/>
          <w:sz w:val="24"/>
          <w:szCs w:val="24"/>
          <w:lang w:val="en-IE"/>
        </w:rPr>
        <w:t xml:space="preserve">full-scale invasion of </w:t>
      </w:r>
      <w:r w:rsidRPr="00E03D97">
        <w:rPr>
          <w:rFonts w:ascii="Times New Roman" w:eastAsia="Times New Roman" w:hAnsi="Times New Roman" w:cs="Times New Roman"/>
          <w:noProof/>
          <w:sz w:val="24"/>
          <w:szCs w:val="24"/>
          <w:lang w:val="en-IE"/>
        </w:rPr>
        <w:t>Ukraine, more than EUR</w:t>
      </w:r>
      <w:r w:rsidR="00751592">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56</w:t>
      </w:r>
      <w:r w:rsidR="00751592">
        <w:rPr>
          <w:rFonts w:ascii="Times New Roman" w:eastAsia="Times New Roman" w:hAnsi="Times New Roman" w:cs="Times New Roman"/>
          <w:noProof/>
          <w:sz w:val="24"/>
          <w:szCs w:val="24"/>
          <w:lang w:val="en-IE"/>
        </w:rPr>
        <w:t> </w:t>
      </w:r>
      <w:r w:rsidRPr="00E03D97">
        <w:rPr>
          <w:rFonts w:ascii="Times New Roman" w:eastAsia="Times New Roman" w:hAnsi="Times New Roman" w:cs="Times New Roman"/>
          <w:noProof/>
          <w:sz w:val="24"/>
          <w:szCs w:val="24"/>
          <w:lang w:val="en-IE"/>
        </w:rPr>
        <w:t xml:space="preserve">million’s worth of medical and CBRN items and equipment </w:t>
      </w:r>
      <w:r w:rsidR="00751592">
        <w:rPr>
          <w:rFonts w:ascii="Times New Roman" w:eastAsia="Times New Roman" w:hAnsi="Times New Roman" w:cs="Times New Roman"/>
          <w:noProof/>
          <w:sz w:val="24"/>
          <w:szCs w:val="24"/>
          <w:lang w:val="en-IE"/>
        </w:rPr>
        <w:t>have been</w:t>
      </w:r>
      <w:r w:rsidR="00751592"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deployed to Ukraine, includ</w:t>
      </w:r>
      <w:r w:rsidR="00232FE6">
        <w:rPr>
          <w:rFonts w:ascii="Times New Roman" w:eastAsia="Times New Roman" w:hAnsi="Times New Roman" w:cs="Times New Roman"/>
          <w:noProof/>
          <w:sz w:val="24"/>
          <w:szCs w:val="24"/>
          <w:lang w:val="en-IE"/>
        </w:rPr>
        <w:t>ing</w:t>
      </w:r>
      <w:r w:rsidRPr="00E03D97">
        <w:rPr>
          <w:rFonts w:ascii="Times New Roman" w:eastAsia="Times New Roman" w:hAnsi="Times New Roman" w:cs="Times New Roman"/>
          <w:noProof/>
          <w:sz w:val="24"/>
          <w:szCs w:val="24"/>
          <w:lang w:val="en-IE"/>
        </w:rPr>
        <w:t xml:space="preserve"> masks, potassium iodi</w:t>
      </w:r>
      <w:r w:rsidR="00F7122F">
        <w:rPr>
          <w:rFonts w:ascii="Times New Roman" w:eastAsia="Times New Roman" w:hAnsi="Times New Roman" w:cs="Times New Roman"/>
          <w:noProof/>
          <w:sz w:val="24"/>
          <w:szCs w:val="24"/>
          <w:lang w:val="en-IE"/>
        </w:rPr>
        <w:t>d</w:t>
      </w:r>
      <w:r w:rsidRPr="00E03D97">
        <w:rPr>
          <w:rFonts w:ascii="Times New Roman" w:eastAsia="Times New Roman" w:hAnsi="Times New Roman" w:cs="Times New Roman"/>
          <w:noProof/>
          <w:sz w:val="24"/>
          <w:szCs w:val="24"/>
          <w:lang w:val="en-IE"/>
        </w:rPr>
        <w:t xml:space="preserve">e tablets, ventilators and other items. </w:t>
      </w:r>
    </w:p>
    <w:p w14:paraId="55F1163E" w14:textId="77777777" w:rsidR="001F1738" w:rsidRPr="00E03D97" w:rsidRDefault="001F1738" w:rsidP="001F1738">
      <w:pPr>
        <w:spacing w:before="100" w:beforeAutospacing="1" w:after="100" w:afterAutospacing="1" w:line="240" w:lineRule="auto"/>
        <w:rPr>
          <w:rFonts w:eastAsiaTheme="minorEastAsia"/>
          <w:noProof/>
          <w:sz w:val="20"/>
          <w:szCs w:val="20"/>
          <w:lang w:val="en-IE"/>
        </w:rPr>
      </w:pPr>
    </w:p>
    <w:p w14:paraId="1CEF1C12" w14:textId="77777777" w:rsidR="001F1738" w:rsidRPr="00E03D97" w:rsidRDefault="001F1738" w:rsidP="001F1738">
      <w:pPr>
        <w:keepNext/>
        <w:keepLines/>
        <w:spacing w:before="100" w:beforeAutospacing="1" w:after="100" w:afterAutospacing="1" w:line="240" w:lineRule="auto"/>
        <w:jc w:val="both"/>
        <w:outlineLvl w:val="0"/>
        <w:rPr>
          <w:rFonts w:ascii="Times New Roman" w:eastAsiaTheme="majorEastAsia" w:hAnsi="Times New Roman" w:cs="Times New Roman"/>
          <w:noProof/>
          <w:sz w:val="24"/>
          <w:szCs w:val="24"/>
          <w:lang w:val="en-IE"/>
        </w:rPr>
      </w:pPr>
      <w:r w:rsidRPr="00E03D97">
        <w:rPr>
          <w:rFonts w:ascii="Times New Roman" w:eastAsiaTheme="majorEastAsia" w:hAnsi="Times New Roman" w:cs="Times New Roman"/>
          <w:noProof/>
          <w:sz w:val="24"/>
          <w:szCs w:val="24"/>
          <w:lang w:val="en-IE"/>
        </w:rPr>
        <w:t>8. CONCLUSIONS</w:t>
      </w:r>
    </w:p>
    <w:p w14:paraId="066CC227" w14:textId="463CC433" w:rsidR="00AD0A7E" w:rsidRDefault="00AD0A7E">
      <w:pPr>
        <w:spacing w:before="100" w:beforeAutospacing="1" w:after="100" w:afterAutospacing="1"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This report has mapped the </w:t>
      </w:r>
      <w:r w:rsidRPr="00E03D97">
        <w:rPr>
          <w:rFonts w:ascii="Times New Roman" w:eastAsia="Times New Roman" w:hAnsi="Times New Roman" w:cs="Times New Roman"/>
          <w:noProof/>
          <w:sz w:val="24"/>
          <w:szCs w:val="24"/>
          <w:lang w:val="en-IE" w:eastAsia="en-GB"/>
        </w:rPr>
        <w:t>EU actions</w:t>
      </w:r>
      <w:r>
        <w:rPr>
          <w:rFonts w:ascii="Times New Roman" w:eastAsia="Times New Roman" w:hAnsi="Times New Roman" w:cs="Times New Roman"/>
          <w:noProof/>
          <w:sz w:val="24"/>
          <w:szCs w:val="24"/>
          <w:lang w:val="en-IE" w:eastAsia="en-GB"/>
        </w:rPr>
        <w:t xml:space="preserve"> and capacities</w:t>
      </w:r>
      <w:r w:rsidRPr="00E03D97">
        <w:rPr>
          <w:rFonts w:ascii="Times New Roman" w:eastAsia="Times New Roman" w:hAnsi="Times New Roman" w:cs="Times New Roman"/>
          <w:noProof/>
          <w:sz w:val="24"/>
          <w:szCs w:val="24"/>
          <w:lang w:val="en-IE" w:eastAsia="en-GB"/>
        </w:rPr>
        <w:t xml:space="preserve"> put in place </w:t>
      </w:r>
      <w:r>
        <w:rPr>
          <w:rFonts w:ascii="Times New Roman" w:eastAsia="Times New Roman" w:hAnsi="Times New Roman" w:cs="Times New Roman"/>
          <w:noProof/>
          <w:sz w:val="24"/>
          <w:szCs w:val="24"/>
          <w:lang w:val="en-IE" w:eastAsia="en-GB"/>
        </w:rPr>
        <w:t xml:space="preserve">to </w:t>
      </w:r>
      <w:r w:rsidRPr="00E03D97">
        <w:rPr>
          <w:rFonts w:ascii="Times New Roman" w:eastAsia="Times New Roman" w:hAnsi="Times New Roman" w:cs="Times New Roman"/>
          <w:noProof/>
          <w:sz w:val="24"/>
          <w:szCs w:val="24"/>
          <w:lang w:val="en-IE" w:eastAsia="en-GB"/>
        </w:rPr>
        <w:t xml:space="preserve">address </w:t>
      </w:r>
      <w:r>
        <w:rPr>
          <w:rFonts w:ascii="Times New Roman" w:eastAsia="Times New Roman" w:hAnsi="Times New Roman" w:cs="Times New Roman"/>
          <w:noProof/>
          <w:sz w:val="24"/>
          <w:szCs w:val="24"/>
          <w:lang w:val="en-IE" w:eastAsia="en-GB"/>
        </w:rPr>
        <w:t xml:space="preserve">serious </w:t>
      </w:r>
      <w:r w:rsidRPr="00E03D97">
        <w:rPr>
          <w:rFonts w:ascii="Times New Roman" w:eastAsia="Times New Roman" w:hAnsi="Times New Roman" w:cs="Times New Roman"/>
          <w:noProof/>
          <w:sz w:val="24"/>
          <w:szCs w:val="24"/>
          <w:lang w:val="en-IE" w:eastAsia="en-GB"/>
        </w:rPr>
        <w:t>cross-border health threat</w:t>
      </w:r>
      <w:r w:rsidR="00DA6408">
        <w:rPr>
          <w:rFonts w:ascii="Times New Roman" w:eastAsia="Times New Roman" w:hAnsi="Times New Roman" w:cs="Times New Roman"/>
          <w:noProof/>
          <w:sz w:val="24"/>
          <w:szCs w:val="24"/>
          <w:lang w:val="en-IE" w:eastAsia="en-GB"/>
        </w:rPr>
        <w:t>s</w:t>
      </w:r>
      <w:r>
        <w:rPr>
          <w:rFonts w:ascii="Times New Roman" w:eastAsia="Times New Roman" w:hAnsi="Times New Roman" w:cs="Times New Roman"/>
          <w:noProof/>
          <w:sz w:val="24"/>
          <w:szCs w:val="24"/>
          <w:lang w:val="en-IE" w:eastAsia="en-GB"/>
        </w:rPr>
        <w:t xml:space="preserve"> in the aftermath of the COVID-19 pandemic and building on the pre-COVID-19 EU health security architecture. The focus was on those actions</w:t>
      </w:r>
      <w:r w:rsidRPr="00E03D97">
        <w:rPr>
          <w:rFonts w:ascii="Times New Roman" w:eastAsia="Times New Roman" w:hAnsi="Times New Roman" w:cs="Times New Roman"/>
          <w:noProof/>
          <w:sz w:val="24"/>
          <w:szCs w:val="24"/>
          <w:lang w:val="en-IE" w:eastAsia="en-GB"/>
        </w:rPr>
        <w:t xml:space="preserve"> </w:t>
      </w:r>
      <w:r>
        <w:rPr>
          <w:rFonts w:ascii="Times New Roman" w:eastAsia="Times New Roman" w:hAnsi="Times New Roman" w:cs="Times New Roman"/>
          <w:noProof/>
          <w:sz w:val="24"/>
          <w:szCs w:val="24"/>
          <w:lang w:val="en-IE" w:eastAsia="en-GB"/>
        </w:rPr>
        <w:t>that implement</w:t>
      </w:r>
      <w:r w:rsidRPr="00E03D97">
        <w:rPr>
          <w:rFonts w:ascii="Times New Roman" w:eastAsia="Times New Roman" w:hAnsi="Times New Roman" w:cs="Times New Roman"/>
          <w:noProof/>
          <w:sz w:val="24"/>
          <w:szCs w:val="24"/>
          <w:lang w:val="en-IE" w:eastAsia="en-GB"/>
        </w:rPr>
        <w:t xml:space="preserve"> Regulation (EU) 2022/2371</w:t>
      </w:r>
      <w:r>
        <w:rPr>
          <w:rFonts w:ascii="Times New Roman" w:eastAsia="Times New Roman" w:hAnsi="Times New Roman" w:cs="Times New Roman"/>
          <w:noProof/>
          <w:sz w:val="24"/>
          <w:szCs w:val="24"/>
          <w:lang w:val="en-IE" w:eastAsia="en-GB"/>
        </w:rPr>
        <w:t>, in response to the</w:t>
      </w:r>
      <w:r w:rsidRPr="00E03D97">
        <w:rPr>
          <w:rFonts w:ascii="Times New Roman" w:eastAsia="Times New Roman" w:hAnsi="Times New Roman" w:cs="Times New Roman"/>
          <w:noProof/>
          <w:sz w:val="24"/>
          <w:szCs w:val="24"/>
          <w:lang w:val="en-IE" w:eastAsia="en-GB"/>
        </w:rPr>
        <w:t xml:space="preserve"> </w:t>
      </w:r>
      <w:r w:rsidRPr="00AD0A7E">
        <w:rPr>
          <w:rFonts w:ascii="Times New Roman" w:eastAsia="Times New Roman" w:hAnsi="Times New Roman" w:cs="Times New Roman"/>
          <w:noProof/>
          <w:sz w:val="24"/>
          <w:szCs w:val="24"/>
          <w:lang w:val="en-IE" w:eastAsia="en-GB"/>
        </w:rPr>
        <w:t xml:space="preserve">requirement </w:t>
      </w:r>
      <w:r w:rsidRPr="00BC2F11">
        <w:rPr>
          <w:rFonts w:ascii="Times New Roman" w:eastAsia="Times New Roman" w:hAnsi="Times New Roman" w:cs="Times New Roman"/>
          <w:noProof/>
          <w:sz w:val="24"/>
          <w:szCs w:val="24"/>
          <w:lang w:val="en-IE" w:eastAsia="en-GB"/>
        </w:rPr>
        <w:t>of its Article 9</w:t>
      </w:r>
      <w:r w:rsidRPr="00AD0A7E">
        <w:rPr>
          <w:rFonts w:ascii="Times New Roman" w:eastAsia="Times New Roman" w:hAnsi="Times New Roman" w:cs="Times New Roman"/>
          <w:noProof/>
          <w:sz w:val="24"/>
          <w:szCs w:val="24"/>
          <w:lang w:val="en-IE" w:eastAsia="en-GB"/>
        </w:rPr>
        <w:t xml:space="preserve"> to</w:t>
      </w:r>
      <w:r>
        <w:rPr>
          <w:rFonts w:ascii="Times New Roman" w:eastAsia="Times New Roman" w:hAnsi="Times New Roman" w:cs="Times New Roman"/>
          <w:noProof/>
          <w:sz w:val="24"/>
          <w:szCs w:val="24"/>
          <w:lang w:val="en-IE" w:eastAsia="en-GB"/>
        </w:rPr>
        <w:t xml:space="preserve"> report on EU prevention, preparedness and response planning</w:t>
      </w:r>
      <w:r w:rsidRPr="00AD0A7E">
        <w:rPr>
          <w:rFonts w:ascii="Times New Roman" w:eastAsia="Times New Roman" w:hAnsi="Times New Roman" w:cs="Times New Roman"/>
          <w:noProof/>
          <w:sz w:val="24"/>
          <w:szCs w:val="24"/>
          <w:lang w:val="en-IE" w:eastAsia="en-GB"/>
        </w:rPr>
        <w:t xml:space="preserve">. </w:t>
      </w:r>
      <w:r>
        <w:rPr>
          <w:rFonts w:ascii="Times New Roman" w:eastAsia="Times New Roman" w:hAnsi="Times New Roman" w:cs="Times New Roman"/>
          <w:noProof/>
          <w:sz w:val="24"/>
          <w:szCs w:val="24"/>
          <w:lang w:val="en-IE" w:eastAsia="en-GB"/>
        </w:rPr>
        <w:t>In addition</w:t>
      </w:r>
      <w:r w:rsidRPr="00E03D97">
        <w:rPr>
          <w:rFonts w:ascii="Times New Roman" w:eastAsia="Times New Roman" w:hAnsi="Times New Roman" w:cs="Times New Roman"/>
          <w:noProof/>
          <w:sz w:val="24"/>
          <w:szCs w:val="24"/>
          <w:lang w:val="en-IE" w:eastAsia="en-GB"/>
        </w:rPr>
        <w:t xml:space="preserve">, </w:t>
      </w:r>
      <w:r>
        <w:rPr>
          <w:rFonts w:ascii="Times New Roman" w:eastAsia="Times New Roman" w:hAnsi="Times New Roman" w:cs="Times New Roman"/>
          <w:noProof/>
          <w:sz w:val="24"/>
          <w:szCs w:val="24"/>
          <w:lang w:val="en-IE" w:eastAsia="en-GB"/>
        </w:rPr>
        <w:t>this r</w:t>
      </w:r>
      <w:r w:rsidRPr="00E03D97">
        <w:rPr>
          <w:rFonts w:ascii="Times New Roman" w:eastAsia="Times New Roman" w:hAnsi="Times New Roman" w:cs="Times New Roman"/>
          <w:noProof/>
          <w:sz w:val="24"/>
          <w:szCs w:val="24"/>
          <w:lang w:val="en-IE" w:eastAsia="en-GB"/>
        </w:rPr>
        <w:t>eport outline</w:t>
      </w:r>
      <w:r>
        <w:rPr>
          <w:rFonts w:ascii="Times New Roman" w:eastAsia="Times New Roman" w:hAnsi="Times New Roman" w:cs="Times New Roman"/>
          <w:noProof/>
          <w:sz w:val="24"/>
          <w:szCs w:val="24"/>
          <w:lang w:val="en-IE" w:eastAsia="en-GB"/>
        </w:rPr>
        <w:t>d</w:t>
      </w:r>
      <w:r w:rsidRPr="00E03D97">
        <w:rPr>
          <w:rFonts w:ascii="Times New Roman" w:eastAsia="Times New Roman" w:hAnsi="Times New Roman" w:cs="Times New Roman"/>
          <w:noProof/>
          <w:sz w:val="24"/>
          <w:szCs w:val="24"/>
          <w:lang w:val="en-IE" w:eastAsia="en-GB"/>
        </w:rPr>
        <w:t xml:space="preserve"> ongoing initiatives and work that are closely related</w:t>
      </w:r>
      <w:r>
        <w:rPr>
          <w:rFonts w:ascii="Times New Roman" w:eastAsia="Times New Roman" w:hAnsi="Times New Roman" w:cs="Times New Roman"/>
          <w:noProof/>
          <w:sz w:val="24"/>
          <w:szCs w:val="24"/>
          <w:lang w:val="en-IE" w:eastAsia="en-GB"/>
        </w:rPr>
        <w:t xml:space="preserve"> to public health</w:t>
      </w:r>
      <w:r w:rsidRPr="00E03D97">
        <w:rPr>
          <w:rFonts w:ascii="Times New Roman" w:eastAsia="Times New Roman" w:hAnsi="Times New Roman" w:cs="Times New Roman"/>
          <w:noProof/>
          <w:sz w:val="24"/>
          <w:szCs w:val="24"/>
          <w:lang w:val="en-IE" w:eastAsia="en-GB"/>
        </w:rPr>
        <w:t xml:space="preserve"> </w:t>
      </w:r>
      <w:r>
        <w:rPr>
          <w:rFonts w:ascii="Times New Roman" w:eastAsia="Times New Roman" w:hAnsi="Times New Roman" w:cs="Times New Roman"/>
          <w:noProof/>
          <w:sz w:val="24"/>
          <w:szCs w:val="24"/>
          <w:lang w:val="en-IE" w:eastAsia="en-GB"/>
        </w:rPr>
        <w:t>in other EU policy areas</w:t>
      </w:r>
      <w:r w:rsidR="00082E8A">
        <w:rPr>
          <w:rFonts w:ascii="Times New Roman" w:eastAsia="Times New Roman" w:hAnsi="Times New Roman" w:cs="Times New Roman"/>
          <w:noProof/>
          <w:sz w:val="24"/>
          <w:szCs w:val="24"/>
          <w:lang w:val="en-IE" w:eastAsia="en-GB"/>
        </w:rPr>
        <w:t xml:space="preserve">, </w:t>
      </w:r>
      <w:r>
        <w:rPr>
          <w:rFonts w:ascii="Times New Roman" w:eastAsia="Times New Roman" w:hAnsi="Times New Roman" w:cs="Times New Roman"/>
          <w:noProof/>
          <w:sz w:val="24"/>
          <w:szCs w:val="24"/>
          <w:lang w:val="en-IE" w:eastAsia="en-GB"/>
        </w:rPr>
        <w:t xml:space="preserve">e.g. research, emergency assistance, </w:t>
      </w:r>
      <w:r w:rsidR="00082E8A">
        <w:rPr>
          <w:rFonts w:ascii="Times New Roman" w:eastAsia="Times New Roman" w:hAnsi="Times New Roman" w:cs="Times New Roman"/>
          <w:noProof/>
          <w:sz w:val="24"/>
          <w:szCs w:val="24"/>
          <w:lang w:val="en-IE" w:eastAsia="en-GB"/>
        </w:rPr>
        <w:t>international cooperation, etc.</w:t>
      </w:r>
    </w:p>
    <w:p w14:paraId="7D00F6F0" w14:textId="0DB40E98" w:rsidR="00791D8B" w:rsidRPr="00E03D97" w:rsidRDefault="001F1738" w:rsidP="00BC2F11">
      <w:pPr>
        <w:spacing w:before="100" w:beforeAutospacing="1" w:after="100" w:afterAutospacing="1" w:line="240" w:lineRule="auto"/>
        <w:jc w:val="both"/>
        <w:rPr>
          <w:noProof/>
          <w:lang w:val="en-IE"/>
        </w:rPr>
      </w:pPr>
      <w:r w:rsidRPr="00E03D97">
        <w:rPr>
          <w:rFonts w:ascii="Times New Roman" w:eastAsia="Times New Roman" w:hAnsi="Times New Roman" w:cs="Times New Roman"/>
          <w:noProof/>
          <w:sz w:val="24"/>
          <w:szCs w:val="24"/>
          <w:lang w:val="en-IE"/>
        </w:rPr>
        <w:t xml:space="preserve">The COVID-19 pandemic </w:t>
      </w:r>
      <w:r w:rsidR="00232FE6">
        <w:rPr>
          <w:rFonts w:ascii="Times New Roman" w:eastAsia="Times New Roman" w:hAnsi="Times New Roman" w:cs="Times New Roman"/>
          <w:noProof/>
          <w:sz w:val="24"/>
          <w:szCs w:val="24"/>
          <w:lang w:val="en-IE"/>
        </w:rPr>
        <w:t>triggered</w:t>
      </w:r>
      <w:r w:rsidR="00232FE6"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 major upheaval </w:t>
      </w:r>
      <w:r w:rsidR="00232FE6">
        <w:rPr>
          <w:rFonts w:ascii="Times New Roman" w:eastAsia="Times New Roman" w:hAnsi="Times New Roman" w:cs="Times New Roman"/>
          <w:noProof/>
          <w:sz w:val="24"/>
          <w:szCs w:val="24"/>
          <w:lang w:val="en-IE"/>
        </w:rPr>
        <w:t xml:space="preserve">in </w:t>
      </w:r>
      <w:r w:rsidRPr="00E03D97">
        <w:rPr>
          <w:rFonts w:ascii="Times New Roman" w:eastAsia="Times New Roman" w:hAnsi="Times New Roman" w:cs="Times New Roman"/>
          <w:noProof/>
          <w:sz w:val="24"/>
          <w:szCs w:val="24"/>
          <w:lang w:val="en-IE"/>
        </w:rPr>
        <w:t xml:space="preserve">our health systems and life as we know it; but it also brought an unexpected opportunity to improve our health security framework </w:t>
      </w:r>
      <w:r w:rsidR="005E456F">
        <w:rPr>
          <w:rFonts w:ascii="Times New Roman" w:eastAsia="Times New Roman" w:hAnsi="Times New Roman" w:cs="Times New Roman"/>
          <w:noProof/>
          <w:sz w:val="24"/>
          <w:szCs w:val="24"/>
          <w:lang w:val="en-IE"/>
        </w:rPr>
        <w:t xml:space="preserve">so that it is </w:t>
      </w:r>
      <w:r w:rsidRPr="00E03D97">
        <w:rPr>
          <w:rFonts w:ascii="Times New Roman" w:eastAsia="Times New Roman" w:hAnsi="Times New Roman" w:cs="Times New Roman"/>
          <w:noProof/>
          <w:sz w:val="24"/>
          <w:szCs w:val="24"/>
          <w:lang w:val="en-IE"/>
        </w:rPr>
        <w:t xml:space="preserve">better prepared to withstand major future health threats. While we may not know what the future holds </w:t>
      </w:r>
      <w:r w:rsidR="005B5FC1">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despite our best efforts to anticipate</w:t>
      </w:r>
      <w:r w:rsidR="0094565F">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 xml:space="preserve">and plan </w:t>
      </w:r>
      <w:r w:rsidR="005B5FC1">
        <w:rPr>
          <w:rFonts w:ascii="Times New Roman" w:eastAsia="Times New Roman" w:hAnsi="Times New Roman" w:cs="Times New Roman"/>
          <w:noProof/>
          <w:sz w:val="24"/>
          <w:szCs w:val="24"/>
          <w:lang w:val="en-IE"/>
        </w:rPr>
        <w:t>–</w:t>
      </w:r>
      <w:r w:rsidRPr="00E03D97">
        <w:rPr>
          <w:rFonts w:ascii="Times New Roman" w:eastAsia="Times New Roman" w:hAnsi="Times New Roman" w:cs="Times New Roman"/>
          <w:noProof/>
          <w:sz w:val="24"/>
          <w:szCs w:val="24"/>
          <w:lang w:val="en-IE"/>
        </w:rPr>
        <w:t xml:space="preserve"> the </w:t>
      </w:r>
      <w:r w:rsidR="005E456F">
        <w:rPr>
          <w:rFonts w:ascii="Times New Roman" w:eastAsia="Times New Roman" w:hAnsi="Times New Roman" w:cs="Times New Roman"/>
          <w:noProof/>
          <w:sz w:val="24"/>
          <w:szCs w:val="24"/>
          <w:lang w:val="en-IE"/>
        </w:rPr>
        <w:t>EU</w:t>
      </w:r>
      <w:r w:rsidRPr="00E03D97">
        <w:rPr>
          <w:rFonts w:ascii="Times New Roman" w:eastAsia="Times New Roman" w:hAnsi="Times New Roman" w:cs="Times New Roman"/>
          <w:noProof/>
          <w:sz w:val="24"/>
          <w:szCs w:val="24"/>
          <w:lang w:val="en-IE"/>
        </w:rPr>
        <w:t xml:space="preserve"> has introduced upgraded structures for prevention, preparedness and response, which have greatly enhanced our collective capacities to react to any future emergency. </w:t>
      </w:r>
      <w:r w:rsidR="005B5FC1">
        <w:rPr>
          <w:rFonts w:ascii="Times New Roman" w:eastAsia="Times New Roman" w:hAnsi="Times New Roman" w:cs="Times New Roman"/>
          <w:noProof/>
          <w:sz w:val="24"/>
          <w:szCs w:val="24"/>
          <w:lang w:val="en-IE"/>
        </w:rPr>
        <w:t>T</w:t>
      </w:r>
      <w:r w:rsidR="005B5FC1" w:rsidRPr="00E03D97">
        <w:rPr>
          <w:rFonts w:ascii="Times New Roman" w:eastAsia="Times New Roman" w:hAnsi="Times New Roman" w:cs="Times New Roman"/>
          <w:noProof/>
          <w:sz w:val="24"/>
          <w:szCs w:val="24"/>
          <w:lang w:val="en-IE"/>
        </w:rPr>
        <w:t xml:space="preserve">he EU-level health security framework adds an important additional layer </w:t>
      </w:r>
      <w:r w:rsidR="005B5FC1">
        <w:rPr>
          <w:rFonts w:ascii="Times New Roman" w:eastAsia="Times New Roman" w:hAnsi="Times New Roman" w:cs="Times New Roman"/>
          <w:noProof/>
          <w:sz w:val="24"/>
          <w:szCs w:val="24"/>
          <w:lang w:val="en-IE"/>
        </w:rPr>
        <w:t>to</w:t>
      </w:r>
      <w:r w:rsidRPr="00E03D97">
        <w:rPr>
          <w:rFonts w:ascii="Times New Roman" w:eastAsia="Times New Roman" w:hAnsi="Times New Roman" w:cs="Times New Roman"/>
          <w:noProof/>
          <w:sz w:val="24"/>
          <w:szCs w:val="24"/>
          <w:lang w:val="en-IE"/>
        </w:rPr>
        <w:t xml:space="preserve"> the core functions of Member States in the field of health and the provision of healthcare. </w:t>
      </w:r>
      <w:r w:rsidR="005B5FC1">
        <w:rPr>
          <w:rFonts w:ascii="Times New Roman" w:eastAsia="Times New Roman" w:hAnsi="Times New Roman" w:cs="Times New Roman"/>
          <w:noProof/>
          <w:sz w:val="24"/>
          <w:szCs w:val="24"/>
          <w:lang w:val="en-IE"/>
        </w:rPr>
        <w:t>H</w:t>
      </w:r>
      <w:r w:rsidRPr="00E03D97">
        <w:rPr>
          <w:rFonts w:ascii="Times New Roman" w:eastAsia="Times New Roman" w:hAnsi="Times New Roman" w:cs="Times New Roman"/>
          <w:noProof/>
          <w:sz w:val="24"/>
          <w:szCs w:val="24"/>
          <w:lang w:val="en-IE"/>
        </w:rPr>
        <w:t xml:space="preserve">ealth threats </w:t>
      </w:r>
      <w:r w:rsidR="005B5FC1">
        <w:rPr>
          <w:rFonts w:ascii="Times New Roman" w:eastAsia="Times New Roman" w:hAnsi="Times New Roman" w:cs="Times New Roman"/>
          <w:noProof/>
          <w:sz w:val="24"/>
          <w:szCs w:val="24"/>
          <w:lang w:val="en-IE"/>
        </w:rPr>
        <w:t xml:space="preserve">do </w:t>
      </w:r>
      <w:r w:rsidRPr="00E03D97">
        <w:rPr>
          <w:rFonts w:ascii="Times New Roman" w:eastAsia="Times New Roman" w:hAnsi="Times New Roman" w:cs="Times New Roman"/>
          <w:noProof/>
          <w:sz w:val="24"/>
          <w:szCs w:val="24"/>
          <w:lang w:val="en-IE"/>
        </w:rPr>
        <w:t xml:space="preserve">not respect borders, </w:t>
      </w:r>
      <w:r w:rsidR="005B5FC1">
        <w:rPr>
          <w:rFonts w:ascii="Times New Roman" w:eastAsia="Times New Roman" w:hAnsi="Times New Roman" w:cs="Times New Roman"/>
          <w:noProof/>
          <w:sz w:val="24"/>
          <w:szCs w:val="24"/>
          <w:lang w:val="en-IE"/>
        </w:rPr>
        <w:t xml:space="preserve">but </w:t>
      </w:r>
      <w:r w:rsidRPr="00E03D97">
        <w:rPr>
          <w:rFonts w:ascii="Times New Roman" w:eastAsia="Times New Roman" w:hAnsi="Times New Roman" w:cs="Times New Roman"/>
          <w:noProof/>
          <w:sz w:val="24"/>
          <w:szCs w:val="24"/>
          <w:lang w:val="en-IE"/>
        </w:rPr>
        <w:t>we</w:t>
      </w:r>
      <w:r w:rsidR="005B5FC1">
        <w:rPr>
          <w:rFonts w:ascii="Times New Roman" w:eastAsia="Times New Roman" w:hAnsi="Times New Roman" w:cs="Times New Roman"/>
          <w:noProof/>
          <w:sz w:val="24"/>
          <w:szCs w:val="24"/>
          <w:lang w:val="en-IE"/>
        </w:rPr>
        <w:t xml:space="preserve"> are,</w:t>
      </w:r>
      <w:r w:rsidRPr="00E03D97">
        <w:rPr>
          <w:rFonts w:ascii="Times New Roman" w:eastAsia="Times New Roman" w:hAnsi="Times New Roman" w:cs="Times New Roman"/>
          <w:noProof/>
          <w:sz w:val="24"/>
          <w:szCs w:val="24"/>
          <w:lang w:val="en-IE"/>
        </w:rPr>
        <w:t xml:space="preserve"> collectively, better prepared to </w:t>
      </w:r>
      <w:r w:rsidR="00DA1D72">
        <w:rPr>
          <w:rFonts w:ascii="Times New Roman" w:eastAsia="Times New Roman" w:hAnsi="Times New Roman" w:cs="Times New Roman"/>
          <w:noProof/>
          <w:sz w:val="24"/>
          <w:szCs w:val="24"/>
          <w:lang w:val="en-IE"/>
        </w:rPr>
        <w:t>combat</w:t>
      </w:r>
      <w:r w:rsidR="00DA1D72" w:rsidRPr="00E03D97">
        <w:rPr>
          <w:rFonts w:ascii="Times New Roman" w:eastAsia="Times New Roman" w:hAnsi="Times New Roman" w:cs="Times New Roman"/>
          <w:noProof/>
          <w:sz w:val="24"/>
          <w:szCs w:val="24"/>
          <w:lang w:val="en-IE"/>
        </w:rPr>
        <w:t xml:space="preserve"> </w:t>
      </w:r>
      <w:r w:rsidRPr="00E03D97">
        <w:rPr>
          <w:rFonts w:ascii="Times New Roman" w:eastAsia="Times New Roman" w:hAnsi="Times New Roman" w:cs="Times New Roman"/>
          <w:noProof/>
          <w:sz w:val="24"/>
          <w:szCs w:val="24"/>
          <w:lang w:val="en-IE"/>
        </w:rPr>
        <w:t>them</w:t>
      </w:r>
      <w:r w:rsidR="00681330">
        <w:rPr>
          <w:rFonts w:ascii="Times New Roman" w:eastAsia="Times New Roman" w:hAnsi="Times New Roman" w:cs="Times New Roman"/>
          <w:noProof/>
          <w:sz w:val="24"/>
          <w:szCs w:val="24"/>
          <w:lang w:val="en-IE"/>
        </w:rPr>
        <w:t xml:space="preserve">, including </w:t>
      </w:r>
      <w:r w:rsidR="00681330" w:rsidRPr="00681330">
        <w:rPr>
          <w:rFonts w:ascii="Times New Roman" w:eastAsia="Times New Roman" w:hAnsi="Times New Roman" w:cs="Times New Roman"/>
          <w:noProof/>
          <w:sz w:val="24"/>
          <w:szCs w:val="24"/>
        </w:rPr>
        <w:t>by engaging in partnerships at global</w:t>
      </w:r>
      <w:r w:rsidR="00681330">
        <w:rPr>
          <w:rFonts w:ascii="Times New Roman" w:eastAsia="Times New Roman" w:hAnsi="Times New Roman" w:cs="Times New Roman"/>
          <w:noProof/>
          <w:sz w:val="24"/>
          <w:szCs w:val="24"/>
        </w:rPr>
        <w:t xml:space="preserve"> level</w:t>
      </w:r>
      <w:r w:rsidRPr="00E03D97">
        <w:rPr>
          <w:rFonts w:ascii="Times New Roman" w:eastAsia="Times New Roman" w:hAnsi="Times New Roman" w:cs="Times New Roman"/>
          <w:noProof/>
          <w:sz w:val="24"/>
          <w:szCs w:val="24"/>
          <w:lang w:val="en-IE"/>
        </w:rPr>
        <w:t>.</w:t>
      </w:r>
    </w:p>
    <w:sectPr w:rsidR="00791D8B" w:rsidRPr="00E03D97" w:rsidSect="00424884">
      <w:headerReference w:type="even" r:id="rId15"/>
      <w:headerReference w:type="default" r:id="rId16"/>
      <w:footerReference w:type="even" r:id="rId17"/>
      <w:footerReference w:type="default" r:id="rId18"/>
      <w:headerReference w:type="first" r:id="rId19"/>
      <w:footerReference w:type="first" r:id="rId20"/>
      <w:pgSz w:w="11906" w:h="16838"/>
      <w:pgMar w:top="1417" w:right="1200" w:bottom="120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C0125" w14:textId="77777777" w:rsidR="00BE758C" w:rsidRDefault="00BE758C" w:rsidP="00C619B5">
      <w:pPr>
        <w:spacing w:after="0" w:line="240" w:lineRule="auto"/>
      </w:pPr>
      <w:r>
        <w:separator/>
      </w:r>
    </w:p>
  </w:endnote>
  <w:endnote w:type="continuationSeparator" w:id="0">
    <w:p w14:paraId="3296D4B9" w14:textId="77777777" w:rsidR="00BE758C" w:rsidRDefault="00BE758C" w:rsidP="00C6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 Square Sans Pro">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32E4" w14:textId="5596F312" w:rsidR="00C619B5" w:rsidRPr="00FD2940" w:rsidRDefault="00C619B5" w:rsidP="00FD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41A9" w14:textId="26A8B6E8" w:rsidR="00C619B5" w:rsidRPr="00FD2940" w:rsidRDefault="00FD2940" w:rsidP="00FD2940">
    <w:pPr>
      <w:pStyle w:val="FooterCoverPage"/>
      <w:rPr>
        <w:rFonts w:ascii="Arial" w:hAnsi="Arial" w:cs="Arial"/>
        <w:b/>
        <w:sz w:val="48"/>
      </w:rPr>
    </w:pPr>
    <w:r w:rsidRPr="00FD2940">
      <w:rPr>
        <w:rFonts w:ascii="Arial" w:hAnsi="Arial" w:cs="Arial"/>
        <w:b/>
        <w:sz w:val="48"/>
      </w:rPr>
      <w:t>EN</w:t>
    </w:r>
    <w:r w:rsidRPr="00FD2940">
      <w:rPr>
        <w:rFonts w:ascii="Arial" w:hAnsi="Arial" w:cs="Arial"/>
        <w:b/>
        <w:sz w:val="48"/>
      </w:rPr>
      <w:tab/>
    </w:r>
    <w:r w:rsidRPr="00FD2940">
      <w:rPr>
        <w:rFonts w:ascii="Arial" w:hAnsi="Arial" w:cs="Arial"/>
        <w:b/>
        <w:sz w:val="48"/>
      </w:rPr>
      <w:tab/>
    </w:r>
    <w:r w:rsidRPr="00FD2940">
      <w:tab/>
    </w:r>
    <w:r w:rsidRPr="00FD294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8B8D" w14:textId="77777777" w:rsidR="00FD2940" w:rsidRPr="00FD2940" w:rsidRDefault="00FD2940" w:rsidP="00FD294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4DE8" w14:textId="77777777" w:rsidR="008F1FE4" w:rsidRDefault="00FD29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42487145"/>
      <w:docPartObj>
        <w:docPartGallery w:val="Page Numbers (Bottom of Page)"/>
        <w:docPartUnique/>
      </w:docPartObj>
    </w:sdtPr>
    <w:sdtEndPr>
      <w:rPr>
        <w:noProof/>
      </w:rPr>
    </w:sdtEndPr>
    <w:sdtContent>
      <w:p w14:paraId="539586E7" w14:textId="7B19000D" w:rsidR="008F1FE4" w:rsidRPr="00E03D97" w:rsidRDefault="00DA2496" w:rsidP="00E03D97">
        <w:pPr>
          <w:pStyle w:val="Footer"/>
          <w:jc w:val="center"/>
          <w:rPr>
            <w:rFonts w:ascii="Times New Roman" w:hAnsi="Times New Roman" w:cs="Times New Roman"/>
          </w:rPr>
        </w:pPr>
        <w:r w:rsidRPr="00E03D97">
          <w:rPr>
            <w:rFonts w:ascii="Times New Roman" w:hAnsi="Times New Roman" w:cs="Times New Roman"/>
          </w:rPr>
          <w:fldChar w:fldCharType="begin"/>
        </w:r>
        <w:r w:rsidRPr="00E03D97">
          <w:rPr>
            <w:rFonts w:ascii="Times New Roman" w:hAnsi="Times New Roman" w:cs="Times New Roman"/>
          </w:rPr>
          <w:instrText xml:space="preserve"> PAGE   \* MERGEFORMAT </w:instrText>
        </w:r>
        <w:r w:rsidRPr="00E03D97">
          <w:rPr>
            <w:rFonts w:ascii="Times New Roman" w:hAnsi="Times New Roman" w:cs="Times New Roman"/>
          </w:rPr>
          <w:fldChar w:fldCharType="separate"/>
        </w:r>
        <w:r w:rsidR="00FD2940">
          <w:rPr>
            <w:rFonts w:ascii="Times New Roman" w:hAnsi="Times New Roman" w:cs="Times New Roman"/>
            <w:noProof/>
          </w:rPr>
          <w:t>1</w:t>
        </w:r>
        <w:r w:rsidRPr="00E03D97">
          <w:rPr>
            <w:rFonts w:ascii="Times New Roman" w:hAnsi="Times New Roman" w:cs="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0603" w14:textId="77777777" w:rsidR="008F1FE4" w:rsidRDefault="00FD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23094" w14:textId="77777777" w:rsidR="00BE758C" w:rsidRDefault="00BE758C" w:rsidP="00C619B5">
      <w:pPr>
        <w:spacing w:after="0" w:line="240" w:lineRule="auto"/>
      </w:pPr>
      <w:r>
        <w:separator/>
      </w:r>
    </w:p>
  </w:footnote>
  <w:footnote w:type="continuationSeparator" w:id="0">
    <w:p w14:paraId="69ACB7FA" w14:textId="77777777" w:rsidR="00BE758C" w:rsidRDefault="00BE758C" w:rsidP="00C619B5">
      <w:pPr>
        <w:spacing w:after="0" w:line="240" w:lineRule="auto"/>
      </w:pPr>
      <w:r>
        <w:continuationSeparator/>
      </w:r>
    </w:p>
  </w:footnote>
  <w:footnote w:id="1">
    <w:p w14:paraId="56E651A9" w14:textId="77777777" w:rsidR="00A02810" w:rsidRPr="003225E8" w:rsidRDefault="00A02810" w:rsidP="00031422">
      <w:pPr>
        <w:pStyle w:val="FootnoteText"/>
        <w:spacing w:line="240" w:lineRule="auto"/>
        <w:jc w:val="both"/>
        <w:rPr>
          <w:rFonts w:ascii="Times New Roman" w:hAnsi="Times New Roman" w:cs="Times New Roman"/>
          <w:lang w:val="en-GB"/>
        </w:rPr>
      </w:pPr>
      <w:r w:rsidRPr="00BC2F11">
        <w:rPr>
          <w:rStyle w:val="FootnoteReference"/>
          <w:rFonts w:ascii="Times New Roman" w:hAnsi="Times New Roman" w:cs="Times New Roman"/>
        </w:rPr>
        <w:footnoteRef/>
      </w:r>
      <w:r w:rsidRPr="00BC2F11">
        <w:rPr>
          <w:rFonts w:ascii="Times New Roman" w:hAnsi="Times New Roman" w:cs="Times New Roman"/>
        </w:rPr>
        <w:t xml:space="preserve"> </w:t>
      </w:r>
      <w:r w:rsidRPr="003225E8">
        <w:rPr>
          <w:rFonts w:ascii="Times New Roman" w:hAnsi="Times New Roman" w:cs="Times New Roman"/>
          <w:lang w:val="en-GB"/>
        </w:rPr>
        <w:t>Regulation (EU) 2022/2371 of the European Parliament and of the Council of 23 November 2022 on serious cross-border threats to health and repealing Decision No 1082/2013/EU, OJ L 314, 6.12.2022, p. 26</w:t>
      </w:r>
      <w:r w:rsidRPr="003225E8">
        <w:rPr>
          <w:rStyle w:val="Hyperlink"/>
          <w:rFonts w:ascii="Times New Roman" w:hAnsi="Times New Roman" w:cs="Times New Roman"/>
          <w:lang w:val="en-GB"/>
        </w:rPr>
        <w:t xml:space="preserve"> (https://eur-lex.europa.eu/eli/reg/2022/2371/oj)</w:t>
      </w:r>
      <w:r w:rsidRPr="003225E8">
        <w:rPr>
          <w:rFonts w:ascii="Times New Roman" w:hAnsi="Times New Roman" w:cs="Times New Roman"/>
          <w:lang w:val="en-GB"/>
        </w:rPr>
        <w:t>.</w:t>
      </w:r>
    </w:p>
  </w:footnote>
  <w:footnote w:id="2">
    <w:p w14:paraId="2FDA17AE" w14:textId="4CF638C7" w:rsidR="00785B9C" w:rsidRPr="003225E8" w:rsidRDefault="00785B9C" w:rsidP="00031422">
      <w:pPr>
        <w:pStyle w:val="FootnoteText"/>
        <w:spacing w:line="240" w:lineRule="auto"/>
        <w:jc w:val="both"/>
        <w:rPr>
          <w:rFonts w:ascii="Times New Roman" w:hAnsi="Times New Roman" w:cs="Times New Roman"/>
          <w:lang w:val="en-GB"/>
        </w:rPr>
      </w:pPr>
      <w:r w:rsidRPr="003225E8">
        <w:rPr>
          <w:rStyle w:val="FootnoteReference"/>
          <w:rFonts w:ascii="Times New Roman" w:hAnsi="Times New Roman" w:cs="Times New Roman"/>
          <w:lang w:val="en-GB"/>
        </w:rPr>
        <w:footnoteRef/>
      </w:r>
      <w:r w:rsidRPr="003225E8">
        <w:rPr>
          <w:rFonts w:ascii="Times New Roman" w:hAnsi="Times New Roman" w:cs="Times New Roman"/>
          <w:lang w:val="en-GB"/>
        </w:rPr>
        <w:t xml:space="preserve"> Commission Decision establishing the Health Emergency and Response Authority, COM(2021) 6712 final.</w:t>
      </w:r>
    </w:p>
  </w:footnote>
  <w:footnote w:id="3">
    <w:p w14:paraId="78C1AA37" w14:textId="28C2A779" w:rsidR="001F1738" w:rsidRPr="00B769F6" w:rsidRDefault="001F1738" w:rsidP="00031422">
      <w:pPr>
        <w:pStyle w:val="FootnoteText"/>
        <w:spacing w:line="240" w:lineRule="auto"/>
        <w:jc w:val="both"/>
        <w:rPr>
          <w:rFonts w:ascii="Times New Roman" w:hAnsi="Times New Roman" w:cs="Times New Roman"/>
          <w:lang w:val="pt-BR"/>
        </w:rPr>
      </w:pPr>
      <w:r w:rsidRPr="00B769F6">
        <w:rPr>
          <w:rStyle w:val="FootnoteReference"/>
          <w:rFonts w:ascii="Times New Roman" w:hAnsi="Times New Roman" w:cs="Times New Roman"/>
        </w:rPr>
        <w:footnoteRef/>
      </w:r>
      <w:r w:rsidR="00382A88" w:rsidRPr="00B769F6">
        <w:rPr>
          <w:rFonts w:ascii="Times New Roman" w:hAnsi="Times New Roman" w:cs="Times New Roman"/>
          <w:lang w:val="pt-BR"/>
        </w:rPr>
        <w:t> </w:t>
      </w:r>
      <w:r w:rsidRPr="00B769F6">
        <w:rPr>
          <w:rFonts w:ascii="Times New Roman" w:hAnsi="Times New Roman" w:cs="Times New Roman"/>
          <w:lang w:val="pt-BR"/>
        </w:rPr>
        <w:t>COM(2021) 380 final</w:t>
      </w:r>
      <w:r w:rsidR="00930A6E" w:rsidRPr="00B769F6">
        <w:rPr>
          <w:rFonts w:ascii="Times New Roman" w:hAnsi="Times New Roman" w:cs="Times New Roman"/>
          <w:lang w:val="pt-BR"/>
        </w:rPr>
        <w:t>.</w:t>
      </w:r>
    </w:p>
  </w:footnote>
  <w:footnote w:id="4">
    <w:p w14:paraId="38ABF398" w14:textId="4E9F8FB8" w:rsidR="001F1738" w:rsidRPr="00B769F6" w:rsidRDefault="001F1738" w:rsidP="00031422">
      <w:pPr>
        <w:pStyle w:val="FootnoteText"/>
        <w:spacing w:line="240" w:lineRule="auto"/>
        <w:jc w:val="both"/>
        <w:rPr>
          <w:rFonts w:ascii="Times New Roman" w:hAnsi="Times New Roman" w:cs="Times New Roman"/>
          <w:lang w:val="pt-BR"/>
        </w:rPr>
      </w:pPr>
      <w:r w:rsidRPr="00B769F6">
        <w:rPr>
          <w:rStyle w:val="FootnoteReference"/>
          <w:rFonts w:ascii="Times New Roman" w:hAnsi="Times New Roman" w:cs="Times New Roman"/>
        </w:rPr>
        <w:footnoteRef/>
      </w:r>
      <w:r w:rsidR="00382A88" w:rsidRPr="00B769F6">
        <w:rPr>
          <w:rFonts w:ascii="Times New Roman" w:hAnsi="Times New Roman" w:cs="Times New Roman"/>
          <w:lang w:val="pt-BR"/>
        </w:rPr>
        <w:t> </w:t>
      </w:r>
      <w:r w:rsidRPr="00B769F6">
        <w:rPr>
          <w:rFonts w:ascii="Times New Roman" w:hAnsi="Times New Roman" w:cs="Times New Roman"/>
          <w:lang w:val="pt-BR"/>
        </w:rPr>
        <w:t>COM</w:t>
      </w:r>
      <w:r w:rsidR="006C6E3F" w:rsidRPr="00B769F6">
        <w:rPr>
          <w:rFonts w:ascii="Times New Roman" w:hAnsi="Times New Roman" w:cs="Times New Roman"/>
          <w:lang w:val="pt-BR"/>
        </w:rPr>
        <w:t>(</w:t>
      </w:r>
      <w:r w:rsidRPr="00B769F6">
        <w:rPr>
          <w:rFonts w:ascii="Times New Roman" w:hAnsi="Times New Roman" w:cs="Times New Roman"/>
          <w:lang w:val="pt-BR"/>
        </w:rPr>
        <w:t>2022</w:t>
      </w:r>
      <w:r w:rsidR="006C6E3F" w:rsidRPr="00B769F6">
        <w:rPr>
          <w:rFonts w:ascii="Times New Roman" w:hAnsi="Times New Roman" w:cs="Times New Roman"/>
          <w:lang w:val="pt-BR"/>
        </w:rPr>
        <w:t xml:space="preserve">) </w:t>
      </w:r>
      <w:r w:rsidRPr="00B769F6">
        <w:rPr>
          <w:rFonts w:ascii="Times New Roman" w:hAnsi="Times New Roman" w:cs="Times New Roman"/>
          <w:lang w:val="pt-BR"/>
        </w:rPr>
        <w:t>669 final</w:t>
      </w:r>
      <w:r w:rsidR="00930A6E" w:rsidRPr="00B769F6">
        <w:rPr>
          <w:rFonts w:ascii="Times New Roman" w:hAnsi="Times New Roman" w:cs="Times New Roman"/>
          <w:lang w:val="pt-BR"/>
        </w:rPr>
        <w:t>.</w:t>
      </w:r>
    </w:p>
  </w:footnote>
  <w:footnote w:id="5">
    <w:p w14:paraId="00E1C705" w14:textId="5D3235F7" w:rsidR="001F1738" w:rsidRPr="00BC2F11" w:rsidRDefault="001F1738" w:rsidP="00031422">
      <w:pPr>
        <w:pStyle w:val="FootnoteText"/>
        <w:spacing w:line="240" w:lineRule="auto"/>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r w:rsidRPr="00B769F6">
        <w:rPr>
          <w:rFonts w:ascii="Times New Roman" w:hAnsi="Times New Roman" w:cs="Times New Roman"/>
          <w:lang w:val="en-GB"/>
        </w:rPr>
        <w:t xml:space="preserve">Article 9 of Regulation 2022/2371 </w:t>
      </w:r>
      <w:r w:rsidR="00325A0A" w:rsidRPr="00650D45">
        <w:rPr>
          <w:rFonts w:ascii="Times New Roman" w:hAnsi="Times New Roman" w:cs="Times New Roman"/>
          <w:lang w:val="en-GB"/>
        </w:rPr>
        <w:t xml:space="preserve">provides </w:t>
      </w:r>
      <w:r w:rsidRPr="00B769F6">
        <w:rPr>
          <w:rFonts w:ascii="Times New Roman" w:hAnsi="Times New Roman" w:cs="Times New Roman"/>
          <w:lang w:val="en-GB"/>
        </w:rPr>
        <w:t>that the Commission shall</w:t>
      </w:r>
      <w:r w:rsidR="00930A6E" w:rsidRPr="00B769F6">
        <w:rPr>
          <w:rFonts w:ascii="Times New Roman" w:hAnsi="Times New Roman" w:cs="Times New Roman"/>
          <w:lang w:val="en-GB"/>
        </w:rPr>
        <w:t>,</w:t>
      </w:r>
      <w:r w:rsidRPr="00B769F6">
        <w:rPr>
          <w:rFonts w:ascii="Times New Roman" w:hAnsi="Times New Roman" w:cs="Times New Roman"/>
          <w:lang w:val="en-GB"/>
        </w:rPr>
        <w:t xml:space="preserve"> by 27 December 2023 and every </w:t>
      </w:r>
      <w:r w:rsidR="00930A6E" w:rsidRPr="00B769F6">
        <w:rPr>
          <w:rFonts w:ascii="Times New Roman" w:hAnsi="Times New Roman" w:cs="Times New Roman"/>
          <w:lang w:val="en-GB"/>
        </w:rPr>
        <w:t xml:space="preserve">3 </w:t>
      </w:r>
      <w:r w:rsidRPr="00B769F6">
        <w:rPr>
          <w:rFonts w:ascii="Times New Roman" w:hAnsi="Times New Roman" w:cs="Times New Roman"/>
          <w:lang w:val="en-GB"/>
        </w:rPr>
        <w:t xml:space="preserve">years thereafter, transmit to the European Parliament and to the Council a report on the state of play and progress on prevention, preparedness and response planning at </w:t>
      </w:r>
      <w:r w:rsidR="00930A6E" w:rsidRPr="00B769F6">
        <w:rPr>
          <w:rFonts w:ascii="Times New Roman" w:hAnsi="Times New Roman" w:cs="Times New Roman"/>
          <w:lang w:val="en-GB"/>
        </w:rPr>
        <w:t xml:space="preserve">EU </w:t>
      </w:r>
      <w:r w:rsidRPr="00B769F6">
        <w:rPr>
          <w:rFonts w:ascii="Times New Roman" w:hAnsi="Times New Roman" w:cs="Times New Roman"/>
          <w:lang w:val="en-GB"/>
        </w:rPr>
        <w:t>level.</w:t>
      </w:r>
    </w:p>
  </w:footnote>
  <w:footnote w:id="6">
    <w:p w14:paraId="1CEA60F1" w14:textId="77777777" w:rsidR="005B4CF9" w:rsidRPr="00B769F6" w:rsidRDefault="005B4CF9" w:rsidP="00031422">
      <w:pPr>
        <w:pStyle w:val="FootnoteText"/>
        <w:spacing w:line="240" w:lineRule="auto"/>
        <w:jc w:val="both"/>
        <w:rPr>
          <w:rFonts w:ascii="Times New Roman" w:hAnsi="Times New Roman" w:cs="Times New Roman"/>
        </w:rPr>
      </w:pPr>
      <w:r w:rsidRPr="00B769F6">
        <w:rPr>
          <w:rStyle w:val="FootnoteReference"/>
          <w:rFonts w:ascii="Times New Roman" w:hAnsi="Times New Roman" w:cs="Times New Roman"/>
        </w:rPr>
        <w:footnoteRef/>
      </w:r>
      <w:r w:rsidRPr="00B769F6">
        <w:rPr>
          <w:rFonts w:ascii="Times New Roman" w:hAnsi="Times New Roman" w:cs="Times New Roman"/>
        </w:rPr>
        <w:t xml:space="preserve"> As defined in Article 3(7) of Regulation (EU) 2022/2371: </w:t>
      </w:r>
      <w:r w:rsidRPr="00B769F6">
        <w:rPr>
          <w:rFonts w:ascii="Times New Roman" w:hAnsi="Times New Roman" w:cs="Times New Roman"/>
        </w:rPr>
        <w:tab/>
      </w:r>
    </w:p>
    <w:p w14:paraId="6695C808" w14:textId="77777777" w:rsidR="005B4CF9" w:rsidRPr="00B769F6" w:rsidRDefault="005B4CF9" w:rsidP="00031422">
      <w:pPr>
        <w:pStyle w:val="FootnoteText"/>
        <w:spacing w:line="240" w:lineRule="auto"/>
        <w:jc w:val="both"/>
        <w:rPr>
          <w:rFonts w:ascii="Times New Roman" w:hAnsi="Times New Roman" w:cs="Times New Roman"/>
        </w:rPr>
      </w:pPr>
      <w:r w:rsidRPr="00B769F6">
        <w:rPr>
          <w:rFonts w:ascii="Times New Roman" w:hAnsi="Times New Roman" w:cs="Times New Roman"/>
        </w:rPr>
        <w:t>‘One Health’ means a multi-sectoral approach which recognises that human health is connected to animal health and to the environment, and that actions to tackle threats to health must take into account those three dimensions.</w:t>
      </w:r>
    </w:p>
  </w:footnote>
  <w:footnote w:id="7">
    <w:p w14:paraId="5B74B73D" w14:textId="77777777" w:rsidR="00A02810" w:rsidRPr="00031422" w:rsidRDefault="00A02810" w:rsidP="00031422">
      <w:pPr>
        <w:pStyle w:val="FootnoteText"/>
        <w:spacing w:line="240" w:lineRule="auto"/>
        <w:jc w:val="both"/>
        <w:rPr>
          <w:rFonts w:ascii="Times New Roman" w:hAnsi="Times New Roman" w:cs="Times New Roman"/>
        </w:rPr>
      </w:pPr>
      <w:r w:rsidRPr="00BC2F11">
        <w:rPr>
          <w:rStyle w:val="FootnoteReference"/>
          <w:rFonts w:ascii="Times New Roman" w:hAnsi="Times New Roman" w:cs="Times New Roman"/>
        </w:rPr>
        <w:footnoteRef/>
      </w:r>
      <w:r w:rsidRPr="00BC2F11">
        <w:rPr>
          <w:rFonts w:ascii="Times New Roman" w:hAnsi="Times New Roman" w:cs="Times New Roman"/>
        </w:rPr>
        <w:t xml:space="preserve"> </w:t>
      </w:r>
      <w:r w:rsidRPr="00031422">
        <w:rPr>
          <w:rFonts w:ascii="Times New Roman" w:hAnsi="Times New Roman" w:cs="Times New Roman"/>
        </w:rPr>
        <w:t xml:space="preserve">See </w:t>
      </w:r>
      <w:r w:rsidRPr="00031422">
        <w:rPr>
          <w:rFonts w:ascii="Times New Roman" w:hAnsi="Times New Roman" w:cs="Times New Roman"/>
          <w:lang w:val="en-GB"/>
        </w:rPr>
        <w:t>Article 2(1) of Regulation 2022/2371.</w:t>
      </w:r>
    </w:p>
  </w:footnote>
  <w:footnote w:id="8">
    <w:p w14:paraId="759B40CA" w14:textId="77777777" w:rsidR="00750E41" w:rsidRPr="00031422" w:rsidRDefault="00750E41"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Pr="00031422">
        <w:rPr>
          <w:rFonts w:ascii="Times New Roman" w:hAnsi="Times New Roman" w:cs="Times New Roman"/>
        </w:rPr>
        <w:t xml:space="preserve"> </w:t>
      </w:r>
      <w:hyperlink r:id="rId1">
        <w:r w:rsidRPr="00031422">
          <w:rPr>
            <w:rStyle w:val="Hyperlink"/>
            <w:rFonts w:ascii="Times New Roman" w:hAnsi="Times New Roman" w:cs="Times New Roman"/>
          </w:rPr>
          <w:t>https://commission.europa.eu/strategy-and-policy/coronavirus-response/public-health/eu-vaccines-strategy_en</w:t>
        </w:r>
      </w:hyperlink>
      <w:r w:rsidRPr="00031422">
        <w:rPr>
          <w:rFonts w:ascii="Times New Roman" w:hAnsi="Times New Roman" w:cs="Times New Roman"/>
        </w:rPr>
        <w:t xml:space="preserve"> </w:t>
      </w:r>
    </w:p>
  </w:footnote>
  <w:footnote w:id="9">
    <w:p w14:paraId="37319F25" w14:textId="5D4CEE27" w:rsidR="001F1738" w:rsidRPr="00031422" w:rsidRDefault="001F1738"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00382A88" w:rsidRPr="00031422">
        <w:rPr>
          <w:rFonts w:ascii="Times New Roman" w:hAnsi="Times New Roman" w:cs="Times New Roman"/>
        </w:rPr>
        <w:t> </w:t>
      </w:r>
      <w:hyperlink r:id="rId2" w:history="1">
        <w:r w:rsidR="00382A88" w:rsidRPr="00031422">
          <w:rPr>
            <w:rStyle w:val="Hyperlink"/>
            <w:rFonts w:ascii="Times New Roman" w:hAnsi="Times New Roman" w:cs="Times New Roman"/>
          </w:rPr>
          <w:t>https://www.thelancet.com/journals/laninf/article/PIIS1473-3099(22)00320-6/fulltext</w:t>
        </w:r>
      </w:hyperlink>
      <w:r w:rsidRPr="00031422">
        <w:rPr>
          <w:rFonts w:ascii="Times New Roman" w:hAnsi="Times New Roman" w:cs="Times New Roman"/>
        </w:rPr>
        <w:t xml:space="preserve"> </w:t>
      </w:r>
    </w:p>
  </w:footnote>
  <w:footnote w:id="10">
    <w:p w14:paraId="05B311E1" w14:textId="6B59418E" w:rsidR="001F1738" w:rsidRPr="00031422" w:rsidRDefault="001F1738"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00382A88" w:rsidRPr="00031422">
        <w:rPr>
          <w:rFonts w:ascii="Times New Roman" w:hAnsi="Times New Roman" w:cs="Times New Roman"/>
        </w:rPr>
        <w:t> </w:t>
      </w:r>
      <w:hyperlink r:id="rId3" w:history="1">
        <w:r w:rsidR="00382A88" w:rsidRPr="00031422">
          <w:rPr>
            <w:rStyle w:val="Hyperlink"/>
            <w:rFonts w:ascii="Times New Roman" w:hAnsi="Times New Roman" w:cs="Times New Roman"/>
          </w:rPr>
          <w:t>https://www.who.int/publications/i/item/9789241580496</w:t>
        </w:r>
      </w:hyperlink>
      <w:r w:rsidRPr="00031422">
        <w:rPr>
          <w:rFonts w:ascii="Times New Roman" w:hAnsi="Times New Roman" w:cs="Times New Roman"/>
        </w:rPr>
        <w:t xml:space="preserve"> </w:t>
      </w:r>
    </w:p>
  </w:footnote>
  <w:footnote w:id="11">
    <w:p w14:paraId="41C1AA7F" w14:textId="5A34DA4C" w:rsidR="001F1738" w:rsidRPr="00031422" w:rsidRDefault="001F1738"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00382A88" w:rsidRPr="00031422">
        <w:rPr>
          <w:rFonts w:ascii="Times New Roman" w:hAnsi="Times New Roman" w:cs="Times New Roman"/>
        </w:rPr>
        <w:t> </w:t>
      </w:r>
      <w:hyperlink r:id="rId4" w:history="1">
        <w:r w:rsidR="00382A88" w:rsidRPr="00031422">
          <w:rPr>
            <w:rStyle w:val="Hyperlink"/>
            <w:rFonts w:ascii="Times New Roman" w:hAnsi="Times New Roman" w:cs="Times New Roman"/>
          </w:rPr>
          <w:t>https://www.ecdc.europa.eu/en/publications-data/interim-public-health-considerations-covid-19-vaccination-roll-out-during-2023</w:t>
        </w:r>
      </w:hyperlink>
      <w:r w:rsidRPr="00031422">
        <w:rPr>
          <w:rFonts w:ascii="Times New Roman" w:hAnsi="Times New Roman" w:cs="Times New Roman"/>
        </w:rPr>
        <w:t xml:space="preserve"> </w:t>
      </w:r>
    </w:p>
  </w:footnote>
  <w:footnote w:id="12">
    <w:p w14:paraId="3F4785BA" w14:textId="3399B56D" w:rsidR="00EE3209" w:rsidRPr="00031422" w:rsidRDefault="00EE3209" w:rsidP="00031422">
      <w:pPr>
        <w:pStyle w:val="FootnoteText"/>
        <w:spacing w:line="240" w:lineRule="auto"/>
        <w:rPr>
          <w:rFonts w:ascii="Times New Roman" w:hAnsi="Times New Roman" w:cs="Times New Roman"/>
        </w:rPr>
      </w:pPr>
      <w:r w:rsidRPr="00031422">
        <w:rPr>
          <w:rStyle w:val="FootnoteReference"/>
          <w:rFonts w:ascii="Times New Roman" w:hAnsi="Times New Roman" w:cs="Times New Roman"/>
        </w:rPr>
        <w:footnoteRef/>
      </w:r>
      <w:r w:rsidRPr="00031422">
        <w:rPr>
          <w:rFonts w:ascii="Times New Roman" w:hAnsi="Times New Roman" w:cs="Times New Roman"/>
        </w:rPr>
        <w:t xml:space="preserve"> Council Recommendation of 7 December 2018 on strengthened cooperation against vaccine-preventable diseases, OJ C 466, 28.12.2018, p. 1–7 (</w:t>
      </w:r>
      <w:hyperlink r:id="rId5" w:history="1">
        <w:r w:rsidRPr="00031422">
          <w:rPr>
            <w:rStyle w:val="Hyperlink"/>
            <w:rFonts w:ascii="Times New Roman" w:hAnsi="Times New Roman" w:cs="Times New Roman"/>
          </w:rPr>
          <w:t>https://eur-lex.europa.eu/legal-content/GA/TXT/?uri=OJ%3AJOC_2018_466_R_0001</w:t>
        </w:r>
      </w:hyperlink>
      <w:r w:rsidRPr="00031422">
        <w:rPr>
          <w:rFonts w:ascii="Times New Roman" w:hAnsi="Times New Roman" w:cs="Times New Roman"/>
        </w:rPr>
        <w:t>).</w:t>
      </w:r>
    </w:p>
  </w:footnote>
  <w:footnote w:id="13">
    <w:p w14:paraId="3DB6A819" w14:textId="38A77D3C" w:rsidR="001F1738" w:rsidRPr="00031422" w:rsidRDefault="001F1738"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00382A88" w:rsidRPr="00031422">
        <w:rPr>
          <w:rFonts w:ascii="Times New Roman" w:hAnsi="Times New Roman" w:cs="Times New Roman"/>
        </w:rPr>
        <w:t> </w:t>
      </w:r>
      <w:hyperlink r:id="rId6" w:history="1">
        <w:r w:rsidR="00382A88" w:rsidRPr="00031422">
          <w:rPr>
            <w:rStyle w:val="Hyperlink"/>
            <w:rFonts w:ascii="Times New Roman" w:hAnsi="Times New Roman" w:cs="Times New Roman"/>
          </w:rPr>
          <w:t>https://health.ec.europa.eu/system/files/2022-12/2019-2022_roadmap_en.pdf</w:t>
        </w:r>
      </w:hyperlink>
      <w:r w:rsidRPr="00031422">
        <w:rPr>
          <w:rFonts w:ascii="Times New Roman" w:hAnsi="Times New Roman" w:cs="Times New Roman"/>
        </w:rPr>
        <w:t xml:space="preserve"> </w:t>
      </w:r>
    </w:p>
  </w:footnote>
  <w:footnote w:id="14">
    <w:p w14:paraId="235B9862" w14:textId="0C7C48A8" w:rsidR="001F1738" w:rsidRPr="00031422" w:rsidRDefault="001F1738"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00382A88" w:rsidRPr="00031422">
        <w:rPr>
          <w:rFonts w:ascii="Times New Roman" w:hAnsi="Times New Roman" w:cs="Times New Roman"/>
        </w:rPr>
        <w:t> </w:t>
      </w:r>
      <w:hyperlink r:id="rId7" w:history="1">
        <w:r w:rsidR="00382A88" w:rsidRPr="00031422">
          <w:rPr>
            <w:rStyle w:val="Hyperlink"/>
            <w:rFonts w:ascii="Times New Roman" w:hAnsi="Times New Roman" w:cs="Times New Roman"/>
          </w:rPr>
          <w:t>https://op.europa.eu/en/publication-detail/-/publication/8ba3bd75-7c38-11ed-9887-01aa75ed71a1/language-en</w:t>
        </w:r>
      </w:hyperlink>
      <w:r w:rsidRPr="00031422">
        <w:rPr>
          <w:rFonts w:ascii="Times New Roman" w:hAnsi="Times New Roman" w:cs="Times New Roman"/>
        </w:rPr>
        <w:t xml:space="preserve"> </w:t>
      </w:r>
    </w:p>
  </w:footnote>
  <w:footnote w:id="15">
    <w:p w14:paraId="0BF19E27" w14:textId="16FC110D" w:rsidR="001F1738" w:rsidRPr="00031422" w:rsidRDefault="001F1738"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00382A88" w:rsidRPr="00031422">
        <w:rPr>
          <w:rFonts w:ascii="Times New Roman" w:hAnsi="Times New Roman" w:cs="Times New Roman"/>
        </w:rPr>
        <w:t> </w:t>
      </w:r>
      <w:hyperlink r:id="rId8" w:history="1">
        <w:r w:rsidR="00382A88" w:rsidRPr="00031422">
          <w:rPr>
            <w:rStyle w:val="Hyperlink"/>
            <w:rFonts w:ascii="Times New Roman" w:hAnsi="Times New Roman" w:cs="Times New Roman"/>
          </w:rPr>
          <w:t>https://knowledge4policy.ec.europa.eu/projects-activities/behavioural-insights-eu-bi4eu_en</w:t>
        </w:r>
      </w:hyperlink>
      <w:r w:rsidRPr="00031422">
        <w:rPr>
          <w:rFonts w:ascii="Times New Roman" w:hAnsi="Times New Roman" w:cs="Times New Roman"/>
        </w:rPr>
        <w:t xml:space="preserve"> </w:t>
      </w:r>
    </w:p>
  </w:footnote>
  <w:footnote w:id="16">
    <w:p w14:paraId="4F4CFAA2" w14:textId="5F26E627" w:rsidR="001F1738" w:rsidRPr="00031422" w:rsidRDefault="001F1738"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00382A88" w:rsidRPr="00031422">
        <w:rPr>
          <w:rFonts w:ascii="Times New Roman" w:hAnsi="Times New Roman" w:cs="Times New Roman"/>
        </w:rPr>
        <w:t> </w:t>
      </w:r>
      <w:hyperlink r:id="rId9" w:history="1">
        <w:r w:rsidR="00382A88" w:rsidRPr="00031422">
          <w:rPr>
            <w:rStyle w:val="Hyperlink"/>
            <w:rFonts w:ascii="Times New Roman" w:hAnsi="Times New Roman" w:cs="Times New Roman"/>
          </w:rPr>
          <w:t>https://vaccination-info.eu/en</w:t>
        </w:r>
      </w:hyperlink>
      <w:r w:rsidRPr="00031422">
        <w:rPr>
          <w:rFonts w:ascii="Times New Roman" w:hAnsi="Times New Roman" w:cs="Times New Roman"/>
        </w:rPr>
        <w:t xml:space="preserve"> </w:t>
      </w:r>
    </w:p>
  </w:footnote>
  <w:footnote w:id="17">
    <w:p w14:paraId="57380918" w14:textId="72585C7A" w:rsidR="001F1738" w:rsidRPr="00031422" w:rsidRDefault="001F1738"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00382A88" w:rsidRPr="00031422">
        <w:rPr>
          <w:rFonts w:ascii="Times New Roman" w:hAnsi="Times New Roman" w:cs="Times New Roman"/>
        </w:rPr>
        <w:t> </w:t>
      </w:r>
      <w:hyperlink r:id="rId10" w:history="1">
        <w:r w:rsidR="00382A88" w:rsidRPr="00031422">
          <w:rPr>
            <w:rStyle w:val="Hyperlink"/>
            <w:rFonts w:ascii="Times New Roman" w:hAnsi="Times New Roman" w:cs="Times New Roman"/>
          </w:rPr>
          <w:t>https://health.ec.europa.eu/non-communicable-diseases/expert-group-public-health_en</w:t>
        </w:r>
      </w:hyperlink>
      <w:r w:rsidRPr="00031422">
        <w:rPr>
          <w:rFonts w:ascii="Times New Roman" w:hAnsi="Times New Roman" w:cs="Times New Roman"/>
        </w:rPr>
        <w:t xml:space="preserve"> </w:t>
      </w:r>
    </w:p>
  </w:footnote>
  <w:footnote w:id="18">
    <w:p w14:paraId="7C32239B" w14:textId="77777777" w:rsidR="00A02810" w:rsidRPr="00B769F6" w:rsidRDefault="00A02810" w:rsidP="00031422">
      <w:pPr>
        <w:pStyle w:val="FootnoteText"/>
        <w:spacing w:line="240" w:lineRule="auto"/>
        <w:jc w:val="both"/>
        <w:rPr>
          <w:rFonts w:ascii="Times New Roman" w:hAnsi="Times New Roman" w:cs="Times New Roman"/>
        </w:rPr>
      </w:pPr>
      <w:r w:rsidRPr="00031422">
        <w:rPr>
          <w:rStyle w:val="FootnoteReference"/>
          <w:rFonts w:ascii="Times New Roman" w:hAnsi="Times New Roman" w:cs="Times New Roman"/>
        </w:rPr>
        <w:footnoteRef/>
      </w:r>
      <w:r w:rsidRPr="00031422">
        <w:rPr>
          <w:rFonts w:ascii="Times New Roman" w:hAnsi="Times New Roman" w:cs="Times New Roman"/>
        </w:rPr>
        <w:t xml:space="preserve"> </w:t>
      </w:r>
      <w:hyperlink r:id="rId11" w:history="1">
        <w:r w:rsidRPr="00031422">
          <w:rPr>
            <w:rStyle w:val="Hyperlink"/>
            <w:rFonts w:ascii="Times New Roman" w:hAnsi="Times New Roman" w:cs="Times New Roman"/>
          </w:rPr>
          <w:t>https://eva.ecdc.europa.eu/</w:t>
        </w:r>
      </w:hyperlink>
      <w:r w:rsidRPr="00B769F6">
        <w:rPr>
          <w:rFonts w:ascii="Times New Roman" w:hAnsi="Times New Roman" w:cs="Times New Roman"/>
        </w:rPr>
        <w:t xml:space="preserve"> </w:t>
      </w:r>
    </w:p>
  </w:footnote>
  <w:footnote w:id="19">
    <w:p w14:paraId="1BC1BB4F" w14:textId="42E0AD41" w:rsidR="001F1738" w:rsidRPr="00B769F6" w:rsidRDefault="001F1738" w:rsidP="00031422">
      <w:pPr>
        <w:pStyle w:val="FootnoteText"/>
        <w:spacing w:line="240" w:lineRule="auto"/>
        <w:contextualSpacing/>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12" w:history="1">
        <w:r w:rsidR="00382A88" w:rsidRPr="00B769F6">
          <w:rPr>
            <w:rStyle w:val="Hyperlink"/>
            <w:rFonts w:ascii="Times New Roman" w:hAnsi="Times New Roman" w:cs="Times New Roman"/>
          </w:rPr>
          <w:t>https://eur-lex.europa.eu/legal-content/EN/TXT/?uri=COM:2021:44:FIN</w:t>
        </w:r>
      </w:hyperlink>
      <w:r w:rsidRPr="00B769F6">
        <w:rPr>
          <w:rFonts w:ascii="Times New Roman" w:hAnsi="Times New Roman" w:cs="Times New Roman"/>
        </w:rPr>
        <w:t xml:space="preserve"> </w:t>
      </w:r>
    </w:p>
  </w:footnote>
  <w:footnote w:id="20">
    <w:p w14:paraId="6DE3EDAF" w14:textId="09D09FB6" w:rsidR="001F1738" w:rsidRPr="00B769F6" w:rsidRDefault="001F1738" w:rsidP="00031422">
      <w:pPr>
        <w:pStyle w:val="FootnoteText"/>
        <w:spacing w:line="240" w:lineRule="auto"/>
        <w:contextualSpacing/>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13" w:history="1">
        <w:r w:rsidR="00382A88" w:rsidRPr="00B769F6">
          <w:rPr>
            <w:rStyle w:val="Hyperlink"/>
            <w:rFonts w:ascii="Times New Roman" w:hAnsi="Times New Roman" w:cs="Times New Roman"/>
          </w:rPr>
          <w:t>https://www.ecdc.europa.eu/sites/default/files/documents/Health-burden-infections-antibiotic-resistant-bacteria.pdf</w:t>
        </w:r>
      </w:hyperlink>
    </w:p>
  </w:footnote>
  <w:footnote w:id="21">
    <w:p w14:paraId="5C22339B" w14:textId="238BD1E0" w:rsidR="001F1738" w:rsidRPr="00B769F6" w:rsidRDefault="001F1738" w:rsidP="00031422">
      <w:pPr>
        <w:pStyle w:val="FootnoteText"/>
        <w:spacing w:line="240" w:lineRule="auto"/>
        <w:contextualSpacing/>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14" w:history="1">
        <w:r w:rsidR="00382A88" w:rsidRPr="00B769F6">
          <w:rPr>
            <w:rStyle w:val="Hyperlink"/>
            <w:rFonts w:ascii="Times New Roman" w:hAnsi="Times New Roman" w:cs="Times New Roman"/>
          </w:rPr>
          <w:t>https://health.ec.europa.eu/system/files/2020-01/amr_2017_action-plan_0.pdf</w:t>
        </w:r>
      </w:hyperlink>
      <w:r w:rsidRPr="00B769F6">
        <w:rPr>
          <w:rFonts w:ascii="Times New Roman" w:hAnsi="Times New Roman" w:cs="Times New Roman"/>
        </w:rPr>
        <w:t xml:space="preserve"> </w:t>
      </w:r>
    </w:p>
  </w:footnote>
  <w:footnote w:id="22">
    <w:p w14:paraId="4872EC60" w14:textId="77777777" w:rsidR="002A5AB8" w:rsidRDefault="001F1738" w:rsidP="00031422">
      <w:pPr>
        <w:pStyle w:val="FootnoteText"/>
        <w:spacing w:line="240" w:lineRule="auto"/>
        <w:contextualSpacing/>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r w:rsidR="00BA233D" w:rsidRPr="00B769F6">
        <w:rPr>
          <w:rFonts w:ascii="Times New Roman" w:hAnsi="Times New Roman" w:cs="Times New Roman"/>
        </w:rPr>
        <w:t>Council Recommendation on stepping up EU actions to combat antimicrobial resistance in a One Health approach (2023/C 220/01), OJ C 220, 22.6.2023, p. 1–20</w:t>
      </w:r>
      <w:r w:rsidR="002A5AB8">
        <w:rPr>
          <w:rFonts w:ascii="Times New Roman" w:hAnsi="Times New Roman" w:cs="Times New Roman"/>
        </w:rPr>
        <w:t>.</w:t>
      </w:r>
    </w:p>
    <w:p w14:paraId="2722A3D7" w14:textId="3AB4E2F0" w:rsidR="001F1738" w:rsidRPr="00B769F6" w:rsidRDefault="00BA233D" w:rsidP="00031422">
      <w:pPr>
        <w:pStyle w:val="FootnoteText"/>
        <w:spacing w:line="240" w:lineRule="auto"/>
        <w:jc w:val="both"/>
        <w:rPr>
          <w:rFonts w:ascii="Times New Roman" w:hAnsi="Times New Roman" w:cs="Times New Roman"/>
        </w:rPr>
      </w:pPr>
      <w:r w:rsidRPr="00B769F6">
        <w:rPr>
          <w:rFonts w:ascii="Times New Roman" w:hAnsi="Times New Roman" w:cs="Times New Roman"/>
        </w:rPr>
        <w:t xml:space="preserve"> (</w:t>
      </w:r>
      <w:hyperlink r:id="rId15" w:history="1">
        <w:r w:rsidRPr="002A5AB8">
          <w:rPr>
            <w:rStyle w:val="Hyperlink"/>
            <w:rFonts w:ascii="Times New Roman" w:hAnsi="Times New Roman" w:cs="Times New Roman"/>
          </w:rPr>
          <w:t>https://eur-lex.europa.eu/legal-content/EN/TXT/?uri=CELEX%3A32023H0622%2801%29</w:t>
        </w:r>
      </w:hyperlink>
      <w:r w:rsidRPr="00B769F6">
        <w:rPr>
          <w:rFonts w:ascii="Times New Roman" w:hAnsi="Times New Roman" w:cs="Times New Roman"/>
        </w:rPr>
        <w:t>).</w:t>
      </w:r>
      <w:r w:rsidRPr="00B769F6" w:rsidDel="00BA233D">
        <w:rPr>
          <w:rFonts w:ascii="Times New Roman" w:hAnsi="Times New Roman" w:cs="Times New Roman"/>
        </w:rPr>
        <w:t xml:space="preserve"> </w:t>
      </w:r>
    </w:p>
  </w:footnote>
  <w:footnote w:id="23">
    <w:p w14:paraId="13CD6708" w14:textId="7CFB6739" w:rsidR="001F1738" w:rsidRPr="00B769F6" w:rsidRDefault="001F1738" w:rsidP="00031422">
      <w:pPr>
        <w:pStyle w:val="FootnoteText"/>
        <w:spacing w:line="240" w:lineRule="auto"/>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16" w:history="1">
        <w:r w:rsidR="00382A88" w:rsidRPr="00B769F6">
          <w:rPr>
            <w:rStyle w:val="Hyperlink"/>
            <w:rFonts w:ascii="Times New Roman" w:hAnsi="Times New Roman" w:cs="Times New Roman"/>
          </w:rPr>
          <w:t>https://commission.europa.eu/strategy-and-policy/priorities-2019-2024/promoting-our-european-way-life/european-health-union/reform-eu-pharmaceutical-legislation_en</w:t>
        </w:r>
      </w:hyperlink>
    </w:p>
  </w:footnote>
  <w:footnote w:id="24">
    <w:p w14:paraId="66185EF0" w14:textId="54D06B3F" w:rsidR="004A3885" w:rsidRPr="00BC2F11" w:rsidRDefault="004A3885" w:rsidP="00031422">
      <w:pPr>
        <w:pStyle w:val="FootnoteText"/>
        <w:spacing w:line="240" w:lineRule="auto"/>
        <w:jc w:val="both"/>
        <w:rPr>
          <w:rFonts w:ascii="Times New Roman" w:hAnsi="Times New Roman" w:cs="Times New Roman"/>
        </w:rPr>
      </w:pPr>
      <w:r w:rsidRPr="00BC2F11">
        <w:rPr>
          <w:rStyle w:val="FootnoteReference"/>
          <w:rFonts w:ascii="Times New Roman" w:hAnsi="Times New Roman" w:cs="Times New Roman"/>
        </w:rPr>
        <w:footnoteRef/>
      </w:r>
      <w:r w:rsidRPr="00BC2F11">
        <w:rPr>
          <w:rFonts w:ascii="Times New Roman" w:hAnsi="Times New Roman" w:cs="Times New Roman"/>
        </w:rPr>
        <w:t xml:space="preserve"> The voucher will offer to the developer an additional year of data protection from competition for the medicine that the voucher </w:t>
      </w:r>
      <w:r w:rsidR="005442EC">
        <w:rPr>
          <w:rFonts w:ascii="Times New Roman" w:hAnsi="Times New Roman" w:cs="Times New Roman"/>
        </w:rPr>
        <w:t>is used for</w:t>
      </w:r>
      <w:r w:rsidRPr="00BC2F11">
        <w:rPr>
          <w:rFonts w:ascii="Times New Roman" w:hAnsi="Times New Roman" w:cs="Times New Roman"/>
        </w:rPr>
        <w:t>.</w:t>
      </w:r>
    </w:p>
  </w:footnote>
  <w:footnote w:id="25">
    <w:p w14:paraId="03DE0932" w14:textId="30F7AEA3" w:rsidR="002F4CA6" w:rsidRPr="00BC2F11" w:rsidRDefault="002F4CA6" w:rsidP="00031422">
      <w:pPr>
        <w:pStyle w:val="FootnoteText"/>
        <w:spacing w:line="240" w:lineRule="auto"/>
        <w:jc w:val="both"/>
        <w:rPr>
          <w:rFonts w:ascii="Times New Roman" w:hAnsi="Times New Roman" w:cs="Times New Roman"/>
        </w:rPr>
      </w:pPr>
      <w:r w:rsidRPr="00BC2F11">
        <w:rPr>
          <w:rStyle w:val="FootnoteReference"/>
          <w:rFonts w:ascii="Times New Roman" w:hAnsi="Times New Roman" w:cs="Times New Roman"/>
        </w:rPr>
        <w:footnoteRef/>
      </w:r>
      <w:r w:rsidRPr="00BC2F11">
        <w:rPr>
          <w:rFonts w:ascii="Times New Roman" w:hAnsi="Times New Roman" w:cs="Times New Roman"/>
        </w:rPr>
        <w:t xml:space="preserve"> </w:t>
      </w:r>
      <w:hyperlink r:id="rId17" w:history="1">
        <w:r w:rsidRPr="002A5AB8">
          <w:rPr>
            <w:rStyle w:val="Hyperlink"/>
            <w:rFonts w:ascii="Times New Roman" w:hAnsi="Times New Roman" w:cs="Times New Roman"/>
          </w:rPr>
          <w:t>https://health.ec.europa.eu/funding/eu4health-programme-2021-2027-vision-healthier-european-union_en</w:t>
        </w:r>
      </w:hyperlink>
    </w:p>
  </w:footnote>
  <w:footnote w:id="26">
    <w:p w14:paraId="725E8F96" w14:textId="27D29113" w:rsidR="00831B85" w:rsidRPr="00BC2F11" w:rsidRDefault="00831B85" w:rsidP="00031422">
      <w:pPr>
        <w:pStyle w:val="FootnoteText"/>
        <w:spacing w:line="240" w:lineRule="auto"/>
        <w:jc w:val="both"/>
        <w:rPr>
          <w:rFonts w:ascii="Times New Roman" w:hAnsi="Times New Roman" w:cs="Times New Roman"/>
        </w:rPr>
      </w:pPr>
      <w:r w:rsidRPr="00BC2F11">
        <w:rPr>
          <w:rStyle w:val="FootnoteReference"/>
          <w:rFonts w:ascii="Times New Roman" w:hAnsi="Times New Roman" w:cs="Times New Roman"/>
        </w:rPr>
        <w:footnoteRef/>
      </w:r>
      <w:r w:rsidRPr="00BC2F11">
        <w:rPr>
          <w:rFonts w:ascii="Times New Roman" w:hAnsi="Times New Roman" w:cs="Times New Roman"/>
        </w:rPr>
        <w:t xml:space="preserve"> See also below section on </w:t>
      </w:r>
      <w:r w:rsidR="003C568F" w:rsidRPr="00BC2F11">
        <w:rPr>
          <w:rFonts w:ascii="Times New Roman" w:hAnsi="Times New Roman" w:cs="Times New Roman"/>
        </w:rPr>
        <w:t>safe and effective medicinal products and medical devices.</w:t>
      </w:r>
    </w:p>
  </w:footnote>
  <w:footnote w:id="27">
    <w:p w14:paraId="24A0A05D" w14:textId="77777777" w:rsidR="009F619B" w:rsidRDefault="009F619B" w:rsidP="00031422">
      <w:pPr>
        <w:pStyle w:val="FootnoteText"/>
        <w:spacing w:line="240" w:lineRule="auto"/>
      </w:pPr>
      <w:r>
        <w:rPr>
          <w:rStyle w:val="FootnoteReference"/>
        </w:rPr>
        <w:footnoteRef/>
      </w:r>
      <w:r w:rsidRPr="00B43F78">
        <w:rPr>
          <w:rFonts w:ascii="Times New Roman" w:hAnsi="Times New Roman" w:cs="Times New Roman"/>
        </w:rPr>
        <w:t> </w:t>
      </w:r>
      <w:r>
        <w:rPr>
          <w:rFonts w:ascii="Times New Roman" w:hAnsi="Times New Roman" w:cs="Times New Roman"/>
        </w:rPr>
        <w:t>Communication from the Commission to the European Parliament, the Council, the European Economic and Social Committee and the Committee of the Regions: Addressing medicine shortages in the EU, COM(2023) 672 final</w:t>
      </w:r>
      <w:r w:rsidRPr="00A776EE">
        <w:t xml:space="preserve"> </w:t>
      </w:r>
      <w:r>
        <w:t>(</w:t>
      </w:r>
      <w:hyperlink r:id="rId18" w:history="1">
        <w:r w:rsidRPr="00363EDB">
          <w:rPr>
            <w:rStyle w:val="Hyperlink"/>
            <w:rFonts w:ascii="Times New Roman" w:hAnsi="Times New Roman" w:cs="Times New Roman"/>
          </w:rPr>
          <w:t>https://eur-lex.europa.eu/legal-content/EN/TXT/?uri=COM:2023:672:FIN</w:t>
        </w:r>
      </w:hyperlink>
      <w:r>
        <w:rPr>
          <w:rFonts w:ascii="Times New Roman" w:hAnsi="Times New Roman" w:cs="Times New Roman"/>
        </w:rPr>
        <w:t xml:space="preserve">). </w:t>
      </w:r>
    </w:p>
  </w:footnote>
  <w:footnote w:id="28">
    <w:p w14:paraId="49F64AF0" w14:textId="53B3FED3" w:rsidR="001F1738" w:rsidRPr="00650D45" w:rsidRDefault="001F1738" w:rsidP="00BC2F11">
      <w:pPr>
        <w:pStyle w:val="FootnoteText"/>
        <w:jc w:val="both"/>
        <w:rPr>
          <w:rFonts w:ascii="Times New Roman" w:hAnsi="Times New Roman" w:cs="Times New Roman"/>
          <w:lang w:val="cs-CZ"/>
        </w:rPr>
      </w:pPr>
      <w:r w:rsidRPr="00B769F6">
        <w:rPr>
          <w:rStyle w:val="FootnoteReference"/>
          <w:rFonts w:ascii="Times New Roman" w:hAnsi="Times New Roman" w:cs="Times New Roman"/>
        </w:rPr>
        <w:footnoteRef/>
      </w:r>
      <w:r w:rsidR="00382A88" w:rsidRPr="00650D45">
        <w:rPr>
          <w:rFonts w:ascii="Times New Roman" w:hAnsi="Times New Roman" w:cs="Times New Roman"/>
          <w:lang w:val="cs-CZ"/>
        </w:rPr>
        <w:t> </w:t>
      </w:r>
      <w:hyperlink r:id="rId19" w:history="1">
        <w:r w:rsidR="00382A88" w:rsidRPr="00650D45">
          <w:rPr>
            <w:rStyle w:val="Hyperlink"/>
            <w:rFonts w:ascii="Times New Roman" w:hAnsi="Times New Roman" w:cs="Times New Roman"/>
            <w:lang w:val="cs-CZ"/>
          </w:rPr>
          <w:t>https://gardp.org/</w:t>
        </w:r>
      </w:hyperlink>
      <w:r w:rsidRPr="00650D45">
        <w:rPr>
          <w:rFonts w:ascii="Times New Roman" w:hAnsi="Times New Roman" w:cs="Times New Roman"/>
          <w:lang w:val="cs-CZ"/>
        </w:rPr>
        <w:t xml:space="preserve"> </w:t>
      </w:r>
    </w:p>
  </w:footnote>
  <w:footnote w:id="29">
    <w:p w14:paraId="08A5B966" w14:textId="33459E8C" w:rsidR="001F1738" w:rsidRPr="00650D45" w:rsidRDefault="001F1738" w:rsidP="00BC2F11">
      <w:pPr>
        <w:pStyle w:val="FootnoteText"/>
        <w:jc w:val="both"/>
        <w:rPr>
          <w:rFonts w:ascii="Times New Roman" w:hAnsi="Times New Roman" w:cs="Times New Roman"/>
          <w:lang w:val="cs-CZ"/>
        </w:rPr>
      </w:pPr>
      <w:r w:rsidRPr="00B769F6">
        <w:rPr>
          <w:rStyle w:val="FootnoteReference"/>
          <w:rFonts w:ascii="Times New Roman" w:hAnsi="Times New Roman" w:cs="Times New Roman"/>
        </w:rPr>
        <w:footnoteRef/>
      </w:r>
      <w:r w:rsidR="00382A88" w:rsidRPr="00650D45">
        <w:rPr>
          <w:rFonts w:ascii="Times New Roman" w:hAnsi="Times New Roman" w:cs="Times New Roman"/>
          <w:lang w:val="cs-CZ"/>
        </w:rPr>
        <w:t> </w:t>
      </w:r>
      <w:hyperlink r:id="rId20" w:history="1">
        <w:r w:rsidR="00382A88" w:rsidRPr="00650D45">
          <w:rPr>
            <w:rStyle w:val="Hyperlink"/>
            <w:rFonts w:ascii="Times New Roman" w:hAnsi="Times New Roman" w:cs="Times New Roman"/>
            <w:lang w:val="cs-CZ"/>
          </w:rPr>
          <w:t>https://www.who.int/groups/secure-expanding-sustainable-access-to-antibiotics</w:t>
        </w:r>
      </w:hyperlink>
    </w:p>
  </w:footnote>
  <w:footnote w:id="30">
    <w:p w14:paraId="58C63A39" w14:textId="0B764C09"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r w:rsidR="001C1A99" w:rsidRPr="00B769F6">
        <w:rPr>
          <w:rFonts w:ascii="Times New Roman" w:hAnsi="Times New Roman" w:cs="Times New Roman"/>
        </w:rPr>
        <w:t xml:space="preserve">A total of </w:t>
      </w:r>
      <w:r w:rsidRPr="00B769F6">
        <w:rPr>
          <w:rFonts w:ascii="Times New Roman" w:hAnsi="Times New Roman" w:cs="Times New Roman"/>
        </w:rPr>
        <w:t>EUR</w:t>
      </w:r>
      <w:r w:rsidR="000F7AAC" w:rsidRPr="00B769F6">
        <w:rPr>
          <w:rFonts w:ascii="Times New Roman" w:hAnsi="Times New Roman" w:cs="Times New Roman"/>
        </w:rPr>
        <w:t> </w:t>
      </w:r>
      <w:r w:rsidRPr="00B769F6">
        <w:rPr>
          <w:rFonts w:ascii="Times New Roman" w:hAnsi="Times New Roman" w:cs="Times New Roman"/>
        </w:rPr>
        <w:t>8</w:t>
      </w:r>
      <w:r w:rsidR="000F7AAC" w:rsidRPr="00B769F6">
        <w:rPr>
          <w:rFonts w:ascii="Times New Roman" w:hAnsi="Times New Roman" w:cs="Times New Roman"/>
        </w:rPr>
        <w:t> </w:t>
      </w:r>
      <w:r w:rsidRPr="00B769F6">
        <w:rPr>
          <w:rFonts w:ascii="Times New Roman" w:hAnsi="Times New Roman" w:cs="Times New Roman"/>
        </w:rPr>
        <w:t xml:space="preserve">million </w:t>
      </w:r>
      <w:r w:rsidR="001C1A99" w:rsidRPr="00B769F6">
        <w:rPr>
          <w:rFonts w:ascii="Times New Roman" w:hAnsi="Times New Roman" w:cs="Times New Roman"/>
        </w:rPr>
        <w:t xml:space="preserve">was </w:t>
      </w:r>
      <w:r w:rsidRPr="00B769F6">
        <w:rPr>
          <w:rFonts w:ascii="Times New Roman" w:hAnsi="Times New Roman" w:cs="Times New Roman"/>
        </w:rPr>
        <w:t>provided under the action CP-g-06.7</w:t>
      </w:r>
      <w:r w:rsidR="00E019DC" w:rsidRPr="00B769F6">
        <w:rPr>
          <w:rFonts w:ascii="Times New Roman" w:hAnsi="Times New Roman" w:cs="Times New Roman"/>
        </w:rPr>
        <w:t>: ‘</w:t>
      </w:r>
      <w:r w:rsidRPr="00B769F6">
        <w:rPr>
          <w:rFonts w:ascii="Times New Roman" w:hAnsi="Times New Roman" w:cs="Times New Roman"/>
        </w:rPr>
        <w:t>Strengthening preparedness and response to cross-border health threats at global level</w:t>
      </w:r>
      <w:r w:rsidR="00E019DC" w:rsidRPr="00B769F6">
        <w:rPr>
          <w:rFonts w:ascii="Times New Roman" w:hAnsi="Times New Roman" w:cs="Times New Roman"/>
        </w:rPr>
        <w:t>’</w:t>
      </w:r>
      <w:r w:rsidRPr="00B769F6">
        <w:rPr>
          <w:rFonts w:ascii="Times New Roman" w:hAnsi="Times New Roman" w:cs="Times New Roman"/>
        </w:rPr>
        <w:t xml:space="preserve"> (EU4Health Work Programme 2021)</w:t>
      </w:r>
      <w:r w:rsidR="001C1A99" w:rsidRPr="00B769F6">
        <w:rPr>
          <w:rFonts w:ascii="Times New Roman" w:hAnsi="Times New Roman" w:cs="Times New Roman"/>
        </w:rPr>
        <w:t>.</w:t>
      </w:r>
    </w:p>
  </w:footnote>
  <w:footnote w:id="31">
    <w:p w14:paraId="47B47113" w14:textId="60737E72"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r w:rsidR="00E019DC" w:rsidRPr="00B769F6">
        <w:rPr>
          <w:rFonts w:ascii="Times New Roman" w:hAnsi="Times New Roman" w:cs="Times New Roman"/>
        </w:rPr>
        <w:t>The Commission has issued a</w:t>
      </w:r>
      <w:r w:rsidR="00215C1F" w:rsidRPr="00B769F6">
        <w:rPr>
          <w:rFonts w:ascii="Times New Roman" w:hAnsi="Times New Roman" w:cs="Times New Roman"/>
        </w:rPr>
        <w:t xml:space="preserve">n </w:t>
      </w:r>
      <w:r w:rsidRPr="00B769F6">
        <w:rPr>
          <w:rFonts w:ascii="Times New Roman" w:hAnsi="Times New Roman" w:cs="Times New Roman"/>
        </w:rPr>
        <w:t>EUR</w:t>
      </w:r>
      <w:r w:rsidR="00215C1F" w:rsidRPr="00B769F6">
        <w:rPr>
          <w:rFonts w:ascii="Times New Roman" w:hAnsi="Times New Roman" w:cs="Times New Roman"/>
        </w:rPr>
        <w:t> </w:t>
      </w:r>
      <w:r w:rsidRPr="00B769F6">
        <w:rPr>
          <w:rFonts w:ascii="Times New Roman" w:hAnsi="Times New Roman" w:cs="Times New Roman"/>
        </w:rPr>
        <w:t>82</w:t>
      </w:r>
      <w:r w:rsidR="00215C1F" w:rsidRPr="00B769F6">
        <w:rPr>
          <w:rFonts w:ascii="Times New Roman" w:hAnsi="Times New Roman" w:cs="Times New Roman"/>
        </w:rPr>
        <w:t> </w:t>
      </w:r>
      <w:r w:rsidRPr="00B769F6">
        <w:rPr>
          <w:rFonts w:ascii="Times New Roman" w:hAnsi="Times New Roman" w:cs="Times New Roman"/>
        </w:rPr>
        <w:t xml:space="preserve">million call </w:t>
      </w:r>
      <w:r w:rsidR="00E019DC" w:rsidRPr="00B769F6">
        <w:rPr>
          <w:rFonts w:ascii="Times New Roman" w:hAnsi="Times New Roman" w:cs="Times New Roman"/>
        </w:rPr>
        <w:t>for tenders: ‘</w:t>
      </w:r>
      <w:r w:rsidRPr="00B769F6">
        <w:rPr>
          <w:rFonts w:ascii="Times New Roman" w:hAnsi="Times New Roman" w:cs="Times New Roman"/>
        </w:rPr>
        <w:t>Speed up the Development of and Access to Innovative Medical Countermeasures</w:t>
      </w:r>
      <w:r w:rsidR="00E019DC" w:rsidRPr="00B769F6">
        <w:rPr>
          <w:rFonts w:ascii="Times New Roman" w:hAnsi="Times New Roman" w:cs="Times New Roman"/>
        </w:rPr>
        <w:t>’.</w:t>
      </w:r>
    </w:p>
  </w:footnote>
  <w:footnote w:id="32">
    <w:p w14:paraId="7062D3F8" w14:textId="49C6BA59"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21" w:history="1">
        <w:r w:rsidR="00382A88" w:rsidRPr="00B769F6">
          <w:rPr>
            <w:rStyle w:val="Hyperlink"/>
            <w:rFonts w:ascii="Times New Roman" w:hAnsi="Times New Roman" w:cs="Times New Roman"/>
          </w:rPr>
          <w:t>https://www.jpiamr.eu/activities/one-health-amr/design-oh-amr/</w:t>
        </w:r>
      </w:hyperlink>
      <w:r w:rsidR="0061698F" w:rsidRPr="00B769F6">
        <w:rPr>
          <w:rFonts w:ascii="Times New Roman" w:hAnsi="Times New Roman" w:cs="Times New Roman"/>
        </w:rPr>
        <w:t xml:space="preserve"> </w:t>
      </w:r>
    </w:p>
  </w:footnote>
  <w:footnote w:id="33">
    <w:p w14:paraId="670F1A99" w14:textId="0E346AF8" w:rsidR="00E14569" w:rsidRPr="00B769F6" w:rsidRDefault="00E14569"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hyperlink r:id="rId22" w:history="1">
        <w:r w:rsidR="009C65E8" w:rsidRPr="00E53035">
          <w:rPr>
            <w:rStyle w:val="Hyperlink"/>
            <w:rFonts w:ascii="Times New Roman" w:hAnsi="Times New Roman" w:cs="Times New Roman"/>
          </w:rPr>
          <w:t>https://ec.europa.eu/info/funding-tenders/opportunities/portal/screen/opportunities/topic-details/horizon-hlth-2024-disease-09-01</w:t>
        </w:r>
      </w:hyperlink>
      <w:r w:rsidRPr="00B769F6">
        <w:rPr>
          <w:rFonts w:ascii="Times New Roman" w:hAnsi="Times New Roman" w:cs="Times New Roman"/>
        </w:rPr>
        <w:t xml:space="preserve"> </w:t>
      </w:r>
    </w:p>
  </w:footnote>
  <w:footnote w:id="34">
    <w:p w14:paraId="4DA55DC2" w14:textId="77777777" w:rsidR="002B1144" w:rsidRPr="00BC2F11" w:rsidRDefault="002B1144" w:rsidP="00BC2F11">
      <w:pPr>
        <w:pStyle w:val="FootnoteText"/>
        <w:jc w:val="both"/>
        <w:rPr>
          <w:rFonts w:ascii="Times New Roman" w:hAnsi="Times New Roman" w:cs="Times New Roman"/>
          <w:lang w:val="fr-BE"/>
        </w:rPr>
      </w:pPr>
      <w:r w:rsidRPr="00BC2F11">
        <w:rPr>
          <w:rStyle w:val="FootnoteReference"/>
          <w:rFonts w:ascii="Times New Roman" w:hAnsi="Times New Roman" w:cs="Times New Roman"/>
        </w:rPr>
        <w:footnoteRef/>
      </w:r>
      <w:r w:rsidRPr="00B769F6">
        <w:rPr>
          <w:rFonts w:ascii="Times New Roman" w:hAnsi="Times New Roman" w:cs="Times New Roman"/>
          <w:lang w:val="fr-BE"/>
        </w:rPr>
        <w:t xml:space="preserve"> </w:t>
      </w:r>
      <w:hyperlink r:id="rId23" w:history="1">
        <w:r w:rsidRPr="00BC2F11">
          <w:rPr>
            <w:rFonts w:ascii="Times New Roman" w:eastAsiaTheme="minorHAnsi" w:hAnsi="Times New Roman" w:cs="Times New Roman"/>
            <w:color w:val="0000FF"/>
            <w:u w:val="single"/>
            <w:lang w:val="fr-BE"/>
          </w:rPr>
          <w:t>Horizon Europe (europa.eu)</w:t>
        </w:r>
      </w:hyperlink>
    </w:p>
  </w:footnote>
  <w:footnote w:id="35">
    <w:p w14:paraId="77F0E460" w14:textId="77777777" w:rsidR="00B554C1" w:rsidRPr="00E14569" w:rsidRDefault="00B554C1" w:rsidP="00BC2F11">
      <w:pPr>
        <w:pStyle w:val="FootnoteText"/>
        <w:jc w:val="both"/>
        <w:rPr>
          <w:rFonts w:ascii="Times New Roman" w:hAnsi="Times New Roman" w:cs="Times New Roman"/>
          <w:lang w:val="fr-BE"/>
        </w:rPr>
      </w:pPr>
      <w:r w:rsidRPr="00B769F6">
        <w:rPr>
          <w:rStyle w:val="FootnoteReference"/>
          <w:rFonts w:ascii="Times New Roman" w:hAnsi="Times New Roman" w:cs="Times New Roman"/>
        </w:rPr>
        <w:footnoteRef/>
      </w:r>
      <w:r w:rsidRPr="00B769F6">
        <w:rPr>
          <w:rFonts w:ascii="Times New Roman" w:hAnsi="Times New Roman" w:cs="Times New Roman"/>
          <w:lang w:val="fr-BE"/>
        </w:rPr>
        <w:t xml:space="preserve"> </w:t>
      </w:r>
      <w:hyperlink r:id="rId24" w:history="1">
        <w:r w:rsidRPr="00B769F6">
          <w:rPr>
            <w:rStyle w:val="Hyperlink"/>
            <w:rFonts w:ascii="Times New Roman" w:hAnsi="Times New Roman" w:cs="Times New Roman"/>
            <w:lang w:val="fr-BE"/>
          </w:rPr>
          <w:t>eur-lex.europa.eu/legal-content/EN/TXT/PDF/?uri=CELEX:52019DC0128</w:t>
        </w:r>
      </w:hyperlink>
    </w:p>
  </w:footnote>
  <w:footnote w:id="36">
    <w:p w14:paraId="1A6ACAC8" w14:textId="67E7C77D" w:rsidR="001F1738" w:rsidRPr="00B769F6" w:rsidRDefault="001F1738" w:rsidP="00BC2F11">
      <w:pPr>
        <w:pStyle w:val="FootnoteText"/>
        <w:jc w:val="both"/>
        <w:rPr>
          <w:rFonts w:ascii="Times New Roman" w:hAnsi="Times New Roman" w:cs="Times New Roman"/>
          <w:lang w:val="fr-BE"/>
        </w:rPr>
      </w:pPr>
      <w:r w:rsidRPr="00B769F6">
        <w:rPr>
          <w:rStyle w:val="FootnoteReference"/>
          <w:rFonts w:ascii="Times New Roman" w:hAnsi="Times New Roman" w:cs="Times New Roman"/>
        </w:rPr>
        <w:footnoteRef/>
      </w:r>
      <w:r w:rsidR="00382A88" w:rsidRPr="00B769F6">
        <w:rPr>
          <w:rFonts w:ascii="Times New Roman" w:hAnsi="Times New Roman" w:cs="Times New Roman"/>
          <w:lang w:val="fr-BE"/>
        </w:rPr>
        <w:t> </w:t>
      </w:r>
      <w:hyperlink r:id="rId25" w:history="1">
        <w:r w:rsidR="00382A88" w:rsidRPr="00B769F6">
          <w:rPr>
            <w:rStyle w:val="Hyperlink"/>
            <w:rFonts w:ascii="Times New Roman" w:hAnsi="Times New Roman" w:cs="Times New Roman"/>
            <w:lang w:val="fr-BE"/>
          </w:rPr>
          <w:t>https://commission.europa.eu/strategy-and-policy/priorities-2019-2024/european-green-deal_en</w:t>
        </w:r>
      </w:hyperlink>
    </w:p>
  </w:footnote>
  <w:footnote w:id="37">
    <w:p w14:paraId="098435AB" w14:textId="740E8A67" w:rsidR="00B554C1" w:rsidRPr="00B769F6" w:rsidRDefault="00B554C1" w:rsidP="00BC2F11">
      <w:pPr>
        <w:pStyle w:val="FootnoteText"/>
        <w:jc w:val="both"/>
        <w:rPr>
          <w:rFonts w:ascii="Times New Roman" w:hAnsi="Times New Roman" w:cs="Times New Roman"/>
          <w:lang w:val="fr-BE"/>
        </w:rPr>
      </w:pPr>
      <w:r w:rsidRPr="00B769F6">
        <w:rPr>
          <w:rStyle w:val="FootnoteReference"/>
          <w:rFonts w:ascii="Times New Roman" w:hAnsi="Times New Roman" w:cs="Times New Roman"/>
        </w:rPr>
        <w:footnoteRef/>
      </w:r>
      <w:r w:rsidRPr="00B769F6">
        <w:rPr>
          <w:rFonts w:ascii="Times New Roman" w:hAnsi="Times New Roman" w:cs="Times New Roman"/>
          <w:lang w:val="fr-BE"/>
        </w:rPr>
        <w:t xml:space="preserve"> </w:t>
      </w:r>
      <w:hyperlink r:id="rId26" w:history="1">
        <w:r w:rsidRPr="00B769F6">
          <w:rPr>
            <w:rStyle w:val="Hyperlink"/>
            <w:rFonts w:ascii="Times New Roman" w:hAnsi="Times New Roman" w:cs="Times New Roman"/>
            <w:lang w:val="fr-BE"/>
          </w:rPr>
          <w:t>https://eur-lex.europa.eu/legal-content/EN/TXT/?uri=CELEX:52021DC0400</w:t>
        </w:r>
      </w:hyperlink>
      <w:r w:rsidRPr="00B769F6">
        <w:rPr>
          <w:rFonts w:ascii="Times New Roman" w:hAnsi="Times New Roman" w:cs="Times New Roman"/>
          <w:lang w:val="fr-BE"/>
        </w:rPr>
        <w:t xml:space="preserve">  </w:t>
      </w:r>
    </w:p>
  </w:footnote>
  <w:footnote w:id="38">
    <w:p w14:paraId="0DF20D89" w14:textId="41DCFA79" w:rsidR="001F1738" w:rsidRPr="00B769F6" w:rsidRDefault="001F1738" w:rsidP="00BC2F11">
      <w:pPr>
        <w:pStyle w:val="FootnoteText"/>
        <w:jc w:val="both"/>
        <w:rPr>
          <w:rFonts w:ascii="Times New Roman" w:hAnsi="Times New Roman" w:cs="Times New Roman"/>
          <w:lang w:val="fr-BE"/>
        </w:rPr>
      </w:pPr>
      <w:r w:rsidRPr="00B769F6">
        <w:rPr>
          <w:rStyle w:val="FootnoteReference"/>
          <w:rFonts w:ascii="Times New Roman" w:hAnsi="Times New Roman" w:cs="Times New Roman"/>
        </w:rPr>
        <w:footnoteRef/>
      </w:r>
      <w:r w:rsidR="00382A88" w:rsidRPr="00B769F6">
        <w:rPr>
          <w:rFonts w:ascii="Times New Roman" w:hAnsi="Times New Roman" w:cs="Times New Roman"/>
          <w:lang w:val="fr-BE"/>
        </w:rPr>
        <w:t> </w:t>
      </w:r>
      <w:hyperlink r:id="rId27" w:history="1">
        <w:r w:rsidR="00382A88" w:rsidRPr="00B769F6">
          <w:rPr>
            <w:rStyle w:val="Hyperlink"/>
            <w:rFonts w:ascii="Times New Roman" w:hAnsi="Times New Roman" w:cs="Times New Roman"/>
            <w:lang w:val="fr-BE"/>
          </w:rPr>
          <w:t>https://environment.ec.europa.eu/publications/proposal-amending-water-directives_en</w:t>
        </w:r>
      </w:hyperlink>
    </w:p>
  </w:footnote>
  <w:footnote w:id="39">
    <w:p w14:paraId="19FE0110" w14:textId="5581DBA8" w:rsidR="001F1738" w:rsidRPr="00B769F6" w:rsidRDefault="001F1738" w:rsidP="00BC2F11">
      <w:pPr>
        <w:pStyle w:val="FootnoteText"/>
        <w:jc w:val="both"/>
        <w:rPr>
          <w:rFonts w:ascii="Times New Roman" w:hAnsi="Times New Roman" w:cs="Times New Roman"/>
          <w:lang w:val="fr-BE"/>
        </w:rPr>
      </w:pPr>
      <w:r w:rsidRPr="00B769F6">
        <w:rPr>
          <w:rStyle w:val="FootnoteReference"/>
          <w:rFonts w:ascii="Times New Roman" w:hAnsi="Times New Roman" w:cs="Times New Roman"/>
        </w:rPr>
        <w:footnoteRef/>
      </w:r>
      <w:r w:rsidR="00382A88" w:rsidRPr="00B769F6">
        <w:rPr>
          <w:rFonts w:ascii="Times New Roman" w:hAnsi="Times New Roman" w:cs="Times New Roman"/>
          <w:lang w:val="fr-BE"/>
        </w:rPr>
        <w:t> </w:t>
      </w:r>
      <w:hyperlink r:id="rId28" w:history="1">
        <w:r w:rsidR="00382A88" w:rsidRPr="00B769F6">
          <w:rPr>
            <w:rStyle w:val="Hyperlink"/>
            <w:rFonts w:ascii="Times New Roman" w:hAnsi="Times New Roman" w:cs="Times New Roman"/>
            <w:lang w:val="fr-BE"/>
          </w:rPr>
          <w:t>https://environment.ec.europa.eu/publications/proposal-revised-urban-wastewater-treatment-directive_en</w:t>
        </w:r>
      </w:hyperlink>
    </w:p>
  </w:footnote>
  <w:footnote w:id="40">
    <w:p w14:paraId="014FFBE9" w14:textId="3567D1DB" w:rsidR="00B57523" w:rsidRPr="00B769F6" w:rsidRDefault="00B57523"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r w:rsidRPr="00B769F6">
        <w:rPr>
          <w:rFonts w:ascii="Times New Roman" w:hAnsi="Times New Roman" w:cs="Times New Roman"/>
        </w:rPr>
        <w:t>The Land Use</w:t>
      </w:r>
      <w:r w:rsidR="001C54A0" w:rsidRPr="00B769F6">
        <w:rPr>
          <w:rFonts w:ascii="Times New Roman" w:hAnsi="Times New Roman" w:cs="Times New Roman"/>
        </w:rPr>
        <w:t xml:space="preserve"> and </w:t>
      </w:r>
      <w:r w:rsidRPr="00B769F6">
        <w:rPr>
          <w:rFonts w:ascii="Times New Roman" w:hAnsi="Times New Roman" w:cs="Times New Roman"/>
        </w:rPr>
        <w:t>Cover</w:t>
      </w:r>
      <w:r w:rsidR="001C54A0" w:rsidRPr="00B769F6">
        <w:rPr>
          <w:rFonts w:ascii="Times New Roman" w:hAnsi="Times New Roman" w:cs="Times New Roman"/>
        </w:rPr>
        <w:t>age</w:t>
      </w:r>
      <w:r w:rsidRPr="00B769F6">
        <w:rPr>
          <w:rFonts w:ascii="Times New Roman" w:hAnsi="Times New Roman" w:cs="Times New Roman"/>
        </w:rPr>
        <w:t xml:space="preserve"> Area frame </w:t>
      </w:r>
      <w:r w:rsidR="001C54A0" w:rsidRPr="00B769F6">
        <w:rPr>
          <w:rFonts w:ascii="Times New Roman" w:hAnsi="Times New Roman" w:cs="Times New Roman"/>
        </w:rPr>
        <w:t>S</w:t>
      </w:r>
      <w:r w:rsidRPr="00B769F6">
        <w:rPr>
          <w:rFonts w:ascii="Times New Roman" w:hAnsi="Times New Roman" w:cs="Times New Roman"/>
        </w:rPr>
        <w:t xml:space="preserve">urvey </w:t>
      </w:r>
      <w:r w:rsidR="001C54A0" w:rsidRPr="00B769F6">
        <w:rPr>
          <w:rFonts w:ascii="Times New Roman" w:hAnsi="Times New Roman" w:cs="Times New Roman"/>
        </w:rPr>
        <w:t xml:space="preserve">(LUCAS) </w:t>
      </w:r>
      <w:r w:rsidRPr="00B769F6">
        <w:rPr>
          <w:rFonts w:ascii="Times New Roman" w:hAnsi="Times New Roman" w:cs="Times New Roman"/>
        </w:rPr>
        <w:t xml:space="preserve">is a regular harmonised survey organised by the European Statistical Office (EUROSTAT) in cooperation with other Commission services, to gather information on land </w:t>
      </w:r>
      <w:r w:rsidR="006401D0" w:rsidRPr="00B769F6">
        <w:rPr>
          <w:rFonts w:ascii="Times New Roman" w:hAnsi="Times New Roman" w:cs="Times New Roman"/>
        </w:rPr>
        <w:t xml:space="preserve">use </w:t>
      </w:r>
      <w:r w:rsidRPr="00B769F6">
        <w:rPr>
          <w:rFonts w:ascii="Times New Roman" w:hAnsi="Times New Roman" w:cs="Times New Roman"/>
        </w:rPr>
        <w:t xml:space="preserve">and land </w:t>
      </w:r>
      <w:r w:rsidR="006401D0" w:rsidRPr="00B769F6">
        <w:rPr>
          <w:rFonts w:ascii="Times New Roman" w:hAnsi="Times New Roman" w:cs="Times New Roman"/>
        </w:rPr>
        <w:t xml:space="preserve">coverage </w:t>
      </w:r>
      <w:r w:rsidRPr="00B769F6">
        <w:rPr>
          <w:rFonts w:ascii="Times New Roman" w:hAnsi="Times New Roman" w:cs="Times New Roman"/>
        </w:rPr>
        <w:t>across all Member States.</w:t>
      </w:r>
    </w:p>
  </w:footnote>
  <w:footnote w:id="41">
    <w:p w14:paraId="36DACB81" w14:textId="71D4A4DA"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29" w:history="1">
        <w:r w:rsidR="00382A88" w:rsidRPr="00B769F6">
          <w:rPr>
            <w:rStyle w:val="Hyperlink"/>
            <w:rFonts w:ascii="Times New Roman" w:hAnsi="Times New Roman" w:cs="Times New Roman"/>
          </w:rPr>
          <w:t>https://esdac.jrc.ec.europa.eu/projects/lucas</w:t>
        </w:r>
      </w:hyperlink>
    </w:p>
  </w:footnote>
  <w:footnote w:id="42">
    <w:p w14:paraId="2F4B90E3" w14:textId="4312984A" w:rsidR="00D00D56" w:rsidRPr="00B769F6" w:rsidRDefault="00D00D56"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Pr="00B769F6">
        <w:rPr>
          <w:rFonts w:ascii="Times New Roman" w:hAnsi="Times New Roman" w:cs="Times New Roman"/>
        </w:rPr>
        <w:t xml:space="preserve"> </w:t>
      </w:r>
      <w:hyperlink r:id="rId30" w:history="1">
        <w:r w:rsidRPr="00046E2F">
          <w:rPr>
            <w:rStyle w:val="Hyperlink"/>
            <w:rFonts w:ascii="Times New Roman" w:hAnsi="Times New Roman" w:cs="Times New Roman"/>
          </w:rPr>
          <w:t>https://esdac.jrc.ec.europa.eu/</w:t>
        </w:r>
      </w:hyperlink>
    </w:p>
  </w:footnote>
  <w:footnote w:id="43">
    <w:p w14:paraId="02BDEB3C" w14:textId="05C543D3"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31" w:history="1">
        <w:r w:rsidR="00382A88" w:rsidRPr="00B769F6">
          <w:rPr>
            <w:rStyle w:val="Hyperlink"/>
            <w:rFonts w:ascii="Times New Roman" w:hAnsi="Times New Roman" w:cs="Times New Roman"/>
          </w:rPr>
          <w:t>https://www.nature.com/articles/nature06536</w:t>
        </w:r>
      </w:hyperlink>
      <w:r w:rsidRPr="00B769F6">
        <w:rPr>
          <w:rFonts w:ascii="Times New Roman" w:hAnsi="Times New Roman" w:cs="Times New Roman"/>
        </w:rPr>
        <w:t xml:space="preserve"> </w:t>
      </w:r>
    </w:p>
  </w:footnote>
  <w:footnote w:id="44">
    <w:p w14:paraId="4AF60854" w14:textId="5AAF3650"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r w:rsidR="00B56A57" w:rsidRPr="00B769F6">
        <w:rPr>
          <w:rFonts w:ascii="Times New Roman" w:hAnsi="Times New Roman" w:cs="Times New Roman"/>
        </w:rPr>
        <w:t>Directive 2003/99/EC of the European Parliament and of the Council of 17 November 2003 on the monitoring of zoonoses and zoonotic agents, amending Council Decision 90/424EEC and repealing Council Directive 92/117/EC, OJ L 325, 12.12.2003, p. 31–40 (</w:t>
      </w:r>
      <w:hyperlink r:id="rId32" w:history="1">
        <w:r w:rsidR="00B56A57" w:rsidRPr="00B769F6">
          <w:rPr>
            <w:rStyle w:val="Hyperlink"/>
            <w:rFonts w:ascii="Times New Roman" w:hAnsi="Times New Roman" w:cs="Times New Roman"/>
          </w:rPr>
          <w:t>https://eur-lex.europa.eu/legal-content/EN/TXT/?uri=celex:32003L0099</w:t>
        </w:r>
      </w:hyperlink>
      <w:r w:rsidR="00B56A57" w:rsidRPr="00B769F6">
        <w:rPr>
          <w:rFonts w:ascii="Times New Roman" w:hAnsi="Times New Roman" w:cs="Times New Roman"/>
        </w:rPr>
        <w:t>).</w:t>
      </w:r>
    </w:p>
  </w:footnote>
  <w:footnote w:id="45">
    <w:p w14:paraId="7DC4BAC5" w14:textId="6A12E8D9" w:rsidR="00191C05" w:rsidRDefault="00B56A57" w:rsidP="003225E8">
      <w:pPr>
        <w:pStyle w:val="FootnoteText"/>
        <w:jc w:val="both"/>
        <w:rPr>
          <w:rFonts w:ascii="Times New Roman" w:eastAsia="Times New Roman" w:hAnsi="Times New Roman" w:cs="Times New Roman"/>
        </w:rPr>
      </w:pPr>
      <w:r w:rsidRPr="00BC2F11">
        <w:rPr>
          <w:rStyle w:val="FootnoteReference"/>
          <w:rFonts w:ascii="Times New Roman" w:hAnsi="Times New Roman" w:cs="Times New Roman"/>
        </w:rPr>
        <w:footnoteRef/>
      </w:r>
      <w:r w:rsidRPr="00BC2F11">
        <w:rPr>
          <w:rFonts w:ascii="Times New Roman" w:hAnsi="Times New Roman" w:cs="Times New Roman"/>
        </w:rPr>
        <w:t xml:space="preserve"> Regulation (EU) 2016/429 of the European Parliament and of the Council of 9 March 2006 on transmissible animal diseases and amending and repealing certain acts in the area of animal health (</w:t>
      </w:r>
      <w:r w:rsidRPr="00BC2F11">
        <w:rPr>
          <w:rFonts w:ascii="Times New Roman" w:eastAsia="Times New Roman" w:hAnsi="Times New Roman" w:cs="Times New Roman"/>
        </w:rPr>
        <w:t>‘Animal Health Law’</w:t>
      </w:r>
      <w:r w:rsidRPr="00B769F6">
        <w:rPr>
          <w:rFonts w:ascii="Times New Roman" w:eastAsia="Times New Roman" w:hAnsi="Times New Roman" w:cs="Times New Roman"/>
        </w:rPr>
        <w:t>), OJ L 84, 31.3.2016, p. 1–208</w:t>
      </w:r>
      <w:r w:rsidR="00191C05">
        <w:rPr>
          <w:rFonts w:ascii="Times New Roman" w:eastAsia="Times New Roman" w:hAnsi="Times New Roman" w:cs="Times New Roman"/>
        </w:rPr>
        <w:t>.</w:t>
      </w:r>
    </w:p>
    <w:p w14:paraId="0CAA9BB8" w14:textId="0B9D885A" w:rsidR="00B56A57" w:rsidRPr="00BC2F11" w:rsidRDefault="00B56A57" w:rsidP="003225E8">
      <w:pPr>
        <w:pStyle w:val="FootnoteText"/>
        <w:jc w:val="both"/>
        <w:rPr>
          <w:rFonts w:ascii="Times New Roman" w:hAnsi="Times New Roman" w:cs="Times New Roman"/>
        </w:rPr>
      </w:pPr>
      <w:r w:rsidRPr="00B769F6">
        <w:rPr>
          <w:rFonts w:ascii="Times New Roman" w:eastAsia="Times New Roman" w:hAnsi="Times New Roman" w:cs="Times New Roman"/>
        </w:rPr>
        <w:t>(</w:t>
      </w:r>
      <w:hyperlink r:id="rId33" w:history="1">
        <w:r w:rsidRPr="00191C05">
          <w:rPr>
            <w:rStyle w:val="Hyperlink"/>
            <w:rFonts w:ascii="Times New Roman" w:eastAsia="Times New Roman" w:hAnsi="Times New Roman" w:cs="Times New Roman"/>
          </w:rPr>
          <w:t>https://eur-lex.europa.eu/legal-content/EN/TXT/?uri=CELEX%3A32016R0429&amp;qid=1699617422821</w:t>
        </w:r>
      </w:hyperlink>
      <w:r w:rsidRPr="00B769F6">
        <w:rPr>
          <w:rFonts w:ascii="Times New Roman" w:eastAsia="Times New Roman" w:hAnsi="Times New Roman" w:cs="Times New Roman"/>
        </w:rPr>
        <w:t>).</w:t>
      </w:r>
    </w:p>
  </w:footnote>
  <w:footnote w:id="46">
    <w:p w14:paraId="7132E854" w14:textId="31197161" w:rsidR="00831B85" w:rsidRPr="00BC2F11" w:rsidRDefault="00831B85" w:rsidP="00BC2F11">
      <w:pPr>
        <w:pStyle w:val="FootnoteText"/>
        <w:jc w:val="both"/>
        <w:rPr>
          <w:rFonts w:ascii="Times New Roman" w:hAnsi="Times New Roman" w:cs="Times New Roman"/>
        </w:rPr>
      </w:pPr>
      <w:r>
        <w:rPr>
          <w:rStyle w:val="FootnoteReference"/>
        </w:rPr>
        <w:footnoteRef/>
      </w:r>
      <w:r>
        <w:t xml:space="preserve"> </w:t>
      </w:r>
      <w:r w:rsidRPr="00BC2F11">
        <w:rPr>
          <w:rFonts w:ascii="Times New Roman" w:hAnsi="Times New Roman" w:cs="Times New Roman"/>
        </w:rPr>
        <w:t>See also below section on Health Security Committee.</w:t>
      </w:r>
    </w:p>
  </w:footnote>
  <w:footnote w:id="47">
    <w:p w14:paraId="5BAA6CD0" w14:textId="32DBC940"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34" w:history="1">
        <w:r w:rsidR="00B36AF7" w:rsidRPr="00B769F6">
          <w:rPr>
            <w:rStyle w:val="Hyperlink"/>
            <w:rFonts w:ascii="Times New Roman" w:hAnsi="Times New Roman" w:cs="Times New Roman"/>
          </w:rPr>
          <w:t>https://eur-lex.europa.eu/eli/reg_del/2020/689/oj</w:t>
        </w:r>
      </w:hyperlink>
      <w:r w:rsidR="00B36AF7" w:rsidRPr="00B769F6">
        <w:rPr>
          <w:rFonts w:ascii="Times New Roman" w:hAnsi="Times New Roman" w:cs="Times New Roman"/>
        </w:rPr>
        <w:t xml:space="preserve"> </w:t>
      </w:r>
    </w:p>
  </w:footnote>
  <w:footnote w:id="48">
    <w:p w14:paraId="341D406E" w14:textId="34C4787D"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35" w:history="1">
        <w:r w:rsidR="00382A88" w:rsidRPr="00B769F6">
          <w:rPr>
            <w:rStyle w:val="Hyperlink"/>
            <w:rFonts w:ascii="Times New Roman" w:hAnsi="Times New Roman" w:cs="Times New Roman"/>
          </w:rPr>
          <w:t>https://www.izsvenezie.com/reference-laboratories/avian-influenza-newcastle-disease/</w:t>
        </w:r>
      </w:hyperlink>
      <w:r w:rsidRPr="00B769F6">
        <w:rPr>
          <w:rFonts w:ascii="Times New Roman" w:hAnsi="Times New Roman" w:cs="Times New Roman"/>
        </w:rPr>
        <w:t xml:space="preserve"> </w:t>
      </w:r>
    </w:p>
  </w:footnote>
  <w:footnote w:id="49">
    <w:p w14:paraId="613D7FC5" w14:textId="1C84B7D8" w:rsidR="001F1738" w:rsidRPr="00B36AF7"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r w:rsidR="009B5AF1" w:rsidRPr="00BC2F11">
        <w:rPr>
          <w:rFonts w:ascii="Times New Roman" w:hAnsi="Times New Roman" w:cs="Times New Roman"/>
          <w:color w:val="333333"/>
          <w:shd w:val="clear" w:color="auto" w:fill="FFFFFF"/>
        </w:rPr>
        <w:t>Commission Delegated Regulation (EU) 2020/689 of 17 December 2019 supplementing Regulation (EU) 2016/429 of the European Parliament and of the Council as regards rules for surveillance, eradication programmes, and disease-free status for certain listed and emerging diseases</w:t>
      </w:r>
      <w:r w:rsidR="009B5AF1" w:rsidRPr="00B769F6">
        <w:rPr>
          <w:rFonts w:ascii="Times New Roman" w:hAnsi="Times New Roman" w:cs="Times New Roman"/>
          <w:color w:val="333333"/>
          <w:shd w:val="clear" w:color="auto" w:fill="FFFFFF"/>
        </w:rPr>
        <w:t>, OJ L 174, 3.6.2020, p. 211–340 (</w:t>
      </w:r>
      <w:hyperlink r:id="rId36" w:history="1">
        <w:r w:rsidR="00B769F6" w:rsidRPr="00191C05">
          <w:rPr>
            <w:rStyle w:val="Hyperlink"/>
            <w:rFonts w:ascii="Times New Roman" w:hAnsi="Times New Roman" w:cs="Times New Roman"/>
          </w:rPr>
          <w:t>https://eur-lex.europa.eu/legal-content/EN/TXT/?uri=CELEX%3A32020R0689&amp;qid=1699963567960</w:t>
        </w:r>
      </w:hyperlink>
      <w:r w:rsidR="009B5AF1" w:rsidRPr="00B769F6">
        <w:rPr>
          <w:rFonts w:ascii="Times New Roman" w:hAnsi="Times New Roman" w:cs="Times New Roman"/>
        </w:rPr>
        <w:t>).</w:t>
      </w:r>
      <w:r w:rsidRPr="00B36AF7">
        <w:rPr>
          <w:rFonts w:ascii="Times New Roman" w:hAnsi="Times New Roman" w:cs="Times New Roman"/>
        </w:rPr>
        <w:t xml:space="preserve"> </w:t>
      </w:r>
    </w:p>
  </w:footnote>
  <w:footnote w:id="50">
    <w:p w14:paraId="46DCE7FA" w14:textId="263A7C70"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37" w:history="1">
        <w:r w:rsidR="00382A88" w:rsidRPr="00B769F6">
          <w:rPr>
            <w:rStyle w:val="Hyperlink"/>
            <w:rFonts w:ascii="Times New Roman" w:hAnsi="Times New Roman" w:cs="Times New Roman"/>
          </w:rPr>
          <w:t>https://climate-adapt.eea.europa.eu/en/observatory</w:t>
        </w:r>
      </w:hyperlink>
      <w:r w:rsidRPr="00B769F6">
        <w:rPr>
          <w:rFonts w:ascii="Times New Roman" w:hAnsi="Times New Roman" w:cs="Times New Roman"/>
        </w:rPr>
        <w:t xml:space="preserve"> </w:t>
      </w:r>
    </w:p>
  </w:footnote>
  <w:footnote w:id="51">
    <w:p w14:paraId="23BC34FE" w14:textId="2CC4889D" w:rsidR="001F1738" w:rsidRPr="00BC2F11"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38" w:history="1">
        <w:r w:rsidR="00382A88" w:rsidRPr="00B769F6">
          <w:rPr>
            <w:rStyle w:val="Hyperlink"/>
            <w:rFonts w:ascii="Times New Roman" w:hAnsi="Times New Roman" w:cs="Times New Roman"/>
          </w:rPr>
          <w:t>https://www.who.int/europe/publications/i/item/EURO-Budapest2023-6</w:t>
        </w:r>
      </w:hyperlink>
      <w:r w:rsidR="00B36AF7" w:rsidRPr="00B769F6">
        <w:rPr>
          <w:rFonts w:ascii="Times New Roman" w:hAnsi="Times New Roman" w:cs="Times New Roman"/>
        </w:rPr>
        <w:t xml:space="preserve"> </w:t>
      </w:r>
    </w:p>
  </w:footnote>
  <w:footnote w:id="52">
    <w:p w14:paraId="72BF0F76" w14:textId="6F7B9C2F" w:rsidR="000A69F5" w:rsidRPr="000A69F5" w:rsidRDefault="000A69F5">
      <w:pPr>
        <w:pStyle w:val="FootnoteText"/>
        <w:rPr>
          <w:rFonts w:ascii="Times New Roman" w:hAnsi="Times New Roman" w:cs="Times New Roman"/>
        </w:rPr>
      </w:pPr>
      <w:r w:rsidRPr="000A69F5">
        <w:rPr>
          <w:rStyle w:val="FootnoteReference"/>
          <w:rFonts w:ascii="Times New Roman" w:hAnsi="Times New Roman" w:cs="Times New Roman"/>
        </w:rPr>
        <w:footnoteRef/>
      </w:r>
      <w:r w:rsidRPr="000A69F5">
        <w:rPr>
          <w:rFonts w:ascii="Times New Roman" w:hAnsi="Times New Roman" w:cs="Times New Roman"/>
        </w:rPr>
        <w:t xml:space="preserve"> </w:t>
      </w:r>
      <w:hyperlink r:id="rId39" w:history="1">
        <w:r w:rsidRPr="0074377B">
          <w:rPr>
            <w:rStyle w:val="Hyperlink"/>
            <w:rFonts w:ascii="Times New Roman" w:hAnsi="Times New Roman" w:cs="Times New Roman"/>
          </w:rPr>
          <w:t>https://www.cop28.com/en/cop28-uae-declaration-on-climate-and-health</w:t>
        </w:r>
      </w:hyperlink>
      <w:r>
        <w:rPr>
          <w:rFonts w:ascii="Times New Roman" w:hAnsi="Times New Roman" w:cs="Times New Roman"/>
        </w:rPr>
        <w:t xml:space="preserve"> </w:t>
      </w:r>
    </w:p>
  </w:footnote>
  <w:footnote w:id="53">
    <w:p w14:paraId="0649BF95" w14:textId="0AB9C428" w:rsidR="001F1738" w:rsidRPr="00191C05" w:rsidRDefault="001F1738" w:rsidP="00BC2F11">
      <w:pPr>
        <w:pStyle w:val="FootnoteText"/>
        <w:spacing w:line="240" w:lineRule="auto"/>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40" w:history="1">
        <w:r w:rsidR="00382A88" w:rsidRPr="00191C05">
          <w:rPr>
            <w:rStyle w:val="Hyperlink"/>
            <w:rFonts w:ascii="Times New Roman" w:hAnsi="Times New Roman" w:cs="Times New Roman"/>
          </w:rPr>
          <w:t>https://www.who.int/publications/i/item/9789289071918</w:t>
        </w:r>
      </w:hyperlink>
      <w:r w:rsidR="00B36AF7" w:rsidRPr="00191C05">
        <w:rPr>
          <w:rFonts w:ascii="Times New Roman" w:hAnsi="Times New Roman" w:cs="Times New Roman"/>
        </w:rPr>
        <w:t xml:space="preserve"> </w:t>
      </w:r>
    </w:p>
  </w:footnote>
  <w:footnote w:id="54">
    <w:p w14:paraId="46EFC43B" w14:textId="2A66B00D" w:rsidR="0003452E" w:rsidRPr="00191C05" w:rsidRDefault="0003452E" w:rsidP="00BC2F11">
      <w:pPr>
        <w:pStyle w:val="FootnoteText"/>
        <w:jc w:val="both"/>
        <w:rPr>
          <w:rFonts w:ascii="Times New Roman" w:hAnsi="Times New Roman" w:cs="Times New Roman"/>
        </w:rPr>
      </w:pPr>
      <w:r w:rsidRPr="00191C05">
        <w:rPr>
          <w:rStyle w:val="FootnoteReference"/>
          <w:rFonts w:ascii="Times New Roman" w:hAnsi="Times New Roman" w:cs="Times New Roman"/>
        </w:rPr>
        <w:footnoteRef/>
      </w:r>
      <w:r w:rsidRPr="00191C05">
        <w:rPr>
          <w:rFonts w:ascii="Times New Roman" w:hAnsi="Times New Roman" w:cs="Times New Roman"/>
        </w:rPr>
        <w:t xml:space="preserve"> </w:t>
      </w:r>
      <w:hyperlink r:id="rId41" w:history="1">
        <w:r w:rsidRPr="00191C05">
          <w:rPr>
            <w:rStyle w:val="Hyperlink"/>
            <w:rFonts w:ascii="Times New Roman" w:hAnsi="Times New Roman" w:cs="Times New Roman"/>
          </w:rPr>
          <w:t>https://cinea.ec.europa.eu/programmes/life_en</w:t>
        </w:r>
      </w:hyperlink>
      <w:r w:rsidRPr="00191C05">
        <w:rPr>
          <w:rFonts w:ascii="Times New Roman" w:hAnsi="Times New Roman" w:cs="Times New Roman"/>
        </w:rPr>
        <w:t xml:space="preserve"> </w:t>
      </w:r>
    </w:p>
  </w:footnote>
  <w:footnote w:id="55">
    <w:p w14:paraId="5647594C" w14:textId="13A6F333" w:rsidR="001F1738" w:rsidRPr="00191C05" w:rsidRDefault="001F1738" w:rsidP="00BC2F11">
      <w:pPr>
        <w:pStyle w:val="FootnoteText"/>
        <w:spacing w:line="240" w:lineRule="auto"/>
        <w:jc w:val="both"/>
        <w:rPr>
          <w:rFonts w:ascii="Times New Roman" w:hAnsi="Times New Roman" w:cs="Times New Roman"/>
        </w:rPr>
      </w:pPr>
      <w:r w:rsidRPr="00191C05">
        <w:rPr>
          <w:rStyle w:val="FootnoteReference"/>
          <w:rFonts w:ascii="Times New Roman" w:hAnsi="Times New Roman" w:cs="Times New Roman"/>
        </w:rPr>
        <w:footnoteRef/>
      </w:r>
      <w:r w:rsidR="00382A88" w:rsidRPr="00191C05">
        <w:rPr>
          <w:rFonts w:ascii="Times New Roman" w:hAnsi="Times New Roman" w:cs="Times New Roman"/>
        </w:rPr>
        <w:t> </w:t>
      </w:r>
      <w:hyperlink r:id="rId42" w:history="1">
        <w:r w:rsidR="00382A88" w:rsidRPr="00191C05">
          <w:rPr>
            <w:rStyle w:val="Hyperlink"/>
            <w:rFonts w:ascii="Times New Roman" w:hAnsi="Times New Roman" w:cs="Times New Roman"/>
          </w:rPr>
          <w:t>https://www.eea.europa.eu/en/about/who-we-are/projects-and-cooperation-agreements/european-climate-risk-assessment</w:t>
        </w:r>
      </w:hyperlink>
      <w:r w:rsidR="00B36AF7" w:rsidRPr="00191C05">
        <w:rPr>
          <w:rFonts w:ascii="Times New Roman" w:hAnsi="Times New Roman" w:cs="Times New Roman"/>
        </w:rPr>
        <w:t xml:space="preserve"> </w:t>
      </w:r>
    </w:p>
  </w:footnote>
  <w:footnote w:id="56">
    <w:p w14:paraId="0B40A4CA" w14:textId="77777777" w:rsidR="00B554C1" w:rsidRPr="00191C05" w:rsidRDefault="00B554C1" w:rsidP="00B554C1">
      <w:pPr>
        <w:pStyle w:val="FootnoteText"/>
        <w:rPr>
          <w:rFonts w:ascii="Times New Roman" w:hAnsi="Times New Roman" w:cs="Times New Roman"/>
        </w:rPr>
      </w:pPr>
      <w:r w:rsidRPr="00191C05">
        <w:rPr>
          <w:rStyle w:val="FootnoteReference"/>
          <w:rFonts w:ascii="Times New Roman" w:hAnsi="Times New Roman" w:cs="Times New Roman"/>
        </w:rPr>
        <w:footnoteRef/>
      </w:r>
      <w:r w:rsidRPr="00191C05">
        <w:rPr>
          <w:rFonts w:ascii="Times New Roman" w:hAnsi="Times New Roman" w:cs="Times New Roman"/>
        </w:rPr>
        <w:t xml:space="preserve"> </w:t>
      </w:r>
      <w:r w:rsidRPr="00191C05">
        <w:rPr>
          <w:rStyle w:val="Hyperlink"/>
          <w:rFonts w:ascii="Times New Roman" w:hAnsi="Times New Roman" w:cs="Times New Roman"/>
        </w:rPr>
        <w:t>See, for example, https://www.eea.europa.eu/publications/air-quality-in-europe-2022/health-impacts-of-air-pollution</w:t>
      </w:r>
    </w:p>
  </w:footnote>
  <w:footnote w:id="57">
    <w:p w14:paraId="49FE9E3E" w14:textId="36AAEA14" w:rsidR="00B554C1" w:rsidRPr="00191C05" w:rsidRDefault="00B554C1" w:rsidP="00B554C1">
      <w:pPr>
        <w:pStyle w:val="FootnoteText"/>
        <w:rPr>
          <w:rFonts w:ascii="Times New Roman" w:hAnsi="Times New Roman" w:cs="Times New Roman"/>
        </w:rPr>
      </w:pPr>
      <w:r w:rsidRPr="00191C05">
        <w:rPr>
          <w:rStyle w:val="FootnoteReference"/>
          <w:rFonts w:ascii="Times New Roman" w:hAnsi="Times New Roman" w:cs="Times New Roman"/>
        </w:rPr>
        <w:footnoteRef/>
      </w:r>
      <w:r w:rsidRPr="00191C05">
        <w:rPr>
          <w:rFonts w:ascii="Times New Roman" w:hAnsi="Times New Roman" w:cs="Times New Roman"/>
        </w:rPr>
        <w:t xml:space="preserve"> </w:t>
      </w:r>
      <w:hyperlink r:id="rId43" w:history="1">
        <w:r w:rsidRPr="00191C05">
          <w:rPr>
            <w:rStyle w:val="Hyperlink"/>
            <w:rFonts w:ascii="Times New Roman" w:hAnsi="Times New Roman" w:cs="Times New Roman"/>
          </w:rPr>
          <w:t>https://ec.europa.eu/commission/presscorner/detail/en/ip_22_6278</w:t>
        </w:r>
      </w:hyperlink>
      <w:r w:rsidRPr="00191C05">
        <w:rPr>
          <w:rFonts w:ascii="Times New Roman" w:hAnsi="Times New Roman" w:cs="Times New Roman"/>
        </w:rPr>
        <w:tab/>
      </w:r>
    </w:p>
  </w:footnote>
  <w:footnote w:id="58">
    <w:p w14:paraId="36690947" w14:textId="23518021" w:rsidR="00B554C1" w:rsidRPr="00191C05" w:rsidRDefault="00B554C1">
      <w:pPr>
        <w:pStyle w:val="FootnoteText"/>
        <w:rPr>
          <w:rFonts w:ascii="Times New Roman" w:hAnsi="Times New Roman" w:cs="Times New Roman"/>
        </w:rPr>
      </w:pPr>
      <w:r w:rsidRPr="00191C05">
        <w:rPr>
          <w:rStyle w:val="FootnoteReference"/>
          <w:rFonts w:ascii="Times New Roman" w:hAnsi="Times New Roman" w:cs="Times New Roman"/>
        </w:rPr>
        <w:footnoteRef/>
      </w:r>
      <w:r w:rsidRPr="00191C05">
        <w:rPr>
          <w:rFonts w:ascii="Times New Roman" w:hAnsi="Times New Roman" w:cs="Times New Roman"/>
        </w:rPr>
        <w:t xml:space="preserve"> See section on AMR above.</w:t>
      </w:r>
    </w:p>
  </w:footnote>
  <w:footnote w:id="59">
    <w:p w14:paraId="6317D8D0" w14:textId="0D59F38C" w:rsidR="00DD489A" w:rsidRPr="00191C05" w:rsidRDefault="00DD489A">
      <w:pPr>
        <w:pStyle w:val="FootnoteText"/>
        <w:rPr>
          <w:rFonts w:ascii="Times New Roman" w:hAnsi="Times New Roman" w:cs="Times New Roman"/>
        </w:rPr>
      </w:pPr>
      <w:r w:rsidRPr="00191C05">
        <w:rPr>
          <w:rStyle w:val="FootnoteReference"/>
          <w:rFonts w:ascii="Times New Roman" w:hAnsi="Times New Roman" w:cs="Times New Roman"/>
        </w:rPr>
        <w:footnoteRef/>
      </w:r>
      <w:r w:rsidRPr="00191C05">
        <w:rPr>
          <w:rFonts w:ascii="Times New Roman" w:hAnsi="Times New Roman" w:cs="Times New Roman"/>
        </w:rPr>
        <w:t xml:space="preserve"> </w:t>
      </w:r>
      <w:hyperlink r:id="rId44" w:history="1">
        <w:r w:rsidRPr="00191C05">
          <w:rPr>
            <w:rStyle w:val="Hyperlink"/>
            <w:rFonts w:ascii="Times New Roman" w:hAnsi="Times New Roman" w:cs="Times New Roman"/>
          </w:rPr>
          <w:t>https://environment.ec.europa.eu/publications/proposal-revision-industrial-emissions-directive_en</w:t>
        </w:r>
      </w:hyperlink>
    </w:p>
  </w:footnote>
  <w:footnote w:id="60">
    <w:p w14:paraId="50A33709" w14:textId="7F6436F6" w:rsidR="00DD489A" w:rsidRPr="00191C05" w:rsidRDefault="00DD489A">
      <w:pPr>
        <w:pStyle w:val="FootnoteText"/>
        <w:rPr>
          <w:rFonts w:ascii="Times New Roman" w:hAnsi="Times New Roman" w:cs="Times New Roman"/>
        </w:rPr>
      </w:pPr>
      <w:r w:rsidRPr="00191C05">
        <w:rPr>
          <w:rStyle w:val="FootnoteReference"/>
          <w:rFonts w:ascii="Times New Roman" w:hAnsi="Times New Roman" w:cs="Times New Roman"/>
        </w:rPr>
        <w:footnoteRef/>
      </w:r>
      <w:r w:rsidRPr="00191C05">
        <w:rPr>
          <w:rFonts w:ascii="Times New Roman" w:hAnsi="Times New Roman" w:cs="Times New Roman"/>
        </w:rPr>
        <w:t xml:space="preserve"> </w:t>
      </w:r>
      <w:hyperlink r:id="rId45" w:history="1">
        <w:r w:rsidRPr="00191C05">
          <w:rPr>
            <w:rStyle w:val="Hyperlink"/>
            <w:rFonts w:ascii="Times New Roman" w:hAnsi="Times New Roman" w:cs="Times New Roman"/>
          </w:rPr>
          <w:t>https://environment.ec.europa.eu/topics/soil-and-land/soil-health_en</w:t>
        </w:r>
      </w:hyperlink>
    </w:p>
  </w:footnote>
  <w:footnote w:id="61">
    <w:p w14:paraId="0A398BDC" w14:textId="06CC95A4" w:rsidR="001F1738" w:rsidRPr="00003506" w:rsidRDefault="001F1738" w:rsidP="00003506">
      <w:pPr>
        <w:spacing w:after="0" w:line="240" w:lineRule="auto"/>
        <w:contextualSpacing/>
        <w:rPr>
          <w:rFonts w:ascii="Times New Roman" w:hAnsi="Times New Roman" w:cs="Times New Roman"/>
          <w:sz w:val="20"/>
          <w:szCs w:val="20"/>
        </w:rPr>
      </w:pPr>
      <w:r w:rsidRPr="00B769F6">
        <w:rPr>
          <w:rStyle w:val="FootnoteReference"/>
          <w:rFonts w:ascii="Times New Roman" w:hAnsi="Times New Roman" w:cs="Times New Roman"/>
          <w:sz w:val="20"/>
          <w:szCs w:val="20"/>
        </w:rPr>
        <w:footnoteRef/>
      </w:r>
      <w:r w:rsidR="00382A88" w:rsidRPr="00BC2F11">
        <w:rPr>
          <w:rFonts w:ascii="Times New Roman" w:hAnsi="Times New Roman" w:cs="Times New Roman"/>
          <w:sz w:val="20"/>
          <w:szCs w:val="20"/>
          <w:lang w:val="en-IE"/>
        </w:rPr>
        <w:t> </w:t>
      </w:r>
      <w:hyperlink r:id="rId46" w:history="1">
        <w:r w:rsidR="00382A88" w:rsidRPr="00003506">
          <w:rPr>
            <w:rStyle w:val="Hyperlink"/>
            <w:rFonts w:ascii="Times New Roman" w:hAnsi="Times New Roman" w:cs="Times New Roman"/>
            <w:sz w:val="20"/>
            <w:szCs w:val="20"/>
          </w:rPr>
          <w:t>https://eur-lex.europa.eu/legal-content/EN/TXT/?uri=OJ:L:2023:234:TOC</w:t>
        </w:r>
      </w:hyperlink>
    </w:p>
  </w:footnote>
  <w:footnote w:id="62">
    <w:p w14:paraId="5CB722D4" w14:textId="674F39A0" w:rsidR="001F1738" w:rsidRPr="00003506" w:rsidRDefault="001F1738" w:rsidP="00003506">
      <w:pPr>
        <w:pStyle w:val="FootnoteText"/>
        <w:spacing w:line="240" w:lineRule="auto"/>
        <w:contextualSpacing/>
        <w:rPr>
          <w:rFonts w:ascii="Times New Roman" w:hAnsi="Times New Roman" w:cs="Times New Roman"/>
        </w:rPr>
      </w:pPr>
      <w:r w:rsidRPr="00003506">
        <w:rPr>
          <w:rStyle w:val="FootnoteReference"/>
          <w:rFonts w:ascii="Times New Roman" w:hAnsi="Times New Roman" w:cs="Times New Roman"/>
        </w:rPr>
        <w:footnoteRef/>
      </w:r>
      <w:r w:rsidR="00382A88" w:rsidRPr="00003506">
        <w:rPr>
          <w:rFonts w:ascii="Times New Roman" w:hAnsi="Times New Roman" w:cs="Times New Roman"/>
        </w:rPr>
        <w:t> </w:t>
      </w:r>
      <w:r w:rsidR="00621C3D" w:rsidRPr="00003506">
        <w:rPr>
          <w:rFonts w:ascii="Times New Roman" w:hAnsi="Times New Roman" w:cs="Times New Roman"/>
        </w:rPr>
        <w:t>The UCPM i</w:t>
      </w:r>
      <w:r w:rsidRPr="00003506">
        <w:rPr>
          <w:rFonts w:ascii="Times New Roman" w:hAnsi="Times New Roman" w:cs="Times New Roman"/>
        </w:rPr>
        <w:t xml:space="preserve">ncludes both Member States and 10 non-EU </w:t>
      </w:r>
      <w:r w:rsidR="00621C3D" w:rsidRPr="00003506">
        <w:rPr>
          <w:rFonts w:ascii="Times New Roman" w:hAnsi="Times New Roman" w:cs="Times New Roman"/>
        </w:rPr>
        <w:t>p</w:t>
      </w:r>
      <w:r w:rsidRPr="00003506">
        <w:rPr>
          <w:rFonts w:ascii="Times New Roman" w:hAnsi="Times New Roman" w:cs="Times New Roman"/>
        </w:rPr>
        <w:t xml:space="preserve">articipating </w:t>
      </w:r>
      <w:r w:rsidR="00621C3D" w:rsidRPr="00003506">
        <w:rPr>
          <w:rFonts w:ascii="Times New Roman" w:hAnsi="Times New Roman" w:cs="Times New Roman"/>
        </w:rPr>
        <w:t>s</w:t>
      </w:r>
      <w:r w:rsidRPr="00003506">
        <w:rPr>
          <w:rFonts w:ascii="Times New Roman" w:hAnsi="Times New Roman" w:cs="Times New Roman"/>
        </w:rPr>
        <w:t>tates</w:t>
      </w:r>
      <w:r w:rsidR="00621C3D" w:rsidRPr="00003506">
        <w:rPr>
          <w:rFonts w:ascii="Times New Roman" w:hAnsi="Times New Roman" w:cs="Times New Roman"/>
        </w:rPr>
        <w:t>.</w:t>
      </w:r>
    </w:p>
  </w:footnote>
  <w:footnote w:id="63">
    <w:p w14:paraId="78C009C9" w14:textId="5BE06753" w:rsidR="001F1738" w:rsidRPr="00003506" w:rsidRDefault="001F1738" w:rsidP="00003506">
      <w:pPr>
        <w:pStyle w:val="FootnoteText"/>
        <w:spacing w:line="240" w:lineRule="auto"/>
        <w:contextualSpacing/>
        <w:jc w:val="both"/>
        <w:rPr>
          <w:rFonts w:ascii="Times New Roman" w:hAnsi="Times New Roman" w:cs="Times New Roman"/>
        </w:rPr>
      </w:pPr>
      <w:r w:rsidRPr="00003506">
        <w:rPr>
          <w:rStyle w:val="FootnoteReference"/>
          <w:rFonts w:ascii="Times New Roman" w:hAnsi="Times New Roman" w:cs="Times New Roman"/>
        </w:rPr>
        <w:footnoteRef/>
      </w:r>
      <w:r w:rsidR="00382A88" w:rsidRPr="00003506">
        <w:rPr>
          <w:rFonts w:ascii="Times New Roman" w:hAnsi="Times New Roman" w:cs="Times New Roman"/>
        </w:rPr>
        <w:t> </w:t>
      </w:r>
      <w:r w:rsidR="00FC03C1" w:rsidRPr="00003506">
        <w:rPr>
          <w:rFonts w:ascii="Times New Roman" w:hAnsi="Times New Roman" w:cs="Times New Roman"/>
        </w:rPr>
        <w:t>SWD(2020)</w:t>
      </w:r>
      <w:r w:rsidR="00382A88" w:rsidRPr="00003506">
        <w:rPr>
          <w:rFonts w:ascii="Times New Roman" w:hAnsi="Times New Roman" w:cs="Times New Roman"/>
        </w:rPr>
        <w:t> </w:t>
      </w:r>
      <w:r w:rsidR="00FC03C1" w:rsidRPr="00003506">
        <w:rPr>
          <w:rFonts w:ascii="Times New Roman" w:hAnsi="Times New Roman" w:cs="Times New Roman"/>
        </w:rPr>
        <w:t>3</w:t>
      </w:r>
      <w:r w:rsidR="00382A88" w:rsidRPr="00003506">
        <w:rPr>
          <w:rFonts w:ascii="Times New Roman" w:hAnsi="Times New Roman" w:cs="Times New Roman"/>
        </w:rPr>
        <w:t> </w:t>
      </w:r>
      <w:r w:rsidR="00FC03C1" w:rsidRPr="00003506">
        <w:rPr>
          <w:rFonts w:ascii="Times New Roman" w:hAnsi="Times New Roman" w:cs="Times New Roman"/>
        </w:rPr>
        <w:t>final</w:t>
      </w:r>
      <w:r w:rsidR="00382A88" w:rsidRPr="00003506">
        <w:rPr>
          <w:rFonts w:ascii="Times New Roman" w:hAnsi="Times New Roman" w:cs="Times New Roman"/>
        </w:rPr>
        <w:t>.</w:t>
      </w:r>
    </w:p>
  </w:footnote>
  <w:footnote w:id="64">
    <w:p w14:paraId="33D352B3" w14:textId="7067823F" w:rsidR="00015AC9" w:rsidRPr="00003506" w:rsidRDefault="00015AC9" w:rsidP="00003506">
      <w:pPr>
        <w:spacing w:after="0" w:line="240" w:lineRule="auto"/>
        <w:contextualSpacing/>
        <w:jc w:val="both"/>
        <w:rPr>
          <w:rFonts w:ascii="Times New Roman" w:hAnsi="Times New Roman" w:cs="Times New Roman"/>
          <w:sz w:val="20"/>
          <w:szCs w:val="20"/>
        </w:rPr>
      </w:pPr>
      <w:r w:rsidRPr="00003506">
        <w:rPr>
          <w:rStyle w:val="FootnoteReference"/>
          <w:rFonts w:ascii="Times New Roman" w:hAnsi="Times New Roman" w:cs="Times New Roman"/>
          <w:sz w:val="20"/>
          <w:szCs w:val="20"/>
        </w:rPr>
        <w:footnoteRef/>
      </w:r>
      <w:r w:rsidRPr="00003506">
        <w:rPr>
          <w:rFonts w:ascii="Times New Roman" w:hAnsi="Times New Roman" w:cs="Times New Roman"/>
          <w:sz w:val="20"/>
          <w:szCs w:val="20"/>
        </w:rPr>
        <w:t xml:space="preserve"> Europe-wide disaster scenarios are one of the flagship initiatives from the Commission’s EU Disaster Resilience Goals introduced in February 2023: </w:t>
      </w:r>
      <w:hyperlink r:id="rId47" w:history="1">
        <w:r w:rsidRPr="00003506">
          <w:rPr>
            <w:rStyle w:val="Hyperlink"/>
            <w:rFonts w:ascii="Times New Roman" w:hAnsi="Times New Roman" w:cs="Times New Roman"/>
            <w:sz w:val="20"/>
            <w:szCs w:val="20"/>
          </w:rPr>
          <w:t>https://civil-protection-humanitarian-aid.ec.europa.eu/what/civil-protection/european-disaster-risk-management/european-disaster-resilience-goals_en</w:t>
        </w:r>
      </w:hyperlink>
      <w:r w:rsidRPr="00003506">
        <w:rPr>
          <w:rFonts w:ascii="Times New Roman" w:hAnsi="Times New Roman" w:cs="Times New Roman"/>
          <w:sz w:val="20"/>
          <w:szCs w:val="20"/>
        </w:rPr>
        <w:t>.</w:t>
      </w:r>
    </w:p>
  </w:footnote>
  <w:footnote w:id="65">
    <w:p w14:paraId="2F3474A2" w14:textId="1500A07B" w:rsidR="007D4B14" w:rsidRPr="00BC2F11" w:rsidRDefault="007D4B14" w:rsidP="00003506">
      <w:pPr>
        <w:pStyle w:val="FootnoteText"/>
        <w:spacing w:line="240" w:lineRule="auto"/>
        <w:contextualSpacing/>
        <w:jc w:val="both"/>
        <w:rPr>
          <w:rFonts w:ascii="Times New Roman" w:hAnsi="Times New Roman" w:cs="Times New Roman"/>
        </w:rPr>
      </w:pPr>
      <w:r w:rsidRPr="00003506">
        <w:rPr>
          <w:rStyle w:val="FootnoteReference"/>
          <w:rFonts w:ascii="Times New Roman" w:hAnsi="Times New Roman" w:cs="Times New Roman"/>
        </w:rPr>
        <w:footnoteRef/>
      </w:r>
      <w:r w:rsidR="00382A88" w:rsidRPr="00003506">
        <w:rPr>
          <w:rFonts w:ascii="Times New Roman" w:hAnsi="Times New Roman" w:cs="Times New Roman"/>
        </w:rPr>
        <w:t> </w:t>
      </w:r>
      <w:r w:rsidRPr="00003506">
        <w:rPr>
          <w:rFonts w:ascii="Times New Roman" w:hAnsi="Times New Roman" w:cs="Times New Roman"/>
        </w:rPr>
        <w:t>COM(2022)</w:t>
      </w:r>
      <w:r w:rsidR="00382A88" w:rsidRPr="00003506">
        <w:rPr>
          <w:rFonts w:ascii="Times New Roman" w:hAnsi="Times New Roman" w:cs="Times New Roman"/>
        </w:rPr>
        <w:t> </w:t>
      </w:r>
      <w:r w:rsidRPr="00003506">
        <w:rPr>
          <w:rFonts w:ascii="Times New Roman" w:hAnsi="Times New Roman" w:cs="Times New Roman"/>
        </w:rPr>
        <w:t>780</w:t>
      </w:r>
      <w:r w:rsidR="00382A88" w:rsidRPr="00003506">
        <w:rPr>
          <w:rFonts w:ascii="Times New Roman" w:hAnsi="Times New Roman" w:cs="Times New Roman"/>
        </w:rPr>
        <w:t> </w:t>
      </w:r>
      <w:r w:rsidRPr="00003506">
        <w:rPr>
          <w:rFonts w:ascii="Times New Roman" w:hAnsi="Times New Roman" w:cs="Times New Roman"/>
        </w:rPr>
        <w:t>final</w:t>
      </w:r>
      <w:r w:rsidR="00382A88" w:rsidRPr="00003506">
        <w:rPr>
          <w:rFonts w:ascii="Times New Roman" w:hAnsi="Times New Roman" w:cs="Times New Roman"/>
        </w:rPr>
        <w:t>.</w:t>
      </w:r>
    </w:p>
  </w:footnote>
  <w:footnote w:id="66">
    <w:p w14:paraId="2F3D3768" w14:textId="77777777" w:rsidR="00854E12" w:rsidRPr="00B769F6" w:rsidRDefault="00854E12" w:rsidP="00854E12">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Pr="00B769F6">
        <w:rPr>
          <w:rFonts w:ascii="Times New Roman" w:hAnsi="Times New Roman" w:cs="Times New Roman"/>
        </w:rPr>
        <w:t> </w:t>
      </w:r>
      <w:hyperlink r:id="rId48" w:history="1">
        <w:r w:rsidRPr="00B769F6">
          <w:rPr>
            <w:rStyle w:val="Hyperlink"/>
            <w:rFonts w:ascii="Times New Roman" w:hAnsi="Times New Roman" w:cs="Times New Roman"/>
          </w:rPr>
          <w:t>https://health.ec.europa.eu/publications/hera-factsheet-health-union-identifying-top-3-priority-health-threats_en</w:t>
        </w:r>
      </w:hyperlink>
    </w:p>
  </w:footnote>
  <w:footnote w:id="67">
    <w:p w14:paraId="2BD71B1D" w14:textId="4AE8B8BD" w:rsidR="001F1738" w:rsidRPr="00BC2F11" w:rsidRDefault="001F1738" w:rsidP="00BC2F11">
      <w:pPr>
        <w:pStyle w:val="FootnoteText"/>
        <w:jc w:val="both"/>
        <w:rPr>
          <w:rFonts w:ascii="Times New Roman" w:eastAsia="Times New Roman" w:hAnsi="Times New Roman" w:cs="Times New Roman"/>
        </w:rPr>
      </w:pPr>
      <w:r w:rsidRPr="00BC2F11">
        <w:rPr>
          <w:rStyle w:val="FootnoteReference"/>
          <w:rFonts w:ascii="Times New Roman" w:hAnsi="Times New Roman" w:cs="Times New Roman"/>
        </w:rPr>
        <w:footnoteRef/>
      </w:r>
      <w:r w:rsidR="00382A88" w:rsidRPr="00BC2F11">
        <w:rPr>
          <w:rFonts w:ascii="Times New Roman" w:hAnsi="Times New Roman" w:cs="Times New Roman"/>
        </w:rPr>
        <w:t> </w:t>
      </w:r>
      <w:hyperlink r:id="rId49" w:anchor="ensuringtheavailabilityofsuppliesandequipment" w:history="1">
        <w:r w:rsidR="00382A88" w:rsidRPr="00BC2F11">
          <w:rPr>
            <w:rStyle w:val="Hyperlink"/>
            <w:rFonts w:ascii="Times New Roman" w:eastAsia="Times New Roman" w:hAnsi="Times New Roman" w:cs="Times New Roman"/>
          </w:rPr>
          <w:t>https://ec.europa.eu/info/live-work-travel-eu/coronavirus-response/public-health_en#ensuringtheavailabilityofsuppliesandequipment</w:t>
        </w:r>
      </w:hyperlink>
    </w:p>
  </w:footnote>
  <w:footnote w:id="68">
    <w:p w14:paraId="7637FDC6" w14:textId="35FCAB75" w:rsidR="001F1738" w:rsidRPr="00FC03C1" w:rsidRDefault="001F1738" w:rsidP="00B769F6">
      <w:pPr>
        <w:pStyle w:val="FootnoteText"/>
        <w:rPr>
          <w:rFonts w:ascii="Times New Roman" w:hAnsi="Times New Roman" w:cs="Times New Roman"/>
        </w:rPr>
      </w:pPr>
      <w:r w:rsidRPr="00FC03C1">
        <w:rPr>
          <w:rStyle w:val="FootnoteReference"/>
          <w:rFonts w:ascii="Times New Roman" w:hAnsi="Times New Roman" w:cs="Times New Roman"/>
        </w:rPr>
        <w:footnoteRef/>
      </w:r>
      <w:r w:rsidR="00382A88" w:rsidRPr="00B43F78">
        <w:rPr>
          <w:rFonts w:ascii="Times New Roman" w:hAnsi="Times New Roman" w:cs="Times New Roman"/>
        </w:rPr>
        <w:t> </w:t>
      </w:r>
      <w:r w:rsidR="0078495C">
        <w:rPr>
          <w:rFonts w:ascii="Times New Roman" w:hAnsi="Times New Roman" w:cs="Times New Roman"/>
        </w:rPr>
        <w:t>See</w:t>
      </w:r>
      <w:r w:rsidR="00140841">
        <w:rPr>
          <w:rFonts w:ascii="Times New Roman" w:hAnsi="Times New Roman" w:cs="Times New Roman"/>
        </w:rPr>
        <w:t xml:space="preserve"> ‘</w:t>
      </w:r>
      <w:r w:rsidR="00140841" w:rsidRPr="00140841">
        <w:rPr>
          <w:rFonts w:ascii="Times New Roman" w:hAnsi="Times New Roman" w:cs="Times New Roman"/>
        </w:rPr>
        <w:t>Surveillance during the COVID-19 epidemic and other epidemics: lessons learnt</w:t>
      </w:r>
      <w:r w:rsidR="00140841">
        <w:rPr>
          <w:rFonts w:ascii="Times New Roman" w:hAnsi="Times New Roman" w:cs="Times New Roman"/>
        </w:rPr>
        <w:t>’,</w:t>
      </w:r>
      <w:r w:rsidR="0078495C">
        <w:rPr>
          <w:rFonts w:ascii="Times New Roman" w:hAnsi="Times New Roman" w:cs="Times New Roman"/>
        </w:rPr>
        <w:t xml:space="preserve"> </w:t>
      </w:r>
      <w:hyperlink r:id="rId50" w:history="1">
        <w:r w:rsidR="00F7122F" w:rsidRPr="00B65BE3">
          <w:rPr>
            <w:rStyle w:val="Hyperlink"/>
            <w:rFonts w:ascii="Times New Roman" w:hAnsi="Times New Roman" w:cs="Times New Roman"/>
          </w:rPr>
          <w:t>https://www.nivel.nl/en/project/1920</w:t>
        </w:r>
      </w:hyperlink>
      <w:r w:rsidRPr="00FC03C1">
        <w:rPr>
          <w:rFonts w:ascii="Times New Roman" w:hAnsi="Times New Roman" w:cs="Times New Roman"/>
        </w:rPr>
        <w:t>.</w:t>
      </w:r>
    </w:p>
  </w:footnote>
  <w:footnote w:id="69">
    <w:p w14:paraId="73E4B9A9" w14:textId="0E07505C" w:rsidR="00C5325C" w:rsidRPr="00003506" w:rsidRDefault="00C5325C" w:rsidP="00003506">
      <w:pPr>
        <w:autoSpaceDE w:val="0"/>
        <w:autoSpaceDN w:val="0"/>
        <w:spacing w:after="0" w:line="240" w:lineRule="auto"/>
        <w:rPr>
          <w:rFonts w:ascii="Times New Roman" w:hAnsi="Times New Roman" w:cs="Times New Roman"/>
          <w:sz w:val="20"/>
          <w:szCs w:val="20"/>
        </w:rPr>
      </w:pPr>
      <w:r w:rsidRPr="00003506">
        <w:rPr>
          <w:rStyle w:val="FootnoteReference"/>
          <w:rFonts w:ascii="Times New Roman" w:hAnsi="Times New Roman" w:cs="Times New Roman"/>
          <w:sz w:val="20"/>
          <w:szCs w:val="20"/>
        </w:rPr>
        <w:footnoteRef/>
      </w:r>
      <w:r w:rsidRPr="00003506">
        <w:rPr>
          <w:rFonts w:ascii="Times New Roman" w:hAnsi="Times New Roman" w:cs="Times New Roman"/>
          <w:sz w:val="20"/>
          <w:szCs w:val="20"/>
        </w:rPr>
        <w:t xml:space="preserve"> </w:t>
      </w:r>
      <w:hyperlink r:id="rId51" w:history="1">
        <w:r w:rsidRPr="00003506">
          <w:rPr>
            <w:rStyle w:val="Hyperlink"/>
            <w:rFonts w:ascii="Times New Roman" w:hAnsi="Times New Roman" w:cs="Times New Roman"/>
            <w:sz w:val="20"/>
            <w:szCs w:val="20"/>
          </w:rPr>
          <w:t>https://health.ec.europa.eu/health-security-and-infectious-diseases/surveillance-and-early-warning/eu-reference-laboratories-public-health-calls-application_en</w:t>
        </w:r>
      </w:hyperlink>
    </w:p>
  </w:footnote>
  <w:footnote w:id="70">
    <w:p w14:paraId="5D0F97C1" w14:textId="60CF78CB" w:rsidR="001F1738" w:rsidRPr="00003506" w:rsidRDefault="001F1738" w:rsidP="00003506">
      <w:pPr>
        <w:pStyle w:val="FootnoteText"/>
        <w:spacing w:line="240" w:lineRule="auto"/>
      </w:pPr>
      <w:r w:rsidRPr="00003506">
        <w:rPr>
          <w:rStyle w:val="FootnoteReference"/>
          <w:rFonts w:ascii="Times New Roman" w:hAnsi="Times New Roman" w:cs="Times New Roman"/>
        </w:rPr>
        <w:footnoteRef/>
      </w:r>
      <w:r w:rsidR="00382A88" w:rsidRPr="00003506">
        <w:rPr>
          <w:rFonts w:ascii="Times New Roman" w:hAnsi="Times New Roman" w:cs="Times New Roman"/>
        </w:rPr>
        <w:t> </w:t>
      </w:r>
      <w:r w:rsidR="00E66B2E" w:rsidRPr="00003506">
        <w:t xml:space="preserve"> </w:t>
      </w:r>
      <w:hyperlink r:id="rId52" w:history="1">
        <w:r w:rsidR="00E66B2E" w:rsidRPr="00003506">
          <w:rPr>
            <w:rStyle w:val="Hyperlink"/>
            <w:rFonts w:ascii="Times New Roman" w:hAnsi="Times New Roman" w:cs="Times New Roman"/>
          </w:rPr>
          <w:t>https://www.pasteur.fr/en/home/institut-pasteur/institut-pasteur-throughout-world/international-research-programs/durable-large-scale-project-emerging-diseases-within-eu4health-european-program</w:t>
        </w:r>
      </w:hyperlink>
      <w:r w:rsidR="00E66B2E" w:rsidRPr="00003506">
        <w:rPr>
          <w:rStyle w:val="Hyperlink"/>
          <w:rFonts w:ascii="Times New Roman" w:hAnsi="Times New Roman" w:cs="Times New Roman"/>
        </w:rPr>
        <w:t xml:space="preserve"> </w:t>
      </w:r>
    </w:p>
  </w:footnote>
  <w:footnote w:id="71">
    <w:p w14:paraId="3A3DA6A6" w14:textId="533DB1C5" w:rsidR="001F1738" w:rsidRPr="00003506" w:rsidRDefault="001F1738" w:rsidP="00003506">
      <w:pPr>
        <w:pStyle w:val="FootnoteText"/>
        <w:spacing w:line="240" w:lineRule="auto"/>
        <w:rPr>
          <w:rFonts w:ascii="Times New Roman" w:hAnsi="Times New Roman" w:cs="Times New Roman"/>
        </w:rPr>
      </w:pPr>
      <w:r w:rsidRPr="00003506">
        <w:rPr>
          <w:rStyle w:val="FootnoteReference"/>
          <w:rFonts w:ascii="Times New Roman" w:hAnsi="Times New Roman" w:cs="Times New Roman"/>
        </w:rPr>
        <w:footnoteRef/>
      </w:r>
      <w:r w:rsidR="00382A88" w:rsidRPr="00003506">
        <w:rPr>
          <w:rFonts w:ascii="Times New Roman" w:hAnsi="Times New Roman" w:cs="Times New Roman"/>
        </w:rPr>
        <w:t> </w:t>
      </w:r>
      <w:hyperlink r:id="rId53" w:history="1">
        <w:r w:rsidR="00B00385" w:rsidRPr="00003506">
          <w:rPr>
            <w:rStyle w:val="Hyperlink"/>
            <w:rFonts w:ascii="Times New Roman" w:hAnsi="Times New Roman" w:cs="Times New Roman"/>
          </w:rPr>
          <w:t>https://www.ecdc.europa.eu/en/publications-data/epipulse-european-surveillance-portal-infectious-diseases</w:t>
        </w:r>
      </w:hyperlink>
    </w:p>
  </w:footnote>
  <w:footnote w:id="72">
    <w:p w14:paraId="6A2EF87B" w14:textId="00D9BD32" w:rsidR="001F1738" w:rsidRPr="00003506" w:rsidRDefault="001F1738" w:rsidP="00003506">
      <w:pPr>
        <w:pStyle w:val="FootnoteText"/>
        <w:spacing w:line="240" w:lineRule="auto"/>
        <w:rPr>
          <w:rFonts w:ascii="Times New Roman" w:hAnsi="Times New Roman" w:cs="Times New Roman"/>
        </w:rPr>
      </w:pPr>
      <w:r w:rsidRPr="00003506">
        <w:rPr>
          <w:rStyle w:val="FootnoteReference"/>
          <w:rFonts w:ascii="Times New Roman" w:hAnsi="Times New Roman" w:cs="Times New Roman"/>
        </w:rPr>
        <w:footnoteRef/>
      </w:r>
      <w:r w:rsidR="00382A88" w:rsidRPr="00003506">
        <w:rPr>
          <w:rFonts w:ascii="Times New Roman" w:hAnsi="Times New Roman" w:cs="Times New Roman"/>
        </w:rPr>
        <w:t> </w:t>
      </w:r>
      <w:hyperlink r:id="rId54" w:history="1">
        <w:r w:rsidR="00382A88" w:rsidRPr="00003506">
          <w:rPr>
            <w:rStyle w:val="Hyperlink"/>
            <w:rFonts w:ascii="Times New Roman" w:hAnsi="Times New Roman" w:cs="Times New Roman"/>
          </w:rPr>
          <w:t>https://www.ecdc.europa.eu/en/publications-data/european-surveillance-system-tessy</w:t>
        </w:r>
      </w:hyperlink>
      <w:r w:rsidRPr="00003506">
        <w:rPr>
          <w:rFonts w:ascii="Times New Roman" w:hAnsi="Times New Roman" w:cs="Times New Roman"/>
        </w:rPr>
        <w:t xml:space="preserve"> </w:t>
      </w:r>
    </w:p>
  </w:footnote>
  <w:footnote w:id="73">
    <w:p w14:paraId="26FF8025" w14:textId="3C3BC67C" w:rsidR="001F1738" w:rsidRPr="00003506" w:rsidRDefault="001F1738" w:rsidP="00003506">
      <w:pPr>
        <w:pStyle w:val="FootnoteText"/>
        <w:shd w:val="clear" w:color="auto" w:fill="FFFFFF" w:themeFill="background1"/>
        <w:spacing w:line="240" w:lineRule="auto"/>
        <w:rPr>
          <w:rFonts w:ascii="Times New Roman" w:hAnsi="Times New Roman" w:cs="Times New Roman"/>
        </w:rPr>
      </w:pPr>
      <w:r w:rsidRPr="00003506">
        <w:rPr>
          <w:rStyle w:val="FootnoteReference"/>
          <w:rFonts w:ascii="Times New Roman" w:hAnsi="Times New Roman" w:cs="Times New Roman"/>
        </w:rPr>
        <w:footnoteRef/>
      </w:r>
      <w:r w:rsidR="00382A88" w:rsidRPr="00003506">
        <w:rPr>
          <w:rFonts w:ascii="Times New Roman" w:hAnsi="Times New Roman" w:cs="Times New Roman"/>
        </w:rPr>
        <w:t> </w:t>
      </w:r>
      <w:hyperlink r:id="rId55" w:history="1">
        <w:r w:rsidR="00382A88" w:rsidRPr="00003506">
          <w:rPr>
            <w:rStyle w:val="Hyperlink"/>
            <w:rFonts w:ascii="Times New Roman" w:hAnsi="Times New Roman" w:cs="Times New Roman"/>
          </w:rPr>
          <w:t>https://www.who.int/initiatives/eios</w:t>
        </w:r>
      </w:hyperlink>
      <w:r w:rsidRPr="00003506">
        <w:rPr>
          <w:rFonts w:ascii="Times New Roman" w:hAnsi="Times New Roman" w:cs="Times New Roman"/>
          <w:color w:val="2B579A"/>
          <w:shd w:val="clear" w:color="auto" w:fill="E6E6E6"/>
        </w:rPr>
        <w:t xml:space="preserve"> </w:t>
      </w:r>
    </w:p>
  </w:footnote>
  <w:footnote w:id="74">
    <w:p w14:paraId="32E3CFC7" w14:textId="5C3A5A0A" w:rsidR="001F1738" w:rsidRPr="00A02841" w:rsidRDefault="001F1738" w:rsidP="00003506">
      <w:pPr>
        <w:pStyle w:val="FootnoteText"/>
        <w:shd w:val="clear" w:color="auto" w:fill="FFFFFF" w:themeFill="background1"/>
        <w:spacing w:line="240" w:lineRule="auto"/>
      </w:pPr>
      <w:r w:rsidRPr="00003506">
        <w:rPr>
          <w:rStyle w:val="FootnoteReference"/>
          <w:rFonts w:ascii="Times New Roman" w:hAnsi="Times New Roman" w:cs="Times New Roman"/>
        </w:rPr>
        <w:footnoteRef/>
      </w:r>
      <w:r w:rsidR="00382A88" w:rsidRPr="00003506">
        <w:rPr>
          <w:rFonts w:ascii="Times New Roman" w:hAnsi="Times New Roman" w:cs="Times New Roman"/>
        </w:rPr>
        <w:t> </w:t>
      </w:r>
      <w:hyperlink r:id="rId56" w:history="1">
        <w:r w:rsidRPr="00003506">
          <w:rPr>
            <w:rStyle w:val="Hyperlink"/>
            <w:rFonts w:ascii="Times New Roman" w:hAnsi="Times New Roman" w:cs="Times New Roman"/>
          </w:rPr>
          <w:t>https://health.ec.europa.eu/latest-updates/hera-it-system-athina-collect-intelligence-and-assess-threats-call-tender-published-2023-04-25_en</w:t>
        </w:r>
      </w:hyperlink>
      <w:r w:rsidRPr="00A02841">
        <w:rPr>
          <w:color w:val="2B579A"/>
          <w:shd w:val="clear" w:color="auto" w:fill="E6E6E6"/>
        </w:rPr>
        <w:t xml:space="preserve"> </w:t>
      </w:r>
    </w:p>
  </w:footnote>
  <w:footnote w:id="75">
    <w:p w14:paraId="353AD981" w14:textId="1C54A971" w:rsidR="00E462D4" w:rsidRPr="00FC03C1" w:rsidRDefault="00E462D4" w:rsidP="00E462D4">
      <w:pPr>
        <w:pStyle w:val="FootnoteText"/>
        <w:rPr>
          <w:rFonts w:ascii="Times New Roman" w:hAnsi="Times New Roman" w:cs="Times New Roman"/>
          <w:lang w:val="pt-BR"/>
        </w:rPr>
      </w:pPr>
      <w:r w:rsidRPr="00FC03C1">
        <w:rPr>
          <w:rStyle w:val="FootnoteReference"/>
          <w:rFonts w:ascii="Times New Roman" w:hAnsi="Times New Roman" w:cs="Times New Roman"/>
        </w:rPr>
        <w:footnoteRef/>
      </w:r>
      <w:r w:rsidR="00382A88">
        <w:rPr>
          <w:rFonts w:ascii="Times New Roman" w:hAnsi="Times New Roman" w:cs="Times New Roman"/>
          <w:lang w:val="pt-BR"/>
        </w:rPr>
        <w:t> </w:t>
      </w:r>
      <w:hyperlink r:id="rId57" w:history="1">
        <w:r w:rsidR="00382A88" w:rsidRPr="00382A88">
          <w:rPr>
            <w:rStyle w:val="Hyperlink"/>
            <w:rFonts w:ascii="Times New Roman" w:hAnsi="Times New Roman" w:cs="Times New Roman"/>
            <w:lang w:val="pt-BR"/>
          </w:rPr>
          <w:t>https://united4surveillance.eu/</w:t>
        </w:r>
      </w:hyperlink>
      <w:r w:rsidRPr="00FC03C1">
        <w:rPr>
          <w:rFonts w:ascii="Times New Roman" w:hAnsi="Times New Roman" w:cs="Times New Roman"/>
          <w:lang w:val="pt-BR"/>
        </w:rPr>
        <w:t xml:space="preserve"> </w:t>
      </w:r>
    </w:p>
  </w:footnote>
  <w:footnote w:id="76">
    <w:p w14:paraId="62D103C8" w14:textId="7D261F8A" w:rsidR="001F1738" w:rsidRPr="00FC03C1" w:rsidRDefault="001F1738" w:rsidP="001F1738">
      <w:pPr>
        <w:pStyle w:val="FootnoteText"/>
        <w:rPr>
          <w:rFonts w:ascii="Times New Roman" w:hAnsi="Times New Roman" w:cs="Times New Roman"/>
        </w:rPr>
      </w:pPr>
      <w:r w:rsidRPr="00FC03C1">
        <w:rPr>
          <w:rStyle w:val="FootnoteReference"/>
          <w:rFonts w:ascii="Times New Roman" w:hAnsi="Times New Roman" w:cs="Times New Roman"/>
        </w:rPr>
        <w:footnoteRef/>
      </w:r>
      <w:r w:rsidR="00382A88" w:rsidRPr="00BC2F11">
        <w:rPr>
          <w:rFonts w:ascii="Times New Roman" w:hAnsi="Times New Roman" w:cs="Times New Roman"/>
          <w:lang w:val="pt-BR"/>
        </w:rPr>
        <w:t> </w:t>
      </w:r>
      <w:r w:rsidRPr="00BC2F11">
        <w:rPr>
          <w:rFonts w:ascii="Times New Roman" w:hAnsi="Times New Roman" w:cs="Times New Roman"/>
          <w:lang w:val="pt-BR"/>
        </w:rPr>
        <w:t>CP-g-22-04.01.</w:t>
      </w:r>
      <w:r w:rsidR="00C5325C">
        <w:rPr>
          <w:rFonts w:ascii="Times New Roman" w:hAnsi="Times New Roman" w:cs="Times New Roman"/>
          <w:lang w:val="pt-BR"/>
        </w:rPr>
        <w:t xml:space="preserve"> The singnature of the grants is expected towards the end of 2023.</w:t>
      </w:r>
    </w:p>
  </w:footnote>
  <w:footnote w:id="77">
    <w:p w14:paraId="078B0BD1" w14:textId="35DC2679"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58" w:history="1">
        <w:r w:rsidR="00382A88" w:rsidRPr="00B769F6">
          <w:rPr>
            <w:rStyle w:val="Hyperlink"/>
            <w:rFonts w:ascii="Times New Roman" w:hAnsi="Times New Roman" w:cs="Times New Roman"/>
          </w:rPr>
          <w:t>https://mood-h2020.eu/</w:t>
        </w:r>
      </w:hyperlink>
      <w:r w:rsidRPr="00B769F6">
        <w:rPr>
          <w:rFonts w:ascii="Times New Roman" w:hAnsi="Times New Roman" w:cs="Times New Roman"/>
        </w:rPr>
        <w:t xml:space="preserve"> </w:t>
      </w:r>
    </w:p>
  </w:footnote>
  <w:footnote w:id="78">
    <w:p w14:paraId="7C510393" w14:textId="59BCC599" w:rsidR="001F1738" w:rsidRPr="00B769F6"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59" w:history="1">
        <w:r w:rsidR="00382A88" w:rsidRPr="00B769F6">
          <w:rPr>
            <w:rStyle w:val="Hyperlink"/>
            <w:rFonts w:ascii="Times New Roman" w:hAnsi="Times New Roman" w:cs="Times New Roman"/>
          </w:rPr>
          <w:t>https://www.veo-europe.eu/</w:t>
        </w:r>
      </w:hyperlink>
    </w:p>
  </w:footnote>
  <w:footnote w:id="79">
    <w:p w14:paraId="4B031683" w14:textId="39F57006" w:rsidR="001F1738" w:rsidRPr="00BC2F11" w:rsidRDefault="001F1738" w:rsidP="00BC2F11">
      <w:pPr>
        <w:pStyle w:val="FootnoteText"/>
        <w:jc w:val="both"/>
        <w:rPr>
          <w:rFonts w:ascii="Times New Roman" w:hAnsi="Times New Roman" w:cs="Times New Roman"/>
        </w:rPr>
      </w:pPr>
      <w:r w:rsidRPr="00B769F6">
        <w:rPr>
          <w:rStyle w:val="FootnoteReference"/>
          <w:rFonts w:ascii="Times New Roman" w:hAnsi="Times New Roman" w:cs="Times New Roman"/>
        </w:rPr>
        <w:footnoteRef/>
      </w:r>
      <w:r w:rsidR="00382A88" w:rsidRPr="00B769F6">
        <w:rPr>
          <w:rFonts w:ascii="Times New Roman" w:hAnsi="Times New Roman" w:cs="Times New Roman"/>
        </w:rPr>
        <w:t> </w:t>
      </w:r>
      <w:hyperlink r:id="rId60" w:history="1">
        <w:r w:rsidR="00382A88" w:rsidRPr="00B769F6">
          <w:rPr>
            <w:rStyle w:val="Hyperlink"/>
            <w:rFonts w:ascii="Times New Roman" w:hAnsi="Times New Roman" w:cs="Times New Roman"/>
          </w:rPr>
          <w:t>https://www.phiri.eu/</w:t>
        </w:r>
      </w:hyperlink>
      <w:r w:rsidRPr="00BC2F11">
        <w:rPr>
          <w:rFonts w:ascii="Times New Roman" w:hAnsi="Times New Roman" w:cs="Times New Roman"/>
        </w:rPr>
        <w:t xml:space="preserve"> </w:t>
      </w:r>
    </w:p>
  </w:footnote>
  <w:footnote w:id="80">
    <w:p w14:paraId="668F56F4" w14:textId="0B2E27A0" w:rsidR="00E66B2E" w:rsidRPr="00BC2F11" w:rsidRDefault="00E66B2E" w:rsidP="00BC2F11">
      <w:pPr>
        <w:pStyle w:val="FootnoteText"/>
        <w:jc w:val="both"/>
        <w:rPr>
          <w:rFonts w:ascii="Times New Roman" w:hAnsi="Times New Roman" w:cs="Times New Roman"/>
        </w:rPr>
      </w:pPr>
      <w:r w:rsidRPr="00BC2F11">
        <w:rPr>
          <w:rStyle w:val="FootnoteReference"/>
          <w:rFonts w:ascii="Times New Roman" w:hAnsi="Times New Roman" w:cs="Times New Roman"/>
        </w:rPr>
        <w:footnoteRef/>
      </w:r>
      <w:r w:rsidRPr="00BC2F11">
        <w:rPr>
          <w:rFonts w:ascii="Times New Roman" w:hAnsi="Times New Roman" w:cs="Times New Roman"/>
        </w:rPr>
        <w:t xml:space="preserve"> </w:t>
      </w:r>
      <w:r w:rsidR="009E6237" w:rsidRPr="00BC2F11">
        <w:rPr>
          <w:rFonts w:ascii="Times New Roman" w:hAnsi="Times New Roman" w:cs="Times New Roman"/>
        </w:rPr>
        <w:t>Decision No 2119/98/EC of the European Parliament and of the Council of 24 September 1998 setting up a network for the epidemiological surveillance and control of communicable diseases in the Community</w:t>
      </w:r>
      <w:r w:rsidR="009E6237" w:rsidRPr="00B769F6">
        <w:rPr>
          <w:rFonts w:ascii="Times New Roman" w:hAnsi="Times New Roman" w:cs="Times New Roman"/>
        </w:rPr>
        <w:t>, OJ L 268, 3.10.1998, p.1–7</w:t>
      </w:r>
      <w:r w:rsidR="009E6237" w:rsidRPr="00BC2F11">
        <w:rPr>
          <w:rFonts w:ascii="Times New Roman" w:hAnsi="Times New Roman" w:cs="Times New Roman"/>
        </w:rPr>
        <w:t xml:space="preserve"> </w:t>
      </w:r>
      <w:r w:rsidR="009E6237" w:rsidRPr="00B769F6">
        <w:rPr>
          <w:rFonts w:ascii="Times New Roman" w:hAnsi="Times New Roman" w:cs="Times New Roman"/>
        </w:rPr>
        <w:t>(</w:t>
      </w:r>
      <w:hyperlink r:id="rId61" w:history="1">
        <w:r w:rsidR="009E6237" w:rsidRPr="00BC2F11">
          <w:rPr>
            <w:rStyle w:val="Hyperlink"/>
            <w:rFonts w:ascii="Times New Roman" w:hAnsi="Times New Roman" w:cs="Times New Roman"/>
          </w:rPr>
          <w:t>https://eur-lex.europa.eu/eli/dec/1998/2119/oj</w:t>
        </w:r>
      </w:hyperlink>
      <w:r w:rsidR="009E6237" w:rsidRPr="00B769F6">
        <w:rPr>
          <w:rFonts w:ascii="Times New Roman" w:hAnsi="Times New Roman" w:cs="Times New Roman"/>
        </w:rPr>
        <w:t>).</w:t>
      </w:r>
      <w:r w:rsidRPr="00BC2F11">
        <w:rPr>
          <w:rFonts w:ascii="Times New Roman" w:hAnsi="Times New Roman" w:cs="Times New Roman"/>
        </w:rPr>
        <w:t xml:space="preserve"> </w:t>
      </w:r>
    </w:p>
  </w:footnote>
  <w:footnote w:id="81">
    <w:p w14:paraId="3F813258" w14:textId="77777777" w:rsidR="00072774" w:rsidRPr="00BC2F11" w:rsidRDefault="00072774" w:rsidP="00BC2F11">
      <w:pPr>
        <w:pStyle w:val="FootnoteText"/>
        <w:jc w:val="both"/>
        <w:rPr>
          <w:rFonts w:ascii="Times New Roman" w:hAnsi="Times New Roman" w:cs="Times New Roman"/>
        </w:rPr>
      </w:pPr>
      <w:r w:rsidRPr="00BC2F11">
        <w:rPr>
          <w:rStyle w:val="FootnoteReference"/>
          <w:rFonts w:ascii="Times New Roman" w:hAnsi="Times New Roman" w:cs="Times New Roman"/>
        </w:rPr>
        <w:footnoteRef/>
      </w:r>
      <w:r w:rsidRPr="00B769F6">
        <w:rPr>
          <w:rFonts w:ascii="Times New Roman" w:hAnsi="Times New Roman" w:cs="Times New Roman"/>
        </w:rPr>
        <w:t> Specific contract with Alboris Consortium under the BEACON FWC DIGIT/2020/OP/0005 – BEACON Lot 2.</w:t>
      </w:r>
    </w:p>
  </w:footnote>
  <w:footnote w:id="82">
    <w:p w14:paraId="2A411CFB" w14:textId="0D918387" w:rsidR="00BB198E" w:rsidRPr="00B03DA6" w:rsidRDefault="00BB198E" w:rsidP="00C6323B">
      <w:pPr>
        <w:pStyle w:val="FootnoteText"/>
        <w:jc w:val="both"/>
        <w:rPr>
          <w:rFonts w:ascii="Times New Roman" w:hAnsi="Times New Roman" w:cs="Times New Roman"/>
        </w:rPr>
      </w:pPr>
      <w:r w:rsidRPr="00B03DA6">
        <w:rPr>
          <w:rStyle w:val="FootnoteReference"/>
          <w:rFonts w:ascii="Times New Roman" w:hAnsi="Times New Roman" w:cs="Times New Roman"/>
        </w:rPr>
        <w:footnoteRef/>
      </w:r>
      <w:r w:rsidR="00F764E8">
        <w:rPr>
          <w:rFonts w:ascii="Times New Roman" w:hAnsi="Times New Roman" w:cs="Times New Roman"/>
        </w:rPr>
        <w:t xml:space="preserve"> </w:t>
      </w:r>
      <w:r w:rsidRPr="00B03DA6">
        <w:rPr>
          <w:rFonts w:ascii="Times New Roman" w:hAnsi="Times New Roman" w:cs="Times New Roman"/>
        </w:rPr>
        <w:t xml:space="preserve">Established through the two implementing acts adopted by the Commission in </w:t>
      </w:r>
      <w:hyperlink r:id="rId62" w:history="1">
        <w:r w:rsidRPr="00B03DA6">
          <w:rPr>
            <w:rFonts w:ascii="Times New Roman" w:hAnsi="Times New Roman" w:cs="Times New Roman"/>
          </w:rPr>
          <w:t>May</w:t>
        </w:r>
      </w:hyperlink>
      <w:r w:rsidRPr="00B03DA6">
        <w:rPr>
          <w:rFonts w:ascii="Times New Roman" w:hAnsi="Times New Roman" w:cs="Times New Roman"/>
        </w:rPr>
        <w:t xml:space="preserve"> (C/2021/3921) and </w:t>
      </w:r>
      <w:hyperlink r:id="rId63" w:anchor=":~:text=Implementing%20Decision%20%28EU%29%202021%2F858%20defines%20in%20Annex%20I,effective%20cross-border%20contact%20tracing%20based%20on%20PLF%20data." w:history="1">
        <w:r w:rsidRPr="00B03DA6">
          <w:rPr>
            <w:rFonts w:ascii="Times New Roman" w:hAnsi="Times New Roman" w:cs="Times New Roman"/>
          </w:rPr>
          <w:t>July</w:t>
        </w:r>
      </w:hyperlink>
      <w:r w:rsidRPr="00B03DA6">
        <w:rPr>
          <w:rFonts w:ascii="Times New Roman" w:hAnsi="Times New Roman" w:cs="Times New Roman"/>
        </w:rPr>
        <w:t xml:space="preserve"> 2021 (C/2021/5595).</w:t>
      </w:r>
    </w:p>
  </w:footnote>
  <w:footnote w:id="83">
    <w:p w14:paraId="1F019756" w14:textId="77777777" w:rsidR="00BB198E" w:rsidRPr="00687253" w:rsidRDefault="00BB198E" w:rsidP="00C6323B">
      <w:pPr>
        <w:pStyle w:val="FootnoteText"/>
        <w:jc w:val="both"/>
      </w:pPr>
      <w:r w:rsidRPr="00B03DA6">
        <w:rPr>
          <w:rStyle w:val="FootnoteReference"/>
          <w:rFonts w:ascii="Times New Roman" w:hAnsi="Times New Roman" w:cs="Times New Roman"/>
        </w:rPr>
        <w:footnoteRef/>
      </w:r>
      <w:r w:rsidRPr="00B03DA6">
        <w:rPr>
          <w:rFonts w:ascii="Times New Roman" w:hAnsi="Times New Roman" w:cs="Times New Roman"/>
        </w:rPr>
        <w:t xml:space="preserve"> </w:t>
      </w:r>
      <w:r w:rsidRPr="00B03DA6">
        <w:rPr>
          <w:rFonts w:ascii="Times New Roman" w:hAnsi="Times New Roman" w:cs="Times New Roman"/>
          <w:iCs/>
        </w:rPr>
        <w:t>At its peak, the ePLF connected five Member State: Italy, Malta, Slovenia, Spain and – for a short period – France</w:t>
      </w:r>
      <w:r w:rsidRPr="00687253">
        <w:rPr>
          <w:rFonts w:ascii="Times New Roman" w:hAnsi="Times New Roman" w:cs="Times New Roman"/>
          <w:iCs/>
        </w:rPr>
        <w:t xml:space="preserve">. </w:t>
      </w:r>
      <w:r w:rsidRPr="00B03DA6">
        <w:rPr>
          <w:rFonts w:ascii="Times New Roman" w:hAnsi="Times New Roman" w:cs="Times New Roman"/>
          <w:iCs/>
        </w:rPr>
        <w:t>Yet its actual use remained very limited, with only 256 messages exchanged between end 2021 and early 2022.</w:t>
      </w:r>
    </w:p>
  </w:footnote>
  <w:footnote w:id="84">
    <w:p w14:paraId="1B178307" w14:textId="6DAEDF0F" w:rsidR="00BB198E" w:rsidRPr="00B03DA6" w:rsidRDefault="00BB198E" w:rsidP="00C6323B">
      <w:pPr>
        <w:pStyle w:val="FootnoteText"/>
        <w:jc w:val="both"/>
        <w:rPr>
          <w:rFonts w:ascii="Times New Roman" w:hAnsi="Times New Roman" w:cs="Times New Roman"/>
        </w:rPr>
      </w:pPr>
      <w:r w:rsidRPr="00B03DA6">
        <w:rPr>
          <w:rStyle w:val="FootnoteReference"/>
          <w:rFonts w:ascii="Times New Roman" w:hAnsi="Times New Roman" w:cs="Times New Roman"/>
        </w:rPr>
        <w:footnoteRef/>
      </w:r>
      <w:r w:rsidRPr="00B03DA6">
        <w:rPr>
          <w:rFonts w:ascii="Times New Roman" w:hAnsi="Times New Roman" w:cs="Times New Roman"/>
        </w:rPr>
        <w:t xml:space="preserve"> </w:t>
      </w:r>
      <w:r w:rsidRPr="00B03DA6">
        <w:rPr>
          <w:rFonts w:ascii="Times New Roman" w:hAnsi="Times New Roman" w:cs="Times New Roman"/>
          <w:iCs/>
        </w:rPr>
        <w:t xml:space="preserve">As a result of this effort, messages sent by Member States connected to the ePLF could be technically delivered to Member States using the EWRS selective messaging </w:t>
      </w:r>
      <w:r w:rsidRPr="00F764E8">
        <w:rPr>
          <w:rFonts w:ascii="Times New Roman" w:hAnsi="Times New Roman" w:cs="Times New Roman"/>
          <w:iCs/>
        </w:rPr>
        <w:t xml:space="preserve">functionality. </w:t>
      </w:r>
      <w:r w:rsidRPr="00BC2F11">
        <w:rPr>
          <w:rFonts w:ascii="Times New Roman" w:hAnsi="Times New Roman" w:cs="Times New Roman"/>
          <w:iCs/>
        </w:rPr>
        <w:t>Work is still ongoing within the ECDC to enable messages sent through the EWRS selective exchange functionality to be received by the Member States</w:t>
      </w:r>
      <w:r w:rsidRPr="00F764E8">
        <w:rPr>
          <w:rFonts w:ascii="Times New Roman" w:hAnsi="Times New Roman" w:cs="Times New Roman"/>
          <w:iCs/>
        </w:rPr>
        <w:t xml:space="preserve"> using</w:t>
      </w:r>
      <w:r w:rsidRPr="00B03DA6">
        <w:rPr>
          <w:rFonts w:ascii="Times New Roman" w:hAnsi="Times New Roman" w:cs="Times New Roman"/>
          <w:iCs/>
        </w:rPr>
        <w:t xml:space="preserve"> the ePLF</w:t>
      </w:r>
      <w:r w:rsidR="00191C05">
        <w:rPr>
          <w:rFonts w:ascii="Times New Roman" w:hAnsi="Times New Roman" w:cs="Times New Roman"/>
          <w:iCs/>
        </w:rPr>
        <w:t xml:space="preserve"> if the system is to be activated again during a future crisis</w:t>
      </w:r>
      <w:r w:rsidRPr="00B03DA6">
        <w:rPr>
          <w:rFonts w:ascii="Times New Roman" w:hAnsi="Times New Roman" w:cs="Times New Roman"/>
          <w:iCs/>
        </w:rPr>
        <w:t>.</w:t>
      </w:r>
    </w:p>
  </w:footnote>
  <w:footnote w:id="85">
    <w:p w14:paraId="50838006" w14:textId="4DAA7484" w:rsidR="001F1738" w:rsidRPr="00FC03C1" w:rsidRDefault="001F1738" w:rsidP="001F1738">
      <w:pPr>
        <w:pStyle w:val="FootnoteText"/>
        <w:rPr>
          <w:rFonts w:ascii="Times New Roman" w:hAnsi="Times New Roman" w:cs="Times New Roman"/>
        </w:rPr>
      </w:pPr>
      <w:r w:rsidRPr="00FC03C1">
        <w:rPr>
          <w:rStyle w:val="FootnoteReference"/>
          <w:rFonts w:ascii="Times New Roman" w:hAnsi="Times New Roman" w:cs="Times New Roman"/>
        </w:rPr>
        <w:footnoteRef/>
      </w:r>
      <w:r w:rsidR="00382A88" w:rsidRPr="00B43F78">
        <w:rPr>
          <w:rFonts w:ascii="Times New Roman" w:hAnsi="Times New Roman" w:cs="Times New Roman"/>
        </w:rPr>
        <w:t> </w:t>
      </w:r>
      <w:hyperlink r:id="rId64" w:history="1">
        <w:r w:rsidR="00382A88" w:rsidRPr="00382A88">
          <w:rPr>
            <w:rStyle w:val="Hyperlink"/>
            <w:rFonts w:ascii="Times New Roman" w:hAnsi="Times New Roman" w:cs="Times New Roman"/>
          </w:rPr>
          <w:t>https://health.ec.europa.eu/health-security-and-infectious-diseases/crisis-management/list-authorities-represented-health-security-committee/health-security-committee-reports_en</w:t>
        </w:r>
      </w:hyperlink>
    </w:p>
  </w:footnote>
  <w:footnote w:id="86">
    <w:p w14:paraId="18EB775F" w14:textId="296A42DB" w:rsidR="00542A7E" w:rsidRPr="00003506" w:rsidRDefault="00542A7E" w:rsidP="00003506">
      <w:pPr>
        <w:spacing w:after="0" w:line="240" w:lineRule="auto"/>
        <w:rPr>
          <w:rFonts w:ascii="Times New Roman" w:hAnsi="Times New Roman" w:cs="Times New Roman"/>
          <w:sz w:val="20"/>
          <w:szCs w:val="20"/>
        </w:rPr>
      </w:pPr>
      <w:r>
        <w:rPr>
          <w:rStyle w:val="FootnoteReference"/>
        </w:rPr>
        <w:footnoteRef/>
      </w:r>
      <w:r>
        <w:t xml:space="preserve"> </w:t>
      </w:r>
      <w:hyperlink r:id="rId65" w:history="1">
        <w:r w:rsidR="00C31A05" w:rsidRPr="00003506">
          <w:rPr>
            <w:rStyle w:val="Hyperlink"/>
            <w:rFonts w:ascii="Times New Roman" w:eastAsiaTheme="minorEastAsia" w:hAnsi="Times New Roman" w:cs="Times New Roman"/>
            <w:sz w:val="20"/>
            <w:szCs w:val="20"/>
            <w:lang w:val="en-IE"/>
          </w:rPr>
          <w:t>https://health.ec.europa.eu/publications/preparing-winter-20232024-address-respiratory-infections-caused-sars-cov-2-and-other-viruses_en</w:t>
        </w:r>
      </w:hyperlink>
      <w:r w:rsidR="00C31A05" w:rsidRPr="00003506">
        <w:rPr>
          <w:rFonts w:ascii="Times New Roman" w:hAnsi="Times New Roman" w:cs="Times New Roman"/>
          <w:sz w:val="20"/>
          <w:szCs w:val="20"/>
        </w:rPr>
        <w:t xml:space="preserve"> </w:t>
      </w:r>
    </w:p>
  </w:footnote>
  <w:footnote w:id="87">
    <w:p w14:paraId="44FB809F" w14:textId="04366634" w:rsidR="001F1738" w:rsidRPr="00542A7E" w:rsidRDefault="001F1738" w:rsidP="00542A7E">
      <w:pPr>
        <w:pStyle w:val="FootnoteText"/>
        <w:spacing w:line="240" w:lineRule="auto"/>
        <w:jc w:val="both"/>
        <w:rPr>
          <w:rFonts w:ascii="Times New Roman" w:hAnsi="Times New Roman" w:cs="Times New Roman"/>
        </w:rPr>
      </w:pPr>
      <w:r w:rsidRPr="00003506">
        <w:rPr>
          <w:rStyle w:val="FootnoteReference"/>
          <w:rFonts w:ascii="Times New Roman" w:hAnsi="Times New Roman" w:cs="Times New Roman"/>
        </w:rPr>
        <w:footnoteRef/>
      </w:r>
      <w:r w:rsidR="00382A88" w:rsidRPr="00003506">
        <w:rPr>
          <w:rFonts w:ascii="Times New Roman" w:hAnsi="Times New Roman" w:cs="Times New Roman"/>
        </w:rPr>
        <w:t> </w:t>
      </w:r>
      <w:bookmarkStart w:id="20" w:name="_Hlk150934385"/>
      <w:r w:rsidR="0038024E" w:rsidRPr="00003506">
        <w:rPr>
          <w:rFonts w:ascii="Times New Roman" w:hAnsi="Times New Roman" w:cs="Times New Roman"/>
        </w:rPr>
        <w:t>Commission Decision of 11.9.2023 setting up the group of experts ʻAdvisory Committee on public health emergenciesʼ (</w:t>
      </w:r>
      <w:r w:rsidR="00363EDB" w:rsidRPr="00003506">
        <w:rPr>
          <w:rFonts w:ascii="Times New Roman" w:hAnsi="Times New Roman" w:cs="Times New Roman"/>
        </w:rPr>
        <w:t>C(2023) 6017</w:t>
      </w:r>
      <w:r w:rsidR="0038024E" w:rsidRPr="00003506">
        <w:rPr>
          <w:rFonts w:ascii="Times New Roman" w:hAnsi="Times New Roman" w:cs="Times New Roman"/>
        </w:rPr>
        <w:t>)</w:t>
      </w:r>
      <w:r w:rsidR="00363EDB" w:rsidRPr="00003506">
        <w:rPr>
          <w:rFonts w:ascii="Times New Roman" w:hAnsi="Times New Roman" w:cs="Times New Roman"/>
        </w:rPr>
        <w:t xml:space="preserve"> </w:t>
      </w:r>
      <w:bookmarkEnd w:id="20"/>
      <w:r w:rsidR="00363EDB" w:rsidRPr="00003506">
        <w:rPr>
          <w:rFonts w:ascii="Times New Roman" w:hAnsi="Times New Roman" w:cs="Times New Roman"/>
        </w:rPr>
        <w:t>(</w:t>
      </w:r>
      <w:hyperlink r:id="rId66" w:history="1">
        <w:r w:rsidR="00363EDB" w:rsidRPr="00003506">
          <w:rPr>
            <w:rStyle w:val="Hyperlink"/>
            <w:rFonts w:ascii="Times New Roman" w:hAnsi="Times New Roman" w:cs="Times New Roman"/>
          </w:rPr>
          <w:t>https://ec.europa.eu/commission/presscorner/detail/en/mex_23_4442</w:t>
        </w:r>
      </w:hyperlink>
      <w:r w:rsidR="00363EDB" w:rsidRPr="00003506">
        <w:rPr>
          <w:rFonts w:ascii="Times New Roman" w:hAnsi="Times New Roman" w:cs="Times New Roman"/>
        </w:rPr>
        <w:t>).</w:t>
      </w:r>
      <w:r w:rsidR="00FC03C1" w:rsidRPr="00542A7E">
        <w:rPr>
          <w:rFonts w:ascii="Times New Roman" w:hAnsi="Times New Roman" w:cs="Times New Roman"/>
        </w:rPr>
        <w:t xml:space="preserve"> </w:t>
      </w:r>
    </w:p>
  </w:footnote>
  <w:footnote w:id="88">
    <w:p w14:paraId="7F821C97" w14:textId="7265A7EC" w:rsidR="001F1738" w:rsidRPr="00363EDB" w:rsidRDefault="001F1738" w:rsidP="001F1738">
      <w:pPr>
        <w:pStyle w:val="FootnoteText"/>
        <w:rPr>
          <w:rFonts w:ascii="Times New Roman" w:hAnsi="Times New Roman" w:cs="Times New Roman"/>
        </w:rPr>
      </w:pPr>
      <w:r w:rsidRPr="00FC03C1">
        <w:rPr>
          <w:rStyle w:val="FootnoteReference"/>
          <w:rFonts w:ascii="Times New Roman" w:hAnsi="Times New Roman" w:cs="Times New Roman"/>
        </w:rPr>
        <w:footnoteRef/>
      </w:r>
      <w:r w:rsidR="00382A88" w:rsidRPr="00363EDB">
        <w:rPr>
          <w:rFonts w:ascii="Times New Roman" w:hAnsi="Times New Roman" w:cs="Times New Roman"/>
        </w:rPr>
        <w:t> </w:t>
      </w:r>
      <w:r w:rsidR="00363EDB" w:rsidRPr="00363EDB">
        <w:rPr>
          <w:rFonts w:ascii="Times New Roman" w:hAnsi="Times New Roman" w:cs="Times New Roman"/>
        </w:rPr>
        <w:t xml:space="preserve">Regulation (EU) </w:t>
      </w:r>
      <w:r w:rsidR="00363EDB" w:rsidRPr="00BC2F11">
        <w:rPr>
          <w:rFonts w:ascii="Times New Roman" w:hAnsi="Times New Roman" w:cs="Times New Roman"/>
        </w:rPr>
        <w:t>2022/123 of the European Parliament a</w:t>
      </w:r>
      <w:r w:rsidR="00363EDB">
        <w:rPr>
          <w:rFonts w:ascii="Times New Roman" w:hAnsi="Times New Roman" w:cs="Times New Roman"/>
        </w:rPr>
        <w:t>nd of the Council of 25 January 2022</w:t>
      </w:r>
      <w:r w:rsidR="00363EDB" w:rsidRPr="00363EDB">
        <w:rPr>
          <w:b/>
          <w:bCs/>
          <w:color w:val="333333"/>
          <w:sz w:val="27"/>
          <w:szCs w:val="27"/>
          <w:shd w:val="clear" w:color="auto" w:fill="FFFFFF"/>
        </w:rPr>
        <w:t xml:space="preserve"> </w:t>
      </w:r>
      <w:r w:rsidR="00363EDB" w:rsidRPr="00BC2F11">
        <w:rPr>
          <w:rFonts w:ascii="Times New Roman" w:hAnsi="Times New Roman" w:cs="Times New Roman"/>
          <w:color w:val="333333"/>
          <w:shd w:val="clear" w:color="auto" w:fill="FFFFFF"/>
        </w:rPr>
        <w:t>on a reinforced role for the European Medicines Agency in crisis preparedness and management for medicinal products and medical devices</w:t>
      </w:r>
      <w:r w:rsidR="00363EDB">
        <w:rPr>
          <w:rFonts w:ascii="Times New Roman" w:hAnsi="Times New Roman" w:cs="Times New Roman"/>
          <w:color w:val="333333"/>
          <w:shd w:val="clear" w:color="auto" w:fill="FFFFFF"/>
        </w:rPr>
        <w:t>, OJ L 20, 31.1.2022, p. 1–37</w:t>
      </w:r>
      <w:r w:rsidR="00363EDB" w:rsidRPr="00363EDB">
        <w:rPr>
          <w:rFonts w:ascii="Times New Roman" w:hAnsi="Times New Roman" w:cs="Times New Roman"/>
        </w:rPr>
        <w:t xml:space="preserve"> </w:t>
      </w:r>
      <w:r w:rsidR="00363EDB">
        <w:rPr>
          <w:rFonts w:ascii="Times New Roman" w:hAnsi="Times New Roman" w:cs="Times New Roman"/>
        </w:rPr>
        <w:t>(</w:t>
      </w:r>
      <w:hyperlink r:id="rId67" w:history="1">
        <w:r w:rsidR="00363EDB" w:rsidRPr="00363EDB">
          <w:rPr>
            <w:rStyle w:val="Hyperlink"/>
            <w:rFonts w:ascii="Times New Roman" w:hAnsi="Times New Roman" w:cs="Times New Roman"/>
          </w:rPr>
          <w:t>https://eur-lex.europa.eu/legal-content/EN/TXT/?uri=CELEX%3A32022R0123</w:t>
        </w:r>
      </w:hyperlink>
      <w:r w:rsidR="00363EDB">
        <w:rPr>
          <w:rFonts w:ascii="Times New Roman" w:hAnsi="Times New Roman" w:cs="Times New Roman"/>
        </w:rPr>
        <w:t>).</w:t>
      </w:r>
    </w:p>
  </w:footnote>
  <w:footnote w:id="89">
    <w:p w14:paraId="17DBF08E" w14:textId="49F41535" w:rsidR="001F1738" w:rsidRPr="00542A7E" w:rsidRDefault="001F1738" w:rsidP="001F1738">
      <w:pPr>
        <w:pStyle w:val="FootnoteText"/>
        <w:rPr>
          <w:rFonts w:ascii="Times New Roman" w:hAnsi="Times New Roman" w:cs="Times New Roman"/>
          <w:lang w:val="en-GB"/>
        </w:rPr>
      </w:pPr>
      <w:r w:rsidRPr="00FC03C1">
        <w:rPr>
          <w:rStyle w:val="FootnoteReference"/>
          <w:rFonts w:ascii="Times New Roman" w:hAnsi="Times New Roman" w:cs="Times New Roman"/>
        </w:rPr>
        <w:footnoteRef/>
      </w:r>
      <w:r w:rsidR="00382A88" w:rsidRPr="00B43F78">
        <w:rPr>
          <w:rFonts w:ascii="Times New Roman" w:hAnsi="Times New Roman" w:cs="Times New Roman"/>
        </w:rPr>
        <w:t> </w:t>
      </w:r>
      <w:r w:rsidRPr="00542A7E">
        <w:rPr>
          <w:rFonts w:ascii="Times New Roman" w:hAnsi="Times New Roman" w:cs="Times New Roman"/>
        </w:rPr>
        <w:t>Directive (EU) 2022/2557 of the European Parliament and of the Council on the resilience of critical entities and repealing Council Directive 2008/114/EC</w:t>
      </w:r>
      <w:r w:rsidR="003E6744" w:rsidRPr="00542A7E">
        <w:rPr>
          <w:rFonts w:ascii="Times New Roman" w:hAnsi="Times New Roman" w:cs="Times New Roman"/>
        </w:rPr>
        <w:t xml:space="preserve">, </w:t>
      </w:r>
      <w:r w:rsidRPr="00542A7E">
        <w:rPr>
          <w:rFonts w:ascii="Times New Roman" w:hAnsi="Times New Roman" w:cs="Times New Roman"/>
        </w:rPr>
        <w:t>OJ L 333,</w:t>
      </w:r>
      <w:r w:rsidRPr="00542A7E" w:rsidDel="0072090F">
        <w:rPr>
          <w:rFonts w:ascii="Times New Roman" w:hAnsi="Times New Roman" w:cs="Times New Roman"/>
        </w:rPr>
        <w:t xml:space="preserve"> </w:t>
      </w:r>
      <w:r w:rsidRPr="00542A7E">
        <w:rPr>
          <w:rFonts w:ascii="Times New Roman" w:hAnsi="Times New Roman" w:cs="Times New Roman"/>
        </w:rPr>
        <w:t>27.12.2022, p. 164</w:t>
      </w:r>
      <w:r w:rsidR="003E6744" w:rsidRPr="00542A7E">
        <w:rPr>
          <w:rFonts w:ascii="Times New Roman" w:hAnsi="Times New Roman" w:cs="Times New Roman"/>
        </w:rPr>
        <w:t xml:space="preserve"> (</w:t>
      </w:r>
      <w:hyperlink r:id="rId68" w:history="1">
        <w:r w:rsidR="003E6744" w:rsidRPr="00542A7E">
          <w:rPr>
            <w:rStyle w:val="Hyperlink"/>
            <w:rFonts w:ascii="Times New Roman" w:hAnsi="Times New Roman" w:cs="Times New Roman"/>
          </w:rPr>
          <w:t>https://eur-lex.europa.eu/legal-content/EN/TXT/?uri=CELEX%3A32022L2557&amp;qid=1699961915719</w:t>
        </w:r>
      </w:hyperlink>
      <w:r w:rsidRPr="00542A7E">
        <w:rPr>
          <w:rFonts w:ascii="Times New Roman" w:hAnsi="Times New Roman" w:cs="Times New Roman"/>
        </w:rPr>
        <w:t>).</w:t>
      </w:r>
    </w:p>
  </w:footnote>
  <w:footnote w:id="90">
    <w:p w14:paraId="6BA84103" w14:textId="5B633DB2" w:rsidR="001F1738" w:rsidRPr="00542A7E" w:rsidRDefault="001F1738" w:rsidP="001F1738">
      <w:pPr>
        <w:pStyle w:val="FootnoteText"/>
        <w:rPr>
          <w:rFonts w:ascii="Times New Roman" w:hAnsi="Times New Roman" w:cs="Times New Roman"/>
        </w:rPr>
      </w:pPr>
      <w:r w:rsidRPr="00542A7E">
        <w:rPr>
          <w:rStyle w:val="FootnoteReference"/>
          <w:rFonts w:ascii="Times New Roman" w:hAnsi="Times New Roman" w:cs="Times New Roman"/>
        </w:rPr>
        <w:footnoteRef/>
      </w:r>
      <w:r w:rsidR="00382A88" w:rsidRPr="00542A7E">
        <w:rPr>
          <w:rFonts w:ascii="Times New Roman" w:hAnsi="Times New Roman" w:cs="Times New Roman"/>
        </w:rPr>
        <w:t> </w:t>
      </w:r>
      <w:r w:rsidRPr="00542A7E">
        <w:rPr>
          <w:rFonts w:ascii="Times New Roman" w:hAnsi="Times New Roman" w:cs="Times New Roman"/>
        </w:rPr>
        <w:t>Council Directive 2008/114/EC of 8 December 2008 on the identification and designation of European critical infrastructures and the assessment of the need to improve their protection</w:t>
      </w:r>
      <w:r w:rsidR="003E6744" w:rsidRPr="00542A7E">
        <w:rPr>
          <w:rFonts w:ascii="Times New Roman" w:hAnsi="Times New Roman" w:cs="Times New Roman"/>
        </w:rPr>
        <w:t>,</w:t>
      </w:r>
      <w:r w:rsidRPr="00542A7E">
        <w:rPr>
          <w:rFonts w:ascii="Times New Roman" w:hAnsi="Times New Roman" w:cs="Times New Roman"/>
        </w:rPr>
        <w:t xml:space="preserve"> OJ L 345, 23.12.2008, p. 75</w:t>
      </w:r>
      <w:r w:rsidR="003E6744" w:rsidRPr="00542A7E">
        <w:rPr>
          <w:rFonts w:ascii="Times New Roman" w:hAnsi="Times New Roman" w:cs="Times New Roman"/>
        </w:rPr>
        <w:t xml:space="preserve"> (</w:t>
      </w:r>
      <w:hyperlink r:id="rId69" w:history="1">
        <w:r w:rsidR="003E6744" w:rsidRPr="00542A7E">
          <w:rPr>
            <w:rStyle w:val="Hyperlink"/>
            <w:rFonts w:ascii="Times New Roman" w:hAnsi="Times New Roman" w:cs="Times New Roman"/>
          </w:rPr>
          <w:t>https://eur-lex.europa.eu/legal-content/EN/TXT/?uri=CELEX%3A32008L0114&amp;qid=1699961985226</w:t>
        </w:r>
      </w:hyperlink>
      <w:r w:rsidRPr="00542A7E">
        <w:rPr>
          <w:rFonts w:ascii="Times New Roman" w:hAnsi="Times New Roman" w:cs="Times New Roman"/>
        </w:rPr>
        <w:t>).</w:t>
      </w:r>
    </w:p>
  </w:footnote>
  <w:footnote w:id="91">
    <w:p w14:paraId="1890CDB6" w14:textId="3F306FC7" w:rsidR="00DE1D36" w:rsidRDefault="00DE1D36">
      <w:pPr>
        <w:pStyle w:val="FootnoteText"/>
      </w:pPr>
      <w:r w:rsidRPr="00542A7E">
        <w:rPr>
          <w:rStyle w:val="FootnoteReference"/>
          <w:rFonts w:ascii="Times New Roman" w:hAnsi="Times New Roman" w:cs="Times New Roman"/>
        </w:rPr>
        <w:footnoteRef/>
      </w:r>
      <w:r w:rsidRPr="00542A7E">
        <w:rPr>
          <w:rFonts w:ascii="Times New Roman" w:hAnsi="Times New Roman" w:cs="Times New Roman"/>
        </w:rPr>
        <w:t xml:space="preserve"> </w:t>
      </w:r>
      <w:hyperlink r:id="rId70" w:history="1">
        <w:r w:rsidRPr="00542A7E">
          <w:rPr>
            <w:rStyle w:val="Hyperlink"/>
            <w:rFonts w:ascii="Times New Roman" w:hAnsi="Times New Roman" w:cs="Times New Roman"/>
          </w:rPr>
          <w:t>https://eur-lex.europa.eu/legal-content/EN/TXT/?uri=CELEX:52023DC0526</w:t>
        </w:r>
      </w:hyperlink>
      <w:r>
        <w:t xml:space="preserve"> </w:t>
      </w:r>
    </w:p>
  </w:footnote>
  <w:footnote w:id="92">
    <w:p w14:paraId="30D31098" w14:textId="337F5396" w:rsidR="001F1738" w:rsidRPr="00881CF4" w:rsidRDefault="001F1738" w:rsidP="001F1738">
      <w:pPr>
        <w:pStyle w:val="FootnoteText"/>
        <w:rPr>
          <w:rFonts w:ascii="Times New Roman" w:hAnsi="Times New Roman" w:cs="Times New Roman"/>
        </w:rPr>
      </w:pPr>
      <w:r w:rsidRPr="00881CF4">
        <w:rPr>
          <w:rStyle w:val="FootnoteReference"/>
          <w:rFonts w:ascii="Times New Roman" w:hAnsi="Times New Roman" w:cs="Times New Roman"/>
        </w:rPr>
        <w:footnoteRef/>
      </w:r>
      <w:r w:rsidR="00382A88" w:rsidRPr="00B43F78">
        <w:rPr>
          <w:rFonts w:ascii="Times New Roman" w:hAnsi="Times New Roman" w:cs="Times New Roman"/>
        </w:rPr>
        <w:t> </w:t>
      </w:r>
      <w:hyperlink r:id="rId71" w:history="1">
        <w:r w:rsidR="00382A88" w:rsidRPr="00382A88">
          <w:rPr>
            <w:rStyle w:val="Hyperlink"/>
            <w:rFonts w:ascii="Times New Roman" w:hAnsi="Times New Roman" w:cs="Times New Roman"/>
          </w:rPr>
          <w:t>https://eur-lex.europa.eu/legal-content/EN/TXT/?uri=CELEX:32022R0123</w:t>
        </w:r>
      </w:hyperlink>
      <w:r w:rsidR="00881CF4" w:rsidRPr="00881CF4">
        <w:rPr>
          <w:rFonts w:ascii="Times New Roman" w:hAnsi="Times New Roman" w:cs="Times New Roman"/>
        </w:rPr>
        <w:t xml:space="preserve"> </w:t>
      </w:r>
    </w:p>
  </w:footnote>
  <w:footnote w:id="93">
    <w:p w14:paraId="2C305E7A" w14:textId="36B67F01" w:rsidR="001F1738" w:rsidRPr="00542A7E" w:rsidRDefault="001F1738" w:rsidP="001F1738">
      <w:pPr>
        <w:pStyle w:val="FootnoteText"/>
        <w:rPr>
          <w:rFonts w:ascii="Times New Roman" w:hAnsi="Times New Roman" w:cs="Times New Roman"/>
        </w:rPr>
      </w:pPr>
      <w:r w:rsidRPr="00881CF4">
        <w:rPr>
          <w:rStyle w:val="FootnoteReference"/>
          <w:rFonts w:ascii="Times New Roman" w:hAnsi="Times New Roman" w:cs="Times New Roman"/>
        </w:rPr>
        <w:footnoteRef/>
      </w:r>
      <w:r w:rsidR="00382A88" w:rsidRPr="00B43F78">
        <w:rPr>
          <w:rFonts w:ascii="Times New Roman" w:hAnsi="Times New Roman" w:cs="Times New Roman"/>
        </w:rPr>
        <w:t> </w:t>
      </w:r>
      <w:hyperlink r:id="rId72" w:history="1">
        <w:r w:rsidR="00382A88" w:rsidRPr="00542A7E">
          <w:rPr>
            <w:rStyle w:val="Hyperlink"/>
            <w:rFonts w:ascii="Times New Roman" w:hAnsi="Times New Roman" w:cs="Times New Roman"/>
          </w:rPr>
          <w:t>https://www.ecdc.europa.eu/en/publications-data/conducting-after-action-reviews-public-health-response-covid-19-update-0</w:t>
        </w:r>
      </w:hyperlink>
      <w:r w:rsidRPr="00542A7E">
        <w:rPr>
          <w:rFonts w:ascii="Times New Roman" w:hAnsi="Times New Roman" w:cs="Times New Roman"/>
        </w:rPr>
        <w:t xml:space="preserve"> </w:t>
      </w:r>
    </w:p>
  </w:footnote>
  <w:footnote w:id="94">
    <w:p w14:paraId="1C4FCFC5" w14:textId="12331738" w:rsidR="001F1738" w:rsidRPr="00542A7E" w:rsidRDefault="001F1738" w:rsidP="00881CF4">
      <w:pPr>
        <w:pStyle w:val="FootnoteText"/>
        <w:rPr>
          <w:rFonts w:ascii="Times New Roman" w:hAnsi="Times New Roman" w:cs="Times New Roman"/>
        </w:rPr>
      </w:pPr>
      <w:r w:rsidRPr="00542A7E">
        <w:rPr>
          <w:rStyle w:val="FootnoteReference"/>
          <w:rFonts w:ascii="Times New Roman" w:hAnsi="Times New Roman" w:cs="Times New Roman"/>
        </w:rPr>
        <w:footnoteRef/>
      </w:r>
      <w:r w:rsidR="00382A88" w:rsidRPr="00542A7E">
        <w:rPr>
          <w:rFonts w:ascii="Times New Roman" w:hAnsi="Times New Roman" w:cs="Times New Roman"/>
        </w:rPr>
        <w:t> </w:t>
      </w:r>
      <w:hyperlink r:id="rId73" w:history="1">
        <w:r w:rsidR="00382A88" w:rsidRPr="00542A7E">
          <w:rPr>
            <w:rStyle w:val="Hyperlink"/>
            <w:rFonts w:ascii="Times New Roman" w:hAnsi="Times New Roman" w:cs="Times New Roman"/>
          </w:rPr>
          <w:t>https://cohesiondata.ec.europa.eu/2021-2027-Categorisation/2021-2027-Finances-details-categorisation-multi-fu/hgyj-gyin</w:t>
        </w:r>
      </w:hyperlink>
      <w:r w:rsidRPr="00542A7E">
        <w:rPr>
          <w:rFonts w:ascii="Times New Roman" w:hAnsi="Times New Roman" w:cs="Times New Roman"/>
        </w:rPr>
        <w:t xml:space="preserve"> </w:t>
      </w:r>
    </w:p>
  </w:footnote>
  <w:footnote w:id="95">
    <w:p w14:paraId="3CE2769C" w14:textId="4D0E6841" w:rsidR="001F1738" w:rsidRPr="00542A7E" w:rsidRDefault="001F1738" w:rsidP="001F1738">
      <w:pPr>
        <w:pStyle w:val="FootnoteText"/>
        <w:rPr>
          <w:rFonts w:ascii="Times New Roman" w:hAnsi="Times New Roman" w:cs="Times New Roman"/>
        </w:rPr>
      </w:pPr>
      <w:r w:rsidRPr="00542A7E">
        <w:rPr>
          <w:rStyle w:val="FootnoteReference"/>
          <w:rFonts w:ascii="Times New Roman" w:hAnsi="Times New Roman" w:cs="Times New Roman"/>
        </w:rPr>
        <w:footnoteRef/>
      </w:r>
      <w:r w:rsidR="00382A88" w:rsidRPr="00542A7E">
        <w:rPr>
          <w:rFonts w:ascii="Times New Roman" w:hAnsi="Times New Roman" w:cs="Times New Roman"/>
        </w:rPr>
        <w:t> </w:t>
      </w:r>
      <w:hyperlink r:id="rId74" w:history="1">
        <w:r w:rsidR="00382A88" w:rsidRPr="00542A7E">
          <w:rPr>
            <w:rStyle w:val="Hyperlink"/>
            <w:rFonts w:ascii="Times New Roman" w:hAnsi="Times New Roman" w:cs="Times New Roman"/>
          </w:rPr>
          <w:t>https://www.oecd-ilibrary.org/social-issues-migration-health/health-at-a-glance-europe-2022_507433b0-en;jsessionid=-ZyVma6ABAN0VaaG5paqz-epR3sPXjuLlFsJ5MXW.ip-10-240-5-108</w:t>
        </w:r>
      </w:hyperlink>
      <w:r w:rsidR="00881CF4" w:rsidRPr="00542A7E">
        <w:rPr>
          <w:rFonts w:ascii="Times New Roman" w:hAnsi="Times New Roman" w:cs="Times New Roman"/>
        </w:rPr>
        <w:t xml:space="preserve"> </w:t>
      </w:r>
    </w:p>
  </w:footnote>
  <w:footnote w:id="96">
    <w:p w14:paraId="5D5CD318" w14:textId="3CC26632" w:rsidR="001F1738" w:rsidRPr="00542A7E" w:rsidRDefault="001F1738" w:rsidP="001F1738">
      <w:pPr>
        <w:pStyle w:val="FootnoteText"/>
        <w:rPr>
          <w:rFonts w:ascii="Times New Roman" w:hAnsi="Times New Roman" w:cs="Times New Roman"/>
        </w:rPr>
      </w:pPr>
      <w:r w:rsidRPr="00542A7E">
        <w:rPr>
          <w:rStyle w:val="FootnoteReference"/>
          <w:rFonts w:ascii="Times New Roman" w:hAnsi="Times New Roman" w:cs="Times New Roman"/>
        </w:rPr>
        <w:footnoteRef/>
      </w:r>
      <w:r w:rsidR="00382A88" w:rsidRPr="00542A7E">
        <w:rPr>
          <w:rFonts w:ascii="Times New Roman" w:hAnsi="Times New Roman" w:cs="Times New Roman"/>
        </w:rPr>
        <w:t> </w:t>
      </w:r>
      <w:hyperlink r:id="rId75" w:history="1">
        <w:r w:rsidR="00382A88" w:rsidRPr="00542A7E">
          <w:rPr>
            <w:rStyle w:val="Hyperlink"/>
            <w:rFonts w:ascii="Times New Roman" w:hAnsi="Times New Roman" w:cs="Times New Roman"/>
          </w:rPr>
          <w:t>https://www.who.int/news/item/02-03-2022-covid-19-pandemic-triggers-25-increase-in-prevalence-of-anxiety-and-depression-worldwide</w:t>
        </w:r>
      </w:hyperlink>
      <w:r w:rsidRPr="00542A7E">
        <w:rPr>
          <w:rFonts w:ascii="Times New Roman" w:hAnsi="Times New Roman" w:cs="Times New Roman"/>
        </w:rPr>
        <w:t xml:space="preserve"> </w:t>
      </w:r>
    </w:p>
  </w:footnote>
  <w:footnote w:id="97">
    <w:p w14:paraId="4D1B1C68" w14:textId="08D76B2D" w:rsidR="001F1738" w:rsidRPr="00542A7E" w:rsidRDefault="001F1738" w:rsidP="001F1738">
      <w:pPr>
        <w:pStyle w:val="FootnoteText"/>
        <w:rPr>
          <w:rFonts w:ascii="Times New Roman" w:hAnsi="Times New Roman" w:cs="Times New Roman"/>
        </w:rPr>
      </w:pPr>
      <w:r w:rsidRPr="00542A7E">
        <w:rPr>
          <w:rStyle w:val="FootnoteReference"/>
          <w:rFonts w:ascii="Times New Roman" w:hAnsi="Times New Roman" w:cs="Times New Roman"/>
        </w:rPr>
        <w:footnoteRef/>
      </w:r>
      <w:r w:rsidR="00382A88" w:rsidRPr="00542A7E">
        <w:rPr>
          <w:rFonts w:ascii="Times New Roman" w:hAnsi="Times New Roman" w:cs="Times New Roman"/>
        </w:rPr>
        <w:t> </w:t>
      </w:r>
      <w:hyperlink r:id="rId76" w:history="1">
        <w:r w:rsidR="00382A88" w:rsidRPr="00542A7E">
          <w:rPr>
            <w:rStyle w:val="Hyperlink"/>
            <w:rFonts w:ascii="Times New Roman" w:hAnsi="Times New Roman" w:cs="Times New Roman"/>
          </w:rPr>
          <w:t>https://commission.europa.eu/strategy-and-policy/priorities-2019-2024/promoting-our-european-way-life/european-health-union/comprehensive-approach-mental-health_en</w:t>
        </w:r>
      </w:hyperlink>
      <w:r w:rsidRPr="00542A7E">
        <w:rPr>
          <w:rFonts w:ascii="Times New Roman" w:hAnsi="Times New Roman" w:cs="Times New Roman"/>
        </w:rPr>
        <w:t xml:space="preserve"> </w:t>
      </w:r>
    </w:p>
  </w:footnote>
  <w:footnote w:id="98">
    <w:p w14:paraId="45DD5B19" w14:textId="4B375D1C" w:rsidR="001F1738" w:rsidRPr="006B3F97" w:rsidRDefault="001F1738" w:rsidP="00881CF4">
      <w:pPr>
        <w:pStyle w:val="FootnoteText"/>
      </w:pPr>
      <w:r w:rsidRPr="00542A7E">
        <w:rPr>
          <w:rStyle w:val="FootnoteReference"/>
          <w:rFonts w:ascii="Times New Roman" w:hAnsi="Times New Roman" w:cs="Times New Roman"/>
        </w:rPr>
        <w:footnoteRef/>
      </w:r>
      <w:r w:rsidR="00382A88" w:rsidRPr="00542A7E">
        <w:rPr>
          <w:rFonts w:ascii="Times New Roman" w:hAnsi="Times New Roman" w:cs="Times New Roman"/>
        </w:rPr>
        <w:t> </w:t>
      </w:r>
      <w:hyperlink r:id="rId77" w:history="1">
        <w:r w:rsidRPr="00542A7E">
          <w:rPr>
            <w:rStyle w:val="Hyperlink"/>
            <w:rFonts w:ascii="Times New Roman" w:hAnsi="Times New Roman" w:cs="Times New Roman"/>
          </w:rPr>
          <w:t>https://research-and-innovation.ec.europa.eu/funding/funding-opportunities/funding-programmes-and-open-calls/horizon-europe/european-partnerships-horizon-europe/health_en</w:t>
        </w:r>
      </w:hyperlink>
      <w:r w:rsidRPr="00881CF4">
        <w:rPr>
          <w:rFonts w:ascii="Times New Roman" w:hAnsi="Times New Roman" w:cs="Times New Roman"/>
        </w:rPr>
        <w:t xml:space="preserve"> </w:t>
      </w:r>
    </w:p>
  </w:footnote>
  <w:footnote w:id="99">
    <w:p w14:paraId="3E0004D5" w14:textId="328409D4" w:rsidR="00627FF6" w:rsidRPr="00FC34AB" w:rsidRDefault="00627FF6">
      <w:pPr>
        <w:pStyle w:val="FootnoteText"/>
        <w:rPr>
          <w:rFonts w:ascii="Times New Roman" w:hAnsi="Times New Roman" w:cs="Times New Roman"/>
        </w:rPr>
      </w:pPr>
      <w:r>
        <w:rPr>
          <w:rStyle w:val="FootnoteReference"/>
        </w:rPr>
        <w:footnoteRef/>
      </w:r>
      <w:r>
        <w:t xml:space="preserve"> </w:t>
      </w:r>
      <w:hyperlink r:id="rId78" w:history="1">
        <w:r w:rsidRPr="00FC34AB">
          <w:rPr>
            <w:rStyle w:val="Hyperlink"/>
            <w:rFonts w:ascii="Times New Roman" w:hAnsi="Times New Roman" w:cs="Times New Roman"/>
          </w:rPr>
          <w:t>https://eur-lex.europa.eu/legal-content/EN/TXT/?uri=CELEX:52023DC0298</w:t>
        </w:r>
      </w:hyperlink>
      <w:r w:rsidRPr="00FC34AB">
        <w:rPr>
          <w:rFonts w:ascii="Times New Roman" w:hAnsi="Times New Roman" w:cs="Times New Roman"/>
        </w:rPr>
        <w:t xml:space="preserve"> </w:t>
      </w:r>
    </w:p>
  </w:footnote>
  <w:footnote w:id="100">
    <w:p w14:paraId="139790D7" w14:textId="4C779F9C" w:rsidR="001F1738" w:rsidRPr="00FC34AB" w:rsidRDefault="001F1738" w:rsidP="001F1738">
      <w:pPr>
        <w:pStyle w:val="FootnoteText"/>
        <w:rPr>
          <w:rFonts w:ascii="Times New Roman" w:hAnsi="Times New Roman" w:cs="Times New Roman"/>
        </w:rPr>
      </w:pPr>
      <w:r w:rsidRPr="00FC34AB">
        <w:rPr>
          <w:rStyle w:val="FootnoteReference"/>
          <w:rFonts w:ascii="Times New Roman" w:hAnsi="Times New Roman" w:cs="Times New Roman"/>
        </w:rPr>
        <w:footnoteRef/>
      </w:r>
      <w:r w:rsidR="00382A88" w:rsidRPr="00FC34AB">
        <w:rPr>
          <w:rFonts w:ascii="Times New Roman" w:hAnsi="Times New Roman" w:cs="Times New Roman"/>
        </w:rPr>
        <w:t> </w:t>
      </w:r>
      <w:hyperlink r:id="rId79" w:history="1">
        <w:r w:rsidR="00382A88" w:rsidRPr="00FC34AB">
          <w:rPr>
            <w:rStyle w:val="Hyperlink"/>
            <w:rFonts w:ascii="Times New Roman" w:hAnsi="Times New Roman" w:cs="Times New Roman"/>
          </w:rPr>
          <w:t>https://www.thelancet.com/journals/lanres/article/PIIS2213-2600(23)00268-0/fulltext</w:t>
        </w:r>
      </w:hyperlink>
      <w:r w:rsidRPr="00FC34AB">
        <w:rPr>
          <w:rFonts w:ascii="Times New Roman" w:hAnsi="Times New Roman" w:cs="Times New Roman"/>
        </w:rPr>
        <w:t xml:space="preserve"> </w:t>
      </w:r>
    </w:p>
  </w:footnote>
  <w:footnote w:id="101">
    <w:p w14:paraId="0B70C51B" w14:textId="77777777" w:rsidR="002F1D2B" w:rsidRDefault="002F1D2B" w:rsidP="002F1D2B">
      <w:pPr>
        <w:pStyle w:val="FootnoteText"/>
      </w:pPr>
      <w:r w:rsidRPr="00FC34AB">
        <w:rPr>
          <w:rStyle w:val="FootnoteReference"/>
          <w:rFonts w:ascii="Times New Roman" w:hAnsi="Times New Roman" w:cs="Times New Roman"/>
        </w:rPr>
        <w:footnoteRef/>
      </w:r>
      <w:r w:rsidRPr="00FC34AB">
        <w:rPr>
          <w:rFonts w:ascii="Times New Roman" w:hAnsi="Times New Roman" w:cs="Times New Roman"/>
        </w:rPr>
        <w:t> </w:t>
      </w:r>
      <w:hyperlink r:id="rId80" w:history="1">
        <w:r w:rsidRPr="00FC34AB">
          <w:rPr>
            <w:rStyle w:val="Hyperlink"/>
            <w:rFonts w:ascii="Times New Roman" w:hAnsi="Times New Roman" w:cs="Times New Roman"/>
          </w:rPr>
          <w:t>https://health.ec.europa.eu/health-emergency-preparedness-and-response-hera/hera-invest_en</w:t>
        </w:r>
      </w:hyperlink>
      <w:r>
        <w:t xml:space="preserve"> </w:t>
      </w:r>
    </w:p>
  </w:footnote>
  <w:footnote w:id="102">
    <w:p w14:paraId="37E46E06" w14:textId="3937D050" w:rsidR="002F1D2B" w:rsidRPr="00190020" w:rsidRDefault="002F1D2B">
      <w:pPr>
        <w:pStyle w:val="FootnoteText"/>
        <w:rPr>
          <w:rFonts w:ascii="Times New Roman" w:hAnsi="Times New Roman" w:cs="Times New Roman"/>
        </w:rPr>
      </w:pPr>
      <w:r>
        <w:rPr>
          <w:rStyle w:val="FootnoteReference"/>
        </w:rPr>
        <w:footnoteRef/>
      </w:r>
      <w:r>
        <w:t xml:space="preserve"> </w:t>
      </w:r>
      <w:hyperlink r:id="rId81" w:history="1">
        <w:r w:rsidRPr="00190020">
          <w:rPr>
            <w:rStyle w:val="Hyperlink"/>
            <w:rFonts w:ascii="Times New Roman" w:hAnsi="Times New Roman" w:cs="Times New Roman"/>
          </w:rPr>
          <w:t>https://investeu.europa.eu/index_en</w:t>
        </w:r>
      </w:hyperlink>
      <w:r w:rsidRPr="00190020">
        <w:rPr>
          <w:rFonts w:ascii="Times New Roman" w:hAnsi="Times New Roman" w:cs="Times New Roman"/>
        </w:rPr>
        <w:t xml:space="preserve"> </w:t>
      </w:r>
    </w:p>
  </w:footnote>
  <w:footnote w:id="103">
    <w:p w14:paraId="5CE01236" w14:textId="54EC2879" w:rsidR="001F1738" w:rsidRPr="00190020" w:rsidRDefault="001F1738" w:rsidP="001F1738">
      <w:pPr>
        <w:pStyle w:val="FootnoteText"/>
        <w:rPr>
          <w:rFonts w:ascii="Times New Roman" w:hAnsi="Times New Roman" w:cs="Times New Roman"/>
          <w:lang w:val="en-GB"/>
        </w:rPr>
      </w:pPr>
      <w:r w:rsidRPr="00190020">
        <w:rPr>
          <w:rStyle w:val="FootnoteReference"/>
          <w:rFonts w:ascii="Times New Roman" w:hAnsi="Times New Roman" w:cs="Times New Roman"/>
        </w:rPr>
        <w:footnoteRef/>
      </w:r>
      <w:r w:rsidR="00382A88" w:rsidRPr="00190020">
        <w:rPr>
          <w:rFonts w:ascii="Times New Roman" w:hAnsi="Times New Roman" w:cs="Times New Roman"/>
        </w:rPr>
        <w:t> </w:t>
      </w:r>
      <w:hyperlink r:id="rId82" w:history="1">
        <w:r w:rsidR="00382A88" w:rsidRPr="00190020">
          <w:rPr>
            <w:rStyle w:val="Hyperlink"/>
            <w:rFonts w:ascii="Times New Roman" w:hAnsi="Times New Roman" w:cs="Times New Roman"/>
          </w:rPr>
          <w:t>https://eic.ec.europa.eu/system/files/2023-08/EIC-WP2023-amended.pdf</w:t>
        </w:r>
      </w:hyperlink>
      <w:r w:rsidR="00881CF4" w:rsidRPr="00190020">
        <w:rPr>
          <w:rFonts w:ascii="Times New Roman" w:hAnsi="Times New Roman" w:cs="Times New Roman"/>
        </w:rPr>
        <w:t xml:space="preserve"> </w:t>
      </w:r>
    </w:p>
  </w:footnote>
  <w:footnote w:id="104">
    <w:p w14:paraId="6D777E9C" w14:textId="77777777" w:rsidR="00E14569" w:rsidRPr="00190020" w:rsidRDefault="00E14569" w:rsidP="00E14569">
      <w:pPr>
        <w:pStyle w:val="FootnoteText"/>
        <w:rPr>
          <w:rFonts w:ascii="Times New Roman" w:hAnsi="Times New Roman" w:cs="Times New Roman"/>
        </w:rPr>
      </w:pPr>
      <w:r w:rsidRPr="00190020">
        <w:rPr>
          <w:rStyle w:val="FootnoteReference"/>
          <w:rFonts w:ascii="Times New Roman" w:hAnsi="Times New Roman" w:cs="Times New Roman"/>
        </w:rPr>
        <w:footnoteRef/>
      </w:r>
      <w:r w:rsidRPr="00190020">
        <w:rPr>
          <w:rFonts w:ascii="Times New Roman" w:hAnsi="Times New Roman" w:cs="Times New Roman"/>
        </w:rPr>
        <w:t xml:space="preserve"> </w:t>
      </w:r>
      <w:hyperlink r:id="rId83" w:history="1">
        <w:r w:rsidRPr="00190020">
          <w:rPr>
            <w:rStyle w:val="Hyperlink"/>
            <w:rFonts w:ascii="Times New Roman" w:hAnsi="Times New Roman" w:cs="Times New Roman"/>
          </w:rPr>
          <w:t>https://eu-response.eu/</w:t>
        </w:r>
      </w:hyperlink>
      <w:r w:rsidRPr="00190020">
        <w:rPr>
          <w:rFonts w:ascii="Times New Roman" w:hAnsi="Times New Roman" w:cs="Times New Roman"/>
        </w:rPr>
        <w:t xml:space="preserve"> </w:t>
      </w:r>
    </w:p>
  </w:footnote>
  <w:footnote w:id="105">
    <w:p w14:paraId="1C410708" w14:textId="77777777" w:rsidR="00E14569" w:rsidRPr="00190020" w:rsidRDefault="00E14569" w:rsidP="00E14569">
      <w:pPr>
        <w:pStyle w:val="FootnoteText"/>
        <w:rPr>
          <w:rFonts w:ascii="Times New Roman" w:hAnsi="Times New Roman" w:cs="Times New Roman"/>
        </w:rPr>
      </w:pPr>
      <w:r w:rsidRPr="00190020">
        <w:rPr>
          <w:rStyle w:val="FootnoteReference"/>
          <w:rFonts w:ascii="Times New Roman" w:hAnsi="Times New Roman" w:cs="Times New Roman"/>
        </w:rPr>
        <w:footnoteRef/>
      </w:r>
      <w:r w:rsidRPr="00190020">
        <w:rPr>
          <w:rFonts w:ascii="Times New Roman" w:hAnsi="Times New Roman" w:cs="Times New Roman"/>
        </w:rPr>
        <w:t xml:space="preserve"> </w:t>
      </w:r>
      <w:hyperlink r:id="rId84" w:history="1">
        <w:r w:rsidRPr="00190020">
          <w:rPr>
            <w:rStyle w:val="Hyperlink"/>
            <w:rFonts w:ascii="Times New Roman" w:hAnsi="Times New Roman" w:cs="Times New Roman"/>
          </w:rPr>
          <w:t>https://verdiproject.org/</w:t>
        </w:r>
      </w:hyperlink>
      <w:r w:rsidRPr="00190020">
        <w:rPr>
          <w:rFonts w:ascii="Times New Roman" w:hAnsi="Times New Roman" w:cs="Times New Roman"/>
        </w:rPr>
        <w:t xml:space="preserve"> </w:t>
      </w:r>
    </w:p>
  </w:footnote>
  <w:footnote w:id="106">
    <w:p w14:paraId="2E9E84AB" w14:textId="77777777" w:rsidR="008739EF" w:rsidRPr="00190020" w:rsidRDefault="008739EF" w:rsidP="008739EF">
      <w:pPr>
        <w:pStyle w:val="FootnoteText"/>
        <w:rPr>
          <w:rFonts w:ascii="Times New Roman" w:hAnsi="Times New Roman" w:cs="Times New Roman"/>
        </w:rPr>
      </w:pPr>
      <w:r w:rsidRPr="00190020">
        <w:rPr>
          <w:rStyle w:val="FootnoteReference"/>
          <w:rFonts w:ascii="Times New Roman" w:hAnsi="Times New Roman" w:cs="Times New Roman"/>
        </w:rPr>
        <w:footnoteRef/>
      </w:r>
      <w:r w:rsidRPr="00190020">
        <w:rPr>
          <w:rFonts w:ascii="Times New Roman" w:hAnsi="Times New Roman" w:cs="Times New Roman"/>
          <w:lang w:val="en-GB"/>
        </w:rPr>
        <w:t> </w:t>
      </w:r>
      <w:hyperlink r:id="rId85" w:history="1">
        <w:r w:rsidRPr="00190020">
          <w:rPr>
            <w:rStyle w:val="Hyperlink"/>
            <w:rFonts w:ascii="Times New Roman" w:hAnsi="Times New Roman" w:cs="Times New Roman"/>
          </w:rPr>
          <w:t>https://health.ec.europa.eu/system/files/2023-03/international_ghs-report-2022_en.pdf</w:t>
        </w:r>
      </w:hyperlink>
      <w:r w:rsidRPr="00190020">
        <w:rPr>
          <w:rFonts w:ascii="Times New Roman" w:hAnsi="Times New Roman" w:cs="Times New Roman"/>
        </w:rPr>
        <w:t xml:space="preserve"> </w:t>
      </w:r>
    </w:p>
  </w:footnote>
  <w:footnote w:id="107">
    <w:p w14:paraId="7046DCCF" w14:textId="58AB915A" w:rsidR="008739EF" w:rsidRPr="00190020" w:rsidRDefault="008739EF">
      <w:pPr>
        <w:pStyle w:val="FootnoteText"/>
        <w:rPr>
          <w:rFonts w:ascii="Times New Roman" w:hAnsi="Times New Roman" w:cs="Times New Roman"/>
        </w:rPr>
      </w:pPr>
      <w:r w:rsidRPr="00190020">
        <w:rPr>
          <w:rStyle w:val="FootnoteReference"/>
          <w:rFonts w:ascii="Times New Roman" w:hAnsi="Times New Roman" w:cs="Times New Roman"/>
        </w:rPr>
        <w:footnoteRef/>
      </w:r>
      <w:r w:rsidRPr="00190020">
        <w:rPr>
          <w:rFonts w:ascii="Times New Roman" w:hAnsi="Times New Roman" w:cs="Times New Roman"/>
        </w:rPr>
        <w:t xml:space="preserve"> </w:t>
      </w:r>
      <w:hyperlink r:id="rId86" w:history="1">
        <w:r w:rsidRPr="00190020">
          <w:rPr>
            <w:rStyle w:val="Hyperlink"/>
            <w:rFonts w:ascii="Times New Roman" w:hAnsi="Times New Roman" w:cs="Times New Roman"/>
          </w:rPr>
          <w:t>https://commission.europa.eu/strategy-and-policy/priorities-2019-2024/stronger-europe-world/global-gateway_en</w:t>
        </w:r>
      </w:hyperlink>
      <w:r w:rsidRPr="00190020">
        <w:rPr>
          <w:rFonts w:ascii="Times New Roman" w:hAnsi="Times New Roman" w:cs="Times New Roman"/>
        </w:rPr>
        <w:t xml:space="preserve"> </w:t>
      </w:r>
    </w:p>
  </w:footnote>
  <w:footnote w:id="108">
    <w:p w14:paraId="13D78C91" w14:textId="2F9FD45A" w:rsidR="00180D3E" w:rsidRPr="00190020" w:rsidRDefault="00180D3E">
      <w:pPr>
        <w:pStyle w:val="FootnoteText"/>
        <w:rPr>
          <w:rFonts w:ascii="Times New Roman" w:hAnsi="Times New Roman" w:cs="Times New Roman"/>
        </w:rPr>
      </w:pPr>
      <w:r w:rsidRPr="00190020">
        <w:rPr>
          <w:rStyle w:val="FootnoteReference"/>
          <w:rFonts w:ascii="Times New Roman" w:hAnsi="Times New Roman" w:cs="Times New Roman"/>
        </w:rPr>
        <w:footnoteRef/>
      </w:r>
      <w:r w:rsidRPr="00190020">
        <w:rPr>
          <w:rFonts w:ascii="Times New Roman" w:hAnsi="Times New Roman" w:cs="Times New Roman"/>
        </w:rPr>
        <w:t xml:space="preserve"> </w:t>
      </w:r>
      <w:hyperlink r:id="rId87" w:history="1">
        <w:r w:rsidRPr="00190020">
          <w:rPr>
            <w:rStyle w:val="Hyperlink"/>
            <w:rFonts w:ascii="Times New Roman" w:hAnsi="Times New Roman" w:cs="Times New Roman"/>
          </w:rPr>
          <w:t>https://research-and-innovation.ec.europa.eu/research-area/health/edctp_en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E32A" w14:textId="77777777" w:rsidR="00FD2940" w:rsidRPr="00FD2940" w:rsidRDefault="00FD2940" w:rsidP="00FD2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22D5" w14:textId="77777777" w:rsidR="00FD2940" w:rsidRPr="00FD2940" w:rsidRDefault="00FD2940" w:rsidP="00FD294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168F" w14:textId="77777777" w:rsidR="00FD2940" w:rsidRPr="00FD2940" w:rsidRDefault="00FD2940" w:rsidP="00FD294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1190" w14:textId="77777777" w:rsidR="008F1FE4" w:rsidRDefault="00FD29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C412" w14:textId="77777777" w:rsidR="008F1FE4" w:rsidRDefault="00FD29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D180E" w14:textId="77777777" w:rsidR="008F1FE4" w:rsidRDefault="00FD2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5D2"/>
    <w:multiLevelType w:val="multilevel"/>
    <w:tmpl w:val="98021A1A"/>
    <w:lvl w:ilvl="0">
      <w:start w:val="4"/>
      <w:numFmt w:val="decimal"/>
      <w:lvlText w:val="%1"/>
      <w:lvlJc w:val="left"/>
      <w:pPr>
        <w:ind w:left="380" w:hanging="3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A95420"/>
    <w:multiLevelType w:val="multilevel"/>
    <w:tmpl w:val="36A2544E"/>
    <w:lvl w:ilvl="0">
      <w:start w:val="6"/>
      <w:numFmt w:val="decimal"/>
      <w:lvlText w:val="%1"/>
      <w:lvlJc w:val="left"/>
      <w:pPr>
        <w:ind w:left="490" w:hanging="490"/>
      </w:pPr>
      <w:rPr>
        <w:rFonts w:hint="default"/>
      </w:rPr>
    </w:lvl>
    <w:lvl w:ilvl="1">
      <w:start w:val="7"/>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73E7F"/>
    <w:multiLevelType w:val="multilevel"/>
    <w:tmpl w:val="A328BA50"/>
    <w:lvl w:ilvl="0">
      <w:start w:val="1"/>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F13D7"/>
    <w:multiLevelType w:val="multilevel"/>
    <w:tmpl w:val="B528424A"/>
    <w:lvl w:ilvl="0">
      <w:start w:val="5"/>
      <w:numFmt w:val="decimal"/>
      <w:lvlText w:val="%1"/>
      <w:lvlJc w:val="left"/>
      <w:pPr>
        <w:ind w:left="490" w:hanging="490"/>
      </w:pPr>
      <w:rPr>
        <w:rFonts w:hint="default"/>
      </w:rPr>
    </w:lvl>
    <w:lvl w:ilvl="1">
      <w:start w:val="7"/>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723F3"/>
    <w:multiLevelType w:val="hybridMultilevel"/>
    <w:tmpl w:val="C45E0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65391"/>
    <w:multiLevelType w:val="hybridMultilevel"/>
    <w:tmpl w:val="6792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C63CD"/>
    <w:multiLevelType w:val="multilevel"/>
    <w:tmpl w:val="D98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D32E2"/>
    <w:multiLevelType w:val="multilevel"/>
    <w:tmpl w:val="AB545EE6"/>
    <w:lvl w:ilvl="0">
      <w:start w:val="5"/>
      <w:numFmt w:val="decimal"/>
      <w:lvlText w:val="%1"/>
      <w:lvlJc w:val="left"/>
      <w:pPr>
        <w:ind w:left="380" w:hanging="3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796E32"/>
    <w:multiLevelType w:val="multilevel"/>
    <w:tmpl w:val="633ED164"/>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524D53"/>
    <w:multiLevelType w:val="multilevel"/>
    <w:tmpl w:val="44FE2046"/>
    <w:lvl w:ilvl="0">
      <w:start w:val="3"/>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252590"/>
    <w:multiLevelType w:val="multilevel"/>
    <w:tmpl w:val="652E077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A85091"/>
    <w:multiLevelType w:val="hybridMultilevel"/>
    <w:tmpl w:val="0F70C1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2243A15"/>
    <w:multiLevelType w:val="multilevel"/>
    <w:tmpl w:val="E92A9940"/>
    <w:lvl w:ilvl="0">
      <w:start w:val="4"/>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3434EB"/>
    <w:multiLevelType w:val="hybridMultilevel"/>
    <w:tmpl w:val="E56C16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DF5272"/>
    <w:multiLevelType w:val="hybridMultilevel"/>
    <w:tmpl w:val="4DFC12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EA4F9A"/>
    <w:multiLevelType w:val="multilevel"/>
    <w:tmpl w:val="3D706F00"/>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5C2798"/>
    <w:multiLevelType w:val="multilevel"/>
    <w:tmpl w:val="F1528616"/>
    <w:styleLink w:val="amprLISTL1-forboxORANGEdashed"/>
    <w:lvl w:ilvl="0">
      <w:start w:val="1"/>
      <w:numFmt w:val="bullet"/>
      <w:pStyle w:val="amprboxORANGEdashedbulletlis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3716E"/>
    <w:multiLevelType w:val="multilevel"/>
    <w:tmpl w:val="B8BEECC0"/>
    <w:lvl w:ilvl="0">
      <w:start w:val="1"/>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D2241D"/>
    <w:multiLevelType w:val="multilevel"/>
    <w:tmpl w:val="3B0A43D4"/>
    <w:lvl w:ilvl="0">
      <w:start w:val="6"/>
      <w:numFmt w:val="decimal"/>
      <w:lvlText w:val="%1"/>
      <w:lvlJc w:val="left"/>
      <w:pPr>
        <w:ind w:left="380" w:hanging="3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2249F7"/>
    <w:multiLevelType w:val="multilevel"/>
    <w:tmpl w:val="DC1E05CA"/>
    <w:lvl w:ilvl="0">
      <w:start w:val="1"/>
      <w:numFmt w:val="decimal"/>
      <w:pStyle w:val="Chaptertitle"/>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6549EB"/>
    <w:multiLevelType w:val="multilevel"/>
    <w:tmpl w:val="F2D446E6"/>
    <w:lvl w:ilvl="0">
      <w:start w:val="3"/>
      <w:numFmt w:val="decimal"/>
      <w:lvlText w:val="%1"/>
      <w:lvlJc w:val="left"/>
      <w:pPr>
        <w:ind w:left="630" w:hanging="630"/>
      </w:pPr>
      <w:rPr>
        <w:rFonts w:hint="default"/>
      </w:rPr>
    </w:lvl>
    <w:lvl w:ilvl="1">
      <w:start w:val="3"/>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DC12C5"/>
    <w:multiLevelType w:val="hybridMultilevel"/>
    <w:tmpl w:val="47C602A4"/>
    <w:lvl w:ilvl="0" w:tplc="984E9680">
      <w:start w:val="4"/>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AE0B09"/>
    <w:multiLevelType w:val="multilevel"/>
    <w:tmpl w:val="1124DB64"/>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335210A"/>
    <w:multiLevelType w:val="hybridMultilevel"/>
    <w:tmpl w:val="52CA72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5DA1E3A"/>
    <w:multiLevelType w:val="multilevel"/>
    <w:tmpl w:val="8D708C78"/>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82E7C97"/>
    <w:multiLevelType w:val="multilevel"/>
    <w:tmpl w:val="1C6CD898"/>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87F2A1A"/>
    <w:multiLevelType w:val="multilevel"/>
    <w:tmpl w:val="AA90F6D2"/>
    <w:lvl w:ilvl="0">
      <w:start w:val="4"/>
      <w:numFmt w:val="decimal"/>
      <w:lvlText w:val="%1"/>
      <w:lvlJc w:val="left"/>
      <w:pPr>
        <w:ind w:left="490" w:hanging="490"/>
      </w:pPr>
      <w:rPr>
        <w:rFonts w:hint="default"/>
      </w:rPr>
    </w:lvl>
    <w:lvl w:ilvl="1">
      <w:start w:val="7"/>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1E1872"/>
    <w:multiLevelType w:val="hybridMultilevel"/>
    <w:tmpl w:val="94C616A0"/>
    <w:lvl w:ilvl="0" w:tplc="C264FF7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D22914"/>
    <w:multiLevelType w:val="hybridMultilevel"/>
    <w:tmpl w:val="3AD42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174191"/>
    <w:multiLevelType w:val="hybridMultilevel"/>
    <w:tmpl w:val="CA6C0A0A"/>
    <w:lvl w:ilvl="0" w:tplc="67663D94">
      <w:start w:val="1"/>
      <w:numFmt w:val="bullet"/>
      <w:pStyle w:val="Briefing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246DF"/>
    <w:multiLevelType w:val="multilevel"/>
    <w:tmpl w:val="48C29EDA"/>
    <w:lvl w:ilvl="0">
      <w:start w:val="4"/>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8"/>
  </w:num>
  <w:num w:numId="3">
    <w:abstractNumId w:val="34"/>
  </w:num>
  <w:num w:numId="4">
    <w:abstractNumId w:val="25"/>
  </w:num>
  <w:num w:numId="5">
    <w:abstractNumId w:val="32"/>
  </w:num>
  <w:num w:numId="6">
    <w:abstractNumId w:val="5"/>
  </w:num>
  <w:num w:numId="7">
    <w:abstractNumId w:val="11"/>
  </w:num>
  <w:num w:numId="8">
    <w:abstractNumId w:val="30"/>
  </w:num>
  <w:num w:numId="9">
    <w:abstractNumId w:val="6"/>
  </w:num>
  <w:num w:numId="10">
    <w:abstractNumId w:val="26"/>
  </w:num>
  <w:num w:numId="11">
    <w:abstractNumId w:val="15"/>
  </w:num>
  <w:num w:numId="12">
    <w:abstractNumId w:val="13"/>
  </w:num>
  <w:num w:numId="13">
    <w:abstractNumId w:val="31"/>
  </w:num>
  <w:num w:numId="14">
    <w:abstractNumId w:val="7"/>
  </w:num>
  <w:num w:numId="15">
    <w:abstractNumId w:val="12"/>
  </w:num>
  <w:num w:numId="16">
    <w:abstractNumId w:val="19"/>
  </w:num>
  <w:num w:numId="17">
    <w:abstractNumId w:val="2"/>
  </w:num>
  <w:num w:numId="18">
    <w:abstractNumId w:val="27"/>
  </w:num>
  <w:num w:numId="19">
    <w:abstractNumId w:val="10"/>
  </w:num>
  <w:num w:numId="20">
    <w:abstractNumId w:val="24"/>
  </w:num>
  <w:num w:numId="21">
    <w:abstractNumId w:val="14"/>
  </w:num>
  <w:num w:numId="22">
    <w:abstractNumId w:val="33"/>
  </w:num>
  <w:num w:numId="23">
    <w:abstractNumId w:val="17"/>
  </w:num>
  <w:num w:numId="24">
    <w:abstractNumId w:val="20"/>
  </w:num>
  <w:num w:numId="25">
    <w:abstractNumId w:val="1"/>
  </w:num>
  <w:num w:numId="26">
    <w:abstractNumId w:val="22"/>
  </w:num>
  <w:num w:numId="27">
    <w:abstractNumId w:val="28"/>
  </w:num>
  <w:num w:numId="28">
    <w:abstractNumId w:val="8"/>
  </w:num>
  <w:num w:numId="29">
    <w:abstractNumId w:val="3"/>
  </w:num>
  <w:num w:numId="30">
    <w:abstractNumId w:val="9"/>
  </w:num>
  <w:num w:numId="31">
    <w:abstractNumId w:val="0"/>
  </w:num>
  <w:num w:numId="32">
    <w:abstractNumId w:val="29"/>
  </w:num>
  <w:num w:numId="33">
    <w:abstractNumId w:val="16"/>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E577F5-54C9-4C56-AA8A-B4276ABA4D14"/>
    <w:docVar w:name="LW_COVERPAGE_TYPE" w:val="1"/>
    <w:docVar w:name="LW_CROSSREFERENCE" w:val="&lt;UNUSED&gt;"/>
    <w:docVar w:name="LW_DocType" w:val="NORMAL"/>
    <w:docVar w:name="LW_EMISSION" w:val="15.12.2023"/>
    <w:docVar w:name="LW_EMISSION_ISODATE" w:val="2023-12-15"/>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79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ate of Health Preparedness Report 2023"/>
    <w:docVar w:name="LW_TYPE.DOC.CP" w:val="COMMUNICATION FROM THE COMMISSION TO THE EUROPEAN PARLIAMENT, THE COUNCIL, THE EUROPEAN ECONOMIC AND SOCIAL COMMITTEE AND THE COMMITTEE OF THE REGIONS"/>
    <w:docVar w:name="LW_TYPE.DOC.CP.USERTEXT" w:val="&lt;EMPTY&gt;"/>
    <w:docVar w:name="LwApiVersions" w:val="LW4CoDe 1.23.2.0; LW 8.0, Build 20211117"/>
  </w:docVars>
  <w:rsids>
    <w:rsidRoot w:val="00C619B5"/>
    <w:rsid w:val="00002601"/>
    <w:rsid w:val="00003506"/>
    <w:rsid w:val="00011B06"/>
    <w:rsid w:val="000150F5"/>
    <w:rsid w:val="00015AC9"/>
    <w:rsid w:val="000176F6"/>
    <w:rsid w:val="00017A94"/>
    <w:rsid w:val="0002096F"/>
    <w:rsid w:val="000222DA"/>
    <w:rsid w:val="0002315C"/>
    <w:rsid w:val="00026023"/>
    <w:rsid w:val="000262D8"/>
    <w:rsid w:val="0002731F"/>
    <w:rsid w:val="0003074E"/>
    <w:rsid w:val="00031422"/>
    <w:rsid w:val="00031A95"/>
    <w:rsid w:val="00031EDF"/>
    <w:rsid w:val="000332FE"/>
    <w:rsid w:val="0003452E"/>
    <w:rsid w:val="0004586D"/>
    <w:rsid w:val="000459E3"/>
    <w:rsid w:val="00046E2F"/>
    <w:rsid w:val="000554C5"/>
    <w:rsid w:val="00055B9F"/>
    <w:rsid w:val="000624B0"/>
    <w:rsid w:val="00063DC0"/>
    <w:rsid w:val="0006408D"/>
    <w:rsid w:val="00072774"/>
    <w:rsid w:val="00074BB3"/>
    <w:rsid w:val="0007696E"/>
    <w:rsid w:val="00081F8A"/>
    <w:rsid w:val="00082E8A"/>
    <w:rsid w:val="00086138"/>
    <w:rsid w:val="0008657C"/>
    <w:rsid w:val="00095BCD"/>
    <w:rsid w:val="0009613C"/>
    <w:rsid w:val="0009659F"/>
    <w:rsid w:val="00096A4C"/>
    <w:rsid w:val="000A12C4"/>
    <w:rsid w:val="000A69F5"/>
    <w:rsid w:val="000B2D2A"/>
    <w:rsid w:val="000B3DBB"/>
    <w:rsid w:val="000B3FE3"/>
    <w:rsid w:val="000C58E0"/>
    <w:rsid w:val="000C7AC2"/>
    <w:rsid w:val="000D006B"/>
    <w:rsid w:val="000D11EF"/>
    <w:rsid w:val="000D39F4"/>
    <w:rsid w:val="000D48E3"/>
    <w:rsid w:val="000D5412"/>
    <w:rsid w:val="000D6B72"/>
    <w:rsid w:val="000E393B"/>
    <w:rsid w:val="000F0CDA"/>
    <w:rsid w:val="000F1F28"/>
    <w:rsid w:val="000F2866"/>
    <w:rsid w:val="000F2FA6"/>
    <w:rsid w:val="000F7855"/>
    <w:rsid w:val="000F7AAC"/>
    <w:rsid w:val="00101682"/>
    <w:rsid w:val="001021CC"/>
    <w:rsid w:val="00113103"/>
    <w:rsid w:val="001148E5"/>
    <w:rsid w:val="0011500E"/>
    <w:rsid w:val="00115C50"/>
    <w:rsid w:val="00115C6D"/>
    <w:rsid w:val="00117832"/>
    <w:rsid w:val="0012433A"/>
    <w:rsid w:val="00124BA9"/>
    <w:rsid w:val="001269C1"/>
    <w:rsid w:val="00133667"/>
    <w:rsid w:val="00140841"/>
    <w:rsid w:val="00146A19"/>
    <w:rsid w:val="00147E9B"/>
    <w:rsid w:val="00151227"/>
    <w:rsid w:val="00151F96"/>
    <w:rsid w:val="00153B36"/>
    <w:rsid w:val="00155C4C"/>
    <w:rsid w:val="0016343E"/>
    <w:rsid w:val="00164E77"/>
    <w:rsid w:val="001667AA"/>
    <w:rsid w:val="00166FAE"/>
    <w:rsid w:val="00172D2B"/>
    <w:rsid w:val="001736F8"/>
    <w:rsid w:val="00175788"/>
    <w:rsid w:val="001776E2"/>
    <w:rsid w:val="00180D3E"/>
    <w:rsid w:val="00182221"/>
    <w:rsid w:val="00183E29"/>
    <w:rsid w:val="0018592C"/>
    <w:rsid w:val="00190020"/>
    <w:rsid w:val="00191C05"/>
    <w:rsid w:val="00192B7C"/>
    <w:rsid w:val="00193936"/>
    <w:rsid w:val="00195A87"/>
    <w:rsid w:val="001960DC"/>
    <w:rsid w:val="001A17EB"/>
    <w:rsid w:val="001A435E"/>
    <w:rsid w:val="001A59BD"/>
    <w:rsid w:val="001A66A5"/>
    <w:rsid w:val="001A7402"/>
    <w:rsid w:val="001B09FA"/>
    <w:rsid w:val="001B2E4C"/>
    <w:rsid w:val="001C1A99"/>
    <w:rsid w:val="001C1AC8"/>
    <w:rsid w:val="001C54A0"/>
    <w:rsid w:val="001D1539"/>
    <w:rsid w:val="001D275C"/>
    <w:rsid w:val="001D3B97"/>
    <w:rsid w:val="001D3ED8"/>
    <w:rsid w:val="001D4C82"/>
    <w:rsid w:val="001D6E54"/>
    <w:rsid w:val="001E0C9F"/>
    <w:rsid w:val="001E14A6"/>
    <w:rsid w:val="001E2076"/>
    <w:rsid w:val="001E261A"/>
    <w:rsid w:val="001E4E6E"/>
    <w:rsid w:val="001E698A"/>
    <w:rsid w:val="001E7A58"/>
    <w:rsid w:val="001F1738"/>
    <w:rsid w:val="001F328E"/>
    <w:rsid w:val="001F79BA"/>
    <w:rsid w:val="002020B4"/>
    <w:rsid w:val="00204A8F"/>
    <w:rsid w:val="00205933"/>
    <w:rsid w:val="00206B34"/>
    <w:rsid w:val="0021356E"/>
    <w:rsid w:val="00215C1F"/>
    <w:rsid w:val="002160BF"/>
    <w:rsid w:val="002168B2"/>
    <w:rsid w:val="002207DE"/>
    <w:rsid w:val="00221E93"/>
    <w:rsid w:val="00222814"/>
    <w:rsid w:val="00223BF7"/>
    <w:rsid w:val="002241F0"/>
    <w:rsid w:val="00224253"/>
    <w:rsid w:val="0022458E"/>
    <w:rsid w:val="00224662"/>
    <w:rsid w:val="002258E7"/>
    <w:rsid w:val="002260F0"/>
    <w:rsid w:val="0023011B"/>
    <w:rsid w:val="00232682"/>
    <w:rsid w:val="00232B24"/>
    <w:rsid w:val="00232FE6"/>
    <w:rsid w:val="00236E4B"/>
    <w:rsid w:val="00237625"/>
    <w:rsid w:val="00240B9B"/>
    <w:rsid w:val="002440B6"/>
    <w:rsid w:val="0024638C"/>
    <w:rsid w:val="00251752"/>
    <w:rsid w:val="00265D6B"/>
    <w:rsid w:val="002703F9"/>
    <w:rsid w:val="002707BC"/>
    <w:rsid w:val="00271C7F"/>
    <w:rsid w:val="002740E4"/>
    <w:rsid w:val="00274557"/>
    <w:rsid w:val="002774E5"/>
    <w:rsid w:val="00283EA0"/>
    <w:rsid w:val="00284404"/>
    <w:rsid w:val="002917C3"/>
    <w:rsid w:val="00291AC6"/>
    <w:rsid w:val="0029373F"/>
    <w:rsid w:val="002A242B"/>
    <w:rsid w:val="002A527A"/>
    <w:rsid w:val="002A5AB8"/>
    <w:rsid w:val="002A5CD7"/>
    <w:rsid w:val="002B1144"/>
    <w:rsid w:val="002B4D6C"/>
    <w:rsid w:val="002B4F8B"/>
    <w:rsid w:val="002B5469"/>
    <w:rsid w:val="002B709F"/>
    <w:rsid w:val="002B7207"/>
    <w:rsid w:val="002C3D87"/>
    <w:rsid w:val="002C56BE"/>
    <w:rsid w:val="002C5C7C"/>
    <w:rsid w:val="002D2465"/>
    <w:rsid w:val="002D4B52"/>
    <w:rsid w:val="002D6120"/>
    <w:rsid w:val="002E0ACE"/>
    <w:rsid w:val="002E1AFB"/>
    <w:rsid w:val="002F1465"/>
    <w:rsid w:val="002F1D2B"/>
    <w:rsid w:val="002F2A32"/>
    <w:rsid w:val="002F47F5"/>
    <w:rsid w:val="002F4CA6"/>
    <w:rsid w:val="002F752C"/>
    <w:rsid w:val="002F79FD"/>
    <w:rsid w:val="00300C2A"/>
    <w:rsid w:val="0030156A"/>
    <w:rsid w:val="0030164B"/>
    <w:rsid w:val="0030184B"/>
    <w:rsid w:val="00302E03"/>
    <w:rsid w:val="00304370"/>
    <w:rsid w:val="003101DD"/>
    <w:rsid w:val="003106A5"/>
    <w:rsid w:val="00312459"/>
    <w:rsid w:val="0031254B"/>
    <w:rsid w:val="00312C13"/>
    <w:rsid w:val="00317A39"/>
    <w:rsid w:val="0032059A"/>
    <w:rsid w:val="003225E8"/>
    <w:rsid w:val="00323831"/>
    <w:rsid w:val="00323EED"/>
    <w:rsid w:val="00325A0A"/>
    <w:rsid w:val="0033212C"/>
    <w:rsid w:val="0033327F"/>
    <w:rsid w:val="003362FD"/>
    <w:rsid w:val="0034181A"/>
    <w:rsid w:val="003432EB"/>
    <w:rsid w:val="00346B4D"/>
    <w:rsid w:val="00346B7E"/>
    <w:rsid w:val="003501C3"/>
    <w:rsid w:val="0035237A"/>
    <w:rsid w:val="003534D7"/>
    <w:rsid w:val="00355CB1"/>
    <w:rsid w:val="00356FB9"/>
    <w:rsid w:val="00357B1E"/>
    <w:rsid w:val="00363782"/>
    <w:rsid w:val="00363EDB"/>
    <w:rsid w:val="00367602"/>
    <w:rsid w:val="00372403"/>
    <w:rsid w:val="00372B0A"/>
    <w:rsid w:val="0038024E"/>
    <w:rsid w:val="00380DD9"/>
    <w:rsid w:val="00382A88"/>
    <w:rsid w:val="003836E7"/>
    <w:rsid w:val="003845E3"/>
    <w:rsid w:val="00384A7B"/>
    <w:rsid w:val="00385C69"/>
    <w:rsid w:val="00392DE5"/>
    <w:rsid w:val="00393857"/>
    <w:rsid w:val="00393EBF"/>
    <w:rsid w:val="003A3505"/>
    <w:rsid w:val="003A35CC"/>
    <w:rsid w:val="003A661B"/>
    <w:rsid w:val="003A7882"/>
    <w:rsid w:val="003B0461"/>
    <w:rsid w:val="003B0750"/>
    <w:rsid w:val="003B35A2"/>
    <w:rsid w:val="003B44E7"/>
    <w:rsid w:val="003B4CBC"/>
    <w:rsid w:val="003C1233"/>
    <w:rsid w:val="003C2E20"/>
    <w:rsid w:val="003C3CFF"/>
    <w:rsid w:val="003C537A"/>
    <w:rsid w:val="003C568F"/>
    <w:rsid w:val="003C5A70"/>
    <w:rsid w:val="003C61EE"/>
    <w:rsid w:val="003D0526"/>
    <w:rsid w:val="003D3524"/>
    <w:rsid w:val="003D5717"/>
    <w:rsid w:val="003E1061"/>
    <w:rsid w:val="003E53D2"/>
    <w:rsid w:val="003E5721"/>
    <w:rsid w:val="003E6744"/>
    <w:rsid w:val="003E6946"/>
    <w:rsid w:val="003E707F"/>
    <w:rsid w:val="003E78CD"/>
    <w:rsid w:val="003F1C3A"/>
    <w:rsid w:val="003F6A4D"/>
    <w:rsid w:val="004006B8"/>
    <w:rsid w:val="00403F00"/>
    <w:rsid w:val="00404A2B"/>
    <w:rsid w:val="0040502F"/>
    <w:rsid w:val="00412481"/>
    <w:rsid w:val="0041768E"/>
    <w:rsid w:val="004205C8"/>
    <w:rsid w:val="004210CF"/>
    <w:rsid w:val="004255C7"/>
    <w:rsid w:val="004256B8"/>
    <w:rsid w:val="00425C94"/>
    <w:rsid w:val="00426A78"/>
    <w:rsid w:val="00430A10"/>
    <w:rsid w:val="00431851"/>
    <w:rsid w:val="00434D7F"/>
    <w:rsid w:val="0043500B"/>
    <w:rsid w:val="00435FDF"/>
    <w:rsid w:val="00437D3A"/>
    <w:rsid w:val="00450ADF"/>
    <w:rsid w:val="00450C04"/>
    <w:rsid w:val="00450C2B"/>
    <w:rsid w:val="00451A7D"/>
    <w:rsid w:val="0045785F"/>
    <w:rsid w:val="00467937"/>
    <w:rsid w:val="00470922"/>
    <w:rsid w:val="00480193"/>
    <w:rsid w:val="00480AD0"/>
    <w:rsid w:val="00482EA7"/>
    <w:rsid w:val="004926A9"/>
    <w:rsid w:val="00496FA3"/>
    <w:rsid w:val="004A35DF"/>
    <w:rsid w:val="004A3885"/>
    <w:rsid w:val="004A39FC"/>
    <w:rsid w:val="004B229A"/>
    <w:rsid w:val="004B63FB"/>
    <w:rsid w:val="004C0890"/>
    <w:rsid w:val="004C3E69"/>
    <w:rsid w:val="004D4672"/>
    <w:rsid w:val="004E183E"/>
    <w:rsid w:val="004E1EBB"/>
    <w:rsid w:val="004E3657"/>
    <w:rsid w:val="004E3FBD"/>
    <w:rsid w:val="004F4EEB"/>
    <w:rsid w:val="004F6F73"/>
    <w:rsid w:val="004F7E4C"/>
    <w:rsid w:val="00501B55"/>
    <w:rsid w:val="00501E31"/>
    <w:rsid w:val="00503DA0"/>
    <w:rsid w:val="0050524F"/>
    <w:rsid w:val="00511B09"/>
    <w:rsid w:val="00517A22"/>
    <w:rsid w:val="00520DA4"/>
    <w:rsid w:val="00524938"/>
    <w:rsid w:val="0052546D"/>
    <w:rsid w:val="00525757"/>
    <w:rsid w:val="00532DC3"/>
    <w:rsid w:val="00532DD6"/>
    <w:rsid w:val="00542A7E"/>
    <w:rsid w:val="0054387A"/>
    <w:rsid w:val="00543A77"/>
    <w:rsid w:val="005442EC"/>
    <w:rsid w:val="00544BD7"/>
    <w:rsid w:val="0055014D"/>
    <w:rsid w:val="005511D7"/>
    <w:rsid w:val="0055491B"/>
    <w:rsid w:val="005670D5"/>
    <w:rsid w:val="005708B4"/>
    <w:rsid w:val="00570908"/>
    <w:rsid w:val="00571AB3"/>
    <w:rsid w:val="00572997"/>
    <w:rsid w:val="005736FA"/>
    <w:rsid w:val="005737A5"/>
    <w:rsid w:val="00585095"/>
    <w:rsid w:val="00590751"/>
    <w:rsid w:val="005967D1"/>
    <w:rsid w:val="005A1AA9"/>
    <w:rsid w:val="005A3A1A"/>
    <w:rsid w:val="005A4F58"/>
    <w:rsid w:val="005B1A5C"/>
    <w:rsid w:val="005B204D"/>
    <w:rsid w:val="005B33AF"/>
    <w:rsid w:val="005B40A9"/>
    <w:rsid w:val="005B469D"/>
    <w:rsid w:val="005B4CF9"/>
    <w:rsid w:val="005B5FC1"/>
    <w:rsid w:val="005C32C3"/>
    <w:rsid w:val="005C393F"/>
    <w:rsid w:val="005C3AB5"/>
    <w:rsid w:val="005C7E6D"/>
    <w:rsid w:val="005E1015"/>
    <w:rsid w:val="005E1ED4"/>
    <w:rsid w:val="005E294F"/>
    <w:rsid w:val="005E332D"/>
    <w:rsid w:val="005E3F96"/>
    <w:rsid w:val="005E456F"/>
    <w:rsid w:val="005E6F2A"/>
    <w:rsid w:val="005F0911"/>
    <w:rsid w:val="005F10DF"/>
    <w:rsid w:val="0060127F"/>
    <w:rsid w:val="00602251"/>
    <w:rsid w:val="00605154"/>
    <w:rsid w:val="00614109"/>
    <w:rsid w:val="0061698F"/>
    <w:rsid w:val="006208F7"/>
    <w:rsid w:val="00621C3D"/>
    <w:rsid w:val="00623356"/>
    <w:rsid w:val="00624B0C"/>
    <w:rsid w:val="00625A59"/>
    <w:rsid w:val="00627FF6"/>
    <w:rsid w:val="00630A39"/>
    <w:rsid w:val="006401D0"/>
    <w:rsid w:val="00643E13"/>
    <w:rsid w:val="006467ED"/>
    <w:rsid w:val="00650C17"/>
    <w:rsid w:val="00650D45"/>
    <w:rsid w:val="00655B7B"/>
    <w:rsid w:val="00657967"/>
    <w:rsid w:val="00661741"/>
    <w:rsid w:val="00665B07"/>
    <w:rsid w:val="00666256"/>
    <w:rsid w:val="0067054E"/>
    <w:rsid w:val="00670CAF"/>
    <w:rsid w:val="00671AA9"/>
    <w:rsid w:val="00674D81"/>
    <w:rsid w:val="00675BCD"/>
    <w:rsid w:val="00676536"/>
    <w:rsid w:val="006771C8"/>
    <w:rsid w:val="00677395"/>
    <w:rsid w:val="00681330"/>
    <w:rsid w:val="006821CF"/>
    <w:rsid w:val="0068381A"/>
    <w:rsid w:val="0068383D"/>
    <w:rsid w:val="006857C6"/>
    <w:rsid w:val="00685E4D"/>
    <w:rsid w:val="00687F21"/>
    <w:rsid w:val="006913D6"/>
    <w:rsid w:val="00691A69"/>
    <w:rsid w:val="00696EF8"/>
    <w:rsid w:val="006A69BA"/>
    <w:rsid w:val="006B17B6"/>
    <w:rsid w:val="006B5917"/>
    <w:rsid w:val="006C1420"/>
    <w:rsid w:val="006C4EE3"/>
    <w:rsid w:val="006C6E3F"/>
    <w:rsid w:val="006D0AA3"/>
    <w:rsid w:val="006D0E13"/>
    <w:rsid w:val="006D236C"/>
    <w:rsid w:val="006D2ADD"/>
    <w:rsid w:val="006D3EDF"/>
    <w:rsid w:val="006D698D"/>
    <w:rsid w:val="006D709B"/>
    <w:rsid w:val="006D7E5B"/>
    <w:rsid w:val="006E1686"/>
    <w:rsid w:val="006E5885"/>
    <w:rsid w:val="006E7456"/>
    <w:rsid w:val="006E79AF"/>
    <w:rsid w:val="006F3A7B"/>
    <w:rsid w:val="006F40D0"/>
    <w:rsid w:val="006F6CE9"/>
    <w:rsid w:val="006F7A7A"/>
    <w:rsid w:val="00703CEB"/>
    <w:rsid w:val="00705021"/>
    <w:rsid w:val="00706E28"/>
    <w:rsid w:val="00710F99"/>
    <w:rsid w:val="00716031"/>
    <w:rsid w:val="00720C45"/>
    <w:rsid w:val="00722228"/>
    <w:rsid w:val="007226C9"/>
    <w:rsid w:val="00724709"/>
    <w:rsid w:val="00726AF6"/>
    <w:rsid w:val="00732524"/>
    <w:rsid w:val="0073488A"/>
    <w:rsid w:val="00736200"/>
    <w:rsid w:val="00736C99"/>
    <w:rsid w:val="0074362E"/>
    <w:rsid w:val="00746F38"/>
    <w:rsid w:val="007478A9"/>
    <w:rsid w:val="00750E41"/>
    <w:rsid w:val="00751592"/>
    <w:rsid w:val="00751D8A"/>
    <w:rsid w:val="00754838"/>
    <w:rsid w:val="00755BDD"/>
    <w:rsid w:val="0075635F"/>
    <w:rsid w:val="00757387"/>
    <w:rsid w:val="00760990"/>
    <w:rsid w:val="0076180A"/>
    <w:rsid w:val="00765ABD"/>
    <w:rsid w:val="0077087A"/>
    <w:rsid w:val="00771AFF"/>
    <w:rsid w:val="0077341B"/>
    <w:rsid w:val="00773FF2"/>
    <w:rsid w:val="00774562"/>
    <w:rsid w:val="00774D74"/>
    <w:rsid w:val="00774DBD"/>
    <w:rsid w:val="00774F2C"/>
    <w:rsid w:val="00775850"/>
    <w:rsid w:val="00780847"/>
    <w:rsid w:val="00780E18"/>
    <w:rsid w:val="0078272D"/>
    <w:rsid w:val="00783C05"/>
    <w:rsid w:val="0078495C"/>
    <w:rsid w:val="00785B9C"/>
    <w:rsid w:val="007917D0"/>
    <w:rsid w:val="00791D8B"/>
    <w:rsid w:val="00792503"/>
    <w:rsid w:val="00792554"/>
    <w:rsid w:val="00793ECA"/>
    <w:rsid w:val="00795A08"/>
    <w:rsid w:val="007A13E2"/>
    <w:rsid w:val="007A1DAD"/>
    <w:rsid w:val="007A631E"/>
    <w:rsid w:val="007C3F12"/>
    <w:rsid w:val="007C5356"/>
    <w:rsid w:val="007C75FF"/>
    <w:rsid w:val="007D1C60"/>
    <w:rsid w:val="007D2980"/>
    <w:rsid w:val="007D437A"/>
    <w:rsid w:val="007D4B14"/>
    <w:rsid w:val="007D4EEA"/>
    <w:rsid w:val="007D5BBA"/>
    <w:rsid w:val="007D720E"/>
    <w:rsid w:val="007E1E67"/>
    <w:rsid w:val="007E22BB"/>
    <w:rsid w:val="007E443B"/>
    <w:rsid w:val="007E4F2E"/>
    <w:rsid w:val="007E7492"/>
    <w:rsid w:val="007F1A59"/>
    <w:rsid w:val="007F5B0B"/>
    <w:rsid w:val="00801039"/>
    <w:rsid w:val="0080452D"/>
    <w:rsid w:val="00804F62"/>
    <w:rsid w:val="00806C5E"/>
    <w:rsid w:val="00813BE4"/>
    <w:rsid w:val="00814216"/>
    <w:rsid w:val="00825EC9"/>
    <w:rsid w:val="00826A36"/>
    <w:rsid w:val="00831B85"/>
    <w:rsid w:val="00832EBF"/>
    <w:rsid w:val="008351E5"/>
    <w:rsid w:val="00835797"/>
    <w:rsid w:val="00835AEA"/>
    <w:rsid w:val="00836E45"/>
    <w:rsid w:val="00837C3C"/>
    <w:rsid w:val="00842A6C"/>
    <w:rsid w:val="008528DC"/>
    <w:rsid w:val="0085365F"/>
    <w:rsid w:val="00853C1B"/>
    <w:rsid w:val="00854E12"/>
    <w:rsid w:val="0086247F"/>
    <w:rsid w:val="008724C3"/>
    <w:rsid w:val="008728DA"/>
    <w:rsid w:val="008739EF"/>
    <w:rsid w:val="00876291"/>
    <w:rsid w:val="008767B7"/>
    <w:rsid w:val="00877E6B"/>
    <w:rsid w:val="00881CF4"/>
    <w:rsid w:val="008864D9"/>
    <w:rsid w:val="0088776C"/>
    <w:rsid w:val="008A1746"/>
    <w:rsid w:val="008A3DCD"/>
    <w:rsid w:val="008B0AD1"/>
    <w:rsid w:val="008B1E9B"/>
    <w:rsid w:val="008B21D4"/>
    <w:rsid w:val="008B26BE"/>
    <w:rsid w:val="008B2847"/>
    <w:rsid w:val="008B36BB"/>
    <w:rsid w:val="008C23E5"/>
    <w:rsid w:val="008C4554"/>
    <w:rsid w:val="008C498B"/>
    <w:rsid w:val="008C6D1D"/>
    <w:rsid w:val="008D0D98"/>
    <w:rsid w:val="008D33B9"/>
    <w:rsid w:val="008E3DB9"/>
    <w:rsid w:val="008E4BC5"/>
    <w:rsid w:val="008F28B8"/>
    <w:rsid w:val="008F2CB5"/>
    <w:rsid w:val="008F4060"/>
    <w:rsid w:val="008F423B"/>
    <w:rsid w:val="008F4BF6"/>
    <w:rsid w:val="00904D1A"/>
    <w:rsid w:val="009070BC"/>
    <w:rsid w:val="00913F80"/>
    <w:rsid w:val="00917145"/>
    <w:rsid w:val="00921698"/>
    <w:rsid w:val="009238AD"/>
    <w:rsid w:val="00923DE0"/>
    <w:rsid w:val="009250AB"/>
    <w:rsid w:val="00930A6E"/>
    <w:rsid w:val="00932C40"/>
    <w:rsid w:val="00935579"/>
    <w:rsid w:val="00937708"/>
    <w:rsid w:val="00937AAF"/>
    <w:rsid w:val="00942BC7"/>
    <w:rsid w:val="009438F6"/>
    <w:rsid w:val="009449D3"/>
    <w:rsid w:val="0094565F"/>
    <w:rsid w:val="009504C3"/>
    <w:rsid w:val="009527BF"/>
    <w:rsid w:val="00953578"/>
    <w:rsid w:val="00953775"/>
    <w:rsid w:val="009561CC"/>
    <w:rsid w:val="00956F8F"/>
    <w:rsid w:val="009613BC"/>
    <w:rsid w:val="009641BA"/>
    <w:rsid w:val="00971A8C"/>
    <w:rsid w:val="00983DA1"/>
    <w:rsid w:val="00985687"/>
    <w:rsid w:val="00986D05"/>
    <w:rsid w:val="00991EF8"/>
    <w:rsid w:val="00992993"/>
    <w:rsid w:val="00994E7B"/>
    <w:rsid w:val="00994F8D"/>
    <w:rsid w:val="00997171"/>
    <w:rsid w:val="009A7A55"/>
    <w:rsid w:val="009B415A"/>
    <w:rsid w:val="009B5AF1"/>
    <w:rsid w:val="009C088F"/>
    <w:rsid w:val="009C4CDE"/>
    <w:rsid w:val="009C65E8"/>
    <w:rsid w:val="009C7E28"/>
    <w:rsid w:val="009D6411"/>
    <w:rsid w:val="009E1199"/>
    <w:rsid w:val="009E2C58"/>
    <w:rsid w:val="009E49F7"/>
    <w:rsid w:val="009E6237"/>
    <w:rsid w:val="009F0ED9"/>
    <w:rsid w:val="009F2751"/>
    <w:rsid w:val="009F41B2"/>
    <w:rsid w:val="009F619B"/>
    <w:rsid w:val="009F6F8F"/>
    <w:rsid w:val="00A0173C"/>
    <w:rsid w:val="00A02657"/>
    <w:rsid w:val="00A02810"/>
    <w:rsid w:val="00A03DDF"/>
    <w:rsid w:val="00A03ED2"/>
    <w:rsid w:val="00A067D4"/>
    <w:rsid w:val="00A07C06"/>
    <w:rsid w:val="00A07FA7"/>
    <w:rsid w:val="00A126FB"/>
    <w:rsid w:val="00A14D8F"/>
    <w:rsid w:val="00A16E9E"/>
    <w:rsid w:val="00A2069E"/>
    <w:rsid w:val="00A22243"/>
    <w:rsid w:val="00A23B03"/>
    <w:rsid w:val="00A27F6B"/>
    <w:rsid w:val="00A33B43"/>
    <w:rsid w:val="00A346E9"/>
    <w:rsid w:val="00A3498D"/>
    <w:rsid w:val="00A362E4"/>
    <w:rsid w:val="00A4426A"/>
    <w:rsid w:val="00A44AA8"/>
    <w:rsid w:val="00A54A22"/>
    <w:rsid w:val="00A55361"/>
    <w:rsid w:val="00A57838"/>
    <w:rsid w:val="00A60126"/>
    <w:rsid w:val="00A61F69"/>
    <w:rsid w:val="00A64808"/>
    <w:rsid w:val="00A66E30"/>
    <w:rsid w:val="00A67737"/>
    <w:rsid w:val="00A73B4A"/>
    <w:rsid w:val="00A776EE"/>
    <w:rsid w:val="00A80EB7"/>
    <w:rsid w:val="00A8199D"/>
    <w:rsid w:val="00A8495E"/>
    <w:rsid w:val="00A96694"/>
    <w:rsid w:val="00A96A78"/>
    <w:rsid w:val="00AA3787"/>
    <w:rsid w:val="00AA5DC0"/>
    <w:rsid w:val="00AA7898"/>
    <w:rsid w:val="00AB48FE"/>
    <w:rsid w:val="00AB5837"/>
    <w:rsid w:val="00AB683B"/>
    <w:rsid w:val="00AC0FDC"/>
    <w:rsid w:val="00AC1530"/>
    <w:rsid w:val="00AC74FE"/>
    <w:rsid w:val="00AD0A7E"/>
    <w:rsid w:val="00AE1ECF"/>
    <w:rsid w:val="00AE29DF"/>
    <w:rsid w:val="00AE4ED2"/>
    <w:rsid w:val="00AF1FBC"/>
    <w:rsid w:val="00AF26F4"/>
    <w:rsid w:val="00AF3034"/>
    <w:rsid w:val="00AF4F9C"/>
    <w:rsid w:val="00AF56A3"/>
    <w:rsid w:val="00AF6333"/>
    <w:rsid w:val="00B00385"/>
    <w:rsid w:val="00B00464"/>
    <w:rsid w:val="00B01704"/>
    <w:rsid w:val="00B01E1E"/>
    <w:rsid w:val="00B025B1"/>
    <w:rsid w:val="00B025F2"/>
    <w:rsid w:val="00B0410D"/>
    <w:rsid w:val="00B046F4"/>
    <w:rsid w:val="00B0503C"/>
    <w:rsid w:val="00B053A1"/>
    <w:rsid w:val="00B1122E"/>
    <w:rsid w:val="00B143A5"/>
    <w:rsid w:val="00B148CE"/>
    <w:rsid w:val="00B23FC9"/>
    <w:rsid w:val="00B26E0B"/>
    <w:rsid w:val="00B27846"/>
    <w:rsid w:val="00B36AF7"/>
    <w:rsid w:val="00B40B91"/>
    <w:rsid w:val="00B41269"/>
    <w:rsid w:val="00B41CBA"/>
    <w:rsid w:val="00B43F78"/>
    <w:rsid w:val="00B45381"/>
    <w:rsid w:val="00B51085"/>
    <w:rsid w:val="00B51AA3"/>
    <w:rsid w:val="00B52839"/>
    <w:rsid w:val="00B530AB"/>
    <w:rsid w:val="00B54C43"/>
    <w:rsid w:val="00B554C1"/>
    <w:rsid w:val="00B55555"/>
    <w:rsid w:val="00B55BF2"/>
    <w:rsid w:val="00B5645C"/>
    <w:rsid w:val="00B56A57"/>
    <w:rsid w:val="00B57523"/>
    <w:rsid w:val="00B62E9B"/>
    <w:rsid w:val="00B7050A"/>
    <w:rsid w:val="00B720F5"/>
    <w:rsid w:val="00B723E4"/>
    <w:rsid w:val="00B769F6"/>
    <w:rsid w:val="00B816AF"/>
    <w:rsid w:val="00B86669"/>
    <w:rsid w:val="00B86E43"/>
    <w:rsid w:val="00B93283"/>
    <w:rsid w:val="00B934CF"/>
    <w:rsid w:val="00B95E2C"/>
    <w:rsid w:val="00BA233D"/>
    <w:rsid w:val="00BA2C7D"/>
    <w:rsid w:val="00BA32ED"/>
    <w:rsid w:val="00BA55D7"/>
    <w:rsid w:val="00BA5B1A"/>
    <w:rsid w:val="00BB0DE4"/>
    <w:rsid w:val="00BB198E"/>
    <w:rsid w:val="00BB3DFA"/>
    <w:rsid w:val="00BB5600"/>
    <w:rsid w:val="00BC230E"/>
    <w:rsid w:val="00BC2F11"/>
    <w:rsid w:val="00BC4127"/>
    <w:rsid w:val="00BC7FCB"/>
    <w:rsid w:val="00BD2F24"/>
    <w:rsid w:val="00BD317E"/>
    <w:rsid w:val="00BD7B8C"/>
    <w:rsid w:val="00BE1A6C"/>
    <w:rsid w:val="00BE6F4B"/>
    <w:rsid w:val="00BE758C"/>
    <w:rsid w:val="00BF5991"/>
    <w:rsid w:val="00BF5AD6"/>
    <w:rsid w:val="00C05DB3"/>
    <w:rsid w:val="00C06B6B"/>
    <w:rsid w:val="00C078C3"/>
    <w:rsid w:val="00C178E5"/>
    <w:rsid w:val="00C24466"/>
    <w:rsid w:val="00C2498F"/>
    <w:rsid w:val="00C25B50"/>
    <w:rsid w:val="00C267D8"/>
    <w:rsid w:val="00C31A05"/>
    <w:rsid w:val="00C32F4D"/>
    <w:rsid w:val="00C3332F"/>
    <w:rsid w:val="00C34FD6"/>
    <w:rsid w:val="00C3666B"/>
    <w:rsid w:val="00C36FC2"/>
    <w:rsid w:val="00C371B7"/>
    <w:rsid w:val="00C4099F"/>
    <w:rsid w:val="00C41931"/>
    <w:rsid w:val="00C4706C"/>
    <w:rsid w:val="00C5325C"/>
    <w:rsid w:val="00C534B3"/>
    <w:rsid w:val="00C538A1"/>
    <w:rsid w:val="00C619B5"/>
    <w:rsid w:val="00C6323B"/>
    <w:rsid w:val="00C63611"/>
    <w:rsid w:val="00C66759"/>
    <w:rsid w:val="00C7279D"/>
    <w:rsid w:val="00C75A2F"/>
    <w:rsid w:val="00C8006B"/>
    <w:rsid w:val="00C8718E"/>
    <w:rsid w:val="00C872E8"/>
    <w:rsid w:val="00C949DD"/>
    <w:rsid w:val="00C94A9B"/>
    <w:rsid w:val="00C95640"/>
    <w:rsid w:val="00C968F3"/>
    <w:rsid w:val="00CA038A"/>
    <w:rsid w:val="00CA505B"/>
    <w:rsid w:val="00CA6122"/>
    <w:rsid w:val="00CB2301"/>
    <w:rsid w:val="00CB3248"/>
    <w:rsid w:val="00CB64AE"/>
    <w:rsid w:val="00CB6855"/>
    <w:rsid w:val="00CB779E"/>
    <w:rsid w:val="00CC0D13"/>
    <w:rsid w:val="00CC16CD"/>
    <w:rsid w:val="00CC65E1"/>
    <w:rsid w:val="00CC751D"/>
    <w:rsid w:val="00CD1496"/>
    <w:rsid w:val="00CD27C9"/>
    <w:rsid w:val="00CD2EE4"/>
    <w:rsid w:val="00CD77D8"/>
    <w:rsid w:val="00CD7AD9"/>
    <w:rsid w:val="00CE19DD"/>
    <w:rsid w:val="00CE1CCF"/>
    <w:rsid w:val="00CE1DAE"/>
    <w:rsid w:val="00CE70D7"/>
    <w:rsid w:val="00CF0AA8"/>
    <w:rsid w:val="00CF1024"/>
    <w:rsid w:val="00CF28B7"/>
    <w:rsid w:val="00CF3A23"/>
    <w:rsid w:val="00CF5DAE"/>
    <w:rsid w:val="00D00D56"/>
    <w:rsid w:val="00D06064"/>
    <w:rsid w:val="00D07C78"/>
    <w:rsid w:val="00D11B52"/>
    <w:rsid w:val="00D14D6F"/>
    <w:rsid w:val="00D219E9"/>
    <w:rsid w:val="00D22EA0"/>
    <w:rsid w:val="00D24071"/>
    <w:rsid w:val="00D40880"/>
    <w:rsid w:val="00D4218C"/>
    <w:rsid w:val="00D46546"/>
    <w:rsid w:val="00D53521"/>
    <w:rsid w:val="00D5551D"/>
    <w:rsid w:val="00D6353F"/>
    <w:rsid w:val="00D64EAE"/>
    <w:rsid w:val="00D666BE"/>
    <w:rsid w:val="00D6793D"/>
    <w:rsid w:val="00D714B8"/>
    <w:rsid w:val="00D7634D"/>
    <w:rsid w:val="00D81F69"/>
    <w:rsid w:val="00D837C5"/>
    <w:rsid w:val="00D866C9"/>
    <w:rsid w:val="00D947E1"/>
    <w:rsid w:val="00DA1D72"/>
    <w:rsid w:val="00DA2496"/>
    <w:rsid w:val="00DA5213"/>
    <w:rsid w:val="00DA6408"/>
    <w:rsid w:val="00DA650D"/>
    <w:rsid w:val="00DB309D"/>
    <w:rsid w:val="00DB5E28"/>
    <w:rsid w:val="00DB6B68"/>
    <w:rsid w:val="00DB714D"/>
    <w:rsid w:val="00DC0170"/>
    <w:rsid w:val="00DC0F2F"/>
    <w:rsid w:val="00DC2460"/>
    <w:rsid w:val="00DC2FE4"/>
    <w:rsid w:val="00DC40EF"/>
    <w:rsid w:val="00DC6E2A"/>
    <w:rsid w:val="00DD1E27"/>
    <w:rsid w:val="00DD253E"/>
    <w:rsid w:val="00DD489A"/>
    <w:rsid w:val="00DD51F5"/>
    <w:rsid w:val="00DD5AEB"/>
    <w:rsid w:val="00DE16E3"/>
    <w:rsid w:val="00DE1D36"/>
    <w:rsid w:val="00DE22E2"/>
    <w:rsid w:val="00DE48A2"/>
    <w:rsid w:val="00DE60B4"/>
    <w:rsid w:val="00DE7329"/>
    <w:rsid w:val="00DE7458"/>
    <w:rsid w:val="00DE79CE"/>
    <w:rsid w:val="00DF2935"/>
    <w:rsid w:val="00DF32E2"/>
    <w:rsid w:val="00DF528A"/>
    <w:rsid w:val="00DF5A30"/>
    <w:rsid w:val="00E019DC"/>
    <w:rsid w:val="00E03D97"/>
    <w:rsid w:val="00E06895"/>
    <w:rsid w:val="00E07C3D"/>
    <w:rsid w:val="00E142EC"/>
    <w:rsid w:val="00E143FC"/>
    <w:rsid w:val="00E14569"/>
    <w:rsid w:val="00E21106"/>
    <w:rsid w:val="00E236AC"/>
    <w:rsid w:val="00E253C6"/>
    <w:rsid w:val="00E25652"/>
    <w:rsid w:val="00E2588D"/>
    <w:rsid w:val="00E2670A"/>
    <w:rsid w:val="00E26DD6"/>
    <w:rsid w:val="00E276EC"/>
    <w:rsid w:val="00E3166F"/>
    <w:rsid w:val="00E34E49"/>
    <w:rsid w:val="00E35E03"/>
    <w:rsid w:val="00E43505"/>
    <w:rsid w:val="00E462D4"/>
    <w:rsid w:val="00E507EA"/>
    <w:rsid w:val="00E560BC"/>
    <w:rsid w:val="00E5751D"/>
    <w:rsid w:val="00E57701"/>
    <w:rsid w:val="00E57A58"/>
    <w:rsid w:val="00E57E84"/>
    <w:rsid w:val="00E61129"/>
    <w:rsid w:val="00E61B3E"/>
    <w:rsid w:val="00E632DB"/>
    <w:rsid w:val="00E63FCB"/>
    <w:rsid w:val="00E66AF9"/>
    <w:rsid w:val="00E66B2E"/>
    <w:rsid w:val="00E67B0F"/>
    <w:rsid w:val="00E7260B"/>
    <w:rsid w:val="00E776A7"/>
    <w:rsid w:val="00E80216"/>
    <w:rsid w:val="00E83462"/>
    <w:rsid w:val="00E85022"/>
    <w:rsid w:val="00E85970"/>
    <w:rsid w:val="00E85D9F"/>
    <w:rsid w:val="00E86BEE"/>
    <w:rsid w:val="00EA5BAD"/>
    <w:rsid w:val="00EA7F93"/>
    <w:rsid w:val="00EB2DD7"/>
    <w:rsid w:val="00EB4BAB"/>
    <w:rsid w:val="00EB59F9"/>
    <w:rsid w:val="00EB721D"/>
    <w:rsid w:val="00EC0AFF"/>
    <w:rsid w:val="00EC128A"/>
    <w:rsid w:val="00EC2573"/>
    <w:rsid w:val="00EC27B5"/>
    <w:rsid w:val="00EC2DE9"/>
    <w:rsid w:val="00EC696D"/>
    <w:rsid w:val="00EC6E00"/>
    <w:rsid w:val="00ED1571"/>
    <w:rsid w:val="00ED3240"/>
    <w:rsid w:val="00ED5099"/>
    <w:rsid w:val="00ED5B3E"/>
    <w:rsid w:val="00EE108C"/>
    <w:rsid w:val="00EE2C52"/>
    <w:rsid w:val="00EE3209"/>
    <w:rsid w:val="00EE484F"/>
    <w:rsid w:val="00EE4D10"/>
    <w:rsid w:val="00EE57E8"/>
    <w:rsid w:val="00EE5873"/>
    <w:rsid w:val="00EE6097"/>
    <w:rsid w:val="00EE7498"/>
    <w:rsid w:val="00EF0085"/>
    <w:rsid w:val="00EF2FA1"/>
    <w:rsid w:val="00EF47D3"/>
    <w:rsid w:val="00F03A6A"/>
    <w:rsid w:val="00F03BFB"/>
    <w:rsid w:val="00F03CB3"/>
    <w:rsid w:val="00F06A1E"/>
    <w:rsid w:val="00F11611"/>
    <w:rsid w:val="00F15D9F"/>
    <w:rsid w:val="00F21325"/>
    <w:rsid w:val="00F213C4"/>
    <w:rsid w:val="00F21D35"/>
    <w:rsid w:val="00F22C20"/>
    <w:rsid w:val="00F233F7"/>
    <w:rsid w:val="00F23FA0"/>
    <w:rsid w:val="00F341BA"/>
    <w:rsid w:val="00F357D0"/>
    <w:rsid w:val="00F41B27"/>
    <w:rsid w:val="00F4397F"/>
    <w:rsid w:val="00F444B9"/>
    <w:rsid w:val="00F50D4F"/>
    <w:rsid w:val="00F56A87"/>
    <w:rsid w:val="00F572D5"/>
    <w:rsid w:val="00F62DF1"/>
    <w:rsid w:val="00F63360"/>
    <w:rsid w:val="00F7122F"/>
    <w:rsid w:val="00F7232D"/>
    <w:rsid w:val="00F76493"/>
    <w:rsid w:val="00F764E8"/>
    <w:rsid w:val="00F77DED"/>
    <w:rsid w:val="00F8181D"/>
    <w:rsid w:val="00F82520"/>
    <w:rsid w:val="00F83A8C"/>
    <w:rsid w:val="00F86B9D"/>
    <w:rsid w:val="00F935BF"/>
    <w:rsid w:val="00F96C5A"/>
    <w:rsid w:val="00FA00E5"/>
    <w:rsid w:val="00FA2380"/>
    <w:rsid w:val="00FA7FB6"/>
    <w:rsid w:val="00FB2274"/>
    <w:rsid w:val="00FB4C21"/>
    <w:rsid w:val="00FB67C9"/>
    <w:rsid w:val="00FB73AA"/>
    <w:rsid w:val="00FC03C1"/>
    <w:rsid w:val="00FC193D"/>
    <w:rsid w:val="00FC274F"/>
    <w:rsid w:val="00FC34AB"/>
    <w:rsid w:val="00FC4001"/>
    <w:rsid w:val="00FC45AB"/>
    <w:rsid w:val="00FD012D"/>
    <w:rsid w:val="00FD2940"/>
    <w:rsid w:val="00FD4907"/>
    <w:rsid w:val="00FD539F"/>
    <w:rsid w:val="00FD68BD"/>
    <w:rsid w:val="00FE01E2"/>
    <w:rsid w:val="00FE1433"/>
    <w:rsid w:val="00FE14B0"/>
    <w:rsid w:val="00FE24D5"/>
    <w:rsid w:val="00FE4CBA"/>
    <w:rsid w:val="00FE6D36"/>
    <w:rsid w:val="00FE71D1"/>
    <w:rsid w:val="00FF4840"/>
    <w:rsid w:val="00FF5B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FE121B"/>
  <w15:chartTrackingRefBased/>
  <w15:docId w15:val="{D4295407-B1FF-442A-AF5A-1912ACC4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1738"/>
    <w:pPr>
      <w:keepNext/>
      <w:keepLines/>
      <w:spacing w:before="320" w:after="0" w:line="264" w:lineRule="auto"/>
      <w:outlineLvl w:val="0"/>
    </w:pPr>
    <w:rPr>
      <w:rFonts w:asciiTheme="majorHAnsi" w:eastAsiaTheme="majorEastAsia" w:hAnsiTheme="majorHAnsi" w:cstheme="majorBidi"/>
      <w:color w:val="365F91" w:themeColor="accent1" w:themeShade="BF"/>
      <w:sz w:val="32"/>
      <w:szCs w:val="32"/>
      <w:lang w:val="en-IE"/>
    </w:rPr>
  </w:style>
  <w:style w:type="paragraph" w:styleId="Heading2">
    <w:name w:val="heading 2"/>
    <w:basedOn w:val="Normal"/>
    <w:next w:val="Normal"/>
    <w:link w:val="Heading2Char"/>
    <w:uiPriority w:val="9"/>
    <w:unhideWhenUsed/>
    <w:qFormat/>
    <w:rsid w:val="001F1738"/>
    <w:pPr>
      <w:keepNext/>
      <w:keepLines/>
      <w:spacing w:before="80" w:after="0" w:line="264" w:lineRule="auto"/>
      <w:outlineLvl w:val="1"/>
    </w:pPr>
    <w:rPr>
      <w:rFonts w:asciiTheme="majorHAnsi" w:eastAsiaTheme="majorEastAsia" w:hAnsiTheme="majorHAnsi" w:cstheme="majorBidi"/>
      <w:color w:val="404040" w:themeColor="text1" w:themeTint="BF"/>
      <w:sz w:val="28"/>
      <w:szCs w:val="28"/>
      <w:lang w:val="en-IE"/>
    </w:rPr>
  </w:style>
  <w:style w:type="paragraph" w:styleId="Heading3">
    <w:name w:val="heading 3"/>
    <w:basedOn w:val="Normal"/>
    <w:next w:val="Normal"/>
    <w:link w:val="Heading3Char"/>
    <w:uiPriority w:val="9"/>
    <w:unhideWhenUsed/>
    <w:qFormat/>
    <w:rsid w:val="001F1738"/>
    <w:pPr>
      <w:keepNext/>
      <w:keepLines/>
      <w:spacing w:before="40" w:after="0" w:line="264" w:lineRule="auto"/>
      <w:outlineLvl w:val="2"/>
    </w:pPr>
    <w:rPr>
      <w:rFonts w:asciiTheme="majorHAnsi" w:eastAsiaTheme="majorEastAsia" w:hAnsiTheme="majorHAnsi" w:cstheme="majorBidi"/>
      <w:color w:val="1F497D" w:themeColor="text2"/>
      <w:sz w:val="24"/>
      <w:szCs w:val="24"/>
      <w:lang w:val="en-IE"/>
    </w:rPr>
  </w:style>
  <w:style w:type="paragraph" w:styleId="Heading4">
    <w:name w:val="heading 4"/>
    <w:basedOn w:val="Normal"/>
    <w:next w:val="Normal"/>
    <w:link w:val="Heading4Char"/>
    <w:uiPriority w:val="9"/>
    <w:unhideWhenUsed/>
    <w:qFormat/>
    <w:rsid w:val="001F1738"/>
    <w:pPr>
      <w:keepNext/>
      <w:keepLines/>
      <w:spacing w:before="40" w:after="0" w:line="264" w:lineRule="auto"/>
      <w:outlineLvl w:val="3"/>
    </w:pPr>
    <w:rPr>
      <w:rFonts w:asciiTheme="majorHAnsi" w:eastAsiaTheme="majorEastAsia" w:hAnsiTheme="majorHAnsi" w:cstheme="majorBidi"/>
      <w:lang w:val="en-IE"/>
    </w:rPr>
  </w:style>
  <w:style w:type="paragraph" w:styleId="Heading5">
    <w:name w:val="heading 5"/>
    <w:basedOn w:val="Normal"/>
    <w:next w:val="Normal"/>
    <w:link w:val="Heading5Char"/>
    <w:uiPriority w:val="9"/>
    <w:semiHidden/>
    <w:unhideWhenUsed/>
    <w:qFormat/>
    <w:rsid w:val="001F1738"/>
    <w:pPr>
      <w:keepNext/>
      <w:keepLines/>
      <w:spacing w:before="40" w:after="0" w:line="264" w:lineRule="auto"/>
      <w:outlineLvl w:val="4"/>
    </w:pPr>
    <w:rPr>
      <w:rFonts w:asciiTheme="majorHAnsi" w:eastAsiaTheme="majorEastAsia" w:hAnsiTheme="majorHAnsi" w:cstheme="majorBidi"/>
      <w:color w:val="1F497D" w:themeColor="text2"/>
      <w:lang w:val="en-IE"/>
    </w:rPr>
  </w:style>
  <w:style w:type="paragraph" w:styleId="Heading6">
    <w:name w:val="heading 6"/>
    <w:basedOn w:val="Normal"/>
    <w:next w:val="Normal"/>
    <w:link w:val="Heading6Char"/>
    <w:uiPriority w:val="9"/>
    <w:semiHidden/>
    <w:unhideWhenUsed/>
    <w:qFormat/>
    <w:rsid w:val="001F1738"/>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IE"/>
    </w:rPr>
  </w:style>
  <w:style w:type="paragraph" w:styleId="Heading7">
    <w:name w:val="heading 7"/>
    <w:basedOn w:val="Normal"/>
    <w:next w:val="Normal"/>
    <w:link w:val="Heading7Char"/>
    <w:uiPriority w:val="9"/>
    <w:semiHidden/>
    <w:unhideWhenUsed/>
    <w:qFormat/>
    <w:rsid w:val="001F1738"/>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IE"/>
    </w:rPr>
  </w:style>
  <w:style w:type="paragraph" w:styleId="Heading8">
    <w:name w:val="heading 8"/>
    <w:basedOn w:val="Normal"/>
    <w:next w:val="Normal"/>
    <w:link w:val="Heading8Char"/>
    <w:uiPriority w:val="9"/>
    <w:semiHidden/>
    <w:unhideWhenUsed/>
    <w:qFormat/>
    <w:rsid w:val="001F1738"/>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IE"/>
    </w:rPr>
  </w:style>
  <w:style w:type="paragraph" w:styleId="Heading9">
    <w:name w:val="heading 9"/>
    <w:basedOn w:val="Normal"/>
    <w:next w:val="Normal"/>
    <w:link w:val="Heading9Char"/>
    <w:uiPriority w:val="9"/>
    <w:semiHidden/>
    <w:unhideWhenUsed/>
    <w:qFormat/>
    <w:rsid w:val="001F1738"/>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619B5"/>
    <w:rPr>
      <w:color w:val="0000FF"/>
      <w:shd w:val="clear" w:color="auto" w:fill="auto"/>
    </w:rPr>
  </w:style>
  <w:style w:type="paragraph" w:styleId="Header">
    <w:name w:val="header"/>
    <w:basedOn w:val="Normal"/>
    <w:link w:val="HeaderChar"/>
    <w:uiPriority w:val="99"/>
    <w:unhideWhenUsed/>
    <w:rsid w:val="00C61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9B5"/>
  </w:style>
  <w:style w:type="paragraph" w:styleId="Footer">
    <w:name w:val="footer"/>
    <w:basedOn w:val="Normal"/>
    <w:link w:val="FooterChar"/>
    <w:uiPriority w:val="99"/>
    <w:unhideWhenUsed/>
    <w:rsid w:val="00C61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9B5"/>
  </w:style>
  <w:style w:type="paragraph" w:customStyle="1" w:styleId="Pagedecouverture">
    <w:name w:val="Page de couverture"/>
    <w:basedOn w:val="Normal"/>
    <w:next w:val="Normal"/>
    <w:uiPriority w:val="1"/>
    <w:rsid w:val="00C619B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uiPriority w:val="1"/>
    <w:rsid w:val="00C619B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1"/>
    <w:rsid w:val="00C619B5"/>
    <w:rPr>
      <w:rFonts w:ascii="Times New Roman" w:hAnsi="Times New Roman" w:cs="Times New Roman"/>
      <w:sz w:val="24"/>
    </w:rPr>
  </w:style>
  <w:style w:type="paragraph" w:customStyle="1" w:styleId="FooterSensitivity">
    <w:name w:val="Footer Sensitivity"/>
    <w:basedOn w:val="Normal"/>
    <w:link w:val="FooterSensitivityChar"/>
    <w:uiPriority w:val="1"/>
    <w:rsid w:val="00C619B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uiPriority w:val="1"/>
    <w:rsid w:val="00C619B5"/>
    <w:rPr>
      <w:rFonts w:ascii="Times New Roman" w:hAnsi="Times New Roman" w:cs="Times New Roman"/>
      <w:b/>
      <w:sz w:val="32"/>
    </w:rPr>
  </w:style>
  <w:style w:type="paragraph" w:customStyle="1" w:styleId="HeaderCoverPage">
    <w:name w:val="Header Cover Page"/>
    <w:basedOn w:val="Normal"/>
    <w:link w:val="HeaderCoverPageChar"/>
    <w:uiPriority w:val="1"/>
    <w:rsid w:val="00C619B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uiPriority w:val="1"/>
    <w:rsid w:val="00C619B5"/>
    <w:rPr>
      <w:rFonts w:ascii="Times New Roman" w:hAnsi="Times New Roman" w:cs="Times New Roman"/>
      <w:sz w:val="24"/>
    </w:rPr>
  </w:style>
  <w:style w:type="paragraph" w:customStyle="1" w:styleId="HeaderSensitivity">
    <w:name w:val="Header Sensitivity"/>
    <w:basedOn w:val="Normal"/>
    <w:link w:val="HeaderSensitivityChar"/>
    <w:uiPriority w:val="1"/>
    <w:rsid w:val="00C619B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uiPriority w:val="1"/>
    <w:rsid w:val="00C619B5"/>
    <w:rPr>
      <w:rFonts w:ascii="Times New Roman" w:hAnsi="Times New Roman" w:cs="Times New Roman"/>
      <w:b/>
      <w:sz w:val="32"/>
    </w:rPr>
  </w:style>
  <w:style w:type="paragraph" w:customStyle="1" w:styleId="HeaderSensitivityRight">
    <w:name w:val="Header Sensitivity Right"/>
    <w:basedOn w:val="Normal"/>
    <w:link w:val="HeaderSensitivityRightChar"/>
    <w:uiPriority w:val="1"/>
    <w:rsid w:val="00C619B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uiPriority w:val="1"/>
    <w:rsid w:val="00C619B5"/>
    <w:rPr>
      <w:rFonts w:ascii="Times New Roman" w:hAnsi="Times New Roman" w:cs="Times New Roman"/>
      <w:sz w:val="28"/>
    </w:rPr>
  </w:style>
  <w:style w:type="character" w:customStyle="1" w:styleId="Heading1Char">
    <w:name w:val="Heading 1 Char"/>
    <w:basedOn w:val="DefaultParagraphFont"/>
    <w:link w:val="Heading1"/>
    <w:uiPriority w:val="9"/>
    <w:rsid w:val="001F1738"/>
    <w:rPr>
      <w:rFonts w:asciiTheme="majorHAnsi" w:eastAsiaTheme="majorEastAsia" w:hAnsiTheme="majorHAnsi" w:cstheme="majorBidi"/>
      <w:color w:val="365F91" w:themeColor="accent1" w:themeShade="BF"/>
      <w:sz w:val="32"/>
      <w:szCs w:val="32"/>
      <w:lang w:val="en-IE"/>
    </w:rPr>
  </w:style>
  <w:style w:type="character" w:customStyle="1" w:styleId="Heading2Char">
    <w:name w:val="Heading 2 Char"/>
    <w:basedOn w:val="DefaultParagraphFont"/>
    <w:link w:val="Heading2"/>
    <w:uiPriority w:val="9"/>
    <w:rsid w:val="001F1738"/>
    <w:rPr>
      <w:rFonts w:asciiTheme="majorHAnsi" w:eastAsiaTheme="majorEastAsia" w:hAnsiTheme="majorHAnsi" w:cstheme="majorBidi"/>
      <w:color w:val="404040" w:themeColor="text1" w:themeTint="BF"/>
      <w:sz w:val="28"/>
      <w:szCs w:val="28"/>
      <w:lang w:val="en-IE"/>
    </w:rPr>
  </w:style>
  <w:style w:type="character" w:customStyle="1" w:styleId="Heading3Char">
    <w:name w:val="Heading 3 Char"/>
    <w:basedOn w:val="DefaultParagraphFont"/>
    <w:link w:val="Heading3"/>
    <w:uiPriority w:val="9"/>
    <w:rsid w:val="001F1738"/>
    <w:rPr>
      <w:rFonts w:asciiTheme="majorHAnsi" w:eastAsiaTheme="majorEastAsia" w:hAnsiTheme="majorHAnsi" w:cstheme="majorBidi"/>
      <w:color w:val="1F497D" w:themeColor="text2"/>
      <w:sz w:val="24"/>
      <w:szCs w:val="24"/>
      <w:lang w:val="en-IE"/>
    </w:rPr>
  </w:style>
  <w:style w:type="character" w:customStyle="1" w:styleId="Heading4Char">
    <w:name w:val="Heading 4 Char"/>
    <w:basedOn w:val="DefaultParagraphFont"/>
    <w:link w:val="Heading4"/>
    <w:uiPriority w:val="9"/>
    <w:rsid w:val="001F1738"/>
    <w:rPr>
      <w:rFonts w:asciiTheme="majorHAnsi" w:eastAsiaTheme="majorEastAsia" w:hAnsiTheme="majorHAnsi" w:cstheme="majorBidi"/>
      <w:lang w:val="en-IE"/>
    </w:rPr>
  </w:style>
  <w:style w:type="character" w:customStyle="1" w:styleId="Heading5Char">
    <w:name w:val="Heading 5 Char"/>
    <w:basedOn w:val="DefaultParagraphFont"/>
    <w:link w:val="Heading5"/>
    <w:uiPriority w:val="9"/>
    <w:semiHidden/>
    <w:rsid w:val="001F1738"/>
    <w:rPr>
      <w:rFonts w:asciiTheme="majorHAnsi" w:eastAsiaTheme="majorEastAsia" w:hAnsiTheme="majorHAnsi" w:cstheme="majorBidi"/>
      <w:color w:val="1F497D" w:themeColor="text2"/>
      <w:lang w:val="en-IE"/>
    </w:rPr>
  </w:style>
  <w:style w:type="character" w:customStyle="1" w:styleId="Heading6Char">
    <w:name w:val="Heading 6 Char"/>
    <w:basedOn w:val="DefaultParagraphFont"/>
    <w:link w:val="Heading6"/>
    <w:uiPriority w:val="9"/>
    <w:semiHidden/>
    <w:rsid w:val="001F1738"/>
    <w:rPr>
      <w:rFonts w:asciiTheme="majorHAnsi" w:eastAsiaTheme="majorEastAsia" w:hAnsiTheme="majorHAnsi" w:cstheme="majorBidi"/>
      <w:i/>
      <w:iCs/>
      <w:color w:val="1F497D" w:themeColor="text2"/>
      <w:sz w:val="21"/>
      <w:szCs w:val="21"/>
      <w:lang w:val="en-IE"/>
    </w:rPr>
  </w:style>
  <w:style w:type="character" w:customStyle="1" w:styleId="Heading7Char">
    <w:name w:val="Heading 7 Char"/>
    <w:basedOn w:val="DefaultParagraphFont"/>
    <w:link w:val="Heading7"/>
    <w:uiPriority w:val="9"/>
    <w:semiHidden/>
    <w:rsid w:val="001F1738"/>
    <w:rPr>
      <w:rFonts w:asciiTheme="majorHAnsi" w:eastAsiaTheme="majorEastAsia" w:hAnsiTheme="majorHAnsi" w:cstheme="majorBidi"/>
      <w:i/>
      <w:iCs/>
      <w:color w:val="244061" w:themeColor="accent1" w:themeShade="80"/>
      <w:sz w:val="21"/>
      <w:szCs w:val="21"/>
      <w:lang w:val="en-IE"/>
    </w:rPr>
  </w:style>
  <w:style w:type="character" w:customStyle="1" w:styleId="Heading8Char">
    <w:name w:val="Heading 8 Char"/>
    <w:basedOn w:val="DefaultParagraphFont"/>
    <w:link w:val="Heading8"/>
    <w:uiPriority w:val="9"/>
    <w:semiHidden/>
    <w:rsid w:val="001F1738"/>
    <w:rPr>
      <w:rFonts w:asciiTheme="majorHAnsi" w:eastAsiaTheme="majorEastAsia" w:hAnsiTheme="majorHAnsi" w:cstheme="majorBidi"/>
      <w:b/>
      <w:bCs/>
      <w:color w:val="1F497D" w:themeColor="text2"/>
      <w:sz w:val="20"/>
      <w:szCs w:val="20"/>
      <w:lang w:val="en-IE"/>
    </w:rPr>
  </w:style>
  <w:style w:type="character" w:customStyle="1" w:styleId="Heading9Char">
    <w:name w:val="Heading 9 Char"/>
    <w:basedOn w:val="DefaultParagraphFont"/>
    <w:link w:val="Heading9"/>
    <w:uiPriority w:val="9"/>
    <w:semiHidden/>
    <w:rsid w:val="001F1738"/>
    <w:rPr>
      <w:rFonts w:asciiTheme="majorHAnsi" w:eastAsiaTheme="majorEastAsia" w:hAnsiTheme="majorHAnsi" w:cstheme="majorBidi"/>
      <w:b/>
      <w:bCs/>
      <w:i/>
      <w:iCs/>
      <w:color w:val="1F497D" w:themeColor="text2"/>
      <w:sz w:val="20"/>
      <w:szCs w:val="20"/>
      <w:lang w:val="en-IE"/>
    </w:rPr>
  </w:style>
  <w:style w:type="numbering" w:customStyle="1" w:styleId="NoList1">
    <w:name w:val="No List1"/>
    <w:next w:val="NoList"/>
    <w:uiPriority w:val="99"/>
    <w:semiHidden/>
    <w:unhideWhenUsed/>
    <w:rsid w:val="001F1738"/>
  </w:style>
  <w:style w:type="paragraph" w:styleId="ListParagraph">
    <w:name w:val="List Paragraph"/>
    <w:aliases w:val="List Paragraph1,Recommendation,List Paragraph11,L,CV text,Table text,F5 List Paragraph,Dot pt,Bullet 1,Numbered Para 1,No Spacing1,List Paragraph Char Char Char,Indicator Text,Evidence on Demand bullet points,Bullet List,FooterText"/>
    <w:basedOn w:val="Normal"/>
    <w:link w:val="ListParagraphChar"/>
    <w:uiPriority w:val="34"/>
    <w:qFormat/>
    <w:rsid w:val="001F1738"/>
    <w:pPr>
      <w:spacing w:after="120" w:line="264" w:lineRule="auto"/>
      <w:ind w:left="720"/>
      <w:contextualSpacing/>
    </w:pPr>
    <w:rPr>
      <w:rFonts w:eastAsiaTheme="minorEastAsia"/>
      <w:sz w:val="20"/>
      <w:szCs w:val="20"/>
      <w:lang w:val="en-IE"/>
    </w:rPr>
  </w:style>
  <w:style w:type="paragraph" w:styleId="BalloonText">
    <w:name w:val="Balloon Text"/>
    <w:basedOn w:val="Normal"/>
    <w:link w:val="BalloonTextChar"/>
    <w:uiPriority w:val="99"/>
    <w:semiHidden/>
    <w:unhideWhenUsed/>
    <w:rsid w:val="001F1738"/>
    <w:pPr>
      <w:spacing w:after="0" w:line="264" w:lineRule="auto"/>
    </w:pPr>
    <w:rPr>
      <w:rFonts w:ascii="Segoe UI" w:eastAsiaTheme="minorEastAsia" w:hAnsi="Segoe UI" w:cs="Segoe UI"/>
      <w:sz w:val="18"/>
      <w:szCs w:val="18"/>
      <w:lang w:val="en-IE"/>
    </w:rPr>
  </w:style>
  <w:style w:type="character" w:customStyle="1" w:styleId="BalloonTextChar">
    <w:name w:val="Balloon Text Char"/>
    <w:basedOn w:val="DefaultParagraphFont"/>
    <w:link w:val="BalloonText"/>
    <w:uiPriority w:val="99"/>
    <w:semiHidden/>
    <w:rsid w:val="001F1738"/>
    <w:rPr>
      <w:rFonts w:ascii="Segoe UI" w:eastAsiaTheme="minorEastAsia" w:hAnsi="Segoe UI" w:cs="Segoe UI"/>
      <w:sz w:val="18"/>
      <w:szCs w:val="18"/>
      <w:lang w:val="en-IE"/>
    </w:rPr>
  </w:style>
  <w:style w:type="character" w:customStyle="1" w:styleId="apple-tab-span">
    <w:name w:val="apple-tab-span"/>
    <w:basedOn w:val="DefaultParagraphFont"/>
    <w:rsid w:val="001F1738"/>
  </w:style>
  <w:style w:type="character" w:styleId="CommentReference">
    <w:name w:val="annotation reference"/>
    <w:basedOn w:val="DefaultParagraphFont"/>
    <w:uiPriority w:val="99"/>
    <w:unhideWhenUsed/>
    <w:rsid w:val="001F1738"/>
    <w:rPr>
      <w:sz w:val="16"/>
      <w:szCs w:val="16"/>
    </w:rPr>
  </w:style>
  <w:style w:type="paragraph" w:styleId="CommentText">
    <w:name w:val="annotation text"/>
    <w:basedOn w:val="Normal"/>
    <w:link w:val="CommentTextChar"/>
    <w:uiPriority w:val="99"/>
    <w:unhideWhenUsed/>
    <w:qFormat/>
    <w:rsid w:val="001F1738"/>
    <w:pPr>
      <w:spacing w:after="120" w:line="264" w:lineRule="auto"/>
    </w:pPr>
    <w:rPr>
      <w:rFonts w:eastAsiaTheme="minorEastAsia"/>
      <w:sz w:val="20"/>
      <w:szCs w:val="20"/>
      <w:lang w:val="en-IE"/>
    </w:rPr>
  </w:style>
  <w:style w:type="character" w:customStyle="1" w:styleId="CommentTextChar">
    <w:name w:val="Comment Text Char"/>
    <w:basedOn w:val="DefaultParagraphFont"/>
    <w:link w:val="CommentText"/>
    <w:uiPriority w:val="99"/>
    <w:qFormat/>
    <w:rsid w:val="001F1738"/>
    <w:rPr>
      <w:rFonts w:eastAsiaTheme="minorEastAsia"/>
      <w:sz w:val="20"/>
      <w:szCs w:val="20"/>
      <w:lang w:val="en-IE"/>
    </w:rPr>
  </w:style>
  <w:style w:type="paragraph" w:styleId="CommentSubject">
    <w:name w:val="annotation subject"/>
    <w:basedOn w:val="CommentText"/>
    <w:next w:val="CommentText"/>
    <w:link w:val="CommentSubjectChar"/>
    <w:uiPriority w:val="99"/>
    <w:semiHidden/>
    <w:unhideWhenUsed/>
    <w:rsid w:val="001F1738"/>
    <w:rPr>
      <w:b/>
      <w:bCs/>
    </w:rPr>
  </w:style>
  <w:style w:type="character" w:customStyle="1" w:styleId="CommentSubjectChar">
    <w:name w:val="Comment Subject Char"/>
    <w:basedOn w:val="CommentTextChar"/>
    <w:link w:val="CommentSubject"/>
    <w:uiPriority w:val="99"/>
    <w:semiHidden/>
    <w:rsid w:val="001F1738"/>
    <w:rPr>
      <w:rFonts w:eastAsiaTheme="minorEastAsia"/>
      <w:b/>
      <w:bCs/>
      <w:sz w:val="20"/>
      <w:szCs w:val="20"/>
      <w:lang w:val="en-I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1F1738"/>
    <w:pPr>
      <w:spacing w:after="0" w:line="264" w:lineRule="auto"/>
    </w:pPr>
    <w:rPr>
      <w:rFonts w:eastAsiaTheme="minorEastAsia"/>
      <w:sz w:val="20"/>
      <w:szCs w:val="20"/>
      <w:lang w:val="en-I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1F1738"/>
    <w:rPr>
      <w:rFonts w:eastAsiaTheme="minorEastAsia"/>
      <w:sz w:val="20"/>
      <w:szCs w:val="20"/>
      <w:lang w:val="en-I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Odwo0142anieprzypisu"/>
    <w:uiPriority w:val="99"/>
    <w:unhideWhenUsed/>
    <w:qFormat/>
    <w:rsid w:val="001F1738"/>
    <w:rPr>
      <w:vertAlign w:val="superscript"/>
      <w:lang w:val="en-IE"/>
    </w:rPr>
  </w:style>
  <w:style w:type="character" w:styleId="Hyperlink">
    <w:name w:val="Hyperlink"/>
    <w:basedOn w:val="DefaultParagraphFont"/>
    <w:uiPriority w:val="99"/>
    <w:unhideWhenUsed/>
    <w:rsid w:val="001F1738"/>
    <w:rPr>
      <w:color w:val="0000FF" w:themeColor="hyperlink"/>
      <w:u w:val="single"/>
    </w:rPr>
  </w:style>
  <w:style w:type="table" w:styleId="TableGrid">
    <w:name w:val="Table Grid"/>
    <w:aliases w:val="Document Table,CV1"/>
    <w:basedOn w:val="TableNormal"/>
    <w:uiPriority w:val="59"/>
    <w:rsid w:val="001F173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prboxORANGEdashedbulletlist">
    <w:name w:val="[ampr box ORANGE dashed] bullet list"/>
    <w:basedOn w:val="Normal"/>
    <w:uiPriority w:val="1"/>
    <w:rsid w:val="001F1738"/>
    <w:pPr>
      <w:numPr>
        <w:numId w:val="2"/>
      </w:numPr>
      <w:spacing w:after="120" w:line="264" w:lineRule="auto"/>
      <w:jc w:val="both"/>
    </w:pPr>
    <w:rPr>
      <w:rFonts w:ascii="EC Square Sans Pro" w:eastAsiaTheme="minorEastAsia" w:hAnsi="EC Square Sans Pro" w:cs="Times New Roman"/>
      <w:color w:val="000000" w:themeColor="text1"/>
      <w:sz w:val="20"/>
      <w:szCs w:val="20"/>
      <w:lang w:val="en-US" w:eastAsia="fr-BE"/>
    </w:rPr>
  </w:style>
  <w:style w:type="character" w:customStyle="1" w:styleId="amprcharBoldBlue">
    <w:name w:val="[ampr char] Bold Blue"/>
    <w:basedOn w:val="DefaultParagraphFont"/>
    <w:uiPriority w:val="1"/>
    <w:rsid w:val="001F1738"/>
    <w:rPr>
      <w:b/>
      <w:bCs/>
      <w:color w:val="8064A2"/>
      <w:spacing w:val="1"/>
      <w:bdr w:val="none" w:sz="0" w:space="0" w:color="auto" w:frame="1"/>
    </w:rPr>
  </w:style>
  <w:style w:type="numbering" w:customStyle="1" w:styleId="amprLISTL1-forboxORANGEdashed">
    <w:name w:val="[ampr LIST] L1 - for box ORANGE dashed"/>
    <w:uiPriority w:val="99"/>
    <w:rsid w:val="001F1738"/>
    <w:pPr>
      <w:numPr>
        <w:numId w:val="2"/>
      </w:numPr>
    </w:pPr>
  </w:style>
  <w:style w:type="paragraph" w:styleId="Revision">
    <w:name w:val="Revision"/>
    <w:hidden/>
    <w:uiPriority w:val="99"/>
    <w:semiHidden/>
    <w:rsid w:val="001F1738"/>
    <w:pPr>
      <w:spacing w:after="0" w:line="240" w:lineRule="auto"/>
    </w:pPr>
    <w:rPr>
      <w:rFonts w:eastAsiaTheme="minorEastAsia"/>
      <w:sz w:val="20"/>
      <w:szCs w:val="20"/>
    </w:rPr>
  </w:style>
  <w:style w:type="paragraph" w:customStyle="1" w:styleId="Odwo0142anieprzypisu">
    <w:name w:val="Odwo&lt;0142&gt;anie przypisu"/>
    <w:basedOn w:val="Normal"/>
    <w:link w:val="FootnoteReference"/>
    <w:uiPriority w:val="99"/>
    <w:rsid w:val="001F1738"/>
    <w:pPr>
      <w:spacing w:before="120" w:after="160" w:line="240" w:lineRule="exact"/>
      <w:jc w:val="both"/>
    </w:pPr>
    <w:rPr>
      <w:vertAlign w:val="superscript"/>
      <w:lang w:val="en-IE"/>
    </w:rPr>
  </w:style>
  <w:style w:type="character" w:styleId="Strong">
    <w:name w:val="Strong"/>
    <w:basedOn w:val="DefaultParagraphFont"/>
    <w:uiPriority w:val="22"/>
    <w:qFormat/>
    <w:rsid w:val="001F1738"/>
    <w:rPr>
      <w:b/>
      <w:bCs/>
    </w:rPr>
  </w:style>
  <w:style w:type="paragraph" w:styleId="NoSpacing">
    <w:name w:val="No Spacing"/>
    <w:link w:val="NoSpacingChar"/>
    <w:uiPriority w:val="1"/>
    <w:qFormat/>
    <w:rsid w:val="001F1738"/>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1F1738"/>
    <w:rPr>
      <w:rFonts w:eastAsiaTheme="minorEastAsia"/>
      <w:sz w:val="20"/>
      <w:szCs w:val="20"/>
    </w:rPr>
  </w:style>
  <w:style w:type="paragraph" w:customStyle="1" w:styleId="Text1">
    <w:name w:val="Text 1"/>
    <w:basedOn w:val="Normal"/>
    <w:uiPriority w:val="90"/>
    <w:rsid w:val="001F1738"/>
    <w:pPr>
      <w:spacing w:after="240" w:line="264" w:lineRule="auto"/>
      <w:ind w:left="482"/>
      <w:jc w:val="both"/>
    </w:pPr>
    <w:rPr>
      <w:rFonts w:ascii="Times New Roman" w:eastAsia="Times New Roman" w:hAnsi="Times New Roman" w:cs="Times New Roman"/>
      <w:sz w:val="24"/>
      <w:szCs w:val="24"/>
      <w:lang w:val="de-DE"/>
    </w:rPr>
  </w:style>
  <w:style w:type="paragraph" w:styleId="NormalWeb">
    <w:name w:val="Normal (Web)"/>
    <w:basedOn w:val="Normal"/>
    <w:uiPriority w:val="99"/>
    <w:unhideWhenUsed/>
    <w:rsid w:val="001F1738"/>
    <w:pPr>
      <w:spacing w:beforeAutospacing="1" w:after="120" w:afterAutospacing="1" w:line="264" w:lineRule="auto"/>
    </w:pPr>
    <w:rPr>
      <w:rFonts w:ascii="Times New Roman" w:eastAsia="Times New Roman" w:hAnsi="Times New Roman" w:cs="Times New Roman"/>
      <w:sz w:val="24"/>
      <w:szCs w:val="24"/>
      <w:lang w:val="en-IE" w:eastAsia="en-IE"/>
    </w:rPr>
  </w:style>
  <w:style w:type="character" w:customStyle="1" w:styleId="ListParagraphChar">
    <w:name w:val="List Paragraph Char"/>
    <w:aliases w:val="List Paragraph1 Char,Recommendation Char,List Paragraph11 Char,L Char,CV text Char,Table text Char,F5 List Paragraph Char,Dot pt Char,Bullet 1 Char,Numbered Para 1 Char,No Spacing1 Char,List Paragraph Char Char Char Char"/>
    <w:link w:val="ListParagraph"/>
    <w:uiPriority w:val="34"/>
    <w:rsid w:val="001F1738"/>
    <w:rPr>
      <w:rFonts w:eastAsiaTheme="minorEastAsia"/>
      <w:sz w:val="20"/>
      <w:szCs w:val="20"/>
      <w:lang w:val="en-IE"/>
    </w:rPr>
  </w:style>
  <w:style w:type="character" w:customStyle="1" w:styleId="authors">
    <w:name w:val="authors"/>
    <w:basedOn w:val="DefaultParagraphFont"/>
    <w:rsid w:val="001F1738"/>
  </w:style>
  <w:style w:type="character" w:customStyle="1" w:styleId="arttitle">
    <w:name w:val="art_title"/>
    <w:basedOn w:val="DefaultParagraphFont"/>
    <w:rsid w:val="001F1738"/>
  </w:style>
  <w:style w:type="character" w:customStyle="1" w:styleId="serialtitle">
    <w:name w:val="serial_title"/>
    <w:basedOn w:val="DefaultParagraphFont"/>
    <w:rsid w:val="001F1738"/>
  </w:style>
  <w:style w:type="character" w:customStyle="1" w:styleId="volumeissue">
    <w:name w:val="volume_issue"/>
    <w:basedOn w:val="DefaultParagraphFont"/>
    <w:rsid w:val="001F1738"/>
  </w:style>
  <w:style w:type="character" w:customStyle="1" w:styleId="pagerange">
    <w:name w:val="page_range"/>
    <w:basedOn w:val="DefaultParagraphFont"/>
    <w:rsid w:val="001F1738"/>
  </w:style>
  <w:style w:type="character" w:customStyle="1" w:styleId="doilink">
    <w:name w:val="doi_link"/>
    <w:basedOn w:val="DefaultParagraphFont"/>
    <w:rsid w:val="001F1738"/>
  </w:style>
  <w:style w:type="paragraph" w:customStyle="1" w:styleId="Text2">
    <w:name w:val="Text 2"/>
    <w:basedOn w:val="Normal"/>
    <w:uiPriority w:val="1"/>
    <w:rsid w:val="001F1738"/>
    <w:pPr>
      <w:tabs>
        <w:tab w:val="left" w:pos="2302"/>
      </w:tabs>
      <w:spacing w:after="240" w:line="264" w:lineRule="auto"/>
      <w:ind w:left="1202"/>
      <w:jc w:val="both"/>
    </w:pPr>
    <w:rPr>
      <w:rFonts w:ascii="Times New Roman" w:eastAsia="Times New Roman" w:hAnsi="Times New Roman" w:cs="Times New Roman"/>
      <w:sz w:val="24"/>
      <w:szCs w:val="24"/>
      <w:lang w:val="de-DE"/>
    </w:rPr>
  </w:style>
  <w:style w:type="table" w:styleId="GridTable4-Accent1">
    <w:name w:val="Grid Table 4 Accent 1"/>
    <w:basedOn w:val="TableNormal"/>
    <w:uiPriority w:val="49"/>
    <w:rsid w:val="001F1738"/>
    <w:pPr>
      <w:spacing w:after="0" w:line="240" w:lineRule="auto"/>
    </w:pPr>
    <w:rPr>
      <w:rFonts w:eastAsiaTheme="minorEastAsia"/>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1F17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1F1738"/>
    <w:rPr>
      <w:color w:val="800080" w:themeColor="followedHyperlink"/>
      <w:u w:val="single"/>
    </w:rPr>
  </w:style>
  <w:style w:type="character" w:customStyle="1" w:styleId="italic">
    <w:name w:val="italic"/>
    <w:basedOn w:val="DefaultParagraphFont"/>
    <w:rsid w:val="001F1738"/>
  </w:style>
  <w:style w:type="paragraph" w:customStyle="1" w:styleId="NumPar1">
    <w:name w:val="NumPar 1"/>
    <w:basedOn w:val="Normal"/>
    <w:next w:val="Text1"/>
    <w:uiPriority w:val="1"/>
    <w:rsid w:val="001F1738"/>
    <w:pPr>
      <w:tabs>
        <w:tab w:val="num" w:pos="850"/>
      </w:tabs>
      <w:spacing w:before="120" w:after="120" w:line="264" w:lineRule="auto"/>
      <w:ind w:left="850" w:hanging="850"/>
      <w:jc w:val="both"/>
    </w:pPr>
    <w:rPr>
      <w:rFonts w:ascii="Times New Roman" w:eastAsiaTheme="minorEastAsia" w:hAnsi="Times New Roman" w:cs="Times New Roman"/>
      <w:sz w:val="24"/>
      <w:szCs w:val="24"/>
      <w:lang w:val="en-IE"/>
    </w:rPr>
  </w:style>
  <w:style w:type="character" w:customStyle="1" w:styleId="Aucun">
    <w:name w:val="Aucun"/>
    <w:rsid w:val="001F1738"/>
  </w:style>
  <w:style w:type="paragraph" w:customStyle="1" w:styleId="Considrant">
    <w:name w:val="Considérant"/>
    <w:basedOn w:val="Normal"/>
    <w:uiPriority w:val="1"/>
    <w:rsid w:val="001F1738"/>
    <w:pPr>
      <w:numPr>
        <w:numId w:val="3"/>
      </w:numPr>
      <w:spacing w:before="120" w:after="120" w:line="264" w:lineRule="auto"/>
      <w:jc w:val="both"/>
    </w:pPr>
    <w:rPr>
      <w:rFonts w:ascii="Times New Roman" w:eastAsiaTheme="minorEastAsia" w:hAnsi="Times New Roman" w:cs="Times New Roman"/>
      <w:sz w:val="24"/>
      <w:szCs w:val="24"/>
      <w:lang w:val="en-IE"/>
    </w:rPr>
  </w:style>
  <w:style w:type="character" w:customStyle="1" w:styleId="highlight">
    <w:name w:val="highlight"/>
    <w:basedOn w:val="DefaultParagraphFont"/>
    <w:rsid w:val="001F1738"/>
  </w:style>
  <w:style w:type="paragraph" w:customStyle="1" w:styleId="Disclaimer">
    <w:name w:val="Disclaimer"/>
    <w:basedOn w:val="Normal"/>
    <w:uiPriority w:val="1"/>
    <w:rsid w:val="001F1738"/>
    <w:pPr>
      <w:spacing w:before="120" w:after="120" w:line="264" w:lineRule="auto"/>
      <w:jc w:val="both"/>
    </w:pPr>
    <w:rPr>
      <w:rFonts w:ascii="Times New Roman" w:eastAsiaTheme="minorEastAsia" w:hAnsi="Times New Roman" w:cs="Times New Roman"/>
      <w:sz w:val="24"/>
      <w:szCs w:val="24"/>
      <w:lang w:val="en-IE"/>
    </w:rPr>
  </w:style>
  <w:style w:type="paragraph" w:customStyle="1" w:styleId="SecurityMarking">
    <w:name w:val="SecurityMarking"/>
    <w:basedOn w:val="Normal"/>
    <w:uiPriority w:val="1"/>
    <w:rsid w:val="001F1738"/>
    <w:pPr>
      <w:spacing w:after="0" w:line="264" w:lineRule="auto"/>
      <w:ind w:left="5103"/>
    </w:pPr>
    <w:rPr>
      <w:rFonts w:ascii="Times New Roman" w:eastAsiaTheme="minorEastAsia" w:hAnsi="Times New Roman" w:cs="Times New Roman"/>
      <w:sz w:val="28"/>
      <w:szCs w:val="28"/>
      <w:lang w:val="en-IE"/>
    </w:rPr>
  </w:style>
  <w:style w:type="paragraph" w:customStyle="1" w:styleId="DateMarking">
    <w:name w:val="DateMarking"/>
    <w:basedOn w:val="Normal"/>
    <w:uiPriority w:val="1"/>
    <w:rsid w:val="001F1738"/>
    <w:pPr>
      <w:spacing w:after="0" w:line="264" w:lineRule="auto"/>
      <w:ind w:left="5103"/>
    </w:pPr>
    <w:rPr>
      <w:rFonts w:ascii="Times New Roman" w:eastAsiaTheme="minorEastAsia" w:hAnsi="Times New Roman" w:cs="Times New Roman"/>
      <w:i/>
      <w:iCs/>
      <w:sz w:val="28"/>
      <w:szCs w:val="28"/>
      <w:lang w:val="en-IE"/>
    </w:rPr>
  </w:style>
  <w:style w:type="paragraph" w:customStyle="1" w:styleId="ReleasableTo">
    <w:name w:val="ReleasableTo"/>
    <w:basedOn w:val="Normal"/>
    <w:uiPriority w:val="1"/>
    <w:rsid w:val="001F1738"/>
    <w:pPr>
      <w:spacing w:after="0" w:line="264" w:lineRule="auto"/>
      <w:ind w:left="5103"/>
    </w:pPr>
    <w:rPr>
      <w:rFonts w:ascii="Times New Roman" w:eastAsiaTheme="minorEastAsia" w:hAnsi="Times New Roman" w:cs="Times New Roman"/>
      <w:i/>
      <w:iCs/>
      <w:sz w:val="28"/>
      <w:szCs w:val="28"/>
      <w:lang w:val="en-IE"/>
    </w:rPr>
  </w:style>
  <w:style w:type="character" w:styleId="Emphasis">
    <w:name w:val="Emphasis"/>
    <w:basedOn w:val="DefaultParagraphFont"/>
    <w:uiPriority w:val="20"/>
    <w:qFormat/>
    <w:rsid w:val="001F1738"/>
    <w:rPr>
      <w:i/>
      <w:iCs/>
    </w:rPr>
  </w:style>
  <w:style w:type="paragraph" w:customStyle="1" w:styleId="ListDash1">
    <w:name w:val="List Dash 1"/>
    <w:basedOn w:val="Text1"/>
    <w:uiPriority w:val="1"/>
    <w:rsid w:val="001F1738"/>
    <w:pPr>
      <w:numPr>
        <w:numId w:val="4"/>
      </w:numPr>
    </w:pPr>
  </w:style>
  <w:style w:type="paragraph" w:customStyle="1" w:styleId="Appelnotedebasdep1">
    <w:name w:val="Appel note de bas de p.1"/>
    <w:basedOn w:val="Normal"/>
    <w:uiPriority w:val="99"/>
    <w:rsid w:val="001F1738"/>
    <w:pPr>
      <w:spacing w:after="160" w:line="240" w:lineRule="exact"/>
    </w:pPr>
    <w:rPr>
      <w:rFonts w:eastAsiaTheme="minorEastAsia"/>
      <w:sz w:val="20"/>
      <w:szCs w:val="20"/>
      <w:vertAlign w:val="superscript"/>
      <w:lang w:val="en-US"/>
    </w:rPr>
  </w:style>
  <w:style w:type="paragraph" w:customStyle="1" w:styleId="Briefinglist2">
    <w:name w:val="Briefing list 2"/>
    <w:basedOn w:val="Normal"/>
    <w:link w:val="Briefinglist2Char"/>
    <w:uiPriority w:val="99"/>
    <w:rsid w:val="001F1738"/>
    <w:pPr>
      <w:numPr>
        <w:numId w:val="5"/>
      </w:numPr>
      <w:spacing w:after="120" w:line="264" w:lineRule="auto"/>
      <w:jc w:val="both"/>
    </w:pPr>
    <w:rPr>
      <w:rFonts w:ascii="Arial" w:eastAsia="Times New Roman" w:hAnsi="Arial" w:cs="Times New Roman"/>
      <w:sz w:val="20"/>
      <w:szCs w:val="20"/>
      <w:lang w:val="en-IE" w:eastAsia="en-GB"/>
    </w:rPr>
  </w:style>
  <w:style w:type="character" w:customStyle="1" w:styleId="Briefinglist2Char">
    <w:name w:val="Briefing list 2 Char"/>
    <w:basedOn w:val="DefaultParagraphFont"/>
    <w:link w:val="Briefinglist2"/>
    <w:uiPriority w:val="99"/>
    <w:rsid w:val="001F1738"/>
    <w:rPr>
      <w:rFonts w:ascii="Arial" w:eastAsia="Times New Roman" w:hAnsi="Arial" w:cs="Times New Roman"/>
      <w:sz w:val="20"/>
      <w:szCs w:val="20"/>
      <w:lang w:val="en-IE" w:eastAsia="en-GB"/>
    </w:rPr>
  </w:style>
  <w:style w:type="paragraph" w:customStyle="1" w:styleId="Briefinglist1">
    <w:name w:val="Briefing list 1"/>
    <w:basedOn w:val="Normal"/>
    <w:link w:val="Briefinglist1Char"/>
    <w:uiPriority w:val="1"/>
    <w:rsid w:val="001F1738"/>
    <w:pPr>
      <w:keepLines/>
      <w:numPr>
        <w:numId w:val="6"/>
      </w:numPr>
      <w:spacing w:after="120" w:line="264" w:lineRule="auto"/>
      <w:jc w:val="both"/>
    </w:pPr>
    <w:rPr>
      <w:rFonts w:ascii="Arial" w:eastAsia="Times New Roman" w:hAnsi="Arial" w:cs="Times New Roman"/>
      <w:sz w:val="20"/>
      <w:szCs w:val="20"/>
      <w:lang w:val="en-IE" w:eastAsia="en-GB"/>
    </w:rPr>
  </w:style>
  <w:style w:type="character" w:customStyle="1" w:styleId="Briefinglist1Char">
    <w:name w:val="Briefing list 1 Char"/>
    <w:basedOn w:val="DefaultParagraphFont"/>
    <w:link w:val="Briefinglist1"/>
    <w:uiPriority w:val="1"/>
    <w:rsid w:val="001F1738"/>
    <w:rPr>
      <w:rFonts w:ascii="Arial" w:eastAsia="Times New Roman" w:hAnsi="Arial" w:cs="Times New Roman"/>
      <w:sz w:val="20"/>
      <w:szCs w:val="20"/>
      <w:lang w:val="en-IE" w:eastAsia="en-GB"/>
    </w:rPr>
  </w:style>
  <w:style w:type="paragraph" w:customStyle="1" w:styleId="Briefingtext">
    <w:name w:val="Briefing text"/>
    <w:basedOn w:val="Normal"/>
    <w:link w:val="BriefingtextChar"/>
    <w:uiPriority w:val="99"/>
    <w:rsid w:val="001F1738"/>
    <w:pPr>
      <w:spacing w:after="120" w:line="264" w:lineRule="auto"/>
      <w:jc w:val="both"/>
    </w:pPr>
    <w:rPr>
      <w:rFonts w:ascii="Arial" w:eastAsia="Times New Roman" w:hAnsi="Arial" w:cs="Arial"/>
      <w:sz w:val="20"/>
      <w:szCs w:val="20"/>
      <w:lang w:val="en-IE"/>
    </w:rPr>
  </w:style>
  <w:style w:type="character" w:customStyle="1" w:styleId="BriefingtextChar">
    <w:name w:val="Briefing text Char"/>
    <w:link w:val="Briefingtext"/>
    <w:uiPriority w:val="99"/>
    <w:rsid w:val="001F1738"/>
    <w:rPr>
      <w:rFonts w:ascii="Arial" w:eastAsia="Times New Roman" w:hAnsi="Arial" w:cs="Arial"/>
      <w:sz w:val="20"/>
      <w:szCs w:val="20"/>
      <w:lang w:val="en-IE"/>
    </w:rPr>
  </w:style>
  <w:style w:type="character" w:customStyle="1" w:styleId="Mention1">
    <w:name w:val="Mention1"/>
    <w:basedOn w:val="DefaultParagraphFont"/>
    <w:uiPriority w:val="99"/>
    <w:unhideWhenUsed/>
    <w:rsid w:val="001F1738"/>
    <w:rPr>
      <w:color w:val="2B579A"/>
      <w:shd w:val="clear" w:color="auto" w:fill="E6E6E6"/>
    </w:rPr>
  </w:style>
  <w:style w:type="paragraph" w:customStyle="1" w:styleId="CharCharChar">
    <w:name w:val="Char Char Char"/>
    <w:basedOn w:val="Normal"/>
    <w:uiPriority w:val="99"/>
    <w:rsid w:val="001F1738"/>
    <w:pPr>
      <w:spacing w:after="160" w:line="240" w:lineRule="exact"/>
    </w:pPr>
    <w:rPr>
      <w:rFonts w:eastAsiaTheme="minorEastAsia"/>
      <w:sz w:val="20"/>
      <w:szCs w:val="20"/>
      <w:vertAlign w:val="superscript"/>
      <w:lang w:val="en-IE"/>
    </w:rPr>
  </w:style>
  <w:style w:type="paragraph" w:customStyle="1" w:styleId="LegalNumPar">
    <w:name w:val="LegalNumPar"/>
    <w:basedOn w:val="Normal"/>
    <w:uiPriority w:val="1"/>
    <w:rsid w:val="001F1738"/>
    <w:pPr>
      <w:numPr>
        <w:numId w:val="7"/>
      </w:numPr>
      <w:spacing w:after="120" w:line="264" w:lineRule="auto"/>
    </w:pPr>
    <w:rPr>
      <w:rFonts w:eastAsiaTheme="minorEastAsia"/>
      <w:sz w:val="24"/>
      <w:szCs w:val="24"/>
      <w:lang w:val="en-IE"/>
    </w:rPr>
  </w:style>
  <w:style w:type="paragraph" w:customStyle="1" w:styleId="LegalNumPar2">
    <w:name w:val="LegalNumPar2"/>
    <w:basedOn w:val="Normal"/>
    <w:uiPriority w:val="1"/>
    <w:rsid w:val="001F1738"/>
    <w:pPr>
      <w:numPr>
        <w:ilvl w:val="1"/>
        <w:numId w:val="7"/>
      </w:numPr>
      <w:spacing w:after="120" w:line="264" w:lineRule="auto"/>
    </w:pPr>
    <w:rPr>
      <w:rFonts w:eastAsiaTheme="minorEastAsia"/>
      <w:sz w:val="24"/>
      <w:szCs w:val="24"/>
      <w:lang w:val="en-IE"/>
    </w:rPr>
  </w:style>
  <w:style w:type="paragraph" w:customStyle="1" w:styleId="LegalNumPar3">
    <w:name w:val="LegalNumPar3"/>
    <w:basedOn w:val="Normal"/>
    <w:uiPriority w:val="1"/>
    <w:rsid w:val="001F1738"/>
    <w:pPr>
      <w:numPr>
        <w:ilvl w:val="2"/>
        <w:numId w:val="7"/>
      </w:numPr>
      <w:spacing w:after="120" w:line="264" w:lineRule="auto"/>
    </w:pPr>
    <w:rPr>
      <w:rFonts w:eastAsiaTheme="minorEastAsia"/>
      <w:sz w:val="24"/>
      <w:szCs w:val="24"/>
      <w:lang w:val="en-IE"/>
    </w:rPr>
  </w:style>
  <w:style w:type="character" w:customStyle="1" w:styleId="UnresolvedMention1">
    <w:name w:val="Unresolved Mention1"/>
    <w:basedOn w:val="DefaultParagraphFont"/>
    <w:uiPriority w:val="99"/>
    <w:semiHidden/>
    <w:unhideWhenUsed/>
    <w:rsid w:val="001F1738"/>
    <w:rPr>
      <w:color w:val="605E5C"/>
      <w:shd w:val="clear" w:color="auto" w:fill="E1DFDD"/>
    </w:rPr>
  </w:style>
  <w:style w:type="paragraph" w:customStyle="1" w:styleId="Body">
    <w:name w:val="Body"/>
    <w:basedOn w:val="Normal"/>
    <w:uiPriority w:val="99"/>
    <w:rsid w:val="001F1738"/>
    <w:pPr>
      <w:spacing w:after="0" w:line="264" w:lineRule="auto"/>
      <w:jc w:val="both"/>
    </w:pPr>
    <w:rPr>
      <w:rFonts w:ascii="Verdana" w:eastAsiaTheme="minorEastAsia" w:hAnsi="Verdana" w:cs="Times New Roman"/>
      <w:color w:val="333333"/>
      <w:sz w:val="20"/>
      <w:szCs w:val="20"/>
      <w:lang w:val="fr-BE" w:eastAsia="fi-FI"/>
    </w:rPr>
  </w:style>
  <w:style w:type="paragraph" w:customStyle="1" w:styleId="Default">
    <w:name w:val="Default"/>
    <w:rsid w:val="001F1738"/>
    <w:pPr>
      <w:autoSpaceDE w:val="0"/>
      <w:autoSpaceDN w:val="0"/>
      <w:adjustRightInd w:val="0"/>
      <w:spacing w:after="0" w:line="240" w:lineRule="auto"/>
    </w:pPr>
    <w:rPr>
      <w:rFonts w:ascii="Open Sans" w:eastAsiaTheme="minorEastAsia" w:hAnsi="Open Sans" w:cs="Open Sans"/>
      <w:color w:val="000000"/>
      <w:sz w:val="24"/>
      <w:szCs w:val="24"/>
    </w:rPr>
  </w:style>
  <w:style w:type="paragraph" w:customStyle="1" w:styleId="font-copy">
    <w:name w:val="font-copy"/>
    <w:basedOn w:val="Normal"/>
    <w:uiPriority w:val="1"/>
    <w:rsid w:val="001F1738"/>
    <w:pPr>
      <w:spacing w:beforeAutospacing="1" w:after="120" w:afterAutospacing="1" w:line="264" w:lineRule="auto"/>
    </w:pPr>
    <w:rPr>
      <w:rFonts w:ascii="Times New Roman" w:eastAsia="Times New Roman" w:hAnsi="Times New Roman" w:cs="Times New Roman"/>
      <w:sz w:val="24"/>
      <w:szCs w:val="24"/>
      <w:lang w:val="en-IE" w:eastAsia="en-GB"/>
    </w:rPr>
  </w:style>
  <w:style w:type="paragraph" w:customStyle="1" w:styleId="dcr-xry7m2">
    <w:name w:val="dcr-xry7m2"/>
    <w:basedOn w:val="Normal"/>
    <w:uiPriority w:val="1"/>
    <w:rsid w:val="001F1738"/>
    <w:pPr>
      <w:spacing w:beforeAutospacing="1" w:after="120" w:afterAutospacing="1" w:line="264" w:lineRule="auto"/>
    </w:pPr>
    <w:rPr>
      <w:rFonts w:ascii="Times New Roman" w:eastAsia="Times New Roman" w:hAnsi="Times New Roman" w:cs="Times New Roman"/>
      <w:sz w:val="24"/>
      <w:szCs w:val="24"/>
      <w:lang w:val="en-IE" w:eastAsia="en-GB"/>
    </w:rPr>
  </w:style>
  <w:style w:type="character" w:customStyle="1" w:styleId="BodytextAgencyChar">
    <w:name w:val="Body text (Agency) Char"/>
    <w:link w:val="BodytextAgency"/>
    <w:uiPriority w:val="1"/>
    <w:rsid w:val="001F1738"/>
    <w:rPr>
      <w:rFonts w:ascii="Verdana" w:eastAsia="Verdana" w:hAnsi="Verdana"/>
      <w:sz w:val="18"/>
      <w:szCs w:val="18"/>
      <w:lang w:val="en-IE"/>
    </w:rPr>
  </w:style>
  <w:style w:type="paragraph" w:customStyle="1" w:styleId="BodytextAgency">
    <w:name w:val="Body text (Agency)"/>
    <w:basedOn w:val="Normal"/>
    <w:link w:val="BodytextAgencyChar"/>
    <w:uiPriority w:val="1"/>
    <w:rsid w:val="001F1738"/>
    <w:pPr>
      <w:spacing w:after="140" w:line="280" w:lineRule="atLeast"/>
    </w:pPr>
    <w:rPr>
      <w:rFonts w:ascii="Verdana" w:eastAsia="Verdana" w:hAnsi="Verdana"/>
      <w:sz w:val="18"/>
      <w:szCs w:val="18"/>
      <w:lang w:val="en-IE"/>
    </w:rPr>
  </w:style>
  <w:style w:type="paragraph" w:customStyle="1" w:styleId="EC-Para">
    <w:name w:val="EC-Para"/>
    <w:link w:val="EC-ParaCharChar"/>
    <w:rsid w:val="001F1738"/>
    <w:pPr>
      <w:kinsoku w:val="0"/>
      <w:autoSpaceDE w:val="0"/>
      <w:autoSpaceDN w:val="0"/>
      <w:adjustRightInd w:val="0"/>
      <w:spacing w:after="120" w:line="240" w:lineRule="auto"/>
    </w:pPr>
    <w:rPr>
      <w:rFonts w:ascii="Tahoma" w:eastAsia="Arial Unicode MS" w:hAnsi="Tahoma" w:cs="Times New Roman"/>
      <w:kern w:val="22"/>
      <w:sz w:val="18"/>
      <w:szCs w:val="18"/>
      <w:lang w:eastAsia="ko-KR"/>
    </w:rPr>
  </w:style>
  <w:style w:type="character" w:customStyle="1" w:styleId="EC-ParaCharChar">
    <w:name w:val="EC-Para Char Char"/>
    <w:basedOn w:val="DefaultParagraphFont"/>
    <w:link w:val="EC-Para"/>
    <w:rsid w:val="001F1738"/>
    <w:rPr>
      <w:rFonts w:ascii="Tahoma" w:eastAsia="Arial Unicode MS" w:hAnsi="Tahoma" w:cs="Times New Roman"/>
      <w:kern w:val="22"/>
      <w:sz w:val="18"/>
      <w:szCs w:val="18"/>
      <w:lang w:eastAsia="ko-KR"/>
    </w:rPr>
  </w:style>
  <w:style w:type="paragraph" w:styleId="EndnoteText">
    <w:name w:val="endnote text"/>
    <w:basedOn w:val="Normal"/>
    <w:link w:val="EndnoteTextChar"/>
    <w:uiPriority w:val="99"/>
    <w:semiHidden/>
    <w:unhideWhenUsed/>
    <w:rsid w:val="001F1738"/>
    <w:pPr>
      <w:spacing w:after="0" w:line="264" w:lineRule="auto"/>
    </w:pPr>
    <w:rPr>
      <w:rFonts w:eastAsiaTheme="minorEastAsia"/>
      <w:sz w:val="20"/>
      <w:szCs w:val="20"/>
      <w:lang w:val="en-IE"/>
    </w:rPr>
  </w:style>
  <w:style w:type="character" w:customStyle="1" w:styleId="EndnoteTextChar">
    <w:name w:val="Endnote Text Char"/>
    <w:basedOn w:val="DefaultParagraphFont"/>
    <w:link w:val="EndnoteText"/>
    <w:uiPriority w:val="99"/>
    <w:semiHidden/>
    <w:rsid w:val="001F1738"/>
    <w:rPr>
      <w:rFonts w:eastAsiaTheme="minorEastAsia"/>
      <w:sz w:val="20"/>
      <w:szCs w:val="20"/>
      <w:lang w:val="en-IE"/>
    </w:rPr>
  </w:style>
  <w:style w:type="character" w:styleId="EndnoteReference">
    <w:name w:val="endnote reference"/>
    <w:basedOn w:val="DefaultParagraphFont"/>
    <w:uiPriority w:val="99"/>
    <w:semiHidden/>
    <w:unhideWhenUsed/>
    <w:rsid w:val="001F1738"/>
    <w:rPr>
      <w:vertAlign w:val="superscript"/>
    </w:rPr>
  </w:style>
  <w:style w:type="paragraph" w:customStyle="1" w:styleId="paragraph">
    <w:name w:val="paragraph"/>
    <w:basedOn w:val="Normal"/>
    <w:rsid w:val="001F1738"/>
    <w:pPr>
      <w:spacing w:beforeAutospacing="1" w:after="120" w:afterAutospacing="1" w:line="264" w:lineRule="auto"/>
    </w:pPr>
    <w:rPr>
      <w:rFonts w:ascii="Calibri" w:eastAsiaTheme="minorEastAsia" w:hAnsi="Calibri" w:cs="Calibri"/>
      <w:sz w:val="20"/>
      <w:szCs w:val="20"/>
      <w:lang w:val="en-US" w:eastAsia="en-IE"/>
    </w:rPr>
  </w:style>
  <w:style w:type="character" w:customStyle="1" w:styleId="normaltextrun">
    <w:name w:val="normaltextrun"/>
    <w:basedOn w:val="DefaultParagraphFont"/>
    <w:rsid w:val="001F1738"/>
  </w:style>
  <w:style w:type="character" w:customStyle="1" w:styleId="cf01">
    <w:name w:val="cf01"/>
    <w:basedOn w:val="DefaultParagraphFont"/>
    <w:rsid w:val="001F1738"/>
    <w:rPr>
      <w:rFonts w:ascii="Segoe UI" w:hAnsi="Segoe UI" w:cs="Segoe UI" w:hint="default"/>
      <w:sz w:val="18"/>
      <w:szCs w:val="18"/>
    </w:rPr>
  </w:style>
  <w:style w:type="character" w:customStyle="1" w:styleId="footnotereference0">
    <w:name w:val="footnotereference"/>
    <w:basedOn w:val="DefaultParagraphFont"/>
    <w:rsid w:val="001F1738"/>
  </w:style>
  <w:style w:type="character" w:customStyle="1" w:styleId="UnresolvedMention2">
    <w:name w:val="Unresolved Mention2"/>
    <w:basedOn w:val="DefaultParagraphFont"/>
    <w:uiPriority w:val="99"/>
    <w:semiHidden/>
    <w:unhideWhenUsed/>
    <w:rsid w:val="001F1738"/>
    <w:rPr>
      <w:color w:val="605E5C"/>
      <w:shd w:val="clear" w:color="auto" w:fill="E1DFDD"/>
    </w:rPr>
  </w:style>
  <w:style w:type="paragraph" w:styleId="TOC1">
    <w:name w:val="toc 1"/>
    <w:basedOn w:val="Normal"/>
    <w:next w:val="Normal"/>
    <w:uiPriority w:val="39"/>
    <w:unhideWhenUsed/>
    <w:rsid w:val="001F1738"/>
    <w:pPr>
      <w:spacing w:after="100" w:line="264" w:lineRule="auto"/>
    </w:pPr>
    <w:rPr>
      <w:rFonts w:eastAsiaTheme="minorEastAsia"/>
      <w:sz w:val="20"/>
      <w:szCs w:val="20"/>
      <w:lang w:val="en-IE"/>
    </w:rPr>
  </w:style>
  <w:style w:type="paragraph" w:styleId="Caption">
    <w:name w:val="caption"/>
    <w:basedOn w:val="Normal"/>
    <w:next w:val="Normal"/>
    <w:uiPriority w:val="35"/>
    <w:semiHidden/>
    <w:unhideWhenUsed/>
    <w:qFormat/>
    <w:rsid w:val="001F1738"/>
    <w:pPr>
      <w:spacing w:after="120" w:line="264" w:lineRule="auto"/>
    </w:pPr>
    <w:rPr>
      <w:rFonts w:eastAsiaTheme="minorEastAsia"/>
      <w:b/>
      <w:bCs/>
      <w:smallCaps/>
      <w:color w:val="595959" w:themeColor="text1" w:themeTint="A6"/>
      <w:sz w:val="20"/>
      <w:szCs w:val="20"/>
      <w:lang w:val="en-IE"/>
    </w:rPr>
  </w:style>
  <w:style w:type="paragraph" w:styleId="Title">
    <w:name w:val="Title"/>
    <w:basedOn w:val="Normal"/>
    <w:next w:val="Normal"/>
    <w:link w:val="TitleChar"/>
    <w:uiPriority w:val="10"/>
    <w:qFormat/>
    <w:rsid w:val="001F1738"/>
    <w:pPr>
      <w:spacing w:after="0" w:line="264" w:lineRule="auto"/>
      <w:contextualSpacing/>
    </w:pPr>
    <w:rPr>
      <w:rFonts w:asciiTheme="majorHAnsi" w:eastAsiaTheme="majorEastAsia" w:hAnsiTheme="majorHAnsi" w:cstheme="majorBidi"/>
      <w:color w:val="4F81BD" w:themeColor="accent1"/>
      <w:sz w:val="56"/>
      <w:szCs w:val="56"/>
      <w:lang w:val="en-IE"/>
    </w:rPr>
  </w:style>
  <w:style w:type="character" w:customStyle="1" w:styleId="TitleChar">
    <w:name w:val="Title Char"/>
    <w:basedOn w:val="DefaultParagraphFont"/>
    <w:link w:val="Title"/>
    <w:uiPriority w:val="10"/>
    <w:rsid w:val="001F1738"/>
    <w:rPr>
      <w:rFonts w:asciiTheme="majorHAnsi" w:eastAsiaTheme="majorEastAsia" w:hAnsiTheme="majorHAnsi" w:cstheme="majorBidi"/>
      <w:color w:val="4F81BD" w:themeColor="accent1"/>
      <w:sz w:val="56"/>
      <w:szCs w:val="56"/>
      <w:lang w:val="en-IE"/>
    </w:rPr>
  </w:style>
  <w:style w:type="paragraph" w:styleId="Subtitle">
    <w:name w:val="Subtitle"/>
    <w:basedOn w:val="Normal"/>
    <w:next w:val="Normal"/>
    <w:link w:val="SubtitleChar"/>
    <w:uiPriority w:val="11"/>
    <w:qFormat/>
    <w:rsid w:val="001F1738"/>
    <w:pPr>
      <w:spacing w:after="120" w:line="264" w:lineRule="auto"/>
    </w:pPr>
    <w:rPr>
      <w:rFonts w:asciiTheme="majorHAnsi" w:eastAsiaTheme="majorEastAsia" w:hAnsiTheme="majorHAnsi" w:cstheme="majorBidi"/>
      <w:sz w:val="24"/>
      <w:szCs w:val="24"/>
      <w:lang w:val="en-IE"/>
    </w:rPr>
  </w:style>
  <w:style w:type="character" w:customStyle="1" w:styleId="SubtitleChar">
    <w:name w:val="Subtitle Char"/>
    <w:basedOn w:val="DefaultParagraphFont"/>
    <w:link w:val="Subtitle"/>
    <w:uiPriority w:val="11"/>
    <w:rsid w:val="001F1738"/>
    <w:rPr>
      <w:rFonts w:asciiTheme="majorHAnsi" w:eastAsiaTheme="majorEastAsia" w:hAnsiTheme="majorHAnsi" w:cstheme="majorBidi"/>
      <w:sz w:val="24"/>
      <w:szCs w:val="24"/>
      <w:lang w:val="en-IE"/>
    </w:rPr>
  </w:style>
  <w:style w:type="paragraph" w:styleId="Quote">
    <w:name w:val="Quote"/>
    <w:basedOn w:val="Normal"/>
    <w:next w:val="Normal"/>
    <w:link w:val="QuoteChar"/>
    <w:uiPriority w:val="29"/>
    <w:qFormat/>
    <w:rsid w:val="001F1738"/>
    <w:pPr>
      <w:spacing w:before="160" w:after="120" w:line="264" w:lineRule="auto"/>
      <w:ind w:left="720" w:right="720"/>
    </w:pPr>
    <w:rPr>
      <w:rFonts w:eastAsiaTheme="minorEastAsia"/>
      <w:i/>
      <w:iCs/>
      <w:color w:val="404040" w:themeColor="text1" w:themeTint="BF"/>
      <w:sz w:val="20"/>
      <w:szCs w:val="20"/>
      <w:lang w:val="en-IE"/>
    </w:rPr>
  </w:style>
  <w:style w:type="character" w:customStyle="1" w:styleId="QuoteChar">
    <w:name w:val="Quote Char"/>
    <w:basedOn w:val="DefaultParagraphFont"/>
    <w:link w:val="Quote"/>
    <w:uiPriority w:val="29"/>
    <w:rsid w:val="001F1738"/>
    <w:rPr>
      <w:rFonts w:eastAsiaTheme="minorEastAsia"/>
      <w:i/>
      <w:iCs/>
      <w:color w:val="404040" w:themeColor="text1" w:themeTint="BF"/>
      <w:sz w:val="20"/>
      <w:szCs w:val="20"/>
      <w:lang w:val="en-IE"/>
    </w:rPr>
  </w:style>
  <w:style w:type="paragraph" w:styleId="IntenseQuote">
    <w:name w:val="Intense Quote"/>
    <w:basedOn w:val="Normal"/>
    <w:next w:val="Normal"/>
    <w:link w:val="IntenseQuoteChar"/>
    <w:uiPriority w:val="30"/>
    <w:qFormat/>
    <w:rsid w:val="001F1738"/>
    <w:pPr>
      <w:spacing w:beforeAutospacing="1" w:after="120" w:line="264" w:lineRule="auto"/>
      <w:ind w:left="1224" w:right="1224"/>
    </w:pPr>
    <w:rPr>
      <w:rFonts w:asciiTheme="majorHAnsi" w:eastAsiaTheme="majorEastAsia" w:hAnsiTheme="majorHAnsi" w:cstheme="majorBidi"/>
      <w:color w:val="4F81BD" w:themeColor="accent1"/>
      <w:sz w:val="28"/>
      <w:szCs w:val="28"/>
      <w:lang w:val="en-IE"/>
    </w:rPr>
  </w:style>
  <w:style w:type="character" w:customStyle="1" w:styleId="IntenseQuoteChar">
    <w:name w:val="Intense Quote Char"/>
    <w:basedOn w:val="DefaultParagraphFont"/>
    <w:link w:val="IntenseQuote"/>
    <w:uiPriority w:val="30"/>
    <w:rsid w:val="001F1738"/>
    <w:rPr>
      <w:rFonts w:asciiTheme="majorHAnsi" w:eastAsiaTheme="majorEastAsia" w:hAnsiTheme="majorHAnsi" w:cstheme="majorBidi"/>
      <w:color w:val="4F81BD" w:themeColor="accent1"/>
      <w:sz w:val="28"/>
      <w:szCs w:val="28"/>
      <w:lang w:val="en-IE"/>
    </w:rPr>
  </w:style>
  <w:style w:type="character" w:styleId="SubtleEmphasis">
    <w:name w:val="Subtle Emphasis"/>
    <w:basedOn w:val="DefaultParagraphFont"/>
    <w:uiPriority w:val="19"/>
    <w:qFormat/>
    <w:rsid w:val="001F1738"/>
    <w:rPr>
      <w:i/>
      <w:iCs/>
      <w:color w:val="404040" w:themeColor="text1" w:themeTint="BF"/>
    </w:rPr>
  </w:style>
  <w:style w:type="character" w:styleId="IntenseEmphasis">
    <w:name w:val="Intense Emphasis"/>
    <w:basedOn w:val="DefaultParagraphFont"/>
    <w:uiPriority w:val="21"/>
    <w:qFormat/>
    <w:rsid w:val="001F1738"/>
    <w:rPr>
      <w:b/>
      <w:bCs/>
      <w:i/>
      <w:iCs/>
    </w:rPr>
  </w:style>
  <w:style w:type="character" w:styleId="SubtleReference">
    <w:name w:val="Subtle Reference"/>
    <w:basedOn w:val="DefaultParagraphFont"/>
    <w:uiPriority w:val="31"/>
    <w:qFormat/>
    <w:rsid w:val="001F173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1738"/>
    <w:rPr>
      <w:b/>
      <w:bCs/>
      <w:smallCaps/>
      <w:spacing w:val="5"/>
      <w:u w:val="single"/>
    </w:rPr>
  </w:style>
  <w:style w:type="character" w:styleId="BookTitle">
    <w:name w:val="Book Title"/>
    <w:basedOn w:val="DefaultParagraphFont"/>
    <w:uiPriority w:val="33"/>
    <w:qFormat/>
    <w:rsid w:val="001F1738"/>
    <w:rPr>
      <w:b/>
      <w:bCs/>
      <w:smallCaps/>
    </w:rPr>
  </w:style>
  <w:style w:type="paragraph" w:styleId="TOCHeading">
    <w:name w:val="TOC Heading"/>
    <w:basedOn w:val="Heading1"/>
    <w:next w:val="Normal"/>
    <w:uiPriority w:val="39"/>
    <w:unhideWhenUsed/>
    <w:qFormat/>
    <w:rsid w:val="001F1738"/>
  </w:style>
  <w:style w:type="paragraph" w:customStyle="1" w:styleId="Chaptertitle">
    <w:name w:val="Chapter title"/>
    <w:basedOn w:val="ListParagraph"/>
    <w:link w:val="ChaptertitleChar"/>
    <w:uiPriority w:val="1"/>
    <w:rsid w:val="001F1738"/>
    <w:pPr>
      <w:keepNext/>
      <w:numPr>
        <w:numId w:val="1"/>
      </w:numPr>
      <w:spacing w:before="360"/>
      <w:jc w:val="both"/>
    </w:pPr>
    <w:rPr>
      <w:rFonts w:ascii="Times New Roman" w:hAnsi="Times New Roman" w:cs="Times New Roman"/>
      <w:b/>
      <w:bCs/>
      <w:sz w:val="24"/>
      <w:szCs w:val="24"/>
    </w:rPr>
  </w:style>
  <w:style w:type="table" w:styleId="GridTable4-Accent5">
    <w:name w:val="Grid Table 4 Accent 5"/>
    <w:basedOn w:val="TableNormal"/>
    <w:uiPriority w:val="49"/>
    <w:rsid w:val="001F1738"/>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haptertitleChar">
    <w:name w:val="Chapter title Char"/>
    <w:basedOn w:val="ListParagraphChar"/>
    <w:link w:val="Chaptertitle"/>
    <w:uiPriority w:val="1"/>
    <w:rsid w:val="001F1738"/>
    <w:rPr>
      <w:rFonts w:ascii="Times New Roman" w:eastAsiaTheme="minorEastAsia" w:hAnsi="Times New Roman" w:cs="Times New Roman"/>
      <w:b/>
      <w:bCs/>
      <w:sz w:val="24"/>
      <w:szCs w:val="24"/>
      <w:lang w:val="en-IE"/>
    </w:rPr>
  </w:style>
  <w:style w:type="paragraph" w:styleId="BodyText">
    <w:name w:val="Body Text"/>
    <w:basedOn w:val="Normal"/>
    <w:link w:val="BodyTextChar"/>
    <w:uiPriority w:val="1"/>
    <w:qFormat/>
    <w:rsid w:val="001F1738"/>
    <w:pPr>
      <w:widowControl w:val="0"/>
      <w:spacing w:after="0" w:line="264" w:lineRule="auto"/>
      <w:ind w:left="316"/>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1F1738"/>
    <w:rPr>
      <w:rFonts w:ascii="Times New Roman" w:eastAsia="Times New Roman" w:hAnsi="Times New Roman"/>
      <w:sz w:val="26"/>
      <w:szCs w:val="26"/>
      <w:lang w:val="en-US"/>
    </w:rPr>
  </w:style>
  <w:style w:type="table" w:styleId="GridTable7Colorful-Accent1">
    <w:name w:val="Grid Table 7 Colorful Accent 1"/>
    <w:basedOn w:val="TableNormal"/>
    <w:uiPriority w:val="52"/>
    <w:rsid w:val="001F1738"/>
    <w:pPr>
      <w:spacing w:after="0" w:line="240" w:lineRule="auto"/>
    </w:pPr>
    <w:rPr>
      <w:rFonts w:eastAsiaTheme="minorEastAsia"/>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1F1738"/>
    <w:pPr>
      <w:spacing w:after="0" w:line="240" w:lineRule="auto"/>
    </w:pPr>
    <w:rPr>
      <w:rFonts w:eastAsiaTheme="minorEastAsia"/>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2">
    <w:name w:val="toc 2"/>
    <w:basedOn w:val="Normal"/>
    <w:next w:val="Normal"/>
    <w:uiPriority w:val="39"/>
    <w:unhideWhenUsed/>
    <w:rsid w:val="001F1738"/>
    <w:pPr>
      <w:spacing w:after="100" w:line="264" w:lineRule="auto"/>
      <w:ind w:left="220"/>
    </w:pPr>
    <w:rPr>
      <w:rFonts w:eastAsiaTheme="minorEastAsia"/>
      <w:sz w:val="20"/>
      <w:szCs w:val="20"/>
      <w:lang w:val="en-IE"/>
    </w:rPr>
  </w:style>
  <w:style w:type="paragraph" w:styleId="TOC3">
    <w:name w:val="toc 3"/>
    <w:basedOn w:val="Normal"/>
    <w:next w:val="Normal"/>
    <w:uiPriority w:val="39"/>
    <w:unhideWhenUsed/>
    <w:rsid w:val="001F1738"/>
    <w:pPr>
      <w:spacing w:after="100" w:line="264" w:lineRule="auto"/>
      <w:ind w:left="440"/>
    </w:pPr>
    <w:rPr>
      <w:rFonts w:eastAsiaTheme="minorEastAsia"/>
      <w:sz w:val="20"/>
      <w:szCs w:val="20"/>
      <w:lang w:val="en-IE"/>
    </w:rPr>
  </w:style>
  <w:style w:type="paragraph" w:styleId="TOC4">
    <w:name w:val="toc 4"/>
    <w:basedOn w:val="Normal"/>
    <w:next w:val="Normal"/>
    <w:uiPriority w:val="39"/>
    <w:unhideWhenUsed/>
    <w:rsid w:val="001F1738"/>
    <w:pPr>
      <w:spacing w:after="100" w:line="264" w:lineRule="auto"/>
      <w:ind w:left="660"/>
    </w:pPr>
    <w:rPr>
      <w:rFonts w:eastAsiaTheme="minorEastAsia"/>
      <w:sz w:val="20"/>
      <w:szCs w:val="20"/>
      <w:lang w:val="en-IE"/>
    </w:rPr>
  </w:style>
  <w:style w:type="paragraph" w:styleId="TOC5">
    <w:name w:val="toc 5"/>
    <w:basedOn w:val="Normal"/>
    <w:next w:val="Normal"/>
    <w:uiPriority w:val="39"/>
    <w:unhideWhenUsed/>
    <w:rsid w:val="001F1738"/>
    <w:pPr>
      <w:spacing w:after="100" w:line="264" w:lineRule="auto"/>
      <w:ind w:left="880"/>
    </w:pPr>
    <w:rPr>
      <w:rFonts w:eastAsiaTheme="minorEastAsia"/>
      <w:sz w:val="20"/>
      <w:szCs w:val="20"/>
      <w:lang w:val="en-IE"/>
    </w:rPr>
  </w:style>
  <w:style w:type="paragraph" w:styleId="TOC6">
    <w:name w:val="toc 6"/>
    <w:basedOn w:val="Normal"/>
    <w:next w:val="Normal"/>
    <w:uiPriority w:val="39"/>
    <w:unhideWhenUsed/>
    <w:rsid w:val="001F1738"/>
    <w:pPr>
      <w:spacing w:after="100" w:line="264" w:lineRule="auto"/>
      <w:ind w:left="1100"/>
    </w:pPr>
    <w:rPr>
      <w:rFonts w:eastAsiaTheme="minorEastAsia"/>
      <w:sz w:val="20"/>
      <w:szCs w:val="20"/>
      <w:lang w:val="en-IE"/>
    </w:rPr>
  </w:style>
  <w:style w:type="paragraph" w:styleId="TOC7">
    <w:name w:val="toc 7"/>
    <w:basedOn w:val="Normal"/>
    <w:next w:val="Normal"/>
    <w:uiPriority w:val="39"/>
    <w:unhideWhenUsed/>
    <w:rsid w:val="001F1738"/>
    <w:pPr>
      <w:spacing w:after="100" w:line="264" w:lineRule="auto"/>
      <w:ind w:left="1320"/>
    </w:pPr>
    <w:rPr>
      <w:rFonts w:eastAsiaTheme="minorEastAsia"/>
      <w:sz w:val="20"/>
      <w:szCs w:val="20"/>
      <w:lang w:val="en-IE"/>
    </w:rPr>
  </w:style>
  <w:style w:type="paragraph" w:styleId="TOC8">
    <w:name w:val="toc 8"/>
    <w:basedOn w:val="Normal"/>
    <w:next w:val="Normal"/>
    <w:uiPriority w:val="39"/>
    <w:unhideWhenUsed/>
    <w:rsid w:val="001F1738"/>
    <w:pPr>
      <w:spacing w:after="100" w:line="264" w:lineRule="auto"/>
      <w:ind w:left="1540"/>
    </w:pPr>
    <w:rPr>
      <w:rFonts w:eastAsiaTheme="minorEastAsia"/>
      <w:sz w:val="20"/>
      <w:szCs w:val="20"/>
      <w:lang w:val="en-IE"/>
    </w:rPr>
  </w:style>
  <w:style w:type="paragraph" w:styleId="TOC9">
    <w:name w:val="toc 9"/>
    <w:basedOn w:val="Normal"/>
    <w:next w:val="Normal"/>
    <w:uiPriority w:val="39"/>
    <w:unhideWhenUsed/>
    <w:rsid w:val="001F1738"/>
    <w:pPr>
      <w:spacing w:after="100" w:line="264" w:lineRule="auto"/>
      <w:ind w:left="1760"/>
    </w:pPr>
    <w:rPr>
      <w:rFonts w:eastAsiaTheme="minorEastAsia"/>
      <w:sz w:val="20"/>
      <w:szCs w:val="20"/>
      <w:lang w:val="en-IE"/>
    </w:rPr>
  </w:style>
  <w:style w:type="character" w:customStyle="1" w:styleId="eop">
    <w:name w:val="eop"/>
    <w:basedOn w:val="DefaultParagraphFont"/>
    <w:rsid w:val="001F1738"/>
  </w:style>
  <w:style w:type="character" w:customStyle="1" w:styleId="UnresolvedMention3">
    <w:name w:val="Unresolved Mention3"/>
    <w:basedOn w:val="DefaultParagraphFont"/>
    <w:uiPriority w:val="99"/>
    <w:semiHidden/>
    <w:unhideWhenUsed/>
    <w:rsid w:val="001F1738"/>
    <w:rPr>
      <w:color w:val="605E5C"/>
      <w:shd w:val="clear" w:color="auto" w:fill="E1DFDD"/>
    </w:rPr>
  </w:style>
  <w:style w:type="character" w:customStyle="1" w:styleId="UnresolvedMention">
    <w:name w:val="Unresolved Mention"/>
    <w:basedOn w:val="DefaultParagraphFont"/>
    <w:uiPriority w:val="99"/>
    <w:semiHidden/>
    <w:unhideWhenUsed/>
    <w:rsid w:val="001F1738"/>
    <w:rPr>
      <w:color w:val="605E5C"/>
      <w:shd w:val="clear" w:color="auto" w:fill="E1DFDD"/>
    </w:rPr>
  </w:style>
  <w:style w:type="paragraph" w:customStyle="1" w:styleId="title-bold">
    <w:name w:val="title-bold"/>
    <w:basedOn w:val="Normal"/>
    <w:rsid w:val="0032059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margintops">
    <w:name w:val="margintop_s"/>
    <w:basedOn w:val="DefaultParagraphFont"/>
    <w:rsid w:val="005C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0581">
      <w:bodyDiv w:val="1"/>
      <w:marLeft w:val="0"/>
      <w:marRight w:val="0"/>
      <w:marTop w:val="0"/>
      <w:marBottom w:val="0"/>
      <w:divBdr>
        <w:top w:val="none" w:sz="0" w:space="0" w:color="auto"/>
        <w:left w:val="none" w:sz="0" w:space="0" w:color="auto"/>
        <w:bottom w:val="none" w:sz="0" w:space="0" w:color="auto"/>
        <w:right w:val="none" w:sz="0" w:space="0" w:color="auto"/>
      </w:divBdr>
    </w:div>
    <w:div w:id="357392686">
      <w:bodyDiv w:val="1"/>
      <w:marLeft w:val="0"/>
      <w:marRight w:val="0"/>
      <w:marTop w:val="0"/>
      <w:marBottom w:val="0"/>
      <w:divBdr>
        <w:top w:val="none" w:sz="0" w:space="0" w:color="auto"/>
        <w:left w:val="none" w:sz="0" w:space="0" w:color="auto"/>
        <w:bottom w:val="none" w:sz="0" w:space="0" w:color="auto"/>
        <w:right w:val="none" w:sz="0" w:space="0" w:color="auto"/>
      </w:divBdr>
    </w:div>
    <w:div w:id="560754890">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909195797">
      <w:bodyDiv w:val="1"/>
      <w:marLeft w:val="0"/>
      <w:marRight w:val="0"/>
      <w:marTop w:val="0"/>
      <w:marBottom w:val="0"/>
      <w:divBdr>
        <w:top w:val="none" w:sz="0" w:space="0" w:color="auto"/>
        <w:left w:val="none" w:sz="0" w:space="0" w:color="auto"/>
        <w:bottom w:val="none" w:sz="0" w:space="0" w:color="auto"/>
        <w:right w:val="none" w:sz="0" w:space="0" w:color="auto"/>
      </w:divBdr>
    </w:div>
    <w:div w:id="1135218904">
      <w:bodyDiv w:val="1"/>
      <w:marLeft w:val="0"/>
      <w:marRight w:val="0"/>
      <w:marTop w:val="0"/>
      <w:marBottom w:val="0"/>
      <w:divBdr>
        <w:top w:val="none" w:sz="0" w:space="0" w:color="auto"/>
        <w:left w:val="none" w:sz="0" w:space="0" w:color="auto"/>
        <w:bottom w:val="none" w:sz="0" w:space="0" w:color="auto"/>
        <w:right w:val="none" w:sz="0" w:space="0" w:color="auto"/>
      </w:divBdr>
    </w:div>
    <w:div w:id="1194225301">
      <w:bodyDiv w:val="1"/>
      <w:marLeft w:val="0"/>
      <w:marRight w:val="0"/>
      <w:marTop w:val="0"/>
      <w:marBottom w:val="0"/>
      <w:divBdr>
        <w:top w:val="none" w:sz="0" w:space="0" w:color="auto"/>
        <w:left w:val="none" w:sz="0" w:space="0" w:color="auto"/>
        <w:bottom w:val="none" w:sz="0" w:space="0" w:color="auto"/>
        <w:right w:val="none" w:sz="0" w:space="0" w:color="auto"/>
      </w:divBdr>
    </w:div>
    <w:div w:id="1215195427">
      <w:bodyDiv w:val="1"/>
      <w:marLeft w:val="0"/>
      <w:marRight w:val="0"/>
      <w:marTop w:val="0"/>
      <w:marBottom w:val="0"/>
      <w:divBdr>
        <w:top w:val="none" w:sz="0" w:space="0" w:color="auto"/>
        <w:left w:val="none" w:sz="0" w:space="0" w:color="auto"/>
        <w:bottom w:val="none" w:sz="0" w:space="0" w:color="auto"/>
        <w:right w:val="none" w:sz="0" w:space="0" w:color="auto"/>
      </w:divBdr>
    </w:div>
    <w:div w:id="1225533563">
      <w:bodyDiv w:val="1"/>
      <w:marLeft w:val="0"/>
      <w:marRight w:val="0"/>
      <w:marTop w:val="0"/>
      <w:marBottom w:val="0"/>
      <w:divBdr>
        <w:top w:val="none" w:sz="0" w:space="0" w:color="auto"/>
        <w:left w:val="none" w:sz="0" w:space="0" w:color="auto"/>
        <w:bottom w:val="none" w:sz="0" w:space="0" w:color="auto"/>
        <w:right w:val="none" w:sz="0" w:space="0" w:color="auto"/>
      </w:divBdr>
    </w:div>
    <w:div w:id="1360938087">
      <w:bodyDiv w:val="1"/>
      <w:marLeft w:val="0"/>
      <w:marRight w:val="0"/>
      <w:marTop w:val="0"/>
      <w:marBottom w:val="0"/>
      <w:divBdr>
        <w:top w:val="none" w:sz="0" w:space="0" w:color="auto"/>
        <w:left w:val="none" w:sz="0" w:space="0" w:color="auto"/>
        <w:bottom w:val="none" w:sz="0" w:space="0" w:color="auto"/>
        <w:right w:val="none" w:sz="0" w:space="0" w:color="auto"/>
      </w:divBdr>
    </w:div>
    <w:div w:id="1483697454">
      <w:bodyDiv w:val="1"/>
      <w:marLeft w:val="0"/>
      <w:marRight w:val="0"/>
      <w:marTop w:val="0"/>
      <w:marBottom w:val="0"/>
      <w:divBdr>
        <w:top w:val="none" w:sz="0" w:space="0" w:color="auto"/>
        <w:left w:val="none" w:sz="0" w:space="0" w:color="auto"/>
        <w:bottom w:val="none" w:sz="0" w:space="0" w:color="auto"/>
        <w:right w:val="none" w:sz="0" w:space="0" w:color="auto"/>
      </w:divBdr>
    </w:div>
    <w:div w:id="1511917182">
      <w:bodyDiv w:val="1"/>
      <w:marLeft w:val="0"/>
      <w:marRight w:val="0"/>
      <w:marTop w:val="0"/>
      <w:marBottom w:val="0"/>
      <w:divBdr>
        <w:top w:val="none" w:sz="0" w:space="0" w:color="auto"/>
        <w:left w:val="none" w:sz="0" w:space="0" w:color="auto"/>
        <w:bottom w:val="none" w:sz="0" w:space="0" w:color="auto"/>
        <w:right w:val="none" w:sz="0" w:space="0" w:color="auto"/>
      </w:divBdr>
    </w:div>
    <w:div w:id="1786077881">
      <w:bodyDiv w:val="1"/>
      <w:marLeft w:val="0"/>
      <w:marRight w:val="0"/>
      <w:marTop w:val="0"/>
      <w:marBottom w:val="0"/>
      <w:divBdr>
        <w:top w:val="none" w:sz="0" w:space="0" w:color="auto"/>
        <w:left w:val="none" w:sz="0" w:space="0" w:color="auto"/>
        <w:bottom w:val="none" w:sz="0" w:space="0" w:color="auto"/>
        <w:right w:val="none" w:sz="0" w:space="0" w:color="auto"/>
      </w:divBdr>
    </w:div>
    <w:div w:id="19698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ecdc.europa.eu/sites/default/files/documents/Health-burden-infections-antibiotic-resistant-bacteria.pdf" TargetMode="External"/><Relationship Id="rId18" Type="http://schemas.openxmlformats.org/officeDocument/2006/relationships/hyperlink" Target="https://eur-lex.europa.eu/legal-content/EN/TXT/?uri=COM:2023:672:FIN" TargetMode="External"/><Relationship Id="rId26" Type="http://schemas.openxmlformats.org/officeDocument/2006/relationships/hyperlink" Target="https://eur-lex.europa.eu/legal-content/EN/TXT/?uri=CELEX:52021DC0400" TargetMode="External"/><Relationship Id="rId39" Type="http://schemas.openxmlformats.org/officeDocument/2006/relationships/hyperlink" Target="https://www.cop28.com/en/cop28-uae-declaration-on-climate-and-health" TargetMode="External"/><Relationship Id="rId21" Type="http://schemas.openxmlformats.org/officeDocument/2006/relationships/hyperlink" Target="https://www.jpiamr.eu/activities/one-health-amr/design-oh-amr/" TargetMode="External"/><Relationship Id="rId34" Type="http://schemas.openxmlformats.org/officeDocument/2006/relationships/hyperlink" Target="https://eur-lex.europa.eu/eli/reg_del/2020/689/oj" TargetMode="External"/><Relationship Id="rId42" Type="http://schemas.openxmlformats.org/officeDocument/2006/relationships/hyperlink" Target="https://www.eea.europa.eu/en/about/who-we-are/projects-and-cooperation-agreements/european-climate-risk-assessment" TargetMode="External"/><Relationship Id="rId47" Type="http://schemas.openxmlformats.org/officeDocument/2006/relationships/hyperlink" Target="https://civil-protection-humanitarian-aid.ec.europa.eu/what/civil-protection/european-disaster-risk-management/european-disaster-resilience-goals_en" TargetMode="External"/><Relationship Id="rId50" Type="http://schemas.openxmlformats.org/officeDocument/2006/relationships/hyperlink" Target="https://www.nivel.nl/en/project/1920" TargetMode="External"/><Relationship Id="rId55" Type="http://schemas.openxmlformats.org/officeDocument/2006/relationships/hyperlink" Target="https://www.who.int/initiatives/eios" TargetMode="External"/><Relationship Id="rId63" Type="http://schemas.openxmlformats.org/officeDocument/2006/relationships/hyperlink" Target="https://eur-lex.europa.eu/legal-content/EN/TXT/?uri=CELEX%3A32021D1212" TargetMode="External"/><Relationship Id="rId68" Type="http://schemas.openxmlformats.org/officeDocument/2006/relationships/hyperlink" Target="https://eur-lex.europa.eu/legal-content/EN/TXT/?uri=CELEX%3A32022L2557&amp;qid=1699961915719" TargetMode="External"/><Relationship Id="rId76" Type="http://schemas.openxmlformats.org/officeDocument/2006/relationships/hyperlink" Target="https://commission.europa.eu/strategy-and-policy/priorities-2019-2024/promoting-our-european-way-life/european-health-union/comprehensive-approach-mental-health_en" TargetMode="External"/><Relationship Id="rId84" Type="http://schemas.openxmlformats.org/officeDocument/2006/relationships/hyperlink" Target="https://verdiproject.org/" TargetMode="External"/><Relationship Id="rId7" Type="http://schemas.openxmlformats.org/officeDocument/2006/relationships/hyperlink" Target="https://op.europa.eu/en/publication-detail/-/publication/8ba3bd75-7c38-11ed-9887-01aa75ed71a1/language-en" TargetMode="External"/><Relationship Id="rId71" Type="http://schemas.openxmlformats.org/officeDocument/2006/relationships/hyperlink" Target="https://eur-lex.europa.eu/legal-content/EN/TXT/?uri=CELEX:32022R0123" TargetMode="External"/><Relationship Id="rId2" Type="http://schemas.openxmlformats.org/officeDocument/2006/relationships/hyperlink" Target="https://www.thelancet.com/journals/laninf/article/PIIS1473-3099(22)00320-6/fulltext" TargetMode="External"/><Relationship Id="rId16" Type="http://schemas.openxmlformats.org/officeDocument/2006/relationships/hyperlink" Target="https://commission.europa.eu/strategy-and-policy/priorities-2019-2024/promoting-our-european-way-life/european-health-union/reform-eu-pharmaceutical-legislation_en" TargetMode="External"/><Relationship Id="rId29" Type="http://schemas.openxmlformats.org/officeDocument/2006/relationships/hyperlink" Target="https://esdac.jrc.ec.europa.eu/projects/lucas" TargetMode="External"/><Relationship Id="rId11" Type="http://schemas.openxmlformats.org/officeDocument/2006/relationships/hyperlink" Target="https://eva.ecdc.europa.eu/" TargetMode="External"/><Relationship Id="rId24" Type="http://schemas.openxmlformats.org/officeDocument/2006/relationships/hyperlink" Target="https://eur-lex.europa.eu/legal-content/EN/TXT/PDF/?uri=CELEX:52019DC0128" TargetMode="External"/><Relationship Id="rId32" Type="http://schemas.openxmlformats.org/officeDocument/2006/relationships/hyperlink" Target="https://eur-lex.europa.eu/legal-content/EN/TXT/?uri=celex:32003L0099" TargetMode="External"/><Relationship Id="rId37" Type="http://schemas.openxmlformats.org/officeDocument/2006/relationships/hyperlink" Target="https://climate-adapt.eea.europa.eu/en/observatory" TargetMode="External"/><Relationship Id="rId40" Type="http://schemas.openxmlformats.org/officeDocument/2006/relationships/hyperlink" Target="https://www.who.int/publications/i/item/9789289071918" TargetMode="External"/><Relationship Id="rId45" Type="http://schemas.openxmlformats.org/officeDocument/2006/relationships/hyperlink" Target="https://environment.ec.europa.eu/topics/soil-and-land/soil-health_en" TargetMode="External"/><Relationship Id="rId53" Type="http://schemas.openxmlformats.org/officeDocument/2006/relationships/hyperlink" Target="https://www.ecdc.europa.eu/en/publications-data/epipulse-european-surveillance-portal-infectious-diseases" TargetMode="External"/><Relationship Id="rId58" Type="http://schemas.openxmlformats.org/officeDocument/2006/relationships/hyperlink" Target="https://mood-h2020.eu/" TargetMode="External"/><Relationship Id="rId66" Type="http://schemas.openxmlformats.org/officeDocument/2006/relationships/hyperlink" Target="https://ec.europa.eu/commission/presscorner/detail/en/mex_23_4442" TargetMode="External"/><Relationship Id="rId74" Type="http://schemas.openxmlformats.org/officeDocument/2006/relationships/hyperlink" Target="https://www.oecd-ilibrary.org/social-issues-migration-health/health-at-a-glance-europe-2022_507433b0-en;jsessionid=-ZyVma6ABAN0VaaG5paqz-epR3sPXjuLlFsJ5MXW.ip-10-240-5-108" TargetMode="External"/><Relationship Id="rId79" Type="http://schemas.openxmlformats.org/officeDocument/2006/relationships/hyperlink" Target="https://www.thelancet.com/journals/lanres/article/PIIS2213-2600(23)00268-0/fulltext" TargetMode="External"/><Relationship Id="rId87" Type="http://schemas.openxmlformats.org/officeDocument/2006/relationships/hyperlink" Target="https://research-and-innovation.ec.europa.eu/research-area/health/edctp_en" TargetMode="External"/><Relationship Id="rId5" Type="http://schemas.openxmlformats.org/officeDocument/2006/relationships/hyperlink" Target="https://eur-lex.europa.eu/legal-content/GA/TXT/?uri=OJ%3AJOC_2018_466_R_0001" TargetMode="External"/><Relationship Id="rId61" Type="http://schemas.openxmlformats.org/officeDocument/2006/relationships/hyperlink" Target="https://eur-lex.europa.eu/eli/dec/1998/2119/oj" TargetMode="External"/><Relationship Id="rId82" Type="http://schemas.openxmlformats.org/officeDocument/2006/relationships/hyperlink" Target="https://eic.ec.europa.eu/system/files/2023-08/EIC-WP2023-amended.pdf" TargetMode="External"/><Relationship Id="rId19" Type="http://schemas.openxmlformats.org/officeDocument/2006/relationships/hyperlink" Target="https://gardp.org/" TargetMode="External"/><Relationship Id="rId4" Type="http://schemas.openxmlformats.org/officeDocument/2006/relationships/hyperlink" Target="https://www.ecdc.europa.eu/en/publications-data/interim-public-health-considerations-covid-19-vaccination-roll-out-during-2023" TargetMode="External"/><Relationship Id="rId9" Type="http://schemas.openxmlformats.org/officeDocument/2006/relationships/hyperlink" Target="https://vaccination-info.eu/en" TargetMode="External"/><Relationship Id="rId14" Type="http://schemas.openxmlformats.org/officeDocument/2006/relationships/hyperlink" Target="https://health.ec.europa.eu/system/files/2020-01/amr_2017_action-plan_0.pdf" TargetMode="External"/><Relationship Id="rId22" Type="http://schemas.openxmlformats.org/officeDocument/2006/relationships/hyperlink" Target="https://ec.europa.eu/info/funding-tenders/opportunities/portal/screen/opportunities/topic-details/horizon-hlth-2024-disease-09-01" TargetMode="External"/><Relationship Id="rId27" Type="http://schemas.openxmlformats.org/officeDocument/2006/relationships/hyperlink" Target="https://environment.ec.europa.eu/publications/proposal-amending-water-directives_en" TargetMode="External"/><Relationship Id="rId30" Type="http://schemas.openxmlformats.org/officeDocument/2006/relationships/hyperlink" Target="https://esdac.jrc.ec.europa.eu/" TargetMode="External"/><Relationship Id="rId35" Type="http://schemas.openxmlformats.org/officeDocument/2006/relationships/hyperlink" Target="https://www.izsvenezie.com/reference-laboratories/avian-influenza-newcastle-disease/" TargetMode="External"/><Relationship Id="rId43" Type="http://schemas.openxmlformats.org/officeDocument/2006/relationships/hyperlink" Target="https://ec.europa.eu/commission/presscorner/detail/en/ip_22_6278" TargetMode="External"/><Relationship Id="rId48" Type="http://schemas.openxmlformats.org/officeDocument/2006/relationships/hyperlink" Target="https://health.ec.europa.eu/publications/hera-factsheet-health-union-identifying-top-3-priority-health-threats_en" TargetMode="External"/><Relationship Id="rId56" Type="http://schemas.openxmlformats.org/officeDocument/2006/relationships/hyperlink" Target="https://health.ec.europa.eu/latest-updates/hera-it-system-athina-collect-intelligence-and-assess-threats-call-tender-published-2023-04-25_en" TargetMode="External"/><Relationship Id="rId64" Type="http://schemas.openxmlformats.org/officeDocument/2006/relationships/hyperlink" Target="https://health.ec.europa.eu/health-security-and-infectious-diseases/crisis-management/list-authorities-represented-health-security-committee/health-security-committee-reports_en" TargetMode="External"/><Relationship Id="rId69" Type="http://schemas.openxmlformats.org/officeDocument/2006/relationships/hyperlink" Target="https://eur-lex.europa.eu/legal-content/EN/TXT/?uri=CELEX%3A32008L0114&amp;qid=1699961985226" TargetMode="External"/><Relationship Id="rId77" Type="http://schemas.openxmlformats.org/officeDocument/2006/relationships/hyperlink" Target="https://research-and-innovation.ec.europa.eu/funding/funding-opportunities/funding-programmes-and-open-calls/horizon-europe/european-partnerships-horizon-europe/health_en" TargetMode="External"/><Relationship Id="rId8" Type="http://schemas.openxmlformats.org/officeDocument/2006/relationships/hyperlink" Target="https://knowledge4policy.ec.europa.eu/projects-activities/behavioural-insights-eu-bi4eu_en" TargetMode="External"/><Relationship Id="rId51" Type="http://schemas.openxmlformats.org/officeDocument/2006/relationships/hyperlink" Target="https://health.ec.europa.eu/health-security-and-infectious-diseases/surveillance-and-early-warning/eu-reference-laboratories-public-health-calls-application_en" TargetMode="External"/><Relationship Id="rId72" Type="http://schemas.openxmlformats.org/officeDocument/2006/relationships/hyperlink" Target="https://www.ecdc.europa.eu/en/publications-data/conducting-after-action-reviews-public-health-response-covid-19-update-0" TargetMode="External"/><Relationship Id="rId80" Type="http://schemas.openxmlformats.org/officeDocument/2006/relationships/hyperlink" Target="https://health.ec.europa.eu/health-emergency-preparedness-and-response-hera/hera-invest_en" TargetMode="External"/><Relationship Id="rId85" Type="http://schemas.openxmlformats.org/officeDocument/2006/relationships/hyperlink" Target="https://health.ec.europa.eu/system/files/2023-03/international_ghs-report-2022_en.pdf" TargetMode="External"/><Relationship Id="rId3" Type="http://schemas.openxmlformats.org/officeDocument/2006/relationships/hyperlink" Target="https://www.who.int/publications/i/item/9789241580496" TargetMode="External"/><Relationship Id="rId12" Type="http://schemas.openxmlformats.org/officeDocument/2006/relationships/hyperlink" Target="https://eur-lex.europa.eu/legal-content/EN/TXT/?uri=COM:2021:44:FIN" TargetMode="External"/><Relationship Id="rId17" Type="http://schemas.openxmlformats.org/officeDocument/2006/relationships/hyperlink" Target="https://health.ec.europa.eu/funding/eu4health-programme-2021-2027-vision-healthier-european-union_en" TargetMode="External"/><Relationship Id="rId25" Type="http://schemas.openxmlformats.org/officeDocument/2006/relationships/hyperlink" Target="https://commission.europa.eu/strategy-and-policy/priorities-2019-2024/european-green-deal_en" TargetMode="External"/><Relationship Id="rId33" Type="http://schemas.openxmlformats.org/officeDocument/2006/relationships/hyperlink" Target="https://eur-lex.europa.eu/legal-content/EN/TXT/?uri=CELEX%3A32016R0429&amp;qid=1699617422821" TargetMode="External"/><Relationship Id="rId38" Type="http://schemas.openxmlformats.org/officeDocument/2006/relationships/hyperlink" Target="https://www.who.int/europe/publications/i/item/EURO-Budapest2023-6" TargetMode="External"/><Relationship Id="rId46" Type="http://schemas.openxmlformats.org/officeDocument/2006/relationships/hyperlink" Target="https://eur-lex.europa.eu/legal-content/EN/TXT/?uri=OJ:L:2023:234:TOC" TargetMode="External"/><Relationship Id="rId59" Type="http://schemas.openxmlformats.org/officeDocument/2006/relationships/hyperlink" Target="https://www.veo-europe.eu/" TargetMode="External"/><Relationship Id="rId67" Type="http://schemas.openxmlformats.org/officeDocument/2006/relationships/hyperlink" Target="https://eur-lex.europa.eu/legal-content/EN/TXT/?uri=CELEX%3A32022R0123" TargetMode="External"/><Relationship Id="rId20" Type="http://schemas.openxmlformats.org/officeDocument/2006/relationships/hyperlink" Target="https://www.who.int/groups/secure-expanding-sustainable-access-to-antibiotics" TargetMode="External"/><Relationship Id="rId41" Type="http://schemas.openxmlformats.org/officeDocument/2006/relationships/hyperlink" Target="https://cinea.ec.europa.eu/programmes/life_en" TargetMode="External"/><Relationship Id="rId54" Type="http://schemas.openxmlformats.org/officeDocument/2006/relationships/hyperlink" Target="https://www.ecdc.europa.eu/en/publications-data/european-surveillance-system-tessy" TargetMode="External"/><Relationship Id="rId62" Type="http://schemas.openxmlformats.org/officeDocument/2006/relationships/hyperlink" Target="https://eur-lex.europa.eu/legal-content/EN/TXT/?toc=OJ%3AL%3A2021%3A188%3ATOC&amp;uri=uriserv%3AOJ.L_.2021.188.01.0106.01.ENG" TargetMode="External"/><Relationship Id="rId70" Type="http://schemas.openxmlformats.org/officeDocument/2006/relationships/hyperlink" Target="https://eur-lex.europa.eu/legal-content/EN/TXT/?uri=CELEX:52023DC0526" TargetMode="External"/><Relationship Id="rId75" Type="http://schemas.openxmlformats.org/officeDocument/2006/relationships/hyperlink" Target="https://www.who.int/news/item/02-03-2022-covid-19-pandemic-triggers-25-increase-in-prevalence-of-anxiety-and-depression-worldwide" TargetMode="External"/><Relationship Id="rId83" Type="http://schemas.openxmlformats.org/officeDocument/2006/relationships/hyperlink" Target="https://eu-response.eu/" TargetMode="External"/><Relationship Id="rId1" Type="http://schemas.openxmlformats.org/officeDocument/2006/relationships/hyperlink" Target="https://commission.europa.eu/strategy-and-policy/coronavirus-response/public-health/eu-vaccines-strategy_en" TargetMode="External"/><Relationship Id="rId6" Type="http://schemas.openxmlformats.org/officeDocument/2006/relationships/hyperlink" Target="https://health.ec.europa.eu/system/files/2022-12/2019-2022_roadmap_en.pdf" TargetMode="External"/><Relationship Id="rId15" Type="http://schemas.openxmlformats.org/officeDocument/2006/relationships/hyperlink" Target="https://eur-lex.europa.eu/legal-content/EN/TXT/?uri=CELEX%3A32023H0622%2801%29" TargetMode="External"/><Relationship Id="rId23" Type="http://schemas.openxmlformats.org/officeDocument/2006/relationships/hyperlink" Target="https://research-and-innovation.ec.europa.eu/funding/funding-opportunities/funding-programmes-and-open-calls/horizon-europe_en" TargetMode="External"/><Relationship Id="rId28" Type="http://schemas.openxmlformats.org/officeDocument/2006/relationships/hyperlink" Target="https://environment.ec.europa.eu/publications/proposal-revised-urban-wastewater-treatment-directive_en" TargetMode="External"/><Relationship Id="rId36" Type="http://schemas.openxmlformats.org/officeDocument/2006/relationships/hyperlink" Target="https://eur-lex.europa.eu/legal-content/EN/TXT/?uri=CELEX%3A32020R0689&amp;qid=1699963567960" TargetMode="External"/><Relationship Id="rId49" Type="http://schemas.openxmlformats.org/officeDocument/2006/relationships/hyperlink" Target="https://ec.europa.eu/info/live-work-travel-eu/coronavirus-response/public-health_en" TargetMode="External"/><Relationship Id="rId57" Type="http://schemas.openxmlformats.org/officeDocument/2006/relationships/hyperlink" Target="https://united4surveillance.eu/" TargetMode="External"/><Relationship Id="rId10" Type="http://schemas.openxmlformats.org/officeDocument/2006/relationships/hyperlink" Target="https://health.ec.europa.eu/non-communicable-diseases/expert-group-public-health_en" TargetMode="External"/><Relationship Id="rId31" Type="http://schemas.openxmlformats.org/officeDocument/2006/relationships/hyperlink" Target="https://www.nature.com/articles/nature06536" TargetMode="External"/><Relationship Id="rId44" Type="http://schemas.openxmlformats.org/officeDocument/2006/relationships/hyperlink" Target="https://environment.ec.europa.eu/publications/proposal-revision-industrial-emissions-directive_en" TargetMode="External"/><Relationship Id="rId52" Type="http://schemas.openxmlformats.org/officeDocument/2006/relationships/hyperlink" Target="https://www.pasteur.fr/en/home/institut-pasteur/institut-pasteur-throughout-world/international-research-programs/durable-large-scale-project-emerging-diseases-within-eu4health-european-program" TargetMode="External"/><Relationship Id="rId60" Type="http://schemas.openxmlformats.org/officeDocument/2006/relationships/hyperlink" Target="https://www.phiri.eu/" TargetMode="External"/><Relationship Id="rId65" Type="http://schemas.openxmlformats.org/officeDocument/2006/relationships/hyperlink" Target="https://health.ec.europa.eu/publications/preparing-winter-20232024-address-respiratory-infections-caused-sars-cov-2-and-other-viruses_en" TargetMode="External"/><Relationship Id="rId73" Type="http://schemas.openxmlformats.org/officeDocument/2006/relationships/hyperlink" Target="https://cohesiondata.ec.europa.eu/2021-2027-Categorisation/2021-2027-Finances-details-categorisation-multi-fu/hgyj-gyin" TargetMode="External"/><Relationship Id="rId78" Type="http://schemas.openxmlformats.org/officeDocument/2006/relationships/hyperlink" Target="https://eur-lex.europa.eu/legal-content/EN/TXT/?uri=CELEX:52023DC0298" TargetMode="External"/><Relationship Id="rId81" Type="http://schemas.openxmlformats.org/officeDocument/2006/relationships/hyperlink" Target="https://investeu.europa.eu/index_en" TargetMode="External"/><Relationship Id="rId86" Type="http://schemas.openxmlformats.org/officeDocument/2006/relationships/hyperlink" Target="https://commission.europa.eu/strategy-and-policy/priorities-2019-2024/stronger-europe-world/global-gatewa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CD0E-2E09-452D-A6ED-321D7AC6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12773</Words>
  <Characters>73318</Characters>
  <Application>Microsoft Office Word</Application>
  <DocSecurity>0</DocSecurity>
  <Lines>1018</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25</cp:revision>
  <cp:lastPrinted>2023-11-10T09:33:00Z</cp:lastPrinted>
  <dcterms:created xsi:type="dcterms:W3CDTF">2023-12-06T14:47:00Z</dcterms:created>
  <dcterms:modified xsi:type="dcterms:W3CDTF">2023-12-11T08:51:00Z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2023-09-28T14:34:58Z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3f3ee531-c85a-4cd9-865c-b444eab5dd1e</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CP-014</vt:lpwstr>
  </property>
  <property fmtid="{D5CDD505-2E9C-101B-9397-08002B2CF9AE}" pid="14" name="Last edited using">
    <vt:lpwstr>LW 9.0, Build 20230317</vt:lpwstr>
  </property>
  <property fmtid="{D5CDD505-2E9C-101B-9397-08002B2CF9AE}" pid="15" name="Created using">
    <vt:lpwstr>LW 9.0, Build 20230317</vt:lpwstr>
  </property>
</Properties>
</file>