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4826" w14:textId="21434083" w:rsidR="0084640F" w:rsidRPr="00C31310" w:rsidRDefault="00EA4533" w:rsidP="00EA4533">
      <w:pPr>
        <w:pStyle w:val="Pagedecouverture"/>
        <w:rPr>
          <w:noProof/>
        </w:rPr>
      </w:pPr>
      <w:bookmarkStart w:id="0" w:name="LW_BM_COVERPAGE"/>
      <w:r>
        <w:rPr>
          <w:noProof/>
        </w:rPr>
        <w:pict w14:anchorId="5878A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CBD1F1FA-05F3-48D6-80FB-894EAEF8526B" style="width:455.25pt;height:296.25pt">
            <v:imagedata r:id="rId11" o:title=""/>
          </v:shape>
        </w:pict>
      </w:r>
    </w:p>
    <w:bookmarkEnd w:id="0"/>
    <w:p w14:paraId="7A465214" w14:textId="77777777" w:rsidR="0084640F" w:rsidRPr="00C31310" w:rsidRDefault="0084640F" w:rsidP="0084640F">
      <w:pPr>
        <w:rPr>
          <w:noProof/>
          <w:lang w:val="en-GB"/>
        </w:rPr>
        <w:sectPr w:rsidR="0084640F" w:rsidRPr="00C31310" w:rsidSect="00EA453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D0F56CB" w14:textId="41E9FF7B" w:rsidR="00782083" w:rsidRDefault="00E708C5" w:rsidP="00E708C5">
      <w:pPr>
        <w:jc w:val="center"/>
        <w:rPr>
          <w:rFonts w:ascii="Times New Roman" w:hAnsi="Times New Roman" w:cs="Times New Roman"/>
          <w:b/>
          <w:bCs/>
          <w:noProof/>
          <w:sz w:val="24"/>
          <w:szCs w:val="24"/>
        </w:rPr>
      </w:pPr>
      <w:bookmarkStart w:id="1" w:name="_GoBack"/>
      <w:bookmarkEnd w:id="1"/>
      <w:r>
        <w:rPr>
          <w:rFonts w:ascii="Times New Roman" w:hAnsi="Times New Roman"/>
          <w:b/>
          <w:noProof/>
          <w:sz w:val="24"/>
        </w:rPr>
        <w:lastRenderedPageBreak/>
        <w:t xml:space="preserve">INFORME DE SITUACIÓN DE 2023 </w:t>
      </w:r>
      <w:r w:rsidR="006D0A9F">
        <w:rPr>
          <w:rFonts w:ascii="Times New Roman" w:hAnsi="Times New Roman"/>
          <w:b/>
          <w:noProof/>
          <w:sz w:val="24"/>
        </w:rPr>
        <w:t xml:space="preserve">EN MATERIA DE COMPETITIVIDAD </w:t>
      </w:r>
      <w:r>
        <w:rPr>
          <w:rFonts w:ascii="Times New Roman" w:hAnsi="Times New Roman"/>
          <w:b/>
          <w:noProof/>
          <w:sz w:val="24"/>
        </w:rPr>
        <w:t>DE LAS TECNOLOGÍAS ENERGÉTICAS LIMPIAS</w:t>
      </w:r>
    </w:p>
    <w:p w14:paraId="4B13CFFF" w14:textId="77777777" w:rsidR="00E708C5" w:rsidRPr="00C223F1" w:rsidRDefault="00E708C5" w:rsidP="00E708C5">
      <w:pPr>
        <w:jc w:val="center"/>
        <w:rPr>
          <w:rFonts w:ascii="Times New Roman" w:hAnsi="Times New Roman" w:cs="Times New Roman"/>
          <w:b/>
          <w:bCs/>
          <w:noProof/>
          <w:sz w:val="24"/>
          <w:szCs w:val="24"/>
          <w:lang w:eastAsia="fr-BE"/>
        </w:rPr>
      </w:pPr>
    </w:p>
    <w:sdt>
      <w:sdtPr>
        <w:rPr>
          <w:rFonts w:ascii="Times New Roman" w:hAnsi="Times New Roman" w:cs="Times New Roman"/>
          <w:noProof/>
          <w:color w:val="2B579A"/>
          <w:sz w:val="24"/>
          <w:szCs w:val="24"/>
          <w:shd w:val="clear" w:color="auto" w:fill="E6E6E6"/>
        </w:rPr>
        <w:id w:val="-550775335"/>
        <w:docPartObj>
          <w:docPartGallery w:val="Table of Contents"/>
          <w:docPartUnique/>
        </w:docPartObj>
      </w:sdtPr>
      <w:sdtEndPr>
        <w:rPr>
          <w:b/>
        </w:rPr>
      </w:sdtEndPr>
      <w:sdtContent>
        <w:p w14:paraId="49AB9AF1" w14:textId="37BAC3D0" w:rsidR="006D0A9F" w:rsidRDefault="001B2A1C">
          <w:pPr>
            <w:pStyle w:val="TOC1"/>
            <w:rPr>
              <w:rFonts w:eastAsiaTheme="minorEastAsia"/>
              <w:noProof/>
              <w:lang w:eastAsia="es-ES"/>
            </w:rPr>
          </w:pPr>
          <w:r w:rsidRPr="00E708C5">
            <w:rPr>
              <w:rFonts w:ascii="Times New Roman" w:hAnsi="Times New Roman" w:cs="Times New Roman"/>
              <w:noProof/>
              <w:color w:val="2B579A"/>
              <w:sz w:val="24"/>
              <w:shd w:val="clear" w:color="auto" w:fill="E6E6E6"/>
            </w:rPr>
            <w:fldChar w:fldCharType="begin"/>
          </w:r>
          <w:r w:rsidRPr="00E708C5">
            <w:rPr>
              <w:rFonts w:ascii="Times New Roman" w:hAnsi="Times New Roman" w:cs="Times New Roman"/>
              <w:noProof/>
              <w:sz w:val="24"/>
            </w:rPr>
            <w:instrText xml:space="preserve"> TOC \o "1-3" \h \z \u </w:instrText>
          </w:r>
          <w:r w:rsidRPr="00E708C5">
            <w:rPr>
              <w:rFonts w:ascii="Times New Roman" w:hAnsi="Times New Roman" w:cs="Times New Roman"/>
              <w:noProof/>
              <w:color w:val="2B579A"/>
              <w:sz w:val="24"/>
              <w:shd w:val="clear" w:color="auto" w:fill="E6E6E6"/>
            </w:rPr>
            <w:fldChar w:fldCharType="separate"/>
          </w:r>
          <w:hyperlink w:anchor="_Toc153536053" w:history="1">
            <w:r w:rsidR="006D0A9F" w:rsidRPr="00790989">
              <w:rPr>
                <w:rStyle w:val="Hyperlink"/>
                <w:noProof/>
              </w:rPr>
              <w:t>RESUMEN</w:t>
            </w:r>
            <w:r w:rsidR="006D0A9F">
              <w:rPr>
                <w:noProof/>
                <w:webHidden/>
              </w:rPr>
              <w:tab/>
            </w:r>
            <w:r w:rsidR="006D0A9F">
              <w:rPr>
                <w:noProof/>
                <w:webHidden/>
              </w:rPr>
              <w:fldChar w:fldCharType="begin"/>
            </w:r>
            <w:r w:rsidR="006D0A9F">
              <w:rPr>
                <w:noProof/>
                <w:webHidden/>
              </w:rPr>
              <w:instrText xml:space="preserve"> PAGEREF _Toc153536053 \h </w:instrText>
            </w:r>
            <w:r w:rsidR="006D0A9F">
              <w:rPr>
                <w:noProof/>
                <w:webHidden/>
              </w:rPr>
            </w:r>
            <w:r w:rsidR="006D0A9F">
              <w:rPr>
                <w:noProof/>
                <w:webHidden/>
              </w:rPr>
              <w:fldChar w:fldCharType="separate"/>
            </w:r>
            <w:r w:rsidR="006D0A9F">
              <w:rPr>
                <w:noProof/>
                <w:webHidden/>
              </w:rPr>
              <w:t>2</w:t>
            </w:r>
            <w:r w:rsidR="006D0A9F">
              <w:rPr>
                <w:noProof/>
                <w:webHidden/>
              </w:rPr>
              <w:fldChar w:fldCharType="end"/>
            </w:r>
          </w:hyperlink>
        </w:p>
        <w:p w14:paraId="5763E08C" w14:textId="497A25FF" w:rsidR="006D0A9F" w:rsidRDefault="00EA4533">
          <w:pPr>
            <w:pStyle w:val="TOC1"/>
            <w:rPr>
              <w:rFonts w:eastAsiaTheme="minorEastAsia"/>
              <w:noProof/>
              <w:lang w:eastAsia="es-ES"/>
            </w:rPr>
          </w:pPr>
          <w:hyperlink w:anchor="_Toc153536054" w:history="1">
            <w:r w:rsidR="006D0A9F" w:rsidRPr="00790989">
              <w:rPr>
                <w:rStyle w:val="Hyperlink"/>
                <w:noProof/>
              </w:rPr>
              <w:t>1.</w:t>
            </w:r>
            <w:r w:rsidR="006D0A9F">
              <w:rPr>
                <w:rFonts w:eastAsiaTheme="minorEastAsia"/>
                <w:noProof/>
                <w:lang w:eastAsia="es-ES"/>
              </w:rPr>
              <w:tab/>
            </w:r>
            <w:r w:rsidR="006D0A9F" w:rsidRPr="00790989">
              <w:rPr>
                <w:rStyle w:val="Hyperlink"/>
                <w:noProof/>
              </w:rPr>
              <w:t>INTRODUCCIÓN</w:t>
            </w:r>
            <w:r w:rsidR="006D0A9F">
              <w:rPr>
                <w:noProof/>
                <w:webHidden/>
              </w:rPr>
              <w:tab/>
            </w:r>
            <w:r w:rsidR="006D0A9F">
              <w:rPr>
                <w:noProof/>
                <w:webHidden/>
              </w:rPr>
              <w:fldChar w:fldCharType="begin"/>
            </w:r>
            <w:r w:rsidR="006D0A9F">
              <w:rPr>
                <w:noProof/>
                <w:webHidden/>
              </w:rPr>
              <w:instrText xml:space="preserve"> PAGEREF _Toc153536054 \h </w:instrText>
            </w:r>
            <w:r w:rsidR="006D0A9F">
              <w:rPr>
                <w:noProof/>
                <w:webHidden/>
              </w:rPr>
            </w:r>
            <w:r w:rsidR="006D0A9F">
              <w:rPr>
                <w:noProof/>
                <w:webHidden/>
              </w:rPr>
              <w:fldChar w:fldCharType="separate"/>
            </w:r>
            <w:r w:rsidR="006D0A9F">
              <w:rPr>
                <w:noProof/>
                <w:webHidden/>
              </w:rPr>
              <w:t>6</w:t>
            </w:r>
            <w:r w:rsidR="006D0A9F">
              <w:rPr>
                <w:noProof/>
                <w:webHidden/>
              </w:rPr>
              <w:fldChar w:fldCharType="end"/>
            </w:r>
          </w:hyperlink>
        </w:p>
        <w:p w14:paraId="2DAA4243" w14:textId="235BD0F3" w:rsidR="006D0A9F" w:rsidRDefault="00EA4533">
          <w:pPr>
            <w:pStyle w:val="TOC1"/>
            <w:rPr>
              <w:rFonts w:eastAsiaTheme="minorEastAsia"/>
              <w:noProof/>
              <w:lang w:eastAsia="es-ES"/>
            </w:rPr>
          </w:pPr>
          <w:hyperlink w:anchor="_Toc153536055" w:history="1">
            <w:r w:rsidR="006D0A9F" w:rsidRPr="00790989">
              <w:rPr>
                <w:rStyle w:val="Hyperlink"/>
                <w:noProof/>
              </w:rPr>
              <w:t>2.</w:t>
            </w:r>
            <w:r w:rsidR="006D0A9F">
              <w:rPr>
                <w:rFonts w:eastAsiaTheme="minorEastAsia"/>
                <w:noProof/>
                <w:lang w:eastAsia="es-ES"/>
              </w:rPr>
              <w:tab/>
            </w:r>
            <w:r w:rsidR="006D0A9F" w:rsidRPr="00790989">
              <w:rPr>
                <w:rStyle w:val="Hyperlink"/>
                <w:noProof/>
              </w:rPr>
              <w:t>EVALUACIÓN DE LA SITUACIÓN DE LA COMPETITIVIDAD DEL SECTOR DE LAS ENERGÍAS LIMPIAS DE LA UE</w:t>
            </w:r>
            <w:r w:rsidR="006D0A9F">
              <w:rPr>
                <w:noProof/>
                <w:webHidden/>
              </w:rPr>
              <w:tab/>
            </w:r>
            <w:r w:rsidR="006D0A9F">
              <w:rPr>
                <w:noProof/>
                <w:webHidden/>
              </w:rPr>
              <w:fldChar w:fldCharType="begin"/>
            </w:r>
            <w:r w:rsidR="006D0A9F">
              <w:rPr>
                <w:noProof/>
                <w:webHidden/>
              </w:rPr>
              <w:instrText xml:space="preserve"> PAGEREF _Toc153536055 \h </w:instrText>
            </w:r>
            <w:r w:rsidR="006D0A9F">
              <w:rPr>
                <w:noProof/>
                <w:webHidden/>
              </w:rPr>
            </w:r>
            <w:r w:rsidR="006D0A9F">
              <w:rPr>
                <w:noProof/>
                <w:webHidden/>
              </w:rPr>
              <w:fldChar w:fldCharType="separate"/>
            </w:r>
            <w:r w:rsidR="006D0A9F">
              <w:rPr>
                <w:noProof/>
                <w:webHidden/>
              </w:rPr>
              <w:t>9</w:t>
            </w:r>
            <w:r w:rsidR="006D0A9F">
              <w:rPr>
                <w:noProof/>
                <w:webHidden/>
              </w:rPr>
              <w:fldChar w:fldCharType="end"/>
            </w:r>
          </w:hyperlink>
        </w:p>
        <w:p w14:paraId="77BCD14A" w14:textId="13CB07C9" w:rsidR="006D0A9F" w:rsidRDefault="00EA4533">
          <w:pPr>
            <w:pStyle w:val="TOC3"/>
            <w:rPr>
              <w:rFonts w:eastAsiaTheme="minorEastAsia"/>
              <w:noProof/>
              <w:lang w:eastAsia="es-ES"/>
            </w:rPr>
          </w:pPr>
          <w:hyperlink w:anchor="_Toc153536056" w:history="1">
            <w:r w:rsidR="006D0A9F" w:rsidRPr="00790989">
              <w:rPr>
                <w:rStyle w:val="Hyperlink"/>
                <w:rFonts w:ascii="Times New Roman" w:hAnsi="Times New Roman" w:cs="Times New Roman"/>
                <w:b/>
                <w:bCs/>
                <w:noProof/>
              </w:rPr>
              <w:t>2.1</w:t>
            </w:r>
            <w:r w:rsidR="006D0A9F">
              <w:rPr>
                <w:rFonts w:eastAsiaTheme="minorEastAsia"/>
                <w:noProof/>
                <w:lang w:eastAsia="es-ES"/>
              </w:rPr>
              <w:tab/>
            </w:r>
            <w:r w:rsidR="006D0A9F" w:rsidRPr="00790989">
              <w:rPr>
                <w:rStyle w:val="Hyperlink"/>
                <w:rFonts w:ascii="Times New Roman" w:hAnsi="Times New Roman"/>
                <w:b/>
                <w:noProof/>
              </w:rPr>
              <w:t>El impacto de los elevados precios de la energía y de las materias primas en el sector de la energía limpia de la UE</w:t>
            </w:r>
            <w:r w:rsidR="006D0A9F">
              <w:rPr>
                <w:noProof/>
                <w:webHidden/>
              </w:rPr>
              <w:tab/>
            </w:r>
            <w:r w:rsidR="006D0A9F">
              <w:rPr>
                <w:noProof/>
                <w:webHidden/>
              </w:rPr>
              <w:fldChar w:fldCharType="begin"/>
            </w:r>
            <w:r w:rsidR="006D0A9F">
              <w:rPr>
                <w:noProof/>
                <w:webHidden/>
              </w:rPr>
              <w:instrText xml:space="preserve"> PAGEREF _Toc153536056 \h </w:instrText>
            </w:r>
            <w:r w:rsidR="006D0A9F">
              <w:rPr>
                <w:noProof/>
                <w:webHidden/>
              </w:rPr>
            </w:r>
            <w:r w:rsidR="006D0A9F">
              <w:rPr>
                <w:noProof/>
                <w:webHidden/>
              </w:rPr>
              <w:fldChar w:fldCharType="separate"/>
            </w:r>
            <w:r w:rsidR="006D0A9F">
              <w:rPr>
                <w:noProof/>
                <w:webHidden/>
              </w:rPr>
              <w:t>9</w:t>
            </w:r>
            <w:r w:rsidR="006D0A9F">
              <w:rPr>
                <w:noProof/>
                <w:webHidden/>
              </w:rPr>
              <w:fldChar w:fldCharType="end"/>
            </w:r>
          </w:hyperlink>
        </w:p>
        <w:p w14:paraId="21B5F2A1" w14:textId="30A51A7D" w:rsidR="006D0A9F" w:rsidRDefault="00EA4533">
          <w:pPr>
            <w:pStyle w:val="TOC3"/>
            <w:rPr>
              <w:rFonts w:eastAsiaTheme="minorEastAsia"/>
              <w:noProof/>
              <w:lang w:eastAsia="es-ES"/>
            </w:rPr>
          </w:pPr>
          <w:hyperlink w:anchor="_Toc153536057" w:history="1">
            <w:r w:rsidR="006D0A9F" w:rsidRPr="00790989">
              <w:rPr>
                <w:rStyle w:val="Hyperlink"/>
                <w:rFonts w:ascii="Times New Roman" w:hAnsi="Times New Roman" w:cs="Times New Roman"/>
                <w:b/>
                <w:bCs/>
                <w:noProof/>
              </w:rPr>
              <w:t>2.2</w:t>
            </w:r>
            <w:r w:rsidR="006D0A9F">
              <w:rPr>
                <w:rFonts w:eastAsiaTheme="minorEastAsia"/>
                <w:noProof/>
                <w:lang w:eastAsia="es-ES"/>
              </w:rPr>
              <w:tab/>
            </w:r>
            <w:r w:rsidR="006D0A9F" w:rsidRPr="00790989">
              <w:rPr>
                <w:rStyle w:val="Hyperlink"/>
                <w:rFonts w:ascii="Times New Roman" w:hAnsi="Times New Roman"/>
                <w:b/>
                <w:noProof/>
              </w:rPr>
              <w:t>De los recursos al ensamblaje: fortalecimiento de la UE como potencia industrial</w:t>
            </w:r>
            <w:r w:rsidR="006D0A9F">
              <w:rPr>
                <w:noProof/>
                <w:webHidden/>
              </w:rPr>
              <w:tab/>
            </w:r>
            <w:r w:rsidR="006D0A9F">
              <w:rPr>
                <w:noProof/>
                <w:webHidden/>
              </w:rPr>
              <w:fldChar w:fldCharType="begin"/>
            </w:r>
            <w:r w:rsidR="006D0A9F">
              <w:rPr>
                <w:noProof/>
                <w:webHidden/>
              </w:rPr>
              <w:instrText xml:space="preserve"> PAGEREF _Toc153536057 \h </w:instrText>
            </w:r>
            <w:r w:rsidR="006D0A9F">
              <w:rPr>
                <w:noProof/>
                <w:webHidden/>
              </w:rPr>
            </w:r>
            <w:r w:rsidR="006D0A9F">
              <w:rPr>
                <w:noProof/>
                <w:webHidden/>
              </w:rPr>
              <w:fldChar w:fldCharType="separate"/>
            </w:r>
            <w:r w:rsidR="006D0A9F">
              <w:rPr>
                <w:noProof/>
                <w:webHidden/>
              </w:rPr>
              <w:t>12</w:t>
            </w:r>
            <w:r w:rsidR="006D0A9F">
              <w:rPr>
                <w:noProof/>
                <w:webHidden/>
              </w:rPr>
              <w:fldChar w:fldCharType="end"/>
            </w:r>
          </w:hyperlink>
        </w:p>
        <w:p w14:paraId="5C29CFF2" w14:textId="3DE6A35F" w:rsidR="006D0A9F" w:rsidRDefault="00EA4533">
          <w:pPr>
            <w:pStyle w:val="TOC3"/>
            <w:rPr>
              <w:rFonts w:eastAsiaTheme="minorEastAsia"/>
              <w:noProof/>
              <w:lang w:eastAsia="es-ES"/>
            </w:rPr>
          </w:pPr>
          <w:hyperlink w:anchor="_Toc153536058" w:history="1">
            <w:r w:rsidR="006D0A9F" w:rsidRPr="00790989">
              <w:rPr>
                <w:rStyle w:val="Hyperlink"/>
                <w:rFonts w:ascii="Times New Roman" w:hAnsi="Times New Roman" w:cs="Times New Roman"/>
                <w:b/>
                <w:bCs/>
                <w:noProof/>
              </w:rPr>
              <w:t>2.3</w:t>
            </w:r>
            <w:r w:rsidR="006D0A9F">
              <w:rPr>
                <w:rFonts w:eastAsiaTheme="minorEastAsia"/>
                <w:noProof/>
                <w:lang w:eastAsia="es-ES"/>
              </w:rPr>
              <w:tab/>
            </w:r>
            <w:r w:rsidR="006D0A9F" w:rsidRPr="00790989">
              <w:rPr>
                <w:rStyle w:val="Hyperlink"/>
                <w:rFonts w:ascii="Times New Roman" w:hAnsi="Times New Roman"/>
                <w:b/>
                <w:noProof/>
              </w:rPr>
              <w:t>Capital humano y capacidades: suplir las carencias y la escasez de capacidades para evitar cuellos de botella</w:t>
            </w:r>
            <w:r w:rsidR="006D0A9F">
              <w:rPr>
                <w:noProof/>
                <w:webHidden/>
              </w:rPr>
              <w:tab/>
            </w:r>
            <w:r w:rsidR="006D0A9F">
              <w:rPr>
                <w:noProof/>
                <w:webHidden/>
              </w:rPr>
              <w:fldChar w:fldCharType="begin"/>
            </w:r>
            <w:r w:rsidR="006D0A9F">
              <w:rPr>
                <w:noProof/>
                <w:webHidden/>
              </w:rPr>
              <w:instrText xml:space="preserve"> PAGEREF _Toc153536058 \h </w:instrText>
            </w:r>
            <w:r w:rsidR="006D0A9F">
              <w:rPr>
                <w:noProof/>
                <w:webHidden/>
              </w:rPr>
            </w:r>
            <w:r w:rsidR="006D0A9F">
              <w:rPr>
                <w:noProof/>
                <w:webHidden/>
              </w:rPr>
              <w:fldChar w:fldCharType="separate"/>
            </w:r>
            <w:r w:rsidR="006D0A9F">
              <w:rPr>
                <w:noProof/>
                <w:webHidden/>
              </w:rPr>
              <w:t>17</w:t>
            </w:r>
            <w:r w:rsidR="006D0A9F">
              <w:rPr>
                <w:noProof/>
                <w:webHidden/>
              </w:rPr>
              <w:fldChar w:fldCharType="end"/>
            </w:r>
          </w:hyperlink>
        </w:p>
        <w:p w14:paraId="4B1B5F5D" w14:textId="30C71FBF" w:rsidR="006D0A9F" w:rsidRDefault="00EA4533">
          <w:pPr>
            <w:pStyle w:val="TOC3"/>
            <w:rPr>
              <w:rFonts w:eastAsiaTheme="minorEastAsia"/>
              <w:noProof/>
              <w:lang w:eastAsia="es-ES"/>
            </w:rPr>
          </w:pPr>
          <w:hyperlink w:anchor="_Toc153536059" w:history="1">
            <w:r w:rsidR="006D0A9F" w:rsidRPr="00790989">
              <w:rPr>
                <w:rStyle w:val="Hyperlink"/>
                <w:rFonts w:ascii="Times New Roman" w:hAnsi="Times New Roman" w:cs="Times New Roman"/>
                <w:b/>
                <w:bCs/>
                <w:noProof/>
              </w:rPr>
              <w:t>2.4</w:t>
            </w:r>
            <w:r w:rsidR="006D0A9F">
              <w:rPr>
                <w:rFonts w:eastAsiaTheme="minorEastAsia"/>
                <w:noProof/>
                <w:lang w:eastAsia="es-ES"/>
              </w:rPr>
              <w:tab/>
            </w:r>
            <w:r w:rsidR="006D0A9F" w:rsidRPr="00790989">
              <w:rPr>
                <w:rStyle w:val="Hyperlink"/>
                <w:rFonts w:ascii="Times New Roman" w:hAnsi="Times New Roman"/>
                <w:b/>
                <w:noProof/>
              </w:rPr>
              <w:t>De la investigación e innovación a la implantación en el mercado: trazar un camino de éxito para la UE</w:t>
            </w:r>
            <w:r w:rsidR="006D0A9F">
              <w:rPr>
                <w:noProof/>
                <w:webHidden/>
              </w:rPr>
              <w:tab/>
            </w:r>
            <w:r w:rsidR="006D0A9F">
              <w:rPr>
                <w:noProof/>
                <w:webHidden/>
              </w:rPr>
              <w:fldChar w:fldCharType="begin"/>
            </w:r>
            <w:r w:rsidR="006D0A9F">
              <w:rPr>
                <w:noProof/>
                <w:webHidden/>
              </w:rPr>
              <w:instrText xml:space="preserve"> PAGEREF _Toc153536059 \h </w:instrText>
            </w:r>
            <w:r w:rsidR="006D0A9F">
              <w:rPr>
                <w:noProof/>
                <w:webHidden/>
              </w:rPr>
            </w:r>
            <w:r w:rsidR="006D0A9F">
              <w:rPr>
                <w:noProof/>
                <w:webHidden/>
              </w:rPr>
              <w:fldChar w:fldCharType="separate"/>
            </w:r>
            <w:r w:rsidR="006D0A9F">
              <w:rPr>
                <w:noProof/>
                <w:webHidden/>
              </w:rPr>
              <w:t>20</w:t>
            </w:r>
            <w:r w:rsidR="006D0A9F">
              <w:rPr>
                <w:noProof/>
                <w:webHidden/>
              </w:rPr>
              <w:fldChar w:fldCharType="end"/>
            </w:r>
          </w:hyperlink>
        </w:p>
        <w:p w14:paraId="74265490" w14:textId="77451128" w:rsidR="006D0A9F" w:rsidRDefault="00EA4533">
          <w:pPr>
            <w:pStyle w:val="TOC3"/>
            <w:rPr>
              <w:rFonts w:eastAsiaTheme="minorEastAsia"/>
              <w:noProof/>
              <w:lang w:eastAsia="es-ES"/>
            </w:rPr>
          </w:pPr>
          <w:hyperlink w:anchor="_Toc153536060" w:history="1">
            <w:r w:rsidR="006D0A9F" w:rsidRPr="00790989">
              <w:rPr>
                <w:rStyle w:val="Hyperlink"/>
                <w:rFonts w:ascii="Times New Roman" w:hAnsi="Times New Roman" w:cs="Times New Roman"/>
                <w:b/>
                <w:bCs/>
                <w:noProof/>
              </w:rPr>
              <w:t>2.5</w:t>
            </w:r>
            <w:r w:rsidR="006D0A9F">
              <w:rPr>
                <w:rFonts w:eastAsiaTheme="minorEastAsia"/>
                <w:noProof/>
                <w:lang w:eastAsia="es-ES"/>
              </w:rPr>
              <w:tab/>
            </w:r>
            <w:r w:rsidR="006D0A9F" w:rsidRPr="00790989">
              <w:rPr>
                <w:rStyle w:val="Hyperlink"/>
                <w:rFonts w:ascii="Times New Roman" w:hAnsi="Times New Roman"/>
                <w:b/>
                <w:noProof/>
              </w:rPr>
              <w:t>El panorama del capital riesgo: atraer capital a la UE</w:t>
            </w:r>
            <w:r w:rsidR="006D0A9F">
              <w:rPr>
                <w:noProof/>
                <w:webHidden/>
              </w:rPr>
              <w:tab/>
            </w:r>
            <w:r w:rsidR="006D0A9F">
              <w:rPr>
                <w:noProof/>
                <w:webHidden/>
              </w:rPr>
              <w:fldChar w:fldCharType="begin"/>
            </w:r>
            <w:r w:rsidR="006D0A9F">
              <w:rPr>
                <w:noProof/>
                <w:webHidden/>
              </w:rPr>
              <w:instrText xml:space="preserve"> PAGEREF _Toc153536060 \h </w:instrText>
            </w:r>
            <w:r w:rsidR="006D0A9F">
              <w:rPr>
                <w:noProof/>
                <w:webHidden/>
              </w:rPr>
            </w:r>
            <w:r w:rsidR="006D0A9F">
              <w:rPr>
                <w:noProof/>
                <w:webHidden/>
              </w:rPr>
              <w:fldChar w:fldCharType="separate"/>
            </w:r>
            <w:r w:rsidR="006D0A9F">
              <w:rPr>
                <w:noProof/>
                <w:webHidden/>
              </w:rPr>
              <w:t>22</w:t>
            </w:r>
            <w:r w:rsidR="006D0A9F">
              <w:rPr>
                <w:noProof/>
                <w:webHidden/>
              </w:rPr>
              <w:fldChar w:fldCharType="end"/>
            </w:r>
          </w:hyperlink>
        </w:p>
        <w:p w14:paraId="7D871A16" w14:textId="1EE0E630" w:rsidR="006D0A9F" w:rsidRDefault="00EA4533">
          <w:pPr>
            <w:pStyle w:val="TOC1"/>
            <w:rPr>
              <w:rFonts w:eastAsiaTheme="minorEastAsia"/>
              <w:noProof/>
              <w:lang w:eastAsia="es-ES"/>
            </w:rPr>
          </w:pPr>
          <w:hyperlink w:anchor="_Toc153536061" w:history="1">
            <w:r w:rsidR="006D0A9F" w:rsidRPr="00790989">
              <w:rPr>
                <w:rStyle w:val="Hyperlink"/>
                <w:noProof/>
              </w:rPr>
              <w:t>3.</w:t>
            </w:r>
            <w:r w:rsidR="006D0A9F">
              <w:rPr>
                <w:rFonts w:eastAsiaTheme="minorEastAsia"/>
                <w:noProof/>
                <w:lang w:eastAsia="es-ES"/>
              </w:rPr>
              <w:tab/>
            </w:r>
            <w:r w:rsidR="006D0A9F" w:rsidRPr="00790989">
              <w:rPr>
                <w:rStyle w:val="Hyperlink"/>
                <w:noProof/>
              </w:rPr>
              <w:t>EVALUACIÓN DE LA COMPETITIVIDAD DE LAS TECNOLOGÍAS ESTRATÉGICAS DE CERO EMISIONES NETAS</w:t>
            </w:r>
            <w:r w:rsidR="006D0A9F">
              <w:rPr>
                <w:noProof/>
                <w:webHidden/>
              </w:rPr>
              <w:tab/>
            </w:r>
            <w:r w:rsidR="006D0A9F">
              <w:rPr>
                <w:noProof/>
                <w:webHidden/>
              </w:rPr>
              <w:fldChar w:fldCharType="begin"/>
            </w:r>
            <w:r w:rsidR="006D0A9F">
              <w:rPr>
                <w:noProof/>
                <w:webHidden/>
              </w:rPr>
              <w:instrText xml:space="preserve"> PAGEREF _Toc153536061 \h </w:instrText>
            </w:r>
            <w:r w:rsidR="006D0A9F">
              <w:rPr>
                <w:noProof/>
                <w:webHidden/>
              </w:rPr>
            </w:r>
            <w:r w:rsidR="006D0A9F">
              <w:rPr>
                <w:noProof/>
                <w:webHidden/>
              </w:rPr>
              <w:fldChar w:fldCharType="separate"/>
            </w:r>
            <w:r w:rsidR="006D0A9F">
              <w:rPr>
                <w:noProof/>
                <w:webHidden/>
              </w:rPr>
              <w:t>25</w:t>
            </w:r>
            <w:r w:rsidR="006D0A9F">
              <w:rPr>
                <w:noProof/>
                <w:webHidden/>
              </w:rPr>
              <w:fldChar w:fldCharType="end"/>
            </w:r>
          </w:hyperlink>
        </w:p>
        <w:p w14:paraId="4300AEE9" w14:textId="302D4513" w:rsidR="006D0A9F" w:rsidRDefault="00EA4533">
          <w:pPr>
            <w:pStyle w:val="TOC3"/>
            <w:rPr>
              <w:rFonts w:eastAsiaTheme="minorEastAsia"/>
              <w:noProof/>
              <w:lang w:eastAsia="es-ES"/>
            </w:rPr>
          </w:pPr>
          <w:hyperlink w:anchor="_Toc153536063" w:history="1">
            <w:r w:rsidR="006D0A9F" w:rsidRPr="00790989">
              <w:rPr>
                <w:rStyle w:val="Hyperlink"/>
                <w:rFonts w:ascii="Times New Roman" w:hAnsi="Times New Roman" w:cs="Times New Roman"/>
                <w:b/>
                <w:bCs/>
                <w:noProof/>
              </w:rPr>
              <w:t>3.1</w:t>
            </w:r>
            <w:r w:rsidR="006D0A9F">
              <w:rPr>
                <w:rFonts w:eastAsiaTheme="minorEastAsia"/>
                <w:noProof/>
                <w:lang w:eastAsia="es-ES"/>
              </w:rPr>
              <w:tab/>
            </w:r>
            <w:r w:rsidR="006D0A9F" w:rsidRPr="00790989">
              <w:rPr>
                <w:rStyle w:val="Hyperlink"/>
                <w:rFonts w:ascii="Times New Roman" w:hAnsi="Times New Roman"/>
                <w:b/>
                <w:noProof/>
              </w:rPr>
              <w:t>Energía solar fotovoltaica</w:t>
            </w:r>
            <w:r w:rsidR="006D0A9F">
              <w:rPr>
                <w:noProof/>
                <w:webHidden/>
              </w:rPr>
              <w:tab/>
            </w:r>
            <w:r w:rsidR="006D0A9F">
              <w:rPr>
                <w:noProof/>
                <w:webHidden/>
              </w:rPr>
              <w:fldChar w:fldCharType="begin"/>
            </w:r>
            <w:r w:rsidR="006D0A9F">
              <w:rPr>
                <w:noProof/>
                <w:webHidden/>
              </w:rPr>
              <w:instrText xml:space="preserve"> PAGEREF _Toc153536063 \h </w:instrText>
            </w:r>
            <w:r w:rsidR="006D0A9F">
              <w:rPr>
                <w:noProof/>
                <w:webHidden/>
              </w:rPr>
            </w:r>
            <w:r w:rsidR="006D0A9F">
              <w:rPr>
                <w:noProof/>
                <w:webHidden/>
              </w:rPr>
              <w:fldChar w:fldCharType="separate"/>
            </w:r>
            <w:r w:rsidR="006D0A9F">
              <w:rPr>
                <w:noProof/>
                <w:webHidden/>
              </w:rPr>
              <w:t>25</w:t>
            </w:r>
            <w:r w:rsidR="006D0A9F">
              <w:rPr>
                <w:noProof/>
                <w:webHidden/>
              </w:rPr>
              <w:fldChar w:fldCharType="end"/>
            </w:r>
          </w:hyperlink>
        </w:p>
        <w:p w14:paraId="0C42F04C" w14:textId="717E4C59" w:rsidR="006D0A9F" w:rsidRDefault="00EA4533">
          <w:pPr>
            <w:pStyle w:val="TOC3"/>
            <w:rPr>
              <w:rFonts w:eastAsiaTheme="minorEastAsia"/>
              <w:noProof/>
              <w:lang w:eastAsia="es-ES"/>
            </w:rPr>
          </w:pPr>
          <w:hyperlink w:anchor="_Toc153536064" w:history="1">
            <w:r w:rsidR="006D0A9F" w:rsidRPr="00790989">
              <w:rPr>
                <w:rStyle w:val="Hyperlink"/>
                <w:rFonts w:ascii="Times New Roman" w:hAnsi="Times New Roman" w:cs="Times New Roman"/>
                <w:b/>
                <w:bCs/>
                <w:noProof/>
              </w:rPr>
              <w:t>3.2</w:t>
            </w:r>
            <w:r w:rsidR="006D0A9F">
              <w:rPr>
                <w:rFonts w:eastAsiaTheme="minorEastAsia"/>
                <w:noProof/>
                <w:lang w:eastAsia="es-ES"/>
              </w:rPr>
              <w:tab/>
            </w:r>
            <w:r w:rsidR="006D0A9F" w:rsidRPr="00790989">
              <w:rPr>
                <w:rStyle w:val="Hyperlink"/>
                <w:rFonts w:ascii="Times New Roman" w:hAnsi="Times New Roman"/>
                <w:b/>
                <w:noProof/>
              </w:rPr>
              <w:t>Energía solar térmica</w:t>
            </w:r>
            <w:r w:rsidR="006D0A9F">
              <w:rPr>
                <w:noProof/>
                <w:webHidden/>
              </w:rPr>
              <w:tab/>
            </w:r>
            <w:r w:rsidR="006D0A9F">
              <w:rPr>
                <w:noProof/>
                <w:webHidden/>
              </w:rPr>
              <w:fldChar w:fldCharType="begin"/>
            </w:r>
            <w:r w:rsidR="006D0A9F">
              <w:rPr>
                <w:noProof/>
                <w:webHidden/>
              </w:rPr>
              <w:instrText xml:space="preserve"> PAGEREF _Toc153536064 \h </w:instrText>
            </w:r>
            <w:r w:rsidR="006D0A9F">
              <w:rPr>
                <w:noProof/>
                <w:webHidden/>
              </w:rPr>
            </w:r>
            <w:r w:rsidR="006D0A9F">
              <w:rPr>
                <w:noProof/>
                <w:webHidden/>
              </w:rPr>
              <w:fldChar w:fldCharType="separate"/>
            </w:r>
            <w:r w:rsidR="006D0A9F">
              <w:rPr>
                <w:noProof/>
                <w:webHidden/>
              </w:rPr>
              <w:t>28</w:t>
            </w:r>
            <w:r w:rsidR="006D0A9F">
              <w:rPr>
                <w:noProof/>
                <w:webHidden/>
              </w:rPr>
              <w:fldChar w:fldCharType="end"/>
            </w:r>
          </w:hyperlink>
        </w:p>
        <w:p w14:paraId="7F094A4E" w14:textId="2BF7D0C1" w:rsidR="006D0A9F" w:rsidRDefault="00EA4533">
          <w:pPr>
            <w:pStyle w:val="TOC3"/>
            <w:rPr>
              <w:rFonts w:eastAsiaTheme="minorEastAsia"/>
              <w:noProof/>
              <w:lang w:eastAsia="es-ES"/>
            </w:rPr>
          </w:pPr>
          <w:hyperlink w:anchor="_Toc153536065" w:history="1">
            <w:r w:rsidR="006D0A9F" w:rsidRPr="00790989">
              <w:rPr>
                <w:rStyle w:val="Hyperlink"/>
                <w:rFonts w:ascii="Times New Roman" w:hAnsi="Times New Roman" w:cs="Times New Roman"/>
                <w:b/>
                <w:bCs/>
                <w:noProof/>
              </w:rPr>
              <w:t>3.3</w:t>
            </w:r>
            <w:r w:rsidR="006D0A9F">
              <w:rPr>
                <w:rFonts w:eastAsiaTheme="minorEastAsia"/>
                <w:noProof/>
                <w:lang w:eastAsia="es-ES"/>
              </w:rPr>
              <w:tab/>
            </w:r>
            <w:r w:rsidR="006D0A9F" w:rsidRPr="00790989">
              <w:rPr>
                <w:rStyle w:val="Hyperlink"/>
                <w:rFonts w:ascii="Times New Roman" w:hAnsi="Times New Roman"/>
                <w:b/>
                <w:noProof/>
              </w:rPr>
              <w:t>Energía eólica terrestre y marina</w:t>
            </w:r>
            <w:r w:rsidR="006D0A9F">
              <w:rPr>
                <w:noProof/>
                <w:webHidden/>
              </w:rPr>
              <w:tab/>
            </w:r>
            <w:r w:rsidR="006D0A9F">
              <w:rPr>
                <w:noProof/>
                <w:webHidden/>
              </w:rPr>
              <w:fldChar w:fldCharType="begin"/>
            </w:r>
            <w:r w:rsidR="006D0A9F">
              <w:rPr>
                <w:noProof/>
                <w:webHidden/>
              </w:rPr>
              <w:instrText xml:space="preserve"> PAGEREF _Toc153536065 \h </w:instrText>
            </w:r>
            <w:r w:rsidR="006D0A9F">
              <w:rPr>
                <w:noProof/>
                <w:webHidden/>
              </w:rPr>
            </w:r>
            <w:r w:rsidR="006D0A9F">
              <w:rPr>
                <w:noProof/>
                <w:webHidden/>
              </w:rPr>
              <w:fldChar w:fldCharType="separate"/>
            </w:r>
            <w:r w:rsidR="006D0A9F">
              <w:rPr>
                <w:noProof/>
                <w:webHidden/>
              </w:rPr>
              <w:t>29</w:t>
            </w:r>
            <w:r w:rsidR="006D0A9F">
              <w:rPr>
                <w:noProof/>
                <w:webHidden/>
              </w:rPr>
              <w:fldChar w:fldCharType="end"/>
            </w:r>
          </w:hyperlink>
        </w:p>
        <w:p w14:paraId="2274831B" w14:textId="70A3735F" w:rsidR="006D0A9F" w:rsidRDefault="00EA4533">
          <w:pPr>
            <w:pStyle w:val="TOC3"/>
            <w:rPr>
              <w:rFonts w:eastAsiaTheme="minorEastAsia"/>
              <w:noProof/>
              <w:lang w:eastAsia="es-ES"/>
            </w:rPr>
          </w:pPr>
          <w:hyperlink w:anchor="_Toc153536066" w:history="1">
            <w:r w:rsidR="006D0A9F" w:rsidRPr="00790989">
              <w:rPr>
                <w:rStyle w:val="Hyperlink"/>
                <w:rFonts w:ascii="Times New Roman" w:hAnsi="Times New Roman" w:cs="Times New Roman"/>
                <w:b/>
                <w:bCs/>
                <w:noProof/>
              </w:rPr>
              <w:t>3.4</w:t>
            </w:r>
            <w:r w:rsidR="006D0A9F">
              <w:rPr>
                <w:rFonts w:eastAsiaTheme="minorEastAsia"/>
                <w:noProof/>
                <w:lang w:eastAsia="es-ES"/>
              </w:rPr>
              <w:tab/>
            </w:r>
            <w:r w:rsidR="006D0A9F" w:rsidRPr="00790989">
              <w:rPr>
                <w:rStyle w:val="Hyperlink"/>
                <w:rFonts w:ascii="Times New Roman" w:hAnsi="Times New Roman"/>
                <w:b/>
                <w:noProof/>
              </w:rPr>
              <w:t>Energía oceánica</w:t>
            </w:r>
            <w:r w:rsidR="006D0A9F">
              <w:rPr>
                <w:noProof/>
                <w:webHidden/>
              </w:rPr>
              <w:tab/>
            </w:r>
            <w:r w:rsidR="006D0A9F">
              <w:rPr>
                <w:noProof/>
                <w:webHidden/>
              </w:rPr>
              <w:fldChar w:fldCharType="begin"/>
            </w:r>
            <w:r w:rsidR="006D0A9F">
              <w:rPr>
                <w:noProof/>
                <w:webHidden/>
              </w:rPr>
              <w:instrText xml:space="preserve"> PAGEREF _Toc153536066 \h </w:instrText>
            </w:r>
            <w:r w:rsidR="006D0A9F">
              <w:rPr>
                <w:noProof/>
                <w:webHidden/>
              </w:rPr>
            </w:r>
            <w:r w:rsidR="006D0A9F">
              <w:rPr>
                <w:noProof/>
                <w:webHidden/>
              </w:rPr>
              <w:fldChar w:fldCharType="separate"/>
            </w:r>
            <w:r w:rsidR="006D0A9F">
              <w:rPr>
                <w:noProof/>
                <w:webHidden/>
              </w:rPr>
              <w:t>31</w:t>
            </w:r>
            <w:r w:rsidR="006D0A9F">
              <w:rPr>
                <w:noProof/>
                <w:webHidden/>
              </w:rPr>
              <w:fldChar w:fldCharType="end"/>
            </w:r>
          </w:hyperlink>
        </w:p>
        <w:p w14:paraId="6AD66485" w14:textId="1CACF331" w:rsidR="006D0A9F" w:rsidRDefault="00EA4533">
          <w:pPr>
            <w:pStyle w:val="TOC3"/>
            <w:rPr>
              <w:rFonts w:eastAsiaTheme="minorEastAsia"/>
              <w:noProof/>
              <w:lang w:eastAsia="es-ES"/>
            </w:rPr>
          </w:pPr>
          <w:hyperlink w:anchor="_Toc153536067" w:history="1">
            <w:r w:rsidR="006D0A9F" w:rsidRPr="00790989">
              <w:rPr>
                <w:rStyle w:val="Hyperlink"/>
                <w:rFonts w:ascii="Times New Roman" w:hAnsi="Times New Roman" w:cs="Times New Roman"/>
                <w:b/>
                <w:bCs/>
                <w:noProof/>
              </w:rPr>
              <w:t>3.5</w:t>
            </w:r>
            <w:r w:rsidR="006D0A9F">
              <w:rPr>
                <w:rFonts w:eastAsiaTheme="minorEastAsia"/>
                <w:noProof/>
                <w:lang w:eastAsia="es-ES"/>
              </w:rPr>
              <w:tab/>
            </w:r>
            <w:r w:rsidR="006D0A9F" w:rsidRPr="00790989">
              <w:rPr>
                <w:rStyle w:val="Hyperlink"/>
                <w:rFonts w:ascii="Times New Roman" w:hAnsi="Times New Roman"/>
                <w:b/>
                <w:noProof/>
              </w:rPr>
              <w:t>Baterías</w:t>
            </w:r>
            <w:r w:rsidR="006D0A9F">
              <w:rPr>
                <w:noProof/>
                <w:webHidden/>
              </w:rPr>
              <w:tab/>
            </w:r>
            <w:r w:rsidR="006D0A9F">
              <w:rPr>
                <w:noProof/>
                <w:webHidden/>
              </w:rPr>
              <w:fldChar w:fldCharType="begin"/>
            </w:r>
            <w:r w:rsidR="006D0A9F">
              <w:rPr>
                <w:noProof/>
                <w:webHidden/>
              </w:rPr>
              <w:instrText xml:space="preserve"> PAGEREF _Toc153536067 \h </w:instrText>
            </w:r>
            <w:r w:rsidR="006D0A9F">
              <w:rPr>
                <w:noProof/>
                <w:webHidden/>
              </w:rPr>
            </w:r>
            <w:r w:rsidR="006D0A9F">
              <w:rPr>
                <w:noProof/>
                <w:webHidden/>
              </w:rPr>
              <w:fldChar w:fldCharType="separate"/>
            </w:r>
            <w:r w:rsidR="006D0A9F">
              <w:rPr>
                <w:noProof/>
                <w:webHidden/>
              </w:rPr>
              <w:t>32</w:t>
            </w:r>
            <w:r w:rsidR="006D0A9F">
              <w:rPr>
                <w:noProof/>
                <w:webHidden/>
              </w:rPr>
              <w:fldChar w:fldCharType="end"/>
            </w:r>
          </w:hyperlink>
        </w:p>
        <w:p w14:paraId="3DDB279F" w14:textId="3341AFCA" w:rsidR="006D0A9F" w:rsidRDefault="00EA4533">
          <w:pPr>
            <w:pStyle w:val="TOC3"/>
            <w:rPr>
              <w:rFonts w:eastAsiaTheme="minorEastAsia"/>
              <w:noProof/>
              <w:lang w:eastAsia="es-ES"/>
            </w:rPr>
          </w:pPr>
          <w:hyperlink w:anchor="_Toc153536068" w:history="1">
            <w:r w:rsidR="006D0A9F" w:rsidRPr="00790989">
              <w:rPr>
                <w:rStyle w:val="Hyperlink"/>
                <w:rFonts w:ascii="Times New Roman" w:hAnsi="Times New Roman" w:cs="Times New Roman"/>
                <w:b/>
                <w:bCs/>
                <w:noProof/>
              </w:rPr>
              <w:t>3.6</w:t>
            </w:r>
            <w:r w:rsidR="006D0A9F">
              <w:rPr>
                <w:rFonts w:eastAsiaTheme="minorEastAsia"/>
                <w:noProof/>
                <w:lang w:eastAsia="es-ES"/>
              </w:rPr>
              <w:tab/>
            </w:r>
            <w:r w:rsidR="006D0A9F" w:rsidRPr="00790989">
              <w:rPr>
                <w:rStyle w:val="Hyperlink"/>
                <w:rFonts w:ascii="Times New Roman" w:hAnsi="Times New Roman"/>
                <w:b/>
                <w:noProof/>
              </w:rPr>
              <w:t>Bombas de calor</w:t>
            </w:r>
            <w:r w:rsidR="006D0A9F">
              <w:rPr>
                <w:noProof/>
                <w:webHidden/>
              </w:rPr>
              <w:tab/>
            </w:r>
            <w:r w:rsidR="006D0A9F">
              <w:rPr>
                <w:noProof/>
                <w:webHidden/>
              </w:rPr>
              <w:fldChar w:fldCharType="begin"/>
            </w:r>
            <w:r w:rsidR="006D0A9F">
              <w:rPr>
                <w:noProof/>
                <w:webHidden/>
              </w:rPr>
              <w:instrText xml:space="preserve"> PAGEREF _Toc153536068 \h </w:instrText>
            </w:r>
            <w:r w:rsidR="006D0A9F">
              <w:rPr>
                <w:noProof/>
                <w:webHidden/>
              </w:rPr>
            </w:r>
            <w:r w:rsidR="006D0A9F">
              <w:rPr>
                <w:noProof/>
                <w:webHidden/>
              </w:rPr>
              <w:fldChar w:fldCharType="separate"/>
            </w:r>
            <w:r w:rsidR="006D0A9F">
              <w:rPr>
                <w:noProof/>
                <w:webHidden/>
              </w:rPr>
              <w:t>35</w:t>
            </w:r>
            <w:r w:rsidR="006D0A9F">
              <w:rPr>
                <w:noProof/>
                <w:webHidden/>
              </w:rPr>
              <w:fldChar w:fldCharType="end"/>
            </w:r>
          </w:hyperlink>
        </w:p>
        <w:p w14:paraId="1B8BC86B" w14:textId="32451C68" w:rsidR="006D0A9F" w:rsidRDefault="00EA4533">
          <w:pPr>
            <w:pStyle w:val="TOC3"/>
            <w:rPr>
              <w:rFonts w:eastAsiaTheme="minorEastAsia"/>
              <w:noProof/>
              <w:lang w:eastAsia="es-ES"/>
            </w:rPr>
          </w:pPr>
          <w:hyperlink w:anchor="_Toc153536069" w:history="1">
            <w:r w:rsidR="006D0A9F" w:rsidRPr="00790989">
              <w:rPr>
                <w:rStyle w:val="Hyperlink"/>
                <w:rFonts w:ascii="Times New Roman" w:hAnsi="Times New Roman" w:cs="Times New Roman"/>
                <w:b/>
                <w:bCs/>
                <w:noProof/>
              </w:rPr>
              <w:t>3.7</w:t>
            </w:r>
            <w:r w:rsidR="006D0A9F">
              <w:rPr>
                <w:rFonts w:eastAsiaTheme="minorEastAsia"/>
                <w:noProof/>
                <w:lang w:eastAsia="es-ES"/>
              </w:rPr>
              <w:tab/>
            </w:r>
            <w:r w:rsidR="006D0A9F" w:rsidRPr="00790989">
              <w:rPr>
                <w:rStyle w:val="Hyperlink"/>
                <w:rFonts w:ascii="Times New Roman" w:hAnsi="Times New Roman"/>
                <w:b/>
                <w:noProof/>
              </w:rPr>
              <w:t>Energía geotérmica</w:t>
            </w:r>
            <w:r w:rsidR="006D0A9F">
              <w:rPr>
                <w:noProof/>
                <w:webHidden/>
              </w:rPr>
              <w:tab/>
            </w:r>
            <w:r w:rsidR="006D0A9F">
              <w:rPr>
                <w:noProof/>
                <w:webHidden/>
              </w:rPr>
              <w:fldChar w:fldCharType="begin"/>
            </w:r>
            <w:r w:rsidR="006D0A9F">
              <w:rPr>
                <w:noProof/>
                <w:webHidden/>
              </w:rPr>
              <w:instrText xml:space="preserve"> PAGEREF _Toc153536069 \h </w:instrText>
            </w:r>
            <w:r w:rsidR="006D0A9F">
              <w:rPr>
                <w:noProof/>
                <w:webHidden/>
              </w:rPr>
            </w:r>
            <w:r w:rsidR="006D0A9F">
              <w:rPr>
                <w:noProof/>
                <w:webHidden/>
              </w:rPr>
              <w:fldChar w:fldCharType="separate"/>
            </w:r>
            <w:r w:rsidR="006D0A9F">
              <w:rPr>
                <w:noProof/>
                <w:webHidden/>
              </w:rPr>
              <w:t>38</w:t>
            </w:r>
            <w:r w:rsidR="006D0A9F">
              <w:rPr>
                <w:noProof/>
                <w:webHidden/>
              </w:rPr>
              <w:fldChar w:fldCharType="end"/>
            </w:r>
          </w:hyperlink>
        </w:p>
        <w:p w14:paraId="5C94798D" w14:textId="0220E471" w:rsidR="006D0A9F" w:rsidRDefault="00EA4533">
          <w:pPr>
            <w:pStyle w:val="TOC3"/>
            <w:rPr>
              <w:rFonts w:eastAsiaTheme="minorEastAsia"/>
              <w:noProof/>
              <w:lang w:eastAsia="es-ES"/>
            </w:rPr>
          </w:pPr>
          <w:hyperlink w:anchor="_Toc153536070" w:history="1">
            <w:r w:rsidR="006D0A9F" w:rsidRPr="00790989">
              <w:rPr>
                <w:rStyle w:val="Hyperlink"/>
                <w:rFonts w:ascii="Times New Roman" w:hAnsi="Times New Roman" w:cs="Times New Roman"/>
                <w:b/>
                <w:bCs/>
                <w:noProof/>
              </w:rPr>
              <w:t>3.8</w:t>
            </w:r>
            <w:r w:rsidR="006D0A9F">
              <w:rPr>
                <w:rFonts w:eastAsiaTheme="minorEastAsia"/>
                <w:noProof/>
                <w:lang w:eastAsia="es-ES"/>
              </w:rPr>
              <w:tab/>
            </w:r>
            <w:r w:rsidR="006D0A9F" w:rsidRPr="00790989">
              <w:rPr>
                <w:rStyle w:val="Hyperlink"/>
                <w:rFonts w:ascii="Times New Roman" w:hAnsi="Times New Roman"/>
                <w:b/>
                <w:noProof/>
              </w:rPr>
              <w:t>Electrólisis del agua para producir hidrógeno renovable</w:t>
            </w:r>
            <w:r w:rsidR="006D0A9F">
              <w:rPr>
                <w:noProof/>
                <w:webHidden/>
              </w:rPr>
              <w:tab/>
            </w:r>
            <w:r w:rsidR="006D0A9F">
              <w:rPr>
                <w:noProof/>
                <w:webHidden/>
              </w:rPr>
              <w:fldChar w:fldCharType="begin"/>
            </w:r>
            <w:r w:rsidR="006D0A9F">
              <w:rPr>
                <w:noProof/>
                <w:webHidden/>
              </w:rPr>
              <w:instrText xml:space="preserve"> PAGEREF _Toc153536070 \h </w:instrText>
            </w:r>
            <w:r w:rsidR="006D0A9F">
              <w:rPr>
                <w:noProof/>
                <w:webHidden/>
              </w:rPr>
            </w:r>
            <w:r w:rsidR="006D0A9F">
              <w:rPr>
                <w:noProof/>
                <w:webHidden/>
              </w:rPr>
              <w:fldChar w:fldCharType="separate"/>
            </w:r>
            <w:r w:rsidR="006D0A9F">
              <w:rPr>
                <w:noProof/>
                <w:webHidden/>
              </w:rPr>
              <w:t>39</w:t>
            </w:r>
            <w:r w:rsidR="006D0A9F">
              <w:rPr>
                <w:noProof/>
                <w:webHidden/>
              </w:rPr>
              <w:fldChar w:fldCharType="end"/>
            </w:r>
          </w:hyperlink>
        </w:p>
        <w:p w14:paraId="4707F768" w14:textId="38FA717F" w:rsidR="006D0A9F" w:rsidRDefault="00EA4533">
          <w:pPr>
            <w:pStyle w:val="TOC3"/>
            <w:rPr>
              <w:rFonts w:eastAsiaTheme="minorEastAsia"/>
              <w:noProof/>
              <w:lang w:eastAsia="es-ES"/>
            </w:rPr>
          </w:pPr>
          <w:hyperlink w:anchor="_Toc153536071" w:history="1">
            <w:r w:rsidR="006D0A9F" w:rsidRPr="00790989">
              <w:rPr>
                <w:rStyle w:val="Hyperlink"/>
                <w:rFonts w:ascii="Times New Roman" w:hAnsi="Times New Roman" w:cs="Times New Roman"/>
                <w:b/>
                <w:bCs/>
                <w:noProof/>
              </w:rPr>
              <w:t>3.9</w:t>
            </w:r>
            <w:r w:rsidR="006D0A9F">
              <w:rPr>
                <w:rFonts w:eastAsiaTheme="minorEastAsia"/>
                <w:noProof/>
                <w:lang w:eastAsia="es-ES"/>
              </w:rPr>
              <w:tab/>
            </w:r>
            <w:r w:rsidR="006D0A9F" w:rsidRPr="00790989">
              <w:rPr>
                <w:rStyle w:val="Hyperlink"/>
                <w:rFonts w:ascii="Times New Roman" w:hAnsi="Times New Roman"/>
                <w:b/>
                <w:noProof/>
              </w:rPr>
              <w:t>Tecnologías de biogás y biometano sostenibles</w:t>
            </w:r>
            <w:r w:rsidR="006D0A9F">
              <w:rPr>
                <w:noProof/>
                <w:webHidden/>
              </w:rPr>
              <w:tab/>
            </w:r>
            <w:r w:rsidR="006D0A9F">
              <w:rPr>
                <w:noProof/>
                <w:webHidden/>
              </w:rPr>
              <w:fldChar w:fldCharType="begin"/>
            </w:r>
            <w:r w:rsidR="006D0A9F">
              <w:rPr>
                <w:noProof/>
                <w:webHidden/>
              </w:rPr>
              <w:instrText xml:space="preserve"> PAGEREF _Toc153536071 \h </w:instrText>
            </w:r>
            <w:r w:rsidR="006D0A9F">
              <w:rPr>
                <w:noProof/>
                <w:webHidden/>
              </w:rPr>
            </w:r>
            <w:r w:rsidR="006D0A9F">
              <w:rPr>
                <w:noProof/>
                <w:webHidden/>
              </w:rPr>
              <w:fldChar w:fldCharType="separate"/>
            </w:r>
            <w:r w:rsidR="006D0A9F">
              <w:rPr>
                <w:noProof/>
                <w:webHidden/>
              </w:rPr>
              <w:t>42</w:t>
            </w:r>
            <w:r w:rsidR="006D0A9F">
              <w:rPr>
                <w:noProof/>
                <w:webHidden/>
              </w:rPr>
              <w:fldChar w:fldCharType="end"/>
            </w:r>
          </w:hyperlink>
        </w:p>
        <w:p w14:paraId="17AB1AD0" w14:textId="074CBCA2" w:rsidR="006D0A9F" w:rsidRDefault="00EA4533">
          <w:pPr>
            <w:pStyle w:val="TOC3"/>
            <w:rPr>
              <w:rFonts w:eastAsiaTheme="minorEastAsia"/>
              <w:noProof/>
              <w:lang w:eastAsia="es-ES"/>
            </w:rPr>
          </w:pPr>
          <w:hyperlink w:anchor="_Toc153536072" w:history="1">
            <w:r w:rsidR="006D0A9F" w:rsidRPr="00790989">
              <w:rPr>
                <w:rStyle w:val="Hyperlink"/>
                <w:rFonts w:ascii="Times New Roman" w:hAnsi="Times New Roman" w:cs="Times New Roman"/>
                <w:b/>
                <w:bCs/>
                <w:noProof/>
              </w:rPr>
              <w:t>3.10</w:t>
            </w:r>
            <w:r w:rsidR="006D0A9F">
              <w:rPr>
                <w:rFonts w:eastAsiaTheme="minorEastAsia"/>
                <w:noProof/>
                <w:lang w:eastAsia="es-ES"/>
              </w:rPr>
              <w:tab/>
            </w:r>
            <w:r w:rsidR="006D0A9F" w:rsidRPr="00790989">
              <w:rPr>
                <w:rStyle w:val="Hyperlink"/>
                <w:rFonts w:ascii="Times New Roman" w:hAnsi="Times New Roman"/>
                <w:b/>
                <w:noProof/>
              </w:rPr>
              <w:t>Captura y almacenamiento de carbono (CAC)</w:t>
            </w:r>
            <w:r w:rsidR="006D0A9F">
              <w:rPr>
                <w:noProof/>
                <w:webHidden/>
              </w:rPr>
              <w:tab/>
            </w:r>
            <w:r w:rsidR="006D0A9F">
              <w:rPr>
                <w:noProof/>
                <w:webHidden/>
              </w:rPr>
              <w:fldChar w:fldCharType="begin"/>
            </w:r>
            <w:r w:rsidR="006D0A9F">
              <w:rPr>
                <w:noProof/>
                <w:webHidden/>
              </w:rPr>
              <w:instrText xml:space="preserve"> PAGEREF _Toc153536072 \h </w:instrText>
            </w:r>
            <w:r w:rsidR="006D0A9F">
              <w:rPr>
                <w:noProof/>
                <w:webHidden/>
              </w:rPr>
            </w:r>
            <w:r w:rsidR="006D0A9F">
              <w:rPr>
                <w:noProof/>
                <w:webHidden/>
              </w:rPr>
              <w:fldChar w:fldCharType="separate"/>
            </w:r>
            <w:r w:rsidR="006D0A9F">
              <w:rPr>
                <w:noProof/>
                <w:webHidden/>
              </w:rPr>
              <w:t>44</w:t>
            </w:r>
            <w:r w:rsidR="006D0A9F">
              <w:rPr>
                <w:noProof/>
                <w:webHidden/>
              </w:rPr>
              <w:fldChar w:fldCharType="end"/>
            </w:r>
          </w:hyperlink>
        </w:p>
        <w:p w14:paraId="1A3062B9" w14:textId="0BF3BC02" w:rsidR="006D0A9F" w:rsidRDefault="00EA4533">
          <w:pPr>
            <w:pStyle w:val="TOC3"/>
            <w:rPr>
              <w:rFonts w:eastAsiaTheme="minorEastAsia"/>
              <w:noProof/>
              <w:lang w:eastAsia="es-ES"/>
            </w:rPr>
          </w:pPr>
          <w:hyperlink w:anchor="_Toc153536073" w:history="1">
            <w:r w:rsidR="006D0A9F" w:rsidRPr="00790989">
              <w:rPr>
                <w:rStyle w:val="Hyperlink"/>
                <w:rFonts w:ascii="Times New Roman" w:hAnsi="Times New Roman" w:cs="Times New Roman"/>
                <w:b/>
                <w:bCs/>
                <w:noProof/>
              </w:rPr>
              <w:t>3.11</w:t>
            </w:r>
            <w:r w:rsidR="006D0A9F">
              <w:rPr>
                <w:rFonts w:eastAsiaTheme="minorEastAsia"/>
                <w:noProof/>
                <w:lang w:eastAsia="es-ES"/>
              </w:rPr>
              <w:tab/>
            </w:r>
            <w:r w:rsidR="006D0A9F" w:rsidRPr="00790989">
              <w:rPr>
                <w:rStyle w:val="Hyperlink"/>
                <w:rFonts w:ascii="Times New Roman" w:hAnsi="Times New Roman"/>
                <w:b/>
                <w:noProof/>
              </w:rPr>
              <w:t>Tecnologías de red: el ejemplo de los sistemas de corriente continua de alta tensión</w:t>
            </w:r>
            <w:r w:rsidR="006D0A9F">
              <w:rPr>
                <w:noProof/>
                <w:webHidden/>
              </w:rPr>
              <w:tab/>
            </w:r>
            <w:r w:rsidR="006D0A9F">
              <w:rPr>
                <w:noProof/>
                <w:webHidden/>
              </w:rPr>
              <w:fldChar w:fldCharType="begin"/>
            </w:r>
            <w:r w:rsidR="006D0A9F">
              <w:rPr>
                <w:noProof/>
                <w:webHidden/>
              </w:rPr>
              <w:instrText xml:space="preserve"> PAGEREF _Toc153536073 \h </w:instrText>
            </w:r>
            <w:r w:rsidR="006D0A9F">
              <w:rPr>
                <w:noProof/>
                <w:webHidden/>
              </w:rPr>
            </w:r>
            <w:r w:rsidR="006D0A9F">
              <w:rPr>
                <w:noProof/>
                <w:webHidden/>
              </w:rPr>
              <w:fldChar w:fldCharType="separate"/>
            </w:r>
            <w:r w:rsidR="006D0A9F">
              <w:rPr>
                <w:noProof/>
                <w:webHidden/>
              </w:rPr>
              <w:t>47</w:t>
            </w:r>
            <w:r w:rsidR="006D0A9F">
              <w:rPr>
                <w:noProof/>
                <w:webHidden/>
              </w:rPr>
              <w:fldChar w:fldCharType="end"/>
            </w:r>
          </w:hyperlink>
        </w:p>
        <w:p w14:paraId="4D481FC9" w14:textId="5A4FA082" w:rsidR="006D0A9F" w:rsidRDefault="00EA4533">
          <w:pPr>
            <w:pStyle w:val="TOC1"/>
            <w:rPr>
              <w:rFonts w:eastAsiaTheme="minorEastAsia"/>
              <w:noProof/>
              <w:lang w:eastAsia="es-ES"/>
            </w:rPr>
          </w:pPr>
          <w:hyperlink w:anchor="_Toc153536074" w:history="1">
            <w:r w:rsidR="006D0A9F" w:rsidRPr="00790989">
              <w:rPr>
                <w:rStyle w:val="Hyperlink"/>
                <w:noProof/>
              </w:rPr>
              <w:t>4.</w:t>
            </w:r>
            <w:r w:rsidR="006D0A9F">
              <w:rPr>
                <w:rFonts w:eastAsiaTheme="minorEastAsia"/>
                <w:noProof/>
                <w:lang w:eastAsia="es-ES"/>
              </w:rPr>
              <w:tab/>
            </w:r>
            <w:r w:rsidR="006D0A9F" w:rsidRPr="00790989">
              <w:rPr>
                <w:rStyle w:val="Hyperlink"/>
                <w:noProof/>
              </w:rPr>
              <w:t>CONCLUSIÓN</w:t>
            </w:r>
            <w:r w:rsidR="006D0A9F">
              <w:rPr>
                <w:noProof/>
                <w:webHidden/>
              </w:rPr>
              <w:tab/>
            </w:r>
            <w:r w:rsidR="006D0A9F">
              <w:rPr>
                <w:noProof/>
                <w:webHidden/>
              </w:rPr>
              <w:fldChar w:fldCharType="begin"/>
            </w:r>
            <w:r w:rsidR="006D0A9F">
              <w:rPr>
                <w:noProof/>
                <w:webHidden/>
              </w:rPr>
              <w:instrText xml:space="preserve"> PAGEREF _Toc153536074 \h </w:instrText>
            </w:r>
            <w:r w:rsidR="006D0A9F">
              <w:rPr>
                <w:noProof/>
                <w:webHidden/>
              </w:rPr>
            </w:r>
            <w:r w:rsidR="006D0A9F">
              <w:rPr>
                <w:noProof/>
                <w:webHidden/>
              </w:rPr>
              <w:fldChar w:fldCharType="separate"/>
            </w:r>
            <w:r w:rsidR="006D0A9F">
              <w:rPr>
                <w:noProof/>
                <w:webHidden/>
              </w:rPr>
              <w:t>50</w:t>
            </w:r>
            <w:r w:rsidR="006D0A9F">
              <w:rPr>
                <w:noProof/>
                <w:webHidden/>
              </w:rPr>
              <w:fldChar w:fldCharType="end"/>
            </w:r>
          </w:hyperlink>
        </w:p>
        <w:p w14:paraId="0965B289" w14:textId="62F82DEC" w:rsidR="001B2A1C" w:rsidRPr="00C31310" w:rsidRDefault="001B2A1C">
          <w:pPr>
            <w:rPr>
              <w:rFonts w:ascii="Times New Roman" w:hAnsi="Times New Roman" w:cs="Times New Roman"/>
              <w:noProof/>
              <w:sz w:val="24"/>
            </w:rPr>
          </w:pPr>
          <w:r w:rsidRPr="00E708C5">
            <w:rPr>
              <w:rFonts w:ascii="Times New Roman" w:hAnsi="Times New Roman" w:cs="Times New Roman"/>
              <w:b/>
              <w:noProof/>
              <w:color w:val="2B579A"/>
              <w:sz w:val="24"/>
              <w:shd w:val="clear" w:color="auto" w:fill="E6E6E6"/>
            </w:rPr>
            <w:fldChar w:fldCharType="end"/>
          </w:r>
        </w:p>
      </w:sdtContent>
    </w:sdt>
    <w:p w14:paraId="19A712C7" w14:textId="7DA2B1C8" w:rsidR="001B2A1C" w:rsidRPr="008907E2" w:rsidRDefault="001B2A1C">
      <w:pPr>
        <w:rPr>
          <w:rFonts w:ascii="Times New Roman" w:hAnsi="Times New Roman" w:cs="Times New Roman"/>
          <w:noProof/>
          <w:sz w:val="24"/>
          <w:szCs w:val="24"/>
          <w:lang w:val="en-GB" w:eastAsia="fr-BE"/>
        </w:rPr>
      </w:pPr>
    </w:p>
    <w:p w14:paraId="3694EA6D" w14:textId="7719FFE2" w:rsidR="00CC4BC9" w:rsidRPr="008907E2" w:rsidRDefault="00CC4BC9">
      <w:pPr>
        <w:rPr>
          <w:rFonts w:ascii="Times New Roman" w:hAnsi="Times New Roman" w:cs="Times New Roman"/>
          <w:noProof/>
          <w:sz w:val="24"/>
          <w:szCs w:val="24"/>
        </w:rPr>
      </w:pPr>
      <w:r>
        <w:rPr>
          <w:noProof/>
        </w:rPr>
        <w:br w:type="page"/>
      </w:r>
    </w:p>
    <w:p w14:paraId="61659203" w14:textId="7AF81121" w:rsidR="00EB5254" w:rsidRDefault="00EB5254" w:rsidP="003744DD">
      <w:pPr>
        <w:pStyle w:val="Heading1"/>
        <w:ind w:firstLine="0"/>
        <w:jc w:val="center"/>
        <w:rPr>
          <w:noProof/>
        </w:rPr>
      </w:pPr>
      <w:bookmarkStart w:id="2" w:name="_Toc153536053"/>
      <w:r>
        <w:rPr>
          <w:noProof/>
        </w:rPr>
        <w:t>RESUMEN</w:t>
      </w:r>
      <w:bookmarkEnd w:id="2"/>
    </w:p>
    <w:p w14:paraId="31A82309" w14:textId="4519C2C5" w:rsidR="00EB5254" w:rsidRPr="00C31310" w:rsidRDefault="77D45A0A" w:rsidP="00EB5254">
      <w:pPr>
        <w:spacing w:after="0"/>
        <w:jc w:val="both"/>
        <w:rPr>
          <w:rFonts w:ascii="Times New Roman" w:hAnsi="Times New Roman" w:cs="Times New Roman"/>
          <w:noProof/>
          <w:sz w:val="24"/>
          <w:szCs w:val="24"/>
        </w:rPr>
      </w:pPr>
      <w:r>
        <w:rPr>
          <w:rFonts w:ascii="Times New Roman" w:hAnsi="Times New Roman"/>
          <w:noProof/>
          <w:sz w:val="24"/>
        </w:rPr>
        <w:t xml:space="preserve">En respuesta a la perturbación sin precedentes del sistema energético mundial, causada por la pandemia de COVID-19 y exacerbada por la agresión militar no provocada e injustificada de Rusia contra Ucrania, </w:t>
      </w:r>
      <w:r>
        <w:rPr>
          <w:rFonts w:ascii="Times New Roman" w:hAnsi="Times New Roman"/>
          <w:b/>
          <w:noProof/>
          <w:sz w:val="24"/>
        </w:rPr>
        <w:t>la UE ha decidido acelerar su transición hacia una energía limpia</w:t>
      </w:r>
      <w:r>
        <w:rPr>
          <w:rFonts w:ascii="Times New Roman" w:hAnsi="Times New Roman"/>
          <w:noProof/>
          <w:sz w:val="24"/>
        </w:rPr>
        <w:t>.</w:t>
      </w:r>
    </w:p>
    <w:p w14:paraId="1A54DEA6" w14:textId="77777777" w:rsidR="00EB5254" w:rsidRPr="00C223F1" w:rsidRDefault="00EB5254" w:rsidP="00EB5254">
      <w:pPr>
        <w:spacing w:after="0"/>
        <w:jc w:val="both"/>
        <w:rPr>
          <w:rFonts w:ascii="Times New Roman" w:hAnsi="Times New Roman" w:cs="Times New Roman"/>
          <w:b/>
          <w:noProof/>
          <w:sz w:val="24"/>
          <w:szCs w:val="24"/>
        </w:rPr>
      </w:pPr>
    </w:p>
    <w:p w14:paraId="609BD3CD" w14:textId="55B01BE7" w:rsidR="00EB5254" w:rsidRPr="00C31310" w:rsidRDefault="00EB5254" w:rsidP="554C229E">
      <w:pPr>
        <w:spacing w:after="0"/>
        <w:jc w:val="both"/>
        <w:rPr>
          <w:rFonts w:ascii="Times New Roman" w:hAnsi="Times New Roman" w:cs="Times New Roman"/>
          <w:noProof/>
          <w:sz w:val="24"/>
          <w:szCs w:val="24"/>
        </w:rPr>
      </w:pPr>
      <w:r>
        <w:rPr>
          <w:rFonts w:ascii="Times New Roman" w:hAnsi="Times New Roman"/>
          <w:noProof/>
          <w:sz w:val="24"/>
        </w:rPr>
        <w:t xml:space="preserve">A pesar del aumento de los precios debido al pico de los costes de la energía y los materiales en 2022, </w:t>
      </w:r>
      <w:r>
        <w:rPr>
          <w:rFonts w:ascii="Times New Roman" w:hAnsi="Times New Roman"/>
          <w:b/>
          <w:noProof/>
          <w:sz w:val="24"/>
        </w:rPr>
        <w:t>las tecnologías energéticas limpias siguen siendo muy competitivas en términos de costes. La tasa de despliegue de estas tecnologías está aumentando en la UE.</w:t>
      </w:r>
      <w:r>
        <w:rPr>
          <w:rFonts w:ascii="Times New Roman" w:hAnsi="Times New Roman"/>
          <w:noProof/>
          <w:sz w:val="24"/>
        </w:rPr>
        <w:t xml:space="preserve"> En 2022, la tasa de despliegue de la energía eólica y solar aumentó alrededor de un 50 % en comparación con 2021. Sin embargo, esta tendencia no debe ocultar los retos a los que se enfrenta la industria manufacturera de las energías limpias de la UE. Incluso en sectores como la energía eólica o las bombas de calor, en los que la UE tiene una sólida base manufacturera, las cuotas de mercado de la UE están disminuyendo. </w:t>
      </w:r>
    </w:p>
    <w:p w14:paraId="52E6ABD4" w14:textId="1236C546" w:rsidR="00EB5254" w:rsidRPr="00C223F1" w:rsidRDefault="00EB5254" w:rsidP="554C229E">
      <w:pPr>
        <w:spacing w:after="0"/>
        <w:jc w:val="both"/>
        <w:rPr>
          <w:rFonts w:ascii="Times New Roman" w:hAnsi="Times New Roman" w:cs="Times New Roman"/>
          <w:noProof/>
          <w:sz w:val="24"/>
          <w:szCs w:val="24"/>
        </w:rPr>
      </w:pPr>
    </w:p>
    <w:p w14:paraId="44EE39A1" w14:textId="425F0A9A" w:rsidR="00EB5254" w:rsidRPr="00C31310" w:rsidRDefault="00EB5254" w:rsidP="00EB5254">
      <w:pPr>
        <w:spacing w:after="0"/>
        <w:jc w:val="both"/>
        <w:rPr>
          <w:rFonts w:ascii="Times New Roman" w:hAnsi="Times New Roman" w:cs="Times New Roman"/>
          <w:noProof/>
          <w:sz w:val="24"/>
          <w:szCs w:val="24"/>
        </w:rPr>
      </w:pPr>
      <w:r>
        <w:rPr>
          <w:rFonts w:ascii="Times New Roman" w:hAnsi="Times New Roman"/>
          <w:noProof/>
          <w:sz w:val="24"/>
        </w:rPr>
        <w:t xml:space="preserve">En general, </w:t>
      </w:r>
      <w:r>
        <w:rPr>
          <w:rFonts w:ascii="Times New Roman" w:hAnsi="Times New Roman"/>
          <w:b/>
          <w:noProof/>
          <w:sz w:val="24"/>
        </w:rPr>
        <w:t>desde las materias primas hasta los componentes intermedios clave y las tecnologías energéticas limpias finales, la UE depende cada vez más de las importaciones procedentes de terceros países</w:t>
      </w:r>
      <w:r>
        <w:rPr>
          <w:rFonts w:ascii="Times New Roman" w:hAnsi="Times New Roman"/>
          <w:noProof/>
          <w:sz w:val="24"/>
        </w:rPr>
        <w:t xml:space="preserve">. Más del 60 % de la capacidad mundial de fabricación de segmentos clave de la cadena de valor de las baterías y la energía solar está situada en China. De igual forma, más del 90 % de la capacidad de fabricación de obleas y lingotes necesarios para la energía solar fotovoltaica se encuentra también en China. </w:t>
      </w:r>
    </w:p>
    <w:p w14:paraId="0225BF97" w14:textId="77777777" w:rsidR="00EB5254" w:rsidRPr="00C223F1" w:rsidRDefault="00EB5254" w:rsidP="00EB5254">
      <w:pPr>
        <w:spacing w:after="0"/>
        <w:jc w:val="both"/>
        <w:rPr>
          <w:rFonts w:ascii="Times New Roman" w:hAnsi="Times New Roman" w:cs="Times New Roman"/>
          <w:noProof/>
          <w:sz w:val="24"/>
          <w:szCs w:val="24"/>
        </w:rPr>
      </w:pPr>
    </w:p>
    <w:p w14:paraId="7D33BF1F" w14:textId="05EB17D1" w:rsidR="00EB5254" w:rsidRPr="00DB086D" w:rsidRDefault="6EFD035B" w:rsidP="00EB5254">
      <w:pPr>
        <w:spacing w:after="0"/>
        <w:jc w:val="both"/>
        <w:rPr>
          <w:rFonts w:ascii="Times New Roman" w:eastAsia="Times New Roman" w:hAnsi="Times New Roman" w:cs="Times New Roman"/>
          <w:noProof/>
          <w:sz w:val="24"/>
          <w:szCs w:val="24"/>
        </w:rPr>
      </w:pPr>
      <w:r>
        <w:rPr>
          <w:rFonts w:ascii="Times New Roman" w:hAnsi="Times New Roman"/>
          <w:b/>
          <w:noProof/>
          <w:sz w:val="24"/>
        </w:rPr>
        <w:t xml:space="preserve">El Plan Industrial del Pacto Verde, la Ley sobre la industria de cero emisiones netas y la Ley Europea de Materias Primas Fundamentales figuran entre las acciones clave de la UE para reducir la dependencia de las importaciones de tecnologías de cero emisiones netas, reforzar la resiliencia de la cadena de valor y construir una sólida base de fabricación nacional. </w:t>
      </w:r>
      <w:r>
        <w:rPr>
          <w:rFonts w:ascii="Times New Roman" w:hAnsi="Times New Roman"/>
          <w:noProof/>
          <w:sz w:val="24"/>
        </w:rPr>
        <w:t xml:space="preserve">Con ellas se pretende hacer frente a los retos más acuciantes. Uno de ellos es </w:t>
      </w:r>
      <w:r>
        <w:rPr>
          <w:rFonts w:ascii="Times New Roman" w:hAnsi="Times New Roman"/>
          <w:b/>
          <w:noProof/>
          <w:sz w:val="24"/>
        </w:rPr>
        <w:t>mejorar las capacidades, garantizar empleos de calidad</w:t>
      </w:r>
      <w:r>
        <w:rPr>
          <w:rFonts w:ascii="Times New Roman" w:hAnsi="Times New Roman"/>
          <w:noProof/>
          <w:sz w:val="24"/>
        </w:rPr>
        <w:t xml:space="preserve"> y convertir </w:t>
      </w:r>
      <w:r>
        <w:rPr>
          <w:rFonts w:ascii="Times New Roman" w:hAnsi="Times New Roman"/>
          <w:b/>
          <w:noProof/>
          <w:sz w:val="24"/>
        </w:rPr>
        <w:t>la innovación en producción industrial.</w:t>
      </w:r>
      <w:r>
        <w:rPr>
          <w:rFonts w:ascii="Times New Roman" w:hAnsi="Times New Roman"/>
          <w:noProof/>
          <w:sz w:val="24"/>
        </w:rPr>
        <w:t xml:space="preserve"> A pesar de la tendencia positiva en el empleo, los últimos datos muestran que las </w:t>
      </w:r>
      <w:r>
        <w:rPr>
          <w:rFonts w:ascii="Times New Roman" w:hAnsi="Times New Roman"/>
          <w:b/>
          <w:noProof/>
          <w:sz w:val="24"/>
        </w:rPr>
        <w:t>carencias</w:t>
      </w:r>
      <w:r>
        <w:rPr>
          <w:rFonts w:ascii="Times New Roman" w:hAnsi="Times New Roman"/>
          <w:noProof/>
          <w:sz w:val="24"/>
        </w:rPr>
        <w:t xml:space="preserve"> y la </w:t>
      </w:r>
      <w:r>
        <w:rPr>
          <w:rFonts w:ascii="Times New Roman" w:hAnsi="Times New Roman"/>
          <w:b/>
          <w:noProof/>
          <w:sz w:val="24"/>
        </w:rPr>
        <w:t>escasez de capacidades</w:t>
      </w:r>
      <w:r>
        <w:rPr>
          <w:rFonts w:ascii="Times New Roman" w:hAnsi="Times New Roman"/>
          <w:noProof/>
          <w:sz w:val="24"/>
        </w:rPr>
        <w:t xml:space="preserve"> observadas desde 2021 pueden frenar el crecimiento en el sector de las energías limpias. En 2023, casi 4 de cada 5 pequeñas y medianas empresas afirmaron que, en general, les resulta difícil encontrar trabajadores con las capacidades adecuadas. </w:t>
      </w:r>
    </w:p>
    <w:p w14:paraId="4537FC1A" w14:textId="77777777" w:rsidR="00EB5254" w:rsidRPr="00C223F1" w:rsidRDefault="00EB5254" w:rsidP="00EB5254">
      <w:pPr>
        <w:spacing w:after="0"/>
        <w:jc w:val="both"/>
        <w:rPr>
          <w:rFonts w:ascii="Times New Roman" w:hAnsi="Times New Roman" w:cs="Times New Roman"/>
          <w:noProof/>
          <w:sz w:val="24"/>
          <w:szCs w:val="24"/>
        </w:rPr>
      </w:pPr>
    </w:p>
    <w:p w14:paraId="0FCF5B52" w14:textId="2D11A72B" w:rsidR="00EB5254" w:rsidRPr="00C31310" w:rsidRDefault="00EB5254" w:rsidP="08BAB144">
      <w:pPr>
        <w:spacing w:after="0"/>
        <w:jc w:val="both"/>
        <w:rPr>
          <w:rFonts w:ascii="Times New Roman" w:eastAsia="Times New Roman" w:hAnsi="Times New Roman" w:cs="Times New Roman"/>
          <w:noProof/>
          <w:sz w:val="24"/>
          <w:szCs w:val="24"/>
        </w:rPr>
      </w:pPr>
      <w:r>
        <w:rPr>
          <w:rFonts w:ascii="Times New Roman" w:hAnsi="Times New Roman"/>
          <w:b/>
          <w:noProof/>
          <w:sz w:val="24"/>
        </w:rPr>
        <w:t>Para que la industria de las energías limpias sea competitiva también es fundamental</w:t>
      </w:r>
      <w:r>
        <w:rPr>
          <w:rFonts w:ascii="Times New Roman" w:hAnsi="Times New Roman"/>
          <w:noProof/>
          <w:sz w:val="24"/>
        </w:rPr>
        <w:t xml:space="preserve"> diseñar </w:t>
      </w:r>
      <w:r>
        <w:rPr>
          <w:rFonts w:ascii="Times New Roman" w:hAnsi="Times New Roman"/>
          <w:b/>
          <w:noProof/>
          <w:sz w:val="24"/>
        </w:rPr>
        <w:t>una trayectoria de investigación e innovación (I+i) adecuada</w:t>
      </w:r>
      <w:r>
        <w:rPr>
          <w:rFonts w:ascii="Times New Roman" w:hAnsi="Times New Roman"/>
          <w:noProof/>
          <w:sz w:val="24"/>
        </w:rPr>
        <w:t xml:space="preserve">. La UE sigue a la vanguardia de la investigación en energías limpias, mantiene una posición sólida en patentes protegidas internacionalmente y lidera en el ámbito de las energías renovables y la eficiencia energética. Aun así, redoblar los esfuerzos en el uso sinérgico de los programas nacionales y de la UE y definir objetivos nacionales claros en materia de I+i para 2030 y 2050 son elementos cruciales para diseñar esta trayectoria de I+i adecuada. </w:t>
      </w:r>
    </w:p>
    <w:p w14:paraId="20EF2585" w14:textId="77777777" w:rsidR="00EB5254" w:rsidRPr="00C223F1" w:rsidRDefault="00EB5254" w:rsidP="00EB5254">
      <w:pPr>
        <w:spacing w:after="0"/>
        <w:jc w:val="both"/>
        <w:rPr>
          <w:rFonts w:ascii="Times New Roman" w:hAnsi="Times New Roman" w:cs="Times New Roman"/>
          <w:noProof/>
          <w:sz w:val="24"/>
          <w:szCs w:val="24"/>
        </w:rPr>
      </w:pPr>
    </w:p>
    <w:p w14:paraId="117F12CC" w14:textId="62BAB4A2" w:rsidR="00EB5254" w:rsidRPr="00C31310" w:rsidRDefault="00EB5254" w:rsidP="77021751">
      <w:pPr>
        <w:spacing w:after="0"/>
        <w:jc w:val="both"/>
        <w:rPr>
          <w:rFonts w:ascii="Times New Roman" w:hAnsi="Times New Roman" w:cs="Times New Roman"/>
          <w:noProof/>
          <w:sz w:val="24"/>
          <w:szCs w:val="24"/>
        </w:rPr>
      </w:pPr>
      <w:r>
        <w:rPr>
          <w:rFonts w:ascii="Times New Roman" w:hAnsi="Times New Roman"/>
          <w:b/>
          <w:noProof/>
          <w:sz w:val="24"/>
        </w:rPr>
        <w:t xml:space="preserve">La UE también debe seguir siendo un lugar atractivo para invertir, fabricar y desplegar tecnologías energéticas limpias. </w:t>
      </w:r>
      <w:r>
        <w:rPr>
          <w:rFonts w:ascii="Times New Roman" w:hAnsi="Times New Roman"/>
          <w:noProof/>
          <w:sz w:val="24"/>
        </w:rPr>
        <w:t>En 2022, las inversiones de capital riesgo en energías limpias en la UE aumentaron un 42 % en comparación con 2021 y representaron un porcentaje cada vez mayor de la inversión mundial de capital riesgo en empresas de tecnologías energéticas limpias, ocupando el tercer lugar por detrás de los Estados Unidos y China. Sin embargo, al examinar las tecnologías estratégicas de cero emisiones netas definidas en la Ley sobre la industria de cero emisiones netas, excepto en el caso de las baterías, la UE todavía no ha aprovechado plenamente su capacidad para atraer acuerdos de mayor crecimiento, como han hecho los Estados Unidos y China. A fin de impulsar la competitividad, la resiliencia y el liderazgo de la UE, los marcos reglamentarios y financieros de la UE están evolucionando para garantizar las inversiones y que el capital siga fluyendo hacia las empresas de la UE a la escala necesaria.</w:t>
      </w:r>
    </w:p>
    <w:p w14:paraId="5300C76B" w14:textId="77777777" w:rsidR="00EB5254" w:rsidRPr="00C223F1" w:rsidRDefault="00EB5254" w:rsidP="00EB5254">
      <w:pPr>
        <w:spacing w:after="0"/>
        <w:jc w:val="both"/>
        <w:rPr>
          <w:rFonts w:ascii="Times New Roman" w:eastAsia="Times New Roman" w:hAnsi="Times New Roman" w:cs="Times New Roman"/>
          <w:noProof/>
          <w:sz w:val="24"/>
          <w:szCs w:val="24"/>
        </w:rPr>
      </w:pPr>
    </w:p>
    <w:p w14:paraId="5FEF2D42" w14:textId="30838BCD" w:rsidR="00EB5254" w:rsidRDefault="00EB5254" w:rsidP="5AAA2F26">
      <w:pPr>
        <w:spacing w:after="0"/>
        <w:jc w:val="both"/>
        <w:rPr>
          <w:rFonts w:ascii="Times New Roman" w:eastAsia="Times New Roman" w:hAnsi="Times New Roman" w:cs="Times New Roman"/>
          <w:noProof/>
          <w:sz w:val="24"/>
          <w:szCs w:val="24"/>
        </w:rPr>
      </w:pPr>
      <w:r>
        <w:rPr>
          <w:rFonts w:ascii="Times New Roman" w:hAnsi="Times New Roman"/>
          <w:noProof/>
          <w:sz w:val="24"/>
        </w:rPr>
        <w:t xml:space="preserve">Además de estas cuestiones transversales, las tecnologías de cero emisiones netas también se enfrentan a retos específicos y presentan diferentes oportunidades. </w:t>
      </w:r>
    </w:p>
    <w:p w14:paraId="75A83190" w14:textId="77777777" w:rsidR="00EB5254" w:rsidRPr="00C223F1" w:rsidRDefault="00EB5254" w:rsidP="00EB5254">
      <w:pPr>
        <w:spacing w:after="0"/>
        <w:jc w:val="both"/>
        <w:rPr>
          <w:rFonts w:ascii="Times New Roman" w:eastAsia="Times New Roman" w:hAnsi="Times New Roman" w:cs="Times New Roman"/>
          <w:noProof/>
          <w:sz w:val="24"/>
          <w:szCs w:val="24"/>
        </w:rPr>
      </w:pPr>
    </w:p>
    <w:p w14:paraId="5082536D" w14:textId="4BF309EC" w:rsidR="00EB5254" w:rsidRDefault="00EB5254" w:rsidP="00EB5254">
      <w:pPr>
        <w:spacing w:after="0"/>
        <w:jc w:val="both"/>
        <w:rPr>
          <w:rFonts w:ascii="Times New Roman" w:eastAsia="Times New Roman" w:hAnsi="Times New Roman" w:cs="Times New Roman"/>
          <w:noProof/>
          <w:sz w:val="24"/>
          <w:szCs w:val="24"/>
        </w:rPr>
      </w:pPr>
      <w:r>
        <w:rPr>
          <w:rFonts w:ascii="Times New Roman" w:hAnsi="Times New Roman"/>
          <w:b/>
          <w:noProof/>
          <w:sz w:val="24"/>
        </w:rPr>
        <w:t>2022 fue un año récord para la capacidad instalada de energía solar fotovoltaica en la UE.</w:t>
      </w:r>
      <w:r>
        <w:rPr>
          <w:rFonts w:ascii="Times New Roman" w:hAnsi="Times New Roman"/>
          <w:noProof/>
          <w:sz w:val="24"/>
        </w:rPr>
        <w:t xml:space="preserve"> Sin embargo, desde la perspectiva de la cadena de valor, la UE depende en gran medida de las importaciones chinas. Para que la UE reduzca la diferencia de costes respecto a sus competidores, basándose en las medidas previstas, necesita ampliar sus plantas de fabricación y centrarse en productos innovadores y procesos de fabricación avanzados y más sostenibles. </w:t>
      </w:r>
    </w:p>
    <w:p w14:paraId="32C76F04" w14:textId="77777777" w:rsidR="00EB5254" w:rsidRPr="00C223F1" w:rsidRDefault="00EB5254" w:rsidP="00EB5254">
      <w:pPr>
        <w:spacing w:after="0"/>
        <w:jc w:val="both"/>
        <w:rPr>
          <w:rFonts w:ascii="Times New Roman" w:eastAsia="Times New Roman" w:hAnsi="Times New Roman" w:cs="Times New Roman"/>
          <w:noProof/>
          <w:sz w:val="24"/>
          <w:szCs w:val="24"/>
        </w:rPr>
      </w:pPr>
    </w:p>
    <w:p w14:paraId="27FAADF1" w14:textId="110504B5" w:rsidR="00EB5254" w:rsidRDefault="00EB5254" w:rsidP="00EB5254">
      <w:pPr>
        <w:spacing w:after="0"/>
        <w:jc w:val="both"/>
        <w:rPr>
          <w:rFonts w:ascii="Times New Roman" w:eastAsia="Times New Roman" w:hAnsi="Times New Roman" w:cs="Times New Roman"/>
          <w:noProof/>
          <w:sz w:val="24"/>
          <w:szCs w:val="24"/>
        </w:rPr>
      </w:pPr>
      <w:r>
        <w:rPr>
          <w:rFonts w:ascii="Times New Roman" w:hAnsi="Times New Roman"/>
          <w:b/>
          <w:noProof/>
          <w:sz w:val="24"/>
        </w:rPr>
        <w:t>La UE ostenta el liderazgo tecnológico en materia de energía solar térmica, pero se enfrenta a la creciente competencia de los actores asiáticos.</w:t>
      </w:r>
      <w:r>
        <w:rPr>
          <w:rFonts w:ascii="Times New Roman" w:hAnsi="Times New Roman"/>
          <w:noProof/>
          <w:sz w:val="24"/>
        </w:rPr>
        <w:t xml:space="preserve"> Las soluciones innovadoras y los continuos avances tecnológicos son fundamentales para impulsar la competitividad. La elevada demanda de calor para procesos industriales en el rango de 150-400 °C que hay en la UE es también una buena oportunidad para desplegar la energía solar térmica. </w:t>
      </w:r>
    </w:p>
    <w:p w14:paraId="56EFC6F3" w14:textId="77777777" w:rsidR="00EB5254" w:rsidRDefault="00EB5254" w:rsidP="00EB5254">
      <w:pPr>
        <w:spacing w:after="0"/>
        <w:jc w:val="both"/>
        <w:rPr>
          <w:rFonts w:ascii="Times New Roman" w:eastAsia="Times New Roman" w:hAnsi="Times New Roman" w:cs="Times New Roman"/>
          <w:noProof/>
          <w:sz w:val="24"/>
          <w:szCs w:val="24"/>
        </w:rPr>
      </w:pPr>
      <w:r>
        <w:rPr>
          <w:rFonts w:ascii="Times New Roman" w:hAnsi="Times New Roman"/>
          <w:noProof/>
          <w:sz w:val="24"/>
        </w:rPr>
        <w:t xml:space="preserve"> </w:t>
      </w:r>
    </w:p>
    <w:p w14:paraId="47B02E4B" w14:textId="22CBEDDF" w:rsidR="00EB5254" w:rsidRDefault="5AC78CAF" w:rsidP="00EB5254">
      <w:pPr>
        <w:spacing w:after="0"/>
        <w:jc w:val="both"/>
        <w:rPr>
          <w:rFonts w:ascii="Times New Roman" w:eastAsia="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sector eólico</w:t>
      </w:r>
      <w:r>
        <w:rPr>
          <w:rFonts w:ascii="Times New Roman" w:hAnsi="Times New Roman"/>
          <w:noProof/>
          <w:sz w:val="24"/>
        </w:rPr>
        <w:t xml:space="preserve"> de la UE sigue siendo uno de los más fuertes del mundo, en el que los fabricantes de la UE representaron el 30 % de la cuota de mercado mundial en 2022, aunque ello se sitúa por debajo del 42 % de 2019. El sector se enfrenta a retos específicos, como la incertidumbre en cuanto a la demanda, los problemas de diseño de las subastas y la lentitud de los procedimientos de concesión de autorizaciones. Para abordar estos problemas, la Comisión adoptó el </w:t>
      </w:r>
      <w:r>
        <w:rPr>
          <w:rFonts w:ascii="Times New Roman" w:hAnsi="Times New Roman"/>
          <w:b/>
          <w:noProof/>
          <w:sz w:val="24"/>
        </w:rPr>
        <w:t>Plan de Acción Europeo sobre la Energía Eólica</w:t>
      </w:r>
      <w:r>
        <w:rPr>
          <w:rFonts w:ascii="Times New Roman" w:hAnsi="Times New Roman"/>
          <w:noProof/>
          <w:sz w:val="24"/>
        </w:rPr>
        <w:t>, que contribuirá a acelerar aún más la concesión de autorizaciones, a mejorar los sistemas de subasta en toda la UE, a facilitar el acceso a financiación y a reforzar las cadenas de suministro.</w:t>
      </w:r>
    </w:p>
    <w:p w14:paraId="4CECE12A" w14:textId="77777777" w:rsidR="00EB5254" w:rsidRPr="00C223F1" w:rsidRDefault="00EB5254" w:rsidP="00EB5254">
      <w:pPr>
        <w:spacing w:after="0"/>
        <w:jc w:val="both"/>
        <w:rPr>
          <w:rFonts w:ascii="Times New Roman" w:eastAsia="Times New Roman" w:hAnsi="Times New Roman" w:cs="Times New Roman"/>
          <w:noProof/>
          <w:sz w:val="24"/>
          <w:szCs w:val="24"/>
        </w:rPr>
      </w:pPr>
    </w:p>
    <w:p w14:paraId="3686F401" w14:textId="2E37B7B0" w:rsidR="00EB5254" w:rsidRPr="008907E2" w:rsidRDefault="00EB5254" w:rsidP="00EB5254">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b/>
          <w:noProof/>
          <w:sz w:val="24"/>
        </w:rPr>
        <w:t>La industria de la tecnología de la energía oceánica de la UE es muy innovadora.</w:t>
      </w:r>
      <w:r>
        <w:rPr>
          <w:rFonts w:ascii="Times New Roman" w:hAnsi="Times New Roman"/>
          <w:noProof/>
          <w:sz w:val="24"/>
        </w:rPr>
        <w:t xml:space="preserve"> Para impulsar la competitividad de este sector, los inversores necesitan garantías. Llevar a cabo subastas específicas para cada tecnología o desarrollar los usos múltiples (por ejemplo, con otras instalaciones renovables o para actividades múltiples) también ayudaría a la industria.</w:t>
      </w:r>
      <w:r>
        <w:rPr>
          <w:rFonts w:ascii="Times New Roman" w:hAnsi="Times New Roman"/>
          <w:noProof/>
          <w:color w:val="000000" w:themeColor="text1"/>
          <w:sz w:val="24"/>
        </w:rPr>
        <w:t xml:space="preserve"> </w:t>
      </w:r>
    </w:p>
    <w:p w14:paraId="55B78441" w14:textId="77777777" w:rsidR="0080502A" w:rsidRPr="00C31310" w:rsidRDefault="0080502A" w:rsidP="0080502A">
      <w:pPr>
        <w:spacing w:after="0" w:line="252" w:lineRule="auto"/>
        <w:jc w:val="both"/>
        <w:rPr>
          <w:rFonts w:ascii="Times New Roman" w:hAnsi="Times New Roman" w:cs="Times New Roman"/>
          <w:noProof/>
          <w:sz w:val="24"/>
          <w:szCs w:val="24"/>
        </w:rPr>
      </w:pPr>
      <w:bookmarkStart w:id="3" w:name="_Hlk147914635"/>
      <w:r>
        <w:rPr>
          <w:rFonts w:ascii="Times New Roman" w:hAnsi="Times New Roman"/>
          <w:b/>
          <w:noProof/>
          <w:sz w:val="24"/>
        </w:rPr>
        <w:t xml:space="preserve">La UE va por buen camino para satisfacer la demanda prevista de baterías para 2025 y 2030. </w:t>
      </w:r>
      <w:r>
        <w:rPr>
          <w:rFonts w:ascii="Times New Roman" w:hAnsi="Times New Roman"/>
          <w:noProof/>
          <w:sz w:val="24"/>
        </w:rPr>
        <w:t xml:space="preserve">El número de gigafábricas de ion-litio anunciadas aumentó en 2022 de 26 a 30 y sigue creciendo. Si bien el segmento correspondiente a Europa de los anuncios de inversión mundial en capacidad de producción de ion-litio disminuyó del 41 % en 2021 al 2 % en 2022, las fábricas de baterías se están construyendo a una velocidad cada vez mayor en toda Europa y se prevé que satisfagan la mayor parte de la demanda de la UE de aquí a 2030. El ámbito en el que es necesario el mayor aumento relativo para cumplir los objetivos de 2030 es el del reciclado. </w:t>
      </w:r>
    </w:p>
    <w:bookmarkEnd w:id="3"/>
    <w:p w14:paraId="5C0C635F" w14:textId="77777777" w:rsidR="00EB5254" w:rsidRPr="00C223F1" w:rsidRDefault="00EB5254" w:rsidP="00EB5254">
      <w:pPr>
        <w:spacing w:after="0" w:line="252" w:lineRule="auto"/>
        <w:jc w:val="both"/>
        <w:rPr>
          <w:rFonts w:ascii="Times New Roman" w:hAnsi="Times New Roman" w:cs="Times New Roman"/>
          <w:noProof/>
          <w:sz w:val="24"/>
          <w:szCs w:val="24"/>
        </w:rPr>
      </w:pPr>
    </w:p>
    <w:p w14:paraId="624D0E8C" w14:textId="13C11E2E" w:rsidR="00EB5254" w:rsidRDefault="00EB5254" w:rsidP="29C90B6D">
      <w:pPr>
        <w:spacing w:after="0"/>
        <w:jc w:val="both"/>
        <w:rPr>
          <w:rFonts w:ascii="Times New Roman" w:eastAsia="Times New Roman" w:hAnsi="Times New Roman" w:cs="Times New Roman"/>
          <w:noProof/>
          <w:sz w:val="24"/>
          <w:szCs w:val="24"/>
        </w:rPr>
      </w:pPr>
      <w:bookmarkStart w:id="4" w:name="_Hlk147914279"/>
      <w:r>
        <w:rPr>
          <w:rFonts w:ascii="Times New Roman" w:hAnsi="Times New Roman"/>
          <w:b/>
          <w:noProof/>
          <w:sz w:val="24"/>
        </w:rPr>
        <w:t>El mercado de la UE de bombas de calor individuales está creciendo.</w:t>
      </w:r>
      <w:r>
        <w:rPr>
          <w:rFonts w:ascii="Times New Roman" w:hAnsi="Times New Roman"/>
          <w:noProof/>
          <w:sz w:val="24"/>
        </w:rPr>
        <w:t xml:space="preserve"> Las estimaciones indican que las ventas de bombas de calor individuales aumentaron un 41 % en 2022. Sin embargo, este crecimiento se ha visto parcialmente </w:t>
      </w:r>
      <w:r w:rsidR="00525D70">
        <w:rPr>
          <w:rFonts w:ascii="Times New Roman" w:hAnsi="Times New Roman"/>
          <w:noProof/>
          <w:sz w:val="24"/>
        </w:rPr>
        <w:t>capt</w:t>
      </w:r>
      <w:r>
        <w:rPr>
          <w:rFonts w:ascii="Times New Roman" w:hAnsi="Times New Roman"/>
          <w:noProof/>
          <w:sz w:val="24"/>
        </w:rPr>
        <w:t xml:space="preserve">ado </w:t>
      </w:r>
      <w:r w:rsidR="00525D70">
        <w:rPr>
          <w:rFonts w:ascii="Times New Roman" w:hAnsi="Times New Roman"/>
          <w:noProof/>
          <w:sz w:val="24"/>
        </w:rPr>
        <w:t>por</w:t>
      </w:r>
      <w:r>
        <w:rPr>
          <w:rFonts w:ascii="Times New Roman" w:hAnsi="Times New Roman"/>
          <w:noProof/>
          <w:sz w:val="24"/>
        </w:rPr>
        <w:t xml:space="preserve"> las importaciones</w:t>
      </w:r>
      <w:r w:rsidR="00525D70">
        <w:rPr>
          <w:rFonts w:ascii="Times New Roman" w:hAnsi="Times New Roman"/>
          <w:noProof/>
          <w:sz w:val="24"/>
        </w:rPr>
        <w:t>,</w:t>
      </w:r>
      <w:r>
        <w:rPr>
          <w:rFonts w:ascii="Times New Roman" w:hAnsi="Times New Roman"/>
          <w:noProof/>
          <w:sz w:val="24"/>
        </w:rPr>
        <w:t xml:space="preserve"> y el déficit de la balanza comercial se ha duplicado en 2022 desde 2021. Se estimó que la capacidad de producción de la UE había cubierto el 75 % de la demanda de la UE de bombas de calefacción central individuales en 2021, pero los fabricantes de la UE dependen de las importaciones de componentes como compresores y refrigerantes sintéticos. La Comisión está preparando un plan de acción de la UE para acelerar el despliegue de las bombas de calor.</w:t>
      </w:r>
    </w:p>
    <w:bookmarkEnd w:id="4"/>
    <w:p w14:paraId="4134054C" w14:textId="77777777" w:rsidR="00EB5254" w:rsidRPr="00C223F1" w:rsidRDefault="00EB5254" w:rsidP="00EB5254">
      <w:pPr>
        <w:spacing w:after="0" w:line="252" w:lineRule="auto"/>
        <w:jc w:val="both"/>
        <w:rPr>
          <w:rFonts w:ascii="Times New Roman" w:eastAsia="Times New Roman" w:hAnsi="Times New Roman" w:cs="Times New Roman"/>
          <w:noProof/>
          <w:sz w:val="24"/>
          <w:szCs w:val="24"/>
        </w:rPr>
      </w:pPr>
    </w:p>
    <w:p w14:paraId="03BC18CB" w14:textId="59653001" w:rsidR="00EB5254" w:rsidRPr="008907E2" w:rsidRDefault="00EB5254" w:rsidP="00EB5254">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Aunque la capacidad instalada del sector geotérmico de la UE es limitada, tiene potencial para contribuir a los objetivos del plan REPowerEU y al suministro seguro de materias primas.</w:t>
      </w:r>
      <w:r>
        <w:rPr>
          <w:rFonts w:ascii="Times New Roman" w:hAnsi="Times New Roman"/>
          <w:noProof/>
          <w:sz w:val="24"/>
        </w:rPr>
        <w:t xml:space="preserve"> El sector necesita más datos disponibles sobre el subsuelo para aumentar la tasa de éxito y la previsibilidad de los nuevos proyectos geotérmicos, así como mejoras tecnológicas. El sector también se beneficiaría de medidas para simplificar el proceso de concesión de licencias, </w:t>
      </w:r>
      <w:r w:rsidR="009455C9">
        <w:rPr>
          <w:rFonts w:ascii="Times New Roman" w:hAnsi="Times New Roman"/>
          <w:noProof/>
          <w:sz w:val="24"/>
        </w:rPr>
        <w:t>de</w:t>
      </w:r>
      <w:r>
        <w:rPr>
          <w:rFonts w:ascii="Times New Roman" w:hAnsi="Times New Roman"/>
          <w:noProof/>
          <w:sz w:val="24"/>
        </w:rPr>
        <w:t xml:space="preserve"> sistemas de reducción del riesgo, </w:t>
      </w:r>
      <w:r w:rsidR="009455C9">
        <w:rPr>
          <w:rFonts w:ascii="Times New Roman" w:hAnsi="Times New Roman"/>
          <w:noProof/>
          <w:sz w:val="24"/>
        </w:rPr>
        <w:t xml:space="preserve">de </w:t>
      </w:r>
      <w:r>
        <w:rPr>
          <w:rFonts w:ascii="Times New Roman" w:hAnsi="Times New Roman"/>
          <w:noProof/>
          <w:sz w:val="24"/>
        </w:rPr>
        <w:t xml:space="preserve">una mayor sensibilización de la opinión pública y </w:t>
      </w:r>
      <w:r w:rsidR="009455C9">
        <w:rPr>
          <w:rFonts w:ascii="Times New Roman" w:hAnsi="Times New Roman"/>
          <w:noProof/>
          <w:sz w:val="24"/>
        </w:rPr>
        <w:t xml:space="preserve">de </w:t>
      </w:r>
      <w:r>
        <w:rPr>
          <w:rFonts w:ascii="Times New Roman" w:hAnsi="Times New Roman"/>
          <w:noProof/>
          <w:sz w:val="24"/>
        </w:rPr>
        <w:t>una mano de obra más cualificada.</w:t>
      </w:r>
    </w:p>
    <w:p w14:paraId="620FD19A" w14:textId="3FC51B27" w:rsidR="00EB5254" w:rsidRDefault="00EB5254" w:rsidP="00EB5254">
      <w:pPr>
        <w:spacing w:after="0"/>
        <w:jc w:val="both"/>
        <w:rPr>
          <w:rFonts w:ascii="Times New Roman" w:eastAsia="Times New Roman" w:hAnsi="Times New Roman" w:cs="Times New Roman"/>
          <w:noProof/>
          <w:sz w:val="24"/>
          <w:szCs w:val="24"/>
        </w:rPr>
      </w:pPr>
      <w:r>
        <w:rPr>
          <w:rFonts w:ascii="Times New Roman" w:hAnsi="Times New Roman"/>
          <w:b/>
          <w:noProof/>
          <w:sz w:val="24"/>
        </w:rPr>
        <w:t>Las inversiones en la UE para generar hidrógeno renovable mediante electrólisis del agua han abierto la posibilidad de que varios fabricantes construyan nuevas fábricas de electrolizadores en Europa.</w:t>
      </w:r>
      <w:r>
        <w:rPr>
          <w:rFonts w:ascii="Times New Roman" w:hAnsi="Times New Roman"/>
          <w:noProof/>
          <w:sz w:val="24"/>
        </w:rPr>
        <w:t xml:space="preserve"> Al mismo tiempo, la UE se enfrenta a los retos de aumentar la energía renovable y rentable a fin de alimentar estos electrolizadores y evitar cualquier impacto negativo en la disponibilidad de agua dulce para desplegar esta tecnología. Se necesitan más medidas para aumentar las capacidades de reciclado en Europa, </w:t>
      </w:r>
      <w:r w:rsidR="00873E36">
        <w:rPr>
          <w:rFonts w:ascii="Times New Roman" w:hAnsi="Times New Roman"/>
          <w:noProof/>
          <w:sz w:val="24"/>
        </w:rPr>
        <w:t>en particular de</w:t>
      </w:r>
      <w:r>
        <w:rPr>
          <w:rFonts w:ascii="Times New Roman" w:hAnsi="Times New Roman"/>
          <w:noProof/>
          <w:sz w:val="24"/>
        </w:rPr>
        <w:t xml:space="preserve"> las materias primas fundamentales necesarias para la fabricación de electrolizadores. </w:t>
      </w:r>
    </w:p>
    <w:p w14:paraId="13E8E115" w14:textId="77777777" w:rsidR="00EB5254" w:rsidRPr="00C223F1" w:rsidRDefault="00EB5254" w:rsidP="00EB5254">
      <w:pPr>
        <w:spacing w:after="0"/>
        <w:jc w:val="both"/>
        <w:rPr>
          <w:rFonts w:ascii="Times New Roman" w:eastAsia="Times New Roman" w:hAnsi="Times New Roman" w:cs="Times New Roman"/>
          <w:noProof/>
          <w:sz w:val="24"/>
          <w:szCs w:val="24"/>
        </w:rPr>
      </w:pPr>
    </w:p>
    <w:p w14:paraId="680F97D3" w14:textId="27BAE72A" w:rsidR="00EB5254" w:rsidRPr="00C31310" w:rsidRDefault="00EB5254" w:rsidP="08BAB144">
      <w:pPr>
        <w:spacing w:after="0"/>
        <w:jc w:val="both"/>
        <w:rPr>
          <w:rFonts w:ascii="Times New Roman" w:hAnsi="Times New Roman" w:cs="Times New Roman"/>
          <w:noProof/>
          <w:sz w:val="24"/>
          <w:szCs w:val="24"/>
        </w:rPr>
      </w:pPr>
      <w:r>
        <w:rPr>
          <w:rFonts w:ascii="Times New Roman" w:hAnsi="Times New Roman"/>
          <w:b/>
          <w:noProof/>
          <w:sz w:val="24"/>
        </w:rPr>
        <w:t>En 2022, la UE fue el mayor productor de biogás, con más del 67 % de la producción mundial. La UE también es líder en I+i sobre biogás sostenible.</w:t>
      </w:r>
      <w:r>
        <w:rPr>
          <w:rFonts w:ascii="Times New Roman" w:hAnsi="Times New Roman"/>
          <w:noProof/>
          <w:sz w:val="24"/>
        </w:rPr>
        <w:t xml:space="preserve"> La reducción de los costes de producción, especialmente a través de la innovación, la reproducción y un marco regulador estable, puede contribuir a impulsar la competitividad de la UE en el sector. </w:t>
      </w:r>
    </w:p>
    <w:p w14:paraId="39407882" w14:textId="77777777" w:rsidR="00EB5254" w:rsidRPr="00C223F1" w:rsidRDefault="00EB5254" w:rsidP="00EB5254">
      <w:pPr>
        <w:spacing w:after="0"/>
        <w:jc w:val="both"/>
        <w:rPr>
          <w:rFonts w:ascii="Times New Roman" w:eastAsia="Times New Roman" w:hAnsi="Times New Roman" w:cs="Times New Roman"/>
          <w:noProof/>
          <w:sz w:val="24"/>
          <w:szCs w:val="24"/>
        </w:rPr>
      </w:pPr>
    </w:p>
    <w:p w14:paraId="5B712670" w14:textId="33D498C5" w:rsidR="00357918" w:rsidRDefault="00357918" w:rsidP="00EB5254">
      <w:pPr>
        <w:spacing w:after="0"/>
        <w:jc w:val="both"/>
        <w:rPr>
          <w:rFonts w:ascii="Times New Roman" w:eastAsia="Times New Roman" w:hAnsi="Times New Roman" w:cs="Times New Roman"/>
          <w:noProof/>
          <w:sz w:val="24"/>
          <w:szCs w:val="24"/>
        </w:rPr>
      </w:pPr>
      <w:r>
        <w:rPr>
          <w:rFonts w:ascii="Times New Roman" w:hAnsi="Times New Roman"/>
          <w:b/>
          <w:noProof/>
          <w:sz w:val="24"/>
        </w:rPr>
        <w:t>En cuanto a la captura y almacenamiento de carbono (CAC), esta gama de tecnologías está madura en la UE, probada y ya disponible. Sin embargo, la CAC debe desplegarse a gran escala si la UE quiere alcanzar la neutralidad climática de aquí a 2050.</w:t>
      </w:r>
      <w:r>
        <w:rPr>
          <w:rFonts w:ascii="Times New Roman" w:hAnsi="Times New Roman"/>
          <w:noProof/>
          <w:sz w:val="24"/>
        </w:rPr>
        <w:t xml:space="preserve"> La UE está relativamente bien posicionada en cuanto a tecnologías de captura de CO</w:t>
      </w:r>
      <w:r>
        <w:rPr>
          <w:rFonts w:ascii="Times New Roman" w:hAnsi="Times New Roman"/>
          <w:noProof/>
          <w:sz w:val="24"/>
          <w:vertAlign w:val="subscript"/>
        </w:rPr>
        <w:t>2</w:t>
      </w:r>
      <w:r>
        <w:rPr>
          <w:rFonts w:ascii="Times New Roman" w:hAnsi="Times New Roman"/>
          <w:noProof/>
          <w:sz w:val="24"/>
        </w:rPr>
        <w:t xml:space="preserve"> y en términos de I+i, pero todavía no ha desarrollado cadenas de valor completas de gestión del carbono industrial y las instalaciones todavía no están operativas a nivel comercial. En este sentido, se necesitará financiación pública, tanto a escala nacional como de la UE, para atraer capital privado. Además, también será esencial proponer modelos de negocio para este mercado emergente. La UE dispone de varios instrumentos políticos de apoyo al desarrollo de la CAC. </w:t>
      </w:r>
      <w:r w:rsidR="00BA5CFE">
        <w:rPr>
          <w:rFonts w:ascii="Times New Roman" w:hAnsi="Times New Roman"/>
          <w:noProof/>
          <w:sz w:val="24"/>
        </w:rPr>
        <w:t>L</w:t>
      </w:r>
      <w:r>
        <w:rPr>
          <w:rFonts w:ascii="Times New Roman" w:hAnsi="Times New Roman"/>
          <w:noProof/>
          <w:sz w:val="24"/>
        </w:rPr>
        <w:t>a Comisión trabaja actualmente en una Estrategia de gestión del carbono industrial prevista para el primer trimestre de 2024.</w:t>
      </w:r>
    </w:p>
    <w:p w14:paraId="1C8DCEB8" w14:textId="77777777" w:rsidR="00357918" w:rsidRPr="00C223F1" w:rsidRDefault="00357918" w:rsidP="00EB5254">
      <w:pPr>
        <w:spacing w:after="0"/>
        <w:jc w:val="both"/>
        <w:rPr>
          <w:rFonts w:ascii="Times New Roman" w:eastAsia="Times New Roman" w:hAnsi="Times New Roman" w:cs="Times New Roman"/>
          <w:noProof/>
          <w:sz w:val="24"/>
          <w:szCs w:val="24"/>
        </w:rPr>
      </w:pPr>
    </w:p>
    <w:p w14:paraId="4BC6114D" w14:textId="0D52BF99" w:rsidR="00EB5254" w:rsidRDefault="26617194" w:rsidP="2F51B00A">
      <w:pPr>
        <w:spacing w:after="0"/>
        <w:jc w:val="both"/>
        <w:rPr>
          <w:rFonts w:ascii="Times New Roman" w:eastAsia="Times New Roman" w:hAnsi="Times New Roman" w:cs="Times New Roman"/>
          <w:noProof/>
          <w:sz w:val="24"/>
          <w:szCs w:val="24"/>
        </w:rPr>
      </w:pPr>
      <w:r>
        <w:rPr>
          <w:rFonts w:ascii="Times New Roman" w:hAnsi="Times New Roman"/>
          <w:noProof/>
          <w:sz w:val="24"/>
        </w:rPr>
        <w:t xml:space="preserve">La aparición de importantes parques eólicos marinos y de interconectores regionales ha hecho que el mercado europeo resulte muy atractivo para los desarrolladores </w:t>
      </w:r>
      <w:r w:rsidR="007C799A">
        <w:rPr>
          <w:rFonts w:ascii="Times New Roman" w:hAnsi="Times New Roman"/>
          <w:noProof/>
          <w:sz w:val="24"/>
        </w:rPr>
        <w:t xml:space="preserve">y proveedores de tecnología </w:t>
      </w:r>
      <w:r>
        <w:rPr>
          <w:rFonts w:ascii="Times New Roman" w:hAnsi="Times New Roman"/>
          <w:noProof/>
          <w:sz w:val="24"/>
        </w:rPr>
        <w:t xml:space="preserve">de sistemas de </w:t>
      </w:r>
      <w:r>
        <w:rPr>
          <w:rFonts w:ascii="Times New Roman" w:hAnsi="Times New Roman"/>
          <w:b/>
          <w:noProof/>
          <w:sz w:val="24"/>
        </w:rPr>
        <w:t>corriente continua de alta tensión</w:t>
      </w:r>
      <w:r>
        <w:rPr>
          <w:rFonts w:ascii="Times New Roman" w:hAnsi="Times New Roman"/>
          <w:noProof/>
          <w:sz w:val="24"/>
        </w:rPr>
        <w:t xml:space="preserve">. Sin embargo, el sector tendrá que superar retos como el aumento de la demanda mundial de componentes y el riesgo de perturbaciones de la cadena de suministro. Es fundamental una cooperación más estrecha entre las partes interesadas, así como el apoyo a la armonización y la normalización, en particular para estimular la inversión en capacidad de producción por parte de los proveedores de la UE. La introducción de procedimientos de </w:t>
      </w:r>
      <w:r w:rsidR="00DC4727">
        <w:rPr>
          <w:rFonts w:ascii="Times New Roman" w:hAnsi="Times New Roman"/>
          <w:noProof/>
          <w:sz w:val="24"/>
        </w:rPr>
        <w:t>aprovisionamiento</w:t>
      </w:r>
      <w:r>
        <w:rPr>
          <w:rFonts w:ascii="Times New Roman" w:hAnsi="Times New Roman"/>
          <w:noProof/>
          <w:sz w:val="24"/>
        </w:rPr>
        <w:t xml:space="preserve"> racionalizados y la puesta en común voluntaria de la demanda para los compradores de la UE podrían ayudar a abordar los principales problemas de la cadena de suministro. </w:t>
      </w:r>
    </w:p>
    <w:p w14:paraId="0892A2B9" w14:textId="77777777" w:rsidR="00EB5254" w:rsidRPr="00C223F1" w:rsidRDefault="00EB5254" w:rsidP="00EB5254">
      <w:pPr>
        <w:spacing w:after="0"/>
        <w:jc w:val="both"/>
        <w:rPr>
          <w:rFonts w:ascii="Times New Roman" w:eastAsia="Times New Roman" w:hAnsi="Times New Roman" w:cs="Times New Roman"/>
          <w:noProof/>
          <w:sz w:val="24"/>
          <w:szCs w:val="24"/>
        </w:rPr>
      </w:pPr>
    </w:p>
    <w:p w14:paraId="7C794E52" w14:textId="1F79DDCE" w:rsidR="003744DD" w:rsidRDefault="00EB5254" w:rsidP="00EB5254">
      <w:pPr>
        <w:spacing w:after="0"/>
        <w:jc w:val="both"/>
        <w:rPr>
          <w:rFonts w:ascii="Times New Roman" w:eastAsia="Times New Roman" w:hAnsi="Times New Roman" w:cs="Times New Roman"/>
          <w:noProof/>
          <w:sz w:val="24"/>
          <w:szCs w:val="24"/>
        </w:rPr>
      </w:pPr>
      <w:r>
        <w:rPr>
          <w:rFonts w:ascii="Times New Roman" w:hAnsi="Times New Roman"/>
          <w:noProof/>
          <w:sz w:val="24"/>
        </w:rPr>
        <w:t>La competitividad del sector de las energías limpias ha sido objeto de creciente atención en el último año. La UE ha reaccionado con rapidez para ayudar a su industria a hacer frente a los retos actuales y proseguirá la acción coordinada con este fin. Esta edición de 2023 del Informe de situación en materia de competitividad es de especial actualidad, ya que proporciona información sobre los principales motores, oportunidades y obstáculos en relación con la competitividad en el sector de las energías limpias de la UE.</w:t>
      </w:r>
    </w:p>
    <w:p w14:paraId="4F183725" w14:textId="77777777" w:rsidR="003744DD" w:rsidRDefault="003744DD">
      <w:pPr>
        <w:rPr>
          <w:rFonts w:ascii="Times New Roman" w:eastAsia="Times New Roman" w:hAnsi="Times New Roman" w:cs="Times New Roman"/>
          <w:noProof/>
          <w:sz w:val="24"/>
          <w:szCs w:val="24"/>
        </w:rPr>
      </w:pPr>
      <w:r>
        <w:rPr>
          <w:noProof/>
        </w:rPr>
        <w:br w:type="page"/>
      </w:r>
    </w:p>
    <w:p w14:paraId="758E861B" w14:textId="22E5B536" w:rsidR="009402A5" w:rsidRPr="008907E2" w:rsidRDefault="00BA0BF3" w:rsidP="009402A5">
      <w:pPr>
        <w:pStyle w:val="Heading1"/>
        <w:numPr>
          <w:ilvl w:val="0"/>
          <w:numId w:val="4"/>
        </w:numPr>
        <w:rPr>
          <w:noProof/>
        </w:rPr>
      </w:pPr>
      <w:bookmarkStart w:id="5" w:name="_Toc153536054"/>
      <w:r>
        <w:rPr>
          <w:noProof/>
        </w:rPr>
        <w:t>INTRODUCCIÓN</w:t>
      </w:r>
      <w:bookmarkEnd w:id="5"/>
    </w:p>
    <w:p w14:paraId="1ED9F29C" w14:textId="609E40B0" w:rsidR="009402A5" w:rsidRPr="00C31310" w:rsidRDefault="009402A5" w:rsidP="3E932E6D">
      <w:pPr>
        <w:spacing w:line="257" w:lineRule="auto"/>
        <w:jc w:val="both"/>
        <w:rPr>
          <w:rFonts w:ascii="Times New Roman" w:hAnsi="Times New Roman" w:cs="Times New Roman"/>
          <w:noProof/>
          <w:sz w:val="24"/>
          <w:szCs w:val="24"/>
        </w:rPr>
      </w:pPr>
      <w:r>
        <w:rPr>
          <w:rFonts w:ascii="Times New Roman" w:hAnsi="Times New Roman"/>
          <w:noProof/>
          <w:sz w:val="24"/>
        </w:rPr>
        <w:t xml:space="preserve">La pandemia de COVID-19 y la agresión militar no provocada e injustificada de Rusia contra Ucrania han perturbado enormemente el sistema energético mundial. Los máximos históricos alcanzados por los precios de la energía y la interrupción de las cadenas de suministro mundiales han puesto a prueba el sistema energético de la UE como nunca antes y han exigido medidas para ofrecer a la población una energía segura y asequible. En respuesta, </w:t>
      </w:r>
      <w:r>
        <w:rPr>
          <w:rFonts w:ascii="Times New Roman" w:hAnsi="Times New Roman"/>
          <w:b/>
          <w:noProof/>
          <w:sz w:val="24"/>
        </w:rPr>
        <w:t>la UE ha tomado medidas decisivas para diversificar su suministro energético y acelerar la transición a las energías limpias.</w:t>
      </w:r>
    </w:p>
    <w:p w14:paraId="01508515" w14:textId="246FA2BA" w:rsidR="009402A5" w:rsidRPr="00C31310" w:rsidRDefault="009402A5" w:rsidP="08BAB144">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Desde 2020, las políticas de recuperación económica de la UE adoptadas en respuesta a la pandemia, como el </w:t>
      </w:r>
      <w:r>
        <w:rPr>
          <w:rFonts w:ascii="Times New Roman" w:hAnsi="Times New Roman"/>
          <w:b/>
          <w:noProof/>
          <w:sz w:val="24"/>
        </w:rPr>
        <w:t>Mecanismo de Recuperación y Resiliencia</w:t>
      </w:r>
      <w:r>
        <w:rPr>
          <w:rFonts w:ascii="Times New Roman" w:hAnsi="Times New Roman"/>
          <w:noProof/>
          <w:sz w:val="24"/>
        </w:rPr>
        <w:t xml:space="preserve"> (MRR), han aumentado sustancialmente las inversiones en soluciones energéticas limpias. Por sí solas, las reformas e inversiones propuestas por los Estados miembros en sus planes de recuperación y resiliencia representan unos 203 000 millones EUR en gasto relacionado con el clima</w:t>
      </w:r>
      <w:r w:rsidRPr="00F11017">
        <w:rPr>
          <w:rFonts w:ascii="Times New Roman" w:hAnsi="Times New Roman" w:cs="Times New Roman"/>
          <w:noProof/>
          <w:sz w:val="24"/>
          <w:szCs w:val="24"/>
          <w:vertAlign w:val="superscript"/>
          <w:lang w:val="en-GB"/>
        </w:rPr>
        <w:footnoteReference w:id="2"/>
      </w:r>
      <w:r>
        <w:rPr>
          <w:rFonts w:ascii="Times New Roman" w:hAnsi="Times New Roman"/>
          <w:noProof/>
          <w:sz w:val="24"/>
        </w:rPr>
        <w:t>. Además, los fondos de la política de cohesión aportan 46 000 millones EUR adicionales de inversiones relacionadas con las energías limpias.</w:t>
      </w:r>
    </w:p>
    <w:p w14:paraId="0160893E" w14:textId="457B4B44" w:rsidR="009402A5" w:rsidRPr="00C31310" w:rsidRDefault="009402A5" w:rsidP="009402A5">
      <w:pPr>
        <w:spacing w:line="257" w:lineRule="auto"/>
        <w:jc w:val="both"/>
        <w:rPr>
          <w:rFonts w:ascii="Times New Roman" w:hAnsi="Times New Roman" w:cs="Times New Roman"/>
          <w:noProof/>
          <w:sz w:val="24"/>
          <w:szCs w:val="24"/>
        </w:rPr>
      </w:pPr>
      <w:r>
        <w:rPr>
          <w:rFonts w:ascii="Times New Roman" w:hAnsi="Times New Roman"/>
          <w:noProof/>
          <w:sz w:val="24"/>
        </w:rPr>
        <w:t xml:space="preserve">En 2022, la UE adoptó el </w:t>
      </w:r>
      <w:r>
        <w:rPr>
          <w:rFonts w:ascii="Times New Roman" w:hAnsi="Times New Roman"/>
          <w:b/>
          <w:noProof/>
          <w:sz w:val="24"/>
        </w:rPr>
        <w:t>plan REPowerEU</w:t>
      </w:r>
      <w:r w:rsidRPr="00C31310">
        <w:rPr>
          <w:rFonts w:ascii="Times New Roman" w:eastAsia="Times New Roman" w:hAnsi="Times New Roman" w:cs="Times New Roman"/>
          <w:noProof/>
          <w:sz w:val="24"/>
          <w:szCs w:val="24"/>
          <w:vertAlign w:val="superscript"/>
          <w:lang w:val="en-GB"/>
        </w:rPr>
        <w:footnoteReference w:id="3"/>
      </w:r>
      <w:r>
        <w:rPr>
          <w:rFonts w:ascii="Times New Roman" w:hAnsi="Times New Roman"/>
          <w:noProof/>
          <w:sz w:val="24"/>
        </w:rPr>
        <w:t xml:space="preserve">, que establece la línea de actuación para eliminar gradualmente la dependencia de la UE de las importaciones de energía procedentes de Rusia lo antes posible. El plan establece medidas para ahorrar energía, diversificar el suministro de energético y acelerar el despliegue de las energías renovables. </w:t>
      </w:r>
    </w:p>
    <w:p w14:paraId="45994527" w14:textId="3AEE803A" w:rsidR="009402A5" w:rsidRPr="00C31310" w:rsidRDefault="009402A5" w:rsidP="08BAB144">
      <w:pPr>
        <w:spacing w:line="257" w:lineRule="auto"/>
        <w:jc w:val="both"/>
        <w:rPr>
          <w:rFonts w:ascii="Times New Roman" w:eastAsia="Times New Roman" w:hAnsi="Times New Roman" w:cs="Times New Roman"/>
          <w:noProof/>
          <w:sz w:val="24"/>
          <w:szCs w:val="24"/>
        </w:rPr>
      </w:pPr>
      <w:r>
        <w:rPr>
          <w:rFonts w:ascii="Times New Roman" w:hAnsi="Times New Roman"/>
          <w:b/>
          <w:noProof/>
          <w:sz w:val="24"/>
        </w:rPr>
        <w:t>Estas acciones han dado resultados sustanciales.</w:t>
      </w:r>
      <w:r>
        <w:rPr>
          <w:rFonts w:ascii="Times New Roman" w:hAnsi="Times New Roman"/>
          <w:noProof/>
          <w:sz w:val="24"/>
        </w:rPr>
        <w:t xml:space="preserve"> El porcentaje de gas ruso importado por gasoductos del total de las importaciones de gas de la UE ha disminuido de alrededor del 45-50 % antes de la pandemia a alrededor del 10 % entre enero y junio de 2023. La tasa de despliegue de la energía eólica y solar en la UE aumentó en torno a un 50 % en comparación con 2021. La energía eólica y solar representó el 22 % de la producción de electricidad de la UE, superando por primera vez al gas natural. Además, la Unión adoptó objetivos más ambiciosos en materia de eficiencia energética y energías renovables para 2030. </w:t>
      </w:r>
    </w:p>
    <w:p w14:paraId="0071EB0E" w14:textId="4035E636" w:rsidR="009402A5" w:rsidRPr="00C31310" w:rsidRDefault="004604EB" w:rsidP="009402A5">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Esta transición energética acelerada y a gran escala debe sustentarse en </w:t>
      </w:r>
      <w:r>
        <w:rPr>
          <w:rFonts w:ascii="Times New Roman" w:hAnsi="Times New Roman"/>
          <w:b/>
          <w:noProof/>
          <w:sz w:val="24"/>
        </w:rPr>
        <w:t>medidas para garantizar el suministro resiliente de tecnologías energéticas limpias.</w:t>
      </w:r>
      <w:r>
        <w:rPr>
          <w:rFonts w:ascii="Times New Roman" w:hAnsi="Times New Roman"/>
          <w:noProof/>
          <w:color w:val="000000" w:themeColor="text1"/>
          <w:sz w:val="24"/>
        </w:rPr>
        <w:t xml:space="preserve"> Estas medidas incluyen el aumento de la capacidad de fabricación nacional, la diversificación de las cadenas de suministro y la aplicación de medidas de economía circular, </w:t>
      </w:r>
      <w:r>
        <w:rPr>
          <w:rFonts w:ascii="Times New Roman" w:hAnsi="Times New Roman"/>
          <w:b/>
          <w:noProof/>
          <w:color w:val="000000" w:themeColor="text1"/>
          <w:sz w:val="24"/>
        </w:rPr>
        <w:t>lo que resulta crucial para reforzar la autonomía estratégica abierta de la UE</w:t>
      </w:r>
      <w:r>
        <w:rPr>
          <w:rFonts w:ascii="Times New Roman" w:hAnsi="Times New Roman"/>
          <w:noProof/>
          <w:color w:val="000000" w:themeColor="text1"/>
          <w:sz w:val="24"/>
        </w:rPr>
        <w:t>. Estas medidas no solo son importantes para aumentar la seguridad del suministro energético, sino que también pueden crear empleo y crecimiento. El mercado mundial de tecnologías clave de cero emisiones netas fabricadas en serie se triplicará de aquí a 2030, con un valor anual de aproximadamente 600 000 millones EUR</w:t>
      </w:r>
      <w:r w:rsidR="009402A5" w:rsidRPr="00C31310">
        <w:rPr>
          <w:rStyle w:val="FootnoteReference"/>
          <w:rFonts w:ascii="Times New Roman" w:eastAsia="Times New Roman" w:hAnsi="Times New Roman" w:cs="Times New Roman"/>
          <w:noProof/>
          <w:color w:val="000000" w:themeColor="text1"/>
          <w:sz w:val="24"/>
          <w:szCs w:val="24"/>
          <w:lang w:val="en-GB"/>
        </w:rPr>
        <w:footnoteReference w:id="4"/>
      </w:r>
      <w:r>
        <w:rPr>
          <w:rFonts w:ascii="Times New Roman" w:hAnsi="Times New Roman"/>
          <w:noProof/>
          <w:color w:val="000000" w:themeColor="text1"/>
          <w:sz w:val="24"/>
        </w:rPr>
        <w:t>.</w:t>
      </w:r>
    </w:p>
    <w:p w14:paraId="6CFFAADC" w14:textId="379F2217" w:rsidR="009402A5" w:rsidRPr="00C31310" w:rsidRDefault="009402A5" w:rsidP="741DE90B">
      <w:pPr>
        <w:spacing w:line="257" w:lineRule="auto"/>
        <w:jc w:val="both"/>
        <w:rPr>
          <w:rFonts w:ascii="Times New Roman" w:hAnsi="Times New Roman" w:cs="Times New Roman"/>
          <w:noProof/>
          <w:sz w:val="24"/>
          <w:szCs w:val="24"/>
        </w:rPr>
      </w:pPr>
      <w:r>
        <w:rPr>
          <w:rFonts w:ascii="Times New Roman" w:hAnsi="Times New Roman"/>
          <w:noProof/>
          <w:sz w:val="24"/>
        </w:rPr>
        <w:t xml:space="preserve">En la actualidad, la </w:t>
      </w:r>
      <w:r>
        <w:rPr>
          <w:rFonts w:ascii="Times New Roman" w:hAnsi="Times New Roman"/>
          <w:b/>
          <w:noProof/>
          <w:sz w:val="24"/>
        </w:rPr>
        <w:t>industria manufacturera de las energías limpias de la UE se enfrenta a dificultades</w:t>
      </w:r>
      <w:r>
        <w:rPr>
          <w:rFonts w:ascii="Times New Roman" w:hAnsi="Times New Roman"/>
          <w:noProof/>
          <w:sz w:val="24"/>
        </w:rPr>
        <w:t>. Incluso en sectores como la energía eólica o las bombas de calor, en los que la UE tiene una sólida base manufacturera, las cuotas de mercado están disminuyendo. Otras regiones del mundo han adoptado iniciativas a gran escala para impulsar su industria de cero emisiones netas y la competencia es cada vez más feroz y rápida.</w:t>
      </w:r>
    </w:p>
    <w:p w14:paraId="274AAA5B" w14:textId="325CED20" w:rsidR="009402A5" w:rsidRPr="00C31310" w:rsidRDefault="009402A5" w:rsidP="3E932E6D">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Esta es la razón por la que, en febrero de 2023, la Comisión Europea presentó el </w:t>
      </w:r>
      <w:r>
        <w:rPr>
          <w:rFonts w:ascii="Times New Roman" w:hAnsi="Times New Roman"/>
          <w:b/>
          <w:noProof/>
          <w:sz w:val="24"/>
        </w:rPr>
        <w:t>Plan Industrial del Pacto Verde Europeo</w:t>
      </w:r>
      <w:r w:rsidRPr="00C31310">
        <w:rPr>
          <w:rStyle w:val="FootnoteReference"/>
          <w:rFonts w:ascii="Times New Roman" w:eastAsia="Times New Roman" w:hAnsi="Times New Roman" w:cs="Times New Roman"/>
          <w:noProof/>
          <w:color w:val="000000" w:themeColor="text1"/>
          <w:sz w:val="24"/>
          <w:szCs w:val="24"/>
          <w:lang w:val="en-GB"/>
        </w:rPr>
        <w:footnoteReference w:id="5"/>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noProof/>
          <w:sz w:val="24"/>
        </w:rPr>
        <w:t>Este plan tiene por objeto impulsar la competitividad de la industria de cero emisiones netas de la UE mediante la mejora del marco regulador, la aceleración del acceso a la financiación, la inversión en capacidades y el apoyo al comercio.</w:t>
      </w:r>
      <w:r>
        <w:rPr>
          <w:rFonts w:ascii="Times New Roman" w:hAnsi="Times New Roman"/>
          <w:noProof/>
          <w:color w:val="000000" w:themeColor="text1"/>
          <w:sz w:val="24"/>
        </w:rPr>
        <w:t xml:space="preserve"> </w:t>
      </w:r>
      <w:r>
        <w:rPr>
          <w:rFonts w:ascii="Times New Roman" w:hAnsi="Times New Roman"/>
          <w:noProof/>
          <w:sz w:val="24"/>
        </w:rPr>
        <w:t xml:space="preserve">El plan fue seguido en marzo de 2023 por las propuestas de una </w:t>
      </w:r>
      <w:r>
        <w:rPr>
          <w:rFonts w:ascii="Times New Roman" w:hAnsi="Times New Roman"/>
          <w:b/>
          <w:noProof/>
          <w:sz w:val="24"/>
        </w:rPr>
        <w:t>Ley sobre la industria de cero emisiones netas</w:t>
      </w:r>
      <w:r w:rsidRPr="00C31310">
        <w:rPr>
          <w:rStyle w:val="FootnoteReference"/>
          <w:rFonts w:ascii="Times New Roman" w:eastAsia="Times New Roman" w:hAnsi="Times New Roman" w:cs="Times New Roman"/>
          <w:noProof/>
          <w:color w:val="000000" w:themeColor="text1"/>
          <w:sz w:val="24"/>
          <w:szCs w:val="24"/>
          <w:lang w:val="en-GB"/>
        </w:rPr>
        <w:footnoteReference w:id="6"/>
      </w:r>
      <w:r>
        <w:rPr>
          <w:rFonts w:ascii="Times New Roman" w:hAnsi="Times New Roman"/>
          <w:noProof/>
          <w:sz w:val="24"/>
        </w:rPr>
        <w:t xml:space="preserve"> y una </w:t>
      </w:r>
      <w:r>
        <w:rPr>
          <w:rFonts w:ascii="Times New Roman" w:hAnsi="Times New Roman"/>
          <w:b/>
          <w:noProof/>
          <w:sz w:val="24"/>
        </w:rPr>
        <w:t>Ley de Materias Primas Fundamentales</w:t>
      </w:r>
      <w:r w:rsidRPr="00C31310">
        <w:rPr>
          <w:rStyle w:val="FootnoteReference"/>
          <w:rFonts w:ascii="Times New Roman" w:eastAsia="Times New Roman" w:hAnsi="Times New Roman" w:cs="Times New Roman"/>
          <w:noProof/>
          <w:color w:val="000000" w:themeColor="text1"/>
          <w:sz w:val="24"/>
          <w:szCs w:val="24"/>
          <w:lang w:val="en-GB"/>
        </w:rPr>
        <w:footnoteReference w:id="7"/>
      </w:r>
      <w:r>
        <w:rPr>
          <w:rFonts w:ascii="Times New Roman" w:hAnsi="Times New Roman"/>
          <w:noProof/>
          <w:sz w:val="24"/>
        </w:rPr>
        <w:t>.</w:t>
      </w:r>
      <w:r>
        <w:rPr>
          <w:rFonts w:ascii="Times New Roman" w:hAnsi="Times New Roman"/>
          <w:noProof/>
          <w:color w:val="000000" w:themeColor="text1"/>
          <w:sz w:val="24"/>
        </w:rPr>
        <w:t xml:space="preserve"> El objetivo de estas iniciativas es simplificar el marco regulador, consolidar el liderazgo industrial de la UE en la fabricación de tecnologías de cero emisiones netas, garantizar la sostenibilidad del suministro de materias primas fundamentales, reducir la dependencia de la UE de importaciones altamente concentradas y aumentar la tasa de reciclado de materias primas estratégicas. Estas acciones se basan en otras iniciativas existentes, como el Plan de Acción para la Economía Circular y las nuevas normas sobre baterías.</w:t>
      </w:r>
      <w:r>
        <w:rPr>
          <w:rFonts w:ascii="Times New Roman" w:hAnsi="Times New Roman"/>
          <w:noProof/>
          <w:sz w:val="24"/>
        </w:rPr>
        <w:t xml:space="preserve"> </w:t>
      </w:r>
    </w:p>
    <w:p w14:paraId="13958A88" w14:textId="6D6EBA86" w:rsidR="009402A5" w:rsidRPr="00C31310" w:rsidRDefault="009402A5" w:rsidP="009402A5">
      <w:pPr>
        <w:spacing w:line="257"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Otras iniciativas, como las Comunicaciones tituladas </w:t>
      </w:r>
      <w:r>
        <w:rPr>
          <w:rFonts w:ascii="Times New Roman" w:hAnsi="Times New Roman"/>
          <w:b/>
          <w:noProof/>
          <w:color w:val="000000" w:themeColor="text1"/>
          <w:sz w:val="24"/>
        </w:rPr>
        <w:t>El mercado único cumple treinta años</w:t>
      </w:r>
      <w:r w:rsidR="00284FE3" w:rsidRPr="00CF1907">
        <w:rPr>
          <w:rStyle w:val="FootnoteReference"/>
          <w:rFonts w:ascii="Times New Roman" w:eastAsia="Times New Roman" w:hAnsi="Times New Roman" w:cs="Times New Roman"/>
          <w:noProof/>
          <w:color w:val="000000" w:themeColor="text1"/>
          <w:sz w:val="24"/>
          <w:szCs w:val="24"/>
          <w:lang w:val="en-GB"/>
        </w:rPr>
        <w:footnoteReference w:id="8"/>
      </w:r>
      <w:r>
        <w:rPr>
          <w:rFonts w:ascii="Times New Roman" w:hAnsi="Times New Roman"/>
          <w:noProof/>
          <w:color w:val="000000" w:themeColor="text1"/>
          <w:sz w:val="24"/>
        </w:rPr>
        <w:t xml:space="preserve"> y la </w:t>
      </w:r>
      <w:r>
        <w:rPr>
          <w:rFonts w:ascii="Times New Roman" w:hAnsi="Times New Roman"/>
          <w:b/>
          <w:noProof/>
          <w:color w:val="000000" w:themeColor="text1"/>
          <w:sz w:val="24"/>
        </w:rPr>
        <w:t>Visión a largo plazo de la competitividad de la UE</w:t>
      </w:r>
      <w:r w:rsidR="00D66771" w:rsidRPr="00CF1907">
        <w:rPr>
          <w:rStyle w:val="FootnoteReference"/>
          <w:rFonts w:ascii="Times New Roman" w:eastAsia="Times New Roman" w:hAnsi="Times New Roman" w:cs="Times New Roman"/>
          <w:noProof/>
          <w:color w:val="000000" w:themeColor="text1"/>
          <w:sz w:val="24"/>
          <w:szCs w:val="24"/>
          <w:lang w:val="en-GB"/>
        </w:rPr>
        <w:footnoteReference w:id="9"/>
      </w:r>
      <w:r>
        <w:rPr>
          <w:rFonts w:ascii="Times New Roman" w:hAnsi="Times New Roman"/>
          <w:noProof/>
          <w:color w:val="000000" w:themeColor="text1"/>
          <w:sz w:val="24"/>
        </w:rPr>
        <w:t xml:space="preserve"> complementan el Plan Industrial del Pacto Verde al establecer un enfoque sostenible y global a largo plazo para impulsar la competitividad de la UE. La </w:t>
      </w:r>
      <w:r>
        <w:rPr>
          <w:rFonts w:ascii="Times New Roman" w:hAnsi="Times New Roman"/>
          <w:b/>
          <w:noProof/>
          <w:color w:val="000000" w:themeColor="text1"/>
          <w:sz w:val="24"/>
        </w:rPr>
        <w:t>Estrategia Europea de Seguridad Económica</w:t>
      </w:r>
      <w:r w:rsidR="00A06B63">
        <w:rPr>
          <w:rStyle w:val="FootnoteReference"/>
          <w:rFonts w:ascii="Times New Roman" w:eastAsia="Times New Roman" w:hAnsi="Times New Roman" w:cs="Times New Roman"/>
          <w:noProof/>
          <w:color w:val="000000" w:themeColor="text1"/>
          <w:sz w:val="24"/>
          <w:szCs w:val="24"/>
          <w:lang w:val="en-GB"/>
        </w:rPr>
        <w:footnoteReference w:id="10"/>
      </w:r>
      <w:r>
        <w:rPr>
          <w:rFonts w:ascii="Times New Roman" w:hAnsi="Times New Roman"/>
          <w:noProof/>
          <w:color w:val="000000" w:themeColor="text1"/>
          <w:sz w:val="24"/>
        </w:rPr>
        <w:t xml:space="preserve"> tiene por objeto minimizar los riesgos derivados de determinados flujos económicos, manteniendo al mismo tiempo los niveles máximos de apertura y dinamismo económicos. Por último, la Plataforma de Tecnologías Estratégicas para Europa (STEP) impulsa la capacidad de inversión en tecnologías críticas, incluidas las tecnologías energéticas limpias.</w:t>
      </w:r>
    </w:p>
    <w:p w14:paraId="1E61D7A9" w14:textId="0C91F2DD" w:rsidR="009402A5" w:rsidRPr="00F83EC0" w:rsidRDefault="009402A5" w:rsidP="009402A5">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Para hacer un seguimiento de los avances en estas iniciativas, estas medidas deben basarse en datos, lo que requiere </w:t>
      </w:r>
      <w:r>
        <w:rPr>
          <w:rFonts w:ascii="Times New Roman" w:hAnsi="Times New Roman"/>
          <w:b/>
          <w:noProof/>
          <w:sz w:val="24"/>
        </w:rPr>
        <w:t>un seguimiento continuo de la competitividad del sector de las energías limpias de la UE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El presente </w:t>
      </w:r>
      <w:r>
        <w:rPr>
          <w:rFonts w:ascii="Times New Roman" w:hAnsi="Times New Roman"/>
          <w:b/>
          <w:noProof/>
          <w:sz w:val="24"/>
        </w:rPr>
        <w:t>Informe de situación en materia de competitividad de las tecnologías energéticas limpias</w:t>
      </w:r>
      <w:r w:rsidR="00D66963" w:rsidRPr="00C31310">
        <w:rPr>
          <w:rStyle w:val="FootnoteReference"/>
          <w:rFonts w:ascii="Times New Roman" w:eastAsia="Times New Roman" w:hAnsi="Times New Roman" w:cs="Times New Roman"/>
          <w:noProof/>
          <w:color w:val="000000" w:themeColor="text1"/>
          <w:sz w:val="24"/>
          <w:szCs w:val="24"/>
          <w:lang w:val="en-GB"/>
        </w:rPr>
        <w:footnoteReference w:id="11"/>
      </w:r>
      <w:r>
        <w:rPr>
          <w:rFonts w:ascii="Times New Roman" w:hAnsi="Times New Roman"/>
          <w:noProof/>
          <w:sz w:val="24"/>
        </w:rPr>
        <w:t xml:space="preserve"> forma parte de este proceso de seguimiento de varias maneras. </w:t>
      </w:r>
      <w:r>
        <w:rPr>
          <w:rFonts w:ascii="Times New Roman" w:hAnsi="Times New Roman"/>
          <w:noProof/>
          <w:color w:val="000000" w:themeColor="text1"/>
          <w:sz w:val="24"/>
        </w:rPr>
        <w:t>En primer lugar, proporciona información sobre los principales motores, oportunidades y obstáculos de la competitividad del sector de las energías limpias de la UE en su conjunto. Examina los retos tanto tecnológicos como no tecnológicos relacionados con los elevados precios de la energía y los materiales, el riesgo de perturbaciones de la cadena de valor, la escasez de capacidades y mano de obra, y el panorama de la innovación. En segundo lugar, evalúa la competitividad de las tecnologías energéticas estratégicas identificadas en la propuesta de Ley de la industria de cero emisiones netas, destacando segmentos de las cadenas de valor que requieren atención.</w:t>
      </w:r>
    </w:p>
    <w:p w14:paraId="30CADF46" w14:textId="119BDF0D" w:rsidR="00600990" w:rsidRDefault="009402A5" w:rsidP="006713B5">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La Comisión publica este informe cada año desde 2020, de conformidad con el artículo 35, apartado 1, letra m), del Reglamento sobre la gobernanza de la Unión de la Energía y de la Acción por el Clima. El presente informe acompaña a los informes sobre el estado de la Unión de la Energía y se basa en datos del Observatorio de las Tecnologías Energéticas Limpias (CETO, por sus siglas en inglés)</w:t>
      </w:r>
      <w:r w:rsidRPr="00C31310">
        <w:rPr>
          <w:rStyle w:val="FootnoteReference"/>
          <w:rFonts w:ascii="Times New Roman" w:eastAsia="Times New Roman" w:hAnsi="Times New Roman" w:cs="Times New Roman"/>
          <w:noProof/>
          <w:color w:val="000000" w:themeColor="text1"/>
          <w:sz w:val="24"/>
          <w:szCs w:val="24"/>
          <w:lang w:val="en-GB"/>
        </w:rPr>
        <w:footnoteReference w:id="12"/>
      </w:r>
      <w:r>
        <w:rPr>
          <w:rFonts w:ascii="Times New Roman" w:hAnsi="Times New Roman"/>
          <w:noProof/>
          <w:color w:val="000000" w:themeColor="text1"/>
          <w:sz w:val="24"/>
        </w:rPr>
        <w:t>.</w:t>
      </w:r>
    </w:p>
    <w:p w14:paraId="23C8C1C7" w14:textId="77777777" w:rsidR="00600990" w:rsidRDefault="00600990">
      <w:pPr>
        <w:rPr>
          <w:rFonts w:ascii="Times New Roman" w:eastAsia="Times New Roman" w:hAnsi="Times New Roman" w:cs="Times New Roman"/>
          <w:noProof/>
          <w:color w:val="000000" w:themeColor="text1"/>
          <w:sz w:val="24"/>
          <w:szCs w:val="24"/>
        </w:rPr>
      </w:pPr>
      <w:r>
        <w:rPr>
          <w:noProof/>
        </w:rPr>
        <w:br w:type="page"/>
      </w:r>
    </w:p>
    <w:p w14:paraId="20730C2D" w14:textId="51BC7863" w:rsidR="000B2581" w:rsidRPr="008907E2" w:rsidRDefault="00DE02B9" w:rsidP="004D6EE9">
      <w:pPr>
        <w:pStyle w:val="Heading1"/>
        <w:numPr>
          <w:ilvl w:val="0"/>
          <w:numId w:val="4"/>
        </w:numPr>
        <w:rPr>
          <w:noProof/>
          <w:szCs w:val="24"/>
        </w:rPr>
      </w:pPr>
      <w:bookmarkStart w:id="8" w:name="_Toc153536055"/>
      <w:r>
        <w:rPr>
          <w:noProof/>
        </w:rPr>
        <w:t>EVALUACIÓN DE LA SITUACIÓN DE LA COMPETITIVIDAD DEL SECTOR DE LAS ENERGÍAS LIMPIAS DE LA UE</w:t>
      </w:r>
      <w:bookmarkEnd w:id="8"/>
    </w:p>
    <w:p w14:paraId="68460F99" w14:textId="57778219" w:rsidR="00782083" w:rsidRPr="008907E2" w:rsidRDefault="0035224C" w:rsidP="004D6EE9">
      <w:pPr>
        <w:pStyle w:val="Heading3"/>
        <w:keepLines w:val="0"/>
        <w:numPr>
          <w:ilvl w:val="1"/>
          <w:numId w:val="3"/>
        </w:numPr>
        <w:spacing w:before="0" w:after="240"/>
        <w:rPr>
          <w:rFonts w:ascii="Times New Roman" w:hAnsi="Times New Roman" w:cs="Times New Roman"/>
          <w:b/>
          <w:bCs/>
          <w:noProof/>
          <w:color w:val="auto"/>
        </w:rPr>
      </w:pPr>
      <w:bookmarkStart w:id="9" w:name="_Toc153536056"/>
      <w:r>
        <w:rPr>
          <w:rFonts w:ascii="Times New Roman" w:hAnsi="Times New Roman"/>
          <w:b/>
          <w:noProof/>
          <w:color w:val="auto"/>
        </w:rPr>
        <w:t>El impacto de los elevados precios de la energía y de las materias primas en el sector de la energía limpia de la UE</w:t>
      </w:r>
      <w:bookmarkEnd w:id="9"/>
    </w:p>
    <w:p w14:paraId="58A0F4A1" w14:textId="4AA9AB85" w:rsidR="00804275" w:rsidRPr="00C31310" w:rsidRDefault="5F5407AE" w:rsidP="004875E4">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En 2022, la agresión militar no provocada e injustificada de Rusia contra Ucrania y sus intentos de manipular el mercado de la energía provocaron un aumento sin precedentes de los precios de la energía en la UE y en el resto del mundo. Los precios al por mayor del gas en la UE que alcanzaron un máximo histórico en agosto de 2022 (294 EUR/MWh</w:t>
      </w:r>
      <w:r w:rsidR="27751B71" w:rsidRPr="00C31310">
        <w:rPr>
          <w:rFonts w:ascii="Times New Roman" w:eastAsia="Times New Roman" w:hAnsi="Times New Roman" w:cs="Times New Roman"/>
          <w:noProof/>
          <w:sz w:val="24"/>
          <w:szCs w:val="24"/>
          <w:vertAlign w:val="superscript"/>
          <w:lang w:val="en-GB"/>
        </w:rPr>
        <w:footnoteReference w:id="13"/>
      </w:r>
      <w:r>
        <w:rPr>
          <w:rFonts w:ascii="Times New Roman" w:hAnsi="Times New Roman"/>
          <w:noProof/>
          <w:sz w:val="24"/>
        </w:rPr>
        <w:t>) siguieron siendo muy elevados hasta finales de 2022. A pesar de que la mayor parte de la electricidad se produce a partir de fuentes de menor coste (41 % renovable y 23 % nuclear), los precios de la electricidad siguen reflejando en gran medida el precio del gas natural</w:t>
      </w:r>
      <w:r w:rsidR="00C50003" w:rsidRPr="00C31310">
        <w:rPr>
          <w:rStyle w:val="FootnoteReference"/>
          <w:rFonts w:ascii="Times New Roman" w:eastAsia="Times New Roman" w:hAnsi="Times New Roman" w:cs="Times New Roman"/>
          <w:noProof/>
          <w:sz w:val="24"/>
          <w:szCs w:val="24"/>
          <w:lang w:val="en-GB"/>
        </w:rPr>
        <w:footnoteReference w:id="14"/>
      </w:r>
      <w:r>
        <w:rPr>
          <w:rFonts w:ascii="Times New Roman" w:hAnsi="Times New Roman"/>
          <w:noProof/>
          <w:sz w:val="24"/>
        </w:rPr>
        <w:t>. Como consecuencia de ello, los precios de la electricidad alcanzaron máximos históricos en los mercados mayoristas en 2022 (474 EUR/MWh</w:t>
      </w:r>
      <w:r w:rsidR="27751B71" w:rsidRPr="00C31310">
        <w:rPr>
          <w:rFonts w:ascii="Times New Roman" w:eastAsia="Times New Roman" w:hAnsi="Times New Roman" w:cs="Times New Roman"/>
          <w:noProof/>
          <w:sz w:val="24"/>
          <w:szCs w:val="24"/>
          <w:vertAlign w:val="superscript"/>
          <w:lang w:val="en-GB"/>
        </w:rPr>
        <w:footnoteReference w:id="15"/>
      </w:r>
      <w:r>
        <w:rPr>
          <w:rFonts w:ascii="Times New Roman" w:hAnsi="Times New Roman"/>
          <w:noProof/>
          <w:sz w:val="24"/>
        </w:rPr>
        <w:t xml:space="preserve">), poniendo a prueba la competitividad de la UE. </w:t>
      </w:r>
    </w:p>
    <w:p w14:paraId="3DA15E00" w14:textId="3A3B0481" w:rsidR="00405061" w:rsidRPr="00C31310" w:rsidRDefault="729DF7C3" w:rsidP="004875E4">
      <w:pPr>
        <w:pStyle w:val="BodyText"/>
        <w:spacing w:after="160" w:line="257" w:lineRule="auto"/>
        <w:rPr>
          <w:noProof/>
        </w:rPr>
      </w:pPr>
      <w:r>
        <w:rPr>
          <w:b/>
          <w:noProof/>
        </w:rPr>
        <w:t>La UE ha estado tomado medidas decisivas</w:t>
      </w:r>
      <w:r>
        <w:rPr>
          <w:noProof/>
        </w:rPr>
        <w:t xml:space="preserve"> ya desde 2021</w:t>
      </w:r>
      <w:r w:rsidR="0017371C" w:rsidRPr="003C6923">
        <w:rPr>
          <w:rStyle w:val="FootnoteReference"/>
          <w:noProof/>
          <w:lang w:val="en-GB"/>
        </w:rPr>
        <w:footnoteReference w:id="16"/>
      </w:r>
      <w:r>
        <w:rPr>
          <w:noProof/>
        </w:rPr>
        <w:t xml:space="preserve">. Gracias a una estrategia basada en la diversificación del suministro, niveles obligatorios de almacenamiento, un esfuerzo concertado para mejorar la eficiencia energética, la reducción de la demanda de energía y un despliegue más rápido de las energías renovables, los precios del gas natural cayeron significativamente con respecto a los máximos históricos registrados el año pasado. Ayudados por un invierno suave, los mercados europeos del gas y la electricidad se estabilizaron a finales de 2022 y los precios iniciaron una tendencia a la baja sostenida. Desde su máximo histórico, los </w:t>
      </w:r>
      <w:r>
        <w:rPr>
          <w:b/>
          <w:noProof/>
        </w:rPr>
        <w:t>precios</w:t>
      </w:r>
      <w:r>
        <w:rPr>
          <w:noProof/>
        </w:rPr>
        <w:t xml:space="preserve"> al por mayor </w:t>
      </w:r>
      <w:r>
        <w:rPr>
          <w:b/>
          <w:noProof/>
        </w:rPr>
        <w:t>del gas</w:t>
      </w:r>
      <w:r>
        <w:rPr>
          <w:noProof/>
        </w:rPr>
        <w:t xml:space="preserve"> cayeron a 130-140 EUR/MWh a finales de 2022 y disminuyeron constantemente en el primer semestre de 2023, alcanzando los 30-40 EUR/MWh en agosto de 2023. De forma análoga a la caída de los precios del gas, los </w:t>
      </w:r>
      <w:r>
        <w:rPr>
          <w:b/>
          <w:noProof/>
        </w:rPr>
        <w:t>precios de la electricidad</w:t>
      </w:r>
      <w:r>
        <w:rPr>
          <w:noProof/>
        </w:rPr>
        <w:t xml:space="preserve"> también disminuyeron gradualmente respecto a los máximos históricos, gracias a la reducción de la demanda, el aumento de la generación de energías renovables y la recuperación de las reservas hidroeléctricas. Los precios de la electricidad en el mercado mayorista cayeron a 74 EUR/MWh en la primera semana de agosto de 2023. </w:t>
      </w:r>
    </w:p>
    <w:p w14:paraId="11175D8F" w14:textId="76E3DD5B" w:rsidR="00615584" w:rsidRPr="00C31310" w:rsidRDefault="63D75A58" w:rsidP="004875E4">
      <w:pPr>
        <w:jc w:val="both"/>
        <w:rPr>
          <w:rFonts w:ascii="Times New Roman" w:eastAsia="Times New Roman" w:hAnsi="Times New Roman" w:cs="Times New Roman"/>
          <w:noProof/>
          <w:sz w:val="24"/>
          <w:szCs w:val="24"/>
        </w:rPr>
      </w:pPr>
      <w:r>
        <w:rPr>
          <w:rFonts w:ascii="Times New Roman" w:hAnsi="Times New Roman"/>
          <w:noProof/>
          <w:sz w:val="24"/>
        </w:rPr>
        <w:t>A pesar de la mejora de los fundamentos del mercado —dado que la acción política de la UE y las fuerzas del mercado equilibraron la oferta y la demanda de energía— y tras haber garantizado nuevas fuentes de suministro de gas</w:t>
      </w:r>
      <w:r w:rsidR="00EE31E5" w:rsidRPr="00C31310">
        <w:rPr>
          <w:rStyle w:val="FootnoteReference"/>
          <w:rFonts w:ascii="Times New Roman" w:eastAsia="Times New Roman" w:hAnsi="Times New Roman" w:cs="Times New Roman"/>
          <w:noProof/>
          <w:sz w:val="24"/>
          <w:szCs w:val="24"/>
          <w:lang w:val="en-GB"/>
        </w:rPr>
        <w:footnoteReference w:id="17"/>
      </w:r>
      <w:r>
        <w:rPr>
          <w:rFonts w:ascii="Times New Roman" w:hAnsi="Times New Roman"/>
          <w:noProof/>
          <w:sz w:val="24"/>
        </w:rPr>
        <w:t>, los precios industriales de la electricidad y el gas siguen siendo superiores a la media anterior a la crisis</w:t>
      </w:r>
      <w:r w:rsidR="000242B5" w:rsidRPr="00C31310">
        <w:rPr>
          <w:rStyle w:val="FootnoteReference"/>
          <w:rFonts w:ascii="Times New Roman" w:eastAsia="Times New Roman" w:hAnsi="Times New Roman" w:cs="Times New Roman"/>
          <w:noProof/>
          <w:sz w:val="24"/>
          <w:szCs w:val="24"/>
          <w:lang w:val="en-GB"/>
        </w:rPr>
        <w:footnoteReference w:id="18"/>
      </w:r>
      <w:r>
        <w:rPr>
          <w:rFonts w:ascii="Times New Roman" w:hAnsi="Times New Roman"/>
          <w:noProof/>
          <w:sz w:val="24"/>
        </w:rPr>
        <w:t>. El diferencial con otras economías mundiales también ha aumentado</w:t>
      </w:r>
      <w:r w:rsidR="008E199E" w:rsidRPr="00C31310">
        <w:rPr>
          <w:rFonts w:ascii="Times New Roman" w:eastAsia="Times New Roman" w:hAnsi="Times New Roman" w:cs="Times New Roman"/>
          <w:noProof/>
          <w:sz w:val="24"/>
          <w:szCs w:val="24"/>
          <w:vertAlign w:val="superscript"/>
          <w:lang w:val="en-GB"/>
        </w:rPr>
        <w:footnoteReference w:id="19"/>
      </w:r>
      <w:r>
        <w:rPr>
          <w:rFonts w:ascii="Times New Roman" w:hAnsi="Times New Roman"/>
          <w:noProof/>
          <w:sz w:val="24"/>
        </w:rPr>
        <w:t xml:space="preserve">. Esto supone tanto una oportunidad como un reto para la competitividad del sector de las energías limpias. </w:t>
      </w:r>
    </w:p>
    <w:p w14:paraId="617F2146" w14:textId="201D23BD" w:rsidR="00287453" w:rsidRPr="00C31310" w:rsidRDefault="34EE5CBF" w:rsidP="004875E4">
      <w:pPr>
        <w:jc w:val="both"/>
        <w:rPr>
          <w:rFonts w:ascii="Times New Roman" w:eastAsia="Times New Roman" w:hAnsi="Times New Roman" w:cs="Times New Roman"/>
          <w:noProof/>
          <w:sz w:val="24"/>
          <w:szCs w:val="24"/>
        </w:rPr>
      </w:pPr>
      <w:r>
        <w:rPr>
          <w:rFonts w:ascii="Times New Roman" w:hAnsi="Times New Roman"/>
          <w:noProof/>
          <w:sz w:val="24"/>
        </w:rPr>
        <w:t xml:space="preserve">Por un lado, </w:t>
      </w:r>
      <w:r>
        <w:rPr>
          <w:rFonts w:ascii="Times New Roman" w:hAnsi="Times New Roman"/>
          <w:b/>
          <w:noProof/>
          <w:sz w:val="24"/>
        </w:rPr>
        <w:t>los elevados precios de la energía hacen que las soluciones energéticas limpias sean aún más competitivas que las opciones de combustibles fósiles y estimulan mayores tasas de adopción</w:t>
      </w:r>
      <w:r>
        <w:rPr>
          <w:rFonts w:ascii="Times New Roman" w:hAnsi="Times New Roman"/>
          <w:noProof/>
          <w:sz w:val="24"/>
        </w:rPr>
        <w:t>. Los elevados precios de la energía y la agresión militar no provocada e injustificada de Rusia contra Ucrania han provocado un aumento significativo de las inversiones públicas y privadas de la UE en eficiencia energética y fuentes de energía renovables. Esto incluye un aumento de la financiación pública para infraestructuras energéticas, en particular a través de la contribución del Mecanismo de Recuperación y Resiliencia (MRR) al plan REPowerEU</w:t>
      </w:r>
      <w:r w:rsidR="4FA7ED11" w:rsidRPr="00F226FC">
        <w:rPr>
          <w:rFonts w:ascii="Times New Roman" w:eastAsia="Times New Roman" w:hAnsi="Times New Roman" w:cs="Times New Roman"/>
          <w:noProof/>
          <w:sz w:val="24"/>
          <w:szCs w:val="24"/>
          <w:vertAlign w:val="superscript"/>
          <w:lang w:val="en-GB"/>
        </w:rPr>
        <w:footnoteReference w:id="20"/>
      </w:r>
      <w:r>
        <w:rPr>
          <w:rFonts w:ascii="Times New Roman" w:hAnsi="Times New Roman"/>
          <w:noProof/>
          <w:sz w:val="24"/>
        </w:rPr>
        <w:t xml:space="preserve">. </w:t>
      </w:r>
    </w:p>
    <w:p w14:paraId="5CD19434" w14:textId="4ED60EF8" w:rsidR="00287453" w:rsidRPr="00C31310" w:rsidRDefault="5210D2EA" w:rsidP="004875E4">
      <w:pPr>
        <w:jc w:val="both"/>
        <w:rPr>
          <w:rFonts w:ascii="Times New Roman" w:eastAsia="Times New Roman" w:hAnsi="Times New Roman" w:cs="Times New Roman"/>
          <w:noProof/>
          <w:sz w:val="24"/>
          <w:szCs w:val="24"/>
        </w:rPr>
      </w:pPr>
      <w:r>
        <w:rPr>
          <w:rFonts w:ascii="Times New Roman" w:hAnsi="Times New Roman"/>
          <w:noProof/>
          <w:sz w:val="24"/>
        </w:rPr>
        <w:t xml:space="preserve">Los elevados precios de los combustibles y del carbono han provocado una caída de la cuota de generación de combustibles fósiles en el mix eléctrico de la UE (del 34 % en 2021 al 32 % en 2023), mientras que la cuota de energías renovables ha aumentado del 37 % en 2021 al 42 % en 2023. Las medidas políticas de la UE han desempeñado un papel fundamental en la aceleración del despliegue de las tecnologías energéticas limpias: </w:t>
      </w:r>
      <w:bookmarkStart w:id="11" w:name="_Hlk147924642"/>
      <w:r>
        <w:rPr>
          <w:rFonts w:ascii="Times New Roman" w:hAnsi="Times New Roman"/>
          <w:noProof/>
          <w:sz w:val="24"/>
        </w:rPr>
        <w:t>en 2022, la instalación de capacidades solares y eólicas aumentó un 60 % y un 45 %, respectivamente,</w:t>
      </w:r>
      <w:bookmarkEnd w:id="11"/>
      <w:r>
        <w:rPr>
          <w:rFonts w:ascii="Times New Roman" w:hAnsi="Times New Roman"/>
          <w:noProof/>
          <w:sz w:val="24"/>
        </w:rPr>
        <w:t xml:space="preserve"> y, por primera vez, la cuota de electricidad generada por la energía eólica y solar superó a la de energía generada por gas y carbón. </w:t>
      </w:r>
    </w:p>
    <w:p w14:paraId="5B5F109E" w14:textId="0405B8A5" w:rsidR="00A211B3" w:rsidRPr="00C31310" w:rsidRDefault="356F0C17" w:rsidP="004875E4">
      <w:pPr>
        <w:jc w:val="both"/>
        <w:rPr>
          <w:rFonts w:ascii="Times New Roman" w:eastAsia="Times New Roman" w:hAnsi="Times New Roman" w:cs="Times New Roman"/>
          <w:noProof/>
          <w:sz w:val="24"/>
          <w:szCs w:val="24"/>
        </w:rPr>
      </w:pPr>
      <w:bookmarkStart w:id="12" w:name="_Hlk146116622"/>
      <w:r>
        <w:rPr>
          <w:rFonts w:ascii="Times New Roman" w:hAnsi="Times New Roman"/>
          <w:noProof/>
          <w:sz w:val="24"/>
        </w:rPr>
        <w:t xml:space="preserve">Por otra parte, </w:t>
      </w:r>
      <w:r>
        <w:rPr>
          <w:rFonts w:ascii="Times New Roman" w:hAnsi="Times New Roman"/>
          <w:b/>
          <w:noProof/>
          <w:sz w:val="24"/>
        </w:rPr>
        <w:t>los elevados precios de la energía, junto con los elevados tipos de interés, también afectan negativamente las cadenas de valor de las tecnologías energéticas limpias de la UE, tanto directa como indirectamente</w:t>
      </w:r>
      <w:r>
        <w:rPr>
          <w:rFonts w:ascii="Times New Roman" w:hAnsi="Times New Roman"/>
          <w:noProof/>
          <w:sz w:val="24"/>
        </w:rPr>
        <w:t>. Desde 2020, las turbulencias económicas y geopolíticas han ejercido una presión significativa sobre las cadenas de suministro de energía limpia y han paralizado temporalmente la tendencia a la baja de los costes de despliegue. Esta combinación de factores disparó los costes de fabricación e instalación de proyectos eólicos y, en menor medida, solares. Según estimaciones del sector</w:t>
      </w:r>
      <w:r w:rsidR="00DB07CA" w:rsidRPr="00C31310">
        <w:rPr>
          <w:rStyle w:val="FootnoteReference"/>
          <w:rFonts w:ascii="Times New Roman" w:hAnsi="Times New Roman" w:cs="Times New Roman"/>
          <w:noProof/>
          <w:sz w:val="24"/>
          <w:szCs w:val="24"/>
          <w:lang w:val="en-GB"/>
        </w:rPr>
        <w:footnoteReference w:id="21"/>
      </w:r>
      <w:r>
        <w:rPr>
          <w:rFonts w:ascii="Times New Roman" w:hAnsi="Times New Roman"/>
          <w:noProof/>
          <w:sz w:val="24"/>
        </w:rPr>
        <w:t xml:space="preserve">, el coste de la construcción de parques eólicos marinos ha aumentado un 40 % en 2023 en la UE. </w:t>
      </w:r>
      <w:bookmarkEnd w:id="12"/>
    </w:p>
    <w:p w14:paraId="0B9F2D6A" w14:textId="5C578AF8" w:rsidR="00A211B3" w:rsidRPr="00C31310" w:rsidRDefault="1253D5C5" w:rsidP="004875E4">
      <w:pPr>
        <w:jc w:val="both"/>
        <w:rPr>
          <w:rFonts w:ascii="Times New Roman" w:eastAsia="Times New Roman" w:hAnsi="Times New Roman" w:cs="Times New Roman"/>
          <w:noProof/>
          <w:sz w:val="24"/>
          <w:szCs w:val="24"/>
        </w:rPr>
      </w:pPr>
      <w:r>
        <w:rPr>
          <w:rFonts w:ascii="Times New Roman" w:hAnsi="Times New Roman"/>
          <w:noProof/>
          <w:sz w:val="24"/>
        </w:rPr>
        <w:t>El aumento de los tipos de interés también ha tenido un efecto negativo en la financiación de proyectos de energías renovables, ya que los costes de capital iniciales representan la mayor parte de los costes de los proyectos. Esto es especialmente grave en el caso de la energía eólica marina, debido a la elevada inversión inicial necesaria. Se estima que un aumento del 3,2 % de los tipos de interés incrementaría el coste de los proyectos marinos en un 25 %</w:t>
      </w:r>
      <w:r w:rsidR="00287453" w:rsidRPr="004A2A06">
        <w:rPr>
          <w:rFonts w:ascii="Times New Roman" w:hAnsi="Times New Roman" w:cs="Times New Roman"/>
          <w:noProof/>
          <w:sz w:val="24"/>
          <w:szCs w:val="24"/>
          <w:vertAlign w:val="superscript"/>
          <w:lang w:val="en-GB"/>
        </w:rPr>
        <w:footnoteReference w:id="22"/>
      </w:r>
      <w:r>
        <w:rPr>
          <w:rFonts w:ascii="Times New Roman" w:hAnsi="Times New Roman"/>
          <w:noProof/>
          <w:sz w:val="24"/>
        </w:rPr>
        <w:t>. En consecuencia, no se tomaron nuevas decisiones finales de inversión en parques eólicos marinos. Los pedidos de nuevos aerogeneradores disminuyeron un 47 % en 2022 en comparación con 2021 en Europa</w:t>
      </w:r>
      <w:r w:rsidR="0023758C" w:rsidRPr="00C31310">
        <w:rPr>
          <w:rStyle w:val="FootnoteReference"/>
          <w:rFonts w:ascii="Times New Roman" w:hAnsi="Times New Roman" w:cs="Times New Roman"/>
          <w:noProof/>
          <w:sz w:val="24"/>
          <w:szCs w:val="24"/>
          <w:lang w:val="en-GB"/>
        </w:rPr>
        <w:footnoteReference w:id="23"/>
      </w:r>
      <w:r>
        <w:rPr>
          <w:rFonts w:ascii="Times New Roman" w:hAnsi="Times New Roman"/>
          <w:noProof/>
          <w:sz w:val="24"/>
        </w:rPr>
        <w:t>. Sin embargo, esta tendencia se invirtió en 2023. En los seis primeros meses de 2023, se recaudaron casi 9 300 millones EUR para la construcción de cuatro parques eólicos en la UE con una capacidad de generación de 2,7 GW.</w:t>
      </w:r>
    </w:p>
    <w:p w14:paraId="257459AA" w14:textId="7C51D590" w:rsidR="006D4ADF" w:rsidRPr="00C31310" w:rsidRDefault="00344333" w:rsidP="00753712">
      <w:pPr>
        <w:jc w:val="both"/>
        <w:rPr>
          <w:rFonts w:ascii="Times New Roman" w:hAnsi="Times New Roman" w:cs="Times New Roman"/>
          <w:noProof/>
          <w:sz w:val="24"/>
          <w:szCs w:val="24"/>
        </w:rPr>
      </w:pPr>
      <w:r>
        <w:rPr>
          <w:rFonts w:ascii="Times New Roman" w:hAnsi="Times New Roman"/>
          <w:b/>
          <w:noProof/>
          <w:sz w:val="24"/>
        </w:rPr>
        <w:t>El suministro de materias primas y la evolución de sus precios constituyen otro reto para la competitividad del sector de las energías limpias de la UE, ya que afectan a los costes de las tecnologías energéticas limpias.</w:t>
      </w:r>
      <w:r>
        <w:rPr>
          <w:rFonts w:ascii="Times New Roman" w:hAnsi="Times New Roman"/>
          <w:noProof/>
          <w:sz w:val="24"/>
        </w:rPr>
        <w:t xml:space="preserve"> Entre 2021 y principios de 2022, el precio de varios materiales críticos (en particular litio y níquel) subió y la volatilidad aumentó considerablemente</w:t>
      </w:r>
      <w:r w:rsidR="00C269F0" w:rsidRPr="00C31310">
        <w:rPr>
          <w:rStyle w:val="FootnoteReference"/>
          <w:rFonts w:ascii="Times New Roman" w:hAnsi="Times New Roman" w:cs="Times New Roman"/>
          <w:noProof/>
          <w:sz w:val="24"/>
          <w:szCs w:val="24"/>
          <w:lang w:val="en-GB"/>
        </w:rPr>
        <w:footnoteReference w:id="24"/>
      </w:r>
      <w:r>
        <w:rPr>
          <w:rFonts w:ascii="Times New Roman" w:hAnsi="Times New Roman"/>
          <w:noProof/>
          <w:sz w:val="24"/>
        </w:rPr>
        <w:t xml:space="preserve">. </w:t>
      </w:r>
      <w:bookmarkStart w:id="13" w:name="_Hlk146040201"/>
      <w:r>
        <w:rPr>
          <w:rFonts w:ascii="Times New Roman" w:hAnsi="Times New Roman"/>
          <w:noProof/>
          <w:sz w:val="24"/>
        </w:rPr>
        <w:t>Aunque los precios empezaron a moderarse en el segundo semestre de 2022 y principios de 2023, se mantuvieron muy por encima de la media histórica.</w:t>
      </w:r>
      <w:bookmarkEnd w:id="13"/>
      <w:r>
        <w:rPr>
          <w:rFonts w:ascii="Times New Roman" w:hAnsi="Times New Roman"/>
          <w:noProof/>
          <w:sz w:val="24"/>
        </w:rPr>
        <w:t xml:space="preserve"> </w:t>
      </w:r>
    </w:p>
    <w:p w14:paraId="50D23447" w14:textId="31D27604" w:rsidR="00753712" w:rsidRPr="00C31310" w:rsidRDefault="1205FF1F" w:rsidP="00753712">
      <w:pPr>
        <w:jc w:val="both"/>
        <w:rPr>
          <w:rFonts w:ascii="Times New Roman" w:hAnsi="Times New Roman" w:cs="Times New Roman"/>
          <w:noProof/>
          <w:sz w:val="24"/>
          <w:szCs w:val="24"/>
        </w:rPr>
      </w:pPr>
      <w:r>
        <w:rPr>
          <w:rFonts w:ascii="Times New Roman" w:hAnsi="Times New Roman"/>
          <w:noProof/>
          <w:sz w:val="24"/>
        </w:rPr>
        <w:t>Los precios del</w:t>
      </w:r>
      <w:r>
        <w:rPr>
          <w:rFonts w:ascii="Times New Roman" w:hAnsi="Times New Roman"/>
          <w:b/>
          <w:noProof/>
          <w:sz w:val="24"/>
        </w:rPr>
        <w:t xml:space="preserve"> carbonato de litio</w:t>
      </w:r>
      <w:r>
        <w:rPr>
          <w:rFonts w:ascii="Times New Roman" w:hAnsi="Times New Roman"/>
          <w:noProof/>
          <w:sz w:val="24"/>
        </w:rPr>
        <w:t xml:space="preserve"> también siguieron aumentando a lo largo de 2022 y casi se duplicaron entre enero de 2022 y enero de 2023. A principios de 2023, los precios del litio eran seis veces superiores a su media del período 2015-2020. Entre enero y marzo de 2023, los precios del litio cayeron un 20 %, volviendo a su nivel de finales de 2022. Los </w:t>
      </w:r>
      <w:r>
        <w:rPr>
          <w:rFonts w:ascii="Times New Roman" w:hAnsi="Times New Roman"/>
          <w:b/>
          <w:noProof/>
          <w:sz w:val="24"/>
        </w:rPr>
        <w:t>precios del cobalto</w:t>
      </w:r>
      <w:r>
        <w:rPr>
          <w:rFonts w:ascii="Times New Roman" w:hAnsi="Times New Roman"/>
          <w:noProof/>
          <w:sz w:val="24"/>
        </w:rPr>
        <w:t>, tras alcanzar un máximo de 80 000 USD (72 600 EUR</w:t>
      </w:r>
      <w:r w:rsidR="0001286E" w:rsidRPr="004B0938">
        <w:rPr>
          <w:rStyle w:val="FootnoteReference"/>
          <w:rFonts w:ascii="Times New Roman" w:hAnsi="Times New Roman" w:cs="Times New Roman"/>
          <w:noProof/>
          <w:sz w:val="24"/>
          <w:szCs w:val="24"/>
          <w:lang w:val="en-GB"/>
        </w:rPr>
        <w:footnoteReference w:id="25"/>
      </w:r>
      <w:r>
        <w:rPr>
          <w:rFonts w:ascii="Times New Roman" w:hAnsi="Times New Roman"/>
          <w:noProof/>
          <w:sz w:val="24"/>
        </w:rPr>
        <w:t>) por tonelada en marzo de 2022, cayeron de forma constante y se mantuvieron en torno a los 50 000 USD (47 485 EUR</w:t>
      </w:r>
      <w:r w:rsidR="0001286E" w:rsidRPr="004B0938">
        <w:rPr>
          <w:rStyle w:val="FootnoteReference"/>
          <w:rFonts w:ascii="Times New Roman" w:hAnsi="Times New Roman" w:cs="Times New Roman"/>
          <w:noProof/>
          <w:sz w:val="24"/>
          <w:szCs w:val="24"/>
          <w:lang w:val="en-GB"/>
        </w:rPr>
        <w:footnoteReference w:id="26"/>
      </w:r>
      <w:r>
        <w:rPr>
          <w:rFonts w:ascii="Times New Roman" w:hAnsi="Times New Roman"/>
          <w:noProof/>
          <w:sz w:val="24"/>
        </w:rPr>
        <w:t>) por tonelada durante el resto del año. En 2023, se espera que los precios del cobalto se mantengan bajos debido al exceso de oferta. Tanto el litio como el cobalto son componentes clave de las baterías y esenciales para la transición hacia una energía limpia.</w:t>
      </w:r>
    </w:p>
    <w:p w14:paraId="00DCED56" w14:textId="05F99D14" w:rsidR="00B17AD1" w:rsidRPr="00C31310" w:rsidRDefault="0A288324" w:rsidP="00B17AD1">
      <w:pPr>
        <w:jc w:val="both"/>
        <w:rPr>
          <w:rFonts w:ascii="Times New Roman" w:hAnsi="Times New Roman" w:cs="Times New Roman"/>
          <w:noProof/>
          <w:sz w:val="24"/>
          <w:szCs w:val="24"/>
        </w:rPr>
      </w:pPr>
      <w:r>
        <w:rPr>
          <w:rFonts w:ascii="Times New Roman" w:hAnsi="Times New Roman"/>
          <w:noProof/>
          <w:sz w:val="24"/>
        </w:rPr>
        <w:t xml:space="preserve">Los </w:t>
      </w:r>
      <w:r>
        <w:rPr>
          <w:rFonts w:ascii="Times New Roman" w:hAnsi="Times New Roman"/>
          <w:b/>
          <w:noProof/>
          <w:sz w:val="24"/>
        </w:rPr>
        <w:t>elevados precios de la energía y de las materias primas</w:t>
      </w:r>
      <w:r>
        <w:rPr>
          <w:rFonts w:ascii="Times New Roman" w:hAnsi="Times New Roman"/>
          <w:noProof/>
          <w:sz w:val="24"/>
        </w:rPr>
        <w:t xml:space="preserve"> influyeron en la tendencia a la baja de los costes de las tecnologías energéticas limpias a lo largo de una década debido a la innovación y las economías de escala</w:t>
      </w:r>
      <w:r w:rsidR="007B6975" w:rsidRPr="00C31310">
        <w:rPr>
          <w:rStyle w:val="FootnoteReference"/>
          <w:rFonts w:ascii="Times New Roman" w:hAnsi="Times New Roman" w:cs="Times New Roman"/>
          <w:noProof/>
          <w:sz w:val="24"/>
          <w:szCs w:val="24"/>
          <w:lang w:val="en-GB"/>
        </w:rPr>
        <w:footnoteReference w:id="27"/>
      </w:r>
      <w:r>
        <w:rPr>
          <w:rFonts w:ascii="Times New Roman" w:hAnsi="Times New Roman"/>
          <w:noProof/>
          <w:sz w:val="24"/>
        </w:rPr>
        <w:t xml:space="preserve">. Por ejemplo, el precio de los aerogeneradores y los módulos solares fotovoltaicos aumentó entre 2020 y 2022. Sin embargo, los precios vuelven a bajar en 2023. </w:t>
      </w:r>
      <w:bookmarkStart w:id="14" w:name="_Hlk146040230"/>
      <w:r>
        <w:rPr>
          <w:rFonts w:ascii="Times New Roman" w:hAnsi="Times New Roman"/>
          <w:noProof/>
          <w:sz w:val="24"/>
        </w:rPr>
        <w:t>A pesar de esta dinámica de precios, los precios de todas las tecnologías energéticas limpias siguen siendo significativamente más bajos hoy que hace una década. Aunque los elevados precios de la energía y de las materias primas han afectado al sector de las energías limpias, la energía producida por las tecnologías energéticas limpias sigue siendo altamente competitiva en términos de costes en la UE</w:t>
      </w:r>
      <w:r w:rsidR="003064C0" w:rsidRPr="00C31310">
        <w:rPr>
          <w:rStyle w:val="FootnoteReference"/>
          <w:rFonts w:ascii="Times New Roman" w:hAnsi="Times New Roman" w:cs="Times New Roman"/>
          <w:noProof/>
          <w:sz w:val="24"/>
          <w:szCs w:val="24"/>
          <w:lang w:val="en-GB"/>
        </w:rPr>
        <w:footnoteReference w:id="28"/>
      </w:r>
      <w:r>
        <w:rPr>
          <w:rFonts w:ascii="Times New Roman" w:hAnsi="Times New Roman"/>
          <w:noProof/>
          <w:sz w:val="24"/>
        </w:rPr>
        <w:t xml:space="preserve">. </w:t>
      </w:r>
      <w:bookmarkEnd w:id="14"/>
    </w:p>
    <w:p w14:paraId="59369EE0" w14:textId="337B8F84" w:rsidR="003F0968" w:rsidRPr="002D78F4" w:rsidRDefault="000A4F9A" w:rsidP="4C7952A9">
      <w:pPr>
        <w:jc w:val="both"/>
        <w:rPr>
          <w:rFonts w:ascii="Times New Roman" w:hAnsi="Times New Roman" w:cs="Times New Roman"/>
          <w:noProof/>
          <w:sz w:val="24"/>
          <w:szCs w:val="24"/>
        </w:rPr>
      </w:pPr>
      <w:r>
        <w:rPr>
          <w:rFonts w:ascii="Times New Roman" w:hAnsi="Times New Roman"/>
          <w:noProof/>
          <w:sz w:val="24"/>
        </w:rPr>
        <w:t>El gráfico 1 proporciona una instantánea de los cálculos de los costes normalizados de la electricidad (LCOE, por sus siglas en inglés) correspondientes a 2022 en una serie de condiciones representativas</w:t>
      </w:r>
      <w:r w:rsidR="003F0968" w:rsidRPr="005A663D">
        <w:rPr>
          <w:rStyle w:val="FootnoteReference"/>
          <w:noProof/>
        </w:rPr>
        <w:footnoteReference w:id="29"/>
      </w:r>
      <w:r>
        <w:rPr>
          <w:rFonts w:ascii="Times New Roman" w:hAnsi="Times New Roman"/>
          <w:noProof/>
          <w:sz w:val="24"/>
        </w:rPr>
        <w:t xml:space="preserve"> en toda la UE. Los resultados indican que, en 2022, los parques tecnológicos con bajos costes variables (incluidos los costes de explotación variables y los costes de combustible), como la generación de energías renovables, tenían costes normalizados inferiores a los de las tecnologías de generación con costes variables elevados, como la generación a partir de combustibles fósiles. </w:t>
      </w:r>
    </w:p>
    <w:p w14:paraId="27A08829" w14:textId="59943D5A" w:rsidR="001D582C" w:rsidRPr="00B20D11" w:rsidRDefault="00AB74BA" w:rsidP="00AB74BA">
      <w:pPr>
        <w:pStyle w:val="Caption"/>
        <w:jc w:val="center"/>
        <w:rPr>
          <w:rFonts w:ascii="Times New Roman" w:hAnsi="Times New Roman" w:cs="Times New Roman"/>
          <w:noProof/>
        </w:rPr>
      </w:pPr>
      <w:r>
        <w:rPr>
          <w:noProof/>
        </w:rPr>
        <w:t>Gráfico </w:t>
      </w:r>
      <w:r w:rsidR="008F7CA6">
        <w:rPr>
          <w:noProof/>
        </w:rPr>
        <w:fldChar w:fldCharType="begin"/>
      </w:r>
      <w:r w:rsidR="008F7CA6">
        <w:rPr>
          <w:noProof/>
        </w:rPr>
        <w:instrText xml:space="preserve"> SEQ Figure \* ARABIC </w:instrText>
      </w:r>
      <w:r w:rsidR="008F7CA6">
        <w:rPr>
          <w:noProof/>
        </w:rPr>
        <w:fldChar w:fldCharType="separate"/>
      </w:r>
      <w:r w:rsidR="001F57D7">
        <w:rPr>
          <w:noProof/>
        </w:rPr>
        <w:t>1</w:t>
      </w:r>
      <w:r w:rsidR="008F7CA6">
        <w:rPr>
          <w:noProof/>
        </w:rPr>
        <w:fldChar w:fldCharType="end"/>
      </w:r>
      <w:r>
        <w:rPr>
          <w:noProof/>
        </w:rPr>
        <w:t xml:space="preserve">: </w:t>
      </w:r>
      <w:r>
        <w:rPr>
          <w:rFonts w:ascii="Times New Roman" w:hAnsi="Times New Roman"/>
          <w:noProof/>
        </w:rPr>
        <w:t>Instantánea de los costes normalizados de la electricidad (LCOE) correspondientes al parque tecnológico en 2022. (Las barras de color azul claro delimitan una horquilla que abarca toda la EU y las líneas azules más oscuras representan la mediana)</w:t>
      </w:r>
      <w:r w:rsidRPr="00B20D11">
        <w:rPr>
          <w:rFonts w:ascii="Times New Roman" w:hAnsi="Times New Roman" w:cs="Times New Roman"/>
          <w:noProof/>
          <w:vertAlign w:val="superscript"/>
          <w:lang w:val="en-GB"/>
        </w:rPr>
        <w:footnoteReference w:id="30"/>
      </w:r>
      <w:r>
        <w:rPr>
          <w:rFonts w:ascii="Times New Roman" w:hAnsi="Times New Roman"/>
          <w:noProof/>
        </w:rPr>
        <w:t>.</w:t>
      </w:r>
    </w:p>
    <w:p w14:paraId="3B88EAE4" w14:textId="0E76C0A3" w:rsidR="001D582C" w:rsidRPr="002D78F4" w:rsidRDefault="00B92188" w:rsidP="45873571">
      <w:pPr>
        <w:spacing w:after="360"/>
        <w:jc w:val="center"/>
        <w:rPr>
          <w:i/>
          <w:noProof/>
          <w:color w:val="44546A" w:themeColor="text2"/>
          <w:sz w:val="18"/>
          <w:szCs w:val="18"/>
        </w:rPr>
      </w:pPr>
      <w:r>
        <w:rPr>
          <w:noProof/>
          <w:lang w:val="en-GB" w:eastAsia="en-GB"/>
        </w:rPr>
        <w:drawing>
          <wp:inline distT="0" distB="0" distL="0" distR="0" wp14:anchorId="7CC8F5BE" wp14:editId="508791D9">
            <wp:extent cx="3848100" cy="31443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48100" cy="3144362"/>
                    </a:xfrm>
                    <a:prstGeom prst="rect">
                      <a:avLst/>
                    </a:prstGeom>
                  </pic:spPr>
                </pic:pic>
              </a:graphicData>
            </a:graphic>
          </wp:inline>
        </w:drawing>
      </w:r>
      <w:r w:rsidR="001D582C">
        <w:rPr>
          <w:rFonts w:ascii="Times New Roman" w:hAnsi="Times New Roman"/>
          <w:noProof/>
          <w:sz w:val="24"/>
        </w:rPr>
        <w:br/>
      </w:r>
      <w:r w:rsidR="001D582C">
        <w:rPr>
          <w:rFonts w:ascii="Times New Roman" w:hAnsi="Times New Roman"/>
          <w:i/>
          <w:noProof/>
          <w:color w:val="44546A" w:themeColor="text2"/>
          <w:sz w:val="18"/>
        </w:rPr>
        <w:t>Fuente: Simulación del modelo METIS del JRC, 2023</w:t>
      </w:r>
      <w:r w:rsidR="001D582C" w:rsidRPr="00F226FC">
        <w:rPr>
          <w:rFonts w:ascii="Times New Roman" w:hAnsi="Times New Roman" w:cs="Times New Roman"/>
          <w:i/>
          <w:noProof/>
          <w:color w:val="44546A" w:themeColor="text2"/>
          <w:sz w:val="18"/>
          <w:szCs w:val="18"/>
          <w:vertAlign w:val="superscript"/>
          <w:lang w:val="en-GB"/>
        </w:rPr>
        <w:footnoteReference w:id="31"/>
      </w:r>
      <w:r w:rsidR="001D582C">
        <w:rPr>
          <w:rFonts w:ascii="Times New Roman" w:hAnsi="Times New Roman"/>
          <w:i/>
          <w:noProof/>
          <w:color w:val="44546A" w:themeColor="text2"/>
          <w:sz w:val="18"/>
        </w:rPr>
        <w:t>.</w:t>
      </w:r>
    </w:p>
    <w:p w14:paraId="3A3ED5E4" w14:textId="695BB7E6" w:rsidR="004010E0" w:rsidRPr="008907E2" w:rsidRDefault="00861B34" w:rsidP="004D6EE9">
      <w:pPr>
        <w:pStyle w:val="Heading3"/>
        <w:keepLines w:val="0"/>
        <w:numPr>
          <w:ilvl w:val="1"/>
          <w:numId w:val="3"/>
        </w:numPr>
        <w:spacing w:before="0" w:after="240"/>
        <w:rPr>
          <w:rFonts w:ascii="Times New Roman" w:hAnsi="Times New Roman" w:cs="Times New Roman"/>
          <w:b/>
          <w:bCs/>
          <w:noProof/>
          <w:color w:val="auto"/>
        </w:rPr>
      </w:pPr>
      <w:bookmarkStart w:id="15" w:name="_Toc153536057"/>
      <w:r>
        <w:rPr>
          <w:rFonts w:ascii="Times New Roman" w:hAnsi="Times New Roman"/>
          <w:b/>
          <w:noProof/>
          <w:color w:val="auto"/>
        </w:rPr>
        <w:t>De los recursos al ensamblaje: fortalecimiento de la UE como potencia industrial</w:t>
      </w:r>
      <w:bookmarkEnd w:id="15"/>
    </w:p>
    <w:p w14:paraId="0E19A590" w14:textId="3C0FEE5A" w:rsidR="00E408D8" w:rsidRPr="00C31310" w:rsidRDefault="7EBF5493" w:rsidP="004875E4">
      <w:pPr>
        <w:jc w:val="both"/>
        <w:rPr>
          <w:rFonts w:ascii="Times New Roman" w:hAnsi="Times New Roman" w:cs="Times New Roman"/>
          <w:noProof/>
          <w:sz w:val="24"/>
          <w:szCs w:val="24"/>
        </w:rPr>
      </w:pPr>
      <w:r>
        <w:rPr>
          <w:rFonts w:ascii="Times New Roman" w:hAnsi="Times New Roman"/>
          <w:noProof/>
          <w:sz w:val="24"/>
        </w:rPr>
        <w:t xml:space="preserve">El contexto geopolítico actual también ha repercutido en el panorama competitivo mundial de las energías limpias, ya que ha desencadenado nuevas dinámicas políticas y tendencias del mercado. </w:t>
      </w:r>
    </w:p>
    <w:p w14:paraId="7E1A7FA8" w14:textId="56DB0062" w:rsidR="00261D7E" w:rsidRPr="00C31310" w:rsidRDefault="663FF067" w:rsidP="004875E4">
      <w:pPr>
        <w:jc w:val="both"/>
        <w:rPr>
          <w:rFonts w:ascii="Times New Roman" w:hAnsi="Times New Roman" w:cs="Times New Roman"/>
          <w:noProof/>
          <w:sz w:val="24"/>
          <w:szCs w:val="24"/>
        </w:rPr>
      </w:pPr>
      <w:r>
        <w:rPr>
          <w:rFonts w:ascii="Times New Roman" w:hAnsi="Times New Roman"/>
          <w:noProof/>
          <w:sz w:val="24"/>
        </w:rPr>
        <w:t xml:space="preserve">A escala mundial, </w:t>
      </w:r>
      <w:r>
        <w:rPr>
          <w:rFonts w:ascii="Times New Roman" w:hAnsi="Times New Roman"/>
          <w:b/>
          <w:noProof/>
          <w:sz w:val="24"/>
        </w:rPr>
        <w:t>el sector de las tecnologías de cero emisiones netas está creciendo rápidamente</w:t>
      </w:r>
      <w:r>
        <w:rPr>
          <w:rFonts w:ascii="Times New Roman" w:hAnsi="Times New Roman"/>
          <w:noProof/>
          <w:sz w:val="24"/>
        </w:rPr>
        <w:t>. El mercado mundial de tecnologías clave de cero emisiones netas fabricadas en serie se triplicará de aquí a 2030, con un valor anual de alrededor de 600 000 millones EUR</w:t>
      </w:r>
      <w:r w:rsidR="00EF5EF4" w:rsidRPr="00C31310">
        <w:rPr>
          <w:rStyle w:val="FootnoteReference"/>
          <w:rFonts w:ascii="Times New Roman" w:hAnsi="Times New Roman" w:cs="Times New Roman"/>
          <w:noProof/>
          <w:sz w:val="24"/>
          <w:szCs w:val="24"/>
          <w:lang w:val="en-GB"/>
        </w:rPr>
        <w:footnoteReference w:id="32"/>
      </w:r>
      <w:r>
        <w:rPr>
          <w:rFonts w:ascii="Times New Roman" w:hAnsi="Times New Roman"/>
          <w:noProof/>
          <w:sz w:val="24"/>
        </w:rPr>
        <w:t>. Una mayor demanda va acompañada de una mayor demanda de recursos y materiales. Las estimaciones indican que la demanda mundial de algunas materias primas clave en las cadenas de valor de las tecnologías energéticas limpias aumentará sustancialmente en las próximas décadas. En 2050, se prevé que la demanda mundial de terbio, galio o litio</w:t>
      </w:r>
      <w:r w:rsidR="00183DF4" w:rsidRPr="00C31310">
        <w:rPr>
          <w:rStyle w:val="FootnoteReference"/>
          <w:rFonts w:ascii="Times New Roman" w:hAnsi="Times New Roman" w:cs="Times New Roman"/>
          <w:noProof/>
          <w:sz w:val="24"/>
          <w:szCs w:val="24"/>
          <w:lang w:val="en-GB"/>
        </w:rPr>
        <w:footnoteReference w:id="33"/>
      </w:r>
      <w:r>
        <w:rPr>
          <w:rFonts w:ascii="Times New Roman" w:hAnsi="Times New Roman"/>
          <w:noProof/>
          <w:sz w:val="24"/>
        </w:rPr>
        <w:t xml:space="preserve"> se sitúe en torno al 100 % de la oferta actual, incluso en un escenario de baja demanda</w:t>
      </w:r>
      <w:r w:rsidR="00261D7E" w:rsidRPr="00C31310">
        <w:rPr>
          <w:rStyle w:val="FootnoteReference"/>
          <w:rFonts w:ascii="Times New Roman" w:hAnsi="Times New Roman" w:cs="Times New Roman"/>
          <w:noProof/>
          <w:sz w:val="24"/>
          <w:szCs w:val="24"/>
          <w:lang w:val="en-GB"/>
        </w:rPr>
        <w:footnoteReference w:id="34"/>
      </w:r>
      <w:r>
        <w:rPr>
          <w:rFonts w:ascii="Times New Roman" w:hAnsi="Times New Roman"/>
          <w:noProof/>
          <w:sz w:val="24"/>
        </w:rPr>
        <w:t>. Estas proyecciones ponen de relieve los riesgos que podrían surgir para las economías que dependen en gran medida del suministro de estas materias primas fundamentales.</w:t>
      </w:r>
    </w:p>
    <w:p w14:paraId="273BE189" w14:textId="7E04CFB7" w:rsidR="00261D7E" w:rsidRPr="00C31310" w:rsidRDefault="0C34708A" w:rsidP="004875E4">
      <w:pPr>
        <w:jc w:val="both"/>
        <w:rPr>
          <w:rFonts w:ascii="Times New Roman" w:hAnsi="Times New Roman" w:cs="Times New Roman"/>
          <w:noProof/>
          <w:sz w:val="24"/>
          <w:szCs w:val="24"/>
        </w:rPr>
      </w:pPr>
      <w:r>
        <w:rPr>
          <w:rFonts w:ascii="Times New Roman" w:hAnsi="Times New Roman"/>
          <w:noProof/>
          <w:sz w:val="24"/>
        </w:rPr>
        <w:t xml:space="preserve">Desde las materias primas hasta los componentes intermedios clave y las tecnologías energéticas limpias finales, </w:t>
      </w:r>
      <w:r>
        <w:rPr>
          <w:rFonts w:ascii="Times New Roman" w:hAnsi="Times New Roman"/>
          <w:b/>
          <w:noProof/>
          <w:sz w:val="24"/>
        </w:rPr>
        <w:t>la UE depende cada vez más de las importaciones procedentes de terceros países</w:t>
      </w:r>
      <w:r>
        <w:rPr>
          <w:rFonts w:ascii="Times New Roman" w:hAnsi="Times New Roman"/>
          <w:noProof/>
          <w:sz w:val="24"/>
        </w:rPr>
        <w:t xml:space="preserve">. La situación varía en función de la tecnología, pero en la mayoría de ellas la UE depende de China en al menos una fase de la cadena de valor. China desempeña un papel clave en el suministro de </w:t>
      </w:r>
      <w:r>
        <w:rPr>
          <w:rFonts w:ascii="Times New Roman" w:hAnsi="Times New Roman"/>
          <w:b/>
          <w:noProof/>
          <w:sz w:val="24"/>
        </w:rPr>
        <w:t>materias primas fundamentales</w:t>
      </w:r>
      <w:r>
        <w:rPr>
          <w:rFonts w:ascii="Times New Roman" w:hAnsi="Times New Roman"/>
          <w:noProof/>
          <w:sz w:val="24"/>
        </w:rPr>
        <w:t>, un sector en el que la UE es fuertemente dependiente de las importaciones procedentes de unos pocos países. Por ejemplo, la UE recibe el 98 % de su suministro de tierras raras y el 97 % de su magnesio de China</w:t>
      </w:r>
      <w:r w:rsidR="00261D7E" w:rsidRPr="00AB74BA">
        <w:rPr>
          <w:rFonts w:ascii="Times New Roman" w:hAnsi="Times New Roman" w:cs="Times New Roman"/>
          <w:noProof/>
          <w:sz w:val="24"/>
          <w:szCs w:val="24"/>
          <w:vertAlign w:val="superscript"/>
          <w:lang w:val="en-GB"/>
        </w:rPr>
        <w:footnoteReference w:id="35"/>
      </w:r>
      <w:r>
        <w:rPr>
          <w:rFonts w:ascii="Times New Roman" w:hAnsi="Times New Roman"/>
          <w:noProof/>
          <w:sz w:val="24"/>
        </w:rPr>
        <w:t>, alrededor del 80 % de su litio de Chile y más del 60 % de su cobalto de la República Democrática del Congo</w:t>
      </w:r>
      <w:r w:rsidR="00261D7E" w:rsidRPr="00C31310">
        <w:rPr>
          <w:rStyle w:val="FootnoteReference"/>
          <w:rFonts w:ascii="Times New Roman" w:hAnsi="Times New Roman" w:cs="Times New Roman"/>
          <w:noProof/>
          <w:sz w:val="24"/>
          <w:szCs w:val="24"/>
          <w:lang w:val="en-GB"/>
        </w:rPr>
        <w:footnoteReference w:id="36"/>
      </w:r>
      <w:r>
        <w:rPr>
          <w:rFonts w:ascii="Times New Roman" w:hAnsi="Times New Roman"/>
          <w:noProof/>
          <w:sz w:val="24"/>
        </w:rPr>
        <w:t xml:space="preserve">. En cuanto a la </w:t>
      </w:r>
      <w:r>
        <w:rPr>
          <w:rFonts w:ascii="Times New Roman" w:hAnsi="Times New Roman"/>
          <w:b/>
          <w:noProof/>
          <w:sz w:val="24"/>
        </w:rPr>
        <w:t>fabricación</w:t>
      </w:r>
      <w:r>
        <w:rPr>
          <w:rFonts w:ascii="Times New Roman" w:hAnsi="Times New Roman"/>
          <w:noProof/>
          <w:sz w:val="24"/>
        </w:rPr>
        <w:t xml:space="preserve"> de tecnologías energéticas limpias, China también ocupa una posición dominante en diferentes tecnologías. </w:t>
      </w:r>
      <w:bookmarkStart w:id="17" w:name="_Hlk146040883"/>
      <w:r>
        <w:rPr>
          <w:rFonts w:ascii="Times New Roman" w:hAnsi="Times New Roman"/>
          <w:noProof/>
          <w:sz w:val="24"/>
        </w:rPr>
        <w:t>Más del 60 % de la capacidad mundial de fabricación de segmentos clave de la cadena de valor de las baterías y la energía solar fotovoltaica está situada en China. De igual forma, más del 90 % de la fabricación mundial de las obleas y lingotes necesarios para la energía solar fotovoltaica se encuentra en China</w:t>
      </w:r>
      <w:r w:rsidR="00261D7E" w:rsidRPr="00C31310">
        <w:rPr>
          <w:rStyle w:val="FootnoteReference"/>
          <w:rFonts w:ascii="Times New Roman" w:hAnsi="Times New Roman" w:cs="Times New Roman"/>
          <w:noProof/>
          <w:sz w:val="24"/>
          <w:szCs w:val="24"/>
          <w:lang w:val="en-GB"/>
        </w:rPr>
        <w:footnoteReference w:id="37"/>
      </w:r>
      <w:r>
        <w:rPr>
          <w:rFonts w:ascii="Times New Roman" w:hAnsi="Times New Roman"/>
          <w:noProof/>
          <w:sz w:val="24"/>
        </w:rPr>
        <w:t>.</w:t>
      </w:r>
      <w:bookmarkEnd w:id="17"/>
    </w:p>
    <w:p w14:paraId="0122EDFF" w14:textId="6E16E48B" w:rsidR="00261D7E" w:rsidRPr="00C31310" w:rsidRDefault="417BDCC1" w:rsidP="004875E4">
      <w:pPr>
        <w:jc w:val="both"/>
        <w:rPr>
          <w:rFonts w:ascii="Times New Roman" w:hAnsi="Times New Roman" w:cs="Times New Roman"/>
          <w:noProof/>
          <w:sz w:val="24"/>
          <w:szCs w:val="24"/>
        </w:rPr>
      </w:pPr>
      <w:r>
        <w:rPr>
          <w:rFonts w:ascii="Times New Roman" w:hAnsi="Times New Roman"/>
          <w:noProof/>
          <w:sz w:val="24"/>
        </w:rPr>
        <w:t>En cuanto a la fabricación de aerogeneradores, la cuota de China en la producción mundial aumentó del 23 % en 2017 al 50 % en 2022</w:t>
      </w:r>
      <w:r w:rsidR="00F226FC">
        <w:rPr>
          <w:rStyle w:val="FootnoteReference"/>
          <w:rFonts w:ascii="Times New Roman" w:hAnsi="Times New Roman" w:cs="Times New Roman"/>
          <w:noProof/>
          <w:sz w:val="24"/>
          <w:szCs w:val="24"/>
          <w:lang w:val="en-GB"/>
        </w:rPr>
        <w:footnoteReference w:id="38"/>
      </w:r>
      <w:r>
        <w:rPr>
          <w:rFonts w:ascii="Times New Roman" w:hAnsi="Times New Roman"/>
          <w:noProof/>
          <w:sz w:val="24"/>
        </w:rPr>
        <w:t>. Durante el mismo período, la cuota de la UE disminuyó del 58 % en 2017 al 30 %</w:t>
      </w:r>
      <w:r w:rsidR="002C6861" w:rsidRPr="00C31310">
        <w:rPr>
          <w:rStyle w:val="FootnoteReference"/>
          <w:rFonts w:ascii="Times New Roman" w:hAnsi="Times New Roman" w:cs="Times New Roman"/>
          <w:noProof/>
          <w:sz w:val="24"/>
          <w:szCs w:val="24"/>
          <w:lang w:val="en-GB"/>
        </w:rPr>
        <w:footnoteReference w:id="39"/>
      </w:r>
      <w:r>
        <w:rPr>
          <w:rFonts w:ascii="Times New Roman" w:hAnsi="Times New Roman"/>
          <w:noProof/>
          <w:sz w:val="24"/>
          <w:vertAlign w:val="superscript"/>
        </w:rPr>
        <w:t>,</w:t>
      </w:r>
      <w:r w:rsidR="00EB7F89">
        <w:rPr>
          <w:rStyle w:val="FootnoteReference"/>
          <w:rFonts w:ascii="Times New Roman" w:hAnsi="Times New Roman" w:cs="Times New Roman"/>
          <w:noProof/>
          <w:sz w:val="24"/>
          <w:szCs w:val="24"/>
          <w:lang w:val="en-GB"/>
        </w:rPr>
        <w:footnoteReference w:id="40"/>
      </w:r>
      <w:r>
        <w:rPr>
          <w:rFonts w:ascii="Times New Roman" w:hAnsi="Times New Roman"/>
          <w:noProof/>
          <w:sz w:val="24"/>
        </w:rPr>
        <w:t>. En cuanto a los chips, un componente clave en la fabricación de tecnologías energéticas limpias, en la actualización de 2021 de la Estrategia Industrial de la UE</w:t>
      </w:r>
      <w:r w:rsidR="00261D7E" w:rsidRPr="00C31310">
        <w:rPr>
          <w:rStyle w:val="FootnoteReference"/>
          <w:rFonts w:ascii="Times New Roman" w:hAnsi="Times New Roman" w:cs="Times New Roman"/>
          <w:noProof/>
          <w:sz w:val="24"/>
          <w:szCs w:val="24"/>
          <w:lang w:val="en-GB"/>
        </w:rPr>
        <w:footnoteReference w:id="41"/>
      </w:r>
      <w:r>
        <w:rPr>
          <w:rFonts w:ascii="Times New Roman" w:hAnsi="Times New Roman"/>
          <w:noProof/>
          <w:sz w:val="24"/>
        </w:rPr>
        <w:t xml:space="preserve">, la Comisión confirmó que la UE depende en gran medida de los Estados Unidos para las herramientas generales de diseño y de Asia para la fabricación avanzada de chips. </w:t>
      </w:r>
    </w:p>
    <w:p w14:paraId="740B03E9" w14:textId="4F17F54C" w:rsidR="00261D7E" w:rsidRPr="00C31310" w:rsidRDefault="18AF88F8" w:rsidP="004875E4">
      <w:pPr>
        <w:jc w:val="both"/>
        <w:rPr>
          <w:rFonts w:ascii="Times New Roman" w:hAnsi="Times New Roman" w:cs="Times New Roman"/>
          <w:noProof/>
          <w:sz w:val="24"/>
          <w:szCs w:val="24"/>
        </w:rPr>
      </w:pPr>
      <w:r>
        <w:rPr>
          <w:rFonts w:ascii="Times New Roman" w:hAnsi="Times New Roman"/>
          <w:noProof/>
          <w:sz w:val="24"/>
        </w:rPr>
        <w:t>En cuanto a los semiconductores, Taiwan Semiconductor Manufacturing Co (TSMC) representaba en 2022 el 92 % de la fabricación de semiconductores más avanzada del mundo, lo que convierte a Taiwán en responsable de aproximadamente la mitad de la fabricación mundial de semiconductores</w:t>
      </w:r>
      <w:r w:rsidR="00261D7E" w:rsidRPr="00C31310">
        <w:rPr>
          <w:rStyle w:val="FootnoteReference"/>
          <w:rFonts w:ascii="Times New Roman" w:hAnsi="Times New Roman" w:cs="Times New Roman"/>
          <w:noProof/>
          <w:sz w:val="24"/>
          <w:szCs w:val="24"/>
          <w:lang w:val="en-GB"/>
        </w:rPr>
        <w:footnoteReference w:id="42"/>
      </w:r>
      <w:r>
        <w:rPr>
          <w:rFonts w:ascii="Times New Roman" w:hAnsi="Times New Roman"/>
          <w:noProof/>
          <w:sz w:val="24"/>
        </w:rPr>
        <w:t>. La UE tiene una cuota importante en la producción mundial de componentes digitales, pero solo produce el 9 % de los semiconductores y microprocesadores</w:t>
      </w:r>
      <w:r w:rsidR="00261D7E" w:rsidRPr="00C31310">
        <w:rPr>
          <w:rStyle w:val="FootnoteReference"/>
          <w:rFonts w:ascii="Times New Roman" w:hAnsi="Times New Roman" w:cs="Times New Roman"/>
          <w:noProof/>
          <w:sz w:val="24"/>
          <w:szCs w:val="24"/>
          <w:lang w:val="en-GB"/>
        </w:rPr>
        <w:footnoteReference w:id="43"/>
      </w:r>
      <w:r>
        <w:rPr>
          <w:rFonts w:ascii="Times New Roman" w:hAnsi="Times New Roman"/>
          <w:noProof/>
          <w:sz w:val="24"/>
        </w:rPr>
        <w:t xml:space="preserve">. </w:t>
      </w:r>
    </w:p>
    <w:p w14:paraId="183184FF" w14:textId="4EB96D2B" w:rsidR="005119E2" w:rsidRPr="00C31310" w:rsidRDefault="2E5387A7" w:rsidP="004875E4">
      <w:pPr>
        <w:jc w:val="both"/>
        <w:rPr>
          <w:rFonts w:ascii="Times New Roman" w:hAnsi="Times New Roman" w:cs="Times New Roman"/>
          <w:noProof/>
          <w:sz w:val="24"/>
          <w:szCs w:val="24"/>
        </w:rPr>
      </w:pPr>
      <w:r>
        <w:rPr>
          <w:rFonts w:ascii="Times New Roman" w:hAnsi="Times New Roman"/>
          <w:noProof/>
          <w:sz w:val="24"/>
        </w:rPr>
        <w:t xml:space="preserve">Las perturbaciones de la cadena de suministro mundial provocadas por la pandemia de COVID-19 y exacerbadas por la agresión militar no provocada e injustificada de Rusia contra Ucrania han demostrado que es fundamental impulsar la capacidad y la competitividad de la UE para producir las tecnologías y los componentes necesarios para llevar a cabo la transición hacia la neutralidad climática. </w:t>
      </w:r>
      <w:bookmarkStart w:id="18" w:name="_Hlk147911502"/>
      <w:r>
        <w:rPr>
          <w:rFonts w:ascii="Times New Roman" w:hAnsi="Times New Roman"/>
          <w:noProof/>
          <w:sz w:val="24"/>
        </w:rPr>
        <w:t>El diseño de nuevos materiales con propiedades que optimicen el rendimiento de las tecnologías de cero emisiones netas también debería ofrecer nuevas posibilidades para las industrias</w:t>
      </w:r>
      <w:r w:rsidR="00F11017">
        <w:rPr>
          <w:rStyle w:val="FootnoteReference"/>
          <w:rFonts w:ascii="Times New Roman" w:hAnsi="Times New Roman" w:cs="Times New Roman"/>
          <w:noProof/>
          <w:sz w:val="24"/>
          <w:szCs w:val="24"/>
        </w:rPr>
        <w:footnoteReference w:id="44"/>
      </w:r>
      <w:r>
        <w:rPr>
          <w:rFonts w:ascii="Times New Roman" w:hAnsi="Times New Roman"/>
          <w:noProof/>
          <w:sz w:val="24"/>
        </w:rPr>
        <w:t>.</w:t>
      </w:r>
      <w:bookmarkEnd w:id="18"/>
    </w:p>
    <w:p w14:paraId="07AB989E" w14:textId="003F3C59" w:rsidR="00FD520D" w:rsidRPr="00C31310" w:rsidRDefault="38B3958F" w:rsidP="004875E4">
      <w:pPr>
        <w:spacing w:line="257" w:lineRule="auto"/>
        <w:jc w:val="both"/>
        <w:rPr>
          <w:rFonts w:ascii="Times New Roman" w:hAnsi="Times New Roman" w:cs="Times New Roman"/>
          <w:noProof/>
          <w:sz w:val="24"/>
          <w:szCs w:val="24"/>
        </w:rPr>
      </w:pPr>
      <w:r>
        <w:rPr>
          <w:rFonts w:ascii="Times New Roman" w:hAnsi="Times New Roman"/>
          <w:noProof/>
          <w:sz w:val="24"/>
        </w:rPr>
        <w:t xml:space="preserve">En cuanto a las principales economías, la </w:t>
      </w:r>
      <w:r>
        <w:rPr>
          <w:rFonts w:ascii="Times New Roman" w:hAnsi="Times New Roman"/>
          <w:b/>
          <w:noProof/>
          <w:sz w:val="24"/>
        </w:rPr>
        <w:t>Ley de Reducción de la Inflación de los Estados Unidos</w:t>
      </w:r>
      <w:r>
        <w:rPr>
          <w:rFonts w:ascii="Times New Roman" w:hAnsi="Times New Roman"/>
          <w:noProof/>
          <w:sz w:val="24"/>
        </w:rPr>
        <w:t xml:space="preserve"> (IRA, por sus siglas en inglés)</w:t>
      </w:r>
      <w:r w:rsidR="00FD520D" w:rsidRPr="00C31310">
        <w:rPr>
          <w:rStyle w:val="FootnoteReference"/>
          <w:rFonts w:ascii="Times New Roman" w:eastAsia="Calibri" w:hAnsi="Times New Roman" w:cs="Times New Roman"/>
          <w:noProof/>
          <w:sz w:val="24"/>
          <w:szCs w:val="24"/>
          <w:lang w:val="en-GB"/>
        </w:rPr>
        <w:footnoteReference w:id="45"/>
      </w:r>
      <w:r>
        <w:rPr>
          <w:rFonts w:ascii="Times New Roman" w:hAnsi="Times New Roman"/>
          <w:noProof/>
          <w:sz w:val="24"/>
        </w:rPr>
        <w:t xml:space="preserve"> de 2022 tiene por objeto catalizar las inversiones en capacidad de fabricación nacional proporcionando una financiación federal estimada en 400 000 millones USD (380 000 millones EUR</w:t>
      </w:r>
      <w:r w:rsidR="0001286E">
        <w:rPr>
          <w:rStyle w:val="FootnoteReference"/>
          <w:rFonts w:ascii="Times New Roman" w:hAnsi="Times New Roman" w:cs="Times New Roman"/>
          <w:noProof/>
          <w:sz w:val="24"/>
          <w:szCs w:val="24"/>
          <w:lang w:val="en-GB"/>
        </w:rPr>
        <w:footnoteReference w:id="46"/>
      </w:r>
      <w:r>
        <w:rPr>
          <w:rFonts w:ascii="Times New Roman" w:hAnsi="Times New Roman"/>
          <w:noProof/>
          <w:sz w:val="24"/>
        </w:rPr>
        <w:t>) para energías limpias, principalmente a través de subvenciones e incentivos fiscales. En 2021, los Estados Unidos también adoptaron el Acuerdo Bipartidista de Infraestructuras (Ley de Inversión en Infraestructura y Empleo), que incluye 1 500 millones USD (1 270 millones EUR</w:t>
      </w:r>
      <w:r w:rsidR="0001286E">
        <w:rPr>
          <w:rStyle w:val="FootnoteReference"/>
          <w:rFonts w:ascii="Times New Roman" w:hAnsi="Times New Roman" w:cs="Times New Roman"/>
          <w:noProof/>
          <w:sz w:val="24"/>
          <w:szCs w:val="24"/>
          <w:lang w:val="en-GB"/>
        </w:rPr>
        <w:footnoteReference w:id="47"/>
      </w:r>
      <w:r>
        <w:rPr>
          <w:rFonts w:ascii="Times New Roman" w:hAnsi="Times New Roman"/>
          <w:noProof/>
          <w:sz w:val="24"/>
        </w:rPr>
        <w:t>) para apoyar la electrólisis del hidrógeno y 8 000 millones USD (6 700 millones EUR) para financiar un amplio programa regional de centros de hidrógeno limpio. Estos centros crearán redes de ecosistemas ubicados en el mismo lugar para la producción, la distribución, el almacenamiento y el uso final de hidrógeno limpio. Los Estados Unidos también publicaron la</w:t>
      </w:r>
      <w:r>
        <w:rPr>
          <w:rFonts w:ascii="Times New Roman" w:hAnsi="Times New Roman"/>
          <w:i/>
          <w:noProof/>
          <w:sz w:val="24"/>
        </w:rPr>
        <w:t xml:space="preserve"> U.S. National Clean Hydrogen Strategy and Roadmap </w:t>
      </w:r>
      <w:r>
        <w:rPr>
          <w:rFonts w:ascii="Times New Roman" w:hAnsi="Times New Roman"/>
          <w:noProof/>
          <w:sz w:val="24"/>
        </w:rPr>
        <w:t>[«Estrategia y Hoja de Ruta Nacional para el Hidrógeno Limpio de los Estados Unidos», documento en inglés]</w:t>
      </w:r>
      <w:r>
        <w:rPr>
          <w:rFonts w:ascii="Times New Roman" w:hAnsi="Times New Roman"/>
          <w:i/>
          <w:noProof/>
          <w:sz w:val="24"/>
        </w:rPr>
        <w:t>.</w:t>
      </w:r>
      <w:r>
        <w:rPr>
          <w:noProof/>
        </w:rPr>
        <w:t xml:space="preserve"> </w:t>
      </w:r>
      <w:r>
        <w:rPr>
          <w:rFonts w:ascii="Times New Roman" w:hAnsi="Times New Roman"/>
          <w:noProof/>
          <w:sz w:val="24"/>
        </w:rPr>
        <w:t xml:space="preserve">Más recientemente, en julio de 2023, los Estados Unidos publicaron una orden ejecutiva </w:t>
      </w:r>
      <w:r>
        <w:rPr>
          <w:rFonts w:ascii="Times New Roman" w:hAnsi="Times New Roman"/>
          <w:i/>
          <w:noProof/>
          <w:sz w:val="24"/>
        </w:rPr>
        <w:t>Invent it here, make it here</w:t>
      </w:r>
      <w:r>
        <w:rPr>
          <w:rFonts w:ascii="Times New Roman" w:hAnsi="Times New Roman"/>
          <w:noProof/>
          <w:sz w:val="24"/>
        </w:rPr>
        <w:t xml:space="preserve"> («Invéntalo aquí, fabrícalo aquí»), que establece que las agencias federales tendrán que dar prioridad a la fabricación nacional cuando se comercialicen tecnologías innovadoras financiadas por los Estados Unidos. </w:t>
      </w:r>
    </w:p>
    <w:p w14:paraId="0C4B9F21" w14:textId="038D6428" w:rsidR="00FD520D" w:rsidRPr="00C31310" w:rsidRDefault="38B3958F" w:rsidP="004875E4">
      <w:pPr>
        <w:spacing w:line="257" w:lineRule="auto"/>
        <w:jc w:val="both"/>
        <w:rPr>
          <w:rFonts w:ascii="Times New Roman" w:hAnsi="Times New Roman" w:cs="Times New Roman"/>
          <w:noProof/>
          <w:sz w:val="24"/>
          <w:szCs w:val="24"/>
        </w:rPr>
      </w:pPr>
      <w:r>
        <w:rPr>
          <w:rFonts w:ascii="Times New Roman" w:hAnsi="Times New Roman"/>
          <w:noProof/>
          <w:sz w:val="24"/>
        </w:rPr>
        <w:t>La iniciativa política tecnológica a 10 años «</w:t>
      </w:r>
      <w:r>
        <w:rPr>
          <w:rFonts w:ascii="Times New Roman" w:hAnsi="Times New Roman"/>
          <w:b/>
          <w:noProof/>
          <w:sz w:val="24"/>
        </w:rPr>
        <w:t>Made in China 2025</w:t>
      </w:r>
      <w:r>
        <w:rPr>
          <w:rFonts w:ascii="Times New Roman" w:hAnsi="Times New Roman"/>
          <w:noProof/>
          <w:sz w:val="24"/>
        </w:rPr>
        <w:t>» («Hecho en China 2025»)</w:t>
      </w:r>
      <w:r w:rsidR="00FD520D" w:rsidRPr="00C31310">
        <w:rPr>
          <w:rStyle w:val="FootnoteReference"/>
          <w:rFonts w:ascii="Times New Roman" w:eastAsia="Calibri" w:hAnsi="Times New Roman" w:cs="Times New Roman"/>
          <w:noProof/>
          <w:sz w:val="24"/>
          <w:szCs w:val="24"/>
          <w:lang w:val="en-GB"/>
        </w:rPr>
        <w:footnoteReference w:id="48"/>
      </w:r>
      <w:r>
        <w:rPr>
          <w:rFonts w:ascii="Times New Roman" w:hAnsi="Times New Roman"/>
          <w:noProof/>
          <w:sz w:val="24"/>
        </w:rPr>
        <w:t xml:space="preserve">, publicada en 2015, tiene por objeto modernizar la capacidad industrial de China, en particular sustituyendo su dependencia de las importaciones de tecnología extranjera por innovaciones nacionales. En julio de 2023, China anunció restricciones a la exportación de materias primas utilizadas en la fabricación de una amplia gama de aplicaciones técnicas, incluidos semiconductores y otras tecnologías avanzadas (galio y germanio). </w:t>
      </w:r>
    </w:p>
    <w:p w14:paraId="2A3129C2" w14:textId="41C29073" w:rsidR="00FD520D" w:rsidRPr="00C31310" w:rsidRDefault="4D4560B2" w:rsidP="004875E4">
      <w:pPr>
        <w:spacing w:line="257" w:lineRule="auto"/>
        <w:jc w:val="both"/>
        <w:rPr>
          <w:rFonts w:ascii="Times New Roman" w:hAnsi="Times New Roman" w:cs="Times New Roman"/>
          <w:noProof/>
          <w:sz w:val="24"/>
          <w:szCs w:val="24"/>
        </w:rPr>
      </w:pPr>
      <w:r>
        <w:rPr>
          <w:rFonts w:ascii="Times New Roman" w:hAnsi="Times New Roman"/>
          <w:noProof/>
          <w:sz w:val="24"/>
        </w:rPr>
        <w:t xml:space="preserve">A principios de 2023, Japón presentó el </w:t>
      </w:r>
      <w:r>
        <w:rPr>
          <w:rFonts w:ascii="Times New Roman" w:hAnsi="Times New Roman"/>
          <w:b/>
          <w:noProof/>
          <w:sz w:val="24"/>
        </w:rPr>
        <w:t>Plan Básico Japonés para la Gx</w:t>
      </w:r>
      <w:r>
        <w:rPr>
          <w:rFonts w:ascii="Times New Roman" w:hAnsi="Times New Roman"/>
          <w:noProof/>
          <w:sz w:val="24"/>
        </w:rPr>
        <w:t>:</w:t>
      </w:r>
      <w:r>
        <w:rPr>
          <w:rFonts w:ascii="Times New Roman" w:hAnsi="Times New Roman"/>
          <w:b/>
          <w:noProof/>
          <w:sz w:val="24"/>
        </w:rPr>
        <w:t xml:space="preserve"> política de transformación ecológica</w:t>
      </w:r>
      <w:r w:rsidR="00FD520D" w:rsidRPr="00C31310">
        <w:rPr>
          <w:rStyle w:val="FootnoteReference"/>
          <w:rFonts w:ascii="Times New Roman" w:eastAsia="Calibri" w:hAnsi="Times New Roman" w:cs="Times New Roman"/>
          <w:noProof/>
          <w:sz w:val="24"/>
          <w:szCs w:val="24"/>
          <w:lang w:val="en-GB"/>
        </w:rPr>
        <w:footnoteReference w:id="49"/>
      </w:r>
      <w:r w:rsidR="45EB796B" w:rsidRPr="00C223F1">
        <w:rPr>
          <w:rStyle w:val="FootnoteReference"/>
          <w:rFonts w:ascii="Times New Roman" w:eastAsia="Calibri" w:hAnsi="Times New Roman" w:cs="Times New Roman"/>
          <w:noProof/>
          <w:sz w:val="24"/>
          <w:szCs w:val="24"/>
          <w:vertAlign w:val="subscript"/>
        </w:rPr>
        <w:t>.</w:t>
      </w:r>
      <w:r>
        <w:rPr>
          <w:rFonts w:ascii="Times New Roman" w:hAnsi="Times New Roman"/>
          <w:noProof/>
          <w:sz w:val="24"/>
        </w:rPr>
        <w:t xml:space="preserve"> Se trata de una estrategia de descarbonización a diez años por valor de 150 billones JPY (0,95 billones EUR</w:t>
      </w:r>
      <w:r w:rsidR="0001286E">
        <w:rPr>
          <w:rStyle w:val="FootnoteReference"/>
          <w:rFonts w:ascii="Times New Roman" w:eastAsia="Calibri" w:hAnsi="Times New Roman" w:cs="Times New Roman"/>
          <w:noProof/>
          <w:sz w:val="24"/>
          <w:szCs w:val="24"/>
          <w:lang w:val="en-GB"/>
        </w:rPr>
        <w:footnoteReference w:id="50"/>
      </w:r>
      <w:r>
        <w:rPr>
          <w:rFonts w:ascii="Times New Roman" w:hAnsi="Times New Roman"/>
          <w:noProof/>
          <w:sz w:val="24"/>
        </w:rPr>
        <w:t>) para promover el desarrollo de tecnologías innovadoras y lograr una reducción de CO</w:t>
      </w:r>
      <w:r>
        <w:rPr>
          <w:rFonts w:ascii="Times New Roman" w:hAnsi="Times New Roman"/>
          <w:noProof/>
          <w:sz w:val="24"/>
          <w:vertAlign w:val="subscript"/>
        </w:rPr>
        <w:t>2</w:t>
      </w:r>
      <w:r>
        <w:rPr>
          <w:rFonts w:ascii="Times New Roman" w:hAnsi="Times New Roman"/>
          <w:noProof/>
          <w:sz w:val="24"/>
        </w:rPr>
        <w:t xml:space="preserve"> «más allá de cero» de aquí a 2050. </w:t>
      </w:r>
    </w:p>
    <w:p w14:paraId="749BA79B" w14:textId="12BD21A0" w:rsidR="2955CDBB" w:rsidRPr="00C31310" w:rsidRDefault="50566574" w:rsidP="004875E4">
      <w:pPr>
        <w:jc w:val="both"/>
        <w:rPr>
          <w:rFonts w:ascii="Times New Roman" w:hAnsi="Times New Roman" w:cs="Times New Roman"/>
          <w:noProof/>
          <w:sz w:val="24"/>
          <w:szCs w:val="24"/>
        </w:rPr>
      </w:pPr>
      <w:r>
        <w:rPr>
          <w:rFonts w:ascii="Times New Roman" w:hAnsi="Times New Roman"/>
          <w:noProof/>
          <w:sz w:val="24"/>
        </w:rPr>
        <w:t>En torno al mismo período, la India destinó 350 000 millones INR</w:t>
      </w:r>
      <w:r w:rsidR="00A76D37" w:rsidRPr="00C31310">
        <w:rPr>
          <w:rStyle w:val="FootnoteReference"/>
          <w:rFonts w:ascii="Times New Roman" w:hAnsi="Times New Roman" w:cs="Times New Roman"/>
          <w:noProof/>
          <w:sz w:val="24"/>
          <w:szCs w:val="24"/>
          <w:lang w:val="en-GB"/>
        </w:rPr>
        <w:footnoteReference w:id="51"/>
      </w:r>
      <w:r>
        <w:rPr>
          <w:rFonts w:ascii="Times New Roman" w:hAnsi="Times New Roman"/>
          <w:noProof/>
          <w:sz w:val="24"/>
        </w:rPr>
        <w:t xml:space="preserve"> (4 000 millones EUR</w:t>
      </w:r>
      <w:r w:rsidR="00960F8C">
        <w:rPr>
          <w:rStyle w:val="FootnoteReference"/>
          <w:rFonts w:ascii="Times New Roman" w:hAnsi="Times New Roman" w:cs="Times New Roman"/>
          <w:noProof/>
          <w:sz w:val="24"/>
          <w:szCs w:val="24"/>
          <w:lang w:val="en-GB"/>
        </w:rPr>
        <w:footnoteReference w:id="52"/>
      </w:r>
      <w:r>
        <w:rPr>
          <w:rFonts w:ascii="Times New Roman" w:hAnsi="Times New Roman"/>
          <w:noProof/>
          <w:sz w:val="24"/>
        </w:rPr>
        <w:t>) a invertir en la seguridad energética y la transición ecológica de la nación (con especial atención a la energía solar y la producción de hidrógeno verde), con el objetivo de alcanzar las cero emisiones netas de aquí a 2070.</w:t>
      </w:r>
    </w:p>
    <w:p w14:paraId="6408DEDF" w14:textId="29148C10" w:rsidR="008A5CAE" w:rsidRPr="00C31310" w:rsidRDefault="2E2E3AAB" w:rsidP="004875E4">
      <w:pPr>
        <w:jc w:val="both"/>
        <w:rPr>
          <w:rFonts w:ascii="Times New Roman" w:hAnsi="Times New Roman" w:cs="Times New Roman"/>
          <w:noProof/>
          <w:sz w:val="24"/>
          <w:szCs w:val="24"/>
        </w:rPr>
      </w:pPr>
      <w:r>
        <w:rPr>
          <w:rFonts w:ascii="Times New Roman" w:hAnsi="Times New Roman"/>
          <w:noProof/>
          <w:sz w:val="24"/>
        </w:rPr>
        <w:t xml:space="preserve">Además de aumentar el uso circular de los materiales y diversificar los suministros, la UE pretende ampliar masivamente la fabricación y acelerar el despliegue de tecnologías energéticas limpias. </w:t>
      </w:r>
      <w:bookmarkStart w:id="19" w:name="_Hlk146041016"/>
      <w:r>
        <w:rPr>
          <w:rFonts w:ascii="Times New Roman" w:hAnsi="Times New Roman"/>
          <w:noProof/>
          <w:sz w:val="24"/>
        </w:rPr>
        <w:t>Esto ayudará a la UE a garantizar su liderazgo industrial en sectores de rápido crecimiento y a pasar de ser un importador neto de tecnologías de cero emisiones netas a tener una sólida base de fabricación nacional.</w:t>
      </w:r>
    </w:p>
    <w:bookmarkEnd w:id="19"/>
    <w:p w14:paraId="15FC4641" w14:textId="4EB3979A" w:rsidR="00EA1D2A" w:rsidRPr="00C31310" w:rsidRDefault="4664F6D1" w:rsidP="004875E4">
      <w:pPr>
        <w:jc w:val="both"/>
        <w:rPr>
          <w:rFonts w:ascii="Times New Roman" w:hAnsi="Times New Roman" w:cs="Times New Roman"/>
          <w:noProof/>
          <w:sz w:val="24"/>
          <w:szCs w:val="24"/>
        </w:rPr>
      </w:pPr>
      <w:r>
        <w:rPr>
          <w:rFonts w:ascii="Times New Roman" w:hAnsi="Times New Roman"/>
          <w:noProof/>
          <w:sz w:val="24"/>
        </w:rPr>
        <w:t xml:space="preserve">La Comisión esbozó sus planes para este fin en el </w:t>
      </w:r>
      <w:r>
        <w:rPr>
          <w:rFonts w:ascii="Times New Roman" w:hAnsi="Times New Roman"/>
          <w:b/>
          <w:noProof/>
          <w:sz w:val="24"/>
        </w:rPr>
        <w:t>Plan Industrial del Pacto Verde</w:t>
      </w:r>
      <w:r>
        <w:rPr>
          <w:rFonts w:ascii="Times New Roman" w:hAnsi="Times New Roman"/>
          <w:noProof/>
          <w:sz w:val="24"/>
        </w:rPr>
        <w:t xml:space="preserve">. El plan tiene por objeto impulsar la competitividad de la UE en materia de energías limpias simplificando el marco regulador, acelerando el acceso a la financiación, impulsando las capacidades y apoyando el comercio. A continuación se publicaron la </w:t>
      </w:r>
      <w:r>
        <w:rPr>
          <w:rFonts w:ascii="Times New Roman" w:hAnsi="Times New Roman"/>
          <w:b/>
          <w:noProof/>
          <w:sz w:val="24"/>
        </w:rPr>
        <w:t>Ley sobre la industria de cero emisiones netas</w:t>
      </w:r>
      <w:r>
        <w:rPr>
          <w:rFonts w:ascii="Times New Roman" w:hAnsi="Times New Roman"/>
          <w:noProof/>
          <w:sz w:val="24"/>
        </w:rPr>
        <w:t xml:space="preserve"> (</w:t>
      </w:r>
      <w:r>
        <w:rPr>
          <w:rFonts w:ascii="Times New Roman" w:hAnsi="Times New Roman"/>
          <w:b/>
          <w:noProof/>
          <w:sz w:val="24"/>
        </w:rPr>
        <w:t>NZIA</w:t>
      </w:r>
      <w:r>
        <w:rPr>
          <w:rFonts w:ascii="Times New Roman" w:hAnsi="Times New Roman"/>
          <w:noProof/>
          <w:sz w:val="24"/>
        </w:rPr>
        <w:t xml:space="preserve">, por sus siglas en inglés)y la </w:t>
      </w:r>
      <w:r>
        <w:rPr>
          <w:rFonts w:ascii="Times New Roman" w:hAnsi="Times New Roman"/>
          <w:b/>
          <w:noProof/>
          <w:sz w:val="24"/>
        </w:rPr>
        <w:t>Ley de Materias Primas Fundamentales</w:t>
      </w:r>
      <w:r>
        <w:rPr>
          <w:rFonts w:ascii="Times New Roman" w:hAnsi="Times New Roman"/>
          <w:noProof/>
          <w:sz w:val="24"/>
        </w:rPr>
        <w:t xml:space="preserve"> (</w:t>
      </w:r>
      <w:r>
        <w:rPr>
          <w:rFonts w:ascii="Times New Roman" w:hAnsi="Times New Roman"/>
          <w:b/>
          <w:noProof/>
          <w:sz w:val="24"/>
        </w:rPr>
        <w:t>CRMA</w:t>
      </w:r>
      <w:r>
        <w:rPr>
          <w:rFonts w:ascii="Times New Roman" w:hAnsi="Times New Roman"/>
          <w:noProof/>
          <w:sz w:val="24"/>
        </w:rPr>
        <w:t xml:space="preserve">, por sus siglas en inglés). El objetivo de la NZIA propuesta es superar los obstáculos que dificultan el aumento de la fabricación de tecnologías de cero emisiones netas. Dicha ley proporcionaría un marco regulador que simplifique y acelere la concesión de </w:t>
      </w:r>
      <w:r w:rsidR="003E060B">
        <w:rPr>
          <w:rFonts w:ascii="Times New Roman" w:hAnsi="Times New Roman"/>
          <w:noProof/>
          <w:sz w:val="24"/>
        </w:rPr>
        <w:t>autorizaciones</w:t>
      </w:r>
      <w:r>
        <w:rPr>
          <w:rFonts w:ascii="Times New Roman" w:hAnsi="Times New Roman"/>
          <w:noProof/>
          <w:sz w:val="24"/>
        </w:rPr>
        <w:t>, mejore el acceso a los mercados de tecnologías de cero emisiones netas y promueva una serie de herramientas. La CRMA propuesta permitiría a la UE impulsar el sector energético garantizando el acceso a las materias primas fundamentales necesarias para las energías renovables y las tecnologías energéticas limpias, junto con otros sectores estratégicos. Dicha ley también se centra en diversificar las cadenas de suministro para aumentar la resiliencia y la preparación en tiempos de crisis e impulsar la economía circular.</w:t>
      </w:r>
    </w:p>
    <w:p w14:paraId="4BCEF374" w14:textId="0A1ED506" w:rsidR="00EA1D2A" w:rsidRPr="00C31310" w:rsidRDefault="74EDB7BB" w:rsidP="004875E4">
      <w:pPr>
        <w:jc w:val="both"/>
        <w:rPr>
          <w:rFonts w:ascii="Times New Roman" w:hAnsi="Times New Roman" w:cs="Times New Roman"/>
          <w:noProof/>
          <w:sz w:val="24"/>
          <w:szCs w:val="24"/>
        </w:rPr>
      </w:pPr>
      <w:r>
        <w:rPr>
          <w:rFonts w:ascii="Times New Roman" w:hAnsi="Times New Roman"/>
          <w:noProof/>
          <w:sz w:val="24"/>
        </w:rPr>
        <w:t xml:space="preserve">En febrero de 2022, la Comisión también presentó una propuesta de </w:t>
      </w:r>
      <w:r>
        <w:rPr>
          <w:rFonts w:ascii="Times New Roman" w:hAnsi="Times New Roman"/>
          <w:b/>
          <w:noProof/>
          <w:sz w:val="24"/>
        </w:rPr>
        <w:t>Ley Europea de Chips</w:t>
      </w:r>
      <w:r w:rsidR="00575202" w:rsidRPr="00C31310">
        <w:rPr>
          <w:rStyle w:val="FootnoteReference"/>
          <w:rFonts w:ascii="Times New Roman" w:hAnsi="Times New Roman" w:cs="Times New Roman"/>
          <w:b/>
          <w:noProof/>
          <w:sz w:val="24"/>
          <w:szCs w:val="24"/>
          <w:lang w:val="en-GB"/>
        </w:rPr>
        <w:footnoteReference w:id="53"/>
      </w:r>
      <w:r>
        <w:rPr>
          <w:rFonts w:ascii="Times New Roman" w:hAnsi="Times New Roman"/>
          <w:noProof/>
          <w:sz w:val="24"/>
        </w:rPr>
        <w:t xml:space="preserve"> para hacer frente a la escasez de semiconductores e impulsar el liderazgo tecnológico de Europa. La Ley, que entró en vigor el 21 de septiembre de 2023, movilizará más de 43 000 millones EUR en inversiones públicas y privadas y contiene medidas para preparar, anticipar y responder rápidamente a cualquier futura perturbación de la cadena de suministro, junto con los Estados miembros y los socios internacionales de la UE. El objetivo es duplicar la cuota de la UE en la producción mundial de chips hasta el 20 % de aquí a 2030. </w:t>
      </w:r>
    </w:p>
    <w:p w14:paraId="4D9B44CB" w14:textId="664643BD" w:rsidR="00A35B2B" w:rsidRPr="00C31310" w:rsidRDefault="00A35B2B" w:rsidP="004875E4">
      <w:pPr>
        <w:jc w:val="both"/>
        <w:rPr>
          <w:rFonts w:ascii="Times New Roman" w:hAnsi="Times New Roman" w:cs="Times New Roman"/>
          <w:noProof/>
          <w:sz w:val="24"/>
          <w:szCs w:val="24"/>
        </w:rPr>
      </w:pPr>
      <w:r>
        <w:rPr>
          <w:rFonts w:ascii="Times New Roman" w:hAnsi="Times New Roman"/>
          <w:noProof/>
          <w:sz w:val="24"/>
        </w:rPr>
        <w:t xml:space="preserve">A raíz del plan REPowerEU y del Plan Industrial del Pacto Verde, la Comisión ha simplificado sus normas sobre ayudas estatales, permitiendo a los Estados miembros conceder ayudas estatales para facilitar el rápido despliegue de proyectos de generación de energía renovable y aplicar medidas de descarbonización industrial para lograr una economía de cero emisiones netas. El </w:t>
      </w:r>
      <w:r>
        <w:rPr>
          <w:rFonts w:ascii="Times New Roman" w:hAnsi="Times New Roman"/>
          <w:b/>
          <w:noProof/>
          <w:sz w:val="24"/>
        </w:rPr>
        <w:t>Marco Temporal de Crisis y Transición (MTCT)</w:t>
      </w:r>
      <w:r w:rsidR="00440C47">
        <w:rPr>
          <w:rStyle w:val="FootnoteReference"/>
          <w:rFonts w:ascii="Times New Roman" w:hAnsi="Times New Roman" w:cs="Times New Roman"/>
          <w:noProof/>
          <w:sz w:val="24"/>
          <w:szCs w:val="24"/>
          <w:lang w:val="en-GB"/>
        </w:rPr>
        <w:footnoteReference w:id="54"/>
      </w:r>
      <w:r>
        <w:rPr>
          <w:rFonts w:ascii="Times New Roman" w:hAnsi="Times New Roman"/>
          <w:noProof/>
          <w:sz w:val="24"/>
        </w:rPr>
        <w:t>, adoptado en marzo de 2023, permite conceder ayudas a todas las tecnologías renovables y al almacenamiento de hidrógeno y biocarburantes renovables y elimina la necesidad de licitaciones abiertas para las tecnologías menos maduras. También amplía las posibilidades de ayuda a la descarbonización de los procesos de producción industrial mediante la electrificación o el uso de hidrógeno renovable y basado en la electricidad. El MTCT también permite regímenes de apoyo a la inversión para la producción de tecnologías estratégicas de cero emisiones netas, incluida la posibilidad de conceder ayudas más elevadas para igualar la ayuda recibida para proyectos similares por competidores situados fuera de la Unión. Esta acción se complementó con la adopción, en junio de 2023, de una revisión del Reglamento general de exención por categorías (RGEC)</w:t>
      </w:r>
      <w:r w:rsidR="00440C47">
        <w:rPr>
          <w:rStyle w:val="FootnoteReference"/>
          <w:rFonts w:ascii="Times New Roman" w:hAnsi="Times New Roman" w:cs="Times New Roman"/>
          <w:noProof/>
          <w:sz w:val="24"/>
          <w:szCs w:val="24"/>
          <w:lang w:val="en-GB"/>
        </w:rPr>
        <w:footnoteReference w:id="55"/>
      </w:r>
      <w:r>
        <w:rPr>
          <w:rFonts w:ascii="Times New Roman" w:hAnsi="Times New Roman"/>
          <w:noProof/>
          <w:sz w:val="24"/>
        </w:rPr>
        <w:t>.</w:t>
      </w:r>
    </w:p>
    <w:p w14:paraId="785864AB" w14:textId="05647570" w:rsidR="00894015" w:rsidRPr="00C31310" w:rsidRDefault="74EDB7BB" w:rsidP="004875E4">
      <w:pPr>
        <w:jc w:val="both"/>
        <w:rPr>
          <w:rFonts w:ascii="Times New Roman" w:hAnsi="Times New Roman" w:cs="Times New Roman"/>
          <w:noProof/>
          <w:sz w:val="24"/>
          <w:szCs w:val="24"/>
        </w:rPr>
      </w:pPr>
      <w:r>
        <w:rPr>
          <w:rFonts w:ascii="Times New Roman" w:hAnsi="Times New Roman"/>
          <w:noProof/>
          <w:sz w:val="24"/>
        </w:rPr>
        <w:t>A través de estas propuestas, la UE está intensificando sus acciones para atraer más capital a la Unión destinado a la inversión en tecnologías energéticas limpias y a la fabricación de esas tecnologías. Para respaldar estas iniciativas, la UE proporciona apoyo con cargo a varios fondos e instrumentos. Por ejemplo, en mayo de 2023, la Comisión presentó la</w:t>
      </w:r>
      <w:r>
        <w:rPr>
          <w:rFonts w:ascii="Times New Roman" w:hAnsi="Times New Roman"/>
          <w:b/>
          <w:noProof/>
          <w:sz w:val="24"/>
        </w:rPr>
        <w:t xml:space="preserve"> Iniciativa emblemática de 2024 para el apoyo al Plan Industrial del Pacto Verde en el marco del Instrumento de Apoyo Técnico</w:t>
      </w:r>
      <w:r w:rsidR="001043D4" w:rsidRPr="00C31310">
        <w:rPr>
          <w:rStyle w:val="FootnoteReference"/>
          <w:rFonts w:ascii="Times New Roman" w:hAnsi="Times New Roman" w:cs="Times New Roman"/>
          <w:noProof/>
          <w:sz w:val="24"/>
          <w:szCs w:val="24"/>
          <w:lang w:val="en-GB"/>
        </w:rPr>
        <w:footnoteReference w:id="56"/>
      </w:r>
      <w:r>
        <w:rPr>
          <w:rFonts w:ascii="Times New Roman" w:hAnsi="Times New Roman"/>
          <w:noProof/>
          <w:sz w:val="24"/>
        </w:rPr>
        <w:t xml:space="preserve"> para ayudar a los Estados miembros a aplicar el Plan Industrial del Pacto Verde. </w:t>
      </w:r>
    </w:p>
    <w:p w14:paraId="1F4E5C55" w14:textId="405079AA" w:rsidR="00894015" w:rsidRPr="00C31310" w:rsidRDefault="63FD531B" w:rsidP="004875E4">
      <w:pPr>
        <w:jc w:val="both"/>
        <w:rPr>
          <w:rFonts w:ascii="Times New Roman" w:eastAsia="Times New Roman" w:hAnsi="Times New Roman" w:cs="Times New Roman"/>
          <w:noProof/>
          <w:sz w:val="24"/>
          <w:szCs w:val="24"/>
        </w:rPr>
      </w:pPr>
      <w:r>
        <w:rPr>
          <w:rFonts w:ascii="Times New Roman" w:hAnsi="Times New Roman"/>
          <w:noProof/>
          <w:sz w:val="24"/>
        </w:rPr>
        <w:t xml:space="preserve">Como apoyo adicional e impulso a la inversión en tecnologías energéticas críticas y limpias, en junio de 2023 la Comisión presentó la </w:t>
      </w:r>
      <w:r>
        <w:rPr>
          <w:rFonts w:ascii="Times New Roman" w:hAnsi="Times New Roman"/>
          <w:b/>
          <w:noProof/>
          <w:sz w:val="24"/>
        </w:rPr>
        <w:t>Plataforma de Tecnologías Estratégicas para Europa (STEP)</w:t>
      </w:r>
      <w:r w:rsidR="001043D4" w:rsidRPr="00C31310">
        <w:rPr>
          <w:rStyle w:val="FootnoteReference"/>
          <w:rFonts w:ascii="Times New Roman" w:hAnsi="Times New Roman" w:cs="Times New Roman"/>
          <w:noProof/>
          <w:sz w:val="24"/>
          <w:szCs w:val="24"/>
          <w:lang w:val="en-GB"/>
        </w:rPr>
        <w:footnoteReference w:id="57"/>
      </w:r>
      <w:r>
        <w:rPr>
          <w:rFonts w:ascii="Times New Roman" w:hAnsi="Times New Roman"/>
          <w:b/>
          <w:noProof/>
          <w:sz w:val="24"/>
        </w:rPr>
        <w:t xml:space="preserve"> </w:t>
      </w:r>
      <w:r>
        <w:rPr>
          <w:rFonts w:ascii="Times New Roman" w:hAnsi="Times New Roman"/>
          <w:noProof/>
          <w:sz w:val="24"/>
        </w:rPr>
        <w:t xml:space="preserve">que proporciona financiación con cargo al </w:t>
      </w:r>
      <w:r>
        <w:rPr>
          <w:rFonts w:ascii="Times New Roman" w:hAnsi="Times New Roman"/>
          <w:b/>
          <w:noProof/>
          <w:sz w:val="24"/>
        </w:rPr>
        <w:t>Fondo de Innovación de la UE</w:t>
      </w:r>
      <w:r>
        <w:rPr>
          <w:rFonts w:ascii="Times New Roman" w:hAnsi="Times New Roman"/>
          <w:noProof/>
          <w:sz w:val="24"/>
        </w:rPr>
        <w:t>, un instrumento de inversión clave para favorecer la fabricación de tecnologías energéticas limpias. Los resultados de la tercera convocatoria de proyectos a gran escala</w:t>
      </w:r>
      <w:r w:rsidR="001043D4" w:rsidRPr="00C31310">
        <w:rPr>
          <w:rStyle w:val="FootnoteReference"/>
          <w:rFonts w:ascii="Times New Roman" w:hAnsi="Times New Roman" w:cs="Times New Roman"/>
          <w:noProof/>
          <w:sz w:val="24"/>
          <w:szCs w:val="24"/>
          <w:lang w:val="en-GB"/>
        </w:rPr>
        <w:footnoteReference w:id="58"/>
      </w:r>
      <w:r>
        <w:rPr>
          <w:rFonts w:ascii="Times New Roman" w:hAnsi="Times New Roman"/>
          <w:noProof/>
          <w:sz w:val="24"/>
        </w:rPr>
        <w:t xml:space="preserve"> ya muestran que los proyectos preseleccionados para recibir subvenciones en el marco de la presente convocatoria del Fondo de Innovación del Régimen de Comercio de Derechos de Emisión de la UE (RCDE), junto con los proyectos adjudicados anteriormente, cubrirán el 17 % de los objetivos de fabricación de energía solar de la NZIA 2030, el 11 % de los objetivos de fabricación de electrolizadores y el 7 % de los objetivos de fabricación de baterías, si se llevan a cabo todos los proyectos. Además, junto con otras inversiones, el MRR también favorecerá la construcción de plantas de fabricación de electrolizadores, paneles solares fotovoltaicos y baterías. </w:t>
      </w:r>
    </w:p>
    <w:p w14:paraId="35CF67D2" w14:textId="023CC7C1" w:rsidR="00D457C7" w:rsidRPr="008907E2" w:rsidRDefault="6C74C80E" w:rsidP="004875E4">
      <w:pPr>
        <w:jc w:val="both"/>
        <w:rPr>
          <w:rFonts w:ascii="Times New Roman" w:hAnsi="Times New Roman" w:cs="Times New Roman"/>
          <w:noProof/>
          <w:sz w:val="24"/>
          <w:szCs w:val="24"/>
        </w:rPr>
      </w:pPr>
      <w:r>
        <w:rPr>
          <w:rFonts w:ascii="Times New Roman" w:hAnsi="Times New Roman"/>
          <w:noProof/>
          <w:sz w:val="24"/>
        </w:rPr>
        <w:t xml:space="preserve">La UE no empieza desde cero, pues ya hay varios proyectos en marcha en múltiples tecnologías. En los últimos meses, la UE ha sido testigo de importantes avances en el mercado en términos de </w:t>
      </w:r>
      <w:r>
        <w:rPr>
          <w:rFonts w:ascii="Times New Roman" w:hAnsi="Times New Roman"/>
          <w:b/>
          <w:noProof/>
          <w:sz w:val="24"/>
        </w:rPr>
        <w:t>anuncios de nuevos proyectos e inversiones para la fabricación de tecnologías clave de cero emisiones netas en la UE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Entre ellas figuran la energía solar fotovoltaica, la eólica, las baterías, las bombas de calor, los electrolizadores y las pilas de combustible. Las carteras de proyectos también han seguido evolucionando. Para estas cadenas de valor clave de tecnologías de cero emisiones netas, en agosto de 2023 había más de cien proyectos previstos para desarrollar o ampliar la capacidad de producción existente</w:t>
      </w:r>
      <w:r w:rsidR="00E86373">
        <w:rPr>
          <w:rStyle w:val="FootnoteReference"/>
          <w:rFonts w:ascii="Times New Roman" w:hAnsi="Times New Roman" w:cs="Times New Roman"/>
          <w:noProof/>
          <w:sz w:val="24"/>
          <w:szCs w:val="24"/>
          <w:lang w:val="en-GB"/>
        </w:rPr>
        <w:footnoteReference w:id="59"/>
      </w:r>
      <w:r>
        <w:rPr>
          <w:rFonts w:ascii="Times New Roman" w:hAnsi="Times New Roman"/>
          <w:noProof/>
          <w:sz w:val="24"/>
        </w:rPr>
        <w:t xml:space="preserve">. Los resultados sólidos y constantes del Fondo de Innovación del RCDE, incluso en la última convocatoria a gran escala, que ha superado con creces el número de solicitudes, demuestran que existe una sólida cartera de proyectos europeos innovadores y competitivos. </w:t>
      </w:r>
    </w:p>
    <w:p w14:paraId="548FCC4E" w14:textId="4F9DBDFF" w:rsidR="00595AB8" w:rsidRPr="00C31310" w:rsidRDefault="3CD56AA7" w:rsidP="004875E4">
      <w:pPr>
        <w:jc w:val="both"/>
        <w:rPr>
          <w:rFonts w:ascii="Times New Roman" w:hAnsi="Times New Roman" w:cs="Times New Roman"/>
          <w:noProof/>
          <w:sz w:val="24"/>
          <w:szCs w:val="24"/>
        </w:rPr>
      </w:pPr>
      <w:bookmarkStart w:id="20" w:name="_Hlk147742803"/>
      <w:r>
        <w:rPr>
          <w:rFonts w:ascii="Times New Roman" w:hAnsi="Times New Roman"/>
          <w:noProof/>
          <w:sz w:val="24"/>
        </w:rPr>
        <w:t xml:space="preserve">En la cadena de valor de las </w:t>
      </w:r>
      <w:r>
        <w:rPr>
          <w:rFonts w:ascii="Times New Roman" w:hAnsi="Times New Roman"/>
          <w:b/>
          <w:noProof/>
          <w:sz w:val="24"/>
        </w:rPr>
        <w:t>baterías</w:t>
      </w:r>
      <w:r>
        <w:rPr>
          <w:rFonts w:ascii="Times New Roman" w:hAnsi="Times New Roman"/>
          <w:noProof/>
          <w:sz w:val="24"/>
        </w:rPr>
        <w:t xml:space="preserve">, el número de gigafábricas de ion-litio anunciadas aumentó de 26 a 30 en 2022. En la cadena de valor de la </w:t>
      </w:r>
      <w:r>
        <w:rPr>
          <w:rFonts w:ascii="Times New Roman" w:hAnsi="Times New Roman"/>
          <w:b/>
          <w:noProof/>
          <w:sz w:val="24"/>
        </w:rPr>
        <w:t>energía solar fotovoltaica</w:t>
      </w:r>
      <w:r>
        <w:rPr>
          <w:rFonts w:ascii="Times New Roman" w:hAnsi="Times New Roman"/>
          <w:noProof/>
          <w:sz w:val="24"/>
        </w:rPr>
        <w:t xml:space="preserve">, a pesar de los grandes retos a los que se enfrenta el sector manufacturero, varias instalaciones de producción existentes consideran la posibilidad de ampliarse para convertirse en fábricas a gigaescala y han obtenido la financiación del Fondo de Innovación en la última convocatoria y se han anunciado algunos nuevos proyectos de fabricación a gigaescala. En la industria </w:t>
      </w:r>
      <w:r>
        <w:rPr>
          <w:rFonts w:ascii="Times New Roman" w:hAnsi="Times New Roman"/>
          <w:b/>
          <w:noProof/>
          <w:sz w:val="24"/>
        </w:rPr>
        <w:t>eólica</w:t>
      </w:r>
      <w:r>
        <w:rPr>
          <w:rFonts w:ascii="Times New Roman" w:hAnsi="Times New Roman"/>
          <w:noProof/>
          <w:sz w:val="24"/>
        </w:rPr>
        <w:t xml:space="preserve"> se consideran varios proyectos que abarcan nuevas instalaciones, la ampliación de las instalaciones existentes y la creación de nuevas infraestructuras portuarias. Sin embargo, cabe señalar que es posible que no todas las inversiones anunciadas acaben realizándose. </w:t>
      </w:r>
    </w:p>
    <w:p w14:paraId="688A608F" w14:textId="4E57E25E" w:rsidR="00595AB8" w:rsidRPr="00C31310" w:rsidRDefault="00E548AB" w:rsidP="004875E4">
      <w:pPr>
        <w:jc w:val="both"/>
        <w:rPr>
          <w:rFonts w:ascii="Times New Roman" w:hAnsi="Times New Roman" w:cs="Times New Roman"/>
          <w:noProof/>
          <w:sz w:val="24"/>
          <w:szCs w:val="24"/>
        </w:rPr>
      </w:pPr>
      <w:bookmarkStart w:id="21" w:name="_Hlk146100703"/>
      <w:bookmarkEnd w:id="20"/>
      <w:r>
        <w:rPr>
          <w:rFonts w:ascii="Times New Roman" w:hAnsi="Times New Roman"/>
          <w:noProof/>
          <w:sz w:val="24"/>
        </w:rPr>
        <w:t xml:space="preserve">Solo en 2022, se firmaron casi 800 MW de contratos de compra de electricidad con la industria pesada de la UE (4,5 GW si se consideran todos los sectores) sin apoyo público. </w:t>
      </w:r>
      <w:bookmarkEnd w:id="21"/>
      <w:r>
        <w:rPr>
          <w:rFonts w:ascii="Times New Roman" w:hAnsi="Times New Roman"/>
          <w:noProof/>
          <w:sz w:val="24"/>
        </w:rPr>
        <w:t xml:space="preserve">En el caso de las </w:t>
      </w:r>
      <w:r>
        <w:rPr>
          <w:rFonts w:ascii="Times New Roman" w:hAnsi="Times New Roman"/>
          <w:b/>
          <w:noProof/>
          <w:sz w:val="24"/>
        </w:rPr>
        <w:t>bombas de calor</w:t>
      </w:r>
      <w:r>
        <w:rPr>
          <w:rFonts w:ascii="Times New Roman" w:hAnsi="Times New Roman"/>
          <w:noProof/>
          <w:sz w:val="24"/>
        </w:rPr>
        <w:t xml:space="preserve">, la inversión total para construir nueva capacidad de producción a lo largo de la cadena de valor anunciada en los últimos cinco meses y prevista para los próximos tres años asciende a casi 5 000 millones EUR. </w:t>
      </w:r>
    </w:p>
    <w:p w14:paraId="170F4FAF" w14:textId="407C94A9" w:rsidR="00595AB8" w:rsidRPr="00C31310" w:rsidRDefault="3CD56AA7" w:rsidP="004875E4">
      <w:pPr>
        <w:jc w:val="both"/>
        <w:rPr>
          <w:rFonts w:ascii="Times New Roman" w:hAnsi="Times New Roman" w:cs="Times New Roman"/>
          <w:noProof/>
          <w:sz w:val="24"/>
          <w:szCs w:val="24"/>
        </w:rPr>
      </w:pPr>
      <w:r>
        <w:rPr>
          <w:rFonts w:ascii="Times New Roman" w:hAnsi="Times New Roman"/>
          <w:noProof/>
          <w:sz w:val="24"/>
        </w:rPr>
        <w:t xml:space="preserve">En cuanto a los </w:t>
      </w:r>
      <w:r>
        <w:rPr>
          <w:rFonts w:ascii="Times New Roman" w:hAnsi="Times New Roman"/>
          <w:b/>
          <w:noProof/>
          <w:sz w:val="24"/>
        </w:rPr>
        <w:t>electrolizadores</w:t>
      </w:r>
      <w:r>
        <w:rPr>
          <w:rFonts w:ascii="Times New Roman" w:hAnsi="Times New Roman"/>
          <w:noProof/>
          <w:sz w:val="24"/>
        </w:rPr>
        <w:t>, ninguna empresa fabrica aún a escala GW en la UE y la tecnología está aún en desarrollo. En Europa han surgido varias fábricas, en particular gracias a las ayudas estatales de los proyectos importantes de interés común europeo, y varias empresas han anunciado planes para ampliar considerablemente sus capacidades de fabricación en Europa.</w:t>
      </w:r>
    </w:p>
    <w:p w14:paraId="2B1DFEFC" w14:textId="2BCBEACC" w:rsidR="00EA1D2A" w:rsidRPr="00C31310" w:rsidRDefault="7DDB440C" w:rsidP="004875E4">
      <w:pPr>
        <w:jc w:val="both"/>
        <w:rPr>
          <w:rFonts w:ascii="Times New Roman" w:hAnsi="Times New Roman" w:cs="Times New Roman"/>
          <w:noProof/>
          <w:sz w:val="24"/>
          <w:szCs w:val="24"/>
        </w:rPr>
      </w:pPr>
      <w:r>
        <w:rPr>
          <w:rFonts w:ascii="Times New Roman" w:hAnsi="Times New Roman"/>
          <w:noProof/>
          <w:sz w:val="24"/>
        </w:rPr>
        <w:t xml:space="preserve">El aumento de la demanda de tecnologías energéticas limpias y la rápida evolución de los acontecimientos geopolíticos han puesto de relieve la dimensión estratégica de las cadenas de valor de las tecnologías energéticas limpias. </w:t>
      </w:r>
      <w:r>
        <w:rPr>
          <w:rFonts w:ascii="Times New Roman" w:hAnsi="Times New Roman"/>
          <w:b/>
          <w:noProof/>
          <w:sz w:val="24"/>
        </w:rPr>
        <w:t>La dependencia de la UE de terceros países hace que sea crucial reforzar la competitividad de su sector de las energías limpias aumentando su capacidad de fabricación nacional, diversificando las cadenas de suministro y reforzando las medidas de circularidad.</w:t>
      </w:r>
      <w:r>
        <w:rPr>
          <w:rFonts w:ascii="Times New Roman" w:hAnsi="Times New Roman"/>
          <w:noProof/>
          <w:sz w:val="24"/>
        </w:rPr>
        <w:t xml:space="preserve"> Sobre la base de proyectos ya en curso, la UE ha presentado una amplia gama de iniciativas e instrumentos para desarrollar y reforzar las cadenas de valor de las tecnologías energéticas limpias de la UE. Conseguirlo será decisivo para reforzar la autonomía estratégica de la UE al tiempo que se apoya la transición hacia un continente neutro en carbono. Esto requerirá una acción coordinada desde diferentes ángulos. Por ejemplo, es esencial garantizar que el sector tenga acceso a una oferta suficiente de trabajadores cualificados. </w:t>
      </w:r>
    </w:p>
    <w:p w14:paraId="1C08B1B0" w14:textId="602DDA92" w:rsidR="004010E0" w:rsidRPr="008907E2" w:rsidRDefault="4227383B" w:rsidP="004D6EE9">
      <w:pPr>
        <w:pStyle w:val="Heading3"/>
        <w:keepLines w:val="0"/>
        <w:numPr>
          <w:ilvl w:val="1"/>
          <w:numId w:val="3"/>
        </w:numPr>
        <w:spacing w:before="0" w:after="240"/>
        <w:rPr>
          <w:rFonts w:ascii="Times New Roman" w:hAnsi="Times New Roman" w:cs="Times New Roman"/>
          <w:b/>
          <w:bCs/>
          <w:noProof/>
          <w:color w:val="auto"/>
        </w:rPr>
      </w:pPr>
      <w:bookmarkStart w:id="22" w:name="_Toc153536058"/>
      <w:r>
        <w:rPr>
          <w:rFonts w:ascii="Times New Roman" w:hAnsi="Times New Roman"/>
          <w:b/>
          <w:noProof/>
          <w:color w:val="auto"/>
        </w:rPr>
        <w:t>Capital humano y capacidades: suplir las carencias y la escasez de capacidades para evitar cuellos de botella</w:t>
      </w:r>
      <w:bookmarkEnd w:id="22"/>
      <w:r>
        <w:rPr>
          <w:rFonts w:ascii="Times New Roman" w:hAnsi="Times New Roman"/>
          <w:b/>
          <w:noProof/>
          <w:color w:val="auto"/>
        </w:rPr>
        <w:t xml:space="preserve"> </w:t>
      </w:r>
    </w:p>
    <w:p w14:paraId="652C29CC" w14:textId="580D009F" w:rsidR="00430F1F" w:rsidRPr="005A663D" w:rsidRDefault="13B4E4E2" w:rsidP="50FDEB92">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noProof/>
          <w:sz w:val="24"/>
        </w:rPr>
        <w:t xml:space="preserve">Los últimos datos sobre empleo y capacidades en todo el mundo muestran que, a pesar de la tendencia positiva de la tasa de empleo, </w:t>
      </w:r>
      <w:r>
        <w:rPr>
          <w:rFonts w:ascii="Times New Roman" w:hAnsi="Times New Roman"/>
          <w:b/>
          <w:noProof/>
          <w:sz w:val="24"/>
        </w:rPr>
        <w:t>las carencias y la escasez de capacidades observadas desde 2021 pueden frenar el crecimiento del sector de las energías limpias</w:t>
      </w:r>
      <w:r>
        <w:rPr>
          <w:rFonts w:ascii="Times New Roman" w:hAnsi="Times New Roman"/>
          <w:noProof/>
          <w:sz w:val="24"/>
        </w:rPr>
        <w:t>.</w:t>
      </w:r>
    </w:p>
    <w:p w14:paraId="1DB10902" w14:textId="266516DB" w:rsidR="00D35E24" w:rsidRPr="00C31310" w:rsidRDefault="714E36A8" w:rsidP="00641B6D">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En la UE, el empleo en el sector de las energías renovables alcanzó los 1,5 millones en 2021, un aumento del 12 % con respecto a 2020</w:t>
      </w:r>
      <w:r w:rsidR="00B62ACF" w:rsidRPr="00C31310">
        <w:rPr>
          <w:rFonts w:ascii="Times New Roman" w:eastAsia="Times New Roman" w:hAnsi="Times New Roman" w:cs="Times New Roman"/>
          <w:noProof/>
          <w:sz w:val="24"/>
          <w:szCs w:val="24"/>
          <w:vertAlign w:val="superscript"/>
          <w:lang w:val="en-GB"/>
        </w:rPr>
        <w:footnoteReference w:id="60"/>
      </w:r>
      <w:r>
        <w:rPr>
          <w:rFonts w:ascii="Times New Roman" w:hAnsi="Times New Roman"/>
          <w:noProof/>
          <w:sz w:val="24"/>
        </w:rPr>
        <w:t xml:space="preserve">, superando el crecimiento del empleo en el conjunto de la economía por un margen considerable (0,6 %) y representando un notable aumento tras el estancamiento del empleo entre 2015 y 2020. </w:t>
      </w:r>
    </w:p>
    <w:p w14:paraId="5D2F0D88" w14:textId="387ED454" w:rsidR="00106E66" w:rsidRPr="00C31310" w:rsidRDefault="6B638A10" w:rsidP="00106E66">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El crecimiento registrado en el empleo en el sector de las energías renovables de la UE en 2021 estuvo impulsado principalmente por las bombas de calor y los biocombustibles sólidos. Desde 2020, el sector de las bombas de calor ha sido el mayor empleador (26 % de los puestos de trabajo en 2021), seguido de los biocombustibles sólidos</w:t>
      </w:r>
      <w:r w:rsidR="008D0D62" w:rsidRPr="63F4BF1F">
        <w:rPr>
          <w:rStyle w:val="FootnoteReference"/>
          <w:rFonts w:ascii="Times New Roman" w:eastAsia="Times New Roman" w:hAnsi="Times New Roman" w:cs="Times New Roman"/>
          <w:noProof/>
          <w:sz w:val="24"/>
          <w:szCs w:val="24"/>
          <w:lang w:val="en-GB"/>
        </w:rPr>
        <w:footnoteReference w:id="61"/>
      </w:r>
      <w:r>
        <w:rPr>
          <w:rFonts w:ascii="Times New Roman" w:hAnsi="Times New Roman"/>
          <w:noProof/>
          <w:sz w:val="24"/>
        </w:rPr>
        <w:t xml:space="preserve">. En 2021, los puestos de trabajo en el sector de la energía solar fotovoltaica crecieron un 35 % con respecto a los valores de 2020 y se convirtió en el tercer sector más grande, superando a la industria eólica. </w:t>
      </w:r>
    </w:p>
    <w:p w14:paraId="29BBAB05" w14:textId="3E06818A" w:rsidR="2EF4437C" w:rsidRPr="00C31310" w:rsidRDefault="50AE70C3" w:rsidP="3E932E6D">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 espera que esta tendencia positiva continúe, respaldada por las prioridades políticas de la UE en materia de despliegue y fabricación de energías limpias. Para cumplir los objetivos de REPowerEU para 2030,</w:t>
      </w:r>
      <w:r>
        <w:rPr>
          <w:rFonts w:ascii="Times New Roman" w:hAnsi="Times New Roman"/>
          <w:b/>
          <w:noProof/>
          <w:sz w:val="24"/>
        </w:rPr>
        <w:t xml:space="preserve"> se necesitarán más trabajadores para desplegar tecnologías energéticas limpias</w:t>
      </w:r>
      <w:r>
        <w:rPr>
          <w:rFonts w:ascii="Times New Roman" w:hAnsi="Times New Roman"/>
          <w:noProof/>
          <w:sz w:val="24"/>
        </w:rPr>
        <w:t xml:space="preserve"> y solo la eólica y la solar podrían generar 100 000 puestos de trabajo adicionales en la UE</w:t>
      </w:r>
      <w:r w:rsidR="57391AEA" w:rsidRPr="00C31310">
        <w:rPr>
          <w:rFonts w:ascii="Times New Roman" w:eastAsia="Times New Roman" w:hAnsi="Times New Roman" w:cs="Times New Roman"/>
          <w:noProof/>
          <w:sz w:val="24"/>
          <w:szCs w:val="24"/>
          <w:vertAlign w:val="superscript"/>
          <w:lang w:val="en-GB"/>
        </w:rPr>
        <w:footnoteReference w:id="62"/>
      </w:r>
      <w:r>
        <w:rPr>
          <w:rFonts w:ascii="Times New Roman" w:hAnsi="Times New Roman"/>
          <w:noProof/>
          <w:sz w:val="24"/>
        </w:rPr>
        <w:t>. Teniendo en cuenta todos los sectores de las energías renovables, la consecución de los objetivos de REPowerEU requerirá la creación de más de 3,5 millones de puestos de trabajo de aquí a 2030</w:t>
      </w:r>
      <w:r w:rsidR="00947B85">
        <w:rPr>
          <w:rStyle w:val="FootnoteReference"/>
          <w:rFonts w:ascii="Times New Roman" w:eastAsia="Times New Roman" w:hAnsi="Times New Roman" w:cs="Times New Roman"/>
          <w:noProof/>
          <w:sz w:val="24"/>
          <w:szCs w:val="24"/>
          <w:lang w:val="en-GB"/>
        </w:rPr>
        <w:footnoteReference w:id="63"/>
      </w:r>
      <w:r>
        <w:rPr>
          <w:rFonts w:ascii="Times New Roman" w:hAnsi="Times New Roman"/>
          <w:noProof/>
          <w:sz w:val="24"/>
        </w:rPr>
        <w:t>. Por lo que respecta a la industria manufacturera, los escenarios de la NZIA estiman entre 198 000 y 468 000 nuevos puestos de trabajo y entre 1 700 y 4 100 millones EUR en necesidades de inversión para el reciclaje, la readaptación y el perfeccionamiento profesionales</w:t>
      </w:r>
      <w:r w:rsidRPr="00C31310">
        <w:rPr>
          <w:rStyle w:val="FootnoteReference"/>
          <w:rFonts w:ascii="Times New Roman" w:eastAsia="Times New Roman" w:hAnsi="Times New Roman" w:cs="Times New Roman"/>
          <w:noProof/>
          <w:sz w:val="24"/>
          <w:szCs w:val="24"/>
          <w:lang w:val="en-GB"/>
        </w:rPr>
        <w:footnoteReference w:id="64"/>
      </w:r>
      <w:r>
        <w:rPr>
          <w:rFonts w:ascii="Times New Roman" w:hAnsi="Times New Roman"/>
          <w:noProof/>
          <w:sz w:val="24"/>
        </w:rPr>
        <w:t>. Por último, se calcula que entre 3 y 4 millones de trabajadores de la construcción en la UE necesitarían desarrollar sus capacidades en materia de eficiencia energética en el sector de la construcción</w:t>
      </w:r>
      <w:r w:rsidR="00296867">
        <w:rPr>
          <w:rStyle w:val="FootnoteReference"/>
          <w:rFonts w:ascii="Times New Roman" w:eastAsia="Times New Roman" w:hAnsi="Times New Roman" w:cs="Times New Roman"/>
          <w:noProof/>
          <w:sz w:val="24"/>
          <w:szCs w:val="24"/>
          <w:lang w:val="en-GB"/>
        </w:rPr>
        <w:footnoteReference w:id="65"/>
      </w:r>
      <w:r>
        <w:rPr>
          <w:rFonts w:ascii="Times New Roman" w:hAnsi="Times New Roman"/>
          <w:noProof/>
          <w:sz w:val="24"/>
        </w:rPr>
        <w:t xml:space="preserve">. </w:t>
      </w:r>
    </w:p>
    <w:p w14:paraId="514E970A" w14:textId="75B5B0DB" w:rsidR="00565065" w:rsidRPr="00C31310" w:rsidRDefault="1B28CD77" w:rsidP="6956006A">
      <w:pPr>
        <w:spacing w:before="120" w:after="120" w:line="257" w:lineRule="auto"/>
        <w:jc w:val="both"/>
        <w:rPr>
          <w:noProof/>
        </w:rPr>
      </w:pPr>
      <w:r>
        <w:rPr>
          <w:rFonts w:ascii="Times New Roman" w:hAnsi="Times New Roman"/>
          <w:noProof/>
          <w:sz w:val="24"/>
        </w:rPr>
        <w:t xml:space="preserve">Sin embargo, la industria de la UE en su conjunto y la fabricación de energías limpias en particular han experimentado un aumento de la </w:t>
      </w:r>
      <w:r>
        <w:rPr>
          <w:rFonts w:ascii="Times New Roman" w:hAnsi="Times New Roman"/>
          <w:b/>
          <w:noProof/>
          <w:sz w:val="24"/>
        </w:rPr>
        <w:t>escasez de mano de obra</w:t>
      </w:r>
      <w:r>
        <w:rPr>
          <w:rFonts w:ascii="Times New Roman" w:hAnsi="Times New Roman"/>
          <w:noProof/>
          <w:sz w:val="24"/>
        </w:rPr>
        <w:t xml:space="preserve"> desde 2021. Esto se debe principalmente a que la demanda aumenta más rápido que la oferta de trabajadores cualificados, lo que se evidencia en que la tasa de vacantes de empleo se duplicó en 2019-2023. </w:t>
      </w:r>
    </w:p>
    <w:p w14:paraId="6A2EDCD3" w14:textId="5B1693B3" w:rsidR="00565065" w:rsidRPr="00C31310" w:rsidRDefault="4D62FA13" w:rsidP="3BC8B54C">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En el tercer trimestre de 2023, la escasez de mano de obra en los segmentos de fabricación del sector de las energías renovables seguía siendo elevada, tal como se indicaba en la edición de 2022 del Informe de situación en materia de competitividad, con un 25 % de las empresas de la UE dedicadas a la fabricación de equipos eléctricos</w:t>
      </w:r>
      <w:r w:rsidR="008B6B35" w:rsidRPr="00C31310">
        <w:rPr>
          <w:rFonts w:ascii="Times New Roman" w:eastAsia="Times New Roman" w:hAnsi="Times New Roman" w:cs="Times New Roman"/>
          <w:noProof/>
          <w:sz w:val="24"/>
          <w:szCs w:val="24"/>
          <w:vertAlign w:val="superscript"/>
          <w:lang w:val="en-GB"/>
        </w:rPr>
        <w:footnoteReference w:id="66"/>
      </w:r>
      <w:r>
        <w:rPr>
          <w:rFonts w:ascii="Times New Roman" w:hAnsi="Times New Roman"/>
          <w:noProof/>
          <w:sz w:val="24"/>
        </w:rPr>
        <w:t xml:space="preserve"> con escasez de mano de obra. El sector de la energía es uno de los sectores que ha experimentado una persistente escasez de mano de obra durante diez años en algunas ocupaciones, como los instaladores y reparadores de equipos eléctricos, y es también uno de los sectores más afectados por el envejecimiento de la mano de obra</w:t>
      </w:r>
      <w:r w:rsidR="00641B6D" w:rsidRPr="00C31310">
        <w:rPr>
          <w:rStyle w:val="FootnoteReference"/>
          <w:rFonts w:ascii="Times New Roman" w:eastAsia="Times New Roman" w:hAnsi="Times New Roman" w:cs="Times New Roman"/>
          <w:noProof/>
          <w:sz w:val="24"/>
          <w:szCs w:val="24"/>
          <w:lang w:val="en-GB" w:eastAsia="en-GB"/>
        </w:rPr>
        <w:footnoteReference w:id="67"/>
      </w:r>
      <w:r>
        <w:rPr>
          <w:rFonts w:ascii="Times New Roman" w:hAnsi="Times New Roman"/>
          <w:noProof/>
          <w:sz w:val="24"/>
        </w:rPr>
        <w:t>, lo que agrava la escasez estructural de mano de obra.</w:t>
      </w:r>
    </w:p>
    <w:p w14:paraId="01411F21" w14:textId="0C76F225" w:rsidR="00B748C9" w:rsidRPr="00C31310" w:rsidRDefault="6DF6EE86" w:rsidP="46CDC957">
      <w:pPr>
        <w:spacing w:before="120" w:after="120" w:line="240" w:lineRule="auto"/>
        <w:jc w:val="both"/>
        <w:rPr>
          <w:rFonts w:ascii="Times New Roman" w:eastAsia="Times New Roman" w:hAnsi="Times New Roman" w:cs="Times New Roman"/>
          <w:noProof/>
          <w:color w:val="2B579A"/>
          <w:sz w:val="24"/>
          <w:szCs w:val="24"/>
        </w:rPr>
      </w:pPr>
      <w:r>
        <w:rPr>
          <w:rFonts w:ascii="Times New Roman" w:hAnsi="Times New Roman"/>
          <w:b/>
          <w:noProof/>
          <w:sz w:val="24"/>
        </w:rPr>
        <w:t>Tanto la necesidad de capacidades como la de mano de obra</w:t>
      </w:r>
      <w:r>
        <w:rPr>
          <w:rFonts w:ascii="Times New Roman" w:hAnsi="Times New Roman"/>
          <w:noProof/>
          <w:sz w:val="24"/>
        </w:rPr>
        <w:t xml:space="preserve"> pueden ser un obstáculo para el crecimiento, sobre todo en sectores en los que existe un alto grado de especialización</w:t>
      </w:r>
      <w:r w:rsidR="00871D26" w:rsidRPr="00C31310">
        <w:rPr>
          <w:rStyle w:val="FootnoteReference"/>
          <w:rFonts w:ascii="Times New Roman" w:eastAsia="Times New Roman" w:hAnsi="Times New Roman" w:cs="Times New Roman"/>
          <w:noProof/>
          <w:sz w:val="24"/>
          <w:szCs w:val="24"/>
          <w:lang w:val="en-GB"/>
        </w:rPr>
        <w:footnoteReference w:id="68"/>
      </w:r>
      <w:r>
        <w:rPr>
          <w:rFonts w:ascii="Times New Roman" w:hAnsi="Times New Roman"/>
          <w:noProof/>
          <w:sz w:val="24"/>
        </w:rPr>
        <w:t>. La energía y la industria manufacturera se encuentran entre los sectores con mayores necesidades de reciclaje y perfeccionamiento profesional en términos de capacidades técnicas y específicas de cada trabajo, con más de la mitad de la mano de obra necesitada de perfeccionamiento profesional</w:t>
      </w:r>
      <w:r w:rsidR="001278BA" w:rsidRPr="00C31310">
        <w:rPr>
          <w:rStyle w:val="FootnoteReference"/>
          <w:rFonts w:ascii="Times New Roman" w:eastAsia="Times New Roman" w:hAnsi="Times New Roman" w:cs="Times New Roman"/>
          <w:noProof/>
          <w:sz w:val="24"/>
          <w:szCs w:val="24"/>
          <w:lang w:val="en-GB"/>
        </w:rPr>
        <w:footnoteReference w:id="69"/>
      </w:r>
      <w:r>
        <w:rPr>
          <w:rFonts w:ascii="Times New Roman" w:hAnsi="Times New Roman"/>
          <w:noProof/>
          <w:sz w:val="24"/>
        </w:rPr>
        <w:t>. Tres cuartas partes de las empresas de la industria de la UE ya tenían dificultades para encontrar trabajadores con las capacidades que necesitaban en 2019</w:t>
      </w:r>
      <w:r w:rsidR="00F91C9B" w:rsidRPr="008907E2">
        <w:rPr>
          <w:rStyle w:val="FootnoteReference"/>
          <w:rFonts w:ascii="Times New Roman" w:eastAsia="Times New Roman" w:hAnsi="Times New Roman" w:cs="Times New Roman"/>
          <w:noProof/>
          <w:sz w:val="24"/>
          <w:szCs w:val="24"/>
          <w:lang w:val="en-GB" w:eastAsia="en-GB"/>
        </w:rPr>
        <w:footnoteReference w:id="70"/>
      </w:r>
      <w:r>
        <w:rPr>
          <w:rFonts w:ascii="Times New Roman" w:hAnsi="Times New Roman"/>
          <w:noProof/>
          <w:sz w:val="24"/>
        </w:rPr>
        <w:t>. En 2023, casi 4 de cada 5 pequeñas y medianas empresas afirman que, en general, les resulta difícil encontrar trabajadores con las capacidades adecuadas</w:t>
      </w:r>
      <w:r w:rsidR="00F91C9B" w:rsidRPr="008907E2">
        <w:rPr>
          <w:rStyle w:val="FootnoteReference"/>
          <w:rFonts w:ascii="Times New Roman" w:eastAsia="Times New Roman" w:hAnsi="Times New Roman" w:cs="Times New Roman"/>
          <w:noProof/>
          <w:sz w:val="24"/>
          <w:szCs w:val="24"/>
          <w:lang w:val="en-GB" w:eastAsia="en-GB"/>
        </w:rPr>
        <w:footnoteReference w:id="71"/>
      </w:r>
      <w:r>
        <w:rPr>
          <w:rFonts w:ascii="Times New Roman" w:hAnsi="Times New Roman"/>
          <w:noProof/>
          <w:sz w:val="24"/>
        </w:rPr>
        <w:t>.</w:t>
      </w:r>
    </w:p>
    <w:p w14:paraId="69442BA6" w14:textId="41C13149" w:rsidR="00E408D8" w:rsidRPr="00C31310" w:rsidRDefault="5A320414" w:rsidP="002F42D8">
      <w:pPr>
        <w:spacing w:before="120" w:after="120" w:line="257" w:lineRule="auto"/>
        <w:jc w:val="both"/>
        <w:rPr>
          <w:rFonts w:ascii="Times New Roman" w:eastAsia="Times New Roman" w:hAnsi="Times New Roman" w:cs="Times New Roman"/>
          <w:noProof/>
          <w:sz w:val="24"/>
          <w:szCs w:val="24"/>
        </w:rPr>
      </w:pPr>
      <w:r>
        <w:rPr>
          <w:rFonts w:ascii="Times New Roman" w:hAnsi="Times New Roman"/>
          <w:noProof/>
          <w:sz w:val="24"/>
        </w:rPr>
        <w:t>Las políticas en materia de capacidades, las condiciones de trabajo y las políticas de movilidad y migración, junto con acciones para ayudar a las personas a incorporarse al mercado laboral</w:t>
      </w:r>
      <w:r w:rsidR="00E96E52" w:rsidRPr="00C31310">
        <w:rPr>
          <w:rStyle w:val="FootnoteReference"/>
          <w:rFonts w:ascii="Times New Roman" w:eastAsia="Times New Roman" w:hAnsi="Times New Roman" w:cs="Times New Roman"/>
          <w:noProof/>
          <w:sz w:val="24"/>
          <w:szCs w:val="24"/>
          <w:lang w:val="en-GB" w:eastAsia="en-GB"/>
        </w:rPr>
        <w:footnoteReference w:id="72"/>
      </w:r>
      <w:r>
        <w:rPr>
          <w:rFonts w:ascii="Times New Roman" w:hAnsi="Times New Roman"/>
          <w:noProof/>
          <w:sz w:val="24"/>
        </w:rPr>
        <w:t>, son fundamentales para hacer frente a esta escasez. 2023 fue el Año Europeo de la Competencias. El presupuesto de la UE</w:t>
      </w:r>
      <w:r w:rsidR="009C7940" w:rsidRPr="00C31310">
        <w:rPr>
          <w:noProof/>
          <w:vertAlign w:val="superscript"/>
          <w:lang w:val="en-GB" w:eastAsia="en-IE"/>
        </w:rPr>
        <w:footnoteReference w:id="73"/>
      </w:r>
      <w:r>
        <w:rPr>
          <w:rFonts w:ascii="Times New Roman" w:hAnsi="Times New Roman"/>
          <w:noProof/>
          <w:sz w:val="24"/>
        </w:rPr>
        <w:t xml:space="preserve"> desempeña un papel fundamental en el fomento del desarrollo de capacidades, lo que incluye el perfeccionamiento y reciclaje profesional. Además de las iniciativas políticas intersectoriales</w:t>
      </w:r>
      <w:r w:rsidR="00F91195" w:rsidRPr="00C31310">
        <w:rPr>
          <w:rStyle w:val="FootnoteReference"/>
          <w:rFonts w:ascii="Times New Roman" w:eastAsia="Times New Roman" w:hAnsi="Times New Roman" w:cs="Times New Roman"/>
          <w:noProof/>
          <w:sz w:val="24"/>
          <w:szCs w:val="24"/>
          <w:lang w:val="en-GB" w:eastAsia="en-IE"/>
        </w:rPr>
        <w:footnoteReference w:id="74"/>
      </w:r>
      <w:r>
        <w:rPr>
          <w:rFonts w:ascii="Times New Roman" w:hAnsi="Times New Roman"/>
          <w:noProof/>
          <w:sz w:val="24"/>
        </w:rPr>
        <w:t xml:space="preserve">, la UE ha presentado una serie de medidas específicas para acelerar el desarrollo de capacidades en la transición ecológica y, en particular, en el sector de las energías limpias. Estas iniciativas incluyen el apoyo a la </w:t>
      </w:r>
      <w:r>
        <w:rPr>
          <w:rFonts w:ascii="Times New Roman" w:hAnsi="Times New Roman"/>
          <w:i/>
          <w:noProof/>
          <w:sz w:val="24"/>
        </w:rPr>
        <w:t>asociación a gran escala en materia de capacidades</w:t>
      </w:r>
      <w:r>
        <w:rPr>
          <w:rFonts w:ascii="Times New Roman" w:hAnsi="Times New Roman"/>
          <w:noProof/>
          <w:sz w:val="24"/>
        </w:rPr>
        <w:t xml:space="preserve"> para el ecosistema industrial de energías renovables</w:t>
      </w:r>
      <w:r w:rsidR="00F27E05" w:rsidRPr="00C31310">
        <w:rPr>
          <w:rStyle w:val="FootnoteReference"/>
          <w:rFonts w:ascii="Times New Roman" w:eastAsia="Times New Roman" w:hAnsi="Times New Roman" w:cs="Times New Roman"/>
          <w:noProof/>
          <w:sz w:val="24"/>
          <w:szCs w:val="24"/>
          <w:lang w:val="en-GB" w:eastAsia="en-GB"/>
        </w:rPr>
        <w:footnoteReference w:id="75"/>
      </w:r>
      <w:r>
        <w:rPr>
          <w:rFonts w:ascii="Times New Roman" w:hAnsi="Times New Roman"/>
          <w:noProof/>
          <w:sz w:val="24"/>
        </w:rPr>
        <w:t>, puesta en marcha en marzo de 2023, y la NZIA, que propone impulsar las capacidades para las tecnologías de cero emisiones netas mediante el establecimiento de programas de formación específicos para la transición ecológica (por ejemplo, sobre materias primas, hidrógeno, bombas de calor y tecnologías solares). La Comisión también está estudiando el avance de las capacidades en el marco del próximo plan de acción sobre bombas de calor.</w:t>
      </w:r>
    </w:p>
    <w:p w14:paraId="4388DDE4" w14:textId="1DA09AAF" w:rsidR="37C34667" w:rsidRPr="00C31310" w:rsidRDefault="4C897808" w:rsidP="5C0044E6">
      <w:pPr>
        <w:spacing w:before="120" w:after="12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Como se ha mencionado anteriormente, </w:t>
      </w:r>
      <w:r>
        <w:rPr>
          <w:rFonts w:ascii="Times New Roman" w:hAnsi="Times New Roman"/>
          <w:b/>
          <w:noProof/>
          <w:sz w:val="24"/>
        </w:rPr>
        <w:t>las políticas de activación laboral también pueden ayudar a abordar la escasez de capacidades y mano de obra en el sector, incluida la infrarrepresentación de las mujeres.</w:t>
      </w:r>
      <w:r>
        <w:rPr>
          <w:rFonts w:ascii="Times New Roman" w:hAnsi="Times New Roman"/>
          <w:noProof/>
          <w:sz w:val="24"/>
        </w:rPr>
        <w:t xml:space="preserve"> El </w:t>
      </w:r>
      <w:r>
        <w:rPr>
          <w:rFonts w:ascii="Times New Roman" w:hAnsi="Times New Roman"/>
          <w:b/>
          <w:noProof/>
          <w:sz w:val="24"/>
        </w:rPr>
        <w:t>desequilibrio de género</w:t>
      </w:r>
      <w:r>
        <w:rPr>
          <w:rFonts w:ascii="Times New Roman" w:hAnsi="Times New Roman"/>
          <w:noProof/>
          <w:sz w:val="24"/>
        </w:rPr>
        <w:t xml:space="preserve"> en la mano de obra del sector energético de la UE es considerable. Solo el 26,6 % de las mujeres trabajan en el sector del suministro de electricidad, gas, vapor y aire acondicionado en 2022, aunque varía de un Estado miembro a otro (34 % en Portugal y 14,5 % en Croacia).</w:t>
      </w:r>
      <w:r>
        <w:rPr>
          <w:noProof/>
        </w:rPr>
        <w:t xml:space="preserve"> </w:t>
      </w:r>
      <w:r>
        <w:rPr>
          <w:rFonts w:ascii="Times New Roman" w:hAnsi="Times New Roman"/>
          <w:noProof/>
          <w:sz w:val="24"/>
        </w:rPr>
        <w:t xml:space="preserve">La fabricación de energía solar fotovoltaica tiene el mayor porcentaje de mujeres empleadas en el sector de las energías renovables, con una cuota del 47 %, mientras que solo el 21 % de la mano de obra de la industria eólica mundial son mujeres. Las políticas, incluidas las relativas a las capacidades, destinadas a fomentar la participación de las mujeres en estos puestos de trabajo pueden contribuir a aumentar la reserva de talentos que es esencial para su crecimiento y competitividad futuros. </w:t>
      </w:r>
    </w:p>
    <w:p w14:paraId="2C47BF3E" w14:textId="229D439E" w:rsidR="008758DE" w:rsidRPr="008907E2" w:rsidRDefault="54C1D1D7" w:rsidP="00957821">
      <w:pPr>
        <w:pStyle w:val="Heading3"/>
        <w:keepLines w:val="0"/>
        <w:numPr>
          <w:ilvl w:val="1"/>
          <w:numId w:val="3"/>
        </w:numPr>
        <w:spacing w:before="0" w:after="240"/>
        <w:rPr>
          <w:rFonts w:ascii="Times New Roman" w:hAnsi="Times New Roman" w:cs="Times New Roman"/>
          <w:b/>
          <w:bCs/>
          <w:noProof/>
          <w:color w:val="auto"/>
        </w:rPr>
      </w:pPr>
      <w:bookmarkStart w:id="26" w:name="_Toc153536059"/>
      <w:r>
        <w:rPr>
          <w:rFonts w:ascii="Times New Roman" w:hAnsi="Times New Roman"/>
          <w:b/>
          <w:noProof/>
          <w:color w:val="auto"/>
        </w:rPr>
        <w:t>De la investigación e innovación a la implantación en el mercado: trazar un camino de éxito para la UE</w:t>
      </w:r>
      <w:bookmarkEnd w:id="26"/>
    </w:p>
    <w:p w14:paraId="498599A4" w14:textId="402CC344" w:rsidR="000D1537" w:rsidRPr="00C31310" w:rsidRDefault="79409F97" w:rsidP="00267A44">
      <w:pPr>
        <w:jc w:val="both"/>
        <w:rPr>
          <w:rFonts w:ascii="Times New Roman" w:eastAsia="Times New Roman" w:hAnsi="Times New Roman" w:cs="Times New Roman"/>
          <w:noProof/>
          <w:sz w:val="24"/>
          <w:szCs w:val="24"/>
        </w:rPr>
      </w:pPr>
      <w:r>
        <w:rPr>
          <w:rFonts w:ascii="Times New Roman" w:hAnsi="Times New Roman"/>
          <w:noProof/>
          <w:sz w:val="24"/>
        </w:rPr>
        <w:t xml:space="preserve">La investigación y la innovación (I+i) son fundamentales para desarrollar soluciones energéticas limpias que funcionen mejor y sean más baratas. </w:t>
      </w:r>
    </w:p>
    <w:p w14:paraId="4E1A9ECC" w14:textId="31C40052" w:rsidR="0063152E" w:rsidRDefault="7107AFB9" w:rsidP="00482350">
      <w:pPr>
        <w:jc w:val="both"/>
        <w:rPr>
          <w:rFonts w:ascii="Times New Roman" w:hAnsi="Times New Roman" w:cs="Times New Roman"/>
          <w:noProof/>
          <w:sz w:val="24"/>
          <w:szCs w:val="24"/>
        </w:rPr>
      </w:pPr>
      <w:r>
        <w:rPr>
          <w:rFonts w:ascii="Times New Roman" w:hAnsi="Times New Roman"/>
          <w:noProof/>
          <w:sz w:val="24"/>
        </w:rPr>
        <w:t xml:space="preserve">En 2021, el </w:t>
      </w:r>
      <w:r>
        <w:rPr>
          <w:rFonts w:ascii="Times New Roman" w:hAnsi="Times New Roman"/>
          <w:b/>
          <w:noProof/>
          <w:sz w:val="24"/>
        </w:rPr>
        <w:t>gasto público en I+i</w:t>
      </w:r>
      <w:r>
        <w:rPr>
          <w:rFonts w:ascii="Times New Roman" w:hAnsi="Times New Roman"/>
          <w:noProof/>
          <w:sz w:val="24"/>
        </w:rPr>
        <w:t xml:space="preserve"> en las prioridades de la Unión de la Energía</w:t>
      </w:r>
      <w:r w:rsidR="00155028" w:rsidRPr="00C31310">
        <w:rPr>
          <w:rStyle w:val="FootnoteReference"/>
          <w:rFonts w:ascii="Times New Roman" w:hAnsi="Times New Roman" w:cs="Times New Roman"/>
          <w:noProof/>
          <w:sz w:val="24"/>
          <w:szCs w:val="24"/>
          <w:lang w:val="en-GB"/>
        </w:rPr>
        <w:footnoteReference w:id="76"/>
      </w:r>
      <w:r>
        <w:rPr>
          <w:rFonts w:ascii="Times New Roman" w:hAnsi="Times New Roman"/>
          <w:noProof/>
          <w:sz w:val="24"/>
        </w:rPr>
        <w:t xml:space="preserve"> fue —a precios corrientes— superior al de hace una década. Sin embargo, como porcentaje del PIB, el gasto en I+i del sector público en las prioridades de la Unión de la Energía, tanto a escala nacional como de la UE, se mantuvo por debajo de los niveles gastados antes de 2016. En las demás grandes economías también se observó la misma tendencia (</w:t>
      </w:r>
      <w:r w:rsidR="00F75FF5" w:rsidRPr="00C31310">
        <w:rPr>
          <w:rFonts w:ascii="Times New Roman" w:hAnsi="Times New Roman" w:cs="Times New Roman"/>
          <w:noProof/>
          <w:color w:val="2B579A"/>
          <w:sz w:val="24"/>
          <w:shd w:val="clear" w:color="auto" w:fill="E6E6E6"/>
        </w:rPr>
        <w:fldChar w:fldCharType="begin"/>
      </w:r>
      <w:r w:rsidR="00F75FF5" w:rsidRPr="00C31310">
        <w:rPr>
          <w:rFonts w:ascii="Times New Roman" w:hAnsi="Times New Roman" w:cs="Times New Roman"/>
          <w:noProof/>
          <w:sz w:val="24"/>
        </w:rPr>
        <w:instrText xml:space="preserve"> REF _Ref142307202 \h  \* MERGEFORMAT </w:instrText>
      </w:r>
      <w:r w:rsidR="00F75FF5" w:rsidRPr="00C31310">
        <w:rPr>
          <w:rFonts w:ascii="Times New Roman" w:hAnsi="Times New Roman" w:cs="Times New Roman"/>
          <w:noProof/>
          <w:color w:val="2B579A"/>
          <w:sz w:val="24"/>
          <w:shd w:val="clear" w:color="auto" w:fill="E6E6E6"/>
        </w:rPr>
      </w:r>
      <w:r w:rsidR="00F75FF5" w:rsidRPr="00C31310">
        <w:rPr>
          <w:rFonts w:ascii="Times New Roman" w:hAnsi="Times New Roman" w:cs="Times New Roman"/>
          <w:noProof/>
          <w:color w:val="2B579A"/>
          <w:sz w:val="24"/>
          <w:shd w:val="clear" w:color="auto" w:fill="E6E6E6"/>
        </w:rPr>
        <w:fldChar w:fldCharType="separate"/>
      </w:r>
      <w:r w:rsidR="001F57D7" w:rsidRPr="001F57D7">
        <w:rPr>
          <w:rFonts w:ascii="Times New Roman" w:hAnsi="Times New Roman" w:cs="Times New Roman"/>
          <w:noProof/>
          <w:sz w:val="24"/>
        </w:rPr>
        <w:t>Figure 2</w:t>
      </w:r>
      <w:r w:rsidR="00F75FF5" w:rsidRPr="00C31310">
        <w:rPr>
          <w:rFonts w:ascii="Times New Roman" w:hAnsi="Times New Roman" w:cs="Times New Roman"/>
          <w:noProof/>
          <w:color w:val="2B579A"/>
          <w:sz w:val="24"/>
          <w:shd w:val="clear" w:color="auto" w:fill="E6E6E6"/>
        </w:rPr>
        <w:fldChar w:fldCharType="end"/>
      </w:r>
      <w:r>
        <w:rPr>
          <w:rFonts w:ascii="Times New Roman" w:hAnsi="Times New Roman"/>
          <w:noProof/>
          <w:sz w:val="24"/>
        </w:rPr>
        <w:t xml:space="preserve">). </w:t>
      </w:r>
    </w:p>
    <w:p w14:paraId="4E22ED1B" w14:textId="08B61A22" w:rsidR="0043443E" w:rsidRPr="00C31310" w:rsidRDefault="76A0EE4A" w:rsidP="00482350">
      <w:pPr>
        <w:jc w:val="both"/>
        <w:rPr>
          <w:rFonts w:ascii="Times New Roman" w:hAnsi="Times New Roman" w:cs="Times New Roman"/>
          <w:noProof/>
          <w:sz w:val="24"/>
          <w:szCs w:val="24"/>
        </w:rPr>
      </w:pPr>
      <w:bookmarkStart w:id="27" w:name="_Hlk147910713"/>
      <w:r>
        <w:rPr>
          <w:rFonts w:ascii="Times New Roman" w:hAnsi="Times New Roman"/>
          <w:noProof/>
          <w:sz w:val="24"/>
        </w:rPr>
        <w:t>Más de la mitad de los Estados miembros de la UE que proporcionan datos</w:t>
      </w:r>
      <w:r w:rsidR="00F75FF5" w:rsidRPr="00C31310">
        <w:rPr>
          <w:rStyle w:val="FootnoteReference"/>
          <w:rFonts w:ascii="Times New Roman" w:hAnsi="Times New Roman" w:cs="Times New Roman"/>
          <w:noProof/>
          <w:sz w:val="24"/>
          <w:szCs w:val="24"/>
          <w:lang w:val="en-GB"/>
        </w:rPr>
        <w:footnoteReference w:id="77"/>
      </w:r>
      <w:r>
        <w:rPr>
          <w:rFonts w:ascii="Times New Roman" w:hAnsi="Times New Roman"/>
          <w:noProof/>
          <w:sz w:val="24"/>
        </w:rPr>
        <w:t xml:space="preserve"> aumentaron su inversión pública en I+i en las prioridades de la Unión de la Energía en 2021 en comparación con 2020, con 5 400 millones EUR notificados hasta la fecha</w:t>
      </w:r>
      <w:r w:rsidR="0043443E" w:rsidRPr="00C31310">
        <w:rPr>
          <w:rStyle w:val="FootnoteReference"/>
          <w:rFonts w:ascii="Times New Roman" w:hAnsi="Times New Roman" w:cs="Times New Roman"/>
          <w:noProof/>
          <w:sz w:val="24"/>
          <w:szCs w:val="24"/>
          <w:lang w:val="en-GB"/>
        </w:rPr>
        <w:footnoteReference w:id="78"/>
      </w:r>
      <w:r>
        <w:rPr>
          <w:rFonts w:ascii="Times New Roman" w:hAnsi="Times New Roman"/>
          <w:noProof/>
          <w:sz w:val="24"/>
        </w:rPr>
        <w:t>.</w:t>
      </w:r>
    </w:p>
    <w:p w14:paraId="70629DC4" w14:textId="55EC04C2" w:rsidR="00AE40F1" w:rsidRPr="00C31310" w:rsidRDefault="000528FC" w:rsidP="08BAB144">
      <w:pPr>
        <w:jc w:val="both"/>
        <w:rPr>
          <w:rFonts w:ascii="Times New Roman" w:hAnsi="Times New Roman" w:cs="Times New Roman"/>
          <w:noProof/>
          <w:sz w:val="24"/>
          <w:szCs w:val="24"/>
        </w:rPr>
      </w:pPr>
      <w:r>
        <w:rPr>
          <w:rFonts w:ascii="Times New Roman" w:hAnsi="Times New Roman"/>
          <w:noProof/>
          <w:sz w:val="24"/>
        </w:rPr>
        <w:t>Desde 2020, Horizonte 2020 y su sucesor, Horizonte Europa, han añadido más de 2 000 millones EUR al año a la financiación de los programas nacionales de los Estados miembros, lo que ha dado un impulso vital a la inversión en I+i. Aunque el nivel de financiación nacional es bajo en comparación con las principales economías, si se tienen en cuenta los fondos de la UE, esta encabezó la clasificación de las principales economías en 2021 en lo que respecta a la inversión en I+i del sector público en las prioridades de la Unión de la Energía en gasto absoluto (8 200 millones EUR</w:t>
      </w:r>
      <w:r w:rsidR="004240F7" w:rsidRPr="00C31310">
        <w:rPr>
          <w:rFonts w:ascii="Times New Roman" w:hAnsi="Times New Roman" w:cs="Times New Roman"/>
          <w:noProof/>
          <w:sz w:val="24"/>
          <w:szCs w:val="24"/>
          <w:vertAlign w:val="superscript"/>
          <w:lang w:val="en-GB"/>
        </w:rPr>
        <w:footnoteReference w:id="79"/>
      </w:r>
      <w:r>
        <w:rPr>
          <w:rFonts w:ascii="Times New Roman" w:hAnsi="Times New Roman"/>
          <w:noProof/>
          <w:sz w:val="24"/>
        </w:rPr>
        <w:t>, por delante de los Estados Unidos, con 7 700 millones EUR), lo que supone una mejora con respecto a 2020</w:t>
      </w:r>
      <w:r w:rsidR="00D37EB7" w:rsidRPr="00C31310">
        <w:rPr>
          <w:rStyle w:val="FootnoteReference"/>
          <w:rFonts w:ascii="Times New Roman" w:hAnsi="Times New Roman" w:cs="Times New Roman"/>
          <w:noProof/>
          <w:sz w:val="24"/>
          <w:szCs w:val="24"/>
          <w:lang w:val="en-GB"/>
        </w:rPr>
        <w:footnoteReference w:id="80"/>
      </w:r>
      <w:r>
        <w:rPr>
          <w:rFonts w:ascii="Times New Roman" w:hAnsi="Times New Roman"/>
          <w:noProof/>
          <w:sz w:val="24"/>
        </w:rPr>
        <w:t>. La UE también ocupó el segundo lugar en porcentaje del PIB (0,056 %, por detrás de Japón, que registró un 0,057 %</w:t>
      </w:r>
      <w:r w:rsidR="00AE40F1" w:rsidRPr="00C31310">
        <w:rPr>
          <w:rFonts w:ascii="Times New Roman" w:hAnsi="Times New Roman" w:cs="Times New Roman"/>
          <w:noProof/>
          <w:sz w:val="24"/>
          <w:szCs w:val="24"/>
          <w:vertAlign w:val="superscript"/>
          <w:lang w:val="en-GB"/>
        </w:rPr>
        <w:footnoteReference w:id="81"/>
      </w:r>
      <w:r>
        <w:rPr>
          <w:rFonts w:ascii="Times New Roman" w:hAnsi="Times New Roman"/>
          <w:noProof/>
          <w:sz w:val="24"/>
        </w:rPr>
        <w:t xml:space="preserve">). </w:t>
      </w:r>
    </w:p>
    <w:bookmarkEnd w:id="27"/>
    <w:p w14:paraId="3016C4CD" w14:textId="51C0A3BB" w:rsidR="008D2CA1" w:rsidRPr="00C31310" w:rsidRDefault="000528FC" w:rsidP="00482350">
      <w:pPr>
        <w:jc w:val="both"/>
        <w:rPr>
          <w:rFonts w:ascii="Times New Roman" w:hAnsi="Times New Roman" w:cs="Times New Roman"/>
          <w:noProof/>
          <w:sz w:val="24"/>
          <w:szCs w:val="24"/>
        </w:rPr>
      </w:pPr>
      <w:r>
        <w:rPr>
          <w:rFonts w:ascii="Times New Roman" w:hAnsi="Times New Roman"/>
          <w:noProof/>
          <w:sz w:val="24"/>
        </w:rPr>
        <w:t xml:space="preserve">Por lo que se refiere a la </w:t>
      </w:r>
      <w:r>
        <w:rPr>
          <w:rFonts w:ascii="Times New Roman" w:hAnsi="Times New Roman"/>
          <w:b/>
          <w:noProof/>
          <w:sz w:val="24"/>
        </w:rPr>
        <w:t>inversión en I+i del sector privado</w:t>
      </w:r>
      <w:r>
        <w:rPr>
          <w:rFonts w:ascii="Times New Roman" w:hAnsi="Times New Roman"/>
          <w:noProof/>
          <w:sz w:val="24"/>
        </w:rPr>
        <w:t>, se estima que en 2020 el gasto en tecnologías relacionadas con las prioridades de I+i de la Unión de la Energía también aumentó en todas las principales economías. En consonancia con las conclusiones del informe sobre la situación de la competitividad de 2022</w:t>
      </w:r>
      <w:r w:rsidR="002D395C" w:rsidRPr="00C31310">
        <w:rPr>
          <w:rStyle w:val="FootnoteReference"/>
          <w:rFonts w:ascii="Times New Roman" w:hAnsi="Times New Roman" w:cs="Times New Roman"/>
          <w:noProof/>
          <w:sz w:val="24"/>
          <w:szCs w:val="24"/>
          <w:lang w:val="en-GB"/>
        </w:rPr>
        <w:footnoteReference w:id="82"/>
      </w:r>
      <w:r>
        <w:rPr>
          <w:rFonts w:ascii="Times New Roman" w:hAnsi="Times New Roman"/>
          <w:noProof/>
          <w:sz w:val="24"/>
        </w:rPr>
        <w:t>, en 2020 el sector privado de la UE siguió invirtiendo cantidades comparables, en términos absolutos, a las de los Estados Unidos y Japón, que representaban alrededor del 80 % de toda la financiación de I+i. En términos de inversión privada en I+i por PIB, la UE sigue estando por delante de los Estados Unidos, pero por detrás de las principales economías asiáticas (</w:t>
      </w:r>
      <w:r w:rsidR="008D2CA1" w:rsidRPr="00C31310">
        <w:rPr>
          <w:rFonts w:ascii="Times New Roman" w:hAnsi="Times New Roman" w:cs="Times New Roman"/>
          <w:noProof/>
          <w:color w:val="2B579A"/>
          <w:sz w:val="24"/>
          <w:shd w:val="clear" w:color="auto" w:fill="E6E6E6"/>
        </w:rPr>
        <w:fldChar w:fldCharType="begin"/>
      </w:r>
      <w:r w:rsidR="008D2CA1" w:rsidRPr="00C31310">
        <w:rPr>
          <w:rFonts w:ascii="Times New Roman" w:hAnsi="Times New Roman" w:cs="Times New Roman"/>
          <w:noProof/>
          <w:sz w:val="24"/>
        </w:rPr>
        <w:instrText xml:space="preserve"> REF _Ref142307202 \h  \* MERGEFORMAT </w:instrText>
      </w:r>
      <w:r w:rsidR="008D2CA1" w:rsidRPr="00C31310">
        <w:rPr>
          <w:rFonts w:ascii="Times New Roman" w:hAnsi="Times New Roman" w:cs="Times New Roman"/>
          <w:noProof/>
          <w:color w:val="2B579A"/>
          <w:sz w:val="24"/>
          <w:shd w:val="clear" w:color="auto" w:fill="E6E6E6"/>
        </w:rPr>
      </w:r>
      <w:r w:rsidR="008D2CA1" w:rsidRPr="00C31310">
        <w:rPr>
          <w:rFonts w:ascii="Times New Roman" w:hAnsi="Times New Roman" w:cs="Times New Roman"/>
          <w:noProof/>
          <w:color w:val="2B579A"/>
          <w:sz w:val="24"/>
          <w:shd w:val="clear" w:color="auto" w:fill="E6E6E6"/>
        </w:rPr>
        <w:fldChar w:fldCharType="separate"/>
      </w:r>
      <w:r w:rsidR="001F57D7" w:rsidRPr="001F57D7">
        <w:rPr>
          <w:rFonts w:ascii="Times New Roman" w:hAnsi="Times New Roman" w:cs="Times New Roman"/>
          <w:noProof/>
          <w:sz w:val="24"/>
        </w:rPr>
        <w:t>Figure 2</w:t>
      </w:r>
      <w:r w:rsidR="008D2CA1" w:rsidRPr="00C31310">
        <w:rPr>
          <w:rFonts w:ascii="Times New Roman" w:hAnsi="Times New Roman" w:cs="Times New Roman"/>
          <w:noProof/>
          <w:color w:val="2B579A"/>
          <w:sz w:val="24"/>
          <w:shd w:val="clear" w:color="auto" w:fill="E6E6E6"/>
        </w:rPr>
        <w:fldChar w:fldCharType="end"/>
      </w:r>
      <w:r>
        <w:rPr>
          <w:rFonts w:ascii="Times New Roman" w:hAnsi="Times New Roman"/>
          <w:noProof/>
          <w:sz w:val="24"/>
        </w:rPr>
        <w:t>).</w:t>
      </w:r>
    </w:p>
    <w:p w14:paraId="2AF1DBA6" w14:textId="2056408F" w:rsidR="00126F36" w:rsidRPr="00C31310" w:rsidRDefault="00126F36" w:rsidP="00126F36">
      <w:pPr>
        <w:pStyle w:val="Caption"/>
        <w:keepNext/>
        <w:jc w:val="center"/>
        <w:rPr>
          <w:noProof/>
        </w:rPr>
      </w:pPr>
      <w:bookmarkStart w:id="29" w:name="_Ref142307202"/>
      <w:r>
        <w:rPr>
          <w:rFonts w:ascii="Times New Roman" w:hAnsi="Times New Roman"/>
          <w:noProof/>
        </w:rPr>
        <w:t>Gráfico </w:t>
      </w:r>
      <w:r w:rsidRPr="00C33306">
        <w:rPr>
          <w:rFonts w:ascii="Times New Roman" w:hAnsi="Times New Roman" w:cs="Times New Roman"/>
          <w:noProof/>
          <w:color w:val="2B579A"/>
          <w:shd w:val="clear" w:color="auto" w:fill="E6E6E6"/>
        </w:rPr>
        <w:fldChar w:fldCharType="begin"/>
      </w:r>
      <w:r w:rsidRPr="00C33306">
        <w:rPr>
          <w:rFonts w:ascii="Times New Roman" w:hAnsi="Times New Roman" w:cs="Times New Roman"/>
          <w:noProof/>
        </w:rPr>
        <w:instrText>SEQ Figure \* ARABIC</w:instrText>
      </w:r>
      <w:r w:rsidRPr="00C33306">
        <w:rPr>
          <w:rFonts w:ascii="Times New Roman" w:hAnsi="Times New Roman" w:cs="Times New Roman"/>
          <w:noProof/>
          <w:color w:val="2B579A"/>
          <w:shd w:val="clear" w:color="auto" w:fill="E6E6E6"/>
        </w:rPr>
        <w:fldChar w:fldCharType="separate"/>
      </w:r>
      <w:r w:rsidR="001F57D7">
        <w:rPr>
          <w:rFonts w:ascii="Times New Roman" w:hAnsi="Times New Roman" w:cs="Times New Roman"/>
          <w:noProof/>
        </w:rPr>
        <w:t>2</w:t>
      </w:r>
      <w:r w:rsidRPr="00C33306">
        <w:rPr>
          <w:rFonts w:ascii="Times New Roman" w:hAnsi="Times New Roman" w:cs="Times New Roman"/>
          <w:noProof/>
          <w:color w:val="2B579A"/>
          <w:shd w:val="clear" w:color="auto" w:fill="E6E6E6"/>
        </w:rPr>
        <w:fldChar w:fldCharType="end"/>
      </w:r>
      <w:bookmarkEnd w:id="29"/>
      <w:r>
        <w:rPr>
          <w:rFonts w:ascii="Times New Roman" w:hAnsi="Times New Roman"/>
          <w:noProof/>
        </w:rPr>
        <w:t>: Inversiones en I+i de los sectores público y privado de las principales economías como porcentaje del PIB</w:t>
      </w:r>
      <w:r w:rsidR="00400253">
        <w:rPr>
          <w:rStyle w:val="FootnoteReference"/>
          <w:rFonts w:ascii="Times New Roman" w:hAnsi="Times New Roman" w:cs="Times New Roman"/>
          <w:noProof/>
          <w:lang w:val="en-GB"/>
        </w:rPr>
        <w:footnoteReference w:id="83"/>
      </w:r>
      <w:r>
        <w:rPr>
          <w:noProof/>
        </w:rPr>
        <w:t>.</w:t>
      </w:r>
    </w:p>
    <w:p w14:paraId="431A7458" w14:textId="09907B6C" w:rsidR="0064141C" w:rsidRPr="00C31310" w:rsidRDefault="00E938AF" w:rsidP="0064141C">
      <w:pPr>
        <w:keepNext/>
        <w:spacing w:before="240" w:after="240"/>
        <w:jc w:val="center"/>
        <w:rPr>
          <w:noProof/>
        </w:rPr>
      </w:pPr>
      <w:r>
        <w:rPr>
          <w:noProof/>
          <w:lang w:val="en-GB" w:eastAsia="en-GB"/>
        </w:rPr>
        <w:drawing>
          <wp:inline distT="0" distB="0" distL="0" distR="0" wp14:anchorId="06DB9B88" wp14:editId="77D52D04">
            <wp:extent cx="5731510" cy="225044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250440"/>
                    </a:xfrm>
                    <a:prstGeom prst="rect">
                      <a:avLst/>
                    </a:prstGeom>
                  </pic:spPr>
                </pic:pic>
              </a:graphicData>
            </a:graphic>
          </wp:inline>
        </w:drawing>
      </w:r>
    </w:p>
    <w:p w14:paraId="54C3BA9D" w14:textId="72056C99" w:rsidR="00B85D74" w:rsidRPr="00C31310" w:rsidRDefault="2AF29DC5" w:rsidP="0064141C">
      <w:pPr>
        <w:pStyle w:val="Caption"/>
        <w:jc w:val="center"/>
        <w:rPr>
          <w:rFonts w:ascii="Times New Roman" w:hAnsi="Times New Roman" w:cs="Times New Roman"/>
          <w:noProof/>
        </w:rPr>
      </w:pPr>
      <w:r>
        <w:rPr>
          <w:rFonts w:ascii="Times New Roman" w:hAnsi="Times New Roman"/>
          <w:i w:val="0"/>
          <w:noProof/>
        </w:rPr>
        <w:t>Fuente</w:t>
      </w:r>
      <w:r>
        <w:rPr>
          <w:rFonts w:ascii="Times New Roman" w:hAnsi="Times New Roman"/>
          <w:noProof/>
        </w:rPr>
        <w:t> </w:t>
      </w:r>
      <w:r w:rsidR="0064141C" w:rsidRPr="00C31310">
        <w:rPr>
          <w:rFonts w:ascii="Times New Roman" w:hAnsi="Times New Roman" w:cs="Times New Roman"/>
          <w:noProof/>
          <w:color w:val="2B579A"/>
          <w:shd w:val="clear" w:color="auto" w:fill="E6E6E6"/>
        </w:rPr>
        <w:fldChar w:fldCharType="begin"/>
      </w:r>
      <w:r w:rsidR="0064141C" w:rsidRPr="00C31310">
        <w:rPr>
          <w:rFonts w:ascii="Times New Roman" w:hAnsi="Times New Roman" w:cs="Times New Roman"/>
          <w:noProof/>
        </w:rPr>
        <w:instrText xml:space="preserve"> SEQ Source \* ARABIC </w:instrText>
      </w:r>
      <w:r w:rsidR="0064141C" w:rsidRPr="00C31310">
        <w:rPr>
          <w:rFonts w:ascii="Times New Roman" w:hAnsi="Times New Roman" w:cs="Times New Roman"/>
          <w:noProof/>
          <w:color w:val="2B579A"/>
          <w:shd w:val="clear" w:color="auto" w:fill="E6E6E6"/>
        </w:rPr>
        <w:fldChar w:fldCharType="separate"/>
      </w:r>
      <w:r w:rsidR="001F57D7">
        <w:rPr>
          <w:rFonts w:ascii="Times New Roman" w:hAnsi="Times New Roman" w:cs="Times New Roman"/>
          <w:noProof/>
        </w:rPr>
        <w:t>1</w:t>
      </w:r>
      <w:r w:rsidR="0064141C" w:rsidRPr="00C31310">
        <w:rPr>
          <w:rFonts w:ascii="Times New Roman" w:hAnsi="Times New Roman" w:cs="Times New Roman"/>
          <w:noProof/>
          <w:color w:val="2B579A"/>
          <w:shd w:val="clear" w:color="auto" w:fill="E6E6E6"/>
        </w:rPr>
        <w:fldChar w:fldCharType="end"/>
      </w:r>
      <w:r>
        <w:rPr>
          <w:rFonts w:ascii="Times New Roman" w:hAnsi="Times New Roman"/>
          <w:noProof/>
        </w:rPr>
        <w:t>: JRC basado en la AIE</w:t>
      </w:r>
      <w:r w:rsidR="0064141C" w:rsidRPr="00C31310">
        <w:rPr>
          <w:rFonts w:ascii="Times New Roman" w:hAnsi="Times New Roman" w:cs="Times New Roman"/>
          <w:noProof/>
          <w:sz w:val="24"/>
          <w:szCs w:val="24"/>
          <w:vertAlign w:val="superscript"/>
          <w:lang w:val="en-GB"/>
        </w:rPr>
        <w:footnoteReference w:id="84"/>
      </w:r>
      <w:r>
        <w:rPr>
          <w:rFonts w:ascii="Times New Roman" w:hAnsi="Times New Roman"/>
          <w:noProof/>
        </w:rPr>
        <w:t>, MI</w:t>
      </w:r>
      <w:r w:rsidR="0064141C" w:rsidRPr="00C31310">
        <w:rPr>
          <w:rFonts w:ascii="Times New Roman" w:hAnsi="Times New Roman" w:cs="Times New Roman"/>
          <w:noProof/>
          <w:sz w:val="24"/>
          <w:szCs w:val="24"/>
          <w:vertAlign w:val="superscript"/>
          <w:lang w:val="en-GB"/>
        </w:rPr>
        <w:footnoteReference w:id="85"/>
      </w:r>
      <w:r>
        <w:rPr>
          <w:rFonts w:ascii="Times New Roman" w:hAnsi="Times New Roman"/>
          <w:noProof/>
        </w:rPr>
        <w:t xml:space="preserve"> y en su propio trabajo</w:t>
      </w:r>
      <w:r w:rsidR="0064141C" w:rsidRPr="00C31310">
        <w:rPr>
          <w:rFonts w:ascii="Times New Roman" w:hAnsi="Times New Roman" w:cs="Times New Roman"/>
          <w:noProof/>
          <w:sz w:val="24"/>
          <w:szCs w:val="24"/>
          <w:vertAlign w:val="superscript"/>
          <w:lang w:val="en-GB"/>
        </w:rPr>
        <w:footnoteReference w:id="86"/>
      </w:r>
      <w:r>
        <w:rPr>
          <w:rFonts w:ascii="Times New Roman" w:hAnsi="Times New Roman"/>
          <w:noProof/>
        </w:rPr>
        <w:t>.</w:t>
      </w:r>
    </w:p>
    <w:p w14:paraId="5C75AEB5" w14:textId="79CA0809" w:rsidR="72E8AB99" w:rsidRPr="00C31310" w:rsidRDefault="5A9828BA" w:rsidP="72E8AB99">
      <w:pPr>
        <w:jc w:val="both"/>
        <w:rPr>
          <w:rFonts w:ascii="Times New Roman" w:hAnsi="Times New Roman" w:cs="Times New Roman"/>
          <w:noProof/>
          <w:sz w:val="24"/>
          <w:szCs w:val="24"/>
        </w:rPr>
      </w:pPr>
      <w:r>
        <w:rPr>
          <w:rFonts w:ascii="Times New Roman" w:hAnsi="Times New Roman"/>
          <w:noProof/>
          <w:sz w:val="24"/>
        </w:rPr>
        <w:t xml:space="preserve">Desde 2014, las </w:t>
      </w:r>
      <w:r>
        <w:rPr>
          <w:rFonts w:ascii="Times New Roman" w:hAnsi="Times New Roman"/>
          <w:b/>
          <w:noProof/>
          <w:sz w:val="24"/>
        </w:rPr>
        <w:t>solicitudes de patentes</w:t>
      </w:r>
      <w:r>
        <w:rPr>
          <w:rFonts w:ascii="Times New Roman" w:hAnsi="Times New Roman"/>
          <w:noProof/>
          <w:sz w:val="24"/>
        </w:rPr>
        <w:t xml:space="preserve"> de la UE en las prioridades de I+i de la Unión de la Energía aumentaron una media del 5 % anual</w:t>
      </w:r>
      <w:r w:rsidR="00D634A6" w:rsidRPr="00C31310">
        <w:rPr>
          <w:rStyle w:val="FootnoteReference"/>
          <w:rFonts w:ascii="Times New Roman" w:hAnsi="Times New Roman" w:cs="Times New Roman"/>
          <w:noProof/>
          <w:sz w:val="24"/>
          <w:szCs w:val="24"/>
          <w:lang w:val="en-GB"/>
        </w:rPr>
        <w:footnoteReference w:id="87"/>
      </w:r>
      <w:r>
        <w:rPr>
          <w:rFonts w:ascii="Times New Roman" w:hAnsi="Times New Roman"/>
          <w:noProof/>
          <w:sz w:val="24"/>
        </w:rPr>
        <w:t xml:space="preserve">. Aunque existen diferencias notables en las tendencias en materia de patentes tanto entre los Estados miembros como para tecnologías específicas, en general la UE mantiene una posición sólida en las patentes protegidas internacionalmente. </w:t>
      </w:r>
      <w:bookmarkStart w:id="30" w:name="_Hlk146041911"/>
      <w:r>
        <w:rPr>
          <w:rFonts w:ascii="Times New Roman" w:hAnsi="Times New Roman"/>
          <w:noProof/>
          <w:sz w:val="24"/>
        </w:rPr>
        <w:t>En general, entre 2014 y 2020, la UE ocupó el segundo lugar, por detrás de Japón, en el número de patentes internacionales y lideró en energías renovables (29 %) y eficiencia energética (24 %), perdiendo algo de terreno en sistemas inteligentes (17 % y ocupando el cuarto lugar entre las principales economías).</w:t>
      </w:r>
    </w:p>
    <w:bookmarkEnd w:id="30"/>
    <w:p w14:paraId="7324E7BB" w14:textId="4559EC8E" w:rsidR="0040474D" w:rsidRPr="00C31310" w:rsidRDefault="322D73B3" w:rsidP="45873571">
      <w:pPr>
        <w:jc w:val="both"/>
        <w:rPr>
          <w:rFonts w:ascii="Times New Roman" w:hAnsi="Times New Roman" w:cs="Times New Roman"/>
          <w:noProof/>
          <w:sz w:val="24"/>
          <w:szCs w:val="24"/>
        </w:rPr>
      </w:pPr>
      <w:r>
        <w:rPr>
          <w:rFonts w:ascii="Times New Roman" w:hAnsi="Times New Roman"/>
          <w:noProof/>
          <w:sz w:val="24"/>
        </w:rPr>
        <w:t xml:space="preserve">Como se destaca en el informe de situación en materia de competitividad de 2022 y en las </w:t>
      </w:r>
      <w:r>
        <w:rPr>
          <w:rFonts w:ascii="Times New Roman" w:hAnsi="Times New Roman"/>
          <w:i/>
          <w:noProof/>
          <w:sz w:val="24"/>
        </w:rPr>
        <w:t>orientaciones a los Estados miembros para la actualización de los planes nacionales de energía y clima para el período 2021-2030</w:t>
      </w:r>
      <w:r w:rsidR="00C26079" w:rsidRPr="00C31310">
        <w:rPr>
          <w:rStyle w:val="FootnoteReference"/>
          <w:rFonts w:ascii="Times New Roman" w:hAnsi="Times New Roman" w:cs="Times New Roman"/>
          <w:noProof/>
          <w:sz w:val="24"/>
          <w:szCs w:val="24"/>
          <w:lang w:val="en-GB"/>
        </w:rPr>
        <w:footnoteReference w:id="88"/>
      </w:r>
      <w:r>
        <w:rPr>
          <w:rFonts w:ascii="Times New Roman" w:hAnsi="Times New Roman"/>
          <w:noProof/>
          <w:sz w:val="24"/>
        </w:rPr>
        <w:t>, para trazar con éxito el camino de la I+i se necesitan suficientes expertos y empresarios, apoyados por el uso coordinado de programas de la UE, nacionales y regionales. También requiere metas y objetivos nacionales claros en materia de I+i para 2030 y 2050, una mayor cooperación entre los Estados miembros y un seguimiento continuo de las actividades nacionales de I+i. Los esfuerzos conjuntos y coordinados en todos los Estados miembros, especialmente a través del Plan Estratégico Europeo de Tecnología Energética (Plan EETE) revisado, y los planes nacionales de energía y clima</w:t>
      </w:r>
      <w:r w:rsidR="00EE035A" w:rsidRPr="00C31310">
        <w:rPr>
          <w:rStyle w:val="FootnoteReference"/>
          <w:rFonts w:ascii="Times New Roman" w:hAnsi="Times New Roman" w:cs="Times New Roman"/>
          <w:noProof/>
          <w:sz w:val="24"/>
          <w:szCs w:val="24"/>
          <w:lang w:val="en-GB"/>
        </w:rPr>
        <w:footnoteReference w:id="89"/>
      </w:r>
      <w:r>
        <w:rPr>
          <w:rFonts w:ascii="Times New Roman" w:hAnsi="Times New Roman"/>
          <w:noProof/>
          <w:sz w:val="24"/>
        </w:rPr>
        <w:t xml:space="preserve"> también constituyen una oportunidad única para profundizar en el diálogo sobre competitividad e I+i en materia de energías limpias entre la UE y sus Estados miembros.</w:t>
      </w:r>
    </w:p>
    <w:p w14:paraId="5D5FEB3B" w14:textId="765E7E75" w:rsidR="45873571" w:rsidRPr="00C31310" w:rsidRDefault="70E63D8B" w:rsidP="69D77B58">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Por último, </w:t>
      </w:r>
      <w:r>
        <w:rPr>
          <w:rFonts w:ascii="Times New Roman" w:hAnsi="Times New Roman"/>
          <w:b/>
          <w:noProof/>
          <w:sz w:val="24"/>
        </w:rPr>
        <w:t>es fundamental seguir acelerando la transferencia al mercado de las innovaciones de la UE en materia de energías limpias</w:t>
      </w:r>
      <w:r>
        <w:rPr>
          <w:rFonts w:ascii="Times New Roman" w:hAnsi="Times New Roman"/>
          <w:noProof/>
          <w:sz w:val="24"/>
        </w:rPr>
        <w:t>. Este objetivo se establece en la Nueva Agenda Europea de Innovación, con el apoyo de fuentes de financiación de la UE, como InvestEU, el Consejo Europeo de Innovación, el programa LIFE y el Fondo de Innovación. También se invita a los Estados miembros a fomentar la experimentación, siguiendo las recientes orientaciones</w:t>
      </w:r>
      <w:r w:rsidR="5C4372F7" w:rsidRPr="00C31310">
        <w:rPr>
          <w:rFonts w:ascii="Times New Roman" w:eastAsia="Times New Roman" w:hAnsi="Times New Roman" w:cs="Times New Roman"/>
          <w:noProof/>
          <w:sz w:val="24"/>
          <w:szCs w:val="24"/>
          <w:vertAlign w:val="superscript"/>
          <w:lang w:val="en-GB"/>
        </w:rPr>
        <w:footnoteReference w:id="90"/>
      </w:r>
      <w:r>
        <w:rPr>
          <w:rFonts w:ascii="Times New Roman" w:hAnsi="Times New Roman"/>
          <w:noProof/>
          <w:sz w:val="24"/>
        </w:rPr>
        <w:t xml:space="preserve"> sobre espacios controlados de pruebas, bancos de pruebas y laboratorios vivientes. Asimismo es necesario adoptar nuevas medidas para atraer capital privado.</w:t>
      </w:r>
    </w:p>
    <w:p w14:paraId="14C36909" w14:textId="3431C8AE" w:rsidR="005326BD" w:rsidRPr="008907E2" w:rsidRDefault="108C36FF" w:rsidP="00931A2A">
      <w:pPr>
        <w:pStyle w:val="Heading3"/>
        <w:keepLines w:val="0"/>
        <w:numPr>
          <w:ilvl w:val="1"/>
          <w:numId w:val="3"/>
        </w:numPr>
        <w:spacing w:before="0" w:after="240"/>
        <w:rPr>
          <w:rFonts w:ascii="Times New Roman" w:hAnsi="Times New Roman" w:cs="Times New Roman"/>
          <w:b/>
          <w:bCs/>
          <w:noProof/>
          <w:color w:val="auto"/>
        </w:rPr>
      </w:pPr>
      <w:bookmarkStart w:id="32" w:name="_Toc153536060"/>
      <w:bookmarkStart w:id="33" w:name="_Hlk144988727"/>
      <w:r>
        <w:rPr>
          <w:rFonts w:ascii="Times New Roman" w:hAnsi="Times New Roman"/>
          <w:b/>
          <w:noProof/>
          <w:color w:val="auto"/>
        </w:rPr>
        <w:t>El panorama del capital riesgo: atraer capital a la UE</w:t>
      </w:r>
      <w:r w:rsidR="00326699" w:rsidRPr="008907E2">
        <w:rPr>
          <w:rFonts w:ascii="Times New Roman" w:hAnsi="Times New Roman" w:cs="Times New Roman"/>
          <w:b/>
          <w:bCs/>
          <w:noProof/>
          <w:color w:val="auto"/>
          <w:vertAlign w:val="superscript"/>
        </w:rPr>
        <w:footnoteReference w:id="91"/>
      </w:r>
      <w:bookmarkEnd w:id="32"/>
      <w:r>
        <w:rPr>
          <w:rFonts w:ascii="Times New Roman" w:hAnsi="Times New Roman"/>
          <w:b/>
          <w:noProof/>
          <w:color w:val="auto"/>
        </w:rPr>
        <w:t xml:space="preserve"> </w:t>
      </w:r>
    </w:p>
    <w:p w14:paraId="51E2794A" w14:textId="3222D95F" w:rsidR="00F9341E" w:rsidRPr="00C31310" w:rsidRDefault="5A1F780F" w:rsidP="00F9341E">
      <w:pPr>
        <w:jc w:val="both"/>
        <w:rPr>
          <w:rFonts w:ascii="Times New Roman" w:hAnsi="Times New Roman" w:cs="Times New Roman"/>
          <w:noProof/>
          <w:sz w:val="24"/>
          <w:szCs w:val="24"/>
        </w:rPr>
      </w:pPr>
      <w:r>
        <w:rPr>
          <w:rFonts w:ascii="Times New Roman" w:hAnsi="Times New Roman"/>
          <w:noProof/>
          <w:sz w:val="24"/>
        </w:rPr>
        <w:t>A lo largo de los años,</w:t>
      </w:r>
      <w:r>
        <w:rPr>
          <w:rFonts w:ascii="Times New Roman" w:hAnsi="Times New Roman"/>
          <w:b/>
          <w:noProof/>
          <w:sz w:val="24"/>
        </w:rPr>
        <w:t xml:space="preserve"> la política de innovación de la UE se ha ampliado y el panorama institucional ha evolucionado en paralelo.</w:t>
      </w:r>
      <w:r>
        <w:rPr>
          <w:rFonts w:ascii="Times New Roman" w:hAnsi="Times New Roman"/>
          <w:noProof/>
          <w:sz w:val="24"/>
        </w:rPr>
        <w:t xml:space="preserve"> El objetivo es reducir el déficit de capital en la UE y disminuir la fragmentación de los mercados de capital riesgo y los ecosistemas de innovación.</w:t>
      </w:r>
      <w:r>
        <w:rPr>
          <w:noProof/>
        </w:rPr>
        <w:t xml:space="preserve"> </w:t>
      </w:r>
      <w:r>
        <w:rPr>
          <w:rFonts w:ascii="Times New Roman" w:hAnsi="Times New Roman"/>
          <w:noProof/>
          <w:sz w:val="24"/>
        </w:rPr>
        <w:t>Esto incluye iniciativas complementarias para fomentar la inversión en capital e impulsar la financiación de empresas emergentes innovadoras y empresas en fase de expansión. Por citar algunos, el Fondo del Consejo Europeo de Innovación es una rama de capital riesgo propia de la UE cuyo objetivo es financiar la innovación de vanguardia en el marco del pilar III de Horizonte Europa sobre la «Europa innovadora». La Nueva Agenda Europea de Innovación</w:t>
      </w:r>
      <w:r w:rsidR="00B823AE" w:rsidRPr="00C31310">
        <w:rPr>
          <w:rStyle w:val="FootnoteReference"/>
          <w:rFonts w:ascii="Times New Roman" w:hAnsi="Times New Roman" w:cs="Times New Roman"/>
          <w:noProof/>
          <w:sz w:val="24"/>
          <w:szCs w:val="24"/>
          <w:lang w:val="en-GB"/>
        </w:rPr>
        <w:footnoteReference w:id="92"/>
      </w:r>
      <w:r>
        <w:rPr>
          <w:rFonts w:ascii="Times New Roman" w:hAnsi="Times New Roman"/>
          <w:noProof/>
          <w:sz w:val="24"/>
        </w:rPr>
        <w:t xml:space="preserve"> incluye iniciativas adicionales para acelerar el crecimiento de las empresas emergentes de tecnología profunda en la UE. El Fondo InvestEU, que utiliza garantías del presupuesto de la UE, moviliza inversiones de los sectores público y privado, incluidos fondos que proporcionan financiación mediante fondos propios.</w:t>
      </w:r>
    </w:p>
    <w:p w14:paraId="063373DA" w14:textId="116B955E" w:rsidR="009E0195" w:rsidRPr="00C31310" w:rsidRDefault="0034EE08" w:rsidP="668D85EB">
      <w:pPr>
        <w:jc w:val="both"/>
        <w:rPr>
          <w:rFonts w:ascii="Times New Roman" w:hAnsi="Times New Roman" w:cs="Times New Roman"/>
          <w:noProof/>
          <w:sz w:val="24"/>
          <w:szCs w:val="24"/>
        </w:rPr>
      </w:pPr>
      <w:r>
        <w:rPr>
          <w:rFonts w:ascii="Times New Roman" w:hAnsi="Times New Roman"/>
          <w:noProof/>
          <w:sz w:val="24"/>
        </w:rPr>
        <w:t>Dado que la</w:t>
      </w:r>
      <w:r>
        <w:rPr>
          <w:rFonts w:ascii="Times New Roman" w:hAnsi="Times New Roman"/>
          <w:b/>
          <w:noProof/>
          <w:sz w:val="24"/>
        </w:rPr>
        <w:t xml:space="preserve"> inversión en capital riesgo</w:t>
      </w:r>
      <w:r>
        <w:rPr>
          <w:rFonts w:ascii="Times New Roman" w:hAnsi="Times New Roman"/>
          <w:noProof/>
          <w:sz w:val="24"/>
        </w:rPr>
        <w:t xml:space="preserve"> está a la vanguardia de la innovación, es fundamental para impulsar la competitividad de la UE y reforzar la autonomía estratégica abierta de la UE en el sector de las energías limpias. En 2022, factores macroeconómicos, como el aumento de la inflación y de los tipos de interés, dieron lugar a una caída de la financiación mundial de capital riesgo. La inversión total de capital riesgo</w:t>
      </w:r>
      <w:r w:rsidR="09CA5357" w:rsidRPr="00C31310">
        <w:rPr>
          <w:rFonts w:ascii="Times New Roman" w:hAnsi="Times New Roman" w:cs="Times New Roman"/>
          <w:noProof/>
          <w:sz w:val="24"/>
          <w:szCs w:val="24"/>
          <w:vertAlign w:val="superscript"/>
          <w:lang w:val="en-GB"/>
        </w:rPr>
        <w:footnoteReference w:id="93"/>
      </w:r>
      <w:r>
        <w:rPr>
          <w:rFonts w:ascii="Times New Roman" w:hAnsi="Times New Roman"/>
          <w:noProof/>
          <w:sz w:val="24"/>
        </w:rPr>
        <w:t xml:space="preserve"> en empresas de la UE disminuyó un 18 % en 2022 en comparación con 2021. En el primer semestre de 2023 se observa una tendencia similar en los Estados Unidos (– 20 %), China (– 36 %) y en todo el mundo.</w:t>
      </w:r>
      <w:r>
        <w:rPr>
          <w:noProof/>
        </w:rPr>
        <w:t xml:space="preserve"> </w:t>
      </w:r>
    </w:p>
    <w:p w14:paraId="7DE58FFB" w14:textId="0D698A11" w:rsidR="009D02E1" w:rsidRPr="00C31310" w:rsidRDefault="598F92E6" w:rsidP="009D02E1">
      <w:pPr>
        <w:jc w:val="both"/>
        <w:rPr>
          <w:rFonts w:ascii="Times New Roman" w:hAnsi="Times New Roman" w:cs="Times New Roman"/>
          <w:noProof/>
          <w:sz w:val="24"/>
          <w:szCs w:val="24"/>
        </w:rPr>
      </w:pPr>
      <w:r>
        <w:rPr>
          <w:rFonts w:ascii="Times New Roman" w:hAnsi="Times New Roman"/>
          <w:noProof/>
          <w:sz w:val="24"/>
        </w:rPr>
        <w:t xml:space="preserve">La inversión mundial de capital riesgo en </w:t>
      </w:r>
      <w:r>
        <w:rPr>
          <w:rFonts w:ascii="Times New Roman" w:hAnsi="Times New Roman"/>
          <w:b/>
          <w:noProof/>
          <w:sz w:val="24"/>
        </w:rPr>
        <w:t>tecnologías energéticas limpias</w:t>
      </w:r>
      <w:r>
        <w:rPr>
          <w:rFonts w:ascii="Times New Roman" w:hAnsi="Times New Roman"/>
          <w:noProof/>
          <w:sz w:val="24"/>
        </w:rPr>
        <w:t xml:space="preserve"> tuvo mejores resultados que otros segmentos</w:t>
      </w:r>
      <w:r w:rsidR="22813553" w:rsidRPr="00C31310">
        <w:rPr>
          <w:rFonts w:ascii="Times New Roman" w:hAnsi="Times New Roman" w:cs="Times New Roman"/>
          <w:noProof/>
          <w:sz w:val="24"/>
          <w:szCs w:val="24"/>
          <w:vertAlign w:val="superscript"/>
          <w:lang w:val="en-GB"/>
        </w:rPr>
        <w:footnoteReference w:id="94"/>
      </w:r>
      <w:r>
        <w:rPr>
          <w:rFonts w:ascii="Times New Roman" w:hAnsi="Times New Roman"/>
          <w:noProof/>
          <w:sz w:val="24"/>
        </w:rPr>
        <w:t>, como la biotecnología o la tecnología digital. En 2022, el sector mundial de las energías limpias atrajo una parte cada vez mayor de la inversión de capital riesgo</w:t>
      </w:r>
      <w:r w:rsidR="00567F28" w:rsidRPr="00C31310">
        <w:rPr>
          <w:rStyle w:val="FootnoteReference"/>
          <w:rFonts w:ascii="Times New Roman" w:hAnsi="Times New Roman" w:cs="Times New Roman"/>
          <w:noProof/>
          <w:sz w:val="24"/>
          <w:szCs w:val="24"/>
          <w:lang w:val="en-GB"/>
        </w:rPr>
        <w:footnoteReference w:id="95"/>
      </w:r>
      <w:r>
        <w:rPr>
          <w:rFonts w:ascii="Times New Roman" w:hAnsi="Times New Roman"/>
          <w:noProof/>
          <w:sz w:val="24"/>
        </w:rPr>
        <w:t>, con un aumento del 4,4 % en 2022 en comparación con 2021, hasta 39 500 millones EUR, lo que representa el 6,2 % de toda la inversión de capital riesgo. A pesar de esta tendencia positiva observada desde 2015, ha habido una ralentización desde el crecimiento registrado entre 2019 y 2020 (+37 %) y el récord en 2021 (+109 %).</w:t>
      </w:r>
    </w:p>
    <w:p w14:paraId="3BADB524" w14:textId="78A25B4D" w:rsidR="009A15E3" w:rsidRPr="00C31310" w:rsidRDefault="4444B69E" w:rsidP="30CD78D8">
      <w:pPr>
        <w:jc w:val="both"/>
        <w:rPr>
          <w:rFonts w:ascii="Times New Roman" w:hAnsi="Times New Roman"/>
          <w:noProof/>
          <w:sz w:val="24"/>
          <w:szCs w:val="24"/>
        </w:rPr>
      </w:pPr>
      <w:r>
        <w:rPr>
          <w:rFonts w:ascii="Times New Roman" w:hAnsi="Times New Roman"/>
          <w:noProof/>
          <w:sz w:val="24"/>
        </w:rPr>
        <w:t xml:space="preserve">En la UE, la inversión de capital riesgo en el sector de las energías limpias alcanzó los 7 400 millones EUR en 2022, lo que supone un aumento del 42 % con respecto a 2021. </w:t>
      </w:r>
      <w:bookmarkStart w:id="34" w:name="_Hlk146042129"/>
      <w:r>
        <w:rPr>
          <w:rFonts w:ascii="Times New Roman" w:hAnsi="Times New Roman"/>
          <w:noProof/>
          <w:sz w:val="24"/>
        </w:rPr>
        <w:t>La UE representó el 19 % —una cuota cada vez mayor— de la inversión mundial de capital riesgo en empresas de tecnologías energéticas limpias, ocupando el tercer lugar por detrás de los Estados Unidos (38 %) y China (28 %)</w:t>
      </w:r>
      <w:r w:rsidR="00E7568B">
        <w:rPr>
          <w:rStyle w:val="FootnoteReference"/>
          <w:rFonts w:ascii="Times New Roman" w:hAnsi="Times New Roman"/>
          <w:noProof/>
          <w:sz w:val="24"/>
          <w:szCs w:val="24"/>
          <w:lang w:val="en-GB"/>
        </w:rPr>
        <w:footnoteReference w:id="96"/>
      </w:r>
      <w:r>
        <w:rPr>
          <w:rFonts w:ascii="Times New Roman" w:hAnsi="Times New Roman"/>
          <w:noProof/>
          <w:sz w:val="24"/>
        </w:rPr>
        <w:t xml:space="preserve">. </w:t>
      </w:r>
      <w:bookmarkEnd w:id="34"/>
      <w:r>
        <w:rPr>
          <w:rFonts w:ascii="Times New Roman" w:hAnsi="Times New Roman"/>
          <w:noProof/>
          <w:sz w:val="24"/>
        </w:rPr>
        <w:t>La inversión de capital riesgo en el sector de las energías limpias también demostró ser más resiliente en la UE —donde tanto las inversiones en fases iniciales como en fases posteriores aumentaron en 2022— que en el resto del mundo. No obstante, sigue concentrándose en gran medida en unas pocas tecnologías (principalmente la fabricación de baterías, el reciclado y los vehículos eléctricos).</w:t>
      </w:r>
    </w:p>
    <w:p w14:paraId="546FF505" w14:textId="014AC92A" w:rsidR="00EF3829" w:rsidRPr="00C31310" w:rsidRDefault="24A0E7F0" w:rsidP="69D77B58">
      <w:pPr>
        <w:jc w:val="both"/>
        <w:rPr>
          <w:rFonts w:ascii="Times New Roman" w:hAnsi="Times New Roman"/>
          <w:noProof/>
          <w:sz w:val="24"/>
          <w:szCs w:val="24"/>
        </w:rPr>
      </w:pPr>
      <w:r>
        <w:rPr>
          <w:rFonts w:ascii="Times New Roman" w:hAnsi="Times New Roman"/>
          <w:noProof/>
          <w:sz w:val="24"/>
        </w:rPr>
        <w:t xml:space="preserve">La inversión mundial de capital riesgo en </w:t>
      </w:r>
      <w:r>
        <w:rPr>
          <w:rFonts w:ascii="Times New Roman" w:hAnsi="Times New Roman"/>
          <w:b/>
          <w:noProof/>
          <w:sz w:val="24"/>
        </w:rPr>
        <w:t>tecnologías estratégicas de cero emisiones netas</w:t>
      </w:r>
      <w:r>
        <w:rPr>
          <w:rFonts w:ascii="Times New Roman" w:hAnsi="Times New Roman"/>
          <w:noProof/>
          <w:sz w:val="24"/>
        </w:rPr>
        <w:t xml:space="preserve">, tal como se define en la propuesta de la NZIA, ascendió a 20 800 millones EUR en 2022 (frente a 19 500 millones EUR en 2021). Sin embargo, en 2022, la inversión de capital riesgo en tecnologías estratégicas de cero emisiones netas en la UE aumentó a un ritmo más lento (+2,3 % entre 2021 y 2022) en comparación con la tasa global de crecimiento en el sector de las energías limpias. Los Estados Unidos superaron a la UE, registrando un aumento del 41 % en 2022 en comparación con 2021, ya que las inversiones de capital riesgo en pilas de combustible e hidrógeno renovable, biogás/biometano sostenible, bombas de calor y energía geotérmica aumentaron considerablemente. En la UE, las inversiones extranjeras en etapas posteriores en estos ámbitos tecnológicos crecieron mucho más rápido en 2022 que las inversiones intracomunitarias, representando más de la mitad de toda la financiación de las empresas de la UE en 2022 (frente al 15 % total en 2021). En general, excepto en el caso de las tecnologías de baterías, la UE todavía no ha aprovechado plenamente su potencial para atraer acuerdos de mayor crecimiento en el ámbito de las tecnologías estratégicas de cero emisiones netas, como han hecho los Estados Unidos y China. </w:t>
      </w:r>
    </w:p>
    <w:p w14:paraId="3C7F6601" w14:textId="15881E67" w:rsidR="00BB497C" w:rsidRPr="00C31310" w:rsidRDefault="5380118C" w:rsidP="30598495">
      <w:pPr>
        <w:jc w:val="both"/>
        <w:rPr>
          <w:rFonts w:ascii="Times New Roman" w:eastAsia="Times New Roman" w:hAnsi="Times New Roman" w:cs="Times New Roman"/>
          <w:noProof/>
          <w:sz w:val="24"/>
          <w:szCs w:val="24"/>
        </w:rPr>
      </w:pPr>
      <w:r>
        <w:rPr>
          <w:rFonts w:ascii="Times New Roman" w:hAnsi="Times New Roman"/>
          <w:noProof/>
          <w:sz w:val="24"/>
        </w:rPr>
        <w:t xml:space="preserve">Para impulsar la competitividad, la resiliencia y el liderazgo de la UE, </w:t>
      </w:r>
      <w:r>
        <w:rPr>
          <w:rFonts w:ascii="Times New Roman" w:hAnsi="Times New Roman"/>
          <w:b/>
          <w:noProof/>
          <w:sz w:val="24"/>
        </w:rPr>
        <w:t>es fundamental garantizar que el capital siga fluyendo hacia las empresas de la UE a la escala necesaria</w:t>
      </w:r>
      <w:r>
        <w:rPr>
          <w:rFonts w:ascii="Times New Roman" w:hAnsi="Times New Roman"/>
          <w:noProof/>
          <w:sz w:val="24"/>
        </w:rPr>
        <w:t xml:space="preserve"> para acelerar el despliegue de tecnologías estratégicas de cero emisiones netas. Unos mercados de capitales profundos e integrados y un marco eficaz de financiación sostenible son requisitos previos esenciales para movilizar inversiones privadas a gran escala en favor de las tecnologías energéticas limpias. La Comisión ha dado seguimiento al Plan de Acción para la Unión de los Mercados de Capitales de 2020 y ha presentado todas las propuestas legislativas previstas. La rápida adopción por parte de los colegisladores de las propuestas pendientes contribuiría a mejorar el acceso a la financiación, diversificar las fuentes de financiación de las empresas y hacer frente a los obstáculos estructurales de los servicios financieros transfronterizos. La Comisión, al tiempo que desarrolla el marco de finanzas sostenibles, ha seguido respondiendo a las necesidades de los usuarios y ha adoptado una serie de medidas e iniciativas destinadas a reducir la complejidad y mejorar la facilidad de uso de las normas, así como a prestar apoyo a las partes interesadas en su aplicación. También tomó medidas a fin de racionalizar las obligaciones de información con vistas a reducir la carga administrativa para las empresas.</w:t>
      </w:r>
    </w:p>
    <w:p w14:paraId="7E790548" w14:textId="2233D8C7" w:rsidR="00600990" w:rsidRDefault="24E27F4B" w:rsidP="30598495">
      <w:pPr>
        <w:jc w:val="both"/>
        <w:rPr>
          <w:rFonts w:ascii="Times New Roman" w:hAnsi="Times New Roman"/>
          <w:noProof/>
          <w:sz w:val="24"/>
          <w:szCs w:val="24"/>
        </w:rPr>
      </w:pPr>
      <w:r>
        <w:rPr>
          <w:rFonts w:ascii="Times New Roman" w:hAnsi="Times New Roman"/>
          <w:noProof/>
          <w:sz w:val="24"/>
        </w:rPr>
        <w:t xml:space="preserve">En junio de 2023, la Comisión propuso crear la Plataforma de Tecnologías Estratégicas para Europa (STEP) para reforzar y aprovechar los instrumentos actuales de la UE (en particular, el Fondo del Consejo Europeo de Innovación, InvestEU y el Fondo de Innovación) para asignar (por ejemplo, destinando financiación pública) y desembolsar apoyo financiero a las inversiones en tecnologías limpias. Esto puede ayudar a </w:t>
      </w:r>
      <w:r>
        <w:rPr>
          <w:rFonts w:ascii="Times New Roman" w:hAnsi="Times New Roman"/>
          <w:b/>
          <w:noProof/>
          <w:sz w:val="24"/>
        </w:rPr>
        <w:t>reducir el riesgo de las inversiones en innovación</w:t>
      </w:r>
      <w:r>
        <w:rPr>
          <w:rFonts w:ascii="Times New Roman" w:hAnsi="Times New Roman"/>
          <w:noProof/>
          <w:sz w:val="24"/>
        </w:rPr>
        <w:t>, a salvar distancias entre los promotores de proyectos y los inversores corporativos e institucionales y, en última instancia, a canalizar más inversiones del sector privado.</w:t>
      </w:r>
    </w:p>
    <w:p w14:paraId="3A100723" w14:textId="77777777" w:rsidR="00600990" w:rsidRDefault="00600990">
      <w:pPr>
        <w:rPr>
          <w:rFonts w:ascii="Times New Roman" w:hAnsi="Times New Roman"/>
          <w:noProof/>
          <w:sz w:val="24"/>
          <w:szCs w:val="24"/>
        </w:rPr>
      </w:pPr>
      <w:r>
        <w:rPr>
          <w:noProof/>
        </w:rPr>
        <w:br w:type="page"/>
      </w:r>
    </w:p>
    <w:p w14:paraId="4A49902E" w14:textId="77777777" w:rsidR="008A45D3" w:rsidRPr="008907E2" w:rsidRDefault="008A45D3" w:rsidP="008A45D3">
      <w:pPr>
        <w:pStyle w:val="Heading1"/>
        <w:numPr>
          <w:ilvl w:val="0"/>
          <w:numId w:val="4"/>
        </w:numPr>
        <w:rPr>
          <w:noProof/>
        </w:rPr>
      </w:pPr>
      <w:bookmarkStart w:id="35" w:name="_Toc147843017"/>
      <w:bookmarkStart w:id="36" w:name="_Toc153536061"/>
      <w:bookmarkEnd w:id="33"/>
      <w:r>
        <w:rPr>
          <w:noProof/>
        </w:rPr>
        <w:t>EVALUACIÓN DE LA COMPETITIVIDAD DE LAS TECNOLOGÍAS ESTRATÉGICAS DE CERO EMISIONES NETAS</w:t>
      </w:r>
      <w:bookmarkEnd w:id="35"/>
      <w:bookmarkEnd w:id="36"/>
    </w:p>
    <w:p w14:paraId="032D12FA" w14:textId="1ACC468F" w:rsidR="008A45D3" w:rsidRPr="00C31310" w:rsidRDefault="008A45D3" w:rsidP="008A45D3">
      <w:pPr>
        <w:spacing w:line="257"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En esta sección se evalúa la </w:t>
      </w:r>
      <w:r>
        <w:rPr>
          <w:rFonts w:ascii="Times New Roman" w:hAnsi="Times New Roman"/>
          <w:b/>
          <w:noProof/>
          <w:color w:val="000000" w:themeColor="text1"/>
          <w:sz w:val="24"/>
        </w:rPr>
        <w:t>competitividad de las tecnologías estratégicas de cero emisiones netas</w:t>
      </w:r>
      <w:r>
        <w:rPr>
          <w:rFonts w:ascii="Times New Roman" w:hAnsi="Times New Roman"/>
          <w:noProof/>
          <w:color w:val="000000" w:themeColor="text1"/>
          <w:sz w:val="24"/>
        </w:rPr>
        <w:t xml:space="preserve"> especificadas en la Ley sobre la industria de cero emisiones netas (NZIA, por sus siglas en inglés). En ella se proporciona información sobre la evolución de la tecnología y del mercado para cumplir los objetivos del Pacto Verde Europeo y del plan REPowerEU. </w:t>
      </w:r>
      <w:r>
        <w:rPr>
          <w:rFonts w:ascii="Times New Roman" w:hAnsi="Times New Roman"/>
          <w:noProof/>
          <w:sz w:val="24"/>
        </w:rPr>
        <w:t>La NZIA propuesta especifica ocho tecnologías estratégicas de cero emisiones netas a fin de alcanzar el «Objetivo 55» para 2030 de reducir las emisiones netas de gases de efecto invernadero en al menos un 55 % con respecto a los niveles de 1990. Se trata de tecnologías solares (fotovoltaicas y solares térmicas), tecnologías eólicas terrestres y renovables marinas, electrolizadores y pilas de combustible, baterías y almacenamiento, biogás y biometano sostenibles, tecnologías de captura y almacenamiento de carbono, bombas de calor y tecnologías geotérmicas, y tecnologías de red. En la NZIA propuesta, la UE establece un valor de referencia global para cada una de estas tecnologías estratégicas de cero emisiones netas a fin de garantizar que, de aquí a 2030, la capacidad de fabricación de la UE de las tecnologías estratégicas de cero emisiones netas se aproxime o alcance al menos el 40 % de las necesidades anuales de despliegue de la UE.</w:t>
      </w:r>
    </w:p>
    <w:p w14:paraId="733DA143" w14:textId="6FAA5C65" w:rsidR="008A45D3" w:rsidRPr="00C31310" w:rsidRDefault="008A45D3" w:rsidP="008A45D3">
      <w:pPr>
        <w:spacing w:line="257" w:lineRule="auto"/>
        <w:jc w:val="both"/>
        <w:rPr>
          <w:rFonts w:ascii="Times New Roman" w:hAnsi="Times New Roman" w:cs="Times New Roman"/>
          <w:noProof/>
          <w:sz w:val="24"/>
          <w:szCs w:val="24"/>
        </w:rPr>
      </w:pPr>
      <w:r>
        <w:rPr>
          <w:rFonts w:ascii="Times New Roman" w:hAnsi="Times New Roman"/>
          <w:noProof/>
          <w:sz w:val="24"/>
        </w:rPr>
        <w:t>El análisis empírico en el que se basa esta sección se llevó a cabo en el marco del Observatorio de Tecnologías Energéticas Limpias (CETO, por sus siglas en inglés) interno de la Comisión</w:t>
      </w:r>
      <w:r w:rsidRPr="00C31310">
        <w:rPr>
          <w:rStyle w:val="FootnoteReference"/>
          <w:rFonts w:ascii="Times New Roman" w:hAnsi="Times New Roman" w:cs="Times New Roman"/>
          <w:noProof/>
          <w:sz w:val="24"/>
          <w:szCs w:val="24"/>
          <w:lang w:val="en-GB"/>
        </w:rPr>
        <w:footnoteReference w:id="97"/>
      </w:r>
      <w:r>
        <w:rPr>
          <w:rFonts w:ascii="Times New Roman" w:hAnsi="Times New Roman"/>
          <w:noProof/>
          <w:sz w:val="24"/>
        </w:rPr>
        <w:t xml:space="preserve">. </w:t>
      </w:r>
    </w:p>
    <w:p w14:paraId="1E607A22" w14:textId="77777777" w:rsidR="008A45D3" w:rsidRPr="008907E2" w:rsidRDefault="008A45D3" w:rsidP="008A45D3">
      <w:pPr>
        <w:pStyle w:val="ListParagraph"/>
        <w:keepNext/>
        <w:numPr>
          <w:ilvl w:val="0"/>
          <w:numId w:val="3"/>
        </w:numPr>
        <w:spacing w:after="240" w:line="240" w:lineRule="auto"/>
        <w:contextualSpacing w:val="0"/>
        <w:jc w:val="both"/>
        <w:outlineLvl w:val="2"/>
        <w:rPr>
          <w:rFonts w:ascii="Times New Roman" w:eastAsiaTheme="majorEastAsia" w:hAnsi="Times New Roman" w:cs="Times New Roman"/>
          <w:b/>
          <w:bCs/>
          <w:noProof/>
          <w:vanish/>
          <w:sz w:val="24"/>
          <w:szCs w:val="24"/>
        </w:rPr>
      </w:pPr>
      <w:bookmarkStart w:id="37" w:name="_Toc145344692"/>
      <w:bookmarkStart w:id="38" w:name="_Toc145430082"/>
      <w:bookmarkStart w:id="39" w:name="_Toc145430104"/>
      <w:bookmarkStart w:id="40" w:name="_Toc145430850"/>
      <w:bookmarkStart w:id="41" w:name="_Toc145500868"/>
      <w:bookmarkStart w:id="42" w:name="_Toc145501407"/>
      <w:bookmarkStart w:id="43" w:name="_Toc146116321"/>
      <w:bookmarkStart w:id="44" w:name="_Toc147843018"/>
      <w:bookmarkStart w:id="45" w:name="_Toc147937002"/>
      <w:bookmarkStart w:id="46" w:name="_Toc147937025"/>
      <w:bookmarkStart w:id="47" w:name="_Toc147937792"/>
      <w:bookmarkStart w:id="48" w:name="_Toc147938256"/>
      <w:bookmarkStart w:id="49" w:name="_Toc147996359"/>
      <w:bookmarkStart w:id="50" w:name="_Toc153536025"/>
      <w:bookmarkStart w:id="51" w:name="_Toc153536062"/>
      <w:bookmarkStart w:id="52" w:name="_Toc14241170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63A3F64"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53" w:name="_Toc147843019"/>
      <w:bookmarkStart w:id="54" w:name="_Toc153536063"/>
      <w:bookmarkEnd w:id="52"/>
      <w:r>
        <w:rPr>
          <w:rFonts w:ascii="Times New Roman" w:hAnsi="Times New Roman"/>
          <w:b/>
          <w:noProof/>
          <w:color w:val="auto"/>
        </w:rPr>
        <w:t>Energía solar fotovoltaica</w:t>
      </w:r>
      <w:bookmarkEnd w:id="53"/>
      <w:bookmarkEnd w:id="54"/>
      <w:r>
        <w:rPr>
          <w:rFonts w:ascii="Times New Roman" w:hAnsi="Times New Roman"/>
          <w:b/>
          <w:noProof/>
          <w:color w:val="auto"/>
        </w:rPr>
        <w:t xml:space="preserve"> </w:t>
      </w:r>
    </w:p>
    <w:p w14:paraId="339EE5C0" w14:textId="53826959" w:rsidR="008A45D3" w:rsidRPr="000E7105"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w:t>
      </w:r>
      <w:r>
        <w:rPr>
          <w:rFonts w:ascii="Times New Roman" w:hAnsi="Times New Roman"/>
          <w:b/>
          <w:noProof/>
          <w:sz w:val="24"/>
        </w:rPr>
        <w:t>energía solar fotovoltaica</w:t>
      </w:r>
      <w:r>
        <w:rPr>
          <w:rFonts w:ascii="Times New Roman" w:hAnsi="Times New Roman"/>
          <w:noProof/>
          <w:sz w:val="24"/>
        </w:rPr>
        <w:t xml:space="preserve"> es la tecnología de generación de electricidad que crece más rápidamente. Proporciona electricidad más barata que las centrales de combustibles fósiles en la mayoría de los países y </w:t>
      </w:r>
      <w:r>
        <w:rPr>
          <w:rFonts w:ascii="Times New Roman" w:hAnsi="Times New Roman"/>
          <w:b/>
          <w:noProof/>
          <w:sz w:val="24"/>
        </w:rPr>
        <w:t>desempeña un papel fundamental en todos los escenarios para alcanzar un sistema energético climáticamente neutro</w:t>
      </w:r>
      <w:r w:rsidRPr="002D78F4">
        <w:rPr>
          <w:noProof/>
          <w:vertAlign w:val="superscript"/>
          <w:lang w:val="en-GB" w:eastAsia="fr-BE"/>
        </w:rPr>
        <w:footnoteReference w:id="98"/>
      </w:r>
      <w:r>
        <w:rPr>
          <w:rFonts w:ascii="Times New Roman" w:hAnsi="Times New Roman"/>
          <w:noProof/>
          <w:sz w:val="24"/>
        </w:rPr>
        <w:t>. En la UE, la energía solar fotovoltaica ya generó el 7 % de la producción de electricidad en 2022 a partir de una capacidad instalada acumulada de 212 GWp</w:t>
      </w:r>
      <w:r w:rsidRPr="002D78F4">
        <w:rPr>
          <w:noProof/>
          <w:vertAlign w:val="superscript"/>
          <w:lang w:val="en-GB" w:eastAsia="fr-BE"/>
        </w:rPr>
        <w:footnoteReference w:id="99"/>
      </w:r>
      <w:r>
        <w:rPr>
          <w:rFonts w:ascii="Times New Roman" w:hAnsi="Times New Roman"/>
          <w:noProof/>
          <w:sz w:val="24"/>
        </w:rPr>
        <w:t>. La Estrategia de Energía Solar de la UE</w:t>
      </w:r>
      <w:r w:rsidRPr="002D78F4">
        <w:rPr>
          <w:noProof/>
          <w:vertAlign w:val="superscript"/>
          <w:lang w:val="en-GB" w:eastAsia="fr-BE"/>
        </w:rPr>
        <w:footnoteReference w:id="100"/>
      </w:r>
      <w:r>
        <w:rPr>
          <w:rFonts w:ascii="Times New Roman" w:hAnsi="Times New Roman"/>
          <w:noProof/>
          <w:sz w:val="24"/>
        </w:rPr>
        <w:t xml:space="preserve"> tiene por objeto alcanzar 600 GWac (720 GWp) instalados de aquí a 2030, lo que supone multiplicar por cuatro los niveles de 2021. La cadena de valor de la energía fotovoltaica está dominada por los países asiáticos, en particular China. No obstante, la Alianza Europea de la Industria Solar Fotovoltaica, puesta en marcha el 9 de diciembre de 2022, pretende ampliar la capacidad de fabricación de la UE para alcanzar al menos 30 GWp a lo largo de toda la cadena de suministro de aquí a 2025. Sin embargo, existe una reñida competencia internacional para atraer inversiones en la industria manufacturera. </w:t>
      </w:r>
    </w:p>
    <w:p w14:paraId="71E0CB7E" w14:textId="77777777" w:rsidR="008A45D3" w:rsidRPr="000E7105"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Las instalaciones fotovoltaicas dependen en gran medida de la tecnología de obleas de silicio cristalino, que sigue mejorando la eficiencia de la conversión energética y reduciendo el uso de materiales. En 2022, los módulos comerciales ofrecían una eficiencia media del 21,1 % y un máximo del 24,7 %</w:t>
      </w:r>
      <w:r w:rsidRPr="008907E2">
        <w:rPr>
          <w:noProof/>
          <w:vertAlign w:val="superscript"/>
          <w:lang w:val="en-GB" w:eastAsia="fr-BE"/>
        </w:rPr>
        <w:footnoteReference w:id="101"/>
      </w:r>
      <w:r>
        <w:rPr>
          <w:rFonts w:ascii="Times New Roman" w:hAnsi="Times New Roman"/>
          <w:noProof/>
          <w:sz w:val="24"/>
        </w:rPr>
        <w:t>. Los materiales innovadores, como las perovskitas, ofrecen margen para mayores mejoras en la eficiencia de la conversión energética: un dispositivo en tándem de perovskita/silicio estableció un nuevo récord de eficiencia del 33,7 % en mayo de 2023</w:t>
      </w:r>
      <w:r w:rsidRPr="008907E2">
        <w:rPr>
          <w:noProof/>
          <w:vertAlign w:val="superscript"/>
          <w:lang w:val="en-GB" w:eastAsia="fr-BE"/>
        </w:rPr>
        <w:footnoteReference w:id="102"/>
      </w:r>
      <w:r>
        <w:rPr>
          <w:rFonts w:ascii="Times New Roman" w:hAnsi="Times New Roman"/>
          <w:noProof/>
          <w:sz w:val="24"/>
        </w:rPr>
        <w:t xml:space="preserve">. Se están desarrollando líneas piloto para estos tándems, también en la UE, pero aún no se dispone de productos comerciales. </w:t>
      </w:r>
    </w:p>
    <w:p w14:paraId="57EB8B52" w14:textId="7BB28994" w:rsidR="008A45D3" w:rsidRPr="000E7105"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En 2022, las empresas de la UE operaban en la fabricación de silicio, lingotes/obleas, células, módulos e inversores y ofrecían productos comerciales. La producción de inversores sigue siendo, con diferencia, el mayor segmento de fabricación de energía solar de la UE, con una capacidad de producción de casi 70 GW, unos 5 GW más que en 2021. La UE también cuenta con un importante productor de polisilicio, que exporta principalmente a China. En la UE, a principios de 2023, la capacidad nominal de producción de módulos alcanzó 8,28 GWp/a; la de células, 0,86 GWp/a; y la de lingotes y obleas, 1,4 GWp/a</w:t>
      </w:r>
      <w:r w:rsidRPr="0063152E">
        <w:rPr>
          <w:rStyle w:val="FootnoteReference"/>
          <w:rFonts w:ascii="Times New Roman" w:eastAsia="Times New Roman" w:hAnsi="Times New Roman" w:cs="Times New Roman"/>
          <w:noProof/>
          <w:sz w:val="24"/>
          <w:szCs w:val="24"/>
          <w:lang w:val="en-GB" w:eastAsia="fr-BE"/>
        </w:rPr>
        <w:footnoteReference w:id="103"/>
      </w:r>
      <w:r>
        <w:rPr>
          <w:rFonts w:ascii="Times New Roman" w:hAnsi="Times New Roman"/>
          <w:noProof/>
          <w:sz w:val="24"/>
        </w:rPr>
        <w:t>. Se estima que los fabricantes de la UE habrán ensamblado aproximadamente 4 GW de módulos en 2022, principalmente a partir de células importadas. Esto representa una cuota del 10 % del mercado de la UE</w:t>
      </w:r>
      <w:r w:rsidRPr="0063152E">
        <w:rPr>
          <w:rStyle w:val="FootnoteReference"/>
          <w:rFonts w:ascii="Times New Roman" w:eastAsia="Times New Roman" w:hAnsi="Times New Roman" w:cs="Times New Roman"/>
          <w:noProof/>
          <w:sz w:val="24"/>
          <w:szCs w:val="24"/>
          <w:lang w:val="en-GB" w:eastAsia="fr-BE"/>
        </w:rPr>
        <w:footnoteReference w:id="104"/>
      </w:r>
      <w:r>
        <w:rPr>
          <w:rFonts w:ascii="Times New Roman" w:hAnsi="Times New Roman"/>
          <w:noProof/>
          <w:sz w:val="24"/>
        </w:rPr>
        <w:t>.</w:t>
      </w:r>
    </w:p>
    <w:p w14:paraId="024CAE05" w14:textId="0ED624E3" w:rsidR="008A45D3" w:rsidRPr="000E7105"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En 2022, las empresas chinas proporcionaron al menos tres cuartas partes de la capacidad mundial en todas las fases de la cadena de suministro de la fotovoltaica</w:t>
      </w:r>
      <w:r w:rsidRPr="008907E2">
        <w:rPr>
          <w:noProof/>
          <w:vertAlign w:val="superscript"/>
          <w:lang w:val="en-GB" w:eastAsia="fr-BE"/>
        </w:rPr>
        <w:footnoteReference w:id="105"/>
      </w:r>
      <w:r>
        <w:rPr>
          <w:rFonts w:ascii="Times New Roman" w:hAnsi="Times New Roman"/>
          <w:noProof/>
          <w:sz w:val="24"/>
        </w:rPr>
        <w:t xml:space="preserve"> y eran los principales exportadores de obleas, células y módulos</w:t>
      </w:r>
      <w:r w:rsidRPr="008907E2">
        <w:rPr>
          <w:noProof/>
          <w:vertAlign w:val="superscript"/>
          <w:lang w:val="en-GB" w:eastAsia="fr-BE"/>
        </w:rPr>
        <w:footnoteReference w:id="106"/>
      </w:r>
      <w:r>
        <w:rPr>
          <w:rFonts w:ascii="Times New Roman" w:hAnsi="Times New Roman"/>
          <w:noProof/>
          <w:sz w:val="24"/>
        </w:rPr>
        <w:t>. Además, las empresas chinas producen más del 80 % del polisilicio mundial, material utilizado en la producción de obleas. La región china de Uigur suministra por sí sola aproximadamente el 35 % del polisilicio mundial (aunque se ha reducido desde el 45 % en 2020), pero ha estado vinculada a grandes motivos de preocupación por el uso de trabajo forzado</w:t>
      </w:r>
      <w:r>
        <w:rPr>
          <w:rStyle w:val="FootnoteReference"/>
          <w:rFonts w:ascii="Times New Roman" w:eastAsia="Times New Roman" w:hAnsi="Times New Roman" w:cs="Times New Roman"/>
          <w:noProof/>
          <w:sz w:val="24"/>
          <w:szCs w:val="24"/>
          <w:lang w:val="en-GB" w:eastAsia="fr-BE"/>
        </w:rPr>
        <w:footnoteReference w:id="107"/>
      </w:r>
      <w:r>
        <w:rPr>
          <w:rFonts w:ascii="Times New Roman" w:hAnsi="Times New Roman"/>
          <w:noProof/>
          <w:sz w:val="24"/>
        </w:rPr>
        <w:t>.</w:t>
      </w:r>
    </w:p>
    <w:p w14:paraId="52BCB880" w14:textId="05DDBEB0" w:rsidR="008A45D3" w:rsidRPr="000E7105" w:rsidRDefault="008A45D3" w:rsidP="008A45D3">
      <w:pPr>
        <w:spacing w:after="240" w:line="240" w:lineRule="auto"/>
        <w:jc w:val="both"/>
        <w:rPr>
          <w:rFonts w:ascii="Times New Roman" w:eastAsia="Times New Roman" w:hAnsi="Times New Roman" w:cs="Times New Roman"/>
          <w:noProof/>
          <w:sz w:val="24"/>
          <w:szCs w:val="24"/>
          <w:vertAlign w:val="superscript"/>
        </w:rPr>
      </w:pPr>
      <w:r>
        <w:rPr>
          <w:rFonts w:ascii="Times New Roman" w:hAnsi="Times New Roman"/>
          <w:noProof/>
          <w:sz w:val="24"/>
        </w:rPr>
        <w:t>Los precios de la energía solar fotovoltaica se mantuvieron prácticamente estables en 2022, con módulos generales de 0,35 EUR/W, pero empezaron a bajar de nuevo durante el primer semestre de 2023 debido a la intensa competencia y al exceso de oferta de componentes a lo largo de toda la cadena de valor. El precio alcanzó un mínimo histórico en septiembre de 2023, con casi 0,22 EUR/Wp</w:t>
      </w:r>
      <w:r>
        <w:rPr>
          <w:rStyle w:val="FootnoteReference"/>
          <w:rFonts w:ascii="Times New Roman" w:eastAsia="Times New Roman" w:hAnsi="Times New Roman" w:cs="Times New Roman"/>
          <w:noProof/>
          <w:sz w:val="24"/>
          <w:szCs w:val="24"/>
          <w:lang w:val="en-GB" w:eastAsia="fr-BE"/>
        </w:rPr>
        <w:footnoteReference w:id="108"/>
      </w:r>
      <w:r>
        <w:rPr>
          <w:rFonts w:ascii="Times New Roman" w:hAnsi="Times New Roman"/>
          <w:noProof/>
          <w:sz w:val="24"/>
        </w:rPr>
        <w:t xml:space="preserve">, lo que dificultó la rentabilidad de la producción para los fabricantes de la UE. </w:t>
      </w:r>
    </w:p>
    <w:p w14:paraId="2CFEF9AB" w14:textId="0EEC9257" w:rsidR="008A45D3" w:rsidRPr="000E7105" w:rsidRDefault="002C0061"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El mercado fotovoltaico siguió creciendo significativamente en 2022, con una capacidad instalada mundial que alcanzó los 1 185 GWp (crecimiento interanual de 230 GWp). China fue el mayor mercado con aproximadamente 90 GWp. Fue un año récord para la UE, con 41 GWp instalados (18 %). Este crecimiento estuvo encabezado por España (8,1 GWp), Alemania (7,5 GWp), Polonia (4,9 GWp) y los Países Bajos (3,9 GWp)</w:t>
      </w:r>
      <w:r w:rsidR="008A45D3" w:rsidRPr="008907E2">
        <w:rPr>
          <w:noProof/>
          <w:vertAlign w:val="superscript"/>
          <w:lang w:val="en-GB" w:eastAsia="fr-BE"/>
        </w:rPr>
        <w:footnoteReference w:id="109"/>
      </w:r>
      <w:r>
        <w:rPr>
          <w:rFonts w:ascii="Times New Roman" w:hAnsi="Times New Roman"/>
          <w:noProof/>
          <w:sz w:val="24"/>
        </w:rPr>
        <w:t>. El segmento residencial fue especialmente fuerte, representando más del 50 %. Los elevados precios de la electricidad han impulsado la competitividad de la electricidad solar fotovoltaica (que, a escala comercial, tiene el coste normalizado más bajo de todas las tecnologías en casi todos los mercados</w:t>
      </w:r>
      <w:r w:rsidR="008A45D3" w:rsidRPr="008907E2">
        <w:rPr>
          <w:noProof/>
          <w:vertAlign w:val="superscript"/>
          <w:lang w:val="en-GB" w:eastAsia="fr-BE"/>
        </w:rPr>
        <w:footnoteReference w:id="110"/>
      </w:r>
      <w:r>
        <w:rPr>
          <w:rFonts w:ascii="Times New Roman" w:hAnsi="Times New Roman"/>
          <w:noProof/>
          <w:sz w:val="24"/>
        </w:rPr>
        <w:t>).</w:t>
      </w:r>
    </w:p>
    <w:p w14:paraId="4CBCE691" w14:textId="77777777" w:rsidR="008A45D3" w:rsidRPr="000E7105"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Dado que se prevé que la energía solar fotovoltaica siga expandiéndose rápidamente por todo el mundo, en los últimos doce meses se han visto iniciativas políticas en distintas zonas geográficas (por ejemplo, los Estados Unidos, la India y la UE) para desarrollar más la fabricación local de sistemas y componentes solares fotovoltaicos. A este respecto, </w:t>
      </w:r>
      <w:r>
        <w:rPr>
          <w:rFonts w:ascii="Times New Roman" w:hAnsi="Times New Roman"/>
          <w:b/>
          <w:noProof/>
          <w:sz w:val="24"/>
        </w:rPr>
        <w:t>la UE debe aprovechar su posición como uno de los mayores mercados de sistemas fotovoltaicos, su liderazgo mundial en investigación y desarrollo y el hecho de que su sociedad valore mucho la minimización del impacto ambiental, la protección de la biodiversidad y las cadenas de suministro éticas</w:t>
      </w:r>
      <w:r>
        <w:rPr>
          <w:rFonts w:ascii="Times New Roman" w:hAnsi="Times New Roman"/>
          <w:noProof/>
          <w:sz w:val="24"/>
        </w:rPr>
        <w:t xml:space="preserve">. </w:t>
      </w:r>
    </w:p>
    <w:p w14:paraId="05E63387" w14:textId="0D63E6B1" w:rsidR="008A45D3" w:rsidRPr="002D78F4" w:rsidRDefault="008A45D3" w:rsidP="008A45D3">
      <w:pPr>
        <w:spacing w:after="240" w:line="240" w:lineRule="auto"/>
        <w:jc w:val="both"/>
        <w:rPr>
          <w:rFonts w:ascii="Times New Roman" w:eastAsia="Times New Roman" w:hAnsi="Times New Roman" w:cs="Times New Roman"/>
          <w:noProof/>
          <w:sz w:val="24"/>
          <w:szCs w:val="24"/>
          <w:highlight w:val="yellow"/>
        </w:rPr>
      </w:pPr>
      <w:r>
        <w:rPr>
          <w:rFonts w:ascii="Times New Roman" w:hAnsi="Times New Roman"/>
          <w:noProof/>
          <w:sz w:val="24"/>
        </w:rPr>
        <w:t xml:space="preserve">No obstante, </w:t>
      </w:r>
      <w:r>
        <w:rPr>
          <w:rFonts w:ascii="Times New Roman" w:hAnsi="Times New Roman"/>
          <w:b/>
          <w:noProof/>
          <w:sz w:val="24"/>
        </w:rPr>
        <w:t>los productores de la UE siguen enfrentándose a costes más elevados que sus competidores</w:t>
      </w:r>
      <w:r w:rsidRPr="008907E2">
        <w:rPr>
          <w:noProof/>
          <w:vertAlign w:val="superscript"/>
          <w:lang w:val="en-GB" w:eastAsia="fr-BE"/>
        </w:rPr>
        <w:footnoteReference w:id="111"/>
      </w:r>
      <w:r>
        <w:rPr>
          <w:rFonts w:ascii="Times New Roman" w:hAnsi="Times New Roman"/>
          <w:noProof/>
          <w:sz w:val="24"/>
        </w:rPr>
        <w:t xml:space="preserve">. Esto puede mitigarse con medidas como las propuestas en la NZIA, el plan REPowerEU o la reforma de la configuración del mercado de la electricidad para reducir los costes energéticos y de financiación y acelerar los procedimientos de concesión de </w:t>
      </w:r>
      <w:r w:rsidR="00740866">
        <w:rPr>
          <w:rFonts w:ascii="Times New Roman" w:hAnsi="Times New Roman"/>
          <w:noProof/>
          <w:sz w:val="24"/>
        </w:rPr>
        <w:t>autorizaciones</w:t>
      </w:r>
      <w:r>
        <w:rPr>
          <w:rFonts w:ascii="Times New Roman" w:hAnsi="Times New Roman"/>
          <w:noProof/>
          <w:sz w:val="24"/>
        </w:rPr>
        <w:t xml:space="preserve"> para las instalaciones de producción. También requerirá un aumento de la escala de las plantas de fabricación y un enfoque centrado en productos innovadores, de alta eficiencia, con bajas emisiones de carbono y en procesos de fabricación avanzados y más sostenibles. En cuanto a la importancia de minimizar el impacto medioambiental para el sector, la legislación propuesta sobre diseño ecológico y etiquetado energético para los paneles e inversores fotovoltaicos puede ser un motor importante. Una preocupación inmediata es el actual exceso de capacidad de producción mundial</w:t>
      </w:r>
      <w:r w:rsidRPr="002D78F4">
        <w:rPr>
          <w:rFonts w:ascii="Times New Roman" w:hAnsi="Times New Roman" w:cs="Times New Roman"/>
          <w:noProof/>
          <w:vertAlign w:val="superscript"/>
          <w:lang w:val="en-GB" w:eastAsia="fr-BE"/>
        </w:rPr>
        <w:footnoteReference w:id="112"/>
      </w:r>
      <w:r>
        <w:rPr>
          <w:rFonts w:ascii="Arial" w:hAnsi="Arial"/>
          <w:noProof/>
        </w:rPr>
        <w:t xml:space="preserve">. </w:t>
      </w:r>
      <w:r>
        <w:rPr>
          <w:rFonts w:ascii="Times New Roman" w:hAnsi="Times New Roman"/>
          <w:noProof/>
          <w:sz w:val="24"/>
        </w:rPr>
        <w:t>Aunque mantiene bajos los precios en los mercados locales (al menos en la UE), desincentiva el pleno aprovechamiento de la capacidad actual.</w:t>
      </w:r>
    </w:p>
    <w:p w14:paraId="6B537644" w14:textId="0B590067" w:rsidR="008A45D3"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Para desarrollar el mercado de la UE</w:t>
      </w:r>
      <w:r>
        <w:rPr>
          <w:rFonts w:ascii="Times New Roman" w:hAnsi="Times New Roman"/>
          <w:noProof/>
          <w:sz w:val="24"/>
        </w:rPr>
        <w:t xml:space="preserve">, es esencial seguir actuando para </w:t>
      </w:r>
      <w:r>
        <w:rPr>
          <w:rFonts w:ascii="Times New Roman" w:hAnsi="Times New Roman"/>
          <w:b/>
          <w:noProof/>
          <w:sz w:val="24"/>
        </w:rPr>
        <w:t>mejorar los procedimientos de concesión de autorizaciones y lograr la aceptación pública.</w:t>
      </w:r>
      <w:r>
        <w:rPr>
          <w:rFonts w:ascii="Times New Roman" w:hAnsi="Times New Roman"/>
          <w:noProof/>
          <w:sz w:val="24"/>
        </w:rPr>
        <w:t xml:space="preserve"> El mercado residencial de la energía fotovoltaica tiene un margen considerable para seguir creciendo, pero esto dependerá de que el coste de los sistemas de baterías siga disminuyendo. Las aplicaciones especializadas, como las diversas formas de energía fotovoltaica integrada y otras opciones de instalación innovadoras, también tienen margen para un crecimiento significativo del mercado, especialmente para los fabricantes de la UE. </w:t>
      </w:r>
    </w:p>
    <w:p w14:paraId="7BECFFB1"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55" w:name="_Toc147843020"/>
      <w:bookmarkStart w:id="56" w:name="_Toc153536064"/>
      <w:r>
        <w:rPr>
          <w:rFonts w:ascii="Times New Roman" w:hAnsi="Times New Roman"/>
          <w:b/>
          <w:noProof/>
          <w:color w:val="auto"/>
        </w:rPr>
        <w:t>Energía solar térmica</w:t>
      </w:r>
      <w:bookmarkEnd w:id="55"/>
      <w:bookmarkEnd w:id="56"/>
      <w:r>
        <w:rPr>
          <w:rFonts w:ascii="Times New Roman" w:hAnsi="Times New Roman"/>
          <w:b/>
          <w:noProof/>
          <w:color w:val="auto"/>
        </w:rPr>
        <w:t xml:space="preserve"> </w:t>
      </w:r>
    </w:p>
    <w:p w14:paraId="4E1A2635" w14:textId="474EA7CC"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energía solar térmica</w:t>
      </w:r>
      <w:r w:rsidRPr="008907E2">
        <w:rPr>
          <w:rFonts w:ascii="Times New Roman" w:eastAsia="Times New Roman" w:hAnsi="Times New Roman" w:cs="Times New Roman"/>
          <w:noProof/>
          <w:sz w:val="24"/>
          <w:szCs w:val="24"/>
          <w:vertAlign w:val="superscript"/>
          <w:lang w:val="en-GB" w:eastAsia="fr-BE"/>
        </w:rPr>
        <w:footnoteReference w:id="113"/>
      </w:r>
      <w:r>
        <w:rPr>
          <w:rFonts w:ascii="Times New Roman" w:hAnsi="Times New Roman"/>
          <w:noProof/>
          <w:sz w:val="24"/>
        </w:rPr>
        <w:t xml:space="preserve"> tiene el potencial de contribuir significativamente a la descarbonización del sistema energético, como se reconoce en la Estrategia de Energía Solar de la UE. Las tecnologías solares térmicas utilizan poco o nada materias primas fundamentales y pueden ofrecer altas tasas de reciclado</w:t>
      </w:r>
      <w:r w:rsidRPr="008907E2">
        <w:rPr>
          <w:rFonts w:ascii="Times New Roman" w:eastAsia="Times New Roman" w:hAnsi="Times New Roman" w:cs="Times New Roman"/>
          <w:noProof/>
          <w:sz w:val="24"/>
          <w:szCs w:val="24"/>
          <w:vertAlign w:val="superscript"/>
          <w:lang w:val="en-GB" w:eastAsia="fr-BE"/>
        </w:rPr>
        <w:footnoteReference w:id="114"/>
      </w:r>
      <w:r>
        <w:rPr>
          <w:rFonts w:ascii="Times New Roman" w:hAnsi="Times New Roman"/>
          <w:noProof/>
          <w:sz w:val="24"/>
        </w:rPr>
        <w:t>.</w:t>
      </w:r>
    </w:p>
    <w:p w14:paraId="5C38914D" w14:textId="77777777"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Una nueva generación de centrales solares de alta concentración en funcionamiento, que suelen utilizar sales fundidas para la transferencia de calor y con más de ocho horas de almacenamiento térmico, está generando confianza en este tipo de sistemas que ayudan a mejorar la fiabilidad de la red eléctrica con electricidad de coste competitivo. La UE ha sido tradicionalmente líder en esta tecnología, pero se enfrenta a la fuerte competencia de China, que, por ejemplo, ocupó el primer puesto en patentes de alto valor en 2020. Las empresas de la UE siguen participando en proyectos internacionales en los Emiratos Árabes Unidos y Sudáfrica, y en varias licitaciones en curso. También aquí las empresas chinas están asumiendo un papel de liderazgo basado en la experiencia desarrollada en la construcción de más de 1 GW de sistemas en su mercado nacional.</w:t>
      </w:r>
      <w:r>
        <w:rPr>
          <w:rFonts w:ascii="Times New Roman" w:hAnsi="Times New Roman"/>
          <w:noProof/>
          <w:sz w:val="24"/>
          <w:vertAlign w:val="superscript"/>
        </w:rPr>
        <w:t xml:space="preserve"> </w:t>
      </w:r>
      <w:r>
        <w:rPr>
          <w:rFonts w:ascii="Times New Roman" w:hAnsi="Times New Roman"/>
          <w:noProof/>
          <w:sz w:val="24"/>
        </w:rPr>
        <w:t>En todo el mundo hay 6,4 GW de centrales de energía solar de concentración en funcionamiento. De los 2,4 GW de la UE, casi todos están en España. Se están construyendo nuevas centrales en los Emiratos Árabes Unidos, China y Sudáfrica, que pueden añadir 1,8 GW de aquí a 2025. En la UE no ha empezado a funcionar ninguna central nueva desde 2014, pero España tiene previsto construir al menos otros 2 GW de aquí a 2030</w:t>
      </w:r>
      <w:r w:rsidRPr="008907E2">
        <w:rPr>
          <w:rFonts w:ascii="Times New Roman" w:eastAsia="Times New Roman" w:hAnsi="Times New Roman" w:cs="Times New Roman"/>
          <w:noProof/>
          <w:sz w:val="24"/>
          <w:szCs w:val="24"/>
          <w:vertAlign w:val="superscript"/>
          <w:lang w:val="en-GB" w:eastAsia="fr-BE"/>
        </w:rPr>
        <w:footnoteReference w:id="115"/>
      </w:r>
      <w:r>
        <w:rPr>
          <w:rFonts w:ascii="Times New Roman" w:hAnsi="Times New Roman"/>
          <w:noProof/>
          <w:sz w:val="24"/>
        </w:rPr>
        <w:t xml:space="preserve">. </w:t>
      </w:r>
    </w:p>
    <w:p w14:paraId="012B0CD8" w14:textId="4E41146B" w:rsidR="008A45D3" w:rsidRPr="008907E2" w:rsidRDefault="008A45D3" w:rsidP="008A45D3">
      <w:pPr>
        <w:spacing w:after="240" w:line="240" w:lineRule="auto"/>
        <w:jc w:val="both"/>
        <w:rPr>
          <w:rFonts w:ascii="Times New Roman" w:eastAsia="Times New Roman" w:hAnsi="Times New Roman" w:cs="Times New Roman"/>
          <w:noProof/>
          <w:sz w:val="24"/>
          <w:szCs w:val="24"/>
          <w:vertAlign w:val="superscript"/>
        </w:rPr>
      </w:pPr>
      <w:r>
        <w:rPr>
          <w:rFonts w:ascii="Times New Roman" w:hAnsi="Times New Roman"/>
          <w:noProof/>
          <w:sz w:val="24"/>
        </w:rPr>
        <w:t>La tecnología de calefacción y refrigeración solares ofrece una gama de opciones para los edificios, las redes urbanas de calefacción y los procesos industriales. El coste normalizado actual de la calefacción/refrigeración (de 20 a 110 EUR/MWh en Europa</w:t>
      </w:r>
      <w:r w:rsidRPr="008907E2">
        <w:rPr>
          <w:rFonts w:ascii="Times New Roman" w:eastAsia="Times New Roman" w:hAnsi="Times New Roman" w:cs="Times New Roman"/>
          <w:noProof/>
          <w:sz w:val="24"/>
          <w:szCs w:val="24"/>
          <w:vertAlign w:val="superscript"/>
          <w:lang w:val="en-GB" w:eastAsia="fr-BE"/>
        </w:rPr>
        <w:footnoteReference w:id="116"/>
      </w:r>
      <w:r>
        <w:rPr>
          <w:rFonts w:ascii="Times New Roman" w:hAnsi="Times New Roman"/>
          <w:noProof/>
          <w:sz w:val="24"/>
        </w:rPr>
        <w:t>) puede ser competitivo con respecto a la calefacción de gas, especialmente en zonas con buenos recursos solares. La cuota de mercado global de la UE sigue siendo pequeña, de 0,678 TWh (0,1 %), frente a una demanda total de calor derivado de 651 TWh en 2021</w:t>
      </w:r>
      <w:r w:rsidRPr="008907E2">
        <w:rPr>
          <w:rFonts w:ascii="Times New Roman" w:eastAsia="Times New Roman" w:hAnsi="Times New Roman" w:cs="Times New Roman"/>
          <w:noProof/>
          <w:sz w:val="24"/>
          <w:szCs w:val="24"/>
          <w:vertAlign w:val="superscript"/>
          <w:lang w:val="en-GB" w:eastAsia="fr-BE"/>
        </w:rPr>
        <w:footnoteReference w:id="117"/>
      </w:r>
      <w:r>
        <w:rPr>
          <w:rFonts w:ascii="Times New Roman" w:hAnsi="Times New Roman"/>
          <w:noProof/>
          <w:sz w:val="24"/>
        </w:rPr>
        <w:t>. Según los informes, el sector de los colectores acristalados de la UE creció un 10 % en 2022, una tasa alentadora, aunque inferior a la necesaria para triplicar la capacidad de 2021 a 2030, como propone la Estrategia de Energía Solar. Los sistemas solares térmicos suministran sistemas de calefacción urbana en 264 ciudades y municipios de Europa (correspondientes a menos del 5 % de los 6 000</w:t>
      </w:r>
      <w:r w:rsidRPr="008907E2">
        <w:rPr>
          <w:rFonts w:ascii="Times New Roman" w:eastAsia="Times New Roman" w:hAnsi="Times New Roman" w:cs="Times New Roman"/>
          <w:noProof/>
          <w:sz w:val="24"/>
          <w:szCs w:val="24"/>
          <w:vertAlign w:val="superscript"/>
          <w:lang w:val="en-GB" w:eastAsia="fr-BE"/>
        </w:rPr>
        <w:footnoteReference w:id="118"/>
      </w:r>
      <w:r>
        <w:rPr>
          <w:rFonts w:ascii="Times New Roman" w:hAnsi="Times New Roman"/>
          <w:noProof/>
          <w:sz w:val="24"/>
        </w:rPr>
        <w:t xml:space="preserve"> en funcionamiento). La elevada demanda de la UE de calor para procesos industriales en el intervalo de 150-400 °C es también una buena oportunidad para desplegar la energía solar térmica. Por ejemplo, el proyecto DECARBOMALT en Croacia (apoyado por el Fondo de Innovación de la UE) utilizará calor solar para el malteado. Las empresas de la UE suministran una gran parte del mercado de calentadores de agua solares de la UE, además de exportar. En 2022 sufrieron importantes perturbaciones en la cadena de suministro</w:t>
      </w:r>
      <w:r w:rsidRPr="008907E2">
        <w:rPr>
          <w:rFonts w:ascii="Times New Roman" w:eastAsia="Times New Roman" w:hAnsi="Times New Roman" w:cs="Times New Roman"/>
          <w:noProof/>
          <w:sz w:val="24"/>
          <w:szCs w:val="24"/>
          <w:vertAlign w:val="superscript"/>
          <w:lang w:val="en-GB" w:eastAsia="fr-BE"/>
        </w:rPr>
        <w:footnoteReference w:id="119"/>
      </w:r>
      <w:r>
        <w:rPr>
          <w:rFonts w:ascii="Times New Roman" w:hAnsi="Times New Roman"/>
          <w:noProof/>
          <w:sz w:val="24"/>
        </w:rPr>
        <w:t>.</w:t>
      </w:r>
    </w:p>
    <w:p w14:paraId="6B987416" w14:textId="77777777"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Es necesario seguir actuando para impulsar la competitividad del sector solar térmico de la UE (la energía solar térmica con y sin concentración), tanto a nivel de los componentes con normalización y expansión como a nivel del sistema con soluciones integradas rentables, </w:t>
      </w:r>
      <w:r>
        <w:rPr>
          <w:rFonts w:ascii="Times New Roman" w:hAnsi="Times New Roman"/>
          <w:b/>
          <w:noProof/>
          <w:sz w:val="24"/>
        </w:rPr>
        <w:t>en particular para las necesidades industriales</w:t>
      </w:r>
      <w:r>
        <w:rPr>
          <w:rFonts w:ascii="Times New Roman" w:hAnsi="Times New Roman"/>
          <w:noProof/>
          <w:sz w:val="24"/>
        </w:rPr>
        <w:t>. En el caso de la generación de energía solar de concentración, conseguir un diseño de subasta y unas condiciones de acceso al mercado adecuados puede mejorar la capacidad de la tecnología para satisfacer los picos de demanda fuera de las horas de luz.</w:t>
      </w:r>
    </w:p>
    <w:p w14:paraId="52AA63FB"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61" w:name="_Toc153536065"/>
      <w:bookmarkStart w:id="62" w:name="_Toc147843021"/>
      <w:r>
        <w:rPr>
          <w:rFonts w:ascii="Times New Roman" w:hAnsi="Times New Roman"/>
          <w:b/>
          <w:noProof/>
          <w:color w:val="auto"/>
        </w:rPr>
        <w:t>Energía eólica terrestre y marina</w:t>
      </w:r>
      <w:bookmarkEnd w:id="61"/>
      <w:r>
        <w:rPr>
          <w:rFonts w:ascii="Times New Roman" w:hAnsi="Times New Roman"/>
          <w:b/>
          <w:noProof/>
          <w:color w:val="auto"/>
        </w:rPr>
        <w:t xml:space="preserve"> </w:t>
      </w:r>
      <w:bookmarkEnd w:id="62"/>
    </w:p>
    <w:p w14:paraId="6DCA8074" w14:textId="4F188911" w:rsidR="008A45D3" w:rsidRPr="00EA36B7" w:rsidRDefault="008A45D3" w:rsidP="008A45D3">
      <w:pPr>
        <w:spacing w:after="240" w:line="240" w:lineRule="auto"/>
        <w:jc w:val="both"/>
        <w:rPr>
          <w:rFonts w:ascii="Times New Roman" w:eastAsia="Times New Roman" w:hAnsi="Times New Roman" w:cs="Times New Roman"/>
          <w:noProof/>
          <w:sz w:val="24"/>
          <w:szCs w:val="24"/>
          <w:highlight w:val="yellow"/>
        </w:rPr>
      </w:pPr>
      <w:r>
        <w:rPr>
          <w:rFonts w:ascii="Times New Roman" w:hAnsi="Times New Roman"/>
          <w:noProof/>
          <w:sz w:val="24"/>
        </w:rPr>
        <w:t>La energía eólica desempeña un papel importante en la transición de la UE hacia la neutralidad en carbono.</w:t>
      </w:r>
      <w:r>
        <w:rPr>
          <w:rFonts w:ascii="Times New Roman" w:hAnsi="Times New Roman"/>
          <w:noProof/>
          <w:color w:val="000000"/>
          <w:sz w:val="24"/>
        </w:rPr>
        <w:t xml:space="preserve"> </w:t>
      </w:r>
      <w:r>
        <w:rPr>
          <w:rFonts w:ascii="Times New Roman" w:hAnsi="Times New Roman"/>
          <w:noProof/>
          <w:sz w:val="24"/>
        </w:rPr>
        <w:t>El plan REPowerEU pide que se acelere la instalación de capacidad de energía eólica, con el objetivo de alcanzar 510 GW de capacidad eólica de aquí a 2030</w:t>
      </w:r>
      <w:r w:rsidRPr="008907E2">
        <w:rPr>
          <w:rFonts w:ascii="Times New Roman" w:eastAsia="Times New Roman" w:hAnsi="Times New Roman" w:cs="Times New Roman"/>
          <w:noProof/>
          <w:sz w:val="24"/>
          <w:szCs w:val="24"/>
          <w:vertAlign w:val="superscript"/>
          <w:lang w:val="en-GB" w:eastAsia="fr-BE"/>
        </w:rPr>
        <w:footnoteReference w:id="120"/>
      </w:r>
      <w:r>
        <w:rPr>
          <w:rFonts w:ascii="Times New Roman" w:hAnsi="Times New Roman"/>
          <w:noProof/>
          <w:sz w:val="24"/>
        </w:rPr>
        <w:t>. Se prevé que la energía eólica alcance una cuota del 31 % de la capacidad de producción de energía eléctrica instalada en la UE en 2030.</w:t>
      </w:r>
      <w:r>
        <w:rPr>
          <w:rFonts w:ascii="Times New Roman" w:hAnsi="Times New Roman"/>
          <w:noProof/>
          <w:color w:val="000000" w:themeColor="text1"/>
          <w:sz w:val="24"/>
        </w:rPr>
        <w:t xml:space="preserve"> Al mismo tiempo, el sector eólico de la UE se enfrenta a varios retos. Para abordarlos y mejorar la competitividad de la UE en este sector, la Comisión adoptó el Plan de Acción sobre la Energía Eólica el 24 de octubre de 2023.</w:t>
      </w:r>
    </w:p>
    <w:p w14:paraId="0CAECE0A" w14:textId="68A5E592" w:rsidR="008A45D3" w:rsidRPr="008907E2" w:rsidRDefault="008A45D3" w:rsidP="008A45D3">
      <w:pPr>
        <w:spacing w:after="240" w:line="240" w:lineRule="auto"/>
        <w:jc w:val="both"/>
        <w:rPr>
          <w:rFonts w:ascii="Times New Roman" w:eastAsia="Times New Roman" w:hAnsi="Times New Roman" w:cs="Times New Roman"/>
          <w:noProof/>
          <w:sz w:val="24"/>
          <w:szCs w:val="24"/>
        </w:rPr>
      </w:pPr>
      <w:bookmarkStart w:id="63" w:name="_Hlk147924708"/>
      <w:r>
        <w:rPr>
          <w:rFonts w:ascii="Times New Roman" w:hAnsi="Times New Roman"/>
          <w:noProof/>
          <w:sz w:val="24"/>
        </w:rPr>
        <w:t>En 2022, la UE tenía una capacidad instalada acumulada total de 204 GW (189 GW de eólica terrestre; 16 GW de eólica marina).</w:t>
      </w:r>
      <w:r>
        <w:rPr>
          <w:rFonts w:ascii="Times New Roman" w:hAnsi="Times New Roman"/>
          <w:noProof/>
          <w:color w:val="000000"/>
          <w:sz w:val="24"/>
        </w:rPr>
        <w:t xml:space="preserve"> </w:t>
      </w:r>
      <w:r>
        <w:rPr>
          <w:rFonts w:ascii="Times New Roman" w:hAnsi="Times New Roman"/>
          <w:noProof/>
          <w:sz w:val="24"/>
        </w:rPr>
        <w:t>En 2022 se instalaron 16,2 GW (15 GW de eólica terrestre; 1,2 GW de eólica marina)</w:t>
      </w:r>
      <w:r w:rsidRPr="008907E2">
        <w:rPr>
          <w:rFonts w:ascii="Times New Roman" w:eastAsia="Times New Roman" w:hAnsi="Times New Roman" w:cs="Times New Roman"/>
          <w:noProof/>
          <w:sz w:val="24"/>
          <w:szCs w:val="24"/>
          <w:vertAlign w:val="superscript"/>
          <w:lang w:val="en-GB" w:eastAsia="fr-BE"/>
        </w:rPr>
        <w:footnoteReference w:id="121"/>
      </w:r>
      <w:r>
        <w:rPr>
          <w:rFonts w:ascii="Times New Roman" w:hAnsi="Times New Roman"/>
          <w:noProof/>
          <w:sz w:val="24"/>
        </w:rPr>
        <w:t>, lo que supone un aumento de casi un 50 % con respecto a 2021.</w:t>
      </w:r>
      <w:r>
        <w:rPr>
          <w:rFonts w:ascii="Times New Roman" w:hAnsi="Times New Roman"/>
          <w:noProof/>
          <w:color w:val="000000"/>
          <w:sz w:val="24"/>
        </w:rPr>
        <w:t xml:space="preserve"> </w:t>
      </w:r>
      <w:bookmarkEnd w:id="63"/>
      <w:r>
        <w:rPr>
          <w:rFonts w:ascii="Times New Roman" w:hAnsi="Times New Roman"/>
          <w:noProof/>
          <w:color w:val="000000"/>
          <w:sz w:val="24"/>
        </w:rPr>
        <w:t xml:space="preserve">En 2022, la nueva capacidad se instaló en tierra principalmente en Alemania, Suecia y Finlandia; y en el mar principalmente en Francia y los Países Bajos. </w:t>
      </w:r>
      <w:r>
        <w:rPr>
          <w:rFonts w:ascii="Times New Roman" w:hAnsi="Times New Roman"/>
          <w:noProof/>
          <w:sz w:val="24"/>
        </w:rPr>
        <w:t>La industria</w:t>
      </w:r>
      <w:r w:rsidRPr="008907E2">
        <w:rPr>
          <w:rFonts w:ascii="Times New Roman" w:eastAsia="Times New Roman" w:hAnsi="Times New Roman" w:cs="Times New Roman"/>
          <w:noProof/>
          <w:sz w:val="24"/>
          <w:szCs w:val="24"/>
          <w:vertAlign w:val="superscript"/>
          <w:lang w:val="en-GB" w:eastAsia="fr-BE"/>
        </w:rPr>
        <w:footnoteReference w:id="122"/>
      </w:r>
      <w:r>
        <w:rPr>
          <w:rFonts w:ascii="Times New Roman" w:hAnsi="Times New Roman"/>
          <w:noProof/>
          <w:sz w:val="24"/>
        </w:rPr>
        <w:t xml:space="preserve"> espera instalar 20 GW de capacidad de energía eólica al año en la UE durante los próximos cinco años, por debajo de los 30 GW/año necesarios para alcanzar los objetivos de 2030</w:t>
      </w:r>
      <w:r w:rsidRPr="0075118E">
        <w:rPr>
          <w:rStyle w:val="FootnoteReference"/>
          <w:rFonts w:ascii="Times New Roman" w:eastAsia="Times New Roman" w:hAnsi="Times New Roman" w:cs="Times New Roman"/>
          <w:noProof/>
          <w:sz w:val="24"/>
          <w:szCs w:val="24"/>
          <w:lang w:val="en-GB" w:eastAsia="fr-BE"/>
        </w:rPr>
        <w:footnoteReference w:id="123"/>
      </w:r>
      <w:r>
        <w:rPr>
          <w:rFonts w:ascii="Times New Roman" w:hAnsi="Times New Roman"/>
          <w:noProof/>
          <w:sz w:val="24"/>
        </w:rPr>
        <w:t>.</w:t>
      </w:r>
      <w:r>
        <w:rPr>
          <w:rFonts w:ascii="Times New Roman" w:hAnsi="Times New Roman"/>
          <w:noProof/>
          <w:color w:val="000000"/>
          <w:sz w:val="24"/>
        </w:rPr>
        <w:t xml:space="preserve"> En conjunto, China sigue siendo líder en términos de capacidad eólica, con una capacidad acumulada de 334 GW (31 GW de eólica marina) y 37,6 GW añadidos en 2022, incluidos 5 GW de eólica marina. La UE ocupa el segundo lugar y los Estados Unidos, el tercero, con 144 GW de capacidad total. </w:t>
      </w:r>
      <w:r>
        <w:rPr>
          <w:rFonts w:ascii="Times New Roman" w:hAnsi="Times New Roman"/>
          <w:noProof/>
          <w:sz w:val="24"/>
        </w:rPr>
        <w:t>El total mundial de nueva capacidad de energía eólica instalada en 2022 fue de 68 GW de eólica terrestre y 9 GW de eólica marina</w:t>
      </w:r>
      <w:r w:rsidRPr="0075118E">
        <w:rPr>
          <w:rFonts w:ascii="Times New Roman" w:eastAsia="Times New Roman" w:hAnsi="Times New Roman" w:cs="Times New Roman"/>
          <w:noProof/>
          <w:sz w:val="24"/>
          <w:szCs w:val="24"/>
          <w:vertAlign w:val="superscript"/>
          <w:lang w:val="en-GB" w:eastAsia="fr-BE"/>
        </w:rPr>
        <w:footnoteReference w:id="124"/>
      </w:r>
      <w:r>
        <w:rPr>
          <w:rFonts w:ascii="Times New Roman" w:hAnsi="Times New Roman"/>
          <w:noProof/>
          <w:sz w:val="24"/>
        </w:rPr>
        <w:t>. Los Estados miembros de la UE celebraron en enero de 2023 acuerdos no vinculantes sobre objetivos en materia de energías renovables marinas por cuenca marítima, lo que arroja un resultado acumulativo para la UE de 109-112 GW de aquí a 2030, de 215-248 GW para 2040 y de 281-354 GW para 2050</w:t>
      </w:r>
      <w:r w:rsidR="006244EB">
        <w:rPr>
          <w:rStyle w:val="FootnoteReference"/>
          <w:rFonts w:ascii="Times New Roman" w:eastAsia="Times New Roman" w:hAnsi="Times New Roman" w:cs="Times New Roman"/>
          <w:noProof/>
          <w:sz w:val="24"/>
          <w:szCs w:val="24"/>
          <w:lang w:val="en-GB"/>
        </w:rPr>
        <w:footnoteReference w:id="125"/>
      </w:r>
      <w:r>
        <w:rPr>
          <w:rFonts w:ascii="Times New Roman" w:hAnsi="Times New Roman"/>
          <w:noProof/>
          <w:sz w:val="24"/>
        </w:rPr>
        <w:t>.</w:t>
      </w:r>
    </w:p>
    <w:p w14:paraId="29231EB1" w14:textId="78A17608" w:rsidR="008A45D3" w:rsidRPr="00C245C4" w:rsidRDefault="008A45D3" w:rsidP="008A45D3">
      <w:pPr>
        <w:spacing w:after="240" w:line="240" w:lineRule="auto"/>
        <w:jc w:val="both"/>
        <w:rPr>
          <w:rFonts w:ascii="Times New Roman" w:eastAsia="Times New Roman" w:hAnsi="Times New Roman" w:cs="Times New Roman"/>
          <w:b/>
          <w:bCs/>
          <w:i/>
          <w:noProof/>
          <w:color w:val="FF0000"/>
          <w:sz w:val="24"/>
          <w:szCs w:val="24"/>
        </w:rPr>
      </w:pPr>
      <w:r>
        <w:rPr>
          <w:rFonts w:ascii="Times New Roman" w:hAnsi="Times New Roman"/>
          <w:b/>
          <w:noProof/>
          <w:color w:val="000000"/>
          <w:sz w:val="24"/>
        </w:rPr>
        <w:t>El sector eólico de la UE sigue siendo uno de los más fuertes del mercado mundial.</w:t>
      </w:r>
      <w:r>
        <w:rPr>
          <w:rFonts w:ascii="Times New Roman" w:hAnsi="Times New Roman"/>
          <w:noProof/>
          <w:color w:val="000000"/>
          <w:sz w:val="24"/>
        </w:rPr>
        <w:t xml:space="preserve"> </w:t>
      </w:r>
      <w:r>
        <w:rPr>
          <w:rFonts w:ascii="Times New Roman" w:hAnsi="Times New Roman"/>
          <w:noProof/>
          <w:sz w:val="24"/>
        </w:rPr>
        <w:t>Los fabricantes de la UE representaron el 85 % del mercado de la energía eólica de la UE y el 30 % de la cuota de mercado mundial en 2022, frente al 42 % de 2019</w:t>
      </w:r>
      <w:r w:rsidRPr="008907E2">
        <w:rPr>
          <w:rFonts w:ascii="Times New Roman" w:eastAsia="Times New Roman" w:hAnsi="Times New Roman" w:cs="Times New Roman"/>
          <w:noProof/>
          <w:color w:val="000000"/>
          <w:sz w:val="24"/>
          <w:szCs w:val="24"/>
          <w:vertAlign w:val="superscript"/>
          <w:lang w:val="en-GB" w:eastAsia="fr-BE"/>
        </w:rPr>
        <w:footnoteReference w:id="126"/>
      </w:r>
      <w:r>
        <w:rPr>
          <w:rFonts w:ascii="Times New Roman" w:hAnsi="Times New Roman"/>
          <w:noProof/>
          <w:sz w:val="24"/>
        </w:rPr>
        <w:t>.</w:t>
      </w:r>
      <w:r>
        <w:rPr>
          <w:rFonts w:ascii="Times New Roman" w:hAnsi="Times New Roman"/>
          <w:noProof/>
          <w:color w:val="000000"/>
          <w:sz w:val="24"/>
        </w:rPr>
        <w:t xml:space="preserve"> En el caso específico del sector de la eólica marina, la cuota de mercado de las empresas de la UE para las instalaciones en la UE en 2022 alcanzó el 94 %. </w:t>
      </w:r>
      <w:r>
        <w:rPr>
          <w:rFonts w:ascii="Times New Roman" w:hAnsi="Times New Roman"/>
          <w:noProof/>
          <w:sz w:val="24"/>
        </w:rPr>
        <w:t xml:space="preserve">Para cumplir los objetivos de REPowerEU, será crucial acelerar masivamente el despliegue de la energía eólica. </w:t>
      </w:r>
      <w:r>
        <w:rPr>
          <w:rFonts w:ascii="Times New Roman" w:hAnsi="Times New Roman"/>
          <w:b/>
          <w:noProof/>
          <w:sz w:val="24"/>
        </w:rPr>
        <w:t>Sin embargo, el aumento de los costes a lo largo de la cadena de valor socava la viabilidad económica de varios proyectos. Los fabricantes de energía eólica de la UE se enfrentan a otros retos</w:t>
      </w:r>
      <w:r>
        <w:rPr>
          <w:rFonts w:ascii="Times New Roman" w:hAnsi="Times New Roman"/>
          <w:noProof/>
          <w:sz w:val="24"/>
        </w:rPr>
        <w:t xml:space="preserve"> debido a los bajos volúmenes de instalación, la elevada inflación y los elevados precios de las materias primas, los elevados tipos de interés, el acceso limitado al capital y la lentitud y complejidad de la concesión de autorizaciones que no refleja las condiciones específicas del mercado: </w:t>
      </w:r>
      <w:r>
        <w:rPr>
          <w:rFonts w:ascii="Times New Roman" w:hAnsi="Times New Roman"/>
          <w:b/>
          <w:noProof/>
          <w:sz w:val="24"/>
        </w:rPr>
        <w:t>todos ellos factores que han afectado negativamente al sector</w:t>
      </w:r>
      <w:r>
        <w:rPr>
          <w:rFonts w:ascii="Times New Roman" w:hAnsi="Times New Roman"/>
          <w:noProof/>
          <w:sz w:val="24"/>
        </w:rPr>
        <w:t>.</w:t>
      </w:r>
      <w:r>
        <w:rPr>
          <w:rFonts w:ascii="Times New Roman" w:hAnsi="Times New Roman"/>
          <w:b/>
          <w:noProof/>
          <w:sz w:val="24"/>
        </w:rPr>
        <w:t xml:space="preserve"> </w:t>
      </w:r>
    </w:p>
    <w:p w14:paraId="435D2399" w14:textId="6B9BFDB6" w:rsidR="008A45D3" w:rsidRPr="00C31310"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Según el sector, la inflación de los precios de las materias primas y otros costes de los insumos han provocado un aumento del 40 % en el precio de los aerogeneradores en los dos últimos años</w:t>
      </w:r>
      <w:r w:rsidRPr="008907E2">
        <w:rPr>
          <w:rFonts w:ascii="Times New Roman" w:eastAsia="Times New Roman" w:hAnsi="Times New Roman" w:cs="Times New Roman"/>
          <w:noProof/>
          <w:sz w:val="24"/>
          <w:szCs w:val="24"/>
          <w:vertAlign w:val="superscript"/>
          <w:lang w:val="en-GB" w:eastAsia="fr-BE"/>
        </w:rPr>
        <w:footnoteReference w:id="127"/>
      </w:r>
      <w:r>
        <w:rPr>
          <w:rFonts w:ascii="Times New Roman" w:hAnsi="Times New Roman"/>
          <w:noProof/>
          <w:sz w:val="24"/>
        </w:rPr>
        <w:t>.</w:t>
      </w:r>
      <w:r>
        <w:rPr>
          <w:rFonts w:ascii="Times New Roman" w:hAnsi="Times New Roman"/>
          <w:noProof/>
          <w:color w:val="323232"/>
          <w:sz w:val="24"/>
        </w:rPr>
        <w:t xml:space="preserve"> </w:t>
      </w:r>
      <w:r>
        <w:rPr>
          <w:rFonts w:ascii="Times New Roman" w:hAnsi="Times New Roman"/>
          <w:noProof/>
          <w:sz w:val="24"/>
        </w:rPr>
        <w:t>Lo que es más importante, siguen existiendo cuellos de botella en el proceso de concesión de autorizaciones —que ya se han abordado a escala de la UE, pero persisten problemas como la insuficiencia de personal en comparación con el gran número de solicitudes de autorizaciones en las administraciones públicas— y falta de visibilidad de la cartera de próximos proyectos. Estos factores han llevado al sector de los aerogeneradores de la UE a registrar pérdidas y emitir reiteradas advertencias de menores beneficios.</w:t>
      </w:r>
    </w:p>
    <w:p w14:paraId="672B805E" w14:textId="39D9F97F" w:rsidR="008A45D3" w:rsidRPr="00885751" w:rsidRDefault="008A45D3" w:rsidP="008A45D3">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b/>
          <w:noProof/>
          <w:sz w:val="24"/>
        </w:rPr>
        <w:t>Dada la importancia estratégica de la energía eólica para la UE, deben tomarse medidas para impulsar la competitividad de la industria eólica.</w:t>
      </w:r>
      <w:r>
        <w:rPr>
          <w:rFonts w:ascii="Times New Roman" w:hAnsi="Times New Roman"/>
          <w:noProof/>
          <w:sz w:val="24"/>
        </w:rPr>
        <w:t xml:space="preserve"> Para estimular el crecimiento de la cadena de suministro de energía eólica en la UE, es necesario diversificar las importaciones de materias primas, seguir aplicando enfoques de economía circular y aumentar la capacidad de fabricación. Las propuestas de Ley de la industria de cero emisiones netas y Ley de Materias Primas Fundamentales se diseñaron para garantizar la resiliencia de la cadena de suministro de la UE en todos los segmentos. También se necesita apoyo para realizar inversiones sustanciales en redes, puertos y buques de instalación y mantenimiento. Los volúmenes de instalación deben aumentar para generar economías de escala, estabilidad y la previsibilidad necesaria para fomentar la inversión y hacer rentable la fabricación de energía eólica. Deben mejorarse aún más </w:t>
      </w:r>
      <w:r w:rsidR="00740866">
        <w:rPr>
          <w:rFonts w:ascii="Times New Roman" w:hAnsi="Times New Roman"/>
          <w:noProof/>
          <w:sz w:val="24"/>
        </w:rPr>
        <w:t>los plazos de concesión de autorizaciones</w:t>
      </w:r>
      <w:r>
        <w:rPr>
          <w:rFonts w:ascii="Times New Roman" w:hAnsi="Times New Roman"/>
          <w:noProof/>
          <w:sz w:val="24"/>
        </w:rPr>
        <w:t xml:space="preserve"> y la simplificación de los procedimientos, así como la transparencia y la visibilidad de la planificación de las futuras subastas y de la cartera de proyectos por parte de los Estados miembros.</w:t>
      </w:r>
      <w:r>
        <w:rPr>
          <w:rFonts w:ascii="Times New Roman" w:hAnsi="Times New Roman"/>
          <w:noProof/>
          <w:color w:val="000000" w:themeColor="text1"/>
          <w:sz w:val="24"/>
        </w:rPr>
        <w:t xml:space="preserve"> </w:t>
      </w:r>
      <w:r>
        <w:rPr>
          <w:rFonts w:ascii="Times New Roman" w:hAnsi="Times New Roman"/>
          <w:b/>
          <w:noProof/>
          <w:color w:val="000000" w:themeColor="text1"/>
          <w:sz w:val="24"/>
        </w:rPr>
        <w:t xml:space="preserve">Para mantener la posición competitiva de la UE en el sector de la energía eólica, será fundamental contar con el apoyo continuo de los gobiernos, en especial proporcionando personal suficiente y cualificado para tramitar los expedientes de concesión de </w:t>
      </w:r>
      <w:r w:rsidR="00740866">
        <w:rPr>
          <w:rFonts w:ascii="Times New Roman" w:hAnsi="Times New Roman"/>
          <w:b/>
          <w:noProof/>
          <w:color w:val="000000" w:themeColor="text1"/>
          <w:sz w:val="24"/>
        </w:rPr>
        <w:t>autorizaciones</w:t>
      </w:r>
      <w:r>
        <w:rPr>
          <w:rFonts w:ascii="Times New Roman" w:hAnsi="Times New Roman"/>
          <w:b/>
          <w:noProof/>
          <w:color w:val="000000" w:themeColor="text1"/>
          <w:sz w:val="24"/>
        </w:rPr>
        <w:t>, y contar con un entorno empresarial favorable.</w:t>
      </w:r>
      <w:r>
        <w:rPr>
          <w:rFonts w:ascii="Times New Roman" w:hAnsi="Times New Roman"/>
          <w:noProof/>
          <w:color w:val="000000" w:themeColor="text1"/>
          <w:sz w:val="24"/>
        </w:rPr>
        <w:t xml:space="preserve"> La financiación de la UE y de los Estados miembros debe utilizarse para fomentar la innovación a gran escala, de acuerdo con las normas de la UE sobre ayudas estatales. </w:t>
      </w:r>
      <w:r>
        <w:rPr>
          <w:rFonts w:ascii="Times New Roman" w:hAnsi="Times New Roman"/>
          <w:b/>
          <w:noProof/>
          <w:color w:val="000000" w:themeColor="text1"/>
          <w:sz w:val="24"/>
        </w:rPr>
        <w:t>Para hacer frente a los retos actuales de la industria eólica de la UE, la Comisión adoptó un Plan de Acción sobre la Energía Eólica</w:t>
      </w:r>
      <w:r>
        <w:rPr>
          <w:rFonts w:ascii="Times New Roman" w:hAnsi="Times New Roman"/>
          <w:noProof/>
          <w:color w:val="000000" w:themeColor="text1"/>
          <w:sz w:val="24"/>
        </w:rPr>
        <w:t xml:space="preserve"> que contribuirá a acelerar aún más la concesión de autorizaciones, mejorará los sistemas de subastas en toda la UE, facilitará el acceso a la financiación y reforzará las cadenas de suministro. </w:t>
      </w:r>
    </w:p>
    <w:p w14:paraId="0AE8838C"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67" w:name="_Toc147843022"/>
      <w:bookmarkStart w:id="68" w:name="_Toc153536066"/>
      <w:r>
        <w:rPr>
          <w:rFonts w:ascii="Times New Roman" w:hAnsi="Times New Roman"/>
          <w:b/>
          <w:noProof/>
          <w:color w:val="auto"/>
        </w:rPr>
        <w:t>Energía oceánica</w:t>
      </w:r>
      <w:bookmarkEnd w:id="67"/>
      <w:bookmarkEnd w:id="68"/>
      <w:r>
        <w:rPr>
          <w:rFonts w:ascii="Times New Roman" w:hAnsi="Times New Roman"/>
          <w:b/>
          <w:noProof/>
          <w:color w:val="auto"/>
        </w:rPr>
        <w:t xml:space="preserve"> </w:t>
      </w:r>
    </w:p>
    <w:p w14:paraId="150B4CD5" w14:textId="40928722"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b/>
          <w:noProof/>
          <w:color w:val="000000"/>
          <w:sz w:val="24"/>
        </w:rPr>
        <w:t>La estrategia de la UE sobre energía renovable marina de 2020</w:t>
      </w:r>
      <w:r w:rsidRPr="00E40386">
        <w:rPr>
          <w:rFonts w:ascii="Times New Roman" w:eastAsia="Times New Roman" w:hAnsi="Times New Roman" w:cs="Times New Roman"/>
          <w:b/>
          <w:bCs/>
          <w:noProof/>
          <w:color w:val="000000"/>
          <w:sz w:val="24"/>
          <w:szCs w:val="24"/>
          <w:vertAlign w:val="superscript"/>
          <w:lang w:val="en-GB" w:eastAsia="fr-BE"/>
        </w:rPr>
        <w:footnoteReference w:id="128"/>
      </w:r>
      <w:r>
        <w:rPr>
          <w:rFonts w:ascii="Times New Roman" w:hAnsi="Times New Roman"/>
          <w:b/>
          <w:noProof/>
          <w:color w:val="000000"/>
          <w:sz w:val="24"/>
        </w:rPr>
        <w:t xml:space="preserve"> pide que se tomen medidas para instalar 1 GW de capacidad comercial de energía oceánica de aquí a 2030 y 40 GW de aquí a 2050.</w:t>
      </w:r>
      <w:r>
        <w:rPr>
          <w:rFonts w:ascii="Times New Roman" w:hAnsi="Times New Roman"/>
          <w:noProof/>
          <w:color w:val="000000"/>
          <w:sz w:val="24"/>
        </w:rPr>
        <w:t xml:space="preserve"> </w:t>
      </w:r>
    </w:p>
    <w:p w14:paraId="6D8F38FB" w14:textId="2706458B" w:rsidR="008A45D3" w:rsidRPr="00C31310" w:rsidRDefault="008A45D3" w:rsidP="008A45D3">
      <w:pPr>
        <w:spacing w:after="0" w:line="240" w:lineRule="auto"/>
        <w:jc w:val="both"/>
        <w:rPr>
          <w:rFonts w:ascii="Times New Roman" w:eastAsia="Times New Roman" w:hAnsi="Times New Roman" w:cs="Times New Roman"/>
          <w:noProof/>
          <w:color w:val="333333"/>
          <w:sz w:val="24"/>
          <w:szCs w:val="24"/>
        </w:rPr>
      </w:pPr>
      <w:r>
        <w:rPr>
          <w:rFonts w:ascii="Times New Roman" w:hAnsi="Times New Roman"/>
          <w:noProof/>
          <w:sz w:val="24"/>
        </w:rPr>
        <w:t>La energía oceánica incluye cinco tecnologías distintas: la energía de las corrientes de marea, la energía del alcance de las mareas, la energía undimotriz, la energía maremotérmica y la generación de energía de los gradientes de salinidad. Las tecnologías mareomotriz y undimotriz son las más avanzadas. A escala mundial, más del 98 % de toda</w:t>
      </w:r>
      <w:r w:rsidRPr="008907E2">
        <w:rPr>
          <w:rFonts w:ascii="Times New Roman" w:eastAsia="Times New Roman" w:hAnsi="Times New Roman" w:cs="Times New Roman"/>
          <w:noProof/>
          <w:sz w:val="24"/>
          <w:szCs w:val="24"/>
          <w:vertAlign w:val="superscript"/>
          <w:lang w:val="en-GB" w:eastAsia="fr-BE"/>
        </w:rPr>
        <w:footnoteReference w:id="129"/>
      </w:r>
      <w:r>
        <w:rPr>
          <w:rFonts w:ascii="Times New Roman" w:hAnsi="Times New Roman"/>
          <w:noProof/>
          <w:sz w:val="24"/>
        </w:rPr>
        <w:t xml:space="preserve"> la capacidad combinada actualmente operativa es tecnología del alcance de las mareas (521,5 MW), incluida la central mareomotriz de 240 MW de La Rance (Francia), construida en 1963</w:t>
      </w:r>
      <w:r>
        <w:rPr>
          <w:rStyle w:val="FootnoteReference"/>
          <w:rFonts w:ascii="Times New Roman" w:eastAsia="EC Square Sans Pro" w:hAnsi="Times New Roman" w:cs="Times New Roman"/>
          <w:noProof/>
          <w:color w:val="000000"/>
          <w:sz w:val="24"/>
          <w:szCs w:val="24"/>
          <w:lang w:val="en-GB" w:eastAsia="fr-BE"/>
        </w:rPr>
        <w:footnoteReference w:id="130"/>
      </w:r>
      <w:r>
        <w:rPr>
          <w:rFonts w:ascii="Times New Roman" w:hAnsi="Times New Roman"/>
          <w:noProof/>
          <w:sz w:val="24"/>
        </w:rPr>
        <w:t>. En 2022, hubo un número limitado de nuevas instalaciones de dispositivos de energía oceánica tanto en el mundo como en la UE</w:t>
      </w:r>
      <w:r>
        <w:rPr>
          <w:rStyle w:val="FootnoteReference"/>
          <w:rFonts w:ascii="Times New Roman" w:eastAsia="Times New Roman" w:hAnsi="Times New Roman" w:cs="Times New Roman"/>
          <w:noProof/>
          <w:sz w:val="24"/>
          <w:szCs w:val="24"/>
          <w:lang w:val="en-GB" w:eastAsia="fr-BE"/>
        </w:rPr>
        <w:footnoteReference w:id="131"/>
      </w:r>
      <w:r>
        <w:rPr>
          <w:rFonts w:ascii="Times New Roman" w:hAnsi="Times New Roman"/>
          <w:noProof/>
          <w:sz w:val="24"/>
        </w:rPr>
        <w:t>.</w:t>
      </w:r>
      <w:r>
        <w:rPr>
          <w:rFonts w:ascii="Times New Roman" w:hAnsi="Times New Roman"/>
          <w:noProof/>
          <w:color w:val="333333"/>
          <w:sz w:val="24"/>
        </w:rPr>
        <w:t xml:space="preserve"> </w:t>
      </w:r>
      <w:r>
        <w:rPr>
          <w:rFonts w:ascii="Times New Roman" w:hAnsi="Times New Roman"/>
          <w:noProof/>
          <w:sz w:val="24"/>
        </w:rPr>
        <w:t xml:space="preserve">En la actualidad, solo unos pocos dispositivos han alcanzado una fase comercial, pero varios se encuentran en niveles más avanzados de madurez tecnológica, y la </w:t>
      </w:r>
      <w:r>
        <w:rPr>
          <w:rFonts w:ascii="Times New Roman" w:hAnsi="Times New Roman"/>
          <w:noProof/>
          <w:color w:val="333333"/>
          <w:sz w:val="24"/>
        </w:rPr>
        <w:t>t</w:t>
      </w:r>
      <w:r>
        <w:rPr>
          <w:rFonts w:ascii="Times New Roman" w:hAnsi="Times New Roman"/>
          <w:noProof/>
          <w:sz w:val="24"/>
        </w:rPr>
        <w:t xml:space="preserve">ecnología mareomotriz ha convergido en tipos específicos de dispositivos. </w:t>
      </w:r>
      <w:r>
        <w:rPr>
          <w:rFonts w:ascii="Times New Roman" w:hAnsi="Times New Roman"/>
          <w:b/>
          <w:noProof/>
          <w:sz w:val="24"/>
        </w:rPr>
        <w:t>Los obstáculos al desarrollo de este sector se derivan principalmente de su falta de madurez.</w:t>
      </w:r>
      <w:r>
        <w:rPr>
          <w:rFonts w:ascii="Times New Roman" w:hAnsi="Times New Roman"/>
          <w:noProof/>
          <w:sz w:val="24"/>
        </w:rPr>
        <w:t xml:space="preserve"> Los dispositivos y procedimientos aún no están optimizados, lo que se traduce en costes elevados (con un LCOE medio para los dispositivos de energía undimotriz de 0,27 EUR/kWh y para los de energía mareomotriz de 0,2 EUR/kWh), procesos largos de concesión de autorizaciones, escasez de financiación, conceptos no probados y ausencia de diseños dominantes. Aún así, se espera que múltiples proyectos piloto estén operativos de aquí a 2025</w:t>
      </w:r>
      <w:r w:rsidRPr="008907E2">
        <w:rPr>
          <w:rFonts w:ascii="Times New Roman" w:eastAsia="Times New Roman" w:hAnsi="Times New Roman" w:cs="Times New Roman"/>
          <w:noProof/>
          <w:sz w:val="24"/>
          <w:szCs w:val="24"/>
          <w:vertAlign w:val="superscript"/>
          <w:lang w:val="en-GB" w:eastAsia="fr-BE"/>
        </w:rPr>
        <w:footnoteReference w:id="132"/>
      </w:r>
      <w:r>
        <w:rPr>
          <w:rFonts w:ascii="Times New Roman" w:hAnsi="Times New Roman"/>
          <w:noProof/>
          <w:sz w:val="24"/>
        </w:rPr>
        <w:t>.</w:t>
      </w:r>
    </w:p>
    <w:p w14:paraId="2A89D877" w14:textId="4B65B544" w:rsidR="008A45D3" w:rsidRPr="008907E2" w:rsidRDefault="008A45D3" w:rsidP="008A45D3">
      <w:pPr>
        <w:spacing w:before="120" w:after="120" w:line="240" w:lineRule="auto"/>
        <w:jc w:val="both"/>
        <w:rPr>
          <w:rFonts w:ascii="Times New Roman" w:eastAsia="Times New Roman" w:hAnsi="Times New Roman" w:cs="Times New Roman"/>
          <w:noProof/>
          <w:color w:val="000000"/>
          <w:sz w:val="24"/>
          <w:szCs w:val="24"/>
          <w:vertAlign w:val="superscript"/>
        </w:rPr>
      </w:pPr>
      <w:r>
        <w:rPr>
          <w:rFonts w:ascii="Times New Roman" w:hAnsi="Times New Roman"/>
          <w:noProof/>
          <w:sz w:val="24"/>
        </w:rPr>
        <w:t>Según la industria</w:t>
      </w:r>
      <w:r w:rsidRPr="008907E2">
        <w:rPr>
          <w:rFonts w:ascii="Times New Roman" w:eastAsia="Times New Roman" w:hAnsi="Times New Roman" w:cs="Times New Roman"/>
          <w:noProof/>
          <w:sz w:val="24"/>
          <w:szCs w:val="24"/>
          <w:vertAlign w:val="superscript"/>
          <w:lang w:val="en-GB" w:eastAsia="fr-BE"/>
        </w:rPr>
        <w:footnoteReference w:id="133"/>
      </w:r>
      <w:r>
        <w:rPr>
          <w:rFonts w:ascii="Times New Roman" w:hAnsi="Times New Roman"/>
          <w:noProof/>
          <w:sz w:val="24"/>
        </w:rPr>
        <w:t>, en los últimos diez años la UE ha invertido más de 375 millones EUR en investigación, desarrollo e innovación en materia de energía oceánica a través de múltiples programas de financiación.</w:t>
      </w:r>
      <w:r>
        <w:rPr>
          <w:rFonts w:ascii="Times New Roman" w:hAnsi="Times New Roman"/>
          <w:noProof/>
          <w:color w:val="000000"/>
          <w:sz w:val="24"/>
        </w:rPr>
        <w:t xml:space="preserve"> El programa de trabajo de Horizonte Europa para el período 2023-2024 proporciona un importe indicativo adicional de 94 millones EUR en apoyo. Desde 2018, el Consejo Europeo de Innovación ha financiado diez proyectos relacionados con la energía oceánica con un presupuesto total (para la energía oceánica) de aproximadamente 25 millones EUR. </w:t>
      </w:r>
      <w:r>
        <w:rPr>
          <w:rFonts w:ascii="Times New Roman" w:hAnsi="Times New Roman"/>
          <w:noProof/>
          <w:sz w:val="24"/>
        </w:rPr>
        <w:t>Según la Plataforma Europea de Tecnología e Innovación (ETIP) sobre energía oceánica, el liderazgo de la UE en energía undimotriz y mareomotriz podría generar una actividad económica por valor de 140 000 millones EUR y 500 000 puestos de trabajo con un mercado mundial de 293 GW de aquí a 2050</w:t>
      </w:r>
      <w:r w:rsidRPr="008907E2">
        <w:rPr>
          <w:rFonts w:ascii="Times New Roman" w:eastAsia="Times New Roman" w:hAnsi="Times New Roman" w:cs="Times New Roman"/>
          <w:noProof/>
          <w:sz w:val="24"/>
          <w:szCs w:val="24"/>
          <w:vertAlign w:val="superscript"/>
          <w:lang w:val="en-GB" w:eastAsia="fr-BE"/>
        </w:rPr>
        <w:footnoteReference w:id="134"/>
      </w:r>
      <w:r>
        <w:rPr>
          <w:rFonts w:ascii="Times New Roman" w:hAnsi="Times New Roman"/>
          <w:noProof/>
          <w:sz w:val="24"/>
        </w:rPr>
        <w:t>.</w:t>
      </w:r>
    </w:p>
    <w:p w14:paraId="05421AA3" w14:textId="77777777" w:rsidR="008A45D3" w:rsidRPr="008907E2" w:rsidRDefault="008A45D3" w:rsidP="008A45D3">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rPr>
        <w:t>Lo más probable es que los productos de fabricación especializada, como cajas de cambios, generadores, sistemas de control y transmisiones, procedan de Europa.</w:t>
      </w:r>
      <w:r>
        <w:rPr>
          <w:rFonts w:ascii="Times New Roman" w:hAnsi="Times New Roman"/>
          <w:noProof/>
          <w:color w:val="000000" w:themeColor="text1"/>
          <w:sz w:val="24"/>
        </w:rPr>
        <w:t xml:space="preserve"> En particular, los elementos de tierras raras utilizados en los imanes permanentes de los generadores de turbinas se identifican como materias primas fundamentales en el sector de la energía oceánica. El disprosio, el neodimio, el praseodimio, el terbio y el borato están sujetos a un alto riesgo de suministro.</w:t>
      </w:r>
    </w:p>
    <w:p w14:paraId="540484AE" w14:textId="4EAAFB6B" w:rsidR="008A45D3" w:rsidRPr="008907E2" w:rsidRDefault="008A45D3" w:rsidP="008A45D3">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La industria de la UE lidera el desarrollo del sector de la energía oceánica</w:t>
      </w:r>
      <w:r>
        <w:rPr>
          <w:rFonts w:ascii="Times New Roman" w:hAnsi="Times New Roman"/>
          <w:noProof/>
          <w:sz w:val="24"/>
        </w:rPr>
        <w:t>, con un 41 % de desarrolladores de corrientes de mareas con un nivel de madurez tecnológica superior a 5 en la UE</w:t>
      </w:r>
      <w:r w:rsidRPr="008907E2">
        <w:rPr>
          <w:rFonts w:ascii="Times New Roman" w:eastAsia="Times New Roman" w:hAnsi="Times New Roman" w:cs="Times New Roman"/>
          <w:noProof/>
          <w:sz w:val="24"/>
          <w:szCs w:val="24"/>
          <w:vertAlign w:val="superscript"/>
          <w:lang w:val="en-GB" w:eastAsia="fr-BE"/>
        </w:rPr>
        <w:footnoteReference w:id="135"/>
      </w:r>
      <w:r>
        <w:rPr>
          <w:rFonts w:ascii="Times New Roman" w:hAnsi="Times New Roman"/>
          <w:noProof/>
          <w:sz w:val="24"/>
        </w:rPr>
        <w:t xml:space="preserve">, con el </w:t>
      </w:r>
      <w:r>
        <w:rPr>
          <w:rFonts w:ascii="Times New Roman" w:hAnsi="Times New Roman"/>
          <w:noProof/>
          <w:sz w:val="19"/>
        </w:rPr>
        <w:t>l</w:t>
      </w:r>
      <w:r>
        <w:rPr>
          <w:rFonts w:ascii="Times New Roman" w:hAnsi="Times New Roman"/>
          <w:noProof/>
          <w:sz w:val="24"/>
        </w:rPr>
        <w:t>iderazgo de los Países Bajos, Francia e Irlanda.</w:t>
      </w:r>
      <w:r>
        <w:rPr>
          <w:rFonts w:ascii="Times New Roman" w:hAnsi="Times New Roman"/>
          <w:noProof/>
          <w:color w:val="000000"/>
          <w:sz w:val="24"/>
        </w:rPr>
        <w:t xml:space="preserve"> Las empresas de fuera de la UE se encuentran principalmente en el Reino Unido, Canadá, los Estados Unidos y China</w:t>
      </w:r>
      <w:r>
        <w:rPr>
          <w:rFonts w:ascii="EC Square Sans Pro" w:hAnsi="EC Square Sans Pro"/>
          <w:noProof/>
          <w:color w:val="000000"/>
          <w:sz w:val="19"/>
        </w:rPr>
        <w:t xml:space="preserve">. </w:t>
      </w:r>
      <w:r>
        <w:rPr>
          <w:rFonts w:ascii="Times New Roman" w:hAnsi="Times New Roman"/>
          <w:noProof/>
          <w:sz w:val="24"/>
        </w:rPr>
        <w:t>Del mismo modo, el 52 % de las empresas que desarrollan dispositivos de energía undimotriz están situadas en la UE</w:t>
      </w:r>
      <w:r w:rsidRPr="008907E2">
        <w:rPr>
          <w:rFonts w:ascii="Times New Roman" w:eastAsia="Times New Roman" w:hAnsi="Times New Roman" w:cs="Times New Roman"/>
          <w:noProof/>
          <w:sz w:val="24"/>
          <w:szCs w:val="24"/>
          <w:vertAlign w:val="superscript"/>
          <w:lang w:val="en-GB" w:eastAsia="fr-BE"/>
        </w:rPr>
        <w:footnoteReference w:id="136"/>
      </w:r>
      <w:r>
        <w:rPr>
          <w:rFonts w:ascii="Times New Roman" w:hAnsi="Times New Roman"/>
          <w:noProof/>
          <w:sz w:val="24"/>
        </w:rPr>
        <w:t xml:space="preserve">. </w:t>
      </w:r>
      <w:r>
        <w:rPr>
          <w:rFonts w:ascii="Times New Roman" w:hAnsi="Times New Roman"/>
          <w:noProof/>
          <w:color w:val="000000"/>
          <w:sz w:val="24"/>
        </w:rPr>
        <w:t xml:space="preserve">Dinamarca es el país con mayor número de desarrolladores, seguido de Italia y Suecia. </w:t>
      </w:r>
      <w:r>
        <w:rPr>
          <w:rFonts w:ascii="Times New Roman" w:hAnsi="Times New Roman"/>
          <w:noProof/>
          <w:sz w:val="24"/>
        </w:rPr>
        <w:t>Fuera de la UE, el Reino Unido, los Estados Unidos, Australia y Noruega cuentan con un gran número de desarrolladores de energía undimotriz.</w:t>
      </w:r>
      <w:r>
        <w:rPr>
          <w:rFonts w:ascii="Times New Roman" w:hAnsi="Times New Roman"/>
          <w:noProof/>
          <w:color w:val="000000"/>
          <w:sz w:val="24"/>
        </w:rPr>
        <w:t xml:space="preserve"> </w:t>
      </w:r>
    </w:p>
    <w:p w14:paraId="4C62DA28" w14:textId="77777777" w:rsidR="008A45D3" w:rsidRDefault="008A45D3" w:rsidP="008A45D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sz w:val="24"/>
        </w:rPr>
        <w:t xml:space="preserve">En 2022, China superó a la UE en número de publicaciones científicas y ahora lidera tanto el sector undimotriz como el mareomotriz. </w:t>
      </w:r>
      <w:r>
        <w:rPr>
          <w:rFonts w:ascii="Times New Roman" w:hAnsi="Times New Roman"/>
          <w:noProof/>
          <w:sz w:val="24"/>
        </w:rPr>
        <w:t>La UE ocupa el segundo puesto en ambas categorías de energía oceánica</w:t>
      </w:r>
      <w:r w:rsidRPr="008907E2">
        <w:rPr>
          <w:rFonts w:ascii="Times New Roman" w:eastAsia="Times New Roman" w:hAnsi="Times New Roman" w:cs="Times New Roman"/>
          <w:noProof/>
          <w:sz w:val="24"/>
          <w:szCs w:val="24"/>
          <w:vertAlign w:val="superscript"/>
          <w:lang w:val="en-GB" w:eastAsia="fr-BE"/>
        </w:rPr>
        <w:footnoteReference w:id="137"/>
      </w:r>
      <w:r>
        <w:rPr>
          <w:rFonts w:ascii="Times New Roman" w:hAnsi="Times New Roman"/>
          <w:noProof/>
          <w:sz w:val="24"/>
        </w:rPr>
        <w:t>.</w:t>
      </w:r>
      <w:r>
        <w:rPr>
          <w:rFonts w:ascii="Times New Roman" w:hAnsi="Times New Roman"/>
          <w:noProof/>
          <w:color w:val="000000"/>
          <w:sz w:val="24"/>
        </w:rPr>
        <w:t xml:space="preserve"> </w:t>
      </w:r>
      <w:r>
        <w:rPr>
          <w:rFonts w:ascii="Times New Roman" w:hAnsi="Times New Roman"/>
          <w:b/>
          <w:noProof/>
          <w:color w:val="000000" w:themeColor="text1"/>
          <w:sz w:val="24"/>
        </w:rPr>
        <w:t>Se necesita una combinación de innovación tecnológica, políticas de acompañamiento, costes más bajos y la integración sistemática de tecnologías, procesos o dispositivos fiables a más largo plazo para ofrecer a los inversores la seguridad y confianza necesarias para impulsar la competitividad de la UE en el sector de la energía oceánica.</w:t>
      </w:r>
      <w:r>
        <w:rPr>
          <w:rFonts w:ascii="Times New Roman" w:hAnsi="Times New Roman"/>
          <w:noProof/>
          <w:color w:val="000000" w:themeColor="text1"/>
          <w:sz w:val="24"/>
        </w:rPr>
        <w:t xml:space="preserve"> La creación de subastas específicas para cada tecnología puede permitir el despliegue de dispositivos comerciales que, a su vez, contribuirán a reducir el LCOE y a poner de relieve las ventajas de la energía oceánica para el sistema. Compartir infraestructuras con otras instalaciones renovables (por ejemplo, la eólica marina) y desarrollar plataformas comunes para múltiples actividades (por ejemplo, la acuicultura) también puede ser útil para impulsar el desarrollo de la energía oceánica.</w:t>
      </w:r>
    </w:p>
    <w:p w14:paraId="07580D4C" w14:textId="77777777" w:rsidR="008A45D3" w:rsidRPr="00C223F1" w:rsidRDefault="008A45D3" w:rsidP="008A45D3">
      <w:pPr>
        <w:spacing w:after="0" w:line="240" w:lineRule="auto"/>
        <w:jc w:val="both"/>
        <w:rPr>
          <w:rFonts w:ascii="Times New Roman" w:eastAsia="Times New Roman" w:hAnsi="Times New Roman" w:cs="Times New Roman"/>
          <w:noProof/>
          <w:color w:val="000000"/>
          <w:sz w:val="24"/>
          <w:szCs w:val="24"/>
          <w:lang w:eastAsia="fr-BE"/>
        </w:rPr>
      </w:pPr>
    </w:p>
    <w:p w14:paraId="5802CB24"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70" w:name="_Toc147843023"/>
      <w:bookmarkStart w:id="71" w:name="_Toc153536067"/>
      <w:r>
        <w:rPr>
          <w:rFonts w:ascii="Times New Roman" w:hAnsi="Times New Roman"/>
          <w:b/>
          <w:noProof/>
          <w:color w:val="auto"/>
        </w:rPr>
        <w:t>Baterías</w:t>
      </w:r>
      <w:bookmarkEnd w:id="70"/>
      <w:bookmarkEnd w:id="71"/>
    </w:p>
    <w:p w14:paraId="7E37F632" w14:textId="77777777" w:rsidR="008A45D3" w:rsidRPr="00C31310" w:rsidRDefault="008A45D3" w:rsidP="008A45D3">
      <w:pPr>
        <w:spacing w:after="120" w:line="252" w:lineRule="auto"/>
        <w:jc w:val="both"/>
        <w:rPr>
          <w:rFonts w:ascii="Times New Roman" w:hAnsi="Times New Roman" w:cs="Times New Roman"/>
          <w:noProof/>
          <w:sz w:val="24"/>
          <w:szCs w:val="24"/>
        </w:rPr>
      </w:pPr>
      <w:bookmarkStart w:id="72" w:name="_Hlk145011603"/>
      <w:bookmarkStart w:id="73" w:name="_Hlk145011615"/>
      <w:r>
        <w:rPr>
          <w:rFonts w:ascii="Times New Roman" w:hAnsi="Times New Roman"/>
          <w:b/>
          <w:noProof/>
          <w:sz w:val="24"/>
        </w:rPr>
        <w:t>Las baterías desempeñan un papel crucial en la transición hacia una energía limpia, tanto para el transporte como para las aplicaciones estacionarias.</w:t>
      </w:r>
      <w:r>
        <w:rPr>
          <w:rFonts w:ascii="Times New Roman" w:hAnsi="Times New Roman"/>
          <w:noProof/>
          <w:sz w:val="24"/>
        </w:rPr>
        <w:t xml:space="preserve"> A medida que la UE lleva a cabo la transición hacia nuevos vehículos ligeros de emisión cero de aquí a 2035</w:t>
      </w:r>
      <w:r w:rsidRPr="00C31310">
        <w:rPr>
          <w:rStyle w:val="FootnoteReference"/>
          <w:rFonts w:ascii="Times New Roman" w:eastAsiaTheme="minorEastAsia" w:hAnsi="Times New Roman" w:cs="Times New Roman"/>
          <w:noProof/>
          <w:sz w:val="24"/>
          <w:szCs w:val="24"/>
          <w:lang w:val="en-GB"/>
        </w:rPr>
        <w:footnoteReference w:id="138"/>
      </w:r>
      <w:r>
        <w:rPr>
          <w:rFonts w:ascii="Times New Roman" w:hAnsi="Times New Roman"/>
          <w:noProof/>
          <w:sz w:val="24"/>
        </w:rPr>
        <w:t>, está aumentando sustancialmente su producción nacional de baterías para ser competitiva a escala mundial, cumplir sus objetivos políticos e impedir que surjan nuevas dependencias de los combustibles fósiles.</w:t>
      </w:r>
    </w:p>
    <w:p w14:paraId="43ECDF5D" w14:textId="0332334D" w:rsidR="008A45D3" w:rsidRPr="00C31310" w:rsidRDefault="008A45D3" w:rsidP="008A45D3">
      <w:pPr>
        <w:spacing w:after="120" w:line="252" w:lineRule="auto"/>
        <w:jc w:val="both"/>
        <w:rPr>
          <w:rFonts w:ascii="Times New Roman" w:hAnsi="Times New Roman" w:cs="Times New Roman"/>
          <w:noProof/>
          <w:sz w:val="24"/>
          <w:szCs w:val="24"/>
        </w:rPr>
      </w:pPr>
      <w:r>
        <w:rPr>
          <w:rFonts w:ascii="Times New Roman" w:hAnsi="Times New Roman"/>
          <w:noProof/>
          <w:sz w:val="24"/>
        </w:rPr>
        <w:t xml:space="preserve">Se prevé que la </w:t>
      </w:r>
      <w:r>
        <w:rPr>
          <w:rFonts w:ascii="Times New Roman" w:hAnsi="Times New Roman"/>
          <w:b/>
          <w:noProof/>
          <w:sz w:val="24"/>
        </w:rPr>
        <w:t xml:space="preserve">producción de baterías en la UE </w:t>
      </w:r>
      <w:r>
        <w:rPr>
          <w:rFonts w:ascii="Times New Roman" w:hAnsi="Times New Roman"/>
          <w:noProof/>
          <w:sz w:val="24"/>
        </w:rPr>
        <w:t>alcance los 458 GWh de aquí a 2025 y los 1 083 GWh de aquí a 2030</w:t>
      </w:r>
      <w:r w:rsidRPr="00C31310">
        <w:rPr>
          <w:rStyle w:val="FootnoteReference"/>
          <w:rFonts w:ascii="Times New Roman" w:eastAsiaTheme="minorEastAsia" w:hAnsi="Times New Roman" w:cs="Times New Roman"/>
          <w:noProof/>
          <w:sz w:val="24"/>
          <w:szCs w:val="24"/>
          <w:lang w:val="en-GB"/>
        </w:rPr>
        <w:footnoteReference w:id="139"/>
      </w:r>
      <w:r>
        <w:rPr>
          <w:rFonts w:ascii="Times New Roman" w:hAnsi="Times New Roman"/>
          <w:noProof/>
          <w:sz w:val="24"/>
        </w:rPr>
        <w:t xml:space="preserve">, lo que indica que sigue un </w:t>
      </w:r>
      <w:r>
        <w:rPr>
          <w:rFonts w:ascii="Times New Roman" w:hAnsi="Times New Roman"/>
          <w:b/>
          <w:noProof/>
          <w:sz w:val="24"/>
        </w:rPr>
        <w:t>buen camino para satisfacer la demanda prevista de la UE</w:t>
      </w:r>
      <w:r w:rsidRPr="00C31310">
        <w:rPr>
          <w:rStyle w:val="FootnoteReference"/>
          <w:rFonts w:ascii="Times New Roman" w:eastAsiaTheme="minorEastAsia" w:hAnsi="Times New Roman" w:cs="Times New Roman"/>
          <w:noProof/>
          <w:sz w:val="24"/>
          <w:szCs w:val="24"/>
          <w:lang w:val="en-GB"/>
        </w:rPr>
        <w:footnoteReference w:id="140"/>
      </w:r>
      <w:r>
        <w:rPr>
          <w:rFonts w:ascii="Times New Roman" w:hAnsi="Times New Roman"/>
          <w:noProof/>
          <w:sz w:val="24"/>
          <w:vertAlign w:val="superscript"/>
        </w:rPr>
        <w:t>,</w:t>
      </w:r>
      <w:r w:rsidRPr="00C31310">
        <w:rPr>
          <w:rStyle w:val="FootnoteReference"/>
          <w:rFonts w:ascii="Times New Roman" w:eastAsiaTheme="minorEastAsia" w:hAnsi="Times New Roman" w:cs="Times New Roman"/>
          <w:noProof/>
          <w:sz w:val="24"/>
          <w:szCs w:val="24"/>
          <w:lang w:val="en-GB"/>
        </w:rPr>
        <w:footnoteReference w:id="141"/>
      </w:r>
      <w:r>
        <w:rPr>
          <w:rFonts w:ascii="Times New Roman" w:hAnsi="Times New Roman"/>
          <w:noProof/>
          <w:sz w:val="24"/>
        </w:rPr>
        <w:t>. La Alianza Europea de Baterías está desempeñando un papel clave en este contexto y, en 2022, la red industrial de baterías de Europa en el marco de la Alianza pasó de 750 a 800 miembros repartidos a lo largo de toda la cadena de valor. El ecosistema europeo de las baterías representa hasta la fecha alrededor de 180 000 millones EUR de compromisos de inversión, en su mayoría privados</w:t>
      </w:r>
      <w:r w:rsidRPr="00C31310">
        <w:rPr>
          <w:rStyle w:val="FootnoteReference"/>
          <w:rFonts w:ascii="Times New Roman" w:eastAsiaTheme="minorEastAsia" w:hAnsi="Times New Roman" w:cs="Times New Roman"/>
          <w:noProof/>
          <w:sz w:val="24"/>
          <w:szCs w:val="24"/>
          <w:lang w:val="en-GB"/>
        </w:rPr>
        <w:footnoteReference w:id="142"/>
      </w:r>
      <w:r>
        <w:rPr>
          <w:rFonts w:ascii="Times New Roman" w:hAnsi="Times New Roman"/>
          <w:noProof/>
          <w:sz w:val="24"/>
        </w:rPr>
        <w:t xml:space="preserve">. </w:t>
      </w:r>
    </w:p>
    <w:p w14:paraId="7141CEB8" w14:textId="77777777" w:rsidR="008A45D3" w:rsidRPr="00C31310" w:rsidRDefault="008A45D3" w:rsidP="008A45D3">
      <w:pPr>
        <w:spacing w:after="120" w:line="252" w:lineRule="auto"/>
        <w:jc w:val="both"/>
        <w:rPr>
          <w:rFonts w:ascii="Times New Roman" w:hAnsi="Times New Roman" w:cs="Times New Roman"/>
          <w:noProof/>
          <w:sz w:val="24"/>
          <w:szCs w:val="24"/>
        </w:rPr>
      </w:pPr>
      <w:r>
        <w:rPr>
          <w:rFonts w:ascii="Times New Roman" w:hAnsi="Times New Roman"/>
          <w:noProof/>
          <w:sz w:val="24"/>
        </w:rPr>
        <w:t>A pesar de la disminución general del mercado de automóviles de la UE en 2022, las ventas de vehículos eléctricos de batería de la UE aumentaron un 28 % en comparación con 2021, lo que representa el 12,1 %</w:t>
      </w:r>
      <w:r w:rsidRPr="00C31310">
        <w:rPr>
          <w:rStyle w:val="FootnoteReference"/>
          <w:rFonts w:ascii="Times New Roman" w:eastAsiaTheme="minorEastAsia" w:hAnsi="Times New Roman" w:cs="Times New Roman"/>
          <w:noProof/>
          <w:sz w:val="24"/>
          <w:szCs w:val="24"/>
          <w:lang w:val="en-GB"/>
        </w:rPr>
        <w:footnoteReference w:id="143"/>
      </w:r>
      <w:r>
        <w:rPr>
          <w:rFonts w:ascii="Times New Roman" w:hAnsi="Times New Roman"/>
          <w:noProof/>
          <w:sz w:val="24"/>
        </w:rPr>
        <w:t xml:space="preserve"> (1,12 millones) de los 9,1 millones de vehículos vendidos en los mercados de la UE. En conjunto, los vehículos eléctricos de batería, los vehículos eléctricos enchufables y los vehículos eléctricos híbridos, representaron el 44,1 % de las ventas de automóviles de la UE en 2022</w:t>
      </w:r>
      <w:r w:rsidRPr="00C31310">
        <w:rPr>
          <w:rStyle w:val="FootnoteReference"/>
          <w:rFonts w:ascii="Times New Roman" w:eastAsiaTheme="minorEastAsia" w:hAnsi="Times New Roman" w:cs="Times New Roman"/>
          <w:noProof/>
          <w:sz w:val="24"/>
          <w:szCs w:val="24"/>
          <w:lang w:val="en-GB"/>
        </w:rPr>
        <w:footnoteReference w:id="144"/>
      </w:r>
      <w:r>
        <w:rPr>
          <w:rFonts w:ascii="Times New Roman" w:hAnsi="Times New Roman"/>
          <w:noProof/>
          <w:sz w:val="24"/>
        </w:rPr>
        <w:t>. La tendencia al alza continúa y en octubre de 2023 se vendieron 819 000 vehículos eléctricos de batería, o 1 288 millones de vehículos eléctricos enchufables en total</w:t>
      </w:r>
      <w:r w:rsidRPr="00C31310">
        <w:rPr>
          <w:rStyle w:val="FootnoteReference"/>
          <w:rFonts w:ascii="Times New Roman" w:hAnsi="Times New Roman" w:cs="Times New Roman"/>
          <w:noProof/>
          <w:sz w:val="24"/>
          <w:szCs w:val="24"/>
          <w:lang w:val="en-GB"/>
        </w:rPr>
        <w:footnoteReference w:id="145"/>
      </w:r>
      <w:r>
        <w:rPr>
          <w:rFonts w:ascii="Times New Roman" w:hAnsi="Times New Roman"/>
          <w:noProof/>
          <w:sz w:val="24"/>
        </w:rPr>
        <w:t xml:space="preserve"> en la UE27. En todo el mundo, la tendencia indica 14 millones a finales de 2023 (+ 35 % con respecto a 2022), lo que podría suponer un 18 % del total de las ventas de automóviles en 2023</w:t>
      </w:r>
      <w:r w:rsidRPr="00C31310">
        <w:rPr>
          <w:rStyle w:val="FootnoteReference"/>
          <w:rFonts w:ascii="Times New Roman" w:eastAsiaTheme="minorEastAsia" w:hAnsi="Times New Roman" w:cs="Times New Roman"/>
          <w:noProof/>
          <w:sz w:val="24"/>
          <w:szCs w:val="24"/>
          <w:lang w:val="en-GB"/>
        </w:rPr>
        <w:footnoteReference w:id="146"/>
      </w:r>
      <w:r>
        <w:rPr>
          <w:rFonts w:ascii="Times New Roman" w:hAnsi="Times New Roman"/>
          <w:noProof/>
          <w:sz w:val="24"/>
        </w:rPr>
        <w:t>.</w:t>
      </w:r>
    </w:p>
    <w:p w14:paraId="04A4642E" w14:textId="77777777" w:rsidR="008A45D3" w:rsidRPr="00C31310" w:rsidRDefault="008A45D3" w:rsidP="008A45D3">
      <w:pPr>
        <w:spacing w:line="252" w:lineRule="auto"/>
        <w:jc w:val="both"/>
        <w:rPr>
          <w:rFonts w:ascii="Times New Roman" w:hAnsi="Times New Roman" w:cs="Times New Roman"/>
          <w:noProof/>
          <w:sz w:val="24"/>
          <w:szCs w:val="24"/>
        </w:rPr>
      </w:pPr>
      <w:r>
        <w:rPr>
          <w:rFonts w:ascii="Times New Roman" w:hAnsi="Times New Roman"/>
          <w:noProof/>
          <w:sz w:val="24"/>
        </w:rPr>
        <w:t xml:space="preserve">Aunque </w:t>
      </w:r>
      <w:r>
        <w:rPr>
          <w:rFonts w:ascii="Times New Roman" w:hAnsi="Times New Roman"/>
          <w:b/>
          <w:noProof/>
          <w:sz w:val="24"/>
        </w:rPr>
        <w:t>la mayoría de las baterías se destinarán al sector del automóvil, el almacenamiento estacionario también está aumentando exponencialmente.</w:t>
      </w:r>
      <w:r>
        <w:rPr>
          <w:rFonts w:ascii="Times New Roman" w:hAnsi="Times New Roman"/>
          <w:noProof/>
          <w:sz w:val="24"/>
        </w:rPr>
        <w:t xml:space="preserve"> Se prevé que a finales de 2023 se habrán instalado en todo el mundo 154 GWh de sistemas de almacenamiento de energía con baterías, un 102 % más que en 2022</w:t>
      </w:r>
      <w:r w:rsidRPr="00C31310">
        <w:rPr>
          <w:rStyle w:val="FootnoteReference"/>
          <w:rFonts w:ascii="Times New Roman" w:eastAsiaTheme="minorEastAsia" w:hAnsi="Times New Roman" w:cs="Times New Roman"/>
          <w:noProof/>
          <w:sz w:val="24"/>
          <w:szCs w:val="24"/>
          <w:lang w:val="en-GB"/>
        </w:rPr>
        <w:footnoteReference w:id="147"/>
      </w:r>
      <w:r>
        <w:rPr>
          <w:rFonts w:ascii="Times New Roman" w:hAnsi="Times New Roman"/>
          <w:noProof/>
          <w:sz w:val="24"/>
        </w:rPr>
        <w:t>, de los cuales aproximadamente el 10 % se instalarán en la UE</w:t>
      </w:r>
      <w:r w:rsidRPr="00C31310">
        <w:rPr>
          <w:rStyle w:val="FootnoteReference"/>
          <w:rFonts w:ascii="Times New Roman" w:eastAsiaTheme="minorEastAsia" w:hAnsi="Times New Roman" w:cs="Times New Roman"/>
          <w:noProof/>
          <w:sz w:val="24"/>
          <w:szCs w:val="24"/>
          <w:lang w:val="en-GB"/>
        </w:rPr>
        <w:footnoteReference w:id="148"/>
      </w:r>
      <w:r>
        <w:rPr>
          <w:rFonts w:ascii="Times New Roman" w:hAnsi="Times New Roman"/>
          <w:noProof/>
          <w:sz w:val="24"/>
        </w:rPr>
        <w:t>.</w:t>
      </w:r>
    </w:p>
    <w:p w14:paraId="292908D2" w14:textId="77777777" w:rsidR="0080502A" w:rsidRPr="00C31310" w:rsidRDefault="0080502A" w:rsidP="0080502A">
      <w:pPr>
        <w:spacing w:line="252" w:lineRule="auto"/>
        <w:jc w:val="both"/>
        <w:rPr>
          <w:rFonts w:ascii="Times New Roman" w:hAnsi="Times New Roman" w:cs="Times New Roman"/>
          <w:noProof/>
          <w:sz w:val="24"/>
          <w:szCs w:val="24"/>
        </w:rPr>
      </w:pPr>
      <w:r>
        <w:rPr>
          <w:rFonts w:ascii="Times New Roman" w:hAnsi="Times New Roman"/>
          <w:noProof/>
          <w:sz w:val="24"/>
        </w:rPr>
        <w:t>A pesar de que la producción mundial aumentó un 180 % en comparación con 2017, una vez más la altísima demanda mundial de litio en 2022 superó la oferta. En 2022, alrededor del 60 % de la demanda de litio, el 30 % de la de cobalto y el 10 % de la de níquel se destinó a baterías para vehículos eléctricos (</w:t>
      </w:r>
      <w:r>
        <w:rPr>
          <w:rFonts w:ascii="Times New Roman" w:hAnsi="Times New Roman"/>
          <w:noProof/>
          <w:snapToGrid w:val="0"/>
          <w:color w:val="000000"/>
          <w:sz w:val="0"/>
          <w:u w:color="000000"/>
          <w:bdr w:val="none" w:sz="0" w:space="0" w:color="000000"/>
          <w:shd w:val="clear" w:color="000000" w:fill="000000"/>
        </w:rPr>
        <w:t xml:space="preserve">frente al </w:t>
      </w:r>
      <w:r>
        <w:rPr>
          <w:rFonts w:ascii="Times New Roman" w:hAnsi="Times New Roman"/>
          <w:noProof/>
          <w:sz w:val="24"/>
        </w:rPr>
        <w:t>15 %, 10 % y 2 %, respectivamente, en 2017)</w:t>
      </w:r>
      <w:r w:rsidRPr="00C31310">
        <w:rPr>
          <w:rStyle w:val="FootnoteReference"/>
          <w:rFonts w:ascii="Times New Roman" w:eastAsiaTheme="minorEastAsia" w:hAnsi="Times New Roman" w:cs="Times New Roman"/>
          <w:noProof/>
          <w:sz w:val="24"/>
          <w:szCs w:val="24"/>
          <w:lang w:val="en-GB"/>
        </w:rPr>
        <w:footnoteReference w:id="149"/>
      </w:r>
      <w:r>
        <w:rPr>
          <w:rFonts w:ascii="Times New Roman" w:hAnsi="Times New Roman"/>
          <w:noProof/>
          <w:sz w:val="24"/>
        </w:rPr>
        <w:t xml:space="preserve">. </w:t>
      </w:r>
      <w:r>
        <w:rPr>
          <w:rStyle w:val="normaltextrun"/>
          <w:rFonts w:ascii="Times New Roman" w:hAnsi="Times New Roman"/>
          <w:noProof/>
          <w:sz w:val="24"/>
        </w:rPr>
        <w:t>Tras una década en la que los precios mayormente disminuyeron, y a pesar del aumento de las cuotas de productos químicos de menor coste, como el fosfato de litio y hierro</w:t>
      </w:r>
      <w:r w:rsidRPr="00C31310">
        <w:rPr>
          <w:rStyle w:val="FootnoteReference"/>
          <w:rFonts w:ascii="Times New Roman" w:eastAsiaTheme="minorEastAsia" w:hAnsi="Times New Roman" w:cs="Times New Roman"/>
          <w:noProof/>
          <w:sz w:val="24"/>
          <w:szCs w:val="24"/>
          <w:lang w:val="en-GB"/>
        </w:rPr>
        <w:footnoteReference w:id="150"/>
      </w:r>
      <w:r>
        <w:rPr>
          <w:rStyle w:val="normaltextrun"/>
          <w:rFonts w:ascii="Times New Roman" w:hAnsi="Times New Roman"/>
          <w:noProof/>
          <w:sz w:val="24"/>
          <w:vertAlign w:val="superscript"/>
        </w:rPr>
        <w:t>,</w:t>
      </w:r>
      <w:r w:rsidRPr="00C31310">
        <w:rPr>
          <w:rStyle w:val="FootnoteReference"/>
          <w:rFonts w:ascii="Times New Roman" w:eastAsiaTheme="minorEastAsia" w:hAnsi="Times New Roman" w:cs="Times New Roman"/>
          <w:noProof/>
          <w:sz w:val="24"/>
          <w:szCs w:val="24"/>
          <w:lang w:val="en-GB"/>
        </w:rPr>
        <w:footnoteReference w:id="151"/>
      </w:r>
      <w:r>
        <w:rPr>
          <w:rStyle w:val="normaltextrun"/>
          <w:rFonts w:ascii="Times New Roman" w:hAnsi="Times New Roman"/>
          <w:noProof/>
          <w:sz w:val="24"/>
        </w:rPr>
        <w:t>, los precios medios de los conjuntos de baterías de ion-litio alcanzaron 136 EUR/kWh</w:t>
      </w:r>
      <w:r w:rsidRPr="00C31310">
        <w:rPr>
          <w:rStyle w:val="FootnoteReference"/>
          <w:rFonts w:ascii="Times New Roman" w:eastAsiaTheme="minorEastAsia" w:hAnsi="Times New Roman" w:cs="Times New Roman"/>
          <w:noProof/>
          <w:sz w:val="24"/>
          <w:szCs w:val="24"/>
          <w:lang w:val="en-GB"/>
        </w:rPr>
        <w:footnoteReference w:id="152"/>
      </w:r>
      <w:r>
        <w:rPr>
          <w:rStyle w:val="normaltextrun"/>
          <w:rFonts w:ascii="Times New Roman" w:hAnsi="Times New Roman"/>
          <w:noProof/>
          <w:sz w:val="24"/>
        </w:rPr>
        <w:t xml:space="preserve"> en 2022, lo que supone un aumento del 7 % con respecto a 2021. En Europa, debido a los mayores costes de producción, los precios medios fueron de 152 EUR/kWh en 2022, un 24 % más elevados que en los Estados Unidos y un 33 % más altos que en China</w:t>
      </w:r>
      <w:r w:rsidRPr="00C31310">
        <w:rPr>
          <w:rStyle w:val="FootnoteReference"/>
          <w:rFonts w:ascii="Times New Roman" w:eastAsiaTheme="minorEastAsia" w:hAnsi="Times New Roman" w:cs="Times New Roman"/>
          <w:noProof/>
          <w:sz w:val="24"/>
          <w:szCs w:val="24"/>
          <w:lang w:val="en-GB"/>
        </w:rPr>
        <w:footnoteReference w:id="153"/>
      </w:r>
      <w:r>
        <w:rPr>
          <w:rStyle w:val="normaltextrun"/>
          <w:rFonts w:ascii="Times New Roman" w:hAnsi="Times New Roman"/>
          <w:noProof/>
          <w:sz w:val="24"/>
        </w:rPr>
        <w:t xml:space="preserve">. </w:t>
      </w:r>
      <w:r>
        <w:rPr>
          <w:rFonts w:ascii="Times New Roman" w:hAnsi="Times New Roman"/>
          <w:noProof/>
          <w:sz w:val="24"/>
        </w:rPr>
        <w:t>La Ley de Reducción de la Inflación (IRA) tiene compromisos por valor de 134 000 millones USD</w:t>
      </w:r>
      <w:r w:rsidRPr="000C2B8E">
        <w:rPr>
          <w:rStyle w:val="FootnoteReference"/>
          <w:rFonts w:ascii="Times New Roman" w:hAnsi="Times New Roman" w:cs="Times New Roman"/>
          <w:noProof/>
          <w:sz w:val="24"/>
          <w:szCs w:val="24"/>
          <w:lang w:val="en-GB"/>
        </w:rPr>
        <w:footnoteReference w:id="154"/>
      </w:r>
      <w:r>
        <w:rPr>
          <w:rFonts w:ascii="Times New Roman" w:hAnsi="Times New Roman"/>
          <w:noProof/>
          <w:sz w:val="24"/>
        </w:rPr>
        <w:t xml:space="preserve"> (113 000 millones EUR</w:t>
      </w:r>
      <w:r w:rsidRPr="005A663D">
        <w:rPr>
          <w:rStyle w:val="FootnoteReference"/>
          <w:rFonts w:ascii="Times New Roman" w:hAnsi="Times New Roman" w:cs="Times New Roman"/>
          <w:noProof/>
          <w:sz w:val="24"/>
          <w:szCs w:val="24"/>
          <w:lang w:val="en-GB"/>
        </w:rPr>
        <w:footnoteReference w:id="155"/>
      </w:r>
      <w:r>
        <w:rPr>
          <w:rFonts w:ascii="Times New Roman" w:hAnsi="Times New Roman"/>
          <w:noProof/>
          <w:sz w:val="24"/>
        </w:rPr>
        <w:t>) para apoyar a la industria estadounidense de las baterías. Según BloombergNEF</w:t>
      </w:r>
      <w:r w:rsidRPr="00C31310">
        <w:rPr>
          <w:rStyle w:val="FootnoteReference"/>
          <w:rFonts w:ascii="Times New Roman" w:hAnsi="Times New Roman" w:cs="Times New Roman"/>
          <w:noProof/>
          <w:sz w:val="24"/>
          <w:szCs w:val="24"/>
          <w:lang w:val="en-GB"/>
        </w:rPr>
        <w:footnoteReference w:id="156"/>
      </w:r>
      <w:r>
        <w:rPr>
          <w:rFonts w:ascii="Times New Roman" w:hAnsi="Times New Roman"/>
          <w:noProof/>
          <w:sz w:val="24"/>
        </w:rPr>
        <w:t>, el segmento correspondiente a Europa de los anuncios de inversión mundial en capacidad de producción de baterías de ion-litio disminuyó del 41 % en 2021 al 2 % en 2022. Hay que tener en cuenta que estos anuncios de grandes inversiones suelen ser «irregulares» y no siguen un patrón lineal. Desde mediados de 2023, las previsiones apuntan a que los Estados Unidos superarán a la UE en capacidad de baterías en cartera en 2031. Mientras que los Estados Unidos han añadido 436 GWh (57,9 % de aumento) a su cartera de proyectos desde el inicio de la IRA, la UE solo ha añadido 25 GWh (3 %)</w:t>
      </w:r>
      <w:r w:rsidRPr="00C31310">
        <w:rPr>
          <w:rStyle w:val="FootnoteReference"/>
          <w:rFonts w:ascii="Times New Roman" w:hAnsi="Times New Roman" w:cs="Times New Roman"/>
          <w:noProof/>
          <w:sz w:val="24"/>
          <w:szCs w:val="24"/>
          <w:lang w:val="en-GB"/>
        </w:rPr>
        <w:footnoteReference w:id="157"/>
      </w:r>
      <w:r>
        <w:rPr>
          <w:rFonts w:ascii="Times New Roman" w:hAnsi="Times New Roman"/>
          <w:noProof/>
          <w:sz w:val="24"/>
        </w:rPr>
        <w:t xml:space="preserve">. Si </w:t>
      </w:r>
      <w:r>
        <w:rPr>
          <w:rStyle w:val="normaltextrun"/>
          <w:rFonts w:ascii="Times New Roman" w:hAnsi="Times New Roman"/>
          <w:noProof/>
          <w:sz w:val="24"/>
        </w:rPr>
        <w:t xml:space="preserve">se tienen en cuenta las ayudas de la IRA y los precios más bajos de la energía en los Estados Unidos, el precio efectivo de las baterías en la UE sería un 40 % superior al de los Estados Unidos, hasta 4 000 EUR más de coste de las baterías para un </w:t>
      </w:r>
      <w:r>
        <w:rPr>
          <w:rFonts w:ascii="Times New Roman" w:hAnsi="Times New Roman"/>
          <w:noProof/>
          <w:sz w:val="24"/>
        </w:rPr>
        <w:t>vehículo eléctrico de batería europeo</w:t>
      </w:r>
      <w:r w:rsidRPr="00C31310">
        <w:rPr>
          <w:rStyle w:val="FootnoteReference"/>
          <w:rFonts w:ascii="Times New Roman" w:eastAsiaTheme="minorEastAsia" w:hAnsi="Times New Roman" w:cs="Times New Roman"/>
          <w:noProof/>
          <w:sz w:val="24"/>
          <w:szCs w:val="24"/>
          <w:lang w:val="en-GB"/>
        </w:rPr>
        <w:footnoteReference w:id="158"/>
      </w:r>
      <w:r>
        <w:rPr>
          <w:rStyle w:val="normaltextrun"/>
          <w:rFonts w:ascii="Times New Roman" w:hAnsi="Times New Roman"/>
          <w:noProof/>
          <w:sz w:val="24"/>
        </w:rPr>
        <w:t>, una diferencia de precios que</w:t>
      </w:r>
      <w:r>
        <w:rPr>
          <w:rFonts w:ascii="Times New Roman" w:hAnsi="Times New Roman"/>
          <w:noProof/>
          <w:sz w:val="24"/>
        </w:rPr>
        <w:t xml:space="preserve"> entraña el riesgo de conllevar un impacto negativo en el despliegue de la capacidad de producción en la UE</w:t>
      </w:r>
      <w:r w:rsidRPr="00C31310">
        <w:rPr>
          <w:rStyle w:val="FootnoteReference"/>
          <w:rFonts w:ascii="Times New Roman" w:eastAsiaTheme="minorEastAsia" w:hAnsi="Times New Roman" w:cs="Times New Roman"/>
          <w:noProof/>
          <w:sz w:val="24"/>
          <w:szCs w:val="24"/>
          <w:lang w:val="en-GB"/>
        </w:rPr>
        <w:footnoteReference w:id="159"/>
      </w:r>
      <w:r>
        <w:rPr>
          <w:rFonts w:ascii="Times New Roman" w:hAnsi="Times New Roman"/>
          <w:noProof/>
          <w:sz w:val="24"/>
        </w:rPr>
        <w:t xml:space="preserve">. </w:t>
      </w:r>
    </w:p>
    <w:p w14:paraId="7891C024" w14:textId="74D1B836" w:rsidR="008A45D3" w:rsidRPr="00C31310" w:rsidRDefault="008A45D3" w:rsidP="008A45D3">
      <w:pPr>
        <w:spacing w:line="252" w:lineRule="auto"/>
        <w:jc w:val="both"/>
        <w:rPr>
          <w:rFonts w:ascii="Times New Roman" w:hAnsi="Times New Roman" w:cs="Times New Roman"/>
          <w:b/>
          <w:noProof/>
          <w:sz w:val="24"/>
          <w:szCs w:val="24"/>
        </w:rPr>
      </w:pPr>
      <w:r>
        <w:rPr>
          <w:rStyle w:val="normaltextrun"/>
          <w:rFonts w:ascii="Times New Roman" w:hAnsi="Times New Roman"/>
          <w:noProof/>
          <w:sz w:val="24"/>
        </w:rPr>
        <w:t>El mercado de baterías estacionarias de la UE también crece a un ritmo constante. En el primer trimestre de 2023, la base instalada para el almacenamiento de la red de energía (excepto el almacenamiento de energía hidroeléctrica por bombeo) en la UE era de alrededor de 11 GW/14,7 GWh de activos de almacenamiento, de los cuales ~ 5,3 GW/5,6 GWh eran instalaciones delante del contador (FoM, por sus siglas en inglés). Actualmente se están desarrollando al menos ~ 19 GW/42,3 GWh de FoM</w:t>
      </w:r>
      <w:r w:rsidRPr="00C31310">
        <w:rPr>
          <w:rStyle w:val="FootnoteReference"/>
          <w:rFonts w:ascii="Times New Roman" w:hAnsi="Times New Roman" w:cs="Times New Roman"/>
          <w:noProof/>
          <w:sz w:val="24"/>
          <w:szCs w:val="24"/>
          <w:lang w:val="en-GB"/>
        </w:rPr>
        <w:footnoteReference w:id="160"/>
      </w:r>
      <w:r>
        <w:rPr>
          <w:rStyle w:val="normaltextrun"/>
          <w:rFonts w:ascii="Times New Roman" w:hAnsi="Times New Roman"/>
          <w:noProof/>
          <w:sz w:val="24"/>
        </w:rPr>
        <w:t>. También está aumentando rápidamente el almacenamiento detrás del contador con baterías domésticas. En Alemania, por ejemplo, aumentó de 2,0 GW a mediados de 2022 a 4,1 GW (+105 %) a mediados de 2023</w:t>
      </w:r>
      <w:r w:rsidRPr="00C31310">
        <w:rPr>
          <w:rStyle w:val="FootnoteReference"/>
          <w:rFonts w:ascii="Times New Roman" w:eastAsiaTheme="minorEastAsia" w:hAnsi="Times New Roman" w:cs="Times New Roman"/>
          <w:noProof/>
          <w:sz w:val="24"/>
          <w:szCs w:val="24"/>
          <w:lang w:val="en-GB"/>
        </w:rPr>
        <w:footnoteReference w:id="161"/>
      </w:r>
      <w:r>
        <w:rPr>
          <w:rStyle w:val="normaltextrun"/>
          <w:rFonts w:ascii="Times New Roman" w:hAnsi="Times New Roman"/>
          <w:noProof/>
          <w:sz w:val="24"/>
        </w:rPr>
        <w:t>. Sin embargo, para alcanzar los objetivos del paquete de medidas «Objetivo 55» y de REPowerEU de la UE, el despliegue del almacenamiento de energía estacionario debe acelerarse rápidamente para alcanzar la demanda prevista de 200 GW de aquí a 2030</w:t>
      </w:r>
      <w:r w:rsidRPr="00C31310">
        <w:rPr>
          <w:rStyle w:val="FootnoteReference"/>
          <w:rFonts w:ascii="Times New Roman" w:eastAsiaTheme="minorEastAsia" w:hAnsi="Times New Roman" w:cs="Times New Roman"/>
          <w:noProof/>
          <w:sz w:val="24"/>
          <w:szCs w:val="24"/>
          <w:lang w:val="en-GB"/>
        </w:rPr>
        <w:footnoteReference w:id="162"/>
      </w:r>
      <w:r>
        <w:rPr>
          <w:rStyle w:val="normaltextrun"/>
          <w:rFonts w:ascii="Times New Roman" w:hAnsi="Times New Roman"/>
          <w:noProof/>
          <w:sz w:val="24"/>
        </w:rPr>
        <w:t xml:space="preserve">. </w:t>
      </w:r>
    </w:p>
    <w:p w14:paraId="0A851F71" w14:textId="67498128" w:rsidR="008A45D3" w:rsidRPr="00C31310" w:rsidRDefault="008A45D3" w:rsidP="008A45D3">
      <w:pPr>
        <w:spacing w:line="252" w:lineRule="auto"/>
        <w:jc w:val="both"/>
        <w:rPr>
          <w:rFonts w:ascii="Times New Roman" w:hAnsi="Times New Roman" w:cs="Times New Roman"/>
          <w:noProof/>
          <w:sz w:val="24"/>
          <w:szCs w:val="24"/>
        </w:rPr>
      </w:pPr>
      <w:r>
        <w:rPr>
          <w:rFonts w:ascii="Times New Roman" w:hAnsi="Times New Roman"/>
          <w:noProof/>
          <w:sz w:val="24"/>
        </w:rPr>
        <w:t>En la actualidad, se estima que, de aquí a 2030, la demanda de baterías de litio en la UE será de 1 TWh aproximadamente</w:t>
      </w:r>
      <w:r w:rsidRPr="0075118E">
        <w:rPr>
          <w:rStyle w:val="FootnoteReference"/>
          <w:rFonts w:ascii="Times New Roman" w:eastAsiaTheme="minorEastAsia" w:hAnsi="Times New Roman" w:cs="Times New Roman"/>
          <w:bCs/>
          <w:noProof/>
          <w:sz w:val="24"/>
          <w:szCs w:val="24"/>
          <w:lang w:val="en-GB"/>
        </w:rPr>
        <w:footnoteReference w:id="163"/>
      </w:r>
      <w:r>
        <w:rPr>
          <w:rFonts w:ascii="Times New Roman" w:hAnsi="Times New Roman"/>
          <w:noProof/>
          <w:sz w:val="24"/>
        </w:rPr>
        <w:t xml:space="preserve">. Aunque China sigue cubriendo la mayor parte del exceso de demanda de la UE, las inversiones privadas de la Unión en la producción local de baterías inducirán a las empresas a construir centrales cerca de las líneas de producción de vehículos eléctricos para reducir los costes de transporte. A pesar de los efectos potencialmente negativos de la IRA en la expansión de las cadenas de valor de las baterías de la UE, </w:t>
      </w:r>
      <w:r>
        <w:rPr>
          <w:rFonts w:ascii="Times New Roman" w:hAnsi="Times New Roman"/>
          <w:b/>
          <w:noProof/>
          <w:sz w:val="24"/>
        </w:rPr>
        <w:t>las fábricas de baterías se están construyendo a una velocidad cada vez mayor en toda Europa y se prevé que satisfagan la mayor parte de la demanda de la UE de aquí a 2030.</w:t>
      </w:r>
      <w:r>
        <w:rPr>
          <w:rFonts w:ascii="Times New Roman" w:hAnsi="Times New Roman"/>
          <w:noProof/>
          <w:sz w:val="24"/>
        </w:rPr>
        <w:t xml:space="preserve"> Por ejemplo, Stellantis</w:t>
      </w:r>
      <w:r w:rsidRPr="00C31310">
        <w:rPr>
          <w:rStyle w:val="FootnoteReference"/>
          <w:rFonts w:ascii="Times New Roman" w:eastAsiaTheme="minorEastAsia" w:hAnsi="Times New Roman" w:cs="Times New Roman"/>
          <w:noProof/>
          <w:sz w:val="24"/>
          <w:szCs w:val="24"/>
          <w:lang w:val="en-GB"/>
        </w:rPr>
        <w:footnoteReference w:id="164"/>
      </w:r>
      <w:r>
        <w:rPr>
          <w:rFonts w:ascii="Times New Roman" w:hAnsi="Times New Roman"/>
          <w:noProof/>
          <w:sz w:val="24"/>
        </w:rPr>
        <w:t xml:space="preserve"> siguió adelante según lo previsto y en 2023 inauguró en Francia la primera (con una capacidad final de 40 GWh/a) de las tres grandes gigafábricas de baterías de la ACC</w:t>
      </w:r>
      <w:r w:rsidRPr="00C31310">
        <w:rPr>
          <w:rStyle w:val="FootnoteReference"/>
          <w:rFonts w:ascii="Times New Roman" w:eastAsiaTheme="minorEastAsia" w:hAnsi="Times New Roman" w:cs="Times New Roman"/>
          <w:noProof/>
          <w:sz w:val="24"/>
          <w:szCs w:val="24"/>
          <w:lang w:val="en-GB"/>
        </w:rPr>
        <w:footnoteReference w:id="165"/>
      </w:r>
      <w:r>
        <w:rPr>
          <w:rFonts w:ascii="Times New Roman" w:hAnsi="Times New Roman"/>
          <w:noProof/>
          <w:sz w:val="24"/>
        </w:rPr>
        <w:t xml:space="preserve"> con sede en la UE. Se espera que, en conjunto, las tres fábricas cubran el 25 % de la demanda total prevista en la UE para 2030</w:t>
      </w:r>
      <w:r w:rsidRPr="00C31310">
        <w:rPr>
          <w:rStyle w:val="FootnoteReference"/>
          <w:rFonts w:ascii="Times New Roman" w:eastAsiaTheme="minorEastAsia" w:hAnsi="Times New Roman" w:cs="Times New Roman"/>
          <w:noProof/>
          <w:sz w:val="24"/>
          <w:szCs w:val="24"/>
          <w:lang w:val="en-GB"/>
        </w:rPr>
        <w:footnoteReference w:id="166"/>
      </w:r>
      <w:r>
        <w:rPr>
          <w:rFonts w:ascii="Times New Roman" w:hAnsi="Times New Roman"/>
          <w:noProof/>
          <w:sz w:val="24"/>
        </w:rPr>
        <w:t xml:space="preserve">, lo que corresponde a una capacidad total de 250 GWh de aquí a 2030. </w:t>
      </w:r>
    </w:p>
    <w:p w14:paraId="3013D6FE" w14:textId="137E06B1" w:rsidR="008A45D3" w:rsidRPr="00C31310" w:rsidRDefault="008A45D3" w:rsidP="008A45D3">
      <w:pPr>
        <w:spacing w:after="120" w:line="252" w:lineRule="auto"/>
        <w:jc w:val="both"/>
        <w:rPr>
          <w:rFonts w:ascii="Times New Roman" w:hAnsi="Times New Roman" w:cs="Times New Roman"/>
          <w:noProof/>
          <w:sz w:val="24"/>
          <w:szCs w:val="24"/>
        </w:rPr>
      </w:pPr>
      <w:r>
        <w:rPr>
          <w:rFonts w:ascii="Times New Roman" w:hAnsi="Times New Roman"/>
          <w:b/>
          <w:noProof/>
          <w:sz w:val="24"/>
        </w:rPr>
        <w:t>El ámbito en el que es necesario el mayor aumento relativo para cumplir los objetivos de 2030 es el del reciclado</w:t>
      </w:r>
      <w:r w:rsidRPr="00C31310">
        <w:rPr>
          <w:rStyle w:val="FootnoteReference"/>
          <w:rFonts w:ascii="Times New Roman" w:eastAsiaTheme="minorEastAsia" w:hAnsi="Times New Roman" w:cs="Times New Roman"/>
          <w:noProof/>
          <w:sz w:val="24"/>
          <w:szCs w:val="24"/>
          <w:lang w:val="en-GB"/>
        </w:rPr>
        <w:footnoteReference w:id="167"/>
      </w:r>
      <w:r>
        <w:rPr>
          <w:rFonts w:ascii="Times New Roman" w:hAnsi="Times New Roman"/>
          <w:noProof/>
          <w:sz w:val="24"/>
        </w:rPr>
        <w:t>. En 2023 solo se reciclaron unas 50 kilotoneladas de residuos en Europa, frente a la demanda prevista de 200-800 kilotoneladas de aquí a 2030</w:t>
      </w:r>
      <w:r w:rsidRPr="00C31310">
        <w:rPr>
          <w:rStyle w:val="FootnoteReference"/>
          <w:rFonts w:ascii="Times New Roman" w:eastAsiaTheme="minorEastAsia" w:hAnsi="Times New Roman" w:cs="Times New Roman"/>
          <w:noProof/>
          <w:sz w:val="24"/>
          <w:szCs w:val="24"/>
          <w:lang w:val="en-GB"/>
        </w:rPr>
        <w:footnoteReference w:id="168"/>
      </w:r>
      <w:r>
        <w:rPr>
          <w:rFonts w:ascii="Times New Roman" w:hAnsi="Times New Roman"/>
          <w:noProof/>
          <w:sz w:val="24"/>
        </w:rPr>
        <w:t xml:space="preserve">. </w:t>
      </w:r>
      <w:r>
        <w:rPr>
          <w:rFonts w:ascii="Times New Roman" w:hAnsi="Times New Roman"/>
          <w:b/>
          <w:noProof/>
          <w:sz w:val="24"/>
        </w:rPr>
        <w:t>Un fuerte impulso del reciclado permitiría a la UE aumentar su presencia en las primeras fases de la cadena de valor y, por tanto, la seguridad del suministro.</w:t>
      </w:r>
      <w:r>
        <w:rPr>
          <w:rFonts w:ascii="Times New Roman" w:hAnsi="Times New Roman"/>
          <w:noProof/>
          <w:sz w:val="24"/>
        </w:rPr>
        <w:t xml:space="preserve"> La asociación de Horizonte Europa sobre baterías, con un presupuesto de casi 1 000 millones EUR, apoya la investigación e innovación en este ámbito. Las subvenciones deben asignarse con prudencia para evitar distorsionar el mercado único, que es vital tanto para la competitividad como para la innovación. </w:t>
      </w:r>
      <w:bookmarkEnd w:id="72"/>
      <w:bookmarkEnd w:id="73"/>
    </w:p>
    <w:p w14:paraId="042B96CF"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84" w:name="_Toc147843024"/>
      <w:bookmarkStart w:id="85" w:name="_Toc153536068"/>
      <w:r>
        <w:rPr>
          <w:rFonts w:ascii="Times New Roman" w:hAnsi="Times New Roman"/>
          <w:b/>
          <w:noProof/>
          <w:color w:val="auto"/>
        </w:rPr>
        <w:t>Bombas de calor</w:t>
      </w:r>
      <w:bookmarkEnd w:id="84"/>
      <w:bookmarkEnd w:id="85"/>
      <w:r>
        <w:rPr>
          <w:rFonts w:ascii="Times New Roman" w:hAnsi="Times New Roman"/>
          <w:b/>
          <w:noProof/>
          <w:color w:val="auto"/>
        </w:rPr>
        <w:t xml:space="preserve"> </w:t>
      </w:r>
    </w:p>
    <w:p w14:paraId="17453016" w14:textId="77777777" w:rsidR="008A45D3" w:rsidRPr="008907E2" w:rsidRDefault="008A45D3" w:rsidP="008A45D3">
      <w:pPr>
        <w:spacing w:after="240" w:line="240" w:lineRule="auto"/>
        <w:jc w:val="both"/>
        <w:rPr>
          <w:rFonts w:ascii="Times New Roman" w:eastAsia="Times New Roman" w:hAnsi="Times New Roman" w:cs="Times New Roman"/>
          <w:noProof/>
          <w:color w:val="A6A6A6"/>
          <w:sz w:val="24"/>
          <w:szCs w:val="24"/>
        </w:rPr>
      </w:pPr>
      <w:r>
        <w:rPr>
          <w:rFonts w:ascii="Times New Roman" w:hAnsi="Times New Roman"/>
          <w:b/>
          <w:noProof/>
          <w:sz w:val="24"/>
        </w:rPr>
        <w:t>La Directiva revisada sobre fuentes de energía renovables</w:t>
      </w:r>
      <w:r w:rsidRPr="00E40386">
        <w:rPr>
          <w:rFonts w:ascii="Times New Roman" w:eastAsia="Times New Roman" w:hAnsi="Times New Roman" w:cs="Times New Roman"/>
          <w:b/>
          <w:bCs/>
          <w:noProof/>
          <w:sz w:val="24"/>
          <w:szCs w:val="24"/>
          <w:vertAlign w:val="superscript"/>
          <w:lang w:val="en-GB" w:eastAsia="fr-BE"/>
        </w:rPr>
        <w:footnoteReference w:id="169"/>
      </w:r>
      <w:r>
        <w:rPr>
          <w:rFonts w:ascii="Times New Roman" w:hAnsi="Times New Roman"/>
          <w:b/>
          <w:noProof/>
          <w:sz w:val="24"/>
        </w:rPr>
        <w:t xml:space="preserve"> incluye nuevos objetivos para las energías renovables en la calefacción y la refrigeración, en la industria y en los edificios y pide una mejor integración de la calefacción con la red eléctrica.</w:t>
      </w:r>
      <w:r>
        <w:rPr>
          <w:rFonts w:ascii="Times New Roman" w:hAnsi="Times New Roman"/>
          <w:noProof/>
          <w:sz w:val="24"/>
        </w:rPr>
        <w:t xml:space="preserve"> La legislación sobre diseño ecológico</w:t>
      </w:r>
      <w:r w:rsidRPr="008907E2">
        <w:rPr>
          <w:rFonts w:ascii="Times New Roman" w:eastAsia="Times New Roman" w:hAnsi="Times New Roman" w:cs="Times New Roman"/>
          <w:noProof/>
          <w:sz w:val="24"/>
          <w:szCs w:val="24"/>
          <w:vertAlign w:val="superscript"/>
          <w:lang w:val="en-GB" w:eastAsia="fr-BE"/>
        </w:rPr>
        <w:footnoteReference w:id="170"/>
      </w:r>
      <w:r>
        <w:rPr>
          <w:rFonts w:ascii="Times New Roman" w:hAnsi="Times New Roman"/>
          <w:noProof/>
          <w:sz w:val="24"/>
        </w:rPr>
        <w:t xml:space="preserve"> y etiquetado energético</w:t>
      </w:r>
      <w:r w:rsidRPr="008907E2">
        <w:rPr>
          <w:rFonts w:ascii="Times New Roman" w:eastAsia="Times New Roman" w:hAnsi="Times New Roman" w:cs="Times New Roman"/>
          <w:noProof/>
          <w:sz w:val="24"/>
          <w:szCs w:val="24"/>
          <w:vertAlign w:val="superscript"/>
          <w:lang w:val="en-GB" w:eastAsia="fr-BE"/>
        </w:rPr>
        <w:footnoteReference w:id="171"/>
      </w:r>
      <w:r>
        <w:rPr>
          <w:rFonts w:ascii="Times New Roman" w:hAnsi="Times New Roman"/>
          <w:noProof/>
          <w:sz w:val="24"/>
        </w:rPr>
        <w:t xml:space="preserve"> proporciona más apoyo para sustituir a las calderas de combustibles fósiles. La Comisión también está preparando un plan de acción de la UE para acelerar el despliegue de bombas de calor</w:t>
      </w:r>
      <w:r>
        <w:rPr>
          <w:rStyle w:val="FootnoteReference"/>
          <w:rFonts w:ascii="Times New Roman" w:eastAsia="Times New Roman" w:hAnsi="Times New Roman" w:cs="Times New Roman"/>
          <w:noProof/>
          <w:sz w:val="24"/>
          <w:szCs w:val="24"/>
          <w:lang w:val="en-GB" w:eastAsia="fr-BE"/>
        </w:rPr>
        <w:footnoteReference w:id="172"/>
      </w:r>
      <w:r>
        <w:rPr>
          <w:rFonts w:ascii="Times New Roman" w:hAnsi="Times New Roman"/>
          <w:noProof/>
          <w:sz w:val="24"/>
        </w:rPr>
        <w:t>.</w:t>
      </w:r>
    </w:p>
    <w:p w14:paraId="545267E6" w14:textId="21B1E056" w:rsidR="008A45D3" w:rsidRPr="008907E2" w:rsidRDefault="008A45D3" w:rsidP="008A45D3">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En los dieciocho Estados miembros de la UE cubiertos por la Asociación Europea de Bombas de Calor (EHPA, por sus siglas en inglés), 17,4 millones de bombas de calor individuales destinadas principalmente a la calefacción estaban en funcionamiento a finales de 2022. Sus ventas aumentaron un 41 % en 2022 hasta alcanzar los 2,75 millones de unidades</w:t>
      </w:r>
      <w:r w:rsidRPr="008907E2">
        <w:rPr>
          <w:rFonts w:ascii="Times New Roman" w:eastAsia="Times New Roman" w:hAnsi="Times New Roman" w:cs="Times New Roman"/>
          <w:noProof/>
          <w:sz w:val="24"/>
          <w:szCs w:val="24"/>
          <w:vertAlign w:val="superscript"/>
          <w:lang w:val="en-GB" w:eastAsia="fr-BE"/>
        </w:rPr>
        <w:footnoteReference w:id="173"/>
      </w:r>
      <w:r>
        <w:rPr>
          <w:rFonts w:ascii="Times New Roman" w:hAnsi="Times New Roman"/>
          <w:noProof/>
          <w:sz w:val="24"/>
        </w:rPr>
        <w:t>. En el primer semestre de 2023, las ventas de bombas de calor siguieron aumentando en la UE, mientras que en algunos países, como Italia, las ventas disminuyeron en comparación con el primer semestre de 2022, debido a los cambios en los regímenes nacionales de apoyo y a las desfavorables relaciones de precios entre la electricidad y el gas</w:t>
      </w:r>
      <w:r>
        <w:rPr>
          <w:rStyle w:val="FootnoteReference"/>
          <w:rFonts w:ascii="Times New Roman" w:eastAsia="Times New Roman" w:hAnsi="Times New Roman" w:cs="Times New Roman"/>
          <w:noProof/>
          <w:sz w:val="24"/>
          <w:szCs w:val="24"/>
          <w:lang w:val="en-GB" w:eastAsia="fr-BE"/>
        </w:rPr>
        <w:footnoteReference w:id="174"/>
      </w:r>
      <w:r>
        <w:rPr>
          <w:rFonts w:ascii="Times New Roman" w:hAnsi="Times New Roman"/>
          <w:noProof/>
          <w:sz w:val="24"/>
        </w:rPr>
        <w:t xml:space="preserve">. </w:t>
      </w:r>
      <w:r>
        <w:rPr>
          <w:rFonts w:ascii="Times New Roman" w:hAnsi="Times New Roman"/>
          <w:b/>
          <w:noProof/>
          <w:sz w:val="24"/>
        </w:rPr>
        <w:t>Los escenarios de descarbonización basados en modelos han identificado un elevado potencial de crecimiento.</w:t>
      </w:r>
      <w:r>
        <w:rPr>
          <w:rFonts w:ascii="Times New Roman" w:hAnsi="Times New Roman"/>
          <w:noProof/>
          <w:sz w:val="24"/>
        </w:rPr>
        <w:t xml:space="preserve"> Según el modelo POTENCIA del JRC, por ejemplo, se prevé que el número de bombas de calor individuales utilizadas principalmente para calefacción en la UE (13 millones en 2020) se multiplique por 2,5 en 2030 y casi por 10 en 2050. Se prevé que la capacidad unitaria se reduzca a la mitad de aquí a 2050, gracias a un mejor aislamiento de los edificios; esto se ajusta a la ambición del plan REPowerEU de instalar al menos 30 millones de bombas de calor de aquí a 2030.</w:t>
      </w:r>
    </w:p>
    <w:p w14:paraId="7868CD53" w14:textId="526BD99B" w:rsidR="008A45D3" w:rsidRPr="008907E2" w:rsidRDefault="008A45D3" w:rsidP="008A45D3">
      <w:pPr>
        <w:spacing w:after="200" w:line="240" w:lineRule="auto"/>
        <w:jc w:val="both"/>
        <w:rPr>
          <w:rFonts w:ascii="Times New Roman" w:eastAsia="Times New Roman" w:hAnsi="Times New Roman" w:cs="Times New Roman"/>
          <w:noProof/>
          <w:sz w:val="24"/>
          <w:szCs w:val="24"/>
        </w:rPr>
      </w:pPr>
      <w:r>
        <w:rPr>
          <w:rFonts w:ascii="Times New Roman" w:hAnsi="Times New Roman"/>
          <w:noProof/>
          <w:sz w:val="24"/>
        </w:rPr>
        <w:t>La calefacción urbana puede ser la opción de calefacción preferida en las zonas urbanas densamente pobladas, en las que las grandes bombas de calor pueden aprovechar la energía solar, geotérmica o el exceso de calor de procesos industriales o urbanos. El proyecto «Heat Roadmap Europe»</w:t>
      </w:r>
      <w:r w:rsidRPr="008907E2">
        <w:rPr>
          <w:rFonts w:ascii="Times New Roman" w:eastAsia="Times New Roman" w:hAnsi="Times New Roman" w:cs="Times New Roman"/>
          <w:noProof/>
          <w:sz w:val="24"/>
          <w:szCs w:val="24"/>
          <w:vertAlign w:val="superscript"/>
          <w:lang w:val="en-GB" w:eastAsia="fr-BE"/>
        </w:rPr>
        <w:footnoteReference w:id="175"/>
      </w:r>
      <w:r>
        <w:rPr>
          <w:rFonts w:ascii="Times New Roman" w:hAnsi="Times New Roman"/>
          <w:noProof/>
          <w:sz w:val="24"/>
        </w:rPr>
        <w:t xml:space="preserve"> estima una cuota de mercado potencial del 50 % para la calefacción urbana en Europa de aquí a 2050, con una capacidad aproximada del 25-30 % basada en grandes bombas de calor eléctricas. Esto podría cubrir hasta el 38 % de toda la producción de calefacción urbana</w:t>
      </w:r>
      <w:r w:rsidRPr="008907E2">
        <w:rPr>
          <w:rFonts w:ascii="Times New Roman" w:eastAsia="Times New Roman" w:hAnsi="Times New Roman" w:cs="Times New Roman"/>
          <w:noProof/>
          <w:sz w:val="24"/>
          <w:szCs w:val="24"/>
          <w:vertAlign w:val="superscript"/>
          <w:lang w:val="en-GB" w:eastAsia="fr-BE"/>
        </w:rPr>
        <w:footnoteReference w:id="176"/>
      </w:r>
      <w:r>
        <w:rPr>
          <w:rFonts w:ascii="Times New Roman" w:hAnsi="Times New Roman"/>
          <w:noProof/>
          <w:sz w:val="24"/>
        </w:rPr>
        <w:t>.</w:t>
      </w:r>
    </w:p>
    <w:p w14:paraId="6799E322" w14:textId="79AFF670" w:rsidR="008A45D3" w:rsidRPr="008907E2" w:rsidRDefault="008A45D3" w:rsidP="008A45D3">
      <w:pPr>
        <w:spacing w:after="200" w:line="240" w:lineRule="auto"/>
        <w:jc w:val="both"/>
        <w:rPr>
          <w:rFonts w:ascii="Times New Roman" w:eastAsia="Times New Roman" w:hAnsi="Times New Roman" w:cs="Times New Roman"/>
          <w:noProof/>
          <w:sz w:val="24"/>
          <w:szCs w:val="24"/>
        </w:rPr>
      </w:pPr>
      <w:r>
        <w:rPr>
          <w:rFonts w:ascii="Times New Roman" w:hAnsi="Times New Roman"/>
          <w:noProof/>
          <w:sz w:val="24"/>
        </w:rPr>
        <w:t>El potencial técnico de las bombas de calor industriales</w:t>
      </w:r>
      <w:r w:rsidRPr="008907E2">
        <w:rPr>
          <w:rFonts w:ascii="Times New Roman" w:eastAsia="Times New Roman" w:hAnsi="Times New Roman" w:cs="Times New Roman"/>
          <w:noProof/>
          <w:sz w:val="24"/>
          <w:szCs w:val="24"/>
          <w:vertAlign w:val="superscript"/>
          <w:lang w:val="en-GB" w:eastAsia="fr-BE"/>
        </w:rPr>
        <w:footnoteReference w:id="177"/>
      </w:r>
      <w:r>
        <w:rPr>
          <w:rFonts w:ascii="Times New Roman" w:hAnsi="Times New Roman"/>
          <w:noProof/>
          <w:sz w:val="24"/>
        </w:rPr>
        <w:t xml:space="preserve"> varía según el sector, desde alrededor del 65 % del calor de proceso en la industria papelera, pasando por el 40 % en la industria alimentaria, hasta el 25 % en la industria química. Solo en Europa, podrían instalarse bombas de calor con una capacidad combinada de 15 GW en casi 3 000 instalaciones</w:t>
      </w:r>
      <w:r w:rsidRPr="008907E2">
        <w:rPr>
          <w:rFonts w:ascii="Times New Roman" w:eastAsia="Times New Roman" w:hAnsi="Times New Roman" w:cs="Times New Roman"/>
          <w:noProof/>
          <w:sz w:val="24"/>
          <w:szCs w:val="24"/>
          <w:vertAlign w:val="superscript"/>
          <w:lang w:val="en-GB" w:eastAsia="fr-BE"/>
        </w:rPr>
        <w:footnoteReference w:id="178"/>
      </w:r>
      <w:r>
        <w:rPr>
          <w:rFonts w:ascii="Times New Roman" w:hAnsi="Times New Roman"/>
          <w:noProof/>
          <w:sz w:val="24"/>
        </w:rPr>
        <w:t>.</w:t>
      </w:r>
    </w:p>
    <w:p w14:paraId="15AB8478" w14:textId="5B888C67" w:rsidR="008A45D3" w:rsidRPr="008907E2" w:rsidRDefault="008A45D3" w:rsidP="008A45D3">
      <w:pPr>
        <w:spacing w:after="200" w:line="240" w:lineRule="auto"/>
        <w:jc w:val="both"/>
        <w:rPr>
          <w:rFonts w:ascii="Times New Roman" w:eastAsia="Times New Roman" w:hAnsi="Times New Roman" w:cs="Times New Roman"/>
          <w:noProof/>
          <w:sz w:val="24"/>
          <w:szCs w:val="24"/>
        </w:rPr>
      </w:pPr>
      <w:r>
        <w:rPr>
          <w:rFonts w:ascii="Times New Roman" w:hAnsi="Times New Roman"/>
          <w:noProof/>
          <w:sz w:val="24"/>
        </w:rPr>
        <w:t>Se estimó que la capacidad de producción de la UE había cubierto el 75 % de la demanda de bombas de calor hidroeléctricas individuales de la UE en 2021</w:t>
      </w:r>
      <w:r w:rsidRPr="008907E2">
        <w:rPr>
          <w:rFonts w:ascii="Times New Roman" w:eastAsia="Times New Roman" w:hAnsi="Times New Roman" w:cs="Times New Roman"/>
          <w:noProof/>
          <w:sz w:val="24"/>
          <w:szCs w:val="24"/>
          <w:vertAlign w:val="superscript"/>
          <w:lang w:val="en-GB" w:eastAsia="fr-BE"/>
        </w:rPr>
        <w:footnoteReference w:id="179"/>
      </w:r>
      <w:r>
        <w:rPr>
          <w:rFonts w:ascii="Times New Roman" w:hAnsi="Times New Roman"/>
          <w:noProof/>
          <w:sz w:val="24"/>
        </w:rPr>
        <w:t xml:space="preserve">. Sin embargo, </w:t>
      </w:r>
      <w:r>
        <w:rPr>
          <w:rFonts w:ascii="Times New Roman" w:hAnsi="Times New Roman"/>
          <w:b/>
          <w:noProof/>
          <w:sz w:val="24"/>
        </w:rPr>
        <w:t>los fabricantes de la UE dependen de las importaciones de componentes</w:t>
      </w:r>
      <w:r>
        <w:rPr>
          <w:rFonts w:ascii="Times New Roman" w:hAnsi="Times New Roman"/>
          <w:noProof/>
          <w:sz w:val="24"/>
        </w:rPr>
        <w:t xml:space="preserve"> (como válvulas de expansión y válvulas de 4 vías procedentes principalmente de China) </w:t>
      </w:r>
      <w:r>
        <w:rPr>
          <w:rFonts w:ascii="Times New Roman" w:hAnsi="Times New Roman"/>
          <w:b/>
          <w:noProof/>
          <w:sz w:val="24"/>
        </w:rPr>
        <w:t>y de compresores, inversores y refrigerantes sintéticos,</w:t>
      </w:r>
      <w:r>
        <w:rPr>
          <w:rFonts w:ascii="Times New Roman" w:hAnsi="Times New Roman"/>
          <w:noProof/>
          <w:sz w:val="24"/>
        </w:rPr>
        <w:t xml:space="preserve"> importados en gran medida de China y de los países del Sudeste Asiático</w:t>
      </w:r>
      <w:r w:rsidRPr="008907E2">
        <w:rPr>
          <w:rFonts w:ascii="Times New Roman" w:eastAsia="Times New Roman" w:hAnsi="Times New Roman" w:cs="Times New Roman"/>
          <w:noProof/>
          <w:sz w:val="24"/>
          <w:szCs w:val="24"/>
          <w:vertAlign w:val="superscript"/>
          <w:lang w:val="en-GB" w:eastAsia="fr-BE"/>
        </w:rPr>
        <w:footnoteReference w:id="180"/>
      </w:r>
      <w:r>
        <w:rPr>
          <w:rFonts w:ascii="Times New Roman" w:hAnsi="Times New Roman"/>
          <w:noProof/>
          <w:sz w:val="24"/>
        </w:rPr>
        <w:t xml:space="preserve"> y los Estados Unidos. Su producción no requiere materias primas fundamentales, pero se ve afectada por los largos plazos de entrega actuales de chips, intercambiadores de calor, bombas, cables y depósitos</w:t>
      </w:r>
      <w:r w:rsidRPr="008907E2">
        <w:rPr>
          <w:rFonts w:ascii="Times New Roman" w:eastAsia="Times New Roman" w:hAnsi="Times New Roman" w:cs="Times New Roman"/>
          <w:noProof/>
          <w:sz w:val="24"/>
          <w:szCs w:val="24"/>
          <w:vertAlign w:val="superscript"/>
          <w:lang w:val="en-GB" w:eastAsia="fr-BE"/>
        </w:rPr>
        <w:footnoteReference w:id="181"/>
      </w:r>
      <w:r>
        <w:rPr>
          <w:rFonts w:ascii="Times New Roman" w:hAnsi="Times New Roman"/>
          <w:noProof/>
          <w:sz w:val="24"/>
        </w:rPr>
        <w:t>.</w:t>
      </w:r>
    </w:p>
    <w:p w14:paraId="70059F65" w14:textId="4B040CC8" w:rsidR="008A45D3" w:rsidRPr="008907E2" w:rsidRDefault="008A45D3" w:rsidP="008A45D3">
      <w:pPr>
        <w:spacing w:after="200" w:line="240" w:lineRule="auto"/>
        <w:jc w:val="both"/>
        <w:rPr>
          <w:rFonts w:ascii="Times New Roman" w:eastAsia="Times New Roman" w:hAnsi="Times New Roman" w:cs="Times New Roman"/>
          <w:noProof/>
          <w:sz w:val="24"/>
          <w:szCs w:val="24"/>
        </w:rPr>
      </w:pPr>
      <w:r>
        <w:rPr>
          <w:rFonts w:ascii="Times New Roman" w:hAnsi="Times New Roman"/>
          <w:noProof/>
          <w:sz w:val="24"/>
        </w:rPr>
        <w:t>Por lo que respecta a las bombas de calor individuales, el crecimiento del mercado nacional ha sido parcialmente captado por las importaciones. El déficit de la balanza comercial se duplicó con creces hasta alcanzar los 856 millones EUR en 2022 en comparación con 2021, frente a un superávit de 186 millones EUR cinco años antes. Las importaciones procedentes de China se duplicaron en 2021 hasta alcanzar los 533 millones EUR y casi se duplicaron de nuevo hasta los 898 millones EUR en 2022</w:t>
      </w:r>
      <w:r w:rsidRPr="008907E2">
        <w:rPr>
          <w:rFonts w:ascii="Times New Roman" w:eastAsia="Times New Roman" w:hAnsi="Times New Roman" w:cs="Times New Roman"/>
          <w:noProof/>
          <w:sz w:val="24"/>
          <w:szCs w:val="24"/>
          <w:vertAlign w:val="superscript"/>
          <w:lang w:val="en-GB" w:eastAsia="fr-BE"/>
        </w:rPr>
        <w:footnoteReference w:id="182"/>
      </w:r>
      <w:r>
        <w:rPr>
          <w:rFonts w:ascii="Times New Roman" w:hAnsi="Times New Roman"/>
          <w:noProof/>
          <w:sz w:val="24"/>
        </w:rPr>
        <w:t>.</w:t>
      </w:r>
    </w:p>
    <w:p w14:paraId="22C0E18D" w14:textId="18227242" w:rsidR="008A45D3" w:rsidRPr="008907E2" w:rsidRDefault="008A45D3" w:rsidP="008A45D3">
      <w:pPr>
        <w:spacing w:after="200" w:line="240" w:lineRule="auto"/>
        <w:jc w:val="both"/>
        <w:rPr>
          <w:rFonts w:ascii="Times New Roman" w:eastAsia="Times New Roman" w:hAnsi="Times New Roman" w:cs="Times New Roman"/>
          <w:noProof/>
          <w:sz w:val="24"/>
          <w:szCs w:val="24"/>
        </w:rPr>
      </w:pPr>
      <w:r>
        <w:rPr>
          <w:rFonts w:ascii="Times New Roman" w:hAnsi="Times New Roman"/>
          <w:b/>
          <w:noProof/>
          <w:sz w:val="24"/>
        </w:rPr>
        <w:t>La base manufacturera en Europa está relativamente fragmentada,</w:t>
      </w:r>
      <w:r>
        <w:rPr>
          <w:rFonts w:ascii="Times New Roman" w:hAnsi="Times New Roman"/>
          <w:noProof/>
          <w:sz w:val="24"/>
        </w:rPr>
        <w:t xml:space="preserve"> con 175 instalaciones de fabricación, incluidas multinacionales y pymes</w:t>
      </w:r>
      <w:r w:rsidRPr="008907E2">
        <w:rPr>
          <w:rFonts w:ascii="Times New Roman" w:eastAsia="Times New Roman" w:hAnsi="Times New Roman" w:cs="Times New Roman"/>
          <w:noProof/>
          <w:sz w:val="24"/>
          <w:szCs w:val="24"/>
          <w:vertAlign w:val="superscript"/>
          <w:lang w:val="en-GB" w:eastAsia="fr-BE"/>
        </w:rPr>
        <w:footnoteReference w:id="183"/>
      </w:r>
      <w:r>
        <w:rPr>
          <w:rFonts w:ascii="Times New Roman" w:hAnsi="Times New Roman"/>
          <w:noProof/>
          <w:sz w:val="24"/>
        </w:rPr>
        <w:t>. En comparación, las grandes empresas asiáticas y estadounidenses pueden beneficiarse de economías de escala. Los fabricantes de bombas de calor hidroeléctricas están invirtiendo a una escala y una velocidad sin precedentes en una capacidad de fabricación basada en Europa, con una inversión de casi 5 000 millones EUR</w:t>
      </w:r>
      <w:r w:rsidRPr="008907E2">
        <w:rPr>
          <w:rFonts w:ascii="Times New Roman" w:eastAsia="Times New Roman" w:hAnsi="Times New Roman" w:cs="Times New Roman"/>
          <w:noProof/>
          <w:sz w:val="24"/>
          <w:szCs w:val="24"/>
          <w:vertAlign w:val="superscript"/>
          <w:lang w:val="en-GB" w:eastAsia="fr-BE"/>
        </w:rPr>
        <w:footnoteReference w:id="184"/>
      </w:r>
      <w:r>
        <w:rPr>
          <w:rFonts w:ascii="Times New Roman" w:hAnsi="Times New Roman"/>
          <w:noProof/>
          <w:sz w:val="24"/>
        </w:rPr>
        <w:t xml:space="preserve"> durante el período 2023-2026 y una nueva plataforma aceleradora de las bombas de calor creada para acelerar el despliegue. En el caso de las grandes bombas de calor para aplicaciones comerciales y de red, la industria europea ocupa una posición dominante en el mercado. También en el caso de las bombas de calor industriales, donde hay 17 fabricantes europeos, 8 noruegos y solo 3 fabricantes no europeos (todos ellos con sede en Japón). Sus componentes principales (por ejemplo, los compresores) se fabrican localmente</w:t>
      </w:r>
      <w:r w:rsidRPr="008907E2">
        <w:rPr>
          <w:rFonts w:ascii="Times New Roman" w:eastAsia="Times New Roman" w:hAnsi="Times New Roman" w:cs="Times New Roman"/>
          <w:noProof/>
          <w:sz w:val="24"/>
          <w:szCs w:val="24"/>
          <w:vertAlign w:val="superscript"/>
          <w:lang w:val="en-GB" w:eastAsia="fr-BE"/>
        </w:rPr>
        <w:footnoteReference w:id="185"/>
      </w:r>
      <w:r>
        <w:rPr>
          <w:rFonts w:ascii="Times New Roman" w:hAnsi="Times New Roman"/>
          <w:noProof/>
          <w:sz w:val="24"/>
        </w:rPr>
        <w:t>.</w:t>
      </w:r>
    </w:p>
    <w:p w14:paraId="5C999B70" w14:textId="3308BCCC"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I+i en bombas de calor individuales daría un nuevo impulso a la competitividad de la UE al diseñar productos en local más eficientes, compactos, silenciosos y estéticos, así como más digitalizados y flexibles para minimizar los refuerzos de la red eléctrica. La competitividad de las bombas de calor que utilizan refrigerantes naturales se beneficiará de la inclusión de las normas internacionales pertinentes</w:t>
      </w:r>
      <w:r>
        <w:rPr>
          <w:rStyle w:val="FootnoteReference"/>
          <w:rFonts w:ascii="Times New Roman" w:eastAsia="Times New Roman" w:hAnsi="Times New Roman" w:cs="Times New Roman"/>
          <w:noProof/>
          <w:sz w:val="24"/>
          <w:szCs w:val="24"/>
          <w:lang w:val="en-GB" w:eastAsia="fr-BE"/>
        </w:rPr>
        <w:footnoteReference w:id="186"/>
      </w:r>
      <w:r>
        <w:rPr>
          <w:rFonts w:ascii="Times New Roman" w:hAnsi="Times New Roman"/>
          <w:noProof/>
          <w:sz w:val="24"/>
        </w:rPr>
        <w:t xml:space="preserve"> en los sistemas de certificación de los instaladores para garantizar el uso seguro de refrigerantes inflamables en el interior de los edificios. Se necesitan herramientas para evaluar el nivel de madurez de las bombas de calor de los edificios individuales o plurifamiliares y proponer soluciones. </w:t>
      </w:r>
      <w:r>
        <w:rPr>
          <w:rFonts w:ascii="Times New Roman" w:hAnsi="Times New Roman"/>
          <w:b/>
          <w:noProof/>
          <w:sz w:val="24"/>
        </w:rPr>
        <w:t>Junto con la I+i para mejorar la automatización de la fabricación, la modularización y la racionalización de las instalaciones de bombas de calor, la consolidación de la base de fabricación en la UE ayudaría a reducir los costes iniciales de las bombas de calor e impulsaría la competitividad mundial de la UE</w:t>
      </w:r>
      <w:r w:rsidRPr="008907E2">
        <w:rPr>
          <w:rFonts w:ascii="Times New Roman" w:eastAsia="Times New Roman" w:hAnsi="Times New Roman" w:cs="Times New Roman"/>
          <w:noProof/>
          <w:sz w:val="24"/>
          <w:szCs w:val="24"/>
          <w:vertAlign w:val="superscript"/>
          <w:lang w:val="en-GB" w:eastAsia="fr-BE"/>
        </w:rPr>
        <w:footnoteReference w:id="187"/>
      </w:r>
      <w:r>
        <w:rPr>
          <w:rFonts w:ascii="Times New Roman" w:hAnsi="Times New Roman"/>
          <w:noProof/>
          <w:sz w:val="24"/>
        </w:rPr>
        <w:t xml:space="preserve">. </w:t>
      </w:r>
    </w:p>
    <w:p w14:paraId="0BED00E4" w14:textId="77777777" w:rsidR="008A45D3" w:rsidRDefault="008A45D3" w:rsidP="008A45D3">
      <w:pPr>
        <w:jc w:val="both"/>
        <w:rPr>
          <w:rFonts w:ascii="Times New Roman" w:eastAsia="Times New Roman" w:hAnsi="Times New Roman" w:cs="Times New Roman"/>
          <w:noProof/>
          <w:sz w:val="24"/>
          <w:szCs w:val="24"/>
        </w:rPr>
      </w:pPr>
      <w:r>
        <w:rPr>
          <w:rFonts w:ascii="Times New Roman" w:hAnsi="Times New Roman"/>
          <w:noProof/>
          <w:sz w:val="24"/>
        </w:rPr>
        <w:t xml:space="preserve">En el caso de las bombas de calor industriales, </w:t>
      </w:r>
      <w:r>
        <w:rPr>
          <w:rFonts w:ascii="Times New Roman" w:hAnsi="Times New Roman"/>
          <w:b/>
          <w:noProof/>
          <w:sz w:val="24"/>
        </w:rPr>
        <w:t>la cooperación entre los sectores de usuarios finales y el sector de las bombas de calor para optimizar y normalizar los productos también reduciría los costes y los riesgos vinculados a su despliegue</w:t>
      </w:r>
      <w:r>
        <w:rPr>
          <w:rFonts w:ascii="Times New Roman" w:hAnsi="Times New Roman"/>
          <w:noProof/>
          <w:sz w:val="24"/>
        </w:rPr>
        <w:t>. Las empresas de servicios energéticos pueden reducir el riesgo para los usuarios finales proponiendo un modelo de arrendamiento.</w:t>
      </w:r>
    </w:p>
    <w:p w14:paraId="1E47DF35"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88" w:name="_Toc147843025"/>
      <w:bookmarkStart w:id="89" w:name="_Toc153536069"/>
      <w:r>
        <w:rPr>
          <w:rFonts w:ascii="Times New Roman" w:hAnsi="Times New Roman"/>
          <w:b/>
          <w:noProof/>
          <w:color w:val="auto"/>
        </w:rPr>
        <w:t>Energía geotérmica</w:t>
      </w:r>
      <w:bookmarkEnd w:id="88"/>
      <w:bookmarkEnd w:id="89"/>
      <w:r>
        <w:rPr>
          <w:rFonts w:ascii="Times New Roman" w:hAnsi="Times New Roman"/>
          <w:b/>
          <w:noProof/>
          <w:color w:val="auto"/>
        </w:rPr>
        <w:t xml:space="preserve"> </w:t>
      </w:r>
    </w:p>
    <w:p w14:paraId="464AA675" w14:textId="77777777" w:rsidR="008A45D3" w:rsidRPr="00C31310" w:rsidRDefault="008A45D3" w:rsidP="008A45D3">
      <w:pP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rPr>
        <w:t xml:space="preserve">La Directiva revisada sobre fuentes de energía renovables establece objetivos vinculantes para la calefacción y la refrigeración renovables y fomenta el despliegue del uso directo del calor geotérmico. </w:t>
      </w:r>
      <w:r>
        <w:rPr>
          <w:rFonts w:ascii="Times New Roman" w:hAnsi="Times New Roman"/>
          <w:noProof/>
          <w:sz w:val="24"/>
          <w:shd w:val="clear" w:color="auto" w:fill="FFFFFF"/>
        </w:rPr>
        <w:t>Se espera que la Ley de Materias Primas Fundamentales</w:t>
      </w:r>
      <w:r>
        <w:rPr>
          <w:rFonts w:ascii="Times New Roman" w:hAnsi="Times New Roman"/>
          <w:noProof/>
          <w:sz w:val="24"/>
        </w:rPr>
        <w:t xml:space="preserve"> </w:t>
      </w:r>
      <w:r>
        <w:rPr>
          <w:rFonts w:ascii="Times New Roman" w:hAnsi="Times New Roman"/>
          <w:noProof/>
          <w:sz w:val="24"/>
          <w:shd w:val="clear" w:color="auto" w:fill="FFFFFF"/>
        </w:rPr>
        <w:t>aumente</w:t>
      </w:r>
      <w:r>
        <w:rPr>
          <w:rFonts w:ascii="Times New Roman" w:hAnsi="Times New Roman"/>
          <w:noProof/>
          <w:sz w:val="24"/>
        </w:rPr>
        <w:t xml:space="preserve"> el </w:t>
      </w:r>
      <w:r>
        <w:rPr>
          <w:rFonts w:ascii="Times New Roman" w:hAnsi="Times New Roman"/>
          <w:noProof/>
          <w:color w:val="000000"/>
          <w:sz w:val="24"/>
          <w:shd w:val="clear" w:color="auto" w:fill="FFFFFF"/>
        </w:rPr>
        <w:t>margen para explotar los recursos geotérmicos necesarios para coproducir materias primas fundamentales, especialmente litio</w:t>
      </w:r>
      <w:r>
        <w:rPr>
          <w:rFonts w:ascii="Times New Roman" w:hAnsi="Times New Roman"/>
          <w:noProof/>
          <w:sz w:val="24"/>
        </w:rPr>
        <w:t>.</w:t>
      </w:r>
    </w:p>
    <w:p w14:paraId="38E0A4CE" w14:textId="4C749D57" w:rsidR="008A45D3" w:rsidRPr="00C31310" w:rsidRDefault="00C96956" w:rsidP="008A45D3">
      <w:pPr>
        <w:spacing w:after="0" w:line="240" w:lineRule="auto"/>
        <w:jc w:val="both"/>
        <w:textAlignment w:val="baseline"/>
        <w:rPr>
          <w:rFonts w:ascii="Times New Roman" w:eastAsia="Times New Roman" w:hAnsi="Times New Roman" w:cs="Times New Roman"/>
          <w:b/>
          <w:noProof/>
          <w:sz w:val="24"/>
          <w:szCs w:val="24"/>
        </w:rPr>
      </w:pPr>
      <w:r>
        <w:rPr>
          <w:rFonts w:ascii="Times New Roman" w:hAnsi="Times New Roman"/>
          <w:noProof/>
          <w:sz w:val="24"/>
        </w:rPr>
        <w:t xml:space="preserve"> </w:t>
      </w:r>
    </w:p>
    <w:p w14:paraId="1D1F458F" w14:textId="444F3AED" w:rsidR="008A45D3" w:rsidRPr="008907E2" w:rsidRDefault="008A45D3" w:rsidP="008A45D3">
      <w:pPr>
        <w:spacing w:after="0" w:line="240" w:lineRule="auto"/>
        <w:jc w:val="both"/>
        <w:textAlignment w:val="baseline"/>
        <w:rPr>
          <w:rFonts w:ascii="Times New Roman" w:eastAsia="Times New Roman" w:hAnsi="Times New Roman" w:cs="Times New Roman"/>
          <w:noProof/>
          <w:sz w:val="24"/>
          <w:szCs w:val="24"/>
        </w:rPr>
      </w:pPr>
      <w:r>
        <w:rPr>
          <w:rFonts w:ascii="Times New Roman" w:hAnsi="Times New Roman"/>
          <w:b/>
          <w:noProof/>
          <w:sz w:val="24"/>
        </w:rPr>
        <w:t>La energía geotérmica profunda tiene el factor de capacidad más alto de todas las fuentes de energía renovables</w:t>
      </w:r>
      <w:r>
        <w:rPr>
          <w:rFonts w:ascii="Times New Roman" w:hAnsi="Times New Roman"/>
          <w:noProof/>
          <w:sz w:val="24"/>
        </w:rPr>
        <w:t xml:space="preserve"> (que puede superar el 80 %</w:t>
      </w:r>
      <w:r w:rsidRPr="003E0E53">
        <w:rPr>
          <w:rFonts w:ascii="Times New Roman" w:eastAsia="Times New Roman" w:hAnsi="Times New Roman" w:cs="Times New Roman"/>
          <w:noProof/>
          <w:sz w:val="24"/>
          <w:szCs w:val="24"/>
          <w:vertAlign w:val="superscript"/>
          <w:lang w:val="en-GB" w:eastAsia="fr-BE"/>
        </w:rPr>
        <w:footnoteReference w:id="188"/>
      </w:r>
      <w:r>
        <w:rPr>
          <w:rFonts w:ascii="Times New Roman" w:hAnsi="Times New Roman"/>
          <w:noProof/>
          <w:sz w:val="24"/>
        </w:rPr>
        <w:t xml:space="preserve">), </w:t>
      </w:r>
      <w:r>
        <w:rPr>
          <w:rFonts w:ascii="Times New Roman" w:hAnsi="Times New Roman"/>
          <w:b/>
          <w:noProof/>
          <w:sz w:val="24"/>
        </w:rPr>
        <w:t>bajos costes de funcionamiento y una amplia base de fabricación</w:t>
      </w:r>
      <w:r>
        <w:rPr>
          <w:rFonts w:ascii="Times New Roman" w:hAnsi="Times New Roman"/>
          <w:noProof/>
          <w:sz w:val="24"/>
        </w:rPr>
        <w:t>. En 2022, la capacidad de energía geotérmica profunda alcanzó los 16,1 GWe en todo el mundo</w:t>
      </w:r>
      <w:r w:rsidRPr="003E0E53">
        <w:rPr>
          <w:rFonts w:ascii="Times New Roman" w:eastAsia="Times New Roman" w:hAnsi="Times New Roman" w:cs="Times New Roman"/>
          <w:noProof/>
          <w:sz w:val="24"/>
          <w:szCs w:val="24"/>
          <w:vertAlign w:val="superscript"/>
          <w:lang w:val="en-GB" w:eastAsia="fr-BE"/>
        </w:rPr>
        <w:footnoteReference w:id="189"/>
      </w:r>
      <w:r>
        <w:rPr>
          <w:rFonts w:ascii="Times New Roman" w:hAnsi="Times New Roman"/>
          <w:noProof/>
          <w:sz w:val="24"/>
        </w:rPr>
        <w:t>, con 877 MWe en la UE</w:t>
      </w:r>
      <w:r w:rsidRPr="2F5E339F">
        <w:rPr>
          <w:rFonts w:ascii="Times New Roman" w:eastAsia="Times New Roman" w:hAnsi="Times New Roman" w:cs="Times New Roman"/>
          <w:noProof/>
          <w:sz w:val="24"/>
          <w:szCs w:val="24"/>
          <w:vertAlign w:val="superscript"/>
          <w:lang w:val="en-GB" w:eastAsia="fr-BE"/>
        </w:rPr>
        <w:footnoteReference w:id="190"/>
      </w:r>
      <w:r>
        <w:rPr>
          <w:rFonts w:ascii="Times New Roman" w:hAnsi="Times New Roman"/>
          <w:noProof/>
          <w:sz w:val="24"/>
        </w:rPr>
        <w:t>. En 2022 no se puso en marcha ninguna central nueva en Europa y el aumento mundial de 286,4 MWe, principalmente en Kenia, Indonesia y los Estados Unidos, se situó por debajo de la tendencia anual anterior a la pandemia del 3 %</w:t>
      </w:r>
      <w:r w:rsidRPr="008907E2">
        <w:rPr>
          <w:rFonts w:ascii="Times New Roman" w:eastAsia="Times New Roman" w:hAnsi="Times New Roman" w:cs="Times New Roman"/>
          <w:noProof/>
          <w:color w:val="333333"/>
          <w:sz w:val="24"/>
          <w:szCs w:val="24"/>
          <w:vertAlign w:val="superscript"/>
          <w:lang w:val="en-GB" w:eastAsia="fr-BE"/>
        </w:rPr>
        <w:footnoteReference w:id="191"/>
      </w:r>
      <w:r>
        <w:rPr>
          <w:rFonts w:ascii="Times New Roman" w:hAnsi="Times New Roman"/>
          <w:noProof/>
          <w:sz w:val="24"/>
        </w:rPr>
        <w:t>. De manera más prometedora, el uso de calor geotérmico directo ha tenido una tasa de crecimiento constante del 9 % desde 2010 en la UE</w:t>
      </w:r>
      <w:r w:rsidRPr="008907E2">
        <w:rPr>
          <w:rFonts w:ascii="Times New Roman" w:eastAsia="Times New Roman" w:hAnsi="Times New Roman" w:cs="Times New Roman"/>
          <w:noProof/>
          <w:sz w:val="24"/>
          <w:szCs w:val="24"/>
          <w:vertAlign w:val="superscript"/>
          <w:lang w:val="en-GB" w:eastAsia="fr-BE"/>
        </w:rPr>
        <w:footnoteReference w:id="192"/>
      </w:r>
      <w:r>
        <w:rPr>
          <w:rFonts w:ascii="Times New Roman" w:hAnsi="Times New Roman"/>
          <w:noProof/>
          <w:sz w:val="24"/>
        </w:rPr>
        <w:t>, especialmente para la calefacción y refrigeración urbanas. En la actualidad hay 261 sistemas que utilizan calor geotérmico directo, con 12 nuevos sistemas añadidos en 2022 (5 solo en Francia).</w:t>
      </w:r>
    </w:p>
    <w:p w14:paraId="53BC46CE" w14:textId="0CD9BB6B" w:rsidR="008A45D3"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b/>
          <w:noProof/>
          <w:sz w:val="24"/>
        </w:rPr>
        <w:t>La UE tiene una posición sólida en materia de inversiones en I+i, patentes y publicaciones científicas.</w:t>
      </w:r>
      <w:r>
        <w:rPr>
          <w:rFonts w:ascii="Times New Roman" w:hAnsi="Times New Roman"/>
          <w:noProof/>
          <w:sz w:val="24"/>
        </w:rPr>
        <w:t xml:space="preserve"> La financiación de I+i por parte de la Comisión Europea y de los Estados miembros sitúa a la UE en la vanguardia mundial en términos de apoyo público al sector entre 2010 y 2020, seguida de los Estados Unidos. Durante el mismo período, la UE también fue líder en cuanto al número de nuevas patentes de alto valor, antes de que China la superara en 2019</w:t>
      </w:r>
      <w:r w:rsidRPr="00C31310">
        <w:rPr>
          <w:rFonts w:ascii="Times New Roman" w:eastAsia="Times New Roman" w:hAnsi="Times New Roman" w:cs="Times New Roman"/>
          <w:noProof/>
          <w:sz w:val="24"/>
          <w:szCs w:val="24"/>
          <w:vertAlign w:val="superscript"/>
          <w:lang w:val="en-GB" w:eastAsia="fr-BE"/>
        </w:rPr>
        <w:footnoteReference w:id="193"/>
      </w:r>
      <w:r>
        <w:rPr>
          <w:rFonts w:ascii="Times New Roman" w:hAnsi="Times New Roman"/>
          <w:noProof/>
          <w:sz w:val="24"/>
        </w:rPr>
        <w:t>.</w:t>
      </w:r>
    </w:p>
    <w:p w14:paraId="78F52E17" w14:textId="77777777" w:rsidR="008A45D3"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Aunque la tecnología de sistemas geotérmicos mejorados aún no ha alcanzado su madurez, la I+i ha traído consigo nuevos avances en el almacenamiento de calor y frío subterráneos, la evaluación y exploración de recursos, los sistemas geotérmicos de circuito cerrado y el uso de CO</w:t>
      </w:r>
      <w:r>
        <w:rPr>
          <w:rFonts w:ascii="Times New Roman" w:hAnsi="Times New Roman"/>
          <w:noProof/>
          <w:sz w:val="24"/>
          <w:vertAlign w:val="subscript"/>
        </w:rPr>
        <w:t>2</w:t>
      </w:r>
      <w:r>
        <w:rPr>
          <w:rFonts w:ascii="Times New Roman" w:hAnsi="Times New Roman"/>
          <w:noProof/>
          <w:sz w:val="24"/>
        </w:rPr>
        <w:t xml:space="preserve"> almacenado para la producción de energía. </w:t>
      </w:r>
    </w:p>
    <w:p w14:paraId="70F61FB7" w14:textId="149A79D1" w:rsidR="008A45D3"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Las turbinas para la producción de energía geotérmica las fabrican principalmente unas pocas grandes empresas industriales, como Toshiba (JP), Fuji Electric (JP), Mitsubishi Heavy Industries (JP), Ormat Technologies (US/IL) y Ansaldo Energia (IT), en su mayoría no europeas, con algunas excepciones notables en Italia. El mercado de la construcción de instalaciones geotérmicas se distribuye entre múltiples empresas de los sectores público y privado</w:t>
      </w:r>
      <w:r w:rsidRPr="008907E2">
        <w:rPr>
          <w:rFonts w:ascii="Times New Roman" w:eastAsia="Times New Roman" w:hAnsi="Times New Roman" w:cs="Times New Roman"/>
          <w:noProof/>
          <w:sz w:val="24"/>
          <w:szCs w:val="24"/>
          <w:vertAlign w:val="superscript"/>
          <w:lang w:val="en-GB" w:eastAsia="fr-BE"/>
        </w:rPr>
        <w:footnoteReference w:id="194"/>
      </w:r>
      <w:r>
        <w:rPr>
          <w:rFonts w:ascii="Times New Roman" w:hAnsi="Times New Roman"/>
          <w:noProof/>
          <w:sz w:val="24"/>
        </w:rPr>
        <w:t>. En calefacción urbana, los proveedores de equipos geotérmicos para la parte subterránea de las instalaciones pertenecen en su mayoría a la industria del petróleo y el gas. Las bombas, válvulas y sistemas de control suelen importarse de los Estados Unidos y Canadá. Las operaciones de exploración y perforación, que representan los principales costes de los proyectos geotérmicos profundos, están dominadas por unas pocas empresas especializadas no europeas</w:t>
      </w:r>
      <w:r w:rsidRPr="008907E2">
        <w:rPr>
          <w:rFonts w:ascii="Times New Roman" w:eastAsia="Times New Roman" w:hAnsi="Times New Roman" w:cs="Times New Roman"/>
          <w:noProof/>
          <w:sz w:val="24"/>
          <w:szCs w:val="24"/>
          <w:vertAlign w:val="superscript"/>
          <w:lang w:val="en-GB" w:eastAsia="fr-BE"/>
        </w:rPr>
        <w:footnoteReference w:id="195"/>
      </w:r>
      <w:r>
        <w:rPr>
          <w:rFonts w:ascii="Times New Roman" w:hAnsi="Times New Roman"/>
          <w:noProof/>
          <w:sz w:val="24"/>
        </w:rPr>
        <w:t xml:space="preserve">. </w:t>
      </w:r>
    </w:p>
    <w:p w14:paraId="2D2B96F5" w14:textId="0D79058C" w:rsidR="008A45D3" w:rsidRPr="008907E2"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2022, </w:t>
      </w:r>
      <w:r>
        <w:rPr>
          <w:rFonts w:ascii="Times New Roman" w:hAnsi="Times New Roman"/>
          <w:b/>
          <w:noProof/>
          <w:sz w:val="24"/>
        </w:rPr>
        <w:t>el sector se enfrentó a la escasez de mano de obra, equipos y materiales</w:t>
      </w:r>
      <w:r>
        <w:rPr>
          <w:rFonts w:ascii="Times New Roman" w:hAnsi="Times New Roman"/>
          <w:noProof/>
          <w:sz w:val="24"/>
        </w:rPr>
        <w:t>, como plataformas de perforación o acero para revestimiento. La energía geotérmica hace un uso muy limitado de materias primas fundamentales, pero la extracción de litio de salinas geotérmicas ricas en litio, como en el actual desarrollo comercial en el sur de Alemania</w:t>
      </w:r>
      <w:r w:rsidRPr="008907E2">
        <w:rPr>
          <w:rFonts w:ascii="Times New Roman" w:eastAsia="Times New Roman" w:hAnsi="Times New Roman" w:cs="Times New Roman"/>
          <w:noProof/>
          <w:sz w:val="24"/>
          <w:szCs w:val="24"/>
          <w:vertAlign w:val="superscript"/>
          <w:lang w:val="en-GB" w:eastAsia="fr-BE"/>
        </w:rPr>
        <w:footnoteReference w:id="196"/>
      </w:r>
      <w:r>
        <w:rPr>
          <w:rFonts w:ascii="Times New Roman" w:hAnsi="Times New Roman"/>
          <w:noProof/>
          <w:sz w:val="24"/>
        </w:rPr>
        <w:t xml:space="preserve">, puede contribuir a mitigar la dependencia de la UE de las importaciones. </w:t>
      </w:r>
    </w:p>
    <w:p w14:paraId="7C4B08FF" w14:textId="77777777" w:rsidR="008A45D3" w:rsidRPr="00C31310" w:rsidRDefault="008A45D3" w:rsidP="008A45D3">
      <w:pPr>
        <w:spacing w:after="240" w:line="240" w:lineRule="auto"/>
        <w:jc w:val="both"/>
        <w:rPr>
          <w:rFonts w:ascii="Times New Roman" w:hAnsi="Times New Roman" w:cs="Times New Roman"/>
          <w:noProof/>
          <w:sz w:val="24"/>
          <w:szCs w:val="24"/>
        </w:rPr>
      </w:pPr>
      <w:r>
        <w:rPr>
          <w:rFonts w:ascii="Times New Roman" w:hAnsi="Times New Roman"/>
          <w:b/>
          <w:noProof/>
          <w:sz w:val="24"/>
        </w:rPr>
        <w:t>El sector necesita más datos disponibles sobre el subsuelo</w:t>
      </w:r>
      <w:r>
        <w:rPr>
          <w:rFonts w:ascii="Times New Roman" w:hAnsi="Times New Roman"/>
          <w:noProof/>
          <w:sz w:val="24"/>
        </w:rPr>
        <w:t xml:space="preserve"> para reducir los riesgos de desarrollo de los recursos, técnicas de exploración más baratas y fiables y procesos de producción innovadores para aumentar la gama de entornos geológicos explotables, como los sistemas geotérmicos mejorados o los sistemas geotérmicos de circuito cerrado. </w:t>
      </w:r>
      <w:r>
        <w:rPr>
          <w:rFonts w:ascii="Times New Roman" w:hAnsi="Times New Roman"/>
          <w:b/>
          <w:noProof/>
          <w:sz w:val="24"/>
        </w:rPr>
        <w:t>También sería beneficioso para el sector simplificar el proceso de concesión de licencias, contar con regímenes de reducción de riesgos, sensibilizar a la opinión pública y desarrollar las capacidades de la mano de obra.</w:t>
      </w:r>
    </w:p>
    <w:p w14:paraId="65A5103A" w14:textId="61075DD6"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90" w:name="_Toc147843026"/>
      <w:bookmarkStart w:id="91" w:name="_Toc153536070"/>
      <w:r>
        <w:rPr>
          <w:rFonts w:ascii="Times New Roman" w:hAnsi="Times New Roman"/>
          <w:b/>
          <w:noProof/>
          <w:color w:val="auto"/>
        </w:rPr>
        <w:t>Electrólisis del agua para producir hidrógeno renovable</w:t>
      </w:r>
      <w:bookmarkEnd w:id="90"/>
      <w:bookmarkEnd w:id="91"/>
    </w:p>
    <w:p w14:paraId="086C6900" w14:textId="77777777" w:rsidR="008A45D3" w:rsidRPr="008907E2" w:rsidRDefault="008A45D3" w:rsidP="008A45D3">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La electrólisis del agua es actualmente la única tecnología clave capaz de producir hidrógeno renovable a escala.</w:t>
      </w:r>
      <w:r>
        <w:rPr>
          <w:rFonts w:ascii="Times New Roman" w:hAnsi="Times New Roman"/>
          <w:noProof/>
          <w:sz w:val="24"/>
        </w:rPr>
        <w:t xml:space="preserve"> Puede contribuir a la descarbonización de sectores difíciles de reducir en la industria, el transporte pesado, marítimo y aéreo, o a otros usos, como el almacenamiento de energía (especialmente estacional). </w:t>
      </w:r>
    </w:p>
    <w:p w14:paraId="4204D601" w14:textId="5DD49F52"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En la UE, la Directiva revisada sobre fuentes de energía renovables establece subobjetivos específicos para el uso de combustibles renovables de origen no biológico para el hidrógeno renovable en la industria (42 %) y el transporte (1 % de combustibles renovables de origen no biológico y 5,5 % combinados con biocarburantes avanzados) de aquí a 2030. El nuevo Reglamento Delegado sobre la definición de combustibles renovables de origen no biológico</w:t>
      </w:r>
      <w:r w:rsidRPr="008907E2">
        <w:rPr>
          <w:rFonts w:ascii="Times New Roman" w:eastAsia="Times New Roman" w:hAnsi="Times New Roman" w:cs="Times New Roman"/>
          <w:noProof/>
          <w:sz w:val="24"/>
          <w:szCs w:val="24"/>
          <w:vertAlign w:val="superscript"/>
          <w:lang w:val="en-GB" w:eastAsia="fr-BE"/>
        </w:rPr>
        <w:footnoteReference w:id="197"/>
      </w:r>
      <w:r>
        <w:rPr>
          <w:rFonts w:ascii="Times New Roman" w:hAnsi="Times New Roman"/>
          <w:noProof/>
          <w:sz w:val="24"/>
        </w:rPr>
        <w:t xml:space="preserve"> establece requisitos para producir este tipo de combustibles, entre los que se incluye el hidrógeno renovable, como la correlación temporal y geográfica y el principio de adicionalidad. Se espera que el Banco Europeo del Hidrógeno</w:t>
      </w:r>
      <w:r w:rsidRPr="008907E2">
        <w:rPr>
          <w:rFonts w:ascii="Times New Roman" w:eastAsia="Times New Roman" w:hAnsi="Times New Roman" w:cs="Times New Roman"/>
          <w:noProof/>
          <w:sz w:val="24"/>
          <w:szCs w:val="24"/>
          <w:vertAlign w:val="superscript"/>
          <w:lang w:val="en-GB" w:eastAsia="fr-BE"/>
        </w:rPr>
        <w:footnoteReference w:id="198"/>
      </w:r>
      <w:r>
        <w:rPr>
          <w:rFonts w:ascii="Times New Roman" w:hAnsi="Times New Roman"/>
          <w:noProof/>
          <w:sz w:val="24"/>
        </w:rPr>
        <w:t xml:space="preserve"> ponga en marcha su subasta piloto en noviembre de 2023, cuyo objetivo es garantizar «acuerdos de compra» a largo plazo entre productores y compradores, y la entidad adjudicadora concederá hasta 800 millones EUR. </w:t>
      </w:r>
    </w:p>
    <w:p w14:paraId="4E92B642" w14:textId="38E5C0CD"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Se espera que la capacidad mundial desplegada de electrolizadores alcance unos 2 GW a finales de 2023</w:t>
      </w:r>
      <w:r w:rsidR="00EA772F">
        <w:rPr>
          <w:rStyle w:val="FootnoteReference"/>
          <w:rFonts w:ascii="Times New Roman" w:eastAsia="Times New Roman" w:hAnsi="Times New Roman" w:cs="Times New Roman"/>
          <w:noProof/>
          <w:sz w:val="24"/>
          <w:szCs w:val="24"/>
          <w:lang w:val="en-GB" w:eastAsia="fr-BE"/>
        </w:rPr>
        <w:footnoteReference w:id="199"/>
      </w:r>
      <w:r>
        <w:rPr>
          <w:rFonts w:ascii="Times New Roman" w:hAnsi="Times New Roman"/>
          <w:noProof/>
          <w:sz w:val="24"/>
        </w:rPr>
        <w:t>, con respecto al intervalo de 600-700 MW a finales de 2022</w:t>
      </w:r>
      <w:r w:rsidRPr="008907E2">
        <w:rPr>
          <w:rFonts w:ascii="Times New Roman" w:eastAsia="Times New Roman" w:hAnsi="Times New Roman" w:cs="Times New Roman"/>
          <w:noProof/>
          <w:sz w:val="24"/>
          <w:szCs w:val="24"/>
          <w:vertAlign w:val="superscript"/>
          <w:lang w:val="en-GB" w:eastAsia="fr-BE"/>
        </w:rPr>
        <w:footnoteReference w:id="200"/>
      </w:r>
      <w:r>
        <w:rPr>
          <w:rFonts w:ascii="Times New Roman" w:hAnsi="Times New Roman"/>
          <w:noProof/>
          <w:sz w:val="24"/>
        </w:rPr>
        <w:t>, y 500 MW a finales de 2021</w:t>
      </w:r>
      <w:r w:rsidRPr="008907E2">
        <w:rPr>
          <w:rFonts w:ascii="Times New Roman" w:eastAsia="Times New Roman" w:hAnsi="Times New Roman" w:cs="Times New Roman"/>
          <w:noProof/>
          <w:sz w:val="24"/>
          <w:szCs w:val="24"/>
          <w:vertAlign w:val="superscript"/>
          <w:lang w:val="en-GB" w:eastAsia="fr-BE"/>
        </w:rPr>
        <w:footnoteReference w:id="201"/>
      </w:r>
      <w:r>
        <w:rPr>
          <w:rFonts w:ascii="Times New Roman" w:hAnsi="Times New Roman"/>
          <w:noProof/>
          <w:sz w:val="24"/>
        </w:rPr>
        <w:t>. La mayor parte de esta capacidad, estimada entre el 50 % y el 75 %, es alcalina</w:t>
      </w:r>
      <w:r w:rsidR="00EA772F">
        <w:rPr>
          <w:rStyle w:val="FootnoteReference"/>
          <w:rFonts w:ascii="Times New Roman" w:eastAsia="Times New Roman" w:hAnsi="Times New Roman" w:cs="Times New Roman"/>
          <w:noProof/>
          <w:sz w:val="24"/>
          <w:szCs w:val="24"/>
          <w:lang w:val="en-GB" w:eastAsia="fr-BE"/>
        </w:rPr>
        <w:footnoteReference w:id="202"/>
      </w:r>
      <w:r>
        <w:rPr>
          <w:rFonts w:ascii="Times New Roman" w:hAnsi="Times New Roman"/>
          <w:noProof/>
          <w:sz w:val="24"/>
        </w:rPr>
        <w:t>, mientras que el resto está compuesto casi en su totalidad por electrolizadores de membrana de intercambio protónico</w:t>
      </w:r>
      <w:r w:rsidRPr="008907E2">
        <w:rPr>
          <w:rFonts w:ascii="Times New Roman" w:eastAsia="Times New Roman" w:hAnsi="Times New Roman" w:cs="Times New Roman"/>
          <w:noProof/>
          <w:sz w:val="24"/>
          <w:szCs w:val="24"/>
          <w:vertAlign w:val="superscript"/>
          <w:lang w:val="en-GB" w:eastAsia="fr-BE"/>
        </w:rPr>
        <w:footnoteReference w:id="203"/>
      </w:r>
      <w:r>
        <w:rPr>
          <w:rFonts w:ascii="Times New Roman" w:hAnsi="Times New Roman"/>
          <w:noProof/>
          <w:sz w:val="24"/>
        </w:rPr>
        <w:t>. En términos de capacidad instalada, China se sitúa a la cabeza con cerca de 1 GW de capacidad instalada prevista para finales de 2023, con el mayor proyecto mundial de 260 MW operativo en 2023, frente a los 204 MW ya instalados en 2022. Le siguen Europa (UE-27, AELC, Reino Unido), con una capacidad prevista de 500 MW a finales de 2023 (una cuarta parte de la mundial), frente a los 162 MW en funcionamiento (agosto de 2022</w:t>
      </w:r>
      <w:r w:rsidRPr="008907E2">
        <w:rPr>
          <w:rFonts w:ascii="Times New Roman" w:eastAsia="Times New Roman" w:hAnsi="Times New Roman" w:cs="Times New Roman"/>
          <w:noProof/>
          <w:sz w:val="24"/>
          <w:szCs w:val="24"/>
          <w:vertAlign w:val="superscript"/>
          <w:lang w:val="en-GB" w:eastAsia="fr-BE"/>
        </w:rPr>
        <w:footnoteReference w:id="204"/>
      </w:r>
      <w:r>
        <w:rPr>
          <w:rFonts w:ascii="Times New Roman" w:hAnsi="Times New Roman"/>
          <w:noProof/>
          <w:sz w:val="24"/>
        </w:rPr>
        <w:t>). En el caso de los Estados Unidos, no hay datos suficientemente detallados y la capacidad instalada en 2022 se estimó en 19 MW. Este crecimiento está impulsado en gran medida por los sistemas de apoyo. Sin embargo, los estudios de mercado ponen de relieve que se espera que los sistemas de apoyo estadounidenses desencadenen una rápida adopción por el mercado. El despliegue está creciendo a escala mundial y se espera que alcance la escala de gigavatios a finales de 2023, impulsado en parte por estos sistemas de apoyo.</w:t>
      </w:r>
    </w:p>
    <w:p w14:paraId="6D66F045" w14:textId="649B77ED"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A finales de 2022, la capacidad mundial de fabricación de electrolizadores se estimó en unos 13-14 GW/año, con unos 3,3 GW/año en Europa</w:t>
      </w:r>
      <w:r w:rsidRPr="008907E2">
        <w:rPr>
          <w:rFonts w:ascii="Times New Roman" w:eastAsia="Times New Roman" w:hAnsi="Times New Roman" w:cs="Times New Roman"/>
          <w:noProof/>
          <w:sz w:val="24"/>
          <w:szCs w:val="24"/>
          <w:vertAlign w:val="superscript"/>
          <w:lang w:val="en-GB" w:eastAsia="fr-BE"/>
        </w:rPr>
        <w:footnoteReference w:id="205"/>
      </w:r>
      <w:r>
        <w:rPr>
          <w:rFonts w:ascii="Times New Roman" w:hAnsi="Times New Roman"/>
          <w:noProof/>
          <w:sz w:val="24"/>
        </w:rPr>
        <w:t>.</w:t>
      </w:r>
    </w:p>
    <w:p w14:paraId="211C6F4B" w14:textId="0D5AC9E9"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Iniciativas impulsadas por la industria, como la Alianza Europea por un Hidrógeno Limpio</w:t>
      </w:r>
      <w:r w:rsidRPr="008907E2">
        <w:rPr>
          <w:rFonts w:ascii="Times New Roman" w:eastAsia="Times New Roman" w:hAnsi="Times New Roman" w:cs="Times New Roman"/>
          <w:noProof/>
          <w:sz w:val="24"/>
          <w:szCs w:val="24"/>
          <w:vertAlign w:val="superscript"/>
          <w:lang w:val="en-GB" w:eastAsia="fr-BE"/>
        </w:rPr>
        <w:footnoteReference w:id="206"/>
      </w:r>
      <w:r>
        <w:rPr>
          <w:rFonts w:ascii="Times New Roman" w:hAnsi="Times New Roman"/>
          <w:noProof/>
          <w:sz w:val="24"/>
        </w:rPr>
        <w:t xml:space="preserve"> en el marco político de la Comisión Europea para promover el liderazgo industrial en el ámbito del hidrógeno renovable y el hidrógeno con bajas emisiones de carbono, y la Asociación sobre electrolizadores</w:t>
      </w:r>
      <w:r w:rsidRPr="008907E2">
        <w:rPr>
          <w:rFonts w:ascii="Times New Roman" w:eastAsia="Times New Roman" w:hAnsi="Times New Roman" w:cs="Times New Roman"/>
          <w:noProof/>
          <w:sz w:val="24"/>
          <w:szCs w:val="24"/>
          <w:vertAlign w:val="superscript"/>
          <w:lang w:val="en-GB" w:eastAsia="fr-BE"/>
        </w:rPr>
        <w:footnoteReference w:id="207"/>
      </w:r>
      <w:r>
        <w:rPr>
          <w:rFonts w:ascii="Times New Roman" w:hAnsi="Times New Roman"/>
          <w:noProof/>
          <w:sz w:val="24"/>
        </w:rPr>
        <w:t>, aspiran a alcanzar 25 GW de capacidad anual de fabricación de electrolizadores de aquí a 2025. China tiene la mayor capacidad de fabricación, que cubre al menos la mitad de los volúmenes mundiales y se centra casi exclusivamente en los alcalinos. La capacidad de fabricación de América del Norte es similar a la europea y actualmente se centra más en la electrólisis por membrana de intercambio protónico. En términos de competitividad de costes, el precio de la electricidad es uno de los principales factores que contribuyen al coste final del hidrógeno producido mediante electrólisis del agua y su peso crece junto con las horas de carga completa de los electrolizadores. Fuentes estadounidenses estiman que unos precios de la electricidad en torno a 30 USD/MWh (28,4 EUR/MWh) darían un precio del hidrógeno del orden de 2 USD/kgH</w:t>
      </w:r>
      <w:r>
        <w:rPr>
          <w:rFonts w:ascii="Times New Roman" w:hAnsi="Times New Roman"/>
          <w:noProof/>
          <w:sz w:val="24"/>
          <w:vertAlign w:val="subscript"/>
        </w:rPr>
        <w:t>2</w:t>
      </w:r>
      <w:r>
        <w:rPr>
          <w:rFonts w:ascii="Times New Roman" w:hAnsi="Times New Roman"/>
          <w:noProof/>
          <w:sz w:val="24"/>
        </w:rPr>
        <w:t xml:space="preserve"> o de alrededor de 1,9 EUR/kgH</w:t>
      </w:r>
      <w:r>
        <w:rPr>
          <w:rFonts w:ascii="Times New Roman" w:hAnsi="Times New Roman"/>
          <w:noProof/>
          <w:sz w:val="24"/>
          <w:vertAlign w:val="subscript"/>
        </w:rPr>
        <w:t>2</w:t>
      </w:r>
      <w:r w:rsidRPr="008907E2">
        <w:rPr>
          <w:rFonts w:ascii="Times New Roman" w:eastAsia="Times New Roman" w:hAnsi="Times New Roman" w:cs="Times New Roman"/>
          <w:noProof/>
          <w:sz w:val="24"/>
          <w:szCs w:val="24"/>
          <w:vertAlign w:val="superscript"/>
          <w:lang w:val="en-GB" w:eastAsia="fr-BE"/>
        </w:rPr>
        <w:footnoteReference w:id="208"/>
      </w:r>
      <w:r>
        <w:rPr>
          <w:rFonts w:ascii="Times New Roman" w:hAnsi="Times New Roman"/>
          <w:noProof/>
          <w:sz w:val="24"/>
        </w:rPr>
        <w:t xml:space="preserve">. </w:t>
      </w:r>
    </w:p>
    <w:p w14:paraId="5AE65D32" w14:textId="6EF13C38"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En Europa, la Empresa Común para un Hidrógeno Limpio invierte 2 400 millones EUR en toda la cadena de valor del hidrógeno</w:t>
      </w:r>
      <w:r>
        <w:rPr>
          <w:rStyle w:val="FootnoteReference"/>
          <w:rFonts w:ascii="Times New Roman" w:eastAsia="Times New Roman" w:hAnsi="Times New Roman" w:cs="Times New Roman"/>
          <w:noProof/>
          <w:sz w:val="24"/>
          <w:szCs w:val="24"/>
          <w:lang w:val="en-GB" w:eastAsia="fr-BE"/>
        </w:rPr>
        <w:footnoteReference w:id="209"/>
      </w:r>
      <w:r>
        <w:rPr>
          <w:rFonts w:ascii="Times New Roman" w:hAnsi="Times New Roman"/>
          <w:noProof/>
          <w:sz w:val="24"/>
        </w:rPr>
        <w:t>. Las inversiones impulsadas por proyectos importantes de interés común europeo relacionados con el hidrógeno han abierto la posibilidad de que varios fabricantes construyan nuevas fábricas de electrolizadores en Europa, aumentando la autonomía tecnológica de la UE, los conocimientos técnicos industriales y creando empleo</w:t>
      </w:r>
      <w:r w:rsidRPr="008907E2">
        <w:rPr>
          <w:rFonts w:ascii="Times New Roman" w:eastAsia="Times New Roman" w:hAnsi="Times New Roman" w:cs="Times New Roman"/>
          <w:noProof/>
          <w:sz w:val="24"/>
          <w:szCs w:val="24"/>
          <w:vertAlign w:val="superscript"/>
          <w:lang w:val="en-GB" w:eastAsia="fr-BE"/>
        </w:rPr>
        <w:footnoteReference w:id="210"/>
      </w:r>
      <w:r>
        <w:rPr>
          <w:rFonts w:ascii="Times New Roman" w:hAnsi="Times New Roman"/>
          <w:noProof/>
          <w:sz w:val="24"/>
        </w:rPr>
        <w:t>. Ejemplos de ello son las fábricas de Accelera-Cummins (BE, ES), Topsoe (DK), John Cockerill (BE, FR), Hydrogen Pro (DE) y anuncios de empresas entre Siemens y AirLiquide, Enapter (IT) para producir por primera vez un electrolizador aniónico de megavatios.</w:t>
      </w:r>
    </w:p>
    <w:p w14:paraId="529235E8" w14:textId="77777777" w:rsidR="008A45D3" w:rsidRPr="008907E2" w:rsidRDefault="008A45D3" w:rsidP="008A45D3">
      <w:pPr>
        <w:spacing w:after="0" w:line="240" w:lineRule="auto"/>
        <w:jc w:val="both"/>
        <w:rPr>
          <w:rFonts w:ascii="Times New Roman" w:eastAsia="Times New Roman" w:hAnsi="Times New Roman" w:cs="Times New Roman"/>
          <w:noProof/>
          <w:color w:val="000000"/>
          <w:sz w:val="24"/>
          <w:szCs w:val="24"/>
        </w:rPr>
      </w:pPr>
      <w:r>
        <w:rPr>
          <w:rFonts w:ascii="Times New Roman" w:hAnsi="Times New Roman"/>
          <w:b/>
          <w:noProof/>
          <w:color w:val="000000" w:themeColor="text1"/>
          <w:sz w:val="24"/>
        </w:rPr>
        <w:t>La producción de hidrógeno renovable se enfrenta a algunos retos.</w:t>
      </w:r>
      <w:r>
        <w:rPr>
          <w:rFonts w:ascii="Times New Roman" w:hAnsi="Times New Roman"/>
          <w:noProof/>
          <w:color w:val="000000" w:themeColor="text1"/>
          <w:sz w:val="24"/>
        </w:rPr>
        <w:t xml:space="preserve"> Existe la cuestión de la pérdida de eficiencia energética, lo que significa que la producción debe ir acompañada de una producción significativa de electricidad renovable. Además, el acceso a los recursos de agua dulce —que podría exacerbar el estrés hídrico local en la UE y en terceros países— debe tenerse en cuenta a la hora de poner en marcha nuevos proyectos de electrólisis del agua para evitar la escasez de otro elemento vital para la vida humana. </w:t>
      </w:r>
    </w:p>
    <w:p w14:paraId="4E2AF0F4" w14:textId="77777777" w:rsidR="008A45D3" w:rsidRPr="00C223F1" w:rsidRDefault="008A45D3" w:rsidP="008A45D3">
      <w:pPr>
        <w:spacing w:after="0" w:line="240" w:lineRule="auto"/>
        <w:jc w:val="both"/>
        <w:rPr>
          <w:rFonts w:ascii="Times New Roman" w:eastAsia="Times New Roman" w:hAnsi="Times New Roman" w:cs="Times New Roman"/>
          <w:noProof/>
          <w:color w:val="000000"/>
          <w:sz w:val="24"/>
          <w:szCs w:val="24"/>
          <w:lang w:eastAsia="fr-BE"/>
        </w:rPr>
      </w:pPr>
    </w:p>
    <w:p w14:paraId="606A9B27" w14:textId="77777777" w:rsidR="008A45D3" w:rsidRPr="00DF5D19"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El hidrógeno renovable y sus derivados aún no se comercializan a escala mundial</w:t>
      </w:r>
      <w:r>
        <w:rPr>
          <w:rFonts w:ascii="Times New Roman" w:hAnsi="Times New Roman"/>
          <w:noProof/>
          <w:sz w:val="24"/>
        </w:rPr>
        <w:t>, a pesar del aumento del número de proyectos destinados a transportar hidrógeno por todo el mundo, desde regiones ricas en energías renovables, pero con una demanda relativamente baja, a regiones con una elevada demanda, como Europa y Japón. Todavía no se dispone de un código comercial específico para el hidrógeno renovable. Se han notificado a la Comisión algunos regímenes voluntarios de certificación.</w:t>
      </w:r>
    </w:p>
    <w:p w14:paraId="74CF1130" w14:textId="77777777" w:rsidR="008A45D3" w:rsidRPr="00DF5D19"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El desarrollo de normas de seguridad, entre ellas las relativas a la manipulación de los derivados del hidrógeno, algunos de los cuales son tóxicos, es también un aspecto importante. Es posible que la fabricación de sistemas completos de electrolizadores se lleve a cabo cerca del despliegue, debido a las dificultades que entraña el transporte de sistemas tan grandes. Sin embargo, las materias primas, los materiales transformados y los componentes pueden comercializarse a escala mundial</w:t>
      </w:r>
      <w:r w:rsidRPr="00DF5D19">
        <w:rPr>
          <w:rFonts w:ascii="Times New Roman" w:eastAsia="Times New Roman" w:hAnsi="Times New Roman" w:cs="Times New Roman"/>
          <w:noProof/>
          <w:sz w:val="24"/>
          <w:szCs w:val="24"/>
          <w:vertAlign w:val="superscript"/>
          <w:lang w:val="en-GB" w:eastAsia="fr-BE"/>
        </w:rPr>
        <w:footnoteReference w:id="211"/>
      </w:r>
      <w:r>
        <w:rPr>
          <w:rFonts w:ascii="Times New Roman" w:hAnsi="Times New Roman"/>
          <w:noProof/>
          <w:sz w:val="24"/>
        </w:rPr>
        <w:t xml:space="preserve">. </w:t>
      </w:r>
    </w:p>
    <w:p w14:paraId="46D35F77" w14:textId="77777777" w:rsidR="008A45D3" w:rsidRPr="008907E2"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Los proyectos de despliegue están experimentando retrasos</w:t>
      </w:r>
      <w:r>
        <w:rPr>
          <w:rFonts w:ascii="Times New Roman" w:hAnsi="Times New Roman"/>
          <w:noProof/>
          <w:sz w:val="24"/>
        </w:rPr>
        <w:t xml:space="preserve"> debido a la naturaleza incipiente del mercado, a los volúmenes sin precedentes de electrolizadores y a la complejidad económica y técnica de los proyectos, así como al hecho de que los principales compradores industriales retrasan las inversiones debido a la actual situación económica. </w:t>
      </w:r>
      <w:r>
        <w:rPr>
          <w:rFonts w:ascii="Times New Roman" w:hAnsi="Times New Roman"/>
          <w:b/>
          <w:noProof/>
          <w:sz w:val="24"/>
        </w:rPr>
        <w:t>El despliegue de proyectos a gran escala que se benefician del apoyo de la UE o de ayudas estatales debido a los elevados riesgos que entrañan, debe ser supervisado de cerca por las partes encargadas de su ejecución para identificar los cuellos de botella y abordarlos con respuestas políticas proporcionadas.</w:t>
      </w:r>
      <w:r>
        <w:rPr>
          <w:rFonts w:ascii="Times New Roman" w:hAnsi="Times New Roman"/>
          <w:noProof/>
          <w:sz w:val="24"/>
        </w:rPr>
        <w:t xml:space="preserve"> Estos proyectos deben beneficiarse de mayores esfuerzos de difusión, que también garantizarán un intercambio eficiente de conocimientos valiosos y buenas prácticas industriales, lo que dará lugar a curvas de aprendizaje más pronunciadas en esta industria aún emergente. En este contexto, se espera que el Foro sobre los proyectos importantes de interés común europeo se ponga en marcha en breve.</w:t>
      </w:r>
    </w:p>
    <w:p w14:paraId="360229FA" w14:textId="0A13E25A" w:rsidR="008A45D3" w:rsidRPr="008E41BE" w:rsidRDefault="008A45D3" w:rsidP="008A45D3">
      <w:pPr>
        <w:spacing w:after="240" w:line="240" w:lineRule="auto"/>
        <w:jc w:val="both"/>
        <w:rPr>
          <w:rFonts w:ascii="Times New Roman" w:hAnsi="Times New Roman" w:cs="Times New Roman"/>
          <w:noProof/>
          <w:sz w:val="24"/>
          <w:szCs w:val="24"/>
        </w:rPr>
      </w:pPr>
      <w:r>
        <w:rPr>
          <w:rFonts w:ascii="Times New Roman" w:hAnsi="Times New Roman"/>
          <w:b/>
          <w:noProof/>
          <w:sz w:val="24"/>
        </w:rPr>
        <w:t>El desarrollo de la capacidad de fabricación europea debe ir acompañado de una infraestructura de reciclado adecuada.</w:t>
      </w:r>
      <w:r>
        <w:rPr>
          <w:rFonts w:ascii="Times New Roman" w:hAnsi="Times New Roman"/>
          <w:noProof/>
          <w:sz w:val="24"/>
        </w:rPr>
        <w:t xml:space="preserve"> Se necesitarán más investigación e inversiones en reciclado, lo que incluye las materias primas fundamentales necesarias para la fabricación de electrolizadores. </w:t>
      </w:r>
      <w:r>
        <w:rPr>
          <w:rFonts w:ascii="Times New Roman" w:hAnsi="Times New Roman"/>
          <w:b/>
          <w:noProof/>
          <w:sz w:val="24"/>
        </w:rPr>
        <w:t>Un nuevo reto será el desarrollo de materiales sustitutivos de las membranas</w:t>
      </w:r>
      <w:r>
        <w:rPr>
          <w:rFonts w:ascii="Times New Roman" w:hAnsi="Times New Roman"/>
          <w:noProof/>
          <w:sz w:val="24"/>
        </w:rPr>
        <w:t xml:space="preserve"> que tengan niveles de durabilidad y rendimiento comparables a los actuales, generalmente basados en sustancias perfluoroalquiladas y polifluoroalquiladas. Es necesario investigar para encontrar soluciones de sustitución satisfactorias.</w:t>
      </w:r>
    </w:p>
    <w:p w14:paraId="0C113C2E"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92" w:name="_Toc147843027"/>
      <w:bookmarkStart w:id="93" w:name="_Toc153536071"/>
      <w:r>
        <w:rPr>
          <w:rFonts w:ascii="Times New Roman" w:hAnsi="Times New Roman"/>
          <w:b/>
          <w:noProof/>
          <w:color w:val="auto"/>
        </w:rPr>
        <w:t>Tecnologías de biogás y biometano sostenibles</w:t>
      </w:r>
      <w:bookmarkEnd w:id="92"/>
      <w:bookmarkEnd w:id="93"/>
      <w:r>
        <w:rPr>
          <w:rFonts w:ascii="Times New Roman" w:hAnsi="Times New Roman"/>
          <w:b/>
          <w:noProof/>
          <w:color w:val="auto"/>
        </w:rPr>
        <w:t xml:space="preserve"> </w:t>
      </w:r>
    </w:p>
    <w:p w14:paraId="0C3E7AD2" w14:textId="77777777" w:rsidR="008A45D3" w:rsidRPr="00C31310" w:rsidRDefault="008A45D3" w:rsidP="008A45D3">
      <w:pPr>
        <w:contextualSpacing/>
        <w:jc w:val="both"/>
        <w:rPr>
          <w:rFonts w:ascii="Times New Roman" w:hAnsi="Times New Roman" w:cs="Times New Roman"/>
          <w:noProof/>
          <w:sz w:val="24"/>
          <w:szCs w:val="24"/>
        </w:rPr>
      </w:pPr>
      <w:r>
        <w:rPr>
          <w:rFonts w:ascii="Times New Roman" w:hAnsi="Times New Roman"/>
          <w:b/>
          <w:noProof/>
          <w:sz w:val="24"/>
        </w:rPr>
        <w:t>El biogás y el biometano sostenibles contribuyen en gran medida a que la UE alcance la autonomía energética y la neutralidad climática de forma rápida y rentable.</w:t>
      </w:r>
      <w:r>
        <w:rPr>
          <w:rFonts w:ascii="Times New Roman" w:hAnsi="Times New Roman"/>
          <w:noProof/>
          <w:sz w:val="24"/>
        </w:rPr>
        <w:t xml:space="preserve"> La Comisión propuso un plan de acción sobre el biometano</w:t>
      </w:r>
      <w:r w:rsidRPr="00C31310">
        <w:rPr>
          <w:rFonts w:ascii="Times New Roman" w:hAnsi="Times New Roman" w:cs="Times New Roman"/>
          <w:noProof/>
          <w:sz w:val="24"/>
          <w:szCs w:val="24"/>
          <w:vertAlign w:val="superscript"/>
          <w:lang w:val="en-GB"/>
        </w:rPr>
        <w:footnoteReference w:id="212"/>
      </w:r>
      <w:r>
        <w:rPr>
          <w:rFonts w:ascii="Times New Roman" w:hAnsi="Times New Roman"/>
          <w:noProof/>
          <w:sz w:val="24"/>
        </w:rPr>
        <w:t>, en el marco de REPowerEU y con el apoyo de la Alianza Industrial del Biometano, con el objetivo de sustituir alrededor del 10 % del gas natural al año por la producción sostenible de biometano de aquí a 2030. Los mercados de gases renovables y naturales y el Reglamento de la UE relativo al hidrógeno</w:t>
      </w:r>
      <w:r w:rsidRPr="5F3F00B1">
        <w:rPr>
          <w:rFonts w:ascii="Times New Roman" w:hAnsi="Times New Roman" w:cs="Times New Roman"/>
          <w:noProof/>
          <w:sz w:val="24"/>
          <w:szCs w:val="24"/>
          <w:vertAlign w:val="superscript"/>
          <w:lang w:val="en-GB"/>
        </w:rPr>
        <w:footnoteReference w:id="213"/>
      </w:r>
      <w:r>
        <w:rPr>
          <w:rFonts w:ascii="Times New Roman" w:hAnsi="Times New Roman"/>
          <w:noProof/>
          <w:sz w:val="24"/>
        </w:rPr>
        <w:t xml:space="preserve"> facilitarán la adopción de medidas para integrar el biometano en la red de gas de la UE.</w:t>
      </w:r>
    </w:p>
    <w:p w14:paraId="53FA700D" w14:textId="77777777" w:rsidR="008A45D3" w:rsidRPr="00C223F1" w:rsidRDefault="008A45D3" w:rsidP="008A45D3">
      <w:pPr>
        <w:contextualSpacing/>
        <w:jc w:val="both"/>
        <w:rPr>
          <w:rFonts w:ascii="Times New Roman" w:hAnsi="Times New Roman" w:cs="Times New Roman"/>
          <w:noProof/>
          <w:sz w:val="24"/>
          <w:szCs w:val="24"/>
        </w:rPr>
      </w:pPr>
    </w:p>
    <w:p w14:paraId="49A9918B" w14:textId="77777777" w:rsidR="008A45D3" w:rsidRPr="00C31310" w:rsidRDefault="008A45D3" w:rsidP="008A45D3">
      <w:pPr>
        <w:jc w:val="both"/>
        <w:rPr>
          <w:rFonts w:ascii="Times New Roman" w:hAnsi="Times New Roman" w:cs="Times New Roman"/>
          <w:noProof/>
          <w:sz w:val="24"/>
          <w:szCs w:val="24"/>
        </w:rPr>
      </w:pPr>
      <w:r>
        <w:rPr>
          <w:rFonts w:ascii="Times New Roman" w:hAnsi="Times New Roman"/>
          <w:b/>
          <w:noProof/>
          <w:sz w:val="24"/>
        </w:rPr>
        <w:t>La tecnología comercial para producir biogás o biometano es la digestión anaerobia, pero la eficiencia para obtener biometano es baja.</w:t>
      </w:r>
      <w:r>
        <w:rPr>
          <w:rFonts w:ascii="Times New Roman" w:hAnsi="Times New Roman"/>
          <w:noProof/>
          <w:sz w:val="24"/>
        </w:rPr>
        <w:t xml:space="preserve"> Las tecnologías innovadoras para producir biometano, como la gasificación de residuos y desechos de biomasa y la metanización biológica del biogás, están próximas a su comercialización. Actualmente también se están desarrollando nuevas vías basadas en procesos termoquímicos y biológicos. La tendencia actual para aumentar la producción de biometano es construir nuevas plantas y convertir las plantas de biogás existentes que producen calor y electricidad combinados en plantas de producción de biometano. </w:t>
      </w:r>
    </w:p>
    <w:p w14:paraId="09414DC7" w14:textId="747F6B92" w:rsidR="008A45D3" w:rsidRPr="00C31310" w:rsidRDefault="00EB3E8B" w:rsidP="008A45D3">
      <w:pPr>
        <w:jc w:val="both"/>
        <w:rPr>
          <w:rFonts w:ascii="Times New Roman" w:hAnsi="Times New Roman" w:cs="Times New Roman"/>
          <w:noProof/>
          <w:sz w:val="24"/>
          <w:szCs w:val="24"/>
        </w:rPr>
      </w:pPr>
      <w:r>
        <w:rPr>
          <w:rFonts w:ascii="Times New Roman" w:hAnsi="Times New Roman"/>
          <w:noProof/>
          <w:sz w:val="24"/>
        </w:rPr>
        <w:t>La financiación pública de I+i de la UE destinada a tecnologías de producción de biometano en el período 2014-2021 ascendió a 77 millones EUR</w:t>
      </w:r>
      <w:r w:rsidR="008A45D3" w:rsidRPr="00C31310">
        <w:rPr>
          <w:rFonts w:ascii="Times New Roman" w:hAnsi="Times New Roman" w:cs="Times New Roman"/>
          <w:noProof/>
          <w:sz w:val="24"/>
          <w:szCs w:val="24"/>
          <w:vertAlign w:val="superscript"/>
          <w:lang w:val="en-GB"/>
        </w:rPr>
        <w:footnoteReference w:id="214"/>
      </w:r>
      <w:r>
        <w:rPr>
          <w:rFonts w:ascii="Times New Roman" w:hAnsi="Times New Roman"/>
          <w:noProof/>
          <w:sz w:val="24"/>
        </w:rPr>
        <w:t xml:space="preserve">, con lo que la </w:t>
      </w:r>
      <w:r>
        <w:rPr>
          <w:rFonts w:ascii="Times New Roman" w:hAnsi="Times New Roman"/>
          <w:b/>
          <w:noProof/>
          <w:sz w:val="24"/>
        </w:rPr>
        <w:t>UE se sitúa en la vanguardia mundial de las invenciones de alto valor</w:t>
      </w:r>
      <w:r>
        <w:rPr>
          <w:rFonts w:ascii="Times New Roman" w:hAnsi="Times New Roman"/>
          <w:noProof/>
          <w:sz w:val="24"/>
        </w:rPr>
        <w:t xml:space="preserve">. En 2010-2022, la UE lideró con diferencia las publicaciones científicas, mientras que China ocupó el tercer puesto en 2022. </w:t>
      </w:r>
    </w:p>
    <w:p w14:paraId="29517B53" w14:textId="77777777" w:rsidR="008A45D3" w:rsidRPr="00432461" w:rsidRDefault="008A45D3" w:rsidP="008A45D3">
      <w:pPr>
        <w:jc w:val="both"/>
        <w:rPr>
          <w:rFonts w:ascii="Times New Roman" w:hAnsi="Times New Roman" w:cs="Times New Roman"/>
          <w:noProof/>
          <w:sz w:val="24"/>
          <w:szCs w:val="24"/>
        </w:rPr>
      </w:pPr>
      <w:r>
        <w:rPr>
          <w:rFonts w:ascii="Times New Roman" w:hAnsi="Times New Roman"/>
          <w:noProof/>
          <w:sz w:val="24"/>
        </w:rPr>
        <w:t>En 2022, l</w:t>
      </w:r>
      <w:r>
        <w:rPr>
          <w:rFonts w:ascii="Times New Roman" w:hAnsi="Times New Roman"/>
          <w:b/>
          <w:noProof/>
          <w:sz w:val="24"/>
        </w:rPr>
        <w:t>a UE fue el mayor productor de biogás</w:t>
      </w:r>
      <w:r w:rsidRPr="00C31310">
        <w:rPr>
          <w:rFonts w:ascii="Times New Roman" w:hAnsi="Times New Roman" w:cs="Times New Roman"/>
          <w:noProof/>
          <w:sz w:val="24"/>
          <w:szCs w:val="24"/>
          <w:vertAlign w:val="superscript"/>
          <w:lang w:val="en-GB"/>
        </w:rPr>
        <w:footnoteReference w:id="215"/>
      </w:r>
      <w:r>
        <w:rPr>
          <w:rFonts w:ascii="Times New Roman" w:hAnsi="Times New Roman"/>
          <w:noProof/>
          <w:sz w:val="24"/>
        </w:rPr>
        <w:t>, con más del 67 % de la producción mundial. De esta cifra, el 53 % se produjo en Alemania, seguida de Norteamérica con alrededor del 15 %, mientras que China está ofreciendo incentivos al biogás para aumentar su producción</w:t>
      </w:r>
      <w:r w:rsidRPr="00C31310">
        <w:rPr>
          <w:rFonts w:ascii="Times New Roman" w:hAnsi="Times New Roman" w:cs="Times New Roman"/>
          <w:noProof/>
          <w:sz w:val="24"/>
          <w:szCs w:val="24"/>
          <w:vertAlign w:val="superscript"/>
          <w:lang w:val="en-GB"/>
        </w:rPr>
        <w:footnoteReference w:id="216"/>
      </w:r>
      <w:r>
        <w:rPr>
          <w:rFonts w:ascii="Times New Roman" w:hAnsi="Times New Roman"/>
          <w:noProof/>
          <w:sz w:val="24"/>
        </w:rPr>
        <w:t>. Muchas empresas europeas son actores importantes del mercado en la fabricación de equipos para plantas de biogás y en el diseño y construcción global de plantas. El volumen de negocios del sector del biogás en la UE fue de 5 530 millones EUR en 2021, con un 60 % en Alemania y un 12 % en Italia, y 47 100 puestos de trabajo directos e indirectos</w:t>
      </w:r>
      <w:r w:rsidRPr="00C31310">
        <w:rPr>
          <w:rStyle w:val="FootnoteReference"/>
          <w:rFonts w:ascii="Times New Roman" w:hAnsi="Times New Roman" w:cs="Times New Roman"/>
          <w:noProof/>
          <w:sz w:val="24"/>
          <w:szCs w:val="24"/>
          <w:lang w:val="en-GB"/>
        </w:rPr>
        <w:footnoteReference w:id="217"/>
      </w:r>
      <w:r>
        <w:rPr>
          <w:rFonts w:ascii="Times New Roman" w:hAnsi="Times New Roman"/>
          <w:noProof/>
          <w:sz w:val="24"/>
        </w:rPr>
        <w:t>.</w:t>
      </w:r>
    </w:p>
    <w:p w14:paraId="35F4E330" w14:textId="3B0D47E1" w:rsidR="008A45D3" w:rsidRPr="00C31310" w:rsidRDefault="008A45D3" w:rsidP="008A45D3">
      <w:pPr>
        <w:contextualSpacing/>
        <w:jc w:val="both"/>
        <w:rPr>
          <w:rFonts w:ascii="Times New Roman" w:hAnsi="Times New Roman" w:cs="Times New Roman"/>
          <w:noProof/>
          <w:sz w:val="24"/>
          <w:szCs w:val="24"/>
        </w:rPr>
      </w:pPr>
      <w:r>
        <w:rPr>
          <w:rFonts w:ascii="Times New Roman" w:hAnsi="Times New Roman"/>
          <w:b/>
          <w:noProof/>
          <w:sz w:val="24"/>
        </w:rPr>
        <w:t>La materia prima del biogás es variada y se obtiene localmente en Europa, sin riesgo de dependencia de las importaciones</w:t>
      </w:r>
      <w:r w:rsidRPr="00C31310">
        <w:rPr>
          <w:rFonts w:ascii="Times New Roman" w:hAnsi="Times New Roman" w:cs="Times New Roman"/>
          <w:noProof/>
          <w:sz w:val="24"/>
          <w:szCs w:val="24"/>
          <w:vertAlign w:val="superscript"/>
          <w:lang w:val="en-GB"/>
        </w:rPr>
        <w:footnoteReference w:id="218"/>
      </w:r>
      <w:r>
        <w:rPr>
          <w:rFonts w:ascii="Times New Roman" w:hAnsi="Times New Roman"/>
          <w:noProof/>
          <w:sz w:val="24"/>
        </w:rPr>
        <w:t>.</w:t>
      </w:r>
      <w:r>
        <w:rPr>
          <w:rFonts w:ascii="Times New Roman" w:hAnsi="Times New Roman"/>
          <w:noProof/>
          <w:sz w:val="24"/>
          <w:vertAlign w:val="superscript"/>
        </w:rPr>
        <w:t xml:space="preserve"> </w:t>
      </w:r>
      <w:r>
        <w:rPr>
          <w:rFonts w:ascii="Times New Roman" w:hAnsi="Times New Roman"/>
          <w:noProof/>
          <w:sz w:val="24"/>
        </w:rPr>
        <w:t>Las políticas recientes han desplazado el suministro de materias primas de un sistema de monocultivo insostenible (por ejemplo, maíz) a biorresiduos y fuentes de biomasa sostenibles. Por ejemplo, los residuos sólidos urbanos orgánicos deberán recogerse por separado de aquí a 2024</w:t>
      </w:r>
      <w:r w:rsidRPr="00C31310">
        <w:rPr>
          <w:rFonts w:ascii="Times New Roman" w:hAnsi="Times New Roman" w:cs="Times New Roman"/>
          <w:noProof/>
          <w:sz w:val="24"/>
          <w:szCs w:val="24"/>
          <w:vertAlign w:val="superscript"/>
          <w:lang w:val="en-GB"/>
        </w:rPr>
        <w:footnoteReference w:id="219"/>
      </w:r>
      <w:r>
        <w:rPr>
          <w:rFonts w:ascii="Times New Roman" w:hAnsi="Times New Roman"/>
          <w:noProof/>
          <w:sz w:val="24"/>
        </w:rPr>
        <w:t xml:space="preserve">, lo que ofrece un enorme potencial. </w:t>
      </w:r>
      <w:r>
        <w:rPr>
          <w:rFonts w:ascii="Times New Roman" w:hAnsi="Times New Roman"/>
          <w:b/>
          <w:noProof/>
          <w:sz w:val="24"/>
        </w:rPr>
        <w:t>La UE lidera el desarrollo tecnológico del sector, pero se enfrentará a dificultades de expansión debido a los elevados costes operativos y de capital, la competitividad de costes con el gas natural y el acceso a la red de gas.</w:t>
      </w:r>
      <w:r>
        <w:rPr>
          <w:rFonts w:ascii="Times New Roman" w:hAnsi="Times New Roman"/>
          <w:noProof/>
          <w:sz w:val="24"/>
        </w:rPr>
        <w:t xml:space="preserve"> Actualmente, los costes de producción de biometano</w:t>
      </w:r>
      <w:r w:rsidR="007F0E73">
        <w:rPr>
          <w:rStyle w:val="FootnoteReference"/>
          <w:rFonts w:ascii="Times New Roman" w:hAnsi="Times New Roman" w:cs="Times New Roman"/>
          <w:noProof/>
          <w:sz w:val="24"/>
          <w:szCs w:val="24"/>
          <w:lang w:val="en-GB"/>
        </w:rPr>
        <w:footnoteReference w:id="220"/>
      </w:r>
      <w:r>
        <w:rPr>
          <w:rFonts w:ascii="Times New Roman" w:hAnsi="Times New Roman"/>
          <w:noProof/>
          <w:sz w:val="24"/>
        </w:rPr>
        <w:t xml:space="preserve"> se sitúan entre 40 y 120 EUR por MWh; sin embargo, la innovación tecnológica, la reproducción de las tecnologías de biometano más innovadoras y los incentivos de mercado, con el apoyo de la UE mediante una regulación y un marco de inversión estables, podrían ayudar a reducir los costes de producción en un 25-50 %. Esto podría impulsar la competitividad de la UE en el sector. El paso a residuos y residuos de materias primas limita la disponibilidad, pero también reduce los costes de los insumos. Las instalaciones actuales son de pequeña a mediana escala debido a la disponibilidad de materias primas, la logística y los costes. La mejora del biometano de las instalaciones de biogás existentes requiere un elevado coste de inversión de entre 1 y 2 millones EUR</w:t>
      </w:r>
      <w:r w:rsidRPr="00C31310">
        <w:rPr>
          <w:rFonts w:ascii="Times New Roman" w:hAnsi="Times New Roman" w:cs="Times New Roman"/>
          <w:noProof/>
          <w:sz w:val="24"/>
          <w:szCs w:val="24"/>
          <w:vertAlign w:val="superscript"/>
          <w:lang w:val="en-GB"/>
        </w:rPr>
        <w:footnoteReference w:id="221"/>
      </w:r>
      <w:r>
        <w:rPr>
          <w:rFonts w:ascii="Times New Roman" w:hAnsi="Times New Roman"/>
          <w:noProof/>
          <w:sz w:val="24"/>
        </w:rPr>
        <w:t xml:space="preserve"> para los pequeños operadores (agricultores o pymes), lo que significa que se necesitan incentivos a las empresas. La inyección a la red no siempre es posible, ya que las centrales se construyen donde hay materia prima disponible y la red de gas no está bien desarrollada en todas las regiones de la UE, por lo que es necesario favorecer el acceso a la red de gas. En la actualidad, aproximadamente la mitad de las plantas de biometano están conectadas a la red de gas natural</w:t>
      </w:r>
      <w:r w:rsidRPr="00C31310">
        <w:rPr>
          <w:rStyle w:val="FootnoteReference"/>
          <w:rFonts w:ascii="Times New Roman" w:hAnsi="Times New Roman" w:cs="Times New Roman"/>
          <w:noProof/>
          <w:sz w:val="24"/>
          <w:szCs w:val="24"/>
          <w:lang w:val="en-GB"/>
        </w:rPr>
        <w:footnoteReference w:id="222"/>
      </w:r>
      <w:r>
        <w:rPr>
          <w:rFonts w:ascii="Times New Roman" w:hAnsi="Times New Roman"/>
          <w:noProof/>
          <w:sz w:val="24"/>
        </w:rPr>
        <w:t>.</w:t>
      </w:r>
    </w:p>
    <w:p w14:paraId="0EBC7F95" w14:textId="77777777" w:rsidR="008A45D3" w:rsidRPr="00C223F1" w:rsidRDefault="008A45D3" w:rsidP="008A45D3">
      <w:pPr>
        <w:contextualSpacing/>
        <w:jc w:val="both"/>
        <w:rPr>
          <w:rFonts w:ascii="Times New Roman" w:hAnsi="Times New Roman" w:cs="Times New Roman"/>
          <w:noProof/>
          <w:sz w:val="24"/>
          <w:szCs w:val="24"/>
        </w:rPr>
      </w:pPr>
    </w:p>
    <w:p w14:paraId="7077341E" w14:textId="40BA15DC" w:rsidR="008A45D3" w:rsidRPr="00C31310" w:rsidRDefault="008A45D3" w:rsidP="008A45D3">
      <w:pPr>
        <w:contextualSpacing/>
        <w:jc w:val="both"/>
        <w:rPr>
          <w:rFonts w:ascii="Times New Roman" w:hAnsi="Times New Roman" w:cs="Times New Roman"/>
          <w:noProof/>
          <w:sz w:val="24"/>
          <w:szCs w:val="24"/>
        </w:rPr>
      </w:pPr>
      <w:r>
        <w:rPr>
          <w:rFonts w:ascii="Times New Roman" w:hAnsi="Times New Roman"/>
          <w:noProof/>
          <w:sz w:val="24"/>
        </w:rPr>
        <w:t>El volumen de producción combinada de biogás y biometano procedentes de la digestión anaerobia en la UE en 2021 representó el 4,4 % del gas natural consumido, es decir, 18 400 millones de metros cúbicos</w:t>
      </w:r>
      <w:r w:rsidRPr="00C31310">
        <w:rPr>
          <w:rFonts w:ascii="Times New Roman" w:hAnsi="Times New Roman" w:cs="Times New Roman"/>
          <w:noProof/>
          <w:sz w:val="24"/>
          <w:szCs w:val="24"/>
          <w:vertAlign w:val="superscript"/>
          <w:lang w:val="en-GB"/>
        </w:rPr>
        <w:footnoteReference w:id="223"/>
      </w:r>
      <w:r>
        <w:rPr>
          <w:rFonts w:ascii="Times New Roman" w:hAnsi="Times New Roman"/>
          <w:noProof/>
          <w:sz w:val="24"/>
        </w:rPr>
        <w:t>. De este volumen, 3 500 millones de metros cúbicos de biometano se produjeron en 1 067 plantas industriales a partir de biogás mejorado y 14 900 millones de metros cúbicos de biogás se produjeron en 18 843 plantas industriales de digestión anaerobia</w:t>
      </w:r>
      <w:r w:rsidRPr="00C31310">
        <w:rPr>
          <w:rFonts w:ascii="Times New Roman" w:hAnsi="Times New Roman" w:cs="Times New Roman"/>
          <w:noProof/>
          <w:sz w:val="24"/>
          <w:szCs w:val="24"/>
          <w:vertAlign w:val="superscript"/>
          <w:lang w:val="en-GB"/>
        </w:rPr>
        <w:footnoteReference w:id="224"/>
      </w:r>
      <w:r>
        <w:rPr>
          <w:rFonts w:ascii="Times New Roman" w:hAnsi="Times New Roman"/>
          <w:noProof/>
          <w:sz w:val="24"/>
        </w:rPr>
        <w:t>. La UE es el mayor productor mundial de biometano. A finales de 2020, había 1 161 instalaciones de mejora de biogás en funcionamiento en todo el mundo, con una capacidad de producción de 6 700 millones de metros cúbicos al año</w:t>
      </w:r>
      <w:r w:rsidRPr="00C31310">
        <w:rPr>
          <w:rFonts w:ascii="Times New Roman" w:hAnsi="Times New Roman" w:cs="Times New Roman"/>
          <w:noProof/>
          <w:sz w:val="24"/>
          <w:szCs w:val="24"/>
          <w:vertAlign w:val="superscript"/>
          <w:lang w:val="en-GB"/>
        </w:rPr>
        <w:footnoteReference w:id="225"/>
      </w:r>
      <w:r>
        <w:rPr>
          <w:rFonts w:ascii="Times New Roman" w:hAnsi="Times New Roman"/>
          <w:noProof/>
          <w:sz w:val="24"/>
        </w:rPr>
        <w:t>. Alcanzar el objetivo de 35 000 millones de metros cúbicos de REPowerEU en 2030 requeriría tanto la construcción de nuevas instalaciones como la mejora de las plantas de biogás que producen electricidad para la conversión a biometano o alrededor de 5 000 plantas de biometano adicionales más pequeñas</w:t>
      </w:r>
      <w:r w:rsidRPr="00C31310">
        <w:rPr>
          <w:rFonts w:ascii="Times New Roman" w:hAnsi="Times New Roman" w:cs="Times New Roman"/>
          <w:noProof/>
          <w:sz w:val="24"/>
          <w:szCs w:val="24"/>
          <w:vertAlign w:val="superscript"/>
          <w:lang w:val="en-GB"/>
        </w:rPr>
        <w:footnoteReference w:id="226"/>
      </w:r>
      <w:r>
        <w:rPr>
          <w:rFonts w:ascii="Times New Roman" w:hAnsi="Times New Roman"/>
          <w:noProof/>
          <w:sz w:val="24"/>
        </w:rPr>
        <w:t>. La producción potencial para 2050 podría alcanzar los 165 000 millones de metros cúbicos</w:t>
      </w:r>
      <w:r w:rsidRPr="00C31310">
        <w:rPr>
          <w:rFonts w:ascii="Times New Roman" w:hAnsi="Times New Roman" w:cs="Times New Roman"/>
          <w:noProof/>
          <w:sz w:val="24"/>
          <w:szCs w:val="24"/>
          <w:vertAlign w:val="superscript"/>
          <w:lang w:val="en-GB"/>
        </w:rPr>
        <w:footnoteReference w:id="227"/>
      </w:r>
      <w:r>
        <w:rPr>
          <w:rFonts w:ascii="Times New Roman" w:hAnsi="Times New Roman"/>
          <w:noProof/>
          <w:sz w:val="24"/>
        </w:rPr>
        <w:t>. La producción de bioGNL para el transporte está creciendo rápidamente en la UE, con 15 plantas en 2021 y una capacidad de 1,24 TWh/año (120 millones de metros cúbicos/año). La capacidad potencial para 2025 podría alcanzar los 12,4 TWh/año en 104 plantas</w:t>
      </w:r>
      <w:r w:rsidRPr="00C31310">
        <w:rPr>
          <w:rFonts w:ascii="Times New Roman" w:hAnsi="Times New Roman" w:cs="Times New Roman"/>
          <w:noProof/>
          <w:sz w:val="24"/>
          <w:szCs w:val="24"/>
          <w:vertAlign w:val="superscript"/>
          <w:lang w:val="en-GB"/>
        </w:rPr>
        <w:footnoteReference w:id="228"/>
      </w:r>
      <w:r>
        <w:rPr>
          <w:rFonts w:ascii="Times New Roman" w:hAnsi="Times New Roman"/>
          <w:noProof/>
          <w:sz w:val="24"/>
        </w:rPr>
        <w:t>.</w:t>
      </w:r>
    </w:p>
    <w:p w14:paraId="28175D8F" w14:textId="77777777" w:rsidR="008A45D3" w:rsidRPr="00C223F1" w:rsidRDefault="008A45D3" w:rsidP="008A45D3">
      <w:pPr>
        <w:contextualSpacing/>
        <w:jc w:val="both"/>
        <w:rPr>
          <w:rFonts w:ascii="Times New Roman" w:hAnsi="Times New Roman" w:cs="Times New Roman"/>
          <w:noProof/>
          <w:sz w:val="24"/>
        </w:rPr>
      </w:pPr>
    </w:p>
    <w:p w14:paraId="236CF7C4" w14:textId="77777777" w:rsidR="008A45D3" w:rsidRPr="00C31310" w:rsidRDefault="008A45D3" w:rsidP="008A45D3">
      <w:pPr>
        <w:contextualSpacing/>
        <w:jc w:val="both"/>
        <w:rPr>
          <w:rFonts w:ascii="Times New Roman" w:hAnsi="Times New Roman" w:cs="Times New Roman"/>
          <w:noProof/>
          <w:sz w:val="24"/>
          <w:szCs w:val="24"/>
        </w:rPr>
      </w:pPr>
      <w:r>
        <w:rPr>
          <w:rFonts w:ascii="Times New Roman" w:hAnsi="Times New Roman"/>
          <w:b/>
          <w:noProof/>
          <w:sz w:val="24"/>
        </w:rPr>
        <w:t>La innovación en la producción sostenible de biometano y en las tecnologías y componentes de mejora del biogás puede aumentar la capacidad de producción, la competitividad de costes y el acceso a la red de gas.</w:t>
      </w:r>
      <w:r>
        <w:rPr>
          <w:rFonts w:ascii="Times New Roman" w:hAnsi="Times New Roman"/>
          <w:noProof/>
          <w:sz w:val="24"/>
        </w:rPr>
        <w:t xml:space="preserve"> La creación de cadenas de valor de biometano resilientes implica adaptar una estrategia de la UE de despliegue de la producción descentralizada y centralizada a las condiciones locales de disponibilidad de materias primas, recursos, tecnología, costes y aceptación social. </w:t>
      </w:r>
      <w:r>
        <w:rPr>
          <w:rFonts w:ascii="Times New Roman" w:hAnsi="Times New Roman"/>
          <w:b/>
          <w:noProof/>
          <w:sz w:val="24"/>
        </w:rPr>
        <w:t>La planificación estratégica, la adopción de las medidas establecidas en las políticas de la UE</w:t>
      </w:r>
      <w:r>
        <w:rPr>
          <w:rFonts w:ascii="Times New Roman" w:hAnsi="Times New Roman"/>
          <w:noProof/>
          <w:sz w:val="24"/>
        </w:rPr>
        <w:t xml:space="preserve"> (como las infraestructuras de recogida selectiva y gestión de residuos orgánicos) </w:t>
      </w:r>
      <w:r>
        <w:rPr>
          <w:rFonts w:ascii="Times New Roman" w:hAnsi="Times New Roman"/>
          <w:b/>
          <w:noProof/>
          <w:sz w:val="24"/>
        </w:rPr>
        <w:t>y las señales de precios derivadas de los posibles objetivos vinculantes de producción de biometano pueden facilitar el despliegue.</w:t>
      </w:r>
      <w:r>
        <w:rPr>
          <w:rFonts w:ascii="Times New Roman" w:hAnsi="Times New Roman"/>
          <w:noProof/>
          <w:sz w:val="24"/>
        </w:rPr>
        <w:t xml:space="preserve"> El apoyo continuo a la investigación y la innovación también será importante para garantizar el suministro interno y aumentar la producción nacional a largo plazo.</w:t>
      </w:r>
    </w:p>
    <w:p w14:paraId="2669D240" w14:textId="77777777" w:rsidR="008A45D3" w:rsidRPr="002424BC" w:rsidRDefault="008A45D3" w:rsidP="008A45D3">
      <w:pPr>
        <w:pStyle w:val="Heading3"/>
        <w:keepLines w:val="0"/>
        <w:numPr>
          <w:ilvl w:val="1"/>
          <w:numId w:val="3"/>
        </w:numPr>
        <w:spacing w:before="0" w:after="240"/>
        <w:rPr>
          <w:rFonts w:ascii="Times New Roman" w:hAnsi="Times New Roman" w:cs="Times New Roman"/>
          <w:b/>
          <w:bCs/>
          <w:noProof/>
          <w:color w:val="auto"/>
        </w:rPr>
      </w:pPr>
      <w:r>
        <w:rPr>
          <w:rFonts w:ascii="Times New Roman" w:hAnsi="Times New Roman"/>
          <w:b/>
          <w:noProof/>
          <w:color w:val="auto"/>
        </w:rPr>
        <w:t xml:space="preserve"> </w:t>
      </w:r>
      <w:bookmarkStart w:id="94" w:name="_Toc147843028"/>
      <w:bookmarkStart w:id="95" w:name="_Toc153536072"/>
      <w:r>
        <w:rPr>
          <w:rFonts w:ascii="Times New Roman" w:hAnsi="Times New Roman"/>
          <w:b/>
          <w:noProof/>
          <w:color w:val="auto"/>
        </w:rPr>
        <w:t>Captura y almacenamiento de carbono (CAC)</w:t>
      </w:r>
      <w:bookmarkEnd w:id="94"/>
      <w:bookmarkEnd w:id="95"/>
      <w:r>
        <w:rPr>
          <w:rFonts w:ascii="Times New Roman" w:hAnsi="Times New Roman"/>
          <w:b/>
          <w:noProof/>
          <w:color w:val="auto"/>
        </w:rPr>
        <w:t xml:space="preserve"> </w:t>
      </w:r>
    </w:p>
    <w:p w14:paraId="44B3B5FE" w14:textId="77777777" w:rsidR="008A45D3" w:rsidRPr="008907E2" w:rsidRDefault="008A45D3" w:rsidP="008A45D3">
      <w:pPr>
        <w:jc w:val="both"/>
        <w:rPr>
          <w:rFonts w:ascii="Times New Roman" w:eastAsia="EC Square Sans Pro" w:hAnsi="Times New Roman" w:cs="Times New Roman"/>
          <w:noProof/>
          <w:sz w:val="24"/>
          <w:szCs w:val="24"/>
        </w:rPr>
      </w:pPr>
      <w:r>
        <w:rPr>
          <w:rFonts w:ascii="Times New Roman" w:hAnsi="Times New Roman"/>
          <w:noProof/>
          <w:sz w:val="24"/>
        </w:rPr>
        <w:t>Los escenarios de la Comisión hacia la neutralidad climática de aquí a 2050 indican que la UE necesitará capturar hasta 477 millones de toneladas de CO2</w:t>
      </w:r>
      <w:r w:rsidRPr="005A663D">
        <w:rPr>
          <w:rFonts w:ascii="Times New Roman" w:eastAsia="EC Square Sans Pro" w:hAnsi="Times New Roman" w:cs="Times New Roman"/>
          <w:noProof/>
          <w:sz w:val="24"/>
          <w:szCs w:val="24"/>
          <w:vertAlign w:val="superscript"/>
          <w:lang w:val="en-GB" w:eastAsia="fr-BE"/>
        </w:rPr>
        <w:footnoteReference w:id="229"/>
      </w:r>
      <w:r>
        <w:rPr>
          <w:rFonts w:ascii="Times New Roman" w:hAnsi="Times New Roman"/>
          <w:noProof/>
          <w:sz w:val="24"/>
        </w:rPr>
        <w:t>.</w:t>
      </w:r>
      <w:r>
        <w:rPr>
          <w:rFonts w:ascii="Times New Roman" w:hAnsi="Times New Roman"/>
          <w:noProof/>
          <w:sz w:val="24"/>
          <w:vertAlign w:val="subscript"/>
        </w:rPr>
        <w:t xml:space="preserve"> </w:t>
      </w:r>
      <w:r>
        <w:rPr>
          <w:rFonts w:ascii="Times New Roman" w:hAnsi="Times New Roman"/>
          <w:noProof/>
          <w:sz w:val="24"/>
        </w:rPr>
        <w:t>La producción de cemento, la biomasa sólida y las instalaciones de incineración de residuos aportarán las mayores capacidades de captura de CO</w:t>
      </w:r>
      <w:r>
        <w:rPr>
          <w:rFonts w:ascii="Times New Roman" w:hAnsi="Times New Roman"/>
          <w:noProof/>
          <w:sz w:val="24"/>
          <w:vertAlign w:val="subscript"/>
        </w:rPr>
        <w:t>2</w:t>
      </w:r>
      <w:r>
        <w:rPr>
          <w:rFonts w:ascii="Times New Roman" w:hAnsi="Times New Roman"/>
          <w:noProof/>
          <w:sz w:val="24"/>
        </w:rPr>
        <w:t xml:space="preserve">. </w:t>
      </w:r>
    </w:p>
    <w:p w14:paraId="3D59BBD2" w14:textId="33F81045" w:rsidR="008A45D3" w:rsidRDefault="008A45D3" w:rsidP="008A45D3">
      <w:pPr>
        <w:jc w:val="both"/>
        <w:rPr>
          <w:rFonts w:ascii="Times New Roman" w:eastAsia="Times New Roman" w:hAnsi="Times New Roman" w:cs="Times New Roman"/>
          <w:noProof/>
          <w:sz w:val="24"/>
          <w:szCs w:val="24"/>
        </w:rPr>
      </w:pPr>
      <w:r>
        <w:rPr>
          <w:rFonts w:ascii="Times New Roman" w:hAnsi="Times New Roman"/>
          <w:b/>
          <w:noProof/>
          <w:sz w:val="24"/>
        </w:rPr>
        <w:t>La Comisión ya apoya y regula el despliegue de la CAC a través de un marco legislativo propicio</w:t>
      </w:r>
      <w:r>
        <w:rPr>
          <w:rFonts w:ascii="Times New Roman" w:hAnsi="Times New Roman"/>
          <w:noProof/>
          <w:sz w:val="24"/>
        </w:rPr>
        <w:t xml:space="preserve"> que incluye la Directiva CAC</w:t>
      </w:r>
      <w:r w:rsidRPr="002424BC">
        <w:rPr>
          <w:rFonts w:ascii="Times New Roman" w:eastAsia="Times New Roman" w:hAnsi="Times New Roman" w:cs="Times New Roman"/>
          <w:noProof/>
          <w:sz w:val="24"/>
          <w:szCs w:val="24"/>
          <w:vertAlign w:val="superscript"/>
          <w:lang w:val="en-GB" w:eastAsia="fr-BE"/>
        </w:rPr>
        <w:footnoteReference w:id="230"/>
      </w:r>
      <w:r>
        <w:rPr>
          <w:rFonts w:ascii="Times New Roman" w:hAnsi="Times New Roman"/>
          <w:noProof/>
          <w:sz w:val="24"/>
        </w:rPr>
        <w:t xml:space="preserve"> y la Directiva sobre el régimen de comercio de derechos de emisión (Directiva RCDE)</w:t>
      </w:r>
      <w:r w:rsidRPr="002424BC">
        <w:rPr>
          <w:rFonts w:ascii="Times New Roman" w:eastAsia="Times New Roman" w:hAnsi="Times New Roman" w:cs="Times New Roman"/>
          <w:noProof/>
          <w:sz w:val="24"/>
          <w:szCs w:val="24"/>
          <w:vertAlign w:val="superscript"/>
          <w:lang w:val="en-GB" w:eastAsia="fr-BE"/>
        </w:rPr>
        <w:footnoteReference w:id="231"/>
      </w:r>
      <w:r>
        <w:rPr>
          <w:rFonts w:ascii="Times New Roman" w:hAnsi="Times New Roman"/>
          <w:noProof/>
          <w:sz w:val="24"/>
        </w:rPr>
        <w:t>. La Comisión también proporciona financiación directa para proyectos, principalmente a través del Fondo de Innovación y del Mecanismo «Conectar Europa». La propuesta de la Comisión de una Ley de la industria de cero emisiones netas define un objetivo de la UE de al menos 50 millones de toneladas de capacidad de inyección de CO</w:t>
      </w:r>
      <w:r>
        <w:rPr>
          <w:rFonts w:ascii="Times New Roman" w:hAnsi="Times New Roman"/>
          <w:noProof/>
          <w:sz w:val="24"/>
          <w:vertAlign w:val="subscript"/>
        </w:rPr>
        <w:t>2</w:t>
      </w:r>
      <w:r>
        <w:rPr>
          <w:rFonts w:ascii="Times New Roman" w:hAnsi="Times New Roman"/>
          <w:noProof/>
          <w:sz w:val="24"/>
        </w:rPr>
        <w:t xml:space="preserve"> al año de aquí a 2030 e impondría a los productores de petróleo y gas de la UE la obligación de contribuir a la consecución de este objetivo. Para apoyar la cadena de valor emergente del CO</w:t>
      </w:r>
      <w:r>
        <w:rPr>
          <w:rFonts w:ascii="Times New Roman" w:hAnsi="Times New Roman"/>
          <w:noProof/>
          <w:sz w:val="24"/>
          <w:vertAlign w:val="subscript"/>
        </w:rPr>
        <w:t>2</w:t>
      </w:r>
      <w:r>
        <w:rPr>
          <w:rFonts w:ascii="Times New Roman" w:hAnsi="Times New Roman"/>
          <w:noProof/>
          <w:sz w:val="24"/>
        </w:rPr>
        <w:t xml:space="preserve"> con un marco político global a largo plazo, la Comisión publicó en 2021 una Comunicación sobre los ciclos de carbono sostenibles</w:t>
      </w:r>
      <w:r w:rsidR="001F621C">
        <w:rPr>
          <w:rStyle w:val="FootnoteReference"/>
          <w:rFonts w:ascii="Times New Roman" w:eastAsia="Times New Roman" w:hAnsi="Times New Roman" w:cs="Times New Roman"/>
          <w:noProof/>
          <w:sz w:val="24"/>
          <w:szCs w:val="24"/>
          <w:lang w:val="en-GB"/>
        </w:rPr>
        <w:footnoteReference w:id="232"/>
      </w:r>
      <w:r>
        <w:rPr>
          <w:rFonts w:ascii="Times New Roman" w:hAnsi="Times New Roman"/>
          <w:noProof/>
          <w:sz w:val="24"/>
        </w:rPr>
        <w:t xml:space="preserve"> y, en 2022, una propuesta de Reglamento relativo a un marco de certificación de la Unión para las absorciones de carbono</w:t>
      </w:r>
      <w:r w:rsidR="00C268B3">
        <w:rPr>
          <w:rStyle w:val="FootnoteReference"/>
          <w:rFonts w:ascii="Times New Roman" w:eastAsia="Times New Roman" w:hAnsi="Times New Roman" w:cs="Times New Roman"/>
          <w:noProof/>
          <w:sz w:val="24"/>
          <w:szCs w:val="24"/>
          <w:lang w:val="en-GB"/>
        </w:rPr>
        <w:footnoteReference w:id="233"/>
      </w:r>
      <w:r>
        <w:rPr>
          <w:rFonts w:ascii="Times New Roman" w:hAnsi="Times New Roman"/>
          <w:noProof/>
          <w:sz w:val="24"/>
        </w:rPr>
        <w:t>. La Comisión también publicará, en el primer trimestre de 2024, una Comunicación sobre una estrategia de gestión del carbono industrial, que abarcará la CAC, la captura y utilización del carbono y la absorción de carbono industrial, que se pondrá en marcha.</w:t>
      </w:r>
    </w:p>
    <w:p w14:paraId="7F898D42" w14:textId="469B2715" w:rsidR="008A45D3" w:rsidRPr="006B31C8" w:rsidRDefault="008A45D3" w:rsidP="008A45D3">
      <w:pPr>
        <w:jc w:val="both"/>
        <w:rPr>
          <w:rFonts w:ascii="Times New Roman" w:eastAsia="Times New Roman" w:hAnsi="Times New Roman" w:cs="Times New Roman"/>
          <w:noProof/>
          <w:sz w:val="24"/>
          <w:szCs w:val="24"/>
        </w:rPr>
      </w:pPr>
      <w:r>
        <w:rPr>
          <w:rFonts w:ascii="Times New Roman" w:hAnsi="Times New Roman"/>
          <w:noProof/>
          <w:sz w:val="24"/>
        </w:rPr>
        <w:t>Los informes de aplicación de la Directiva CAC</w:t>
      </w:r>
      <w:r w:rsidRPr="00A533AB">
        <w:rPr>
          <w:rStyle w:val="FootnoteReference"/>
          <w:rFonts w:ascii="Times New Roman" w:eastAsia="Times New Roman" w:hAnsi="Times New Roman" w:cs="Times New Roman"/>
          <w:noProof/>
          <w:sz w:val="24"/>
          <w:szCs w:val="24"/>
          <w:lang w:val="en-GB" w:eastAsia="fr-BE"/>
        </w:rPr>
        <w:footnoteReference w:id="234"/>
      </w:r>
      <w:r>
        <w:rPr>
          <w:rFonts w:ascii="Times New Roman" w:hAnsi="Times New Roman"/>
          <w:noProof/>
          <w:sz w:val="24"/>
        </w:rPr>
        <w:t xml:space="preserve"> presentados en 2023 muestran un creciente interés por la CAC por parte de los agentes del mercado de toda la UE. Sin embargo, en este momento no existe una aplicación homogénea de la Directiva en todos los Estados miembros de la UE, ni una normativa armonizada para las infraestructuras de transporte y almacenamiento de CO</w:t>
      </w:r>
      <w:r>
        <w:rPr>
          <w:rFonts w:ascii="Times New Roman" w:hAnsi="Times New Roman"/>
          <w:noProof/>
          <w:sz w:val="24"/>
          <w:vertAlign w:val="subscript"/>
        </w:rPr>
        <w:t>2</w:t>
      </w:r>
      <w:r>
        <w:rPr>
          <w:rFonts w:ascii="Times New Roman" w:hAnsi="Times New Roman"/>
          <w:noProof/>
          <w:sz w:val="24"/>
        </w:rPr>
        <w:t>. Uno de los objetivos de la estrategia de gestión del carbono industrial es abordar esta cuestión. La UE está relativamente bien posicionada en cuanto a tecnologías de captura de CO</w:t>
      </w:r>
      <w:r>
        <w:rPr>
          <w:rFonts w:ascii="Times New Roman" w:hAnsi="Times New Roman"/>
          <w:noProof/>
          <w:sz w:val="24"/>
          <w:vertAlign w:val="subscript"/>
        </w:rPr>
        <w:t>2</w:t>
      </w:r>
      <w:r>
        <w:rPr>
          <w:rFonts w:ascii="Times New Roman" w:hAnsi="Times New Roman"/>
          <w:noProof/>
          <w:sz w:val="24"/>
        </w:rPr>
        <w:t xml:space="preserve">, con varias empresas que suministran diferentes tecnologías de captura (pre y poscombustión y oxicombustión) en condiciones comerciales. Sin embargo, actualmente no existe un despliegue a gran escala. El coste de la CAC varía considerablemente en función de factores específicos de cada emplazamiento, los avances tecnológicos, el acceso a la financiación, las economías de escala a través de infraestructuras compartidas, y varía según el sector y la tecnología. En general, los </w:t>
      </w:r>
      <w:r>
        <w:rPr>
          <w:rFonts w:ascii="Times New Roman" w:hAnsi="Times New Roman"/>
          <w:b/>
          <w:noProof/>
          <w:sz w:val="24"/>
        </w:rPr>
        <w:t>costes de la tecnología siguen siendo considerables</w:t>
      </w:r>
      <w:r>
        <w:rPr>
          <w:rFonts w:ascii="Times New Roman" w:hAnsi="Times New Roman"/>
          <w:noProof/>
          <w:sz w:val="24"/>
        </w:rPr>
        <w:t>. Los costes unitarios indicativos en EUR/tonelada de CO</w:t>
      </w:r>
      <w:r>
        <w:rPr>
          <w:rFonts w:ascii="Times New Roman" w:hAnsi="Times New Roman"/>
          <w:noProof/>
          <w:sz w:val="24"/>
          <w:vertAlign w:val="subscript"/>
        </w:rPr>
        <w:t>2</w:t>
      </w:r>
      <w:r>
        <w:rPr>
          <w:rFonts w:ascii="Times New Roman" w:hAnsi="Times New Roman"/>
          <w:noProof/>
          <w:sz w:val="24"/>
        </w:rPr>
        <w:t xml:space="preserve"> se sitúan entre 28-55 para la captura, 4-11 para el transporte y 8-30 para el almacenamiento</w:t>
      </w:r>
      <w:r w:rsidRPr="006B31C8">
        <w:rPr>
          <w:rFonts w:ascii="Times New Roman" w:eastAsia="Times New Roman" w:hAnsi="Times New Roman" w:cs="Times New Roman"/>
          <w:noProof/>
          <w:sz w:val="24"/>
          <w:szCs w:val="24"/>
          <w:vertAlign w:val="superscript"/>
          <w:lang w:val="en-GB" w:eastAsia="fr-BE"/>
        </w:rPr>
        <w:footnoteReference w:id="235"/>
      </w:r>
      <w:r>
        <w:rPr>
          <w:rFonts w:ascii="Times New Roman" w:hAnsi="Times New Roman"/>
          <w:noProof/>
          <w:sz w:val="24"/>
        </w:rPr>
        <w:t xml:space="preserve">. </w:t>
      </w:r>
    </w:p>
    <w:p w14:paraId="5AFD1862" w14:textId="77777777" w:rsidR="008A45D3" w:rsidRPr="006B31C8" w:rsidRDefault="008A45D3" w:rsidP="008A45D3">
      <w:pPr>
        <w:jc w:val="both"/>
        <w:rPr>
          <w:rFonts w:ascii="Times New Roman" w:eastAsia="Times New Roman" w:hAnsi="Times New Roman" w:cs="Times New Roman"/>
          <w:noProof/>
          <w:sz w:val="24"/>
          <w:szCs w:val="24"/>
        </w:rPr>
      </w:pPr>
      <w:r>
        <w:rPr>
          <w:rFonts w:ascii="Times New Roman" w:hAnsi="Times New Roman"/>
          <w:b/>
          <w:noProof/>
          <w:sz w:val="24"/>
        </w:rPr>
        <w:t>Desde el punto de vista de la investigación, la UE está bien posicionada en el mercado mundial.</w:t>
      </w:r>
      <w:r>
        <w:rPr>
          <w:rFonts w:ascii="Times New Roman" w:hAnsi="Times New Roman"/>
          <w:noProof/>
          <w:sz w:val="24"/>
        </w:rPr>
        <w:t xml:space="preserve"> En 2021, las inversiones públicas en I+i para la CAC y la captura y utilización del carbono alcanzaron unos 170 millones EUR, lo que supone de nuevo un aumento con respecto al año anterior.</w:t>
      </w:r>
    </w:p>
    <w:p w14:paraId="3A9D47BC" w14:textId="77777777" w:rsidR="008A45D3" w:rsidRDefault="008A45D3" w:rsidP="008A45D3">
      <w:pPr>
        <w:jc w:val="both"/>
        <w:rPr>
          <w:rFonts w:ascii="Times New Roman" w:eastAsia="Times New Roman" w:hAnsi="Times New Roman" w:cs="Times New Roman"/>
          <w:noProof/>
          <w:sz w:val="24"/>
          <w:szCs w:val="24"/>
        </w:rPr>
      </w:pPr>
      <w:r>
        <w:rPr>
          <w:rFonts w:ascii="Times New Roman" w:hAnsi="Times New Roman"/>
          <w:b/>
          <w:noProof/>
          <w:sz w:val="24"/>
        </w:rPr>
        <w:t>A la hora de desarrollar cadenas de valor industriales completas de gestión del carbono, la UE va a la zaga de otras economías, como los Estados Unidos y Canadá</w:t>
      </w:r>
      <w:r w:rsidRPr="00C03DA3">
        <w:rPr>
          <w:rFonts w:ascii="Times New Roman" w:eastAsia="Times New Roman" w:hAnsi="Times New Roman" w:cs="Times New Roman"/>
          <w:noProof/>
          <w:sz w:val="24"/>
          <w:szCs w:val="24"/>
          <w:vertAlign w:val="superscript"/>
          <w:lang w:val="en-GB" w:eastAsia="fr-BE"/>
        </w:rPr>
        <w:footnoteReference w:id="236"/>
      </w:r>
      <w:r>
        <w:rPr>
          <w:rFonts w:ascii="Times New Roman" w:hAnsi="Times New Roman"/>
          <w:noProof/>
          <w:sz w:val="24"/>
        </w:rPr>
        <w:t>. Según el Instituto Mundial de la CAC, en septiembre de 2022 hay en cartera 196 instalaciones de CAC en todo el mundo, de las cuales 73 se encuentran en Europa</w:t>
      </w:r>
      <w:r w:rsidRPr="00C03DA3">
        <w:rPr>
          <w:rFonts w:ascii="Times New Roman" w:eastAsia="Times New Roman" w:hAnsi="Times New Roman" w:cs="Times New Roman"/>
          <w:noProof/>
          <w:sz w:val="24"/>
          <w:szCs w:val="24"/>
          <w:vertAlign w:val="superscript"/>
          <w:lang w:val="en-GB" w:eastAsia="fr-BE"/>
        </w:rPr>
        <w:footnoteReference w:id="237"/>
      </w:r>
      <w:r>
        <w:rPr>
          <w:rFonts w:ascii="Times New Roman" w:hAnsi="Times New Roman"/>
          <w:noProof/>
          <w:sz w:val="24"/>
        </w:rPr>
        <w:t>. A finales de julio de 2023, aún no había ningún proyecto de almacenamiento de CO</w:t>
      </w:r>
      <w:r>
        <w:rPr>
          <w:rFonts w:ascii="Times New Roman" w:hAnsi="Times New Roman"/>
          <w:noProof/>
          <w:sz w:val="24"/>
          <w:vertAlign w:val="subscript"/>
        </w:rPr>
        <w:t>2</w:t>
      </w:r>
      <w:r>
        <w:rPr>
          <w:rFonts w:ascii="Times New Roman" w:hAnsi="Times New Roman"/>
          <w:noProof/>
          <w:sz w:val="24"/>
        </w:rPr>
        <w:t xml:space="preserve"> en funcionamiento en la UE y los modelos de negocio aún se encuentran en su fase inicial.</w:t>
      </w:r>
      <w:r>
        <w:rPr>
          <w:rFonts w:ascii="Times New Roman" w:hAnsi="Times New Roman"/>
          <w:noProof/>
          <w:sz w:val="16"/>
        </w:rPr>
        <w:t xml:space="preserve"> </w:t>
      </w:r>
      <w:r>
        <w:rPr>
          <w:rFonts w:ascii="Times New Roman" w:hAnsi="Times New Roman"/>
          <w:noProof/>
          <w:sz w:val="24"/>
        </w:rPr>
        <w:t>Hay varios proyectos que capturan CO</w:t>
      </w:r>
      <w:r>
        <w:rPr>
          <w:rFonts w:ascii="Times New Roman" w:hAnsi="Times New Roman"/>
          <w:noProof/>
          <w:sz w:val="24"/>
          <w:vertAlign w:val="subscript"/>
        </w:rPr>
        <w:t>2</w:t>
      </w:r>
      <w:r>
        <w:rPr>
          <w:rFonts w:ascii="Times New Roman" w:hAnsi="Times New Roman"/>
          <w:noProof/>
          <w:sz w:val="24"/>
        </w:rPr>
        <w:t xml:space="preserve"> y lo utilizan en la industria y la agricultura, pero el volumen de CO</w:t>
      </w:r>
      <w:r>
        <w:rPr>
          <w:rFonts w:ascii="Times New Roman" w:hAnsi="Times New Roman"/>
          <w:noProof/>
          <w:sz w:val="24"/>
          <w:vertAlign w:val="subscript"/>
        </w:rPr>
        <w:t>2</w:t>
      </w:r>
      <w:r>
        <w:rPr>
          <w:rFonts w:ascii="Times New Roman" w:hAnsi="Times New Roman"/>
          <w:noProof/>
          <w:sz w:val="24"/>
        </w:rPr>
        <w:t xml:space="preserve"> es limitado. </w:t>
      </w:r>
    </w:p>
    <w:p w14:paraId="3ED5D2DC" w14:textId="2A4831BB" w:rsidR="008A45D3" w:rsidRPr="008907E2" w:rsidRDefault="008A45D3" w:rsidP="008A45D3">
      <w:pPr>
        <w:jc w:val="both"/>
        <w:rPr>
          <w:rFonts w:ascii="Times New Roman" w:eastAsia="Times New Roman" w:hAnsi="Times New Roman" w:cs="Times New Roman"/>
          <w:noProof/>
          <w:color w:val="2B579A"/>
          <w:sz w:val="24"/>
          <w:szCs w:val="24"/>
          <w:shd w:val="clear" w:color="auto" w:fill="E6E6E6"/>
        </w:rPr>
      </w:pPr>
      <w:r>
        <w:rPr>
          <w:rFonts w:ascii="Times New Roman" w:hAnsi="Times New Roman"/>
          <w:noProof/>
          <w:sz w:val="24"/>
        </w:rPr>
        <w:t>La demanda y la oferta de los materiales necesarios en las cadenas de valor de CAC y captura y utilización del carbono es un ámbito que requiere más estudios. Sin embargo, en general, la CAC está menos expuesta a riesgos de materias primas fundamentales que otras tecnologías. En 2022, el mercado mundial de la CAC tenía un valor de 6 400 millones USD (6 000 millones EUR</w:t>
      </w:r>
      <w:r w:rsidR="00721905" w:rsidRPr="004B0938">
        <w:rPr>
          <w:rStyle w:val="FootnoteReference"/>
          <w:rFonts w:ascii="Times New Roman" w:eastAsia="Times New Roman" w:hAnsi="Times New Roman" w:cs="Times New Roman"/>
          <w:noProof/>
          <w:sz w:val="24"/>
          <w:szCs w:val="24"/>
          <w:lang w:val="en-GB" w:eastAsia="fr-BE"/>
        </w:rPr>
        <w:footnoteReference w:id="238"/>
      </w:r>
      <w:r>
        <w:rPr>
          <w:rFonts w:ascii="Times New Roman" w:hAnsi="Times New Roman"/>
          <w:noProof/>
          <w:sz w:val="24"/>
        </w:rPr>
        <w:t>). Los Estados Unidos obtuvieron los mayores ingresos de esta cadena de valor, alcanzando los 1,945 billones EUR en 2021, en gran parte debido al uso de inyecciones de CO</w:t>
      </w:r>
      <w:r>
        <w:rPr>
          <w:rFonts w:ascii="Times New Roman" w:hAnsi="Times New Roman"/>
          <w:noProof/>
          <w:sz w:val="24"/>
          <w:vertAlign w:val="subscript"/>
        </w:rPr>
        <w:t>2</w:t>
      </w:r>
      <w:r>
        <w:rPr>
          <w:rFonts w:ascii="Times New Roman" w:hAnsi="Times New Roman"/>
          <w:noProof/>
          <w:sz w:val="24"/>
        </w:rPr>
        <w:t xml:space="preserve"> subterráneas para mejorar la recuperación de hidrocarburos. En comparación, Europa tuvo unos ingresos totales de 92 millones EUR</w:t>
      </w:r>
      <w:r w:rsidRPr="00C2054C">
        <w:rPr>
          <w:rFonts w:ascii="Times New Roman" w:eastAsia="Times New Roman" w:hAnsi="Times New Roman" w:cs="Times New Roman"/>
          <w:noProof/>
          <w:sz w:val="24"/>
          <w:szCs w:val="24"/>
          <w:vertAlign w:val="superscript"/>
          <w:lang w:val="en-GB" w:eastAsia="fr-BE"/>
        </w:rPr>
        <w:footnoteReference w:id="239"/>
      </w:r>
      <w:r>
        <w:rPr>
          <w:rFonts w:ascii="Times New Roman" w:hAnsi="Times New Roman"/>
          <w:noProof/>
          <w:sz w:val="24"/>
        </w:rPr>
        <w:t>.</w:t>
      </w:r>
    </w:p>
    <w:p w14:paraId="2C071A6A" w14:textId="41AB5465" w:rsidR="008A45D3" w:rsidRPr="007C2710" w:rsidRDefault="008A45D3" w:rsidP="008A45D3">
      <w:pPr>
        <w:jc w:val="both"/>
        <w:rPr>
          <w:rFonts w:ascii="Times New Roman" w:eastAsia="Times New Roman" w:hAnsi="Times New Roman" w:cs="Times New Roman"/>
          <w:noProof/>
          <w:sz w:val="24"/>
          <w:szCs w:val="24"/>
        </w:rPr>
      </w:pPr>
      <w:r>
        <w:rPr>
          <w:rFonts w:ascii="Times New Roman" w:hAnsi="Times New Roman"/>
          <w:noProof/>
          <w:sz w:val="24"/>
        </w:rPr>
        <w:t>El estudio de mercado identificó 186 empresas clave en todo el mundo con operaciones de CAC</w:t>
      </w:r>
      <w:r w:rsidRPr="007C2710">
        <w:rPr>
          <w:rFonts w:ascii="Times New Roman" w:eastAsia="Times New Roman" w:hAnsi="Times New Roman" w:cs="Times New Roman"/>
          <w:noProof/>
          <w:sz w:val="24"/>
          <w:szCs w:val="24"/>
          <w:vertAlign w:val="superscript"/>
          <w:lang w:val="en-GB" w:eastAsia="fr-BE"/>
        </w:rPr>
        <w:footnoteReference w:id="240"/>
      </w:r>
      <w:r>
        <w:rPr>
          <w:rFonts w:ascii="Times New Roman" w:hAnsi="Times New Roman"/>
          <w:noProof/>
          <w:sz w:val="24"/>
        </w:rPr>
        <w:t xml:space="preserve">. De ellas, el 24 % de los actores clave son europeos o trabajan en este sector a través de filiales europeas. </w:t>
      </w:r>
      <w:r>
        <w:rPr>
          <w:rFonts w:ascii="Times New Roman" w:hAnsi="Times New Roman"/>
          <w:b/>
          <w:noProof/>
          <w:sz w:val="24"/>
        </w:rPr>
        <w:t>La UE cuenta con varios actores en el sector del petróleo y el gas con una larga experiencia en la construcción de oleoductos, perforación de pozos y una importante competencia geológica, lo que será útil a la hora de desarrollar proyectos de infraestructura para la CAC.</w:t>
      </w:r>
      <w:r>
        <w:rPr>
          <w:noProof/>
        </w:rPr>
        <w:t xml:space="preserve"> </w:t>
      </w:r>
      <w:r>
        <w:rPr>
          <w:rFonts w:ascii="Times New Roman" w:hAnsi="Times New Roman"/>
          <w:noProof/>
          <w:sz w:val="24"/>
        </w:rPr>
        <w:t>La información recogida a partir de los informes de aplicación de la Directiva CAC muestra un interés creciente por parte de los posibles proveedores de infraestructuras, especialmente por lo que respecta al almacenamiento: en total, se han concedido siete permisos de exploración y dos de almacenamiento y se anuncian más de diez solicitudes de permisos de almacenamiento para 2028. Además de las empresas de petróleo y gas, están surgiendo nuevos actores especializados en diferentes partes de la cadena de valor de la CAC. Por ejemplo, las empresas navieras se están expandiendo hacia el transporte marítimo de CO</w:t>
      </w:r>
      <w:r>
        <w:rPr>
          <w:rFonts w:ascii="Times New Roman" w:hAnsi="Times New Roman"/>
          <w:noProof/>
          <w:sz w:val="24"/>
          <w:vertAlign w:val="subscript"/>
        </w:rPr>
        <w:t>2</w:t>
      </w:r>
      <w:r>
        <w:rPr>
          <w:rFonts w:ascii="Times New Roman" w:hAnsi="Times New Roman"/>
          <w:noProof/>
          <w:sz w:val="24"/>
        </w:rPr>
        <w:t>, y los proveedores de ingeniería están desarrollando soluciones de captura para emisores terceros.</w:t>
      </w:r>
    </w:p>
    <w:p w14:paraId="278D1BD7" w14:textId="560EE30B" w:rsidR="008A45D3" w:rsidRPr="00C31310" w:rsidRDefault="008A45D3" w:rsidP="008A45D3">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La CAC son una gama de tecnologías maduras, probadas y ya disponibles. Sin embargo, la CAC sigue siendo muy costosa y todavía existen muchas incertidumbres. La CAC debe desplegarse a escala para contribuir a alcanzar la neutralidad climática de aquí a 2050. La investigación y la innovación continuas siguen siendo necesarias para mejorar las tecnologías disponibles o desarrollar nuevas soluciones innovadoras. </w:t>
      </w:r>
      <w:r>
        <w:rPr>
          <w:rFonts w:ascii="Times New Roman" w:hAnsi="Times New Roman"/>
          <w:b/>
          <w:noProof/>
          <w:color w:val="000000" w:themeColor="text1"/>
          <w:sz w:val="24"/>
        </w:rPr>
        <w:t>Los principales obstáculos que han dificultado el despliegue de la CAC son los elevados costes iniciales de inversión y funcionamiento, la fragmentación del marco regulador, la complejidad de los proyectos de infraestructura de toda la cadena, así como la sensibilización del público.</w:t>
      </w:r>
      <w:r>
        <w:rPr>
          <w:rFonts w:ascii="Times New Roman" w:hAnsi="Times New Roman"/>
          <w:noProof/>
          <w:color w:val="000000" w:themeColor="text1"/>
          <w:sz w:val="24"/>
        </w:rPr>
        <w:t xml:space="preserve"> Con el Fondo de Innovación, la Comisión ya apoya la captura anual de más de 10 millones de toneladas de CO</w:t>
      </w:r>
      <w:r>
        <w:rPr>
          <w:rFonts w:ascii="Times New Roman" w:hAnsi="Times New Roman"/>
          <w:noProof/>
          <w:color w:val="000000" w:themeColor="text1"/>
          <w:sz w:val="24"/>
          <w:vertAlign w:val="subscript"/>
        </w:rPr>
        <w:t>2</w:t>
      </w:r>
      <w:r>
        <w:rPr>
          <w:rFonts w:ascii="Times New Roman" w:hAnsi="Times New Roman"/>
          <w:noProof/>
          <w:color w:val="000000" w:themeColor="text1"/>
          <w:sz w:val="24"/>
        </w:rPr>
        <w:t xml:space="preserve"> a partir de 2026, con ayuda financiera para proyectos seleccionados por un total de más de 2 500 millones EUR. </w:t>
      </w:r>
      <w:r>
        <w:rPr>
          <w:rFonts w:ascii="Times New Roman" w:hAnsi="Times New Roman"/>
          <w:noProof/>
          <w:sz w:val="24"/>
        </w:rPr>
        <w:t xml:space="preserve">Esto demuestra que se necesitará </w:t>
      </w:r>
      <w:r>
        <w:rPr>
          <w:rFonts w:ascii="Times New Roman" w:hAnsi="Times New Roman"/>
          <w:b/>
          <w:noProof/>
          <w:sz w:val="24"/>
        </w:rPr>
        <w:t>financiación pública, tanto a escala nacional como de la UE, para atraer capital privado. Además, también será esencial proponer modelos de negocio para este mercado emergente.</w:t>
      </w:r>
      <w:r>
        <w:rPr>
          <w:rFonts w:ascii="Times New Roman" w:hAnsi="Times New Roman"/>
          <w:noProof/>
          <w:sz w:val="24"/>
        </w:rPr>
        <w:t xml:space="preserve"> </w:t>
      </w:r>
    </w:p>
    <w:p w14:paraId="6B71DDF2" w14:textId="77777777" w:rsidR="008A45D3" w:rsidRPr="00C223F1" w:rsidRDefault="008A45D3" w:rsidP="008A45D3">
      <w:pPr>
        <w:autoSpaceDE w:val="0"/>
        <w:autoSpaceDN w:val="0"/>
        <w:adjustRightInd w:val="0"/>
        <w:spacing w:after="0" w:line="240" w:lineRule="auto"/>
        <w:jc w:val="both"/>
        <w:rPr>
          <w:rFonts w:ascii="Times New Roman" w:eastAsia="Times New Roman" w:hAnsi="Times New Roman" w:cs="Times New Roman"/>
          <w:noProof/>
          <w:sz w:val="24"/>
          <w:szCs w:val="24"/>
          <w:lang w:eastAsia="fr-BE"/>
        </w:rPr>
      </w:pPr>
    </w:p>
    <w:p w14:paraId="0A5C7AC3" w14:textId="77777777" w:rsidR="008A45D3" w:rsidRPr="008907E2"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96" w:name="_Toc147843029"/>
      <w:bookmarkStart w:id="97" w:name="_Toc153536073"/>
      <w:r>
        <w:rPr>
          <w:rFonts w:ascii="Times New Roman" w:hAnsi="Times New Roman"/>
          <w:b/>
          <w:noProof/>
          <w:color w:val="auto"/>
        </w:rPr>
        <w:t>Tecnologías de red: el ejemplo de los sistemas de corriente continua de alta tensión</w:t>
      </w:r>
      <w:bookmarkEnd w:id="96"/>
      <w:bookmarkEnd w:id="97"/>
    </w:p>
    <w:p w14:paraId="18DE4968" w14:textId="77777777" w:rsidR="008A45D3" w:rsidRPr="00C31310"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El desarrollo de infraestructuras energéticas es crucial para integrar la generación de electricidad renovable en la red eléctrica, aumentar la seguridad del suministro mediante interconexiones transfronterizas, mejorar el acceso a una energía asequible y electrificar la industria y los usos finales, como la calefacción y la refrigeración, y la movilidad. La estrategia de la UE en materia de energía renovable marina y el Reglamento RTE-E</w:t>
      </w:r>
      <w:r w:rsidRPr="00C31310">
        <w:rPr>
          <w:rFonts w:ascii="Times New Roman" w:eastAsia="Times New Roman" w:hAnsi="Times New Roman" w:cs="Times New Roman"/>
          <w:noProof/>
          <w:sz w:val="24"/>
          <w:szCs w:val="24"/>
          <w:vertAlign w:val="superscript"/>
          <w:lang w:val="en-GB" w:eastAsia="fr-BE"/>
        </w:rPr>
        <w:footnoteReference w:id="241"/>
      </w:r>
      <w:r>
        <w:rPr>
          <w:rFonts w:ascii="Times New Roman" w:hAnsi="Times New Roman"/>
          <w:noProof/>
          <w:sz w:val="24"/>
        </w:rPr>
        <w:t xml:space="preserve"> exigen medidas para coordinar la planificación y el desarrollo a largo plazo de las redes eléctricas marítimas y terrestres a fin de cumplir los complejos requisitos de eficiencia técnica, viabilidad económica y sostenibilidad medioambiental. </w:t>
      </w:r>
    </w:p>
    <w:p w14:paraId="22B2E7F6" w14:textId="77777777" w:rsidR="008A45D3" w:rsidRPr="00C31310" w:rsidRDefault="008A45D3" w:rsidP="008A45D3">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Un reto específico para el desarrollo de la red de transporte se deriva de la necesidad de transportar electricidad a largas distancias con pérdidas mínimas.</w:t>
      </w:r>
      <w:r>
        <w:rPr>
          <w:rFonts w:ascii="Times New Roman" w:hAnsi="Times New Roman"/>
          <w:noProof/>
          <w:sz w:val="24"/>
        </w:rPr>
        <w:t xml:space="preserve"> Por ejemplo, para conectar centros distantes de generación de energía renovable (por ejemplo, parques eólicos marinos) con los consumidores (por ejemplo, ciudades e industrias), para desarrollar interconexiones entre países vecinos o para ambas cosas (por ejemplo, mediante interconexiones híbridas). Los sistemas de corriente continua de alta tensión se están convirtiendo en una tecnología facilitadora fundamental para hacer frente a este reto</w:t>
      </w:r>
      <w:r w:rsidRPr="00C31310">
        <w:rPr>
          <w:rFonts w:ascii="Times New Roman" w:eastAsia="Times New Roman" w:hAnsi="Times New Roman" w:cs="Times New Roman"/>
          <w:noProof/>
          <w:sz w:val="24"/>
          <w:szCs w:val="24"/>
          <w:vertAlign w:val="superscript"/>
          <w:lang w:val="en-GB" w:eastAsia="fr-BE"/>
        </w:rPr>
        <w:footnoteReference w:id="242"/>
      </w:r>
      <w:r>
        <w:rPr>
          <w:rFonts w:ascii="Times New Roman" w:hAnsi="Times New Roman"/>
          <w:noProof/>
          <w:sz w:val="24"/>
        </w:rPr>
        <w:t xml:space="preserve">. </w:t>
      </w:r>
    </w:p>
    <w:p w14:paraId="44797F4A" w14:textId="77777777" w:rsidR="008A45D3" w:rsidRPr="00C31310"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Los sistemas de corriente continua de alta tensión (en la actualidad, compuestos principalmente por estaciones convertidoras y cables punto a punto) se han probado a escala industrial en entornos operativos. Sin embargo, cada vez es más necesario pasar del concepto de diseño y funcionamiento de una tecnología específica de un proveedor a una tecnología con capacidades de formación de red que sea multiterminal y compatible con múltiples proveedores</w:t>
      </w:r>
      <w:r w:rsidRPr="00C31310">
        <w:rPr>
          <w:rFonts w:ascii="Times New Roman" w:eastAsia="Times New Roman" w:hAnsi="Times New Roman" w:cs="Times New Roman"/>
          <w:noProof/>
          <w:sz w:val="24"/>
          <w:szCs w:val="24"/>
          <w:vertAlign w:val="superscript"/>
          <w:lang w:val="en-GB" w:eastAsia="fr-BE"/>
        </w:rPr>
        <w:footnoteReference w:id="243"/>
      </w:r>
      <w:r>
        <w:rPr>
          <w:rFonts w:ascii="Times New Roman" w:hAnsi="Times New Roman"/>
          <w:noProof/>
          <w:sz w:val="24"/>
        </w:rPr>
        <w:t>. Esto debería permitir una mejor observabilidad y control de la red, la accesibilidad de los datos y los nuevos servicios energéticos. Para lograrlo, se requieren marcos de cooperación entre múltiples proveedores, como el proyecto InterOpera, financiado por la UE, que pretende desarrollar un sistema modular e interoperable de control y protección de corriente continua de alta tensión</w:t>
      </w:r>
      <w:r w:rsidRPr="00C31310">
        <w:rPr>
          <w:rFonts w:ascii="Times New Roman" w:eastAsia="Times New Roman" w:hAnsi="Times New Roman" w:cs="Times New Roman"/>
          <w:noProof/>
          <w:sz w:val="24"/>
          <w:szCs w:val="24"/>
          <w:vertAlign w:val="superscript"/>
          <w:lang w:val="en-GB" w:eastAsia="fr-BE"/>
        </w:rPr>
        <w:footnoteReference w:id="244"/>
      </w:r>
      <w:r>
        <w:rPr>
          <w:rFonts w:ascii="Times New Roman" w:hAnsi="Times New Roman"/>
          <w:noProof/>
          <w:sz w:val="24"/>
        </w:rPr>
        <w:t>. La tecnología de los cables de corriente continua de alta tensión también sigue evolucionando, ya que actualmente se dispone de niveles de tensión de 525 kV para aplicaciones terrestres y marinas y debería disponerse de niveles de tensión más elevados en el futuro.</w:t>
      </w:r>
    </w:p>
    <w:p w14:paraId="04151932" w14:textId="77777777" w:rsidR="008A45D3" w:rsidRPr="00C31310"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La capacidad de corriente continua de alta tensión instalada en todo el mundo se ha triplicado desde 2010, alcanzando un total de 100 000 km de longitud y 350 GW en capacidad total a finales de 2021</w:t>
      </w:r>
      <w:r w:rsidRPr="00C31310">
        <w:rPr>
          <w:rFonts w:ascii="Times New Roman" w:eastAsia="Times New Roman" w:hAnsi="Times New Roman" w:cs="Times New Roman"/>
          <w:noProof/>
          <w:sz w:val="24"/>
          <w:szCs w:val="24"/>
          <w:vertAlign w:val="superscript"/>
          <w:lang w:val="en-GB" w:eastAsia="fr-BE"/>
        </w:rPr>
        <w:footnoteReference w:id="245"/>
      </w:r>
      <w:r>
        <w:rPr>
          <w:rFonts w:ascii="Times New Roman" w:hAnsi="Times New Roman"/>
          <w:noProof/>
          <w:sz w:val="24"/>
        </w:rPr>
        <w:t>. En 2022, la capacidad de corriente continua de alta tensión en Europa ascendía a unos 43 GW, con 63 GW adicionales procedentes de 51 nuevos proyectos (la mayoría en la fase de planificación y concesión de autorizaciones)</w:t>
      </w:r>
      <w:r w:rsidRPr="00C31310">
        <w:rPr>
          <w:rFonts w:ascii="Times New Roman" w:eastAsia="Times New Roman" w:hAnsi="Times New Roman" w:cs="Times New Roman"/>
          <w:noProof/>
          <w:sz w:val="24"/>
          <w:szCs w:val="24"/>
          <w:vertAlign w:val="superscript"/>
          <w:lang w:val="en-GB" w:eastAsia="fr-BE"/>
        </w:rPr>
        <w:footnoteReference w:id="246"/>
      </w:r>
      <w:r>
        <w:rPr>
          <w:rFonts w:ascii="Times New Roman" w:hAnsi="Times New Roman"/>
          <w:noProof/>
          <w:sz w:val="24"/>
        </w:rPr>
        <w:t>. Europacable calcula que en los próximos diez años se instalarán en Europa</w:t>
      </w:r>
      <w:r w:rsidRPr="00C31310">
        <w:rPr>
          <w:rFonts w:ascii="Times New Roman" w:eastAsia="Times New Roman" w:hAnsi="Times New Roman" w:cs="Times New Roman"/>
          <w:noProof/>
          <w:sz w:val="24"/>
          <w:szCs w:val="24"/>
          <w:vertAlign w:val="superscript"/>
          <w:lang w:val="en-GB" w:eastAsia="fr-BE"/>
        </w:rPr>
        <w:footnoteReference w:id="247"/>
      </w:r>
      <w:r>
        <w:rPr>
          <w:rFonts w:ascii="Times New Roman" w:hAnsi="Times New Roman"/>
          <w:noProof/>
          <w:sz w:val="24"/>
        </w:rPr>
        <w:t xml:space="preserve"> entre 10 000 y 14 000 km de nuevos cables terrestres de corriente continua de alta tensión, una cifra significativamente superior a la de nuevos activos de corriente alterna. Las nuevas instalaciones submarinas de corriente continua de alta tensión podrían ser aún más importantes (entre 39 000 y 58 000 km).</w:t>
      </w:r>
    </w:p>
    <w:p w14:paraId="38744870" w14:textId="0B313B6D" w:rsidR="008A45D3" w:rsidRPr="00C31310"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Se espera que la transición energética en Europa y en el mundo siga impulsando el despliegue y los mercados de corriente continua de alta tensión. Se estimó que el valor del mercado mundial de corriente continua de alta tensión se situaba entre 9 000 y 17 000 millones USD en 2021 (entre 7 600 millones EUR y 14 000 millones EUR</w:t>
      </w:r>
      <w:r w:rsidR="00721905" w:rsidRPr="004B0938">
        <w:rPr>
          <w:rStyle w:val="FootnoteReference"/>
          <w:rFonts w:ascii="Times New Roman" w:hAnsi="Times New Roman" w:cs="Times New Roman"/>
          <w:noProof/>
          <w:sz w:val="24"/>
          <w:szCs w:val="24"/>
          <w:lang w:val="en-GB"/>
        </w:rPr>
        <w:footnoteReference w:id="248"/>
      </w:r>
      <w:r>
        <w:rPr>
          <w:rFonts w:ascii="Times New Roman" w:hAnsi="Times New Roman"/>
          <w:noProof/>
          <w:sz w:val="24"/>
        </w:rPr>
        <w:t>), con un potencial de crecimiento anual compuesto del 7,1 % al 10,6 % en los siguientes diez años</w:t>
      </w:r>
      <w:r w:rsidRPr="004B0938">
        <w:rPr>
          <w:rFonts w:ascii="Times New Roman" w:eastAsia="Times New Roman" w:hAnsi="Times New Roman" w:cs="Times New Roman"/>
          <w:noProof/>
          <w:sz w:val="24"/>
          <w:szCs w:val="24"/>
          <w:vertAlign w:val="superscript"/>
          <w:lang w:val="en-GB" w:eastAsia="fr-BE"/>
        </w:rPr>
        <w:footnoteReference w:id="249"/>
      </w:r>
      <w:r>
        <w:rPr>
          <w:rFonts w:ascii="Times New Roman" w:hAnsi="Times New Roman"/>
          <w:noProof/>
          <w:sz w:val="24"/>
        </w:rPr>
        <w:t>.</w:t>
      </w:r>
    </w:p>
    <w:p w14:paraId="600BD025" w14:textId="77777777" w:rsidR="008A45D3" w:rsidRPr="00C31310"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El mercado mundial de estaciones convertidoras de corriente continua de alta tensión está dominado por seis grandes proveedores: Hitachi Energy (anteriormente ABB) en Suiza/Suecia (líder del mercado), seguida de Siemens (Alemania) y General Electric (Estados Unidos), Mitsubishi Electric (Japón), NR Electric &amp; C-EPRI Electric Power Engineering (China) y Bharat Heavy Electricals Limited (India). Excepto en el caso de Hitachi Energy, la mayoría de los fabricantes de estaciones convertidoras adquieren semiconductores de alta potencia (un componente clave de las válvulas convertidoras) de proveedores externos. Esto representa actualmente un factor de riesgo importante, ya que la producción se concentra en Taiwan Semiconductor Manufacturing Company (TSMC)</w:t>
      </w:r>
      <w:r w:rsidRPr="00C31310">
        <w:rPr>
          <w:rFonts w:ascii="Times New Roman" w:eastAsia="Times New Roman" w:hAnsi="Times New Roman" w:cs="Times New Roman"/>
          <w:noProof/>
          <w:sz w:val="24"/>
          <w:szCs w:val="24"/>
          <w:vertAlign w:val="superscript"/>
          <w:lang w:val="en-GB" w:eastAsia="fr-BE"/>
        </w:rPr>
        <w:footnoteReference w:id="250"/>
      </w:r>
      <w:r>
        <w:rPr>
          <w:rFonts w:ascii="Times New Roman" w:hAnsi="Times New Roman"/>
          <w:noProof/>
          <w:sz w:val="24"/>
        </w:rPr>
        <w:t>. En cuanto a la fabricación de cables de corriente continua de alta tensión, la UE alberga a algunos de los principales fabricantes de cables del mundo, como NKT en Dinamarca, Nexans en Francia, Südkabel en Alemania, Prysmian Group en Italia, Hellenic Cables en Grecia, Tele-Fonika/JDR en Polonia y el Reino Unido. Entre los principales competidores internacionales figuran Sumitomo en Japón, NBO y ZTT en China y LS Cable en la República de Corea.</w:t>
      </w:r>
    </w:p>
    <w:p w14:paraId="403D0504" w14:textId="305B66CF" w:rsidR="008A45D3" w:rsidRPr="00C31310" w:rsidRDefault="008A45D3" w:rsidP="008A45D3">
      <w:pPr>
        <w:jc w:val="both"/>
        <w:rPr>
          <w:rFonts w:ascii="Times New Roman" w:eastAsia="Times New Roman" w:hAnsi="Times New Roman" w:cs="Times New Roman"/>
          <w:noProof/>
          <w:sz w:val="24"/>
          <w:szCs w:val="24"/>
        </w:rPr>
      </w:pPr>
      <w:r>
        <w:rPr>
          <w:rFonts w:ascii="Times New Roman" w:hAnsi="Times New Roman"/>
          <w:noProof/>
          <w:sz w:val="24"/>
        </w:rPr>
        <w:t>Según la AIE</w:t>
      </w:r>
      <w:r w:rsidRPr="00C31310">
        <w:rPr>
          <w:rFonts w:ascii="Times New Roman" w:eastAsia="Times New Roman" w:hAnsi="Times New Roman" w:cs="Times New Roman"/>
          <w:noProof/>
          <w:sz w:val="24"/>
          <w:szCs w:val="24"/>
          <w:vertAlign w:val="superscript"/>
          <w:lang w:val="en-GB" w:eastAsia="fr-BE"/>
        </w:rPr>
        <w:footnoteReference w:id="251"/>
      </w:r>
      <w:r>
        <w:rPr>
          <w:rFonts w:ascii="Times New Roman" w:hAnsi="Times New Roman"/>
          <w:noProof/>
          <w:sz w:val="24"/>
        </w:rPr>
        <w:t xml:space="preserve">, los plazos de </w:t>
      </w:r>
      <w:r w:rsidR="00DC4727">
        <w:rPr>
          <w:rFonts w:ascii="Times New Roman" w:hAnsi="Times New Roman"/>
          <w:noProof/>
          <w:sz w:val="24"/>
        </w:rPr>
        <w:t xml:space="preserve">aprovisionamiento </w:t>
      </w:r>
      <w:r>
        <w:rPr>
          <w:rFonts w:ascii="Times New Roman" w:hAnsi="Times New Roman"/>
          <w:noProof/>
          <w:sz w:val="24"/>
        </w:rPr>
        <w:t>de las estaciones convertidoras suelen ser de dos a tres años. Sin embargo, la ejecución completa de los proyectos de transmisión de corriente continua de alta tensión (incluida la planificación, la concesión de autorizaciones, el aprovisionamiento y el transporte, la instalación, la puesta en servicio final y la energización) requiere mucho más tiempo y puede durar hasta diez años</w:t>
      </w:r>
      <w:r w:rsidRPr="00C31310">
        <w:rPr>
          <w:rFonts w:ascii="Times New Roman" w:eastAsia="Calibri" w:hAnsi="Times New Roman" w:cs="Times New Roman"/>
          <w:noProof/>
          <w:sz w:val="24"/>
          <w:szCs w:val="24"/>
          <w:vertAlign w:val="superscript"/>
          <w:lang w:val="en-GB" w:eastAsia="fr-BE"/>
        </w:rPr>
        <w:footnoteReference w:id="252"/>
      </w:r>
      <w:r>
        <w:rPr>
          <w:rFonts w:ascii="Times New Roman" w:hAnsi="Times New Roman"/>
          <w:noProof/>
          <w:sz w:val="24"/>
        </w:rPr>
        <w:t xml:space="preserve">. El fuerte crecimiento de la demanda mundial puede alargar aún más estos plazos, ya que los desarrolladores de todo el mundo compiten para asegurarse el suministro de un número limitado de proveedores. El tamaño de los proyectos y </w:t>
      </w:r>
      <w:r w:rsidR="00C350DA">
        <w:rPr>
          <w:rFonts w:ascii="Times New Roman" w:hAnsi="Times New Roman"/>
          <w:noProof/>
          <w:sz w:val="24"/>
        </w:rPr>
        <w:t>poder obtener las</w:t>
      </w:r>
      <w:r>
        <w:rPr>
          <w:rFonts w:ascii="Times New Roman" w:hAnsi="Times New Roman"/>
          <w:noProof/>
          <w:sz w:val="24"/>
        </w:rPr>
        <w:t xml:space="preserve"> </w:t>
      </w:r>
      <w:r w:rsidR="00740866">
        <w:rPr>
          <w:rFonts w:ascii="Times New Roman" w:hAnsi="Times New Roman"/>
          <w:noProof/>
          <w:sz w:val="24"/>
        </w:rPr>
        <w:t>autorizacione</w:t>
      </w:r>
      <w:r>
        <w:rPr>
          <w:rFonts w:ascii="Times New Roman" w:hAnsi="Times New Roman"/>
          <w:noProof/>
          <w:sz w:val="24"/>
        </w:rPr>
        <w:t xml:space="preserve">s </w:t>
      </w:r>
      <w:r w:rsidR="00C350DA">
        <w:rPr>
          <w:rFonts w:ascii="Times New Roman" w:hAnsi="Times New Roman"/>
          <w:noProof/>
          <w:sz w:val="24"/>
        </w:rPr>
        <w:t xml:space="preserve">fácilmente </w:t>
      </w:r>
      <w:r>
        <w:rPr>
          <w:rFonts w:ascii="Times New Roman" w:hAnsi="Times New Roman"/>
          <w:noProof/>
          <w:sz w:val="24"/>
        </w:rPr>
        <w:t>son factores importantes a la hora de asegurar los acuerdos [lo que puede convertirse en un reto difícil de superar para los gestores de la red de transportes (GRT) europeos relativamente pequeños].</w:t>
      </w:r>
    </w:p>
    <w:p w14:paraId="7FF641AB" w14:textId="1FA2D83C" w:rsidR="00600990" w:rsidRPr="00A611EF" w:rsidRDefault="008A45D3" w:rsidP="008A45D3">
      <w:pPr>
        <w:jc w:val="both"/>
        <w:rPr>
          <w:rFonts w:ascii="Times New Roman" w:eastAsia="Times New Roman" w:hAnsi="Times New Roman" w:cs="Times New Roman"/>
          <w:b/>
          <w:bCs/>
          <w:noProof/>
          <w:sz w:val="24"/>
          <w:szCs w:val="24"/>
        </w:rPr>
      </w:pPr>
      <w:r>
        <w:rPr>
          <w:rFonts w:ascii="Times New Roman" w:hAnsi="Times New Roman"/>
          <w:b/>
          <w:noProof/>
          <w:sz w:val="24"/>
        </w:rPr>
        <w:t>La modernización de la red eléctrica es uno de los principales factores de la transición hacia una energía limpia.</w:t>
      </w:r>
      <w:r>
        <w:rPr>
          <w:rFonts w:ascii="Times New Roman" w:hAnsi="Times New Roman"/>
          <w:noProof/>
          <w:sz w:val="24"/>
        </w:rPr>
        <w:t xml:space="preserve"> Europa ha sido un mercado atractivo para los promotores de proyectos de corriente continua de alta tensión y los proveedores de tecnología, sobre todo gracias a su condición de pionera en el despliegue de la energía eólica marina y la integración de la generación renovable. Sin embargo, con la creciente demanda mundial de convertidores y cables de corriente continua de alta tensión, </w:t>
      </w:r>
      <w:r>
        <w:rPr>
          <w:rFonts w:ascii="Times New Roman" w:hAnsi="Times New Roman"/>
          <w:b/>
          <w:noProof/>
          <w:sz w:val="24"/>
        </w:rPr>
        <w:t>existe un riesgo cada vez mayor de que el mercado europeo quede desabastecido</w:t>
      </w:r>
      <w:r>
        <w:rPr>
          <w:rFonts w:ascii="Times New Roman" w:hAnsi="Times New Roman"/>
          <w:noProof/>
          <w:sz w:val="24"/>
        </w:rPr>
        <w:t xml:space="preserve">, lo que, en última instancia, provocaría retrasos en el calendario de descarbonización. </w:t>
      </w:r>
      <w:r>
        <w:rPr>
          <w:rFonts w:ascii="Times New Roman" w:hAnsi="Times New Roman"/>
          <w:b/>
          <w:noProof/>
          <w:sz w:val="24"/>
        </w:rPr>
        <w:t>La fragmentación del mercado de la UE</w:t>
      </w:r>
      <w:r>
        <w:rPr>
          <w:rFonts w:ascii="Times New Roman" w:hAnsi="Times New Roman"/>
          <w:noProof/>
          <w:sz w:val="24"/>
        </w:rPr>
        <w:t xml:space="preserve"> (con diferentes normas nacionales y muchos gestores de sistemas subnacionales) </w:t>
      </w:r>
      <w:r>
        <w:rPr>
          <w:rFonts w:ascii="Times New Roman" w:hAnsi="Times New Roman"/>
          <w:b/>
          <w:noProof/>
          <w:sz w:val="24"/>
        </w:rPr>
        <w:t>podría hacer que la demanda europea se viera perjudicada en la competencia internacional por los contratos.</w:t>
      </w:r>
      <w:r>
        <w:rPr>
          <w:rFonts w:ascii="Times New Roman" w:hAnsi="Times New Roman"/>
          <w:noProof/>
          <w:sz w:val="24"/>
        </w:rPr>
        <w:t xml:space="preserve"> Algunos GRT europeos ya afirman tener dificultades para conseguir contratos en condiciones y plazos favorables. Por el contrario, los fabricantes de tecnología y equipos pueden mostrarse reticentes a aumentar la capacidad en ausencia de señales claras de demanda (agregada) a largo plazo, debido a los considerables requisitos de inversión. </w:t>
      </w:r>
      <w:r>
        <w:rPr>
          <w:rFonts w:ascii="Times New Roman" w:hAnsi="Times New Roman"/>
          <w:b/>
          <w:noProof/>
          <w:sz w:val="24"/>
        </w:rPr>
        <w:t>Es necesaria una cooperación más estrecha entre los responsables de las políticas, los planificadores de redes y los gestores de sistemas, así como con la industria, a todos los niveles de la UE, para construir cadenas de suministro sólidas capaces de satisfacer las necesidades de desarrollo de la red.</w:t>
      </w:r>
      <w:r>
        <w:rPr>
          <w:rFonts w:ascii="Times New Roman" w:hAnsi="Times New Roman"/>
          <w:noProof/>
          <w:sz w:val="24"/>
        </w:rPr>
        <w:t xml:space="preserve"> Para ello, es importante apoyar y acelerar la armonización y normalización de los componentes de corriente continua de alta tensión para animar a los proveedores de la UE a invertir en capacidad de producción. La racionalización de los procedimientos de </w:t>
      </w:r>
      <w:r w:rsidR="00DC4727">
        <w:rPr>
          <w:rFonts w:ascii="Times New Roman" w:hAnsi="Times New Roman"/>
          <w:noProof/>
          <w:sz w:val="24"/>
        </w:rPr>
        <w:t>aprovisionamiento</w:t>
      </w:r>
      <w:r>
        <w:rPr>
          <w:rFonts w:ascii="Times New Roman" w:hAnsi="Times New Roman"/>
          <w:noProof/>
          <w:sz w:val="24"/>
        </w:rPr>
        <w:t xml:space="preserve"> y la puesta en común voluntaria de la demanda para los compradores de la UE podrían resolver los principales problemas de la cadena de suministro y facilitar la adquisición de franjas horarias de producción de los fabricantes. Por último, </w:t>
      </w:r>
      <w:r>
        <w:rPr>
          <w:rFonts w:ascii="Times New Roman" w:hAnsi="Times New Roman"/>
          <w:b/>
          <w:noProof/>
          <w:sz w:val="24"/>
        </w:rPr>
        <w:t>para mantener y ampliar el liderazgo tecnológico de la UE en este sector, es importante invertir en innovación</w:t>
      </w:r>
      <w:r>
        <w:rPr>
          <w:rFonts w:ascii="Times New Roman" w:hAnsi="Times New Roman"/>
          <w:noProof/>
          <w:sz w:val="24"/>
        </w:rPr>
        <w:t xml:space="preserve"> (por ejemplo, en capacidades de formación de la red de corriente continua de alta tensión), </w:t>
      </w:r>
      <w:r>
        <w:rPr>
          <w:rFonts w:ascii="Times New Roman" w:hAnsi="Times New Roman"/>
          <w:b/>
          <w:noProof/>
          <w:sz w:val="24"/>
        </w:rPr>
        <w:t>gestionar «espacios controlados de pruebas» y facilitar el acceso a la financiación de la UE para demostradores y proyectos innovadores</w:t>
      </w:r>
      <w:r>
        <w:rPr>
          <w:rFonts w:ascii="Times New Roman" w:hAnsi="Times New Roman"/>
          <w:noProof/>
          <w:sz w:val="24"/>
        </w:rPr>
        <w:t>.</w:t>
      </w:r>
    </w:p>
    <w:p w14:paraId="4A858B72" w14:textId="77777777" w:rsidR="00600990" w:rsidRDefault="00600990">
      <w:pPr>
        <w:rPr>
          <w:rFonts w:ascii="Times New Roman" w:eastAsia="Times New Roman" w:hAnsi="Times New Roman" w:cs="Times New Roman"/>
          <w:noProof/>
          <w:sz w:val="24"/>
          <w:szCs w:val="24"/>
        </w:rPr>
      </w:pPr>
      <w:r>
        <w:rPr>
          <w:noProof/>
        </w:rPr>
        <w:br w:type="page"/>
      </w:r>
    </w:p>
    <w:p w14:paraId="25422772" w14:textId="77777777" w:rsidR="008A45D3" w:rsidRPr="008907E2" w:rsidRDefault="008A45D3" w:rsidP="008A45D3">
      <w:pPr>
        <w:pStyle w:val="Heading1"/>
        <w:numPr>
          <w:ilvl w:val="0"/>
          <w:numId w:val="4"/>
        </w:numPr>
        <w:rPr>
          <w:noProof/>
        </w:rPr>
      </w:pPr>
      <w:bookmarkStart w:id="98" w:name="_Toc147843030"/>
      <w:bookmarkStart w:id="99" w:name="_Toc153536074"/>
      <w:r>
        <w:rPr>
          <w:noProof/>
        </w:rPr>
        <w:t>CONCLUSIÓN</w:t>
      </w:r>
      <w:bookmarkEnd w:id="98"/>
      <w:bookmarkEnd w:id="99"/>
    </w:p>
    <w:p w14:paraId="75F010A9" w14:textId="5E733E95" w:rsidR="008A45D3" w:rsidRPr="00C31310" w:rsidRDefault="008A45D3" w:rsidP="008A45D3">
      <w:pPr>
        <w:jc w:val="both"/>
        <w:rPr>
          <w:rFonts w:ascii="Times New Roman" w:eastAsia="Times New Roman" w:hAnsi="Times New Roman" w:cs="Times New Roman"/>
          <w:noProof/>
          <w:sz w:val="24"/>
          <w:szCs w:val="24"/>
        </w:rPr>
      </w:pPr>
      <w:r>
        <w:rPr>
          <w:rFonts w:ascii="Times New Roman" w:hAnsi="Times New Roman"/>
          <w:noProof/>
          <w:sz w:val="24"/>
        </w:rPr>
        <w:t xml:space="preserve">En respuesta a la perturbación del sistema energético mundial —causada en primer lugar por la pandemia de COVID-19 y exacerbada por la agresión militar no provocada e injustificada de Rusia contra Ucrania— </w:t>
      </w:r>
      <w:r>
        <w:rPr>
          <w:rFonts w:ascii="Times New Roman" w:hAnsi="Times New Roman"/>
          <w:b/>
          <w:noProof/>
          <w:sz w:val="24"/>
        </w:rPr>
        <w:t>la UE ha acelerado su transición hacia una energía limpia</w:t>
      </w:r>
      <w:r>
        <w:rPr>
          <w:rFonts w:ascii="Times New Roman" w:hAnsi="Times New Roman"/>
          <w:noProof/>
          <w:sz w:val="24"/>
        </w:rPr>
        <w:t xml:space="preserve"> y ha presentado rápidamente un paquete de medidas para proteger a los ciudadanos y las empresas. Impulsar el uso de energías renovables, reducir el consumo de energía y diversificar las cadenas de suministro de energía constituyen el núcleo de la respuesta de la UE.</w:t>
      </w:r>
    </w:p>
    <w:p w14:paraId="15BC11D7" w14:textId="2A2D9FF1" w:rsidR="008A45D3" w:rsidRPr="00C31310" w:rsidRDefault="008A45D3" w:rsidP="008A45D3">
      <w:pPr>
        <w:jc w:val="both"/>
        <w:rPr>
          <w:rFonts w:ascii="Times New Roman" w:hAnsi="Times New Roman" w:cs="Times New Roman"/>
          <w:noProof/>
          <w:sz w:val="24"/>
          <w:szCs w:val="24"/>
        </w:rPr>
      </w:pPr>
      <w:r>
        <w:rPr>
          <w:rFonts w:ascii="Times New Roman" w:hAnsi="Times New Roman"/>
          <w:noProof/>
          <w:sz w:val="24"/>
        </w:rPr>
        <w:t xml:space="preserve">Como consecuencia de ello, y dados los precios récord de la energía, </w:t>
      </w:r>
      <w:r>
        <w:rPr>
          <w:rFonts w:ascii="Times New Roman" w:hAnsi="Times New Roman"/>
          <w:b/>
          <w:noProof/>
          <w:sz w:val="24"/>
        </w:rPr>
        <w:t>las tecnologías de cero emisiones netas nunca han sido tan competitivas en comparación con los combustibles fósiles y su cuota de mercado se ha disparado.</w:t>
      </w:r>
      <w:r>
        <w:rPr>
          <w:rFonts w:ascii="Times New Roman" w:hAnsi="Times New Roman"/>
          <w:noProof/>
          <w:sz w:val="24"/>
        </w:rPr>
        <w:t xml:space="preserve"> En 2022, la nueva capacidad de energía eólica y solar instalada en la UE aumentó sustancialmente en comparación con 2021. Se espera que esta tendencia continúe, ya que los Estados miembros han aumentado sus objetivos en materia de energías renovables y eficiencia energética para 2030, con el apoyo del paquete de medidas «Objetivo 55». Otras economías importantes están siguiendo el ejemplo. La AIE calcula que el mercado mundial de las principales tecnologías de cero emisiones netas fabricadas en serie se triplicará de aquí a 2030, y que los puestos de trabajo relacionados con la producción de energía se duplicarán en el mismo período.</w:t>
      </w:r>
    </w:p>
    <w:p w14:paraId="6B05350D" w14:textId="3993245B" w:rsidR="008A45D3" w:rsidRDefault="008A45D3" w:rsidP="008A45D3">
      <w:pPr>
        <w:jc w:val="both"/>
        <w:rPr>
          <w:rFonts w:ascii="Times New Roman" w:hAnsi="Times New Roman" w:cs="Times New Roman"/>
          <w:noProof/>
          <w:sz w:val="24"/>
          <w:szCs w:val="24"/>
        </w:rPr>
      </w:pPr>
      <w:r>
        <w:rPr>
          <w:rFonts w:ascii="Times New Roman" w:hAnsi="Times New Roman"/>
          <w:noProof/>
          <w:sz w:val="24"/>
        </w:rPr>
        <w:t xml:space="preserve">Sin embargo, en la carrera mundial hacia las cero emisiones netas, </w:t>
      </w:r>
      <w:r>
        <w:rPr>
          <w:rFonts w:ascii="Times New Roman" w:hAnsi="Times New Roman"/>
          <w:b/>
          <w:noProof/>
          <w:sz w:val="24"/>
        </w:rPr>
        <w:t>los fabricantes de la UE se están quedando rezagados, lo que podría socavar nuestra seguridad económica</w:t>
      </w:r>
      <w:r>
        <w:rPr>
          <w:rFonts w:ascii="Times New Roman" w:hAnsi="Times New Roman"/>
          <w:noProof/>
          <w:sz w:val="24"/>
        </w:rPr>
        <w:t xml:space="preserve">. Los </w:t>
      </w:r>
      <w:r w:rsidR="002524AE">
        <w:rPr>
          <w:rFonts w:ascii="Times New Roman" w:hAnsi="Times New Roman"/>
          <w:noProof/>
          <w:sz w:val="24"/>
        </w:rPr>
        <w:t>alt</w:t>
      </w:r>
      <w:r>
        <w:rPr>
          <w:rFonts w:ascii="Times New Roman" w:hAnsi="Times New Roman"/>
          <w:noProof/>
          <w:sz w:val="24"/>
        </w:rPr>
        <w:t xml:space="preserve">os precios </w:t>
      </w:r>
      <w:r w:rsidR="002524AE">
        <w:rPr>
          <w:rFonts w:ascii="Times New Roman" w:hAnsi="Times New Roman"/>
          <w:noProof/>
          <w:sz w:val="24"/>
        </w:rPr>
        <w:t>récord</w:t>
      </w:r>
      <w:r>
        <w:rPr>
          <w:rFonts w:ascii="Times New Roman" w:hAnsi="Times New Roman"/>
          <w:noProof/>
          <w:sz w:val="24"/>
        </w:rPr>
        <w:t xml:space="preserve">s de la energía, los elevados tipos de interés, la escasez de capacidades, las interrupciones de la cadena de suministro y la fuerte competencia de otras regiones han puesto a prueba a la industria de la UE como nunca antes, incluso en sectores en los que la UE tenía una posición fuerte. La cuota de mercado del </w:t>
      </w:r>
      <w:r>
        <w:rPr>
          <w:rFonts w:ascii="Times New Roman" w:hAnsi="Times New Roman"/>
          <w:b/>
          <w:noProof/>
          <w:sz w:val="24"/>
        </w:rPr>
        <w:t>sector de la energía eólica</w:t>
      </w:r>
      <w:r>
        <w:rPr>
          <w:rFonts w:ascii="Times New Roman" w:hAnsi="Times New Roman"/>
          <w:noProof/>
          <w:sz w:val="24"/>
        </w:rPr>
        <w:t xml:space="preserve"> de la UE disminuyó del 58 % en 2017 al 30 % en 2022, en particular debido al rápido crecimiento del despliegue de la energía eólica en China. El déficit de la balanza comercial de la UE para las </w:t>
      </w:r>
      <w:r>
        <w:rPr>
          <w:rFonts w:ascii="Times New Roman" w:hAnsi="Times New Roman"/>
          <w:b/>
          <w:noProof/>
          <w:sz w:val="24"/>
        </w:rPr>
        <w:t>bombas de calor</w:t>
      </w:r>
      <w:r>
        <w:rPr>
          <w:rFonts w:ascii="Times New Roman" w:hAnsi="Times New Roman"/>
          <w:noProof/>
          <w:sz w:val="24"/>
        </w:rPr>
        <w:t xml:space="preserve"> individuales se duplicó con creces entre 2021 y 2022. Además, los precios de la </w:t>
      </w:r>
      <w:r>
        <w:rPr>
          <w:rFonts w:ascii="Times New Roman" w:hAnsi="Times New Roman"/>
          <w:b/>
          <w:noProof/>
          <w:sz w:val="24"/>
        </w:rPr>
        <w:t>energía solar fotovoltaica</w:t>
      </w:r>
      <w:r>
        <w:rPr>
          <w:rFonts w:ascii="Times New Roman" w:hAnsi="Times New Roman"/>
          <w:noProof/>
          <w:sz w:val="24"/>
        </w:rPr>
        <w:t xml:space="preserve"> alcanzaron un mínimo histórico en septiembre de 2023 debido a la intensa competencia y al exceso de oferta de componentes a lo largo de toda la cadena de valor, lo que supone una dificultad añadida para que los fabricantes de la UE produzcan de forma rentable. Si bien el segmento correspondiente a Europa de la inversión mundial en capacidad de </w:t>
      </w:r>
      <w:r>
        <w:rPr>
          <w:rFonts w:ascii="Times New Roman" w:hAnsi="Times New Roman"/>
          <w:b/>
          <w:noProof/>
          <w:sz w:val="24"/>
        </w:rPr>
        <w:t>producción de baterías de litio</w:t>
      </w:r>
      <w:r>
        <w:rPr>
          <w:rFonts w:ascii="Times New Roman" w:hAnsi="Times New Roman"/>
          <w:noProof/>
          <w:sz w:val="24"/>
        </w:rPr>
        <w:t xml:space="preserve"> disminuyó del 41 % en 2021 al 2 % en 2022, las fábricas de baterías se están construyendo a una velocidad cada vez mayor en toda Europa y se prevé que satisfagan la mayor parte de la demanda de la UE de aquí a 2030. </w:t>
      </w:r>
    </w:p>
    <w:p w14:paraId="41D12CA8" w14:textId="7DB7D95C" w:rsidR="008A45D3" w:rsidRPr="00C31310" w:rsidRDefault="008A45D3" w:rsidP="008A45D3">
      <w:pPr>
        <w:jc w:val="both"/>
        <w:rPr>
          <w:rFonts w:ascii="Times New Roman" w:eastAsia="Times New Roman" w:hAnsi="Times New Roman" w:cs="Times New Roman"/>
          <w:noProof/>
          <w:sz w:val="24"/>
          <w:szCs w:val="24"/>
        </w:rPr>
      </w:pPr>
      <w:r>
        <w:rPr>
          <w:rFonts w:ascii="Times New Roman" w:hAnsi="Times New Roman"/>
          <w:noProof/>
          <w:sz w:val="24"/>
        </w:rPr>
        <w:t xml:space="preserve">Por lo tanto, </w:t>
      </w:r>
      <w:r>
        <w:rPr>
          <w:rFonts w:ascii="Times New Roman" w:hAnsi="Times New Roman"/>
          <w:b/>
          <w:noProof/>
          <w:sz w:val="24"/>
        </w:rPr>
        <w:t>al tiempo que mantiene sus esfuerzos por reducir los precios de la energía, la UE también debe simplificar su marco regulador</w:t>
      </w:r>
      <w:r>
        <w:rPr>
          <w:rFonts w:ascii="Times New Roman" w:hAnsi="Times New Roman"/>
          <w:noProof/>
          <w:sz w:val="24"/>
        </w:rPr>
        <w:t xml:space="preserve"> para facilitar y acelerar la expansión de su base de fabricación de tecnologías de cero emisiones netas y atraer más inversiones a la UE. </w:t>
      </w:r>
    </w:p>
    <w:p w14:paraId="10AB0978" w14:textId="5BD6E5E3" w:rsidR="008A45D3" w:rsidRPr="00C31310" w:rsidRDefault="008A45D3" w:rsidP="008A45D3">
      <w:pPr>
        <w:jc w:val="both"/>
        <w:rPr>
          <w:rFonts w:ascii="Times New Roman" w:hAnsi="Times New Roman" w:cs="Times New Roman"/>
          <w:noProof/>
          <w:sz w:val="24"/>
          <w:szCs w:val="24"/>
        </w:rPr>
      </w:pPr>
      <w:r>
        <w:rPr>
          <w:rFonts w:ascii="Times New Roman" w:hAnsi="Times New Roman"/>
          <w:noProof/>
          <w:sz w:val="24"/>
        </w:rPr>
        <w:t xml:space="preserve">Paralelamente, </w:t>
      </w:r>
      <w:r>
        <w:rPr>
          <w:rFonts w:ascii="Times New Roman" w:hAnsi="Times New Roman"/>
          <w:b/>
          <w:noProof/>
          <w:sz w:val="24"/>
        </w:rPr>
        <w:t>la UE debe seguir actuando para reducir su dependencia de las importaciones y diversificar eficazmente su abastecimiento de componentes y materias primas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Para la mayoría de las tecnologías de cero emisiones netas, la UE depende de China en al menos una fase de las cadenas de valor. </w:t>
      </w:r>
    </w:p>
    <w:p w14:paraId="0C96EB4E" w14:textId="09D180E6" w:rsidR="008A45D3" w:rsidRPr="00AC1327" w:rsidRDefault="008A45D3" w:rsidP="008A45D3">
      <w:pPr>
        <w:jc w:val="both"/>
        <w:rPr>
          <w:rFonts w:ascii="Times New Roman" w:eastAsia="Times New Roman" w:hAnsi="Times New Roman" w:cs="Times New Roman"/>
          <w:noProof/>
          <w:sz w:val="24"/>
          <w:szCs w:val="24"/>
        </w:rPr>
      </w:pPr>
      <w:r>
        <w:rPr>
          <w:rFonts w:ascii="Times New Roman" w:hAnsi="Times New Roman"/>
          <w:b/>
          <w:noProof/>
          <w:sz w:val="24"/>
        </w:rPr>
        <w:t>La UE también debe mejorar las capacidades de su mano de obra.</w:t>
      </w:r>
      <w:r>
        <w:rPr>
          <w:rFonts w:ascii="Times New Roman" w:hAnsi="Times New Roman"/>
          <w:noProof/>
          <w:sz w:val="24"/>
        </w:rPr>
        <w:t xml:space="preserve"> A pesar de la tendencia positiva de la tasa de empleo del sector de las energías limpias de la UE, las carencias y la escasez de capacidades observadas desde 2021 están frenando el crecimiento del sector y pueden prolongarse aún más debido a las tendencias demográficas. El presupuesto de la UE, así como las iniciativas políticas intersectoriales y varias medidas específicas presentadas por la UE, son cruciales para acelerar el desarrollo de capacidades en la transición ecológica y, en particular, en el sector de las energías limpias.</w:t>
      </w:r>
    </w:p>
    <w:p w14:paraId="06A44D52" w14:textId="77777777" w:rsidR="004B0938" w:rsidRPr="00C31310" w:rsidRDefault="004B0938" w:rsidP="004B0938">
      <w:pPr>
        <w:jc w:val="both"/>
        <w:rPr>
          <w:rFonts w:ascii="Times New Roman" w:eastAsia="Times New Roman" w:hAnsi="Times New Roman" w:cs="Times New Roman"/>
          <w:noProof/>
          <w:sz w:val="24"/>
          <w:szCs w:val="24"/>
        </w:rPr>
      </w:pPr>
      <w:r>
        <w:rPr>
          <w:rFonts w:ascii="Times New Roman" w:hAnsi="Times New Roman"/>
          <w:b/>
          <w:noProof/>
          <w:sz w:val="24"/>
        </w:rPr>
        <w:t>En términos de inversiones en I+i, Horizonte 2020 y Horizonte Europa han proporcionado un impulso vital</w:t>
      </w:r>
      <w:r>
        <w:rPr>
          <w:rFonts w:ascii="Times New Roman" w:hAnsi="Times New Roman"/>
          <w:noProof/>
          <w:sz w:val="24"/>
        </w:rPr>
        <w:t xml:space="preserve"> a las inversiones del sector público nacional desde 2020. Si bien la UE mantiene su sólida posición en materia de patentes protegidas internacionalmente, el aumento de los esfuerzos en el uso coordinado de los programas nacionales y de la UE y la definición clara de los objetivos nacionales en materia de I+i tanto para 2023 como para 2050 son decisivos para trazar con éxito la trayectoria de la I+i.</w:t>
      </w:r>
    </w:p>
    <w:p w14:paraId="37CB13CD" w14:textId="1F997C5B" w:rsidR="008A45D3" w:rsidRPr="00C31310" w:rsidRDefault="00C50BCA" w:rsidP="008A45D3">
      <w:pPr>
        <w:jc w:val="both"/>
        <w:rPr>
          <w:rFonts w:ascii="Times New Roman" w:eastAsia="Times New Roman" w:hAnsi="Times New Roman" w:cs="Times New Roman"/>
          <w:noProof/>
          <w:sz w:val="24"/>
          <w:szCs w:val="24"/>
        </w:rPr>
      </w:pPr>
      <w:r>
        <w:rPr>
          <w:rFonts w:ascii="Times New Roman" w:hAnsi="Times New Roman"/>
          <w:b/>
          <w:noProof/>
          <w:sz w:val="24"/>
        </w:rPr>
        <w:t>Garantizar el acceso a financiación para desarrollar la capacidad nacional de fabricación de tecnologías energéticas limpias es fundamental para desarrollar cadenas de valor en la UE.</w:t>
      </w:r>
      <w:r>
        <w:rPr>
          <w:rFonts w:ascii="Times New Roman" w:hAnsi="Times New Roman"/>
          <w:noProof/>
          <w:sz w:val="24"/>
        </w:rPr>
        <w:t xml:space="preserve"> Esto incluye financiación para convertir la innovación en producción industrial. En particular, la UE debe asegurarse de que el capital siga circulando hacia las empresas emergentes innovadoras de la UE. Para ello hay que seguir trabajando en la profundización de los mercados de capitales de la Unión.</w:t>
      </w:r>
    </w:p>
    <w:p w14:paraId="04C3683B" w14:textId="59D99C86" w:rsidR="008A45D3" w:rsidRPr="00C31310" w:rsidRDefault="008A45D3" w:rsidP="008A45D3">
      <w:pPr>
        <w:jc w:val="both"/>
        <w:rPr>
          <w:rFonts w:ascii="Times New Roman" w:hAnsi="Times New Roman" w:cs="Times New Roman"/>
          <w:noProof/>
          <w:sz w:val="24"/>
          <w:szCs w:val="24"/>
        </w:rPr>
      </w:pPr>
      <w:r>
        <w:rPr>
          <w:rFonts w:ascii="Times New Roman" w:hAnsi="Times New Roman"/>
          <w:b/>
          <w:noProof/>
          <w:sz w:val="24"/>
        </w:rPr>
        <w:t>La UE también debe fomentar la cooperación en materia de tecnologías limpias</w:t>
      </w:r>
      <w:r>
        <w:rPr>
          <w:rFonts w:ascii="Times New Roman" w:hAnsi="Times New Roman"/>
          <w:noProof/>
          <w:sz w:val="24"/>
        </w:rPr>
        <w:t xml:space="preserve"> con sus socios en el extranjero, de manera abierta pero asertiva. La apertura comercial y las asociaciones internacionales no solo contribuirán a reforzar la competitividad de la UE garantizando cadenas de suministro más diversificadas para la transición ecológica, sino que también abrirán nuevas oportunidades de mercado y ayudarán a todas las economías a cumplir los objetivos del Acuerdo de París. </w:t>
      </w:r>
    </w:p>
    <w:p w14:paraId="57826138" w14:textId="77777777" w:rsidR="008A45D3" w:rsidRDefault="008A45D3" w:rsidP="008A45D3">
      <w:pPr>
        <w:jc w:val="both"/>
        <w:rPr>
          <w:rFonts w:ascii="Times New Roman" w:hAnsi="Times New Roman" w:cs="Times New Roman"/>
          <w:noProof/>
          <w:sz w:val="24"/>
          <w:szCs w:val="24"/>
        </w:rPr>
      </w:pPr>
      <w:r>
        <w:rPr>
          <w:rFonts w:ascii="Times New Roman" w:hAnsi="Times New Roman"/>
          <w:noProof/>
          <w:sz w:val="24"/>
        </w:rPr>
        <w:t xml:space="preserve">Además, </w:t>
      </w:r>
      <w:r>
        <w:rPr>
          <w:rFonts w:ascii="Times New Roman" w:hAnsi="Times New Roman"/>
          <w:b/>
          <w:noProof/>
          <w:sz w:val="24"/>
        </w:rPr>
        <w:t>la UE debe seguir impulsando la demanda de tecnologías de cero emisiones netas que sean sostenibles y resilientes</w:t>
      </w:r>
      <w:r>
        <w:rPr>
          <w:rFonts w:ascii="Times New Roman" w:hAnsi="Times New Roman"/>
          <w:noProof/>
          <w:sz w:val="24"/>
        </w:rPr>
        <w:t xml:space="preserve"> a fin de cumplir su objetivo de descarbonización, impulsando al mismo tiempo la competitividad y la seguridad del suministro energético. </w:t>
      </w:r>
    </w:p>
    <w:p w14:paraId="3FD88D9E" w14:textId="7D41C09E" w:rsidR="008A45D3" w:rsidRPr="00C31310" w:rsidRDefault="008A45D3" w:rsidP="008A45D3">
      <w:pPr>
        <w:jc w:val="both"/>
        <w:rPr>
          <w:rFonts w:ascii="Times New Roman" w:hAnsi="Times New Roman" w:cs="Times New Roman"/>
          <w:noProof/>
          <w:sz w:val="24"/>
          <w:szCs w:val="24"/>
        </w:rPr>
      </w:pPr>
      <w:r>
        <w:rPr>
          <w:rFonts w:ascii="Times New Roman" w:hAnsi="Times New Roman"/>
          <w:noProof/>
          <w:sz w:val="24"/>
        </w:rPr>
        <w:t xml:space="preserve">Por último, </w:t>
      </w:r>
      <w:r>
        <w:rPr>
          <w:rFonts w:ascii="Times New Roman" w:hAnsi="Times New Roman"/>
          <w:b/>
          <w:noProof/>
          <w:sz w:val="24"/>
        </w:rPr>
        <w:t>son necesarias medidas para abordar los problemas específicos a los que se enfrentan determinados sectores</w:t>
      </w:r>
      <w:r>
        <w:rPr>
          <w:rFonts w:ascii="Times New Roman" w:hAnsi="Times New Roman"/>
          <w:noProof/>
          <w:sz w:val="24"/>
        </w:rPr>
        <w:t xml:space="preserve">, como la industria eólica. En cuanto a la economía en general, </w:t>
      </w:r>
      <w:r>
        <w:rPr>
          <w:rFonts w:ascii="Times New Roman" w:hAnsi="Times New Roman"/>
          <w:b/>
          <w:noProof/>
          <w:sz w:val="24"/>
        </w:rPr>
        <w:t>la UE necesita mantener el apoyo a su industria a lo largo de la transición hacia una energía limpia.</w:t>
      </w:r>
      <w:r>
        <w:rPr>
          <w:rFonts w:ascii="Times New Roman" w:hAnsi="Times New Roman"/>
          <w:noProof/>
          <w:sz w:val="24"/>
        </w:rPr>
        <w:t xml:space="preserve"> Para ello, también es necesario un enfoque específico para cada ecosistema industrial. Con este fin, la presidenta de la Comisión Europea anunció en su discurso sobre el estado de la Unión del 13 de septiembre de 2023 una serie de diálogos sobre la transición hacia una energía limpia que se celebrarán con la industria. La competitividad de la UE es esencial para su autonomía estratégica y es crucial evaluar cómo seguir siendo competitiv</w:t>
      </w:r>
      <w:r w:rsidR="002524AE">
        <w:rPr>
          <w:rFonts w:ascii="Times New Roman" w:hAnsi="Times New Roman"/>
          <w:noProof/>
          <w:sz w:val="24"/>
        </w:rPr>
        <w:t>os</w:t>
      </w:r>
      <w:r>
        <w:rPr>
          <w:rFonts w:ascii="Times New Roman" w:hAnsi="Times New Roman"/>
          <w:noProof/>
          <w:sz w:val="24"/>
        </w:rPr>
        <w:t xml:space="preserve"> al tiempo que se lleva a cabo la transición hacia una energía limpia. Por ello, la president</w:t>
      </w:r>
      <w:r w:rsidR="002524AE">
        <w:rPr>
          <w:rFonts w:ascii="Times New Roman" w:hAnsi="Times New Roman"/>
          <w:noProof/>
          <w:sz w:val="24"/>
        </w:rPr>
        <w:t>a</w:t>
      </w:r>
      <w:r>
        <w:rPr>
          <w:rFonts w:ascii="Times New Roman" w:hAnsi="Times New Roman"/>
          <w:noProof/>
          <w:sz w:val="24"/>
        </w:rPr>
        <w:t xml:space="preserve"> de la Comisión Europea pidió a Mario Draghi que elaborase un informe sobre el futuro de la competitividad europea.</w:t>
      </w:r>
    </w:p>
    <w:p w14:paraId="34CCD22C" w14:textId="4BCAD544" w:rsidR="004010E0" w:rsidRPr="008A45D3" w:rsidRDefault="008A45D3" w:rsidP="008A45D3">
      <w:pPr>
        <w:jc w:val="both"/>
        <w:rPr>
          <w:rFonts w:ascii="Times New Roman" w:hAnsi="Times New Roman" w:cs="Times New Roman"/>
          <w:noProof/>
          <w:sz w:val="24"/>
          <w:szCs w:val="24"/>
        </w:rPr>
      </w:pPr>
      <w:r>
        <w:rPr>
          <w:rFonts w:ascii="Times New Roman" w:hAnsi="Times New Roman"/>
          <w:b/>
          <w:noProof/>
          <w:sz w:val="24"/>
        </w:rPr>
        <w:t>El futuro de nuestra industria de tecnologías limpias debe construirse en Europa.</w:t>
      </w:r>
      <w:r>
        <w:rPr>
          <w:rFonts w:ascii="Times New Roman" w:hAnsi="Times New Roman"/>
          <w:noProof/>
          <w:sz w:val="24"/>
        </w:rPr>
        <w:t xml:space="preserve"> Por consiguiente, </w:t>
      </w:r>
      <w:r>
        <w:rPr>
          <w:rFonts w:ascii="Times New Roman" w:hAnsi="Times New Roman"/>
          <w:b/>
          <w:noProof/>
          <w:sz w:val="24"/>
        </w:rPr>
        <w:t>la Comisión pide al Consejo y al Parlamento Europeo que tomen nota de este Informe de situación en materia de competitividad y aceleren la adopción de los expedientes legislativos que apoyarán a la industria de cero emisiones netas</w:t>
      </w:r>
      <w:r>
        <w:rPr>
          <w:rFonts w:ascii="Times New Roman" w:hAnsi="Times New Roman"/>
          <w:noProof/>
          <w:sz w:val="24"/>
        </w:rPr>
        <w:t xml:space="preserve">, en particular la Ley sobre la industria de cero emisiones netas y la Ley de Materias Primas Fundamentales. </w:t>
      </w:r>
    </w:p>
    <w:sectPr w:rsidR="004010E0" w:rsidRPr="008A45D3" w:rsidSect="008C0AE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833EA" w14:textId="77777777" w:rsidR="00C075ED" w:rsidRDefault="00C075ED" w:rsidP="004010E0">
      <w:pPr>
        <w:spacing w:after="0" w:line="240" w:lineRule="auto"/>
      </w:pPr>
      <w:r>
        <w:separator/>
      </w:r>
    </w:p>
  </w:endnote>
  <w:endnote w:type="continuationSeparator" w:id="0">
    <w:p w14:paraId="1FC2065A" w14:textId="77777777" w:rsidR="00C075ED" w:rsidRDefault="00C075ED" w:rsidP="004010E0">
      <w:pPr>
        <w:spacing w:after="0" w:line="240" w:lineRule="auto"/>
      </w:pPr>
      <w:r>
        <w:continuationSeparator/>
      </w:r>
    </w:p>
  </w:endnote>
  <w:endnote w:type="continuationNotice" w:id="1">
    <w:p w14:paraId="03A0146E" w14:textId="77777777" w:rsidR="00C075ED" w:rsidRDefault="00C07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7A3F" w14:textId="49FDD3C0" w:rsidR="006D0A9F" w:rsidRPr="00EA4533" w:rsidRDefault="006D0A9F" w:rsidP="00EA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4586" w14:textId="5BFC3414" w:rsidR="006D0A9F" w:rsidRPr="00EA4533" w:rsidRDefault="00EA4533" w:rsidP="00EA4533">
    <w:pPr>
      <w:pStyle w:val="FooterCoverPage"/>
      <w:rPr>
        <w:rFonts w:ascii="Arial" w:hAnsi="Arial" w:cs="Arial"/>
        <w:b/>
        <w:sz w:val="48"/>
      </w:rPr>
    </w:pPr>
    <w:r w:rsidRPr="00EA4533">
      <w:rPr>
        <w:rFonts w:ascii="Arial" w:hAnsi="Arial" w:cs="Arial"/>
        <w:b/>
        <w:sz w:val="48"/>
      </w:rPr>
      <w:t>ES</w:t>
    </w:r>
    <w:r w:rsidRPr="00EA4533">
      <w:rPr>
        <w:rFonts w:ascii="Arial" w:hAnsi="Arial" w:cs="Arial"/>
        <w:b/>
        <w:sz w:val="48"/>
      </w:rPr>
      <w:tab/>
    </w:r>
    <w:r w:rsidRPr="00EA4533">
      <w:rPr>
        <w:rFonts w:ascii="Arial" w:hAnsi="Arial" w:cs="Arial"/>
        <w:b/>
        <w:sz w:val="48"/>
      </w:rPr>
      <w:tab/>
    </w:r>
    <w:r w:rsidRPr="00EA4533">
      <w:tab/>
    </w:r>
    <w:r w:rsidRPr="00EA4533">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0F04" w14:textId="77777777" w:rsidR="00EA4533" w:rsidRPr="00EA4533" w:rsidRDefault="00EA4533" w:rsidP="00EA453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1D60D" w14:textId="77777777" w:rsidR="00C075ED" w:rsidRDefault="00C075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396546"/>
      <w:docPartObj>
        <w:docPartGallery w:val="Page Numbers (Bottom of Page)"/>
        <w:docPartUnique/>
      </w:docPartObj>
    </w:sdtPr>
    <w:sdtEndPr>
      <w:rPr>
        <w:noProof/>
      </w:rPr>
    </w:sdtEndPr>
    <w:sdtContent>
      <w:p w14:paraId="5A5B0EB8" w14:textId="2A95AD16" w:rsidR="00C075ED" w:rsidRDefault="00C075ED">
        <w:pPr>
          <w:pStyle w:val="Footer"/>
          <w:jc w:val="center"/>
        </w:pPr>
        <w:r>
          <w:fldChar w:fldCharType="begin"/>
        </w:r>
        <w:r>
          <w:instrText xml:space="preserve"> PAGE   \* MERGEFORMAT </w:instrText>
        </w:r>
        <w:r>
          <w:fldChar w:fldCharType="separate"/>
        </w:r>
        <w:r w:rsidR="00EA4533">
          <w:rPr>
            <w:noProof/>
          </w:rPr>
          <w:t>21</w:t>
        </w:r>
        <w:r>
          <w:fldChar w:fldCharType="end"/>
        </w:r>
      </w:p>
    </w:sdtContent>
  </w:sdt>
  <w:p w14:paraId="3C6A091B" w14:textId="77777777" w:rsidR="00C075ED" w:rsidRDefault="00C075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57A2" w14:textId="77777777" w:rsidR="00C075ED" w:rsidRDefault="00C0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755B1" w14:textId="77777777" w:rsidR="00C075ED" w:rsidRDefault="00C075ED" w:rsidP="004010E0">
      <w:pPr>
        <w:spacing w:after="0" w:line="240" w:lineRule="auto"/>
      </w:pPr>
      <w:r>
        <w:separator/>
      </w:r>
    </w:p>
  </w:footnote>
  <w:footnote w:type="continuationSeparator" w:id="0">
    <w:p w14:paraId="123A7034" w14:textId="77777777" w:rsidR="00C075ED" w:rsidRDefault="00C075ED" w:rsidP="004010E0">
      <w:pPr>
        <w:spacing w:after="0" w:line="240" w:lineRule="auto"/>
      </w:pPr>
      <w:r>
        <w:continuationSeparator/>
      </w:r>
    </w:p>
  </w:footnote>
  <w:footnote w:type="continuationNotice" w:id="1">
    <w:p w14:paraId="0464B4B3" w14:textId="77777777" w:rsidR="00C075ED" w:rsidRDefault="00C075ED">
      <w:pPr>
        <w:spacing w:after="0" w:line="240" w:lineRule="auto"/>
      </w:pPr>
    </w:p>
  </w:footnote>
  <w:footnote w:id="2">
    <w:p w14:paraId="30A8654D" w14:textId="57464A0A" w:rsidR="00C075ED" w:rsidRPr="00DC0CEA" w:rsidRDefault="00C075ED" w:rsidP="00EB3E8B">
      <w:pPr>
        <w:spacing w:after="0"/>
        <w:ind w:left="284" w:hanging="284"/>
        <w:jc w:val="both"/>
        <w:rPr>
          <w:rFonts w:ascii="Calibri" w:eastAsia="Calibri" w:hAnsi="Calibri" w:cs="Calibri"/>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Desde el 1 de junio de 2023. Siguiendo la metodología de seguimiento climático, utilizando el anexo VI del Reglamento del MRR. </w:t>
      </w:r>
    </w:p>
  </w:footnote>
  <w:footnote w:id="3">
    <w:p w14:paraId="6D7C5131" w14:textId="43C52EF8" w:rsidR="00C075ED" w:rsidRPr="00DC0CE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6" w:name="_Hlk147822464"/>
      <w:r>
        <w:rPr>
          <w:rFonts w:ascii="Times New Roman" w:hAnsi="Times New Roman"/>
          <w:sz w:val="18"/>
        </w:rPr>
        <w:t xml:space="preserve"> </w:t>
      </w:r>
      <w:r>
        <w:rPr>
          <w:rFonts w:ascii="Times New Roman" w:hAnsi="Times New Roman"/>
          <w:sz w:val="18"/>
        </w:rPr>
        <w:tab/>
        <w:t>COM(2022) 230 final.</w:t>
      </w:r>
      <w:bookmarkEnd w:id="6"/>
    </w:p>
  </w:footnote>
  <w:footnote w:id="4">
    <w:p w14:paraId="5543BD6F" w14:textId="0C9F266C" w:rsidR="00C075ED" w:rsidRPr="00DC0CE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tab"/>
          <w:rFonts w:ascii="Times New Roman" w:hAnsi="Times New Roman"/>
          <w:sz w:val="18"/>
          <w:bdr w:val="none" w:sz="0" w:space="0" w:color="auto" w:frame="1"/>
          <w:shd w:val="clear" w:color="auto" w:fill="FFFFFF"/>
        </w:rPr>
        <w:t xml:space="preserve"> </w:t>
      </w:r>
      <w:r>
        <w:rPr>
          <w:rStyle w:val="tab"/>
          <w:rFonts w:ascii="Times New Roman" w:hAnsi="Times New Roman"/>
          <w:sz w:val="18"/>
          <w:bdr w:val="none" w:sz="0" w:space="0" w:color="auto" w:frame="1"/>
          <w:shd w:val="clear" w:color="auto" w:fill="FFFFFF"/>
        </w:rPr>
        <w:tab/>
        <w:t>Agencia Internacional de la Energía (</w:t>
      </w:r>
      <w:r>
        <w:rPr>
          <w:rFonts w:ascii="Times New Roman" w:hAnsi="Times New Roman"/>
          <w:sz w:val="18"/>
          <w:shd w:val="clear" w:color="auto" w:fill="FFFFFF"/>
        </w:rPr>
        <w:t xml:space="preserve">AIE), </w:t>
      </w:r>
      <w:r>
        <w:rPr>
          <w:rFonts w:ascii="Times New Roman" w:hAnsi="Times New Roman"/>
          <w:i/>
          <w:sz w:val="18"/>
          <w:shd w:val="clear" w:color="auto" w:fill="FFFFFF"/>
        </w:rPr>
        <w:t>Energy Technology Perspectives</w:t>
      </w:r>
      <w:r>
        <w:rPr>
          <w:rFonts w:ascii="Times New Roman" w:hAnsi="Times New Roman"/>
          <w:sz w:val="18"/>
          <w:shd w:val="clear" w:color="auto" w:fill="FFFFFF"/>
        </w:rPr>
        <w:t xml:space="preserve"> [«Perspectivas de la tecnología energética», documento en inglés], 2023.</w:t>
      </w:r>
    </w:p>
  </w:footnote>
  <w:footnote w:id="5">
    <w:p w14:paraId="22C73640" w14:textId="4811BD03" w:rsidR="00C075ED" w:rsidRPr="00C223F1" w:rsidRDefault="00C075ED" w:rsidP="00EB3E8B">
      <w:pPr>
        <w:pStyle w:val="FootnoteText"/>
        <w:ind w:left="284" w:hanging="284"/>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sidRPr="00C223F1">
        <w:rPr>
          <w:rFonts w:ascii="Times New Roman" w:hAnsi="Times New Roman"/>
          <w:sz w:val="18"/>
          <w:lang w:val="en-US"/>
        </w:rPr>
        <w:t xml:space="preserve"> </w:t>
      </w:r>
      <w:r w:rsidRPr="00C223F1">
        <w:rPr>
          <w:rFonts w:ascii="Times New Roman" w:hAnsi="Times New Roman"/>
          <w:sz w:val="18"/>
          <w:lang w:val="en-US"/>
        </w:rPr>
        <w:tab/>
        <w:t>COM(2023) 62 final.</w:t>
      </w:r>
    </w:p>
  </w:footnote>
  <w:footnote w:id="6">
    <w:p w14:paraId="4F78F071" w14:textId="16C95FDE" w:rsidR="00C075ED" w:rsidRPr="00C223F1" w:rsidRDefault="00C075ED" w:rsidP="00EB3E8B">
      <w:pPr>
        <w:pStyle w:val="FootnoteText"/>
        <w:ind w:left="284" w:hanging="284"/>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sidRPr="00C223F1">
        <w:rPr>
          <w:rFonts w:ascii="Times New Roman" w:hAnsi="Times New Roman"/>
          <w:sz w:val="18"/>
          <w:lang w:val="en-US"/>
        </w:rPr>
        <w:t xml:space="preserve"> </w:t>
      </w:r>
      <w:r w:rsidRPr="00C223F1">
        <w:rPr>
          <w:rFonts w:ascii="Times New Roman" w:hAnsi="Times New Roman"/>
          <w:sz w:val="18"/>
          <w:lang w:val="en-US"/>
        </w:rPr>
        <w:tab/>
        <w:t>COM(2023) 161 final, SWD(2023) 68 final.</w:t>
      </w:r>
    </w:p>
  </w:footnote>
  <w:footnote w:id="7">
    <w:p w14:paraId="6DAD0BEB" w14:textId="316CDA97" w:rsidR="00C075ED" w:rsidRPr="00C223F1" w:rsidRDefault="00C075ED" w:rsidP="00EB3E8B">
      <w:pPr>
        <w:pStyle w:val="FootnoteText"/>
        <w:ind w:left="284" w:hanging="284"/>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sidRPr="00C223F1">
        <w:rPr>
          <w:rFonts w:ascii="Times New Roman" w:hAnsi="Times New Roman"/>
          <w:sz w:val="18"/>
          <w:lang w:val="en-US"/>
        </w:rPr>
        <w:t xml:space="preserve"> </w:t>
      </w:r>
      <w:r w:rsidRPr="00C223F1">
        <w:rPr>
          <w:rFonts w:ascii="Times New Roman" w:hAnsi="Times New Roman"/>
          <w:sz w:val="18"/>
          <w:lang w:val="en-US"/>
        </w:rPr>
        <w:tab/>
        <w:t>COM(2023) 160 final.</w:t>
      </w:r>
    </w:p>
  </w:footnote>
  <w:footnote w:id="8">
    <w:p w14:paraId="0A8A1F6F" w14:textId="3D9E17D2" w:rsidR="00C075ED" w:rsidRPr="00C223F1" w:rsidRDefault="00C075ED" w:rsidP="00EB3E8B">
      <w:pPr>
        <w:pStyle w:val="FootnoteText"/>
        <w:ind w:left="284" w:hanging="284"/>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sidRPr="00C223F1">
        <w:rPr>
          <w:rFonts w:ascii="Times New Roman" w:hAnsi="Times New Roman"/>
          <w:sz w:val="18"/>
          <w:lang w:val="en-US"/>
        </w:rPr>
        <w:t xml:space="preserve"> </w:t>
      </w:r>
      <w:r w:rsidRPr="00C223F1">
        <w:rPr>
          <w:rFonts w:ascii="Times New Roman" w:hAnsi="Times New Roman"/>
          <w:sz w:val="18"/>
          <w:lang w:val="en-US"/>
        </w:rPr>
        <w:tab/>
        <w:t>COM(2023) 162.</w:t>
      </w:r>
    </w:p>
  </w:footnote>
  <w:footnote w:id="9">
    <w:p w14:paraId="504B422D" w14:textId="2DB57F0E" w:rsidR="00C075ED" w:rsidRPr="00C223F1" w:rsidRDefault="00C075ED" w:rsidP="00EB3E8B">
      <w:pPr>
        <w:pStyle w:val="FootnoteText"/>
        <w:ind w:left="284" w:hanging="284"/>
        <w:jc w:val="both"/>
        <w:rPr>
          <w:rFonts w:ascii="Times New Roman" w:hAnsi="Times New Roman" w:cs="Times New Roman"/>
          <w:sz w:val="18"/>
          <w:szCs w:val="18"/>
          <w:lang w:val="en-US"/>
        </w:rPr>
      </w:pPr>
      <w:r>
        <w:rPr>
          <w:rFonts w:ascii="Times New Roman" w:hAnsi="Times New Roman" w:cs="Times New Roman"/>
          <w:sz w:val="18"/>
          <w:szCs w:val="18"/>
          <w:vertAlign w:val="superscript"/>
          <w:lang w:val="en-US"/>
        </w:rPr>
        <w:footnoteRef/>
      </w:r>
      <w:r w:rsidRPr="00C223F1">
        <w:rPr>
          <w:rFonts w:ascii="Times New Roman" w:hAnsi="Times New Roman"/>
          <w:sz w:val="18"/>
          <w:lang w:val="en-US"/>
        </w:rPr>
        <w:t xml:space="preserve"> </w:t>
      </w:r>
      <w:r w:rsidRPr="00C223F1">
        <w:rPr>
          <w:rFonts w:ascii="Times New Roman" w:hAnsi="Times New Roman"/>
          <w:sz w:val="18"/>
          <w:lang w:val="en-US"/>
        </w:rPr>
        <w:tab/>
        <w:t>COM(2023) 168 final.</w:t>
      </w:r>
    </w:p>
  </w:footnote>
  <w:footnote w:id="10">
    <w:p w14:paraId="4BF69E0A" w14:textId="79EE5FEA" w:rsidR="00C075ED" w:rsidRPr="00A06B63" w:rsidRDefault="00C075ED" w:rsidP="00EB3E8B">
      <w:pPr>
        <w:pStyle w:val="FootnoteText"/>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JOIN(2023) 20 final. </w:t>
      </w:r>
    </w:p>
  </w:footnote>
  <w:footnote w:id="11">
    <w:p w14:paraId="6B376C59" w14:textId="04C2537D" w:rsidR="00C075ED" w:rsidRPr="00CF190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 w:name="_Hlk147823137"/>
      <w:r>
        <w:rPr>
          <w:rFonts w:ascii="Times New Roman" w:hAnsi="Times New Roman"/>
          <w:sz w:val="18"/>
        </w:rPr>
        <w:t xml:space="preserve">Para más información: </w:t>
      </w:r>
      <w:hyperlink r:id="rId1" w:history="1">
        <w:r>
          <w:rPr>
            <w:rStyle w:val="Hyperlink"/>
            <w:rFonts w:ascii="Times New Roman" w:hAnsi="Times New Roman"/>
            <w:sz w:val="18"/>
          </w:rPr>
          <w:t>Competitividad de las tecnologías energéticas limpias</w:t>
        </w:r>
      </w:hyperlink>
      <w:r>
        <w:rPr>
          <w:rFonts w:ascii="Times New Roman" w:hAnsi="Times New Roman"/>
          <w:sz w:val="18"/>
        </w:rPr>
        <w:t xml:space="preserve"> (europa.eu) y la edición de 2022 del Informe de situación en materia de competitividad de las tecnologías energéticas limpias: COM(2022) 643 final.</w:t>
      </w:r>
      <w:bookmarkEnd w:id="7"/>
    </w:p>
  </w:footnote>
  <w:footnote w:id="12">
    <w:p w14:paraId="22AF33A7" w14:textId="3E0C76E5"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2" w:history="1">
        <w:r>
          <w:rPr>
            <w:rStyle w:val="Hyperlink"/>
            <w:rFonts w:ascii="Times New Roman" w:hAnsi="Times New Roman"/>
            <w:sz w:val="18"/>
          </w:rPr>
          <w:t>Clean Energy Technology Observatory (Observatorio de las Tecnologías Energéticas Limpias)</w:t>
        </w:r>
      </w:hyperlink>
      <w:r>
        <w:t xml:space="preserve"> </w:t>
      </w:r>
      <w:r>
        <w:rPr>
          <w:rFonts w:ascii="Times New Roman" w:hAnsi="Times New Roman"/>
          <w:sz w:val="18"/>
        </w:rPr>
        <w:t>(disponible en inglés).</w:t>
      </w:r>
    </w:p>
  </w:footnote>
  <w:footnote w:id="13">
    <w:p w14:paraId="600AB2EB" w14:textId="4E2A1EC3"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Precio medio semanal del mecanismo de transferencia de títulos (TTF).</w:t>
      </w:r>
    </w:p>
  </w:footnote>
  <w:footnote w:id="14">
    <w:p w14:paraId="041CCE31" w14:textId="0E1ED6F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Gasparella, A., Koolen, D. y Zucker, A., </w:t>
      </w:r>
      <w:r>
        <w:rPr>
          <w:rFonts w:ascii="Times New Roman" w:hAnsi="Times New Roman"/>
          <w:i/>
          <w:sz w:val="18"/>
        </w:rPr>
        <w:t xml:space="preserve">The Merit Order and Price-Setting Dynamics in European Electricity Markets </w:t>
      </w:r>
      <w:r>
        <w:rPr>
          <w:rFonts w:ascii="Times New Roman" w:hAnsi="Times New Roman"/>
          <w:sz w:val="18"/>
        </w:rPr>
        <w:t>[«La orden de mérito y la dinámica de fijación de precios en los mercados europeos de la electricidad», documento en inglés], Comisión Europea, Petten, 2023, JRC134300.</w:t>
      </w:r>
    </w:p>
  </w:footnote>
  <w:footnote w:id="15">
    <w:p w14:paraId="3E3905A7" w14:textId="591CB45A" w:rsidR="00C075ED" w:rsidRPr="006926D7" w:rsidRDefault="00C075ED" w:rsidP="00EB3E8B">
      <w:pPr>
        <w:spacing w:after="0"/>
        <w:ind w:left="284" w:hanging="284"/>
        <w:jc w:val="both"/>
        <w:rPr>
          <w:rFonts w:ascii="Times New Roman" w:eastAsia="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Al por mayor (UE5): media ponderada de los precios de los principales mercados de la electricidad de la UE (DE, ES, FR, NL) y Nordpool (NO, DK, FI, SE, EE, LT y LV).</w:t>
      </w:r>
    </w:p>
  </w:footnote>
  <w:footnote w:id="16">
    <w:p w14:paraId="69A84FD3" w14:textId="54AC5B2A" w:rsidR="00C075ED" w:rsidRPr="0017371C" w:rsidRDefault="00C075ED" w:rsidP="00EB3E8B">
      <w:pPr>
        <w:pStyle w:val="FootnoteText"/>
        <w:ind w:left="284" w:hanging="284"/>
        <w:jc w:val="both"/>
      </w:pPr>
      <w:r>
        <w:rPr>
          <w:rStyle w:val="FootnoteReference"/>
        </w:rPr>
        <w:footnoteRef/>
      </w:r>
      <w:r>
        <w:t xml:space="preserve">  </w:t>
      </w:r>
      <w:bookmarkStart w:id="10" w:name="_Hlk147823754"/>
      <w:r>
        <w:rPr>
          <w:rFonts w:ascii="Times New Roman" w:hAnsi="Times New Roman"/>
          <w:sz w:val="18"/>
        </w:rPr>
        <w:t>Entre las medidas figuran la Comunicación sobre el conjunto de medidas de actuación y apoyo [COM(2021) 660 final], la Comunicación sobre la seguridad del suministro y precios de la energía asequibles [COM(2022) 138 final], el Reglamento sobre el almacenamiento de gas [COM(2022) 135 final - Reglamento (UE) 2017/1938], el Reglamento sobre la reducción de la demanda de gas [COM(2022) 361 final - Reglamento (UE) 2022/1369 del Consejo], el Reglamento para hacer frente a los elevados precios de la energía [COM(2022) 473 final - Reglamento (UE) 2022/1854 del Consejo], el Reglamento de solidaridad [COM(2022) 549 final - Reglamento (UE) 2022/2576 del Consejo], el mecanismo de corrección del mercado [COM(2022) 668 final - Reglamento (UE) 2022/2578 del Consejo] y el Reglamento para acelerar el proceso de concesión de autorizaciones [COM(2022) 591 final - Reglamento (UE) 2022/2577 del Consejo].</w:t>
      </w:r>
      <w:bookmarkEnd w:id="10"/>
    </w:p>
  </w:footnote>
  <w:footnote w:id="17">
    <w:p w14:paraId="2661CF17" w14:textId="5A2B241B"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En particular, la UE aumentó las importaciones de gas natural licuado (GNL) de los Estados Unidos y el suministro por gasoducto de Noruega, Azerbaiyán y el Reino Unido.</w:t>
      </w:r>
    </w:p>
  </w:footnote>
  <w:footnote w:id="18">
    <w:p w14:paraId="12594C3E" w14:textId="1544848C"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Los precios del gas al por mayor siguen duplicando la media de los quince años anteriores a la agresión de Rusia contra Ucrania. Los precios de la electricidad antes de la crisis se situaban en 40-60 EUR/MWh. Véase también: </w:t>
      </w:r>
      <w:hyperlink r:id="rId3">
        <w:r>
          <w:rPr>
            <w:rStyle w:val="Hyperlink"/>
            <w:rFonts w:ascii="Times New Roman" w:hAnsi="Times New Roman"/>
            <w:color w:val="0563C1"/>
            <w:sz w:val="18"/>
          </w:rPr>
          <w:t>EU fossil generation hits record low as demand falls [«La generación a partir de combustibles fósiles en la UE alcanza un mínimo histórico por la caída de la demanda», disponible en inglés] | Ember (ember-climate.org)</w:t>
        </w:r>
      </w:hyperlink>
      <w:r>
        <w:t>.</w:t>
      </w:r>
    </w:p>
  </w:footnote>
  <w:footnote w:id="19">
    <w:p w14:paraId="04CDDCFC" w14:textId="0EE2D9E9" w:rsidR="00C075ED" w:rsidRPr="006926D7" w:rsidRDefault="00C075ED" w:rsidP="00EB3E8B">
      <w:pPr>
        <w:spacing w:after="0"/>
        <w:ind w:left="284" w:hanging="284"/>
        <w:jc w:val="both"/>
        <w:rPr>
          <w:rFonts w:ascii="Times New Roman" w:eastAsia="Calibri"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Desde la crisis energética y la guerra en Ucrania, los precios del gas de la UE se han situado entre los más altos del mundo. Aunque el mercado se ha estabilizado, estos precios en la UE han sido entre cuatro y cinco veces superiores a los de Estados Unidos en el período comprendido entre enero y julio de 2023, aunque comparables a los del Reino Unido y otros países importadores de gas como China y Japón.</w:t>
      </w:r>
    </w:p>
  </w:footnote>
  <w:footnote w:id="20">
    <w:p w14:paraId="22DD619B" w14:textId="1B266ED4" w:rsidR="00C075ED" w:rsidRPr="00F226FC" w:rsidRDefault="00C075ED" w:rsidP="00EB3E8B">
      <w:pPr>
        <w:spacing w:after="0"/>
        <w:ind w:left="284" w:hanging="284"/>
        <w:jc w:val="both"/>
        <w:rPr>
          <w:rFonts w:ascii="Times New Roman" w:eastAsia="Calibri" w:hAnsi="Times New Roman" w:cs="Times New Roman"/>
        </w:rPr>
      </w:pPr>
      <w:r>
        <w:rPr>
          <w:rFonts w:ascii="Times New Roman" w:hAnsi="Times New Roman" w:cs="Times New Roman"/>
          <w:sz w:val="18"/>
          <w:szCs w:val="18"/>
          <w:vertAlign w:val="superscript"/>
        </w:rPr>
        <w:footnoteRef/>
      </w:r>
      <w:r>
        <w:rPr>
          <w:rFonts w:ascii="Times New Roman" w:hAnsi="Times New Roman"/>
          <w:sz w:val="18"/>
          <w:vertAlign w:val="superscript"/>
        </w:rPr>
        <w:t xml:space="preserve">  </w:t>
      </w:r>
      <w:r>
        <w:rPr>
          <w:rFonts w:ascii="Times New Roman" w:hAnsi="Times New Roman"/>
          <w:sz w:val="18"/>
        </w:rPr>
        <w:tab/>
        <w:t xml:space="preserve">Reglamento (UE) 2023/435. </w:t>
      </w:r>
    </w:p>
  </w:footnote>
  <w:footnote w:id="21">
    <w:p w14:paraId="56100E7B" w14:textId="29AF94DC"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WindEurope, comunicado de prensa:</w:t>
      </w:r>
      <w:r>
        <w:rPr>
          <w:rFonts w:ascii="Times New Roman" w:hAnsi="Times New Roman"/>
          <w:i/>
          <w:sz w:val="18"/>
        </w:rPr>
        <w:t xml:space="preserve"> </w:t>
      </w:r>
      <w:hyperlink r:id="rId4" w:history="1">
        <w:r>
          <w:rPr>
            <w:rStyle w:val="Hyperlink"/>
            <w:rFonts w:ascii="Times New Roman" w:hAnsi="Times New Roman"/>
            <w:i/>
            <w:sz w:val="18"/>
          </w:rPr>
          <w:t>Investments in wind energy are down – Europe must get market design and green industrial policy right</w:t>
        </w:r>
      </w:hyperlink>
      <w:r>
        <w:t xml:space="preserve"> </w:t>
      </w:r>
      <w:r>
        <w:rPr>
          <w:rFonts w:ascii="Times New Roman" w:hAnsi="Times New Roman"/>
          <w:sz w:val="18"/>
        </w:rPr>
        <w:t>[«Las inversiones en energía eólica están disminuyendo: Europa debe acertar en el diseño del mercado y la política industrial ecológica», documento en inglés], 31 de enero de 2023.</w:t>
      </w:r>
    </w:p>
  </w:footnote>
  <w:footnote w:id="22">
    <w:p w14:paraId="6D872052" w14:textId="008A6604"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M. Đukan, A. Gumber, F. Egli, B. Steffen, </w:t>
      </w:r>
      <w:r>
        <w:rPr>
          <w:rFonts w:ascii="Times New Roman" w:hAnsi="Times New Roman"/>
          <w:i/>
          <w:sz w:val="18"/>
        </w:rPr>
        <w:t xml:space="preserve">The role of policies in reducing the cost of capital for offshore wind </w:t>
      </w:r>
      <w:r>
        <w:rPr>
          <w:rFonts w:ascii="Times New Roman" w:hAnsi="Times New Roman"/>
          <w:sz w:val="18"/>
        </w:rPr>
        <w:t>[«El papel de las políticas en la reducción del coste del capital para la energía eólica marina», documento en inglés], 2023.</w:t>
      </w:r>
    </w:p>
  </w:footnote>
  <w:footnote w:id="23">
    <w:p w14:paraId="48458057" w14:textId="6FE341CA"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sz w:val="18"/>
        </w:rPr>
        <w:t xml:space="preserve"> </w:t>
      </w:r>
      <w:r>
        <w:rPr>
          <w:rFonts w:ascii="Times New Roman" w:hAnsi="Times New Roman"/>
          <w:sz w:val="18"/>
        </w:rPr>
        <w:tab/>
        <w:t xml:space="preserve">Basado en Enerdata, </w:t>
      </w:r>
      <w:hyperlink r:id="rId5">
        <w:r>
          <w:rPr>
            <w:rStyle w:val="Hyperlink"/>
            <w:rFonts w:ascii="Times New Roman" w:hAnsi="Times New Roman"/>
            <w:sz w:val="18"/>
          </w:rPr>
          <w:t>Daily Energy and Climate News</w:t>
        </w:r>
      </w:hyperlink>
      <w:r>
        <w:rPr>
          <w:rFonts w:ascii="Times New Roman" w:hAnsi="Times New Roman"/>
          <w:sz w:val="18"/>
        </w:rPr>
        <w:t>, 1 de marzo de 2023.</w:t>
      </w:r>
    </w:p>
  </w:footnote>
  <w:footnote w:id="24">
    <w:p w14:paraId="69E865CD" w14:textId="617BBD8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Agencia Internacional de la Energía (AIE), </w:t>
      </w:r>
      <w:r>
        <w:rPr>
          <w:rFonts w:ascii="Times New Roman" w:hAnsi="Times New Roman"/>
          <w:i/>
          <w:sz w:val="18"/>
        </w:rPr>
        <w:t>Critical Minerals Market Review</w:t>
      </w:r>
      <w:r>
        <w:rPr>
          <w:rFonts w:ascii="Times New Roman" w:hAnsi="Times New Roman"/>
          <w:sz w:val="18"/>
        </w:rPr>
        <w:t>, [«Análisis del mercado de minerales críticos», documento en inglés], 2023.</w:t>
      </w:r>
    </w:p>
  </w:footnote>
  <w:footnote w:id="25">
    <w:p w14:paraId="0F7C0AEA" w14:textId="47CEC440"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Sobre la base de un tipo de cambio medio de 0,9075 EUR por 1 USD durante marzo de 2022. Véase: </w:t>
      </w:r>
      <w:hyperlink r:id="rId6" w:history="1">
        <w:r>
          <w:rPr>
            <w:rStyle w:val="Hyperlink"/>
            <w:rFonts w:ascii="Times New Roman" w:hAnsi="Times New Roman"/>
            <w:sz w:val="18"/>
          </w:rPr>
          <w:t>https://www.ecb.europa.eu/stats/policy_and_exchange_rates/euro_reference_exchange_rates/html/eurofxref-graph-usd.en.html</w:t>
        </w:r>
      </w:hyperlink>
      <w:r>
        <w:t xml:space="preserve"> (disponible en inglés).</w:t>
      </w:r>
      <w:r>
        <w:rPr>
          <w:rFonts w:ascii="Times New Roman" w:hAnsi="Times New Roman"/>
          <w:sz w:val="18"/>
        </w:rPr>
        <w:t xml:space="preserve"> </w:t>
      </w:r>
    </w:p>
  </w:footnote>
  <w:footnote w:id="26">
    <w:p w14:paraId="366319E1" w14:textId="0934AA1C" w:rsidR="00C075ED" w:rsidRPr="009A51A5" w:rsidRDefault="00C075ED" w:rsidP="00EB3E8B">
      <w:pPr>
        <w:pStyle w:val="FootnoteText"/>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Sobre la base de un tipo de cambio medio de 0,9497 EUR por 1 USD durante el año 2022. Véase: </w:t>
      </w:r>
      <w:hyperlink r:id="rId7" w:history="1">
        <w:r>
          <w:rPr>
            <w:rStyle w:val="Hyperlink"/>
            <w:rFonts w:ascii="Times New Roman" w:hAnsi="Times New Roman"/>
            <w:sz w:val="18"/>
          </w:rPr>
          <w:t>https://www.ecb.europa.eu/stats/policy_and_exchange_rates/euro_reference_exchange_rates/html/eurofxref-graph-usd.en.html</w:t>
        </w:r>
      </w:hyperlink>
      <w:r>
        <w:t xml:space="preserve"> (disponible en inglés).</w:t>
      </w:r>
    </w:p>
  </w:footnote>
  <w:footnote w:id="27">
    <w:p w14:paraId="0D0BF3D1" w14:textId="3534337A"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Agencia Internacional de la Energía (AIE), </w:t>
      </w:r>
      <w:r>
        <w:rPr>
          <w:rFonts w:ascii="Times New Roman" w:hAnsi="Times New Roman"/>
          <w:i/>
          <w:sz w:val="18"/>
        </w:rPr>
        <w:t>Clean energy equipment price index, 2014-2022</w:t>
      </w:r>
      <w:r>
        <w:rPr>
          <w:rFonts w:ascii="Times New Roman" w:hAnsi="Times New Roman"/>
          <w:sz w:val="18"/>
        </w:rPr>
        <w:t>, [«Índice de precios de los equipos de energía limpia, 2014-2022», documento en inglés], 2023.</w:t>
      </w:r>
    </w:p>
  </w:footnote>
  <w:footnote w:id="28">
    <w:p w14:paraId="62048D27" w14:textId="5E26158C" w:rsidR="00C075ED" w:rsidRPr="003064C0"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Esta sección se centra en el análisis de costes. Más información sobre el valor de mercado: </w:t>
      </w:r>
      <w:hyperlink r:id="rId8" w:history="1">
        <w:r>
          <w:rPr>
            <w:rStyle w:val="Hyperlink"/>
            <w:rFonts w:ascii="Times New Roman" w:hAnsi="Times New Roman"/>
            <w:i/>
            <w:iCs/>
            <w:sz w:val="18"/>
          </w:rPr>
          <w:t>The development of renewable energy in the electricity Market</w:t>
        </w:r>
      </w:hyperlink>
      <w:r>
        <w:rPr>
          <w:rFonts w:ascii="Times New Roman" w:hAnsi="Times New Roman"/>
          <w:sz w:val="18"/>
        </w:rPr>
        <w:t xml:space="preserve"> [«El desarrollo de las energías renovables en el mercado de la electricidad», documento en inglés], junio 2023.</w:t>
      </w:r>
    </w:p>
  </w:footnote>
  <w:footnote w:id="29">
    <w:p w14:paraId="32775FF4" w14:textId="29AA994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Se muestran los puntos de datos correspondientes al intervalo intercuartílico entre el primer y el tercer cuartil para filtrar los valores atípicos.</w:t>
      </w:r>
    </w:p>
  </w:footnote>
  <w:footnote w:id="30">
    <w:p w14:paraId="722C377F" w14:textId="10C70B4B" w:rsidR="00C075ED" w:rsidRPr="0063152E" w:rsidRDefault="00C075ED" w:rsidP="00EB3E8B">
      <w:pPr>
        <w:spacing w:after="0"/>
        <w:jc w:val="both"/>
        <w:rPr>
          <w:rFonts w:ascii="Times New Roman" w:eastAsia="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En el gráfico, por TGCC se entiende el ciclo combinado para el gas natural.</w:t>
      </w:r>
    </w:p>
  </w:footnote>
  <w:footnote w:id="31">
    <w:p w14:paraId="168D7928" w14:textId="77777777" w:rsidR="00C075ED" w:rsidRPr="0088790D" w:rsidRDefault="00C075ED" w:rsidP="00EB3E8B">
      <w:pPr>
        <w:spacing w:after="0"/>
        <w:ind w:left="284" w:hanging="284"/>
        <w:jc w:val="both"/>
        <w:rPr>
          <w:rFonts w:ascii="Times New Roman" w:hAnsi="Times New Roman" w:cs="Times New Roman"/>
          <w:sz w:val="18"/>
          <w:szCs w:val="18"/>
        </w:rPr>
      </w:pPr>
      <w:r>
        <w:rPr>
          <w:rStyle w:val="FootnoteReference"/>
          <w:rFonts w:ascii="Times New Roman" w:eastAsia="Calibri"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Gasparella, A., Koolen, D. y Zucker, A., </w:t>
      </w:r>
      <w:r>
        <w:rPr>
          <w:rFonts w:ascii="Times New Roman" w:hAnsi="Times New Roman"/>
          <w:i/>
          <w:sz w:val="18"/>
        </w:rPr>
        <w:t>The Merit Order and Price Setting Dynamics in European Electricity Markets</w:t>
      </w:r>
      <w:r>
        <w:rPr>
          <w:rFonts w:ascii="Times New Roman" w:hAnsi="Times New Roman"/>
          <w:sz w:val="18"/>
        </w:rPr>
        <w:t xml:space="preserve"> [«La orden de mérito y la dinámica de fijación de precios en los mercados europeos de la electricidad», documento en inglés], Oficina de Publicaciones de la Unión Europea, 2023, JRC134300.</w:t>
      </w:r>
    </w:p>
    <w:p w14:paraId="4F729C68" w14:textId="60EE74E4"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sz w:val="18"/>
        </w:rPr>
        <w:t xml:space="preserve">      Cálculo basado en los costes anualizados para el año 2022. Capex y Opex sobre la base del escenario PRIMES 2022, anualizados por vidas técnicas y el coste medio ponderado del capital. Los costes anualizados se normalizan utilizando factores de capacidad derivados del modelo METIS. Los costes variables se basan en los precios de las materias primas de 2022, la variable OPEX y el resultado en la simulación del METIS.</w:t>
      </w:r>
    </w:p>
  </w:footnote>
  <w:footnote w:id="32">
    <w:p w14:paraId="6C75AA3C" w14:textId="4B0D6100"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r>
        <w:rPr>
          <w:rStyle w:val="tab"/>
          <w:rFonts w:ascii="Times New Roman" w:hAnsi="Times New Roman"/>
          <w:color w:val="000000"/>
          <w:sz w:val="18"/>
          <w:bdr w:val="none" w:sz="0" w:space="0" w:color="auto" w:frame="1"/>
          <w:shd w:val="clear" w:color="auto" w:fill="FFFFFF"/>
        </w:rPr>
        <w:t>Agencia Internacional de la Energía (</w:t>
      </w:r>
      <w:r>
        <w:rPr>
          <w:rFonts w:ascii="Times New Roman" w:hAnsi="Times New Roman"/>
          <w:color w:val="000000"/>
          <w:sz w:val="18"/>
          <w:shd w:val="clear" w:color="auto" w:fill="FFFFFF"/>
        </w:rPr>
        <w:t xml:space="preserve">AIE), </w:t>
      </w:r>
      <w:r>
        <w:rPr>
          <w:rFonts w:ascii="Times New Roman" w:hAnsi="Times New Roman"/>
          <w:i/>
          <w:color w:val="000000"/>
          <w:sz w:val="18"/>
          <w:shd w:val="clear" w:color="auto" w:fill="FFFFFF"/>
        </w:rPr>
        <w:t>Energy Technology Perspectives</w:t>
      </w:r>
      <w:r>
        <w:rPr>
          <w:rFonts w:ascii="Times New Roman" w:hAnsi="Times New Roman"/>
          <w:color w:val="000000"/>
          <w:sz w:val="18"/>
          <w:shd w:val="clear" w:color="auto" w:fill="FFFFFF"/>
        </w:rPr>
        <w:t xml:space="preserve"> [«Perspectivas de la tecnología energética», documento en inglés], 2023.</w:t>
      </w:r>
    </w:p>
  </w:footnote>
  <w:footnote w:id="33">
    <w:p w14:paraId="4835B7D1" w14:textId="17107E39"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El terbio forma parte de los elementos de tierras raras que son materiales fundamentales para los imanes de los aerogeneradores. El galio se utiliza en algunos paneles fotovoltaicos, así como en la electrónica, las redes de datos, la robótica y los satélites. El litio es crucial para la producción de baterías.</w:t>
      </w:r>
    </w:p>
  </w:footnote>
  <w:footnote w:id="34">
    <w:p w14:paraId="7802E95B" w14:textId="7AE5331D"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Carrara, S., </w:t>
      </w:r>
      <w:r>
        <w:rPr>
          <w:rFonts w:ascii="Times New Roman" w:hAnsi="Times New Roman"/>
          <w:i/>
          <w:sz w:val="18"/>
        </w:rPr>
        <w:t>et al</w:t>
      </w:r>
      <w:r>
        <w:rPr>
          <w:rFonts w:ascii="Times New Roman" w:hAnsi="Times New Roman"/>
          <w:sz w:val="18"/>
        </w:rPr>
        <w:t xml:space="preserve">., </w:t>
      </w:r>
      <w:r>
        <w:rPr>
          <w:rFonts w:ascii="Times New Roman" w:hAnsi="Times New Roman"/>
          <w:i/>
          <w:sz w:val="18"/>
        </w:rPr>
        <w:t>Supply chain analysis and material demand forecast in strategic technologies and sectors in the EU – A foresight study</w:t>
      </w:r>
      <w:r>
        <w:rPr>
          <w:rFonts w:ascii="Times New Roman" w:hAnsi="Times New Roman"/>
          <w:sz w:val="18"/>
        </w:rPr>
        <w:t xml:space="preserve"> [«Análisis de la cadena de suministro y previsión de la demanda material en tecnologías y sectores estratégicos en la UE - Estudio prospectivo», documento en inglés], Oficina de Publicaciones de la Unión Europea, Luxemburgo, 2023, doi:10.2760/386650, JRC132889.</w:t>
      </w:r>
    </w:p>
  </w:footnote>
  <w:footnote w:id="35">
    <w:p w14:paraId="22BF33F5" w14:textId="6859F2E2" w:rsidR="00C075ED" w:rsidRPr="00F226FC" w:rsidRDefault="00C075ED" w:rsidP="00250839">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hyperlink r:id="rId9" w:history="1">
        <w:r>
          <w:rPr>
            <w:rStyle w:val="Hyperlink"/>
            <w:rFonts w:ascii="Times New Roman" w:hAnsi="Times New Roman"/>
            <w:sz w:val="18"/>
          </w:rPr>
          <w:t>RMIS - Sistema de Información de Materias Primas (europa.eu)</w:t>
        </w:r>
      </w:hyperlink>
      <w:r>
        <w:rPr>
          <w:rFonts w:ascii="Times New Roman" w:hAnsi="Times New Roman"/>
          <w:sz w:val="18"/>
        </w:rPr>
        <w:t>, 2023.</w:t>
      </w:r>
    </w:p>
  </w:footnote>
  <w:footnote w:id="36">
    <w:p w14:paraId="1C390710" w14:textId="7601F848"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16" w:name="_Hlk145927559"/>
      <w:r>
        <w:rPr>
          <w:rFonts w:ascii="Times New Roman" w:hAnsi="Times New Roman"/>
          <w:sz w:val="18"/>
        </w:rPr>
        <w:t xml:space="preserve"> </w:t>
      </w:r>
      <w:r>
        <w:rPr>
          <w:rFonts w:ascii="Times New Roman" w:hAnsi="Times New Roman"/>
          <w:sz w:val="18"/>
        </w:rPr>
        <w:tab/>
        <w:t>Comisión Europea, Dirección General de Mercado Interior, Industria, Emprendimiento y Pymes, Grohol, M., Veeh, C.,</w:t>
      </w:r>
      <w:r>
        <w:rPr>
          <w:rFonts w:ascii="Times New Roman" w:hAnsi="Times New Roman"/>
          <w:i/>
          <w:sz w:val="18"/>
        </w:rPr>
        <w:t xml:space="preserve"> Study on the critical raw materials for the EU 2023 – Final report </w:t>
      </w:r>
      <w:r>
        <w:rPr>
          <w:rFonts w:ascii="Times New Roman" w:hAnsi="Times New Roman"/>
          <w:sz w:val="18"/>
        </w:rPr>
        <w:t xml:space="preserve">[«Estudio sobre las materias primas fundamentales para la UE 2023 - Informe final», documento en inglés], Oficina de Publicaciones de la Unión Europea, 2023, </w:t>
      </w:r>
      <w:hyperlink r:id="rId10" w:tgtFrame="_blank" w:history="1">
        <w:r>
          <w:rPr>
            <w:rStyle w:val="Hyperlink"/>
            <w:rFonts w:ascii="Times New Roman" w:hAnsi="Times New Roman"/>
            <w:color w:val="3366CC"/>
            <w:sz w:val="18"/>
            <w:shd w:val="clear" w:color="auto" w:fill="FFFFFF"/>
          </w:rPr>
          <w:t>https://data.europa.eu/doi/10.2873/725585</w:t>
        </w:r>
      </w:hyperlink>
      <w:r>
        <w:rPr>
          <w:rFonts w:ascii="Times New Roman" w:hAnsi="Times New Roman"/>
          <w:sz w:val="18"/>
        </w:rPr>
        <w:t>.</w:t>
      </w:r>
      <w:bookmarkEnd w:id="16"/>
    </w:p>
  </w:footnote>
  <w:footnote w:id="37">
    <w:p w14:paraId="52D0A81C" w14:textId="5FEEA681"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BloombergNEF, </w:t>
      </w:r>
      <w:r>
        <w:rPr>
          <w:rFonts w:ascii="Times New Roman" w:hAnsi="Times New Roman"/>
          <w:i/>
          <w:sz w:val="18"/>
        </w:rPr>
        <w:t>Localizing clean energy supply chains comes at a cost</w:t>
      </w:r>
      <w:r>
        <w:rPr>
          <w:rFonts w:ascii="Times New Roman" w:hAnsi="Times New Roman"/>
          <w:sz w:val="18"/>
        </w:rPr>
        <w:t>, [«Localizar las cadenas de suministro de energía limpia tiene un coste», documento en inglés], 2022.</w:t>
      </w:r>
    </w:p>
  </w:footnote>
  <w:footnote w:id="38">
    <w:p w14:paraId="78472B88" w14:textId="370740CC"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Carrara, S., </w:t>
      </w:r>
      <w:r>
        <w:rPr>
          <w:rFonts w:ascii="Times New Roman" w:hAnsi="Times New Roman"/>
          <w:i/>
          <w:sz w:val="18"/>
        </w:rPr>
        <w:t>et al</w:t>
      </w:r>
      <w:r>
        <w:rPr>
          <w:rFonts w:ascii="Times New Roman" w:hAnsi="Times New Roman"/>
          <w:sz w:val="18"/>
        </w:rPr>
        <w:t xml:space="preserve">., </w:t>
      </w:r>
      <w:r>
        <w:rPr>
          <w:rFonts w:ascii="Times New Roman" w:hAnsi="Times New Roman"/>
          <w:i/>
          <w:sz w:val="18"/>
        </w:rPr>
        <w:t xml:space="preserve">Supply chain analysis and material demand forecast in strategic technologies and sectors in the EU – A foresight study </w:t>
      </w:r>
      <w:r>
        <w:rPr>
          <w:rFonts w:ascii="Times New Roman" w:hAnsi="Times New Roman"/>
          <w:sz w:val="18"/>
        </w:rPr>
        <w:t>[«Análisis de la cadena de suministro y previsión de la demanda material en tecnologías y sectores estratégicos en la UE - Estudio prospectivo», documento en inglés], Oficina de Publicaciones de la Unión Europea, Luxemburgo, 2023, doi:10.2760/386650, JRC132889.</w:t>
      </w:r>
    </w:p>
  </w:footnote>
  <w:footnote w:id="39">
    <w:p w14:paraId="53327E9A" w14:textId="2C4D9027"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Las estimaciones indican que, en 2022, las instalaciones terrestres fuera de la UE y China correspondieron en un 51 % a empresas de la UE, en un 34 % a los Estados Unidos y en un 9 % a China. En el caso de las instalaciones marinas, el 94 % correspondió a empresas de la UE y el 6 % a empresas chinas. </w:t>
      </w:r>
      <w:r>
        <w:rPr>
          <w:rFonts w:ascii="Times New Roman" w:hAnsi="Times New Roman"/>
          <w:i/>
          <w:iCs/>
          <w:sz w:val="18"/>
        </w:rPr>
        <w:t>Fuente:</w:t>
      </w:r>
      <w:r>
        <w:rPr>
          <w:rFonts w:ascii="Times New Roman" w:hAnsi="Times New Roman"/>
          <w:sz w:val="18"/>
        </w:rPr>
        <w:t xml:space="preserve"> JRC basado en Wood Mackenzie y 4C Offshore. </w:t>
      </w:r>
    </w:p>
  </w:footnote>
  <w:footnote w:id="40">
    <w:p w14:paraId="65274D15" w14:textId="2496CF5C" w:rsidR="00C075ED" w:rsidRPr="00F02071" w:rsidRDefault="00C075ED" w:rsidP="00EB3E8B">
      <w:pPr>
        <w:pStyle w:val="FootnoteText"/>
        <w:ind w:left="284" w:hanging="284"/>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Tapoglou, E., Tattini, J., Schmitz, A., Georgakaki, A., Długosz, M., Letout, S., Kuokkanen, A., Mountraki, A., Ince, E., Shtjefni, D., Joanny Ordonez, G., Eulaerts, O.D. y Grabowska, M., Clean Energy Technology Observatory: </w:t>
      </w:r>
      <w:r>
        <w:rPr>
          <w:rFonts w:ascii="Times New Roman" w:hAnsi="Times New Roman"/>
          <w:i/>
          <w:iCs/>
          <w:sz w:val="18"/>
        </w:rPr>
        <w:t>Wind energy in the European Union - 2023 Status Report on Technology Development Trends, Value Chains and Markets</w:t>
      </w:r>
      <w:r>
        <w:rPr>
          <w:rFonts w:ascii="Times New Roman" w:hAnsi="Times New Roman"/>
          <w:sz w:val="18"/>
        </w:rPr>
        <w:t xml:space="preserve"> [«Observatorio de las Tecnologías Energéticas Limpias: la energía eólica en la Unión Europea. Informe de situación de 2023 sobre desarrollo tecnológico, tendencias, cadenas de valor y mercados», documento en inglés], Oficina de Publicaciones de la Unión Europea, Luxemburgo, 2023, doi:10.2760/618644 (en línea), JRC135020. </w:t>
      </w:r>
    </w:p>
  </w:footnote>
  <w:footnote w:id="41">
    <w:p w14:paraId="622D4566" w14:textId="42FC029F" w:rsidR="00C075ED" w:rsidRPr="00F226FC" w:rsidRDefault="00C075ED" w:rsidP="00EB3E8B">
      <w:pPr>
        <w:pStyle w:val="FootnoteText"/>
        <w:tabs>
          <w:tab w:val="left" w:pos="720"/>
          <w:tab w:val="left" w:pos="1440"/>
          <w:tab w:val="left" w:pos="3027"/>
        </w:tabs>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r>
        <w:rPr>
          <w:rFonts w:ascii="Times New Roman" w:hAnsi="Times New Roman"/>
          <w:sz w:val="18"/>
          <w:shd w:val="clear" w:color="auto" w:fill="FFFFFF"/>
        </w:rPr>
        <w:t>COM(2021) 350 final.</w:t>
      </w:r>
      <w:r>
        <w:rPr>
          <w:rFonts w:ascii="Times New Roman" w:hAnsi="Times New Roman"/>
          <w:sz w:val="18"/>
          <w:shd w:val="clear" w:color="auto" w:fill="FFFFFF"/>
        </w:rPr>
        <w:tab/>
      </w:r>
    </w:p>
  </w:footnote>
  <w:footnote w:id="42">
    <w:p w14:paraId="7DCC3B62" w14:textId="7C6C4010" w:rsidR="00C075ED" w:rsidRPr="00F226FC" w:rsidRDefault="00C075ED" w:rsidP="00EB3E8B">
      <w:pPr>
        <w:pStyle w:val="pf0"/>
        <w:spacing w:before="0" w:beforeAutospacing="0" w:after="0" w:afterAutospacing="0"/>
        <w:ind w:left="284" w:hanging="284"/>
        <w:jc w:val="both"/>
        <w:rPr>
          <w:sz w:val="18"/>
          <w:szCs w:val="18"/>
        </w:rPr>
      </w:pPr>
      <w:r>
        <w:rPr>
          <w:rStyle w:val="FootnoteReference"/>
          <w:sz w:val="18"/>
          <w:szCs w:val="18"/>
        </w:rPr>
        <w:footnoteRef/>
      </w:r>
      <w:r>
        <w:rPr>
          <w:sz w:val="18"/>
        </w:rPr>
        <w:t xml:space="preserve"> </w:t>
      </w:r>
      <w:r>
        <w:rPr>
          <w:sz w:val="18"/>
        </w:rPr>
        <w:tab/>
        <w:t xml:space="preserve">Agencia Empresarial de los Países Bajos, </w:t>
      </w:r>
      <w:r>
        <w:rPr>
          <w:i/>
          <w:sz w:val="18"/>
        </w:rPr>
        <w:t xml:space="preserve">Research on the Next Generation Semiconductor Industry in Taiwan </w:t>
      </w:r>
      <w:r>
        <w:rPr>
          <w:sz w:val="18"/>
        </w:rPr>
        <w:t>[«Investigación sobre la industria de semiconductores de próxima generación en Taiwán», documento en inglés], 2022.</w:t>
      </w:r>
    </w:p>
  </w:footnote>
  <w:footnote w:id="43">
    <w:p w14:paraId="1F0F1CEF" w14:textId="2CA45161" w:rsidR="00C075ED" w:rsidRPr="00F226FC" w:rsidRDefault="00C075ED" w:rsidP="00EB3E8B">
      <w:pPr>
        <w:pStyle w:val="pf0"/>
        <w:spacing w:before="0" w:beforeAutospacing="0" w:after="0" w:afterAutospacing="0"/>
        <w:ind w:left="284" w:hanging="284"/>
        <w:jc w:val="both"/>
        <w:rPr>
          <w:sz w:val="18"/>
          <w:szCs w:val="18"/>
        </w:rPr>
      </w:pPr>
      <w:r>
        <w:rPr>
          <w:rStyle w:val="FootnoteReference"/>
          <w:sz w:val="18"/>
          <w:szCs w:val="18"/>
        </w:rPr>
        <w:footnoteRef/>
      </w:r>
      <w:r>
        <w:rPr>
          <w:sz w:val="18"/>
        </w:rPr>
        <w:t xml:space="preserve"> </w:t>
      </w:r>
      <w:r>
        <w:rPr>
          <w:sz w:val="18"/>
        </w:rPr>
        <w:tab/>
        <w:t xml:space="preserve">Comisión Europea, Dirección General de Energía, Guevara Opinska, L., Gérard, F., Hoogland, O. </w:t>
      </w:r>
      <w:r>
        <w:rPr>
          <w:i/>
          <w:sz w:val="18"/>
        </w:rPr>
        <w:t>et al</w:t>
      </w:r>
      <w:r>
        <w:rPr>
          <w:sz w:val="18"/>
        </w:rPr>
        <w:t xml:space="preserve">., </w:t>
      </w:r>
      <w:r>
        <w:rPr>
          <w:i/>
          <w:sz w:val="18"/>
        </w:rPr>
        <w:t>Study on the resilience of critical supply chains for energy security and clean energy transition during and after the COVID-19 crisis – Final report</w:t>
      </w:r>
      <w:r>
        <w:rPr>
          <w:sz w:val="18"/>
        </w:rPr>
        <w:t xml:space="preserve"> [«Estudio sobre la resistencia de las cadenas de suministro críticas para la seguridad energética y la transición hacia una energía limpia durante y después de la crisis de la COVID-19 - Informe final», documento en inglés], Oficina de Publicaciones de la Unión Europea, 2021, </w:t>
      </w:r>
      <w:hyperlink r:id="rId11" w:tgtFrame="_blank" w:history="1">
        <w:r>
          <w:rPr>
            <w:rStyle w:val="Hyperlink"/>
            <w:color w:val="3366CC"/>
            <w:sz w:val="18"/>
            <w:u w:val="none"/>
            <w:shd w:val="clear" w:color="auto" w:fill="FFFFFF"/>
          </w:rPr>
          <w:t>https://data.europa.eu/doi/10.2833/946002</w:t>
        </w:r>
      </w:hyperlink>
      <w:r>
        <w:rPr>
          <w:sz w:val="18"/>
        </w:rPr>
        <w:t>.</w:t>
      </w:r>
    </w:p>
  </w:footnote>
  <w:footnote w:id="44">
    <w:p w14:paraId="3CC0D998" w14:textId="47552BED"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Para más información: iniciativa «Materiales avanzados para el liderazgo industrial» anunciada durante el discurso sobre el estado de la Unión de 2023.</w:t>
      </w:r>
    </w:p>
  </w:footnote>
  <w:footnote w:id="45">
    <w:p w14:paraId="42E25D5B" w14:textId="6C369D6C"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La Casa Blanca, </w:t>
      </w:r>
      <w:hyperlink r:id="rId12" w:history="1">
        <w:r>
          <w:rPr>
            <w:rStyle w:val="Hyperlink"/>
            <w:rFonts w:ascii="Times New Roman" w:hAnsi="Times New Roman"/>
            <w:i/>
            <w:sz w:val="18"/>
          </w:rPr>
          <w:t>Inflation Reduction Act Guidebook | Clean Energy</w:t>
        </w:r>
      </w:hyperlink>
      <w:r>
        <w:rPr>
          <w:rFonts w:ascii="Times New Roman" w:hAnsi="Times New Roman"/>
          <w:sz w:val="18"/>
        </w:rPr>
        <w:t xml:space="preserve"> [«Guía de la Ley de Reducción de la Inflación | energía limpia», documento en inglés], 2022.</w:t>
      </w:r>
    </w:p>
  </w:footnote>
  <w:footnote w:id="46">
    <w:p w14:paraId="0D64D095" w14:textId="2164F268" w:rsidR="00C075ED" w:rsidRPr="004B0938" w:rsidRDefault="00C075ED" w:rsidP="00EB3E8B">
      <w:pPr>
        <w:pStyle w:val="FootnoteText"/>
        <w:ind w:left="284" w:hanging="284"/>
        <w:jc w:val="both"/>
      </w:pPr>
      <w:r>
        <w:rPr>
          <w:rStyle w:val="FootnoteReference"/>
        </w:rPr>
        <w:footnoteRef/>
      </w:r>
      <w:r>
        <w:t xml:space="preserve"> </w:t>
      </w:r>
      <w:r>
        <w:tab/>
      </w:r>
      <w:r>
        <w:rPr>
          <w:rFonts w:ascii="Times New Roman" w:hAnsi="Times New Roman"/>
          <w:sz w:val="18"/>
        </w:rPr>
        <w:t xml:space="preserve">Sobre la base de un tipo de cambio medio de 0,9497 EUR por 1 USD durante el año 2022. Véase: </w:t>
      </w:r>
      <w:hyperlink r:id="rId13" w:history="1">
        <w:r>
          <w:rPr>
            <w:rStyle w:val="Hyperlink"/>
            <w:rFonts w:ascii="Times New Roman" w:hAnsi="Times New Roman"/>
            <w:sz w:val="18"/>
          </w:rPr>
          <w:t>https://www.ecb.europa.eu/stats/policy_and_exchange_rates/euro_reference_exchange_rates/html/eurofxref-graph-usd.en.html</w:t>
        </w:r>
      </w:hyperlink>
      <w:r>
        <w:t xml:space="preserve"> </w:t>
      </w:r>
      <w:r>
        <w:rPr>
          <w:rFonts w:ascii="Times New Roman" w:hAnsi="Times New Roman"/>
          <w:sz w:val="18"/>
        </w:rPr>
        <w:t>(disponible en inglés).</w:t>
      </w:r>
    </w:p>
  </w:footnote>
  <w:footnote w:id="47">
    <w:p w14:paraId="128C5444" w14:textId="38175691" w:rsidR="00C075ED" w:rsidRPr="004B0938" w:rsidRDefault="00C075ED" w:rsidP="00EB3E8B">
      <w:pPr>
        <w:pStyle w:val="FootnoteText"/>
        <w:ind w:left="284" w:hanging="284"/>
        <w:jc w:val="both"/>
      </w:pPr>
      <w:r>
        <w:rPr>
          <w:rStyle w:val="FootnoteReference"/>
        </w:rPr>
        <w:footnoteRef/>
      </w:r>
      <w:r>
        <w:t xml:space="preserve"> </w:t>
      </w:r>
      <w:r>
        <w:tab/>
      </w:r>
      <w:r>
        <w:rPr>
          <w:rFonts w:ascii="Times New Roman" w:hAnsi="Times New Roman"/>
          <w:sz w:val="18"/>
        </w:rPr>
        <w:t xml:space="preserve">Sobre la base de un tipo de cambio medio de 0,8455 EUR por 1 USD durante el año 2021. Véase: </w:t>
      </w:r>
      <w:hyperlink r:id="rId14" w:history="1">
        <w:r>
          <w:rPr>
            <w:rStyle w:val="Hyperlink"/>
            <w:rFonts w:ascii="Times New Roman" w:hAnsi="Times New Roman"/>
            <w:sz w:val="18"/>
          </w:rPr>
          <w:t>https://www.ecb.europa.eu/stats/policy_and_exchange_rates/euro_reference_exchange_rates/html/eurofxref-graph-usd.en.html</w:t>
        </w:r>
      </w:hyperlink>
      <w:r>
        <w:t xml:space="preserve"> </w:t>
      </w:r>
      <w:r>
        <w:rPr>
          <w:rFonts w:ascii="Times New Roman" w:hAnsi="Times New Roman"/>
          <w:sz w:val="18"/>
        </w:rPr>
        <w:t>(disponible en inglés).</w:t>
      </w:r>
    </w:p>
  </w:footnote>
  <w:footnote w:id="48">
    <w:p w14:paraId="01244FB8" w14:textId="19DFBB04"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Instituto de Política de Desarrollo y Seguridad, </w:t>
      </w:r>
      <w:hyperlink r:id="rId15" w:history="1">
        <w:r>
          <w:rPr>
            <w:rStyle w:val="Hyperlink"/>
            <w:rFonts w:ascii="Times New Roman" w:hAnsi="Times New Roman"/>
            <w:i/>
            <w:sz w:val="18"/>
          </w:rPr>
          <w:t>Made in China 2025</w:t>
        </w:r>
      </w:hyperlink>
      <w:r>
        <w:rPr>
          <w:rFonts w:ascii="Times New Roman" w:hAnsi="Times New Roman"/>
          <w:sz w:val="18"/>
        </w:rPr>
        <w:t xml:space="preserve"> [«Hecho en China 2025», documento en inglés], junio de 2018.</w:t>
      </w:r>
    </w:p>
  </w:footnote>
  <w:footnote w:id="49">
    <w:p w14:paraId="6912E948" w14:textId="62259A5E"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ab/>
      </w:r>
      <w:hyperlink r:id="rId16" w:history="1">
        <w:r>
          <w:rPr>
            <w:rStyle w:val="Hyperlink"/>
            <w:rFonts w:ascii="Times New Roman" w:hAnsi="Times New Roman"/>
            <w:sz w:val="18"/>
          </w:rPr>
          <w:t>The Japanese Cabinet confirms the Basic Plan for the GX:</w:t>
        </w:r>
      </w:hyperlink>
      <w:hyperlink r:id="rId17" w:history="1">
        <w:r>
          <w:rPr>
            <w:rStyle w:val="Hyperlink"/>
            <w:rFonts w:ascii="Times New Roman" w:hAnsi="Times New Roman"/>
            <w:sz w:val="18"/>
          </w:rPr>
          <w:t xml:space="preserve"> Green Transformation Policy</w:t>
        </w:r>
      </w:hyperlink>
      <w:r>
        <w:rPr>
          <w:rFonts w:ascii="Times New Roman" w:hAnsi="Times New Roman"/>
          <w:sz w:val="18"/>
        </w:rPr>
        <w:t>, [«El Gabinete japonés confirma el Plan Básico para la GX: política de transformación ecológica», documento en inglés], marzo de 2023.</w:t>
      </w:r>
    </w:p>
  </w:footnote>
  <w:footnote w:id="50">
    <w:p w14:paraId="356A8339" w14:textId="3A15BA67" w:rsidR="00C075ED" w:rsidRPr="0001286E" w:rsidRDefault="00C075ED" w:rsidP="00EB3E8B">
      <w:pPr>
        <w:pStyle w:val="FootnoteText"/>
        <w:ind w:left="284" w:hanging="284"/>
        <w:jc w:val="both"/>
      </w:pPr>
      <w:r>
        <w:rPr>
          <w:rStyle w:val="FootnoteReference"/>
        </w:rPr>
        <w:footnoteRef/>
      </w:r>
      <w:r>
        <w:rPr>
          <w:rFonts w:ascii="Times New Roman" w:hAnsi="Times New Roman"/>
          <w:sz w:val="18"/>
        </w:rPr>
        <w:t xml:space="preserve"> Sobre la base de un tipo de cambio medio de 0,006341 EUR por 1 JPY para el 2 de enero de 2023. Véase: </w:t>
      </w:r>
      <w:hyperlink r:id="rId18" w:history="1">
        <w:r>
          <w:rPr>
            <w:rStyle w:val="Hyperlink"/>
            <w:rFonts w:ascii="Times New Roman" w:hAnsi="Times New Roman"/>
            <w:sz w:val="18"/>
          </w:rPr>
          <w:t>https://www.ecb.europa.eu/stats/policy_and_exchange_rates/euro_reference_exchange_rates/html/eurofxref-graph-jpy.en.html (disponible en inglés)</w:t>
        </w:r>
      </w:hyperlink>
      <w:r>
        <w:t>.</w:t>
      </w:r>
      <w:r>
        <w:rPr>
          <w:rFonts w:ascii="Times New Roman" w:hAnsi="Times New Roman"/>
          <w:sz w:val="18"/>
        </w:rPr>
        <w:t xml:space="preserve"> </w:t>
      </w:r>
    </w:p>
  </w:footnote>
  <w:footnote w:id="51">
    <w:p w14:paraId="4B792978" w14:textId="3004803B" w:rsidR="00C075ED" w:rsidRPr="004B0938" w:rsidRDefault="00C075ED" w:rsidP="00EB3E8B">
      <w:pPr>
        <w:pStyle w:val="FootnoteText"/>
        <w:ind w:left="284" w:hanging="284"/>
        <w:jc w:val="both"/>
      </w:pPr>
      <w:r>
        <w:rPr>
          <w:rStyle w:val="FootnoteReference"/>
        </w:rPr>
        <w:footnoteRef/>
      </w:r>
      <w:r>
        <w:t xml:space="preserve">   </w:t>
      </w:r>
      <w:r>
        <w:rPr>
          <w:rFonts w:ascii="Times New Roman" w:hAnsi="Times New Roman"/>
          <w:sz w:val="18"/>
        </w:rPr>
        <w:t xml:space="preserve">Bloomberg, </w:t>
      </w:r>
      <w:hyperlink r:id="rId19" w:history="1">
        <w:r>
          <w:rPr>
            <w:rStyle w:val="Hyperlink"/>
            <w:rFonts w:ascii="Times New Roman" w:hAnsi="Times New Roman"/>
            <w:i/>
            <w:color w:val="auto"/>
            <w:sz w:val="18"/>
          </w:rPr>
          <w:t>India plans $4.3 billion spending for energy transition</w:t>
        </w:r>
      </w:hyperlink>
      <w:r>
        <w:rPr>
          <w:rFonts w:ascii="Times New Roman" w:hAnsi="Times New Roman"/>
          <w:sz w:val="18"/>
        </w:rPr>
        <w:t xml:space="preserve"> [«India destina 4 300 millones USD a la transición energética», documento en inglés], 1 de febrero de 2023.</w:t>
      </w:r>
      <w:r>
        <w:rPr>
          <w:rFonts w:ascii="Times New Roman" w:hAnsi="Times New Roman"/>
          <w:sz w:val="18"/>
          <w:shd w:val="clear" w:color="auto" w:fill="E6E6E6"/>
        </w:rPr>
        <w:t xml:space="preserve"> </w:t>
      </w:r>
    </w:p>
  </w:footnote>
  <w:footnote w:id="52">
    <w:p w14:paraId="14B719FC" w14:textId="12F8E020" w:rsidR="00C075ED" w:rsidRPr="00960F8C" w:rsidRDefault="00C075ED" w:rsidP="00EB3E8B">
      <w:pPr>
        <w:pStyle w:val="FootnoteText"/>
        <w:ind w:left="284" w:hanging="284"/>
        <w:jc w:val="both"/>
      </w:pPr>
      <w:r>
        <w:rPr>
          <w:rStyle w:val="FootnoteReference"/>
        </w:rPr>
        <w:footnoteRef/>
      </w:r>
      <w:r>
        <w:t xml:space="preserve"> </w:t>
      </w:r>
      <w:r>
        <w:rPr>
          <w:rFonts w:ascii="Times New Roman" w:hAnsi="Times New Roman"/>
          <w:sz w:val="18"/>
        </w:rPr>
        <w:t xml:space="preserve">Sobre la base de un tipo de cambio medio de 0,011351 EUR por 1 INR para el 2 de enero de 2023. Véase: </w:t>
      </w:r>
      <w:hyperlink r:id="rId20" w:history="1">
        <w:r>
          <w:rPr>
            <w:rStyle w:val="Hyperlink"/>
            <w:rFonts w:ascii="Times New Roman" w:hAnsi="Times New Roman"/>
            <w:sz w:val="18"/>
          </w:rPr>
          <w:t>https://www.ecb.europa.eu/stats/policy_and_exchange_rates/euro_reference_exchange_rates/html/eurofxref-graph-inr.en.html</w:t>
        </w:r>
      </w:hyperlink>
      <w:r>
        <w:rPr>
          <w:rFonts w:ascii="Times New Roman" w:hAnsi="Times New Roman"/>
          <w:sz w:val="18"/>
        </w:rPr>
        <w:t>(disponible en inglés).</w:t>
      </w:r>
      <w:r>
        <w:rPr>
          <w:rStyle w:val="Hyperlink"/>
          <w:rFonts w:ascii="Times New Roman" w:hAnsi="Times New Roman"/>
          <w:sz w:val="18"/>
        </w:rPr>
        <w:t xml:space="preserve"> </w:t>
      </w:r>
    </w:p>
  </w:footnote>
  <w:footnote w:id="53">
    <w:p w14:paraId="1C25B9E7" w14:textId="6E6E558F"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46 final.</w:t>
      </w:r>
    </w:p>
  </w:footnote>
  <w:footnote w:id="54">
    <w:p w14:paraId="4BEE4C0F" w14:textId="082BBFAA"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DO C 101 de 17.3.2023, p. 3.</w:t>
      </w:r>
    </w:p>
  </w:footnote>
  <w:footnote w:id="55">
    <w:p w14:paraId="54B55819" w14:textId="1164993A" w:rsidR="00C075ED" w:rsidRPr="00F226FC"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DO L 167 de 30.6.2023, p. 1.</w:t>
      </w:r>
    </w:p>
  </w:footnote>
  <w:footnote w:id="56">
    <w:p w14:paraId="6A70B3F5" w14:textId="3B0C1ED9"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21" w:history="1">
        <w:r>
          <w:rPr>
            <w:rStyle w:val="Hyperlink"/>
            <w:rFonts w:ascii="Times New Roman" w:hAnsi="Times New Roman"/>
            <w:sz w:val="18"/>
          </w:rPr>
          <w:t>Proyecto de Apoyo Técnico</w:t>
        </w:r>
      </w:hyperlink>
      <w:r>
        <w:rPr>
          <w:rFonts w:ascii="Times New Roman" w:hAnsi="Times New Roman"/>
          <w:sz w:val="18"/>
        </w:rPr>
        <w:t xml:space="preserve"> (europa.eu) (disponible en inglés), 2023.</w:t>
      </w:r>
    </w:p>
  </w:footnote>
  <w:footnote w:id="57">
    <w:p w14:paraId="1DD91B13" w14:textId="589DFEE8"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22" w:history="1">
        <w:r>
          <w:rPr>
            <w:rStyle w:val="Hyperlink"/>
            <w:rFonts w:ascii="Times New Roman" w:hAnsi="Times New Roman"/>
            <w:sz w:val="18"/>
          </w:rPr>
          <w:t>Plataforma de Tecnologías Estratégicas para Europa</w:t>
        </w:r>
      </w:hyperlink>
      <w:r>
        <w:rPr>
          <w:rStyle w:val="Hyperlink"/>
          <w:rFonts w:ascii="Times New Roman" w:hAnsi="Times New Roman"/>
          <w:sz w:val="18"/>
        </w:rPr>
        <w:t xml:space="preserve"> </w:t>
      </w:r>
      <w:r>
        <w:rPr>
          <w:rStyle w:val="Hyperlink"/>
          <w:rFonts w:ascii="Times New Roman" w:hAnsi="Times New Roman"/>
          <w:color w:val="auto"/>
          <w:sz w:val="18"/>
          <w:u w:val="none"/>
        </w:rPr>
        <w:t>(europa.eu)</w:t>
      </w:r>
      <w:r>
        <w:rPr>
          <w:rFonts w:ascii="Times New Roman" w:hAnsi="Times New Roman"/>
          <w:sz w:val="18"/>
        </w:rPr>
        <w:t xml:space="preserve"> (disponible en inglés), 2023.</w:t>
      </w:r>
    </w:p>
  </w:footnote>
  <w:footnote w:id="58">
    <w:p w14:paraId="5BC816ED" w14:textId="469D34FA"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23" w:history="1">
        <w:r>
          <w:rPr>
            <w:rStyle w:val="Hyperlink"/>
            <w:rFonts w:ascii="Times New Roman" w:hAnsi="Times New Roman"/>
            <w:sz w:val="18"/>
          </w:rPr>
          <w:t>Tercera convocatoria de proyectos a gran escala</w:t>
        </w:r>
      </w:hyperlink>
      <w:r>
        <w:rPr>
          <w:rFonts w:ascii="Times New Roman" w:hAnsi="Times New Roman"/>
          <w:sz w:val="18"/>
        </w:rPr>
        <w:t xml:space="preserve"> (europa.eu) (disponible en inglés), 2023.</w:t>
      </w:r>
    </w:p>
  </w:footnote>
  <w:footnote w:id="59">
    <w:p w14:paraId="1392C635" w14:textId="531C5E48" w:rsidR="00C075ED" w:rsidRPr="00DC0FAE" w:rsidRDefault="00C075ED" w:rsidP="00EB3E8B">
      <w:pPr>
        <w:pStyle w:val="FootnoteText"/>
        <w:ind w:left="284" w:hanging="284"/>
        <w:jc w:val="both"/>
        <w:rPr>
          <w:highlight w:val="yellow"/>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Sobre la base de la información recibida de las alianzas industriales y de las organizaciones de partes interesadas pertinentes.</w:t>
      </w:r>
    </w:p>
  </w:footnote>
  <w:footnote w:id="60">
    <w:p w14:paraId="4A86CE2A" w14:textId="594B29A1" w:rsidR="00C075ED" w:rsidRPr="006926D7" w:rsidRDefault="00C075ED" w:rsidP="00EB3E8B">
      <w:pPr>
        <w:pStyle w:val="FootnoteText"/>
        <w:ind w:left="284" w:hanging="284"/>
        <w:jc w:val="both"/>
        <w:rPr>
          <w:rFonts w:ascii="Times New Roman" w:eastAsia="Calibri"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EurObserv’ER, </w:t>
      </w:r>
      <w:hyperlink r:id="rId24" w:history="1">
        <w:r>
          <w:rPr>
            <w:rStyle w:val="Hyperlink"/>
            <w:rFonts w:ascii="Times New Roman" w:hAnsi="Times New Roman"/>
            <w:i/>
            <w:sz w:val="18"/>
          </w:rPr>
          <w:t>The state of the renewable energies in Europe – Edition 2022 21</w:t>
        </w:r>
        <w:r>
          <w:rPr>
            <w:rStyle w:val="Hyperlink"/>
            <w:rFonts w:ascii="Times New Roman" w:hAnsi="Times New Roman"/>
            <w:i/>
            <w:sz w:val="18"/>
            <w:vertAlign w:val="superscript"/>
          </w:rPr>
          <w:t>st</w:t>
        </w:r>
        <w:r>
          <w:rPr>
            <w:rStyle w:val="Hyperlink"/>
            <w:rFonts w:ascii="Times New Roman" w:hAnsi="Times New Roman"/>
            <w:i/>
            <w:sz w:val="18"/>
          </w:rPr>
          <w:t xml:space="preserve"> annual overview barometer EurObserv’ER Report</w:t>
        </w:r>
      </w:hyperlink>
      <w:r>
        <w:rPr>
          <w:rFonts w:ascii="Times New Roman" w:hAnsi="Times New Roman"/>
          <w:i/>
          <w:sz w:val="18"/>
        </w:rPr>
        <w:t xml:space="preserve"> </w:t>
      </w:r>
      <w:r>
        <w:rPr>
          <w:rFonts w:ascii="Times New Roman" w:hAnsi="Times New Roman"/>
          <w:sz w:val="18"/>
        </w:rPr>
        <w:t>[«El estado de las energías renovables en Europa - Edición 2022/21.º barómetro general anual Informe EurObserv'ER», documento en inglés], 2023</w:t>
      </w:r>
      <w:r>
        <w:rPr>
          <w:rFonts w:ascii="Times New Roman" w:hAnsi="Times New Roman"/>
          <w:i/>
          <w:sz w:val="18"/>
        </w:rPr>
        <w:t>.</w:t>
      </w:r>
    </w:p>
  </w:footnote>
  <w:footnote w:id="61">
    <w:p w14:paraId="1918F24B"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r>
        <w:rPr>
          <w:rStyle w:val="normaltextrun"/>
          <w:rFonts w:ascii="Times New Roman" w:hAnsi="Times New Roman"/>
          <w:sz w:val="18"/>
          <w:shd w:val="clear" w:color="auto" w:fill="FFFFFF"/>
        </w:rPr>
        <w:t>COM(2022) 643 final.</w:t>
      </w:r>
    </w:p>
  </w:footnote>
  <w:footnote w:id="62">
    <w:p w14:paraId="0FE0C5E0" w14:textId="24934F33" w:rsidR="00C075ED" w:rsidRPr="006926D7" w:rsidRDefault="00C075ED" w:rsidP="00EB3E8B">
      <w:pPr>
        <w:spacing w:after="0"/>
        <w:ind w:left="284" w:hanging="284"/>
        <w:jc w:val="both"/>
        <w:rPr>
          <w:rFonts w:ascii="Times New Roman" w:eastAsia="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bookmarkStart w:id="23" w:name="_Hlk147825081"/>
      <w:r>
        <w:rPr>
          <w:rFonts w:ascii="Times New Roman" w:hAnsi="Times New Roman"/>
          <w:sz w:val="18"/>
        </w:rPr>
        <w:t>Para más información:</w:t>
      </w:r>
      <w:r>
        <w:rPr>
          <w:rFonts w:ascii="Times New Roman" w:hAnsi="Times New Roman"/>
          <w:i/>
          <w:sz w:val="18"/>
        </w:rPr>
        <w:t xml:space="preserve"> </w:t>
      </w:r>
      <w:hyperlink r:id="rId25" w:history="1">
        <w:r>
          <w:rPr>
            <w:rStyle w:val="Hyperlink"/>
            <w:rFonts w:ascii="Times New Roman" w:hAnsi="Times New Roman"/>
            <w:i/>
            <w:sz w:val="18"/>
          </w:rPr>
          <w:t>Employment and Social Developments in Europe (ESDE) Report 2023</w:t>
        </w:r>
      </w:hyperlink>
      <w:r>
        <w:rPr>
          <w:rFonts w:ascii="Times New Roman" w:hAnsi="Times New Roman"/>
          <w:i/>
          <w:sz w:val="18"/>
        </w:rPr>
        <w:t xml:space="preserve"> </w:t>
      </w:r>
      <w:r>
        <w:rPr>
          <w:rFonts w:ascii="Times New Roman" w:hAnsi="Times New Roman"/>
          <w:sz w:val="18"/>
        </w:rPr>
        <w:t>[«Informe de 2023 sobre la evolución social y del empleo en Europa», documento en inglés] (europa.eu). Estimación para alcanzar los objetivos políticos (Objetivo 55 del Pacto Verde Europeo, plan REPowerEU).</w:t>
      </w:r>
      <w:bookmarkEnd w:id="23"/>
    </w:p>
  </w:footnote>
  <w:footnote w:id="63">
    <w:p w14:paraId="25D323BF" w14:textId="282F80A5" w:rsidR="00947B85" w:rsidRPr="00947B85" w:rsidRDefault="00947B85" w:rsidP="00947B85">
      <w:pPr>
        <w:pStyle w:val="FootnoteText"/>
        <w:ind w:left="284" w:hanging="284"/>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Pact for Skills, </w:t>
      </w:r>
      <w:hyperlink r:id="rId26" w:history="1">
        <w:r>
          <w:rPr>
            <w:rStyle w:val="Hyperlink"/>
            <w:rFonts w:ascii="Times New Roman" w:hAnsi="Times New Roman"/>
            <w:sz w:val="18"/>
          </w:rPr>
          <w:t xml:space="preserve"> Launch of large-scale renewable energy skills partnership</w:t>
        </w:r>
      </w:hyperlink>
      <w:r>
        <w:rPr>
          <w:rFonts w:ascii="Times New Roman" w:hAnsi="Times New Roman"/>
          <w:sz w:val="18"/>
        </w:rPr>
        <w:t xml:space="preserve"> [«Pacto por las Capacidades: puesta en marcha de una asociación a gran escala para las capacidades en materia de energías renovables», disponible en inglés] (europa.eu). </w:t>
      </w:r>
    </w:p>
  </w:footnote>
  <w:footnote w:id="64">
    <w:p w14:paraId="3F0A96A8" w14:textId="2A5B27F7" w:rsidR="00C075ED" w:rsidRPr="0029686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24" w:name="_Hlk147825098"/>
      <w:r>
        <w:rPr>
          <w:rFonts w:ascii="Times New Roman" w:hAnsi="Times New Roman"/>
          <w:sz w:val="18"/>
        </w:rPr>
        <w:t xml:space="preserve"> </w:t>
      </w:r>
      <w:r>
        <w:rPr>
          <w:rFonts w:ascii="Times New Roman" w:hAnsi="Times New Roman"/>
          <w:sz w:val="18"/>
        </w:rPr>
        <w:tab/>
        <w:t>En el escenario de la NZIA+ (100 % de demanda cubierta por la industria manufacturera de la UE), SWD(2023) 68 final.</w:t>
      </w:r>
      <w:bookmarkEnd w:id="24"/>
    </w:p>
  </w:footnote>
  <w:footnote w:id="65">
    <w:p w14:paraId="5206C6AF" w14:textId="67E97292" w:rsidR="00296867" w:rsidRPr="00296867" w:rsidRDefault="00296867" w:rsidP="00296867">
      <w:pPr>
        <w:pStyle w:val="FootnoteText"/>
        <w:ind w:left="284" w:hanging="284"/>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Observatorio Europeo del Sector de la Construcción, </w:t>
      </w:r>
      <w:r>
        <w:rPr>
          <w:rFonts w:ascii="Times New Roman" w:hAnsi="Times New Roman"/>
          <w:i/>
          <w:sz w:val="18"/>
        </w:rPr>
        <w:t>Improving the human capital basis</w:t>
      </w:r>
      <w:r>
        <w:rPr>
          <w:rFonts w:ascii="Times New Roman" w:hAnsi="Times New Roman"/>
          <w:sz w:val="18"/>
        </w:rPr>
        <w:t xml:space="preserve"> [«Mejora de la base de capital humano», documento en inglés], marzo de 2020.</w:t>
      </w:r>
      <w:r>
        <w:t xml:space="preserve"> </w:t>
      </w:r>
    </w:p>
  </w:footnote>
  <w:footnote w:id="66">
    <w:p w14:paraId="6B99DE86" w14:textId="29349F4A"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25" w:name="_Hlk147825116"/>
      <w:r>
        <w:rPr>
          <w:rFonts w:ascii="Times New Roman" w:hAnsi="Times New Roman"/>
          <w:sz w:val="18"/>
        </w:rPr>
        <w:t>El «código NACE 27: Fabricación de equipos eléctrico» se utiliza como referencia para la industria manufacturera de las energías renovables, ya que muchas tecnologías energéticas renovables entran en esta categoría. También se utiliza como referencia para el ecosistema industrial de las energías renovables en la Estrategia Industrial de la UE [COM(2020) 108 final y su reciente actualización COM(2021) 350 final].</w:t>
      </w:r>
      <w:bookmarkEnd w:id="25"/>
    </w:p>
  </w:footnote>
  <w:footnote w:id="67">
    <w:p w14:paraId="58985BCE" w14:textId="0FB0221B"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27" w:history="1">
        <w:r>
          <w:rPr>
            <w:rStyle w:val="Hyperlink"/>
            <w:rFonts w:ascii="Times New Roman" w:hAnsi="Times New Roman"/>
            <w:sz w:val="18"/>
          </w:rPr>
          <w:t>Employment and Social Developments in Europe 2023</w:t>
        </w:r>
      </w:hyperlink>
      <w:r>
        <w:rPr>
          <w:rFonts w:ascii="Times New Roman" w:hAnsi="Times New Roman"/>
          <w:sz w:val="18"/>
        </w:rPr>
        <w:t xml:space="preserve"> [«Evolución del empleo y de la situación social en Europa en 2023», documento en inglés).(europa.eu).</w:t>
      </w:r>
    </w:p>
  </w:footnote>
  <w:footnote w:id="68">
    <w:p w14:paraId="32DB3AF1" w14:textId="531F80CC"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SWD(2023) 68 final.</w:t>
      </w:r>
    </w:p>
  </w:footnote>
  <w:footnote w:id="69">
    <w:p w14:paraId="48004AA5" w14:textId="6F1D560D"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Georgakaki, A., Kuokkanen, A., Letout, S., Koolen, D., Koukoufikis, G., Murauskaite-Bull, I., Mountraki, A., Kuzov, T., Dlugosz, M., Ince, E., Shtjefni, D., Taylor, N., Christou, M., Pennington, D., Clean Energy Technology Observatory: Overall Strategic Analysis of Clean Energy Technology in the European Union: 2023 Status Report [«Observatorio de las Tecnologías Energéticas Limpias: análisis estratégico general de las tecnologías energéticas limpias en la Unión Europea. Informe de situación de 2023», documento en inglés], Comisión Europea, 2023, JRC135404</w:t>
      </w:r>
      <w:r>
        <w:rPr>
          <w:rFonts w:ascii="Times New Roman" w:hAnsi="Times New Roman"/>
          <w:sz w:val="18"/>
          <w:shd w:val="clear" w:color="auto" w:fill="E6E6E6"/>
        </w:rPr>
        <w:t xml:space="preserve"> </w:t>
      </w:r>
    </w:p>
  </w:footnote>
  <w:footnote w:id="70">
    <w:p w14:paraId="6415818C" w14:textId="452FAF1D"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Eurofond, </w:t>
      </w:r>
      <w:r>
        <w:rPr>
          <w:rFonts w:ascii="Times New Roman" w:hAnsi="Times New Roman"/>
          <w:i/>
          <w:sz w:val="18"/>
        </w:rPr>
        <w:t>Encuesta europea de empresas de 2019</w:t>
      </w:r>
      <w:r>
        <w:rPr>
          <w:rFonts w:ascii="Times New Roman" w:hAnsi="Times New Roman"/>
          <w:sz w:val="18"/>
        </w:rPr>
        <w:t xml:space="preserve"> (europa.eu), 2019.</w:t>
      </w:r>
    </w:p>
  </w:footnote>
  <w:footnote w:id="71">
    <w:p w14:paraId="62203274" w14:textId="6E8B70E6"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28" w:history="1">
        <w:r>
          <w:rPr>
            <w:rStyle w:val="Hyperlink"/>
            <w:rFonts w:ascii="Times New Roman" w:hAnsi="Times New Roman"/>
            <w:sz w:val="18"/>
          </w:rPr>
          <w:t>2023 Flash Eurobarometer on skills shortages</w:t>
        </w:r>
      </w:hyperlink>
      <w:r>
        <w:rPr>
          <w:rFonts w:ascii="Times New Roman" w:hAnsi="Times New Roman"/>
          <w:sz w:val="18"/>
        </w:rPr>
        <w:t>, recruitment and retention strategies in small and medium-sized enterprises [«Eurobarómetro Flash de 2023 sobre la escasez de capacidades, las estrategias de contratación y retención en las pequeñas y medianas empresas», disponible en inglés].</w:t>
      </w:r>
    </w:p>
  </w:footnote>
  <w:footnote w:id="72">
    <w:p w14:paraId="0F1BCB56" w14:textId="35714A91"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El apoyo activo al empleo de calidad, incluido el de los grupos infrarrepresentados, como las mujeres, forma parte de los amplios paquetes de medidas de la Recomendación del Consejo para garantizar una transición equitativa hacia la neutralidad climática.</w:t>
      </w:r>
    </w:p>
  </w:footnote>
  <w:footnote w:id="73">
    <w:p w14:paraId="7FB638BC" w14:textId="012D858B" w:rsidR="00C075ED" w:rsidRPr="00AC623A" w:rsidRDefault="00C075ED" w:rsidP="00EB3E8B">
      <w:pPr>
        <w:spacing w:after="0" w:line="240" w:lineRule="auto"/>
        <w:ind w:left="284" w:hanging="284"/>
        <w:jc w:val="both"/>
        <w:rPr>
          <w:rFonts w:ascii="Times New Roman" w:eastAsia="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La política de cohesión, a través del Fondo Social Europeo+ (FSE+), es el principal instrumento de la UE para financiar la inversión en capacidades, con una dotación de 5 800 millones EUR para capacidades y empleos verdes. El Fondo Europeo de Desarrollo Regional (FEDER) complementa a este fondo con inversiones en capacidades, educación y formación, incluida la infraestructura. El Mecanismo para una Transición Justa apoya con 3 000 millones EUR la formación y el desarrollo de capacidades de los trabajadores para adaptarse a la transición ecológica. Otras medidas se exponen en el Informe de situación en materia de competitividad de 2022.</w:t>
      </w:r>
    </w:p>
  </w:footnote>
  <w:footnote w:id="74">
    <w:p w14:paraId="5015AFDE" w14:textId="2EDF7862"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Por ejemplo, las Recomendaciones del Consejo relativas a las cuentas de aprendizaje individuales, a las microcredenciales y a la educación y formación profesionales.</w:t>
      </w:r>
    </w:p>
  </w:footnote>
  <w:footnote w:id="75">
    <w:p w14:paraId="020454DD" w14:textId="734336D6"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29" w:history="1">
        <w:r>
          <w:rPr>
            <w:rStyle w:val="Hyperlink"/>
            <w:rFonts w:ascii="Times New Roman" w:hAnsi="Times New Roman"/>
            <w:sz w:val="18"/>
          </w:rPr>
          <w:t>Pact for Skills:</w:t>
        </w:r>
      </w:hyperlink>
      <w:hyperlink r:id="rId30" w:history="1">
        <w:r>
          <w:rPr>
            <w:rStyle w:val="Hyperlink"/>
            <w:rFonts w:ascii="Times New Roman" w:hAnsi="Times New Roman"/>
            <w:sz w:val="18"/>
          </w:rPr>
          <w:t xml:space="preserve"> Launch of large-scale renewable energy skills partnership</w:t>
        </w:r>
      </w:hyperlink>
      <w:r>
        <w:rPr>
          <w:rFonts w:ascii="Times New Roman" w:hAnsi="Times New Roman"/>
          <w:sz w:val="18"/>
        </w:rPr>
        <w:t xml:space="preserve"> [«Pacto por las Capacidades: puesta en marcha de una asociación a gran escala para las capacidades en materia de energías renovables», disponible en inglés] (europa.eu).</w:t>
      </w:r>
    </w:p>
  </w:footnote>
  <w:footnote w:id="76">
    <w:p w14:paraId="09F3D458" w14:textId="04DC192E"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COM(2015) 80 final.</w:t>
      </w:r>
      <w:r>
        <w:rPr>
          <w:rFonts w:ascii="Times New Roman" w:hAnsi="Times New Roman"/>
        </w:rPr>
        <w:t xml:space="preserve"> </w:t>
      </w:r>
    </w:p>
  </w:footnote>
  <w:footnote w:id="77">
    <w:p w14:paraId="2D9FE43F" w14:textId="30B45730" w:rsidR="00C075ED" w:rsidRPr="00DC0FA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Miembros de la AIE: AT, BE, CZ, DE, DK, EL, ES, FI, FR, HU, IE, IT, LT, LU, NL, PL, PT, SE, SK (EL y LU no informan). 11 de los Estados miembros mencionados notificaron un aumento a la AIE: AT, CZ, DK, DE, ES, FR, HU, IE, NL, PT, SE.</w:t>
      </w:r>
    </w:p>
  </w:footnote>
  <w:footnote w:id="78">
    <w:p w14:paraId="0FC88AB5" w14:textId="52574AE2"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Una parte significativa del aumento se debió a un cambio en la presentación de los datos por parte de España, junto con un aumento significativo en varios Estados miembros. En España, se ha ampliado la cobertura, incluyendo datos de los gobiernos estatales y regionales, lo que aumenta el total de los Estados miembros de la UE en más de 0,5 millones EUR. Los cambios no se han aplicado a años anteriores, lo que ha dado lugar a una interrupción en la serie cronológica entre 2020 y 2021. AIE, 2023. Energy Technology RD&amp;D Budgets [«Presupuestos de I+i en tecnologías energéticas», disponible en inglés], edición de mayo de 2023, documentación de la base de datos. Once de los 17 Estados miembros notificaron un aumento a la AIE: AT, CZ, DK, DE, ES, FR, HU, IE, NL, PT, SE. Agencia Internacional de la Energía (AIE), </w:t>
      </w:r>
      <w:r>
        <w:rPr>
          <w:rFonts w:ascii="Times New Roman" w:hAnsi="Times New Roman"/>
          <w:i/>
          <w:sz w:val="18"/>
        </w:rPr>
        <w:t>Energy Technology RD&amp;D Budgets</w:t>
      </w:r>
      <w:r>
        <w:rPr>
          <w:rFonts w:ascii="Times New Roman" w:hAnsi="Times New Roman"/>
          <w:sz w:val="18"/>
        </w:rPr>
        <w:t xml:space="preserve"> [«Presupuestos de I+i en tecnologías energéticas - Documentación de la base de datos», disponible en inglés], 2023. </w:t>
      </w:r>
    </w:p>
  </w:footnote>
  <w:footnote w:id="79">
    <w:p w14:paraId="569713BA" w14:textId="61BDC76E"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Esta cifra incluye una estimación para Italia, que aún no ha presentado informes para 2020 y 2021.</w:t>
      </w:r>
    </w:p>
  </w:footnote>
  <w:footnote w:id="80">
    <w:p w14:paraId="76926E32" w14:textId="72A62328"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643 final.</w:t>
      </w:r>
    </w:p>
  </w:footnote>
  <w:footnote w:id="81">
    <w:p w14:paraId="2F38E897" w14:textId="4464D2B3"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28" w:name="_Hlk147827810"/>
      <w:r>
        <w:rPr>
          <w:rFonts w:ascii="Times New Roman" w:hAnsi="Times New Roman"/>
          <w:sz w:val="18"/>
        </w:rPr>
        <w:t>Estas cifras incluyen los fondos de los programas marco tanto nacionales como de la UE. Los fondos nacionales por sí solos siguen estando por debajo de otras grandes economías en porcentaje del PIB.</w:t>
      </w:r>
      <w:bookmarkEnd w:id="28"/>
    </w:p>
  </w:footnote>
  <w:footnote w:id="82">
    <w:p w14:paraId="798FBE78" w14:textId="4E752CF9" w:rsidR="00C075ED" w:rsidRPr="006926D7" w:rsidRDefault="00C075ED" w:rsidP="00EB3E8B">
      <w:pPr>
        <w:pStyle w:val="FootnoteText"/>
        <w:ind w:left="284" w:hanging="284"/>
        <w:jc w:val="both"/>
      </w:pPr>
      <w:r>
        <w:rPr>
          <w:rStyle w:val="FootnoteReference"/>
        </w:rPr>
        <w:footnoteRef/>
      </w:r>
      <w:r>
        <w:t xml:space="preserve"> </w:t>
      </w:r>
      <w:r>
        <w:tab/>
      </w:r>
      <w:r>
        <w:rPr>
          <w:rFonts w:ascii="Times New Roman" w:hAnsi="Times New Roman"/>
          <w:sz w:val="18"/>
        </w:rPr>
        <w:t>Véase la sección 2.2, página 12, COM(2022) 643 final.</w:t>
      </w:r>
    </w:p>
  </w:footnote>
  <w:footnote w:id="83">
    <w:p w14:paraId="68031A93" w14:textId="67C00C53" w:rsidR="00C075ED" w:rsidRPr="0040025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El PM de la UE se refiere a los programas marco de la UE (Horizonte 2020 y Horizonte Europa). </w:t>
      </w:r>
    </w:p>
  </w:footnote>
  <w:footnote w:id="84">
    <w:p w14:paraId="09E48CAA" w14:textId="0C81A65B"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Adaptado a partir de la edición de primavera de 2023 de la base de datos de presupuestos I+i de tecnología energética de la </w:t>
      </w:r>
      <w:r>
        <w:rPr>
          <w:rStyle w:val="tab"/>
          <w:rFonts w:ascii="Times New Roman" w:hAnsi="Times New Roman"/>
          <w:color w:val="000000"/>
          <w:sz w:val="18"/>
          <w:bdr w:val="none" w:sz="0" w:space="0" w:color="auto" w:frame="1"/>
          <w:shd w:val="clear" w:color="auto" w:fill="FFFFFF"/>
        </w:rPr>
        <w:t>Agencia Internacional de la Energía (</w:t>
      </w:r>
      <w:r>
        <w:rPr>
          <w:rFonts w:ascii="Times New Roman" w:hAnsi="Times New Roman"/>
          <w:color w:val="000000"/>
          <w:sz w:val="18"/>
          <w:shd w:val="clear" w:color="auto" w:fill="FFFFFF"/>
        </w:rPr>
        <w:t>AIE)</w:t>
      </w:r>
      <w:r>
        <w:rPr>
          <w:rFonts w:ascii="Times New Roman" w:hAnsi="Times New Roman"/>
          <w:sz w:val="18"/>
        </w:rPr>
        <w:t>.</w:t>
      </w:r>
    </w:p>
  </w:footnote>
  <w:footnote w:id="85">
    <w:p w14:paraId="64CAF92C" w14:textId="256BBD65"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Mission Innovation, Informe: </w:t>
      </w:r>
      <w:hyperlink r:id="rId31" w:history="1">
        <w:r>
          <w:rPr>
            <w:rStyle w:val="Hyperlink"/>
            <w:rFonts w:ascii="Times New Roman" w:hAnsi="Times New Roman"/>
            <w:i/>
            <w:sz w:val="18"/>
          </w:rPr>
          <w:t>Country Highlights</w:t>
        </w:r>
        <w:r>
          <w:rPr>
            <w:rStyle w:val="Hyperlink"/>
            <w:rFonts w:ascii="Times New Roman" w:hAnsi="Times New Roman"/>
            <w:sz w:val="18"/>
          </w:rPr>
          <w:t xml:space="preserve">, </w:t>
        </w:r>
        <w:r>
          <w:rPr>
            <w:rStyle w:val="Hyperlink"/>
            <w:rFonts w:ascii="Times New Roman" w:hAnsi="Times New Roman"/>
            <w:i/>
            <w:sz w:val="18"/>
          </w:rPr>
          <w:t>6th MI Ministerial</w:t>
        </w:r>
      </w:hyperlink>
      <w:r>
        <w:rPr>
          <w:rFonts w:ascii="Times New Roman" w:hAnsi="Times New Roman"/>
          <w:sz w:val="18"/>
        </w:rPr>
        <w:t>, [«Resumen por países, VI Reunión Ministerial de MI», documento en inglés], junio de 2021.</w:t>
      </w:r>
    </w:p>
  </w:footnote>
  <w:footnote w:id="86">
    <w:p w14:paraId="08076DCB" w14:textId="3A3C3BF6"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t xml:space="preserve"> </w:t>
      </w:r>
      <w:r>
        <w:rPr>
          <w:rFonts w:ascii="Times New Roman" w:hAnsi="Times New Roman"/>
          <w:sz w:val="18"/>
        </w:rPr>
        <w:tab/>
        <w:t xml:space="preserve">Para más información: </w:t>
      </w:r>
      <w:hyperlink r:id="rId32" w:history="1">
        <w:r>
          <w:rPr>
            <w:rStyle w:val="Hyperlink"/>
            <w:rFonts w:ascii="Times New Roman" w:hAnsi="Times New Roman"/>
            <w:sz w:val="18"/>
          </w:rPr>
          <w:t>JRC SETIS</w:t>
        </w:r>
      </w:hyperlink>
      <w:r>
        <w:rPr>
          <w:rFonts w:ascii="Times New Roman" w:hAnsi="Times New Roman"/>
          <w:sz w:val="18"/>
        </w:rPr>
        <w:t xml:space="preserve"> (europa.eu) (disponible en inglés).</w:t>
      </w:r>
    </w:p>
  </w:footnote>
  <w:footnote w:id="87">
    <w:p w14:paraId="205236F3" w14:textId="061D0B04"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33" w:history="1">
        <w:r>
          <w:rPr>
            <w:rStyle w:val="Hyperlink"/>
            <w:rFonts w:ascii="Times New Roman" w:hAnsi="Times New Roman"/>
            <w:sz w:val="18"/>
          </w:rPr>
          <w:t>JRC SETIS</w:t>
        </w:r>
      </w:hyperlink>
      <w:r>
        <w:rPr>
          <w:rFonts w:ascii="Times New Roman" w:hAnsi="Times New Roman"/>
          <w:sz w:val="18"/>
        </w:rPr>
        <w:t xml:space="preserve"> (europa.eu) (disponible en inglés).</w:t>
      </w:r>
    </w:p>
  </w:footnote>
  <w:footnote w:id="88">
    <w:p w14:paraId="617766F6" w14:textId="565D311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31" w:name="_Hlk145930818"/>
      <w:r>
        <w:rPr>
          <w:rFonts w:ascii="Times New Roman" w:hAnsi="Times New Roman"/>
          <w:sz w:val="18"/>
        </w:rPr>
        <w:t>DO C 495 de 29.12.2022</w:t>
      </w:r>
      <w:bookmarkEnd w:id="31"/>
      <w:r>
        <w:rPr>
          <w:rFonts w:ascii="Times New Roman" w:hAnsi="Times New Roman"/>
          <w:sz w:val="18"/>
        </w:rPr>
        <w:t>.</w:t>
      </w:r>
    </w:p>
  </w:footnote>
  <w:footnote w:id="89">
    <w:p w14:paraId="7CFCFC7A" w14:textId="041F50C5"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34" w:history="1">
        <w:r>
          <w:rPr>
            <w:rStyle w:val="Hyperlink"/>
            <w:rFonts w:ascii="Times New Roman" w:hAnsi="Times New Roman"/>
            <w:sz w:val="18"/>
          </w:rPr>
          <w:t>Planes nacionales de energía y clima</w:t>
        </w:r>
      </w:hyperlink>
      <w:r>
        <w:rPr>
          <w:rFonts w:ascii="Times New Roman" w:hAnsi="Times New Roman"/>
          <w:sz w:val="18"/>
        </w:rPr>
        <w:t xml:space="preserve"> (europa.eu) (disponible en inglés), 2023.</w:t>
      </w:r>
    </w:p>
  </w:footnote>
  <w:footnote w:id="90">
    <w:p w14:paraId="01ED5787" w14:textId="634E5260" w:rsidR="00C075ED" w:rsidRPr="006926D7" w:rsidRDefault="00C075ED" w:rsidP="00EB3E8B">
      <w:pPr>
        <w:spacing w:after="0" w:line="257" w:lineRule="auto"/>
        <w:ind w:left="284" w:hanging="284"/>
        <w:jc w:val="both"/>
        <w:rPr>
          <w:rFonts w:ascii="Times New Roman" w:eastAsia="Calibri"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SWD(2023) 277/2 final.</w:t>
      </w:r>
    </w:p>
  </w:footnote>
  <w:footnote w:id="91">
    <w:p w14:paraId="5EC854AC" w14:textId="1EAC46C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El análisis presentado en esta sección se centra en las tecnologías energéticas limpias. Difiere de la sección 2.4 del Informe de situación en materia de competitividad de 2022 al excluir actividades consideradas anteriormente en la sección de tecnología climática de PitchBook y relacionadas con los sistemas alimentarios, el uso del suelo, la micromovilidad, la movilidad compartida y los vehículos autónomos.</w:t>
      </w:r>
    </w:p>
  </w:footnote>
  <w:footnote w:id="92">
    <w:p w14:paraId="1E4B6259" w14:textId="4CC49874"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332 final.</w:t>
      </w:r>
    </w:p>
  </w:footnote>
  <w:footnote w:id="93">
    <w:p w14:paraId="16BE88CA" w14:textId="1A2723E7" w:rsidR="00C075ED" w:rsidRPr="00E7568B"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Basado en los datos de </w:t>
      </w:r>
      <w:hyperlink r:id="rId35" w:history="1">
        <w:r>
          <w:rPr>
            <w:rStyle w:val="Hyperlink"/>
            <w:rFonts w:ascii="Times New Roman" w:hAnsi="Times New Roman"/>
            <w:sz w:val="18"/>
          </w:rPr>
          <w:t>PitchBook</w:t>
        </w:r>
      </w:hyperlink>
      <w:r>
        <w:rPr>
          <w:rFonts w:ascii="Times New Roman" w:hAnsi="Times New Roman"/>
          <w:sz w:val="18"/>
        </w:rPr>
        <w:t>, 1 de junio de 2023.</w:t>
      </w:r>
    </w:p>
  </w:footnote>
  <w:footnote w:id="94">
    <w:p w14:paraId="2587CA1B" w14:textId="0645A684" w:rsidR="00C075ED" w:rsidRPr="00E7568B"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r>
        <w:rPr>
          <w:rStyle w:val="tab"/>
          <w:rFonts w:ascii="Times New Roman" w:hAnsi="Times New Roman"/>
          <w:color w:val="000000"/>
          <w:sz w:val="18"/>
          <w:bdr w:val="none" w:sz="0" w:space="0" w:color="auto" w:frame="1"/>
          <w:shd w:val="clear" w:color="auto" w:fill="FFFFFF"/>
        </w:rPr>
        <w:t>Agencia Internacional de la Energía (</w:t>
      </w:r>
      <w:r>
        <w:rPr>
          <w:rFonts w:ascii="Times New Roman" w:hAnsi="Times New Roman"/>
          <w:color w:val="000000"/>
          <w:sz w:val="18"/>
          <w:shd w:val="clear" w:color="auto" w:fill="FFFFFF"/>
        </w:rPr>
        <w:t>AIE),</w:t>
      </w:r>
      <w:r>
        <w:rPr>
          <w:rFonts w:ascii="Times New Roman" w:hAnsi="Times New Roman"/>
          <w:sz w:val="18"/>
        </w:rPr>
        <w:t xml:space="preserve"> </w:t>
      </w:r>
      <w:hyperlink r:id="rId36" w:history="1">
        <w:r>
          <w:rPr>
            <w:rStyle w:val="Hyperlink"/>
            <w:rFonts w:ascii="Times New Roman" w:hAnsi="Times New Roman"/>
            <w:i/>
            <w:sz w:val="18"/>
          </w:rPr>
          <w:t>World Energy Investment 2023</w:t>
        </w:r>
      </w:hyperlink>
      <w:r>
        <w:rPr>
          <w:rFonts w:ascii="Times New Roman" w:hAnsi="Times New Roman"/>
          <w:sz w:val="18"/>
        </w:rPr>
        <w:t xml:space="preserve"> [«Inversión energética mundial 2023», documento en inglés], 2023.</w:t>
      </w:r>
    </w:p>
  </w:footnote>
  <w:footnote w:id="95">
    <w:p w14:paraId="6F9A725F" w14:textId="34518EA4" w:rsidR="00C075ED" w:rsidRPr="00E7568B"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Georgakaki, A., Kuokkanen, A., Letout, S., Koolen, D., Koukoufikis, G., Murauskaite-Bull, I., Mountraki, A., Kuzov, T., Dlugosz, M., Ince, E., Shtjefni, D., Taylor, N., Christou, M., Pennington, D., Clean Energy Technology Observatory: Overall Strategic Analysis of Clean Energy Technology in the European Union: 2023 Status Report [«Observatorio de las Tecnologías Energéticas Limpias: análisis estratégico general de las tecnologías energéticas limpias en la Unión Europea: informe de situación de 2023», documento en inglés], Comisión Europea, 2023, JRC135404. </w:t>
      </w:r>
    </w:p>
  </w:footnote>
  <w:footnote w:id="96">
    <w:p w14:paraId="079582A0" w14:textId="2919A04D" w:rsidR="00C075ED" w:rsidRPr="00AD1947" w:rsidRDefault="00C075ED" w:rsidP="00EB3E8B">
      <w:pPr>
        <w:pStyle w:val="FootnoteText"/>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Ibídem.</w:t>
      </w:r>
    </w:p>
  </w:footnote>
  <w:footnote w:id="97">
    <w:p w14:paraId="4D2EA1F9" w14:textId="708A65E5" w:rsidR="00C075ED" w:rsidRPr="00760F26"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Chatzipanagi, A., Jaeger-Waldau, A., Cleret De Langavant, C., Gea Bermudez, J., Letout, S., Mountraki, A., Schmitz, A., Georgakaki, A., Ince, E., Kuokkanen, A. y Shtjefni, D., Clean Energy Technology Observatory: Photovoltaics in the European Union - 2023 Status Report on Technology Development Trends, Value Chains and Markets [«Observatorio de Tecnologías Energéticas Limpias: la energía fotovoltaica en la Unión Europea. Informe de situación de 2023 sobre desarrollo tecnológico, tendencias, cadenas de valor y mercados», documento en inglés], Oficina de Publicaciones de la Unión Europea, Luxemburgo, 2023, JRC135034.</w:t>
      </w:r>
    </w:p>
  </w:footnote>
  <w:footnote w:id="98">
    <w:p w14:paraId="1108A07B" w14:textId="77777777"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En particular, los escenarios previstos por organizaciones no gubernamentales como Greenpeace, Energy Watch Group, Bloomberg New Energy Finance, la Agencia Internacional de la Energía y la Agencia Internacional de Energías Renovables, así como por asociaciones de la industria fotovoltaica.</w:t>
      </w:r>
    </w:p>
  </w:footnote>
  <w:footnote w:id="99">
    <w:p w14:paraId="13014C0E" w14:textId="67E91523"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Chatzipanagi, A., Jaeger-Waldau, A., Cleret De Langavant, C., Gea Bermudez, J., Letout, S., Mountraki, A., Schmitz, A., Georgakaki, A., Ince, E., Kuokkanen, A. y Shtjefni, D., Clean Energy Technology Observatory: Photovoltaics in the European Union - 2023 Status Report on Technology Development Trends, Value Chains and Markets [«Observatorio de Tecnologías Energéticas Limpias: la energía fotovoltaica en la Unión Europea. Informe de situación de 2023 sobre desarrollo tecnológico, tendencias, cadenas de valor y mercados», documento en inglés], Oficina de Publicaciones de la Unión Europea, Luxemburgo, 2023, JRC135034.</w:t>
      </w:r>
    </w:p>
  </w:footnote>
  <w:footnote w:id="100">
    <w:p w14:paraId="33CF5F7F" w14:textId="77777777"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221 final. Estrategia de Energía Solar de la UE.</w:t>
      </w:r>
    </w:p>
  </w:footnote>
  <w:footnote w:id="101">
    <w:p w14:paraId="358F5DA2" w14:textId="28165BF7" w:rsidR="00C075ED" w:rsidRPr="00D6795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Chatzipanagi, A., Jaeger-Waldau, A., Cleret De Langavant, C., Gea Bermudez, J., Letout, S., Mountraki, A., Schmitz, A., Georgakaki, A., Ince, E., Kuokkanen, A. y Shtjefni, D., Clean Energy Technology Observatory: Photovoltaics in the European Union - 2023 Status Report on Technology Development Trends, Value Chains and Markets [«Observatorio de Tecnologías Energéticas Limpias: la energía fotovoltaica en la Unión Europea. Informe de situación de 2023 sobre desarrollo tecnológico, tendencias, cadenas de valor y mercados», documento en inglés], Oficina de Publicaciones de la Unión Europea, Luxemburgo, 2023, JRC135034.</w:t>
      </w:r>
    </w:p>
  </w:footnote>
  <w:footnote w:id="102">
    <w:p w14:paraId="5807E92A" w14:textId="77777777"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Green </w:t>
      </w:r>
      <w:r>
        <w:rPr>
          <w:rFonts w:ascii="Times New Roman" w:hAnsi="Times New Roman"/>
          <w:i/>
          <w:iCs/>
          <w:sz w:val="18"/>
        </w:rPr>
        <w:t>et al.</w:t>
      </w:r>
      <w:r>
        <w:rPr>
          <w:rFonts w:ascii="Times New Roman" w:hAnsi="Times New Roman"/>
          <w:sz w:val="18"/>
        </w:rPr>
        <w:t xml:space="preserve">, Solar cell efficiency tables (62), Progress in Photovoltaics [«Tablas de eficiencia de las células solares (62), Avances en energía fotovoltaica»], 31, 7 (2023), </w:t>
      </w:r>
      <w:hyperlink r:id="rId37" w:history="1">
        <w:r>
          <w:rPr>
            <w:rStyle w:val="Hyperlink"/>
            <w:rFonts w:ascii="Times New Roman" w:hAnsi="Times New Roman"/>
            <w:sz w:val="18"/>
          </w:rPr>
          <w:t>https://doi.org/10.1002/pip.3726</w:t>
        </w:r>
      </w:hyperlink>
      <w:r>
        <w:t xml:space="preserve"> </w:t>
      </w:r>
      <w:r>
        <w:rPr>
          <w:rFonts w:ascii="Times New Roman" w:hAnsi="Times New Roman"/>
          <w:sz w:val="18"/>
        </w:rPr>
        <w:t>(documento en inglés).</w:t>
      </w:r>
    </w:p>
  </w:footnote>
  <w:footnote w:id="103">
    <w:p w14:paraId="4288DDE1" w14:textId="7EDD24FE"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Chatzipanagi, A., Jaeger-Waldau, A., Cleret De Langavant, C., Gea Bermudez, J., Letout, S., Mountraki, A., Schmitz, A., Georgakaki, A., Ince, E., Kuokkanen, A. y Shtjefni, D., Clean Energy Technology Observatory: Photovoltaics in the European Union - 2023 Status Report on Technology Development Trends, Value Chains and Markets [«Observatorio de Tecnologías Energéticas Limpias: la energía fotovoltaica en la Unión Europea. Informe de situación de 2023 sobre desarrollo tecnológico, tendencias, cadenas de valor y mercados», documento en inglés], Oficina de Publicaciones de la Unión Europea, Luxemburgo, 2023, JRC135034.</w:t>
      </w:r>
    </w:p>
  </w:footnote>
  <w:footnote w:id="104">
    <w:p w14:paraId="17B4D09D" w14:textId="77777777" w:rsidR="00C075ED" w:rsidRPr="005338B8" w:rsidRDefault="00C075ED" w:rsidP="00EB3E8B">
      <w:pPr>
        <w:pStyle w:val="FootnoteText"/>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Cálculo propio del JRC basado en los datos disponibles.</w:t>
      </w:r>
      <w:r>
        <w:t xml:space="preserve"> </w:t>
      </w:r>
    </w:p>
  </w:footnote>
  <w:footnote w:id="105">
    <w:p w14:paraId="0EB3E2A4" w14:textId="5B5CFF8F" w:rsidR="00C075ED" w:rsidRPr="001409D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Informe especial de la AIE sobre las cadenas mundiales de suministro de energía solar fotovoltaica, 2022.</w:t>
      </w:r>
    </w:p>
  </w:footnote>
  <w:footnote w:id="106">
    <w:p w14:paraId="260A6B9F" w14:textId="77777777" w:rsidR="00C075ED" w:rsidRPr="001409D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Wood Mackenzie, comunicado de prensa: </w:t>
      </w:r>
      <w:hyperlink r:id="rId38" w:history="1">
        <w:r>
          <w:rPr>
            <w:rStyle w:val="Hyperlink"/>
            <w:rFonts w:ascii="Times New Roman" w:hAnsi="Times New Roman"/>
            <w:sz w:val="18"/>
          </w:rPr>
          <w:t>China’s solar export booming</w:t>
        </w:r>
      </w:hyperlink>
      <w:r>
        <w:t xml:space="preserve"> [</w:t>
      </w:r>
      <w:r>
        <w:rPr>
          <w:rFonts w:ascii="Times New Roman" w:hAnsi="Times New Roman"/>
          <w:sz w:val="18"/>
        </w:rPr>
        <w:t>«Aumento de las exportaciones solares de China», documento en inglés], 23 de mayo de 2023. Los módulos representaron la mayor parte de estas exportaciones, seguidos de obleas y células. En 2022, China exportó 86 GWp de módulos a Europa (lo que representa el 56 % de sus exportaciones de módulos).</w:t>
      </w:r>
    </w:p>
  </w:footnote>
  <w:footnote w:id="107">
    <w:p w14:paraId="78CF7585" w14:textId="3FB375E0" w:rsidR="00C075ED" w:rsidRPr="001409D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Informe de Sheffield sobre trabajo forzoso, Crawford, A. y Murphy, L. T, «Over-Exposed: Uyghur Region Exposure Assessment for Solar Industry Sourcing» [«Sobreexpuestos: Evaluación de la exposición de la región Uigur para el abastecimiento de la industria solar», documento en inglés], Sheffield, Reino Unido: Universidad Sheffield Hallam, Centro Helena Kennedy para la Justicia Internacional (2023).</w:t>
      </w:r>
    </w:p>
  </w:footnote>
  <w:footnote w:id="108">
    <w:p w14:paraId="49DC6973" w14:textId="77777777" w:rsidR="00C075ED" w:rsidRPr="00CE0829" w:rsidRDefault="00C075ED" w:rsidP="00EB3E8B">
      <w:pPr>
        <w:pStyle w:val="FootnoteText"/>
        <w:ind w:left="284" w:hanging="284"/>
        <w:jc w:val="both"/>
        <w:rPr>
          <w:rFonts w:ascii="Times New Roman" w:eastAsia="Times New Roman" w:hAnsi="Times New Roman" w:cs="Times New Roman"/>
          <w:sz w:val="24"/>
          <w:szCs w:val="24"/>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PVXchange</w:t>
      </w:r>
      <w:hyperlink r:id="rId39" w:history="1"/>
      <w:r>
        <w:rPr>
          <w:rFonts w:ascii="Times New Roman" w:hAnsi="Times New Roman"/>
          <w:sz w:val="18"/>
        </w:rPr>
        <w:t>, consultado el 7 de octubre de 2023, lectura del índice de precios fotovoltaicos</w:t>
      </w:r>
    </w:p>
  </w:footnote>
  <w:footnote w:id="109">
    <w:p w14:paraId="27C63D9E" w14:textId="77777777" w:rsidR="00C075ED" w:rsidRPr="008907E2"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AIE, </w:t>
      </w:r>
      <w:hyperlink r:id="rId40" w:history="1">
        <w:r>
          <w:rPr>
            <w:rStyle w:val="Hyperlink"/>
            <w:rFonts w:ascii="Times New Roman" w:hAnsi="Times New Roman"/>
            <w:sz w:val="18"/>
          </w:rPr>
          <w:t>2023 Snapshot of Global PV Markets</w:t>
        </w:r>
      </w:hyperlink>
      <w:r>
        <w:rPr>
          <w:rFonts w:ascii="Times New Roman" w:hAnsi="Times New Roman"/>
          <w:sz w:val="18"/>
        </w:rPr>
        <w:t>, [«Panorama de los mercados fotovoltaicos mundiales en 2023»], 2023.</w:t>
      </w:r>
    </w:p>
  </w:footnote>
  <w:footnote w:id="110">
    <w:p w14:paraId="7B368BE5" w14:textId="77777777" w:rsidR="00C075ED" w:rsidRPr="008907E2" w:rsidRDefault="00C075ED" w:rsidP="00EB3E8B">
      <w:pPr>
        <w:pStyle w:val="FootnoteText"/>
        <w:tabs>
          <w:tab w:val="left" w:pos="284"/>
        </w:tabs>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WEO 2022 de la AIE.</w:t>
      </w:r>
    </w:p>
  </w:footnote>
  <w:footnote w:id="111">
    <w:p w14:paraId="76A1C48D" w14:textId="787D8DA8" w:rsidR="00C075ED" w:rsidRPr="008907E2"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La diferencia real de costes depende en gran medida de las características específicas de cada proyecto; «McKinsey (2022): Creación de una cadena de suministro de energía solar fotovoltaica competitiva en Europa» estima entre el 20 y el 25 % en comparación con los competidores de bajo coste.</w:t>
      </w:r>
    </w:p>
  </w:footnote>
  <w:footnote w:id="112">
    <w:p w14:paraId="36FE58DF" w14:textId="62BDDB5A" w:rsidR="00C075ED" w:rsidRPr="00DC0FAE" w:rsidRDefault="00C075ED" w:rsidP="00EB3E8B">
      <w:pPr>
        <w:spacing w:after="0"/>
        <w:ind w:left="284" w:hanging="284"/>
        <w:jc w:val="both"/>
        <w:rPr>
          <w:rFonts w:ascii="Times New Roman" w:eastAsia="Calibri"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IEA Special Report on Solar PV Global Supply Chains [«Informe especial de la AIE sobre las cadenas mundiales de suministro de energía solar fotovoltaica»], 2022 «A finales de 2021, la capacidad mundial para fabricar obleas y células y para ensamblar módulos superó la demanda en al menos un 100 %». </w:t>
      </w:r>
    </w:p>
  </w:footnote>
  <w:footnote w:id="113">
    <w:p w14:paraId="56A44265" w14:textId="6427120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57" w:name="_Hlk147828466"/>
      <w:r>
        <w:rPr>
          <w:rFonts w:ascii="Times New Roman" w:hAnsi="Times New Roman"/>
          <w:sz w:val="18"/>
        </w:rPr>
        <w:t>Los datos de esta sección se han extraído de</w:t>
      </w:r>
      <w:bookmarkEnd w:id="57"/>
      <w:r>
        <w:rPr>
          <w:rFonts w:ascii="Times New Roman" w:hAnsi="Times New Roman"/>
          <w:sz w:val="18"/>
        </w:rPr>
        <w:t xml:space="preserve"> Taylor, N., Georgakaki, A., Mountraki, A., Letout, S., Ince, E., Shtjefni, D., Kuokkanen, A., Tattini, J. y Diaz Rincon, A., Clean Energy Technology Observatory: Concentrated Solar Power and Solar Heating and Cooling in the European Union - 2023 Status Report on Technology Development, Trends, Value Chains and Markets [«Observatorio de Tecnologías Energéticas Limpias: la energía solar de concentración y la calefacción y refrigeración solares en la Unión Europea. Informe de situación de 2023 sobre desarrollo tecnológico, tendencias, cadenas de valor y mercados», documento en inglés], Oficina de Publicaciones de la Unión Europea, Luxemburgo, 2023, JRC135004.</w:t>
      </w:r>
    </w:p>
  </w:footnote>
  <w:footnote w:id="114">
    <w:p w14:paraId="7693FF4B" w14:textId="4A0FE972"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bookmarkStart w:id="58" w:name="_Hlk147828480"/>
      <w:r>
        <w:rPr>
          <w:rFonts w:ascii="Times New Roman" w:hAnsi="Times New Roman"/>
          <w:sz w:val="18"/>
        </w:rPr>
        <w:tab/>
        <w:t xml:space="preserve">Energy Transition Expertise Centre (EnTEC), Informe: </w:t>
      </w:r>
      <w:r>
        <w:rPr>
          <w:rFonts w:ascii="Times New Roman" w:hAnsi="Times New Roman"/>
          <w:i/>
          <w:sz w:val="18"/>
        </w:rPr>
        <w:t>Supply chain risks in the EU’s clean energy technologies</w:t>
      </w:r>
      <w:r>
        <w:rPr>
          <w:rFonts w:ascii="Times New Roman" w:hAnsi="Times New Roman"/>
          <w:sz w:val="18"/>
        </w:rPr>
        <w:t xml:space="preserve"> [Centro europeo de asesoramiento sobre la transición energética, Informe: «Riesgos de la cadena de suministro en las tecnologías energéticas limpias de la UE», documento en inglés], 2023, doi 10.2833/413910.</w:t>
      </w:r>
      <w:bookmarkEnd w:id="58"/>
    </w:p>
  </w:footnote>
  <w:footnote w:id="115">
    <w:p w14:paraId="26B5E1F3" w14:textId="4D122EF3"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El plan nacional de energía y clima de España de 2019 prevé alcanzar los 7,4 GW de aquí a 2030. Sin embargo, el proyecto de la primera actualización modifica esta cifra a 4,8 GW para 2030. Para más información: </w:t>
      </w:r>
      <w:hyperlink r:id="rId41" w:history="1">
        <w:r>
          <w:rPr>
            <w:rStyle w:val="Hyperlink"/>
            <w:rFonts w:ascii="Times New Roman" w:hAnsi="Times New Roman"/>
            <w:sz w:val="18"/>
          </w:rPr>
          <w:t>https://commission.europa.eu/publications/spain-draft-updated-necp-2021-2030_en</w:t>
        </w:r>
      </w:hyperlink>
      <w:r>
        <w:t xml:space="preserve"> disponible en inglés</w:t>
      </w:r>
      <w:r>
        <w:rPr>
          <w:rFonts w:ascii="Times New Roman" w:hAnsi="Times New Roman"/>
          <w:sz w:val="18"/>
        </w:rPr>
        <w:t>.</w:t>
      </w:r>
    </w:p>
  </w:footnote>
  <w:footnote w:id="116">
    <w:p w14:paraId="2AA9EAF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Solar Heat Europe, </w:t>
      </w:r>
      <w:r>
        <w:rPr>
          <w:rFonts w:ascii="Times New Roman" w:hAnsi="Times New Roman"/>
          <w:i/>
          <w:sz w:val="18"/>
        </w:rPr>
        <w:t>Solar Heat Markets in Europe, Trends and Market Statistics 2021, Summary</w:t>
      </w:r>
      <w:r>
        <w:rPr>
          <w:rFonts w:ascii="Times New Roman" w:hAnsi="Times New Roman"/>
          <w:sz w:val="18"/>
        </w:rPr>
        <w:t>, [«Mercados de energía solar térmica en Europa, Tendencias y estadísticas del mercado 2021, Resumen», documento en inglés], diciembre de 2022.</w:t>
      </w:r>
    </w:p>
  </w:footnote>
  <w:footnote w:id="117">
    <w:p w14:paraId="53A6D3D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Solar Heat Europe, </w:t>
      </w:r>
      <w:r>
        <w:rPr>
          <w:rFonts w:ascii="Times New Roman" w:hAnsi="Times New Roman"/>
          <w:i/>
          <w:sz w:val="18"/>
        </w:rPr>
        <w:t>Preliminary Report 2022</w:t>
      </w:r>
      <w:r>
        <w:rPr>
          <w:rFonts w:ascii="Times New Roman" w:hAnsi="Times New Roman"/>
          <w:sz w:val="18"/>
        </w:rPr>
        <w:t>, Solar Heat Markets in EU27 [«Informe preliminar de 2022, Mercados de energía solar térmica en la UE27», documento en inglés], Suiza y Reino Unido, 7 de julio de 2023.</w:t>
      </w:r>
    </w:p>
  </w:footnote>
  <w:footnote w:id="118">
    <w:p w14:paraId="421A23CB"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59" w:name="_Hlk147828581"/>
      <w:r>
        <w:rPr>
          <w:rFonts w:ascii="Times New Roman" w:hAnsi="Times New Roman"/>
          <w:sz w:val="18"/>
        </w:rPr>
        <w:t xml:space="preserve">Citado en la presentación de SHC Task 68 de la AIE en el seminario web </w:t>
      </w:r>
      <w:r>
        <w:rPr>
          <w:rFonts w:ascii="Times New Roman" w:hAnsi="Times New Roman"/>
          <w:i/>
          <w:sz w:val="18"/>
        </w:rPr>
        <w:t>The Rise of Solar district Heating</w:t>
      </w:r>
      <w:r>
        <w:rPr>
          <w:rFonts w:ascii="Times New Roman" w:hAnsi="Times New Roman"/>
          <w:sz w:val="18"/>
        </w:rPr>
        <w:t xml:space="preserve"> [«El auge de la calefacción solar urbana», documento en inglés], 28 de marzo de 2023, Euroheat and Power y Solar Heat Europe.</w:t>
      </w:r>
      <w:bookmarkEnd w:id="59"/>
    </w:p>
  </w:footnote>
  <w:footnote w:id="119">
    <w:p w14:paraId="7FDBF52A" w14:textId="5F7B8F9B"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bookmarkStart w:id="60" w:name="_Hlk147828590"/>
      <w:r>
        <w:rPr>
          <w:rFonts w:ascii="Times New Roman" w:hAnsi="Times New Roman"/>
          <w:sz w:val="18"/>
        </w:rPr>
        <w:tab/>
        <w:t xml:space="preserve">Energy Transition Expertise Centre (EnTEC), Informe: </w:t>
      </w:r>
      <w:r>
        <w:rPr>
          <w:rFonts w:ascii="Times New Roman" w:hAnsi="Times New Roman"/>
          <w:i/>
          <w:sz w:val="18"/>
        </w:rPr>
        <w:t>Supply chain risks in the EU’s clean energy technologies</w:t>
      </w:r>
      <w:r>
        <w:rPr>
          <w:rFonts w:ascii="Times New Roman" w:hAnsi="Times New Roman"/>
          <w:sz w:val="18"/>
        </w:rPr>
        <w:t xml:space="preserve"> [Centro europeo de asesoramiento sobre la transición energética, Informe: «Riesgos de la cadena de suministro en las tecnologías energéticas limpias de la UE», documento en inglés], 2023, doi 10.2833/413910.</w:t>
      </w:r>
      <w:bookmarkEnd w:id="60"/>
    </w:p>
  </w:footnote>
  <w:footnote w:id="120">
    <w:p w14:paraId="345944F8" w14:textId="77777777" w:rsidR="00C075ED" w:rsidRPr="006926D7" w:rsidRDefault="00C075ED" w:rsidP="00EB3E8B">
      <w:pPr>
        <w:spacing w:after="0"/>
        <w:ind w:left="284" w:hanging="284"/>
        <w:jc w:val="both"/>
        <w:rPr>
          <w:rStyle w:val="Hyperlink"/>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SWD(2022) 230 final. </w:t>
      </w:r>
    </w:p>
  </w:footnote>
  <w:footnote w:id="121">
    <w:p w14:paraId="5FB7A98C" w14:textId="02C5CE1A"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bookmarkStart w:id="64" w:name="_Hlk147828611"/>
      <w:r>
        <w:rPr>
          <w:rFonts w:ascii="Times New Roman" w:hAnsi="Times New Roman"/>
          <w:sz w:val="18"/>
        </w:rPr>
        <w:t xml:space="preserve">Tapoglou, E., Tattini, J., Schmitz, A., Georgakaki, A., Długosz, M., Letout, S., Kuokkanen, A., Mountraki, A., Ince, E., Shtjefni, D., Joanny Ordonez, G., Eulaerts, O.D. y Grabowska, M., Clean Energy Technology Observatory: </w:t>
      </w:r>
      <w:r>
        <w:rPr>
          <w:rFonts w:ascii="Times New Roman" w:hAnsi="Times New Roman"/>
          <w:i/>
          <w:iCs/>
          <w:sz w:val="18"/>
        </w:rPr>
        <w:t>Wind energy in the European Union - 2023 Status Report on Technology Development Trends, Value Chains and Markets</w:t>
      </w:r>
      <w:r>
        <w:rPr>
          <w:rFonts w:ascii="Times New Roman" w:hAnsi="Times New Roman"/>
          <w:sz w:val="18"/>
        </w:rPr>
        <w:t xml:space="preserve"> [«Observatorio de las Tecnologías Energéticas Limpias: la energía eólica en la Unión Europea. Informe de situación de 2023 sobre desarrollo tecnológico, tendencias, cadenas de valor y mercados», documento en inglés], Oficina de Publicaciones de la Unión Europea, Luxemburgo, 2023, doi:10.2760/618644 (en línea), JRC135020.</w:t>
      </w:r>
      <w:bookmarkEnd w:id="64"/>
    </w:p>
  </w:footnote>
  <w:footnote w:id="122">
    <w:p w14:paraId="23F03654" w14:textId="77777777"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bookmarkStart w:id="65" w:name="_Hlk147828624"/>
      <w:r>
        <w:rPr>
          <w:rFonts w:ascii="Times New Roman" w:hAnsi="Times New Roman"/>
          <w:sz w:val="18"/>
        </w:rPr>
        <w:t xml:space="preserve">Informe de WindEurope: </w:t>
      </w:r>
      <w:hyperlink r:id="rId42" w:history="1">
        <w:r>
          <w:rPr>
            <w:rStyle w:val="Hyperlink"/>
            <w:rFonts w:ascii="Times New Roman" w:hAnsi="Times New Roman"/>
            <w:i/>
            <w:sz w:val="18"/>
          </w:rPr>
          <w:t>Wind energy in Europe:</w:t>
        </w:r>
      </w:hyperlink>
      <w:hyperlink r:id="rId43" w:history="1">
        <w:r>
          <w:rPr>
            <w:rStyle w:val="Hyperlink"/>
            <w:rFonts w:ascii="Times New Roman" w:hAnsi="Times New Roman"/>
            <w:i/>
            <w:sz w:val="18"/>
          </w:rPr>
          <w:t xml:space="preserve"> 2022 Statistics and the outlook for 2023-2027</w:t>
        </w:r>
      </w:hyperlink>
      <w:r>
        <w:t xml:space="preserve"> </w:t>
      </w:r>
      <w:r>
        <w:rPr>
          <w:rFonts w:ascii="Times New Roman" w:hAnsi="Times New Roman"/>
          <w:sz w:val="18"/>
        </w:rPr>
        <w:t xml:space="preserve">[«Energía eólica en Europa: estadísticas de 2022 y perspectivas para 2023-2027», documento en inglés], </w:t>
      </w:r>
      <w:r>
        <w:rPr>
          <w:rStyle w:val="Hyperlink"/>
          <w:rFonts w:ascii="Times New Roman" w:hAnsi="Times New Roman"/>
          <w:color w:val="auto"/>
          <w:sz w:val="18"/>
          <w:u w:val="none"/>
        </w:rPr>
        <w:t>28 de febrero de 2023.</w:t>
      </w:r>
      <w:bookmarkEnd w:id="65"/>
    </w:p>
  </w:footnote>
  <w:footnote w:id="123">
    <w:p w14:paraId="5160FF85" w14:textId="4C9A40AD"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66" w:name="_Hlk147828641"/>
      <w:r>
        <w:rPr>
          <w:rFonts w:ascii="Times New Roman" w:hAnsi="Times New Roman"/>
          <w:sz w:val="18"/>
        </w:rPr>
        <w:t>La cifra comunicada por Wind Europe de 30 GW/año es inferior a la que se obtendría del plan REPowerEU: 38,25 GW/año. La diferencia se explica por la utilización de diferentes factores de capacidad en los cálculos.</w:t>
      </w:r>
      <w:bookmarkEnd w:id="66"/>
    </w:p>
  </w:footnote>
  <w:footnote w:id="124">
    <w:p w14:paraId="11376457" w14:textId="019B68A5" w:rsidR="00C075ED" w:rsidRPr="006244EB"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Tapoglou, E., Tattini, J., Schmitz, A., Georgakaki, A., Długosz, M., Letout, S., Kuokkanen, A., Mountraki, A., Ince, E., Shtjefni, D., Joanny Ordonez, G., Eulaerts, O.D. y Grabowska, M., Clean Energy Technology Observatory: </w:t>
      </w:r>
      <w:r>
        <w:rPr>
          <w:rFonts w:ascii="Times New Roman" w:hAnsi="Times New Roman"/>
          <w:i/>
          <w:iCs/>
          <w:sz w:val="18"/>
        </w:rPr>
        <w:t>Wind energy in the European Union - 2023 Status Report on Technology Development Trends, Value Chains and Markets</w:t>
      </w:r>
      <w:r>
        <w:rPr>
          <w:rFonts w:ascii="Times New Roman" w:hAnsi="Times New Roman"/>
          <w:sz w:val="18"/>
        </w:rPr>
        <w:t xml:space="preserve"> [«Observatorio de las Tecnologías Energéticas Limpias: la energía eólica en la Unión Europea. Informe de situación de 2023 sobre desarrollo tecnológico, tendencias, cadenas de valor y mercados», documento en inglés], Oficina de Publicaciones de la Unión Europea, Luxemburgo, 2023, doi:10.2760/618644 (en línea), JRC135020.</w:t>
      </w:r>
    </w:p>
  </w:footnote>
  <w:footnote w:id="125">
    <w:p w14:paraId="4433B4B0" w14:textId="08E22814" w:rsidR="00C075ED" w:rsidRPr="006244EB" w:rsidRDefault="00C075ED" w:rsidP="00EB3E8B">
      <w:pPr>
        <w:pStyle w:val="FootnoteText"/>
        <w:ind w:left="284" w:hanging="284"/>
        <w:jc w:val="both"/>
      </w:pPr>
      <w:r>
        <w:rPr>
          <w:rStyle w:val="FootnoteReference"/>
          <w:rFonts w:ascii="Times New Roman" w:hAnsi="Times New Roman" w:cs="Times New Roman"/>
          <w:sz w:val="18"/>
          <w:szCs w:val="18"/>
        </w:rPr>
        <w:footnoteRef/>
      </w:r>
      <w:r>
        <w:t xml:space="preserve"> </w:t>
      </w:r>
      <w:r>
        <w:rPr>
          <w:rFonts w:ascii="Times New Roman" w:hAnsi="Times New Roman"/>
          <w:sz w:val="18"/>
        </w:rPr>
        <w:tab/>
        <w:t>Para más información:</w:t>
      </w:r>
      <w:r>
        <w:t xml:space="preserve"> </w:t>
      </w:r>
      <w:hyperlink r:id="rId44" w:history="1">
        <w:r>
          <w:rPr>
            <w:rStyle w:val="Hyperlink"/>
            <w:rFonts w:ascii="Times New Roman" w:hAnsi="Times New Roman"/>
            <w:sz w:val="18"/>
          </w:rPr>
          <w:t>https://energy.ec.europa.eu/news/member-states-agree-new-ambition-expanding-offshore-renewable-energy-2023-01-19_en</w:t>
        </w:r>
      </w:hyperlink>
      <w:r>
        <w:rPr>
          <w:rFonts w:ascii="Times New Roman" w:hAnsi="Times New Roman"/>
          <w:sz w:val="18"/>
        </w:rPr>
        <w:t xml:space="preserve">. </w:t>
      </w:r>
      <w:r>
        <w:t xml:space="preserve"> </w:t>
      </w:r>
    </w:p>
  </w:footnote>
  <w:footnote w:id="126">
    <w:p w14:paraId="15111AFA" w14:textId="77777777"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Análisis del JRC basado en Orbis, Pitchbook, 2023.</w:t>
      </w:r>
    </w:p>
  </w:footnote>
  <w:footnote w:id="127">
    <w:p w14:paraId="4C44933B" w14:textId="77777777"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Wind Europe, comunicado de prensa:</w:t>
      </w:r>
      <w:r>
        <w:rPr>
          <w:rFonts w:ascii="Times New Roman" w:hAnsi="Times New Roman"/>
          <w:i/>
          <w:sz w:val="18"/>
        </w:rPr>
        <w:t xml:space="preserve"> </w:t>
      </w:r>
      <w:hyperlink r:id="rId45" w:history="1">
        <w:r>
          <w:rPr>
            <w:rStyle w:val="Hyperlink"/>
            <w:rFonts w:ascii="Times New Roman" w:hAnsi="Times New Roman"/>
            <w:i/>
            <w:sz w:val="18"/>
          </w:rPr>
          <w:t>Investments in wind energy are down – Europe must get market design and green industrial policy right</w:t>
        </w:r>
      </w:hyperlink>
      <w:r>
        <w:rPr>
          <w:rFonts w:ascii="Times New Roman" w:hAnsi="Times New Roman"/>
          <w:sz w:val="18"/>
        </w:rPr>
        <w:t xml:space="preserve"> [«Las inversiones en energía eólica están disminuyendo: Europa debe acertar en el diseño del mercado y la política industrial ecológica», documento en inglés], 2023.</w:t>
      </w:r>
    </w:p>
  </w:footnote>
  <w:footnote w:id="128">
    <w:p w14:paraId="7DD110E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COM(2020) 741 final. </w:t>
      </w:r>
    </w:p>
  </w:footnote>
  <w:footnote w:id="129">
    <w:p w14:paraId="588353C6" w14:textId="330BF0B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Tapoglou, E., Tattini, J., Schmitz, A., Georgakaki, A., Długosz, M., Letout, S., Kuokkanen, A., Mountraki, A., Ince, E., Shtjefni, D., Joanny Ordonez, G., Eulaerts, O.D. y Grabowska, M., Clean Energy Technology Observatory: Ocean Energy in the European Union - 2023 Status Report on Technology Development Trends, Value Chains and Markets [«Observatorio de las Tecnologías Energéticas Limpias: la energía oceánica en la Unión Europea. Informe de situación de 2023 sobre desarrollo tecnológico, tendencias, cadenas de valor y mercados», documento en inglés], Oficina de Publicaciones de la Unión Europea, Luxemburgo, 2023, doi: 10.2760/82978 (en línea), JRC135021.</w:t>
      </w:r>
    </w:p>
  </w:footnote>
  <w:footnote w:id="130">
    <w:p w14:paraId="4131C08D" w14:textId="22411B4E" w:rsidR="00C075ED" w:rsidRPr="00EA36B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Esta central, muy innovadora en el momento de su construcción, tuvo un impacto medioambiental significativo que hoy en día sería difícilmente aceptable. </w:t>
      </w:r>
      <w:r w:rsidRPr="00C223F1">
        <w:rPr>
          <w:rFonts w:ascii="Times New Roman" w:hAnsi="Times New Roman"/>
          <w:sz w:val="18"/>
          <w:lang w:val="fr-BE"/>
        </w:rPr>
        <w:t xml:space="preserve">SONNIC Ewan, « La Rance, 50 ans de turbinage. Et après ? Le statu quo est-il la seule option pertinente ? », L'Information géographique, 2017/4 (Vol. 81), p. 103-128. </w:t>
      </w:r>
      <w:r>
        <w:rPr>
          <w:rFonts w:ascii="Times New Roman" w:hAnsi="Times New Roman"/>
          <w:sz w:val="18"/>
        </w:rPr>
        <w:t xml:space="preserve">DOI: 10.3917/lig.814.0103. </w:t>
      </w:r>
    </w:p>
  </w:footnote>
  <w:footnote w:id="131">
    <w:p w14:paraId="2CB4B119"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En aguas de la UE se instalaron en 2022 62 kW de nueva capacidad de energía mareomotriz y 33,5 kW de energía undimotriz. </w:t>
      </w:r>
    </w:p>
  </w:footnote>
  <w:footnote w:id="132">
    <w:p w14:paraId="2AFAD7B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69" w:name="_Hlk147828723"/>
      <w:r>
        <w:rPr>
          <w:rFonts w:ascii="Times New Roman" w:hAnsi="Times New Roman"/>
          <w:sz w:val="18"/>
        </w:rPr>
        <w:t xml:space="preserve">Agencia Internacional de Energías Renovables (IRENA): </w:t>
      </w:r>
      <w:r>
        <w:rPr>
          <w:rFonts w:ascii="Times New Roman" w:hAnsi="Times New Roman"/>
          <w:i/>
          <w:sz w:val="18"/>
        </w:rPr>
        <w:t>Perspectiva mundial de las transiciones energéticas 2023</w:t>
      </w:r>
      <w:r>
        <w:rPr>
          <w:rFonts w:ascii="Times New Roman" w:hAnsi="Times New Roman"/>
          <w:sz w:val="18"/>
        </w:rPr>
        <w:t>:</w:t>
      </w:r>
      <w:r>
        <w:rPr>
          <w:rFonts w:ascii="Times New Roman" w:hAnsi="Times New Roman"/>
          <w:i/>
          <w:sz w:val="18"/>
        </w:rPr>
        <w:t xml:space="preserve"> ruta de 1,5 °C, volumen 1, Abu Dabi</w:t>
      </w:r>
      <w:r>
        <w:rPr>
          <w:rFonts w:ascii="Times New Roman" w:hAnsi="Times New Roman"/>
          <w:sz w:val="18"/>
        </w:rPr>
        <w:t>, 2023.</w:t>
      </w:r>
      <w:bookmarkEnd w:id="69"/>
    </w:p>
  </w:footnote>
  <w:footnote w:id="133">
    <w:p w14:paraId="743138F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Ocean Energy Europe (OEE), temas políticos: </w:t>
      </w:r>
      <w:hyperlink r:id="rId46" w:history="1">
        <w:r>
          <w:rPr>
            <w:rStyle w:val="Hyperlink"/>
            <w:rFonts w:ascii="Times New Roman" w:hAnsi="Times New Roman"/>
            <w:i/>
            <w:sz w:val="18"/>
          </w:rPr>
          <w:t>Investigación e innovación</w:t>
        </w:r>
      </w:hyperlink>
      <w:r>
        <w:t>, disponible en inglés.</w:t>
      </w:r>
    </w:p>
  </w:footnote>
  <w:footnote w:id="134">
    <w:p w14:paraId="1F63B7F2"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ETIP Ocean, </w:t>
      </w:r>
      <w:hyperlink r:id="rId47" w:history="1">
        <w:r>
          <w:rPr>
            <w:rStyle w:val="Hyperlink"/>
            <w:rFonts w:ascii="Times New Roman" w:hAnsi="Times New Roman"/>
            <w:i/>
            <w:sz w:val="18"/>
          </w:rPr>
          <w:t>Industrial Roadmap for Ocean Energy</w:t>
        </w:r>
      </w:hyperlink>
      <w:r>
        <w:rPr>
          <w:rFonts w:ascii="Times New Roman" w:hAnsi="Times New Roman"/>
          <w:sz w:val="18"/>
        </w:rPr>
        <w:t>, [«Hoja de ruta industrial para la energía oceánica», documento en inglés], 1 de julio de 2022.</w:t>
      </w:r>
    </w:p>
  </w:footnote>
  <w:footnote w:id="135">
    <w:p w14:paraId="4F9492C2" w14:textId="77D6379B" w:rsidR="00C075ED" w:rsidRPr="00701121" w:rsidRDefault="00C075ED" w:rsidP="00EB3E8B">
      <w:pPr>
        <w:pStyle w:val="FootnoteText"/>
        <w:ind w:left="284" w:hanging="284"/>
        <w:jc w:val="both"/>
        <w:rPr>
          <w:rFonts w:ascii="Times New Roman" w:hAnsi="Times New Roman" w:cs="Times New Roman"/>
          <w:sz w:val="18"/>
          <w:szCs w:val="18"/>
          <w:highlight w:val="magenta"/>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Tapoglou, E., Tattini, J., Schmitz, A., Georgakaki, A., Długosz, M., Letout, S., Kuokkanen, A., Mountraki, A., Ince, E., Shtjefni, D., Joanny Ordonez, G., Eulaerts, O.D. y Grabowska, M., Clean Energy Technology Observatory: Ocean Energy in the European Union - 2023 Status Report on Technology Development Trends, Value Chains and Markets [«Observatorio de las Tecnologías Energéticas Limpias: la energía oceánica en la Unión Europea. Informe de situación de 2023 sobre desarrollo tecnológico, tendencias, cadenas de valor y mercados», documento en inglés], Oficina de Publicaciones de la Unión Europea, Luxemburgo, 2023, doi: 10.2760/82978 (en línea), JRC135021.</w:t>
      </w:r>
    </w:p>
  </w:footnote>
  <w:footnote w:id="136">
    <w:p w14:paraId="11CF0022" w14:textId="485CCB6C" w:rsidR="00C075ED" w:rsidRPr="002A647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Ibídem.</w:t>
      </w:r>
    </w:p>
  </w:footnote>
  <w:footnote w:id="137">
    <w:p w14:paraId="4D44E228" w14:textId="29DB661C"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Ibídem. </w:t>
      </w:r>
    </w:p>
  </w:footnote>
  <w:footnote w:id="138">
    <w:p w14:paraId="66A4EF25"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Aprobación definitiva por parte de los Estados miembros, el 28 de marzo de 2023, del Reglamento por el que se prohíbe la venta de coches y furgonetas emisores de carbono después de 2035.</w:t>
      </w:r>
    </w:p>
  </w:footnote>
  <w:footnote w:id="139">
    <w:p w14:paraId="60775DBE" w14:textId="0CA10910"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La Alianza Europea de Baterías (junio de 2023); pero, por ejemplo, los datos del Instituto Fraunhofer indican un amplio intervalo de capacidades de producción de baterías en la CE para 2030, desde un mínimo de 677 GWh hasta una media de 1770 GWh y un máximo de 2050 GWh.</w:t>
      </w:r>
    </w:p>
  </w:footnote>
  <w:footnote w:id="140">
    <w:p w14:paraId="5E54332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4" w:name="_Hlk147828848"/>
      <w:r>
        <w:rPr>
          <w:rFonts w:ascii="Times New Roman" w:hAnsi="Times New Roman"/>
          <w:sz w:val="18"/>
        </w:rPr>
        <w:t xml:space="preserve">Informe Especial del Tribunal de Cuentas Europeo: </w:t>
      </w:r>
      <w:hyperlink r:id="rId48" w:history="1">
        <w:r>
          <w:rPr>
            <w:rStyle w:val="Hyperlink"/>
            <w:rFonts w:ascii="Times New Roman" w:hAnsi="Times New Roman"/>
            <w:i/>
            <w:sz w:val="18"/>
          </w:rPr>
          <w:t>La política industrial de la UE en el ámbito de las baterías</w:t>
        </w:r>
      </w:hyperlink>
      <w:r>
        <w:rPr>
          <w:rFonts w:ascii="Times New Roman" w:hAnsi="Times New Roman"/>
          <w:sz w:val="18"/>
        </w:rPr>
        <w:t>, 2023. Intervalo: entre 700 GWh y 1 200 GWh/a.</w:t>
      </w:r>
      <w:bookmarkEnd w:id="74"/>
    </w:p>
  </w:footnote>
  <w:footnote w:id="141">
    <w:p w14:paraId="5F3BB6BC"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49" w:history="1">
        <w:r>
          <w:rPr>
            <w:rStyle w:val="Hyperlink"/>
            <w:rFonts w:ascii="Times New Roman" w:hAnsi="Times New Roman"/>
            <w:sz w:val="18"/>
          </w:rPr>
          <w:t>Transport &amp; Environment</w:t>
        </w:r>
      </w:hyperlink>
      <w:r>
        <w:rPr>
          <w:rFonts w:ascii="Times New Roman" w:hAnsi="Times New Roman"/>
          <w:sz w:val="18"/>
        </w:rPr>
        <w:t>, a 6 de marzo de 2023. Intervalo: hasta 50 gigafábricas con 1 800 GWh.</w:t>
      </w:r>
    </w:p>
  </w:footnote>
  <w:footnote w:id="142">
    <w:p w14:paraId="10DE3A65" w14:textId="673890D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75" w:name="_Hlk147828884"/>
      <w:r>
        <w:rPr>
          <w:rFonts w:ascii="Times New Roman" w:hAnsi="Times New Roman"/>
          <w:sz w:val="18"/>
        </w:rPr>
        <w:t xml:space="preserve"> </w:t>
      </w:r>
      <w:r>
        <w:rPr>
          <w:rFonts w:ascii="Times New Roman" w:hAnsi="Times New Roman"/>
          <w:sz w:val="18"/>
        </w:rPr>
        <w:tab/>
        <w:t xml:space="preserve">Para más información: </w:t>
      </w:r>
      <w:hyperlink r:id="rId50" w:history="1">
        <w:r>
          <w:rPr>
            <w:rStyle w:val="Hyperlink"/>
            <w:rFonts w:ascii="Times New Roman" w:hAnsi="Times New Roman"/>
            <w:sz w:val="18"/>
          </w:rPr>
          <w:t>Alianza Europea de Baterías</w:t>
        </w:r>
      </w:hyperlink>
      <w:r>
        <w:rPr>
          <w:rFonts w:ascii="Times New Roman" w:hAnsi="Times New Roman"/>
          <w:sz w:val="18"/>
        </w:rPr>
        <w:t xml:space="preserve"> (Europa.eu) (disponible en inglés).</w:t>
      </w:r>
      <w:bookmarkEnd w:id="75"/>
    </w:p>
  </w:footnote>
  <w:footnote w:id="143">
    <w:p w14:paraId="3872DDF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Frente al 9,1 % en 2021 y de tan solo el 1,9 % en 2019.</w:t>
      </w:r>
    </w:p>
  </w:footnote>
  <w:footnote w:id="144">
    <w:p w14:paraId="29BA9CE2"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6" w:name="_Hlk147828912"/>
      <w:r>
        <w:rPr>
          <w:rFonts w:ascii="Times New Roman" w:hAnsi="Times New Roman"/>
          <w:sz w:val="18"/>
        </w:rPr>
        <w:t xml:space="preserve">Asociación de Fabricantes Europeos de Automóviles (ACEA, por sus siglas en francés), comunicado de prensa: </w:t>
      </w:r>
      <w:hyperlink r:id="rId51" w:history="1">
        <w:r>
          <w:rPr>
            <w:rStyle w:val="Hyperlink"/>
            <w:rFonts w:ascii="Times New Roman" w:hAnsi="Times New Roman"/>
            <w:i/>
            <w:sz w:val="18"/>
          </w:rPr>
          <w:t>Fuel types of new cars: battery electric 12.1%, hybrid 22.6% and petrol 36.4% market share full-year 2022</w:t>
        </w:r>
      </w:hyperlink>
      <w:r>
        <w:rPr>
          <w:rFonts w:ascii="Times New Roman" w:hAnsi="Times New Roman"/>
          <w:i/>
          <w:sz w:val="18"/>
        </w:rPr>
        <w:t xml:space="preserve"> </w:t>
      </w:r>
      <w:r>
        <w:rPr>
          <w:rFonts w:ascii="Times New Roman" w:hAnsi="Times New Roman"/>
          <w:sz w:val="18"/>
        </w:rPr>
        <w:t>[«Tipos de combustible de los nuevos vehículos: cuotas de mercado del 12,1 % para eléctricos de batería, del 22,6 % para híbridos y del 36,4 % para gasolina durante todo el año 2022», documento en inglés], 1 de febrero de 2023.</w:t>
      </w:r>
      <w:bookmarkEnd w:id="76"/>
    </w:p>
  </w:footnote>
  <w:footnote w:id="145">
    <w:p w14:paraId="77215481" w14:textId="191ECCC6" w:rsidR="00C075ED" w:rsidRPr="00701121"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Véase: </w:t>
      </w:r>
      <w:hyperlink r:id="rId52" w:history="1">
        <w:r>
          <w:rPr>
            <w:rStyle w:val="Hyperlink"/>
            <w:rFonts w:ascii="Times New Roman" w:hAnsi="Times New Roman"/>
            <w:sz w:val="18"/>
          </w:rPr>
          <w:t>Observatorio Europeo de Combustibles Alternativos</w:t>
        </w:r>
      </w:hyperlink>
      <w:r>
        <w:rPr>
          <w:rFonts w:ascii="Times New Roman" w:hAnsi="Times New Roman"/>
          <w:sz w:val="18"/>
        </w:rPr>
        <w:t xml:space="preserve"> (europa.eu). </w:t>
      </w:r>
    </w:p>
  </w:footnote>
  <w:footnote w:id="146">
    <w:p w14:paraId="54B3C0D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7" w:name="_Hlk147828954"/>
      <w:r>
        <w:rPr>
          <w:rFonts w:ascii="Times New Roman" w:hAnsi="Times New Roman"/>
          <w:sz w:val="18"/>
        </w:rPr>
        <w:t xml:space="preserve">Agencia Internacional de la Energía (AIE), </w:t>
      </w:r>
      <w:hyperlink r:id="rId53" w:history="1">
        <w:r>
          <w:rPr>
            <w:rStyle w:val="Hyperlink"/>
            <w:rFonts w:ascii="Times New Roman" w:hAnsi="Times New Roman"/>
            <w:i/>
            <w:sz w:val="18"/>
          </w:rPr>
          <w:t>Global EV Outlook 2023</w:t>
        </w:r>
        <w:r>
          <w:rPr>
            <w:rStyle w:val="Hyperlink"/>
            <w:rFonts w:ascii="Times New Roman" w:hAnsi="Times New Roman"/>
            <w:sz w:val="18"/>
          </w:rPr>
          <w:t xml:space="preserve"> </w:t>
        </w:r>
        <w:r>
          <w:rPr>
            <w:rStyle w:val="Hyperlink"/>
            <w:rFonts w:ascii="Times New Roman" w:hAnsi="Times New Roman"/>
            <w:i/>
            <w:sz w:val="18"/>
          </w:rPr>
          <w:t>Executive Summary</w:t>
        </w:r>
      </w:hyperlink>
      <w:r>
        <w:rPr>
          <w:rFonts w:ascii="Times New Roman" w:hAnsi="Times New Roman"/>
          <w:sz w:val="18"/>
        </w:rPr>
        <w:t xml:space="preserve"> [«Resumen ejecutivo de Perspectivas mundiales de los vehículos eléctricos 2023», documento en inglés], 2023.</w:t>
      </w:r>
      <w:bookmarkEnd w:id="77"/>
    </w:p>
  </w:footnote>
  <w:footnote w:id="147">
    <w:p w14:paraId="0EFABCA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Para más información: </w:t>
      </w:r>
      <w:hyperlink r:id="rId54" w:history="1">
        <w:r>
          <w:rPr>
            <w:rStyle w:val="Hyperlink"/>
            <w:rFonts w:ascii="Times New Roman" w:hAnsi="Times New Roman"/>
            <w:sz w:val="18"/>
          </w:rPr>
          <w:t>Alianza Europea de Baterías</w:t>
        </w:r>
      </w:hyperlink>
      <w:r>
        <w:rPr>
          <w:rStyle w:val="Hyperlink"/>
          <w:rFonts w:ascii="Times New Roman" w:hAnsi="Times New Roman"/>
          <w:sz w:val="18"/>
        </w:rPr>
        <w:t xml:space="preserve"> - EBA250</w:t>
      </w:r>
      <w:r>
        <w:rPr>
          <w:rFonts w:ascii="Times New Roman" w:hAnsi="Times New Roman"/>
          <w:sz w:val="18"/>
        </w:rPr>
        <w:t>.</w:t>
      </w:r>
    </w:p>
  </w:footnote>
  <w:footnote w:id="148">
    <w:p w14:paraId="4422ED8A" w14:textId="77777777" w:rsidR="00C075ED"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8" w:name="_Hlk147828984"/>
      <w:r>
        <w:rPr>
          <w:rFonts w:ascii="Times New Roman" w:hAnsi="Times New Roman"/>
          <w:sz w:val="18"/>
        </w:rPr>
        <w:t xml:space="preserve">EMMES 7.0, LCP-Delta, </w:t>
      </w:r>
      <w:r>
        <w:rPr>
          <w:rFonts w:ascii="Times New Roman" w:hAnsi="Times New Roman"/>
          <w:i/>
          <w:sz w:val="18"/>
        </w:rPr>
        <w:t>status quo</w:t>
      </w:r>
      <w:r>
        <w:rPr>
          <w:rFonts w:ascii="Times New Roman" w:hAnsi="Times New Roman"/>
          <w:sz w:val="18"/>
        </w:rPr>
        <w:t xml:space="preserve"> del primer trimestre de 2023: 11 GW/14,7 GWh; la extrapolación de Fraunhofer llega incluso a 20 GWh.</w:t>
      </w:r>
      <w:bookmarkEnd w:id="78"/>
    </w:p>
    <w:p w14:paraId="0AFF8F71" w14:textId="77777777" w:rsidR="00C075ED" w:rsidRPr="006926D7" w:rsidRDefault="00C075ED" w:rsidP="00EB3E8B">
      <w:pPr>
        <w:pStyle w:val="FootnoteText"/>
        <w:ind w:left="284"/>
        <w:jc w:val="both"/>
        <w:rPr>
          <w:rFonts w:ascii="Times New Roman" w:hAnsi="Times New Roman" w:cs="Times New Roman"/>
          <w:sz w:val="18"/>
          <w:szCs w:val="18"/>
        </w:rPr>
      </w:pPr>
      <w:r>
        <w:rPr>
          <w:rFonts w:ascii="Times New Roman" w:hAnsi="Times New Roman"/>
          <w:sz w:val="18"/>
        </w:rPr>
        <w:t xml:space="preserve">Datos de la industria. EMMES 7.0 - marzo de 2023 | EASE: ¿Por qué el almacenamiento de energía? | EASE (ease-storage.eu), </w:t>
      </w:r>
      <w:r>
        <w:rPr>
          <w:rFonts w:ascii="Times New Roman" w:hAnsi="Times New Roman"/>
          <w:i/>
          <w:iCs/>
          <w:sz w:val="18"/>
        </w:rPr>
        <w:t>status quo</w:t>
      </w:r>
      <w:r>
        <w:rPr>
          <w:rFonts w:ascii="Times New Roman" w:hAnsi="Times New Roman"/>
          <w:sz w:val="18"/>
        </w:rPr>
        <w:t xml:space="preserve"> del primer trimestre de 2023: 11 GW/14,7 GWh; las estimaciones extrapoladas del Instituto Fraunhofer llegan incluso a 20 GWh. </w:t>
      </w:r>
    </w:p>
  </w:footnote>
  <w:footnote w:id="149">
    <w:p w14:paraId="26441890"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9" w:name="_Hlk147829009"/>
      <w:r>
        <w:rPr>
          <w:rFonts w:ascii="Times New Roman" w:hAnsi="Times New Roman"/>
          <w:sz w:val="18"/>
        </w:rPr>
        <w:t>Agencia Internacional de la Energía (AIE),</w:t>
      </w:r>
      <w:r>
        <w:t xml:space="preserve"> </w:t>
      </w:r>
      <w:hyperlink r:id="rId55" w:history="1">
        <w:r>
          <w:rPr>
            <w:rStyle w:val="Hyperlink"/>
            <w:rFonts w:ascii="Times New Roman" w:hAnsi="Times New Roman"/>
            <w:i/>
            <w:sz w:val="18"/>
          </w:rPr>
          <w:t>Global EV Outlook 2023</w:t>
        </w:r>
      </w:hyperlink>
      <w:r>
        <w:t xml:space="preserve"> </w:t>
      </w:r>
      <w:r>
        <w:rPr>
          <w:rFonts w:ascii="Times New Roman" w:hAnsi="Times New Roman"/>
          <w:sz w:val="18"/>
        </w:rPr>
        <w:t>[«Perspectivas mundiales de los vehículos eléctricos 2023», documento en inglés]</w:t>
      </w:r>
      <w:r>
        <w:rPr>
          <w:rFonts w:ascii="Times New Roman" w:hAnsi="Times New Roman"/>
          <w:i/>
          <w:sz w:val="18"/>
        </w:rPr>
        <w:t>,</w:t>
      </w:r>
      <w:r>
        <w:rPr>
          <w:rFonts w:ascii="Times New Roman" w:hAnsi="Times New Roman"/>
          <w:sz w:val="18"/>
        </w:rPr>
        <w:t xml:space="preserve"> 2023.</w:t>
      </w:r>
      <w:bookmarkEnd w:id="79"/>
    </w:p>
  </w:footnote>
  <w:footnote w:id="150">
    <w:p w14:paraId="1D6F0F9A"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0" w:name="_Hlk147829021"/>
      <w:r>
        <w:rPr>
          <w:rFonts w:ascii="Times New Roman" w:hAnsi="Times New Roman"/>
          <w:sz w:val="18"/>
        </w:rPr>
        <w:t xml:space="preserve">BloombergNEF, comunicado de prensa: </w:t>
      </w:r>
      <w:hyperlink r:id="rId56" w:history="1">
        <w:r>
          <w:rPr>
            <w:rStyle w:val="Hyperlink"/>
            <w:rFonts w:ascii="Times New Roman" w:hAnsi="Times New Roman"/>
            <w:i/>
            <w:sz w:val="18"/>
          </w:rPr>
          <w:t>Lithium-ion Battery Pack Prices Rise for First Time to an Average of $151/kWh</w:t>
        </w:r>
      </w:hyperlink>
      <w:r>
        <w:rPr>
          <w:rFonts w:ascii="Times New Roman" w:hAnsi="Times New Roman"/>
          <w:sz w:val="18"/>
        </w:rPr>
        <w:t>, [«Los precios de los conjuntos de baterías de ion-litio aumentan por primera vez a una media de 151 USD/kWh», documento en inglés], 6 de diciembre de 2022.</w:t>
      </w:r>
      <w:bookmarkEnd w:id="80"/>
    </w:p>
  </w:footnote>
  <w:footnote w:id="151">
    <w:p w14:paraId="48B63EC4"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En 2022 eran un 20 % más baratas que las pilas de óxido de litio, níquel, manganeso y cobalto. </w:t>
      </w:r>
    </w:p>
  </w:footnote>
  <w:footnote w:id="152">
    <w:p w14:paraId="1292CB69"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Tipo de cambio 0,9 EUR = 1 USD utilizado en el documento completo para la conversión de divisas cuando las fuentes dan valores en USD.</w:t>
      </w:r>
    </w:p>
  </w:footnote>
  <w:footnote w:id="153">
    <w:p w14:paraId="24922555"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InsideEVs, comunicado de prensa: </w:t>
      </w:r>
      <w:hyperlink r:id="rId57" w:history="1">
        <w:r>
          <w:rPr>
            <w:rStyle w:val="Hyperlink"/>
            <w:rFonts w:ascii="Times New Roman" w:hAnsi="Times New Roman"/>
            <w:i/>
            <w:sz w:val="18"/>
          </w:rPr>
          <w:t>Europe:</w:t>
        </w:r>
      </w:hyperlink>
      <w:hyperlink r:id="rId58" w:history="1">
        <w:r>
          <w:rPr>
            <w:rStyle w:val="Hyperlink"/>
            <w:rFonts w:ascii="Times New Roman" w:hAnsi="Times New Roman"/>
            <w:i/>
            <w:sz w:val="18"/>
          </w:rPr>
          <w:t xml:space="preserve"> Plug-In Car Sales Accelerated In March 2023</w:t>
        </w:r>
      </w:hyperlink>
      <w:r>
        <w:rPr>
          <w:rFonts w:ascii="Times New Roman" w:hAnsi="Times New Roman"/>
          <w:sz w:val="18"/>
        </w:rPr>
        <w:t>, [«Europa: las ventas de vehículos eléctricos enchufables se aceleraron en marzo de 2023», documento en inglés], 10 de mayo de 2023.</w:t>
      </w:r>
    </w:p>
  </w:footnote>
  <w:footnote w:id="154">
    <w:p w14:paraId="15AEEB79" w14:textId="77777777" w:rsidR="0080502A" w:rsidRPr="00AB605B"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La Casa Blanca, </w:t>
      </w:r>
      <w:hyperlink r:id="rId59" w:history="1">
        <w:r>
          <w:rPr>
            <w:rStyle w:val="Hyperlink"/>
            <w:rFonts w:ascii="Times New Roman" w:hAnsi="Times New Roman"/>
            <w:sz w:val="18"/>
          </w:rPr>
          <w:t>Investing in America</w:t>
        </w:r>
      </w:hyperlink>
      <w:r>
        <w:rPr>
          <w:rFonts w:ascii="Times New Roman" w:hAnsi="Times New Roman"/>
          <w:sz w:val="18"/>
        </w:rPr>
        <w:t xml:space="preserve"> [«Invertir en América», documento en inglés], 2023.</w:t>
      </w:r>
    </w:p>
  </w:footnote>
  <w:footnote w:id="155">
    <w:p w14:paraId="728C4045" w14:textId="77777777" w:rsidR="0080502A" w:rsidRPr="00AF7557" w:rsidRDefault="0080502A" w:rsidP="0080502A">
      <w:pPr>
        <w:pStyle w:val="FootnoteText"/>
        <w:ind w:left="284" w:hanging="284"/>
        <w:jc w:val="both"/>
      </w:pPr>
      <w:r>
        <w:rPr>
          <w:rStyle w:val="FootnoteReference"/>
          <w:rFonts w:ascii="Times New Roman" w:hAnsi="Times New Roman" w:cs="Times New Roman"/>
          <w:sz w:val="18"/>
          <w:szCs w:val="18"/>
        </w:rPr>
        <w:footnoteRef/>
      </w:r>
      <w:r>
        <w:rPr>
          <w:rStyle w:val="FootnoteReference"/>
          <w:rFonts w:ascii="Times New Roman" w:hAnsi="Times New Roman"/>
          <w:sz w:val="18"/>
        </w:rPr>
        <w:t xml:space="preserve"> </w:t>
      </w:r>
      <w:r>
        <w:tab/>
      </w:r>
      <w:r>
        <w:rPr>
          <w:rFonts w:ascii="Times New Roman" w:hAnsi="Times New Roman"/>
          <w:sz w:val="18"/>
        </w:rPr>
        <w:t xml:space="preserve">Sobre la base de un tipo de cambio medio de 0,8455 EUR por 1 USD durante el año 2021. Véase: </w:t>
      </w:r>
      <w:hyperlink r:id="rId60" w:history="1">
        <w:r>
          <w:rPr>
            <w:rStyle w:val="Hyperlink"/>
            <w:rFonts w:ascii="Times New Roman" w:hAnsi="Times New Roman"/>
            <w:sz w:val="18"/>
          </w:rPr>
          <w:t>https://www.ecb.europa.eu/stats/policy_and_exchange_rates/euro_reference_exchange_rates/html/eurofxref-graph-usd.en.html</w:t>
        </w:r>
      </w:hyperlink>
      <w:r>
        <w:t xml:space="preserve"> </w:t>
      </w:r>
      <w:r>
        <w:rPr>
          <w:rFonts w:ascii="Times New Roman" w:hAnsi="Times New Roman"/>
          <w:sz w:val="18"/>
        </w:rPr>
        <w:t>(disponible en inglés).</w:t>
      </w:r>
    </w:p>
  </w:footnote>
  <w:footnote w:id="156">
    <w:p w14:paraId="098A8391"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Bloomberg NEF, 2023 Q1 - Energy Transition Investment Trends report [«Primer trimestre de 2023. Informe sobre las tendencias de inversión en transición energética», documento en inglés].</w:t>
      </w:r>
    </w:p>
  </w:footnote>
  <w:footnote w:id="157">
    <w:p w14:paraId="21E605C1" w14:textId="77777777" w:rsidR="0080502A" w:rsidRPr="003931B8" w:rsidRDefault="0080502A" w:rsidP="0080502A">
      <w:pPr>
        <w:pStyle w:val="FootnoteText"/>
        <w:ind w:left="284" w:hanging="284"/>
        <w:jc w:val="both"/>
      </w:pPr>
      <w:r>
        <w:rPr>
          <w:rStyle w:val="FootnoteReference"/>
          <w:rFonts w:ascii="Times New Roman" w:hAnsi="Times New Roman" w:cs="Times New Roman"/>
          <w:sz w:val="18"/>
          <w:szCs w:val="18"/>
        </w:rPr>
        <w:footnoteRef/>
      </w:r>
      <w:r>
        <w:t xml:space="preserve"> </w:t>
      </w:r>
      <w:r>
        <w:tab/>
      </w:r>
      <w:r>
        <w:rPr>
          <w:rFonts w:ascii="Times New Roman" w:hAnsi="Times New Roman"/>
          <w:sz w:val="18"/>
        </w:rPr>
        <w:t xml:space="preserve">BenchmarkSource, artículo: </w:t>
      </w:r>
      <w:hyperlink r:id="rId61" w:history="1">
        <w:r>
          <w:rPr>
            <w:rStyle w:val="Hyperlink"/>
            <w:rFonts w:ascii="Times New Roman" w:hAnsi="Times New Roman"/>
            <w:sz w:val="18"/>
          </w:rPr>
          <w:t>IRA supercharges USA’s gigafactory capacity pipeline as it overtakes Europe for first time</w:t>
        </w:r>
      </w:hyperlink>
      <w:r>
        <w:rPr>
          <w:rFonts w:ascii="Times New Roman" w:hAnsi="Times New Roman"/>
          <w:sz w:val="18"/>
        </w:rPr>
        <w:t xml:space="preserve"> [«La IRA sobrecarga la capacidad en cartera de la gigafábrica de los Estados Unidos. y supera a Europa por primera vez», documento en inglés], 2 de junio de 2023.</w:t>
      </w:r>
    </w:p>
  </w:footnote>
  <w:footnote w:id="158">
    <w:p w14:paraId="107779CF"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Alianza Europea de Baterías, </w:t>
      </w:r>
      <w:hyperlink r:id="rId62" w:history="1">
        <w:r>
          <w:rPr>
            <w:rStyle w:val="Hyperlink"/>
            <w:rFonts w:ascii="Times New Roman" w:hAnsi="Times New Roman"/>
            <w:sz w:val="18"/>
          </w:rPr>
          <w:t>Discussion Paper for the 7th High-Level Meeting of the European Battery Alliance</w:t>
        </w:r>
      </w:hyperlink>
      <w:r>
        <w:rPr>
          <w:rFonts w:ascii="Times New Roman" w:hAnsi="Times New Roman"/>
          <w:sz w:val="18"/>
        </w:rPr>
        <w:t xml:space="preserve"> [Documento de reflexión para la 7.ª reunión de alto nivel de la Alianza Europea de Baterías].</w:t>
      </w:r>
    </w:p>
  </w:footnote>
  <w:footnote w:id="159">
    <w:p w14:paraId="5288B29F"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Transport &amp; Environment, Informe: </w:t>
      </w:r>
      <w:hyperlink r:id="rId63" w:history="1">
        <w:r>
          <w:rPr>
            <w:rStyle w:val="Hyperlink"/>
            <w:rFonts w:ascii="Times New Roman" w:hAnsi="Times New Roman"/>
            <w:i/>
            <w:sz w:val="18"/>
          </w:rPr>
          <w:t>How not to lose it all</w:t>
        </w:r>
      </w:hyperlink>
      <w:r>
        <w:rPr>
          <w:rFonts w:ascii="Times New Roman" w:hAnsi="Times New Roman"/>
          <w:sz w:val="18"/>
        </w:rPr>
        <w:t xml:space="preserve"> [«Cómo no perderlo todo», documento en inglés], marzo de 2023.</w:t>
      </w:r>
    </w:p>
  </w:footnote>
  <w:footnote w:id="160">
    <w:p w14:paraId="5C83CE81"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1" w:name="_Hlk147846972"/>
      <w:r>
        <w:rPr>
          <w:rFonts w:ascii="Times New Roman" w:hAnsi="Times New Roman"/>
          <w:sz w:val="18"/>
        </w:rPr>
        <w:t xml:space="preserve">Datos de la industria. EMMES 7.0 - marzo de 2023 | EASE: ¿Por qué el almacenamiento de energía? | EASE (ease-storage.eu), </w:t>
      </w:r>
      <w:r>
        <w:rPr>
          <w:rFonts w:ascii="Times New Roman" w:hAnsi="Times New Roman"/>
          <w:i/>
          <w:iCs/>
          <w:sz w:val="18"/>
        </w:rPr>
        <w:t>status quo</w:t>
      </w:r>
      <w:r>
        <w:rPr>
          <w:rFonts w:ascii="Times New Roman" w:hAnsi="Times New Roman"/>
          <w:sz w:val="18"/>
        </w:rPr>
        <w:t xml:space="preserve"> del primer trimestre de 2023: 11 GW/14,7 GWh; las estimaciones extrapoladas del Instituto Fraunhofer llegan incluso a 20 GWh</w:t>
      </w:r>
      <w:bookmarkEnd w:id="81"/>
      <w:r>
        <w:rPr>
          <w:rFonts w:ascii="Times New Roman" w:hAnsi="Times New Roman"/>
          <w:sz w:val="18"/>
        </w:rPr>
        <w:t>.</w:t>
      </w:r>
    </w:p>
  </w:footnote>
  <w:footnote w:id="161">
    <w:p w14:paraId="4796029B"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Universidad RWTH de Aquisgrán, </w:t>
      </w:r>
      <w:hyperlink r:id="rId64" w:history="1">
        <w:r>
          <w:rPr>
            <w:rStyle w:val="Hyperlink"/>
            <w:rFonts w:ascii="Times New Roman" w:hAnsi="Times New Roman"/>
            <w:i/>
            <w:sz w:val="18"/>
          </w:rPr>
          <w:t>Battery Charts,</w:t>
        </w:r>
      </w:hyperlink>
      <w:r>
        <w:rPr>
          <w:rFonts w:ascii="Times New Roman" w:hAnsi="Times New Roman"/>
          <w:sz w:val="18"/>
        </w:rPr>
        <w:t xml:space="preserve"> [«Gráficos de baterías», documento en inglés], 2023.</w:t>
      </w:r>
    </w:p>
  </w:footnote>
  <w:footnote w:id="162">
    <w:p w14:paraId="60EEC2A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2" w:name="_Hlk147829422"/>
      <w:r>
        <w:rPr>
          <w:rFonts w:ascii="Times New Roman" w:hAnsi="Times New Roman"/>
          <w:sz w:val="18"/>
        </w:rPr>
        <w:t xml:space="preserve">Energy Storage Coalition, comunicado de prensa: </w:t>
      </w:r>
      <w:hyperlink r:id="rId65" w:history="1">
        <w:r>
          <w:rPr>
            <w:rStyle w:val="Hyperlink"/>
            <w:rFonts w:ascii="Times New Roman" w:hAnsi="Times New Roman"/>
            <w:i/>
            <w:sz w:val="18"/>
          </w:rPr>
          <w:t>Energy Storage Coalition calls for more targeted support for energy storage in key EU legislation</w:t>
        </w:r>
      </w:hyperlink>
      <w:r>
        <w:rPr>
          <w:rFonts w:ascii="Times New Roman" w:hAnsi="Times New Roman"/>
          <w:sz w:val="18"/>
        </w:rPr>
        <w:t xml:space="preserve"> [«La Coalición para el Almacenamiento de Energía pide un apoyo más específico al almacenamiento de energía en la legislación clave de la UE», documento en inglés], marzo de 2023.</w:t>
      </w:r>
      <w:bookmarkEnd w:id="82"/>
    </w:p>
  </w:footnote>
  <w:footnote w:id="163">
    <w:p w14:paraId="42AF8D43"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3" w:name="_Hlk147829430"/>
      <w:r>
        <w:rPr>
          <w:rFonts w:ascii="Times New Roman" w:hAnsi="Times New Roman"/>
          <w:sz w:val="18"/>
        </w:rPr>
        <w:t xml:space="preserve">McKinsey &amp; Company, artículo: </w:t>
      </w:r>
      <w:hyperlink r:id="rId66" w:anchor="/" w:history="1">
        <w:r>
          <w:rPr>
            <w:rStyle w:val="Hyperlink"/>
            <w:rFonts w:ascii="Times New Roman" w:hAnsi="Times New Roman"/>
            <w:i/>
            <w:sz w:val="18"/>
          </w:rPr>
          <w:t>Battery 2030:</w:t>
        </w:r>
      </w:hyperlink>
      <w:hyperlink r:id="rId67" w:anchor="/" w:history="1">
        <w:r>
          <w:rPr>
            <w:rStyle w:val="Hyperlink"/>
            <w:rFonts w:ascii="Times New Roman" w:hAnsi="Times New Roman"/>
            <w:i/>
            <w:sz w:val="18"/>
          </w:rPr>
          <w:t xml:space="preserve"> Resilient, sustainable and circular</w:t>
        </w:r>
      </w:hyperlink>
      <w:r>
        <w:rPr>
          <w:rFonts w:ascii="Times New Roman" w:hAnsi="Times New Roman"/>
          <w:sz w:val="18"/>
        </w:rPr>
        <w:t>, [«Batería 2030: resiliente, sostenible y circular», documento en inglés], 16 de enero de 2023.</w:t>
      </w:r>
      <w:bookmarkEnd w:id="83"/>
    </w:p>
  </w:footnote>
  <w:footnote w:id="164">
    <w:p w14:paraId="63CB2D7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Stellantis es una agrupación de catorce marcas de automoción. </w:t>
      </w:r>
    </w:p>
  </w:footnote>
  <w:footnote w:id="165">
    <w:p w14:paraId="049B0353"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Gigafábrica de baterías de la Automotive Cells Company (ACC) en Billy-Berclau Douvrin, Francia.</w:t>
      </w:r>
    </w:p>
  </w:footnote>
  <w:footnote w:id="166">
    <w:p w14:paraId="49DB2E44"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Green Car Congress, comunicado de prensa: </w:t>
      </w:r>
      <w:hyperlink r:id="rId68" w:history="1">
        <w:r>
          <w:rPr>
            <w:rStyle w:val="Hyperlink"/>
            <w:rFonts w:ascii="Times New Roman" w:hAnsi="Times New Roman"/>
            <w:i/>
            <w:sz w:val="18"/>
          </w:rPr>
          <w:t>First ACC gigafactory inaugurated in France; initial 13 GWh capacity</w:t>
        </w:r>
      </w:hyperlink>
      <w:r>
        <w:rPr>
          <w:rFonts w:ascii="Times New Roman" w:hAnsi="Times New Roman"/>
          <w:sz w:val="18"/>
        </w:rPr>
        <w:t xml:space="preserve"> [«Inauguración de la primera gigafábrica de la ACC en Francia con una capacidad inicial de 13 Gwh», documento en inglés], 31 de mayo de 2023. </w:t>
      </w:r>
    </w:p>
  </w:footnote>
  <w:footnote w:id="167">
    <w:p w14:paraId="788AB97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Para más información: Alianza Europea de Baterías, Short brief European Battery production [«Breve resumen de la producción europea de baterías»], junio de 2023.</w:t>
      </w:r>
    </w:p>
  </w:footnote>
  <w:footnote w:id="168">
    <w:p w14:paraId="7CFB3252"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Basado en </w:t>
      </w:r>
      <w:hyperlink r:id="rId69" w:history="1">
        <w:r>
          <w:rPr>
            <w:rStyle w:val="Hyperlink"/>
            <w:rFonts w:ascii="Times New Roman" w:hAnsi="Times New Roman"/>
            <w:sz w:val="18"/>
          </w:rPr>
          <w:t>cálculos</w:t>
        </w:r>
      </w:hyperlink>
      <w:r>
        <w:rPr>
          <w:rFonts w:ascii="Times New Roman" w:hAnsi="Times New Roman"/>
          <w:sz w:val="18"/>
        </w:rPr>
        <w:t xml:space="preserve"> del Instituto Fraunhofer ISI. </w:t>
      </w:r>
    </w:p>
  </w:footnote>
  <w:footnote w:id="169">
    <w:p w14:paraId="4BC6774A" w14:textId="53353E1D"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DO L 328 de 21.12.2018. </w:t>
      </w:r>
    </w:p>
  </w:footnote>
  <w:footnote w:id="170">
    <w:p w14:paraId="17DB2355" w14:textId="3C9CD213"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DO L 239 de 6.9.2013. </w:t>
      </w:r>
    </w:p>
  </w:footnote>
  <w:footnote w:id="171">
    <w:p w14:paraId="4CE7385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DO L 198 de 28.7.2017. </w:t>
      </w:r>
    </w:p>
  </w:footnote>
  <w:footnote w:id="172">
    <w:p w14:paraId="5D6A225F" w14:textId="1F9C7E9A" w:rsidR="00C075ED" w:rsidRPr="00FF26ED" w:rsidRDefault="00C075ED" w:rsidP="00EB3E8B">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sz w:val="18"/>
        </w:rPr>
        <w:t>Para más información:</w:t>
      </w:r>
      <w:r>
        <w:rPr>
          <w:sz w:val="18"/>
        </w:rPr>
        <w:t xml:space="preserve"> </w:t>
      </w:r>
      <w:hyperlink r:id="rId70" w:history="1">
        <w:r>
          <w:rPr>
            <w:rStyle w:val="Hyperlink"/>
            <w:rFonts w:ascii="Times New Roman" w:hAnsi="Times New Roman"/>
            <w:sz w:val="18"/>
          </w:rPr>
          <w:t>Heat pumps – action plan to accelerate roll-out across the EU</w:t>
        </w:r>
      </w:hyperlink>
      <w:r>
        <w:rPr>
          <w:rFonts w:ascii="Times New Roman" w:hAnsi="Times New Roman"/>
          <w:sz w:val="18"/>
        </w:rPr>
        <w:t xml:space="preserve"> [«Bombas de calor: plan de acción para acelerar su despliegue en toda la UE», documento en inglés] (europa.eu).</w:t>
      </w:r>
    </w:p>
  </w:footnote>
  <w:footnote w:id="173">
    <w:p w14:paraId="4BB58781" w14:textId="41157F15"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Asociación Europea de Bombas de Calor (EHPA), </w:t>
      </w:r>
      <w:r>
        <w:rPr>
          <w:rFonts w:ascii="Times New Roman" w:hAnsi="Times New Roman"/>
          <w:i/>
          <w:sz w:val="18"/>
        </w:rPr>
        <w:t>Market Report 2023</w:t>
      </w:r>
      <w:r>
        <w:rPr>
          <w:rFonts w:ascii="Times New Roman" w:hAnsi="Times New Roman"/>
          <w:sz w:val="18"/>
        </w:rPr>
        <w:t>, limitado a AT, BE, CZ, DE, DK, EE, ES, FI, FR, HU, IE, IT, LT, NL, PL, PT, SE, SK, [« Informe de mercado 2023», documento en inglés], 29 de junio de 2023. Se incluyen principalmente bombas de calor para la calefacción de espacios y el agua caliente sanitaria.</w:t>
      </w:r>
    </w:p>
  </w:footnote>
  <w:footnote w:id="174">
    <w:p w14:paraId="0E1C3669" w14:textId="0D674E6D" w:rsidR="00C075ED" w:rsidRPr="001D228D" w:rsidRDefault="00C075ED" w:rsidP="00EB3E8B">
      <w:pPr>
        <w:pStyle w:val="FootnoteText"/>
        <w:ind w:left="284" w:hanging="284"/>
        <w:jc w:val="both"/>
      </w:pPr>
      <w:r>
        <w:rPr>
          <w:rStyle w:val="FootnoteReference"/>
          <w:rFonts w:ascii="Times New Roman" w:hAnsi="Times New Roman" w:cs="Times New Roman"/>
          <w:sz w:val="18"/>
          <w:szCs w:val="18"/>
        </w:rPr>
        <w:footnoteRef/>
      </w:r>
      <w:r>
        <w:t xml:space="preserve"> </w:t>
      </w:r>
      <w:r>
        <w:tab/>
      </w:r>
      <w:r>
        <w:rPr>
          <w:rFonts w:ascii="Times New Roman" w:hAnsi="Times New Roman"/>
          <w:sz w:val="18"/>
        </w:rPr>
        <w:t>Lyons, L., Clean Energy Technology Observatory: Heat Pumps in the European Union - 2023 Status Report on Technology Development, Trends, Value Chains and Markets [«Observatorio de las Tecnologías Energéticas Limpias: las bombas de calor en la Unión Europea. Informe de situación de 2023 sobre desarrollo tecnológico, tendencias, cadenas de valor y mercados», documento en inglés], Oficina de Publicaciones de la Unión Europea, Luxemburgo, 2023, JRC134991.</w:t>
      </w:r>
    </w:p>
  </w:footnote>
  <w:footnote w:id="175">
    <w:p w14:paraId="6B6005C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Para más información: Heat Roadmap Europe, https://heatroadmap.eu/.</w:t>
      </w:r>
    </w:p>
  </w:footnote>
  <w:footnote w:id="176">
    <w:p w14:paraId="5DC98C03"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Euroheat &amp; Power, </w:t>
      </w:r>
      <w:r>
        <w:rPr>
          <w:rFonts w:ascii="Times New Roman" w:hAnsi="Times New Roman"/>
          <w:i/>
          <w:sz w:val="18"/>
        </w:rPr>
        <w:t>Large heat pumps in district heating &amp; cooling systems</w:t>
      </w:r>
      <w:r>
        <w:rPr>
          <w:rFonts w:ascii="Times New Roman" w:hAnsi="Times New Roman"/>
          <w:sz w:val="18"/>
        </w:rPr>
        <w:t>, [«Grandes bombas de calor en sistemas urbanos de calefacción y refrigeración», documento en inglés], 2022.</w:t>
      </w:r>
    </w:p>
  </w:footnote>
  <w:footnote w:id="177">
    <w:p w14:paraId="180D3346"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6" w:name="_Hlk147829518"/>
      <w:r>
        <w:rPr>
          <w:rStyle w:val="normaltextrun"/>
          <w:rFonts w:ascii="Times New Roman" w:hAnsi="Times New Roman"/>
          <w:sz w:val="18"/>
          <w:shd w:val="clear" w:color="auto" w:fill="FFFFFF"/>
        </w:rPr>
        <w:t>Las bombas de calor industriales se utilizan habitualmente para procesos por debajo de los 100 °C, aunque existen productos comerciales de hasta 160 °C aún por demostrar en sectores más industriales. Se están desarrollando productos para temperaturas de hasta 280 °C.</w:t>
      </w:r>
      <w:bookmarkEnd w:id="86"/>
    </w:p>
  </w:footnote>
  <w:footnote w:id="178">
    <w:p w14:paraId="4D74B249" w14:textId="66D88789"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Agencia Internacional de la Energía (AIE), </w:t>
      </w:r>
      <w:r>
        <w:rPr>
          <w:rFonts w:ascii="Times New Roman" w:hAnsi="Times New Roman"/>
          <w:i/>
          <w:sz w:val="18"/>
        </w:rPr>
        <w:t>Future of heat pumps</w:t>
      </w:r>
      <w:r>
        <w:rPr>
          <w:rFonts w:ascii="Times New Roman" w:hAnsi="Times New Roman"/>
          <w:sz w:val="18"/>
        </w:rPr>
        <w:t xml:space="preserve"> [«El futuro de las bombas de calor», documento en inglés], 2023.</w:t>
      </w:r>
    </w:p>
  </w:footnote>
  <w:footnote w:id="179">
    <w:p w14:paraId="10E87AA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Eunomia, </w:t>
      </w:r>
      <w:r>
        <w:rPr>
          <w:rFonts w:ascii="Times New Roman" w:hAnsi="Times New Roman"/>
          <w:i/>
          <w:sz w:val="18"/>
        </w:rPr>
        <w:t>EU Hydronic Heat Pump Manufacturing Market Assessment</w:t>
      </w:r>
      <w:r>
        <w:rPr>
          <w:rFonts w:ascii="Times New Roman" w:hAnsi="Times New Roman"/>
          <w:sz w:val="18"/>
        </w:rPr>
        <w:t xml:space="preserve"> [«Evaluación del mercado de fabricación de bombas de calor hidroeléctricas», documento en inglés], 2023.</w:t>
      </w:r>
    </w:p>
  </w:footnote>
  <w:footnote w:id="180">
    <w:p w14:paraId="41B6343B"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Japón y Tailandia. </w:t>
      </w:r>
    </w:p>
  </w:footnote>
  <w:footnote w:id="181">
    <w:p w14:paraId="05FE93EE"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Eunomia, 2023, ibídem. </w:t>
      </w:r>
    </w:p>
  </w:footnote>
  <w:footnote w:id="182">
    <w:p w14:paraId="127DB26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COMEXT, Goods Trade EU [«Comercio de mercancías UE»], 841861. </w:t>
      </w:r>
    </w:p>
  </w:footnote>
  <w:footnote w:id="183">
    <w:p w14:paraId="7B32FCC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Eunomia, </w:t>
      </w:r>
      <w:r>
        <w:rPr>
          <w:rFonts w:ascii="Times New Roman" w:hAnsi="Times New Roman"/>
          <w:i/>
          <w:sz w:val="18"/>
        </w:rPr>
        <w:t>EU Hydronic Heat Pump Manufacturing Market Assessment</w:t>
      </w:r>
      <w:r>
        <w:rPr>
          <w:rFonts w:ascii="Times New Roman" w:hAnsi="Times New Roman"/>
          <w:sz w:val="18"/>
        </w:rPr>
        <w:t xml:space="preserve"> [«Evaluación del mercado de fabricación de bombas de calor hidroeléctricas», documento en inglés], 2023.</w:t>
      </w:r>
    </w:p>
  </w:footnote>
  <w:footnote w:id="184">
    <w:p w14:paraId="6E193251"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7" w:name="_Hlk147829578"/>
      <w:r>
        <w:rPr>
          <w:rFonts w:ascii="Times New Roman" w:hAnsi="Times New Roman"/>
          <w:sz w:val="18"/>
        </w:rPr>
        <w:t xml:space="preserve">Asociación Europea de Bombas de Calor (EHPA), comunicado de prensa: </w:t>
      </w:r>
      <w:hyperlink r:id="rId71" w:history="1">
        <w:r>
          <w:rPr>
            <w:rStyle w:val="Hyperlink"/>
            <w:rFonts w:ascii="Times New Roman" w:hAnsi="Times New Roman"/>
            <w:i/>
            <w:sz w:val="18"/>
          </w:rPr>
          <w:t>Manufacturer investments</w:t>
        </w:r>
      </w:hyperlink>
      <w:r>
        <w:rPr>
          <w:rFonts w:ascii="Times New Roman" w:hAnsi="Times New Roman"/>
          <w:sz w:val="18"/>
        </w:rPr>
        <w:t xml:space="preserve"> [«Inversiones de los fabricantes», documento en inglés], junio de 2023.</w:t>
      </w:r>
      <w:bookmarkEnd w:id="87"/>
    </w:p>
  </w:footnote>
  <w:footnote w:id="185">
    <w:p w14:paraId="57AC325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Programa de colaboración tecnológica de la Agencia Internacional de la Energía (AIE), </w:t>
      </w:r>
      <w:r>
        <w:rPr>
          <w:rFonts w:ascii="Times New Roman" w:hAnsi="Times New Roman"/>
          <w:i/>
          <w:sz w:val="18"/>
        </w:rPr>
        <w:t>Heat Pumping Technologies</w:t>
      </w:r>
      <w:r>
        <w:rPr>
          <w:rFonts w:ascii="Times New Roman" w:hAnsi="Times New Roman"/>
          <w:sz w:val="18"/>
        </w:rPr>
        <w:t>, anexo 58, informe final, agosto de 2023.</w:t>
      </w:r>
    </w:p>
  </w:footnote>
  <w:footnote w:id="186">
    <w:p w14:paraId="04149A50" w14:textId="1C7E92D4" w:rsidR="00C075ED" w:rsidRPr="00AB605B" w:rsidRDefault="00C075ED" w:rsidP="00EB3E8B">
      <w:pPr>
        <w:pStyle w:val="FootnoteText"/>
        <w:ind w:left="284" w:hanging="284"/>
        <w:jc w:val="both"/>
      </w:pPr>
      <w:r>
        <w:rPr>
          <w:rStyle w:val="FootnoteReference"/>
        </w:rPr>
        <w:footnoteRef/>
      </w:r>
      <w:r>
        <w:t xml:space="preserve"> </w:t>
      </w:r>
      <w:r>
        <w:rPr>
          <w:rFonts w:ascii="Times New Roman" w:hAnsi="Times New Roman"/>
          <w:sz w:val="18"/>
        </w:rPr>
        <w:t xml:space="preserve">Para más información: IEC 60335-2-40:2022: </w:t>
      </w:r>
      <w:hyperlink r:id="rId72" w:history="1">
        <w:r>
          <w:rPr>
            <w:rStyle w:val="Hyperlink"/>
            <w:rFonts w:ascii="Times New Roman" w:hAnsi="Times New Roman"/>
            <w:sz w:val="18"/>
          </w:rPr>
          <w:t>Household and similar electrical appliances – Safety – Part 2-40:</w:t>
        </w:r>
      </w:hyperlink>
      <w:hyperlink r:id="rId73" w:history="1">
        <w:r>
          <w:rPr>
            <w:rStyle w:val="Hyperlink"/>
            <w:rFonts w:ascii="Times New Roman" w:hAnsi="Times New Roman"/>
            <w:sz w:val="18"/>
          </w:rPr>
          <w:t xml:space="preserve"> Particular requirements for electrical heat pumps, air-conditioners and dehumidifiers</w:t>
        </w:r>
      </w:hyperlink>
      <w:r>
        <w:rPr>
          <w:rFonts w:ascii="Times New Roman" w:hAnsi="Times New Roman"/>
          <w:sz w:val="18"/>
        </w:rPr>
        <w:t xml:space="preserve"> [«Aparatos electrodomésticos y análogos. Seguridad. Parte 2-40: requisitos particulares para bombas de calor eléctricas, acondicionadores de aire y deshumificadores», documento en inglés], 2022.</w:t>
      </w:r>
    </w:p>
  </w:footnote>
  <w:footnote w:id="187">
    <w:p w14:paraId="2570ACF5"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Eunomia, </w:t>
      </w:r>
      <w:r>
        <w:rPr>
          <w:rFonts w:ascii="Times New Roman" w:hAnsi="Times New Roman"/>
          <w:i/>
          <w:sz w:val="18"/>
        </w:rPr>
        <w:t>EU Hydronic Heat Pump Manufacturing Market Assessment</w:t>
      </w:r>
      <w:r>
        <w:rPr>
          <w:rFonts w:ascii="Times New Roman" w:hAnsi="Times New Roman"/>
          <w:sz w:val="18"/>
        </w:rPr>
        <w:t xml:space="preserve"> [«Evaluación del mercado de fabricación de bombas de calor hidroeléctricas», documento en inglés], 2023.</w:t>
      </w:r>
    </w:p>
  </w:footnote>
  <w:footnote w:id="188">
    <w:p w14:paraId="6EA7E7D3" w14:textId="51B19DE8" w:rsidR="00C075ED" w:rsidRDefault="00C075ED" w:rsidP="00EB3E8B">
      <w:pPr>
        <w:spacing w:after="0"/>
        <w:ind w:left="284" w:hanging="284"/>
        <w:jc w:val="both"/>
      </w:pPr>
      <w:r>
        <w:rPr>
          <w:rStyle w:val="FootnoteReference"/>
          <w:rFonts w:ascii="Times New Roman" w:hAnsi="Times New Roman" w:cs="Times New Roman"/>
          <w:sz w:val="18"/>
          <w:szCs w:val="18"/>
        </w:rPr>
        <w:footnoteRef/>
      </w:r>
      <w:r>
        <w:tab/>
      </w:r>
      <w:r>
        <w:rPr>
          <w:rFonts w:ascii="Times New Roman" w:hAnsi="Times New Roman"/>
          <w:sz w:val="18"/>
        </w:rPr>
        <w:t>IRENA and IGA Global geothermal market and technology assessment [«Evaluación de la tecnología y el mercado geotérmico mundial de Irena e IGA», documento en inglés], Agencia Internacional de Energías Renovables, Asociación Internacional de Energía Geotérmica, 2023.</w:t>
      </w:r>
    </w:p>
  </w:footnote>
  <w:footnote w:id="189">
    <w:p w14:paraId="3A758C07"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Consejo Europeo de Energía Geotérmica (EGEC, por sus siglas en inglés), Informe: </w:t>
      </w:r>
      <w:hyperlink r:id="rId74" w:history="1">
        <w:r>
          <w:rPr>
            <w:rStyle w:val="Hyperlink"/>
            <w:rFonts w:ascii="Times New Roman" w:hAnsi="Times New Roman"/>
            <w:sz w:val="18"/>
          </w:rPr>
          <w:t>Geothermal Market Report 2022 – Key Findings</w:t>
        </w:r>
      </w:hyperlink>
      <w:r>
        <w:rPr>
          <w:rFonts w:ascii="Times New Roman" w:hAnsi="Times New Roman"/>
          <w:sz w:val="18"/>
        </w:rPr>
        <w:t>,[«Informe sobre el mercado geotérmico de 2022. Principales conclusiones», documento en inglés], julio de 2023.</w:t>
      </w:r>
    </w:p>
  </w:footnote>
  <w:footnote w:id="190">
    <w:p w14:paraId="4A89C47B" w14:textId="6762D9A8" w:rsidR="00C075ED" w:rsidRDefault="00C075ED" w:rsidP="00EB3E8B">
      <w:pPr>
        <w:spacing w:after="0"/>
        <w:ind w:left="284" w:hanging="284"/>
        <w:jc w:val="both"/>
      </w:pPr>
      <w:r>
        <w:rPr>
          <w:rStyle w:val="FootnoteReference"/>
          <w:rFonts w:ascii="Times New Roman" w:hAnsi="Times New Roman" w:cs="Times New Roman"/>
          <w:sz w:val="18"/>
          <w:szCs w:val="18"/>
        </w:rPr>
        <w:footnoteRef/>
      </w:r>
      <w:r>
        <w:t xml:space="preserve"> </w:t>
      </w:r>
      <w:r>
        <w:rPr>
          <w:rFonts w:ascii="Times New Roman" w:hAnsi="Times New Roman"/>
          <w:sz w:val="18"/>
        </w:rPr>
        <w:t>Taylor, N., Ince, E., Mountraki, A., Georgakaki, A., Shtjefni, D., Tattini, J. y Diaz Rincon, A., Clean Energy Technology Observatory: Deep Geothermal Energy in the European Union - 2023 Status Report on Technology Development, Trends, Value Chains and Markets [«Observatorio de las Tecnologías Energéticas Limpias: la energía geotérmica profunda en la Unión Europea. Informe de situación de 2023 sobre desarrollo tecnológico, tendencias, cadenas de valor y mercados», documento en inglés], Oficina de Publicaciones de la Unión Europea, Luxemburgo, 2023, JRC135206.</w:t>
      </w:r>
    </w:p>
  </w:footnote>
  <w:footnote w:id="191">
    <w:p w14:paraId="224377A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Consejo Europeo de Energía Geotérmica (EGEC, por sus siglas en inglés), Informe: </w:t>
      </w:r>
      <w:hyperlink r:id="rId75" w:history="1">
        <w:r>
          <w:rPr>
            <w:rStyle w:val="Hyperlink"/>
            <w:rFonts w:ascii="Times New Roman" w:hAnsi="Times New Roman"/>
            <w:sz w:val="18"/>
          </w:rPr>
          <w:t>Geothermal Market Report 2022 – Key Findings</w:t>
        </w:r>
      </w:hyperlink>
      <w:r>
        <w:rPr>
          <w:rFonts w:ascii="Times New Roman" w:hAnsi="Times New Roman"/>
          <w:sz w:val="18"/>
        </w:rPr>
        <w:t>,[«Informe sobre el mercado geotérmico de 2022. Principales conclusiones», documento en inglés], julio de 2023.</w:t>
      </w:r>
    </w:p>
  </w:footnote>
  <w:footnote w:id="192">
    <w:p w14:paraId="11521AC3" w14:textId="67833236"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t xml:space="preserve"> </w:t>
      </w:r>
      <w:r>
        <w:rPr>
          <w:rFonts w:ascii="Times New Roman" w:hAnsi="Times New Roman"/>
          <w:sz w:val="18"/>
        </w:rPr>
        <w:tab/>
        <w:t>Taylor, N., Ince, E., Mountraki, A., Georgakaki, A., Shtjefni, D., Tattini, J. y Diaz Rincon, A., Clean Energy Technology Observatory: Deep Geothermal Energy in the European Union - 2023 Status Report on Technology Development, Trends, Value Chains and Markets [«Observatorio de las Tecnologías Energéticas Limpias: la energía geotérmica profunda en la Unión Europea. Informe de situación de 2023 sobre desarrollo tecnológico, tendencias, cadenas de valor y mercados», documento en inglés], Oficina de Publicaciones de la Unión Europea, Luxemburgo, 2023, JRC135206.</w:t>
      </w:r>
    </w:p>
  </w:footnote>
  <w:footnote w:id="193">
    <w:p w14:paraId="15D95D32" w14:textId="346BB0F8" w:rsidR="00C075ED" w:rsidRPr="009869B7" w:rsidRDefault="00C075ED" w:rsidP="00EB3E8B">
      <w:pPr>
        <w:spacing w:after="0"/>
        <w:ind w:left="284" w:hanging="284"/>
        <w:jc w:val="both"/>
        <w:rPr>
          <w:rFonts w:ascii="Times New Roman" w:hAnsi="Times New Roman" w:cs="Times New Roman"/>
          <w:sz w:val="18"/>
          <w:szCs w:val="18"/>
          <w:highlight w:val="magenta"/>
        </w:rPr>
      </w:pPr>
      <w:r>
        <w:rPr>
          <w:rFonts w:ascii="Times New Roman" w:hAnsi="Times New Roman" w:cs="Times New Roman"/>
          <w:sz w:val="18"/>
          <w:szCs w:val="18"/>
          <w:vertAlign w:val="superscript"/>
        </w:rPr>
        <w:footnoteRef/>
      </w:r>
      <w:r>
        <w:t xml:space="preserve"> </w:t>
      </w:r>
      <w:r>
        <w:rPr>
          <w:rFonts w:ascii="Times New Roman" w:hAnsi="Times New Roman"/>
          <w:sz w:val="18"/>
        </w:rPr>
        <w:tab/>
        <w:t>Taylor, N., Ince, E., Mountraki, A., Georgakaki, A., Shtjefni, D., Tattini, J. y Diaz Rincon, A., Clean Energy Technology Observatory: Deep Geothermal Energy in the European Union - 2023 Status Report on Technology Development, Trends, Value Chains and Markets [«Observatorio de las Tecnologías Energéticas Limpias: la energía geotérmica profunda en la Unión Europea. Informe de situación de 2023 sobre desarrollo tecnológico, tendencias, cadenas de valor y mercados», documento en inglés], Oficina de Publicaciones de la Unión Europea, Luxemburgo, 2023, JRC135206.</w:t>
      </w:r>
    </w:p>
  </w:footnote>
  <w:footnote w:id="194">
    <w:p w14:paraId="4ED8FD09" w14:textId="1915D959" w:rsidR="00C075ED" w:rsidRPr="002A647E"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Ibídem. </w:t>
      </w:r>
    </w:p>
  </w:footnote>
  <w:footnote w:id="195">
    <w:p w14:paraId="7570331C" w14:textId="04E41D97" w:rsidR="00C075ED" w:rsidRPr="002A647E"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Ibídem. </w:t>
      </w:r>
    </w:p>
  </w:footnote>
  <w:footnote w:id="196">
    <w:p w14:paraId="6C65A823" w14:textId="1DCCDC56"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Ibídem. </w:t>
      </w:r>
    </w:p>
  </w:footnote>
  <w:footnote w:id="197">
    <w:p w14:paraId="12F0475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DO L 157 de 20.6.2023.</w:t>
      </w:r>
    </w:p>
  </w:footnote>
  <w:footnote w:id="198">
    <w:p w14:paraId="26EEB65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COM(2023) 156 final. </w:t>
      </w:r>
    </w:p>
  </w:footnote>
  <w:footnote w:id="199">
    <w:p w14:paraId="543A0294" w14:textId="3802B9EC" w:rsidR="00C075ED" w:rsidRPr="00FF26ED" w:rsidRDefault="00C075ED" w:rsidP="00EB3E8B">
      <w:pPr>
        <w:pStyle w:val="FootnoteText"/>
        <w:ind w:left="284" w:hanging="284"/>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AIE, Global Hydrogen Review, 2023, se espera una actualización de la base de datos en octubre de 2023.</w:t>
      </w:r>
    </w:p>
  </w:footnote>
  <w:footnote w:id="200">
    <w:p w14:paraId="2ED6159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ab/>
        <w:t xml:space="preserve">Agencia Internacional de la Energía (AIE), </w:t>
      </w:r>
      <w:r>
        <w:rPr>
          <w:rFonts w:ascii="Times New Roman" w:hAnsi="Times New Roman"/>
          <w:i/>
          <w:sz w:val="18"/>
        </w:rPr>
        <w:t>Global Hydrogen Review</w:t>
      </w:r>
      <w:r>
        <w:rPr>
          <w:rFonts w:ascii="Times New Roman" w:hAnsi="Times New Roman"/>
          <w:sz w:val="18"/>
        </w:rPr>
        <w:t>, [«Revisión mundial del hidrógeno», documento en inglés], 2022.</w:t>
      </w:r>
    </w:p>
  </w:footnote>
  <w:footnote w:id="201">
    <w:p w14:paraId="6607814C" w14:textId="18DA5A99"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Agencia Internacional de la Energía (AIE), 2022, ibídem.</w:t>
      </w:r>
    </w:p>
  </w:footnote>
  <w:footnote w:id="202">
    <w:p w14:paraId="3F28578A" w14:textId="5904B290" w:rsidR="00C075ED" w:rsidRPr="00EA772F" w:rsidRDefault="00C075ED" w:rsidP="00EB3E8B">
      <w:pPr>
        <w:pStyle w:val="FootnoteText"/>
        <w:ind w:left="284" w:hanging="284"/>
        <w:jc w:val="both"/>
      </w:pPr>
      <w:r>
        <w:rPr>
          <w:rStyle w:val="FootnoteReference"/>
        </w:rPr>
        <w:footnoteRef/>
      </w:r>
      <w:r>
        <w:t xml:space="preserve"> </w:t>
      </w:r>
      <w:r>
        <w:rPr>
          <w:rFonts w:ascii="Times New Roman" w:hAnsi="Times New Roman"/>
          <w:sz w:val="18"/>
        </w:rPr>
        <w:t xml:space="preserve">Agencia Internacional de la Energía (AIE), </w:t>
      </w:r>
      <w:r>
        <w:rPr>
          <w:rFonts w:ascii="Times New Roman" w:hAnsi="Times New Roman"/>
          <w:i/>
          <w:sz w:val="18"/>
        </w:rPr>
        <w:t>Global Hydrogen Review</w:t>
      </w:r>
      <w:r>
        <w:rPr>
          <w:rFonts w:ascii="Times New Roman" w:hAnsi="Times New Roman"/>
          <w:sz w:val="18"/>
        </w:rPr>
        <w:t>, [«Revisión mundial del hidrógeno», documento en inglés], 2023, el intervalo es amplio debido al tipo «desconocido» notificado por la AIE.</w:t>
      </w:r>
    </w:p>
  </w:footnote>
  <w:footnote w:id="203">
    <w:p w14:paraId="48F81DF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Bloomberg NEF, </w:t>
      </w:r>
      <w:r>
        <w:rPr>
          <w:rFonts w:ascii="Times New Roman" w:hAnsi="Times New Roman"/>
          <w:i/>
          <w:sz w:val="18"/>
        </w:rPr>
        <w:t>1H 2023 Hydrogen Market Outlook</w:t>
      </w:r>
      <w:r>
        <w:rPr>
          <w:rFonts w:ascii="Times New Roman" w:hAnsi="Times New Roman"/>
          <w:sz w:val="18"/>
        </w:rPr>
        <w:t xml:space="preserve"> [«Perspectivas del mercado del hidrógeno para el primer semestre de 2023», documento en inglés], marzo de 2022.</w:t>
      </w:r>
    </w:p>
  </w:footnote>
  <w:footnote w:id="204">
    <w:p w14:paraId="71A2995E" w14:textId="77777777" w:rsidR="00C075ED" w:rsidRPr="00C075ED"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Hydrogen Europe: </w:t>
      </w:r>
      <w:r>
        <w:rPr>
          <w:rFonts w:ascii="Times New Roman" w:hAnsi="Times New Roman"/>
          <w:i/>
          <w:sz w:val="18"/>
        </w:rPr>
        <w:t>Clean Hydrogen Monitor</w:t>
      </w:r>
      <w:r>
        <w:rPr>
          <w:rFonts w:ascii="Times New Roman" w:hAnsi="Times New Roman"/>
          <w:sz w:val="18"/>
        </w:rPr>
        <w:t xml:space="preserve"> [«Observatorio del hidrógeno limpio», documento en inglés], 2022.</w:t>
      </w:r>
    </w:p>
  </w:footnote>
  <w:footnote w:id="205">
    <w:p w14:paraId="05E2A90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Agencia Internacional de la Energía (AIE), </w:t>
      </w:r>
      <w:r>
        <w:rPr>
          <w:rFonts w:ascii="Times New Roman" w:hAnsi="Times New Roman"/>
          <w:i/>
          <w:sz w:val="18"/>
        </w:rPr>
        <w:t>The State of Clean Technologies</w:t>
      </w:r>
      <w:r>
        <w:rPr>
          <w:rFonts w:ascii="Times New Roman" w:hAnsi="Times New Roman"/>
          <w:sz w:val="18"/>
        </w:rPr>
        <w:t xml:space="preserve"> [«El estado de las tecnologías limpias», documento en inglés], mayo de 2023 y </w:t>
      </w:r>
      <w:r>
        <w:rPr>
          <w:rFonts w:ascii="Times New Roman" w:hAnsi="Times New Roman"/>
          <w:i/>
          <w:sz w:val="18"/>
        </w:rPr>
        <w:t xml:space="preserve">Clean Hydrogen Monitor </w:t>
      </w:r>
      <w:r>
        <w:rPr>
          <w:rFonts w:ascii="Times New Roman" w:hAnsi="Times New Roman"/>
          <w:sz w:val="18"/>
        </w:rPr>
        <w:t>[«Observatorio del hidrógeno limpio», documento en inglés], 2022.</w:t>
      </w:r>
    </w:p>
  </w:footnote>
  <w:footnote w:id="206">
    <w:p w14:paraId="637B516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ab/>
        <w:t xml:space="preserve">Para más información: </w:t>
      </w:r>
      <w:hyperlink r:id="rId76" w:history="1">
        <w:r>
          <w:rPr>
            <w:rStyle w:val="Hyperlink"/>
            <w:rFonts w:ascii="Times New Roman" w:hAnsi="Times New Roman"/>
            <w:sz w:val="18"/>
          </w:rPr>
          <w:t>Alianza europea por un hidrógeno limpio</w:t>
        </w:r>
      </w:hyperlink>
      <w:r>
        <w:rPr>
          <w:rFonts w:ascii="Times New Roman" w:hAnsi="Times New Roman"/>
          <w:sz w:val="18"/>
        </w:rPr>
        <w:t xml:space="preserve"> (europa.eu) (disponible en inglés). </w:t>
      </w:r>
    </w:p>
  </w:footnote>
  <w:footnote w:id="207">
    <w:p w14:paraId="0CEDB5EE" w14:textId="5BA3761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Hyperlink"/>
          <w:rFonts w:ascii="Times New Roman" w:hAnsi="Times New Roman"/>
          <w:sz w:val="18"/>
          <w:u w:val="none"/>
        </w:rPr>
        <w:t xml:space="preserve"> </w:t>
      </w:r>
      <w:r>
        <w:rPr>
          <w:rStyle w:val="Hyperlink"/>
          <w:rFonts w:ascii="Times New Roman" w:hAnsi="Times New Roman"/>
          <w:sz w:val="18"/>
          <w:u w:val="none"/>
        </w:rPr>
        <w:tab/>
      </w:r>
      <w:r>
        <w:rPr>
          <w:rStyle w:val="Hyperlink"/>
          <w:rFonts w:ascii="Times New Roman" w:hAnsi="Times New Roman"/>
          <w:color w:val="auto"/>
          <w:sz w:val="18"/>
          <w:u w:val="none"/>
        </w:rPr>
        <w:t xml:space="preserve">Hydrogen Europe, comunicado de prensa: </w:t>
      </w:r>
      <w:hyperlink r:id="rId77" w:history="1">
        <w:r>
          <w:rPr>
            <w:rStyle w:val="Hyperlink"/>
            <w:rFonts w:ascii="Times New Roman" w:hAnsi="Times New Roman"/>
            <w:i/>
            <w:sz w:val="18"/>
          </w:rPr>
          <w:t>New Electrolyser Partnership</w:t>
        </w:r>
      </w:hyperlink>
      <w:r>
        <w:rPr>
          <w:rStyle w:val="Hyperlink"/>
          <w:rFonts w:ascii="Times New Roman" w:hAnsi="Times New Roman"/>
          <w:color w:val="auto"/>
          <w:sz w:val="18"/>
          <w:u w:val="none"/>
        </w:rPr>
        <w:t>, [«Nueva Asociación sobre electrolizadores», documento en inglés], 16 de junio de 2022.</w:t>
      </w:r>
    </w:p>
  </w:footnote>
  <w:footnote w:id="208">
    <w:p w14:paraId="16692E13"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Departamento de Energía de los Estados Unidos, </w:t>
      </w:r>
      <w:hyperlink r:id="rId78" w:history="1">
        <w:r>
          <w:rPr>
            <w:rStyle w:val="Hyperlink"/>
            <w:rFonts w:ascii="Times New Roman" w:hAnsi="Times New Roman"/>
            <w:i/>
            <w:sz w:val="18"/>
          </w:rPr>
          <w:t>the U.S. National Clean Hydrogen Strategy and Roadmap</w:t>
        </w:r>
      </w:hyperlink>
      <w:r>
        <w:rPr>
          <w:rFonts w:ascii="Times New Roman" w:hAnsi="Times New Roman"/>
          <w:sz w:val="18"/>
        </w:rPr>
        <w:t>, [«Estrategia y Hoja de Ruta Nacional para el Hidrógeno Limpio de los Estados Unidos», documento en inglés], junio de 2023. Las estimaciones se basan en los datos disponibles.</w:t>
      </w:r>
    </w:p>
  </w:footnote>
  <w:footnote w:id="209">
    <w:p w14:paraId="5C1954BC" w14:textId="3A48B0A9"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La financiación procede del presupuesto de la UE por un importe de 1 200 millones EUR (incluidos los créditos adicionales de REPowerEU de 200 millones EUR) y un importe equivalente de las partes interesadas privadas en el período 2021-27. </w:t>
      </w:r>
    </w:p>
  </w:footnote>
  <w:footnote w:id="210">
    <w:p w14:paraId="52D49539"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Alianza Europea del Hidrógeno, </w:t>
      </w:r>
      <w:hyperlink r:id="rId79" w:history="1">
        <w:r>
          <w:rPr>
            <w:rStyle w:val="Hyperlink"/>
            <w:rFonts w:ascii="Times New Roman" w:hAnsi="Times New Roman"/>
            <w:i/>
            <w:sz w:val="18"/>
          </w:rPr>
          <w:t>2.ª Cumbre Europea de Electrolizadores sobre el estado actual de la Declaración Conjunta</w:t>
        </w:r>
      </w:hyperlink>
      <w:r>
        <w:rPr>
          <w:rFonts w:ascii="Times New Roman" w:hAnsi="Times New Roman"/>
          <w:sz w:val="18"/>
        </w:rPr>
        <w:t xml:space="preserve"> [documento en inglés], 22 de junio de 2023.</w:t>
      </w:r>
    </w:p>
  </w:footnote>
  <w:footnote w:id="211">
    <w:p w14:paraId="406D9F3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Carrara, S., </w:t>
      </w:r>
      <w:r>
        <w:rPr>
          <w:rFonts w:ascii="Times New Roman" w:hAnsi="Times New Roman"/>
          <w:i/>
          <w:iCs/>
          <w:sz w:val="18"/>
        </w:rPr>
        <w:t>et al.</w:t>
      </w:r>
      <w:r>
        <w:rPr>
          <w:rFonts w:ascii="Times New Roman" w:hAnsi="Times New Roman"/>
          <w:sz w:val="18"/>
        </w:rPr>
        <w:t xml:space="preserve">, </w:t>
      </w:r>
      <w:r>
        <w:rPr>
          <w:rFonts w:ascii="Times New Roman" w:hAnsi="Times New Roman"/>
          <w:i/>
          <w:iCs/>
          <w:sz w:val="18"/>
        </w:rPr>
        <w:t>Supply chain analysis and material demand forecast in strategic technologies and sectors in the EU – A foresight study</w:t>
      </w:r>
      <w:r>
        <w:rPr>
          <w:rFonts w:ascii="Times New Roman" w:hAnsi="Times New Roman"/>
          <w:sz w:val="18"/>
        </w:rPr>
        <w:t xml:space="preserve"> [«Análisis de la cadena de suministro y previsión de la demanda de materiales en tecnologías y sectores estratégicos en la UE: estudio prospectivo», documento en inglés], Oficina de Publicaciones de la Unión Europea, Luxemburgo, 2023, doi:10.2760/386650, JRC132889, documento del Centro Común de Investigación, 132889.</w:t>
      </w:r>
    </w:p>
  </w:footnote>
  <w:footnote w:id="212">
    <w:p w14:paraId="4883112C" w14:textId="75AF080E"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SWD(2022) 230 final.</w:t>
      </w:r>
    </w:p>
  </w:footnote>
  <w:footnote w:id="213">
    <w:p w14:paraId="6736A44B" w14:textId="6487C174" w:rsidR="00C075ED"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COM(2021) 804 final.</w:t>
      </w:r>
    </w:p>
  </w:footnote>
  <w:footnote w:id="214">
    <w:p w14:paraId="437A398F" w14:textId="1F19EF93" w:rsidR="00C075ED" w:rsidRPr="00B67589" w:rsidRDefault="00C075ED" w:rsidP="00EB3E8B">
      <w:pPr>
        <w:pStyle w:val="FootnoteText"/>
        <w:ind w:left="284" w:hanging="284"/>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footnoteRef/>
      </w:r>
      <w:r>
        <w:rPr>
          <w:rFonts w:ascii="Times New Roman" w:hAnsi="Times New Roman"/>
          <w:sz w:val="18"/>
          <w:vertAlign w:val="superscript"/>
        </w:rPr>
        <w:t xml:space="preserve">  </w:t>
      </w:r>
      <w:r>
        <w:rPr>
          <w:rFonts w:ascii="Times New Roman" w:hAnsi="Times New Roman"/>
          <w:sz w:val="18"/>
          <w:vertAlign w:val="superscript"/>
        </w:rPr>
        <w:tab/>
      </w:r>
      <w:r>
        <w:rPr>
          <w:rFonts w:ascii="Times New Roman" w:hAnsi="Times New Roman"/>
          <w:sz w:val="18"/>
        </w:rPr>
        <w:t xml:space="preserve">Desafío Social de la Energía de H2020 y Horizonte Europa Clúster 5 Energía </w:t>
      </w:r>
      <w:hyperlink r:id="rId80" w:history="1">
        <w:r>
          <w:rPr>
            <w:rStyle w:val="Hyperlink"/>
            <w:rFonts w:ascii="Times New Roman" w:hAnsi="Times New Roman"/>
            <w:sz w:val="18"/>
          </w:rPr>
          <w:t>https://cordis.europa.eu/projects/en</w:t>
        </w:r>
      </w:hyperlink>
      <w:r>
        <w:rPr>
          <w:rStyle w:val="Hyperlink"/>
          <w:rFonts w:ascii="Times New Roman" w:hAnsi="Times New Roman"/>
          <w:sz w:val="18"/>
        </w:rPr>
        <w:t xml:space="preserve"> (europa.eu).</w:t>
      </w:r>
      <w:r>
        <w:rPr>
          <w:rFonts w:ascii="Times New Roman" w:hAnsi="Times New Roman"/>
          <w:sz w:val="18"/>
          <w:vertAlign w:val="superscript"/>
        </w:rPr>
        <w:t xml:space="preserve"> </w:t>
      </w:r>
      <w:r>
        <w:rPr>
          <w:rFonts w:ascii="Times New Roman" w:hAnsi="Times New Roman"/>
          <w:sz w:val="18"/>
        </w:rPr>
        <w:t xml:space="preserve">Basado en los datos del Desafío Social de la Energía de H2020 y Horizonte Europa Clúster 5 Energía de CORDIS de la CE. </w:t>
      </w:r>
      <w:hyperlink r:id="rId81" w:history="1">
        <w:r>
          <w:rPr>
            <w:rStyle w:val="Hyperlink"/>
          </w:rPr>
          <w:t>Resultados de los proyectos | CORDIS | Comisión Europea (europa.eu)</w:t>
        </w:r>
      </w:hyperlink>
      <w:r>
        <w:rPr>
          <w:rStyle w:val="Hyperlink"/>
          <w:rFonts w:ascii="Times New Roman" w:hAnsi="Times New Roman"/>
          <w:sz w:val="18"/>
        </w:rPr>
        <w:t>.</w:t>
      </w:r>
      <w:r>
        <w:rPr>
          <w:rFonts w:ascii="Times New Roman" w:hAnsi="Times New Roman"/>
          <w:sz w:val="18"/>
        </w:rPr>
        <w:t xml:space="preserve"> </w:t>
      </w:r>
    </w:p>
  </w:footnote>
  <w:footnote w:id="215">
    <w:p w14:paraId="42FF0C86"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Asociación Europea de Biogás, </w:t>
      </w:r>
      <w:r>
        <w:rPr>
          <w:rFonts w:ascii="Times New Roman" w:hAnsi="Times New Roman"/>
          <w:i/>
          <w:sz w:val="18"/>
        </w:rPr>
        <w:t>Statistical Report</w:t>
      </w:r>
      <w:r>
        <w:rPr>
          <w:rFonts w:ascii="Times New Roman" w:hAnsi="Times New Roman"/>
          <w:sz w:val="18"/>
        </w:rPr>
        <w:t xml:space="preserve"> [«Informe estadístico», documento en inglés], 2022. </w:t>
      </w:r>
    </w:p>
  </w:footnote>
  <w:footnote w:id="216">
    <w:p w14:paraId="4D9047E5" w14:textId="6940224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sidRPr="00C223F1">
        <w:rPr>
          <w:rFonts w:ascii="Times New Roman" w:hAnsi="Times New Roman"/>
          <w:sz w:val="18"/>
          <w:lang w:val="en-US"/>
        </w:rPr>
        <w:t xml:space="preserve"> </w:t>
      </w:r>
      <w:r w:rsidRPr="00C223F1">
        <w:rPr>
          <w:rFonts w:ascii="Times New Roman" w:hAnsi="Times New Roman"/>
          <w:sz w:val="18"/>
          <w:lang w:val="en-US"/>
        </w:rPr>
        <w:tab/>
        <w:t xml:space="preserve">Motola, V., Scarlat, N., Hurtig, O., Buffi, M., Georgakaki, A., Letout, S., Mountraki, A., Salvucci, R. y Schmitz, A., Clean Energy Technology Observatory: Bioenergy in the European Union - 2023 Status Report on Technology Development Trends, Value Chains and Markets [«Observatorio de las Tecnologías Energéticas Limpias: la bioenergía en la Unión Europea. </w:t>
      </w:r>
      <w:r>
        <w:rPr>
          <w:rFonts w:ascii="Times New Roman" w:hAnsi="Times New Roman"/>
          <w:sz w:val="18"/>
        </w:rPr>
        <w:t xml:space="preserve">Informe de situación de 2023 sobre desarrollo tecnológico, tendencias, cadenas de valor y mercados», documento en inglés], Oficina de Publicaciones de la Unión Europea, Luxemburgo, 2023, JRC135079. </w:t>
      </w:r>
    </w:p>
  </w:footnote>
  <w:footnote w:id="217">
    <w:p w14:paraId="33230684"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Basado en EurObserv’ER, </w:t>
      </w:r>
      <w:hyperlink r:id="rId82" w:history="1">
        <w:r>
          <w:rPr>
            <w:rStyle w:val="Hyperlink"/>
            <w:rFonts w:ascii="Times New Roman" w:hAnsi="Times New Roman"/>
            <w:sz w:val="18"/>
          </w:rPr>
          <w:t>Employment &amp; Turnover</w:t>
        </w:r>
      </w:hyperlink>
      <w:r>
        <w:rPr>
          <w:rFonts w:ascii="Times New Roman" w:hAnsi="Times New Roman"/>
          <w:sz w:val="18"/>
        </w:rPr>
        <w:t xml:space="preserve"> [«Empleo y volumen de negocio», documento en inglés], abril 2023.</w:t>
      </w:r>
    </w:p>
  </w:footnote>
  <w:footnote w:id="218">
    <w:p w14:paraId="61BDC62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Según los datos de Eurostat. Bioenergy Europe, </w:t>
      </w:r>
      <w:r>
        <w:rPr>
          <w:rFonts w:ascii="Times New Roman" w:hAnsi="Times New Roman"/>
          <w:i/>
          <w:sz w:val="18"/>
        </w:rPr>
        <w:t>Statistical report</w:t>
      </w:r>
      <w:r>
        <w:rPr>
          <w:rFonts w:ascii="Times New Roman" w:hAnsi="Times New Roman"/>
          <w:sz w:val="18"/>
        </w:rPr>
        <w:t xml:space="preserve">, 2022, </w:t>
      </w:r>
      <w:r>
        <w:rPr>
          <w:rFonts w:ascii="Times New Roman" w:hAnsi="Times New Roman"/>
          <w:i/>
          <w:sz w:val="18"/>
        </w:rPr>
        <w:t>Bioenergy Landscape</w:t>
      </w:r>
      <w:r>
        <w:rPr>
          <w:rFonts w:ascii="Times New Roman" w:hAnsi="Times New Roman"/>
          <w:sz w:val="18"/>
        </w:rPr>
        <w:t xml:space="preserve"> [«Informe estadístico, 2022, Panorama de la bioenergía», documento en inglés]. En la UE solo se importa un 4 % de biomasa sólida para bioenergía. </w:t>
      </w:r>
    </w:p>
  </w:footnote>
  <w:footnote w:id="219">
    <w:p w14:paraId="4866A11A"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DO L 150 de 14.6.2018. </w:t>
      </w:r>
    </w:p>
  </w:footnote>
  <w:footnote w:id="220">
    <w:p w14:paraId="0C0D703A" w14:textId="76319C59" w:rsidR="007F0E73" w:rsidRPr="007F0E73" w:rsidRDefault="007F0E73" w:rsidP="007F0E73">
      <w:pPr>
        <w:pStyle w:val="FootnoteText"/>
        <w:ind w:left="284" w:hanging="284"/>
      </w:pPr>
      <w:r>
        <w:rPr>
          <w:rStyle w:val="FootnoteReference"/>
        </w:rPr>
        <w:footnoteRef/>
      </w:r>
      <w:r>
        <w:t xml:space="preserve"> </w:t>
      </w:r>
      <w:r>
        <w:rPr>
          <w:rFonts w:ascii="Times New Roman" w:hAnsi="Times New Roman"/>
          <w:sz w:val="18"/>
        </w:rPr>
        <w:t xml:space="preserve">Comisión Europea, Dirección General de Movilidad y Transportes, Maniatis, K., Landälv, I., Heuvel, E. </w:t>
      </w:r>
      <w:r>
        <w:rPr>
          <w:rFonts w:ascii="Times New Roman" w:hAnsi="Times New Roman"/>
          <w:i/>
          <w:sz w:val="18"/>
        </w:rPr>
        <w:t>et al</w:t>
      </w:r>
      <w:r>
        <w:rPr>
          <w:rFonts w:ascii="Times New Roman" w:hAnsi="Times New Roman"/>
          <w:sz w:val="18"/>
        </w:rPr>
        <w:t xml:space="preserve">., </w:t>
      </w:r>
      <w:r>
        <w:rPr>
          <w:rFonts w:ascii="Times New Roman" w:hAnsi="Times New Roman"/>
          <w:i/>
          <w:iCs/>
          <w:sz w:val="18"/>
        </w:rPr>
        <w:t>Building up the future, cost of biofuel</w:t>
      </w:r>
      <w:r>
        <w:rPr>
          <w:rFonts w:ascii="Times New Roman" w:hAnsi="Times New Roman"/>
          <w:sz w:val="18"/>
        </w:rPr>
        <w:t xml:space="preserve"> [«Construir el futuro, coste del biocombustible», documento en inglés], 2018, </w:t>
      </w:r>
      <w:hyperlink r:id="rId83" w:history="1">
        <w:r>
          <w:rPr>
            <w:rStyle w:val="Hyperlink"/>
            <w:rFonts w:ascii="Times New Roman" w:hAnsi="Times New Roman"/>
            <w:sz w:val="18"/>
          </w:rPr>
          <w:t>https://data.europa.eu/doi/10.2832/163774</w:t>
        </w:r>
      </w:hyperlink>
      <w:r>
        <w:rPr>
          <w:rFonts w:ascii="Times New Roman" w:hAnsi="Times New Roman"/>
          <w:sz w:val="18"/>
        </w:rPr>
        <w:t>.</w:t>
      </w:r>
    </w:p>
  </w:footnote>
  <w:footnote w:id="221">
    <w:p w14:paraId="28157869"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Basado en </w:t>
      </w:r>
      <w:r>
        <w:rPr>
          <w:rFonts w:ascii="Times New Roman" w:hAnsi="Times New Roman"/>
          <w:color w:val="000000"/>
          <w:sz w:val="18"/>
          <w:shd w:val="clear" w:color="auto" w:fill="FFFFFF"/>
        </w:rPr>
        <w:t xml:space="preserve">datos de </w:t>
      </w:r>
      <w:r>
        <w:rPr>
          <w:rStyle w:val="tab"/>
          <w:rFonts w:ascii="Times New Roman" w:hAnsi="Times New Roman"/>
          <w:color w:val="000000"/>
          <w:sz w:val="18"/>
          <w:bdr w:val="none" w:sz="0" w:space="0" w:color="auto" w:frame="1"/>
          <w:shd w:val="clear" w:color="auto" w:fill="FFFFFF"/>
        </w:rPr>
        <w:t>la Agencia Internacional de la Energía (</w:t>
      </w:r>
      <w:r>
        <w:rPr>
          <w:rFonts w:ascii="Times New Roman" w:hAnsi="Times New Roman"/>
          <w:color w:val="000000"/>
          <w:sz w:val="18"/>
          <w:shd w:val="clear" w:color="auto" w:fill="FFFFFF"/>
        </w:rPr>
        <w:t>AIE)</w:t>
      </w:r>
      <w:r>
        <w:rPr>
          <w:rFonts w:ascii="Times New Roman" w:hAnsi="Times New Roman"/>
          <w:sz w:val="18"/>
        </w:rPr>
        <w:t>.</w:t>
      </w:r>
      <w:r>
        <w:rPr>
          <w:rFonts w:ascii="Times New Roman" w:hAnsi="Times New Roman"/>
          <w:color w:val="000000"/>
          <w:sz w:val="18"/>
          <w:shd w:val="clear" w:color="auto" w:fill="FFFFFF"/>
        </w:rPr>
        <w:t xml:space="preserve"> Innovación energética europea, </w:t>
      </w:r>
      <w:hyperlink r:id="rId84" w:history="1">
        <w:r>
          <w:rPr>
            <w:rStyle w:val="Hyperlink"/>
            <w:rFonts w:ascii="Times New Roman" w:hAnsi="Times New Roman"/>
            <w:sz w:val="18"/>
          </w:rPr>
          <w:t>A new policy context for assessing biogas and biomethane [«Un nuevo contexto político para evaluar el biogás y el biometano», documento en inglés] (europeanenergyinnovation.eu)</w:t>
        </w:r>
      </w:hyperlink>
      <w:r>
        <w:rPr>
          <w:rFonts w:ascii="Times New Roman" w:hAnsi="Times New Roman"/>
          <w:sz w:val="18"/>
        </w:rPr>
        <w:t>, otoño de 2022.</w:t>
      </w:r>
    </w:p>
  </w:footnote>
  <w:footnote w:id="222">
    <w:p w14:paraId="5AB919D4"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Asociación Europea de Biogás, </w:t>
      </w:r>
      <w:hyperlink r:id="rId85" w:history="1">
        <w:r>
          <w:rPr>
            <w:rStyle w:val="Hyperlink"/>
            <w:rFonts w:ascii="Times New Roman" w:hAnsi="Times New Roman"/>
            <w:sz w:val="18"/>
          </w:rPr>
          <w:t>Biomethane Map</w:t>
        </w:r>
      </w:hyperlink>
      <w:r>
        <w:t xml:space="preserve"> </w:t>
      </w:r>
      <w:r>
        <w:rPr>
          <w:rFonts w:ascii="Times New Roman" w:hAnsi="Times New Roman"/>
          <w:sz w:val="18"/>
        </w:rPr>
        <w:t xml:space="preserve">[«Mapa del biometano», documento en inglés], 2021. </w:t>
      </w:r>
    </w:p>
  </w:footnote>
  <w:footnote w:id="223">
    <w:p w14:paraId="0A20B103" w14:textId="4F9E54EC"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sidRPr="00C223F1">
        <w:rPr>
          <w:rFonts w:ascii="Times New Roman" w:hAnsi="Times New Roman"/>
          <w:sz w:val="18"/>
          <w:lang w:val="en-US"/>
        </w:rPr>
        <w:t xml:space="preserve"> </w:t>
      </w:r>
      <w:r w:rsidRPr="00C223F1">
        <w:rPr>
          <w:rFonts w:ascii="Times New Roman" w:hAnsi="Times New Roman"/>
          <w:sz w:val="18"/>
          <w:lang w:val="en-US"/>
        </w:rPr>
        <w:tab/>
        <w:t xml:space="preserve">Motola, V., Scarlat, N., Hurtig, O., Buffi, M., Georgakaki, A., Letout, S., Mountraki, A., Salvucci, R. y Schmitz, A., Clean Energy Technology Observatory: Bioenergy in the European Union - 2023 Status Report on Technology Development Trends, Value Chains and Markets [«Observatorio de las Tecnologías Energéticas Limpias: la bioenergía en la Unión Europea. </w:t>
      </w:r>
      <w:r>
        <w:rPr>
          <w:rFonts w:ascii="Times New Roman" w:hAnsi="Times New Roman"/>
          <w:sz w:val="18"/>
        </w:rPr>
        <w:t>Informe de situación de 2023 sobre desarrollo tecnológico, tendencias, cadenas de valor y mercados», documento en inglés], Oficina de Publicaciones de la Unión Europea, Luxemburgo, 2023, JRC135079.</w:t>
      </w:r>
    </w:p>
  </w:footnote>
  <w:footnote w:id="224">
    <w:p w14:paraId="23336F26"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Asociación Europea de Biogás, </w:t>
      </w:r>
      <w:r>
        <w:rPr>
          <w:rFonts w:ascii="Times New Roman" w:hAnsi="Times New Roman"/>
          <w:i/>
          <w:sz w:val="18"/>
        </w:rPr>
        <w:t>Statistical Report</w:t>
      </w:r>
      <w:r>
        <w:rPr>
          <w:rFonts w:ascii="Times New Roman" w:hAnsi="Times New Roman"/>
          <w:sz w:val="18"/>
        </w:rPr>
        <w:t xml:space="preserve"> [«Informe estadístico», documento en inglés], 2022. </w:t>
      </w:r>
    </w:p>
  </w:footnote>
  <w:footnote w:id="225">
    <w:p w14:paraId="073BBAFB" w14:textId="1B120922"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sidRPr="00C223F1">
        <w:rPr>
          <w:rFonts w:ascii="Times New Roman" w:hAnsi="Times New Roman"/>
          <w:sz w:val="18"/>
          <w:lang w:val="en-US"/>
        </w:rPr>
        <w:t xml:space="preserve"> </w:t>
      </w:r>
      <w:r w:rsidRPr="00C223F1">
        <w:rPr>
          <w:rFonts w:ascii="Times New Roman" w:hAnsi="Times New Roman"/>
          <w:sz w:val="18"/>
          <w:lang w:val="en-US"/>
        </w:rPr>
        <w:tab/>
        <w:t xml:space="preserve">Motola, V., Scarlat, N., Hurtig, O., Buffi, M., Georgakaki, A., Letout, S., Mountraki, A., Salvucci, R. y Schmitz, A., Clean Energy Technology Observatory: Bioenergy in the European Union - 2023 Status Report on Technology Development Trends, Value Chains and Markets [«Observatorio de las Tecnologías Energéticas Limpias: la bioenergía en la Unión Europea. </w:t>
      </w:r>
      <w:r>
        <w:rPr>
          <w:rFonts w:ascii="Times New Roman" w:hAnsi="Times New Roman"/>
          <w:sz w:val="18"/>
        </w:rPr>
        <w:t>Informe de situación de 2023 sobre desarrollo tecnológico, tendencias, cadenas de valor y mercados», documento en inglés], Oficina de Publicaciones de la Unión Europea, Luxemburgo, 2023, JRC135079.</w:t>
      </w:r>
    </w:p>
  </w:footnote>
  <w:footnote w:id="226">
    <w:p w14:paraId="1980EF2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Asociación Europea de Biogás, </w:t>
      </w:r>
      <w:r>
        <w:rPr>
          <w:rFonts w:ascii="Times New Roman" w:hAnsi="Times New Roman"/>
          <w:i/>
          <w:sz w:val="18"/>
        </w:rPr>
        <w:t>Breaking Free of the Energy Dependency Trap–Delivering 35 bcm of biomethane by 2030</w:t>
      </w:r>
      <w:r>
        <w:rPr>
          <w:rFonts w:ascii="Times New Roman" w:hAnsi="Times New Roman"/>
          <w:sz w:val="18"/>
        </w:rPr>
        <w:t xml:space="preserve"> [«Liberarse de la dependencia energética: 35 000 millones de metros cúbicos de biometano para 2030», documento en inglés], 2022.</w:t>
      </w:r>
    </w:p>
  </w:footnote>
  <w:footnote w:id="227">
    <w:p w14:paraId="02644979"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Asociación Europea de Biogás, </w:t>
      </w:r>
      <w:r>
        <w:rPr>
          <w:rFonts w:ascii="Times New Roman" w:hAnsi="Times New Roman"/>
          <w:i/>
          <w:sz w:val="18"/>
        </w:rPr>
        <w:t>Statistical Report</w:t>
      </w:r>
      <w:r>
        <w:rPr>
          <w:rFonts w:ascii="Times New Roman" w:hAnsi="Times New Roman"/>
          <w:sz w:val="18"/>
        </w:rPr>
        <w:t xml:space="preserve"> [«Informe estadístico», documento en inglés], 2022.</w:t>
      </w:r>
    </w:p>
  </w:footnote>
  <w:footnote w:id="228">
    <w:p w14:paraId="5C635C4E" w14:textId="77777777" w:rsidR="00C075ED" w:rsidRPr="006926D7" w:rsidRDefault="00C075ED" w:rsidP="00EB3E8B">
      <w:pPr>
        <w:pStyle w:val="FootnoteText"/>
        <w:tabs>
          <w:tab w:val="left" w:pos="284"/>
        </w:tabs>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Asociación Europea de Biogás, </w:t>
      </w:r>
      <w:r>
        <w:rPr>
          <w:rFonts w:ascii="Times New Roman" w:hAnsi="Times New Roman"/>
          <w:i/>
          <w:sz w:val="18"/>
        </w:rPr>
        <w:t>Statistical Report</w:t>
      </w:r>
      <w:r>
        <w:rPr>
          <w:rFonts w:ascii="Times New Roman" w:hAnsi="Times New Roman"/>
          <w:sz w:val="18"/>
        </w:rPr>
        <w:t xml:space="preserve"> [«Informe estadístico», documento en inglés], 2022.</w:t>
      </w:r>
    </w:p>
  </w:footnote>
  <w:footnote w:id="229">
    <w:p w14:paraId="6AD902C3" w14:textId="29DB6C98" w:rsidR="00C075ED" w:rsidRPr="00EC0035" w:rsidRDefault="00C075ED" w:rsidP="00EB3E8B">
      <w:pPr>
        <w:pStyle w:val="pf0"/>
        <w:spacing w:before="0" w:beforeAutospacing="0" w:after="0" w:afterAutospacing="0"/>
        <w:ind w:left="284" w:hanging="284"/>
        <w:jc w:val="both"/>
        <w:rPr>
          <w:sz w:val="18"/>
          <w:szCs w:val="18"/>
        </w:rPr>
      </w:pPr>
      <w:r>
        <w:rPr>
          <w:rStyle w:val="FootnoteReference"/>
          <w:sz w:val="18"/>
          <w:szCs w:val="18"/>
        </w:rPr>
        <w:footnoteRef/>
      </w:r>
      <w:r>
        <w:rPr>
          <w:sz w:val="18"/>
        </w:rPr>
        <w:tab/>
        <w:t xml:space="preserve">Itul, A., Diaz Rincon, A., Eulaerts, O. D., Georgakaki, A., Grabowska, M., Kapetaki, Z., Ince, E., Letout, S., Kuokkanen, A., Mountraki, A., Shtjefni, D. y Jaxa-Rozen, M., Clean Energy Technology Observatory: Carbon capture storage and utilisation in the European Union - 2023 Status Report on Technology Development Trends, Value Chains and Markets [«Observatorio de las Tecnologías Energéticas Limpias: captura, almacenamiento y utilización del carbono en la Unión Europea. Informe de situación de 2023 sobre desarrollo tecnológico, tendencias, cadenas de valor y mercados», documento en inglés], Oficina de Publicaciones de la Unión Europea, Luxemburgo, 2023, JRC134999. </w:t>
      </w:r>
    </w:p>
  </w:footnote>
  <w:footnote w:id="230">
    <w:p w14:paraId="224BEF4C"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DO L 140 de 5.6.2009. </w:t>
      </w:r>
    </w:p>
  </w:footnote>
  <w:footnote w:id="231">
    <w:p w14:paraId="56280535"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DO L 275 de 25.10.2003. </w:t>
      </w:r>
    </w:p>
  </w:footnote>
  <w:footnote w:id="232">
    <w:p w14:paraId="3F64D26C" w14:textId="3039F276" w:rsidR="00C075ED" w:rsidRPr="00C268B3" w:rsidRDefault="00C075ED" w:rsidP="00C268B3">
      <w:pPr>
        <w:pStyle w:val="FootnoteText"/>
        <w:ind w:left="284" w:hanging="284"/>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COM(2021) 800 final.</w:t>
      </w:r>
    </w:p>
  </w:footnote>
  <w:footnote w:id="233">
    <w:p w14:paraId="4D6028C1" w14:textId="44460998" w:rsidR="00C075ED" w:rsidRPr="00C268B3" w:rsidRDefault="00C075ED" w:rsidP="00C268B3">
      <w:pPr>
        <w:pStyle w:val="FootnoteText"/>
        <w:ind w:left="284" w:hanging="284"/>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672.</w:t>
      </w:r>
    </w:p>
  </w:footnote>
  <w:footnote w:id="234">
    <w:p w14:paraId="585CB0D9"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Cada cuatro años, los Estados miembros informan a la Comisión sobre la aplicación de la Directiva 2009/31/CE relativa a la CAC. Hasta la fecha, la Comisión </w:t>
      </w:r>
      <w:hyperlink r:id="rId86" w:history="1">
        <w:r>
          <w:rPr>
            <w:rFonts w:ascii="Times New Roman" w:hAnsi="Times New Roman"/>
            <w:sz w:val="18"/>
          </w:rPr>
          <w:t>ha publicado</w:t>
        </w:r>
      </w:hyperlink>
      <w:r>
        <w:rPr>
          <w:rFonts w:ascii="Times New Roman" w:hAnsi="Times New Roman"/>
          <w:sz w:val="18"/>
        </w:rPr>
        <w:t xml:space="preserve"> tres de estos informes y la publicación del cuarto informe de aplicación está prevista para finales de 2023.</w:t>
      </w:r>
    </w:p>
  </w:footnote>
  <w:footnote w:id="235">
    <w:p w14:paraId="76F9529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EnTEC (Trinomics, TNO e Instituto Fraunhofer ISI), Bolscher, H. </w:t>
      </w:r>
      <w:r>
        <w:rPr>
          <w:rFonts w:ascii="Times New Roman" w:hAnsi="Times New Roman"/>
          <w:i/>
          <w:sz w:val="18"/>
        </w:rPr>
        <w:t>et al</w:t>
      </w:r>
      <w:r>
        <w:rPr>
          <w:rFonts w:ascii="Times New Roman" w:hAnsi="Times New Roman"/>
          <w:sz w:val="18"/>
        </w:rPr>
        <w:t xml:space="preserve">., </w:t>
      </w:r>
      <w:r>
        <w:rPr>
          <w:rFonts w:ascii="Times New Roman" w:hAnsi="Times New Roman"/>
          <w:i/>
          <w:sz w:val="18"/>
        </w:rPr>
        <w:t>EU regulation for the development of the market for CO2 transport and storage</w:t>
      </w:r>
      <w:r>
        <w:rPr>
          <w:rFonts w:ascii="Times New Roman" w:hAnsi="Times New Roman"/>
          <w:sz w:val="18"/>
        </w:rPr>
        <w:t xml:space="preserve"> [«Reglamento de la UE para el desarrollo del mercado de transporte y almacenamiento de CO</w:t>
      </w:r>
      <w:r>
        <w:rPr>
          <w:rFonts w:ascii="Times New Roman" w:hAnsi="Times New Roman"/>
          <w:sz w:val="18"/>
          <w:vertAlign w:val="subscript"/>
        </w:rPr>
        <w:t>2</w:t>
      </w:r>
      <w:r>
        <w:rPr>
          <w:rFonts w:ascii="Times New Roman" w:hAnsi="Times New Roman"/>
          <w:sz w:val="18"/>
        </w:rPr>
        <w:t xml:space="preserve">», documento en inglés], Unión Europea, 2023. </w:t>
      </w:r>
      <w:hyperlink r:id="rId87" w:history="1">
        <w:r>
          <w:rPr>
            <w:rStyle w:val="Hyperlink"/>
            <w:rFonts w:ascii="Times New Roman" w:hAnsi="Times New Roman"/>
            <w:sz w:val="18"/>
          </w:rPr>
          <w:t>https://energy.ec.europa.eu/publications/eu-regulation-development-market-co2-transport-and-storage_en</w:t>
        </w:r>
      </w:hyperlink>
      <w:r>
        <w:t>.</w:t>
      </w:r>
    </w:p>
  </w:footnote>
  <w:footnote w:id="236">
    <w:p w14:paraId="55E1676E" w14:textId="3D5AD214"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ab/>
        <w:t>Itul, A., Diaz Rincon, A., Eulaerts, O. D., Georgakaki, A., Grabowska, M., Kapetaki, Z., Ince, E., Letout, S., Kuokkanen, A., Mountraki, A., Shtjefni, D. y Jaxa-Rozen, M., Clean Energy Technology Observatory: Carbon capture storage and utilisation in the European Union - 2023 Status Report on Technology Development Trends, Value Chains and Markets [«Observatorio de las Tecnologías Energéticas Limpias: captura, almacenamiento y utilización del carbono en la Unión Europea. Informe de situación de 2023 sobre desarrollo tecnológico, tendencias, cadenas de valor y mercados», documento en inglés], Oficina de Publicaciones de la Unión Europea, Luxemburgo, 2023, JRC134999.</w:t>
      </w:r>
    </w:p>
  </w:footnote>
  <w:footnote w:id="237">
    <w:p w14:paraId="4349D063" w14:textId="77777777" w:rsidR="00C075ED" w:rsidRPr="001D771F" w:rsidRDefault="00C075ED" w:rsidP="00EB3E8B">
      <w:pPr>
        <w:spacing w:after="0"/>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Instituto Mundial de la CAC, </w:t>
      </w:r>
      <w:hyperlink r:id="rId88" w:history="1">
        <w:r>
          <w:rPr>
            <w:rStyle w:val="Hyperlink"/>
            <w:rFonts w:ascii="Times New Roman" w:hAnsi="Times New Roman"/>
            <w:i/>
            <w:sz w:val="18"/>
          </w:rPr>
          <w:t>Global Status of Carbon Capture and storage, 2022</w:t>
        </w:r>
      </w:hyperlink>
      <w:r>
        <w:rPr>
          <w:rFonts w:ascii="Times New Roman" w:hAnsi="Times New Roman"/>
          <w:sz w:val="18"/>
        </w:rPr>
        <w:t xml:space="preserve"> [«Situación mundial de la captura y el almacenamiento de carbono», documento en inglés], 2022.</w:t>
      </w:r>
    </w:p>
  </w:footnote>
  <w:footnote w:id="238">
    <w:p w14:paraId="359DA9B9" w14:textId="0DCB3704" w:rsidR="00C075ED" w:rsidRPr="00DA3909" w:rsidRDefault="00C075ED" w:rsidP="00EB3E8B">
      <w:pPr>
        <w:pStyle w:val="FootnoteText"/>
        <w:ind w:left="284" w:hanging="284"/>
        <w:jc w:val="both"/>
      </w:pPr>
      <w:r>
        <w:rPr>
          <w:rStyle w:val="FootnoteReference"/>
        </w:rPr>
        <w:footnoteRef/>
      </w:r>
      <w:r>
        <w:t xml:space="preserve"> </w:t>
      </w:r>
      <w:r>
        <w:tab/>
      </w:r>
      <w:r>
        <w:rPr>
          <w:rFonts w:ascii="Times New Roman" w:hAnsi="Times New Roman"/>
          <w:sz w:val="18"/>
        </w:rPr>
        <w:t xml:space="preserve">Sobre la base de un tipo de cambio medio de 0,9497 EUR por 1 USD durante el año 2022. Véase: </w:t>
      </w:r>
      <w:hyperlink r:id="rId89" w:history="1">
        <w:r>
          <w:rPr>
            <w:rStyle w:val="Hyperlink"/>
            <w:rFonts w:ascii="Times New Roman" w:hAnsi="Times New Roman"/>
            <w:sz w:val="18"/>
          </w:rPr>
          <w:t>https://www.ecb.europa.eu/stats/policy_and_exchange_rates/euro_reference_exchange_rates/html/eurofxref-graph-usd.en.html</w:t>
        </w:r>
      </w:hyperlink>
      <w:r>
        <w:t xml:space="preserve"> (disponible en inglés).</w:t>
      </w:r>
    </w:p>
  </w:footnote>
  <w:footnote w:id="239">
    <w:p w14:paraId="01CC2F40" w14:textId="228EE21B"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ab/>
        <w:t>Itul, A., Diaz Rincon, A., Eulaerts, O. D., Georgakaki, A., Grabowska, M., Kapetaki, Z., Ince, E., Letout, S., Kuokkanen, A., Mountraki, A., Shtjefni, D. y Jaxa-Rozen, M., Clean Energy Technology Observatory: Carbon capture storage and utilisation in the European Union - 2023 Status Report on Technology Development Trends, Value Chains and Markets [«Observatorio de las Tecnologías Energéticas Limpias: captura, almacenamiento y utilización del carbono en la Unión Europea. Informe de situación de 2023 sobre desarrollo tecnológico, tendencias, cadenas de valor y mercados», documento en inglés], Oficina de Publicaciones de la Unión Europea, Luxemburgo, 2023, JRC134999.</w:t>
      </w:r>
    </w:p>
  </w:footnote>
  <w:footnote w:id="240">
    <w:p w14:paraId="320AD874" w14:textId="12EBA083" w:rsidR="00C075ED" w:rsidRPr="00AC1327" w:rsidRDefault="00C075ED" w:rsidP="00EB3E8B">
      <w:pPr>
        <w:spacing w:after="0"/>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Los datos disponibles sobre el número de empresas que participan en la cadena de suministro de la captura, almacenamiento y utilización de carbono en Europa son limitados. Asimismo, la mayoría de las empresas no han dado a conocer el valor de los proyectos en los que participan. Además de eso, las empresas participan en una amplia gama de etapas a lo largo de toda la cadena de valor, por lo que es difícil establecer una cuota de mercado en el momento actual. Dependiendo de los límites establecidos para la cadena de valor, otras investigaciones sugieren alrededor de 17 000 empresas que participan en todos los aspectos de la cadena de suministro de captura, almacenamiento y utilización de carbono, incluidos los proveedores de tecnología, servicios y aspectos jurídicos. </w:t>
      </w:r>
      <w:r w:rsidRPr="00C223F1">
        <w:rPr>
          <w:rFonts w:ascii="Times New Roman" w:hAnsi="Times New Roman"/>
          <w:sz w:val="18"/>
          <w:lang w:val="en-US"/>
        </w:rPr>
        <w:t xml:space="preserve">Comisión Europea, Kapetaki, Z. </w:t>
      </w:r>
      <w:r w:rsidRPr="00C223F1">
        <w:rPr>
          <w:rFonts w:ascii="Times New Roman" w:hAnsi="Times New Roman"/>
          <w:i/>
          <w:sz w:val="18"/>
          <w:lang w:val="en-US"/>
        </w:rPr>
        <w:t>et al</w:t>
      </w:r>
      <w:r w:rsidRPr="00C223F1">
        <w:rPr>
          <w:rFonts w:ascii="Times New Roman" w:hAnsi="Times New Roman"/>
          <w:sz w:val="18"/>
          <w:lang w:val="en-US"/>
        </w:rPr>
        <w:t xml:space="preserve">., </w:t>
      </w:r>
      <w:r w:rsidRPr="00C223F1">
        <w:rPr>
          <w:rFonts w:ascii="Times New Roman" w:hAnsi="Times New Roman"/>
          <w:i/>
          <w:sz w:val="18"/>
          <w:lang w:val="en-US"/>
        </w:rPr>
        <w:t>Carbon Capture Utilisation and Storage in the European Union. 2022 Status Report on Technology Development Trends, Value Chains and Markets</w:t>
      </w:r>
      <w:r w:rsidRPr="00C223F1">
        <w:rPr>
          <w:rFonts w:ascii="Times New Roman" w:hAnsi="Times New Roman"/>
          <w:sz w:val="18"/>
          <w:lang w:val="en-US"/>
        </w:rPr>
        <w:t xml:space="preserve">. </w:t>
      </w:r>
      <w:r>
        <w:rPr>
          <w:rFonts w:ascii="Times New Roman" w:hAnsi="Times New Roman"/>
          <w:sz w:val="18"/>
        </w:rPr>
        <w:t xml:space="preserve">2022 [«Captura, utilización y almacenamiento de carbono en la Unión Europea. Informe de situación de 2022 sobre tendencias de desarrollo tecnológico, cadenas de valor y mercados. 2022», documento en inglés]. </w:t>
      </w:r>
    </w:p>
    <w:p w14:paraId="113D5018" w14:textId="32A98411" w:rsidR="00C075ED" w:rsidRPr="00AC1327" w:rsidRDefault="00EA4533" w:rsidP="00EB3E8B">
      <w:pPr>
        <w:spacing w:after="0"/>
        <w:ind w:left="284"/>
        <w:jc w:val="both"/>
        <w:rPr>
          <w:rFonts w:ascii="Times New Roman" w:hAnsi="Times New Roman" w:cs="Times New Roman"/>
          <w:sz w:val="18"/>
          <w:szCs w:val="18"/>
        </w:rPr>
      </w:pPr>
      <w:hyperlink r:id="rId90" w:history="1">
        <w:r w:rsidR="001F57D7">
          <w:rPr>
            <w:rStyle w:val="Hyperlink"/>
            <w:rFonts w:ascii="Times New Roman" w:hAnsi="Times New Roman"/>
            <w:sz w:val="18"/>
          </w:rPr>
          <w:t>https://publications.jrc.ec.europa.eu/repository/handle/JRC13066</w:t>
        </w:r>
      </w:hyperlink>
    </w:p>
  </w:footnote>
  <w:footnote w:id="241">
    <w:p w14:paraId="783651C7"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DO L 152 de 3.6.2022. </w:t>
      </w:r>
    </w:p>
  </w:footnote>
  <w:footnote w:id="242">
    <w:p w14:paraId="56EC44D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Gracias a su mayor capacidad y menores pérdidas en largas distancias en comparación con sus equivalentes de corriente alterna, pueden reforzar eficazmente la interconectividad del sistema energético conectando redes eléctricas distantes con frecuencias diferentes o facilitando la interconexión de grandes centrales eólicas marinas.</w:t>
      </w:r>
    </w:p>
  </w:footnote>
  <w:footnote w:id="243">
    <w:p w14:paraId="4118D3C7"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Plataforma de Inteligencia de WindEurope, Workstream for the development of multi-vendor HVDC systems [«Línea de trabajo para el desarrollo de sistemas de corriente continua de alta tensión con múltiples proveedores»] (REGRT de Electricidad, T&amp;D Europe, WindEurope), 21 de junio de 2021. </w:t>
      </w:r>
    </w:p>
  </w:footnote>
  <w:footnote w:id="244">
    <w:p w14:paraId="70814891" w14:textId="64310A1C" w:rsidR="00C075ED" w:rsidRPr="00AC1327" w:rsidRDefault="00C075ED" w:rsidP="00EB3E8B">
      <w:pPr>
        <w:pStyle w:val="paragraph"/>
        <w:spacing w:before="0" w:beforeAutospacing="0" w:after="0" w:afterAutospacing="0"/>
        <w:ind w:left="284" w:hanging="284"/>
        <w:jc w:val="both"/>
        <w:rPr>
          <w:sz w:val="18"/>
          <w:szCs w:val="18"/>
        </w:rPr>
      </w:pPr>
      <w:r>
        <w:rPr>
          <w:rStyle w:val="FootnoteReference"/>
          <w:sz w:val="18"/>
          <w:szCs w:val="18"/>
        </w:rPr>
        <w:footnoteRef/>
      </w:r>
      <w:r>
        <w:rPr>
          <w:sz w:val="18"/>
        </w:rPr>
        <w:t xml:space="preserve"> </w:t>
      </w:r>
      <w:r>
        <w:rPr>
          <w:sz w:val="18"/>
        </w:rPr>
        <w:tab/>
        <w:t xml:space="preserve">El proyecto «Enabling interoperability of multi-vendor HVDC grids» (Interoperabilidad de las redes de corriente continua de alta tensión de múltiples proveedores) de InterOPERA reúne a gestores de la red de transporte (GRT) europeos, fabricantes, asociaciones sectoriales y universidades para definir normas de compatibilidad e interoperabilidad para la corriente continua de alta tensión. Para más información: </w:t>
      </w:r>
      <w:hyperlink r:id="rId91" w:history="1">
        <w:r>
          <w:rPr>
            <w:rStyle w:val="Hyperlink"/>
            <w:sz w:val="18"/>
          </w:rPr>
          <w:t>https://interopera.eu</w:t>
        </w:r>
      </w:hyperlink>
      <w:r>
        <w:rPr>
          <w:sz w:val="18"/>
        </w:rPr>
        <w:t>.</w:t>
      </w:r>
    </w:p>
  </w:footnote>
  <w:footnote w:id="245">
    <w:p w14:paraId="2AC9C343" w14:textId="43822B95"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r>
        <w:rPr>
          <w:rStyle w:val="tab"/>
          <w:rFonts w:ascii="Times New Roman" w:hAnsi="Times New Roman"/>
          <w:color w:val="000000"/>
          <w:sz w:val="18"/>
          <w:bdr w:val="none" w:sz="0" w:space="0" w:color="auto" w:frame="1"/>
          <w:shd w:val="clear" w:color="auto" w:fill="FFFFFF"/>
        </w:rPr>
        <w:t>Agencia Internacional de la Energía (</w:t>
      </w:r>
      <w:r>
        <w:rPr>
          <w:rFonts w:ascii="Times New Roman" w:hAnsi="Times New Roman"/>
          <w:color w:val="000000"/>
          <w:sz w:val="18"/>
          <w:shd w:val="clear" w:color="auto" w:fill="FFFFFF"/>
        </w:rPr>
        <w:t>AIE),</w:t>
      </w:r>
      <w:r>
        <w:rPr>
          <w:rFonts w:ascii="Times New Roman" w:hAnsi="Times New Roman"/>
          <w:sz w:val="18"/>
        </w:rPr>
        <w:t xml:space="preserve"> </w:t>
      </w:r>
      <w:r>
        <w:rPr>
          <w:rFonts w:ascii="Times New Roman" w:hAnsi="Times New Roman"/>
          <w:i/>
          <w:sz w:val="18"/>
        </w:rPr>
        <w:t xml:space="preserve">Energy Technology Perspectives </w:t>
      </w:r>
      <w:r>
        <w:rPr>
          <w:rFonts w:ascii="Times New Roman" w:hAnsi="Times New Roman"/>
          <w:sz w:val="18"/>
        </w:rPr>
        <w:t xml:space="preserve">[«Perspectivas de la tecnología energética», documento en inglés], 2023. </w:t>
      </w:r>
    </w:p>
  </w:footnote>
  <w:footnote w:id="246">
    <w:p w14:paraId="19549A1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Investigación de Power Technology (2023, marzo). Innovación de la internet de las cosas: empresas líderes en sistemas de transmisión de corriente continua de alta tensión para el sector eléctrico. Extraído de Power Technology: </w:t>
      </w:r>
      <w:hyperlink r:id="rId92" w:history="1">
        <w:r>
          <w:rPr>
            <w:rStyle w:val="Hyperlink"/>
            <w:rFonts w:ascii="Times New Roman" w:hAnsi="Times New Roman"/>
            <w:sz w:val="18"/>
          </w:rPr>
          <w:t>https://www.power-technology.com/data-insights/innovators-hvdc-transmission-systems-power/</w:t>
        </w:r>
      </w:hyperlink>
      <w:r>
        <w:t>.</w:t>
      </w:r>
      <w:r>
        <w:rPr>
          <w:rFonts w:ascii="Times New Roman" w:hAnsi="Times New Roman"/>
          <w:sz w:val="18"/>
        </w:rPr>
        <w:t xml:space="preserve"> </w:t>
      </w:r>
    </w:p>
  </w:footnote>
  <w:footnote w:id="247">
    <w:p w14:paraId="5DA71E8B" w14:textId="3345F8C2"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Una estimación conservadora basada en el análisis del plan decenal de desarrollo de la red de 2022 de la REGRT de Electricidad y de los planes nacionales de desarrollo de los Estados miembros de la UE (pero sin tener en cuenta las últimas promesas de dichos Estados para la generación de energía eólica marina). </w:t>
      </w:r>
    </w:p>
  </w:footnote>
  <w:footnote w:id="248">
    <w:p w14:paraId="0F3E5290" w14:textId="5D66B11D"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Sobre la base de un tipo de cambio medio de 0,8455 EUR por 1 USD durante el año 2021. Véase: </w:t>
      </w:r>
      <w:hyperlink r:id="rId93" w:history="1">
        <w:r>
          <w:rPr>
            <w:rStyle w:val="Hyperlink"/>
            <w:rFonts w:ascii="Times New Roman" w:hAnsi="Times New Roman"/>
            <w:sz w:val="18"/>
          </w:rPr>
          <w:t>https://www.ecb.europa.eu/stats/policy_and_exchange_rates/euro_reference_exchange_rates/html/eurofxref-graph-usd.en.html</w:t>
        </w:r>
      </w:hyperlink>
      <w:r>
        <w:t xml:space="preserve"> (disponible en inglés).</w:t>
      </w:r>
    </w:p>
  </w:footnote>
  <w:footnote w:id="249">
    <w:p w14:paraId="443859E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Investigación de Power Technology.</w:t>
      </w:r>
    </w:p>
  </w:footnote>
  <w:footnote w:id="250">
    <w:p w14:paraId="40DCC84E" w14:textId="30B1BD6E" w:rsidR="00C075ED" w:rsidRPr="006926D7" w:rsidRDefault="00C075ED" w:rsidP="00EB3E8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Departamento de Energía de los Estados Unidos, </w:t>
      </w:r>
      <w:r>
        <w:rPr>
          <w:rFonts w:ascii="Times New Roman" w:hAnsi="Times New Roman"/>
          <w:i/>
          <w:sz w:val="18"/>
        </w:rPr>
        <w:t>Semiconductors - Supply Chain Deep Dive Assessment</w:t>
      </w:r>
      <w:r>
        <w:rPr>
          <w:rFonts w:ascii="Times New Roman" w:hAnsi="Times New Roman"/>
          <w:sz w:val="18"/>
        </w:rPr>
        <w:t xml:space="preserve"> [«Semiconductores - Evaluación en profundidad de la cadena de suministro», documento en inglés], 2022. </w:t>
      </w:r>
    </w:p>
  </w:footnote>
  <w:footnote w:id="251">
    <w:p w14:paraId="70FD41AF" w14:textId="53824F6D"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r>
        <w:rPr>
          <w:rStyle w:val="tab"/>
          <w:rFonts w:ascii="Times New Roman" w:hAnsi="Times New Roman"/>
          <w:color w:val="000000"/>
          <w:sz w:val="18"/>
          <w:bdr w:val="none" w:sz="0" w:space="0" w:color="auto" w:frame="1"/>
          <w:shd w:val="clear" w:color="auto" w:fill="FFFFFF"/>
        </w:rPr>
        <w:t>Agencia Internacional de la Energía (</w:t>
      </w:r>
      <w:r>
        <w:rPr>
          <w:rFonts w:ascii="Times New Roman" w:hAnsi="Times New Roman"/>
          <w:color w:val="000000"/>
          <w:sz w:val="18"/>
          <w:shd w:val="clear" w:color="auto" w:fill="FFFFFF"/>
        </w:rPr>
        <w:t>AIE),</w:t>
      </w:r>
      <w:r>
        <w:rPr>
          <w:rFonts w:ascii="Times New Roman" w:hAnsi="Times New Roman"/>
          <w:sz w:val="18"/>
        </w:rPr>
        <w:t xml:space="preserve"> </w:t>
      </w:r>
      <w:r>
        <w:rPr>
          <w:rFonts w:ascii="Times New Roman" w:hAnsi="Times New Roman"/>
          <w:i/>
          <w:sz w:val="18"/>
        </w:rPr>
        <w:t xml:space="preserve">Energy Technology Perspectives </w:t>
      </w:r>
      <w:r>
        <w:rPr>
          <w:rFonts w:ascii="Times New Roman" w:hAnsi="Times New Roman"/>
          <w:sz w:val="18"/>
        </w:rPr>
        <w:t xml:space="preserve">[«Perspectivas de la tecnología energética», documento en inglés], 2023. </w:t>
      </w:r>
    </w:p>
  </w:footnote>
  <w:footnote w:id="252">
    <w:p w14:paraId="3ECDBF40" w14:textId="0F8D1D3A" w:rsidR="00C075ED" w:rsidRPr="002A4930" w:rsidRDefault="00C075ED" w:rsidP="00EB3E8B">
      <w:pPr>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Europacable, </w:t>
      </w:r>
      <w:r>
        <w:rPr>
          <w:rFonts w:ascii="Times New Roman" w:hAnsi="Times New Roman"/>
          <w:i/>
          <w:sz w:val="18"/>
        </w:rPr>
        <w:t>Electricity transmission of tomorrow</w:t>
      </w:r>
      <w:r>
        <w:rPr>
          <w:rFonts w:ascii="Times New Roman" w:hAnsi="Times New Roman"/>
          <w:sz w:val="18"/>
        </w:rPr>
        <w:t xml:space="preserve"> [«El transporte de electricidad del futuro», documento en inglés], 2021. Se calcula que un proyecto medio de transmisión tarda 15 años desde su planificación hasta su puesta en marcha.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A7174" w14:textId="77777777" w:rsidR="00EA4533" w:rsidRPr="00EA4533" w:rsidRDefault="00EA4533" w:rsidP="00EA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641A" w14:textId="77777777" w:rsidR="00EA4533" w:rsidRPr="00EA4533" w:rsidRDefault="00EA4533" w:rsidP="00EA453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B0DC6" w14:textId="77777777" w:rsidR="00EA4533" w:rsidRPr="00EA4533" w:rsidRDefault="00EA4533" w:rsidP="00EA453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7C47" w14:textId="77777777" w:rsidR="00C075ED" w:rsidRDefault="00C075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20F0" w14:textId="77777777" w:rsidR="00C075ED" w:rsidRDefault="00C075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DC155" w14:textId="77777777" w:rsidR="00C075ED" w:rsidRDefault="00C075ED">
    <w:pPr>
      <w:pStyle w:val="Header"/>
    </w:pPr>
  </w:p>
</w:hdr>
</file>

<file path=word/intelligence2.xml><?xml version="1.0" encoding="utf-8"?>
<int2:intelligence xmlns:int2="http://schemas.microsoft.com/office/intelligence/2020/intelligence" xmlns:oel="http://schemas.microsoft.com/office/2019/extlst">
  <int2:observations>
    <int2:textHash int2:hashCode="rft8Ihc0iIQZYN" int2:id="kSrtDBr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D9F"/>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3A433B"/>
    <w:multiLevelType w:val="hybridMultilevel"/>
    <w:tmpl w:val="5C301180"/>
    <w:lvl w:ilvl="0" w:tplc="1809000F">
      <w:start w:val="1"/>
      <w:numFmt w:val="decimal"/>
      <w:lvlText w:val="%1."/>
      <w:lvlJc w:val="left"/>
      <w:pPr>
        <w:ind w:left="720" w:hanging="360"/>
      </w:pPr>
    </w:lvl>
    <w:lvl w:ilvl="1" w:tplc="18090019">
      <w:start w:val="1"/>
      <w:numFmt w:val="lowerLetter"/>
      <w:lvlText w:val="%2."/>
      <w:lvlJc w:val="left"/>
      <w:pPr>
        <w:ind w:left="720" w:hanging="360"/>
      </w:pPr>
    </w:lvl>
    <w:lvl w:ilvl="2" w:tplc="1809001B">
      <w:start w:val="1"/>
      <w:numFmt w:val="lowerRoman"/>
      <w:lvlText w:val="%3."/>
      <w:lvlJc w:val="right"/>
      <w:pPr>
        <w:ind w:left="1440" w:hanging="180"/>
      </w:pPr>
    </w:lvl>
    <w:lvl w:ilvl="3" w:tplc="1809000F">
      <w:start w:val="1"/>
      <w:numFmt w:val="decimal"/>
      <w:lvlText w:val="%4."/>
      <w:lvlJc w:val="left"/>
      <w:pPr>
        <w:ind w:left="2160" w:hanging="360"/>
      </w:pPr>
    </w:lvl>
    <w:lvl w:ilvl="4" w:tplc="18090019">
      <w:start w:val="1"/>
      <w:numFmt w:val="lowerLetter"/>
      <w:lvlText w:val="%5."/>
      <w:lvlJc w:val="left"/>
      <w:pPr>
        <w:ind w:left="2880" w:hanging="360"/>
      </w:pPr>
    </w:lvl>
    <w:lvl w:ilvl="5" w:tplc="1809001B">
      <w:start w:val="1"/>
      <w:numFmt w:val="lowerRoman"/>
      <w:lvlText w:val="%6."/>
      <w:lvlJc w:val="right"/>
      <w:pPr>
        <w:ind w:left="3600" w:hanging="180"/>
      </w:pPr>
    </w:lvl>
    <w:lvl w:ilvl="6" w:tplc="1809000F">
      <w:start w:val="1"/>
      <w:numFmt w:val="decimal"/>
      <w:lvlText w:val="%7."/>
      <w:lvlJc w:val="left"/>
      <w:pPr>
        <w:ind w:left="4320" w:hanging="360"/>
      </w:pPr>
    </w:lvl>
    <w:lvl w:ilvl="7" w:tplc="18090019">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 w15:restartNumberingAfterBreak="0">
    <w:nsid w:val="09BC2725"/>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0A3637"/>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BA6788"/>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996626"/>
    <w:multiLevelType w:val="hybridMultilevel"/>
    <w:tmpl w:val="260CF25E"/>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154EC"/>
    <w:multiLevelType w:val="hybridMultilevel"/>
    <w:tmpl w:val="4A8AEA5A"/>
    <w:lvl w:ilvl="0" w:tplc="FFFFFFFF">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3041AF6"/>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CF7DB0"/>
    <w:multiLevelType w:val="multilevel"/>
    <w:tmpl w:val="5CAE1D50"/>
    <w:lvl w:ilvl="0">
      <w:start w:val="1"/>
      <w:numFmt w:val="decimal"/>
      <w:pStyle w:val="JRCLevel-1title"/>
      <w:lvlText w:val="%1"/>
      <w:lvlJc w:val="left"/>
      <w:pPr>
        <w:ind w:left="432" w:hanging="432"/>
      </w:pPr>
      <w:rPr>
        <w:rFonts w:hint="default"/>
      </w:rPr>
    </w:lvl>
    <w:lvl w:ilvl="1">
      <w:start w:val="1"/>
      <w:numFmt w:val="decimal"/>
      <w:pStyle w:val="JRCLevel-2title"/>
      <w:lvlText w:val="%1.%2"/>
      <w:lvlJc w:val="left"/>
      <w:pPr>
        <w:ind w:left="576" w:hanging="576"/>
      </w:pPr>
      <w:rPr>
        <w:rFonts w:hint="default"/>
      </w:rPr>
    </w:lvl>
    <w:lvl w:ilvl="2">
      <w:start w:val="1"/>
      <w:numFmt w:val="decimal"/>
      <w:pStyle w:val="JRCLevel-3title"/>
      <w:lvlText w:val="%1.%2.%3"/>
      <w:lvlJc w:val="left"/>
      <w:pPr>
        <w:ind w:left="2138" w:hanging="720"/>
      </w:pPr>
      <w:rPr>
        <w:rFonts w:hint="default"/>
      </w:rPr>
    </w:lvl>
    <w:lvl w:ilvl="3">
      <w:start w:val="1"/>
      <w:numFmt w:val="decimal"/>
      <w:pStyle w:val="JRCLevel-4title"/>
      <w:lvlText w:val="%1.%2.%3.%4"/>
      <w:lvlJc w:val="left"/>
      <w:pPr>
        <w:ind w:left="864" w:hanging="864"/>
      </w:pPr>
      <w:rPr>
        <w:rFonts w:hint="default"/>
      </w:rPr>
    </w:lvl>
    <w:lvl w:ilvl="4">
      <w:start w:val="1"/>
      <w:numFmt w:val="decimal"/>
      <w:pStyle w:val="JRCLevel-5titl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6B33BA9"/>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3566E8"/>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266C2"/>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421AB5"/>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AD01F6"/>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5F596B"/>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112676"/>
    <w:multiLevelType w:val="hybridMultilevel"/>
    <w:tmpl w:val="4A8AEA5A"/>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7A7623B"/>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DFA8EC"/>
    <w:multiLevelType w:val="hybridMultilevel"/>
    <w:tmpl w:val="C43E2E2E"/>
    <w:lvl w:ilvl="0" w:tplc="1A82588E">
      <w:start w:val="5"/>
      <w:numFmt w:val="lowerRoman"/>
      <w:lvlText w:val="%1)"/>
      <w:lvlJc w:val="left"/>
      <w:pPr>
        <w:ind w:left="1080" w:hanging="360"/>
      </w:pPr>
    </w:lvl>
    <w:lvl w:ilvl="1" w:tplc="D3C84BE6">
      <w:start w:val="1"/>
      <w:numFmt w:val="lowerLetter"/>
      <w:lvlText w:val="%2."/>
      <w:lvlJc w:val="left"/>
      <w:pPr>
        <w:ind w:left="1440" w:hanging="360"/>
      </w:pPr>
    </w:lvl>
    <w:lvl w:ilvl="2" w:tplc="34F86966">
      <w:start w:val="1"/>
      <w:numFmt w:val="lowerRoman"/>
      <w:lvlText w:val="%3."/>
      <w:lvlJc w:val="right"/>
      <w:pPr>
        <w:ind w:left="2160" w:hanging="180"/>
      </w:pPr>
    </w:lvl>
    <w:lvl w:ilvl="3" w:tplc="D1484618">
      <w:start w:val="1"/>
      <w:numFmt w:val="decimal"/>
      <w:lvlText w:val="%4."/>
      <w:lvlJc w:val="left"/>
      <w:pPr>
        <w:ind w:left="2880" w:hanging="360"/>
      </w:pPr>
    </w:lvl>
    <w:lvl w:ilvl="4" w:tplc="6DF49694">
      <w:start w:val="1"/>
      <w:numFmt w:val="lowerLetter"/>
      <w:lvlText w:val="%5."/>
      <w:lvlJc w:val="left"/>
      <w:pPr>
        <w:ind w:left="3600" w:hanging="360"/>
      </w:pPr>
    </w:lvl>
    <w:lvl w:ilvl="5" w:tplc="19148C50">
      <w:start w:val="1"/>
      <w:numFmt w:val="lowerRoman"/>
      <w:lvlText w:val="%6."/>
      <w:lvlJc w:val="right"/>
      <w:pPr>
        <w:ind w:left="4320" w:hanging="180"/>
      </w:pPr>
    </w:lvl>
    <w:lvl w:ilvl="6" w:tplc="7A36F26E">
      <w:start w:val="1"/>
      <w:numFmt w:val="decimal"/>
      <w:lvlText w:val="%7."/>
      <w:lvlJc w:val="left"/>
      <w:pPr>
        <w:ind w:left="5040" w:hanging="360"/>
      </w:pPr>
    </w:lvl>
    <w:lvl w:ilvl="7" w:tplc="255696CC">
      <w:start w:val="1"/>
      <w:numFmt w:val="lowerLetter"/>
      <w:lvlText w:val="%8."/>
      <w:lvlJc w:val="left"/>
      <w:pPr>
        <w:ind w:left="5760" w:hanging="360"/>
      </w:pPr>
    </w:lvl>
    <w:lvl w:ilvl="8" w:tplc="A5A4F2A4">
      <w:start w:val="1"/>
      <w:numFmt w:val="lowerRoman"/>
      <w:lvlText w:val="%9."/>
      <w:lvlJc w:val="right"/>
      <w:pPr>
        <w:ind w:left="6480" w:hanging="180"/>
      </w:pPr>
    </w:lvl>
  </w:abstractNum>
  <w:abstractNum w:abstractNumId="18" w15:restartNumberingAfterBreak="0">
    <w:nsid w:val="6A96E3B0"/>
    <w:multiLevelType w:val="hybridMultilevel"/>
    <w:tmpl w:val="FFFFFFFF"/>
    <w:lvl w:ilvl="0" w:tplc="8BDE2B88">
      <w:start w:val="1"/>
      <w:numFmt w:val="bullet"/>
      <w:lvlText w:val=""/>
      <w:lvlJc w:val="left"/>
      <w:pPr>
        <w:ind w:left="720" w:hanging="360"/>
      </w:pPr>
      <w:rPr>
        <w:rFonts w:ascii="Symbol" w:hAnsi="Symbol" w:hint="default"/>
      </w:rPr>
    </w:lvl>
    <w:lvl w:ilvl="1" w:tplc="691A8816">
      <w:start w:val="1"/>
      <w:numFmt w:val="bullet"/>
      <w:lvlText w:val="o"/>
      <w:lvlJc w:val="left"/>
      <w:pPr>
        <w:ind w:left="1440" w:hanging="360"/>
      </w:pPr>
      <w:rPr>
        <w:rFonts w:ascii="Courier New" w:hAnsi="Courier New" w:hint="default"/>
      </w:rPr>
    </w:lvl>
    <w:lvl w:ilvl="2" w:tplc="16CE595A">
      <w:start w:val="1"/>
      <w:numFmt w:val="bullet"/>
      <w:lvlText w:val=""/>
      <w:lvlJc w:val="left"/>
      <w:pPr>
        <w:ind w:left="2160" w:hanging="360"/>
      </w:pPr>
      <w:rPr>
        <w:rFonts w:ascii="Wingdings" w:hAnsi="Wingdings" w:hint="default"/>
      </w:rPr>
    </w:lvl>
    <w:lvl w:ilvl="3" w:tplc="57048BEC">
      <w:start w:val="1"/>
      <w:numFmt w:val="bullet"/>
      <w:lvlText w:val=""/>
      <w:lvlJc w:val="left"/>
      <w:pPr>
        <w:ind w:left="2880" w:hanging="360"/>
      </w:pPr>
      <w:rPr>
        <w:rFonts w:ascii="Symbol" w:hAnsi="Symbol" w:hint="default"/>
      </w:rPr>
    </w:lvl>
    <w:lvl w:ilvl="4" w:tplc="5778208A">
      <w:start w:val="1"/>
      <w:numFmt w:val="bullet"/>
      <w:lvlText w:val="o"/>
      <w:lvlJc w:val="left"/>
      <w:pPr>
        <w:ind w:left="3600" w:hanging="360"/>
      </w:pPr>
      <w:rPr>
        <w:rFonts w:ascii="Courier New" w:hAnsi="Courier New" w:hint="default"/>
      </w:rPr>
    </w:lvl>
    <w:lvl w:ilvl="5" w:tplc="9618B2CC">
      <w:start w:val="1"/>
      <w:numFmt w:val="bullet"/>
      <w:lvlText w:val=""/>
      <w:lvlJc w:val="left"/>
      <w:pPr>
        <w:ind w:left="4320" w:hanging="360"/>
      </w:pPr>
      <w:rPr>
        <w:rFonts w:ascii="Wingdings" w:hAnsi="Wingdings" w:hint="default"/>
      </w:rPr>
    </w:lvl>
    <w:lvl w:ilvl="6" w:tplc="B100D262">
      <w:start w:val="1"/>
      <w:numFmt w:val="bullet"/>
      <w:lvlText w:val=""/>
      <w:lvlJc w:val="left"/>
      <w:pPr>
        <w:ind w:left="5040" w:hanging="360"/>
      </w:pPr>
      <w:rPr>
        <w:rFonts w:ascii="Symbol" w:hAnsi="Symbol" w:hint="default"/>
      </w:rPr>
    </w:lvl>
    <w:lvl w:ilvl="7" w:tplc="733649F0">
      <w:start w:val="1"/>
      <w:numFmt w:val="bullet"/>
      <w:lvlText w:val="o"/>
      <w:lvlJc w:val="left"/>
      <w:pPr>
        <w:ind w:left="5760" w:hanging="360"/>
      </w:pPr>
      <w:rPr>
        <w:rFonts w:ascii="Courier New" w:hAnsi="Courier New" w:hint="default"/>
      </w:rPr>
    </w:lvl>
    <w:lvl w:ilvl="8" w:tplc="E924BEAA">
      <w:start w:val="1"/>
      <w:numFmt w:val="bullet"/>
      <w:lvlText w:val=""/>
      <w:lvlJc w:val="left"/>
      <w:pPr>
        <w:ind w:left="6480" w:hanging="360"/>
      </w:pPr>
      <w:rPr>
        <w:rFonts w:ascii="Wingdings" w:hAnsi="Wingdings" w:hint="default"/>
      </w:rPr>
    </w:lvl>
  </w:abstractNum>
  <w:abstractNum w:abstractNumId="19" w15:restartNumberingAfterBreak="0">
    <w:nsid w:val="6D7E4E2E"/>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554C05"/>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3260F5"/>
    <w:multiLevelType w:val="hybridMultilevel"/>
    <w:tmpl w:val="6BE83916"/>
    <w:lvl w:ilvl="0" w:tplc="4D10B598">
      <w:start w:val="1"/>
      <w:numFmt w:val="bullet"/>
      <w:lvlText w:val=""/>
      <w:lvlJc w:val="left"/>
      <w:pPr>
        <w:ind w:left="720" w:hanging="360"/>
      </w:pPr>
      <w:rPr>
        <w:rFonts w:ascii="Symbol" w:hAnsi="Symbol" w:hint="default"/>
      </w:rPr>
    </w:lvl>
    <w:lvl w:ilvl="1" w:tplc="F8264A96">
      <w:start w:val="1"/>
      <w:numFmt w:val="bullet"/>
      <w:lvlText w:val="o"/>
      <w:lvlJc w:val="left"/>
      <w:pPr>
        <w:ind w:left="1440" w:hanging="360"/>
      </w:pPr>
      <w:rPr>
        <w:rFonts w:ascii="Courier New" w:hAnsi="Courier New" w:hint="default"/>
      </w:rPr>
    </w:lvl>
    <w:lvl w:ilvl="2" w:tplc="F1C01D2A">
      <w:start w:val="1"/>
      <w:numFmt w:val="bullet"/>
      <w:lvlText w:val=""/>
      <w:lvlJc w:val="left"/>
      <w:pPr>
        <w:ind w:left="2160" w:hanging="360"/>
      </w:pPr>
      <w:rPr>
        <w:rFonts w:ascii="Wingdings" w:hAnsi="Wingdings" w:hint="default"/>
      </w:rPr>
    </w:lvl>
    <w:lvl w:ilvl="3" w:tplc="2950649A">
      <w:start w:val="1"/>
      <w:numFmt w:val="bullet"/>
      <w:lvlText w:val=""/>
      <w:lvlJc w:val="left"/>
      <w:pPr>
        <w:ind w:left="2880" w:hanging="360"/>
      </w:pPr>
      <w:rPr>
        <w:rFonts w:ascii="Symbol" w:hAnsi="Symbol" w:hint="default"/>
      </w:rPr>
    </w:lvl>
    <w:lvl w:ilvl="4" w:tplc="EABE40EA">
      <w:start w:val="1"/>
      <w:numFmt w:val="bullet"/>
      <w:lvlText w:val="o"/>
      <w:lvlJc w:val="left"/>
      <w:pPr>
        <w:ind w:left="3600" w:hanging="360"/>
      </w:pPr>
      <w:rPr>
        <w:rFonts w:ascii="Courier New" w:hAnsi="Courier New" w:hint="default"/>
      </w:rPr>
    </w:lvl>
    <w:lvl w:ilvl="5" w:tplc="AFEEF046">
      <w:start w:val="1"/>
      <w:numFmt w:val="bullet"/>
      <w:lvlText w:val=""/>
      <w:lvlJc w:val="left"/>
      <w:pPr>
        <w:ind w:left="4320" w:hanging="360"/>
      </w:pPr>
      <w:rPr>
        <w:rFonts w:ascii="Wingdings" w:hAnsi="Wingdings" w:hint="default"/>
      </w:rPr>
    </w:lvl>
    <w:lvl w:ilvl="6" w:tplc="55365E12">
      <w:start w:val="1"/>
      <w:numFmt w:val="bullet"/>
      <w:lvlText w:val=""/>
      <w:lvlJc w:val="left"/>
      <w:pPr>
        <w:ind w:left="5040" w:hanging="360"/>
      </w:pPr>
      <w:rPr>
        <w:rFonts w:ascii="Symbol" w:hAnsi="Symbol" w:hint="default"/>
      </w:rPr>
    </w:lvl>
    <w:lvl w:ilvl="7" w:tplc="7570E2F4">
      <w:start w:val="1"/>
      <w:numFmt w:val="bullet"/>
      <w:lvlText w:val="o"/>
      <w:lvlJc w:val="left"/>
      <w:pPr>
        <w:ind w:left="5760" w:hanging="360"/>
      </w:pPr>
      <w:rPr>
        <w:rFonts w:ascii="Courier New" w:hAnsi="Courier New" w:hint="default"/>
      </w:rPr>
    </w:lvl>
    <w:lvl w:ilvl="8" w:tplc="5C4E8DDE">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0"/>
  </w:num>
  <w:num w:numId="4">
    <w:abstractNumId w:val="1"/>
  </w:num>
  <w:num w:numId="5">
    <w:abstractNumId w:val="8"/>
  </w:num>
  <w:num w:numId="6">
    <w:abstractNumId w:val="5"/>
  </w:num>
  <w:num w:numId="7">
    <w:abstractNumId w:val="6"/>
  </w:num>
  <w:num w:numId="8">
    <w:abstractNumId w:val="17"/>
  </w:num>
  <w:num w:numId="9">
    <w:abstractNumId w:val="15"/>
  </w:num>
  <w:num w:numId="10">
    <w:abstractNumId w:val="2"/>
  </w:num>
  <w:num w:numId="11">
    <w:abstractNumId w:val="11"/>
  </w:num>
  <w:num w:numId="12">
    <w:abstractNumId w:val="19"/>
  </w:num>
  <w:num w:numId="13">
    <w:abstractNumId w:val="12"/>
  </w:num>
  <w:num w:numId="14">
    <w:abstractNumId w:val="4"/>
  </w:num>
  <w:num w:numId="15">
    <w:abstractNumId w:val="9"/>
  </w:num>
  <w:num w:numId="16">
    <w:abstractNumId w:val="7"/>
  </w:num>
  <w:num w:numId="17">
    <w:abstractNumId w:val="16"/>
  </w:num>
  <w:num w:numId="18">
    <w:abstractNumId w:val="13"/>
  </w:num>
  <w:num w:numId="19">
    <w:abstractNumId w:val="0"/>
  </w:num>
  <w:num w:numId="20">
    <w:abstractNumId w:val="3"/>
  </w:num>
  <w:num w:numId="21">
    <w:abstractNumId w:val="14"/>
  </w:num>
  <w:num w:numId="2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pt-PT" w:vendorID="64" w:dllVersion="0"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pt-PT" w:vendorID="64" w:dllVersion="6" w:nlCheck="1" w:checkStyle="0"/>
  <w:activeWritingStyle w:appName="MSWord" w:lang="es-ES" w:vendorID="64" w:dllVersion="6"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BD1F1FA-05F3-48D6-80FB-894EAEF8526B"/>
    <w:docVar w:name="LW_COVERPAGE_TYPE" w:val="1"/>
    <w:docVar w:name="LW_CROSSREFERENCE" w:val="&lt;UNUSED&gt;"/>
    <w:docVar w:name="LW_DocType" w:val="NORMAL"/>
    <w:docVar w:name="LW_EMISSION" w:val="24.10.2023"/>
    <w:docVar w:name="LW_EMISSION_ISODATE" w:val="2023-10-24"/>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3) 6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ituación de la competitividad de las tecnologías energéticas limpias"/>
    <w:docVar w:name="LW_TYPE.DOC.CP" w:val="INFORME DE LA COMISIÓN AL PARLAMENTO EUROPEO Y AL CONSEJO"/>
    <w:docVar w:name="LwApiVersions" w:val="LW4CoDe 1.23.2.0; LW 8.0, Build 20211117"/>
  </w:docVars>
  <w:rsids>
    <w:rsidRoot w:val="004010E0"/>
    <w:rsid w:val="000001CA"/>
    <w:rsid w:val="0000048C"/>
    <w:rsid w:val="000005C3"/>
    <w:rsid w:val="000006FF"/>
    <w:rsid w:val="000007BD"/>
    <w:rsid w:val="000009F7"/>
    <w:rsid w:val="00000CF3"/>
    <w:rsid w:val="0000109C"/>
    <w:rsid w:val="000013E0"/>
    <w:rsid w:val="0000141D"/>
    <w:rsid w:val="00001514"/>
    <w:rsid w:val="0000156D"/>
    <w:rsid w:val="00001664"/>
    <w:rsid w:val="00001A66"/>
    <w:rsid w:val="00001D43"/>
    <w:rsid w:val="00002620"/>
    <w:rsid w:val="00002760"/>
    <w:rsid w:val="00002902"/>
    <w:rsid w:val="00002B01"/>
    <w:rsid w:val="00002DD6"/>
    <w:rsid w:val="00002DF2"/>
    <w:rsid w:val="00003474"/>
    <w:rsid w:val="00003BBD"/>
    <w:rsid w:val="00003F3C"/>
    <w:rsid w:val="000041A2"/>
    <w:rsid w:val="00004209"/>
    <w:rsid w:val="00004321"/>
    <w:rsid w:val="000043EB"/>
    <w:rsid w:val="0000450E"/>
    <w:rsid w:val="00004511"/>
    <w:rsid w:val="00004533"/>
    <w:rsid w:val="0000454E"/>
    <w:rsid w:val="000048A5"/>
    <w:rsid w:val="00004AD8"/>
    <w:rsid w:val="00004B42"/>
    <w:rsid w:val="00004D46"/>
    <w:rsid w:val="00004E71"/>
    <w:rsid w:val="000052CE"/>
    <w:rsid w:val="000053FD"/>
    <w:rsid w:val="00005502"/>
    <w:rsid w:val="000055EE"/>
    <w:rsid w:val="000057D6"/>
    <w:rsid w:val="00005886"/>
    <w:rsid w:val="00005982"/>
    <w:rsid w:val="00005B8E"/>
    <w:rsid w:val="00005F00"/>
    <w:rsid w:val="000060F5"/>
    <w:rsid w:val="00006175"/>
    <w:rsid w:val="0000671C"/>
    <w:rsid w:val="000068B2"/>
    <w:rsid w:val="00006B5C"/>
    <w:rsid w:val="00006DA0"/>
    <w:rsid w:val="00006E01"/>
    <w:rsid w:val="00007477"/>
    <w:rsid w:val="00007552"/>
    <w:rsid w:val="00007CEF"/>
    <w:rsid w:val="00007DBA"/>
    <w:rsid w:val="00007F17"/>
    <w:rsid w:val="00007FDF"/>
    <w:rsid w:val="0000EF21"/>
    <w:rsid w:val="00010096"/>
    <w:rsid w:val="00010597"/>
    <w:rsid w:val="00010A99"/>
    <w:rsid w:val="00010C76"/>
    <w:rsid w:val="000110B6"/>
    <w:rsid w:val="0001137C"/>
    <w:rsid w:val="00011741"/>
    <w:rsid w:val="00011CE1"/>
    <w:rsid w:val="00012291"/>
    <w:rsid w:val="000124ED"/>
    <w:rsid w:val="00012529"/>
    <w:rsid w:val="0001265E"/>
    <w:rsid w:val="0001286E"/>
    <w:rsid w:val="000129A3"/>
    <w:rsid w:val="000129A7"/>
    <w:rsid w:val="00012E66"/>
    <w:rsid w:val="00012F4C"/>
    <w:rsid w:val="00013085"/>
    <w:rsid w:val="00013133"/>
    <w:rsid w:val="0001332C"/>
    <w:rsid w:val="000135F2"/>
    <w:rsid w:val="00013794"/>
    <w:rsid w:val="00013824"/>
    <w:rsid w:val="000139AB"/>
    <w:rsid w:val="00013D6F"/>
    <w:rsid w:val="00013EF7"/>
    <w:rsid w:val="000142BD"/>
    <w:rsid w:val="0001454C"/>
    <w:rsid w:val="00014DA4"/>
    <w:rsid w:val="00014EAD"/>
    <w:rsid w:val="0001501C"/>
    <w:rsid w:val="00015479"/>
    <w:rsid w:val="00015C74"/>
    <w:rsid w:val="00016362"/>
    <w:rsid w:val="00016633"/>
    <w:rsid w:val="00016C17"/>
    <w:rsid w:val="00017097"/>
    <w:rsid w:val="000171A7"/>
    <w:rsid w:val="000173C8"/>
    <w:rsid w:val="00017600"/>
    <w:rsid w:val="00017778"/>
    <w:rsid w:val="000178C8"/>
    <w:rsid w:val="0001794E"/>
    <w:rsid w:val="00020709"/>
    <w:rsid w:val="00020B66"/>
    <w:rsid w:val="00020EB6"/>
    <w:rsid w:val="000218E4"/>
    <w:rsid w:val="00021997"/>
    <w:rsid w:val="00021E31"/>
    <w:rsid w:val="000221B3"/>
    <w:rsid w:val="000224BF"/>
    <w:rsid w:val="00022B08"/>
    <w:rsid w:val="00022EF3"/>
    <w:rsid w:val="00022F9F"/>
    <w:rsid w:val="00022FC2"/>
    <w:rsid w:val="000232CE"/>
    <w:rsid w:val="00023593"/>
    <w:rsid w:val="000236D9"/>
    <w:rsid w:val="00023831"/>
    <w:rsid w:val="00024256"/>
    <w:rsid w:val="000242B5"/>
    <w:rsid w:val="00024680"/>
    <w:rsid w:val="00024BFA"/>
    <w:rsid w:val="000252E9"/>
    <w:rsid w:val="00025756"/>
    <w:rsid w:val="00025818"/>
    <w:rsid w:val="00025C84"/>
    <w:rsid w:val="00025EED"/>
    <w:rsid w:val="00026564"/>
    <w:rsid w:val="00026577"/>
    <w:rsid w:val="000265F4"/>
    <w:rsid w:val="00026737"/>
    <w:rsid w:val="00026856"/>
    <w:rsid w:val="0002698E"/>
    <w:rsid w:val="00026B93"/>
    <w:rsid w:val="00026D67"/>
    <w:rsid w:val="00026F9B"/>
    <w:rsid w:val="00027090"/>
    <w:rsid w:val="000270B9"/>
    <w:rsid w:val="00027C33"/>
    <w:rsid w:val="00027E13"/>
    <w:rsid w:val="00027FF1"/>
    <w:rsid w:val="0002E62D"/>
    <w:rsid w:val="00030261"/>
    <w:rsid w:val="000303A5"/>
    <w:rsid w:val="000306D2"/>
    <w:rsid w:val="0003074F"/>
    <w:rsid w:val="00030B06"/>
    <w:rsid w:val="00030C8B"/>
    <w:rsid w:val="0003106F"/>
    <w:rsid w:val="000313C5"/>
    <w:rsid w:val="0003166F"/>
    <w:rsid w:val="00031DD4"/>
    <w:rsid w:val="0003255F"/>
    <w:rsid w:val="00032700"/>
    <w:rsid w:val="00032B2C"/>
    <w:rsid w:val="00032FC0"/>
    <w:rsid w:val="00034271"/>
    <w:rsid w:val="00034727"/>
    <w:rsid w:val="0003546D"/>
    <w:rsid w:val="0003552A"/>
    <w:rsid w:val="00035B85"/>
    <w:rsid w:val="00035E5A"/>
    <w:rsid w:val="00036559"/>
    <w:rsid w:val="00036755"/>
    <w:rsid w:val="00036A68"/>
    <w:rsid w:val="00036AE9"/>
    <w:rsid w:val="00036CA5"/>
    <w:rsid w:val="00036E9A"/>
    <w:rsid w:val="00037328"/>
    <w:rsid w:val="000375FB"/>
    <w:rsid w:val="0004002F"/>
    <w:rsid w:val="00040950"/>
    <w:rsid w:val="00040954"/>
    <w:rsid w:val="000409DE"/>
    <w:rsid w:val="00040AB3"/>
    <w:rsid w:val="00040C4C"/>
    <w:rsid w:val="0004100F"/>
    <w:rsid w:val="000410E4"/>
    <w:rsid w:val="00041613"/>
    <w:rsid w:val="000417E0"/>
    <w:rsid w:val="000418ED"/>
    <w:rsid w:val="00041D91"/>
    <w:rsid w:val="00041EE8"/>
    <w:rsid w:val="000420D0"/>
    <w:rsid w:val="0004234F"/>
    <w:rsid w:val="0004277E"/>
    <w:rsid w:val="00042950"/>
    <w:rsid w:val="000429F8"/>
    <w:rsid w:val="00042A22"/>
    <w:rsid w:val="00042B79"/>
    <w:rsid w:val="00042B8F"/>
    <w:rsid w:val="00042FA8"/>
    <w:rsid w:val="00043439"/>
    <w:rsid w:val="000435F4"/>
    <w:rsid w:val="000436CC"/>
    <w:rsid w:val="00044109"/>
    <w:rsid w:val="00044C03"/>
    <w:rsid w:val="00044C55"/>
    <w:rsid w:val="00044CA5"/>
    <w:rsid w:val="000450CD"/>
    <w:rsid w:val="000454BD"/>
    <w:rsid w:val="0004574C"/>
    <w:rsid w:val="00045B84"/>
    <w:rsid w:val="00045E38"/>
    <w:rsid w:val="0004683F"/>
    <w:rsid w:val="000468EC"/>
    <w:rsid w:val="00046B4B"/>
    <w:rsid w:val="00046C6C"/>
    <w:rsid w:val="00047252"/>
    <w:rsid w:val="000479B2"/>
    <w:rsid w:val="00047A12"/>
    <w:rsid w:val="00047C37"/>
    <w:rsid w:val="00047EFF"/>
    <w:rsid w:val="00050210"/>
    <w:rsid w:val="000505FD"/>
    <w:rsid w:val="00050A1F"/>
    <w:rsid w:val="00050CD6"/>
    <w:rsid w:val="00050E16"/>
    <w:rsid w:val="00050E89"/>
    <w:rsid w:val="00051112"/>
    <w:rsid w:val="00051363"/>
    <w:rsid w:val="00051BB6"/>
    <w:rsid w:val="00051E56"/>
    <w:rsid w:val="00051EC6"/>
    <w:rsid w:val="00051F09"/>
    <w:rsid w:val="00052657"/>
    <w:rsid w:val="00052860"/>
    <w:rsid w:val="000528FC"/>
    <w:rsid w:val="00052B0B"/>
    <w:rsid w:val="00052D30"/>
    <w:rsid w:val="00052EA2"/>
    <w:rsid w:val="00053879"/>
    <w:rsid w:val="000539CD"/>
    <w:rsid w:val="00054141"/>
    <w:rsid w:val="000541E4"/>
    <w:rsid w:val="0005426B"/>
    <w:rsid w:val="000542CD"/>
    <w:rsid w:val="0005485B"/>
    <w:rsid w:val="00054BC2"/>
    <w:rsid w:val="0005500A"/>
    <w:rsid w:val="0005508E"/>
    <w:rsid w:val="000550FC"/>
    <w:rsid w:val="00055154"/>
    <w:rsid w:val="00055179"/>
    <w:rsid w:val="00055521"/>
    <w:rsid w:val="0005562C"/>
    <w:rsid w:val="0005595B"/>
    <w:rsid w:val="00055A08"/>
    <w:rsid w:val="0005603A"/>
    <w:rsid w:val="000560BB"/>
    <w:rsid w:val="000566F8"/>
    <w:rsid w:val="00056A3C"/>
    <w:rsid w:val="00056D0B"/>
    <w:rsid w:val="0005728F"/>
    <w:rsid w:val="00057468"/>
    <w:rsid w:val="00057484"/>
    <w:rsid w:val="00057B5A"/>
    <w:rsid w:val="00057D3A"/>
    <w:rsid w:val="00057DE5"/>
    <w:rsid w:val="00057ECB"/>
    <w:rsid w:val="00057FC9"/>
    <w:rsid w:val="0005C113"/>
    <w:rsid w:val="0005CA15"/>
    <w:rsid w:val="00060059"/>
    <w:rsid w:val="0006030D"/>
    <w:rsid w:val="00061560"/>
    <w:rsid w:val="000619AC"/>
    <w:rsid w:val="000620DC"/>
    <w:rsid w:val="000627C9"/>
    <w:rsid w:val="00063011"/>
    <w:rsid w:val="00063296"/>
    <w:rsid w:val="000634E4"/>
    <w:rsid w:val="00063660"/>
    <w:rsid w:val="00063AC1"/>
    <w:rsid w:val="00063F78"/>
    <w:rsid w:val="0006403E"/>
    <w:rsid w:val="00064795"/>
    <w:rsid w:val="00064CB5"/>
    <w:rsid w:val="00065165"/>
    <w:rsid w:val="000658BB"/>
    <w:rsid w:val="00065B2C"/>
    <w:rsid w:val="00065CCA"/>
    <w:rsid w:val="00065D2A"/>
    <w:rsid w:val="0006625E"/>
    <w:rsid w:val="00066553"/>
    <w:rsid w:val="000665CF"/>
    <w:rsid w:val="00066841"/>
    <w:rsid w:val="00066B16"/>
    <w:rsid w:val="00066D67"/>
    <w:rsid w:val="00066DF9"/>
    <w:rsid w:val="00066F98"/>
    <w:rsid w:val="0006704F"/>
    <w:rsid w:val="00067072"/>
    <w:rsid w:val="0006737F"/>
    <w:rsid w:val="000673B9"/>
    <w:rsid w:val="000677BF"/>
    <w:rsid w:val="00067B55"/>
    <w:rsid w:val="00067BBE"/>
    <w:rsid w:val="0007025D"/>
    <w:rsid w:val="00070505"/>
    <w:rsid w:val="0007054F"/>
    <w:rsid w:val="0007062A"/>
    <w:rsid w:val="0007088F"/>
    <w:rsid w:val="00070B2E"/>
    <w:rsid w:val="00070D56"/>
    <w:rsid w:val="000712B0"/>
    <w:rsid w:val="000713D6"/>
    <w:rsid w:val="00071503"/>
    <w:rsid w:val="00071ABC"/>
    <w:rsid w:val="00071C2C"/>
    <w:rsid w:val="00071E08"/>
    <w:rsid w:val="000721FF"/>
    <w:rsid w:val="00072801"/>
    <w:rsid w:val="000728E9"/>
    <w:rsid w:val="000728F8"/>
    <w:rsid w:val="00072969"/>
    <w:rsid w:val="00072A73"/>
    <w:rsid w:val="00072C49"/>
    <w:rsid w:val="00072E32"/>
    <w:rsid w:val="00073175"/>
    <w:rsid w:val="00073751"/>
    <w:rsid w:val="00073A55"/>
    <w:rsid w:val="00073BF1"/>
    <w:rsid w:val="00073D35"/>
    <w:rsid w:val="00073E42"/>
    <w:rsid w:val="0007407C"/>
    <w:rsid w:val="0007469A"/>
    <w:rsid w:val="000748F8"/>
    <w:rsid w:val="00074D9E"/>
    <w:rsid w:val="00075000"/>
    <w:rsid w:val="00075085"/>
    <w:rsid w:val="00075104"/>
    <w:rsid w:val="000751B8"/>
    <w:rsid w:val="000754F0"/>
    <w:rsid w:val="00075696"/>
    <w:rsid w:val="00075878"/>
    <w:rsid w:val="00075D15"/>
    <w:rsid w:val="00075F80"/>
    <w:rsid w:val="0007610C"/>
    <w:rsid w:val="0007622D"/>
    <w:rsid w:val="000765D2"/>
    <w:rsid w:val="0007674C"/>
    <w:rsid w:val="0007683A"/>
    <w:rsid w:val="00076952"/>
    <w:rsid w:val="00076984"/>
    <w:rsid w:val="00076C64"/>
    <w:rsid w:val="000770F8"/>
    <w:rsid w:val="0007711A"/>
    <w:rsid w:val="000772F0"/>
    <w:rsid w:val="00077538"/>
    <w:rsid w:val="00077692"/>
    <w:rsid w:val="000778F2"/>
    <w:rsid w:val="00077DAD"/>
    <w:rsid w:val="00077DC4"/>
    <w:rsid w:val="0008018D"/>
    <w:rsid w:val="000801AE"/>
    <w:rsid w:val="00080552"/>
    <w:rsid w:val="00080760"/>
    <w:rsid w:val="00080770"/>
    <w:rsid w:val="000808FD"/>
    <w:rsid w:val="00080979"/>
    <w:rsid w:val="00080C9B"/>
    <w:rsid w:val="00080CBA"/>
    <w:rsid w:val="00080E68"/>
    <w:rsid w:val="00080F98"/>
    <w:rsid w:val="00081063"/>
    <w:rsid w:val="00081080"/>
    <w:rsid w:val="000810A2"/>
    <w:rsid w:val="00081838"/>
    <w:rsid w:val="0008192C"/>
    <w:rsid w:val="0008257F"/>
    <w:rsid w:val="00082882"/>
    <w:rsid w:val="00082A10"/>
    <w:rsid w:val="00082ABD"/>
    <w:rsid w:val="00082AFC"/>
    <w:rsid w:val="00082D30"/>
    <w:rsid w:val="00083104"/>
    <w:rsid w:val="00083156"/>
    <w:rsid w:val="00083237"/>
    <w:rsid w:val="000832D5"/>
    <w:rsid w:val="0008335C"/>
    <w:rsid w:val="00083485"/>
    <w:rsid w:val="000834FE"/>
    <w:rsid w:val="00083582"/>
    <w:rsid w:val="000838B7"/>
    <w:rsid w:val="00083B87"/>
    <w:rsid w:val="00083BD9"/>
    <w:rsid w:val="00083C16"/>
    <w:rsid w:val="000840F2"/>
    <w:rsid w:val="00084281"/>
    <w:rsid w:val="0008494C"/>
    <w:rsid w:val="00085163"/>
    <w:rsid w:val="000851CB"/>
    <w:rsid w:val="00085379"/>
    <w:rsid w:val="0008549F"/>
    <w:rsid w:val="000857D0"/>
    <w:rsid w:val="00085E08"/>
    <w:rsid w:val="00085F29"/>
    <w:rsid w:val="00085F3C"/>
    <w:rsid w:val="00085FBD"/>
    <w:rsid w:val="000863EF"/>
    <w:rsid w:val="000867D7"/>
    <w:rsid w:val="00086A95"/>
    <w:rsid w:val="00086B26"/>
    <w:rsid w:val="00086B4A"/>
    <w:rsid w:val="00086CA6"/>
    <w:rsid w:val="00087009"/>
    <w:rsid w:val="00087087"/>
    <w:rsid w:val="000872BD"/>
    <w:rsid w:val="000874CA"/>
    <w:rsid w:val="000876FE"/>
    <w:rsid w:val="000878CC"/>
    <w:rsid w:val="00087BCB"/>
    <w:rsid w:val="00087C78"/>
    <w:rsid w:val="0009002B"/>
    <w:rsid w:val="00090A26"/>
    <w:rsid w:val="00090AC4"/>
    <w:rsid w:val="00090BFD"/>
    <w:rsid w:val="00090E05"/>
    <w:rsid w:val="0009109D"/>
    <w:rsid w:val="000911FD"/>
    <w:rsid w:val="00091724"/>
    <w:rsid w:val="00091921"/>
    <w:rsid w:val="00091C11"/>
    <w:rsid w:val="00091FC6"/>
    <w:rsid w:val="0009213B"/>
    <w:rsid w:val="00092862"/>
    <w:rsid w:val="00092A9F"/>
    <w:rsid w:val="00092BE5"/>
    <w:rsid w:val="00093049"/>
    <w:rsid w:val="00093E87"/>
    <w:rsid w:val="00093F59"/>
    <w:rsid w:val="00094DB7"/>
    <w:rsid w:val="00094F03"/>
    <w:rsid w:val="00095030"/>
    <w:rsid w:val="00095158"/>
    <w:rsid w:val="000959E6"/>
    <w:rsid w:val="00095BC0"/>
    <w:rsid w:val="00095FAC"/>
    <w:rsid w:val="0009603D"/>
    <w:rsid w:val="0009620D"/>
    <w:rsid w:val="000963DB"/>
    <w:rsid w:val="00096B9E"/>
    <w:rsid w:val="00096D05"/>
    <w:rsid w:val="00096D06"/>
    <w:rsid w:val="00096F19"/>
    <w:rsid w:val="00097024"/>
    <w:rsid w:val="00097121"/>
    <w:rsid w:val="000971AD"/>
    <w:rsid w:val="00097303"/>
    <w:rsid w:val="00097880"/>
    <w:rsid w:val="00097D59"/>
    <w:rsid w:val="000A00E1"/>
    <w:rsid w:val="000A04D9"/>
    <w:rsid w:val="000A05D5"/>
    <w:rsid w:val="000A0C12"/>
    <w:rsid w:val="000A0D08"/>
    <w:rsid w:val="000A0D81"/>
    <w:rsid w:val="000A0F7B"/>
    <w:rsid w:val="000A18EA"/>
    <w:rsid w:val="000A1973"/>
    <w:rsid w:val="000A1F41"/>
    <w:rsid w:val="000A204F"/>
    <w:rsid w:val="000A235F"/>
    <w:rsid w:val="000A2949"/>
    <w:rsid w:val="000A2B08"/>
    <w:rsid w:val="000A2D6C"/>
    <w:rsid w:val="000A2F3D"/>
    <w:rsid w:val="000A314A"/>
    <w:rsid w:val="000A3CBC"/>
    <w:rsid w:val="000A3F3D"/>
    <w:rsid w:val="000A4104"/>
    <w:rsid w:val="000A411D"/>
    <w:rsid w:val="000A432E"/>
    <w:rsid w:val="000A4696"/>
    <w:rsid w:val="000A46BC"/>
    <w:rsid w:val="000A4714"/>
    <w:rsid w:val="000A480B"/>
    <w:rsid w:val="000A4CBF"/>
    <w:rsid w:val="000A4E1A"/>
    <w:rsid w:val="000A4F2E"/>
    <w:rsid w:val="000A4F9A"/>
    <w:rsid w:val="000A5472"/>
    <w:rsid w:val="000A5BF3"/>
    <w:rsid w:val="000A5EE2"/>
    <w:rsid w:val="000A6110"/>
    <w:rsid w:val="000A65A0"/>
    <w:rsid w:val="000A6636"/>
    <w:rsid w:val="000A66AA"/>
    <w:rsid w:val="000A66BA"/>
    <w:rsid w:val="000A6EB7"/>
    <w:rsid w:val="000A6EE7"/>
    <w:rsid w:val="000A708A"/>
    <w:rsid w:val="000A7244"/>
    <w:rsid w:val="000A7877"/>
    <w:rsid w:val="000A7984"/>
    <w:rsid w:val="000A7C68"/>
    <w:rsid w:val="000A7C96"/>
    <w:rsid w:val="000B0478"/>
    <w:rsid w:val="000B0A88"/>
    <w:rsid w:val="000B0C76"/>
    <w:rsid w:val="000B0F92"/>
    <w:rsid w:val="000B10E6"/>
    <w:rsid w:val="000B12A8"/>
    <w:rsid w:val="000B1553"/>
    <w:rsid w:val="000B179E"/>
    <w:rsid w:val="000B1994"/>
    <w:rsid w:val="000B1C4B"/>
    <w:rsid w:val="000B1DF3"/>
    <w:rsid w:val="000B211E"/>
    <w:rsid w:val="000B218F"/>
    <w:rsid w:val="000B2457"/>
    <w:rsid w:val="000B2544"/>
    <w:rsid w:val="000B2581"/>
    <w:rsid w:val="000B2803"/>
    <w:rsid w:val="000B2945"/>
    <w:rsid w:val="000B2F20"/>
    <w:rsid w:val="000B2FBF"/>
    <w:rsid w:val="000B30C5"/>
    <w:rsid w:val="000B31E4"/>
    <w:rsid w:val="000B32D4"/>
    <w:rsid w:val="000B3387"/>
    <w:rsid w:val="000B3CF3"/>
    <w:rsid w:val="000B40A3"/>
    <w:rsid w:val="000B41CD"/>
    <w:rsid w:val="000B4779"/>
    <w:rsid w:val="000B4A4A"/>
    <w:rsid w:val="000B4B89"/>
    <w:rsid w:val="000B4BA1"/>
    <w:rsid w:val="000B4C95"/>
    <w:rsid w:val="000B4E33"/>
    <w:rsid w:val="000B5157"/>
    <w:rsid w:val="000B5281"/>
    <w:rsid w:val="000B578B"/>
    <w:rsid w:val="000B580A"/>
    <w:rsid w:val="000B58C9"/>
    <w:rsid w:val="000B5A89"/>
    <w:rsid w:val="000B5B46"/>
    <w:rsid w:val="000B5C39"/>
    <w:rsid w:val="000B61E8"/>
    <w:rsid w:val="000B64A6"/>
    <w:rsid w:val="000B6BA2"/>
    <w:rsid w:val="000B6FB5"/>
    <w:rsid w:val="000B7038"/>
    <w:rsid w:val="000B7434"/>
    <w:rsid w:val="000B74B5"/>
    <w:rsid w:val="000B7A59"/>
    <w:rsid w:val="000B7C54"/>
    <w:rsid w:val="000B7D56"/>
    <w:rsid w:val="000C005A"/>
    <w:rsid w:val="000C02CE"/>
    <w:rsid w:val="000C08E9"/>
    <w:rsid w:val="000C11BF"/>
    <w:rsid w:val="000C127C"/>
    <w:rsid w:val="000C1640"/>
    <w:rsid w:val="000C1806"/>
    <w:rsid w:val="000C1B7F"/>
    <w:rsid w:val="000C1D63"/>
    <w:rsid w:val="000C1ED0"/>
    <w:rsid w:val="000C2090"/>
    <w:rsid w:val="000C234B"/>
    <w:rsid w:val="000C2360"/>
    <w:rsid w:val="000C2B8E"/>
    <w:rsid w:val="000C332A"/>
    <w:rsid w:val="000C3836"/>
    <w:rsid w:val="000C3F8C"/>
    <w:rsid w:val="000C41BC"/>
    <w:rsid w:val="000C4279"/>
    <w:rsid w:val="000C43E4"/>
    <w:rsid w:val="000C4C1A"/>
    <w:rsid w:val="000C4C5E"/>
    <w:rsid w:val="000C4E37"/>
    <w:rsid w:val="000C5141"/>
    <w:rsid w:val="000C58BE"/>
    <w:rsid w:val="000C58DE"/>
    <w:rsid w:val="000C5CAE"/>
    <w:rsid w:val="000C5D70"/>
    <w:rsid w:val="000C7125"/>
    <w:rsid w:val="000C720C"/>
    <w:rsid w:val="000C7364"/>
    <w:rsid w:val="000C74CC"/>
    <w:rsid w:val="000C7624"/>
    <w:rsid w:val="000C7EC8"/>
    <w:rsid w:val="000C99A0"/>
    <w:rsid w:val="000D0056"/>
    <w:rsid w:val="000D03F3"/>
    <w:rsid w:val="000D04BC"/>
    <w:rsid w:val="000D0C18"/>
    <w:rsid w:val="000D0DA2"/>
    <w:rsid w:val="000D0E89"/>
    <w:rsid w:val="000D0F61"/>
    <w:rsid w:val="000D1191"/>
    <w:rsid w:val="000D12E0"/>
    <w:rsid w:val="000D144A"/>
    <w:rsid w:val="000D1537"/>
    <w:rsid w:val="000D15EA"/>
    <w:rsid w:val="000D163D"/>
    <w:rsid w:val="000D1A47"/>
    <w:rsid w:val="000D1A5C"/>
    <w:rsid w:val="000D1B47"/>
    <w:rsid w:val="000D246E"/>
    <w:rsid w:val="000D2476"/>
    <w:rsid w:val="000D289D"/>
    <w:rsid w:val="000D302A"/>
    <w:rsid w:val="000D412E"/>
    <w:rsid w:val="000D4228"/>
    <w:rsid w:val="000D4296"/>
    <w:rsid w:val="000D4348"/>
    <w:rsid w:val="000D43C2"/>
    <w:rsid w:val="000D45F4"/>
    <w:rsid w:val="000D462A"/>
    <w:rsid w:val="000D4D76"/>
    <w:rsid w:val="000D5157"/>
    <w:rsid w:val="000D51B2"/>
    <w:rsid w:val="000D51E6"/>
    <w:rsid w:val="000D547F"/>
    <w:rsid w:val="000D578F"/>
    <w:rsid w:val="000D5C68"/>
    <w:rsid w:val="000D5DC6"/>
    <w:rsid w:val="000D602D"/>
    <w:rsid w:val="000D607B"/>
    <w:rsid w:val="000D642A"/>
    <w:rsid w:val="000D6C49"/>
    <w:rsid w:val="000D6C5C"/>
    <w:rsid w:val="000D6FF0"/>
    <w:rsid w:val="000D71AB"/>
    <w:rsid w:val="000D7307"/>
    <w:rsid w:val="000D7440"/>
    <w:rsid w:val="000D7B58"/>
    <w:rsid w:val="000D7C11"/>
    <w:rsid w:val="000D7DDA"/>
    <w:rsid w:val="000D7ECE"/>
    <w:rsid w:val="000E0391"/>
    <w:rsid w:val="000E0BF4"/>
    <w:rsid w:val="000E0E5B"/>
    <w:rsid w:val="000E1D80"/>
    <w:rsid w:val="000E1E23"/>
    <w:rsid w:val="000E27AF"/>
    <w:rsid w:val="000E2B55"/>
    <w:rsid w:val="000E2B71"/>
    <w:rsid w:val="000E2DC0"/>
    <w:rsid w:val="000E3122"/>
    <w:rsid w:val="000E33BA"/>
    <w:rsid w:val="000E3735"/>
    <w:rsid w:val="000E39BD"/>
    <w:rsid w:val="000E4109"/>
    <w:rsid w:val="000E411B"/>
    <w:rsid w:val="000E43A5"/>
    <w:rsid w:val="000E4EA2"/>
    <w:rsid w:val="000E5932"/>
    <w:rsid w:val="000E5B2B"/>
    <w:rsid w:val="000E5DCE"/>
    <w:rsid w:val="000E5E87"/>
    <w:rsid w:val="000E6117"/>
    <w:rsid w:val="000E639F"/>
    <w:rsid w:val="000E6740"/>
    <w:rsid w:val="000E6913"/>
    <w:rsid w:val="000E69FD"/>
    <w:rsid w:val="000E6FA2"/>
    <w:rsid w:val="000E7031"/>
    <w:rsid w:val="000E7105"/>
    <w:rsid w:val="000E73DF"/>
    <w:rsid w:val="000E760A"/>
    <w:rsid w:val="000E79E8"/>
    <w:rsid w:val="000E7D45"/>
    <w:rsid w:val="000ECEC6"/>
    <w:rsid w:val="000F0CBF"/>
    <w:rsid w:val="000F1484"/>
    <w:rsid w:val="000F15A7"/>
    <w:rsid w:val="000F1F9E"/>
    <w:rsid w:val="000F21EF"/>
    <w:rsid w:val="000F22A1"/>
    <w:rsid w:val="000F281F"/>
    <w:rsid w:val="000F2F69"/>
    <w:rsid w:val="000F3640"/>
    <w:rsid w:val="000F36FC"/>
    <w:rsid w:val="000F4B00"/>
    <w:rsid w:val="000F4CC8"/>
    <w:rsid w:val="000F5044"/>
    <w:rsid w:val="000F55ED"/>
    <w:rsid w:val="000F5AD8"/>
    <w:rsid w:val="000F5D99"/>
    <w:rsid w:val="000F5E4E"/>
    <w:rsid w:val="000F5E57"/>
    <w:rsid w:val="000F6091"/>
    <w:rsid w:val="000F67D2"/>
    <w:rsid w:val="000F689E"/>
    <w:rsid w:val="000F6BEE"/>
    <w:rsid w:val="000F71D0"/>
    <w:rsid w:val="000F7356"/>
    <w:rsid w:val="000F7451"/>
    <w:rsid w:val="000F7483"/>
    <w:rsid w:val="000F775A"/>
    <w:rsid w:val="000F79BC"/>
    <w:rsid w:val="000F7A6F"/>
    <w:rsid w:val="000F7AB7"/>
    <w:rsid w:val="000F7B08"/>
    <w:rsid w:val="000F7B18"/>
    <w:rsid w:val="000F9646"/>
    <w:rsid w:val="00100515"/>
    <w:rsid w:val="0010059D"/>
    <w:rsid w:val="001006C1"/>
    <w:rsid w:val="0010093E"/>
    <w:rsid w:val="00100A55"/>
    <w:rsid w:val="001017C7"/>
    <w:rsid w:val="00102118"/>
    <w:rsid w:val="001027C4"/>
    <w:rsid w:val="001028D8"/>
    <w:rsid w:val="00102B63"/>
    <w:rsid w:val="0010319D"/>
    <w:rsid w:val="001036CE"/>
    <w:rsid w:val="001036E8"/>
    <w:rsid w:val="001037EC"/>
    <w:rsid w:val="00103873"/>
    <w:rsid w:val="001039CF"/>
    <w:rsid w:val="00103ADB"/>
    <w:rsid w:val="00103DCF"/>
    <w:rsid w:val="001041B2"/>
    <w:rsid w:val="00104262"/>
    <w:rsid w:val="001043D4"/>
    <w:rsid w:val="00104D48"/>
    <w:rsid w:val="00104EDB"/>
    <w:rsid w:val="00105015"/>
    <w:rsid w:val="0010588D"/>
    <w:rsid w:val="001059D8"/>
    <w:rsid w:val="00105BD9"/>
    <w:rsid w:val="00106C2B"/>
    <w:rsid w:val="00106E66"/>
    <w:rsid w:val="00106E78"/>
    <w:rsid w:val="00107124"/>
    <w:rsid w:val="00107439"/>
    <w:rsid w:val="00107B0E"/>
    <w:rsid w:val="00107ED9"/>
    <w:rsid w:val="00110025"/>
    <w:rsid w:val="0011005C"/>
    <w:rsid w:val="001105CD"/>
    <w:rsid w:val="0011077C"/>
    <w:rsid w:val="001115B3"/>
    <w:rsid w:val="00111D45"/>
    <w:rsid w:val="00111D48"/>
    <w:rsid w:val="00111E0E"/>
    <w:rsid w:val="00111EC7"/>
    <w:rsid w:val="001121A6"/>
    <w:rsid w:val="001122AD"/>
    <w:rsid w:val="001125F6"/>
    <w:rsid w:val="00112C5D"/>
    <w:rsid w:val="00112C83"/>
    <w:rsid w:val="00112F51"/>
    <w:rsid w:val="001134BE"/>
    <w:rsid w:val="001139F1"/>
    <w:rsid w:val="00114090"/>
    <w:rsid w:val="00114FBC"/>
    <w:rsid w:val="0011527F"/>
    <w:rsid w:val="001159B9"/>
    <w:rsid w:val="00115C0F"/>
    <w:rsid w:val="00115C1B"/>
    <w:rsid w:val="0011630E"/>
    <w:rsid w:val="0011655C"/>
    <w:rsid w:val="00116602"/>
    <w:rsid w:val="001169F7"/>
    <w:rsid w:val="00116CA6"/>
    <w:rsid w:val="00116EFA"/>
    <w:rsid w:val="00116F1C"/>
    <w:rsid w:val="00116F45"/>
    <w:rsid w:val="0011756C"/>
    <w:rsid w:val="001176DE"/>
    <w:rsid w:val="00117900"/>
    <w:rsid w:val="00117930"/>
    <w:rsid w:val="0011794C"/>
    <w:rsid w:val="00117B94"/>
    <w:rsid w:val="00117C58"/>
    <w:rsid w:val="00117E01"/>
    <w:rsid w:val="0012029D"/>
    <w:rsid w:val="0012053E"/>
    <w:rsid w:val="001206E0"/>
    <w:rsid w:val="001208AC"/>
    <w:rsid w:val="00120A68"/>
    <w:rsid w:val="00120A7A"/>
    <w:rsid w:val="001210B8"/>
    <w:rsid w:val="001214BE"/>
    <w:rsid w:val="00121A0F"/>
    <w:rsid w:val="0012203D"/>
    <w:rsid w:val="00122439"/>
    <w:rsid w:val="001227B0"/>
    <w:rsid w:val="0012285F"/>
    <w:rsid w:val="001228DE"/>
    <w:rsid w:val="00122BC6"/>
    <w:rsid w:val="00122BE6"/>
    <w:rsid w:val="001233C8"/>
    <w:rsid w:val="001238A2"/>
    <w:rsid w:val="00123B65"/>
    <w:rsid w:val="00123BC7"/>
    <w:rsid w:val="00123D68"/>
    <w:rsid w:val="00124210"/>
    <w:rsid w:val="001242A6"/>
    <w:rsid w:val="001244E8"/>
    <w:rsid w:val="00124533"/>
    <w:rsid w:val="001247AC"/>
    <w:rsid w:val="00125567"/>
    <w:rsid w:val="00125A7C"/>
    <w:rsid w:val="00125BF9"/>
    <w:rsid w:val="0012604D"/>
    <w:rsid w:val="0012611B"/>
    <w:rsid w:val="00126560"/>
    <w:rsid w:val="00126A28"/>
    <w:rsid w:val="00126B5C"/>
    <w:rsid w:val="00126E55"/>
    <w:rsid w:val="00126F36"/>
    <w:rsid w:val="0012731F"/>
    <w:rsid w:val="001278BA"/>
    <w:rsid w:val="00127CAA"/>
    <w:rsid w:val="00127ED4"/>
    <w:rsid w:val="00127F6F"/>
    <w:rsid w:val="001301EF"/>
    <w:rsid w:val="001303EA"/>
    <w:rsid w:val="00130520"/>
    <w:rsid w:val="00130826"/>
    <w:rsid w:val="00130951"/>
    <w:rsid w:val="00130D84"/>
    <w:rsid w:val="001319E0"/>
    <w:rsid w:val="00131BDA"/>
    <w:rsid w:val="00131E91"/>
    <w:rsid w:val="00131ECF"/>
    <w:rsid w:val="001324AD"/>
    <w:rsid w:val="001329F3"/>
    <w:rsid w:val="00132D4A"/>
    <w:rsid w:val="001330B6"/>
    <w:rsid w:val="0013336E"/>
    <w:rsid w:val="001336F1"/>
    <w:rsid w:val="001337A9"/>
    <w:rsid w:val="001338A5"/>
    <w:rsid w:val="001339A9"/>
    <w:rsid w:val="00133FE0"/>
    <w:rsid w:val="0013410F"/>
    <w:rsid w:val="00134168"/>
    <w:rsid w:val="0013457C"/>
    <w:rsid w:val="00134791"/>
    <w:rsid w:val="00134816"/>
    <w:rsid w:val="00134C0C"/>
    <w:rsid w:val="0013574E"/>
    <w:rsid w:val="0013589E"/>
    <w:rsid w:val="00135E7A"/>
    <w:rsid w:val="00136081"/>
    <w:rsid w:val="0013659F"/>
    <w:rsid w:val="00136756"/>
    <w:rsid w:val="00136767"/>
    <w:rsid w:val="001370EA"/>
    <w:rsid w:val="00137116"/>
    <w:rsid w:val="00137283"/>
    <w:rsid w:val="00137C32"/>
    <w:rsid w:val="00139519"/>
    <w:rsid w:val="001408A4"/>
    <w:rsid w:val="00140A68"/>
    <w:rsid w:val="00140ED1"/>
    <w:rsid w:val="001411CC"/>
    <w:rsid w:val="0014127D"/>
    <w:rsid w:val="00141479"/>
    <w:rsid w:val="0014173A"/>
    <w:rsid w:val="001417A4"/>
    <w:rsid w:val="0014181C"/>
    <w:rsid w:val="001418BC"/>
    <w:rsid w:val="00141E67"/>
    <w:rsid w:val="00141F1F"/>
    <w:rsid w:val="00142260"/>
    <w:rsid w:val="00142428"/>
    <w:rsid w:val="00142577"/>
    <w:rsid w:val="00142710"/>
    <w:rsid w:val="00143513"/>
    <w:rsid w:val="001439BD"/>
    <w:rsid w:val="00143B3F"/>
    <w:rsid w:val="001440A5"/>
    <w:rsid w:val="001443EB"/>
    <w:rsid w:val="0014485E"/>
    <w:rsid w:val="00144BD9"/>
    <w:rsid w:val="001451DB"/>
    <w:rsid w:val="00146138"/>
    <w:rsid w:val="00146748"/>
    <w:rsid w:val="00146F03"/>
    <w:rsid w:val="00147897"/>
    <w:rsid w:val="00147AE9"/>
    <w:rsid w:val="00147D0A"/>
    <w:rsid w:val="00147E9E"/>
    <w:rsid w:val="00147FB0"/>
    <w:rsid w:val="0014FDCA"/>
    <w:rsid w:val="00150125"/>
    <w:rsid w:val="001505E0"/>
    <w:rsid w:val="00150766"/>
    <w:rsid w:val="00150B1C"/>
    <w:rsid w:val="001512A2"/>
    <w:rsid w:val="0015134A"/>
    <w:rsid w:val="00151381"/>
    <w:rsid w:val="001514E7"/>
    <w:rsid w:val="001517C5"/>
    <w:rsid w:val="00151CF8"/>
    <w:rsid w:val="00151DC2"/>
    <w:rsid w:val="00151DF3"/>
    <w:rsid w:val="00151FDF"/>
    <w:rsid w:val="0015201E"/>
    <w:rsid w:val="001521A8"/>
    <w:rsid w:val="001521F6"/>
    <w:rsid w:val="00152254"/>
    <w:rsid w:val="001524BF"/>
    <w:rsid w:val="001525E2"/>
    <w:rsid w:val="0015293D"/>
    <w:rsid w:val="00152C60"/>
    <w:rsid w:val="00153141"/>
    <w:rsid w:val="0015336B"/>
    <w:rsid w:val="00153896"/>
    <w:rsid w:val="00153A36"/>
    <w:rsid w:val="00153B00"/>
    <w:rsid w:val="00153CF6"/>
    <w:rsid w:val="00153E0B"/>
    <w:rsid w:val="001540AD"/>
    <w:rsid w:val="0015414C"/>
    <w:rsid w:val="00154233"/>
    <w:rsid w:val="001542A0"/>
    <w:rsid w:val="001547A9"/>
    <w:rsid w:val="00154A6E"/>
    <w:rsid w:val="00154CE1"/>
    <w:rsid w:val="00155028"/>
    <w:rsid w:val="00155227"/>
    <w:rsid w:val="00155416"/>
    <w:rsid w:val="00155592"/>
    <w:rsid w:val="00155817"/>
    <w:rsid w:val="0015597E"/>
    <w:rsid w:val="00155C61"/>
    <w:rsid w:val="00155CE3"/>
    <w:rsid w:val="0015603D"/>
    <w:rsid w:val="0015622A"/>
    <w:rsid w:val="00156739"/>
    <w:rsid w:val="001567B6"/>
    <w:rsid w:val="00156CA4"/>
    <w:rsid w:val="00156FDD"/>
    <w:rsid w:val="0015703B"/>
    <w:rsid w:val="00157234"/>
    <w:rsid w:val="001575A6"/>
    <w:rsid w:val="00157612"/>
    <w:rsid w:val="001577A6"/>
    <w:rsid w:val="00157827"/>
    <w:rsid w:val="00157CCC"/>
    <w:rsid w:val="00157E64"/>
    <w:rsid w:val="001602B6"/>
    <w:rsid w:val="00160480"/>
    <w:rsid w:val="0016094D"/>
    <w:rsid w:val="0016095E"/>
    <w:rsid w:val="00160C2F"/>
    <w:rsid w:val="00160D17"/>
    <w:rsid w:val="00160E81"/>
    <w:rsid w:val="0016103F"/>
    <w:rsid w:val="00161071"/>
    <w:rsid w:val="00161386"/>
    <w:rsid w:val="00161455"/>
    <w:rsid w:val="001626C2"/>
    <w:rsid w:val="0016273F"/>
    <w:rsid w:val="00162926"/>
    <w:rsid w:val="00162DBF"/>
    <w:rsid w:val="001633A8"/>
    <w:rsid w:val="00163D88"/>
    <w:rsid w:val="001641DB"/>
    <w:rsid w:val="001643BB"/>
    <w:rsid w:val="0016519E"/>
    <w:rsid w:val="001654B3"/>
    <w:rsid w:val="001655E9"/>
    <w:rsid w:val="00165CE1"/>
    <w:rsid w:val="00165E95"/>
    <w:rsid w:val="00165E97"/>
    <w:rsid w:val="001667BF"/>
    <w:rsid w:val="0016681E"/>
    <w:rsid w:val="00166CB1"/>
    <w:rsid w:val="00166D4B"/>
    <w:rsid w:val="00166F1D"/>
    <w:rsid w:val="00167117"/>
    <w:rsid w:val="00167813"/>
    <w:rsid w:val="00167AAB"/>
    <w:rsid w:val="00167D59"/>
    <w:rsid w:val="00170111"/>
    <w:rsid w:val="0017017E"/>
    <w:rsid w:val="001705BF"/>
    <w:rsid w:val="00170689"/>
    <w:rsid w:val="00170711"/>
    <w:rsid w:val="00170956"/>
    <w:rsid w:val="00171AB8"/>
    <w:rsid w:val="00171BEE"/>
    <w:rsid w:val="00171D3D"/>
    <w:rsid w:val="00172343"/>
    <w:rsid w:val="001723AD"/>
    <w:rsid w:val="00172436"/>
    <w:rsid w:val="00172B24"/>
    <w:rsid w:val="00172C7B"/>
    <w:rsid w:val="00173098"/>
    <w:rsid w:val="00173413"/>
    <w:rsid w:val="00173545"/>
    <w:rsid w:val="0017371C"/>
    <w:rsid w:val="00173940"/>
    <w:rsid w:val="001740F8"/>
    <w:rsid w:val="0017427C"/>
    <w:rsid w:val="00174484"/>
    <w:rsid w:val="0017474D"/>
    <w:rsid w:val="001749B0"/>
    <w:rsid w:val="00174CE6"/>
    <w:rsid w:val="001751C9"/>
    <w:rsid w:val="00175326"/>
    <w:rsid w:val="0017544A"/>
    <w:rsid w:val="001757F7"/>
    <w:rsid w:val="001759C3"/>
    <w:rsid w:val="00175BDB"/>
    <w:rsid w:val="00175DF0"/>
    <w:rsid w:val="00175E17"/>
    <w:rsid w:val="00176054"/>
    <w:rsid w:val="001761CC"/>
    <w:rsid w:val="0017641E"/>
    <w:rsid w:val="0017666A"/>
    <w:rsid w:val="0017681C"/>
    <w:rsid w:val="001770BC"/>
    <w:rsid w:val="001776C8"/>
    <w:rsid w:val="001776CB"/>
    <w:rsid w:val="0017770C"/>
    <w:rsid w:val="00177AA8"/>
    <w:rsid w:val="00177B74"/>
    <w:rsid w:val="00177B89"/>
    <w:rsid w:val="00177CBE"/>
    <w:rsid w:val="00177DA7"/>
    <w:rsid w:val="00177EE3"/>
    <w:rsid w:val="0018015A"/>
    <w:rsid w:val="001807E1"/>
    <w:rsid w:val="00180EAA"/>
    <w:rsid w:val="001817F1"/>
    <w:rsid w:val="00181F3B"/>
    <w:rsid w:val="00181F42"/>
    <w:rsid w:val="0018201C"/>
    <w:rsid w:val="0018256A"/>
    <w:rsid w:val="00182925"/>
    <w:rsid w:val="00182A0D"/>
    <w:rsid w:val="00183210"/>
    <w:rsid w:val="00183304"/>
    <w:rsid w:val="00183361"/>
    <w:rsid w:val="0018351A"/>
    <w:rsid w:val="00183DF4"/>
    <w:rsid w:val="00183EEE"/>
    <w:rsid w:val="001844AD"/>
    <w:rsid w:val="0018492B"/>
    <w:rsid w:val="00184C84"/>
    <w:rsid w:val="00184D88"/>
    <w:rsid w:val="0018551D"/>
    <w:rsid w:val="0018551F"/>
    <w:rsid w:val="0018569B"/>
    <w:rsid w:val="00185B77"/>
    <w:rsid w:val="00185DB0"/>
    <w:rsid w:val="00185EE5"/>
    <w:rsid w:val="00186243"/>
    <w:rsid w:val="00186E2D"/>
    <w:rsid w:val="00187ABF"/>
    <w:rsid w:val="00187BE4"/>
    <w:rsid w:val="00187DE6"/>
    <w:rsid w:val="00190349"/>
    <w:rsid w:val="001903CC"/>
    <w:rsid w:val="00190A10"/>
    <w:rsid w:val="00190D72"/>
    <w:rsid w:val="00190F17"/>
    <w:rsid w:val="00191127"/>
    <w:rsid w:val="0019140E"/>
    <w:rsid w:val="0019153C"/>
    <w:rsid w:val="00191548"/>
    <w:rsid w:val="001916AA"/>
    <w:rsid w:val="00191A43"/>
    <w:rsid w:val="00191C30"/>
    <w:rsid w:val="00191CA1"/>
    <w:rsid w:val="00191DC6"/>
    <w:rsid w:val="001923AB"/>
    <w:rsid w:val="00192612"/>
    <w:rsid w:val="001927B5"/>
    <w:rsid w:val="0019288A"/>
    <w:rsid w:val="001929D3"/>
    <w:rsid w:val="00192A53"/>
    <w:rsid w:val="00192C32"/>
    <w:rsid w:val="00192F81"/>
    <w:rsid w:val="00193292"/>
    <w:rsid w:val="00193731"/>
    <w:rsid w:val="00193878"/>
    <w:rsid w:val="00193EDA"/>
    <w:rsid w:val="00194549"/>
    <w:rsid w:val="001946D5"/>
    <w:rsid w:val="00194823"/>
    <w:rsid w:val="00194CDD"/>
    <w:rsid w:val="00194F49"/>
    <w:rsid w:val="00194F69"/>
    <w:rsid w:val="00194F94"/>
    <w:rsid w:val="00194F9F"/>
    <w:rsid w:val="0019503A"/>
    <w:rsid w:val="0019511F"/>
    <w:rsid w:val="00195224"/>
    <w:rsid w:val="00195624"/>
    <w:rsid w:val="0019565A"/>
    <w:rsid w:val="00195822"/>
    <w:rsid w:val="00195B5F"/>
    <w:rsid w:val="00195D36"/>
    <w:rsid w:val="00195EF6"/>
    <w:rsid w:val="001962F7"/>
    <w:rsid w:val="00196666"/>
    <w:rsid w:val="001969F2"/>
    <w:rsid w:val="00196AB9"/>
    <w:rsid w:val="00196C67"/>
    <w:rsid w:val="00196F94"/>
    <w:rsid w:val="0019719B"/>
    <w:rsid w:val="001976D7"/>
    <w:rsid w:val="00197A64"/>
    <w:rsid w:val="00197A95"/>
    <w:rsid w:val="00197C26"/>
    <w:rsid w:val="00197C8B"/>
    <w:rsid w:val="001A06EE"/>
    <w:rsid w:val="001A0AED"/>
    <w:rsid w:val="001A0CAD"/>
    <w:rsid w:val="001A0E40"/>
    <w:rsid w:val="001A0E42"/>
    <w:rsid w:val="001A10D8"/>
    <w:rsid w:val="001A1331"/>
    <w:rsid w:val="001A141B"/>
    <w:rsid w:val="001A1474"/>
    <w:rsid w:val="001A1712"/>
    <w:rsid w:val="001A186B"/>
    <w:rsid w:val="001A1B3B"/>
    <w:rsid w:val="001A1D6A"/>
    <w:rsid w:val="001A1E3D"/>
    <w:rsid w:val="001A1E54"/>
    <w:rsid w:val="001A2127"/>
    <w:rsid w:val="001A26DC"/>
    <w:rsid w:val="001A2B5B"/>
    <w:rsid w:val="001A32C4"/>
    <w:rsid w:val="001A3AF5"/>
    <w:rsid w:val="001A434F"/>
    <w:rsid w:val="001A45C1"/>
    <w:rsid w:val="001A4983"/>
    <w:rsid w:val="001A4A50"/>
    <w:rsid w:val="001A4B89"/>
    <w:rsid w:val="001A51BF"/>
    <w:rsid w:val="001A5A12"/>
    <w:rsid w:val="001A5E77"/>
    <w:rsid w:val="001A612B"/>
    <w:rsid w:val="001A6493"/>
    <w:rsid w:val="001A670D"/>
    <w:rsid w:val="001A6774"/>
    <w:rsid w:val="001A6936"/>
    <w:rsid w:val="001A6EEB"/>
    <w:rsid w:val="001A7261"/>
    <w:rsid w:val="001A7AB8"/>
    <w:rsid w:val="001A7DC3"/>
    <w:rsid w:val="001A7FA2"/>
    <w:rsid w:val="001B01A8"/>
    <w:rsid w:val="001B0695"/>
    <w:rsid w:val="001B0CAD"/>
    <w:rsid w:val="001B0D5A"/>
    <w:rsid w:val="001B11B6"/>
    <w:rsid w:val="001B1270"/>
    <w:rsid w:val="001B12B1"/>
    <w:rsid w:val="001B16BE"/>
    <w:rsid w:val="001B1730"/>
    <w:rsid w:val="001B19A2"/>
    <w:rsid w:val="001B202B"/>
    <w:rsid w:val="001B2431"/>
    <w:rsid w:val="001B2680"/>
    <w:rsid w:val="001B2A1C"/>
    <w:rsid w:val="001B33D6"/>
    <w:rsid w:val="001B3507"/>
    <w:rsid w:val="001B3700"/>
    <w:rsid w:val="001B42EC"/>
    <w:rsid w:val="001B4369"/>
    <w:rsid w:val="001B4774"/>
    <w:rsid w:val="001B5104"/>
    <w:rsid w:val="001B5268"/>
    <w:rsid w:val="001B530B"/>
    <w:rsid w:val="001B5732"/>
    <w:rsid w:val="001B5738"/>
    <w:rsid w:val="001B59BE"/>
    <w:rsid w:val="001B5AF3"/>
    <w:rsid w:val="001B5B1D"/>
    <w:rsid w:val="001B5DA6"/>
    <w:rsid w:val="001B614A"/>
    <w:rsid w:val="001B6559"/>
    <w:rsid w:val="001B676F"/>
    <w:rsid w:val="001B68BF"/>
    <w:rsid w:val="001B69C7"/>
    <w:rsid w:val="001B76EE"/>
    <w:rsid w:val="001B78DD"/>
    <w:rsid w:val="001B7D07"/>
    <w:rsid w:val="001B7DDF"/>
    <w:rsid w:val="001C0835"/>
    <w:rsid w:val="001C0872"/>
    <w:rsid w:val="001C0EA3"/>
    <w:rsid w:val="001C0FB1"/>
    <w:rsid w:val="001C0FF9"/>
    <w:rsid w:val="001C11DB"/>
    <w:rsid w:val="001C1A33"/>
    <w:rsid w:val="001C217C"/>
    <w:rsid w:val="001C21C9"/>
    <w:rsid w:val="001C28E0"/>
    <w:rsid w:val="001C2997"/>
    <w:rsid w:val="001C29F3"/>
    <w:rsid w:val="001C2C7C"/>
    <w:rsid w:val="001C2EA6"/>
    <w:rsid w:val="001C3306"/>
    <w:rsid w:val="001C3623"/>
    <w:rsid w:val="001C3875"/>
    <w:rsid w:val="001C3EFA"/>
    <w:rsid w:val="001C45E8"/>
    <w:rsid w:val="001C488C"/>
    <w:rsid w:val="001C494B"/>
    <w:rsid w:val="001C4F3D"/>
    <w:rsid w:val="001C4F70"/>
    <w:rsid w:val="001C509A"/>
    <w:rsid w:val="001C50A3"/>
    <w:rsid w:val="001C5151"/>
    <w:rsid w:val="001C5469"/>
    <w:rsid w:val="001C5D3D"/>
    <w:rsid w:val="001C5DA5"/>
    <w:rsid w:val="001C61E4"/>
    <w:rsid w:val="001C6A53"/>
    <w:rsid w:val="001C70D7"/>
    <w:rsid w:val="001C79D7"/>
    <w:rsid w:val="001C7A08"/>
    <w:rsid w:val="001C7D13"/>
    <w:rsid w:val="001D0033"/>
    <w:rsid w:val="001D018B"/>
    <w:rsid w:val="001D06EF"/>
    <w:rsid w:val="001D0B60"/>
    <w:rsid w:val="001D0C9C"/>
    <w:rsid w:val="001D0E1E"/>
    <w:rsid w:val="001D117A"/>
    <w:rsid w:val="001D1395"/>
    <w:rsid w:val="001D13CF"/>
    <w:rsid w:val="001D16D4"/>
    <w:rsid w:val="001D1AAB"/>
    <w:rsid w:val="001D1CFD"/>
    <w:rsid w:val="001D2080"/>
    <w:rsid w:val="001D2338"/>
    <w:rsid w:val="001D2700"/>
    <w:rsid w:val="001D2715"/>
    <w:rsid w:val="001D276E"/>
    <w:rsid w:val="001D27F8"/>
    <w:rsid w:val="001D2CF5"/>
    <w:rsid w:val="001D396A"/>
    <w:rsid w:val="001D3A17"/>
    <w:rsid w:val="001D3A74"/>
    <w:rsid w:val="001D3D33"/>
    <w:rsid w:val="001D3F6B"/>
    <w:rsid w:val="001D3FEB"/>
    <w:rsid w:val="001D41CF"/>
    <w:rsid w:val="001D4276"/>
    <w:rsid w:val="001D5521"/>
    <w:rsid w:val="001D55AE"/>
    <w:rsid w:val="001D561D"/>
    <w:rsid w:val="001D56EE"/>
    <w:rsid w:val="001D571D"/>
    <w:rsid w:val="001D582C"/>
    <w:rsid w:val="001D5890"/>
    <w:rsid w:val="001D59CF"/>
    <w:rsid w:val="001D5C61"/>
    <w:rsid w:val="001D6170"/>
    <w:rsid w:val="001D6857"/>
    <w:rsid w:val="001D6BBA"/>
    <w:rsid w:val="001D6BD8"/>
    <w:rsid w:val="001D6C0C"/>
    <w:rsid w:val="001D6FE9"/>
    <w:rsid w:val="001D771F"/>
    <w:rsid w:val="001D7994"/>
    <w:rsid w:val="001E0420"/>
    <w:rsid w:val="001E04C1"/>
    <w:rsid w:val="001E0D36"/>
    <w:rsid w:val="001E0F5C"/>
    <w:rsid w:val="001E100C"/>
    <w:rsid w:val="001E1202"/>
    <w:rsid w:val="001E18D3"/>
    <w:rsid w:val="001E1AE1"/>
    <w:rsid w:val="001E1EEC"/>
    <w:rsid w:val="001E2175"/>
    <w:rsid w:val="001E234E"/>
    <w:rsid w:val="001E24C5"/>
    <w:rsid w:val="001E2858"/>
    <w:rsid w:val="001E2C86"/>
    <w:rsid w:val="001E2D08"/>
    <w:rsid w:val="001E2E9D"/>
    <w:rsid w:val="001E330B"/>
    <w:rsid w:val="001E35FC"/>
    <w:rsid w:val="001E3644"/>
    <w:rsid w:val="001E365A"/>
    <w:rsid w:val="001E393E"/>
    <w:rsid w:val="001E3B1C"/>
    <w:rsid w:val="001E3B44"/>
    <w:rsid w:val="001E402A"/>
    <w:rsid w:val="001E4081"/>
    <w:rsid w:val="001E4144"/>
    <w:rsid w:val="001E4625"/>
    <w:rsid w:val="001E46B3"/>
    <w:rsid w:val="001E4706"/>
    <w:rsid w:val="001E4805"/>
    <w:rsid w:val="001E4D86"/>
    <w:rsid w:val="001E4F45"/>
    <w:rsid w:val="001E4F9D"/>
    <w:rsid w:val="001E5451"/>
    <w:rsid w:val="001E5496"/>
    <w:rsid w:val="001E55A2"/>
    <w:rsid w:val="001E5870"/>
    <w:rsid w:val="001E59F5"/>
    <w:rsid w:val="001E5C4E"/>
    <w:rsid w:val="001E5EBA"/>
    <w:rsid w:val="001E61B6"/>
    <w:rsid w:val="001E69EA"/>
    <w:rsid w:val="001E6A35"/>
    <w:rsid w:val="001E6EDB"/>
    <w:rsid w:val="001E74EA"/>
    <w:rsid w:val="001E76E1"/>
    <w:rsid w:val="001E7885"/>
    <w:rsid w:val="001F0125"/>
    <w:rsid w:val="001F02B4"/>
    <w:rsid w:val="001F07A6"/>
    <w:rsid w:val="001F082E"/>
    <w:rsid w:val="001F0913"/>
    <w:rsid w:val="001F0B46"/>
    <w:rsid w:val="001F0E1D"/>
    <w:rsid w:val="001F0EE9"/>
    <w:rsid w:val="001F0F34"/>
    <w:rsid w:val="001F0FD2"/>
    <w:rsid w:val="001F13C2"/>
    <w:rsid w:val="001F1776"/>
    <w:rsid w:val="001F1911"/>
    <w:rsid w:val="001F1B83"/>
    <w:rsid w:val="001F2436"/>
    <w:rsid w:val="001F2458"/>
    <w:rsid w:val="001F2890"/>
    <w:rsid w:val="001F29A7"/>
    <w:rsid w:val="001F2C8A"/>
    <w:rsid w:val="001F2D23"/>
    <w:rsid w:val="001F359E"/>
    <w:rsid w:val="001F372C"/>
    <w:rsid w:val="001F37F2"/>
    <w:rsid w:val="001F3C80"/>
    <w:rsid w:val="001F41BB"/>
    <w:rsid w:val="001F4382"/>
    <w:rsid w:val="001F52C4"/>
    <w:rsid w:val="001F52D2"/>
    <w:rsid w:val="001F54A2"/>
    <w:rsid w:val="001F57D7"/>
    <w:rsid w:val="001F621C"/>
    <w:rsid w:val="001F6413"/>
    <w:rsid w:val="001F6896"/>
    <w:rsid w:val="001F6D37"/>
    <w:rsid w:val="001F6E99"/>
    <w:rsid w:val="001F7162"/>
    <w:rsid w:val="001F771A"/>
    <w:rsid w:val="001F780C"/>
    <w:rsid w:val="001F7BE9"/>
    <w:rsid w:val="001F7C87"/>
    <w:rsid w:val="001F7F9E"/>
    <w:rsid w:val="00200256"/>
    <w:rsid w:val="0020078C"/>
    <w:rsid w:val="00200906"/>
    <w:rsid w:val="00201173"/>
    <w:rsid w:val="00201286"/>
    <w:rsid w:val="002017D2"/>
    <w:rsid w:val="00201842"/>
    <w:rsid w:val="00202299"/>
    <w:rsid w:val="00202912"/>
    <w:rsid w:val="0020292F"/>
    <w:rsid w:val="00202AC5"/>
    <w:rsid w:val="0020391C"/>
    <w:rsid w:val="00203B72"/>
    <w:rsid w:val="00203BF7"/>
    <w:rsid w:val="00203F89"/>
    <w:rsid w:val="002045D6"/>
    <w:rsid w:val="00204AF3"/>
    <w:rsid w:val="00204BA5"/>
    <w:rsid w:val="00204CB1"/>
    <w:rsid w:val="00204D42"/>
    <w:rsid w:val="00204F84"/>
    <w:rsid w:val="002052FE"/>
    <w:rsid w:val="0020559D"/>
    <w:rsid w:val="00205758"/>
    <w:rsid w:val="0020598C"/>
    <w:rsid w:val="00205BDF"/>
    <w:rsid w:val="00205EA5"/>
    <w:rsid w:val="00205EB0"/>
    <w:rsid w:val="00205F9C"/>
    <w:rsid w:val="00206142"/>
    <w:rsid w:val="002061C0"/>
    <w:rsid w:val="00206279"/>
    <w:rsid w:val="00206318"/>
    <w:rsid w:val="002066E1"/>
    <w:rsid w:val="00206774"/>
    <w:rsid w:val="00206AB1"/>
    <w:rsid w:val="00206D9B"/>
    <w:rsid w:val="00206E27"/>
    <w:rsid w:val="002077FC"/>
    <w:rsid w:val="00207858"/>
    <w:rsid w:val="00207AC4"/>
    <w:rsid w:val="00207BEF"/>
    <w:rsid w:val="0021047E"/>
    <w:rsid w:val="00210591"/>
    <w:rsid w:val="00210623"/>
    <w:rsid w:val="00210767"/>
    <w:rsid w:val="0021082C"/>
    <w:rsid w:val="00210A9C"/>
    <w:rsid w:val="00210B19"/>
    <w:rsid w:val="0021108C"/>
    <w:rsid w:val="00211119"/>
    <w:rsid w:val="002111B5"/>
    <w:rsid w:val="002112E4"/>
    <w:rsid w:val="00211347"/>
    <w:rsid w:val="00211448"/>
    <w:rsid w:val="0021209E"/>
    <w:rsid w:val="00213125"/>
    <w:rsid w:val="002131CA"/>
    <w:rsid w:val="002133B5"/>
    <w:rsid w:val="00213583"/>
    <w:rsid w:val="00213746"/>
    <w:rsid w:val="002139E7"/>
    <w:rsid w:val="00213BD3"/>
    <w:rsid w:val="00213D08"/>
    <w:rsid w:val="00214053"/>
    <w:rsid w:val="0021412A"/>
    <w:rsid w:val="0021448E"/>
    <w:rsid w:val="002144B1"/>
    <w:rsid w:val="00214803"/>
    <w:rsid w:val="0021508C"/>
    <w:rsid w:val="0021539A"/>
    <w:rsid w:val="002153F4"/>
    <w:rsid w:val="002154F7"/>
    <w:rsid w:val="00215CF2"/>
    <w:rsid w:val="00216067"/>
    <w:rsid w:val="0021650F"/>
    <w:rsid w:val="0021685F"/>
    <w:rsid w:val="002169A7"/>
    <w:rsid w:val="00216C66"/>
    <w:rsid w:val="0021701C"/>
    <w:rsid w:val="00217272"/>
    <w:rsid w:val="002172B1"/>
    <w:rsid w:val="00217563"/>
    <w:rsid w:val="002176D3"/>
    <w:rsid w:val="002178A9"/>
    <w:rsid w:val="002178E4"/>
    <w:rsid w:val="00217DE8"/>
    <w:rsid w:val="002203FA"/>
    <w:rsid w:val="00220543"/>
    <w:rsid w:val="0022089B"/>
    <w:rsid w:val="00220C49"/>
    <w:rsid w:val="00220D24"/>
    <w:rsid w:val="00220DBD"/>
    <w:rsid w:val="00220DF7"/>
    <w:rsid w:val="002211CE"/>
    <w:rsid w:val="0022127C"/>
    <w:rsid w:val="002213A4"/>
    <w:rsid w:val="002215CA"/>
    <w:rsid w:val="002218F3"/>
    <w:rsid w:val="00221A1B"/>
    <w:rsid w:val="002222C8"/>
    <w:rsid w:val="0022240D"/>
    <w:rsid w:val="00222B31"/>
    <w:rsid w:val="00222F65"/>
    <w:rsid w:val="00222F68"/>
    <w:rsid w:val="0022302E"/>
    <w:rsid w:val="002230AD"/>
    <w:rsid w:val="0022312B"/>
    <w:rsid w:val="00223350"/>
    <w:rsid w:val="00223359"/>
    <w:rsid w:val="0022348B"/>
    <w:rsid w:val="0022353D"/>
    <w:rsid w:val="002235DD"/>
    <w:rsid w:val="002238BC"/>
    <w:rsid w:val="00223DD3"/>
    <w:rsid w:val="00224121"/>
    <w:rsid w:val="002244B8"/>
    <w:rsid w:val="00224524"/>
    <w:rsid w:val="002246F2"/>
    <w:rsid w:val="002247BB"/>
    <w:rsid w:val="00224821"/>
    <w:rsid w:val="00224D0B"/>
    <w:rsid w:val="00224E47"/>
    <w:rsid w:val="00225484"/>
    <w:rsid w:val="00225927"/>
    <w:rsid w:val="00225A08"/>
    <w:rsid w:val="0022635A"/>
    <w:rsid w:val="00226589"/>
    <w:rsid w:val="00226861"/>
    <w:rsid w:val="00226C23"/>
    <w:rsid w:val="00226D4B"/>
    <w:rsid w:val="00226E0C"/>
    <w:rsid w:val="00227E1A"/>
    <w:rsid w:val="002301D0"/>
    <w:rsid w:val="00230728"/>
    <w:rsid w:val="00230B6C"/>
    <w:rsid w:val="00230C4A"/>
    <w:rsid w:val="00230D9E"/>
    <w:rsid w:val="002311BB"/>
    <w:rsid w:val="002312ED"/>
    <w:rsid w:val="00231920"/>
    <w:rsid w:val="00231CD2"/>
    <w:rsid w:val="00231CE9"/>
    <w:rsid w:val="00231E78"/>
    <w:rsid w:val="00231F7F"/>
    <w:rsid w:val="00232694"/>
    <w:rsid w:val="002326E7"/>
    <w:rsid w:val="00232A63"/>
    <w:rsid w:val="00232B63"/>
    <w:rsid w:val="00232C50"/>
    <w:rsid w:val="00232C95"/>
    <w:rsid w:val="00232EFE"/>
    <w:rsid w:val="00232F18"/>
    <w:rsid w:val="00232FB4"/>
    <w:rsid w:val="00233287"/>
    <w:rsid w:val="0023370E"/>
    <w:rsid w:val="00233787"/>
    <w:rsid w:val="0023395A"/>
    <w:rsid w:val="00233A89"/>
    <w:rsid w:val="00233AC6"/>
    <w:rsid w:val="00233BA9"/>
    <w:rsid w:val="00233CC7"/>
    <w:rsid w:val="00233D80"/>
    <w:rsid w:val="00233F59"/>
    <w:rsid w:val="002344B3"/>
    <w:rsid w:val="00234794"/>
    <w:rsid w:val="00235068"/>
    <w:rsid w:val="00235347"/>
    <w:rsid w:val="002353F1"/>
    <w:rsid w:val="00235408"/>
    <w:rsid w:val="00235571"/>
    <w:rsid w:val="002355B7"/>
    <w:rsid w:val="00235696"/>
    <w:rsid w:val="00235743"/>
    <w:rsid w:val="0023584C"/>
    <w:rsid w:val="00235B23"/>
    <w:rsid w:val="00235BB4"/>
    <w:rsid w:val="0023632B"/>
    <w:rsid w:val="00236386"/>
    <w:rsid w:val="002365C7"/>
    <w:rsid w:val="00236654"/>
    <w:rsid w:val="002366E7"/>
    <w:rsid w:val="002368FD"/>
    <w:rsid w:val="00236C10"/>
    <w:rsid w:val="00236CCC"/>
    <w:rsid w:val="00236F1A"/>
    <w:rsid w:val="00236F1B"/>
    <w:rsid w:val="00236F8F"/>
    <w:rsid w:val="00237543"/>
    <w:rsid w:val="0023758C"/>
    <w:rsid w:val="00237911"/>
    <w:rsid w:val="00237A71"/>
    <w:rsid w:val="00240048"/>
    <w:rsid w:val="00240086"/>
    <w:rsid w:val="002406E1"/>
    <w:rsid w:val="00240736"/>
    <w:rsid w:val="00240BAE"/>
    <w:rsid w:val="00240E19"/>
    <w:rsid w:val="00240EDF"/>
    <w:rsid w:val="00241047"/>
    <w:rsid w:val="00241554"/>
    <w:rsid w:val="002415F7"/>
    <w:rsid w:val="00241B28"/>
    <w:rsid w:val="00242015"/>
    <w:rsid w:val="002420E7"/>
    <w:rsid w:val="0024232D"/>
    <w:rsid w:val="002424BC"/>
    <w:rsid w:val="002424DD"/>
    <w:rsid w:val="0024252C"/>
    <w:rsid w:val="0024288C"/>
    <w:rsid w:val="00242C6F"/>
    <w:rsid w:val="00242E3B"/>
    <w:rsid w:val="002431EF"/>
    <w:rsid w:val="0024331E"/>
    <w:rsid w:val="0024395A"/>
    <w:rsid w:val="00243A61"/>
    <w:rsid w:val="00243B6E"/>
    <w:rsid w:val="0024445F"/>
    <w:rsid w:val="002446A3"/>
    <w:rsid w:val="002448D1"/>
    <w:rsid w:val="00244C71"/>
    <w:rsid w:val="00244CE9"/>
    <w:rsid w:val="00244FE9"/>
    <w:rsid w:val="00245017"/>
    <w:rsid w:val="002450D8"/>
    <w:rsid w:val="002451D7"/>
    <w:rsid w:val="00245300"/>
    <w:rsid w:val="00245402"/>
    <w:rsid w:val="0024552C"/>
    <w:rsid w:val="0024555F"/>
    <w:rsid w:val="00245685"/>
    <w:rsid w:val="0024574C"/>
    <w:rsid w:val="00245A94"/>
    <w:rsid w:val="00245B6C"/>
    <w:rsid w:val="00245B7C"/>
    <w:rsid w:val="00245FEC"/>
    <w:rsid w:val="002460E6"/>
    <w:rsid w:val="0024637E"/>
    <w:rsid w:val="00246D24"/>
    <w:rsid w:val="00247396"/>
    <w:rsid w:val="00247798"/>
    <w:rsid w:val="0024791A"/>
    <w:rsid w:val="00247FD9"/>
    <w:rsid w:val="002501B3"/>
    <w:rsid w:val="002501ED"/>
    <w:rsid w:val="0025024E"/>
    <w:rsid w:val="0025026E"/>
    <w:rsid w:val="0025045B"/>
    <w:rsid w:val="002506D2"/>
    <w:rsid w:val="002507A3"/>
    <w:rsid w:val="00250839"/>
    <w:rsid w:val="00250B38"/>
    <w:rsid w:val="00250BA3"/>
    <w:rsid w:val="00251382"/>
    <w:rsid w:val="00251546"/>
    <w:rsid w:val="0025157C"/>
    <w:rsid w:val="002517AC"/>
    <w:rsid w:val="00251A57"/>
    <w:rsid w:val="00251C23"/>
    <w:rsid w:val="00251CC3"/>
    <w:rsid w:val="00251FB0"/>
    <w:rsid w:val="00252297"/>
    <w:rsid w:val="002524AE"/>
    <w:rsid w:val="002526E5"/>
    <w:rsid w:val="00252820"/>
    <w:rsid w:val="00252958"/>
    <w:rsid w:val="00252B0D"/>
    <w:rsid w:val="00252C56"/>
    <w:rsid w:val="0025333B"/>
    <w:rsid w:val="002537DE"/>
    <w:rsid w:val="00253B65"/>
    <w:rsid w:val="00253B9B"/>
    <w:rsid w:val="00254027"/>
    <w:rsid w:val="002548EE"/>
    <w:rsid w:val="00254BA3"/>
    <w:rsid w:val="002554CD"/>
    <w:rsid w:val="002558CF"/>
    <w:rsid w:val="00255FC5"/>
    <w:rsid w:val="00256CBC"/>
    <w:rsid w:val="00256E08"/>
    <w:rsid w:val="00256E94"/>
    <w:rsid w:val="00257433"/>
    <w:rsid w:val="00257731"/>
    <w:rsid w:val="00257A7F"/>
    <w:rsid w:val="00260011"/>
    <w:rsid w:val="00260324"/>
    <w:rsid w:val="00260A1B"/>
    <w:rsid w:val="00260E65"/>
    <w:rsid w:val="0026115A"/>
    <w:rsid w:val="002611D4"/>
    <w:rsid w:val="00261314"/>
    <w:rsid w:val="0026152A"/>
    <w:rsid w:val="00261767"/>
    <w:rsid w:val="00261AEF"/>
    <w:rsid w:val="00261C1B"/>
    <w:rsid w:val="00261D7E"/>
    <w:rsid w:val="00262010"/>
    <w:rsid w:val="002622CA"/>
    <w:rsid w:val="00262408"/>
    <w:rsid w:val="00262583"/>
    <w:rsid w:val="00262890"/>
    <w:rsid w:val="0026296A"/>
    <w:rsid w:val="00262DAA"/>
    <w:rsid w:val="00262DBD"/>
    <w:rsid w:val="00262F6C"/>
    <w:rsid w:val="00262F77"/>
    <w:rsid w:val="0026301C"/>
    <w:rsid w:val="002631F9"/>
    <w:rsid w:val="002634AE"/>
    <w:rsid w:val="00263578"/>
    <w:rsid w:val="002636BD"/>
    <w:rsid w:val="00263D4F"/>
    <w:rsid w:val="002642DC"/>
    <w:rsid w:val="0026451B"/>
    <w:rsid w:val="0026477D"/>
    <w:rsid w:val="00264F73"/>
    <w:rsid w:val="0026504E"/>
    <w:rsid w:val="0026521F"/>
    <w:rsid w:val="00265472"/>
    <w:rsid w:val="002654ED"/>
    <w:rsid w:val="00265715"/>
    <w:rsid w:val="00265ACF"/>
    <w:rsid w:val="002660B0"/>
    <w:rsid w:val="002660D3"/>
    <w:rsid w:val="002662C2"/>
    <w:rsid w:val="00266C7B"/>
    <w:rsid w:val="00266EEF"/>
    <w:rsid w:val="002672C4"/>
    <w:rsid w:val="002674EF"/>
    <w:rsid w:val="002677BF"/>
    <w:rsid w:val="00267A44"/>
    <w:rsid w:val="00270321"/>
    <w:rsid w:val="00270BC5"/>
    <w:rsid w:val="00270C4B"/>
    <w:rsid w:val="00270CB6"/>
    <w:rsid w:val="00270EB8"/>
    <w:rsid w:val="00270FF2"/>
    <w:rsid w:val="00271081"/>
    <w:rsid w:val="00271360"/>
    <w:rsid w:val="0027147B"/>
    <w:rsid w:val="00271520"/>
    <w:rsid w:val="00271739"/>
    <w:rsid w:val="00271774"/>
    <w:rsid w:val="002718C4"/>
    <w:rsid w:val="00271A09"/>
    <w:rsid w:val="00271BE1"/>
    <w:rsid w:val="00271CEA"/>
    <w:rsid w:val="00271F55"/>
    <w:rsid w:val="00272409"/>
    <w:rsid w:val="00272885"/>
    <w:rsid w:val="00272948"/>
    <w:rsid w:val="00272D30"/>
    <w:rsid w:val="00273247"/>
    <w:rsid w:val="00273376"/>
    <w:rsid w:val="0027375A"/>
    <w:rsid w:val="00273A92"/>
    <w:rsid w:val="00273C05"/>
    <w:rsid w:val="00273C15"/>
    <w:rsid w:val="002744D2"/>
    <w:rsid w:val="00274E27"/>
    <w:rsid w:val="0027538D"/>
    <w:rsid w:val="00275612"/>
    <w:rsid w:val="0027574A"/>
    <w:rsid w:val="002759DA"/>
    <w:rsid w:val="002760F5"/>
    <w:rsid w:val="00276102"/>
    <w:rsid w:val="0027681C"/>
    <w:rsid w:val="00276948"/>
    <w:rsid w:val="00276A18"/>
    <w:rsid w:val="00276A5B"/>
    <w:rsid w:val="00276B8E"/>
    <w:rsid w:val="00276C8A"/>
    <w:rsid w:val="0027716C"/>
    <w:rsid w:val="00277469"/>
    <w:rsid w:val="00277583"/>
    <w:rsid w:val="00277ECD"/>
    <w:rsid w:val="00278C88"/>
    <w:rsid w:val="002803BB"/>
    <w:rsid w:val="00280899"/>
    <w:rsid w:val="00280BC5"/>
    <w:rsid w:val="00280C7A"/>
    <w:rsid w:val="00280E8F"/>
    <w:rsid w:val="00280FAE"/>
    <w:rsid w:val="00280FBF"/>
    <w:rsid w:val="00281323"/>
    <w:rsid w:val="00281B07"/>
    <w:rsid w:val="00281B56"/>
    <w:rsid w:val="00281F1F"/>
    <w:rsid w:val="002823AA"/>
    <w:rsid w:val="002824BE"/>
    <w:rsid w:val="00283121"/>
    <w:rsid w:val="002831EC"/>
    <w:rsid w:val="002832B2"/>
    <w:rsid w:val="0028366E"/>
    <w:rsid w:val="00283878"/>
    <w:rsid w:val="002838D6"/>
    <w:rsid w:val="00284C5A"/>
    <w:rsid w:val="00284DE8"/>
    <w:rsid w:val="00284E3C"/>
    <w:rsid w:val="00284EF4"/>
    <w:rsid w:val="00284FE3"/>
    <w:rsid w:val="00285423"/>
    <w:rsid w:val="00285AC1"/>
    <w:rsid w:val="00285ADB"/>
    <w:rsid w:val="00285C50"/>
    <w:rsid w:val="00285C77"/>
    <w:rsid w:val="00285F65"/>
    <w:rsid w:val="00286050"/>
    <w:rsid w:val="0028615A"/>
    <w:rsid w:val="0028620A"/>
    <w:rsid w:val="00286692"/>
    <w:rsid w:val="00286798"/>
    <w:rsid w:val="002867E8"/>
    <w:rsid w:val="002868E4"/>
    <w:rsid w:val="00286988"/>
    <w:rsid w:val="00286A6E"/>
    <w:rsid w:val="00286DF2"/>
    <w:rsid w:val="00286E25"/>
    <w:rsid w:val="00286E5C"/>
    <w:rsid w:val="0028702D"/>
    <w:rsid w:val="00287453"/>
    <w:rsid w:val="00287643"/>
    <w:rsid w:val="002876EC"/>
    <w:rsid w:val="002879BC"/>
    <w:rsid w:val="0029006C"/>
    <w:rsid w:val="002903AD"/>
    <w:rsid w:val="002904CD"/>
    <w:rsid w:val="002906EB"/>
    <w:rsid w:val="002908CF"/>
    <w:rsid w:val="00290C92"/>
    <w:rsid w:val="0029180D"/>
    <w:rsid w:val="00291A38"/>
    <w:rsid w:val="00291DD5"/>
    <w:rsid w:val="00291DF7"/>
    <w:rsid w:val="002922A0"/>
    <w:rsid w:val="00292AAA"/>
    <w:rsid w:val="00292C1B"/>
    <w:rsid w:val="00292DBF"/>
    <w:rsid w:val="00293007"/>
    <w:rsid w:val="002930B1"/>
    <w:rsid w:val="00293406"/>
    <w:rsid w:val="00293948"/>
    <w:rsid w:val="00293BC8"/>
    <w:rsid w:val="00293C9B"/>
    <w:rsid w:val="00293DDF"/>
    <w:rsid w:val="002942CE"/>
    <w:rsid w:val="00294FFD"/>
    <w:rsid w:val="002951D3"/>
    <w:rsid w:val="002953C3"/>
    <w:rsid w:val="00295DB9"/>
    <w:rsid w:val="00295DC5"/>
    <w:rsid w:val="00295EE2"/>
    <w:rsid w:val="00296130"/>
    <w:rsid w:val="00296291"/>
    <w:rsid w:val="00296314"/>
    <w:rsid w:val="0029661B"/>
    <w:rsid w:val="002966A2"/>
    <w:rsid w:val="00296867"/>
    <w:rsid w:val="00297125"/>
    <w:rsid w:val="002971B9"/>
    <w:rsid w:val="0029734A"/>
    <w:rsid w:val="002974AE"/>
    <w:rsid w:val="002974E9"/>
    <w:rsid w:val="00297A40"/>
    <w:rsid w:val="002A000C"/>
    <w:rsid w:val="002A03BD"/>
    <w:rsid w:val="002A04AB"/>
    <w:rsid w:val="002A0552"/>
    <w:rsid w:val="002A066F"/>
    <w:rsid w:val="002A08F4"/>
    <w:rsid w:val="002A09A4"/>
    <w:rsid w:val="002A0A2B"/>
    <w:rsid w:val="002A0C24"/>
    <w:rsid w:val="002A0E9D"/>
    <w:rsid w:val="002A0F08"/>
    <w:rsid w:val="002A0F70"/>
    <w:rsid w:val="002A10D4"/>
    <w:rsid w:val="002A18EA"/>
    <w:rsid w:val="002A192B"/>
    <w:rsid w:val="002A1B44"/>
    <w:rsid w:val="002A1B73"/>
    <w:rsid w:val="002A2154"/>
    <w:rsid w:val="002A2192"/>
    <w:rsid w:val="002A242F"/>
    <w:rsid w:val="002A2CAD"/>
    <w:rsid w:val="002A2F2E"/>
    <w:rsid w:val="002A3166"/>
    <w:rsid w:val="002A449D"/>
    <w:rsid w:val="002A48D4"/>
    <w:rsid w:val="002A4920"/>
    <w:rsid w:val="002A4930"/>
    <w:rsid w:val="002A4DFC"/>
    <w:rsid w:val="002A5071"/>
    <w:rsid w:val="002A517F"/>
    <w:rsid w:val="002A51B2"/>
    <w:rsid w:val="002A5279"/>
    <w:rsid w:val="002A5535"/>
    <w:rsid w:val="002A5546"/>
    <w:rsid w:val="002A593E"/>
    <w:rsid w:val="002A6002"/>
    <w:rsid w:val="002A6057"/>
    <w:rsid w:val="002A6061"/>
    <w:rsid w:val="002A6332"/>
    <w:rsid w:val="002A647E"/>
    <w:rsid w:val="002A676F"/>
    <w:rsid w:val="002A6795"/>
    <w:rsid w:val="002A6869"/>
    <w:rsid w:val="002A6875"/>
    <w:rsid w:val="002A68C9"/>
    <w:rsid w:val="002A691F"/>
    <w:rsid w:val="002A69AF"/>
    <w:rsid w:val="002A69D4"/>
    <w:rsid w:val="002A6A69"/>
    <w:rsid w:val="002A6C8B"/>
    <w:rsid w:val="002A713B"/>
    <w:rsid w:val="002A76DF"/>
    <w:rsid w:val="002A79FD"/>
    <w:rsid w:val="002A7B2A"/>
    <w:rsid w:val="002A7F00"/>
    <w:rsid w:val="002ABD59"/>
    <w:rsid w:val="002B0039"/>
    <w:rsid w:val="002B0179"/>
    <w:rsid w:val="002B02BE"/>
    <w:rsid w:val="002B0CF5"/>
    <w:rsid w:val="002B103C"/>
    <w:rsid w:val="002B11C3"/>
    <w:rsid w:val="002B178A"/>
    <w:rsid w:val="002B1994"/>
    <w:rsid w:val="002B1ADA"/>
    <w:rsid w:val="002B1B28"/>
    <w:rsid w:val="002B1BBA"/>
    <w:rsid w:val="002B23CE"/>
    <w:rsid w:val="002B255F"/>
    <w:rsid w:val="002B2762"/>
    <w:rsid w:val="002B33FE"/>
    <w:rsid w:val="002B3554"/>
    <w:rsid w:val="002B3E84"/>
    <w:rsid w:val="002B4083"/>
    <w:rsid w:val="002B4467"/>
    <w:rsid w:val="002B4B8D"/>
    <w:rsid w:val="002B4C19"/>
    <w:rsid w:val="002B4C53"/>
    <w:rsid w:val="002B4FAD"/>
    <w:rsid w:val="002B50D2"/>
    <w:rsid w:val="002B6278"/>
    <w:rsid w:val="002B6472"/>
    <w:rsid w:val="002B69FC"/>
    <w:rsid w:val="002B6A4E"/>
    <w:rsid w:val="002B7032"/>
    <w:rsid w:val="002B72BA"/>
    <w:rsid w:val="002B76D7"/>
    <w:rsid w:val="002B7839"/>
    <w:rsid w:val="002B788A"/>
    <w:rsid w:val="002B7A63"/>
    <w:rsid w:val="002B7C22"/>
    <w:rsid w:val="002B7E2B"/>
    <w:rsid w:val="002B7F5B"/>
    <w:rsid w:val="002C0061"/>
    <w:rsid w:val="002C02FE"/>
    <w:rsid w:val="002C04ED"/>
    <w:rsid w:val="002C07BC"/>
    <w:rsid w:val="002C0941"/>
    <w:rsid w:val="002C0B12"/>
    <w:rsid w:val="002C0D06"/>
    <w:rsid w:val="002C11D0"/>
    <w:rsid w:val="002C1380"/>
    <w:rsid w:val="002C150C"/>
    <w:rsid w:val="002C165F"/>
    <w:rsid w:val="002C16C9"/>
    <w:rsid w:val="002C1895"/>
    <w:rsid w:val="002C1D22"/>
    <w:rsid w:val="002C25B7"/>
    <w:rsid w:val="002C2617"/>
    <w:rsid w:val="002C2A0B"/>
    <w:rsid w:val="002C2B11"/>
    <w:rsid w:val="002C2D04"/>
    <w:rsid w:val="002C348B"/>
    <w:rsid w:val="002C39B1"/>
    <w:rsid w:val="002C3F29"/>
    <w:rsid w:val="002C41D8"/>
    <w:rsid w:val="002C48EF"/>
    <w:rsid w:val="002C4968"/>
    <w:rsid w:val="002C498F"/>
    <w:rsid w:val="002C4A86"/>
    <w:rsid w:val="002C4AD7"/>
    <w:rsid w:val="002C4E50"/>
    <w:rsid w:val="002C53EE"/>
    <w:rsid w:val="002C543C"/>
    <w:rsid w:val="002C549A"/>
    <w:rsid w:val="002C56A3"/>
    <w:rsid w:val="002C57E9"/>
    <w:rsid w:val="002C5B28"/>
    <w:rsid w:val="002C623A"/>
    <w:rsid w:val="002C6300"/>
    <w:rsid w:val="002C6590"/>
    <w:rsid w:val="002C67B4"/>
    <w:rsid w:val="002C6861"/>
    <w:rsid w:val="002C6EFA"/>
    <w:rsid w:val="002C754C"/>
    <w:rsid w:val="002C7810"/>
    <w:rsid w:val="002C7913"/>
    <w:rsid w:val="002C7BA1"/>
    <w:rsid w:val="002C7D89"/>
    <w:rsid w:val="002D01CE"/>
    <w:rsid w:val="002D03E9"/>
    <w:rsid w:val="002D0649"/>
    <w:rsid w:val="002D068D"/>
    <w:rsid w:val="002D0C9E"/>
    <w:rsid w:val="002D12C2"/>
    <w:rsid w:val="002D13BE"/>
    <w:rsid w:val="002D1508"/>
    <w:rsid w:val="002D1635"/>
    <w:rsid w:val="002D16F9"/>
    <w:rsid w:val="002D1743"/>
    <w:rsid w:val="002D20C9"/>
    <w:rsid w:val="002D2382"/>
    <w:rsid w:val="002D23D5"/>
    <w:rsid w:val="002D2694"/>
    <w:rsid w:val="002D269B"/>
    <w:rsid w:val="002D26EF"/>
    <w:rsid w:val="002D2AAD"/>
    <w:rsid w:val="002D2B43"/>
    <w:rsid w:val="002D2B6C"/>
    <w:rsid w:val="002D2DF7"/>
    <w:rsid w:val="002D301F"/>
    <w:rsid w:val="002D3348"/>
    <w:rsid w:val="002D3570"/>
    <w:rsid w:val="002D363D"/>
    <w:rsid w:val="002D395C"/>
    <w:rsid w:val="002D3A82"/>
    <w:rsid w:val="002D3BD7"/>
    <w:rsid w:val="002D3E69"/>
    <w:rsid w:val="002D3EFB"/>
    <w:rsid w:val="002D4064"/>
    <w:rsid w:val="002D42B2"/>
    <w:rsid w:val="002D4378"/>
    <w:rsid w:val="002D47D9"/>
    <w:rsid w:val="002D4F2A"/>
    <w:rsid w:val="002D50AB"/>
    <w:rsid w:val="002D53A8"/>
    <w:rsid w:val="002D54A2"/>
    <w:rsid w:val="002D5AC1"/>
    <w:rsid w:val="002D6288"/>
    <w:rsid w:val="002D6363"/>
    <w:rsid w:val="002D64C3"/>
    <w:rsid w:val="002D64EE"/>
    <w:rsid w:val="002D655B"/>
    <w:rsid w:val="002D65E1"/>
    <w:rsid w:val="002D67CC"/>
    <w:rsid w:val="002D67F6"/>
    <w:rsid w:val="002D6B5E"/>
    <w:rsid w:val="002D6BF4"/>
    <w:rsid w:val="002D6D2A"/>
    <w:rsid w:val="002D7054"/>
    <w:rsid w:val="002D70C5"/>
    <w:rsid w:val="002D78F4"/>
    <w:rsid w:val="002D7ABB"/>
    <w:rsid w:val="002D7CD2"/>
    <w:rsid w:val="002E020E"/>
    <w:rsid w:val="002E032B"/>
    <w:rsid w:val="002E05DF"/>
    <w:rsid w:val="002E067A"/>
    <w:rsid w:val="002E07ED"/>
    <w:rsid w:val="002E0F99"/>
    <w:rsid w:val="002E13BA"/>
    <w:rsid w:val="002E13D7"/>
    <w:rsid w:val="002E16C7"/>
    <w:rsid w:val="002E1B38"/>
    <w:rsid w:val="002E1DD2"/>
    <w:rsid w:val="002E217B"/>
    <w:rsid w:val="002E2374"/>
    <w:rsid w:val="002E2F02"/>
    <w:rsid w:val="002E306B"/>
    <w:rsid w:val="002E3852"/>
    <w:rsid w:val="002E39D4"/>
    <w:rsid w:val="002E3A43"/>
    <w:rsid w:val="002E3BCC"/>
    <w:rsid w:val="002E3C37"/>
    <w:rsid w:val="002E40D1"/>
    <w:rsid w:val="002E413D"/>
    <w:rsid w:val="002E42EF"/>
    <w:rsid w:val="002E45C0"/>
    <w:rsid w:val="002E4771"/>
    <w:rsid w:val="002E48DD"/>
    <w:rsid w:val="002E4BDD"/>
    <w:rsid w:val="002E54DB"/>
    <w:rsid w:val="002E553D"/>
    <w:rsid w:val="002E57A0"/>
    <w:rsid w:val="002E582A"/>
    <w:rsid w:val="002E5921"/>
    <w:rsid w:val="002E6045"/>
    <w:rsid w:val="002E6104"/>
    <w:rsid w:val="002E62EC"/>
    <w:rsid w:val="002E6341"/>
    <w:rsid w:val="002E64F5"/>
    <w:rsid w:val="002E65D5"/>
    <w:rsid w:val="002E67F4"/>
    <w:rsid w:val="002E6AC2"/>
    <w:rsid w:val="002E6CD2"/>
    <w:rsid w:val="002E71A6"/>
    <w:rsid w:val="002E71B0"/>
    <w:rsid w:val="002E7259"/>
    <w:rsid w:val="002E72AB"/>
    <w:rsid w:val="002E7337"/>
    <w:rsid w:val="002E75EA"/>
    <w:rsid w:val="002E78C3"/>
    <w:rsid w:val="002E79C2"/>
    <w:rsid w:val="002E7D8D"/>
    <w:rsid w:val="002F016E"/>
    <w:rsid w:val="002F053E"/>
    <w:rsid w:val="002F0626"/>
    <w:rsid w:val="002F081A"/>
    <w:rsid w:val="002F1254"/>
    <w:rsid w:val="002F12B3"/>
    <w:rsid w:val="002F229A"/>
    <w:rsid w:val="002F24A6"/>
    <w:rsid w:val="002F26B4"/>
    <w:rsid w:val="002F2753"/>
    <w:rsid w:val="002F28DD"/>
    <w:rsid w:val="002F2A12"/>
    <w:rsid w:val="002F352D"/>
    <w:rsid w:val="002F382B"/>
    <w:rsid w:val="002F3847"/>
    <w:rsid w:val="002F3913"/>
    <w:rsid w:val="002F429B"/>
    <w:rsid w:val="002F42D8"/>
    <w:rsid w:val="002F4325"/>
    <w:rsid w:val="002F4330"/>
    <w:rsid w:val="002F44B3"/>
    <w:rsid w:val="002F4681"/>
    <w:rsid w:val="002F46E7"/>
    <w:rsid w:val="002F4AF5"/>
    <w:rsid w:val="002F4B6F"/>
    <w:rsid w:val="002F4E46"/>
    <w:rsid w:val="002F4ECC"/>
    <w:rsid w:val="002F4EFB"/>
    <w:rsid w:val="002F4F21"/>
    <w:rsid w:val="002F5350"/>
    <w:rsid w:val="002F541B"/>
    <w:rsid w:val="002F56C4"/>
    <w:rsid w:val="002F5D54"/>
    <w:rsid w:val="002F5F56"/>
    <w:rsid w:val="002F61DA"/>
    <w:rsid w:val="002F6748"/>
    <w:rsid w:val="002F686D"/>
    <w:rsid w:val="002F6EFD"/>
    <w:rsid w:val="002F71ED"/>
    <w:rsid w:val="002F72E1"/>
    <w:rsid w:val="002F730E"/>
    <w:rsid w:val="002F7320"/>
    <w:rsid w:val="002F74BF"/>
    <w:rsid w:val="002F74E5"/>
    <w:rsid w:val="002F75E8"/>
    <w:rsid w:val="002F7871"/>
    <w:rsid w:val="002F79C1"/>
    <w:rsid w:val="002F7D7B"/>
    <w:rsid w:val="0030053E"/>
    <w:rsid w:val="00300836"/>
    <w:rsid w:val="00300C9E"/>
    <w:rsid w:val="00300D20"/>
    <w:rsid w:val="00302063"/>
    <w:rsid w:val="00302365"/>
    <w:rsid w:val="0030238F"/>
    <w:rsid w:val="00303569"/>
    <w:rsid w:val="0030369C"/>
    <w:rsid w:val="0030404B"/>
    <w:rsid w:val="00304217"/>
    <w:rsid w:val="00304608"/>
    <w:rsid w:val="00304710"/>
    <w:rsid w:val="003047E2"/>
    <w:rsid w:val="00304864"/>
    <w:rsid w:val="00304FD9"/>
    <w:rsid w:val="003050B5"/>
    <w:rsid w:val="00305262"/>
    <w:rsid w:val="00305373"/>
    <w:rsid w:val="003055EC"/>
    <w:rsid w:val="003056BC"/>
    <w:rsid w:val="00305F1B"/>
    <w:rsid w:val="00306106"/>
    <w:rsid w:val="003064C0"/>
    <w:rsid w:val="0030689A"/>
    <w:rsid w:val="00306936"/>
    <w:rsid w:val="00306A2A"/>
    <w:rsid w:val="00307243"/>
    <w:rsid w:val="003072E6"/>
    <w:rsid w:val="00307478"/>
    <w:rsid w:val="00307485"/>
    <w:rsid w:val="0030767E"/>
    <w:rsid w:val="003076F8"/>
    <w:rsid w:val="0031006F"/>
    <w:rsid w:val="0031031F"/>
    <w:rsid w:val="00310538"/>
    <w:rsid w:val="0031065D"/>
    <w:rsid w:val="0031077B"/>
    <w:rsid w:val="003107F8"/>
    <w:rsid w:val="00310878"/>
    <w:rsid w:val="00310A6A"/>
    <w:rsid w:val="00310CB5"/>
    <w:rsid w:val="00310E23"/>
    <w:rsid w:val="00310FE5"/>
    <w:rsid w:val="00311073"/>
    <w:rsid w:val="00311189"/>
    <w:rsid w:val="0031128B"/>
    <w:rsid w:val="00311670"/>
    <w:rsid w:val="003119AE"/>
    <w:rsid w:val="00311A0E"/>
    <w:rsid w:val="00311AF9"/>
    <w:rsid w:val="00311B6F"/>
    <w:rsid w:val="00311C41"/>
    <w:rsid w:val="0031258B"/>
    <w:rsid w:val="00312AA6"/>
    <w:rsid w:val="00312BD6"/>
    <w:rsid w:val="00312D1C"/>
    <w:rsid w:val="00312F58"/>
    <w:rsid w:val="003138B9"/>
    <w:rsid w:val="0031398A"/>
    <w:rsid w:val="00313CA7"/>
    <w:rsid w:val="00314432"/>
    <w:rsid w:val="003147FC"/>
    <w:rsid w:val="00314BE4"/>
    <w:rsid w:val="0031558D"/>
    <w:rsid w:val="003156C5"/>
    <w:rsid w:val="003157D7"/>
    <w:rsid w:val="00315801"/>
    <w:rsid w:val="00315A4B"/>
    <w:rsid w:val="00315B57"/>
    <w:rsid w:val="00315B9F"/>
    <w:rsid w:val="00315C1A"/>
    <w:rsid w:val="00315C2F"/>
    <w:rsid w:val="00315C4B"/>
    <w:rsid w:val="00315D4E"/>
    <w:rsid w:val="00315EB5"/>
    <w:rsid w:val="003164AB"/>
    <w:rsid w:val="00316B34"/>
    <w:rsid w:val="00316F97"/>
    <w:rsid w:val="00317A0E"/>
    <w:rsid w:val="00317ABC"/>
    <w:rsid w:val="00317CBE"/>
    <w:rsid w:val="00320106"/>
    <w:rsid w:val="00320323"/>
    <w:rsid w:val="00320AA6"/>
    <w:rsid w:val="00320AED"/>
    <w:rsid w:val="00320BD7"/>
    <w:rsid w:val="00320D13"/>
    <w:rsid w:val="00320F7F"/>
    <w:rsid w:val="003210E4"/>
    <w:rsid w:val="003212A5"/>
    <w:rsid w:val="003214C1"/>
    <w:rsid w:val="003216D3"/>
    <w:rsid w:val="00321A3B"/>
    <w:rsid w:val="00321A96"/>
    <w:rsid w:val="00321D13"/>
    <w:rsid w:val="00321F8D"/>
    <w:rsid w:val="00322214"/>
    <w:rsid w:val="00322606"/>
    <w:rsid w:val="0032268B"/>
    <w:rsid w:val="00322824"/>
    <w:rsid w:val="00322998"/>
    <w:rsid w:val="0032326E"/>
    <w:rsid w:val="003235A8"/>
    <w:rsid w:val="00323A6A"/>
    <w:rsid w:val="003240C2"/>
    <w:rsid w:val="003242A2"/>
    <w:rsid w:val="00325109"/>
    <w:rsid w:val="0032524E"/>
    <w:rsid w:val="00325356"/>
    <w:rsid w:val="00325788"/>
    <w:rsid w:val="00325A71"/>
    <w:rsid w:val="00325A87"/>
    <w:rsid w:val="00326229"/>
    <w:rsid w:val="00326321"/>
    <w:rsid w:val="0032641C"/>
    <w:rsid w:val="0032666A"/>
    <w:rsid w:val="00326699"/>
    <w:rsid w:val="00326B53"/>
    <w:rsid w:val="00326B9C"/>
    <w:rsid w:val="00326CD7"/>
    <w:rsid w:val="00327081"/>
    <w:rsid w:val="00327229"/>
    <w:rsid w:val="00327C78"/>
    <w:rsid w:val="00327C9B"/>
    <w:rsid w:val="00327E0D"/>
    <w:rsid w:val="003301E8"/>
    <w:rsid w:val="003304D3"/>
    <w:rsid w:val="003306EF"/>
    <w:rsid w:val="003307E0"/>
    <w:rsid w:val="00330ED7"/>
    <w:rsid w:val="0033155D"/>
    <w:rsid w:val="00331730"/>
    <w:rsid w:val="00331C41"/>
    <w:rsid w:val="0033282B"/>
    <w:rsid w:val="00332BD9"/>
    <w:rsid w:val="00332F24"/>
    <w:rsid w:val="00332FD3"/>
    <w:rsid w:val="00333189"/>
    <w:rsid w:val="003333EE"/>
    <w:rsid w:val="003339F5"/>
    <w:rsid w:val="00333C75"/>
    <w:rsid w:val="00333DAF"/>
    <w:rsid w:val="00333E10"/>
    <w:rsid w:val="003341A2"/>
    <w:rsid w:val="003341EB"/>
    <w:rsid w:val="003342D2"/>
    <w:rsid w:val="003344BA"/>
    <w:rsid w:val="003349B9"/>
    <w:rsid w:val="00334D9F"/>
    <w:rsid w:val="00334E8D"/>
    <w:rsid w:val="00334EA0"/>
    <w:rsid w:val="003350F8"/>
    <w:rsid w:val="003356A4"/>
    <w:rsid w:val="00335861"/>
    <w:rsid w:val="00335A28"/>
    <w:rsid w:val="00335BF4"/>
    <w:rsid w:val="00335D26"/>
    <w:rsid w:val="00335FC6"/>
    <w:rsid w:val="00336539"/>
    <w:rsid w:val="00336AC9"/>
    <w:rsid w:val="00336C50"/>
    <w:rsid w:val="003370BF"/>
    <w:rsid w:val="003370ED"/>
    <w:rsid w:val="003371FF"/>
    <w:rsid w:val="003374DC"/>
    <w:rsid w:val="003378F5"/>
    <w:rsid w:val="003402D2"/>
    <w:rsid w:val="003402D7"/>
    <w:rsid w:val="00340621"/>
    <w:rsid w:val="00340866"/>
    <w:rsid w:val="0034101F"/>
    <w:rsid w:val="00341205"/>
    <w:rsid w:val="003412BC"/>
    <w:rsid w:val="003413B9"/>
    <w:rsid w:val="0034142F"/>
    <w:rsid w:val="00341523"/>
    <w:rsid w:val="00341EA1"/>
    <w:rsid w:val="0034215F"/>
    <w:rsid w:val="00342390"/>
    <w:rsid w:val="0034241E"/>
    <w:rsid w:val="003426AC"/>
    <w:rsid w:val="00342B37"/>
    <w:rsid w:val="00342B7A"/>
    <w:rsid w:val="00342DA1"/>
    <w:rsid w:val="003436D2"/>
    <w:rsid w:val="00343A14"/>
    <w:rsid w:val="00343E55"/>
    <w:rsid w:val="00344333"/>
    <w:rsid w:val="00344B37"/>
    <w:rsid w:val="00344BE0"/>
    <w:rsid w:val="00344FE2"/>
    <w:rsid w:val="003450B7"/>
    <w:rsid w:val="003459AF"/>
    <w:rsid w:val="003459CE"/>
    <w:rsid w:val="003464BD"/>
    <w:rsid w:val="0034664D"/>
    <w:rsid w:val="00346726"/>
    <w:rsid w:val="00346C59"/>
    <w:rsid w:val="00346D0B"/>
    <w:rsid w:val="003474F5"/>
    <w:rsid w:val="003475CA"/>
    <w:rsid w:val="00347BDD"/>
    <w:rsid w:val="00347D06"/>
    <w:rsid w:val="00347F0D"/>
    <w:rsid w:val="00347F68"/>
    <w:rsid w:val="0034EE08"/>
    <w:rsid w:val="0035028C"/>
    <w:rsid w:val="003506F8"/>
    <w:rsid w:val="00350848"/>
    <w:rsid w:val="00350AF1"/>
    <w:rsid w:val="00350F40"/>
    <w:rsid w:val="00351089"/>
    <w:rsid w:val="0035108D"/>
    <w:rsid w:val="00351239"/>
    <w:rsid w:val="00351577"/>
    <w:rsid w:val="0035175E"/>
    <w:rsid w:val="00351775"/>
    <w:rsid w:val="00351C00"/>
    <w:rsid w:val="00351DC0"/>
    <w:rsid w:val="0035224C"/>
    <w:rsid w:val="00352976"/>
    <w:rsid w:val="0035299D"/>
    <w:rsid w:val="00352B0B"/>
    <w:rsid w:val="00352C98"/>
    <w:rsid w:val="00352D76"/>
    <w:rsid w:val="0035328B"/>
    <w:rsid w:val="00353546"/>
    <w:rsid w:val="00353697"/>
    <w:rsid w:val="0035394B"/>
    <w:rsid w:val="00353ACF"/>
    <w:rsid w:val="003543B9"/>
    <w:rsid w:val="003546E3"/>
    <w:rsid w:val="003551A5"/>
    <w:rsid w:val="00355683"/>
    <w:rsid w:val="003558C1"/>
    <w:rsid w:val="00355E83"/>
    <w:rsid w:val="0035656E"/>
    <w:rsid w:val="003567F5"/>
    <w:rsid w:val="00356802"/>
    <w:rsid w:val="00357485"/>
    <w:rsid w:val="00357514"/>
    <w:rsid w:val="0035769F"/>
    <w:rsid w:val="003578D4"/>
    <w:rsid w:val="00357918"/>
    <w:rsid w:val="00357B88"/>
    <w:rsid w:val="00360064"/>
    <w:rsid w:val="00360280"/>
    <w:rsid w:val="00360292"/>
    <w:rsid w:val="00360E9A"/>
    <w:rsid w:val="003612BD"/>
    <w:rsid w:val="00361417"/>
    <w:rsid w:val="003617B9"/>
    <w:rsid w:val="003619AC"/>
    <w:rsid w:val="00362CED"/>
    <w:rsid w:val="00362D97"/>
    <w:rsid w:val="003631EB"/>
    <w:rsid w:val="00363291"/>
    <w:rsid w:val="00363647"/>
    <w:rsid w:val="003636B6"/>
    <w:rsid w:val="003638BE"/>
    <w:rsid w:val="003639EE"/>
    <w:rsid w:val="00363C0A"/>
    <w:rsid w:val="003640C6"/>
    <w:rsid w:val="0036411C"/>
    <w:rsid w:val="0036430E"/>
    <w:rsid w:val="0036448D"/>
    <w:rsid w:val="003645BF"/>
    <w:rsid w:val="003645EA"/>
    <w:rsid w:val="003646EC"/>
    <w:rsid w:val="00364785"/>
    <w:rsid w:val="00364BB2"/>
    <w:rsid w:val="00365440"/>
    <w:rsid w:val="003656E5"/>
    <w:rsid w:val="00365AB7"/>
    <w:rsid w:val="00365E58"/>
    <w:rsid w:val="00365F44"/>
    <w:rsid w:val="003663EE"/>
    <w:rsid w:val="003665D4"/>
    <w:rsid w:val="00366796"/>
    <w:rsid w:val="003667EF"/>
    <w:rsid w:val="00366905"/>
    <w:rsid w:val="0036691D"/>
    <w:rsid w:val="00366CE2"/>
    <w:rsid w:val="00367213"/>
    <w:rsid w:val="0036765A"/>
    <w:rsid w:val="00367C10"/>
    <w:rsid w:val="00367D77"/>
    <w:rsid w:val="00367FFC"/>
    <w:rsid w:val="0037008C"/>
    <w:rsid w:val="003701D4"/>
    <w:rsid w:val="0037022A"/>
    <w:rsid w:val="00370637"/>
    <w:rsid w:val="0037065C"/>
    <w:rsid w:val="00370A20"/>
    <w:rsid w:val="00370A3A"/>
    <w:rsid w:val="00370B3D"/>
    <w:rsid w:val="00370B71"/>
    <w:rsid w:val="00370E7B"/>
    <w:rsid w:val="00370EA3"/>
    <w:rsid w:val="0037103C"/>
    <w:rsid w:val="003711E4"/>
    <w:rsid w:val="00371224"/>
    <w:rsid w:val="00371454"/>
    <w:rsid w:val="003717B3"/>
    <w:rsid w:val="00371993"/>
    <w:rsid w:val="00371EB2"/>
    <w:rsid w:val="00371FCD"/>
    <w:rsid w:val="0037205F"/>
    <w:rsid w:val="00372409"/>
    <w:rsid w:val="00372536"/>
    <w:rsid w:val="00372858"/>
    <w:rsid w:val="003728EB"/>
    <w:rsid w:val="00372E62"/>
    <w:rsid w:val="00372EF5"/>
    <w:rsid w:val="00372F6D"/>
    <w:rsid w:val="00372F83"/>
    <w:rsid w:val="00373143"/>
    <w:rsid w:val="0037335C"/>
    <w:rsid w:val="003733AC"/>
    <w:rsid w:val="003736AF"/>
    <w:rsid w:val="00373871"/>
    <w:rsid w:val="00373ADF"/>
    <w:rsid w:val="00373CDC"/>
    <w:rsid w:val="00373D53"/>
    <w:rsid w:val="003744DD"/>
    <w:rsid w:val="003746BA"/>
    <w:rsid w:val="00374982"/>
    <w:rsid w:val="00375285"/>
    <w:rsid w:val="0037551C"/>
    <w:rsid w:val="00375984"/>
    <w:rsid w:val="003759C8"/>
    <w:rsid w:val="00375B41"/>
    <w:rsid w:val="00375DCD"/>
    <w:rsid w:val="003760D3"/>
    <w:rsid w:val="00376136"/>
    <w:rsid w:val="00376857"/>
    <w:rsid w:val="00376AA3"/>
    <w:rsid w:val="00376DD5"/>
    <w:rsid w:val="00376F5D"/>
    <w:rsid w:val="00377083"/>
    <w:rsid w:val="00377232"/>
    <w:rsid w:val="003774BF"/>
    <w:rsid w:val="0037758F"/>
    <w:rsid w:val="003776E4"/>
    <w:rsid w:val="00377990"/>
    <w:rsid w:val="00377B19"/>
    <w:rsid w:val="00377E53"/>
    <w:rsid w:val="00377FAD"/>
    <w:rsid w:val="0038006A"/>
    <w:rsid w:val="003801BC"/>
    <w:rsid w:val="00380568"/>
    <w:rsid w:val="00380AF3"/>
    <w:rsid w:val="00380B03"/>
    <w:rsid w:val="00380C98"/>
    <w:rsid w:val="00380DB3"/>
    <w:rsid w:val="00380F58"/>
    <w:rsid w:val="00380F7D"/>
    <w:rsid w:val="00381151"/>
    <w:rsid w:val="003818E9"/>
    <w:rsid w:val="00381B67"/>
    <w:rsid w:val="00381F67"/>
    <w:rsid w:val="00381F9D"/>
    <w:rsid w:val="0038204D"/>
    <w:rsid w:val="0038240A"/>
    <w:rsid w:val="00382458"/>
    <w:rsid w:val="0038276D"/>
    <w:rsid w:val="003827C4"/>
    <w:rsid w:val="0038290F"/>
    <w:rsid w:val="00382ADD"/>
    <w:rsid w:val="00382C43"/>
    <w:rsid w:val="003830EF"/>
    <w:rsid w:val="00383275"/>
    <w:rsid w:val="00383308"/>
    <w:rsid w:val="003834E4"/>
    <w:rsid w:val="00383516"/>
    <w:rsid w:val="003837AB"/>
    <w:rsid w:val="00383AC8"/>
    <w:rsid w:val="00383B5D"/>
    <w:rsid w:val="00383F32"/>
    <w:rsid w:val="00383FA4"/>
    <w:rsid w:val="00384365"/>
    <w:rsid w:val="00384A33"/>
    <w:rsid w:val="00384D2E"/>
    <w:rsid w:val="00384D80"/>
    <w:rsid w:val="003853CE"/>
    <w:rsid w:val="0038541D"/>
    <w:rsid w:val="00385474"/>
    <w:rsid w:val="00385DBC"/>
    <w:rsid w:val="00386598"/>
    <w:rsid w:val="003865EA"/>
    <w:rsid w:val="0038715E"/>
    <w:rsid w:val="00387389"/>
    <w:rsid w:val="0038755E"/>
    <w:rsid w:val="003879B6"/>
    <w:rsid w:val="00387C4A"/>
    <w:rsid w:val="00387F84"/>
    <w:rsid w:val="0038D465"/>
    <w:rsid w:val="0039069D"/>
    <w:rsid w:val="003908BF"/>
    <w:rsid w:val="00390D20"/>
    <w:rsid w:val="0039110C"/>
    <w:rsid w:val="003916A6"/>
    <w:rsid w:val="00391833"/>
    <w:rsid w:val="00391C76"/>
    <w:rsid w:val="0039235F"/>
    <w:rsid w:val="003928B4"/>
    <w:rsid w:val="00392DB8"/>
    <w:rsid w:val="00392DEA"/>
    <w:rsid w:val="00392F75"/>
    <w:rsid w:val="003937D4"/>
    <w:rsid w:val="00393AF8"/>
    <w:rsid w:val="00393B9E"/>
    <w:rsid w:val="00393CD8"/>
    <w:rsid w:val="003940D4"/>
    <w:rsid w:val="0039431B"/>
    <w:rsid w:val="0039444E"/>
    <w:rsid w:val="0039492F"/>
    <w:rsid w:val="00394A70"/>
    <w:rsid w:val="00394A7F"/>
    <w:rsid w:val="00394DD2"/>
    <w:rsid w:val="00395283"/>
    <w:rsid w:val="0039536C"/>
    <w:rsid w:val="003955FC"/>
    <w:rsid w:val="00395630"/>
    <w:rsid w:val="00395ACC"/>
    <w:rsid w:val="00395B08"/>
    <w:rsid w:val="00395CE4"/>
    <w:rsid w:val="00396257"/>
    <w:rsid w:val="003962DC"/>
    <w:rsid w:val="00396538"/>
    <w:rsid w:val="0039666A"/>
    <w:rsid w:val="003968EB"/>
    <w:rsid w:val="00396AD8"/>
    <w:rsid w:val="00396B79"/>
    <w:rsid w:val="00396BDD"/>
    <w:rsid w:val="00396C88"/>
    <w:rsid w:val="003971FA"/>
    <w:rsid w:val="003973EF"/>
    <w:rsid w:val="00397563"/>
    <w:rsid w:val="0039756E"/>
    <w:rsid w:val="0039763E"/>
    <w:rsid w:val="00397897"/>
    <w:rsid w:val="00397B40"/>
    <w:rsid w:val="00397EF6"/>
    <w:rsid w:val="00397F28"/>
    <w:rsid w:val="00397FFE"/>
    <w:rsid w:val="003A0119"/>
    <w:rsid w:val="003A0136"/>
    <w:rsid w:val="003A0807"/>
    <w:rsid w:val="003A10C2"/>
    <w:rsid w:val="003A110C"/>
    <w:rsid w:val="003A1273"/>
    <w:rsid w:val="003A146F"/>
    <w:rsid w:val="003A1586"/>
    <w:rsid w:val="003A168F"/>
    <w:rsid w:val="003A18D2"/>
    <w:rsid w:val="003A1B5D"/>
    <w:rsid w:val="003A1F95"/>
    <w:rsid w:val="003A2C4A"/>
    <w:rsid w:val="003A379E"/>
    <w:rsid w:val="003A380B"/>
    <w:rsid w:val="003A3EC2"/>
    <w:rsid w:val="003A3F03"/>
    <w:rsid w:val="003A41F5"/>
    <w:rsid w:val="003A4304"/>
    <w:rsid w:val="003A4918"/>
    <w:rsid w:val="003A4AEF"/>
    <w:rsid w:val="003A4D50"/>
    <w:rsid w:val="003A4E6B"/>
    <w:rsid w:val="003A4FF9"/>
    <w:rsid w:val="003A5060"/>
    <w:rsid w:val="003A5215"/>
    <w:rsid w:val="003A525D"/>
    <w:rsid w:val="003A52D1"/>
    <w:rsid w:val="003A55DE"/>
    <w:rsid w:val="003A57AD"/>
    <w:rsid w:val="003A59B9"/>
    <w:rsid w:val="003A5A07"/>
    <w:rsid w:val="003A5DC1"/>
    <w:rsid w:val="003A6082"/>
    <w:rsid w:val="003A60A6"/>
    <w:rsid w:val="003A61D5"/>
    <w:rsid w:val="003A6A80"/>
    <w:rsid w:val="003A6B5A"/>
    <w:rsid w:val="003A700C"/>
    <w:rsid w:val="003A7030"/>
    <w:rsid w:val="003A7A35"/>
    <w:rsid w:val="003A7A97"/>
    <w:rsid w:val="003A7EAC"/>
    <w:rsid w:val="003A7F43"/>
    <w:rsid w:val="003B00BB"/>
    <w:rsid w:val="003B01B2"/>
    <w:rsid w:val="003B0223"/>
    <w:rsid w:val="003B0287"/>
    <w:rsid w:val="003B04CF"/>
    <w:rsid w:val="003B07F1"/>
    <w:rsid w:val="003B0804"/>
    <w:rsid w:val="003B0B91"/>
    <w:rsid w:val="003B1124"/>
    <w:rsid w:val="003B11BD"/>
    <w:rsid w:val="003B185D"/>
    <w:rsid w:val="003B1ACB"/>
    <w:rsid w:val="003B1E6D"/>
    <w:rsid w:val="003B284A"/>
    <w:rsid w:val="003B29A5"/>
    <w:rsid w:val="003B29EA"/>
    <w:rsid w:val="003B2AA1"/>
    <w:rsid w:val="003B2BF9"/>
    <w:rsid w:val="003B2F30"/>
    <w:rsid w:val="003B313B"/>
    <w:rsid w:val="003B3550"/>
    <w:rsid w:val="003B35B5"/>
    <w:rsid w:val="003B37F6"/>
    <w:rsid w:val="003B3A78"/>
    <w:rsid w:val="003B3E52"/>
    <w:rsid w:val="003B3FEC"/>
    <w:rsid w:val="003B4034"/>
    <w:rsid w:val="003B4199"/>
    <w:rsid w:val="003B41D3"/>
    <w:rsid w:val="003B4248"/>
    <w:rsid w:val="003B47C0"/>
    <w:rsid w:val="003B4D2C"/>
    <w:rsid w:val="003B504B"/>
    <w:rsid w:val="003B562B"/>
    <w:rsid w:val="003B5742"/>
    <w:rsid w:val="003B653F"/>
    <w:rsid w:val="003B680D"/>
    <w:rsid w:val="003B68D6"/>
    <w:rsid w:val="003B6AE3"/>
    <w:rsid w:val="003B6C73"/>
    <w:rsid w:val="003B7029"/>
    <w:rsid w:val="003B7198"/>
    <w:rsid w:val="003B7486"/>
    <w:rsid w:val="003B74BE"/>
    <w:rsid w:val="003B753E"/>
    <w:rsid w:val="003B7A3C"/>
    <w:rsid w:val="003B7DAA"/>
    <w:rsid w:val="003B7E4B"/>
    <w:rsid w:val="003C0473"/>
    <w:rsid w:val="003C06EB"/>
    <w:rsid w:val="003C094A"/>
    <w:rsid w:val="003C0B9F"/>
    <w:rsid w:val="003C0D7E"/>
    <w:rsid w:val="003C0DA1"/>
    <w:rsid w:val="003C0EA8"/>
    <w:rsid w:val="003C10FA"/>
    <w:rsid w:val="003C111D"/>
    <w:rsid w:val="003C112A"/>
    <w:rsid w:val="003C1769"/>
    <w:rsid w:val="003C1778"/>
    <w:rsid w:val="003C19CD"/>
    <w:rsid w:val="003C1BF0"/>
    <w:rsid w:val="003C1CF7"/>
    <w:rsid w:val="003C1DCF"/>
    <w:rsid w:val="003C1F05"/>
    <w:rsid w:val="003C238B"/>
    <w:rsid w:val="003C23A1"/>
    <w:rsid w:val="003C27EF"/>
    <w:rsid w:val="003C28B7"/>
    <w:rsid w:val="003C2BF4"/>
    <w:rsid w:val="003C3395"/>
    <w:rsid w:val="003C35FE"/>
    <w:rsid w:val="003C3D03"/>
    <w:rsid w:val="003C3ED0"/>
    <w:rsid w:val="003C423E"/>
    <w:rsid w:val="003C500C"/>
    <w:rsid w:val="003C5F73"/>
    <w:rsid w:val="003C5FD1"/>
    <w:rsid w:val="003C604E"/>
    <w:rsid w:val="003C647E"/>
    <w:rsid w:val="003C6923"/>
    <w:rsid w:val="003C6F55"/>
    <w:rsid w:val="003C6FEF"/>
    <w:rsid w:val="003C7042"/>
    <w:rsid w:val="003C759A"/>
    <w:rsid w:val="003C7914"/>
    <w:rsid w:val="003C7AE8"/>
    <w:rsid w:val="003C7E9C"/>
    <w:rsid w:val="003D01D6"/>
    <w:rsid w:val="003D0370"/>
    <w:rsid w:val="003D0720"/>
    <w:rsid w:val="003D0871"/>
    <w:rsid w:val="003D09BF"/>
    <w:rsid w:val="003D0A52"/>
    <w:rsid w:val="003D0F6B"/>
    <w:rsid w:val="003D100C"/>
    <w:rsid w:val="003D10EB"/>
    <w:rsid w:val="003D110D"/>
    <w:rsid w:val="003D12F7"/>
    <w:rsid w:val="003D15E8"/>
    <w:rsid w:val="003D1F52"/>
    <w:rsid w:val="003D207F"/>
    <w:rsid w:val="003D239F"/>
    <w:rsid w:val="003D2703"/>
    <w:rsid w:val="003D2FA7"/>
    <w:rsid w:val="003D2FBB"/>
    <w:rsid w:val="003D37FE"/>
    <w:rsid w:val="003D3BB2"/>
    <w:rsid w:val="003D4219"/>
    <w:rsid w:val="003D429A"/>
    <w:rsid w:val="003D47D2"/>
    <w:rsid w:val="003D47D9"/>
    <w:rsid w:val="003D4AD9"/>
    <w:rsid w:val="003D4B2A"/>
    <w:rsid w:val="003D4F58"/>
    <w:rsid w:val="003D5182"/>
    <w:rsid w:val="003D5380"/>
    <w:rsid w:val="003D63C8"/>
    <w:rsid w:val="003D65F3"/>
    <w:rsid w:val="003D66A0"/>
    <w:rsid w:val="003D6AFF"/>
    <w:rsid w:val="003D6B2D"/>
    <w:rsid w:val="003D6BE3"/>
    <w:rsid w:val="003D6D3D"/>
    <w:rsid w:val="003D6F8A"/>
    <w:rsid w:val="003D7262"/>
    <w:rsid w:val="003D73D6"/>
    <w:rsid w:val="003D7592"/>
    <w:rsid w:val="003D7AC0"/>
    <w:rsid w:val="003D7C80"/>
    <w:rsid w:val="003E060B"/>
    <w:rsid w:val="003E066E"/>
    <w:rsid w:val="003E090A"/>
    <w:rsid w:val="003E09EB"/>
    <w:rsid w:val="003E0AE7"/>
    <w:rsid w:val="003E0BA8"/>
    <w:rsid w:val="003E0E53"/>
    <w:rsid w:val="003E10F6"/>
    <w:rsid w:val="003E1496"/>
    <w:rsid w:val="003E1BEB"/>
    <w:rsid w:val="003E1F28"/>
    <w:rsid w:val="003E21A2"/>
    <w:rsid w:val="003E2367"/>
    <w:rsid w:val="003E2528"/>
    <w:rsid w:val="003E2905"/>
    <w:rsid w:val="003E2E6D"/>
    <w:rsid w:val="003E2FB7"/>
    <w:rsid w:val="003E315C"/>
    <w:rsid w:val="003E37F1"/>
    <w:rsid w:val="003E39FD"/>
    <w:rsid w:val="003E3EBE"/>
    <w:rsid w:val="003E3FD7"/>
    <w:rsid w:val="003E4055"/>
    <w:rsid w:val="003E4252"/>
    <w:rsid w:val="003E480E"/>
    <w:rsid w:val="003E4981"/>
    <w:rsid w:val="003E4A3C"/>
    <w:rsid w:val="003E4B5F"/>
    <w:rsid w:val="003E51E2"/>
    <w:rsid w:val="003E51FA"/>
    <w:rsid w:val="003E57B9"/>
    <w:rsid w:val="003E57BA"/>
    <w:rsid w:val="003E5BFF"/>
    <w:rsid w:val="003E5F4B"/>
    <w:rsid w:val="003E5F8F"/>
    <w:rsid w:val="003E601E"/>
    <w:rsid w:val="003E660C"/>
    <w:rsid w:val="003E67ED"/>
    <w:rsid w:val="003E68CD"/>
    <w:rsid w:val="003E6A79"/>
    <w:rsid w:val="003E7203"/>
    <w:rsid w:val="003E7443"/>
    <w:rsid w:val="003E75E3"/>
    <w:rsid w:val="003F015B"/>
    <w:rsid w:val="003F023A"/>
    <w:rsid w:val="003F08E3"/>
    <w:rsid w:val="003F0968"/>
    <w:rsid w:val="003F0F8E"/>
    <w:rsid w:val="003F1202"/>
    <w:rsid w:val="003F13F3"/>
    <w:rsid w:val="003F17B3"/>
    <w:rsid w:val="003F1A2F"/>
    <w:rsid w:val="003F1BF0"/>
    <w:rsid w:val="003F241A"/>
    <w:rsid w:val="003F24CA"/>
    <w:rsid w:val="003F29D0"/>
    <w:rsid w:val="003F2A65"/>
    <w:rsid w:val="003F327C"/>
    <w:rsid w:val="003F32AE"/>
    <w:rsid w:val="003F3455"/>
    <w:rsid w:val="003F3610"/>
    <w:rsid w:val="003F380A"/>
    <w:rsid w:val="003F3B7F"/>
    <w:rsid w:val="003F3ECE"/>
    <w:rsid w:val="003F4024"/>
    <w:rsid w:val="003F40FE"/>
    <w:rsid w:val="003F413D"/>
    <w:rsid w:val="003F42FA"/>
    <w:rsid w:val="003F43C2"/>
    <w:rsid w:val="003F4506"/>
    <w:rsid w:val="003F46B7"/>
    <w:rsid w:val="003F48FF"/>
    <w:rsid w:val="003F497C"/>
    <w:rsid w:val="003F4A5F"/>
    <w:rsid w:val="003F4A6C"/>
    <w:rsid w:val="003F4C67"/>
    <w:rsid w:val="003F4E1A"/>
    <w:rsid w:val="003F4ED4"/>
    <w:rsid w:val="003F50F9"/>
    <w:rsid w:val="003F5285"/>
    <w:rsid w:val="003F53E8"/>
    <w:rsid w:val="003F5881"/>
    <w:rsid w:val="003F5BB7"/>
    <w:rsid w:val="003F6636"/>
    <w:rsid w:val="003F6759"/>
    <w:rsid w:val="003F676D"/>
    <w:rsid w:val="003F6EFC"/>
    <w:rsid w:val="003F7040"/>
    <w:rsid w:val="003F731F"/>
    <w:rsid w:val="003F763B"/>
    <w:rsid w:val="003F7817"/>
    <w:rsid w:val="003F78D3"/>
    <w:rsid w:val="003F7AFC"/>
    <w:rsid w:val="004001C8"/>
    <w:rsid w:val="00400253"/>
    <w:rsid w:val="00400270"/>
    <w:rsid w:val="0040042B"/>
    <w:rsid w:val="0040043A"/>
    <w:rsid w:val="00400466"/>
    <w:rsid w:val="00400CBC"/>
    <w:rsid w:val="004010E0"/>
    <w:rsid w:val="00401162"/>
    <w:rsid w:val="0040151E"/>
    <w:rsid w:val="0040155F"/>
    <w:rsid w:val="0040157F"/>
    <w:rsid w:val="004015C0"/>
    <w:rsid w:val="004016F1"/>
    <w:rsid w:val="004017EB"/>
    <w:rsid w:val="00402531"/>
    <w:rsid w:val="004028CA"/>
    <w:rsid w:val="004028E6"/>
    <w:rsid w:val="004031EB"/>
    <w:rsid w:val="0040347E"/>
    <w:rsid w:val="004036EA"/>
    <w:rsid w:val="004038D7"/>
    <w:rsid w:val="00403B80"/>
    <w:rsid w:val="00403DB5"/>
    <w:rsid w:val="00403FB3"/>
    <w:rsid w:val="00404009"/>
    <w:rsid w:val="00404106"/>
    <w:rsid w:val="00404136"/>
    <w:rsid w:val="00404433"/>
    <w:rsid w:val="004044BD"/>
    <w:rsid w:val="004046CF"/>
    <w:rsid w:val="0040474D"/>
    <w:rsid w:val="0040476E"/>
    <w:rsid w:val="00404DC6"/>
    <w:rsid w:val="00405061"/>
    <w:rsid w:val="004051AD"/>
    <w:rsid w:val="004067B3"/>
    <w:rsid w:val="00406AC9"/>
    <w:rsid w:val="00406C1E"/>
    <w:rsid w:val="00407717"/>
    <w:rsid w:val="0040778C"/>
    <w:rsid w:val="00407CD8"/>
    <w:rsid w:val="0041002F"/>
    <w:rsid w:val="00410716"/>
    <w:rsid w:val="0041073A"/>
    <w:rsid w:val="00410C7F"/>
    <w:rsid w:val="00410E34"/>
    <w:rsid w:val="00410EFE"/>
    <w:rsid w:val="00411A02"/>
    <w:rsid w:val="00411BFA"/>
    <w:rsid w:val="0041217B"/>
    <w:rsid w:val="00412401"/>
    <w:rsid w:val="004124FA"/>
    <w:rsid w:val="0041266B"/>
    <w:rsid w:val="00412673"/>
    <w:rsid w:val="00412E4A"/>
    <w:rsid w:val="00413297"/>
    <w:rsid w:val="0041329D"/>
    <w:rsid w:val="0041338E"/>
    <w:rsid w:val="00413510"/>
    <w:rsid w:val="00413670"/>
    <w:rsid w:val="00413934"/>
    <w:rsid w:val="0041397B"/>
    <w:rsid w:val="00414012"/>
    <w:rsid w:val="004143B9"/>
    <w:rsid w:val="00414C4F"/>
    <w:rsid w:val="004150C3"/>
    <w:rsid w:val="00415180"/>
    <w:rsid w:val="004155FA"/>
    <w:rsid w:val="004159D6"/>
    <w:rsid w:val="00415EB0"/>
    <w:rsid w:val="0041606D"/>
    <w:rsid w:val="00416A4B"/>
    <w:rsid w:val="00416FAE"/>
    <w:rsid w:val="004173B5"/>
    <w:rsid w:val="0041746D"/>
    <w:rsid w:val="00417AAE"/>
    <w:rsid w:val="0042004C"/>
    <w:rsid w:val="0042047C"/>
    <w:rsid w:val="00420DAB"/>
    <w:rsid w:val="00420ED5"/>
    <w:rsid w:val="00420FF5"/>
    <w:rsid w:val="0042126F"/>
    <w:rsid w:val="00421775"/>
    <w:rsid w:val="00421C79"/>
    <w:rsid w:val="00421C8A"/>
    <w:rsid w:val="00422081"/>
    <w:rsid w:val="00422178"/>
    <w:rsid w:val="00422596"/>
    <w:rsid w:val="00422AD2"/>
    <w:rsid w:val="00422B61"/>
    <w:rsid w:val="00422CA2"/>
    <w:rsid w:val="00422E94"/>
    <w:rsid w:val="00422FAE"/>
    <w:rsid w:val="00423253"/>
    <w:rsid w:val="00423349"/>
    <w:rsid w:val="0042395F"/>
    <w:rsid w:val="00423C04"/>
    <w:rsid w:val="00423DBA"/>
    <w:rsid w:val="004240F7"/>
    <w:rsid w:val="004242D6"/>
    <w:rsid w:val="0042436F"/>
    <w:rsid w:val="00424B55"/>
    <w:rsid w:val="00424E35"/>
    <w:rsid w:val="004250CE"/>
    <w:rsid w:val="0042530B"/>
    <w:rsid w:val="00425596"/>
    <w:rsid w:val="00425753"/>
    <w:rsid w:val="00425D3A"/>
    <w:rsid w:val="00425E71"/>
    <w:rsid w:val="00425EC7"/>
    <w:rsid w:val="0042705F"/>
    <w:rsid w:val="0042727C"/>
    <w:rsid w:val="00427479"/>
    <w:rsid w:val="0042748A"/>
    <w:rsid w:val="00427642"/>
    <w:rsid w:val="00427F38"/>
    <w:rsid w:val="0043013B"/>
    <w:rsid w:val="004309AD"/>
    <w:rsid w:val="00430F1F"/>
    <w:rsid w:val="00431594"/>
    <w:rsid w:val="0043174F"/>
    <w:rsid w:val="00432461"/>
    <w:rsid w:val="0043262E"/>
    <w:rsid w:val="00432738"/>
    <w:rsid w:val="00432954"/>
    <w:rsid w:val="00432CDB"/>
    <w:rsid w:val="00433138"/>
    <w:rsid w:val="00433439"/>
    <w:rsid w:val="00433497"/>
    <w:rsid w:val="00433653"/>
    <w:rsid w:val="004336E5"/>
    <w:rsid w:val="004338E6"/>
    <w:rsid w:val="00433A8B"/>
    <w:rsid w:val="00434050"/>
    <w:rsid w:val="004341E6"/>
    <w:rsid w:val="0043443E"/>
    <w:rsid w:val="0043449F"/>
    <w:rsid w:val="00434738"/>
    <w:rsid w:val="00434F98"/>
    <w:rsid w:val="0043505B"/>
    <w:rsid w:val="00435936"/>
    <w:rsid w:val="00435A11"/>
    <w:rsid w:val="00435EA9"/>
    <w:rsid w:val="00435FE1"/>
    <w:rsid w:val="0043685E"/>
    <w:rsid w:val="00436BD6"/>
    <w:rsid w:val="00436F28"/>
    <w:rsid w:val="00437977"/>
    <w:rsid w:val="00440045"/>
    <w:rsid w:val="00440C47"/>
    <w:rsid w:val="00441265"/>
    <w:rsid w:val="00441492"/>
    <w:rsid w:val="0044175C"/>
    <w:rsid w:val="004418EA"/>
    <w:rsid w:val="00441A38"/>
    <w:rsid w:val="00441B60"/>
    <w:rsid w:val="00441B81"/>
    <w:rsid w:val="00441BBB"/>
    <w:rsid w:val="00442291"/>
    <w:rsid w:val="0044240B"/>
    <w:rsid w:val="00442563"/>
    <w:rsid w:val="00442668"/>
    <w:rsid w:val="0044286A"/>
    <w:rsid w:val="00442EF0"/>
    <w:rsid w:val="00442F11"/>
    <w:rsid w:val="0044310A"/>
    <w:rsid w:val="004433A0"/>
    <w:rsid w:val="00443A48"/>
    <w:rsid w:val="00443A7C"/>
    <w:rsid w:val="00443AB2"/>
    <w:rsid w:val="00443B1B"/>
    <w:rsid w:val="00443D4B"/>
    <w:rsid w:val="004441CE"/>
    <w:rsid w:val="00444619"/>
    <w:rsid w:val="00444701"/>
    <w:rsid w:val="004447D8"/>
    <w:rsid w:val="00444855"/>
    <w:rsid w:val="00444E6E"/>
    <w:rsid w:val="00445552"/>
    <w:rsid w:val="00445B57"/>
    <w:rsid w:val="00445D31"/>
    <w:rsid w:val="00445DCA"/>
    <w:rsid w:val="0044612A"/>
    <w:rsid w:val="004462DB"/>
    <w:rsid w:val="00446EEC"/>
    <w:rsid w:val="0044717D"/>
    <w:rsid w:val="004479B6"/>
    <w:rsid w:val="00450067"/>
    <w:rsid w:val="00450193"/>
    <w:rsid w:val="004504B6"/>
    <w:rsid w:val="00450601"/>
    <w:rsid w:val="00450790"/>
    <w:rsid w:val="004508CB"/>
    <w:rsid w:val="00450B81"/>
    <w:rsid w:val="00450FC5"/>
    <w:rsid w:val="00451519"/>
    <w:rsid w:val="004517CC"/>
    <w:rsid w:val="00451852"/>
    <w:rsid w:val="00451896"/>
    <w:rsid w:val="00451FFF"/>
    <w:rsid w:val="00452313"/>
    <w:rsid w:val="004523A8"/>
    <w:rsid w:val="0045272C"/>
    <w:rsid w:val="004528EA"/>
    <w:rsid w:val="004528F3"/>
    <w:rsid w:val="00452A3C"/>
    <w:rsid w:val="00452C02"/>
    <w:rsid w:val="00452D29"/>
    <w:rsid w:val="0045328E"/>
    <w:rsid w:val="004532C1"/>
    <w:rsid w:val="004533A3"/>
    <w:rsid w:val="00453617"/>
    <w:rsid w:val="00453B94"/>
    <w:rsid w:val="00453C8A"/>
    <w:rsid w:val="00453C8F"/>
    <w:rsid w:val="00454019"/>
    <w:rsid w:val="004541B9"/>
    <w:rsid w:val="004541BD"/>
    <w:rsid w:val="0045471D"/>
    <w:rsid w:val="0045515E"/>
    <w:rsid w:val="004552E1"/>
    <w:rsid w:val="00455A90"/>
    <w:rsid w:val="00455E93"/>
    <w:rsid w:val="00456212"/>
    <w:rsid w:val="00456643"/>
    <w:rsid w:val="00456F61"/>
    <w:rsid w:val="00457097"/>
    <w:rsid w:val="0045740B"/>
    <w:rsid w:val="004577BD"/>
    <w:rsid w:val="00457817"/>
    <w:rsid w:val="00457B23"/>
    <w:rsid w:val="00457C62"/>
    <w:rsid w:val="00457ECF"/>
    <w:rsid w:val="0046023D"/>
    <w:rsid w:val="004602E0"/>
    <w:rsid w:val="004604EB"/>
    <w:rsid w:val="00461134"/>
    <w:rsid w:val="0046183A"/>
    <w:rsid w:val="0046184C"/>
    <w:rsid w:val="0046210C"/>
    <w:rsid w:val="00462293"/>
    <w:rsid w:val="00462DE8"/>
    <w:rsid w:val="00462E2C"/>
    <w:rsid w:val="00463118"/>
    <w:rsid w:val="00463223"/>
    <w:rsid w:val="00463A75"/>
    <w:rsid w:val="00463B46"/>
    <w:rsid w:val="00463BE5"/>
    <w:rsid w:val="00463E69"/>
    <w:rsid w:val="004640AA"/>
    <w:rsid w:val="00464E7D"/>
    <w:rsid w:val="00465289"/>
    <w:rsid w:val="004653E5"/>
    <w:rsid w:val="0046541F"/>
    <w:rsid w:val="00466781"/>
    <w:rsid w:val="00466ACB"/>
    <w:rsid w:val="00466F7C"/>
    <w:rsid w:val="00467104"/>
    <w:rsid w:val="004671A7"/>
    <w:rsid w:val="004671B8"/>
    <w:rsid w:val="004677F8"/>
    <w:rsid w:val="00467D26"/>
    <w:rsid w:val="00470069"/>
    <w:rsid w:val="0047046F"/>
    <w:rsid w:val="00470A90"/>
    <w:rsid w:val="00470C9B"/>
    <w:rsid w:val="004711A1"/>
    <w:rsid w:val="00471ADE"/>
    <w:rsid w:val="00472021"/>
    <w:rsid w:val="004720C1"/>
    <w:rsid w:val="00472686"/>
    <w:rsid w:val="004728FD"/>
    <w:rsid w:val="00472AF9"/>
    <w:rsid w:val="0047341C"/>
    <w:rsid w:val="004737BC"/>
    <w:rsid w:val="004738D4"/>
    <w:rsid w:val="00473BFA"/>
    <w:rsid w:val="00473CFE"/>
    <w:rsid w:val="0047412A"/>
    <w:rsid w:val="00474305"/>
    <w:rsid w:val="004746F5"/>
    <w:rsid w:val="0047473B"/>
    <w:rsid w:val="00474781"/>
    <w:rsid w:val="00475AAD"/>
    <w:rsid w:val="00475B26"/>
    <w:rsid w:val="00475D42"/>
    <w:rsid w:val="00475E68"/>
    <w:rsid w:val="0047635F"/>
    <w:rsid w:val="00476441"/>
    <w:rsid w:val="004764C9"/>
    <w:rsid w:val="004765E5"/>
    <w:rsid w:val="00476D76"/>
    <w:rsid w:val="00476E28"/>
    <w:rsid w:val="004772BF"/>
    <w:rsid w:val="004773A4"/>
    <w:rsid w:val="00477618"/>
    <w:rsid w:val="004777A4"/>
    <w:rsid w:val="00477821"/>
    <w:rsid w:val="00477D77"/>
    <w:rsid w:val="00477FE2"/>
    <w:rsid w:val="0047AD46"/>
    <w:rsid w:val="0048011C"/>
    <w:rsid w:val="00480217"/>
    <w:rsid w:val="004803C2"/>
    <w:rsid w:val="004806FA"/>
    <w:rsid w:val="004809F6"/>
    <w:rsid w:val="00480ABE"/>
    <w:rsid w:val="00480C46"/>
    <w:rsid w:val="00480E7C"/>
    <w:rsid w:val="00480ED5"/>
    <w:rsid w:val="00481141"/>
    <w:rsid w:val="0048158E"/>
    <w:rsid w:val="004817E4"/>
    <w:rsid w:val="00481CA0"/>
    <w:rsid w:val="00482088"/>
    <w:rsid w:val="00482350"/>
    <w:rsid w:val="0048245F"/>
    <w:rsid w:val="0048259C"/>
    <w:rsid w:val="00482A8C"/>
    <w:rsid w:val="00482BA8"/>
    <w:rsid w:val="00482FD4"/>
    <w:rsid w:val="0048309E"/>
    <w:rsid w:val="004833E8"/>
    <w:rsid w:val="00483ABB"/>
    <w:rsid w:val="00484160"/>
    <w:rsid w:val="00484728"/>
    <w:rsid w:val="00485033"/>
    <w:rsid w:val="004851D5"/>
    <w:rsid w:val="00485325"/>
    <w:rsid w:val="004853BA"/>
    <w:rsid w:val="00485C0D"/>
    <w:rsid w:val="00485DF3"/>
    <w:rsid w:val="0048605C"/>
    <w:rsid w:val="00486149"/>
    <w:rsid w:val="004864D3"/>
    <w:rsid w:val="0048697B"/>
    <w:rsid w:val="00486A6A"/>
    <w:rsid w:val="00487124"/>
    <w:rsid w:val="004875E4"/>
    <w:rsid w:val="00487F8E"/>
    <w:rsid w:val="00490190"/>
    <w:rsid w:val="00490270"/>
    <w:rsid w:val="00490F07"/>
    <w:rsid w:val="00490FA9"/>
    <w:rsid w:val="00491467"/>
    <w:rsid w:val="00491CEE"/>
    <w:rsid w:val="00492268"/>
    <w:rsid w:val="0049256A"/>
    <w:rsid w:val="00492971"/>
    <w:rsid w:val="00492C53"/>
    <w:rsid w:val="00492DDF"/>
    <w:rsid w:val="00492F42"/>
    <w:rsid w:val="00493087"/>
    <w:rsid w:val="00493109"/>
    <w:rsid w:val="00493111"/>
    <w:rsid w:val="004932B2"/>
    <w:rsid w:val="00493A33"/>
    <w:rsid w:val="00493A73"/>
    <w:rsid w:val="0049414C"/>
    <w:rsid w:val="004942E4"/>
    <w:rsid w:val="00494383"/>
    <w:rsid w:val="00494C65"/>
    <w:rsid w:val="00495BA5"/>
    <w:rsid w:val="00495EC8"/>
    <w:rsid w:val="00496497"/>
    <w:rsid w:val="004967EA"/>
    <w:rsid w:val="00496984"/>
    <w:rsid w:val="00496CD2"/>
    <w:rsid w:val="00496DB9"/>
    <w:rsid w:val="00497391"/>
    <w:rsid w:val="00497927"/>
    <w:rsid w:val="0049799F"/>
    <w:rsid w:val="00497BDE"/>
    <w:rsid w:val="00497D65"/>
    <w:rsid w:val="00497EDF"/>
    <w:rsid w:val="00497EFF"/>
    <w:rsid w:val="00497F15"/>
    <w:rsid w:val="004A025A"/>
    <w:rsid w:val="004A03A7"/>
    <w:rsid w:val="004A080F"/>
    <w:rsid w:val="004A1421"/>
    <w:rsid w:val="004A1537"/>
    <w:rsid w:val="004A1645"/>
    <w:rsid w:val="004A17C2"/>
    <w:rsid w:val="004A1FEF"/>
    <w:rsid w:val="004A2015"/>
    <w:rsid w:val="004A21A0"/>
    <w:rsid w:val="004A24C2"/>
    <w:rsid w:val="004A2688"/>
    <w:rsid w:val="004A2A06"/>
    <w:rsid w:val="004A2AF0"/>
    <w:rsid w:val="004A2F94"/>
    <w:rsid w:val="004A311F"/>
    <w:rsid w:val="004A36EF"/>
    <w:rsid w:val="004A3746"/>
    <w:rsid w:val="004A3E2D"/>
    <w:rsid w:val="004A40B2"/>
    <w:rsid w:val="004A414D"/>
    <w:rsid w:val="004A415B"/>
    <w:rsid w:val="004A45DA"/>
    <w:rsid w:val="004A463D"/>
    <w:rsid w:val="004A46CF"/>
    <w:rsid w:val="004A49E7"/>
    <w:rsid w:val="004A49EE"/>
    <w:rsid w:val="004A49F9"/>
    <w:rsid w:val="004A4D10"/>
    <w:rsid w:val="004A4F09"/>
    <w:rsid w:val="004A50D6"/>
    <w:rsid w:val="004A5576"/>
    <w:rsid w:val="004A5686"/>
    <w:rsid w:val="004A56D8"/>
    <w:rsid w:val="004A596F"/>
    <w:rsid w:val="004A5BB6"/>
    <w:rsid w:val="004A5C89"/>
    <w:rsid w:val="004A5CD9"/>
    <w:rsid w:val="004A6AC5"/>
    <w:rsid w:val="004A6C50"/>
    <w:rsid w:val="004A6D93"/>
    <w:rsid w:val="004A6E21"/>
    <w:rsid w:val="004A71BE"/>
    <w:rsid w:val="004A748F"/>
    <w:rsid w:val="004A7A6F"/>
    <w:rsid w:val="004A7B5A"/>
    <w:rsid w:val="004A7CA5"/>
    <w:rsid w:val="004B0303"/>
    <w:rsid w:val="004B06B5"/>
    <w:rsid w:val="004B06D2"/>
    <w:rsid w:val="004B0938"/>
    <w:rsid w:val="004B09EE"/>
    <w:rsid w:val="004B16B0"/>
    <w:rsid w:val="004B175B"/>
    <w:rsid w:val="004B19CA"/>
    <w:rsid w:val="004B1CE5"/>
    <w:rsid w:val="004B205B"/>
    <w:rsid w:val="004B25F8"/>
    <w:rsid w:val="004B26BB"/>
    <w:rsid w:val="004B2710"/>
    <w:rsid w:val="004B2C1D"/>
    <w:rsid w:val="004B3193"/>
    <w:rsid w:val="004B3293"/>
    <w:rsid w:val="004B339C"/>
    <w:rsid w:val="004B3515"/>
    <w:rsid w:val="004B35F1"/>
    <w:rsid w:val="004B3E3D"/>
    <w:rsid w:val="004B426A"/>
    <w:rsid w:val="004B4713"/>
    <w:rsid w:val="004B51B0"/>
    <w:rsid w:val="004B533A"/>
    <w:rsid w:val="004B5760"/>
    <w:rsid w:val="004B582E"/>
    <w:rsid w:val="004B58FF"/>
    <w:rsid w:val="004B5A1C"/>
    <w:rsid w:val="004B5B86"/>
    <w:rsid w:val="004B5EDE"/>
    <w:rsid w:val="004B5EEE"/>
    <w:rsid w:val="004B6143"/>
    <w:rsid w:val="004B632B"/>
    <w:rsid w:val="004B6755"/>
    <w:rsid w:val="004B6A14"/>
    <w:rsid w:val="004B73E1"/>
    <w:rsid w:val="004B75C9"/>
    <w:rsid w:val="004B77F9"/>
    <w:rsid w:val="004C02E7"/>
    <w:rsid w:val="004C03BC"/>
    <w:rsid w:val="004C0603"/>
    <w:rsid w:val="004C0992"/>
    <w:rsid w:val="004C0B60"/>
    <w:rsid w:val="004C0BE6"/>
    <w:rsid w:val="004C18D7"/>
    <w:rsid w:val="004C19B2"/>
    <w:rsid w:val="004C1B55"/>
    <w:rsid w:val="004C1C50"/>
    <w:rsid w:val="004C1CF2"/>
    <w:rsid w:val="004C24AC"/>
    <w:rsid w:val="004C2A8B"/>
    <w:rsid w:val="004C2BE4"/>
    <w:rsid w:val="004C2C55"/>
    <w:rsid w:val="004C3111"/>
    <w:rsid w:val="004C3163"/>
    <w:rsid w:val="004C331F"/>
    <w:rsid w:val="004C34D7"/>
    <w:rsid w:val="004C387A"/>
    <w:rsid w:val="004C3F5C"/>
    <w:rsid w:val="004C41DB"/>
    <w:rsid w:val="004C512A"/>
    <w:rsid w:val="004C5854"/>
    <w:rsid w:val="004C5A43"/>
    <w:rsid w:val="004C5BC4"/>
    <w:rsid w:val="004C6532"/>
    <w:rsid w:val="004C6B6F"/>
    <w:rsid w:val="004C7112"/>
    <w:rsid w:val="004C7268"/>
    <w:rsid w:val="004C7476"/>
    <w:rsid w:val="004C7A34"/>
    <w:rsid w:val="004C7FEF"/>
    <w:rsid w:val="004D0206"/>
    <w:rsid w:val="004D042A"/>
    <w:rsid w:val="004D0457"/>
    <w:rsid w:val="004D0568"/>
    <w:rsid w:val="004D05A7"/>
    <w:rsid w:val="004D05B0"/>
    <w:rsid w:val="004D0829"/>
    <w:rsid w:val="004D09BE"/>
    <w:rsid w:val="004D0A64"/>
    <w:rsid w:val="004D0D69"/>
    <w:rsid w:val="004D2106"/>
    <w:rsid w:val="004D21DB"/>
    <w:rsid w:val="004D23AA"/>
    <w:rsid w:val="004D25CE"/>
    <w:rsid w:val="004D2603"/>
    <w:rsid w:val="004D27A2"/>
    <w:rsid w:val="004D2D74"/>
    <w:rsid w:val="004D300B"/>
    <w:rsid w:val="004D302D"/>
    <w:rsid w:val="004D3142"/>
    <w:rsid w:val="004D31FF"/>
    <w:rsid w:val="004D333E"/>
    <w:rsid w:val="004D38D3"/>
    <w:rsid w:val="004D3A0D"/>
    <w:rsid w:val="004D40D0"/>
    <w:rsid w:val="004D4480"/>
    <w:rsid w:val="004D4490"/>
    <w:rsid w:val="004D4505"/>
    <w:rsid w:val="004D4520"/>
    <w:rsid w:val="004D46C4"/>
    <w:rsid w:val="004D48AA"/>
    <w:rsid w:val="004D496C"/>
    <w:rsid w:val="004D4A07"/>
    <w:rsid w:val="004D505B"/>
    <w:rsid w:val="004D5171"/>
    <w:rsid w:val="004D5816"/>
    <w:rsid w:val="004D5946"/>
    <w:rsid w:val="004D59B8"/>
    <w:rsid w:val="004D5AFE"/>
    <w:rsid w:val="004D5BFF"/>
    <w:rsid w:val="004D5D9F"/>
    <w:rsid w:val="004D6197"/>
    <w:rsid w:val="004D6C95"/>
    <w:rsid w:val="004D6EE9"/>
    <w:rsid w:val="004D783C"/>
    <w:rsid w:val="004D7AFE"/>
    <w:rsid w:val="004D7BDF"/>
    <w:rsid w:val="004D7FEA"/>
    <w:rsid w:val="004E001F"/>
    <w:rsid w:val="004E0308"/>
    <w:rsid w:val="004E05F4"/>
    <w:rsid w:val="004E0691"/>
    <w:rsid w:val="004E06DA"/>
    <w:rsid w:val="004E08B6"/>
    <w:rsid w:val="004E0965"/>
    <w:rsid w:val="004E0C4C"/>
    <w:rsid w:val="004E0D44"/>
    <w:rsid w:val="004E0D58"/>
    <w:rsid w:val="004E0FCA"/>
    <w:rsid w:val="004E0FFA"/>
    <w:rsid w:val="004E1172"/>
    <w:rsid w:val="004E19CC"/>
    <w:rsid w:val="004E1FBE"/>
    <w:rsid w:val="004E208F"/>
    <w:rsid w:val="004E26E2"/>
    <w:rsid w:val="004E29F6"/>
    <w:rsid w:val="004E29FD"/>
    <w:rsid w:val="004E2A5E"/>
    <w:rsid w:val="004E2EE9"/>
    <w:rsid w:val="004E34E4"/>
    <w:rsid w:val="004E39BA"/>
    <w:rsid w:val="004E3D0D"/>
    <w:rsid w:val="004E3EE6"/>
    <w:rsid w:val="004E4081"/>
    <w:rsid w:val="004E48D6"/>
    <w:rsid w:val="004E4AF5"/>
    <w:rsid w:val="004E5004"/>
    <w:rsid w:val="004E5295"/>
    <w:rsid w:val="004E5502"/>
    <w:rsid w:val="004E5596"/>
    <w:rsid w:val="004E5812"/>
    <w:rsid w:val="004E596A"/>
    <w:rsid w:val="004E5EF2"/>
    <w:rsid w:val="004E6274"/>
    <w:rsid w:val="004E6659"/>
    <w:rsid w:val="004E6A61"/>
    <w:rsid w:val="004E6D10"/>
    <w:rsid w:val="004E739C"/>
    <w:rsid w:val="004E7957"/>
    <w:rsid w:val="004E7AB6"/>
    <w:rsid w:val="004E7EA8"/>
    <w:rsid w:val="004F02FD"/>
    <w:rsid w:val="004F0615"/>
    <w:rsid w:val="004F07E8"/>
    <w:rsid w:val="004F0B39"/>
    <w:rsid w:val="004F0BF1"/>
    <w:rsid w:val="004F0DC1"/>
    <w:rsid w:val="004F0E25"/>
    <w:rsid w:val="004F0E99"/>
    <w:rsid w:val="004F14CA"/>
    <w:rsid w:val="004F1633"/>
    <w:rsid w:val="004F1655"/>
    <w:rsid w:val="004F17EF"/>
    <w:rsid w:val="004F1A55"/>
    <w:rsid w:val="004F1AB5"/>
    <w:rsid w:val="004F1BD5"/>
    <w:rsid w:val="004F2295"/>
    <w:rsid w:val="004F2517"/>
    <w:rsid w:val="004F3163"/>
    <w:rsid w:val="004F3215"/>
    <w:rsid w:val="004F321E"/>
    <w:rsid w:val="004F3292"/>
    <w:rsid w:val="004F3836"/>
    <w:rsid w:val="004F3A8D"/>
    <w:rsid w:val="004F40C7"/>
    <w:rsid w:val="004F41FE"/>
    <w:rsid w:val="004F463A"/>
    <w:rsid w:val="004F4B4B"/>
    <w:rsid w:val="004F4D0A"/>
    <w:rsid w:val="004F552C"/>
    <w:rsid w:val="004F5BE8"/>
    <w:rsid w:val="004F5CC2"/>
    <w:rsid w:val="004F5D08"/>
    <w:rsid w:val="004F5DD7"/>
    <w:rsid w:val="004F5DFB"/>
    <w:rsid w:val="004F72A8"/>
    <w:rsid w:val="004F760E"/>
    <w:rsid w:val="004F7DD3"/>
    <w:rsid w:val="00500102"/>
    <w:rsid w:val="005003D3"/>
    <w:rsid w:val="00500818"/>
    <w:rsid w:val="00500951"/>
    <w:rsid w:val="0050097E"/>
    <w:rsid w:val="00500AE1"/>
    <w:rsid w:val="00500F73"/>
    <w:rsid w:val="00501191"/>
    <w:rsid w:val="005011E9"/>
    <w:rsid w:val="00501296"/>
    <w:rsid w:val="005018AF"/>
    <w:rsid w:val="005018D4"/>
    <w:rsid w:val="00501B84"/>
    <w:rsid w:val="00502505"/>
    <w:rsid w:val="005025B1"/>
    <w:rsid w:val="005026EE"/>
    <w:rsid w:val="0050271C"/>
    <w:rsid w:val="005027C4"/>
    <w:rsid w:val="00502D89"/>
    <w:rsid w:val="00502E5F"/>
    <w:rsid w:val="005030BC"/>
    <w:rsid w:val="00503314"/>
    <w:rsid w:val="005034D4"/>
    <w:rsid w:val="005037B2"/>
    <w:rsid w:val="005039C6"/>
    <w:rsid w:val="00503B24"/>
    <w:rsid w:val="00503DDE"/>
    <w:rsid w:val="00503E70"/>
    <w:rsid w:val="005042A8"/>
    <w:rsid w:val="00504590"/>
    <w:rsid w:val="00504BF0"/>
    <w:rsid w:val="00504DCE"/>
    <w:rsid w:val="005056DD"/>
    <w:rsid w:val="00505A54"/>
    <w:rsid w:val="00505C98"/>
    <w:rsid w:val="005068B1"/>
    <w:rsid w:val="00506D5E"/>
    <w:rsid w:val="00507785"/>
    <w:rsid w:val="00507809"/>
    <w:rsid w:val="00507970"/>
    <w:rsid w:val="00507CA6"/>
    <w:rsid w:val="00510103"/>
    <w:rsid w:val="00510194"/>
    <w:rsid w:val="005105B0"/>
    <w:rsid w:val="005106C1"/>
    <w:rsid w:val="0051076C"/>
    <w:rsid w:val="00510AF6"/>
    <w:rsid w:val="00510B2D"/>
    <w:rsid w:val="00510C95"/>
    <w:rsid w:val="00510EFD"/>
    <w:rsid w:val="00511241"/>
    <w:rsid w:val="0051190C"/>
    <w:rsid w:val="005119CB"/>
    <w:rsid w:val="005119E2"/>
    <w:rsid w:val="00511E02"/>
    <w:rsid w:val="00511F6E"/>
    <w:rsid w:val="00512022"/>
    <w:rsid w:val="005120BA"/>
    <w:rsid w:val="00512288"/>
    <w:rsid w:val="005127D4"/>
    <w:rsid w:val="00513000"/>
    <w:rsid w:val="005130A0"/>
    <w:rsid w:val="005133C7"/>
    <w:rsid w:val="0051371E"/>
    <w:rsid w:val="00513898"/>
    <w:rsid w:val="0051393E"/>
    <w:rsid w:val="00513A39"/>
    <w:rsid w:val="00513E49"/>
    <w:rsid w:val="00513F9B"/>
    <w:rsid w:val="00514302"/>
    <w:rsid w:val="0051438D"/>
    <w:rsid w:val="0051445E"/>
    <w:rsid w:val="00514467"/>
    <w:rsid w:val="00514603"/>
    <w:rsid w:val="0051498C"/>
    <w:rsid w:val="00515296"/>
    <w:rsid w:val="005154AC"/>
    <w:rsid w:val="005155D9"/>
    <w:rsid w:val="005157C5"/>
    <w:rsid w:val="00515E4D"/>
    <w:rsid w:val="0051620F"/>
    <w:rsid w:val="005162DA"/>
    <w:rsid w:val="005167D4"/>
    <w:rsid w:val="0051696E"/>
    <w:rsid w:val="00516B50"/>
    <w:rsid w:val="00516C16"/>
    <w:rsid w:val="00517002"/>
    <w:rsid w:val="00517492"/>
    <w:rsid w:val="00517929"/>
    <w:rsid w:val="00517BD1"/>
    <w:rsid w:val="00517C31"/>
    <w:rsid w:val="00520020"/>
    <w:rsid w:val="005200BE"/>
    <w:rsid w:val="0052043F"/>
    <w:rsid w:val="0052047D"/>
    <w:rsid w:val="0052067A"/>
    <w:rsid w:val="005208BD"/>
    <w:rsid w:val="00520AA0"/>
    <w:rsid w:val="00520F6E"/>
    <w:rsid w:val="005211C9"/>
    <w:rsid w:val="0052127D"/>
    <w:rsid w:val="0052171F"/>
    <w:rsid w:val="005217C0"/>
    <w:rsid w:val="00521C68"/>
    <w:rsid w:val="00521E04"/>
    <w:rsid w:val="005222EC"/>
    <w:rsid w:val="0052243F"/>
    <w:rsid w:val="00522A1F"/>
    <w:rsid w:val="0052396C"/>
    <w:rsid w:val="00523B3D"/>
    <w:rsid w:val="00523BF5"/>
    <w:rsid w:val="00523CF5"/>
    <w:rsid w:val="00523DE0"/>
    <w:rsid w:val="00523F71"/>
    <w:rsid w:val="005241B3"/>
    <w:rsid w:val="00524D5A"/>
    <w:rsid w:val="00524EF1"/>
    <w:rsid w:val="00524F9F"/>
    <w:rsid w:val="00525054"/>
    <w:rsid w:val="00525199"/>
    <w:rsid w:val="00525814"/>
    <w:rsid w:val="00525D70"/>
    <w:rsid w:val="00525FB6"/>
    <w:rsid w:val="00526210"/>
    <w:rsid w:val="005262C2"/>
    <w:rsid w:val="0052691E"/>
    <w:rsid w:val="00526AF7"/>
    <w:rsid w:val="00526B65"/>
    <w:rsid w:val="00526C45"/>
    <w:rsid w:val="00526CDE"/>
    <w:rsid w:val="00527108"/>
    <w:rsid w:val="00527215"/>
    <w:rsid w:val="00527750"/>
    <w:rsid w:val="00527B20"/>
    <w:rsid w:val="00527C45"/>
    <w:rsid w:val="00527EA1"/>
    <w:rsid w:val="005300F2"/>
    <w:rsid w:val="00530123"/>
    <w:rsid w:val="005303C5"/>
    <w:rsid w:val="00530414"/>
    <w:rsid w:val="005306BF"/>
    <w:rsid w:val="00530708"/>
    <w:rsid w:val="0053070C"/>
    <w:rsid w:val="005311EC"/>
    <w:rsid w:val="0053124F"/>
    <w:rsid w:val="00531395"/>
    <w:rsid w:val="00531649"/>
    <w:rsid w:val="00531D48"/>
    <w:rsid w:val="00531DB2"/>
    <w:rsid w:val="00531E37"/>
    <w:rsid w:val="00532061"/>
    <w:rsid w:val="005326BD"/>
    <w:rsid w:val="005327C7"/>
    <w:rsid w:val="00532824"/>
    <w:rsid w:val="005329EE"/>
    <w:rsid w:val="00532A21"/>
    <w:rsid w:val="00533278"/>
    <w:rsid w:val="0053356B"/>
    <w:rsid w:val="005335C5"/>
    <w:rsid w:val="005339AF"/>
    <w:rsid w:val="00533D8C"/>
    <w:rsid w:val="0053479D"/>
    <w:rsid w:val="0053499B"/>
    <w:rsid w:val="00534AF0"/>
    <w:rsid w:val="00534B5E"/>
    <w:rsid w:val="00534BFF"/>
    <w:rsid w:val="00534E8F"/>
    <w:rsid w:val="00534EC8"/>
    <w:rsid w:val="00534F6A"/>
    <w:rsid w:val="00534F6F"/>
    <w:rsid w:val="00534FDF"/>
    <w:rsid w:val="00535687"/>
    <w:rsid w:val="0053578C"/>
    <w:rsid w:val="0053589A"/>
    <w:rsid w:val="00535B74"/>
    <w:rsid w:val="00535DBB"/>
    <w:rsid w:val="005360B7"/>
    <w:rsid w:val="005360FC"/>
    <w:rsid w:val="0053659D"/>
    <w:rsid w:val="00536624"/>
    <w:rsid w:val="005369CD"/>
    <w:rsid w:val="00536E26"/>
    <w:rsid w:val="005373FD"/>
    <w:rsid w:val="005376EA"/>
    <w:rsid w:val="00537B44"/>
    <w:rsid w:val="00537D1F"/>
    <w:rsid w:val="00537D5E"/>
    <w:rsid w:val="00537F46"/>
    <w:rsid w:val="00537FBF"/>
    <w:rsid w:val="0053EB77"/>
    <w:rsid w:val="00540089"/>
    <w:rsid w:val="00540410"/>
    <w:rsid w:val="00540522"/>
    <w:rsid w:val="005405FA"/>
    <w:rsid w:val="0054086F"/>
    <w:rsid w:val="0054087C"/>
    <w:rsid w:val="00540AD7"/>
    <w:rsid w:val="00540C55"/>
    <w:rsid w:val="0054103D"/>
    <w:rsid w:val="00541452"/>
    <w:rsid w:val="005418EF"/>
    <w:rsid w:val="0054195B"/>
    <w:rsid w:val="00541A6F"/>
    <w:rsid w:val="00541F34"/>
    <w:rsid w:val="005420F1"/>
    <w:rsid w:val="005422C3"/>
    <w:rsid w:val="005423D6"/>
    <w:rsid w:val="005426AC"/>
    <w:rsid w:val="00542A0A"/>
    <w:rsid w:val="00542C78"/>
    <w:rsid w:val="00542EBD"/>
    <w:rsid w:val="0054318A"/>
    <w:rsid w:val="005437DC"/>
    <w:rsid w:val="005439B1"/>
    <w:rsid w:val="00543CEF"/>
    <w:rsid w:val="005447D6"/>
    <w:rsid w:val="00544A8E"/>
    <w:rsid w:val="00544CE9"/>
    <w:rsid w:val="00544E42"/>
    <w:rsid w:val="00544F34"/>
    <w:rsid w:val="00545123"/>
    <w:rsid w:val="005451FF"/>
    <w:rsid w:val="005453CA"/>
    <w:rsid w:val="00545984"/>
    <w:rsid w:val="00545B5C"/>
    <w:rsid w:val="00545C11"/>
    <w:rsid w:val="00545C9F"/>
    <w:rsid w:val="00546398"/>
    <w:rsid w:val="005463BA"/>
    <w:rsid w:val="005469E5"/>
    <w:rsid w:val="00546AAB"/>
    <w:rsid w:val="00546B2C"/>
    <w:rsid w:val="00546F49"/>
    <w:rsid w:val="00546FF8"/>
    <w:rsid w:val="00547229"/>
    <w:rsid w:val="0054764B"/>
    <w:rsid w:val="00547750"/>
    <w:rsid w:val="005478CE"/>
    <w:rsid w:val="005479A6"/>
    <w:rsid w:val="00547C48"/>
    <w:rsid w:val="00547D32"/>
    <w:rsid w:val="005505D0"/>
    <w:rsid w:val="00550D82"/>
    <w:rsid w:val="00550F0B"/>
    <w:rsid w:val="005512A9"/>
    <w:rsid w:val="005514C5"/>
    <w:rsid w:val="005515B9"/>
    <w:rsid w:val="00551706"/>
    <w:rsid w:val="005518F7"/>
    <w:rsid w:val="005519BC"/>
    <w:rsid w:val="005519D8"/>
    <w:rsid w:val="00551A7D"/>
    <w:rsid w:val="00551C07"/>
    <w:rsid w:val="00551CC5"/>
    <w:rsid w:val="00551DD0"/>
    <w:rsid w:val="00551F6C"/>
    <w:rsid w:val="00552070"/>
    <w:rsid w:val="00552088"/>
    <w:rsid w:val="0055235A"/>
    <w:rsid w:val="005528E3"/>
    <w:rsid w:val="00552A3E"/>
    <w:rsid w:val="00552CA2"/>
    <w:rsid w:val="00552E98"/>
    <w:rsid w:val="0055308F"/>
    <w:rsid w:val="00553619"/>
    <w:rsid w:val="00553840"/>
    <w:rsid w:val="00553958"/>
    <w:rsid w:val="00553A8A"/>
    <w:rsid w:val="00553F60"/>
    <w:rsid w:val="00553F69"/>
    <w:rsid w:val="005541F2"/>
    <w:rsid w:val="00554761"/>
    <w:rsid w:val="00554963"/>
    <w:rsid w:val="00554D2A"/>
    <w:rsid w:val="00554E55"/>
    <w:rsid w:val="005552D2"/>
    <w:rsid w:val="00555352"/>
    <w:rsid w:val="005554F2"/>
    <w:rsid w:val="00555677"/>
    <w:rsid w:val="00555FAA"/>
    <w:rsid w:val="0055611A"/>
    <w:rsid w:val="0055613C"/>
    <w:rsid w:val="00556347"/>
    <w:rsid w:val="005563A5"/>
    <w:rsid w:val="00556DBB"/>
    <w:rsid w:val="005574DF"/>
    <w:rsid w:val="005579E1"/>
    <w:rsid w:val="00557FBB"/>
    <w:rsid w:val="00557FCA"/>
    <w:rsid w:val="00560099"/>
    <w:rsid w:val="00560339"/>
    <w:rsid w:val="005604DB"/>
    <w:rsid w:val="0056073B"/>
    <w:rsid w:val="00560791"/>
    <w:rsid w:val="00560800"/>
    <w:rsid w:val="00560CD4"/>
    <w:rsid w:val="00560E48"/>
    <w:rsid w:val="00560FD2"/>
    <w:rsid w:val="00561129"/>
    <w:rsid w:val="005613A3"/>
    <w:rsid w:val="005614DD"/>
    <w:rsid w:val="005616D2"/>
    <w:rsid w:val="00561CC0"/>
    <w:rsid w:val="00562547"/>
    <w:rsid w:val="00562B0C"/>
    <w:rsid w:val="00562B3C"/>
    <w:rsid w:val="00562D4E"/>
    <w:rsid w:val="00562E34"/>
    <w:rsid w:val="005636A1"/>
    <w:rsid w:val="00563EC3"/>
    <w:rsid w:val="00563F1F"/>
    <w:rsid w:val="005640F5"/>
    <w:rsid w:val="005641EA"/>
    <w:rsid w:val="0056446C"/>
    <w:rsid w:val="005644A9"/>
    <w:rsid w:val="00564ADF"/>
    <w:rsid w:val="00564DB9"/>
    <w:rsid w:val="00564EBB"/>
    <w:rsid w:val="00565065"/>
    <w:rsid w:val="00565926"/>
    <w:rsid w:val="00565B30"/>
    <w:rsid w:val="00565FA7"/>
    <w:rsid w:val="0056600C"/>
    <w:rsid w:val="005666AD"/>
    <w:rsid w:val="00566745"/>
    <w:rsid w:val="005667C6"/>
    <w:rsid w:val="00566A94"/>
    <w:rsid w:val="005671C0"/>
    <w:rsid w:val="005673C9"/>
    <w:rsid w:val="0056766F"/>
    <w:rsid w:val="00567885"/>
    <w:rsid w:val="00567982"/>
    <w:rsid w:val="00567D84"/>
    <w:rsid w:val="00567E30"/>
    <w:rsid w:val="00567F28"/>
    <w:rsid w:val="00567F48"/>
    <w:rsid w:val="0056C8A8"/>
    <w:rsid w:val="00570912"/>
    <w:rsid w:val="00570C0E"/>
    <w:rsid w:val="00570CFA"/>
    <w:rsid w:val="00570E4C"/>
    <w:rsid w:val="005712BA"/>
    <w:rsid w:val="00571692"/>
    <w:rsid w:val="00571740"/>
    <w:rsid w:val="005717F6"/>
    <w:rsid w:val="0057180C"/>
    <w:rsid w:val="00571952"/>
    <w:rsid w:val="0057198F"/>
    <w:rsid w:val="00571F63"/>
    <w:rsid w:val="0057200D"/>
    <w:rsid w:val="005723A7"/>
    <w:rsid w:val="005724A7"/>
    <w:rsid w:val="00572563"/>
    <w:rsid w:val="0057264E"/>
    <w:rsid w:val="00572736"/>
    <w:rsid w:val="00572777"/>
    <w:rsid w:val="00572EFC"/>
    <w:rsid w:val="00572F07"/>
    <w:rsid w:val="00572F53"/>
    <w:rsid w:val="0057304C"/>
    <w:rsid w:val="00573370"/>
    <w:rsid w:val="0057397F"/>
    <w:rsid w:val="00574278"/>
    <w:rsid w:val="0057462E"/>
    <w:rsid w:val="00574630"/>
    <w:rsid w:val="00574835"/>
    <w:rsid w:val="00575202"/>
    <w:rsid w:val="00575755"/>
    <w:rsid w:val="00575913"/>
    <w:rsid w:val="00575ABD"/>
    <w:rsid w:val="00575C7C"/>
    <w:rsid w:val="00575DCD"/>
    <w:rsid w:val="00575E6A"/>
    <w:rsid w:val="00575F1A"/>
    <w:rsid w:val="005763CC"/>
    <w:rsid w:val="005764C4"/>
    <w:rsid w:val="00576C5F"/>
    <w:rsid w:val="00576F2F"/>
    <w:rsid w:val="005770BD"/>
    <w:rsid w:val="00577791"/>
    <w:rsid w:val="00577894"/>
    <w:rsid w:val="00577A9F"/>
    <w:rsid w:val="00577B81"/>
    <w:rsid w:val="00577E7E"/>
    <w:rsid w:val="00577E93"/>
    <w:rsid w:val="00577FCD"/>
    <w:rsid w:val="00577FF6"/>
    <w:rsid w:val="005800F1"/>
    <w:rsid w:val="00580C99"/>
    <w:rsid w:val="00581558"/>
    <w:rsid w:val="00581B19"/>
    <w:rsid w:val="00581CCA"/>
    <w:rsid w:val="00581E3C"/>
    <w:rsid w:val="005821A4"/>
    <w:rsid w:val="00582262"/>
    <w:rsid w:val="005837FD"/>
    <w:rsid w:val="00583918"/>
    <w:rsid w:val="00583B1F"/>
    <w:rsid w:val="00583BFF"/>
    <w:rsid w:val="00583DB9"/>
    <w:rsid w:val="00584096"/>
    <w:rsid w:val="00584302"/>
    <w:rsid w:val="00584318"/>
    <w:rsid w:val="005846D5"/>
    <w:rsid w:val="00584DD1"/>
    <w:rsid w:val="0058533B"/>
    <w:rsid w:val="0058560F"/>
    <w:rsid w:val="0058581F"/>
    <w:rsid w:val="005858F0"/>
    <w:rsid w:val="00585AAC"/>
    <w:rsid w:val="00585C7E"/>
    <w:rsid w:val="00585D2D"/>
    <w:rsid w:val="00586102"/>
    <w:rsid w:val="005862F7"/>
    <w:rsid w:val="0058680D"/>
    <w:rsid w:val="005869C6"/>
    <w:rsid w:val="00586BB0"/>
    <w:rsid w:val="00586DD0"/>
    <w:rsid w:val="00586F0B"/>
    <w:rsid w:val="00587E8D"/>
    <w:rsid w:val="00587F06"/>
    <w:rsid w:val="00590002"/>
    <w:rsid w:val="005901A6"/>
    <w:rsid w:val="00590E9E"/>
    <w:rsid w:val="0059103F"/>
    <w:rsid w:val="0059107E"/>
    <w:rsid w:val="005916C8"/>
    <w:rsid w:val="0059194A"/>
    <w:rsid w:val="00591995"/>
    <w:rsid w:val="005919A4"/>
    <w:rsid w:val="00591D66"/>
    <w:rsid w:val="00591DF5"/>
    <w:rsid w:val="005920CF"/>
    <w:rsid w:val="0059216F"/>
    <w:rsid w:val="005925AC"/>
    <w:rsid w:val="00592B2A"/>
    <w:rsid w:val="00592CFA"/>
    <w:rsid w:val="00592F96"/>
    <w:rsid w:val="0059306E"/>
    <w:rsid w:val="00593372"/>
    <w:rsid w:val="00593727"/>
    <w:rsid w:val="005943BE"/>
    <w:rsid w:val="005947FD"/>
    <w:rsid w:val="00594CEE"/>
    <w:rsid w:val="0059539C"/>
    <w:rsid w:val="00595775"/>
    <w:rsid w:val="00595AB8"/>
    <w:rsid w:val="00595B76"/>
    <w:rsid w:val="00595D9D"/>
    <w:rsid w:val="00595E94"/>
    <w:rsid w:val="00596031"/>
    <w:rsid w:val="0059624D"/>
    <w:rsid w:val="00596417"/>
    <w:rsid w:val="00596467"/>
    <w:rsid w:val="005966D6"/>
    <w:rsid w:val="00596B2D"/>
    <w:rsid w:val="00596C09"/>
    <w:rsid w:val="00596DC8"/>
    <w:rsid w:val="005970DA"/>
    <w:rsid w:val="005973A2"/>
    <w:rsid w:val="00597473"/>
    <w:rsid w:val="00597474"/>
    <w:rsid w:val="005975F8"/>
    <w:rsid w:val="005A00CB"/>
    <w:rsid w:val="005A010D"/>
    <w:rsid w:val="005A017E"/>
    <w:rsid w:val="005A03C8"/>
    <w:rsid w:val="005A0559"/>
    <w:rsid w:val="005A06B8"/>
    <w:rsid w:val="005A0D05"/>
    <w:rsid w:val="005A1315"/>
    <w:rsid w:val="005A14DE"/>
    <w:rsid w:val="005A1535"/>
    <w:rsid w:val="005A193A"/>
    <w:rsid w:val="005A19E2"/>
    <w:rsid w:val="005A1A98"/>
    <w:rsid w:val="005A1D2F"/>
    <w:rsid w:val="005A1F6A"/>
    <w:rsid w:val="005A24EC"/>
    <w:rsid w:val="005A2852"/>
    <w:rsid w:val="005A2DD4"/>
    <w:rsid w:val="005A2E82"/>
    <w:rsid w:val="005A3342"/>
    <w:rsid w:val="005A374F"/>
    <w:rsid w:val="005A3B08"/>
    <w:rsid w:val="005A4043"/>
    <w:rsid w:val="005A458A"/>
    <w:rsid w:val="005A4813"/>
    <w:rsid w:val="005A4946"/>
    <w:rsid w:val="005A4B13"/>
    <w:rsid w:val="005A4CB4"/>
    <w:rsid w:val="005A5181"/>
    <w:rsid w:val="005A51A4"/>
    <w:rsid w:val="005A52D2"/>
    <w:rsid w:val="005A5886"/>
    <w:rsid w:val="005A5928"/>
    <w:rsid w:val="005A5A90"/>
    <w:rsid w:val="005A5D27"/>
    <w:rsid w:val="005A606A"/>
    <w:rsid w:val="005A6323"/>
    <w:rsid w:val="005A6342"/>
    <w:rsid w:val="005A663D"/>
    <w:rsid w:val="005A6C9F"/>
    <w:rsid w:val="005A7408"/>
    <w:rsid w:val="005A7546"/>
    <w:rsid w:val="005A75E3"/>
    <w:rsid w:val="005A7767"/>
    <w:rsid w:val="005A7949"/>
    <w:rsid w:val="005A7A0A"/>
    <w:rsid w:val="005A7C54"/>
    <w:rsid w:val="005AD1E2"/>
    <w:rsid w:val="005B0136"/>
    <w:rsid w:val="005B0339"/>
    <w:rsid w:val="005B0511"/>
    <w:rsid w:val="005B0990"/>
    <w:rsid w:val="005B0FF9"/>
    <w:rsid w:val="005B1031"/>
    <w:rsid w:val="005B13D3"/>
    <w:rsid w:val="005B1543"/>
    <w:rsid w:val="005B1E32"/>
    <w:rsid w:val="005B1EDD"/>
    <w:rsid w:val="005B1F91"/>
    <w:rsid w:val="005B2129"/>
    <w:rsid w:val="005B2A65"/>
    <w:rsid w:val="005B2D7E"/>
    <w:rsid w:val="005B2EF1"/>
    <w:rsid w:val="005B3284"/>
    <w:rsid w:val="005B347F"/>
    <w:rsid w:val="005B36B8"/>
    <w:rsid w:val="005B389A"/>
    <w:rsid w:val="005B4361"/>
    <w:rsid w:val="005B442D"/>
    <w:rsid w:val="005B44C7"/>
    <w:rsid w:val="005B457E"/>
    <w:rsid w:val="005B48BD"/>
    <w:rsid w:val="005B4AC0"/>
    <w:rsid w:val="005B4BA2"/>
    <w:rsid w:val="005B4C6B"/>
    <w:rsid w:val="005B4D26"/>
    <w:rsid w:val="005B5197"/>
    <w:rsid w:val="005B5213"/>
    <w:rsid w:val="005B5536"/>
    <w:rsid w:val="005B5585"/>
    <w:rsid w:val="005B58DB"/>
    <w:rsid w:val="005B5E0E"/>
    <w:rsid w:val="005B5F0E"/>
    <w:rsid w:val="005B62E7"/>
    <w:rsid w:val="005B6381"/>
    <w:rsid w:val="005B6778"/>
    <w:rsid w:val="005B68FF"/>
    <w:rsid w:val="005B6EA0"/>
    <w:rsid w:val="005B6F20"/>
    <w:rsid w:val="005B7103"/>
    <w:rsid w:val="005B729F"/>
    <w:rsid w:val="005B7581"/>
    <w:rsid w:val="005B7615"/>
    <w:rsid w:val="005B7A6A"/>
    <w:rsid w:val="005B7E9B"/>
    <w:rsid w:val="005C076A"/>
    <w:rsid w:val="005C0874"/>
    <w:rsid w:val="005C0894"/>
    <w:rsid w:val="005C08E6"/>
    <w:rsid w:val="005C0958"/>
    <w:rsid w:val="005C09AF"/>
    <w:rsid w:val="005C0BF8"/>
    <w:rsid w:val="005C0D67"/>
    <w:rsid w:val="005C13E6"/>
    <w:rsid w:val="005C1784"/>
    <w:rsid w:val="005C1954"/>
    <w:rsid w:val="005C19AD"/>
    <w:rsid w:val="005C1BED"/>
    <w:rsid w:val="005C1CDB"/>
    <w:rsid w:val="005C1DBA"/>
    <w:rsid w:val="005C2704"/>
    <w:rsid w:val="005C2969"/>
    <w:rsid w:val="005C29AD"/>
    <w:rsid w:val="005C2AA3"/>
    <w:rsid w:val="005C2E95"/>
    <w:rsid w:val="005C301C"/>
    <w:rsid w:val="005C30AA"/>
    <w:rsid w:val="005C310E"/>
    <w:rsid w:val="005C3378"/>
    <w:rsid w:val="005C37F9"/>
    <w:rsid w:val="005C3C16"/>
    <w:rsid w:val="005C3D27"/>
    <w:rsid w:val="005C4459"/>
    <w:rsid w:val="005C5088"/>
    <w:rsid w:val="005C535B"/>
    <w:rsid w:val="005C557A"/>
    <w:rsid w:val="005C5889"/>
    <w:rsid w:val="005C5C49"/>
    <w:rsid w:val="005C5C69"/>
    <w:rsid w:val="005C5C88"/>
    <w:rsid w:val="005C5FE2"/>
    <w:rsid w:val="005C637D"/>
    <w:rsid w:val="005C63F8"/>
    <w:rsid w:val="005C649D"/>
    <w:rsid w:val="005C6633"/>
    <w:rsid w:val="005C696F"/>
    <w:rsid w:val="005C69C0"/>
    <w:rsid w:val="005C7474"/>
    <w:rsid w:val="005C76D8"/>
    <w:rsid w:val="005C7784"/>
    <w:rsid w:val="005C7B04"/>
    <w:rsid w:val="005D0396"/>
    <w:rsid w:val="005D09D7"/>
    <w:rsid w:val="005D11FB"/>
    <w:rsid w:val="005D1D95"/>
    <w:rsid w:val="005D1F89"/>
    <w:rsid w:val="005D21B8"/>
    <w:rsid w:val="005D2283"/>
    <w:rsid w:val="005D2318"/>
    <w:rsid w:val="005D23BD"/>
    <w:rsid w:val="005D27C1"/>
    <w:rsid w:val="005D2F2D"/>
    <w:rsid w:val="005D301A"/>
    <w:rsid w:val="005D308F"/>
    <w:rsid w:val="005D3108"/>
    <w:rsid w:val="005D3404"/>
    <w:rsid w:val="005D342B"/>
    <w:rsid w:val="005D380D"/>
    <w:rsid w:val="005D3877"/>
    <w:rsid w:val="005D398C"/>
    <w:rsid w:val="005D3D45"/>
    <w:rsid w:val="005D405E"/>
    <w:rsid w:val="005D40D4"/>
    <w:rsid w:val="005D41D7"/>
    <w:rsid w:val="005D4470"/>
    <w:rsid w:val="005D4518"/>
    <w:rsid w:val="005D4798"/>
    <w:rsid w:val="005D4823"/>
    <w:rsid w:val="005D4835"/>
    <w:rsid w:val="005D4B2C"/>
    <w:rsid w:val="005D4E02"/>
    <w:rsid w:val="005D4EB1"/>
    <w:rsid w:val="005D4F0A"/>
    <w:rsid w:val="005D4FAB"/>
    <w:rsid w:val="005D51C8"/>
    <w:rsid w:val="005D523A"/>
    <w:rsid w:val="005D533C"/>
    <w:rsid w:val="005D58F4"/>
    <w:rsid w:val="005D5B65"/>
    <w:rsid w:val="005D5E78"/>
    <w:rsid w:val="005D6DAB"/>
    <w:rsid w:val="005D7386"/>
    <w:rsid w:val="005D76E6"/>
    <w:rsid w:val="005D76E7"/>
    <w:rsid w:val="005D77F4"/>
    <w:rsid w:val="005D7B06"/>
    <w:rsid w:val="005D7F7C"/>
    <w:rsid w:val="005E051B"/>
    <w:rsid w:val="005E0853"/>
    <w:rsid w:val="005E0A25"/>
    <w:rsid w:val="005E0C42"/>
    <w:rsid w:val="005E0CA5"/>
    <w:rsid w:val="005E0D06"/>
    <w:rsid w:val="005E0E98"/>
    <w:rsid w:val="005E1103"/>
    <w:rsid w:val="005E136B"/>
    <w:rsid w:val="005E18A4"/>
    <w:rsid w:val="005E1992"/>
    <w:rsid w:val="005E19B4"/>
    <w:rsid w:val="005E1B82"/>
    <w:rsid w:val="005E1C40"/>
    <w:rsid w:val="005E215A"/>
    <w:rsid w:val="005E21D2"/>
    <w:rsid w:val="005E26CC"/>
    <w:rsid w:val="005E2CC4"/>
    <w:rsid w:val="005E2E48"/>
    <w:rsid w:val="005E34ED"/>
    <w:rsid w:val="005E3730"/>
    <w:rsid w:val="005E376E"/>
    <w:rsid w:val="005E42AE"/>
    <w:rsid w:val="005E48A3"/>
    <w:rsid w:val="005E48BF"/>
    <w:rsid w:val="005E4A23"/>
    <w:rsid w:val="005E4BE3"/>
    <w:rsid w:val="005E4F1C"/>
    <w:rsid w:val="005E58CB"/>
    <w:rsid w:val="005E58D7"/>
    <w:rsid w:val="005E5B7E"/>
    <w:rsid w:val="005E5DD7"/>
    <w:rsid w:val="005E5EBB"/>
    <w:rsid w:val="005E6061"/>
    <w:rsid w:val="005E6401"/>
    <w:rsid w:val="005E6BE0"/>
    <w:rsid w:val="005E6D7E"/>
    <w:rsid w:val="005E6D9F"/>
    <w:rsid w:val="005E6EDB"/>
    <w:rsid w:val="005E6F54"/>
    <w:rsid w:val="005E736C"/>
    <w:rsid w:val="005E7E23"/>
    <w:rsid w:val="005E9AA5"/>
    <w:rsid w:val="005F006B"/>
    <w:rsid w:val="005F0118"/>
    <w:rsid w:val="005F063B"/>
    <w:rsid w:val="005F0F85"/>
    <w:rsid w:val="005F108C"/>
    <w:rsid w:val="005F13A5"/>
    <w:rsid w:val="005F1427"/>
    <w:rsid w:val="005F1599"/>
    <w:rsid w:val="005F164E"/>
    <w:rsid w:val="005F1FCB"/>
    <w:rsid w:val="005F207D"/>
    <w:rsid w:val="005F211A"/>
    <w:rsid w:val="005F2279"/>
    <w:rsid w:val="005F253B"/>
    <w:rsid w:val="005F30B4"/>
    <w:rsid w:val="005F30E9"/>
    <w:rsid w:val="005F3129"/>
    <w:rsid w:val="005F3144"/>
    <w:rsid w:val="005F3456"/>
    <w:rsid w:val="005F365F"/>
    <w:rsid w:val="005F3B34"/>
    <w:rsid w:val="005F3BE1"/>
    <w:rsid w:val="005F3E4C"/>
    <w:rsid w:val="005F431F"/>
    <w:rsid w:val="005F4415"/>
    <w:rsid w:val="005F4419"/>
    <w:rsid w:val="005F48CC"/>
    <w:rsid w:val="005F4AFF"/>
    <w:rsid w:val="005F4C82"/>
    <w:rsid w:val="005F550D"/>
    <w:rsid w:val="005F5848"/>
    <w:rsid w:val="005F5F84"/>
    <w:rsid w:val="005F5FDF"/>
    <w:rsid w:val="005F6251"/>
    <w:rsid w:val="005F629A"/>
    <w:rsid w:val="005F662B"/>
    <w:rsid w:val="005F66D4"/>
    <w:rsid w:val="005F672C"/>
    <w:rsid w:val="005F6B81"/>
    <w:rsid w:val="005F6BE0"/>
    <w:rsid w:val="005F7735"/>
    <w:rsid w:val="005F79B0"/>
    <w:rsid w:val="005F7ABD"/>
    <w:rsid w:val="005F7FA5"/>
    <w:rsid w:val="00600125"/>
    <w:rsid w:val="0060052B"/>
    <w:rsid w:val="00600990"/>
    <w:rsid w:val="00600B5C"/>
    <w:rsid w:val="00600BA7"/>
    <w:rsid w:val="00600C25"/>
    <w:rsid w:val="00600E7A"/>
    <w:rsid w:val="0060101A"/>
    <w:rsid w:val="006012E3"/>
    <w:rsid w:val="00601459"/>
    <w:rsid w:val="00601957"/>
    <w:rsid w:val="00601C05"/>
    <w:rsid w:val="00601D22"/>
    <w:rsid w:val="00601DF2"/>
    <w:rsid w:val="006022A6"/>
    <w:rsid w:val="0060243C"/>
    <w:rsid w:val="006026AC"/>
    <w:rsid w:val="00602E8C"/>
    <w:rsid w:val="0060341E"/>
    <w:rsid w:val="00603742"/>
    <w:rsid w:val="00603A9A"/>
    <w:rsid w:val="00603B97"/>
    <w:rsid w:val="00603C92"/>
    <w:rsid w:val="00604313"/>
    <w:rsid w:val="006043AE"/>
    <w:rsid w:val="006047B5"/>
    <w:rsid w:val="00604B68"/>
    <w:rsid w:val="00604CAB"/>
    <w:rsid w:val="00604D6F"/>
    <w:rsid w:val="006055A6"/>
    <w:rsid w:val="00605D46"/>
    <w:rsid w:val="006061EC"/>
    <w:rsid w:val="00606639"/>
    <w:rsid w:val="00606643"/>
    <w:rsid w:val="0060693E"/>
    <w:rsid w:val="00606A24"/>
    <w:rsid w:val="00606A46"/>
    <w:rsid w:val="00607459"/>
    <w:rsid w:val="00607598"/>
    <w:rsid w:val="00607C13"/>
    <w:rsid w:val="00607D9A"/>
    <w:rsid w:val="006102FC"/>
    <w:rsid w:val="006105B0"/>
    <w:rsid w:val="006107CA"/>
    <w:rsid w:val="00610A25"/>
    <w:rsid w:val="00610C0F"/>
    <w:rsid w:val="00610EE2"/>
    <w:rsid w:val="00611053"/>
    <w:rsid w:val="006114FB"/>
    <w:rsid w:val="00611F04"/>
    <w:rsid w:val="0061245F"/>
    <w:rsid w:val="00612519"/>
    <w:rsid w:val="0061265C"/>
    <w:rsid w:val="00612B71"/>
    <w:rsid w:val="00612C0A"/>
    <w:rsid w:val="0061317D"/>
    <w:rsid w:val="0061326C"/>
    <w:rsid w:val="00613283"/>
    <w:rsid w:val="00613463"/>
    <w:rsid w:val="00613475"/>
    <w:rsid w:val="00613579"/>
    <w:rsid w:val="00613B13"/>
    <w:rsid w:val="00613BD5"/>
    <w:rsid w:val="00614173"/>
    <w:rsid w:val="00614338"/>
    <w:rsid w:val="006147B9"/>
    <w:rsid w:val="006147C0"/>
    <w:rsid w:val="0061557E"/>
    <w:rsid w:val="00615584"/>
    <w:rsid w:val="0061561B"/>
    <w:rsid w:val="00615EFB"/>
    <w:rsid w:val="0061605E"/>
    <w:rsid w:val="00616242"/>
    <w:rsid w:val="006162EA"/>
    <w:rsid w:val="00616377"/>
    <w:rsid w:val="00616768"/>
    <w:rsid w:val="00616A4A"/>
    <w:rsid w:val="00616CBF"/>
    <w:rsid w:val="006171BF"/>
    <w:rsid w:val="0061730B"/>
    <w:rsid w:val="006173FE"/>
    <w:rsid w:val="006175E4"/>
    <w:rsid w:val="00617651"/>
    <w:rsid w:val="006176CF"/>
    <w:rsid w:val="006176D6"/>
    <w:rsid w:val="006176E7"/>
    <w:rsid w:val="006177A2"/>
    <w:rsid w:val="0061785C"/>
    <w:rsid w:val="006178C0"/>
    <w:rsid w:val="006179FF"/>
    <w:rsid w:val="00617BA1"/>
    <w:rsid w:val="00617D37"/>
    <w:rsid w:val="00617D69"/>
    <w:rsid w:val="00617F3C"/>
    <w:rsid w:val="00617F6B"/>
    <w:rsid w:val="006202E3"/>
    <w:rsid w:val="0062070D"/>
    <w:rsid w:val="00620BC2"/>
    <w:rsid w:val="00620E87"/>
    <w:rsid w:val="00621BE7"/>
    <w:rsid w:val="00621C08"/>
    <w:rsid w:val="00621E03"/>
    <w:rsid w:val="00621F92"/>
    <w:rsid w:val="006222DA"/>
    <w:rsid w:val="006229DC"/>
    <w:rsid w:val="00622DC6"/>
    <w:rsid w:val="00623225"/>
    <w:rsid w:val="006232BC"/>
    <w:rsid w:val="0062339A"/>
    <w:rsid w:val="0062340A"/>
    <w:rsid w:val="0062344C"/>
    <w:rsid w:val="00623729"/>
    <w:rsid w:val="00623897"/>
    <w:rsid w:val="006238FB"/>
    <w:rsid w:val="00623925"/>
    <w:rsid w:val="00623B99"/>
    <w:rsid w:val="00623C1C"/>
    <w:rsid w:val="00623D0A"/>
    <w:rsid w:val="00623E86"/>
    <w:rsid w:val="00623EFF"/>
    <w:rsid w:val="0062413D"/>
    <w:rsid w:val="006244EB"/>
    <w:rsid w:val="00624B5C"/>
    <w:rsid w:val="00624E07"/>
    <w:rsid w:val="00624E7E"/>
    <w:rsid w:val="00625580"/>
    <w:rsid w:val="006255C7"/>
    <w:rsid w:val="006255E2"/>
    <w:rsid w:val="006255F2"/>
    <w:rsid w:val="00625A56"/>
    <w:rsid w:val="0062613B"/>
    <w:rsid w:val="006261C4"/>
    <w:rsid w:val="00626382"/>
    <w:rsid w:val="0062651E"/>
    <w:rsid w:val="006266F9"/>
    <w:rsid w:val="006269A1"/>
    <w:rsid w:val="00626F83"/>
    <w:rsid w:val="006274AF"/>
    <w:rsid w:val="0062753A"/>
    <w:rsid w:val="00627661"/>
    <w:rsid w:val="00627683"/>
    <w:rsid w:val="0062776F"/>
    <w:rsid w:val="006277E8"/>
    <w:rsid w:val="00627AD8"/>
    <w:rsid w:val="00627AEB"/>
    <w:rsid w:val="00627F86"/>
    <w:rsid w:val="0063110C"/>
    <w:rsid w:val="0063152E"/>
    <w:rsid w:val="0063176F"/>
    <w:rsid w:val="00631770"/>
    <w:rsid w:val="0063178E"/>
    <w:rsid w:val="00631801"/>
    <w:rsid w:val="00631B06"/>
    <w:rsid w:val="00631DB5"/>
    <w:rsid w:val="00631E40"/>
    <w:rsid w:val="006327AF"/>
    <w:rsid w:val="00633245"/>
    <w:rsid w:val="0063384D"/>
    <w:rsid w:val="0063385A"/>
    <w:rsid w:val="00634159"/>
    <w:rsid w:val="006342EF"/>
    <w:rsid w:val="0063482F"/>
    <w:rsid w:val="00634F2D"/>
    <w:rsid w:val="00635389"/>
    <w:rsid w:val="006355DC"/>
    <w:rsid w:val="00635E3B"/>
    <w:rsid w:val="00635F3B"/>
    <w:rsid w:val="0063631B"/>
    <w:rsid w:val="00636321"/>
    <w:rsid w:val="0063635B"/>
    <w:rsid w:val="00636445"/>
    <w:rsid w:val="00636C39"/>
    <w:rsid w:val="0063701A"/>
    <w:rsid w:val="006370BF"/>
    <w:rsid w:val="00637104"/>
    <w:rsid w:val="0063761E"/>
    <w:rsid w:val="00637717"/>
    <w:rsid w:val="0063788F"/>
    <w:rsid w:val="00637A77"/>
    <w:rsid w:val="00637BB9"/>
    <w:rsid w:val="00637CA1"/>
    <w:rsid w:val="006403DA"/>
    <w:rsid w:val="006409A4"/>
    <w:rsid w:val="00640BBE"/>
    <w:rsid w:val="0064141C"/>
    <w:rsid w:val="006416DE"/>
    <w:rsid w:val="006417DC"/>
    <w:rsid w:val="006419A8"/>
    <w:rsid w:val="00641B6D"/>
    <w:rsid w:val="00641D59"/>
    <w:rsid w:val="00641FF5"/>
    <w:rsid w:val="00642103"/>
    <w:rsid w:val="00642E02"/>
    <w:rsid w:val="0064341B"/>
    <w:rsid w:val="0064352F"/>
    <w:rsid w:val="0064371D"/>
    <w:rsid w:val="0064379B"/>
    <w:rsid w:val="00643DA5"/>
    <w:rsid w:val="0064420F"/>
    <w:rsid w:val="006449D7"/>
    <w:rsid w:val="00644AA2"/>
    <w:rsid w:val="006450CA"/>
    <w:rsid w:val="006450D8"/>
    <w:rsid w:val="0064529B"/>
    <w:rsid w:val="0064537F"/>
    <w:rsid w:val="0064547E"/>
    <w:rsid w:val="00645520"/>
    <w:rsid w:val="0064561B"/>
    <w:rsid w:val="00645817"/>
    <w:rsid w:val="006458D9"/>
    <w:rsid w:val="006459BE"/>
    <w:rsid w:val="006459E7"/>
    <w:rsid w:val="00645A91"/>
    <w:rsid w:val="00645BCF"/>
    <w:rsid w:val="00645CF2"/>
    <w:rsid w:val="00645FEE"/>
    <w:rsid w:val="00646841"/>
    <w:rsid w:val="00646878"/>
    <w:rsid w:val="00646F1C"/>
    <w:rsid w:val="0064703A"/>
    <w:rsid w:val="00647787"/>
    <w:rsid w:val="00647D4E"/>
    <w:rsid w:val="00647EBF"/>
    <w:rsid w:val="0064B295"/>
    <w:rsid w:val="00650102"/>
    <w:rsid w:val="006507E2"/>
    <w:rsid w:val="00650995"/>
    <w:rsid w:val="00650C5D"/>
    <w:rsid w:val="00650D60"/>
    <w:rsid w:val="00650F06"/>
    <w:rsid w:val="0065122C"/>
    <w:rsid w:val="00651408"/>
    <w:rsid w:val="006515FD"/>
    <w:rsid w:val="00651704"/>
    <w:rsid w:val="00651CAA"/>
    <w:rsid w:val="00652109"/>
    <w:rsid w:val="006522C2"/>
    <w:rsid w:val="006522F0"/>
    <w:rsid w:val="006525AA"/>
    <w:rsid w:val="006525C1"/>
    <w:rsid w:val="006526EC"/>
    <w:rsid w:val="006528FC"/>
    <w:rsid w:val="00652970"/>
    <w:rsid w:val="006530A3"/>
    <w:rsid w:val="006534F0"/>
    <w:rsid w:val="00653653"/>
    <w:rsid w:val="00653A9E"/>
    <w:rsid w:val="00653B9D"/>
    <w:rsid w:val="00653E97"/>
    <w:rsid w:val="00653E9D"/>
    <w:rsid w:val="00653FA9"/>
    <w:rsid w:val="0065412C"/>
    <w:rsid w:val="0065451D"/>
    <w:rsid w:val="0065461F"/>
    <w:rsid w:val="006546E5"/>
    <w:rsid w:val="00654BBF"/>
    <w:rsid w:val="00654CB7"/>
    <w:rsid w:val="00654F3E"/>
    <w:rsid w:val="00654FC6"/>
    <w:rsid w:val="00655666"/>
    <w:rsid w:val="00655B4D"/>
    <w:rsid w:val="0065608B"/>
    <w:rsid w:val="006564F4"/>
    <w:rsid w:val="00656ABB"/>
    <w:rsid w:val="00656DFC"/>
    <w:rsid w:val="00656EF2"/>
    <w:rsid w:val="00656F06"/>
    <w:rsid w:val="00656F16"/>
    <w:rsid w:val="00657590"/>
    <w:rsid w:val="00657D69"/>
    <w:rsid w:val="00657D99"/>
    <w:rsid w:val="00660013"/>
    <w:rsid w:val="00660303"/>
    <w:rsid w:val="00660AF6"/>
    <w:rsid w:val="00660BB8"/>
    <w:rsid w:val="00661037"/>
    <w:rsid w:val="00661205"/>
    <w:rsid w:val="006615F7"/>
    <w:rsid w:val="0066174D"/>
    <w:rsid w:val="00661AFE"/>
    <w:rsid w:val="00661BF2"/>
    <w:rsid w:val="00661F48"/>
    <w:rsid w:val="00662456"/>
    <w:rsid w:val="0066260B"/>
    <w:rsid w:val="00662BB9"/>
    <w:rsid w:val="006631D0"/>
    <w:rsid w:val="006634BB"/>
    <w:rsid w:val="006637DE"/>
    <w:rsid w:val="00663881"/>
    <w:rsid w:val="00663BE0"/>
    <w:rsid w:val="00663E1C"/>
    <w:rsid w:val="006641F4"/>
    <w:rsid w:val="006641F8"/>
    <w:rsid w:val="006646EE"/>
    <w:rsid w:val="0066478C"/>
    <w:rsid w:val="00664DD7"/>
    <w:rsid w:val="00664DF5"/>
    <w:rsid w:val="006652D4"/>
    <w:rsid w:val="00665597"/>
    <w:rsid w:val="00665D77"/>
    <w:rsid w:val="00665F75"/>
    <w:rsid w:val="00665F99"/>
    <w:rsid w:val="00666583"/>
    <w:rsid w:val="006669ED"/>
    <w:rsid w:val="00666BFF"/>
    <w:rsid w:val="00667287"/>
    <w:rsid w:val="006675EA"/>
    <w:rsid w:val="00667A5C"/>
    <w:rsid w:val="00670658"/>
    <w:rsid w:val="006706F2"/>
    <w:rsid w:val="0067091D"/>
    <w:rsid w:val="006709BA"/>
    <w:rsid w:val="00670CE8"/>
    <w:rsid w:val="00670DAD"/>
    <w:rsid w:val="00670E12"/>
    <w:rsid w:val="00670E6B"/>
    <w:rsid w:val="00671297"/>
    <w:rsid w:val="006713B5"/>
    <w:rsid w:val="006719F9"/>
    <w:rsid w:val="00671DE5"/>
    <w:rsid w:val="00671E37"/>
    <w:rsid w:val="00672081"/>
    <w:rsid w:val="00672F26"/>
    <w:rsid w:val="00672F59"/>
    <w:rsid w:val="00673127"/>
    <w:rsid w:val="00673690"/>
    <w:rsid w:val="00673810"/>
    <w:rsid w:val="00673D2D"/>
    <w:rsid w:val="00673E50"/>
    <w:rsid w:val="0067452A"/>
    <w:rsid w:val="00674849"/>
    <w:rsid w:val="0067498F"/>
    <w:rsid w:val="00675357"/>
    <w:rsid w:val="00675B83"/>
    <w:rsid w:val="00675D42"/>
    <w:rsid w:val="00675F54"/>
    <w:rsid w:val="00675FA7"/>
    <w:rsid w:val="00675FF4"/>
    <w:rsid w:val="0067616B"/>
    <w:rsid w:val="0067628F"/>
    <w:rsid w:val="00676389"/>
    <w:rsid w:val="006766BC"/>
    <w:rsid w:val="0067735C"/>
    <w:rsid w:val="006775AA"/>
    <w:rsid w:val="006777E2"/>
    <w:rsid w:val="006779E7"/>
    <w:rsid w:val="0068003C"/>
    <w:rsid w:val="00680078"/>
    <w:rsid w:val="006801BD"/>
    <w:rsid w:val="0068026C"/>
    <w:rsid w:val="00680340"/>
    <w:rsid w:val="00680495"/>
    <w:rsid w:val="006804B8"/>
    <w:rsid w:val="00681132"/>
    <w:rsid w:val="006812EB"/>
    <w:rsid w:val="006812F6"/>
    <w:rsid w:val="00681459"/>
    <w:rsid w:val="00681666"/>
    <w:rsid w:val="00681768"/>
    <w:rsid w:val="006817E1"/>
    <w:rsid w:val="00681930"/>
    <w:rsid w:val="00681C3D"/>
    <w:rsid w:val="00681F35"/>
    <w:rsid w:val="00682111"/>
    <w:rsid w:val="006822CB"/>
    <w:rsid w:val="006824E2"/>
    <w:rsid w:val="006825F5"/>
    <w:rsid w:val="00682774"/>
    <w:rsid w:val="006829F4"/>
    <w:rsid w:val="00682A2B"/>
    <w:rsid w:val="00682D2F"/>
    <w:rsid w:val="00682DE4"/>
    <w:rsid w:val="006833E9"/>
    <w:rsid w:val="00683625"/>
    <w:rsid w:val="006836ED"/>
    <w:rsid w:val="00683BEB"/>
    <w:rsid w:val="00683FFF"/>
    <w:rsid w:val="0068411C"/>
    <w:rsid w:val="0068413D"/>
    <w:rsid w:val="006843BF"/>
    <w:rsid w:val="0068443F"/>
    <w:rsid w:val="00684550"/>
    <w:rsid w:val="0068481E"/>
    <w:rsid w:val="00684915"/>
    <w:rsid w:val="00684F5C"/>
    <w:rsid w:val="006854B1"/>
    <w:rsid w:val="0068596E"/>
    <w:rsid w:val="00685B2B"/>
    <w:rsid w:val="00685CFF"/>
    <w:rsid w:val="00685EB9"/>
    <w:rsid w:val="006860CB"/>
    <w:rsid w:val="00686376"/>
    <w:rsid w:val="0068662A"/>
    <w:rsid w:val="00686871"/>
    <w:rsid w:val="00686A1A"/>
    <w:rsid w:val="00686AF6"/>
    <w:rsid w:val="00686CDB"/>
    <w:rsid w:val="00686DF4"/>
    <w:rsid w:val="00686EE3"/>
    <w:rsid w:val="00687356"/>
    <w:rsid w:val="00687380"/>
    <w:rsid w:val="006873A7"/>
    <w:rsid w:val="006877DD"/>
    <w:rsid w:val="00687A35"/>
    <w:rsid w:val="006902FE"/>
    <w:rsid w:val="006903A0"/>
    <w:rsid w:val="00690C0F"/>
    <w:rsid w:val="00690FDD"/>
    <w:rsid w:val="0069100F"/>
    <w:rsid w:val="00691329"/>
    <w:rsid w:val="00691426"/>
    <w:rsid w:val="006916FD"/>
    <w:rsid w:val="0069195E"/>
    <w:rsid w:val="00691977"/>
    <w:rsid w:val="00691D35"/>
    <w:rsid w:val="006921C8"/>
    <w:rsid w:val="0069238A"/>
    <w:rsid w:val="006925B6"/>
    <w:rsid w:val="00692633"/>
    <w:rsid w:val="006926D7"/>
    <w:rsid w:val="00692BB6"/>
    <w:rsid w:val="00692C77"/>
    <w:rsid w:val="00692EC1"/>
    <w:rsid w:val="00693291"/>
    <w:rsid w:val="006933C4"/>
    <w:rsid w:val="00693841"/>
    <w:rsid w:val="00693DF3"/>
    <w:rsid w:val="0069436F"/>
    <w:rsid w:val="00694738"/>
    <w:rsid w:val="00694E8C"/>
    <w:rsid w:val="00695753"/>
    <w:rsid w:val="00695908"/>
    <w:rsid w:val="00695A24"/>
    <w:rsid w:val="0069621C"/>
    <w:rsid w:val="00696648"/>
    <w:rsid w:val="00696677"/>
    <w:rsid w:val="00696831"/>
    <w:rsid w:val="006968FF"/>
    <w:rsid w:val="0069697F"/>
    <w:rsid w:val="0069701D"/>
    <w:rsid w:val="00697674"/>
    <w:rsid w:val="006976C9"/>
    <w:rsid w:val="0069794A"/>
    <w:rsid w:val="00697A4C"/>
    <w:rsid w:val="00697AF8"/>
    <w:rsid w:val="006A033A"/>
    <w:rsid w:val="006A0565"/>
    <w:rsid w:val="006A078B"/>
    <w:rsid w:val="006A0CF7"/>
    <w:rsid w:val="006A175F"/>
    <w:rsid w:val="006A18E0"/>
    <w:rsid w:val="006A1959"/>
    <w:rsid w:val="006A1D93"/>
    <w:rsid w:val="006A1FF9"/>
    <w:rsid w:val="006A20C4"/>
    <w:rsid w:val="006A218A"/>
    <w:rsid w:val="006A2591"/>
    <w:rsid w:val="006A2B39"/>
    <w:rsid w:val="006A2E5A"/>
    <w:rsid w:val="006A3303"/>
    <w:rsid w:val="006A39D4"/>
    <w:rsid w:val="006A3B40"/>
    <w:rsid w:val="006A42F6"/>
    <w:rsid w:val="006A44DE"/>
    <w:rsid w:val="006A4598"/>
    <w:rsid w:val="006A464C"/>
    <w:rsid w:val="006A46FB"/>
    <w:rsid w:val="006A49A5"/>
    <w:rsid w:val="006A5A77"/>
    <w:rsid w:val="006A5BED"/>
    <w:rsid w:val="006A5C39"/>
    <w:rsid w:val="006A5F32"/>
    <w:rsid w:val="006A6097"/>
    <w:rsid w:val="006A611F"/>
    <w:rsid w:val="006A63EE"/>
    <w:rsid w:val="006A67BE"/>
    <w:rsid w:val="006A6A9B"/>
    <w:rsid w:val="006A6C7C"/>
    <w:rsid w:val="006A6D3B"/>
    <w:rsid w:val="006A6EF8"/>
    <w:rsid w:val="006A703A"/>
    <w:rsid w:val="006A72D3"/>
    <w:rsid w:val="006A7C99"/>
    <w:rsid w:val="006A7D22"/>
    <w:rsid w:val="006A7DC1"/>
    <w:rsid w:val="006B0080"/>
    <w:rsid w:val="006B014F"/>
    <w:rsid w:val="006B0633"/>
    <w:rsid w:val="006B0D05"/>
    <w:rsid w:val="006B135D"/>
    <w:rsid w:val="006B1379"/>
    <w:rsid w:val="006B16FB"/>
    <w:rsid w:val="006B18A4"/>
    <w:rsid w:val="006B21C7"/>
    <w:rsid w:val="006B2311"/>
    <w:rsid w:val="006B2461"/>
    <w:rsid w:val="006B2726"/>
    <w:rsid w:val="006B2E8D"/>
    <w:rsid w:val="006B30FE"/>
    <w:rsid w:val="006B31C8"/>
    <w:rsid w:val="006B3F09"/>
    <w:rsid w:val="006B3FCE"/>
    <w:rsid w:val="006B49F1"/>
    <w:rsid w:val="006B4C8E"/>
    <w:rsid w:val="006B5231"/>
    <w:rsid w:val="006B5641"/>
    <w:rsid w:val="006B5746"/>
    <w:rsid w:val="006B5838"/>
    <w:rsid w:val="006B5EAE"/>
    <w:rsid w:val="006B645B"/>
    <w:rsid w:val="006B65AB"/>
    <w:rsid w:val="006B6A04"/>
    <w:rsid w:val="006B7352"/>
    <w:rsid w:val="006B7638"/>
    <w:rsid w:val="006B7952"/>
    <w:rsid w:val="006B7E24"/>
    <w:rsid w:val="006C0109"/>
    <w:rsid w:val="006C037D"/>
    <w:rsid w:val="006C0514"/>
    <w:rsid w:val="006C072D"/>
    <w:rsid w:val="006C07CA"/>
    <w:rsid w:val="006C0850"/>
    <w:rsid w:val="006C0856"/>
    <w:rsid w:val="006C09E7"/>
    <w:rsid w:val="006C0B42"/>
    <w:rsid w:val="006C0B8F"/>
    <w:rsid w:val="006C0D76"/>
    <w:rsid w:val="006C134C"/>
    <w:rsid w:val="006C145B"/>
    <w:rsid w:val="006C15D2"/>
    <w:rsid w:val="006C1745"/>
    <w:rsid w:val="006C1AA1"/>
    <w:rsid w:val="006C1CA0"/>
    <w:rsid w:val="006C21E8"/>
    <w:rsid w:val="006C233F"/>
    <w:rsid w:val="006C2578"/>
    <w:rsid w:val="006C258E"/>
    <w:rsid w:val="006C27E6"/>
    <w:rsid w:val="006C2B66"/>
    <w:rsid w:val="006C2C07"/>
    <w:rsid w:val="006C35A8"/>
    <w:rsid w:val="006C384C"/>
    <w:rsid w:val="006C3A92"/>
    <w:rsid w:val="006C3AE6"/>
    <w:rsid w:val="006C3B12"/>
    <w:rsid w:val="006C3B46"/>
    <w:rsid w:val="006C4D6A"/>
    <w:rsid w:val="006C4E52"/>
    <w:rsid w:val="006C4E53"/>
    <w:rsid w:val="006C57B1"/>
    <w:rsid w:val="006C5A27"/>
    <w:rsid w:val="006C5EC9"/>
    <w:rsid w:val="006C61B8"/>
    <w:rsid w:val="006C625A"/>
    <w:rsid w:val="006C6B5A"/>
    <w:rsid w:val="006C7705"/>
    <w:rsid w:val="006C7A9B"/>
    <w:rsid w:val="006C7BB1"/>
    <w:rsid w:val="006C7BFF"/>
    <w:rsid w:val="006D038E"/>
    <w:rsid w:val="006D043A"/>
    <w:rsid w:val="006D0480"/>
    <w:rsid w:val="006D06FE"/>
    <w:rsid w:val="006D08C3"/>
    <w:rsid w:val="006D0979"/>
    <w:rsid w:val="006D0A9F"/>
    <w:rsid w:val="006D0B5E"/>
    <w:rsid w:val="006D1059"/>
    <w:rsid w:val="006D12FF"/>
    <w:rsid w:val="006D1390"/>
    <w:rsid w:val="006D1799"/>
    <w:rsid w:val="006D17ED"/>
    <w:rsid w:val="006D20BD"/>
    <w:rsid w:val="006D2861"/>
    <w:rsid w:val="006D2B72"/>
    <w:rsid w:val="006D2D10"/>
    <w:rsid w:val="006D2E1D"/>
    <w:rsid w:val="006D2EEA"/>
    <w:rsid w:val="006D3892"/>
    <w:rsid w:val="006D3EBE"/>
    <w:rsid w:val="006D3F9A"/>
    <w:rsid w:val="006D411F"/>
    <w:rsid w:val="006D457F"/>
    <w:rsid w:val="006D4865"/>
    <w:rsid w:val="006D49CE"/>
    <w:rsid w:val="006D4A3B"/>
    <w:rsid w:val="006D4ADF"/>
    <w:rsid w:val="006D53E4"/>
    <w:rsid w:val="006D5923"/>
    <w:rsid w:val="006D5C57"/>
    <w:rsid w:val="006D6214"/>
    <w:rsid w:val="006D62C2"/>
    <w:rsid w:val="006D6301"/>
    <w:rsid w:val="006D63A4"/>
    <w:rsid w:val="006D6631"/>
    <w:rsid w:val="006D68E2"/>
    <w:rsid w:val="006D6912"/>
    <w:rsid w:val="006D69D4"/>
    <w:rsid w:val="006D6B30"/>
    <w:rsid w:val="006D6B6D"/>
    <w:rsid w:val="006D7145"/>
    <w:rsid w:val="006D71B2"/>
    <w:rsid w:val="006D7832"/>
    <w:rsid w:val="006D7D05"/>
    <w:rsid w:val="006D7EEE"/>
    <w:rsid w:val="006E0043"/>
    <w:rsid w:val="006E06B9"/>
    <w:rsid w:val="006E0F9B"/>
    <w:rsid w:val="006E0F9F"/>
    <w:rsid w:val="006E14D9"/>
    <w:rsid w:val="006E1510"/>
    <w:rsid w:val="006E18A5"/>
    <w:rsid w:val="006E18B0"/>
    <w:rsid w:val="006E1921"/>
    <w:rsid w:val="006E1F89"/>
    <w:rsid w:val="006E214D"/>
    <w:rsid w:val="006E215F"/>
    <w:rsid w:val="006E241D"/>
    <w:rsid w:val="006E25B0"/>
    <w:rsid w:val="006E26CC"/>
    <w:rsid w:val="006E2903"/>
    <w:rsid w:val="006E29E5"/>
    <w:rsid w:val="006E2B51"/>
    <w:rsid w:val="006E30D8"/>
    <w:rsid w:val="006E3449"/>
    <w:rsid w:val="006E38C4"/>
    <w:rsid w:val="006E3933"/>
    <w:rsid w:val="006E3C0D"/>
    <w:rsid w:val="006E47E9"/>
    <w:rsid w:val="006E4AFD"/>
    <w:rsid w:val="006E4B8A"/>
    <w:rsid w:val="006E4C8F"/>
    <w:rsid w:val="006E4D66"/>
    <w:rsid w:val="006E51BC"/>
    <w:rsid w:val="006E54DB"/>
    <w:rsid w:val="006E6BD1"/>
    <w:rsid w:val="006E6D3C"/>
    <w:rsid w:val="006E7606"/>
    <w:rsid w:val="006E7720"/>
    <w:rsid w:val="006E7C40"/>
    <w:rsid w:val="006E7CD2"/>
    <w:rsid w:val="006F041B"/>
    <w:rsid w:val="006F061F"/>
    <w:rsid w:val="006F0631"/>
    <w:rsid w:val="006F0754"/>
    <w:rsid w:val="006F0793"/>
    <w:rsid w:val="006F090C"/>
    <w:rsid w:val="006F09B9"/>
    <w:rsid w:val="006F0DC6"/>
    <w:rsid w:val="006F0E1C"/>
    <w:rsid w:val="006F1077"/>
    <w:rsid w:val="006F10B6"/>
    <w:rsid w:val="006F12F6"/>
    <w:rsid w:val="006F1374"/>
    <w:rsid w:val="006F149B"/>
    <w:rsid w:val="006F15DE"/>
    <w:rsid w:val="006F1926"/>
    <w:rsid w:val="006F1B2C"/>
    <w:rsid w:val="006F1C77"/>
    <w:rsid w:val="006F1D71"/>
    <w:rsid w:val="006F23C3"/>
    <w:rsid w:val="006F28B3"/>
    <w:rsid w:val="006F2A43"/>
    <w:rsid w:val="006F2E13"/>
    <w:rsid w:val="006F2E1F"/>
    <w:rsid w:val="006F384F"/>
    <w:rsid w:val="006F3CA5"/>
    <w:rsid w:val="006F3E27"/>
    <w:rsid w:val="006F40EB"/>
    <w:rsid w:val="006F4546"/>
    <w:rsid w:val="006F4AC3"/>
    <w:rsid w:val="006F4C84"/>
    <w:rsid w:val="006F51CB"/>
    <w:rsid w:val="006F5203"/>
    <w:rsid w:val="006F520B"/>
    <w:rsid w:val="006F54F0"/>
    <w:rsid w:val="006F570B"/>
    <w:rsid w:val="006F5E4B"/>
    <w:rsid w:val="006F619B"/>
    <w:rsid w:val="006F6296"/>
    <w:rsid w:val="006F6880"/>
    <w:rsid w:val="006F68E2"/>
    <w:rsid w:val="006F6A02"/>
    <w:rsid w:val="006F6F00"/>
    <w:rsid w:val="006F705A"/>
    <w:rsid w:val="006F7066"/>
    <w:rsid w:val="006F75A4"/>
    <w:rsid w:val="006F7826"/>
    <w:rsid w:val="006F7CD3"/>
    <w:rsid w:val="007001A8"/>
    <w:rsid w:val="007002E3"/>
    <w:rsid w:val="007003D0"/>
    <w:rsid w:val="007003D7"/>
    <w:rsid w:val="00700400"/>
    <w:rsid w:val="0070045F"/>
    <w:rsid w:val="007004B2"/>
    <w:rsid w:val="007005B5"/>
    <w:rsid w:val="0070071E"/>
    <w:rsid w:val="00700AD3"/>
    <w:rsid w:val="00701121"/>
    <w:rsid w:val="007015D1"/>
    <w:rsid w:val="007022E7"/>
    <w:rsid w:val="00702A57"/>
    <w:rsid w:val="00702CAE"/>
    <w:rsid w:val="00703771"/>
    <w:rsid w:val="00703F3D"/>
    <w:rsid w:val="00704079"/>
    <w:rsid w:val="00704185"/>
    <w:rsid w:val="0070420F"/>
    <w:rsid w:val="00704842"/>
    <w:rsid w:val="00704A81"/>
    <w:rsid w:val="00704F1C"/>
    <w:rsid w:val="0070532E"/>
    <w:rsid w:val="00705388"/>
    <w:rsid w:val="007058C7"/>
    <w:rsid w:val="00705901"/>
    <w:rsid w:val="007061CB"/>
    <w:rsid w:val="007066EC"/>
    <w:rsid w:val="00706797"/>
    <w:rsid w:val="007068FC"/>
    <w:rsid w:val="00706AED"/>
    <w:rsid w:val="00706F83"/>
    <w:rsid w:val="007077FD"/>
    <w:rsid w:val="00707BFC"/>
    <w:rsid w:val="00707D86"/>
    <w:rsid w:val="007100BA"/>
    <w:rsid w:val="007100E8"/>
    <w:rsid w:val="0071017B"/>
    <w:rsid w:val="00710714"/>
    <w:rsid w:val="0071095C"/>
    <w:rsid w:val="007109BE"/>
    <w:rsid w:val="007109DB"/>
    <w:rsid w:val="007113B6"/>
    <w:rsid w:val="00711606"/>
    <w:rsid w:val="00711ADF"/>
    <w:rsid w:val="00711CD9"/>
    <w:rsid w:val="00711F8C"/>
    <w:rsid w:val="00712244"/>
    <w:rsid w:val="007124C4"/>
    <w:rsid w:val="007128EA"/>
    <w:rsid w:val="00712A41"/>
    <w:rsid w:val="00712D4A"/>
    <w:rsid w:val="00712DB7"/>
    <w:rsid w:val="00712EA6"/>
    <w:rsid w:val="0071300B"/>
    <w:rsid w:val="007130C3"/>
    <w:rsid w:val="007132B9"/>
    <w:rsid w:val="00713355"/>
    <w:rsid w:val="00713651"/>
    <w:rsid w:val="0071395A"/>
    <w:rsid w:val="00713C60"/>
    <w:rsid w:val="00713EC1"/>
    <w:rsid w:val="007140FD"/>
    <w:rsid w:val="00714418"/>
    <w:rsid w:val="0071443E"/>
    <w:rsid w:val="007147E9"/>
    <w:rsid w:val="00714A23"/>
    <w:rsid w:val="00714AD9"/>
    <w:rsid w:val="007155FD"/>
    <w:rsid w:val="007158E6"/>
    <w:rsid w:val="00715B03"/>
    <w:rsid w:val="00716103"/>
    <w:rsid w:val="00716974"/>
    <w:rsid w:val="00716A4D"/>
    <w:rsid w:val="00716B37"/>
    <w:rsid w:val="00716E92"/>
    <w:rsid w:val="00717419"/>
    <w:rsid w:val="00717604"/>
    <w:rsid w:val="00717610"/>
    <w:rsid w:val="00717830"/>
    <w:rsid w:val="007178CB"/>
    <w:rsid w:val="00717A10"/>
    <w:rsid w:val="00717B23"/>
    <w:rsid w:val="00717C86"/>
    <w:rsid w:val="00717E6A"/>
    <w:rsid w:val="007200B6"/>
    <w:rsid w:val="007201F1"/>
    <w:rsid w:val="007203A8"/>
    <w:rsid w:val="007205F9"/>
    <w:rsid w:val="00720A2E"/>
    <w:rsid w:val="00720A76"/>
    <w:rsid w:val="00721009"/>
    <w:rsid w:val="0072116C"/>
    <w:rsid w:val="0072175C"/>
    <w:rsid w:val="00721828"/>
    <w:rsid w:val="00721905"/>
    <w:rsid w:val="00721A7C"/>
    <w:rsid w:val="00721C4C"/>
    <w:rsid w:val="00721E0F"/>
    <w:rsid w:val="00721FF7"/>
    <w:rsid w:val="007223E5"/>
    <w:rsid w:val="007226A5"/>
    <w:rsid w:val="00722764"/>
    <w:rsid w:val="0072346D"/>
    <w:rsid w:val="0072347D"/>
    <w:rsid w:val="0072357F"/>
    <w:rsid w:val="00723A09"/>
    <w:rsid w:val="00723BA6"/>
    <w:rsid w:val="00723C76"/>
    <w:rsid w:val="00723D02"/>
    <w:rsid w:val="007240CB"/>
    <w:rsid w:val="0072420B"/>
    <w:rsid w:val="007242D0"/>
    <w:rsid w:val="00724728"/>
    <w:rsid w:val="007248FA"/>
    <w:rsid w:val="0072573B"/>
    <w:rsid w:val="00725A1A"/>
    <w:rsid w:val="00725CD1"/>
    <w:rsid w:val="00725F32"/>
    <w:rsid w:val="00726101"/>
    <w:rsid w:val="007267AF"/>
    <w:rsid w:val="007269D9"/>
    <w:rsid w:val="007269E3"/>
    <w:rsid w:val="00726A03"/>
    <w:rsid w:val="00727035"/>
    <w:rsid w:val="00727265"/>
    <w:rsid w:val="00727282"/>
    <w:rsid w:val="00727310"/>
    <w:rsid w:val="0072735C"/>
    <w:rsid w:val="00727893"/>
    <w:rsid w:val="0072793A"/>
    <w:rsid w:val="0072793C"/>
    <w:rsid w:val="00727A17"/>
    <w:rsid w:val="00727F05"/>
    <w:rsid w:val="00730418"/>
    <w:rsid w:val="0073043A"/>
    <w:rsid w:val="0073093F"/>
    <w:rsid w:val="00730941"/>
    <w:rsid w:val="00730B32"/>
    <w:rsid w:val="00730BE8"/>
    <w:rsid w:val="00730DB6"/>
    <w:rsid w:val="007315B8"/>
    <w:rsid w:val="007317D2"/>
    <w:rsid w:val="007317D9"/>
    <w:rsid w:val="00731841"/>
    <w:rsid w:val="00731844"/>
    <w:rsid w:val="0073199F"/>
    <w:rsid w:val="00731B5E"/>
    <w:rsid w:val="00731EC6"/>
    <w:rsid w:val="00732A0B"/>
    <w:rsid w:val="00732B5F"/>
    <w:rsid w:val="007331BC"/>
    <w:rsid w:val="00733815"/>
    <w:rsid w:val="007338B1"/>
    <w:rsid w:val="00733BE2"/>
    <w:rsid w:val="007340A3"/>
    <w:rsid w:val="00734236"/>
    <w:rsid w:val="00734422"/>
    <w:rsid w:val="00734699"/>
    <w:rsid w:val="007346CD"/>
    <w:rsid w:val="00734A2C"/>
    <w:rsid w:val="00734FD7"/>
    <w:rsid w:val="0073511C"/>
    <w:rsid w:val="007354D1"/>
    <w:rsid w:val="00735954"/>
    <w:rsid w:val="00735CBA"/>
    <w:rsid w:val="00735D2E"/>
    <w:rsid w:val="00735E01"/>
    <w:rsid w:val="007360A9"/>
    <w:rsid w:val="007362EA"/>
    <w:rsid w:val="00736927"/>
    <w:rsid w:val="00736938"/>
    <w:rsid w:val="00736D67"/>
    <w:rsid w:val="00736D7C"/>
    <w:rsid w:val="00736F97"/>
    <w:rsid w:val="007371E8"/>
    <w:rsid w:val="0073720D"/>
    <w:rsid w:val="007374D6"/>
    <w:rsid w:val="00737B55"/>
    <w:rsid w:val="00737C0C"/>
    <w:rsid w:val="00737D1A"/>
    <w:rsid w:val="00737F92"/>
    <w:rsid w:val="00737FC9"/>
    <w:rsid w:val="00737FDE"/>
    <w:rsid w:val="00737FF2"/>
    <w:rsid w:val="00740146"/>
    <w:rsid w:val="00740184"/>
    <w:rsid w:val="007405FE"/>
    <w:rsid w:val="0074072E"/>
    <w:rsid w:val="00740866"/>
    <w:rsid w:val="00741346"/>
    <w:rsid w:val="0074180C"/>
    <w:rsid w:val="00741953"/>
    <w:rsid w:val="00741D13"/>
    <w:rsid w:val="0074230B"/>
    <w:rsid w:val="0074231F"/>
    <w:rsid w:val="00742A71"/>
    <w:rsid w:val="00742C73"/>
    <w:rsid w:val="0074352D"/>
    <w:rsid w:val="007436E8"/>
    <w:rsid w:val="00743921"/>
    <w:rsid w:val="00743A34"/>
    <w:rsid w:val="00743AC7"/>
    <w:rsid w:val="00744133"/>
    <w:rsid w:val="007443C9"/>
    <w:rsid w:val="00744676"/>
    <w:rsid w:val="00744837"/>
    <w:rsid w:val="00744D25"/>
    <w:rsid w:val="00744D45"/>
    <w:rsid w:val="00745261"/>
    <w:rsid w:val="007453D0"/>
    <w:rsid w:val="0074557A"/>
    <w:rsid w:val="0074568B"/>
    <w:rsid w:val="00745719"/>
    <w:rsid w:val="00745721"/>
    <w:rsid w:val="00745C68"/>
    <w:rsid w:val="00745D18"/>
    <w:rsid w:val="00745F58"/>
    <w:rsid w:val="007460E9"/>
    <w:rsid w:val="00746283"/>
    <w:rsid w:val="007464A8"/>
    <w:rsid w:val="00746DDA"/>
    <w:rsid w:val="00746DDD"/>
    <w:rsid w:val="007471EF"/>
    <w:rsid w:val="007473C5"/>
    <w:rsid w:val="00747786"/>
    <w:rsid w:val="00747A49"/>
    <w:rsid w:val="00747BE4"/>
    <w:rsid w:val="00747CFE"/>
    <w:rsid w:val="00747FBD"/>
    <w:rsid w:val="007501DE"/>
    <w:rsid w:val="00750685"/>
    <w:rsid w:val="0075092F"/>
    <w:rsid w:val="00750945"/>
    <w:rsid w:val="00750A14"/>
    <w:rsid w:val="00750A46"/>
    <w:rsid w:val="00750AEB"/>
    <w:rsid w:val="0075112F"/>
    <w:rsid w:val="0075118E"/>
    <w:rsid w:val="00751207"/>
    <w:rsid w:val="00751CF7"/>
    <w:rsid w:val="00752C08"/>
    <w:rsid w:val="00753499"/>
    <w:rsid w:val="00753712"/>
    <w:rsid w:val="007538D8"/>
    <w:rsid w:val="00753A78"/>
    <w:rsid w:val="00753C87"/>
    <w:rsid w:val="00753CB3"/>
    <w:rsid w:val="00753E67"/>
    <w:rsid w:val="00754947"/>
    <w:rsid w:val="00754996"/>
    <w:rsid w:val="007549AD"/>
    <w:rsid w:val="00754AD5"/>
    <w:rsid w:val="00754E4A"/>
    <w:rsid w:val="00754EBE"/>
    <w:rsid w:val="007553C5"/>
    <w:rsid w:val="007554FD"/>
    <w:rsid w:val="007555F2"/>
    <w:rsid w:val="00755781"/>
    <w:rsid w:val="00755B97"/>
    <w:rsid w:val="00755FA4"/>
    <w:rsid w:val="007560B2"/>
    <w:rsid w:val="00756872"/>
    <w:rsid w:val="007569DC"/>
    <w:rsid w:val="00756A9B"/>
    <w:rsid w:val="00756C52"/>
    <w:rsid w:val="00756CE1"/>
    <w:rsid w:val="0075720B"/>
    <w:rsid w:val="0075757A"/>
    <w:rsid w:val="0075784C"/>
    <w:rsid w:val="00757E49"/>
    <w:rsid w:val="0075A758"/>
    <w:rsid w:val="00760017"/>
    <w:rsid w:val="00760708"/>
    <w:rsid w:val="007609AF"/>
    <w:rsid w:val="00760A35"/>
    <w:rsid w:val="00760C85"/>
    <w:rsid w:val="00760DCF"/>
    <w:rsid w:val="00760E92"/>
    <w:rsid w:val="00760F0E"/>
    <w:rsid w:val="00760F26"/>
    <w:rsid w:val="007612BC"/>
    <w:rsid w:val="007613C9"/>
    <w:rsid w:val="00761E65"/>
    <w:rsid w:val="00761FC3"/>
    <w:rsid w:val="0076218E"/>
    <w:rsid w:val="007624AC"/>
    <w:rsid w:val="00762645"/>
    <w:rsid w:val="007627D9"/>
    <w:rsid w:val="00762FEE"/>
    <w:rsid w:val="007634DD"/>
    <w:rsid w:val="0076354B"/>
    <w:rsid w:val="00763776"/>
    <w:rsid w:val="0076400F"/>
    <w:rsid w:val="007640CF"/>
    <w:rsid w:val="00764375"/>
    <w:rsid w:val="00764792"/>
    <w:rsid w:val="00764939"/>
    <w:rsid w:val="00764DF0"/>
    <w:rsid w:val="00764E5B"/>
    <w:rsid w:val="00764FF8"/>
    <w:rsid w:val="00765028"/>
    <w:rsid w:val="00765342"/>
    <w:rsid w:val="007655E2"/>
    <w:rsid w:val="00765A49"/>
    <w:rsid w:val="00765AFA"/>
    <w:rsid w:val="00765D92"/>
    <w:rsid w:val="00765DA6"/>
    <w:rsid w:val="00765E89"/>
    <w:rsid w:val="00765F4C"/>
    <w:rsid w:val="007660FB"/>
    <w:rsid w:val="00766101"/>
    <w:rsid w:val="007663D6"/>
    <w:rsid w:val="007664EF"/>
    <w:rsid w:val="00766654"/>
    <w:rsid w:val="0076665D"/>
    <w:rsid w:val="00766E08"/>
    <w:rsid w:val="00767012"/>
    <w:rsid w:val="00767024"/>
    <w:rsid w:val="00767055"/>
    <w:rsid w:val="00767350"/>
    <w:rsid w:val="00767995"/>
    <w:rsid w:val="00767A96"/>
    <w:rsid w:val="00767BE6"/>
    <w:rsid w:val="00770310"/>
    <w:rsid w:val="0077084C"/>
    <w:rsid w:val="007709C0"/>
    <w:rsid w:val="00770BAC"/>
    <w:rsid w:val="00770D77"/>
    <w:rsid w:val="00770E81"/>
    <w:rsid w:val="00770FDD"/>
    <w:rsid w:val="007712F1"/>
    <w:rsid w:val="0077133F"/>
    <w:rsid w:val="00771681"/>
    <w:rsid w:val="00771A39"/>
    <w:rsid w:val="00771B60"/>
    <w:rsid w:val="00771C36"/>
    <w:rsid w:val="00771CB9"/>
    <w:rsid w:val="00771E9B"/>
    <w:rsid w:val="007726F9"/>
    <w:rsid w:val="00772763"/>
    <w:rsid w:val="00772A3F"/>
    <w:rsid w:val="00772DE8"/>
    <w:rsid w:val="00773210"/>
    <w:rsid w:val="007734A3"/>
    <w:rsid w:val="00773564"/>
    <w:rsid w:val="00774034"/>
    <w:rsid w:val="0077412F"/>
    <w:rsid w:val="0077459B"/>
    <w:rsid w:val="0077495B"/>
    <w:rsid w:val="00774BC0"/>
    <w:rsid w:val="00774C82"/>
    <w:rsid w:val="00774CAB"/>
    <w:rsid w:val="00774CDF"/>
    <w:rsid w:val="00775313"/>
    <w:rsid w:val="00775403"/>
    <w:rsid w:val="007756FE"/>
    <w:rsid w:val="0077586A"/>
    <w:rsid w:val="007758D6"/>
    <w:rsid w:val="0077590B"/>
    <w:rsid w:val="00775BED"/>
    <w:rsid w:val="00775D6F"/>
    <w:rsid w:val="00776327"/>
    <w:rsid w:val="00776525"/>
    <w:rsid w:val="00776690"/>
    <w:rsid w:val="007766AA"/>
    <w:rsid w:val="007766F5"/>
    <w:rsid w:val="00776A0F"/>
    <w:rsid w:val="007770C5"/>
    <w:rsid w:val="007771CA"/>
    <w:rsid w:val="0078000E"/>
    <w:rsid w:val="00780731"/>
    <w:rsid w:val="00780909"/>
    <w:rsid w:val="00780914"/>
    <w:rsid w:val="00780C2E"/>
    <w:rsid w:val="00780E7A"/>
    <w:rsid w:val="00780EB0"/>
    <w:rsid w:val="00780F57"/>
    <w:rsid w:val="00781042"/>
    <w:rsid w:val="007810A6"/>
    <w:rsid w:val="007814D6"/>
    <w:rsid w:val="00781826"/>
    <w:rsid w:val="007819F3"/>
    <w:rsid w:val="00781B07"/>
    <w:rsid w:val="00781D64"/>
    <w:rsid w:val="00781E88"/>
    <w:rsid w:val="00782083"/>
    <w:rsid w:val="00782138"/>
    <w:rsid w:val="007821AB"/>
    <w:rsid w:val="00782BE4"/>
    <w:rsid w:val="007835B5"/>
    <w:rsid w:val="0078371C"/>
    <w:rsid w:val="00783A0A"/>
    <w:rsid w:val="007840F4"/>
    <w:rsid w:val="007848CA"/>
    <w:rsid w:val="007849C7"/>
    <w:rsid w:val="00784A58"/>
    <w:rsid w:val="00784AC2"/>
    <w:rsid w:val="007858CB"/>
    <w:rsid w:val="00785A0B"/>
    <w:rsid w:val="00785D93"/>
    <w:rsid w:val="00785E49"/>
    <w:rsid w:val="00785FCA"/>
    <w:rsid w:val="00786178"/>
    <w:rsid w:val="0078636B"/>
    <w:rsid w:val="007864C6"/>
    <w:rsid w:val="007865C5"/>
    <w:rsid w:val="007871D3"/>
    <w:rsid w:val="00787358"/>
    <w:rsid w:val="007875B0"/>
    <w:rsid w:val="00787782"/>
    <w:rsid w:val="00787A85"/>
    <w:rsid w:val="00787B6C"/>
    <w:rsid w:val="00787D2F"/>
    <w:rsid w:val="00787EB7"/>
    <w:rsid w:val="0079017A"/>
    <w:rsid w:val="00790281"/>
    <w:rsid w:val="00790940"/>
    <w:rsid w:val="007910B2"/>
    <w:rsid w:val="00791190"/>
    <w:rsid w:val="007917B2"/>
    <w:rsid w:val="00791C40"/>
    <w:rsid w:val="00791D80"/>
    <w:rsid w:val="00791E9F"/>
    <w:rsid w:val="00792564"/>
    <w:rsid w:val="007926AE"/>
    <w:rsid w:val="00792B66"/>
    <w:rsid w:val="00793059"/>
    <w:rsid w:val="007932A4"/>
    <w:rsid w:val="0079409C"/>
    <w:rsid w:val="00794653"/>
    <w:rsid w:val="007949C4"/>
    <w:rsid w:val="00794B20"/>
    <w:rsid w:val="00794B46"/>
    <w:rsid w:val="00794EE7"/>
    <w:rsid w:val="00794F86"/>
    <w:rsid w:val="00795099"/>
    <w:rsid w:val="007950BB"/>
    <w:rsid w:val="007952C5"/>
    <w:rsid w:val="007954BD"/>
    <w:rsid w:val="00795837"/>
    <w:rsid w:val="007958C0"/>
    <w:rsid w:val="007958C9"/>
    <w:rsid w:val="00795968"/>
    <w:rsid w:val="00795CF8"/>
    <w:rsid w:val="00795E99"/>
    <w:rsid w:val="00796196"/>
    <w:rsid w:val="007963AF"/>
    <w:rsid w:val="0079640C"/>
    <w:rsid w:val="00796560"/>
    <w:rsid w:val="007966EE"/>
    <w:rsid w:val="007968D4"/>
    <w:rsid w:val="0079693F"/>
    <w:rsid w:val="007969A0"/>
    <w:rsid w:val="00796A22"/>
    <w:rsid w:val="00796E98"/>
    <w:rsid w:val="00797001"/>
    <w:rsid w:val="0079758D"/>
    <w:rsid w:val="00797607"/>
    <w:rsid w:val="007978F9"/>
    <w:rsid w:val="00797B61"/>
    <w:rsid w:val="007A0128"/>
    <w:rsid w:val="007A05B1"/>
    <w:rsid w:val="007A0D66"/>
    <w:rsid w:val="007A0E6D"/>
    <w:rsid w:val="007A118E"/>
    <w:rsid w:val="007A15C1"/>
    <w:rsid w:val="007A15C5"/>
    <w:rsid w:val="007A19C6"/>
    <w:rsid w:val="007A1FF6"/>
    <w:rsid w:val="007A208B"/>
    <w:rsid w:val="007A2496"/>
    <w:rsid w:val="007A2ADE"/>
    <w:rsid w:val="007A2AF5"/>
    <w:rsid w:val="007A30D8"/>
    <w:rsid w:val="007A3268"/>
    <w:rsid w:val="007A3405"/>
    <w:rsid w:val="007A35D7"/>
    <w:rsid w:val="007A38F9"/>
    <w:rsid w:val="007A398C"/>
    <w:rsid w:val="007A3FF4"/>
    <w:rsid w:val="007A4E38"/>
    <w:rsid w:val="007A4E7C"/>
    <w:rsid w:val="007A4FA8"/>
    <w:rsid w:val="007A505D"/>
    <w:rsid w:val="007A5072"/>
    <w:rsid w:val="007A58BA"/>
    <w:rsid w:val="007A5C25"/>
    <w:rsid w:val="007A5E01"/>
    <w:rsid w:val="007A60B0"/>
    <w:rsid w:val="007A616F"/>
    <w:rsid w:val="007A62F4"/>
    <w:rsid w:val="007A7265"/>
    <w:rsid w:val="007A7448"/>
    <w:rsid w:val="007A7488"/>
    <w:rsid w:val="007A7619"/>
    <w:rsid w:val="007A79C5"/>
    <w:rsid w:val="007A7E76"/>
    <w:rsid w:val="007A7EF7"/>
    <w:rsid w:val="007B03A6"/>
    <w:rsid w:val="007B04B2"/>
    <w:rsid w:val="007B0E77"/>
    <w:rsid w:val="007B0E7B"/>
    <w:rsid w:val="007B1238"/>
    <w:rsid w:val="007B1321"/>
    <w:rsid w:val="007B15AB"/>
    <w:rsid w:val="007B1AA0"/>
    <w:rsid w:val="007B1D42"/>
    <w:rsid w:val="007B1E96"/>
    <w:rsid w:val="007B27BD"/>
    <w:rsid w:val="007B27D9"/>
    <w:rsid w:val="007B2826"/>
    <w:rsid w:val="007B29C4"/>
    <w:rsid w:val="007B2BD8"/>
    <w:rsid w:val="007B2E36"/>
    <w:rsid w:val="007B2E67"/>
    <w:rsid w:val="007B3013"/>
    <w:rsid w:val="007B360B"/>
    <w:rsid w:val="007B38D1"/>
    <w:rsid w:val="007B3999"/>
    <w:rsid w:val="007B3F54"/>
    <w:rsid w:val="007B405A"/>
    <w:rsid w:val="007B41A9"/>
    <w:rsid w:val="007B48B3"/>
    <w:rsid w:val="007B4C41"/>
    <w:rsid w:val="007B4E90"/>
    <w:rsid w:val="007B5A16"/>
    <w:rsid w:val="007B5AAF"/>
    <w:rsid w:val="007B5D53"/>
    <w:rsid w:val="007B5E48"/>
    <w:rsid w:val="007B6742"/>
    <w:rsid w:val="007B6975"/>
    <w:rsid w:val="007B6DD6"/>
    <w:rsid w:val="007B6F41"/>
    <w:rsid w:val="007B6F59"/>
    <w:rsid w:val="007B6FF4"/>
    <w:rsid w:val="007B7157"/>
    <w:rsid w:val="007B715D"/>
    <w:rsid w:val="007B7779"/>
    <w:rsid w:val="007B796A"/>
    <w:rsid w:val="007B7BFD"/>
    <w:rsid w:val="007B7C2C"/>
    <w:rsid w:val="007C0080"/>
    <w:rsid w:val="007C00D2"/>
    <w:rsid w:val="007C0303"/>
    <w:rsid w:val="007C05A1"/>
    <w:rsid w:val="007C05FB"/>
    <w:rsid w:val="007C0AC5"/>
    <w:rsid w:val="007C0DB7"/>
    <w:rsid w:val="007C0E8B"/>
    <w:rsid w:val="007C104F"/>
    <w:rsid w:val="007C106C"/>
    <w:rsid w:val="007C146E"/>
    <w:rsid w:val="007C16DB"/>
    <w:rsid w:val="007C1D3E"/>
    <w:rsid w:val="007C1F57"/>
    <w:rsid w:val="007C20B7"/>
    <w:rsid w:val="007C2653"/>
    <w:rsid w:val="007C2710"/>
    <w:rsid w:val="007C28EA"/>
    <w:rsid w:val="007C2A01"/>
    <w:rsid w:val="007C308A"/>
    <w:rsid w:val="007C31AB"/>
    <w:rsid w:val="007C3545"/>
    <w:rsid w:val="007C39DC"/>
    <w:rsid w:val="007C3B1B"/>
    <w:rsid w:val="007C437A"/>
    <w:rsid w:val="007C4404"/>
    <w:rsid w:val="007C499C"/>
    <w:rsid w:val="007C4AFD"/>
    <w:rsid w:val="007C4E88"/>
    <w:rsid w:val="007C4EDC"/>
    <w:rsid w:val="007C4F04"/>
    <w:rsid w:val="007C56F5"/>
    <w:rsid w:val="007C5A0A"/>
    <w:rsid w:val="007C5D42"/>
    <w:rsid w:val="007C5D6D"/>
    <w:rsid w:val="007C5F09"/>
    <w:rsid w:val="007C64BB"/>
    <w:rsid w:val="007C7547"/>
    <w:rsid w:val="007C799A"/>
    <w:rsid w:val="007C7B5F"/>
    <w:rsid w:val="007C7F32"/>
    <w:rsid w:val="007D01D6"/>
    <w:rsid w:val="007D04A4"/>
    <w:rsid w:val="007D04DA"/>
    <w:rsid w:val="007D05F3"/>
    <w:rsid w:val="007D0C80"/>
    <w:rsid w:val="007D0DC5"/>
    <w:rsid w:val="007D0E13"/>
    <w:rsid w:val="007D1003"/>
    <w:rsid w:val="007D10A3"/>
    <w:rsid w:val="007D1464"/>
    <w:rsid w:val="007D159F"/>
    <w:rsid w:val="007D1694"/>
    <w:rsid w:val="007D17B7"/>
    <w:rsid w:val="007D1CA6"/>
    <w:rsid w:val="007D218F"/>
    <w:rsid w:val="007D224D"/>
    <w:rsid w:val="007D22AF"/>
    <w:rsid w:val="007D236F"/>
    <w:rsid w:val="007D30AF"/>
    <w:rsid w:val="007D3946"/>
    <w:rsid w:val="007D3BC0"/>
    <w:rsid w:val="007D3BD6"/>
    <w:rsid w:val="007D3C1D"/>
    <w:rsid w:val="007D46C9"/>
    <w:rsid w:val="007D4954"/>
    <w:rsid w:val="007D49D6"/>
    <w:rsid w:val="007D514A"/>
    <w:rsid w:val="007D56F3"/>
    <w:rsid w:val="007D5764"/>
    <w:rsid w:val="007D5864"/>
    <w:rsid w:val="007D58DC"/>
    <w:rsid w:val="007D5EC9"/>
    <w:rsid w:val="007D6208"/>
    <w:rsid w:val="007D621F"/>
    <w:rsid w:val="007D6382"/>
    <w:rsid w:val="007D70F3"/>
    <w:rsid w:val="007D76FC"/>
    <w:rsid w:val="007D7893"/>
    <w:rsid w:val="007D7BF4"/>
    <w:rsid w:val="007E0217"/>
    <w:rsid w:val="007E04A9"/>
    <w:rsid w:val="007E0749"/>
    <w:rsid w:val="007E07CE"/>
    <w:rsid w:val="007E0A2E"/>
    <w:rsid w:val="007E0AE3"/>
    <w:rsid w:val="007E0B6E"/>
    <w:rsid w:val="007E0C4E"/>
    <w:rsid w:val="007E1319"/>
    <w:rsid w:val="007E13C1"/>
    <w:rsid w:val="007E16B8"/>
    <w:rsid w:val="007E170F"/>
    <w:rsid w:val="007E18D1"/>
    <w:rsid w:val="007E1A14"/>
    <w:rsid w:val="007E1B4D"/>
    <w:rsid w:val="007E21B6"/>
    <w:rsid w:val="007E2750"/>
    <w:rsid w:val="007E2DBF"/>
    <w:rsid w:val="007E2F88"/>
    <w:rsid w:val="007E300A"/>
    <w:rsid w:val="007E3055"/>
    <w:rsid w:val="007E3165"/>
    <w:rsid w:val="007E3266"/>
    <w:rsid w:val="007E37AC"/>
    <w:rsid w:val="007E37EA"/>
    <w:rsid w:val="007E3C3D"/>
    <w:rsid w:val="007E3E3D"/>
    <w:rsid w:val="007E3E50"/>
    <w:rsid w:val="007E3FE9"/>
    <w:rsid w:val="007E4211"/>
    <w:rsid w:val="007E45EF"/>
    <w:rsid w:val="007E4781"/>
    <w:rsid w:val="007E4951"/>
    <w:rsid w:val="007E4C5D"/>
    <w:rsid w:val="007E5399"/>
    <w:rsid w:val="007E549E"/>
    <w:rsid w:val="007E564B"/>
    <w:rsid w:val="007E5870"/>
    <w:rsid w:val="007E59A2"/>
    <w:rsid w:val="007E5F32"/>
    <w:rsid w:val="007E61D8"/>
    <w:rsid w:val="007E66F8"/>
    <w:rsid w:val="007E67BD"/>
    <w:rsid w:val="007E6A4D"/>
    <w:rsid w:val="007E6DD8"/>
    <w:rsid w:val="007E6F2A"/>
    <w:rsid w:val="007E71E6"/>
    <w:rsid w:val="007E7241"/>
    <w:rsid w:val="007E747A"/>
    <w:rsid w:val="007E7543"/>
    <w:rsid w:val="007E7636"/>
    <w:rsid w:val="007E76C0"/>
    <w:rsid w:val="007E77E0"/>
    <w:rsid w:val="007E7801"/>
    <w:rsid w:val="007E7D7A"/>
    <w:rsid w:val="007F018C"/>
    <w:rsid w:val="007F0493"/>
    <w:rsid w:val="007F0930"/>
    <w:rsid w:val="007F0E73"/>
    <w:rsid w:val="007F104B"/>
    <w:rsid w:val="007F1747"/>
    <w:rsid w:val="007F1A3D"/>
    <w:rsid w:val="007F22B1"/>
    <w:rsid w:val="007F2D51"/>
    <w:rsid w:val="007F2F34"/>
    <w:rsid w:val="007F2F9D"/>
    <w:rsid w:val="007F335F"/>
    <w:rsid w:val="007F367A"/>
    <w:rsid w:val="007F39EF"/>
    <w:rsid w:val="007F3A5C"/>
    <w:rsid w:val="007F3B43"/>
    <w:rsid w:val="007F3C89"/>
    <w:rsid w:val="007F3F5C"/>
    <w:rsid w:val="007F3FCB"/>
    <w:rsid w:val="007F400D"/>
    <w:rsid w:val="007F4694"/>
    <w:rsid w:val="007F47F6"/>
    <w:rsid w:val="007F49D4"/>
    <w:rsid w:val="007F4A06"/>
    <w:rsid w:val="007F4AA7"/>
    <w:rsid w:val="007F4FD8"/>
    <w:rsid w:val="007F50CE"/>
    <w:rsid w:val="007F5BAD"/>
    <w:rsid w:val="007F5DA1"/>
    <w:rsid w:val="007F603A"/>
    <w:rsid w:val="007F6185"/>
    <w:rsid w:val="007F6BE9"/>
    <w:rsid w:val="007F6EB5"/>
    <w:rsid w:val="007F6F85"/>
    <w:rsid w:val="007F727E"/>
    <w:rsid w:val="007F73E7"/>
    <w:rsid w:val="007F7D94"/>
    <w:rsid w:val="007F7FF7"/>
    <w:rsid w:val="007FC691"/>
    <w:rsid w:val="00800031"/>
    <w:rsid w:val="00800034"/>
    <w:rsid w:val="00800040"/>
    <w:rsid w:val="00800129"/>
    <w:rsid w:val="00800357"/>
    <w:rsid w:val="008006FA"/>
    <w:rsid w:val="0080075F"/>
    <w:rsid w:val="00800762"/>
    <w:rsid w:val="00800B23"/>
    <w:rsid w:val="008012A4"/>
    <w:rsid w:val="00801796"/>
    <w:rsid w:val="00801DEF"/>
    <w:rsid w:val="00801FD0"/>
    <w:rsid w:val="00802102"/>
    <w:rsid w:val="00802170"/>
    <w:rsid w:val="00802861"/>
    <w:rsid w:val="00802886"/>
    <w:rsid w:val="00802A5A"/>
    <w:rsid w:val="00802AEC"/>
    <w:rsid w:val="008030D4"/>
    <w:rsid w:val="0080330A"/>
    <w:rsid w:val="0080335F"/>
    <w:rsid w:val="008037CC"/>
    <w:rsid w:val="008038DC"/>
    <w:rsid w:val="00803E21"/>
    <w:rsid w:val="00804275"/>
    <w:rsid w:val="00804612"/>
    <w:rsid w:val="008049A7"/>
    <w:rsid w:val="00804A15"/>
    <w:rsid w:val="0080502A"/>
    <w:rsid w:val="0080539A"/>
    <w:rsid w:val="00805537"/>
    <w:rsid w:val="00805A25"/>
    <w:rsid w:val="00805C9E"/>
    <w:rsid w:val="00805E03"/>
    <w:rsid w:val="00805E2B"/>
    <w:rsid w:val="008061E5"/>
    <w:rsid w:val="0080640E"/>
    <w:rsid w:val="0080660C"/>
    <w:rsid w:val="00806BF6"/>
    <w:rsid w:val="00806DE5"/>
    <w:rsid w:val="00806F97"/>
    <w:rsid w:val="008075B3"/>
    <w:rsid w:val="00807B5C"/>
    <w:rsid w:val="008102FF"/>
    <w:rsid w:val="00810688"/>
    <w:rsid w:val="00810855"/>
    <w:rsid w:val="00810DD1"/>
    <w:rsid w:val="00810E5B"/>
    <w:rsid w:val="008110EE"/>
    <w:rsid w:val="00811A3C"/>
    <w:rsid w:val="00811CB8"/>
    <w:rsid w:val="008120A0"/>
    <w:rsid w:val="00812120"/>
    <w:rsid w:val="0081213E"/>
    <w:rsid w:val="00812423"/>
    <w:rsid w:val="008124B9"/>
    <w:rsid w:val="0081259E"/>
    <w:rsid w:val="008125E7"/>
    <w:rsid w:val="00812B69"/>
    <w:rsid w:val="00812B7C"/>
    <w:rsid w:val="00812BB8"/>
    <w:rsid w:val="00812C27"/>
    <w:rsid w:val="00813096"/>
    <w:rsid w:val="008136DE"/>
    <w:rsid w:val="008137F0"/>
    <w:rsid w:val="0081380E"/>
    <w:rsid w:val="00813A44"/>
    <w:rsid w:val="00813FD1"/>
    <w:rsid w:val="008143CB"/>
    <w:rsid w:val="008145BA"/>
    <w:rsid w:val="00814623"/>
    <w:rsid w:val="00814723"/>
    <w:rsid w:val="008148B2"/>
    <w:rsid w:val="00814D8F"/>
    <w:rsid w:val="00814FF8"/>
    <w:rsid w:val="0081509E"/>
    <w:rsid w:val="008155C1"/>
    <w:rsid w:val="008157F2"/>
    <w:rsid w:val="00815A78"/>
    <w:rsid w:val="00815A84"/>
    <w:rsid w:val="00815B0F"/>
    <w:rsid w:val="00815E02"/>
    <w:rsid w:val="008160FF"/>
    <w:rsid w:val="00816551"/>
    <w:rsid w:val="0081665B"/>
    <w:rsid w:val="00816896"/>
    <w:rsid w:val="00816BE5"/>
    <w:rsid w:val="00816C13"/>
    <w:rsid w:val="008171E8"/>
    <w:rsid w:val="00817486"/>
    <w:rsid w:val="0081765D"/>
    <w:rsid w:val="00817830"/>
    <w:rsid w:val="00817C86"/>
    <w:rsid w:val="00817CCD"/>
    <w:rsid w:val="00820090"/>
    <w:rsid w:val="0082009A"/>
    <w:rsid w:val="008203E3"/>
    <w:rsid w:val="00820A42"/>
    <w:rsid w:val="00820A62"/>
    <w:rsid w:val="00820E10"/>
    <w:rsid w:val="00821030"/>
    <w:rsid w:val="00821349"/>
    <w:rsid w:val="00821459"/>
    <w:rsid w:val="008217CF"/>
    <w:rsid w:val="00821827"/>
    <w:rsid w:val="00821C47"/>
    <w:rsid w:val="00821CCB"/>
    <w:rsid w:val="00822142"/>
    <w:rsid w:val="008221FF"/>
    <w:rsid w:val="008222C3"/>
    <w:rsid w:val="0082292B"/>
    <w:rsid w:val="00822B80"/>
    <w:rsid w:val="00822F5D"/>
    <w:rsid w:val="00822FD7"/>
    <w:rsid w:val="00822FE7"/>
    <w:rsid w:val="0082306A"/>
    <w:rsid w:val="008233CA"/>
    <w:rsid w:val="0082345C"/>
    <w:rsid w:val="00823673"/>
    <w:rsid w:val="00823868"/>
    <w:rsid w:val="00824816"/>
    <w:rsid w:val="008248BB"/>
    <w:rsid w:val="00824A62"/>
    <w:rsid w:val="00824BBE"/>
    <w:rsid w:val="0082518B"/>
    <w:rsid w:val="00825258"/>
    <w:rsid w:val="008252E4"/>
    <w:rsid w:val="008255E1"/>
    <w:rsid w:val="00825DE3"/>
    <w:rsid w:val="00826614"/>
    <w:rsid w:val="00826ABD"/>
    <w:rsid w:val="00826E78"/>
    <w:rsid w:val="00827473"/>
    <w:rsid w:val="00827569"/>
    <w:rsid w:val="0082785D"/>
    <w:rsid w:val="00827B98"/>
    <w:rsid w:val="00827F41"/>
    <w:rsid w:val="00830123"/>
    <w:rsid w:val="008301AB"/>
    <w:rsid w:val="0083024A"/>
    <w:rsid w:val="008303BA"/>
    <w:rsid w:val="00830624"/>
    <w:rsid w:val="008308C6"/>
    <w:rsid w:val="008309B3"/>
    <w:rsid w:val="00830A76"/>
    <w:rsid w:val="00830B09"/>
    <w:rsid w:val="00830B2B"/>
    <w:rsid w:val="00830D20"/>
    <w:rsid w:val="008311E4"/>
    <w:rsid w:val="00831415"/>
    <w:rsid w:val="00831709"/>
    <w:rsid w:val="00831A9F"/>
    <w:rsid w:val="00831B3A"/>
    <w:rsid w:val="00831B6B"/>
    <w:rsid w:val="00831EB0"/>
    <w:rsid w:val="008324DE"/>
    <w:rsid w:val="008325A9"/>
    <w:rsid w:val="00832732"/>
    <w:rsid w:val="008327A6"/>
    <w:rsid w:val="0083288B"/>
    <w:rsid w:val="008329E4"/>
    <w:rsid w:val="00832B5F"/>
    <w:rsid w:val="0083312C"/>
    <w:rsid w:val="0083322F"/>
    <w:rsid w:val="008334E1"/>
    <w:rsid w:val="00833BE0"/>
    <w:rsid w:val="008344A9"/>
    <w:rsid w:val="008344D9"/>
    <w:rsid w:val="0083455B"/>
    <w:rsid w:val="00834861"/>
    <w:rsid w:val="00834EAF"/>
    <w:rsid w:val="0083527F"/>
    <w:rsid w:val="008358D0"/>
    <w:rsid w:val="00835B71"/>
    <w:rsid w:val="00835D5A"/>
    <w:rsid w:val="008364BA"/>
    <w:rsid w:val="008364E4"/>
    <w:rsid w:val="00836E96"/>
    <w:rsid w:val="00837053"/>
    <w:rsid w:val="00837C5D"/>
    <w:rsid w:val="00837D35"/>
    <w:rsid w:val="00837DD5"/>
    <w:rsid w:val="008404C2"/>
    <w:rsid w:val="00840A6B"/>
    <w:rsid w:val="00840E1E"/>
    <w:rsid w:val="00841502"/>
    <w:rsid w:val="008415D5"/>
    <w:rsid w:val="00841755"/>
    <w:rsid w:val="00841CA5"/>
    <w:rsid w:val="00841F69"/>
    <w:rsid w:val="00841FD5"/>
    <w:rsid w:val="00842197"/>
    <w:rsid w:val="0084248D"/>
    <w:rsid w:val="0084257D"/>
    <w:rsid w:val="008425B2"/>
    <w:rsid w:val="008425F7"/>
    <w:rsid w:val="0084282D"/>
    <w:rsid w:val="00842832"/>
    <w:rsid w:val="00842B49"/>
    <w:rsid w:val="0084302F"/>
    <w:rsid w:val="008435C3"/>
    <w:rsid w:val="008436A3"/>
    <w:rsid w:val="008437AA"/>
    <w:rsid w:val="008438BE"/>
    <w:rsid w:val="00843C2C"/>
    <w:rsid w:val="00843EAB"/>
    <w:rsid w:val="00844121"/>
    <w:rsid w:val="00844127"/>
    <w:rsid w:val="008446B0"/>
    <w:rsid w:val="008446BD"/>
    <w:rsid w:val="008446D8"/>
    <w:rsid w:val="0084476C"/>
    <w:rsid w:val="00844A4C"/>
    <w:rsid w:val="00844CC8"/>
    <w:rsid w:val="00844DB9"/>
    <w:rsid w:val="008452CE"/>
    <w:rsid w:val="00845467"/>
    <w:rsid w:val="00845787"/>
    <w:rsid w:val="00845FA7"/>
    <w:rsid w:val="00846078"/>
    <w:rsid w:val="0084635C"/>
    <w:rsid w:val="0084640F"/>
    <w:rsid w:val="008466EA"/>
    <w:rsid w:val="0084699A"/>
    <w:rsid w:val="00846BED"/>
    <w:rsid w:val="00846CAB"/>
    <w:rsid w:val="00846F2D"/>
    <w:rsid w:val="0084711D"/>
    <w:rsid w:val="008472DD"/>
    <w:rsid w:val="00847559"/>
    <w:rsid w:val="00847925"/>
    <w:rsid w:val="00847BF7"/>
    <w:rsid w:val="00847CD8"/>
    <w:rsid w:val="00847F8D"/>
    <w:rsid w:val="008501F6"/>
    <w:rsid w:val="0085030B"/>
    <w:rsid w:val="00850390"/>
    <w:rsid w:val="0085046A"/>
    <w:rsid w:val="0085066D"/>
    <w:rsid w:val="00850A53"/>
    <w:rsid w:val="00850B64"/>
    <w:rsid w:val="00850D31"/>
    <w:rsid w:val="00850F32"/>
    <w:rsid w:val="00851034"/>
    <w:rsid w:val="00851083"/>
    <w:rsid w:val="00851493"/>
    <w:rsid w:val="0085152B"/>
    <w:rsid w:val="008519E9"/>
    <w:rsid w:val="00852157"/>
    <w:rsid w:val="00852264"/>
    <w:rsid w:val="00852AD4"/>
    <w:rsid w:val="0085332C"/>
    <w:rsid w:val="00853473"/>
    <w:rsid w:val="00853B5F"/>
    <w:rsid w:val="00853D4F"/>
    <w:rsid w:val="00853E91"/>
    <w:rsid w:val="00853F19"/>
    <w:rsid w:val="00854074"/>
    <w:rsid w:val="0085459B"/>
    <w:rsid w:val="008545DD"/>
    <w:rsid w:val="00854ED5"/>
    <w:rsid w:val="00854FC8"/>
    <w:rsid w:val="00855A63"/>
    <w:rsid w:val="00855B55"/>
    <w:rsid w:val="00855BB1"/>
    <w:rsid w:val="00855C5A"/>
    <w:rsid w:val="00855DD2"/>
    <w:rsid w:val="00855F1A"/>
    <w:rsid w:val="008560D9"/>
    <w:rsid w:val="00856417"/>
    <w:rsid w:val="00856655"/>
    <w:rsid w:val="008566BC"/>
    <w:rsid w:val="00856753"/>
    <w:rsid w:val="00856906"/>
    <w:rsid w:val="00856A3D"/>
    <w:rsid w:val="00856AF8"/>
    <w:rsid w:val="00856F6F"/>
    <w:rsid w:val="00857001"/>
    <w:rsid w:val="0085720A"/>
    <w:rsid w:val="00857717"/>
    <w:rsid w:val="00857FE9"/>
    <w:rsid w:val="008609A5"/>
    <w:rsid w:val="00860F6F"/>
    <w:rsid w:val="00861669"/>
    <w:rsid w:val="00861B34"/>
    <w:rsid w:val="00862719"/>
    <w:rsid w:val="008628BA"/>
    <w:rsid w:val="00862B30"/>
    <w:rsid w:val="0086351E"/>
    <w:rsid w:val="00863584"/>
    <w:rsid w:val="00863938"/>
    <w:rsid w:val="00863A9D"/>
    <w:rsid w:val="00863D08"/>
    <w:rsid w:val="00863D32"/>
    <w:rsid w:val="00863FC5"/>
    <w:rsid w:val="00864242"/>
    <w:rsid w:val="008645A8"/>
    <w:rsid w:val="00864BAE"/>
    <w:rsid w:val="00864D19"/>
    <w:rsid w:val="00864E96"/>
    <w:rsid w:val="00864ED9"/>
    <w:rsid w:val="00864FC8"/>
    <w:rsid w:val="008653F8"/>
    <w:rsid w:val="00865E33"/>
    <w:rsid w:val="0086601A"/>
    <w:rsid w:val="00866298"/>
    <w:rsid w:val="008663DB"/>
    <w:rsid w:val="00866B23"/>
    <w:rsid w:val="00866BE2"/>
    <w:rsid w:val="00866E24"/>
    <w:rsid w:val="00866E60"/>
    <w:rsid w:val="008671A3"/>
    <w:rsid w:val="00867578"/>
    <w:rsid w:val="00867701"/>
    <w:rsid w:val="008677FE"/>
    <w:rsid w:val="00867985"/>
    <w:rsid w:val="00867D85"/>
    <w:rsid w:val="00867EA5"/>
    <w:rsid w:val="00870287"/>
    <w:rsid w:val="00870678"/>
    <w:rsid w:val="00870A4A"/>
    <w:rsid w:val="00870AE2"/>
    <w:rsid w:val="0087129E"/>
    <w:rsid w:val="00871581"/>
    <w:rsid w:val="00871AA3"/>
    <w:rsid w:val="00871BDE"/>
    <w:rsid w:val="00871D17"/>
    <w:rsid w:val="00871D26"/>
    <w:rsid w:val="00871EA2"/>
    <w:rsid w:val="00872472"/>
    <w:rsid w:val="00872594"/>
    <w:rsid w:val="008727A6"/>
    <w:rsid w:val="00872AE5"/>
    <w:rsid w:val="00872C92"/>
    <w:rsid w:val="00873032"/>
    <w:rsid w:val="00873126"/>
    <w:rsid w:val="0087370C"/>
    <w:rsid w:val="00873A8A"/>
    <w:rsid w:val="00873D09"/>
    <w:rsid w:val="00873DDE"/>
    <w:rsid w:val="00873E36"/>
    <w:rsid w:val="008742B9"/>
    <w:rsid w:val="008744A0"/>
    <w:rsid w:val="00874705"/>
    <w:rsid w:val="00874F09"/>
    <w:rsid w:val="00874F1F"/>
    <w:rsid w:val="00875158"/>
    <w:rsid w:val="00875336"/>
    <w:rsid w:val="00875540"/>
    <w:rsid w:val="00875624"/>
    <w:rsid w:val="008757D7"/>
    <w:rsid w:val="008758DE"/>
    <w:rsid w:val="00875B07"/>
    <w:rsid w:val="00875C62"/>
    <w:rsid w:val="00875DA6"/>
    <w:rsid w:val="00876563"/>
    <w:rsid w:val="0087687C"/>
    <w:rsid w:val="00876BF6"/>
    <w:rsid w:val="00876F88"/>
    <w:rsid w:val="008775FB"/>
    <w:rsid w:val="008801A5"/>
    <w:rsid w:val="00880260"/>
    <w:rsid w:val="008807AD"/>
    <w:rsid w:val="008809ED"/>
    <w:rsid w:val="00880B40"/>
    <w:rsid w:val="00880BE9"/>
    <w:rsid w:val="0088101E"/>
    <w:rsid w:val="00881338"/>
    <w:rsid w:val="00881703"/>
    <w:rsid w:val="00881BFB"/>
    <w:rsid w:val="00881C16"/>
    <w:rsid w:val="0088239D"/>
    <w:rsid w:val="00882F73"/>
    <w:rsid w:val="00882F84"/>
    <w:rsid w:val="00882F85"/>
    <w:rsid w:val="00882FA2"/>
    <w:rsid w:val="0088349F"/>
    <w:rsid w:val="00883666"/>
    <w:rsid w:val="00883739"/>
    <w:rsid w:val="00883999"/>
    <w:rsid w:val="00883B4C"/>
    <w:rsid w:val="00883ED6"/>
    <w:rsid w:val="0088407E"/>
    <w:rsid w:val="0088423F"/>
    <w:rsid w:val="008849A5"/>
    <w:rsid w:val="008851C5"/>
    <w:rsid w:val="00885751"/>
    <w:rsid w:val="00885790"/>
    <w:rsid w:val="00885962"/>
    <w:rsid w:val="00885996"/>
    <w:rsid w:val="00885C6B"/>
    <w:rsid w:val="00885DF3"/>
    <w:rsid w:val="0088612A"/>
    <w:rsid w:val="0088650F"/>
    <w:rsid w:val="008865C5"/>
    <w:rsid w:val="008866B7"/>
    <w:rsid w:val="008867C5"/>
    <w:rsid w:val="00887252"/>
    <w:rsid w:val="008872B8"/>
    <w:rsid w:val="008873C7"/>
    <w:rsid w:val="00887569"/>
    <w:rsid w:val="008878DF"/>
    <w:rsid w:val="00887D91"/>
    <w:rsid w:val="008906EB"/>
    <w:rsid w:val="008907E2"/>
    <w:rsid w:val="008907FD"/>
    <w:rsid w:val="00890886"/>
    <w:rsid w:val="00890B05"/>
    <w:rsid w:val="00890B18"/>
    <w:rsid w:val="00890BA2"/>
    <w:rsid w:val="00890EEF"/>
    <w:rsid w:val="00890FC4"/>
    <w:rsid w:val="00891113"/>
    <w:rsid w:val="0089128D"/>
    <w:rsid w:val="008912E5"/>
    <w:rsid w:val="00891508"/>
    <w:rsid w:val="00891A56"/>
    <w:rsid w:val="0089208E"/>
    <w:rsid w:val="00892449"/>
    <w:rsid w:val="00892706"/>
    <w:rsid w:val="00892A55"/>
    <w:rsid w:val="00892E6E"/>
    <w:rsid w:val="00892EFC"/>
    <w:rsid w:val="00893169"/>
    <w:rsid w:val="0089329C"/>
    <w:rsid w:val="0089340D"/>
    <w:rsid w:val="008938E1"/>
    <w:rsid w:val="0089394D"/>
    <w:rsid w:val="0089397B"/>
    <w:rsid w:val="00894015"/>
    <w:rsid w:val="008942CF"/>
    <w:rsid w:val="00894F58"/>
    <w:rsid w:val="00895430"/>
    <w:rsid w:val="00895A20"/>
    <w:rsid w:val="00895A32"/>
    <w:rsid w:val="00895CAE"/>
    <w:rsid w:val="00895E11"/>
    <w:rsid w:val="00896000"/>
    <w:rsid w:val="008961DA"/>
    <w:rsid w:val="008961DE"/>
    <w:rsid w:val="008962AD"/>
    <w:rsid w:val="00896881"/>
    <w:rsid w:val="00896C06"/>
    <w:rsid w:val="00896EE9"/>
    <w:rsid w:val="008973F2"/>
    <w:rsid w:val="00897447"/>
    <w:rsid w:val="008977FB"/>
    <w:rsid w:val="0089797E"/>
    <w:rsid w:val="00897AF1"/>
    <w:rsid w:val="00897C19"/>
    <w:rsid w:val="008A0105"/>
    <w:rsid w:val="008A030D"/>
    <w:rsid w:val="008A055A"/>
    <w:rsid w:val="008A0953"/>
    <w:rsid w:val="008A102F"/>
    <w:rsid w:val="008A13D5"/>
    <w:rsid w:val="008A1543"/>
    <w:rsid w:val="008A160D"/>
    <w:rsid w:val="008A17CE"/>
    <w:rsid w:val="008A17DF"/>
    <w:rsid w:val="008A1922"/>
    <w:rsid w:val="008A19D2"/>
    <w:rsid w:val="008A26C0"/>
    <w:rsid w:val="008A27D0"/>
    <w:rsid w:val="008A2821"/>
    <w:rsid w:val="008A28AA"/>
    <w:rsid w:val="008A2CC3"/>
    <w:rsid w:val="008A317A"/>
    <w:rsid w:val="008A356F"/>
    <w:rsid w:val="008A366A"/>
    <w:rsid w:val="008A38CF"/>
    <w:rsid w:val="008A3CE0"/>
    <w:rsid w:val="008A414F"/>
    <w:rsid w:val="008A45D3"/>
    <w:rsid w:val="008A4C59"/>
    <w:rsid w:val="008A505D"/>
    <w:rsid w:val="008A5159"/>
    <w:rsid w:val="008A546C"/>
    <w:rsid w:val="008A5C08"/>
    <w:rsid w:val="008A5C27"/>
    <w:rsid w:val="008A5CAE"/>
    <w:rsid w:val="008A65DD"/>
    <w:rsid w:val="008A6A59"/>
    <w:rsid w:val="008A6D41"/>
    <w:rsid w:val="008A70A9"/>
    <w:rsid w:val="008A7182"/>
    <w:rsid w:val="008A7351"/>
    <w:rsid w:val="008A74B2"/>
    <w:rsid w:val="008A775B"/>
    <w:rsid w:val="008A7A17"/>
    <w:rsid w:val="008A7B68"/>
    <w:rsid w:val="008B0143"/>
    <w:rsid w:val="008B0431"/>
    <w:rsid w:val="008B043C"/>
    <w:rsid w:val="008B044A"/>
    <w:rsid w:val="008B04D3"/>
    <w:rsid w:val="008B0576"/>
    <w:rsid w:val="008B092E"/>
    <w:rsid w:val="008B09AA"/>
    <w:rsid w:val="008B0A31"/>
    <w:rsid w:val="008B0A92"/>
    <w:rsid w:val="008B0B4F"/>
    <w:rsid w:val="008B0CAD"/>
    <w:rsid w:val="008B0D30"/>
    <w:rsid w:val="008B139F"/>
    <w:rsid w:val="008B1405"/>
    <w:rsid w:val="008B141C"/>
    <w:rsid w:val="008B14EC"/>
    <w:rsid w:val="008B1577"/>
    <w:rsid w:val="008B16AE"/>
    <w:rsid w:val="008B1AEC"/>
    <w:rsid w:val="008B1B06"/>
    <w:rsid w:val="008B1E70"/>
    <w:rsid w:val="008B2128"/>
    <w:rsid w:val="008B2136"/>
    <w:rsid w:val="008B21D0"/>
    <w:rsid w:val="008B22EB"/>
    <w:rsid w:val="008B2D68"/>
    <w:rsid w:val="008B2E70"/>
    <w:rsid w:val="008B335A"/>
    <w:rsid w:val="008B3954"/>
    <w:rsid w:val="008B3B2B"/>
    <w:rsid w:val="008B3E33"/>
    <w:rsid w:val="008B4159"/>
    <w:rsid w:val="008B4272"/>
    <w:rsid w:val="008B4974"/>
    <w:rsid w:val="008B570B"/>
    <w:rsid w:val="008B5732"/>
    <w:rsid w:val="008B5ACA"/>
    <w:rsid w:val="008B6429"/>
    <w:rsid w:val="008B642A"/>
    <w:rsid w:val="008B6831"/>
    <w:rsid w:val="008B6B35"/>
    <w:rsid w:val="008B6D6E"/>
    <w:rsid w:val="008B6DDD"/>
    <w:rsid w:val="008B6E81"/>
    <w:rsid w:val="008B6E95"/>
    <w:rsid w:val="008B71BE"/>
    <w:rsid w:val="008B771C"/>
    <w:rsid w:val="008C03C9"/>
    <w:rsid w:val="008C0608"/>
    <w:rsid w:val="008C0880"/>
    <w:rsid w:val="008C0AE1"/>
    <w:rsid w:val="008C0B1F"/>
    <w:rsid w:val="008C0F88"/>
    <w:rsid w:val="008C13A0"/>
    <w:rsid w:val="008C16B6"/>
    <w:rsid w:val="008C1AD5"/>
    <w:rsid w:val="008C1BFD"/>
    <w:rsid w:val="008C1D70"/>
    <w:rsid w:val="008C2191"/>
    <w:rsid w:val="008C225A"/>
    <w:rsid w:val="008C2634"/>
    <w:rsid w:val="008C2862"/>
    <w:rsid w:val="008C2B6A"/>
    <w:rsid w:val="008C2E4F"/>
    <w:rsid w:val="008C2FAE"/>
    <w:rsid w:val="008C3414"/>
    <w:rsid w:val="008C3453"/>
    <w:rsid w:val="008C35A6"/>
    <w:rsid w:val="008C372D"/>
    <w:rsid w:val="008C3BE1"/>
    <w:rsid w:val="008C3D50"/>
    <w:rsid w:val="008C448E"/>
    <w:rsid w:val="008C48F3"/>
    <w:rsid w:val="008C4C04"/>
    <w:rsid w:val="008C4EB9"/>
    <w:rsid w:val="008C50CC"/>
    <w:rsid w:val="008C51E6"/>
    <w:rsid w:val="008C5750"/>
    <w:rsid w:val="008C57EB"/>
    <w:rsid w:val="008C615B"/>
    <w:rsid w:val="008C626B"/>
    <w:rsid w:val="008C65A2"/>
    <w:rsid w:val="008C663B"/>
    <w:rsid w:val="008C68CD"/>
    <w:rsid w:val="008C6C3C"/>
    <w:rsid w:val="008C6DB4"/>
    <w:rsid w:val="008C6F70"/>
    <w:rsid w:val="008C708D"/>
    <w:rsid w:val="008C7412"/>
    <w:rsid w:val="008C7469"/>
    <w:rsid w:val="008C7912"/>
    <w:rsid w:val="008C7A27"/>
    <w:rsid w:val="008C7BD0"/>
    <w:rsid w:val="008C7CA4"/>
    <w:rsid w:val="008C8FC8"/>
    <w:rsid w:val="008D013A"/>
    <w:rsid w:val="008D0647"/>
    <w:rsid w:val="008D08B0"/>
    <w:rsid w:val="008D09BD"/>
    <w:rsid w:val="008D0A3A"/>
    <w:rsid w:val="008D0D62"/>
    <w:rsid w:val="008D0E6E"/>
    <w:rsid w:val="008D0EE1"/>
    <w:rsid w:val="008D17DC"/>
    <w:rsid w:val="008D1B72"/>
    <w:rsid w:val="008D1FDF"/>
    <w:rsid w:val="008D2132"/>
    <w:rsid w:val="008D2328"/>
    <w:rsid w:val="008D23E2"/>
    <w:rsid w:val="008D2CA1"/>
    <w:rsid w:val="008D3085"/>
    <w:rsid w:val="008D31EA"/>
    <w:rsid w:val="008D41AE"/>
    <w:rsid w:val="008D4829"/>
    <w:rsid w:val="008D4DE8"/>
    <w:rsid w:val="008D4E22"/>
    <w:rsid w:val="008D509E"/>
    <w:rsid w:val="008D52DA"/>
    <w:rsid w:val="008D54D7"/>
    <w:rsid w:val="008D56E6"/>
    <w:rsid w:val="008D58A3"/>
    <w:rsid w:val="008D5A20"/>
    <w:rsid w:val="008D61B3"/>
    <w:rsid w:val="008D63FE"/>
    <w:rsid w:val="008D64A6"/>
    <w:rsid w:val="008D68AC"/>
    <w:rsid w:val="008D6965"/>
    <w:rsid w:val="008D69EF"/>
    <w:rsid w:val="008D6DBB"/>
    <w:rsid w:val="008E023E"/>
    <w:rsid w:val="008E06D8"/>
    <w:rsid w:val="008E0B74"/>
    <w:rsid w:val="008E0F75"/>
    <w:rsid w:val="008E120D"/>
    <w:rsid w:val="008E199E"/>
    <w:rsid w:val="008E1D82"/>
    <w:rsid w:val="008E1D94"/>
    <w:rsid w:val="008E1FC5"/>
    <w:rsid w:val="008E20C4"/>
    <w:rsid w:val="008E2588"/>
    <w:rsid w:val="008E2718"/>
    <w:rsid w:val="008E29AC"/>
    <w:rsid w:val="008E2A49"/>
    <w:rsid w:val="008E2B8C"/>
    <w:rsid w:val="008E2DE0"/>
    <w:rsid w:val="008E4337"/>
    <w:rsid w:val="008E4395"/>
    <w:rsid w:val="008E455C"/>
    <w:rsid w:val="008E459F"/>
    <w:rsid w:val="008E46B7"/>
    <w:rsid w:val="008E4701"/>
    <w:rsid w:val="008E4B9A"/>
    <w:rsid w:val="008E52E9"/>
    <w:rsid w:val="008E5A2B"/>
    <w:rsid w:val="008E5B74"/>
    <w:rsid w:val="008E60AF"/>
    <w:rsid w:val="008E6118"/>
    <w:rsid w:val="008E6238"/>
    <w:rsid w:val="008E624D"/>
    <w:rsid w:val="008E6442"/>
    <w:rsid w:val="008E65B0"/>
    <w:rsid w:val="008E697C"/>
    <w:rsid w:val="008E6BF8"/>
    <w:rsid w:val="008E6DA2"/>
    <w:rsid w:val="008E6FF3"/>
    <w:rsid w:val="008E757B"/>
    <w:rsid w:val="008E7D12"/>
    <w:rsid w:val="008F06F8"/>
    <w:rsid w:val="008F14D2"/>
    <w:rsid w:val="008F1565"/>
    <w:rsid w:val="008F1767"/>
    <w:rsid w:val="008F1903"/>
    <w:rsid w:val="008F19BE"/>
    <w:rsid w:val="008F1B6B"/>
    <w:rsid w:val="008F1C68"/>
    <w:rsid w:val="008F2059"/>
    <w:rsid w:val="008F23A5"/>
    <w:rsid w:val="008F24B6"/>
    <w:rsid w:val="008F28EE"/>
    <w:rsid w:val="008F3190"/>
    <w:rsid w:val="008F35B5"/>
    <w:rsid w:val="008F35D0"/>
    <w:rsid w:val="008F3BF0"/>
    <w:rsid w:val="008F3EC4"/>
    <w:rsid w:val="008F4329"/>
    <w:rsid w:val="008F454E"/>
    <w:rsid w:val="008F4986"/>
    <w:rsid w:val="008F4B6B"/>
    <w:rsid w:val="008F4BB1"/>
    <w:rsid w:val="008F4C50"/>
    <w:rsid w:val="008F5064"/>
    <w:rsid w:val="008F50C8"/>
    <w:rsid w:val="008F536F"/>
    <w:rsid w:val="008F53F6"/>
    <w:rsid w:val="008F566C"/>
    <w:rsid w:val="008F57A3"/>
    <w:rsid w:val="008F583D"/>
    <w:rsid w:val="008F5A4A"/>
    <w:rsid w:val="008F5DCC"/>
    <w:rsid w:val="008F62AF"/>
    <w:rsid w:val="008F64DB"/>
    <w:rsid w:val="008F65F2"/>
    <w:rsid w:val="008F701B"/>
    <w:rsid w:val="008F7351"/>
    <w:rsid w:val="008F73EF"/>
    <w:rsid w:val="008F7541"/>
    <w:rsid w:val="008F7565"/>
    <w:rsid w:val="008F759B"/>
    <w:rsid w:val="008F77D2"/>
    <w:rsid w:val="008F78BC"/>
    <w:rsid w:val="008F7936"/>
    <w:rsid w:val="008F7AED"/>
    <w:rsid w:val="008F7C30"/>
    <w:rsid w:val="008F7CA6"/>
    <w:rsid w:val="00900004"/>
    <w:rsid w:val="0090007F"/>
    <w:rsid w:val="00900339"/>
    <w:rsid w:val="00900361"/>
    <w:rsid w:val="00900379"/>
    <w:rsid w:val="0090040C"/>
    <w:rsid w:val="00900595"/>
    <w:rsid w:val="009006B8"/>
    <w:rsid w:val="00900EE6"/>
    <w:rsid w:val="00900F9C"/>
    <w:rsid w:val="00901023"/>
    <w:rsid w:val="00901142"/>
    <w:rsid w:val="009016EA"/>
    <w:rsid w:val="009018D4"/>
    <w:rsid w:val="00901917"/>
    <w:rsid w:val="0090194A"/>
    <w:rsid w:val="00901F9F"/>
    <w:rsid w:val="009026E1"/>
    <w:rsid w:val="00902878"/>
    <w:rsid w:val="00902A37"/>
    <w:rsid w:val="00902BF9"/>
    <w:rsid w:val="009037F9"/>
    <w:rsid w:val="009038E8"/>
    <w:rsid w:val="009038EE"/>
    <w:rsid w:val="00903E07"/>
    <w:rsid w:val="00904095"/>
    <w:rsid w:val="0090421A"/>
    <w:rsid w:val="00904232"/>
    <w:rsid w:val="0090425F"/>
    <w:rsid w:val="009042CE"/>
    <w:rsid w:val="009044AB"/>
    <w:rsid w:val="00904666"/>
    <w:rsid w:val="009046E4"/>
    <w:rsid w:val="009052E6"/>
    <w:rsid w:val="00905322"/>
    <w:rsid w:val="00905476"/>
    <w:rsid w:val="00905545"/>
    <w:rsid w:val="00905882"/>
    <w:rsid w:val="00905BC4"/>
    <w:rsid w:val="00905E0F"/>
    <w:rsid w:val="0090642E"/>
    <w:rsid w:val="00906612"/>
    <w:rsid w:val="00906A05"/>
    <w:rsid w:val="00906A23"/>
    <w:rsid w:val="00906C80"/>
    <w:rsid w:val="00906E28"/>
    <w:rsid w:val="00907550"/>
    <w:rsid w:val="00907BF2"/>
    <w:rsid w:val="00907C01"/>
    <w:rsid w:val="00907E4C"/>
    <w:rsid w:val="0090A526"/>
    <w:rsid w:val="009100C2"/>
    <w:rsid w:val="009100F9"/>
    <w:rsid w:val="00910151"/>
    <w:rsid w:val="00910341"/>
    <w:rsid w:val="009105C6"/>
    <w:rsid w:val="00910971"/>
    <w:rsid w:val="009109A5"/>
    <w:rsid w:val="00910AD5"/>
    <w:rsid w:val="00910EE7"/>
    <w:rsid w:val="00910EEE"/>
    <w:rsid w:val="00911110"/>
    <w:rsid w:val="00911214"/>
    <w:rsid w:val="00911357"/>
    <w:rsid w:val="009115EC"/>
    <w:rsid w:val="00911725"/>
    <w:rsid w:val="0091186C"/>
    <w:rsid w:val="00911C85"/>
    <w:rsid w:val="009123D9"/>
    <w:rsid w:val="00912431"/>
    <w:rsid w:val="00912718"/>
    <w:rsid w:val="00912A0E"/>
    <w:rsid w:val="00912FCB"/>
    <w:rsid w:val="0091333E"/>
    <w:rsid w:val="009134F7"/>
    <w:rsid w:val="009145E9"/>
    <w:rsid w:val="00914974"/>
    <w:rsid w:val="009157EC"/>
    <w:rsid w:val="009158E9"/>
    <w:rsid w:val="00915DB8"/>
    <w:rsid w:val="0091603D"/>
    <w:rsid w:val="0091611C"/>
    <w:rsid w:val="00916280"/>
    <w:rsid w:val="009162AC"/>
    <w:rsid w:val="00916350"/>
    <w:rsid w:val="0091644B"/>
    <w:rsid w:val="009168A1"/>
    <w:rsid w:val="00916B58"/>
    <w:rsid w:val="00916E85"/>
    <w:rsid w:val="00916F2E"/>
    <w:rsid w:val="0091712D"/>
    <w:rsid w:val="009174C2"/>
    <w:rsid w:val="0091756B"/>
    <w:rsid w:val="009175B7"/>
    <w:rsid w:val="009179FB"/>
    <w:rsid w:val="00917DB7"/>
    <w:rsid w:val="0091F9C5"/>
    <w:rsid w:val="009203EB"/>
    <w:rsid w:val="0092087A"/>
    <w:rsid w:val="0092089A"/>
    <w:rsid w:val="00920A18"/>
    <w:rsid w:val="00920AF2"/>
    <w:rsid w:val="00920E1C"/>
    <w:rsid w:val="00921105"/>
    <w:rsid w:val="00921176"/>
    <w:rsid w:val="00921295"/>
    <w:rsid w:val="00921358"/>
    <w:rsid w:val="009213E1"/>
    <w:rsid w:val="00921813"/>
    <w:rsid w:val="00921C11"/>
    <w:rsid w:val="00921D63"/>
    <w:rsid w:val="00921DBC"/>
    <w:rsid w:val="009222DF"/>
    <w:rsid w:val="00922436"/>
    <w:rsid w:val="0092250D"/>
    <w:rsid w:val="00922852"/>
    <w:rsid w:val="00922903"/>
    <w:rsid w:val="00922B14"/>
    <w:rsid w:val="00922ED3"/>
    <w:rsid w:val="00923D58"/>
    <w:rsid w:val="00923E8F"/>
    <w:rsid w:val="0092477B"/>
    <w:rsid w:val="009249D5"/>
    <w:rsid w:val="00924C03"/>
    <w:rsid w:val="00924D32"/>
    <w:rsid w:val="00924DA3"/>
    <w:rsid w:val="00925026"/>
    <w:rsid w:val="00925251"/>
    <w:rsid w:val="00925341"/>
    <w:rsid w:val="00925721"/>
    <w:rsid w:val="009259D6"/>
    <w:rsid w:val="00925A0B"/>
    <w:rsid w:val="00925C88"/>
    <w:rsid w:val="00926227"/>
    <w:rsid w:val="0092625F"/>
    <w:rsid w:val="009265FC"/>
    <w:rsid w:val="009267A6"/>
    <w:rsid w:val="009267C3"/>
    <w:rsid w:val="00926989"/>
    <w:rsid w:val="00926F6B"/>
    <w:rsid w:val="0092704C"/>
    <w:rsid w:val="0092754B"/>
    <w:rsid w:val="0092756C"/>
    <w:rsid w:val="00927932"/>
    <w:rsid w:val="00930175"/>
    <w:rsid w:val="00930327"/>
    <w:rsid w:val="009306C3"/>
    <w:rsid w:val="00930D49"/>
    <w:rsid w:val="00930EFB"/>
    <w:rsid w:val="00931853"/>
    <w:rsid w:val="009318E5"/>
    <w:rsid w:val="00931A2A"/>
    <w:rsid w:val="00931E1F"/>
    <w:rsid w:val="00932593"/>
    <w:rsid w:val="009327D1"/>
    <w:rsid w:val="009328D9"/>
    <w:rsid w:val="00932C4F"/>
    <w:rsid w:val="00932E72"/>
    <w:rsid w:val="00932E85"/>
    <w:rsid w:val="00932F24"/>
    <w:rsid w:val="00932FC0"/>
    <w:rsid w:val="0093355D"/>
    <w:rsid w:val="009338DD"/>
    <w:rsid w:val="00933D17"/>
    <w:rsid w:val="00933DE7"/>
    <w:rsid w:val="00933F3B"/>
    <w:rsid w:val="00934A43"/>
    <w:rsid w:val="00934BAD"/>
    <w:rsid w:val="00934C59"/>
    <w:rsid w:val="00934E72"/>
    <w:rsid w:val="0093559B"/>
    <w:rsid w:val="00935740"/>
    <w:rsid w:val="00935B60"/>
    <w:rsid w:val="00936139"/>
    <w:rsid w:val="00936568"/>
    <w:rsid w:val="009365C4"/>
    <w:rsid w:val="009369D4"/>
    <w:rsid w:val="009369E3"/>
    <w:rsid w:val="00936E42"/>
    <w:rsid w:val="0093735C"/>
    <w:rsid w:val="0093764A"/>
    <w:rsid w:val="00937F0A"/>
    <w:rsid w:val="0093CA68"/>
    <w:rsid w:val="00940075"/>
    <w:rsid w:val="0094028A"/>
    <w:rsid w:val="009402A5"/>
    <w:rsid w:val="00940311"/>
    <w:rsid w:val="0094034A"/>
    <w:rsid w:val="00940B0F"/>
    <w:rsid w:val="00941212"/>
    <w:rsid w:val="00941581"/>
    <w:rsid w:val="0094218A"/>
    <w:rsid w:val="00942598"/>
    <w:rsid w:val="0094271B"/>
    <w:rsid w:val="009433AD"/>
    <w:rsid w:val="00943DCB"/>
    <w:rsid w:val="00944919"/>
    <w:rsid w:val="009449C6"/>
    <w:rsid w:val="00944A16"/>
    <w:rsid w:val="00945398"/>
    <w:rsid w:val="009454BE"/>
    <w:rsid w:val="009455C9"/>
    <w:rsid w:val="0094570C"/>
    <w:rsid w:val="00945AD7"/>
    <w:rsid w:val="00945F05"/>
    <w:rsid w:val="0094600E"/>
    <w:rsid w:val="00946A94"/>
    <w:rsid w:val="00946AA5"/>
    <w:rsid w:val="00946E38"/>
    <w:rsid w:val="0094707F"/>
    <w:rsid w:val="009470F4"/>
    <w:rsid w:val="00947117"/>
    <w:rsid w:val="0094731F"/>
    <w:rsid w:val="00947372"/>
    <w:rsid w:val="0094798A"/>
    <w:rsid w:val="009479B4"/>
    <w:rsid w:val="00947A93"/>
    <w:rsid w:val="00947B85"/>
    <w:rsid w:val="00947C00"/>
    <w:rsid w:val="0094E59F"/>
    <w:rsid w:val="0095018A"/>
    <w:rsid w:val="00950957"/>
    <w:rsid w:val="00950B91"/>
    <w:rsid w:val="00950D16"/>
    <w:rsid w:val="00950D1B"/>
    <w:rsid w:val="00951FDA"/>
    <w:rsid w:val="009520A8"/>
    <w:rsid w:val="009520BA"/>
    <w:rsid w:val="00952AF3"/>
    <w:rsid w:val="009531E1"/>
    <w:rsid w:val="00953AC8"/>
    <w:rsid w:val="00953D76"/>
    <w:rsid w:val="009543B6"/>
    <w:rsid w:val="00954527"/>
    <w:rsid w:val="009545A4"/>
    <w:rsid w:val="009545B1"/>
    <w:rsid w:val="0095472C"/>
    <w:rsid w:val="00954A55"/>
    <w:rsid w:val="00954BC4"/>
    <w:rsid w:val="00954D7C"/>
    <w:rsid w:val="00954D96"/>
    <w:rsid w:val="009552A7"/>
    <w:rsid w:val="009554E0"/>
    <w:rsid w:val="0095553A"/>
    <w:rsid w:val="009556FD"/>
    <w:rsid w:val="0095589D"/>
    <w:rsid w:val="00955BAA"/>
    <w:rsid w:val="00956638"/>
    <w:rsid w:val="00956649"/>
    <w:rsid w:val="00956B28"/>
    <w:rsid w:val="0095720E"/>
    <w:rsid w:val="00957592"/>
    <w:rsid w:val="00957783"/>
    <w:rsid w:val="00957821"/>
    <w:rsid w:val="00957867"/>
    <w:rsid w:val="00957BA5"/>
    <w:rsid w:val="00957E3C"/>
    <w:rsid w:val="00960062"/>
    <w:rsid w:val="0096013D"/>
    <w:rsid w:val="0096022C"/>
    <w:rsid w:val="009604A8"/>
    <w:rsid w:val="009606F1"/>
    <w:rsid w:val="00960B15"/>
    <w:rsid w:val="00960F8C"/>
    <w:rsid w:val="00960FEA"/>
    <w:rsid w:val="0096100D"/>
    <w:rsid w:val="0096105C"/>
    <w:rsid w:val="009611C2"/>
    <w:rsid w:val="00961AA3"/>
    <w:rsid w:val="009625B9"/>
    <w:rsid w:val="0096279A"/>
    <w:rsid w:val="009627EE"/>
    <w:rsid w:val="009628AE"/>
    <w:rsid w:val="009629D3"/>
    <w:rsid w:val="00962A94"/>
    <w:rsid w:val="009630BD"/>
    <w:rsid w:val="0096354F"/>
    <w:rsid w:val="00963611"/>
    <w:rsid w:val="00963660"/>
    <w:rsid w:val="0096398D"/>
    <w:rsid w:val="00964092"/>
    <w:rsid w:val="009641A1"/>
    <w:rsid w:val="00964A4D"/>
    <w:rsid w:val="00964F6D"/>
    <w:rsid w:val="00965B8A"/>
    <w:rsid w:val="00965E16"/>
    <w:rsid w:val="00966139"/>
    <w:rsid w:val="00966914"/>
    <w:rsid w:val="00966F0D"/>
    <w:rsid w:val="0096749E"/>
    <w:rsid w:val="00967ADD"/>
    <w:rsid w:val="0097013D"/>
    <w:rsid w:val="0097038F"/>
    <w:rsid w:val="009708FF"/>
    <w:rsid w:val="009711D8"/>
    <w:rsid w:val="00971501"/>
    <w:rsid w:val="00971773"/>
    <w:rsid w:val="009718CA"/>
    <w:rsid w:val="00971A6A"/>
    <w:rsid w:val="00971DE2"/>
    <w:rsid w:val="00971EF2"/>
    <w:rsid w:val="009723C8"/>
    <w:rsid w:val="0097244A"/>
    <w:rsid w:val="0097248F"/>
    <w:rsid w:val="00972591"/>
    <w:rsid w:val="0097271C"/>
    <w:rsid w:val="009727D3"/>
    <w:rsid w:val="0097340E"/>
    <w:rsid w:val="00973731"/>
    <w:rsid w:val="009737F7"/>
    <w:rsid w:val="00973B2D"/>
    <w:rsid w:val="00973CDB"/>
    <w:rsid w:val="009742CA"/>
    <w:rsid w:val="009745D2"/>
    <w:rsid w:val="00974A64"/>
    <w:rsid w:val="00974BFD"/>
    <w:rsid w:val="00974CB5"/>
    <w:rsid w:val="0097516F"/>
    <w:rsid w:val="009759E0"/>
    <w:rsid w:val="00975A4C"/>
    <w:rsid w:val="00975AF3"/>
    <w:rsid w:val="00975D1B"/>
    <w:rsid w:val="009761DD"/>
    <w:rsid w:val="00976288"/>
    <w:rsid w:val="0097645E"/>
    <w:rsid w:val="0097685B"/>
    <w:rsid w:val="00976978"/>
    <w:rsid w:val="00976E0E"/>
    <w:rsid w:val="00976E17"/>
    <w:rsid w:val="00977E3D"/>
    <w:rsid w:val="00977FB1"/>
    <w:rsid w:val="009800C1"/>
    <w:rsid w:val="00980C08"/>
    <w:rsid w:val="00980C49"/>
    <w:rsid w:val="0098138E"/>
    <w:rsid w:val="0098144F"/>
    <w:rsid w:val="0098178B"/>
    <w:rsid w:val="00981BD6"/>
    <w:rsid w:val="00982146"/>
    <w:rsid w:val="0098228F"/>
    <w:rsid w:val="009824A3"/>
    <w:rsid w:val="00982578"/>
    <w:rsid w:val="00982692"/>
    <w:rsid w:val="0098271E"/>
    <w:rsid w:val="00982770"/>
    <w:rsid w:val="009827BA"/>
    <w:rsid w:val="00982DB9"/>
    <w:rsid w:val="00983884"/>
    <w:rsid w:val="00983B62"/>
    <w:rsid w:val="00983BA6"/>
    <w:rsid w:val="00983C53"/>
    <w:rsid w:val="00984285"/>
    <w:rsid w:val="00984516"/>
    <w:rsid w:val="00984C3E"/>
    <w:rsid w:val="00984C81"/>
    <w:rsid w:val="00984CC8"/>
    <w:rsid w:val="00984EFC"/>
    <w:rsid w:val="009851B5"/>
    <w:rsid w:val="009851C9"/>
    <w:rsid w:val="00985289"/>
    <w:rsid w:val="00985313"/>
    <w:rsid w:val="009853C1"/>
    <w:rsid w:val="00986760"/>
    <w:rsid w:val="009869B7"/>
    <w:rsid w:val="00986B84"/>
    <w:rsid w:val="00986BB8"/>
    <w:rsid w:val="009870DF"/>
    <w:rsid w:val="0098718E"/>
    <w:rsid w:val="009876F4"/>
    <w:rsid w:val="00987C2E"/>
    <w:rsid w:val="00987E26"/>
    <w:rsid w:val="009903D0"/>
    <w:rsid w:val="00990982"/>
    <w:rsid w:val="009909B0"/>
    <w:rsid w:val="00990FCE"/>
    <w:rsid w:val="00991056"/>
    <w:rsid w:val="00991276"/>
    <w:rsid w:val="00991BA5"/>
    <w:rsid w:val="00991BC5"/>
    <w:rsid w:val="00991EA4"/>
    <w:rsid w:val="0099203F"/>
    <w:rsid w:val="0099259D"/>
    <w:rsid w:val="009926B0"/>
    <w:rsid w:val="00992923"/>
    <w:rsid w:val="00992B69"/>
    <w:rsid w:val="00992E1E"/>
    <w:rsid w:val="0099306A"/>
    <w:rsid w:val="009930C1"/>
    <w:rsid w:val="009932FC"/>
    <w:rsid w:val="00993625"/>
    <w:rsid w:val="00993E07"/>
    <w:rsid w:val="00993FD3"/>
    <w:rsid w:val="009941E2"/>
    <w:rsid w:val="00994C60"/>
    <w:rsid w:val="00994D8E"/>
    <w:rsid w:val="009951D2"/>
    <w:rsid w:val="00995252"/>
    <w:rsid w:val="0099552D"/>
    <w:rsid w:val="00995640"/>
    <w:rsid w:val="009956CC"/>
    <w:rsid w:val="0099588C"/>
    <w:rsid w:val="00995B8F"/>
    <w:rsid w:val="009960AD"/>
    <w:rsid w:val="009962FE"/>
    <w:rsid w:val="009963EC"/>
    <w:rsid w:val="009963EE"/>
    <w:rsid w:val="00996732"/>
    <w:rsid w:val="0099698F"/>
    <w:rsid w:val="00996AD6"/>
    <w:rsid w:val="00996D66"/>
    <w:rsid w:val="009970F1"/>
    <w:rsid w:val="009973B4"/>
    <w:rsid w:val="00997673"/>
    <w:rsid w:val="0099775F"/>
    <w:rsid w:val="009979DA"/>
    <w:rsid w:val="00997DBD"/>
    <w:rsid w:val="00997E9F"/>
    <w:rsid w:val="009A07DD"/>
    <w:rsid w:val="009A07EC"/>
    <w:rsid w:val="009A0B09"/>
    <w:rsid w:val="009A0BA5"/>
    <w:rsid w:val="009A0BEE"/>
    <w:rsid w:val="009A0F32"/>
    <w:rsid w:val="009A13B5"/>
    <w:rsid w:val="009A15E3"/>
    <w:rsid w:val="009A164E"/>
    <w:rsid w:val="009A1841"/>
    <w:rsid w:val="009A196C"/>
    <w:rsid w:val="009A2316"/>
    <w:rsid w:val="009A2414"/>
    <w:rsid w:val="009A27FF"/>
    <w:rsid w:val="009A2964"/>
    <w:rsid w:val="009A2DFF"/>
    <w:rsid w:val="009A2E09"/>
    <w:rsid w:val="009A2EC6"/>
    <w:rsid w:val="009A3053"/>
    <w:rsid w:val="009A33E5"/>
    <w:rsid w:val="009A38F2"/>
    <w:rsid w:val="009A3CDD"/>
    <w:rsid w:val="009A3EB3"/>
    <w:rsid w:val="009A3FF4"/>
    <w:rsid w:val="009A40D4"/>
    <w:rsid w:val="009A454F"/>
    <w:rsid w:val="009A4AE0"/>
    <w:rsid w:val="009A4BE4"/>
    <w:rsid w:val="009A4CC1"/>
    <w:rsid w:val="009A4CF8"/>
    <w:rsid w:val="009A4E9A"/>
    <w:rsid w:val="009A4F97"/>
    <w:rsid w:val="009A521F"/>
    <w:rsid w:val="009A52AB"/>
    <w:rsid w:val="009A52C7"/>
    <w:rsid w:val="009A59B0"/>
    <w:rsid w:val="009A5D48"/>
    <w:rsid w:val="009A5E6E"/>
    <w:rsid w:val="009A6213"/>
    <w:rsid w:val="009A63AB"/>
    <w:rsid w:val="009A6C9A"/>
    <w:rsid w:val="009A708F"/>
    <w:rsid w:val="009A753B"/>
    <w:rsid w:val="009A7644"/>
    <w:rsid w:val="009A78BE"/>
    <w:rsid w:val="009A7C06"/>
    <w:rsid w:val="009A7C36"/>
    <w:rsid w:val="009A7EFC"/>
    <w:rsid w:val="009B0054"/>
    <w:rsid w:val="009B0593"/>
    <w:rsid w:val="009B05CF"/>
    <w:rsid w:val="009B0687"/>
    <w:rsid w:val="009B0923"/>
    <w:rsid w:val="009B09DC"/>
    <w:rsid w:val="009B09E1"/>
    <w:rsid w:val="009B09F0"/>
    <w:rsid w:val="009B0B67"/>
    <w:rsid w:val="009B22F6"/>
    <w:rsid w:val="009B2AC6"/>
    <w:rsid w:val="009B2C22"/>
    <w:rsid w:val="009B2D67"/>
    <w:rsid w:val="009B2F4C"/>
    <w:rsid w:val="009B317E"/>
    <w:rsid w:val="009B325A"/>
    <w:rsid w:val="009B340A"/>
    <w:rsid w:val="009B3470"/>
    <w:rsid w:val="009B3722"/>
    <w:rsid w:val="009B3D88"/>
    <w:rsid w:val="009B3F99"/>
    <w:rsid w:val="009B4C90"/>
    <w:rsid w:val="009B4F8E"/>
    <w:rsid w:val="009B5602"/>
    <w:rsid w:val="009B56FE"/>
    <w:rsid w:val="009B59E9"/>
    <w:rsid w:val="009B5C37"/>
    <w:rsid w:val="009B60D9"/>
    <w:rsid w:val="009B6F87"/>
    <w:rsid w:val="009B713E"/>
    <w:rsid w:val="009B7EA1"/>
    <w:rsid w:val="009C0179"/>
    <w:rsid w:val="009C024F"/>
    <w:rsid w:val="009C0436"/>
    <w:rsid w:val="009C0948"/>
    <w:rsid w:val="009C09CE"/>
    <w:rsid w:val="009C0A21"/>
    <w:rsid w:val="009C0B55"/>
    <w:rsid w:val="009C15FF"/>
    <w:rsid w:val="009C1713"/>
    <w:rsid w:val="009C18A1"/>
    <w:rsid w:val="009C19BD"/>
    <w:rsid w:val="009C19DC"/>
    <w:rsid w:val="009C1AA1"/>
    <w:rsid w:val="009C1AB0"/>
    <w:rsid w:val="009C1DBC"/>
    <w:rsid w:val="009C1E30"/>
    <w:rsid w:val="009C22AA"/>
    <w:rsid w:val="009C2345"/>
    <w:rsid w:val="009C287C"/>
    <w:rsid w:val="009C2984"/>
    <w:rsid w:val="009C2C25"/>
    <w:rsid w:val="009C2D4F"/>
    <w:rsid w:val="009C307F"/>
    <w:rsid w:val="009C31E4"/>
    <w:rsid w:val="009C3223"/>
    <w:rsid w:val="009C373D"/>
    <w:rsid w:val="009C3744"/>
    <w:rsid w:val="009C3A01"/>
    <w:rsid w:val="009C3CF7"/>
    <w:rsid w:val="009C41F7"/>
    <w:rsid w:val="009C458F"/>
    <w:rsid w:val="009C46EF"/>
    <w:rsid w:val="009C47BA"/>
    <w:rsid w:val="009C4904"/>
    <w:rsid w:val="009C4994"/>
    <w:rsid w:val="009C4D02"/>
    <w:rsid w:val="009C4E9B"/>
    <w:rsid w:val="009C5052"/>
    <w:rsid w:val="009C5602"/>
    <w:rsid w:val="009C5846"/>
    <w:rsid w:val="009C5969"/>
    <w:rsid w:val="009C60A5"/>
    <w:rsid w:val="009C636E"/>
    <w:rsid w:val="009C6400"/>
    <w:rsid w:val="009C6466"/>
    <w:rsid w:val="009C695C"/>
    <w:rsid w:val="009C7258"/>
    <w:rsid w:val="009C72F5"/>
    <w:rsid w:val="009C77FD"/>
    <w:rsid w:val="009C7940"/>
    <w:rsid w:val="009C7D15"/>
    <w:rsid w:val="009C7EB3"/>
    <w:rsid w:val="009D00F9"/>
    <w:rsid w:val="009D02E1"/>
    <w:rsid w:val="009D046C"/>
    <w:rsid w:val="009D09A0"/>
    <w:rsid w:val="009D0EE6"/>
    <w:rsid w:val="009D0FCA"/>
    <w:rsid w:val="009D1641"/>
    <w:rsid w:val="009D1D6D"/>
    <w:rsid w:val="009D1E0F"/>
    <w:rsid w:val="009D1F62"/>
    <w:rsid w:val="009D23F6"/>
    <w:rsid w:val="009D26A4"/>
    <w:rsid w:val="009D28A7"/>
    <w:rsid w:val="009D28FE"/>
    <w:rsid w:val="009D2947"/>
    <w:rsid w:val="009D2995"/>
    <w:rsid w:val="009D2A21"/>
    <w:rsid w:val="009D2C57"/>
    <w:rsid w:val="009D2E50"/>
    <w:rsid w:val="009D30E0"/>
    <w:rsid w:val="009D346E"/>
    <w:rsid w:val="009D3812"/>
    <w:rsid w:val="009D381B"/>
    <w:rsid w:val="009D3B44"/>
    <w:rsid w:val="009D438F"/>
    <w:rsid w:val="009D4899"/>
    <w:rsid w:val="009D4ADC"/>
    <w:rsid w:val="009D4B88"/>
    <w:rsid w:val="009D4F2D"/>
    <w:rsid w:val="009D4F96"/>
    <w:rsid w:val="009D51FB"/>
    <w:rsid w:val="009D547C"/>
    <w:rsid w:val="009D55F3"/>
    <w:rsid w:val="009D56C8"/>
    <w:rsid w:val="009D5D8D"/>
    <w:rsid w:val="009D5F09"/>
    <w:rsid w:val="009D5F1D"/>
    <w:rsid w:val="009D6061"/>
    <w:rsid w:val="009D662E"/>
    <w:rsid w:val="009D67EE"/>
    <w:rsid w:val="009D6901"/>
    <w:rsid w:val="009D6D67"/>
    <w:rsid w:val="009D723C"/>
    <w:rsid w:val="009D72DA"/>
    <w:rsid w:val="009D73F2"/>
    <w:rsid w:val="009D78D8"/>
    <w:rsid w:val="009D78ED"/>
    <w:rsid w:val="009D7BFA"/>
    <w:rsid w:val="009DB528"/>
    <w:rsid w:val="009E0195"/>
    <w:rsid w:val="009E046F"/>
    <w:rsid w:val="009E07F8"/>
    <w:rsid w:val="009E08C0"/>
    <w:rsid w:val="009E0931"/>
    <w:rsid w:val="009E0D02"/>
    <w:rsid w:val="009E110C"/>
    <w:rsid w:val="009E1158"/>
    <w:rsid w:val="009E17DB"/>
    <w:rsid w:val="009E1D45"/>
    <w:rsid w:val="009E2253"/>
    <w:rsid w:val="009E2393"/>
    <w:rsid w:val="009E2F61"/>
    <w:rsid w:val="009E32C7"/>
    <w:rsid w:val="009E33D3"/>
    <w:rsid w:val="009E34AC"/>
    <w:rsid w:val="009E3511"/>
    <w:rsid w:val="009E3764"/>
    <w:rsid w:val="009E3D93"/>
    <w:rsid w:val="009E3F29"/>
    <w:rsid w:val="009E47AE"/>
    <w:rsid w:val="009E48C0"/>
    <w:rsid w:val="009E4DA6"/>
    <w:rsid w:val="009E4DE7"/>
    <w:rsid w:val="009E5285"/>
    <w:rsid w:val="009E5398"/>
    <w:rsid w:val="009E68BF"/>
    <w:rsid w:val="009E6A85"/>
    <w:rsid w:val="009E6D2B"/>
    <w:rsid w:val="009E7A6A"/>
    <w:rsid w:val="009E7CBA"/>
    <w:rsid w:val="009E7DEC"/>
    <w:rsid w:val="009E7F5B"/>
    <w:rsid w:val="009F00EB"/>
    <w:rsid w:val="009F028F"/>
    <w:rsid w:val="009F043E"/>
    <w:rsid w:val="009F0BD2"/>
    <w:rsid w:val="009F0BFD"/>
    <w:rsid w:val="009F0E56"/>
    <w:rsid w:val="009F11F8"/>
    <w:rsid w:val="009F125D"/>
    <w:rsid w:val="009F17F6"/>
    <w:rsid w:val="009F19E1"/>
    <w:rsid w:val="009F1F01"/>
    <w:rsid w:val="009F1F25"/>
    <w:rsid w:val="009F2090"/>
    <w:rsid w:val="009F215D"/>
    <w:rsid w:val="009F240A"/>
    <w:rsid w:val="009F24E7"/>
    <w:rsid w:val="009F2803"/>
    <w:rsid w:val="009F2987"/>
    <w:rsid w:val="009F2BFA"/>
    <w:rsid w:val="009F31D8"/>
    <w:rsid w:val="009F366B"/>
    <w:rsid w:val="009F3741"/>
    <w:rsid w:val="009F37CD"/>
    <w:rsid w:val="009F3A47"/>
    <w:rsid w:val="009F3D34"/>
    <w:rsid w:val="009F3E06"/>
    <w:rsid w:val="009F4091"/>
    <w:rsid w:val="009F409A"/>
    <w:rsid w:val="009F44F7"/>
    <w:rsid w:val="009F4895"/>
    <w:rsid w:val="009F48AE"/>
    <w:rsid w:val="009F4C5B"/>
    <w:rsid w:val="009F4C83"/>
    <w:rsid w:val="009F4D92"/>
    <w:rsid w:val="009F5131"/>
    <w:rsid w:val="009F558C"/>
    <w:rsid w:val="009F5923"/>
    <w:rsid w:val="009F5C76"/>
    <w:rsid w:val="009F5E88"/>
    <w:rsid w:val="009F5FA4"/>
    <w:rsid w:val="009F6611"/>
    <w:rsid w:val="009F6DDB"/>
    <w:rsid w:val="009F75F0"/>
    <w:rsid w:val="009F7616"/>
    <w:rsid w:val="009F7630"/>
    <w:rsid w:val="009F783D"/>
    <w:rsid w:val="009F7881"/>
    <w:rsid w:val="009F7B69"/>
    <w:rsid w:val="009F7E91"/>
    <w:rsid w:val="00A001F9"/>
    <w:rsid w:val="00A00214"/>
    <w:rsid w:val="00A00779"/>
    <w:rsid w:val="00A009E7"/>
    <w:rsid w:val="00A00E00"/>
    <w:rsid w:val="00A01068"/>
    <w:rsid w:val="00A010AE"/>
    <w:rsid w:val="00A01179"/>
    <w:rsid w:val="00A01264"/>
    <w:rsid w:val="00A012C7"/>
    <w:rsid w:val="00A015F0"/>
    <w:rsid w:val="00A0161A"/>
    <w:rsid w:val="00A01B44"/>
    <w:rsid w:val="00A01BAE"/>
    <w:rsid w:val="00A01E8E"/>
    <w:rsid w:val="00A020BF"/>
    <w:rsid w:val="00A0271E"/>
    <w:rsid w:val="00A02A74"/>
    <w:rsid w:val="00A0389C"/>
    <w:rsid w:val="00A03E10"/>
    <w:rsid w:val="00A044A4"/>
    <w:rsid w:val="00A0450A"/>
    <w:rsid w:val="00A0481C"/>
    <w:rsid w:val="00A04C30"/>
    <w:rsid w:val="00A052AA"/>
    <w:rsid w:val="00A0554C"/>
    <w:rsid w:val="00A06003"/>
    <w:rsid w:val="00A0640F"/>
    <w:rsid w:val="00A06467"/>
    <w:rsid w:val="00A0647F"/>
    <w:rsid w:val="00A06537"/>
    <w:rsid w:val="00A06745"/>
    <w:rsid w:val="00A069BE"/>
    <w:rsid w:val="00A06B63"/>
    <w:rsid w:val="00A06B9A"/>
    <w:rsid w:val="00A06D2F"/>
    <w:rsid w:val="00A06FEE"/>
    <w:rsid w:val="00A0716B"/>
    <w:rsid w:val="00A07253"/>
    <w:rsid w:val="00A07429"/>
    <w:rsid w:val="00A075CE"/>
    <w:rsid w:val="00A079AD"/>
    <w:rsid w:val="00A07C19"/>
    <w:rsid w:val="00A10799"/>
    <w:rsid w:val="00A10846"/>
    <w:rsid w:val="00A108E2"/>
    <w:rsid w:val="00A10B41"/>
    <w:rsid w:val="00A10C4E"/>
    <w:rsid w:val="00A10DAB"/>
    <w:rsid w:val="00A10FFD"/>
    <w:rsid w:val="00A1107E"/>
    <w:rsid w:val="00A112ED"/>
    <w:rsid w:val="00A11432"/>
    <w:rsid w:val="00A11572"/>
    <w:rsid w:val="00A11737"/>
    <w:rsid w:val="00A1180A"/>
    <w:rsid w:val="00A11B9C"/>
    <w:rsid w:val="00A11BEB"/>
    <w:rsid w:val="00A12275"/>
    <w:rsid w:val="00A12352"/>
    <w:rsid w:val="00A1258D"/>
    <w:rsid w:val="00A12632"/>
    <w:rsid w:val="00A12667"/>
    <w:rsid w:val="00A1286E"/>
    <w:rsid w:val="00A1289B"/>
    <w:rsid w:val="00A1291A"/>
    <w:rsid w:val="00A12E32"/>
    <w:rsid w:val="00A12ED5"/>
    <w:rsid w:val="00A13122"/>
    <w:rsid w:val="00A1336E"/>
    <w:rsid w:val="00A13605"/>
    <w:rsid w:val="00A1387D"/>
    <w:rsid w:val="00A13ACD"/>
    <w:rsid w:val="00A149F4"/>
    <w:rsid w:val="00A14AC7"/>
    <w:rsid w:val="00A14C41"/>
    <w:rsid w:val="00A15818"/>
    <w:rsid w:val="00A15867"/>
    <w:rsid w:val="00A15C2B"/>
    <w:rsid w:val="00A16149"/>
    <w:rsid w:val="00A1663F"/>
    <w:rsid w:val="00A166AB"/>
    <w:rsid w:val="00A1687B"/>
    <w:rsid w:val="00A168B9"/>
    <w:rsid w:val="00A17543"/>
    <w:rsid w:val="00A179A4"/>
    <w:rsid w:val="00A17D19"/>
    <w:rsid w:val="00A202CA"/>
    <w:rsid w:val="00A20538"/>
    <w:rsid w:val="00A20D25"/>
    <w:rsid w:val="00A20F0C"/>
    <w:rsid w:val="00A21086"/>
    <w:rsid w:val="00A21105"/>
    <w:rsid w:val="00A211B3"/>
    <w:rsid w:val="00A212C9"/>
    <w:rsid w:val="00A212F6"/>
    <w:rsid w:val="00A21511"/>
    <w:rsid w:val="00A21D36"/>
    <w:rsid w:val="00A21F59"/>
    <w:rsid w:val="00A2201F"/>
    <w:rsid w:val="00A22187"/>
    <w:rsid w:val="00A2261C"/>
    <w:rsid w:val="00A2268A"/>
    <w:rsid w:val="00A229F2"/>
    <w:rsid w:val="00A22B54"/>
    <w:rsid w:val="00A22F56"/>
    <w:rsid w:val="00A232EC"/>
    <w:rsid w:val="00A234B6"/>
    <w:rsid w:val="00A236E1"/>
    <w:rsid w:val="00A23719"/>
    <w:rsid w:val="00A23D01"/>
    <w:rsid w:val="00A2439D"/>
    <w:rsid w:val="00A24517"/>
    <w:rsid w:val="00A2454B"/>
    <w:rsid w:val="00A24A05"/>
    <w:rsid w:val="00A25178"/>
    <w:rsid w:val="00A252F2"/>
    <w:rsid w:val="00A255F7"/>
    <w:rsid w:val="00A25A03"/>
    <w:rsid w:val="00A25B05"/>
    <w:rsid w:val="00A25B89"/>
    <w:rsid w:val="00A25C7E"/>
    <w:rsid w:val="00A25C9C"/>
    <w:rsid w:val="00A25D14"/>
    <w:rsid w:val="00A25F26"/>
    <w:rsid w:val="00A25FF9"/>
    <w:rsid w:val="00A264FA"/>
    <w:rsid w:val="00A2651E"/>
    <w:rsid w:val="00A2667E"/>
    <w:rsid w:val="00A267F9"/>
    <w:rsid w:val="00A26AE3"/>
    <w:rsid w:val="00A26B91"/>
    <w:rsid w:val="00A26E83"/>
    <w:rsid w:val="00A26F31"/>
    <w:rsid w:val="00A27024"/>
    <w:rsid w:val="00A27042"/>
    <w:rsid w:val="00A2715F"/>
    <w:rsid w:val="00A2747D"/>
    <w:rsid w:val="00A274A5"/>
    <w:rsid w:val="00A27678"/>
    <w:rsid w:val="00A27E4E"/>
    <w:rsid w:val="00A27FBB"/>
    <w:rsid w:val="00A30143"/>
    <w:rsid w:val="00A30739"/>
    <w:rsid w:val="00A3084D"/>
    <w:rsid w:val="00A309AC"/>
    <w:rsid w:val="00A30C70"/>
    <w:rsid w:val="00A314CC"/>
    <w:rsid w:val="00A31583"/>
    <w:rsid w:val="00A31922"/>
    <w:rsid w:val="00A31A14"/>
    <w:rsid w:val="00A31C52"/>
    <w:rsid w:val="00A31D3A"/>
    <w:rsid w:val="00A31F66"/>
    <w:rsid w:val="00A32035"/>
    <w:rsid w:val="00A3221A"/>
    <w:rsid w:val="00A32351"/>
    <w:rsid w:val="00A339A4"/>
    <w:rsid w:val="00A33C8B"/>
    <w:rsid w:val="00A34257"/>
    <w:rsid w:val="00A34E9D"/>
    <w:rsid w:val="00A35151"/>
    <w:rsid w:val="00A35305"/>
    <w:rsid w:val="00A35405"/>
    <w:rsid w:val="00A356C6"/>
    <w:rsid w:val="00A358B5"/>
    <w:rsid w:val="00A35B2B"/>
    <w:rsid w:val="00A35CD6"/>
    <w:rsid w:val="00A35E9D"/>
    <w:rsid w:val="00A361AD"/>
    <w:rsid w:val="00A361E0"/>
    <w:rsid w:val="00A361FB"/>
    <w:rsid w:val="00A36346"/>
    <w:rsid w:val="00A36412"/>
    <w:rsid w:val="00A3652E"/>
    <w:rsid w:val="00A36886"/>
    <w:rsid w:val="00A3690A"/>
    <w:rsid w:val="00A3709C"/>
    <w:rsid w:val="00A37158"/>
    <w:rsid w:val="00A37466"/>
    <w:rsid w:val="00A377C3"/>
    <w:rsid w:val="00A37B56"/>
    <w:rsid w:val="00A37CC8"/>
    <w:rsid w:val="00A3F7B5"/>
    <w:rsid w:val="00A404E1"/>
    <w:rsid w:val="00A40AC2"/>
    <w:rsid w:val="00A40BF7"/>
    <w:rsid w:val="00A40F54"/>
    <w:rsid w:val="00A40FFC"/>
    <w:rsid w:val="00A411EE"/>
    <w:rsid w:val="00A41B6F"/>
    <w:rsid w:val="00A41E0A"/>
    <w:rsid w:val="00A41FC1"/>
    <w:rsid w:val="00A42043"/>
    <w:rsid w:val="00A420DB"/>
    <w:rsid w:val="00A4291B"/>
    <w:rsid w:val="00A42A58"/>
    <w:rsid w:val="00A42A70"/>
    <w:rsid w:val="00A42BF5"/>
    <w:rsid w:val="00A42EBE"/>
    <w:rsid w:val="00A4331C"/>
    <w:rsid w:val="00A43D16"/>
    <w:rsid w:val="00A43F39"/>
    <w:rsid w:val="00A43FC5"/>
    <w:rsid w:val="00A4417B"/>
    <w:rsid w:val="00A44223"/>
    <w:rsid w:val="00A4441A"/>
    <w:rsid w:val="00A44B88"/>
    <w:rsid w:val="00A44C26"/>
    <w:rsid w:val="00A44F96"/>
    <w:rsid w:val="00A451B9"/>
    <w:rsid w:val="00A454E1"/>
    <w:rsid w:val="00A4553A"/>
    <w:rsid w:val="00A45D61"/>
    <w:rsid w:val="00A4605D"/>
    <w:rsid w:val="00A465CA"/>
    <w:rsid w:val="00A468A5"/>
    <w:rsid w:val="00A468F6"/>
    <w:rsid w:val="00A46966"/>
    <w:rsid w:val="00A47211"/>
    <w:rsid w:val="00A4725D"/>
    <w:rsid w:val="00A473EF"/>
    <w:rsid w:val="00A47674"/>
    <w:rsid w:val="00A476B8"/>
    <w:rsid w:val="00A477E1"/>
    <w:rsid w:val="00A479CC"/>
    <w:rsid w:val="00A47B2C"/>
    <w:rsid w:val="00A47B7D"/>
    <w:rsid w:val="00A47DDB"/>
    <w:rsid w:val="00A5073C"/>
    <w:rsid w:val="00A50F27"/>
    <w:rsid w:val="00A51178"/>
    <w:rsid w:val="00A51324"/>
    <w:rsid w:val="00A51FA8"/>
    <w:rsid w:val="00A520BE"/>
    <w:rsid w:val="00A52414"/>
    <w:rsid w:val="00A5244D"/>
    <w:rsid w:val="00A53067"/>
    <w:rsid w:val="00A533AB"/>
    <w:rsid w:val="00A53541"/>
    <w:rsid w:val="00A5374F"/>
    <w:rsid w:val="00A53870"/>
    <w:rsid w:val="00A538E7"/>
    <w:rsid w:val="00A53B32"/>
    <w:rsid w:val="00A54255"/>
    <w:rsid w:val="00A54297"/>
    <w:rsid w:val="00A5433F"/>
    <w:rsid w:val="00A5437F"/>
    <w:rsid w:val="00A5463F"/>
    <w:rsid w:val="00A54AAE"/>
    <w:rsid w:val="00A54B0E"/>
    <w:rsid w:val="00A54B74"/>
    <w:rsid w:val="00A54C90"/>
    <w:rsid w:val="00A54CB0"/>
    <w:rsid w:val="00A54D26"/>
    <w:rsid w:val="00A54DBC"/>
    <w:rsid w:val="00A54DBE"/>
    <w:rsid w:val="00A55163"/>
    <w:rsid w:val="00A55529"/>
    <w:rsid w:val="00A55608"/>
    <w:rsid w:val="00A557F7"/>
    <w:rsid w:val="00A55949"/>
    <w:rsid w:val="00A563B6"/>
    <w:rsid w:val="00A56C0D"/>
    <w:rsid w:val="00A57125"/>
    <w:rsid w:val="00A57639"/>
    <w:rsid w:val="00A57A73"/>
    <w:rsid w:val="00A57AB5"/>
    <w:rsid w:val="00A57C80"/>
    <w:rsid w:val="00A57CF9"/>
    <w:rsid w:val="00A57DC9"/>
    <w:rsid w:val="00A57E59"/>
    <w:rsid w:val="00A59529"/>
    <w:rsid w:val="00A60609"/>
    <w:rsid w:val="00A6087F"/>
    <w:rsid w:val="00A60A1C"/>
    <w:rsid w:val="00A60C75"/>
    <w:rsid w:val="00A611EF"/>
    <w:rsid w:val="00A6129C"/>
    <w:rsid w:val="00A6133A"/>
    <w:rsid w:val="00A61549"/>
    <w:rsid w:val="00A61EF1"/>
    <w:rsid w:val="00A61F22"/>
    <w:rsid w:val="00A621B8"/>
    <w:rsid w:val="00A62463"/>
    <w:rsid w:val="00A624E9"/>
    <w:rsid w:val="00A625D1"/>
    <w:rsid w:val="00A627BD"/>
    <w:rsid w:val="00A63339"/>
    <w:rsid w:val="00A6343B"/>
    <w:rsid w:val="00A636B6"/>
    <w:rsid w:val="00A63720"/>
    <w:rsid w:val="00A63C42"/>
    <w:rsid w:val="00A63E67"/>
    <w:rsid w:val="00A64144"/>
    <w:rsid w:val="00A642CF"/>
    <w:rsid w:val="00A645F8"/>
    <w:rsid w:val="00A64816"/>
    <w:rsid w:val="00A64FCA"/>
    <w:rsid w:val="00A65C47"/>
    <w:rsid w:val="00A65F09"/>
    <w:rsid w:val="00A65FAD"/>
    <w:rsid w:val="00A6612B"/>
    <w:rsid w:val="00A66A7A"/>
    <w:rsid w:val="00A670F0"/>
    <w:rsid w:val="00A6725F"/>
    <w:rsid w:val="00A672F6"/>
    <w:rsid w:val="00A67572"/>
    <w:rsid w:val="00A677BE"/>
    <w:rsid w:val="00A679FB"/>
    <w:rsid w:val="00A67C23"/>
    <w:rsid w:val="00A67C5A"/>
    <w:rsid w:val="00A67D13"/>
    <w:rsid w:val="00A67E49"/>
    <w:rsid w:val="00A67FDB"/>
    <w:rsid w:val="00A70BF7"/>
    <w:rsid w:val="00A70C63"/>
    <w:rsid w:val="00A70F05"/>
    <w:rsid w:val="00A70FB0"/>
    <w:rsid w:val="00A7123A"/>
    <w:rsid w:val="00A7173A"/>
    <w:rsid w:val="00A71ABD"/>
    <w:rsid w:val="00A71B39"/>
    <w:rsid w:val="00A71DEA"/>
    <w:rsid w:val="00A720E2"/>
    <w:rsid w:val="00A7214C"/>
    <w:rsid w:val="00A72560"/>
    <w:rsid w:val="00A72BC9"/>
    <w:rsid w:val="00A72EE9"/>
    <w:rsid w:val="00A72F0A"/>
    <w:rsid w:val="00A72FBE"/>
    <w:rsid w:val="00A7367C"/>
    <w:rsid w:val="00A73E1D"/>
    <w:rsid w:val="00A741B9"/>
    <w:rsid w:val="00A74444"/>
    <w:rsid w:val="00A74BDE"/>
    <w:rsid w:val="00A74F0F"/>
    <w:rsid w:val="00A74FD5"/>
    <w:rsid w:val="00A75272"/>
    <w:rsid w:val="00A7566D"/>
    <w:rsid w:val="00A758BA"/>
    <w:rsid w:val="00A75B8E"/>
    <w:rsid w:val="00A76D37"/>
    <w:rsid w:val="00A76FDB"/>
    <w:rsid w:val="00A777AE"/>
    <w:rsid w:val="00A77D31"/>
    <w:rsid w:val="00A80193"/>
    <w:rsid w:val="00A803C2"/>
    <w:rsid w:val="00A80FA0"/>
    <w:rsid w:val="00A812BD"/>
    <w:rsid w:val="00A812CA"/>
    <w:rsid w:val="00A81590"/>
    <w:rsid w:val="00A81678"/>
    <w:rsid w:val="00A81819"/>
    <w:rsid w:val="00A81880"/>
    <w:rsid w:val="00A81933"/>
    <w:rsid w:val="00A81ECC"/>
    <w:rsid w:val="00A8272F"/>
    <w:rsid w:val="00A82914"/>
    <w:rsid w:val="00A82D0C"/>
    <w:rsid w:val="00A82F9A"/>
    <w:rsid w:val="00A83281"/>
    <w:rsid w:val="00A83307"/>
    <w:rsid w:val="00A8356C"/>
    <w:rsid w:val="00A83771"/>
    <w:rsid w:val="00A8399E"/>
    <w:rsid w:val="00A839FC"/>
    <w:rsid w:val="00A83A1B"/>
    <w:rsid w:val="00A83BFD"/>
    <w:rsid w:val="00A83E24"/>
    <w:rsid w:val="00A83E7C"/>
    <w:rsid w:val="00A842BF"/>
    <w:rsid w:val="00A8440B"/>
    <w:rsid w:val="00A84437"/>
    <w:rsid w:val="00A84445"/>
    <w:rsid w:val="00A84A99"/>
    <w:rsid w:val="00A84E3E"/>
    <w:rsid w:val="00A855AA"/>
    <w:rsid w:val="00A85733"/>
    <w:rsid w:val="00A85B17"/>
    <w:rsid w:val="00A85CAC"/>
    <w:rsid w:val="00A861CE"/>
    <w:rsid w:val="00A86339"/>
    <w:rsid w:val="00A86350"/>
    <w:rsid w:val="00A86730"/>
    <w:rsid w:val="00A86AB3"/>
    <w:rsid w:val="00A86AF8"/>
    <w:rsid w:val="00A86DAD"/>
    <w:rsid w:val="00A86E02"/>
    <w:rsid w:val="00A8700F"/>
    <w:rsid w:val="00A87016"/>
    <w:rsid w:val="00A870F2"/>
    <w:rsid w:val="00A87530"/>
    <w:rsid w:val="00A87775"/>
    <w:rsid w:val="00A87D2B"/>
    <w:rsid w:val="00A87F2D"/>
    <w:rsid w:val="00A90057"/>
    <w:rsid w:val="00A904CF"/>
    <w:rsid w:val="00A90571"/>
    <w:rsid w:val="00A907C6"/>
    <w:rsid w:val="00A909B4"/>
    <w:rsid w:val="00A90B31"/>
    <w:rsid w:val="00A90D7A"/>
    <w:rsid w:val="00A91499"/>
    <w:rsid w:val="00A91581"/>
    <w:rsid w:val="00A91F39"/>
    <w:rsid w:val="00A9223C"/>
    <w:rsid w:val="00A92311"/>
    <w:rsid w:val="00A9289B"/>
    <w:rsid w:val="00A9298A"/>
    <w:rsid w:val="00A92E8B"/>
    <w:rsid w:val="00A92F65"/>
    <w:rsid w:val="00A930C7"/>
    <w:rsid w:val="00A93ED6"/>
    <w:rsid w:val="00A94152"/>
    <w:rsid w:val="00A9456B"/>
    <w:rsid w:val="00A9481B"/>
    <w:rsid w:val="00A94954"/>
    <w:rsid w:val="00A94B3D"/>
    <w:rsid w:val="00A94B4C"/>
    <w:rsid w:val="00A9526D"/>
    <w:rsid w:val="00A9527A"/>
    <w:rsid w:val="00A95288"/>
    <w:rsid w:val="00A9555D"/>
    <w:rsid w:val="00A957F6"/>
    <w:rsid w:val="00A958E1"/>
    <w:rsid w:val="00A95BA2"/>
    <w:rsid w:val="00A95C21"/>
    <w:rsid w:val="00A95CEA"/>
    <w:rsid w:val="00A96044"/>
    <w:rsid w:val="00A96086"/>
    <w:rsid w:val="00A96220"/>
    <w:rsid w:val="00A964D1"/>
    <w:rsid w:val="00A96AE9"/>
    <w:rsid w:val="00A96F65"/>
    <w:rsid w:val="00A9701A"/>
    <w:rsid w:val="00A970D4"/>
    <w:rsid w:val="00A970EB"/>
    <w:rsid w:val="00A9730B"/>
    <w:rsid w:val="00A9740A"/>
    <w:rsid w:val="00A97533"/>
    <w:rsid w:val="00A97A6F"/>
    <w:rsid w:val="00A97A81"/>
    <w:rsid w:val="00A97C89"/>
    <w:rsid w:val="00A97C8F"/>
    <w:rsid w:val="00A98F7D"/>
    <w:rsid w:val="00AA01D3"/>
    <w:rsid w:val="00AA048D"/>
    <w:rsid w:val="00AA04C4"/>
    <w:rsid w:val="00AA07CC"/>
    <w:rsid w:val="00AA08C6"/>
    <w:rsid w:val="00AA0D57"/>
    <w:rsid w:val="00AA1025"/>
    <w:rsid w:val="00AA1072"/>
    <w:rsid w:val="00AA1188"/>
    <w:rsid w:val="00AA1328"/>
    <w:rsid w:val="00AA13BD"/>
    <w:rsid w:val="00AA13D1"/>
    <w:rsid w:val="00AA16C7"/>
    <w:rsid w:val="00AA1888"/>
    <w:rsid w:val="00AA1E4B"/>
    <w:rsid w:val="00AA229F"/>
    <w:rsid w:val="00AA25E8"/>
    <w:rsid w:val="00AA2849"/>
    <w:rsid w:val="00AA2E53"/>
    <w:rsid w:val="00AA339C"/>
    <w:rsid w:val="00AA34BE"/>
    <w:rsid w:val="00AA361D"/>
    <w:rsid w:val="00AA3674"/>
    <w:rsid w:val="00AA373B"/>
    <w:rsid w:val="00AA3C46"/>
    <w:rsid w:val="00AA3C85"/>
    <w:rsid w:val="00AA3E5C"/>
    <w:rsid w:val="00AA3FA7"/>
    <w:rsid w:val="00AA4C3E"/>
    <w:rsid w:val="00AA4C95"/>
    <w:rsid w:val="00AA51BA"/>
    <w:rsid w:val="00AA54A7"/>
    <w:rsid w:val="00AA5537"/>
    <w:rsid w:val="00AA5A60"/>
    <w:rsid w:val="00AA5A65"/>
    <w:rsid w:val="00AA621A"/>
    <w:rsid w:val="00AA64E9"/>
    <w:rsid w:val="00AA6530"/>
    <w:rsid w:val="00AA66AC"/>
    <w:rsid w:val="00AA6763"/>
    <w:rsid w:val="00AA6C95"/>
    <w:rsid w:val="00AA7235"/>
    <w:rsid w:val="00AA727C"/>
    <w:rsid w:val="00AA7465"/>
    <w:rsid w:val="00AA7727"/>
    <w:rsid w:val="00AA7DCF"/>
    <w:rsid w:val="00AA7EF3"/>
    <w:rsid w:val="00AB07DC"/>
    <w:rsid w:val="00AB0A38"/>
    <w:rsid w:val="00AB101B"/>
    <w:rsid w:val="00AB1112"/>
    <w:rsid w:val="00AB1181"/>
    <w:rsid w:val="00AB12EC"/>
    <w:rsid w:val="00AB1762"/>
    <w:rsid w:val="00AB1C84"/>
    <w:rsid w:val="00AB1CBC"/>
    <w:rsid w:val="00AB1E72"/>
    <w:rsid w:val="00AB1FE5"/>
    <w:rsid w:val="00AB2286"/>
    <w:rsid w:val="00AB24A8"/>
    <w:rsid w:val="00AB2659"/>
    <w:rsid w:val="00AB26A4"/>
    <w:rsid w:val="00AB2DB8"/>
    <w:rsid w:val="00AB2FFB"/>
    <w:rsid w:val="00AB3044"/>
    <w:rsid w:val="00AB305B"/>
    <w:rsid w:val="00AB3437"/>
    <w:rsid w:val="00AB3B4B"/>
    <w:rsid w:val="00AB3BA5"/>
    <w:rsid w:val="00AB3FF2"/>
    <w:rsid w:val="00AB46C3"/>
    <w:rsid w:val="00AB4A57"/>
    <w:rsid w:val="00AB4F1B"/>
    <w:rsid w:val="00AB5010"/>
    <w:rsid w:val="00AB57CA"/>
    <w:rsid w:val="00AB57FF"/>
    <w:rsid w:val="00AB5D1F"/>
    <w:rsid w:val="00AB5EA9"/>
    <w:rsid w:val="00AB605B"/>
    <w:rsid w:val="00AB67CE"/>
    <w:rsid w:val="00AB74BA"/>
    <w:rsid w:val="00AB7AC7"/>
    <w:rsid w:val="00ABBE2D"/>
    <w:rsid w:val="00AC053C"/>
    <w:rsid w:val="00AC0BC7"/>
    <w:rsid w:val="00AC0C76"/>
    <w:rsid w:val="00AC0C89"/>
    <w:rsid w:val="00AC1067"/>
    <w:rsid w:val="00AC10CD"/>
    <w:rsid w:val="00AC1327"/>
    <w:rsid w:val="00AC1720"/>
    <w:rsid w:val="00AC1E72"/>
    <w:rsid w:val="00AC1EC6"/>
    <w:rsid w:val="00AC20CF"/>
    <w:rsid w:val="00AC22E7"/>
    <w:rsid w:val="00AC28BB"/>
    <w:rsid w:val="00AC2E47"/>
    <w:rsid w:val="00AC320F"/>
    <w:rsid w:val="00AC3654"/>
    <w:rsid w:val="00AC39D6"/>
    <w:rsid w:val="00AC4474"/>
    <w:rsid w:val="00AC4A1F"/>
    <w:rsid w:val="00AC4AE0"/>
    <w:rsid w:val="00AC4B09"/>
    <w:rsid w:val="00AC4F98"/>
    <w:rsid w:val="00AC5163"/>
    <w:rsid w:val="00AC51DD"/>
    <w:rsid w:val="00AC5564"/>
    <w:rsid w:val="00AC55C0"/>
    <w:rsid w:val="00AC56C4"/>
    <w:rsid w:val="00AC57C1"/>
    <w:rsid w:val="00AC5F95"/>
    <w:rsid w:val="00AC5FFB"/>
    <w:rsid w:val="00AC610B"/>
    <w:rsid w:val="00AC61D6"/>
    <w:rsid w:val="00AC623A"/>
    <w:rsid w:val="00AC64D9"/>
    <w:rsid w:val="00AC65E9"/>
    <w:rsid w:val="00AC67A6"/>
    <w:rsid w:val="00AC6ADF"/>
    <w:rsid w:val="00AC6EFE"/>
    <w:rsid w:val="00AC7B84"/>
    <w:rsid w:val="00AC7C41"/>
    <w:rsid w:val="00AC7F48"/>
    <w:rsid w:val="00AD007F"/>
    <w:rsid w:val="00AD047E"/>
    <w:rsid w:val="00AD05F5"/>
    <w:rsid w:val="00AD0777"/>
    <w:rsid w:val="00AD0860"/>
    <w:rsid w:val="00AD09D5"/>
    <w:rsid w:val="00AD09DA"/>
    <w:rsid w:val="00AD0D5D"/>
    <w:rsid w:val="00AD0F92"/>
    <w:rsid w:val="00AD0FDE"/>
    <w:rsid w:val="00AD12BE"/>
    <w:rsid w:val="00AD1609"/>
    <w:rsid w:val="00AD17F0"/>
    <w:rsid w:val="00AD1947"/>
    <w:rsid w:val="00AD1A3E"/>
    <w:rsid w:val="00AD1F38"/>
    <w:rsid w:val="00AD23B2"/>
    <w:rsid w:val="00AD240D"/>
    <w:rsid w:val="00AD2A11"/>
    <w:rsid w:val="00AD2DE2"/>
    <w:rsid w:val="00AD300D"/>
    <w:rsid w:val="00AD303E"/>
    <w:rsid w:val="00AD30E6"/>
    <w:rsid w:val="00AD31C0"/>
    <w:rsid w:val="00AD3390"/>
    <w:rsid w:val="00AD3AAA"/>
    <w:rsid w:val="00AD3ACA"/>
    <w:rsid w:val="00AD3BA0"/>
    <w:rsid w:val="00AD429F"/>
    <w:rsid w:val="00AD4314"/>
    <w:rsid w:val="00AD44F9"/>
    <w:rsid w:val="00AD4553"/>
    <w:rsid w:val="00AD48BD"/>
    <w:rsid w:val="00AD49BB"/>
    <w:rsid w:val="00AD4C31"/>
    <w:rsid w:val="00AD4E5F"/>
    <w:rsid w:val="00AD505F"/>
    <w:rsid w:val="00AD51FE"/>
    <w:rsid w:val="00AD5473"/>
    <w:rsid w:val="00AD555E"/>
    <w:rsid w:val="00AD5A43"/>
    <w:rsid w:val="00AD5D8C"/>
    <w:rsid w:val="00AD61C8"/>
    <w:rsid w:val="00AD6B05"/>
    <w:rsid w:val="00AD6B92"/>
    <w:rsid w:val="00AD6BC9"/>
    <w:rsid w:val="00AD7247"/>
    <w:rsid w:val="00AD76DC"/>
    <w:rsid w:val="00AD7A7E"/>
    <w:rsid w:val="00AD7C5C"/>
    <w:rsid w:val="00AD7D54"/>
    <w:rsid w:val="00AD7FAA"/>
    <w:rsid w:val="00AE0303"/>
    <w:rsid w:val="00AE037B"/>
    <w:rsid w:val="00AE0CC9"/>
    <w:rsid w:val="00AE0DA7"/>
    <w:rsid w:val="00AE14B9"/>
    <w:rsid w:val="00AE19C1"/>
    <w:rsid w:val="00AE1A9F"/>
    <w:rsid w:val="00AE1B67"/>
    <w:rsid w:val="00AE1D73"/>
    <w:rsid w:val="00AE1D78"/>
    <w:rsid w:val="00AE20C1"/>
    <w:rsid w:val="00AE2439"/>
    <w:rsid w:val="00AE2581"/>
    <w:rsid w:val="00AE284D"/>
    <w:rsid w:val="00AE2CB9"/>
    <w:rsid w:val="00AE2DCC"/>
    <w:rsid w:val="00AE2E32"/>
    <w:rsid w:val="00AE3207"/>
    <w:rsid w:val="00AE34E2"/>
    <w:rsid w:val="00AE3661"/>
    <w:rsid w:val="00AE3743"/>
    <w:rsid w:val="00AE395D"/>
    <w:rsid w:val="00AE3A6B"/>
    <w:rsid w:val="00AE40F1"/>
    <w:rsid w:val="00AE492F"/>
    <w:rsid w:val="00AE4B5E"/>
    <w:rsid w:val="00AE4BC6"/>
    <w:rsid w:val="00AE5021"/>
    <w:rsid w:val="00AE5130"/>
    <w:rsid w:val="00AE6D13"/>
    <w:rsid w:val="00AE6D6C"/>
    <w:rsid w:val="00AE7010"/>
    <w:rsid w:val="00AE7395"/>
    <w:rsid w:val="00AE7537"/>
    <w:rsid w:val="00AE790C"/>
    <w:rsid w:val="00AE797B"/>
    <w:rsid w:val="00AF00BD"/>
    <w:rsid w:val="00AF038B"/>
    <w:rsid w:val="00AF03CC"/>
    <w:rsid w:val="00AF0528"/>
    <w:rsid w:val="00AF093B"/>
    <w:rsid w:val="00AF1115"/>
    <w:rsid w:val="00AF1417"/>
    <w:rsid w:val="00AF1889"/>
    <w:rsid w:val="00AF1C78"/>
    <w:rsid w:val="00AF1F51"/>
    <w:rsid w:val="00AF2307"/>
    <w:rsid w:val="00AF2C62"/>
    <w:rsid w:val="00AF2E3A"/>
    <w:rsid w:val="00AF312A"/>
    <w:rsid w:val="00AF31BD"/>
    <w:rsid w:val="00AF32DE"/>
    <w:rsid w:val="00AF337E"/>
    <w:rsid w:val="00AF346A"/>
    <w:rsid w:val="00AF3779"/>
    <w:rsid w:val="00AF3A51"/>
    <w:rsid w:val="00AF3E09"/>
    <w:rsid w:val="00AF430C"/>
    <w:rsid w:val="00AF442D"/>
    <w:rsid w:val="00AF4479"/>
    <w:rsid w:val="00AF4529"/>
    <w:rsid w:val="00AF454F"/>
    <w:rsid w:val="00AF4BF5"/>
    <w:rsid w:val="00AF4C4C"/>
    <w:rsid w:val="00AF53A9"/>
    <w:rsid w:val="00AF549D"/>
    <w:rsid w:val="00AF55A0"/>
    <w:rsid w:val="00AF5B03"/>
    <w:rsid w:val="00AF6040"/>
    <w:rsid w:val="00AF6609"/>
    <w:rsid w:val="00AF672C"/>
    <w:rsid w:val="00AF6B25"/>
    <w:rsid w:val="00AF6B93"/>
    <w:rsid w:val="00AF6CFA"/>
    <w:rsid w:val="00AF6F79"/>
    <w:rsid w:val="00AF73CA"/>
    <w:rsid w:val="00AF75DC"/>
    <w:rsid w:val="00AF799A"/>
    <w:rsid w:val="00AF7B91"/>
    <w:rsid w:val="00AF7C80"/>
    <w:rsid w:val="00B000DF"/>
    <w:rsid w:val="00B0065B"/>
    <w:rsid w:val="00B00865"/>
    <w:rsid w:val="00B00965"/>
    <w:rsid w:val="00B00B4D"/>
    <w:rsid w:val="00B00B77"/>
    <w:rsid w:val="00B00C97"/>
    <w:rsid w:val="00B013B2"/>
    <w:rsid w:val="00B01AF8"/>
    <w:rsid w:val="00B01B1E"/>
    <w:rsid w:val="00B01BBC"/>
    <w:rsid w:val="00B01FA6"/>
    <w:rsid w:val="00B020E4"/>
    <w:rsid w:val="00B02407"/>
    <w:rsid w:val="00B02526"/>
    <w:rsid w:val="00B02A0E"/>
    <w:rsid w:val="00B02BB8"/>
    <w:rsid w:val="00B02E64"/>
    <w:rsid w:val="00B02F0F"/>
    <w:rsid w:val="00B02FB4"/>
    <w:rsid w:val="00B037EF"/>
    <w:rsid w:val="00B03A12"/>
    <w:rsid w:val="00B0400D"/>
    <w:rsid w:val="00B0417E"/>
    <w:rsid w:val="00B045BF"/>
    <w:rsid w:val="00B046E6"/>
    <w:rsid w:val="00B04C71"/>
    <w:rsid w:val="00B04DFA"/>
    <w:rsid w:val="00B04E3D"/>
    <w:rsid w:val="00B04E3F"/>
    <w:rsid w:val="00B05008"/>
    <w:rsid w:val="00B0525C"/>
    <w:rsid w:val="00B0532A"/>
    <w:rsid w:val="00B0595B"/>
    <w:rsid w:val="00B05E72"/>
    <w:rsid w:val="00B061CA"/>
    <w:rsid w:val="00B06654"/>
    <w:rsid w:val="00B067D1"/>
    <w:rsid w:val="00B06A7D"/>
    <w:rsid w:val="00B06D75"/>
    <w:rsid w:val="00B06FAD"/>
    <w:rsid w:val="00B075D7"/>
    <w:rsid w:val="00B0781B"/>
    <w:rsid w:val="00B100C0"/>
    <w:rsid w:val="00B10808"/>
    <w:rsid w:val="00B10923"/>
    <w:rsid w:val="00B11007"/>
    <w:rsid w:val="00B1114A"/>
    <w:rsid w:val="00B1117D"/>
    <w:rsid w:val="00B1130B"/>
    <w:rsid w:val="00B11997"/>
    <w:rsid w:val="00B119DB"/>
    <w:rsid w:val="00B11A9B"/>
    <w:rsid w:val="00B11D72"/>
    <w:rsid w:val="00B11D99"/>
    <w:rsid w:val="00B11DA1"/>
    <w:rsid w:val="00B12272"/>
    <w:rsid w:val="00B12405"/>
    <w:rsid w:val="00B1242F"/>
    <w:rsid w:val="00B12448"/>
    <w:rsid w:val="00B126B9"/>
    <w:rsid w:val="00B12928"/>
    <w:rsid w:val="00B12A82"/>
    <w:rsid w:val="00B12AD3"/>
    <w:rsid w:val="00B12E0D"/>
    <w:rsid w:val="00B12E2F"/>
    <w:rsid w:val="00B13CF3"/>
    <w:rsid w:val="00B13FD5"/>
    <w:rsid w:val="00B1424F"/>
    <w:rsid w:val="00B14514"/>
    <w:rsid w:val="00B145E3"/>
    <w:rsid w:val="00B146A2"/>
    <w:rsid w:val="00B14704"/>
    <w:rsid w:val="00B147C0"/>
    <w:rsid w:val="00B14FAB"/>
    <w:rsid w:val="00B15428"/>
    <w:rsid w:val="00B15553"/>
    <w:rsid w:val="00B155EA"/>
    <w:rsid w:val="00B15829"/>
    <w:rsid w:val="00B1586D"/>
    <w:rsid w:val="00B15965"/>
    <w:rsid w:val="00B15A12"/>
    <w:rsid w:val="00B15C2B"/>
    <w:rsid w:val="00B15CB1"/>
    <w:rsid w:val="00B15D5C"/>
    <w:rsid w:val="00B15EAD"/>
    <w:rsid w:val="00B16505"/>
    <w:rsid w:val="00B165E6"/>
    <w:rsid w:val="00B166EA"/>
    <w:rsid w:val="00B16AD0"/>
    <w:rsid w:val="00B16C98"/>
    <w:rsid w:val="00B16E28"/>
    <w:rsid w:val="00B17359"/>
    <w:rsid w:val="00B17475"/>
    <w:rsid w:val="00B1757A"/>
    <w:rsid w:val="00B179F4"/>
    <w:rsid w:val="00B17AD1"/>
    <w:rsid w:val="00B17C5D"/>
    <w:rsid w:val="00B20075"/>
    <w:rsid w:val="00B20D11"/>
    <w:rsid w:val="00B20DE1"/>
    <w:rsid w:val="00B20F1F"/>
    <w:rsid w:val="00B21064"/>
    <w:rsid w:val="00B211E8"/>
    <w:rsid w:val="00B2140D"/>
    <w:rsid w:val="00B21467"/>
    <w:rsid w:val="00B215C2"/>
    <w:rsid w:val="00B22237"/>
    <w:rsid w:val="00B22516"/>
    <w:rsid w:val="00B2267A"/>
    <w:rsid w:val="00B2303D"/>
    <w:rsid w:val="00B23388"/>
    <w:rsid w:val="00B234CE"/>
    <w:rsid w:val="00B2362E"/>
    <w:rsid w:val="00B239A7"/>
    <w:rsid w:val="00B23F21"/>
    <w:rsid w:val="00B24031"/>
    <w:rsid w:val="00B2418C"/>
    <w:rsid w:val="00B24807"/>
    <w:rsid w:val="00B24877"/>
    <w:rsid w:val="00B24BA9"/>
    <w:rsid w:val="00B251AE"/>
    <w:rsid w:val="00B253BA"/>
    <w:rsid w:val="00B255CC"/>
    <w:rsid w:val="00B25A8C"/>
    <w:rsid w:val="00B25AE0"/>
    <w:rsid w:val="00B25E46"/>
    <w:rsid w:val="00B25E68"/>
    <w:rsid w:val="00B25E9E"/>
    <w:rsid w:val="00B25EE2"/>
    <w:rsid w:val="00B2610A"/>
    <w:rsid w:val="00B2615E"/>
    <w:rsid w:val="00B267B0"/>
    <w:rsid w:val="00B26B6D"/>
    <w:rsid w:val="00B26B96"/>
    <w:rsid w:val="00B26C1D"/>
    <w:rsid w:val="00B26D4A"/>
    <w:rsid w:val="00B279F7"/>
    <w:rsid w:val="00B27BC5"/>
    <w:rsid w:val="00B27C1E"/>
    <w:rsid w:val="00B27C3B"/>
    <w:rsid w:val="00B27E56"/>
    <w:rsid w:val="00B27F3F"/>
    <w:rsid w:val="00B2B083"/>
    <w:rsid w:val="00B303D8"/>
    <w:rsid w:val="00B3045F"/>
    <w:rsid w:val="00B3081F"/>
    <w:rsid w:val="00B30B9F"/>
    <w:rsid w:val="00B31D6A"/>
    <w:rsid w:val="00B31FE8"/>
    <w:rsid w:val="00B3200D"/>
    <w:rsid w:val="00B32014"/>
    <w:rsid w:val="00B3216A"/>
    <w:rsid w:val="00B32355"/>
    <w:rsid w:val="00B32B4E"/>
    <w:rsid w:val="00B32BD5"/>
    <w:rsid w:val="00B33279"/>
    <w:rsid w:val="00B33359"/>
    <w:rsid w:val="00B334BF"/>
    <w:rsid w:val="00B337F4"/>
    <w:rsid w:val="00B34201"/>
    <w:rsid w:val="00B343D8"/>
    <w:rsid w:val="00B350A1"/>
    <w:rsid w:val="00B35798"/>
    <w:rsid w:val="00B35867"/>
    <w:rsid w:val="00B35C8B"/>
    <w:rsid w:val="00B35E10"/>
    <w:rsid w:val="00B35E96"/>
    <w:rsid w:val="00B361D6"/>
    <w:rsid w:val="00B362CD"/>
    <w:rsid w:val="00B36396"/>
    <w:rsid w:val="00B363D4"/>
    <w:rsid w:val="00B365C2"/>
    <w:rsid w:val="00B365E2"/>
    <w:rsid w:val="00B365EE"/>
    <w:rsid w:val="00B3678D"/>
    <w:rsid w:val="00B368DC"/>
    <w:rsid w:val="00B36D93"/>
    <w:rsid w:val="00B36F89"/>
    <w:rsid w:val="00B37392"/>
    <w:rsid w:val="00B374CC"/>
    <w:rsid w:val="00B3771E"/>
    <w:rsid w:val="00B37A54"/>
    <w:rsid w:val="00B37A7E"/>
    <w:rsid w:val="00B37C10"/>
    <w:rsid w:val="00B4027B"/>
    <w:rsid w:val="00B40A84"/>
    <w:rsid w:val="00B40E63"/>
    <w:rsid w:val="00B40E9D"/>
    <w:rsid w:val="00B4113B"/>
    <w:rsid w:val="00B4136D"/>
    <w:rsid w:val="00B41560"/>
    <w:rsid w:val="00B4182D"/>
    <w:rsid w:val="00B41C9D"/>
    <w:rsid w:val="00B41DA7"/>
    <w:rsid w:val="00B41DD8"/>
    <w:rsid w:val="00B41FB6"/>
    <w:rsid w:val="00B420AB"/>
    <w:rsid w:val="00B42390"/>
    <w:rsid w:val="00B428F7"/>
    <w:rsid w:val="00B42AD7"/>
    <w:rsid w:val="00B42DFA"/>
    <w:rsid w:val="00B42FC3"/>
    <w:rsid w:val="00B42FFD"/>
    <w:rsid w:val="00B43083"/>
    <w:rsid w:val="00B43441"/>
    <w:rsid w:val="00B43450"/>
    <w:rsid w:val="00B43456"/>
    <w:rsid w:val="00B434C5"/>
    <w:rsid w:val="00B43631"/>
    <w:rsid w:val="00B43919"/>
    <w:rsid w:val="00B4417A"/>
    <w:rsid w:val="00B441AE"/>
    <w:rsid w:val="00B44279"/>
    <w:rsid w:val="00B442D3"/>
    <w:rsid w:val="00B44306"/>
    <w:rsid w:val="00B4482F"/>
    <w:rsid w:val="00B44BD1"/>
    <w:rsid w:val="00B4539D"/>
    <w:rsid w:val="00B454B8"/>
    <w:rsid w:val="00B45863"/>
    <w:rsid w:val="00B45A57"/>
    <w:rsid w:val="00B45D80"/>
    <w:rsid w:val="00B45E70"/>
    <w:rsid w:val="00B462C4"/>
    <w:rsid w:val="00B46A50"/>
    <w:rsid w:val="00B46B40"/>
    <w:rsid w:val="00B46D9C"/>
    <w:rsid w:val="00B46DBA"/>
    <w:rsid w:val="00B47221"/>
    <w:rsid w:val="00B4748F"/>
    <w:rsid w:val="00B4773D"/>
    <w:rsid w:val="00B47BFA"/>
    <w:rsid w:val="00B50B47"/>
    <w:rsid w:val="00B50C6B"/>
    <w:rsid w:val="00B50DE8"/>
    <w:rsid w:val="00B50DF6"/>
    <w:rsid w:val="00B50FD9"/>
    <w:rsid w:val="00B515EA"/>
    <w:rsid w:val="00B51650"/>
    <w:rsid w:val="00B51877"/>
    <w:rsid w:val="00B51D3F"/>
    <w:rsid w:val="00B51FCB"/>
    <w:rsid w:val="00B51FE0"/>
    <w:rsid w:val="00B524DA"/>
    <w:rsid w:val="00B5294B"/>
    <w:rsid w:val="00B52BA2"/>
    <w:rsid w:val="00B53C44"/>
    <w:rsid w:val="00B53FF7"/>
    <w:rsid w:val="00B54110"/>
    <w:rsid w:val="00B54266"/>
    <w:rsid w:val="00B5453D"/>
    <w:rsid w:val="00B547A0"/>
    <w:rsid w:val="00B5485D"/>
    <w:rsid w:val="00B54979"/>
    <w:rsid w:val="00B5501D"/>
    <w:rsid w:val="00B5545A"/>
    <w:rsid w:val="00B5561C"/>
    <w:rsid w:val="00B55A16"/>
    <w:rsid w:val="00B55AE3"/>
    <w:rsid w:val="00B55CAF"/>
    <w:rsid w:val="00B55F32"/>
    <w:rsid w:val="00B56425"/>
    <w:rsid w:val="00B56613"/>
    <w:rsid w:val="00B56820"/>
    <w:rsid w:val="00B56BA2"/>
    <w:rsid w:val="00B57307"/>
    <w:rsid w:val="00B575C1"/>
    <w:rsid w:val="00B578CD"/>
    <w:rsid w:val="00B57BB1"/>
    <w:rsid w:val="00B57D3C"/>
    <w:rsid w:val="00B600A3"/>
    <w:rsid w:val="00B601F0"/>
    <w:rsid w:val="00B60332"/>
    <w:rsid w:val="00B60389"/>
    <w:rsid w:val="00B60E61"/>
    <w:rsid w:val="00B60E64"/>
    <w:rsid w:val="00B60E8D"/>
    <w:rsid w:val="00B60ED2"/>
    <w:rsid w:val="00B61360"/>
    <w:rsid w:val="00B61763"/>
    <w:rsid w:val="00B6192C"/>
    <w:rsid w:val="00B61CBA"/>
    <w:rsid w:val="00B61D1C"/>
    <w:rsid w:val="00B61EDD"/>
    <w:rsid w:val="00B62676"/>
    <w:rsid w:val="00B62ACF"/>
    <w:rsid w:val="00B637B2"/>
    <w:rsid w:val="00B63A36"/>
    <w:rsid w:val="00B64056"/>
    <w:rsid w:val="00B640F1"/>
    <w:rsid w:val="00B64544"/>
    <w:rsid w:val="00B646E4"/>
    <w:rsid w:val="00B64972"/>
    <w:rsid w:val="00B64C11"/>
    <w:rsid w:val="00B64F87"/>
    <w:rsid w:val="00B6506B"/>
    <w:rsid w:val="00B65564"/>
    <w:rsid w:val="00B65985"/>
    <w:rsid w:val="00B65B9D"/>
    <w:rsid w:val="00B65F11"/>
    <w:rsid w:val="00B65F20"/>
    <w:rsid w:val="00B66259"/>
    <w:rsid w:val="00B664BD"/>
    <w:rsid w:val="00B666FF"/>
    <w:rsid w:val="00B6708F"/>
    <w:rsid w:val="00B67519"/>
    <w:rsid w:val="00B67550"/>
    <w:rsid w:val="00B67589"/>
    <w:rsid w:val="00B67713"/>
    <w:rsid w:val="00B67F5E"/>
    <w:rsid w:val="00B67FAC"/>
    <w:rsid w:val="00B70141"/>
    <w:rsid w:val="00B701C8"/>
    <w:rsid w:val="00B70C10"/>
    <w:rsid w:val="00B70C1B"/>
    <w:rsid w:val="00B70E5A"/>
    <w:rsid w:val="00B7107C"/>
    <w:rsid w:val="00B7112B"/>
    <w:rsid w:val="00B71205"/>
    <w:rsid w:val="00B71280"/>
    <w:rsid w:val="00B71372"/>
    <w:rsid w:val="00B71C4A"/>
    <w:rsid w:val="00B71CBC"/>
    <w:rsid w:val="00B71E10"/>
    <w:rsid w:val="00B7258A"/>
    <w:rsid w:val="00B72AF0"/>
    <w:rsid w:val="00B72B09"/>
    <w:rsid w:val="00B730CC"/>
    <w:rsid w:val="00B7320B"/>
    <w:rsid w:val="00B7341B"/>
    <w:rsid w:val="00B735B1"/>
    <w:rsid w:val="00B73AB9"/>
    <w:rsid w:val="00B73E7D"/>
    <w:rsid w:val="00B740BC"/>
    <w:rsid w:val="00B742FE"/>
    <w:rsid w:val="00B74327"/>
    <w:rsid w:val="00B7443E"/>
    <w:rsid w:val="00B74572"/>
    <w:rsid w:val="00B746C5"/>
    <w:rsid w:val="00B747B7"/>
    <w:rsid w:val="00B748C9"/>
    <w:rsid w:val="00B74A3B"/>
    <w:rsid w:val="00B74B8F"/>
    <w:rsid w:val="00B74CA5"/>
    <w:rsid w:val="00B74FF4"/>
    <w:rsid w:val="00B753A8"/>
    <w:rsid w:val="00B75463"/>
    <w:rsid w:val="00B755B8"/>
    <w:rsid w:val="00B7591E"/>
    <w:rsid w:val="00B75A3B"/>
    <w:rsid w:val="00B75A4B"/>
    <w:rsid w:val="00B7670B"/>
    <w:rsid w:val="00B76DAE"/>
    <w:rsid w:val="00B76E35"/>
    <w:rsid w:val="00B776D1"/>
    <w:rsid w:val="00B77807"/>
    <w:rsid w:val="00B77C82"/>
    <w:rsid w:val="00B77DFC"/>
    <w:rsid w:val="00B77E5F"/>
    <w:rsid w:val="00B77F8C"/>
    <w:rsid w:val="00B80209"/>
    <w:rsid w:val="00B804F9"/>
    <w:rsid w:val="00B80B63"/>
    <w:rsid w:val="00B80CCF"/>
    <w:rsid w:val="00B80CF6"/>
    <w:rsid w:val="00B80D77"/>
    <w:rsid w:val="00B81111"/>
    <w:rsid w:val="00B812C6"/>
    <w:rsid w:val="00B81303"/>
    <w:rsid w:val="00B81307"/>
    <w:rsid w:val="00B813F9"/>
    <w:rsid w:val="00B814C9"/>
    <w:rsid w:val="00B816BF"/>
    <w:rsid w:val="00B8177F"/>
    <w:rsid w:val="00B81ED3"/>
    <w:rsid w:val="00B81F10"/>
    <w:rsid w:val="00B821DA"/>
    <w:rsid w:val="00B823AE"/>
    <w:rsid w:val="00B823FA"/>
    <w:rsid w:val="00B82519"/>
    <w:rsid w:val="00B833CD"/>
    <w:rsid w:val="00B83683"/>
    <w:rsid w:val="00B839C3"/>
    <w:rsid w:val="00B83A6F"/>
    <w:rsid w:val="00B84065"/>
    <w:rsid w:val="00B844A5"/>
    <w:rsid w:val="00B844D8"/>
    <w:rsid w:val="00B8452E"/>
    <w:rsid w:val="00B84E7A"/>
    <w:rsid w:val="00B85853"/>
    <w:rsid w:val="00B85ADD"/>
    <w:rsid w:val="00B85C5D"/>
    <w:rsid w:val="00B85D4A"/>
    <w:rsid w:val="00B85D74"/>
    <w:rsid w:val="00B86152"/>
    <w:rsid w:val="00B86900"/>
    <w:rsid w:val="00B872F5"/>
    <w:rsid w:val="00B874D5"/>
    <w:rsid w:val="00B876F9"/>
    <w:rsid w:val="00B87F0C"/>
    <w:rsid w:val="00B880D5"/>
    <w:rsid w:val="00B900E6"/>
    <w:rsid w:val="00B90514"/>
    <w:rsid w:val="00B90784"/>
    <w:rsid w:val="00B90AC8"/>
    <w:rsid w:val="00B90BF7"/>
    <w:rsid w:val="00B91B26"/>
    <w:rsid w:val="00B91B5B"/>
    <w:rsid w:val="00B91DC5"/>
    <w:rsid w:val="00B91F25"/>
    <w:rsid w:val="00B91F9E"/>
    <w:rsid w:val="00B92188"/>
    <w:rsid w:val="00B92249"/>
    <w:rsid w:val="00B924AE"/>
    <w:rsid w:val="00B92AAB"/>
    <w:rsid w:val="00B92BF3"/>
    <w:rsid w:val="00B92D19"/>
    <w:rsid w:val="00B92E3F"/>
    <w:rsid w:val="00B931B7"/>
    <w:rsid w:val="00B93542"/>
    <w:rsid w:val="00B93664"/>
    <w:rsid w:val="00B93E5A"/>
    <w:rsid w:val="00B94669"/>
    <w:rsid w:val="00B9481A"/>
    <w:rsid w:val="00B94F4F"/>
    <w:rsid w:val="00B95033"/>
    <w:rsid w:val="00B95474"/>
    <w:rsid w:val="00B9559D"/>
    <w:rsid w:val="00B957DF"/>
    <w:rsid w:val="00B95A64"/>
    <w:rsid w:val="00B963DB"/>
    <w:rsid w:val="00B96450"/>
    <w:rsid w:val="00B9684B"/>
    <w:rsid w:val="00B97274"/>
    <w:rsid w:val="00B979BF"/>
    <w:rsid w:val="00BA0021"/>
    <w:rsid w:val="00BA09C8"/>
    <w:rsid w:val="00BA09CD"/>
    <w:rsid w:val="00BA0B86"/>
    <w:rsid w:val="00BA0BF3"/>
    <w:rsid w:val="00BA0CDA"/>
    <w:rsid w:val="00BA0CF1"/>
    <w:rsid w:val="00BA0D1B"/>
    <w:rsid w:val="00BA0E7C"/>
    <w:rsid w:val="00BA0EEA"/>
    <w:rsid w:val="00BA1095"/>
    <w:rsid w:val="00BA1133"/>
    <w:rsid w:val="00BA130D"/>
    <w:rsid w:val="00BA1536"/>
    <w:rsid w:val="00BA19C5"/>
    <w:rsid w:val="00BA1D45"/>
    <w:rsid w:val="00BA1F9D"/>
    <w:rsid w:val="00BA210C"/>
    <w:rsid w:val="00BA217F"/>
    <w:rsid w:val="00BA233D"/>
    <w:rsid w:val="00BA25A0"/>
    <w:rsid w:val="00BA2C75"/>
    <w:rsid w:val="00BA2CFD"/>
    <w:rsid w:val="00BA2D0C"/>
    <w:rsid w:val="00BA334F"/>
    <w:rsid w:val="00BA38E0"/>
    <w:rsid w:val="00BA3A0E"/>
    <w:rsid w:val="00BA3C3C"/>
    <w:rsid w:val="00BA3CE6"/>
    <w:rsid w:val="00BA3E46"/>
    <w:rsid w:val="00BA42F2"/>
    <w:rsid w:val="00BA4391"/>
    <w:rsid w:val="00BA45CF"/>
    <w:rsid w:val="00BA45E0"/>
    <w:rsid w:val="00BA4931"/>
    <w:rsid w:val="00BA4CD9"/>
    <w:rsid w:val="00BA4DB7"/>
    <w:rsid w:val="00BA56DF"/>
    <w:rsid w:val="00BA5764"/>
    <w:rsid w:val="00BA5A4F"/>
    <w:rsid w:val="00BA5CB6"/>
    <w:rsid w:val="00BA5CFE"/>
    <w:rsid w:val="00BA6146"/>
    <w:rsid w:val="00BA66B6"/>
    <w:rsid w:val="00BA6836"/>
    <w:rsid w:val="00BA6E89"/>
    <w:rsid w:val="00BA6FBF"/>
    <w:rsid w:val="00BA72E3"/>
    <w:rsid w:val="00BA798F"/>
    <w:rsid w:val="00BA7DA0"/>
    <w:rsid w:val="00BA7EB0"/>
    <w:rsid w:val="00BA7F30"/>
    <w:rsid w:val="00BB0C68"/>
    <w:rsid w:val="00BB10B1"/>
    <w:rsid w:val="00BB1381"/>
    <w:rsid w:val="00BB1511"/>
    <w:rsid w:val="00BB1874"/>
    <w:rsid w:val="00BB1952"/>
    <w:rsid w:val="00BB1C35"/>
    <w:rsid w:val="00BB1D12"/>
    <w:rsid w:val="00BB1E6E"/>
    <w:rsid w:val="00BB2211"/>
    <w:rsid w:val="00BB2362"/>
    <w:rsid w:val="00BB2825"/>
    <w:rsid w:val="00BB30AF"/>
    <w:rsid w:val="00BB30C5"/>
    <w:rsid w:val="00BB33C0"/>
    <w:rsid w:val="00BB4426"/>
    <w:rsid w:val="00BB4761"/>
    <w:rsid w:val="00BB48A1"/>
    <w:rsid w:val="00BB497C"/>
    <w:rsid w:val="00BB4A87"/>
    <w:rsid w:val="00BB55AA"/>
    <w:rsid w:val="00BB5DC2"/>
    <w:rsid w:val="00BB5E3D"/>
    <w:rsid w:val="00BB5ECF"/>
    <w:rsid w:val="00BB5F8A"/>
    <w:rsid w:val="00BB654D"/>
    <w:rsid w:val="00BB6784"/>
    <w:rsid w:val="00BB7102"/>
    <w:rsid w:val="00BB7107"/>
    <w:rsid w:val="00BB784E"/>
    <w:rsid w:val="00BB7B00"/>
    <w:rsid w:val="00BB7CCB"/>
    <w:rsid w:val="00BC09E2"/>
    <w:rsid w:val="00BC0B2A"/>
    <w:rsid w:val="00BC0BFF"/>
    <w:rsid w:val="00BC0F1D"/>
    <w:rsid w:val="00BC0F7A"/>
    <w:rsid w:val="00BC122F"/>
    <w:rsid w:val="00BC128B"/>
    <w:rsid w:val="00BC1384"/>
    <w:rsid w:val="00BC1478"/>
    <w:rsid w:val="00BC1DE2"/>
    <w:rsid w:val="00BC21A1"/>
    <w:rsid w:val="00BC260D"/>
    <w:rsid w:val="00BC2755"/>
    <w:rsid w:val="00BC2869"/>
    <w:rsid w:val="00BC345D"/>
    <w:rsid w:val="00BC35CE"/>
    <w:rsid w:val="00BC3A12"/>
    <w:rsid w:val="00BC3B77"/>
    <w:rsid w:val="00BC454D"/>
    <w:rsid w:val="00BC47A5"/>
    <w:rsid w:val="00BC4ED7"/>
    <w:rsid w:val="00BC525D"/>
    <w:rsid w:val="00BC5271"/>
    <w:rsid w:val="00BC53E2"/>
    <w:rsid w:val="00BC57B5"/>
    <w:rsid w:val="00BC59ED"/>
    <w:rsid w:val="00BC5B3D"/>
    <w:rsid w:val="00BC6654"/>
    <w:rsid w:val="00BC674D"/>
    <w:rsid w:val="00BC6BAE"/>
    <w:rsid w:val="00BC6FD4"/>
    <w:rsid w:val="00BC73D2"/>
    <w:rsid w:val="00BC7605"/>
    <w:rsid w:val="00BC7863"/>
    <w:rsid w:val="00BC7B5B"/>
    <w:rsid w:val="00BC7FF4"/>
    <w:rsid w:val="00BC7FF5"/>
    <w:rsid w:val="00BCD1D7"/>
    <w:rsid w:val="00BD0405"/>
    <w:rsid w:val="00BD0761"/>
    <w:rsid w:val="00BD07E1"/>
    <w:rsid w:val="00BD08BD"/>
    <w:rsid w:val="00BD0B15"/>
    <w:rsid w:val="00BD0D84"/>
    <w:rsid w:val="00BD109F"/>
    <w:rsid w:val="00BD1185"/>
    <w:rsid w:val="00BD1511"/>
    <w:rsid w:val="00BD16E9"/>
    <w:rsid w:val="00BD1A14"/>
    <w:rsid w:val="00BD1C16"/>
    <w:rsid w:val="00BD1D56"/>
    <w:rsid w:val="00BD20C4"/>
    <w:rsid w:val="00BD23C6"/>
    <w:rsid w:val="00BD2F64"/>
    <w:rsid w:val="00BD31D2"/>
    <w:rsid w:val="00BD384F"/>
    <w:rsid w:val="00BD389E"/>
    <w:rsid w:val="00BD4026"/>
    <w:rsid w:val="00BD4089"/>
    <w:rsid w:val="00BD40F3"/>
    <w:rsid w:val="00BD423F"/>
    <w:rsid w:val="00BD4617"/>
    <w:rsid w:val="00BD5A52"/>
    <w:rsid w:val="00BD6078"/>
    <w:rsid w:val="00BD6379"/>
    <w:rsid w:val="00BD63CF"/>
    <w:rsid w:val="00BD6C31"/>
    <w:rsid w:val="00BD758F"/>
    <w:rsid w:val="00BD75FB"/>
    <w:rsid w:val="00BD7A75"/>
    <w:rsid w:val="00BD7D11"/>
    <w:rsid w:val="00BE0321"/>
    <w:rsid w:val="00BE06A1"/>
    <w:rsid w:val="00BE0703"/>
    <w:rsid w:val="00BE10E3"/>
    <w:rsid w:val="00BE18EF"/>
    <w:rsid w:val="00BE1997"/>
    <w:rsid w:val="00BE1C43"/>
    <w:rsid w:val="00BE1DFF"/>
    <w:rsid w:val="00BE1E60"/>
    <w:rsid w:val="00BE1F77"/>
    <w:rsid w:val="00BE1FA5"/>
    <w:rsid w:val="00BE2038"/>
    <w:rsid w:val="00BE2259"/>
    <w:rsid w:val="00BE2406"/>
    <w:rsid w:val="00BE25FA"/>
    <w:rsid w:val="00BE2D52"/>
    <w:rsid w:val="00BE2E20"/>
    <w:rsid w:val="00BE3038"/>
    <w:rsid w:val="00BE3452"/>
    <w:rsid w:val="00BE366E"/>
    <w:rsid w:val="00BE3874"/>
    <w:rsid w:val="00BE3D76"/>
    <w:rsid w:val="00BE3E52"/>
    <w:rsid w:val="00BE42D2"/>
    <w:rsid w:val="00BE46C3"/>
    <w:rsid w:val="00BE4986"/>
    <w:rsid w:val="00BE5AA1"/>
    <w:rsid w:val="00BE5BAD"/>
    <w:rsid w:val="00BE6252"/>
    <w:rsid w:val="00BE657E"/>
    <w:rsid w:val="00BE6599"/>
    <w:rsid w:val="00BE6786"/>
    <w:rsid w:val="00BE6C41"/>
    <w:rsid w:val="00BE70DF"/>
    <w:rsid w:val="00BE7639"/>
    <w:rsid w:val="00BE78E9"/>
    <w:rsid w:val="00BF019A"/>
    <w:rsid w:val="00BF0618"/>
    <w:rsid w:val="00BF0698"/>
    <w:rsid w:val="00BF0785"/>
    <w:rsid w:val="00BF0A08"/>
    <w:rsid w:val="00BF0BD2"/>
    <w:rsid w:val="00BF0C92"/>
    <w:rsid w:val="00BF0CE9"/>
    <w:rsid w:val="00BF0E13"/>
    <w:rsid w:val="00BF1EEC"/>
    <w:rsid w:val="00BF238E"/>
    <w:rsid w:val="00BF2CC6"/>
    <w:rsid w:val="00BF2E75"/>
    <w:rsid w:val="00BF3177"/>
    <w:rsid w:val="00BF3907"/>
    <w:rsid w:val="00BF3A0A"/>
    <w:rsid w:val="00BF3A4A"/>
    <w:rsid w:val="00BF411A"/>
    <w:rsid w:val="00BF4197"/>
    <w:rsid w:val="00BF42C4"/>
    <w:rsid w:val="00BF45AA"/>
    <w:rsid w:val="00BF47A1"/>
    <w:rsid w:val="00BF47FA"/>
    <w:rsid w:val="00BF49B2"/>
    <w:rsid w:val="00BF4B13"/>
    <w:rsid w:val="00BF4D0A"/>
    <w:rsid w:val="00BF507A"/>
    <w:rsid w:val="00BF528D"/>
    <w:rsid w:val="00BF5362"/>
    <w:rsid w:val="00BF53D5"/>
    <w:rsid w:val="00BF57B9"/>
    <w:rsid w:val="00BF57DB"/>
    <w:rsid w:val="00BF5A73"/>
    <w:rsid w:val="00BF5A8E"/>
    <w:rsid w:val="00BF5B84"/>
    <w:rsid w:val="00BF5DBF"/>
    <w:rsid w:val="00BF62B4"/>
    <w:rsid w:val="00BF62FC"/>
    <w:rsid w:val="00BF6327"/>
    <w:rsid w:val="00BF680E"/>
    <w:rsid w:val="00BF7219"/>
    <w:rsid w:val="00BF7398"/>
    <w:rsid w:val="00BF7477"/>
    <w:rsid w:val="00BF7479"/>
    <w:rsid w:val="00BF75B8"/>
    <w:rsid w:val="00BF75D7"/>
    <w:rsid w:val="00BF7620"/>
    <w:rsid w:val="00BF763B"/>
    <w:rsid w:val="00BF77F1"/>
    <w:rsid w:val="00BF79E8"/>
    <w:rsid w:val="00BF7A84"/>
    <w:rsid w:val="00BF7ABC"/>
    <w:rsid w:val="00C0029E"/>
    <w:rsid w:val="00C00359"/>
    <w:rsid w:val="00C00513"/>
    <w:rsid w:val="00C00AB9"/>
    <w:rsid w:val="00C01331"/>
    <w:rsid w:val="00C014F0"/>
    <w:rsid w:val="00C01973"/>
    <w:rsid w:val="00C01B0A"/>
    <w:rsid w:val="00C021F9"/>
    <w:rsid w:val="00C02549"/>
    <w:rsid w:val="00C0293F"/>
    <w:rsid w:val="00C02E0B"/>
    <w:rsid w:val="00C02EF9"/>
    <w:rsid w:val="00C03236"/>
    <w:rsid w:val="00C0339C"/>
    <w:rsid w:val="00C03CA0"/>
    <w:rsid w:val="00C03CF0"/>
    <w:rsid w:val="00C03DA3"/>
    <w:rsid w:val="00C0425C"/>
    <w:rsid w:val="00C04585"/>
    <w:rsid w:val="00C04730"/>
    <w:rsid w:val="00C0476A"/>
    <w:rsid w:val="00C04775"/>
    <w:rsid w:val="00C04A33"/>
    <w:rsid w:val="00C04CE7"/>
    <w:rsid w:val="00C0519E"/>
    <w:rsid w:val="00C05728"/>
    <w:rsid w:val="00C05E31"/>
    <w:rsid w:val="00C06095"/>
    <w:rsid w:val="00C06660"/>
    <w:rsid w:val="00C066FB"/>
    <w:rsid w:val="00C06712"/>
    <w:rsid w:val="00C06910"/>
    <w:rsid w:val="00C06B1A"/>
    <w:rsid w:val="00C07025"/>
    <w:rsid w:val="00C072BE"/>
    <w:rsid w:val="00C07511"/>
    <w:rsid w:val="00C075ED"/>
    <w:rsid w:val="00C07676"/>
    <w:rsid w:val="00C07D49"/>
    <w:rsid w:val="00C07D84"/>
    <w:rsid w:val="00C07EE3"/>
    <w:rsid w:val="00C101B9"/>
    <w:rsid w:val="00C1038B"/>
    <w:rsid w:val="00C103FC"/>
    <w:rsid w:val="00C1057E"/>
    <w:rsid w:val="00C1074A"/>
    <w:rsid w:val="00C107F5"/>
    <w:rsid w:val="00C109A1"/>
    <w:rsid w:val="00C10B59"/>
    <w:rsid w:val="00C10E67"/>
    <w:rsid w:val="00C11140"/>
    <w:rsid w:val="00C115DB"/>
    <w:rsid w:val="00C11AB1"/>
    <w:rsid w:val="00C11D1E"/>
    <w:rsid w:val="00C11FBC"/>
    <w:rsid w:val="00C12412"/>
    <w:rsid w:val="00C127D7"/>
    <w:rsid w:val="00C12C03"/>
    <w:rsid w:val="00C12CA4"/>
    <w:rsid w:val="00C12DD4"/>
    <w:rsid w:val="00C13176"/>
    <w:rsid w:val="00C1344C"/>
    <w:rsid w:val="00C13672"/>
    <w:rsid w:val="00C1386A"/>
    <w:rsid w:val="00C13A36"/>
    <w:rsid w:val="00C13A65"/>
    <w:rsid w:val="00C13BD9"/>
    <w:rsid w:val="00C14019"/>
    <w:rsid w:val="00C14958"/>
    <w:rsid w:val="00C15783"/>
    <w:rsid w:val="00C15BA8"/>
    <w:rsid w:val="00C15D53"/>
    <w:rsid w:val="00C15FA4"/>
    <w:rsid w:val="00C1634A"/>
    <w:rsid w:val="00C1652F"/>
    <w:rsid w:val="00C16A75"/>
    <w:rsid w:val="00C16CC6"/>
    <w:rsid w:val="00C16CF6"/>
    <w:rsid w:val="00C16D1F"/>
    <w:rsid w:val="00C16D58"/>
    <w:rsid w:val="00C170E5"/>
    <w:rsid w:val="00C1732B"/>
    <w:rsid w:val="00C17CB1"/>
    <w:rsid w:val="00C2054C"/>
    <w:rsid w:val="00C20C4E"/>
    <w:rsid w:val="00C20E84"/>
    <w:rsid w:val="00C2106B"/>
    <w:rsid w:val="00C21375"/>
    <w:rsid w:val="00C21376"/>
    <w:rsid w:val="00C21406"/>
    <w:rsid w:val="00C2150E"/>
    <w:rsid w:val="00C21709"/>
    <w:rsid w:val="00C217D7"/>
    <w:rsid w:val="00C21A93"/>
    <w:rsid w:val="00C21D5E"/>
    <w:rsid w:val="00C223E2"/>
    <w:rsid w:val="00C223F1"/>
    <w:rsid w:val="00C2277F"/>
    <w:rsid w:val="00C22B3E"/>
    <w:rsid w:val="00C22D4D"/>
    <w:rsid w:val="00C232E0"/>
    <w:rsid w:val="00C2358A"/>
    <w:rsid w:val="00C23846"/>
    <w:rsid w:val="00C2393D"/>
    <w:rsid w:val="00C23958"/>
    <w:rsid w:val="00C23998"/>
    <w:rsid w:val="00C2399B"/>
    <w:rsid w:val="00C23E6F"/>
    <w:rsid w:val="00C23EB0"/>
    <w:rsid w:val="00C24019"/>
    <w:rsid w:val="00C245C4"/>
    <w:rsid w:val="00C2490A"/>
    <w:rsid w:val="00C25008"/>
    <w:rsid w:val="00C25564"/>
    <w:rsid w:val="00C257EC"/>
    <w:rsid w:val="00C26079"/>
    <w:rsid w:val="00C26434"/>
    <w:rsid w:val="00C2665B"/>
    <w:rsid w:val="00C26697"/>
    <w:rsid w:val="00C268B3"/>
    <w:rsid w:val="00C268CF"/>
    <w:rsid w:val="00C269F0"/>
    <w:rsid w:val="00C26A5D"/>
    <w:rsid w:val="00C26C44"/>
    <w:rsid w:val="00C26C54"/>
    <w:rsid w:val="00C26CF2"/>
    <w:rsid w:val="00C26E9D"/>
    <w:rsid w:val="00C278F3"/>
    <w:rsid w:val="00C27DB8"/>
    <w:rsid w:val="00C3010B"/>
    <w:rsid w:val="00C301C1"/>
    <w:rsid w:val="00C30282"/>
    <w:rsid w:val="00C30635"/>
    <w:rsid w:val="00C307DE"/>
    <w:rsid w:val="00C30C13"/>
    <w:rsid w:val="00C310E8"/>
    <w:rsid w:val="00C31310"/>
    <w:rsid w:val="00C31704"/>
    <w:rsid w:val="00C31B02"/>
    <w:rsid w:val="00C31D1E"/>
    <w:rsid w:val="00C3241F"/>
    <w:rsid w:val="00C326E1"/>
    <w:rsid w:val="00C32735"/>
    <w:rsid w:val="00C32913"/>
    <w:rsid w:val="00C32CB4"/>
    <w:rsid w:val="00C331BC"/>
    <w:rsid w:val="00C33306"/>
    <w:rsid w:val="00C339B2"/>
    <w:rsid w:val="00C339F5"/>
    <w:rsid w:val="00C343B4"/>
    <w:rsid w:val="00C34E76"/>
    <w:rsid w:val="00C350DA"/>
    <w:rsid w:val="00C35273"/>
    <w:rsid w:val="00C35420"/>
    <w:rsid w:val="00C36191"/>
    <w:rsid w:val="00C366B9"/>
    <w:rsid w:val="00C36B27"/>
    <w:rsid w:val="00C37397"/>
    <w:rsid w:val="00C37565"/>
    <w:rsid w:val="00C377DA"/>
    <w:rsid w:val="00C37B95"/>
    <w:rsid w:val="00C400AB"/>
    <w:rsid w:val="00C4010E"/>
    <w:rsid w:val="00C402A2"/>
    <w:rsid w:val="00C4089F"/>
    <w:rsid w:val="00C4095C"/>
    <w:rsid w:val="00C409DC"/>
    <w:rsid w:val="00C40E5C"/>
    <w:rsid w:val="00C40F69"/>
    <w:rsid w:val="00C4114B"/>
    <w:rsid w:val="00C4164C"/>
    <w:rsid w:val="00C41800"/>
    <w:rsid w:val="00C41D40"/>
    <w:rsid w:val="00C41DEE"/>
    <w:rsid w:val="00C41EE3"/>
    <w:rsid w:val="00C41F88"/>
    <w:rsid w:val="00C420EA"/>
    <w:rsid w:val="00C423AB"/>
    <w:rsid w:val="00C42597"/>
    <w:rsid w:val="00C425F8"/>
    <w:rsid w:val="00C426A2"/>
    <w:rsid w:val="00C42700"/>
    <w:rsid w:val="00C42888"/>
    <w:rsid w:val="00C4296F"/>
    <w:rsid w:val="00C42ADD"/>
    <w:rsid w:val="00C42E04"/>
    <w:rsid w:val="00C4302D"/>
    <w:rsid w:val="00C432D2"/>
    <w:rsid w:val="00C43F5B"/>
    <w:rsid w:val="00C43F62"/>
    <w:rsid w:val="00C441A6"/>
    <w:rsid w:val="00C446FB"/>
    <w:rsid w:val="00C4475F"/>
    <w:rsid w:val="00C4480F"/>
    <w:rsid w:val="00C44936"/>
    <w:rsid w:val="00C44AE0"/>
    <w:rsid w:val="00C44BA7"/>
    <w:rsid w:val="00C44CD5"/>
    <w:rsid w:val="00C44D7F"/>
    <w:rsid w:val="00C44E6C"/>
    <w:rsid w:val="00C44E7F"/>
    <w:rsid w:val="00C4587A"/>
    <w:rsid w:val="00C458D2"/>
    <w:rsid w:val="00C45C9F"/>
    <w:rsid w:val="00C46198"/>
    <w:rsid w:val="00C467D3"/>
    <w:rsid w:val="00C47222"/>
    <w:rsid w:val="00C476A1"/>
    <w:rsid w:val="00C476D1"/>
    <w:rsid w:val="00C479C5"/>
    <w:rsid w:val="00C479D3"/>
    <w:rsid w:val="00C47A8A"/>
    <w:rsid w:val="00C50003"/>
    <w:rsid w:val="00C501AC"/>
    <w:rsid w:val="00C50250"/>
    <w:rsid w:val="00C50392"/>
    <w:rsid w:val="00C503FF"/>
    <w:rsid w:val="00C50A33"/>
    <w:rsid w:val="00C50BCA"/>
    <w:rsid w:val="00C50E31"/>
    <w:rsid w:val="00C50F87"/>
    <w:rsid w:val="00C51222"/>
    <w:rsid w:val="00C514E1"/>
    <w:rsid w:val="00C51B20"/>
    <w:rsid w:val="00C51D4B"/>
    <w:rsid w:val="00C51DDC"/>
    <w:rsid w:val="00C5224B"/>
    <w:rsid w:val="00C52433"/>
    <w:rsid w:val="00C529D3"/>
    <w:rsid w:val="00C52C60"/>
    <w:rsid w:val="00C530CA"/>
    <w:rsid w:val="00C533B1"/>
    <w:rsid w:val="00C5361C"/>
    <w:rsid w:val="00C541C9"/>
    <w:rsid w:val="00C54340"/>
    <w:rsid w:val="00C546D9"/>
    <w:rsid w:val="00C54774"/>
    <w:rsid w:val="00C5485C"/>
    <w:rsid w:val="00C549DB"/>
    <w:rsid w:val="00C54A16"/>
    <w:rsid w:val="00C54E76"/>
    <w:rsid w:val="00C54FFE"/>
    <w:rsid w:val="00C553FE"/>
    <w:rsid w:val="00C5558A"/>
    <w:rsid w:val="00C55746"/>
    <w:rsid w:val="00C5591F"/>
    <w:rsid w:val="00C55A0B"/>
    <w:rsid w:val="00C55C03"/>
    <w:rsid w:val="00C55D6A"/>
    <w:rsid w:val="00C564E0"/>
    <w:rsid w:val="00C56666"/>
    <w:rsid w:val="00C56A66"/>
    <w:rsid w:val="00C56D1B"/>
    <w:rsid w:val="00C56D3A"/>
    <w:rsid w:val="00C56E78"/>
    <w:rsid w:val="00C571F1"/>
    <w:rsid w:val="00C574CD"/>
    <w:rsid w:val="00C5770B"/>
    <w:rsid w:val="00C57BAF"/>
    <w:rsid w:val="00C57EE0"/>
    <w:rsid w:val="00C6028A"/>
    <w:rsid w:val="00C6033D"/>
    <w:rsid w:val="00C6085C"/>
    <w:rsid w:val="00C60A67"/>
    <w:rsid w:val="00C60E3A"/>
    <w:rsid w:val="00C610A1"/>
    <w:rsid w:val="00C6178C"/>
    <w:rsid w:val="00C619A9"/>
    <w:rsid w:val="00C61AB7"/>
    <w:rsid w:val="00C62082"/>
    <w:rsid w:val="00C6236F"/>
    <w:rsid w:val="00C62388"/>
    <w:rsid w:val="00C625A2"/>
    <w:rsid w:val="00C627A7"/>
    <w:rsid w:val="00C63219"/>
    <w:rsid w:val="00C636D4"/>
    <w:rsid w:val="00C63BF0"/>
    <w:rsid w:val="00C63E20"/>
    <w:rsid w:val="00C64460"/>
    <w:rsid w:val="00C6463E"/>
    <w:rsid w:val="00C64767"/>
    <w:rsid w:val="00C649F8"/>
    <w:rsid w:val="00C64A50"/>
    <w:rsid w:val="00C64B82"/>
    <w:rsid w:val="00C65495"/>
    <w:rsid w:val="00C655B5"/>
    <w:rsid w:val="00C65F1E"/>
    <w:rsid w:val="00C67427"/>
    <w:rsid w:val="00C67890"/>
    <w:rsid w:val="00C67CE5"/>
    <w:rsid w:val="00C67D2B"/>
    <w:rsid w:val="00C70023"/>
    <w:rsid w:val="00C7034F"/>
    <w:rsid w:val="00C7069C"/>
    <w:rsid w:val="00C70886"/>
    <w:rsid w:val="00C7090E"/>
    <w:rsid w:val="00C70BED"/>
    <w:rsid w:val="00C70C99"/>
    <w:rsid w:val="00C70E81"/>
    <w:rsid w:val="00C70FE4"/>
    <w:rsid w:val="00C7102F"/>
    <w:rsid w:val="00C71343"/>
    <w:rsid w:val="00C713F0"/>
    <w:rsid w:val="00C71482"/>
    <w:rsid w:val="00C71874"/>
    <w:rsid w:val="00C72C8B"/>
    <w:rsid w:val="00C72F26"/>
    <w:rsid w:val="00C731F3"/>
    <w:rsid w:val="00C732DD"/>
    <w:rsid w:val="00C73747"/>
    <w:rsid w:val="00C7388A"/>
    <w:rsid w:val="00C73F53"/>
    <w:rsid w:val="00C7406B"/>
    <w:rsid w:val="00C74277"/>
    <w:rsid w:val="00C74281"/>
    <w:rsid w:val="00C74407"/>
    <w:rsid w:val="00C74662"/>
    <w:rsid w:val="00C74E84"/>
    <w:rsid w:val="00C751E0"/>
    <w:rsid w:val="00C754EE"/>
    <w:rsid w:val="00C75642"/>
    <w:rsid w:val="00C75AA1"/>
    <w:rsid w:val="00C75CD5"/>
    <w:rsid w:val="00C75DB4"/>
    <w:rsid w:val="00C75DE7"/>
    <w:rsid w:val="00C76633"/>
    <w:rsid w:val="00C76644"/>
    <w:rsid w:val="00C7704F"/>
    <w:rsid w:val="00C7706C"/>
    <w:rsid w:val="00C7731C"/>
    <w:rsid w:val="00C775E8"/>
    <w:rsid w:val="00C7764F"/>
    <w:rsid w:val="00C778E2"/>
    <w:rsid w:val="00C77932"/>
    <w:rsid w:val="00C77ABB"/>
    <w:rsid w:val="00C80165"/>
    <w:rsid w:val="00C802B1"/>
    <w:rsid w:val="00C806DD"/>
    <w:rsid w:val="00C80ECE"/>
    <w:rsid w:val="00C80F37"/>
    <w:rsid w:val="00C81130"/>
    <w:rsid w:val="00C81283"/>
    <w:rsid w:val="00C813EB"/>
    <w:rsid w:val="00C814BB"/>
    <w:rsid w:val="00C817E4"/>
    <w:rsid w:val="00C8193A"/>
    <w:rsid w:val="00C81A7B"/>
    <w:rsid w:val="00C81BAF"/>
    <w:rsid w:val="00C81C70"/>
    <w:rsid w:val="00C81D9D"/>
    <w:rsid w:val="00C81F2B"/>
    <w:rsid w:val="00C827A0"/>
    <w:rsid w:val="00C82B26"/>
    <w:rsid w:val="00C82C09"/>
    <w:rsid w:val="00C82D3A"/>
    <w:rsid w:val="00C833CA"/>
    <w:rsid w:val="00C833CB"/>
    <w:rsid w:val="00C834DE"/>
    <w:rsid w:val="00C83615"/>
    <w:rsid w:val="00C838F6"/>
    <w:rsid w:val="00C8390E"/>
    <w:rsid w:val="00C83CDE"/>
    <w:rsid w:val="00C83E1E"/>
    <w:rsid w:val="00C84004"/>
    <w:rsid w:val="00C845C0"/>
    <w:rsid w:val="00C8466C"/>
    <w:rsid w:val="00C84C01"/>
    <w:rsid w:val="00C84CD2"/>
    <w:rsid w:val="00C84CE8"/>
    <w:rsid w:val="00C84CEE"/>
    <w:rsid w:val="00C84D4B"/>
    <w:rsid w:val="00C84E64"/>
    <w:rsid w:val="00C84F34"/>
    <w:rsid w:val="00C855B0"/>
    <w:rsid w:val="00C85808"/>
    <w:rsid w:val="00C85C79"/>
    <w:rsid w:val="00C85EA6"/>
    <w:rsid w:val="00C86278"/>
    <w:rsid w:val="00C862C3"/>
    <w:rsid w:val="00C86484"/>
    <w:rsid w:val="00C864B0"/>
    <w:rsid w:val="00C869E8"/>
    <w:rsid w:val="00C86BE4"/>
    <w:rsid w:val="00C86C18"/>
    <w:rsid w:val="00C86C26"/>
    <w:rsid w:val="00C871AF"/>
    <w:rsid w:val="00C87445"/>
    <w:rsid w:val="00C87541"/>
    <w:rsid w:val="00C87816"/>
    <w:rsid w:val="00C878DF"/>
    <w:rsid w:val="00C900BF"/>
    <w:rsid w:val="00C90550"/>
    <w:rsid w:val="00C90692"/>
    <w:rsid w:val="00C90A7D"/>
    <w:rsid w:val="00C90A83"/>
    <w:rsid w:val="00C90CBE"/>
    <w:rsid w:val="00C90D47"/>
    <w:rsid w:val="00C90DA8"/>
    <w:rsid w:val="00C90EAA"/>
    <w:rsid w:val="00C91796"/>
    <w:rsid w:val="00C91E95"/>
    <w:rsid w:val="00C9262E"/>
    <w:rsid w:val="00C929F6"/>
    <w:rsid w:val="00C92A2A"/>
    <w:rsid w:val="00C92DB5"/>
    <w:rsid w:val="00C93465"/>
    <w:rsid w:val="00C9434B"/>
    <w:rsid w:val="00C94586"/>
    <w:rsid w:val="00C946AB"/>
    <w:rsid w:val="00C949B1"/>
    <w:rsid w:val="00C94B23"/>
    <w:rsid w:val="00C94FB8"/>
    <w:rsid w:val="00C9505E"/>
    <w:rsid w:val="00C95089"/>
    <w:rsid w:val="00C95AB3"/>
    <w:rsid w:val="00C95D5A"/>
    <w:rsid w:val="00C95E4F"/>
    <w:rsid w:val="00C95EE4"/>
    <w:rsid w:val="00C9623C"/>
    <w:rsid w:val="00C96426"/>
    <w:rsid w:val="00C96586"/>
    <w:rsid w:val="00C96627"/>
    <w:rsid w:val="00C967B7"/>
    <w:rsid w:val="00C96956"/>
    <w:rsid w:val="00C969E2"/>
    <w:rsid w:val="00C969F2"/>
    <w:rsid w:val="00C96FD0"/>
    <w:rsid w:val="00C97219"/>
    <w:rsid w:val="00C97414"/>
    <w:rsid w:val="00C97BAD"/>
    <w:rsid w:val="00C97DC5"/>
    <w:rsid w:val="00C97DF3"/>
    <w:rsid w:val="00C97F45"/>
    <w:rsid w:val="00CA0B43"/>
    <w:rsid w:val="00CA0D60"/>
    <w:rsid w:val="00CA0EE8"/>
    <w:rsid w:val="00CA18AC"/>
    <w:rsid w:val="00CA190A"/>
    <w:rsid w:val="00CA1CC2"/>
    <w:rsid w:val="00CA2211"/>
    <w:rsid w:val="00CA2329"/>
    <w:rsid w:val="00CA2686"/>
    <w:rsid w:val="00CA2842"/>
    <w:rsid w:val="00CA2873"/>
    <w:rsid w:val="00CA39E1"/>
    <w:rsid w:val="00CA3DA5"/>
    <w:rsid w:val="00CA4299"/>
    <w:rsid w:val="00CA4567"/>
    <w:rsid w:val="00CA4AF9"/>
    <w:rsid w:val="00CA4E0E"/>
    <w:rsid w:val="00CA4E65"/>
    <w:rsid w:val="00CA4EFD"/>
    <w:rsid w:val="00CA51B1"/>
    <w:rsid w:val="00CA587B"/>
    <w:rsid w:val="00CA5936"/>
    <w:rsid w:val="00CA6121"/>
    <w:rsid w:val="00CA6140"/>
    <w:rsid w:val="00CA6304"/>
    <w:rsid w:val="00CA6971"/>
    <w:rsid w:val="00CA6B77"/>
    <w:rsid w:val="00CA6BEF"/>
    <w:rsid w:val="00CA6BF6"/>
    <w:rsid w:val="00CA6C8A"/>
    <w:rsid w:val="00CA6DC0"/>
    <w:rsid w:val="00CA6DFA"/>
    <w:rsid w:val="00CA7072"/>
    <w:rsid w:val="00CA70DE"/>
    <w:rsid w:val="00CA7158"/>
    <w:rsid w:val="00CA74DD"/>
    <w:rsid w:val="00CA7774"/>
    <w:rsid w:val="00CA788F"/>
    <w:rsid w:val="00CA7CD1"/>
    <w:rsid w:val="00CA7EA8"/>
    <w:rsid w:val="00CA7F1D"/>
    <w:rsid w:val="00CB0217"/>
    <w:rsid w:val="00CB0365"/>
    <w:rsid w:val="00CB04E1"/>
    <w:rsid w:val="00CB09AC"/>
    <w:rsid w:val="00CB0DC2"/>
    <w:rsid w:val="00CB0FF2"/>
    <w:rsid w:val="00CB1BB9"/>
    <w:rsid w:val="00CB1D12"/>
    <w:rsid w:val="00CB2112"/>
    <w:rsid w:val="00CB2326"/>
    <w:rsid w:val="00CB23D0"/>
    <w:rsid w:val="00CB2799"/>
    <w:rsid w:val="00CB28EA"/>
    <w:rsid w:val="00CB2D38"/>
    <w:rsid w:val="00CB3048"/>
    <w:rsid w:val="00CB34A2"/>
    <w:rsid w:val="00CB359A"/>
    <w:rsid w:val="00CB3B37"/>
    <w:rsid w:val="00CB3C26"/>
    <w:rsid w:val="00CB3D2F"/>
    <w:rsid w:val="00CB440F"/>
    <w:rsid w:val="00CB4D1A"/>
    <w:rsid w:val="00CB5174"/>
    <w:rsid w:val="00CB52E0"/>
    <w:rsid w:val="00CB5453"/>
    <w:rsid w:val="00CB549A"/>
    <w:rsid w:val="00CB5D43"/>
    <w:rsid w:val="00CB5D63"/>
    <w:rsid w:val="00CB60A9"/>
    <w:rsid w:val="00CB6464"/>
    <w:rsid w:val="00CB64D9"/>
    <w:rsid w:val="00CB659F"/>
    <w:rsid w:val="00CB6661"/>
    <w:rsid w:val="00CB74B5"/>
    <w:rsid w:val="00CB78C8"/>
    <w:rsid w:val="00CB7A67"/>
    <w:rsid w:val="00CB7D9E"/>
    <w:rsid w:val="00CB7E0B"/>
    <w:rsid w:val="00CC01C0"/>
    <w:rsid w:val="00CC0233"/>
    <w:rsid w:val="00CC0438"/>
    <w:rsid w:val="00CC1176"/>
    <w:rsid w:val="00CC131A"/>
    <w:rsid w:val="00CC1C67"/>
    <w:rsid w:val="00CC1D0E"/>
    <w:rsid w:val="00CC220D"/>
    <w:rsid w:val="00CC242B"/>
    <w:rsid w:val="00CC24D4"/>
    <w:rsid w:val="00CC252E"/>
    <w:rsid w:val="00CC254E"/>
    <w:rsid w:val="00CC2C91"/>
    <w:rsid w:val="00CC2D62"/>
    <w:rsid w:val="00CC3670"/>
    <w:rsid w:val="00CC3952"/>
    <w:rsid w:val="00CC3E42"/>
    <w:rsid w:val="00CC3EDA"/>
    <w:rsid w:val="00CC3FD4"/>
    <w:rsid w:val="00CC443C"/>
    <w:rsid w:val="00CC48EA"/>
    <w:rsid w:val="00CC4BC9"/>
    <w:rsid w:val="00CC4F8E"/>
    <w:rsid w:val="00CC568B"/>
    <w:rsid w:val="00CC5828"/>
    <w:rsid w:val="00CC5E7E"/>
    <w:rsid w:val="00CC614E"/>
    <w:rsid w:val="00CC6486"/>
    <w:rsid w:val="00CC682F"/>
    <w:rsid w:val="00CC6EFE"/>
    <w:rsid w:val="00CC6F91"/>
    <w:rsid w:val="00CC7070"/>
    <w:rsid w:val="00CC72CC"/>
    <w:rsid w:val="00CC7410"/>
    <w:rsid w:val="00CC79A1"/>
    <w:rsid w:val="00CC7EBD"/>
    <w:rsid w:val="00CCB45F"/>
    <w:rsid w:val="00CD06DA"/>
    <w:rsid w:val="00CD0A64"/>
    <w:rsid w:val="00CD1436"/>
    <w:rsid w:val="00CD1EB7"/>
    <w:rsid w:val="00CD221E"/>
    <w:rsid w:val="00CD232E"/>
    <w:rsid w:val="00CD2661"/>
    <w:rsid w:val="00CD26D8"/>
    <w:rsid w:val="00CD2927"/>
    <w:rsid w:val="00CD2A10"/>
    <w:rsid w:val="00CD2E76"/>
    <w:rsid w:val="00CD2F9D"/>
    <w:rsid w:val="00CD32E3"/>
    <w:rsid w:val="00CD333C"/>
    <w:rsid w:val="00CD342B"/>
    <w:rsid w:val="00CD34B0"/>
    <w:rsid w:val="00CD3738"/>
    <w:rsid w:val="00CD37B6"/>
    <w:rsid w:val="00CD388D"/>
    <w:rsid w:val="00CD3AC8"/>
    <w:rsid w:val="00CD3B64"/>
    <w:rsid w:val="00CD3B95"/>
    <w:rsid w:val="00CD3BA0"/>
    <w:rsid w:val="00CD3EC1"/>
    <w:rsid w:val="00CD4317"/>
    <w:rsid w:val="00CD449F"/>
    <w:rsid w:val="00CD47A8"/>
    <w:rsid w:val="00CD502E"/>
    <w:rsid w:val="00CD5844"/>
    <w:rsid w:val="00CD5B8E"/>
    <w:rsid w:val="00CD622D"/>
    <w:rsid w:val="00CD6866"/>
    <w:rsid w:val="00CD6C45"/>
    <w:rsid w:val="00CD6E50"/>
    <w:rsid w:val="00CD72C0"/>
    <w:rsid w:val="00CD7562"/>
    <w:rsid w:val="00CD75E2"/>
    <w:rsid w:val="00CD7854"/>
    <w:rsid w:val="00CD7A6B"/>
    <w:rsid w:val="00CE056A"/>
    <w:rsid w:val="00CE0829"/>
    <w:rsid w:val="00CE0C2B"/>
    <w:rsid w:val="00CE0D9C"/>
    <w:rsid w:val="00CE0FB5"/>
    <w:rsid w:val="00CE13E1"/>
    <w:rsid w:val="00CE1C3B"/>
    <w:rsid w:val="00CE1ECD"/>
    <w:rsid w:val="00CE25EA"/>
    <w:rsid w:val="00CE2CED"/>
    <w:rsid w:val="00CE2F2F"/>
    <w:rsid w:val="00CE3552"/>
    <w:rsid w:val="00CE37F8"/>
    <w:rsid w:val="00CE388E"/>
    <w:rsid w:val="00CE3C18"/>
    <w:rsid w:val="00CE3CFF"/>
    <w:rsid w:val="00CE3EA1"/>
    <w:rsid w:val="00CE4293"/>
    <w:rsid w:val="00CE4CB0"/>
    <w:rsid w:val="00CE4E9D"/>
    <w:rsid w:val="00CE5030"/>
    <w:rsid w:val="00CE5038"/>
    <w:rsid w:val="00CE50F2"/>
    <w:rsid w:val="00CE51AF"/>
    <w:rsid w:val="00CE51BB"/>
    <w:rsid w:val="00CE52BB"/>
    <w:rsid w:val="00CE54BD"/>
    <w:rsid w:val="00CE57B1"/>
    <w:rsid w:val="00CE5DB2"/>
    <w:rsid w:val="00CE6296"/>
    <w:rsid w:val="00CE62BD"/>
    <w:rsid w:val="00CE6454"/>
    <w:rsid w:val="00CE68C5"/>
    <w:rsid w:val="00CE68C8"/>
    <w:rsid w:val="00CE6968"/>
    <w:rsid w:val="00CE6AF8"/>
    <w:rsid w:val="00CE6F8F"/>
    <w:rsid w:val="00CE731C"/>
    <w:rsid w:val="00CE73EE"/>
    <w:rsid w:val="00CE776D"/>
    <w:rsid w:val="00CE778E"/>
    <w:rsid w:val="00CF0197"/>
    <w:rsid w:val="00CF022B"/>
    <w:rsid w:val="00CF0231"/>
    <w:rsid w:val="00CF0560"/>
    <w:rsid w:val="00CF0C94"/>
    <w:rsid w:val="00CF0D16"/>
    <w:rsid w:val="00CF0FA0"/>
    <w:rsid w:val="00CF1414"/>
    <w:rsid w:val="00CF1475"/>
    <w:rsid w:val="00CF1486"/>
    <w:rsid w:val="00CF14BE"/>
    <w:rsid w:val="00CF18E7"/>
    <w:rsid w:val="00CF1907"/>
    <w:rsid w:val="00CF1A38"/>
    <w:rsid w:val="00CF1ADB"/>
    <w:rsid w:val="00CF1B1F"/>
    <w:rsid w:val="00CF1BAA"/>
    <w:rsid w:val="00CF25DD"/>
    <w:rsid w:val="00CF28C3"/>
    <w:rsid w:val="00CF2F0E"/>
    <w:rsid w:val="00CF372F"/>
    <w:rsid w:val="00CF3748"/>
    <w:rsid w:val="00CF3B4F"/>
    <w:rsid w:val="00CF3B96"/>
    <w:rsid w:val="00CF3D0C"/>
    <w:rsid w:val="00CF3D55"/>
    <w:rsid w:val="00CF46B3"/>
    <w:rsid w:val="00CF4755"/>
    <w:rsid w:val="00CF47AA"/>
    <w:rsid w:val="00CF4A14"/>
    <w:rsid w:val="00CF4AEC"/>
    <w:rsid w:val="00CF4B61"/>
    <w:rsid w:val="00CF4F08"/>
    <w:rsid w:val="00CF555B"/>
    <w:rsid w:val="00CF56BF"/>
    <w:rsid w:val="00CF58A5"/>
    <w:rsid w:val="00CF5E36"/>
    <w:rsid w:val="00CF5EA2"/>
    <w:rsid w:val="00CF5FE8"/>
    <w:rsid w:val="00CF6785"/>
    <w:rsid w:val="00CF6D31"/>
    <w:rsid w:val="00CF6D74"/>
    <w:rsid w:val="00CF71E5"/>
    <w:rsid w:val="00CF733E"/>
    <w:rsid w:val="00CF75DE"/>
    <w:rsid w:val="00CF771A"/>
    <w:rsid w:val="00CF7B6F"/>
    <w:rsid w:val="00CF7C86"/>
    <w:rsid w:val="00D0005D"/>
    <w:rsid w:val="00D0048F"/>
    <w:rsid w:val="00D008CB"/>
    <w:rsid w:val="00D009AF"/>
    <w:rsid w:val="00D00ABF"/>
    <w:rsid w:val="00D00AEA"/>
    <w:rsid w:val="00D012FD"/>
    <w:rsid w:val="00D013AD"/>
    <w:rsid w:val="00D01598"/>
    <w:rsid w:val="00D019C4"/>
    <w:rsid w:val="00D01D42"/>
    <w:rsid w:val="00D01E6F"/>
    <w:rsid w:val="00D02452"/>
    <w:rsid w:val="00D0289E"/>
    <w:rsid w:val="00D02B56"/>
    <w:rsid w:val="00D02E09"/>
    <w:rsid w:val="00D02F01"/>
    <w:rsid w:val="00D02F24"/>
    <w:rsid w:val="00D03124"/>
    <w:rsid w:val="00D033A3"/>
    <w:rsid w:val="00D0379B"/>
    <w:rsid w:val="00D03910"/>
    <w:rsid w:val="00D03F51"/>
    <w:rsid w:val="00D03FA5"/>
    <w:rsid w:val="00D03FD5"/>
    <w:rsid w:val="00D0415F"/>
    <w:rsid w:val="00D04247"/>
    <w:rsid w:val="00D048AA"/>
    <w:rsid w:val="00D04ADE"/>
    <w:rsid w:val="00D04BC1"/>
    <w:rsid w:val="00D04FF5"/>
    <w:rsid w:val="00D05246"/>
    <w:rsid w:val="00D052AB"/>
    <w:rsid w:val="00D0574E"/>
    <w:rsid w:val="00D06157"/>
    <w:rsid w:val="00D06479"/>
    <w:rsid w:val="00D0677F"/>
    <w:rsid w:val="00D068A8"/>
    <w:rsid w:val="00D06C28"/>
    <w:rsid w:val="00D074B5"/>
    <w:rsid w:val="00D07980"/>
    <w:rsid w:val="00D07AAC"/>
    <w:rsid w:val="00D10037"/>
    <w:rsid w:val="00D10379"/>
    <w:rsid w:val="00D10514"/>
    <w:rsid w:val="00D10BE2"/>
    <w:rsid w:val="00D10C59"/>
    <w:rsid w:val="00D1102E"/>
    <w:rsid w:val="00D110F1"/>
    <w:rsid w:val="00D11152"/>
    <w:rsid w:val="00D114D7"/>
    <w:rsid w:val="00D11542"/>
    <w:rsid w:val="00D118C8"/>
    <w:rsid w:val="00D11CDC"/>
    <w:rsid w:val="00D11D98"/>
    <w:rsid w:val="00D12014"/>
    <w:rsid w:val="00D12326"/>
    <w:rsid w:val="00D12E2E"/>
    <w:rsid w:val="00D12FC1"/>
    <w:rsid w:val="00D1365D"/>
    <w:rsid w:val="00D13A75"/>
    <w:rsid w:val="00D14583"/>
    <w:rsid w:val="00D14797"/>
    <w:rsid w:val="00D147B5"/>
    <w:rsid w:val="00D149C8"/>
    <w:rsid w:val="00D15223"/>
    <w:rsid w:val="00D15240"/>
    <w:rsid w:val="00D15474"/>
    <w:rsid w:val="00D15527"/>
    <w:rsid w:val="00D158CD"/>
    <w:rsid w:val="00D15FCC"/>
    <w:rsid w:val="00D163B1"/>
    <w:rsid w:val="00D169BE"/>
    <w:rsid w:val="00D169EE"/>
    <w:rsid w:val="00D16A00"/>
    <w:rsid w:val="00D1739C"/>
    <w:rsid w:val="00D20495"/>
    <w:rsid w:val="00D20B6C"/>
    <w:rsid w:val="00D20F56"/>
    <w:rsid w:val="00D2108D"/>
    <w:rsid w:val="00D21149"/>
    <w:rsid w:val="00D21219"/>
    <w:rsid w:val="00D2121D"/>
    <w:rsid w:val="00D21E02"/>
    <w:rsid w:val="00D21F5F"/>
    <w:rsid w:val="00D226F2"/>
    <w:rsid w:val="00D2289B"/>
    <w:rsid w:val="00D22CCA"/>
    <w:rsid w:val="00D2300D"/>
    <w:rsid w:val="00D23067"/>
    <w:rsid w:val="00D23160"/>
    <w:rsid w:val="00D2339B"/>
    <w:rsid w:val="00D235D7"/>
    <w:rsid w:val="00D2370B"/>
    <w:rsid w:val="00D237A7"/>
    <w:rsid w:val="00D23DA0"/>
    <w:rsid w:val="00D23F01"/>
    <w:rsid w:val="00D2415F"/>
    <w:rsid w:val="00D2427B"/>
    <w:rsid w:val="00D24C4D"/>
    <w:rsid w:val="00D24C8D"/>
    <w:rsid w:val="00D24CCE"/>
    <w:rsid w:val="00D24E76"/>
    <w:rsid w:val="00D2512F"/>
    <w:rsid w:val="00D255B8"/>
    <w:rsid w:val="00D25673"/>
    <w:rsid w:val="00D257D1"/>
    <w:rsid w:val="00D258C1"/>
    <w:rsid w:val="00D2604A"/>
    <w:rsid w:val="00D26109"/>
    <w:rsid w:val="00D261AC"/>
    <w:rsid w:val="00D26960"/>
    <w:rsid w:val="00D26B06"/>
    <w:rsid w:val="00D26C7C"/>
    <w:rsid w:val="00D26D80"/>
    <w:rsid w:val="00D26D90"/>
    <w:rsid w:val="00D2710A"/>
    <w:rsid w:val="00D276B4"/>
    <w:rsid w:val="00D2776C"/>
    <w:rsid w:val="00D30018"/>
    <w:rsid w:val="00D301A0"/>
    <w:rsid w:val="00D3026E"/>
    <w:rsid w:val="00D305F1"/>
    <w:rsid w:val="00D3072C"/>
    <w:rsid w:val="00D30844"/>
    <w:rsid w:val="00D308A7"/>
    <w:rsid w:val="00D30940"/>
    <w:rsid w:val="00D30CFB"/>
    <w:rsid w:val="00D30D0F"/>
    <w:rsid w:val="00D30D94"/>
    <w:rsid w:val="00D30FAF"/>
    <w:rsid w:val="00D31085"/>
    <w:rsid w:val="00D31132"/>
    <w:rsid w:val="00D31206"/>
    <w:rsid w:val="00D31A73"/>
    <w:rsid w:val="00D31B27"/>
    <w:rsid w:val="00D31F9B"/>
    <w:rsid w:val="00D32E81"/>
    <w:rsid w:val="00D32EDB"/>
    <w:rsid w:val="00D334A7"/>
    <w:rsid w:val="00D335F3"/>
    <w:rsid w:val="00D3368C"/>
    <w:rsid w:val="00D337DD"/>
    <w:rsid w:val="00D33825"/>
    <w:rsid w:val="00D33C5A"/>
    <w:rsid w:val="00D33CED"/>
    <w:rsid w:val="00D33EFD"/>
    <w:rsid w:val="00D340AF"/>
    <w:rsid w:val="00D3417D"/>
    <w:rsid w:val="00D34406"/>
    <w:rsid w:val="00D34826"/>
    <w:rsid w:val="00D34B43"/>
    <w:rsid w:val="00D358D4"/>
    <w:rsid w:val="00D35968"/>
    <w:rsid w:val="00D35E24"/>
    <w:rsid w:val="00D35F19"/>
    <w:rsid w:val="00D3680F"/>
    <w:rsid w:val="00D36CC4"/>
    <w:rsid w:val="00D3704D"/>
    <w:rsid w:val="00D371B3"/>
    <w:rsid w:val="00D371D9"/>
    <w:rsid w:val="00D3738D"/>
    <w:rsid w:val="00D373D1"/>
    <w:rsid w:val="00D376E9"/>
    <w:rsid w:val="00D37ABB"/>
    <w:rsid w:val="00D37BE6"/>
    <w:rsid w:val="00D37DDC"/>
    <w:rsid w:val="00D37EB7"/>
    <w:rsid w:val="00D40151"/>
    <w:rsid w:val="00D40428"/>
    <w:rsid w:val="00D405BF"/>
    <w:rsid w:val="00D40E74"/>
    <w:rsid w:val="00D40EC5"/>
    <w:rsid w:val="00D417BE"/>
    <w:rsid w:val="00D41845"/>
    <w:rsid w:val="00D420E9"/>
    <w:rsid w:val="00D422AC"/>
    <w:rsid w:val="00D42CAC"/>
    <w:rsid w:val="00D42DB0"/>
    <w:rsid w:val="00D42EA8"/>
    <w:rsid w:val="00D4303A"/>
    <w:rsid w:val="00D43146"/>
    <w:rsid w:val="00D43292"/>
    <w:rsid w:val="00D433B2"/>
    <w:rsid w:val="00D43E38"/>
    <w:rsid w:val="00D445A8"/>
    <w:rsid w:val="00D447BA"/>
    <w:rsid w:val="00D44BED"/>
    <w:rsid w:val="00D44C73"/>
    <w:rsid w:val="00D450AA"/>
    <w:rsid w:val="00D451EE"/>
    <w:rsid w:val="00D45345"/>
    <w:rsid w:val="00D457C7"/>
    <w:rsid w:val="00D45A5A"/>
    <w:rsid w:val="00D45C63"/>
    <w:rsid w:val="00D45EF0"/>
    <w:rsid w:val="00D460E6"/>
    <w:rsid w:val="00D464A5"/>
    <w:rsid w:val="00D466DC"/>
    <w:rsid w:val="00D467F8"/>
    <w:rsid w:val="00D468D3"/>
    <w:rsid w:val="00D46AF7"/>
    <w:rsid w:val="00D46EA3"/>
    <w:rsid w:val="00D470EE"/>
    <w:rsid w:val="00D4778C"/>
    <w:rsid w:val="00D478F0"/>
    <w:rsid w:val="00D47D67"/>
    <w:rsid w:val="00D50544"/>
    <w:rsid w:val="00D50C9C"/>
    <w:rsid w:val="00D50E81"/>
    <w:rsid w:val="00D50EAD"/>
    <w:rsid w:val="00D5118B"/>
    <w:rsid w:val="00D51380"/>
    <w:rsid w:val="00D51AA5"/>
    <w:rsid w:val="00D51B19"/>
    <w:rsid w:val="00D51C0B"/>
    <w:rsid w:val="00D52025"/>
    <w:rsid w:val="00D522BF"/>
    <w:rsid w:val="00D52690"/>
    <w:rsid w:val="00D52EDE"/>
    <w:rsid w:val="00D5354E"/>
    <w:rsid w:val="00D536B9"/>
    <w:rsid w:val="00D53B4C"/>
    <w:rsid w:val="00D54364"/>
    <w:rsid w:val="00D54E36"/>
    <w:rsid w:val="00D55CDF"/>
    <w:rsid w:val="00D55E75"/>
    <w:rsid w:val="00D5614A"/>
    <w:rsid w:val="00D5678C"/>
    <w:rsid w:val="00D56857"/>
    <w:rsid w:val="00D568FC"/>
    <w:rsid w:val="00D56B78"/>
    <w:rsid w:val="00D56B90"/>
    <w:rsid w:val="00D56E96"/>
    <w:rsid w:val="00D573BB"/>
    <w:rsid w:val="00D5779E"/>
    <w:rsid w:val="00D57828"/>
    <w:rsid w:val="00D57B6D"/>
    <w:rsid w:val="00D60226"/>
    <w:rsid w:val="00D606F2"/>
    <w:rsid w:val="00D60800"/>
    <w:rsid w:val="00D6097E"/>
    <w:rsid w:val="00D60EDC"/>
    <w:rsid w:val="00D60F61"/>
    <w:rsid w:val="00D6106B"/>
    <w:rsid w:val="00D6134F"/>
    <w:rsid w:val="00D614E1"/>
    <w:rsid w:val="00D6151A"/>
    <w:rsid w:val="00D61928"/>
    <w:rsid w:val="00D61A9B"/>
    <w:rsid w:val="00D61AF1"/>
    <w:rsid w:val="00D61B54"/>
    <w:rsid w:val="00D61BBF"/>
    <w:rsid w:val="00D621B9"/>
    <w:rsid w:val="00D6226D"/>
    <w:rsid w:val="00D62344"/>
    <w:rsid w:val="00D623CB"/>
    <w:rsid w:val="00D627C5"/>
    <w:rsid w:val="00D627F1"/>
    <w:rsid w:val="00D631B3"/>
    <w:rsid w:val="00D634A6"/>
    <w:rsid w:val="00D63517"/>
    <w:rsid w:val="00D636FE"/>
    <w:rsid w:val="00D637AA"/>
    <w:rsid w:val="00D637C9"/>
    <w:rsid w:val="00D639BF"/>
    <w:rsid w:val="00D6423D"/>
    <w:rsid w:val="00D64726"/>
    <w:rsid w:val="00D64914"/>
    <w:rsid w:val="00D64A6B"/>
    <w:rsid w:val="00D651BD"/>
    <w:rsid w:val="00D656D2"/>
    <w:rsid w:val="00D65736"/>
    <w:rsid w:val="00D657BD"/>
    <w:rsid w:val="00D657C5"/>
    <w:rsid w:val="00D65E2C"/>
    <w:rsid w:val="00D66417"/>
    <w:rsid w:val="00D66771"/>
    <w:rsid w:val="00D66963"/>
    <w:rsid w:val="00D66A6D"/>
    <w:rsid w:val="00D66AEE"/>
    <w:rsid w:val="00D66BE5"/>
    <w:rsid w:val="00D66C51"/>
    <w:rsid w:val="00D66E31"/>
    <w:rsid w:val="00D671E5"/>
    <w:rsid w:val="00D67261"/>
    <w:rsid w:val="00D672F3"/>
    <w:rsid w:val="00D67423"/>
    <w:rsid w:val="00D6765E"/>
    <w:rsid w:val="00D678B1"/>
    <w:rsid w:val="00D67957"/>
    <w:rsid w:val="00D67CC8"/>
    <w:rsid w:val="00D7040F"/>
    <w:rsid w:val="00D70693"/>
    <w:rsid w:val="00D70697"/>
    <w:rsid w:val="00D70C10"/>
    <w:rsid w:val="00D71138"/>
    <w:rsid w:val="00D71335"/>
    <w:rsid w:val="00D71582"/>
    <w:rsid w:val="00D715E0"/>
    <w:rsid w:val="00D71836"/>
    <w:rsid w:val="00D71B16"/>
    <w:rsid w:val="00D71F8A"/>
    <w:rsid w:val="00D72368"/>
    <w:rsid w:val="00D724B6"/>
    <w:rsid w:val="00D72B6E"/>
    <w:rsid w:val="00D72DE3"/>
    <w:rsid w:val="00D72E3C"/>
    <w:rsid w:val="00D73302"/>
    <w:rsid w:val="00D73A37"/>
    <w:rsid w:val="00D73D3C"/>
    <w:rsid w:val="00D73D8D"/>
    <w:rsid w:val="00D73DDB"/>
    <w:rsid w:val="00D73E0D"/>
    <w:rsid w:val="00D742BA"/>
    <w:rsid w:val="00D74388"/>
    <w:rsid w:val="00D74AB3"/>
    <w:rsid w:val="00D74BFB"/>
    <w:rsid w:val="00D74CBA"/>
    <w:rsid w:val="00D750C3"/>
    <w:rsid w:val="00D750CB"/>
    <w:rsid w:val="00D754B9"/>
    <w:rsid w:val="00D7580D"/>
    <w:rsid w:val="00D75894"/>
    <w:rsid w:val="00D7599B"/>
    <w:rsid w:val="00D75DF3"/>
    <w:rsid w:val="00D75F78"/>
    <w:rsid w:val="00D767D9"/>
    <w:rsid w:val="00D76928"/>
    <w:rsid w:val="00D76C41"/>
    <w:rsid w:val="00D76E7F"/>
    <w:rsid w:val="00D77258"/>
    <w:rsid w:val="00D77391"/>
    <w:rsid w:val="00D774F2"/>
    <w:rsid w:val="00D7750E"/>
    <w:rsid w:val="00D775EB"/>
    <w:rsid w:val="00D77646"/>
    <w:rsid w:val="00D7790E"/>
    <w:rsid w:val="00D779A8"/>
    <w:rsid w:val="00D77B70"/>
    <w:rsid w:val="00D77BFE"/>
    <w:rsid w:val="00D80011"/>
    <w:rsid w:val="00D801AC"/>
    <w:rsid w:val="00D80290"/>
    <w:rsid w:val="00D80294"/>
    <w:rsid w:val="00D806F1"/>
    <w:rsid w:val="00D80752"/>
    <w:rsid w:val="00D80B7B"/>
    <w:rsid w:val="00D80EEF"/>
    <w:rsid w:val="00D80FAF"/>
    <w:rsid w:val="00D8199B"/>
    <w:rsid w:val="00D81B98"/>
    <w:rsid w:val="00D822BB"/>
    <w:rsid w:val="00D822C2"/>
    <w:rsid w:val="00D8240A"/>
    <w:rsid w:val="00D82461"/>
    <w:rsid w:val="00D82592"/>
    <w:rsid w:val="00D8266B"/>
    <w:rsid w:val="00D82696"/>
    <w:rsid w:val="00D829CC"/>
    <w:rsid w:val="00D82D13"/>
    <w:rsid w:val="00D82EC4"/>
    <w:rsid w:val="00D831C5"/>
    <w:rsid w:val="00D83697"/>
    <w:rsid w:val="00D83CC5"/>
    <w:rsid w:val="00D83F66"/>
    <w:rsid w:val="00D84041"/>
    <w:rsid w:val="00D8418D"/>
    <w:rsid w:val="00D841D2"/>
    <w:rsid w:val="00D844E0"/>
    <w:rsid w:val="00D845DC"/>
    <w:rsid w:val="00D84670"/>
    <w:rsid w:val="00D84B8E"/>
    <w:rsid w:val="00D84C59"/>
    <w:rsid w:val="00D84D65"/>
    <w:rsid w:val="00D84F07"/>
    <w:rsid w:val="00D84F1D"/>
    <w:rsid w:val="00D84F6E"/>
    <w:rsid w:val="00D8501E"/>
    <w:rsid w:val="00D8507C"/>
    <w:rsid w:val="00D8544E"/>
    <w:rsid w:val="00D8594C"/>
    <w:rsid w:val="00D85F14"/>
    <w:rsid w:val="00D86150"/>
    <w:rsid w:val="00D8615D"/>
    <w:rsid w:val="00D861C2"/>
    <w:rsid w:val="00D863E8"/>
    <w:rsid w:val="00D871DA"/>
    <w:rsid w:val="00D8725A"/>
    <w:rsid w:val="00D876E5"/>
    <w:rsid w:val="00D87925"/>
    <w:rsid w:val="00D8795F"/>
    <w:rsid w:val="00D87F97"/>
    <w:rsid w:val="00D902FD"/>
    <w:rsid w:val="00D905BC"/>
    <w:rsid w:val="00D905D3"/>
    <w:rsid w:val="00D90B03"/>
    <w:rsid w:val="00D910D7"/>
    <w:rsid w:val="00D91292"/>
    <w:rsid w:val="00D91354"/>
    <w:rsid w:val="00D918C4"/>
    <w:rsid w:val="00D91E8C"/>
    <w:rsid w:val="00D921AF"/>
    <w:rsid w:val="00D9232E"/>
    <w:rsid w:val="00D92506"/>
    <w:rsid w:val="00D92556"/>
    <w:rsid w:val="00D926F8"/>
    <w:rsid w:val="00D92718"/>
    <w:rsid w:val="00D92AC2"/>
    <w:rsid w:val="00D92B84"/>
    <w:rsid w:val="00D92DB5"/>
    <w:rsid w:val="00D92DCE"/>
    <w:rsid w:val="00D9311A"/>
    <w:rsid w:val="00D93484"/>
    <w:rsid w:val="00D9377F"/>
    <w:rsid w:val="00D937F0"/>
    <w:rsid w:val="00D937F8"/>
    <w:rsid w:val="00D93A0E"/>
    <w:rsid w:val="00D93B60"/>
    <w:rsid w:val="00D93E55"/>
    <w:rsid w:val="00D946D6"/>
    <w:rsid w:val="00D9472A"/>
    <w:rsid w:val="00D947C7"/>
    <w:rsid w:val="00D94C86"/>
    <w:rsid w:val="00D94D67"/>
    <w:rsid w:val="00D94DD4"/>
    <w:rsid w:val="00D94DF3"/>
    <w:rsid w:val="00D94FD7"/>
    <w:rsid w:val="00D95081"/>
    <w:rsid w:val="00D951F9"/>
    <w:rsid w:val="00D957BA"/>
    <w:rsid w:val="00D959DD"/>
    <w:rsid w:val="00D95C31"/>
    <w:rsid w:val="00D96168"/>
    <w:rsid w:val="00D963AA"/>
    <w:rsid w:val="00D96952"/>
    <w:rsid w:val="00D970E0"/>
    <w:rsid w:val="00D97216"/>
    <w:rsid w:val="00D97632"/>
    <w:rsid w:val="00D97A3D"/>
    <w:rsid w:val="00DA00E4"/>
    <w:rsid w:val="00DA0629"/>
    <w:rsid w:val="00DA06A3"/>
    <w:rsid w:val="00DA0878"/>
    <w:rsid w:val="00DA0C2D"/>
    <w:rsid w:val="00DA0F09"/>
    <w:rsid w:val="00DA1073"/>
    <w:rsid w:val="00DA1340"/>
    <w:rsid w:val="00DA1761"/>
    <w:rsid w:val="00DA1BD1"/>
    <w:rsid w:val="00DA2049"/>
    <w:rsid w:val="00DA2537"/>
    <w:rsid w:val="00DA35A8"/>
    <w:rsid w:val="00DA37E1"/>
    <w:rsid w:val="00DA3C2A"/>
    <w:rsid w:val="00DA3E78"/>
    <w:rsid w:val="00DA4586"/>
    <w:rsid w:val="00DA48BE"/>
    <w:rsid w:val="00DA48F1"/>
    <w:rsid w:val="00DA4947"/>
    <w:rsid w:val="00DA5537"/>
    <w:rsid w:val="00DA55F4"/>
    <w:rsid w:val="00DA56FC"/>
    <w:rsid w:val="00DA5728"/>
    <w:rsid w:val="00DA58E4"/>
    <w:rsid w:val="00DA5931"/>
    <w:rsid w:val="00DA59F2"/>
    <w:rsid w:val="00DA5B4A"/>
    <w:rsid w:val="00DA601D"/>
    <w:rsid w:val="00DA6223"/>
    <w:rsid w:val="00DA675F"/>
    <w:rsid w:val="00DA6E72"/>
    <w:rsid w:val="00DA6F0D"/>
    <w:rsid w:val="00DA7699"/>
    <w:rsid w:val="00DA7845"/>
    <w:rsid w:val="00DA7857"/>
    <w:rsid w:val="00DA7D45"/>
    <w:rsid w:val="00DA7FA2"/>
    <w:rsid w:val="00DB00C7"/>
    <w:rsid w:val="00DB022E"/>
    <w:rsid w:val="00DB03C1"/>
    <w:rsid w:val="00DB071E"/>
    <w:rsid w:val="00DB07CA"/>
    <w:rsid w:val="00DB0994"/>
    <w:rsid w:val="00DB0E84"/>
    <w:rsid w:val="00DB10CC"/>
    <w:rsid w:val="00DB12AF"/>
    <w:rsid w:val="00DB13B7"/>
    <w:rsid w:val="00DB1677"/>
    <w:rsid w:val="00DB1878"/>
    <w:rsid w:val="00DB1A54"/>
    <w:rsid w:val="00DB2208"/>
    <w:rsid w:val="00DB25F8"/>
    <w:rsid w:val="00DB2724"/>
    <w:rsid w:val="00DB2752"/>
    <w:rsid w:val="00DB3671"/>
    <w:rsid w:val="00DB3B49"/>
    <w:rsid w:val="00DB3B5B"/>
    <w:rsid w:val="00DB3F8F"/>
    <w:rsid w:val="00DB404F"/>
    <w:rsid w:val="00DB40A0"/>
    <w:rsid w:val="00DB4181"/>
    <w:rsid w:val="00DB423B"/>
    <w:rsid w:val="00DB424D"/>
    <w:rsid w:val="00DB4581"/>
    <w:rsid w:val="00DB4824"/>
    <w:rsid w:val="00DB4972"/>
    <w:rsid w:val="00DB4F5D"/>
    <w:rsid w:val="00DB5185"/>
    <w:rsid w:val="00DB5511"/>
    <w:rsid w:val="00DB55E8"/>
    <w:rsid w:val="00DB5607"/>
    <w:rsid w:val="00DB5894"/>
    <w:rsid w:val="00DB61BC"/>
    <w:rsid w:val="00DB6394"/>
    <w:rsid w:val="00DB64FA"/>
    <w:rsid w:val="00DB65F1"/>
    <w:rsid w:val="00DB67B4"/>
    <w:rsid w:val="00DB67C7"/>
    <w:rsid w:val="00DB6887"/>
    <w:rsid w:val="00DB6A7E"/>
    <w:rsid w:val="00DB6BF8"/>
    <w:rsid w:val="00DB73C2"/>
    <w:rsid w:val="00DB7782"/>
    <w:rsid w:val="00DB7A35"/>
    <w:rsid w:val="00DB7B7F"/>
    <w:rsid w:val="00DB7F7B"/>
    <w:rsid w:val="00DC02DF"/>
    <w:rsid w:val="00DC02EF"/>
    <w:rsid w:val="00DC060C"/>
    <w:rsid w:val="00DC0771"/>
    <w:rsid w:val="00DC08D6"/>
    <w:rsid w:val="00DC0CEA"/>
    <w:rsid w:val="00DC0E81"/>
    <w:rsid w:val="00DC0FAE"/>
    <w:rsid w:val="00DC1207"/>
    <w:rsid w:val="00DC126C"/>
    <w:rsid w:val="00DC13C2"/>
    <w:rsid w:val="00DC175E"/>
    <w:rsid w:val="00DC176D"/>
    <w:rsid w:val="00DC18A5"/>
    <w:rsid w:val="00DC199C"/>
    <w:rsid w:val="00DC1C01"/>
    <w:rsid w:val="00DC1FC7"/>
    <w:rsid w:val="00DC216F"/>
    <w:rsid w:val="00DC22A3"/>
    <w:rsid w:val="00DC237E"/>
    <w:rsid w:val="00DC29FF"/>
    <w:rsid w:val="00DC2DFC"/>
    <w:rsid w:val="00DC375C"/>
    <w:rsid w:val="00DC393D"/>
    <w:rsid w:val="00DC3B2F"/>
    <w:rsid w:val="00DC44C4"/>
    <w:rsid w:val="00DC46FA"/>
    <w:rsid w:val="00DC4727"/>
    <w:rsid w:val="00DC4E9C"/>
    <w:rsid w:val="00DC4EA9"/>
    <w:rsid w:val="00DC5693"/>
    <w:rsid w:val="00DC624B"/>
    <w:rsid w:val="00DC647C"/>
    <w:rsid w:val="00DC6572"/>
    <w:rsid w:val="00DC66D7"/>
    <w:rsid w:val="00DC6D5F"/>
    <w:rsid w:val="00DC6E04"/>
    <w:rsid w:val="00DC7468"/>
    <w:rsid w:val="00DC7908"/>
    <w:rsid w:val="00DC79CB"/>
    <w:rsid w:val="00DC7DF2"/>
    <w:rsid w:val="00DD0044"/>
    <w:rsid w:val="00DD01BB"/>
    <w:rsid w:val="00DD05AE"/>
    <w:rsid w:val="00DD0725"/>
    <w:rsid w:val="00DD07D0"/>
    <w:rsid w:val="00DD0ED1"/>
    <w:rsid w:val="00DD0F09"/>
    <w:rsid w:val="00DD12CA"/>
    <w:rsid w:val="00DD14E9"/>
    <w:rsid w:val="00DD154C"/>
    <w:rsid w:val="00DD1589"/>
    <w:rsid w:val="00DD1971"/>
    <w:rsid w:val="00DD1C17"/>
    <w:rsid w:val="00DD1F2B"/>
    <w:rsid w:val="00DD1F41"/>
    <w:rsid w:val="00DD20E7"/>
    <w:rsid w:val="00DD21A4"/>
    <w:rsid w:val="00DD23F4"/>
    <w:rsid w:val="00DD25E6"/>
    <w:rsid w:val="00DD2606"/>
    <w:rsid w:val="00DD26C7"/>
    <w:rsid w:val="00DD2875"/>
    <w:rsid w:val="00DD2968"/>
    <w:rsid w:val="00DD2B80"/>
    <w:rsid w:val="00DD3064"/>
    <w:rsid w:val="00DD31CB"/>
    <w:rsid w:val="00DD322B"/>
    <w:rsid w:val="00DD324A"/>
    <w:rsid w:val="00DD33CC"/>
    <w:rsid w:val="00DD39DF"/>
    <w:rsid w:val="00DD3FBC"/>
    <w:rsid w:val="00DD3FF5"/>
    <w:rsid w:val="00DD4080"/>
    <w:rsid w:val="00DD41B3"/>
    <w:rsid w:val="00DD41C7"/>
    <w:rsid w:val="00DD4359"/>
    <w:rsid w:val="00DD4530"/>
    <w:rsid w:val="00DD4895"/>
    <w:rsid w:val="00DD4D75"/>
    <w:rsid w:val="00DD4DC5"/>
    <w:rsid w:val="00DD55EC"/>
    <w:rsid w:val="00DD565B"/>
    <w:rsid w:val="00DD5CEF"/>
    <w:rsid w:val="00DD5F6C"/>
    <w:rsid w:val="00DD65F5"/>
    <w:rsid w:val="00DD6823"/>
    <w:rsid w:val="00DD693B"/>
    <w:rsid w:val="00DD69C1"/>
    <w:rsid w:val="00DD6A00"/>
    <w:rsid w:val="00DD6C73"/>
    <w:rsid w:val="00DD6D17"/>
    <w:rsid w:val="00DD6FB0"/>
    <w:rsid w:val="00DD6FF0"/>
    <w:rsid w:val="00DD73A9"/>
    <w:rsid w:val="00DD7851"/>
    <w:rsid w:val="00DD79DD"/>
    <w:rsid w:val="00DD7B8F"/>
    <w:rsid w:val="00DD7C85"/>
    <w:rsid w:val="00DD7D02"/>
    <w:rsid w:val="00DE005F"/>
    <w:rsid w:val="00DE0216"/>
    <w:rsid w:val="00DE02B9"/>
    <w:rsid w:val="00DE05C8"/>
    <w:rsid w:val="00DE06D6"/>
    <w:rsid w:val="00DE086A"/>
    <w:rsid w:val="00DE0E0D"/>
    <w:rsid w:val="00DE1566"/>
    <w:rsid w:val="00DE19B7"/>
    <w:rsid w:val="00DE1C0A"/>
    <w:rsid w:val="00DE1D5F"/>
    <w:rsid w:val="00DE28B2"/>
    <w:rsid w:val="00DE3143"/>
    <w:rsid w:val="00DE345F"/>
    <w:rsid w:val="00DE35DD"/>
    <w:rsid w:val="00DE38CF"/>
    <w:rsid w:val="00DE3DAF"/>
    <w:rsid w:val="00DE3E99"/>
    <w:rsid w:val="00DE4132"/>
    <w:rsid w:val="00DE4542"/>
    <w:rsid w:val="00DE45CC"/>
    <w:rsid w:val="00DE482C"/>
    <w:rsid w:val="00DE4875"/>
    <w:rsid w:val="00DE491E"/>
    <w:rsid w:val="00DE4C05"/>
    <w:rsid w:val="00DE5395"/>
    <w:rsid w:val="00DE57FC"/>
    <w:rsid w:val="00DE58CF"/>
    <w:rsid w:val="00DE61E9"/>
    <w:rsid w:val="00DE68DF"/>
    <w:rsid w:val="00DE6AF5"/>
    <w:rsid w:val="00DE6D41"/>
    <w:rsid w:val="00DE7066"/>
    <w:rsid w:val="00DE74E6"/>
    <w:rsid w:val="00DE797A"/>
    <w:rsid w:val="00DE7A6F"/>
    <w:rsid w:val="00DE7AF1"/>
    <w:rsid w:val="00DF006F"/>
    <w:rsid w:val="00DF044F"/>
    <w:rsid w:val="00DF0A14"/>
    <w:rsid w:val="00DF1A86"/>
    <w:rsid w:val="00DF1E8F"/>
    <w:rsid w:val="00DF20C7"/>
    <w:rsid w:val="00DF2C42"/>
    <w:rsid w:val="00DF2ED7"/>
    <w:rsid w:val="00DF2F5E"/>
    <w:rsid w:val="00DF308D"/>
    <w:rsid w:val="00DF3907"/>
    <w:rsid w:val="00DF433F"/>
    <w:rsid w:val="00DF4672"/>
    <w:rsid w:val="00DF48C1"/>
    <w:rsid w:val="00DF4961"/>
    <w:rsid w:val="00DF4AA0"/>
    <w:rsid w:val="00DF4D8F"/>
    <w:rsid w:val="00DF50FE"/>
    <w:rsid w:val="00DF51D5"/>
    <w:rsid w:val="00DF551E"/>
    <w:rsid w:val="00DF5563"/>
    <w:rsid w:val="00DF5933"/>
    <w:rsid w:val="00DF5995"/>
    <w:rsid w:val="00DF59EE"/>
    <w:rsid w:val="00DF5B69"/>
    <w:rsid w:val="00DF5B86"/>
    <w:rsid w:val="00DF65A0"/>
    <w:rsid w:val="00DF65C2"/>
    <w:rsid w:val="00DF663D"/>
    <w:rsid w:val="00DF68AC"/>
    <w:rsid w:val="00DF6A6A"/>
    <w:rsid w:val="00DF6B16"/>
    <w:rsid w:val="00DF6D04"/>
    <w:rsid w:val="00DF6E6B"/>
    <w:rsid w:val="00DF6E9A"/>
    <w:rsid w:val="00DF740C"/>
    <w:rsid w:val="00DF7540"/>
    <w:rsid w:val="00DF7721"/>
    <w:rsid w:val="00DF7956"/>
    <w:rsid w:val="00DF7E50"/>
    <w:rsid w:val="00DF7F01"/>
    <w:rsid w:val="00E00093"/>
    <w:rsid w:val="00E00204"/>
    <w:rsid w:val="00E004C1"/>
    <w:rsid w:val="00E0059E"/>
    <w:rsid w:val="00E00A3F"/>
    <w:rsid w:val="00E00D72"/>
    <w:rsid w:val="00E0167F"/>
    <w:rsid w:val="00E01746"/>
    <w:rsid w:val="00E018AF"/>
    <w:rsid w:val="00E01BE0"/>
    <w:rsid w:val="00E01C87"/>
    <w:rsid w:val="00E01D0D"/>
    <w:rsid w:val="00E01E09"/>
    <w:rsid w:val="00E01F64"/>
    <w:rsid w:val="00E02932"/>
    <w:rsid w:val="00E0299E"/>
    <w:rsid w:val="00E02C75"/>
    <w:rsid w:val="00E02CEC"/>
    <w:rsid w:val="00E02DD1"/>
    <w:rsid w:val="00E030EE"/>
    <w:rsid w:val="00E0338D"/>
    <w:rsid w:val="00E037B0"/>
    <w:rsid w:val="00E03A92"/>
    <w:rsid w:val="00E04496"/>
    <w:rsid w:val="00E04582"/>
    <w:rsid w:val="00E04B56"/>
    <w:rsid w:val="00E04C63"/>
    <w:rsid w:val="00E04D1F"/>
    <w:rsid w:val="00E04D43"/>
    <w:rsid w:val="00E05440"/>
    <w:rsid w:val="00E0571E"/>
    <w:rsid w:val="00E059C8"/>
    <w:rsid w:val="00E05A76"/>
    <w:rsid w:val="00E05F8A"/>
    <w:rsid w:val="00E0606C"/>
    <w:rsid w:val="00E06168"/>
    <w:rsid w:val="00E061BA"/>
    <w:rsid w:val="00E064D6"/>
    <w:rsid w:val="00E06516"/>
    <w:rsid w:val="00E07120"/>
    <w:rsid w:val="00E07173"/>
    <w:rsid w:val="00E0718E"/>
    <w:rsid w:val="00E07F68"/>
    <w:rsid w:val="00E07FB7"/>
    <w:rsid w:val="00E0EC35"/>
    <w:rsid w:val="00E107B8"/>
    <w:rsid w:val="00E10CD7"/>
    <w:rsid w:val="00E10E2E"/>
    <w:rsid w:val="00E10F68"/>
    <w:rsid w:val="00E111BE"/>
    <w:rsid w:val="00E117E6"/>
    <w:rsid w:val="00E11BBC"/>
    <w:rsid w:val="00E11C0D"/>
    <w:rsid w:val="00E11C21"/>
    <w:rsid w:val="00E11C33"/>
    <w:rsid w:val="00E11C9B"/>
    <w:rsid w:val="00E121FB"/>
    <w:rsid w:val="00E12350"/>
    <w:rsid w:val="00E12540"/>
    <w:rsid w:val="00E12A3A"/>
    <w:rsid w:val="00E12CCE"/>
    <w:rsid w:val="00E1309C"/>
    <w:rsid w:val="00E131E8"/>
    <w:rsid w:val="00E1345A"/>
    <w:rsid w:val="00E134F7"/>
    <w:rsid w:val="00E13608"/>
    <w:rsid w:val="00E13771"/>
    <w:rsid w:val="00E13878"/>
    <w:rsid w:val="00E13898"/>
    <w:rsid w:val="00E142FD"/>
    <w:rsid w:val="00E14468"/>
    <w:rsid w:val="00E1463B"/>
    <w:rsid w:val="00E14BFE"/>
    <w:rsid w:val="00E150E8"/>
    <w:rsid w:val="00E151E6"/>
    <w:rsid w:val="00E156F1"/>
    <w:rsid w:val="00E15785"/>
    <w:rsid w:val="00E1591B"/>
    <w:rsid w:val="00E15AFA"/>
    <w:rsid w:val="00E15B32"/>
    <w:rsid w:val="00E15EFB"/>
    <w:rsid w:val="00E15F3A"/>
    <w:rsid w:val="00E15FEA"/>
    <w:rsid w:val="00E1627E"/>
    <w:rsid w:val="00E16959"/>
    <w:rsid w:val="00E16E35"/>
    <w:rsid w:val="00E1714E"/>
    <w:rsid w:val="00E17318"/>
    <w:rsid w:val="00E17538"/>
    <w:rsid w:val="00E17616"/>
    <w:rsid w:val="00E1785A"/>
    <w:rsid w:val="00E178F7"/>
    <w:rsid w:val="00E17B76"/>
    <w:rsid w:val="00E20047"/>
    <w:rsid w:val="00E20C7B"/>
    <w:rsid w:val="00E21238"/>
    <w:rsid w:val="00E21322"/>
    <w:rsid w:val="00E215EA"/>
    <w:rsid w:val="00E22062"/>
    <w:rsid w:val="00E222B4"/>
    <w:rsid w:val="00E223D1"/>
    <w:rsid w:val="00E22684"/>
    <w:rsid w:val="00E226DC"/>
    <w:rsid w:val="00E230B1"/>
    <w:rsid w:val="00E2346E"/>
    <w:rsid w:val="00E23877"/>
    <w:rsid w:val="00E23C75"/>
    <w:rsid w:val="00E23CB2"/>
    <w:rsid w:val="00E23CD1"/>
    <w:rsid w:val="00E23EC6"/>
    <w:rsid w:val="00E2416D"/>
    <w:rsid w:val="00E24437"/>
    <w:rsid w:val="00E24982"/>
    <w:rsid w:val="00E249FB"/>
    <w:rsid w:val="00E24C04"/>
    <w:rsid w:val="00E24C1F"/>
    <w:rsid w:val="00E24DA8"/>
    <w:rsid w:val="00E2508F"/>
    <w:rsid w:val="00E25DE0"/>
    <w:rsid w:val="00E25FE8"/>
    <w:rsid w:val="00E26635"/>
    <w:rsid w:val="00E2666C"/>
    <w:rsid w:val="00E266D7"/>
    <w:rsid w:val="00E26851"/>
    <w:rsid w:val="00E26C33"/>
    <w:rsid w:val="00E2749E"/>
    <w:rsid w:val="00E27890"/>
    <w:rsid w:val="00E27969"/>
    <w:rsid w:val="00E2F90E"/>
    <w:rsid w:val="00E300CF"/>
    <w:rsid w:val="00E30173"/>
    <w:rsid w:val="00E30232"/>
    <w:rsid w:val="00E303F6"/>
    <w:rsid w:val="00E304D8"/>
    <w:rsid w:val="00E31774"/>
    <w:rsid w:val="00E317EB"/>
    <w:rsid w:val="00E31C6E"/>
    <w:rsid w:val="00E31E36"/>
    <w:rsid w:val="00E31E91"/>
    <w:rsid w:val="00E31EEF"/>
    <w:rsid w:val="00E31F96"/>
    <w:rsid w:val="00E32325"/>
    <w:rsid w:val="00E325F6"/>
    <w:rsid w:val="00E32C92"/>
    <w:rsid w:val="00E33025"/>
    <w:rsid w:val="00E33034"/>
    <w:rsid w:val="00E337E4"/>
    <w:rsid w:val="00E33A88"/>
    <w:rsid w:val="00E33BF2"/>
    <w:rsid w:val="00E33C0D"/>
    <w:rsid w:val="00E33C70"/>
    <w:rsid w:val="00E33D80"/>
    <w:rsid w:val="00E33E2F"/>
    <w:rsid w:val="00E33E3B"/>
    <w:rsid w:val="00E34594"/>
    <w:rsid w:val="00E34674"/>
    <w:rsid w:val="00E34C09"/>
    <w:rsid w:val="00E353A4"/>
    <w:rsid w:val="00E354C3"/>
    <w:rsid w:val="00E354C5"/>
    <w:rsid w:val="00E35B02"/>
    <w:rsid w:val="00E3602F"/>
    <w:rsid w:val="00E361D2"/>
    <w:rsid w:val="00E364B2"/>
    <w:rsid w:val="00E364C5"/>
    <w:rsid w:val="00E3651A"/>
    <w:rsid w:val="00E3669A"/>
    <w:rsid w:val="00E36B95"/>
    <w:rsid w:val="00E36D65"/>
    <w:rsid w:val="00E37377"/>
    <w:rsid w:val="00E37698"/>
    <w:rsid w:val="00E401E7"/>
    <w:rsid w:val="00E40386"/>
    <w:rsid w:val="00E403EA"/>
    <w:rsid w:val="00E40400"/>
    <w:rsid w:val="00E408D8"/>
    <w:rsid w:val="00E40E2B"/>
    <w:rsid w:val="00E40EB4"/>
    <w:rsid w:val="00E40F96"/>
    <w:rsid w:val="00E40FD7"/>
    <w:rsid w:val="00E41330"/>
    <w:rsid w:val="00E4135E"/>
    <w:rsid w:val="00E41A50"/>
    <w:rsid w:val="00E41AFC"/>
    <w:rsid w:val="00E41B7A"/>
    <w:rsid w:val="00E41C62"/>
    <w:rsid w:val="00E42007"/>
    <w:rsid w:val="00E423C9"/>
    <w:rsid w:val="00E42742"/>
    <w:rsid w:val="00E42944"/>
    <w:rsid w:val="00E42AC0"/>
    <w:rsid w:val="00E42C10"/>
    <w:rsid w:val="00E43699"/>
    <w:rsid w:val="00E4394E"/>
    <w:rsid w:val="00E44305"/>
    <w:rsid w:val="00E4438D"/>
    <w:rsid w:val="00E44543"/>
    <w:rsid w:val="00E44857"/>
    <w:rsid w:val="00E448C8"/>
    <w:rsid w:val="00E44A5D"/>
    <w:rsid w:val="00E44B7F"/>
    <w:rsid w:val="00E44B8F"/>
    <w:rsid w:val="00E44BEC"/>
    <w:rsid w:val="00E44C9F"/>
    <w:rsid w:val="00E44D4D"/>
    <w:rsid w:val="00E4509D"/>
    <w:rsid w:val="00E45238"/>
    <w:rsid w:val="00E45607"/>
    <w:rsid w:val="00E4571F"/>
    <w:rsid w:val="00E4594C"/>
    <w:rsid w:val="00E45C4C"/>
    <w:rsid w:val="00E45F10"/>
    <w:rsid w:val="00E46054"/>
    <w:rsid w:val="00E460AF"/>
    <w:rsid w:val="00E46518"/>
    <w:rsid w:val="00E466DE"/>
    <w:rsid w:val="00E46BED"/>
    <w:rsid w:val="00E47C99"/>
    <w:rsid w:val="00E50237"/>
    <w:rsid w:val="00E50678"/>
    <w:rsid w:val="00E50709"/>
    <w:rsid w:val="00E50A3E"/>
    <w:rsid w:val="00E50E17"/>
    <w:rsid w:val="00E50EA9"/>
    <w:rsid w:val="00E51261"/>
    <w:rsid w:val="00E51A99"/>
    <w:rsid w:val="00E51D31"/>
    <w:rsid w:val="00E521D5"/>
    <w:rsid w:val="00E52648"/>
    <w:rsid w:val="00E52686"/>
    <w:rsid w:val="00E5268C"/>
    <w:rsid w:val="00E52EFE"/>
    <w:rsid w:val="00E52FFB"/>
    <w:rsid w:val="00E53261"/>
    <w:rsid w:val="00E53298"/>
    <w:rsid w:val="00E533F8"/>
    <w:rsid w:val="00E53452"/>
    <w:rsid w:val="00E538DF"/>
    <w:rsid w:val="00E539F3"/>
    <w:rsid w:val="00E53A28"/>
    <w:rsid w:val="00E53F1F"/>
    <w:rsid w:val="00E5428B"/>
    <w:rsid w:val="00E54795"/>
    <w:rsid w:val="00E548AB"/>
    <w:rsid w:val="00E54C1D"/>
    <w:rsid w:val="00E54DB4"/>
    <w:rsid w:val="00E54FC6"/>
    <w:rsid w:val="00E556E7"/>
    <w:rsid w:val="00E55AFC"/>
    <w:rsid w:val="00E55CAC"/>
    <w:rsid w:val="00E55E91"/>
    <w:rsid w:val="00E56EBC"/>
    <w:rsid w:val="00E5705D"/>
    <w:rsid w:val="00E5726A"/>
    <w:rsid w:val="00E572F2"/>
    <w:rsid w:val="00E576F8"/>
    <w:rsid w:val="00E60542"/>
    <w:rsid w:val="00E60698"/>
    <w:rsid w:val="00E60C65"/>
    <w:rsid w:val="00E60F53"/>
    <w:rsid w:val="00E610DB"/>
    <w:rsid w:val="00E6121F"/>
    <w:rsid w:val="00E61744"/>
    <w:rsid w:val="00E61C4B"/>
    <w:rsid w:val="00E6225F"/>
    <w:rsid w:val="00E62357"/>
    <w:rsid w:val="00E62791"/>
    <w:rsid w:val="00E62962"/>
    <w:rsid w:val="00E62DA4"/>
    <w:rsid w:val="00E63067"/>
    <w:rsid w:val="00E63448"/>
    <w:rsid w:val="00E636CB"/>
    <w:rsid w:val="00E6390A"/>
    <w:rsid w:val="00E639C2"/>
    <w:rsid w:val="00E63BD3"/>
    <w:rsid w:val="00E63FC1"/>
    <w:rsid w:val="00E6432C"/>
    <w:rsid w:val="00E647A5"/>
    <w:rsid w:val="00E64B8C"/>
    <w:rsid w:val="00E65A00"/>
    <w:rsid w:val="00E65C0F"/>
    <w:rsid w:val="00E65DA6"/>
    <w:rsid w:val="00E66976"/>
    <w:rsid w:val="00E66C75"/>
    <w:rsid w:val="00E6717D"/>
    <w:rsid w:val="00E67300"/>
    <w:rsid w:val="00E67438"/>
    <w:rsid w:val="00E67674"/>
    <w:rsid w:val="00E67722"/>
    <w:rsid w:val="00E67F23"/>
    <w:rsid w:val="00E700DF"/>
    <w:rsid w:val="00E703A9"/>
    <w:rsid w:val="00E708C5"/>
    <w:rsid w:val="00E70CE3"/>
    <w:rsid w:val="00E7111C"/>
    <w:rsid w:val="00E71398"/>
    <w:rsid w:val="00E71693"/>
    <w:rsid w:val="00E7182E"/>
    <w:rsid w:val="00E71A74"/>
    <w:rsid w:val="00E71C26"/>
    <w:rsid w:val="00E721F6"/>
    <w:rsid w:val="00E7249A"/>
    <w:rsid w:val="00E7252B"/>
    <w:rsid w:val="00E72733"/>
    <w:rsid w:val="00E72BD0"/>
    <w:rsid w:val="00E72D6F"/>
    <w:rsid w:val="00E73161"/>
    <w:rsid w:val="00E73557"/>
    <w:rsid w:val="00E737EF"/>
    <w:rsid w:val="00E73D9F"/>
    <w:rsid w:val="00E73EFC"/>
    <w:rsid w:val="00E7423E"/>
    <w:rsid w:val="00E7464C"/>
    <w:rsid w:val="00E7470E"/>
    <w:rsid w:val="00E7487D"/>
    <w:rsid w:val="00E74913"/>
    <w:rsid w:val="00E749D7"/>
    <w:rsid w:val="00E74A1B"/>
    <w:rsid w:val="00E74A5B"/>
    <w:rsid w:val="00E74A97"/>
    <w:rsid w:val="00E74B4B"/>
    <w:rsid w:val="00E75058"/>
    <w:rsid w:val="00E750DC"/>
    <w:rsid w:val="00E755A0"/>
    <w:rsid w:val="00E7568B"/>
    <w:rsid w:val="00E756E0"/>
    <w:rsid w:val="00E75D25"/>
    <w:rsid w:val="00E75E5F"/>
    <w:rsid w:val="00E75F13"/>
    <w:rsid w:val="00E7608D"/>
    <w:rsid w:val="00E763BA"/>
    <w:rsid w:val="00E76465"/>
    <w:rsid w:val="00E76741"/>
    <w:rsid w:val="00E768DF"/>
    <w:rsid w:val="00E76987"/>
    <w:rsid w:val="00E769F3"/>
    <w:rsid w:val="00E76EB7"/>
    <w:rsid w:val="00E77258"/>
    <w:rsid w:val="00E77280"/>
    <w:rsid w:val="00E77356"/>
    <w:rsid w:val="00E77410"/>
    <w:rsid w:val="00E77869"/>
    <w:rsid w:val="00E779B3"/>
    <w:rsid w:val="00E77F25"/>
    <w:rsid w:val="00E800DA"/>
    <w:rsid w:val="00E804D5"/>
    <w:rsid w:val="00E80613"/>
    <w:rsid w:val="00E80851"/>
    <w:rsid w:val="00E80BE8"/>
    <w:rsid w:val="00E80C01"/>
    <w:rsid w:val="00E81393"/>
    <w:rsid w:val="00E81D10"/>
    <w:rsid w:val="00E822A3"/>
    <w:rsid w:val="00E8289A"/>
    <w:rsid w:val="00E8294B"/>
    <w:rsid w:val="00E83649"/>
    <w:rsid w:val="00E8364A"/>
    <w:rsid w:val="00E836AD"/>
    <w:rsid w:val="00E83781"/>
    <w:rsid w:val="00E841A5"/>
    <w:rsid w:val="00E84237"/>
    <w:rsid w:val="00E84304"/>
    <w:rsid w:val="00E84C62"/>
    <w:rsid w:val="00E852B4"/>
    <w:rsid w:val="00E85BFC"/>
    <w:rsid w:val="00E85C01"/>
    <w:rsid w:val="00E85D7E"/>
    <w:rsid w:val="00E85EC7"/>
    <w:rsid w:val="00E8604B"/>
    <w:rsid w:val="00E86373"/>
    <w:rsid w:val="00E86518"/>
    <w:rsid w:val="00E865BE"/>
    <w:rsid w:val="00E86654"/>
    <w:rsid w:val="00E8672A"/>
    <w:rsid w:val="00E868FE"/>
    <w:rsid w:val="00E8696F"/>
    <w:rsid w:val="00E86D8E"/>
    <w:rsid w:val="00E86DE8"/>
    <w:rsid w:val="00E86E55"/>
    <w:rsid w:val="00E8725D"/>
    <w:rsid w:val="00E872D4"/>
    <w:rsid w:val="00E87302"/>
    <w:rsid w:val="00E87885"/>
    <w:rsid w:val="00E87C39"/>
    <w:rsid w:val="00E8F1E6"/>
    <w:rsid w:val="00E9044D"/>
    <w:rsid w:val="00E90786"/>
    <w:rsid w:val="00E907C5"/>
    <w:rsid w:val="00E90AAA"/>
    <w:rsid w:val="00E90D94"/>
    <w:rsid w:val="00E911F5"/>
    <w:rsid w:val="00E912F1"/>
    <w:rsid w:val="00E91440"/>
    <w:rsid w:val="00E915FF"/>
    <w:rsid w:val="00E917CB"/>
    <w:rsid w:val="00E91999"/>
    <w:rsid w:val="00E91AE2"/>
    <w:rsid w:val="00E91F6A"/>
    <w:rsid w:val="00E921B5"/>
    <w:rsid w:val="00E92936"/>
    <w:rsid w:val="00E9295B"/>
    <w:rsid w:val="00E9337A"/>
    <w:rsid w:val="00E93704"/>
    <w:rsid w:val="00E9377D"/>
    <w:rsid w:val="00E938AF"/>
    <w:rsid w:val="00E938DA"/>
    <w:rsid w:val="00E93C9D"/>
    <w:rsid w:val="00E9412C"/>
    <w:rsid w:val="00E9447F"/>
    <w:rsid w:val="00E9453C"/>
    <w:rsid w:val="00E9484A"/>
    <w:rsid w:val="00E94C97"/>
    <w:rsid w:val="00E94D54"/>
    <w:rsid w:val="00E9526C"/>
    <w:rsid w:val="00E959F6"/>
    <w:rsid w:val="00E95B2F"/>
    <w:rsid w:val="00E95D9C"/>
    <w:rsid w:val="00E95ED4"/>
    <w:rsid w:val="00E96237"/>
    <w:rsid w:val="00E963B8"/>
    <w:rsid w:val="00E96A07"/>
    <w:rsid w:val="00E96E52"/>
    <w:rsid w:val="00E97152"/>
    <w:rsid w:val="00E9793B"/>
    <w:rsid w:val="00EA0220"/>
    <w:rsid w:val="00EA04DE"/>
    <w:rsid w:val="00EA0A54"/>
    <w:rsid w:val="00EA0B45"/>
    <w:rsid w:val="00EA10B1"/>
    <w:rsid w:val="00EA10E7"/>
    <w:rsid w:val="00EA1739"/>
    <w:rsid w:val="00EA17D2"/>
    <w:rsid w:val="00EA19B7"/>
    <w:rsid w:val="00EA1A61"/>
    <w:rsid w:val="00EA1D2A"/>
    <w:rsid w:val="00EA21D1"/>
    <w:rsid w:val="00EA2214"/>
    <w:rsid w:val="00EA264F"/>
    <w:rsid w:val="00EA26AC"/>
    <w:rsid w:val="00EA2B02"/>
    <w:rsid w:val="00EA2EFF"/>
    <w:rsid w:val="00EA3165"/>
    <w:rsid w:val="00EA3312"/>
    <w:rsid w:val="00EA36B7"/>
    <w:rsid w:val="00EA3DBC"/>
    <w:rsid w:val="00EA4472"/>
    <w:rsid w:val="00EA4521"/>
    <w:rsid w:val="00EA4533"/>
    <w:rsid w:val="00EA4771"/>
    <w:rsid w:val="00EA47E7"/>
    <w:rsid w:val="00EA4A64"/>
    <w:rsid w:val="00EA4BEC"/>
    <w:rsid w:val="00EA4C01"/>
    <w:rsid w:val="00EA4C52"/>
    <w:rsid w:val="00EA4DDA"/>
    <w:rsid w:val="00EA4DDC"/>
    <w:rsid w:val="00EA4F50"/>
    <w:rsid w:val="00EA54E3"/>
    <w:rsid w:val="00EA560D"/>
    <w:rsid w:val="00EA5A19"/>
    <w:rsid w:val="00EA5A8F"/>
    <w:rsid w:val="00EA5AAF"/>
    <w:rsid w:val="00EA5AB3"/>
    <w:rsid w:val="00EA5CEC"/>
    <w:rsid w:val="00EA5D1D"/>
    <w:rsid w:val="00EA5F7D"/>
    <w:rsid w:val="00EA5FDA"/>
    <w:rsid w:val="00EA6265"/>
    <w:rsid w:val="00EA66ED"/>
    <w:rsid w:val="00EA675A"/>
    <w:rsid w:val="00EA6782"/>
    <w:rsid w:val="00EA694A"/>
    <w:rsid w:val="00EA6981"/>
    <w:rsid w:val="00EA6EFF"/>
    <w:rsid w:val="00EA71DB"/>
    <w:rsid w:val="00EA7209"/>
    <w:rsid w:val="00EA76BA"/>
    <w:rsid w:val="00EA772F"/>
    <w:rsid w:val="00EA7AFD"/>
    <w:rsid w:val="00EA7D86"/>
    <w:rsid w:val="00EA7E3D"/>
    <w:rsid w:val="00EB0106"/>
    <w:rsid w:val="00EB09AB"/>
    <w:rsid w:val="00EB0EBA"/>
    <w:rsid w:val="00EB16B8"/>
    <w:rsid w:val="00EB17C2"/>
    <w:rsid w:val="00EB19A6"/>
    <w:rsid w:val="00EB1FA7"/>
    <w:rsid w:val="00EB22A9"/>
    <w:rsid w:val="00EB22BA"/>
    <w:rsid w:val="00EB27E4"/>
    <w:rsid w:val="00EB3A48"/>
    <w:rsid w:val="00EB3B3A"/>
    <w:rsid w:val="00EB3B55"/>
    <w:rsid w:val="00EB3C42"/>
    <w:rsid w:val="00EB3E77"/>
    <w:rsid w:val="00EB3E8B"/>
    <w:rsid w:val="00EB43F1"/>
    <w:rsid w:val="00EB46A2"/>
    <w:rsid w:val="00EB4A60"/>
    <w:rsid w:val="00EB4FA4"/>
    <w:rsid w:val="00EB5254"/>
    <w:rsid w:val="00EB587E"/>
    <w:rsid w:val="00EB5A3D"/>
    <w:rsid w:val="00EB5AC9"/>
    <w:rsid w:val="00EB5B36"/>
    <w:rsid w:val="00EB5D8A"/>
    <w:rsid w:val="00EB5E37"/>
    <w:rsid w:val="00EB5FC8"/>
    <w:rsid w:val="00EB6141"/>
    <w:rsid w:val="00EB65C3"/>
    <w:rsid w:val="00EB67BC"/>
    <w:rsid w:val="00EB6A92"/>
    <w:rsid w:val="00EB6CBA"/>
    <w:rsid w:val="00EB6DCE"/>
    <w:rsid w:val="00EB6E55"/>
    <w:rsid w:val="00EB74D5"/>
    <w:rsid w:val="00EB751B"/>
    <w:rsid w:val="00EB7C19"/>
    <w:rsid w:val="00EB7F89"/>
    <w:rsid w:val="00EC0035"/>
    <w:rsid w:val="00EC01CB"/>
    <w:rsid w:val="00EC04C6"/>
    <w:rsid w:val="00EC060F"/>
    <w:rsid w:val="00EC07D1"/>
    <w:rsid w:val="00EC097D"/>
    <w:rsid w:val="00EC0B20"/>
    <w:rsid w:val="00EC0D4C"/>
    <w:rsid w:val="00EC0E05"/>
    <w:rsid w:val="00EC0F0B"/>
    <w:rsid w:val="00EC12C8"/>
    <w:rsid w:val="00EC130C"/>
    <w:rsid w:val="00EC1366"/>
    <w:rsid w:val="00EC1471"/>
    <w:rsid w:val="00EC1564"/>
    <w:rsid w:val="00EC18C5"/>
    <w:rsid w:val="00EC2056"/>
    <w:rsid w:val="00EC2173"/>
    <w:rsid w:val="00EC22E5"/>
    <w:rsid w:val="00EC271F"/>
    <w:rsid w:val="00EC3A3E"/>
    <w:rsid w:val="00EC3AD2"/>
    <w:rsid w:val="00EC3F20"/>
    <w:rsid w:val="00EC3F21"/>
    <w:rsid w:val="00EC3F35"/>
    <w:rsid w:val="00EC431E"/>
    <w:rsid w:val="00EC44B5"/>
    <w:rsid w:val="00EC48CC"/>
    <w:rsid w:val="00EC4CBC"/>
    <w:rsid w:val="00EC4F5D"/>
    <w:rsid w:val="00EC4FDE"/>
    <w:rsid w:val="00EC50C8"/>
    <w:rsid w:val="00EC51FB"/>
    <w:rsid w:val="00EC57D0"/>
    <w:rsid w:val="00EC5890"/>
    <w:rsid w:val="00EC5B16"/>
    <w:rsid w:val="00EC606D"/>
    <w:rsid w:val="00EC6211"/>
    <w:rsid w:val="00EC66BB"/>
    <w:rsid w:val="00EC6714"/>
    <w:rsid w:val="00EC71D5"/>
    <w:rsid w:val="00EC77C6"/>
    <w:rsid w:val="00EC7AF9"/>
    <w:rsid w:val="00EC7B7D"/>
    <w:rsid w:val="00EC7CB1"/>
    <w:rsid w:val="00ED032A"/>
    <w:rsid w:val="00ED0355"/>
    <w:rsid w:val="00ED03AF"/>
    <w:rsid w:val="00ED0479"/>
    <w:rsid w:val="00ED0609"/>
    <w:rsid w:val="00ED0B37"/>
    <w:rsid w:val="00ED0CB7"/>
    <w:rsid w:val="00ED0E7E"/>
    <w:rsid w:val="00ED1366"/>
    <w:rsid w:val="00ED13EA"/>
    <w:rsid w:val="00ED14E2"/>
    <w:rsid w:val="00ED1596"/>
    <w:rsid w:val="00ED15B6"/>
    <w:rsid w:val="00ED18D1"/>
    <w:rsid w:val="00ED23AD"/>
    <w:rsid w:val="00ED288D"/>
    <w:rsid w:val="00ED308A"/>
    <w:rsid w:val="00ED30E1"/>
    <w:rsid w:val="00ED3615"/>
    <w:rsid w:val="00ED389A"/>
    <w:rsid w:val="00ED38E7"/>
    <w:rsid w:val="00ED4021"/>
    <w:rsid w:val="00ED40EC"/>
    <w:rsid w:val="00ED445C"/>
    <w:rsid w:val="00ED4716"/>
    <w:rsid w:val="00ED4741"/>
    <w:rsid w:val="00ED4825"/>
    <w:rsid w:val="00ED484D"/>
    <w:rsid w:val="00ED4A3F"/>
    <w:rsid w:val="00ED57E7"/>
    <w:rsid w:val="00ED5AAC"/>
    <w:rsid w:val="00ED5CB1"/>
    <w:rsid w:val="00ED5F06"/>
    <w:rsid w:val="00ED6250"/>
    <w:rsid w:val="00ED672B"/>
    <w:rsid w:val="00ED6748"/>
    <w:rsid w:val="00ED6B16"/>
    <w:rsid w:val="00ED6D32"/>
    <w:rsid w:val="00ED7181"/>
    <w:rsid w:val="00ED767E"/>
    <w:rsid w:val="00ED76CD"/>
    <w:rsid w:val="00ED777F"/>
    <w:rsid w:val="00ED78FF"/>
    <w:rsid w:val="00ED7974"/>
    <w:rsid w:val="00ED7E73"/>
    <w:rsid w:val="00EE0351"/>
    <w:rsid w:val="00EE035A"/>
    <w:rsid w:val="00EE05C0"/>
    <w:rsid w:val="00EE07D1"/>
    <w:rsid w:val="00EE0D87"/>
    <w:rsid w:val="00EE129C"/>
    <w:rsid w:val="00EE13C3"/>
    <w:rsid w:val="00EE1571"/>
    <w:rsid w:val="00EE1BEE"/>
    <w:rsid w:val="00EE1EAB"/>
    <w:rsid w:val="00EE1F51"/>
    <w:rsid w:val="00EE20D0"/>
    <w:rsid w:val="00EE224F"/>
    <w:rsid w:val="00EE2BA0"/>
    <w:rsid w:val="00EE2CF1"/>
    <w:rsid w:val="00EE2CF9"/>
    <w:rsid w:val="00EE2D01"/>
    <w:rsid w:val="00EE3077"/>
    <w:rsid w:val="00EE3099"/>
    <w:rsid w:val="00EE31E5"/>
    <w:rsid w:val="00EE34E0"/>
    <w:rsid w:val="00EE380D"/>
    <w:rsid w:val="00EE3F3C"/>
    <w:rsid w:val="00EE3F5E"/>
    <w:rsid w:val="00EE3FBE"/>
    <w:rsid w:val="00EE3FC8"/>
    <w:rsid w:val="00EE4058"/>
    <w:rsid w:val="00EE41E4"/>
    <w:rsid w:val="00EE43C9"/>
    <w:rsid w:val="00EE48A5"/>
    <w:rsid w:val="00EE4D83"/>
    <w:rsid w:val="00EE4DEE"/>
    <w:rsid w:val="00EE4F6A"/>
    <w:rsid w:val="00EE58D0"/>
    <w:rsid w:val="00EE59F4"/>
    <w:rsid w:val="00EE61FF"/>
    <w:rsid w:val="00EE6309"/>
    <w:rsid w:val="00EE6679"/>
    <w:rsid w:val="00EE7043"/>
    <w:rsid w:val="00EE71B6"/>
    <w:rsid w:val="00EE7C53"/>
    <w:rsid w:val="00EE7F99"/>
    <w:rsid w:val="00EF0067"/>
    <w:rsid w:val="00EF0248"/>
    <w:rsid w:val="00EF0481"/>
    <w:rsid w:val="00EF048C"/>
    <w:rsid w:val="00EF0514"/>
    <w:rsid w:val="00EF0719"/>
    <w:rsid w:val="00EF0F33"/>
    <w:rsid w:val="00EF0F9D"/>
    <w:rsid w:val="00EF12CA"/>
    <w:rsid w:val="00EF1354"/>
    <w:rsid w:val="00EF1371"/>
    <w:rsid w:val="00EF14C8"/>
    <w:rsid w:val="00EF1CBA"/>
    <w:rsid w:val="00EF1D6E"/>
    <w:rsid w:val="00EF20A6"/>
    <w:rsid w:val="00EF212E"/>
    <w:rsid w:val="00EF23EE"/>
    <w:rsid w:val="00EF26E9"/>
    <w:rsid w:val="00EF2B4F"/>
    <w:rsid w:val="00EF305B"/>
    <w:rsid w:val="00EF3829"/>
    <w:rsid w:val="00EF3B4E"/>
    <w:rsid w:val="00EF3F26"/>
    <w:rsid w:val="00EF449E"/>
    <w:rsid w:val="00EF4623"/>
    <w:rsid w:val="00EF4892"/>
    <w:rsid w:val="00EF4896"/>
    <w:rsid w:val="00EF4953"/>
    <w:rsid w:val="00EF4A5B"/>
    <w:rsid w:val="00EF525E"/>
    <w:rsid w:val="00EF52CE"/>
    <w:rsid w:val="00EF5778"/>
    <w:rsid w:val="00EF57A3"/>
    <w:rsid w:val="00EF5850"/>
    <w:rsid w:val="00EF5992"/>
    <w:rsid w:val="00EF5E4B"/>
    <w:rsid w:val="00EF5EF4"/>
    <w:rsid w:val="00EF6543"/>
    <w:rsid w:val="00EF656C"/>
    <w:rsid w:val="00EF6A8B"/>
    <w:rsid w:val="00EF71DB"/>
    <w:rsid w:val="00EF75AF"/>
    <w:rsid w:val="00EF782E"/>
    <w:rsid w:val="00EF7879"/>
    <w:rsid w:val="00EF7BEA"/>
    <w:rsid w:val="00EF7C70"/>
    <w:rsid w:val="00F0015A"/>
    <w:rsid w:val="00F0040A"/>
    <w:rsid w:val="00F00616"/>
    <w:rsid w:val="00F0096E"/>
    <w:rsid w:val="00F00992"/>
    <w:rsid w:val="00F00A72"/>
    <w:rsid w:val="00F00BA8"/>
    <w:rsid w:val="00F00E83"/>
    <w:rsid w:val="00F00F54"/>
    <w:rsid w:val="00F00FDC"/>
    <w:rsid w:val="00F01185"/>
    <w:rsid w:val="00F012A1"/>
    <w:rsid w:val="00F01387"/>
    <w:rsid w:val="00F014D9"/>
    <w:rsid w:val="00F01605"/>
    <w:rsid w:val="00F01944"/>
    <w:rsid w:val="00F01B23"/>
    <w:rsid w:val="00F01C7D"/>
    <w:rsid w:val="00F01D6D"/>
    <w:rsid w:val="00F01FE2"/>
    <w:rsid w:val="00F02071"/>
    <w:rsid w:val="00F0289D"/>
    <w:rsid w:val="00F02AE0"/>
    <w:rsid w:val="00F02BDF"/>
    <w:rsid w:val="00F02D45"/>
    <w:rsid w:val="00F03041"/>
    <w:rsid w:val="00F03396"/>
    <w:rsid w:val="00F0374A"/>
    <w:rsid w:val="00F038B1"/>
    <w:rsid w:val="00F03F85"/>
    <w:rsid w:val="00F04327"/>
    <w:rsid w:val="00F049FC"/>
    <w:rsid w:val="00F04A4B"/>
    <w:rsid w:val="00F04B2D"/>
    <w:rsid w:val="00F04EF1"/>
    <w:rsid w:val="00F04F12"/>
    <w:rsid w:val="00F05550"/>
    <w:rsid w:val="00F05741"/>
    <w:rsid w:val="00F05E47"/>
    <w:rsid w:val="00F0612C"/>
    <w:rsid w:val="00F06934"/>
    <w:rsid w:val="00F06C6F"/>
    <w:rsid w:val="00F06D11"/>
    <w:rsid w:val="00F06DFF"/>
    <w:rsid w:val="00F073B3"/>
    <w:rsid w:val="00F074D8"/>
    <w:rsid w:val="00F07A0B"/>
    <w:rsid w:val="00F1018E"/>
    <w:rsid w:val="00F10632"/>
    <w:rsid w:val="00F10CC2"/>
    <w:rsid w:val="00F10D2B"/>
    <w:rsid w:val="00F10F3F"/>
    <w:rsid w:val="00F11017"/>
    <w:rsid w:val="00F11527"/>
    <w:rsid w:val="00F118EC"/>
    <w:rsid w:val="00F11979"/>
    <w:rsid w:val="00F11AB0"/>
    <w:rsid w:val="00F11AE5"/>
    <w:rsid w:val="00F11D24"/>
    <w:rsid w:val="00F11E95"/>
    <w:rsid w:val="00F12455"/>
    <w:rsid w:val="00F12530"/>
    <w:rsid w:val="00F12936"/>
    <w:rsid w:val="00F129E7"/>
    <w:rsid w:val="00F12F81"/>
    <w:rsid w:val="00F13029"/>
    <w:rsid w:val="00F1306E"/>
    <w:rsid w:val="00F130A0"/>
    <w:rsid w:val="00F1320F"/>
    <w:rsid w:val="00F13930"/>
    <w:rsid w:val="00F13A09"/>
    <w:rsid w:val="00F13B3B"/>
    <w:rsid w:val="00F13C52"/>
    <w:rsid w:val="00F13EEC"/>
    <w:rsid w:val="00F141DA"/>
    <w:rsid w:val="00F14236"/>
    <w:rsid w:val="00F14C17"/>
    <w:rsid w:val="00F151E2"/>
    <w:rsid w:val="00F1543B"/>
    <w:rsid w:val="00F158B2"/>
    <w:rsid w:val="00F15B91"/>
    <w:rsid w:val="00F15E55"/>
    <w:rsid w:val="00F15FAB"/>
    <w:rsid w:val="00F162BD"/>
    <w:rsid w:val="00F16455"/>
    <w:rsid w:val="00F16A7F"/>
    <w:rsid w:val="00F16C37"/>
    <w:rsid w:val="00F16EEB"/>
    <w:rsid w:val="00F17C30"/>
    <w:rsid w:val="00F17E37"/>
    <w:rsid w:val="00F17EB5"/>
    <w:rsid w:val="00F1F2EC"/>
    <w:rsid w:val="00F200B0"/>
    <w:rsid w:val="00F201CE"/>
    <w:rsid w:val="00F206B9"/>
    <w:rsid w:val="00F20721"/>
    <w:rsid w:val="00F20866"/>
    <w:rsid w:val="00F20B04"/>
    <w:rsid w:val="00F20D16"/>
    <w:rsid w:val="00F20D3B"/>
    <w:rsid w:val="00F20D4D"/>
    <w:rsid w:val="00F20F73"/>
    <w:rsid w:val="00F20F93"/>
    <w:rsid w:val="00F21571"/>
    <w:rsid w:val="00F219AF"/>
    <w:rsid w:val="00F21C2E"/>
    <w:rsid w:val="00F21C49"/>
    <w:rsid w:val="00F220AF"/>
    <w:rsid w:val="00F2241F"/>
    <w:rsid w:val="00F22482"/>
    <w:rsid w:val="00F2267A"/>
    <w:rsid w:val="00F226FC"/>
    <w:rsid w:val="00F22897"/>
    <w:rsid w:val="00F2289B"/>
    <w:rsid w:val="00F229C7"/>
    <w:rsid w:val="00F22B48"/>
    <w:rsid w:val="00F22E50"/>
    <w:rsid w:val="00F23020"/>
    <w:rsid w:val="00F2316F"/>
    <w:rsid w:val="00F2323E"/>
    <w:rsid w:val="00F234FD"/>
    <w:rsid w:val="00F240BE"/>
    <w:rsid w:val="00F24900"/>
    <w:rsid w:val="00F24995"/>
    <w:rsid w:val="00F24BEB"/>
    <w:rsid w:val="00F24D6E"/>
    <w:rsid w:val="00F2510C"/>
    <w:rsid w:val="00F252A3"/>
    <w:rsid w:val="00F25734"/>
    <w:rsid w:val="00F25ECD"/>
    <w:rsid w:val="00F26260"/>
    <w:rsid w:val="00F262ED"/>
    <w:rsid w:val="00F2665A"/>
    <w:rsid w:val="00F26846"/>
    <w:rsid w:val="00F26C9C"/>
    <w:rsid w:val="00F26DFD"/>
    <w:rsid w:val="00F26F21"/>
    <w:rsid w:val="00F275C7"/>
    <w:rsid w:val="00F27C54"/>
    <w:rsid w:val="00F27E05"/>
    <w:rsid w:val="00F306CB"/>
    <w:rsid w:val="00F30C74"/>
    <w:rsid w:val="00F323AE"/>
    <w:rsid w:val="00F32917"/>
    <w:rsid w:val="00F32E3A"/>
    <w:rsid w:val="00F33450"/>
    <w:rsid w:val="00F3399B"/>
    <w:rsid w:val="00F339D6"/>
    <w:rsid w:val="00F33A02"/>
    <w:rsid w:val="00F33A54"/>
    <w:rsid w:val="00F33B8A"/>
    <w:rsid w:val="00F33CC1"/>
    <w:rsid w:val="00F33E3E"/>
    <w:rsid w:val="00F33F35"/>
    <w:rsid w:val="00F34029"/>
    <w:rsid w:val="00F341BC"/>
    <w:rsid w:val="00F34224"/>
    <w:rsid w:val="00F342C9"/>
    <w:rsid w:val="00F34730"/>
    <w:rsid w:val="00F34BA0"/>
    <w:rsid w:val="00F34CEF"/>
    <w:rsid w:val="00F34E53"/>
    <w:rsid w:val="00F355F0"/>
    <w:rsid w:val="00F35713"/>
    <w:rsid w:val="00F35F62"/>
    <w:rsid w:val="00F363D7"/>
    <w:rsid w:val="00F36681"/>
    <w:rsid w:val="00F36E3F"/>
    <w:rsid w:val="00F37D54"/>
    <w:rsid w:val="00F37D75"/>
    <w:rsid w:val="00F37F19"/>
    <w:rsid w:val="00F400C3"/>
    <w:rsid w:val="00F401E6"/>
    <w:rsid w:val="00F408A7"/>
    <w:rsid w:val="00F40ADB"/>
    <w:rsid w:val="00F40E0A"/>
    <w:rsid w:val="00F41077"/>
    <w:rsid w:val="00F4122C"/>
    <w:rsid w:val="00F412C9"/>
    <w:rsid w:val="00F413F0"/>
    <w:rsid w:val="00F416CA"/>
    <w:rsid w:val="00F41A2F"/>
    <w:rsid w:val="00F41B50"/>
    <w:rsid w:val="00F41D57"/>
    <w:rsid w:val="00F41E33"/>
    <w:rsid w:val="00F41EA3"/>
    <w:rsid w:val="00F4211A"/>
    <w:rsid w:val="00F4247B"/>
    <w:rsid w:val="00F42B52"/>
    <w:rsid w:val="00F42E29"/>
    <w:rsid w:val="00F42FFD"/>
    <w:rsid w:val="00F430E5"/>
    <w:rsid w:val="00F436EF"/>
    <w:rsid w:val="00F43E10"/>
    <w:rsid w:val="00F43E9E"/>
    <w:rsid w:val="00F443E7"/>
    <w:rsid w:val="00F44F33"/>
    <w:rsid w:val="00F4543A"/>
    <w:rsid w:val="00F456D7"/>
    <w:rsid w:val="00F456E8"/>
    <w:rsid w:val="00F45809"/>
    <w:rsid w:val="00F45A0E"/>
    <w:rsid w:val="00F45A4C"/>
    <w:rsid w:val="00F45F3D"/>
    <w:rsid w:val="00F45FFE"/>
    <w:rsid w:val="00F46570"/>
    <w:rsid w:val="00F46615"/>
    <w:rsid w:val="00F466F8"/>
    <w:rsid w:val="00F46B8C"/>
    <w:rsid w:val="00F46E36"/>
    <w:rsid w:val="00F4711D"/>
    <w:rsid w:val="00F47BA6"/>
    <w:rsid w:val="00F47DEA"/>
    <w:rsid w:val="00F47FBA"/>
    <w:rsid w:val="00F47FD4"/>
    <w:rsid w:val="00F50231"/>
    <w:rsid w:val="00F50571"/>
    <w:rsid w:val="00F506D5"/>
    <w:rsid w:val="00F50810"/>
    <w:rsid w:val="00F50B3A"/>
    <w:rsid w:val="00F50BC6"/>
    <w:rsid w:val="00F50EC7"/>
    <w:rsid w:val="00F50F3B"/>
    <w:rsid w:val="00F512C5"/>
    <w:rsid w:val="00F512D5"/>
    <w:rsid w:val="00F513D9"/>
    <w:rsid w:val="00F51853"/>
    <w:rsid w:val="00F51C1E"/>
    <w:rsid w:val="00F520E4"/>
    <w:rsid w:val="00F52218"/>
    <w:rsid w:val="00F523F0"/>
    <w:rsid w:val="00F5263C"/>
    <w:rsid w:val="00F53086"/>
    <w:rsid w:val="00F53139"/>
    <w:rsid w:val="00F5320E"/>
    <w:rsid w:val="00F53217"/>
    <w:rsid w:val="00F533DF"/>
    <w:rsid w:val="00F53547"/>
    <w:rsid w:val="00F53E5F"/>
    <w:rsid w:val="00F54558"/>
    <w:rsid w:val="00F54A94"/>
    <w:rsid w:val="00F54C12"/>
    <w:rsid w:val="00F54FEA"/>
    <w:rsid w:val="00F55332"/>
    <w:rsid w:val="00F55366"/>
    <w:rsid w:val="00F5589D"/>
    <w:rsid w:val="00F55D89"/>
    <w:rsid w:val="00F55DBF"/>
    <w:rsid w:val="00F56571"/>
    <w:rsid w:val="00F565C8"/>
    <w:rsid w:val="00F5669E"/>
    <w:rsid w:val="00F56713"/>
    <w:rsid w:val="00F56740"/>
    <w:rsid w:val="00F56851"/>
    <w:rsid w:val="00F568E2"/>
    <w:rsid w:val="00F56E10"/>
    <w:rsid w:val="00F56E51"/>
    <w:rsid w:val="00F57BC0"/>
    <w:rsid w:val="00F5ABCD"/>
    <w:rsid w:val="00F60499"/>
    <w:rsid w:val="00F607A0"/>
    <w:rsid w:val="00F60A21"/>
    <w:rsid w:val="00F60D28"/>
    <w:rsid w:val="00F60E03"/>
    <w:rsid w:val="00F60E7D"/>
    <w:rsid w:val="00F60F12"/>
    <w:rsid w:val="00F60FC9"/>
    <w:rsid w:val="00F60FE4"/>
    <w:rsid w:val="00F6142A"/>
    <w:rsid w:val="00F61658"/>
    <w:rsid w:val="00F617FF"/>
    <w:rsid w:val="00F61901"/>
    <w:rsid w:val="00F61AFF"/>
    <w:rsid w:val="00F61BCB"/>
    <w:rsid w:val="00F61C81"/>
    <w:rsid w:val="00F61E56"/>
    <w:rsid w:val="00F61FD5"/>
    <w:rsid w:val="00F6200B"/>
    <w:rsid w:val="00F622F3"/>
    <w:rsid w:val="00F623F6"/>
    <w:rsid w:val="00F624F1"/>
    <w:rsid w:val="00F62594"/>
    <w:rsid w:val="00F627FD"/>
    <w:rsid w:val="00F62F16"/>
    <w:rsid w:val="00F62FF3"/>
    <w:rsid w:val="00F63504"/>
    <w:rsid w:val="00F63F1D"/>
    <w:rsid w:val="00F64149"/>
    <w:rsid w:val="00F64254"/>
    <w:rsid w:val="00F642EE"/>
    <w:rsid w:val="00F644B5"/>
    <w:rsid w:val="00F645FF"/>
    <w:rsid w:val="00F64890"/>
    <w:rsid w:val="00F64A5C"/>
    <w:rsid w:val="00F64C3A"/>
    <w:rsid w:val="00F65115"/>
    <w:rsid w:val="00F652CC"/>
    <w:rsid w:val="00F65D1B"/>
    <w:rsid w:val="00F65E4D"/>
    <w:rsid w:val="00F65EB2"/>
    <w:rsid w:val="00F66501"/>
    <w:rsid w:val="00F66543"/>
    <w:rsid w:val="00F66897"/>
    <w:rsid w:val="00F668E7"/>
    <w:rsid w:val="00F668EC"/>
    <w:rsid w:val="00F66B92"/>
    <w:rsid w:val="00F671B6"/>
    <w:rsid w:val="00F67650"/>
    <w:rsid w:val="00F6771C"/>
    <w:rsid w:val="00F67803"/>
    <w:rsid w:val="00F67B60"/>
    <w:rsid w:val="00F67C03"/>
    <w:rsid w:val="00F7006D"/>
    <w:rsid w:val="00F700C7"/>
    <w:rsid w:val="00F7053A"/>
    <w:rsid w:val="00F7066C"/>
    <w:rsid w:val="00F70917"/>
    <w:rsid w:val="00F709A6"/>
    <w:rsid w:val="00F70AA9"/>
    <w:rsid w:val="00F70ED8"/>
    <w:rsid w:val="00F70F1C"/>
    <w:rsid w:val="00F7116E"/>
    <w:rsid w:val="00F71401"/>
    <w:rsid w:val="00F7179B"/>
    <w:rsid w:val="00F71961"/>
    <w:rsid w:val="00F71A7B"/>
    <w:rsid w:val="00F729DA"/>
    <w:rsid w:val="00F72BC3"/>
    <w:rsid w:val="00F7379C"/>
    <w:rsid w:val="00F73D0D"/>
    <w:rsid w:val="00F73DE5"/>
    <w:rsid w:val="00F73FAF"/>
    <w:rsid w:val="00F7473D"/>
    <w:rsid w:val="00F75021"/>
    <w:rsid w:val="00F75FF5"/>
    <w:rsid w:val="00F76226"/>
    <w:rsid w:val="00F7640F"/>
    <w:rsid w:val="00F76636"/>
    <w:rsid w:val="00F76AD4"/>
    <w:rsid w:val="00F76AD5"/>
    <w:rsid w:val="00F772CA"/>
    <w:rsid w:val="00F779E5"/>
    <w:rsid w:val="00F80B66"/>
    <w:rsid w:val="00F80F46"/>
    <w:rsid w:val="00F8108A"/>
    <w:rsid w:val="00F81181"/>
    <w:rsid w:val="00F8188C"/>
    <w:rsid w:val="00F81CE8"/>
    <w:rsid w:val="00F81D1C"/>
    <w:rsid w:val="00F8244D"/>
    <w:rsid w:val="00F828AC"/>
    <w:rsid w:val="00F82D26"/>
    <w:rsid w:val="00F834A9"/>
    <w:rsid w:val="00F834EC"/>
    <w:rsid w:val="00F8384F"/>
    <w:rsid w:val="00F83BF9"/>
    <w:rsid w:val="00F83E37"/>
    <w:rsid w:val="00F83EC0"/>
    <w:rsid w:val="00F840B1"/>
    <w:rsid w:val="00F8441F"/>
    <w:rsid w:val="00F84E19"/>
    <w:rsid w:val="00F85642"/>
    <w:rsid w:val="00F857C0"/>
    <w:rsid w:val="00F85A67"/>
    <w:rsid w:val="00F85ABD"/>
    <w:rsid w:val="00F85CFC"/>
    <w:rsid w:val="00F85D4B"/>
    <w:rsid w:val="00F85F36"/>
    <w:rsid w:val="00F85F6D"/>
    <w:rsid w:val="00F8668F"/>
    <w:rsid w:val="00F8680C"/>
    <w:rsid w:val="00F86E77"/>
    <w:rsid w:val="00F87329"/>
    <w:rsid w:val="00F8732F"/>
    <w:rsid w:val="00F8735E"/>
    <w:rsid w:val="00F87545"/>
    <w:rsid w:val="00F879B1"/>
    <w:rsid w:val="00F87ACB"/>
    <w:rsid w:val="00F87BAC"/>
    <w:rsid w:val="00F87BE6"/>
    <w:rsid w:val="00F87C6C"/>
    <w:rsid w:val="00F90091"/>
    <w:rsid w:val="00F9013D"/>
    <w:rsid w:val="00F90165"/>
    <w:rsid w:val="00F907F6"/>
    <w:rsid w:val="00F90C0B"/>
    <w:rsid w:val="00F90C30"/>
    <w:rsid w:val="00F90DAD"/>
    <w:rsid w:val="00F90DFA"/>
    <w:rsid w:val="00F90F7A"/>
    <w:rsid w:val="00F91195"/>
    <w:rsid w:val="00F91224"/>
    <w:rsid w:val="00F91311"/>
    <w:rsid w:val="00F91542"/>
    <w:rsid w:val="00F91743"/>
    <w:rsid w:val="00F91B55"/>
    <w:rsid w:val="00F91C9B"/>
    <w:rsid w:val="00F91D0B"/>
    <w:rsid w:val="00F91EAE"/>
    <w:rsid w:val="00F91F6D"/>
    <w:rsid w:val="00F9219C"/>
    <w:rsid w:val="00F921C0"/>
    <w:rsid w:val="00F92229"/>
    <w:rsid w:val="00F928AA"/>
    <w:rsid w:val="00F92A35"/>
    <w:rsid w:val="00F93180"/>
    <w:rsid w:val="00F93297"/>
    <w:rsid w:val="00F9341E"/>
    <w:rsid w:val="00F936DE"/>
    <w:rsid w:val="00F93982"/>
    <w:rsid w:val="00F939A3"/>
    <w:rsid w:val="00F93DB7"/>
    <w:rsid w:val="00F942F8"/>
    <w:rsid w:val="00F94835"/>
    <w:rsid w:val="00F94E30"/>
    <w:rsid w:val="00F9547E"/>
    <w:rsid w:val="00F957CD"/>
    <w:rsid w:val="00F957E6"/>
    <w:rsid w:val="00F9594F"/>
    <w:rsid w:val="00F959F9"/>
    <w:rsid w:val="00F96109"/>
    <w:rsid w:val="00F96604"/>
    <w:rsid w:val="00F9669A"/>
    <w:rsid w:val="00F968FB"/>
    <w:rsid w:val="00F96A84"/>
    <w:rsid w:val="00F96D70"/>
    <w:rsid w:val="00F96FBB"/>
    <w:rsid w:val="00F97209"/>
    <w:rsid w:val="00F9732F"/>
    <w:rsid w:val="00F9738B"/>
    <w:rsid w:val="00F97696"/>
    <w:rsid w:val="00FA0595"/>
    <w:rsid w:val="00FA0846"/>
    <w:rsid w:val="00FA1023"/>
    <w:rsid w:val="00FA1889"/>
    <w:rsid w:val="00FA209A"/>
    <w:rsid w:val="00FA2A7E"/>
    <w:rsid w:val="00FA2BFF"/>
    <w:rsid w:val="00FA2C97"/>
    <w:rsid w:val="00FA2C9B"/>
    <w:rsid w:val="00FA3032"/>
    <w:rsid w:val="00FA32ED"/>
    <w:rsid w:val="00FA3439"/>
    <w:rsid w:val="00FA3C41"/>
    <w:rsid w:val="00FA3D21"/>
    <w:rsid w:val="00FA41E8"/>
    <w:rsid w:val="00FA4450"/>
    <w:rsid w:val="00FA456F"/>
    <w:rsid w:val="00FA4670"/>
    <w:rsid w:val="00FA4B9E"/>
    <w:rsid w:val="00FA4F46"/>
    <w:rsid w:val="00FA51B4"/>
    <w:rsid w:val="00FA5600"/>
    <w:rsid w:val="00FA5B7E"/>
    <w:rsid w:val="00FA5FCF"/>
    <w:rsid w:val="00FA6368"/>
    <w:rsid w:val="00FA64FB"/>
    <w:rsid w:val="00FA6836"/>
    <w:rsid w:val="00FA68E6"/>
    <w:rsid w:val="00FA6982"/>
    <w:rsid w:val="00FA6D61"/>
    <w:rsid w:val="00FA6DD8"/>
    <w:rsid w:val="00FA734E"/>
    <w:rsid w:val="00FA7375"/>
    <w:rsid w:val="00FA7552"/>
    <w:rsid w:val="00FA75C3"/>
    <w:rsid w:val="00FA775E"/>
    <w:rsid w:val="00FA7786"/>
    <w:rsid w:val="00FB03C3"/>
    <w:rsid w:val="00FB06D4"/>
    <w:rsid w:val="00FB07B0"/>
    <w:rsid w:val="00FB08E7"/>
    <w:rsid w:val="00FB0D7E"/>
    <w:rsid w:val="00FB17E4"/>
    <w:rsid w:val="00FB1D7A"/>
    <w:rsid w:val="00FB1EBE"/>
    <w:rsid w:val="00FB2619"/>
    <w:rsid w:val="00FB2621"/>
    <w:rsid w:val="00FB29C1"/>
    <w:rsid w:val="00FB2C34"/>
    <w:rsid w:val="00FB2D63"/>
    <w:rsid w:val="00FB2E81"/>
    <w:rsid w:val="00FB309E"/>
    <w:rsid w:val="00FB30FE"/>
    <w:rsid w:val="00FB31E3"/>
    <w:rsid w:val="00FB367A"/>
    <w:rsid w:val="00FB38BE"/>
    <w:rsid w:val="00FB3902"/>
    <w:rsid w:val="00FB428A"/>
    <w:rsid w:val="00FB439B"/>
    <w:rsid w:val="00FB46F3"/>
    <w:rsid w:val="00FB48F2"/>
    <w:rsid w:val="00FB491D"/>
    <w:rsid w:val="00FB4C5C"/>
    <w:rsid w:val="00FB519E"/>
    <w:rsid w:val="00FB51E1"/>
    <w:rsid w:val="00FB51E6"/>
    <w:rsid w:val="00FB55F6"/>
    <w:rsid w:val="00FB572C"/>
    <w:rsid w:val="00FB5A57"/>
    <w:rsid w:val="00FB5D0D"/>
    <w:rsid w:val="00FB6114"/>
    <w:rsid w:val="00FB6168"/>
    <w:rsid w:val="00FB63A3"/>
    <w:rsid w:val="00FB73BB"/>
    <w:rsid w:val="00FB7974"/>
    <w:rsid w:val="00FB7A49"/>
    <w:rsid w:val="00FB7DA2"/>
    <w:rsid w:val="00FC0849"/>
    <w:rsid w:val="00FC0999"/>
    <w:rsid w:val="00FC0A1E"/>
    <w:rsid w:val="00FC0A73"/>
    <w:rsid w:val="00FC0D33"/>
    <w:rsid w:val="00FC0D8B"/>
    <w:rsid w:val="00FC0E33"/>
    <w:rsid w:val="00FC11AD"/>
    <w:rsid w:val="00FC17AB"/>
    <w:rsid w:val="00FC1FFB"/>
    <w:rsid w:val="00FC2258"/>
    <w:rsid w:val="00FC22AD"/>
    <w:rsid w:val="00FC2982"/>
    <w:rsid w:val="00FC2D28"/>
    <w:rsid w:val="00FC2FA6"/>
    <w:rsid w:val="00FC2FD0"/>
    <w:rsid w:val="00FC3239"/>
    <w:rsid w:val="00FC337B"/>
    <w:rsid w:val="00FC34FA"/>
    <w:rsid w:val="00FC35D4"/>
    <w:rsid w:val="00FC3D8D"/>
    <w:rsid w:val="00FC4083"/>
    <w:rsid w:val="00FC40B4"/>
    <w:rsid w:val="00FC4577"/>
    <w:rsid w:val="00FC46D4"/>
    <w:rsid w:val="00FC4803"/>
    <w:rsid w:val="00FC4F88"/>
    <w:rsid w:val="00FC5034"/>
    <w:rsid w:val="00FC5284"/>
    <w:rsid w:val="00FC52AB"/>
    <w:rsid w:val="00FC53AF"/>
    <w:rsid w:val="00FC55E6"/>
    <w:rsid w:val="00FC572A"/>
    <w:rsid w:val="00FC57FB"/>
    <w:rsid w:val="00FC6142"/>
    <w:rsid w:val="00FC6211"/>
    <w:rsid w:val="00FC63AA"/>
    <w:rsid w:val="00FC640A"/>
    <w:rsid w:val="00FC6540"/>
    <w:rsid w:val="00FC7777"/>
    <w:rsid w:val="00FC78BC"/>
    <w:rsid w:val="00FC7B17"/>
    <w:rsid w:val="00FC7F60"/>
    <w:rsid w:val="00FC7F78"/>
    <w:rsid w:val="00FD037F"/>
    <w:rsid w:val="00FD06D8"/>
    <w:rsid w:val="00FD077E"/>
    <w:rsid w:val="00FD123F"/>
    <w:rsid w:val="00FD127E"/>
    <w:rsid w:val="00FD161A"/>
    <w:rsid w:val="00FD16C2"/>
    <w:rsid w:val="00FD1B07"/>
    <w:rsid w:val="00FD1E76"/>
    <w:rsid w:val="00FD1F8B"/>
    <w:rsid w:val="00FD201B"/>
    <w:rsid w:val="00FD2257"/>
    <w:rsid w:val="00FD255B"/>
    <w:rsid w:val="00FD2610"/>
    <w:rsid w:val="00FD26CF"/>
    <w:rsid w:val="00FD26D9"/>
    <w:rsid w:val="00FD2B3A"/>
    <w:rsid w:val="00FD2BA9"/>
    <w:rsid w:val="00FD2BFA"/>
    <w:rsid w:val="00FD2D74"/>
    <w:rsid w:val="00FD2E54"/>
    <w:rsid w:val="00FD32AA"/>
    <w:rsid w:val="00FD331E"/>
    <w:rsid w:val="00FD389C"/>
    <w:rsid w:val="00FD3BC2"/>
    <w:rsid w:val="00FD3E00"/>
    <w:rsid w:val="00FD4030"/>
    <w:rsid w:val="00FD4243"/>
    <w:rsid w:val="00FD43C4"/>
    <w:rsid w:val="00FD517D"/>
    <w:rsid w:val="00FD520D"/>
    <w:rsid w:val="00FD5814"/>
    <w:rsid w:val="00FD5C52"/>
    <w:rsid w:val="00FD5D17"/>
    <w:rsid w:val="00FD60C3"/>
    <w:rsid w:val="00FD6113"/>
    <w:rsid w:val="00FD61F0"/>
    <w:rsid w:val="00FD6373"/>
    <w:rsid w:val="00FD6476"/>
    <w:rsid w:val="00FD6AE7"/>
    <w:rsid w:val="00FD6BCC"/>
    <w:rsid w:val="00FD6CDB"/>
    <w:rsid w:val="00FD72C7"/>
    <w:rsid w:val="00FD7454"/>
    <w:rsid w:val="00FD75C4"/>
    <w:rsid w:val="00FD77E2"/>
    <w:rsid w:val="00FD7801"/>
    <w:rsid w:val="00FE023A"/>
    <w:rsid w:val="00FE0423"/>
    <w:rsid w:val="00FE0503"/>
    <w:rsid w:val="00FE0C24"/>
    <w:rsid w:val="00FE0D60"/>
    <w:rsid w:val="00FE0E87"/>
    <w:rsid w:val="00FE1075"/>
    <w:rsid w:val="00FE1259"/>
    <w:rsid w:val="00FE1357"/>
    <w:rsid w:val="00FE13ED"/>
    <w:rsid w:val="00FE2009"/>
    <w:rsid w:val="00FE255F"/>
    <w:rsid w:val="00FE29A2"/>
    <w:rsid w:val="00FE34D3"/>
    <w:rsid w:val="00FE359E"/>
    <w:rsid w:val="00FE366B"/>
    <w:rsid w:val="00FE46FF"/>
    <w:rsid w:val="00FE47D8"/>
    <w:rsid w:val="00FE4966"/>
    <w:rsid w:val="00FE4BAA"/>
    <w:rsid w:val="00FE4D47"/>
    <w:rsid w:val="00FE4FC8"/>
    <w:rsid w:val="00FE507F"/>
    <w:rsid w:val="00FE53CF"/>
    <w:rsid w:val="00FE65EB"/>
    <w:rsid w:val="00FE6616"/>
    <w:rsid w:val="00FE6C9C"/>
    <w:rsid w:val="00FE700A"/>
    <w:rsid w:val="00FE70A3"/>
    <w:rsid w:val="00FE7194"/>
    <w:rsid w:val="00FE71EC"/>
    <w:rsid w:val="00FE747B"/>
    <w:rsid w:val="00FE766F"/>
    <w:rsid w:val="00FE7740"/>
    <w:rsid w:val="00FE7D92"/>
    <w:rsid w:val="00FF0DDE"/>
    <w:rsid w:val="00FF0E8E"/>
    <w:rsid w:val="00FF1616"/>
    <w:rsid w:val="00FF1B6D"/>
    <w:rsid w:val="00FF1C4B"/>
    <w:rsid w:val="00FF1E9C"/>
    <w:rsid w:val="00FF1F60"/>
    <w:rsid w:val="00FF23A8"/>
    <w:rsid w:val="00FF2594"/>
    <w:rsid w:val="00FF26ED"/>
    <w:rsid w:val="00FF273E"/>
    <w:rsid w:val="00FF27E4"/>
    <w:rsid w:val="00FF2C5F"/>
    <w:rsid w:val="00FF3045"/>
    <w:rsid w:val="00FF3195"/>
    <w:rsid w:val="00FF3211"/>
    <w:rsid w:val="00FF3286"/>
    <w:rsid w:val="00FF33C3"/>
    <w:rsid w:val="00FF34C5"/>
    <w:rsid w:val="00FF367F"/>
    <w:rsid w:val="00FF36B3"/>
    <w:rsid w:val="00FF3808"/>
    <w:rsid w:val="00FF3952"/>
    <w:rsid w:val="00FF3A55"/>
    <w:rsid w:val="00FF3B7C"/>
    <w:rsid w:val="00FF3BF8"/>
    <w:rsid w:val="00FF3D79"/>
    <w:rsid w:val="00FF3E6F"/>
    <w:rsid w:val="00FF4045"/>
    <w:rsid w:val="00FF40AE"/>
    <w:rsid w:val="00FF42B3"/>
    <w:rsid w:val="00FF45E6"/>
    <w:rsid w:val="00FF467D"/>
    <w:rsid w:val="00FF469C"/>
    <w:rsid w:val="00FF472B"/>
    <w:rsid w:val="00FF4799"/>
    <w:rsid w:val="00FF491F"/>
    <w:rsid w:val="00FF4997"/>
    <w:rsid w:val="00FF4B83"/>
    <w:rsid w:val="00FF4DC3"/>
    <w:rsid w:val="00FF5BDD"/>
    <w:rsid w:val="00FF5D63"/>
    <w:rsid w:val="00FF60A6"/>
    <w:rsid w:val="00FF6121"/>
    <w:rsid w:val="00FF65D6"/>
    <w:rsid w:val="00FF66AE"/>
    <w:rsid w:val="00FF6802"/>
    <w:rsid w:val="00FF6A5F"/>
    <w:rsid w:val="00FF6BED"/>
    <w:rsid w:val="00FF6C34"/>
    <w:rsid w:val="00FF70AF"/>
    <w:rsid w:val="00FF7130"/>
    <w:rsid w:val="00FF7398"/>
    <w:rsid w:val="00FF74C4"/>
    <w:rsid w:val="00FF7AC0"/>
    <w:rsid w:val="00FF7B17"/>
    <w:rsid w:val="00FF7BAC"/>
    <w:rsid w:val="00FF7D14"/>
    <w:rsid w:val="010363B6"/>
    <w:rsid w:val="0103F346"/>
    <w:rsid w:val="01041CA8"/>
    <w:rsid w:val="010499A9"/>
    <w:rsid w:val="0105EEB6"/>
    <w:rsid w:val="0109C88E"/>
    <w:rsid w:val="011053BF"/>
    <w:rsid w:val="01112F1E"/>
    <w:rsid w:val="01127EDD"/>
    <w:rsid w:val="0113A12F"/>
    <w:rsid w:val="0115AD62"/>
    <w:rsid w:val="011D0213"/>
    <w:rsid w:val="011E26ED"/>
    <w:rsid w:val="011E7DF0"/>
    <w:rsid w:val="011ED4FF"/>
    <w:rsid w:val="0120FD7D"/>
    <w:rsid w:val="0123C67F"/>
    <w:rsid w:val="0130C961"/>
    <w:rsid w:val="013C5AA6"/>
    <w:rsid w:val="013D7219"/>
    <w:rsid w:val="0140FD22"/>
    <w:rsid w:val="014101DD"/>
    <w:rsid w:val="014472D5"/>
    <w:rsid w:val="0146A5E0"/>
    <w:rsid w:val="014B1722"/>
    <w:rsid w:val="014C7B1C"/>
    <w:rsid w:val="0159789D"/>
    <w:rsid w:val="01644C12"/>
    <w:rsid w:val="016593B2"/>
    <w:rsid w:val="016CE792"/>
    <w:rsid w:val="0171F242"/>
    <w:rsid w:val="0173F4E2"/>
    <w:rsid w:val="0178C2B0"/>
    <w:rsid w:val="01792566"/>
    <w:rsid w:val="0183E2F4"/>
    <w:rsid w:val="018402A6"/>
    <w:rsid w:val="0188EA23"/>
    <w:rsid w:val="0189F808"/>
    <w:rsid w:val="019B05B5"/>
    <w:rsid w:val="019DCEF9"/>
    <w:rsid w:val="01A4E035"/>
    <w:rsid w:val="01A60DB8"/>
    <w:rsid w:val="01A84205"/>
    <w:rsid w:val="01AA72A7"/>
    <w:rsid w:val="01ABB23C"/>
    <w:rsid w:val="01B0BCCA"/>
    <w:rsid w:val="01B18F93"/>
    <w:rsid w:val="01B1F13A"/>
    <w:rsid w:val="01B249FF"/>
    <w:rsid w:val="01B8FD0A"/>
    <w:rsid w:val="01B9532A"/>
    <w:rsid w:val="01BBB421"/>
    <w:rsid w:val="01BCE6A0"/>
    <w:rsid w:val="01BE0594"/>
    <w:rsid w:val="01C8BF32"/>
    <w:rsid w:val="01C945A4"/>
    <w:rsid w:val="01CBA4CC"/>
    <w:rsid w:val="01D2EAF9"/>
    <w:rsid w:val="01D5D19E"/>
    <w:rsid w:val="01DB7E31"/>
    <w:rsid w:val="01DFA03A"/>
    <w:rsid w:val="01DFE3CF"/>
    <w:rsid w:val="01E04966"/>
    <w:rsid w:val="01E1BB45"/>
    <w:rsid w:val="01E6973F"/>
    <w:rsid w:val="01E89A9A"/>
    <w:rsid w:val="01E91BFE"/>
    <w:rsid w:val="01EAB1C9"/>
    <w:rsid w:val="01EC474A"/>
    <w:rsid w:val="01ECE95F"/>
    <w:rsid w:val="01EDBDA5"/>
    <w:rsid w:val="01EFE5D4"/>
    <w:rsid w:val="01EFF737"/>
    <w:rsid w:val="01F39B62"/>
    <w:rsid w:val="01F75F87"/>
    <w:rsid w:val="01F97CD3"/>
    <w:rsid w:val="0204D835"/>
    <w:rsid w:val="0207578C"/>
    <w:rsid w:val="020EE48C"/>
    <w:rsid w:val="020F232F"/>
    <w:rsid w:val="02174373"/>
    <w:rsid w:val="02182F7B"/>
    <w:rsid w:val="02185217"/>
    <w:rsid w:val="021D718D"/>
    <w:rsid w:val="02204ABC"/>
    <w:rsid w:val="02222804"/>
    <w:rsid w:val="0224B4D0"/>
    <w:rsid w:val="0228ADEE"/>
    <w:rsid w:val="022B8404"/>
    <w:rsid w:val="022E7F20"/>
    <w:rsid w:val="02338BAD"/>
    <w:rsid w:val="02344188"/>
    <w:rsid w:val="0234FF75"/>
    <w:rsid w:val="02364222"/>
    <w:rsid w:val="02366556"/>
    <w:rsid w:val="023734E5"/>
    <w:rsid w:val="023BB00F"/>
    <w:rsid w:val="02417C88"/>
    <w:rsid w:val="0242F7A3"/>
    <w:rsid w:val="0244B977"/>
    <w:rsid w:val="0246212A"/>
    <w:rsid w:val="02464FFE"/>
    <w:rsid w:val="0246C141"/>
    <w:rsid w:val="024EB48D"/>
    <w:rsid w:val="02553664"/>
    <w:rsid w:val="02568283"/>
    <w:rsid w:val="025BB336"/>
    <w:rsid w:val="0260F4BE"/>
    <w:rsid w:val="02682813"/>
    <w:rsid w:val="0269483D"/>
    <w:rsid w:val="026BC940"/>
    <w:rsid w:val="026DE6A8"/>
    <w:rsid w:val="026E3090"/>
    <w:rsid w:val="0272BCCE"/>
    <w:rsid w:val="027406F3"/>
    <w:rsid w:val="027A6A35"/>
    <w:rsid w:val="027B068C"/>
    <w:rsid w:val="027DE507"/>
    <w:rsid w:val="027F39A3"/>
    <w:rsid w:val="027FD654"/>
    <w:rsid w:val="0280665D"/>
    <w:rsid w:val="02833DF9"/>
    <w:rsid w:val="02871893"/>
    <w:rsid w:val="028737F0"/>
    <w:rsid w:val="028831FE"/>
    <w:rsid w:val="028BEE07"/>
    <w:rsid w:val="028D3364"/>
    <w:rsid w:val="028E4E50"/>
    <w:rsid w:val="02911796"/>
    <w:rsid w:val="0293A77A"/>
    <w:rsid w:val="0295F113"/>
    <w:rsid w:val="029C3E21"/>
    <w:rsid w:val="029E9004"/>
    <w:rsid w:val="02A47B86"/>
    <w:rsid w:val="02AA0A65"/>
    <w:rsid w:val="02AC7C97"/>
    <w:rsid w:val="02AE1BA8"/>
    <w:rsid w:val="02B413E6"/>
    <w:rsid w:val="02B4BF20"/>
    <w:rsid w:val="02BCCDDE"/>
    <w:rsid w:val="02C1D94E"/>
    <w:rsid w:val="02C4ADB6"/>
    <w:rsid w:val="02CF85E5"/>
    <w:rsid w:val="02D446D3"/>
    <w:rsid w:val="02DFFA35"/>
    <w:rsid w:val="02E4470A"/>
    <w:rsid w:val="02E67785"/>
    <w:rsid w:val="02E791D9"/>
    <w:rsid w:val="02E82354"/>
    <w:rsid w:val="02F2482B"/>
    <w:rsid w:val="02F61AEE"/>
    <w:rsid w:val="02F71BB0"/>
    <w:rsid w:val="02F7F8A7"/>
    <w:rsid w:val="02F8B6B8"/>
    <w:rsid w:val="02F979A9"/>
    <w:rsid w:val="02FB6DD6"/>
    <w:rsid w:val="02FD2E8A"/>
    <w:rsid w:val="0304CEFC"/>
    <w:rsid w:val="030548C2"/>
    <w:rsid w:val="030702C3"/>
    <w:rsid w:val="030749A7"/>
    <w:rsid w:val="03098F83"/>
    <w:rsid w:val="0309DA8C"/>
    <w:rsid w:val="030A1CEF"/>
    <w:rsid w:val="030B371A"/>
    <w:rsid w:val="030D65C1"/>
    <w:rsid w:val="030DDF13"/>
    <w:rsid w:val="03141812"/>
    <w:rsid w:val="03146650"/>
    <w:rsid w:val="0315163A"/>
    <w:rsid w:val="0315D743"/>
    <w:rsid w:val="03171743"/>
    <w:rsid w:val="031A02C7"/>
    <w:rsid w:val="031A8DB5"/>
    <w:rsid w:val="031B16BC"/>
    <w:rsid w:val="032241AC"/>
    <w:rsid w:val="032E3BA8"/>
    <w:rsid w:val="03328ECC"/>
    <w:rsid w:val="0333F0D4"/>
    <w:rsid w:val="03364818"/>
    <w:rsid w:val="0338862D"/>
    <w:rsid w:val="033912C6"/>
    <w:rsid w:val="03397E58"/>
    <w:rsid w:val="033A0613"/>
    <w:rsid w:val="03448119"/>
    <w:rsid w:val="0346601B"/>
    <w:rsid w:val="034757B0"/>
    <w:rsid w:val="0348725E"/>
    <w:rsid w:val="034FC528"/>
    <w:rsid w:val="0353DE4B"/>
    <w:rsid w:val="0358E07D"/>
    <w:rsid w:val="035DEDE7"/>
    <w:rsid w:val="03604388"/>
    <w:rsid w:val="03710288"/>
    <w:rsid w:val="0372DB23"/>
    <w:rsid w:val="03740CBC"/>
    <w:rsid w:val="0374130D"/>
    <w:rsid w:val="037EBF1C"/>
    <w:rsid w:val="03813B24"/>
    <w:rsid w:val="03867577"/>
    <w:rsid w:val="0386FF7A"/>
    <w:rsid w:val="0389ACCD"/>
    <w:rsid w:val="038E226A"/>
    <w:rsid w:val="039AD600"/>
    <w:rsid w:val="039AF285"/>
    <w:rsid w:val="03A465BA"/>
    <w:rsid w:val="03A472D8"/>
    <w:rsid w:val="03A77BE6"/>
    <w:rsid w:val="03AAA3BC"/>
    <w:rsid w:val="03B372F9"/>
    <w:rsid w:val="03B4FC7B"/>
    <w:rsid w:val="03BAAA5E"/>
    <w:rsid w:val="03BDF019"/>
    <w:rsid w:val="03C0887E"/>
    <w:rsid w:val="03C4D17A"/>
    <w:rsid w:val="03C9B975"/>
    <w:rsid w:val="03CA3798"/>
    <w:rsid w:val="03CBC011"/>
    <w:rsid w:val="03CC090B"/>
    <w:rsid w:val="03CD3930"/>
    <w:rsid w:val="03D4AB45"/>
    <w:rsid w:val="03D52819"/>
    <w:rsid w:val="03D6D716"/>
    <w:rsid w:val="03D7ADDC"/>
    <w:rsid w:val="03DB2DEB"/>
    <w:rsid w:val="03DD2D83"/>
    <w:rsid w:val="03DDF8EF"/>
    <w:rsid w:val="03DEDA94"/>
    <w:rsid w:val="03E24FFD"/>
    <w:rsid w:val="03E99C5D"/>
    <w:rsid w:val="03EAB032"/>
    <w:rsid w:val="03ECE8E4"/>
    <w:rsid w:val="03ED6240"/>
    <w:rsid w:val="03F02459"/>
    <w:rsid w:val="03F22DCF"/>
    <w:rsid w:val="03F318C8"/>
    <w:rsid w:val="03F7D49E"/>
    <w:rsid w:val="03FAF8C2"/>
    <w:rsid w:val="03FF1FED"/>
    <w:rsid w:val="04044C36"/>
    <w:rsid w:val="04050381"/>
    <w:rsid w:val="040741C9"/>
    <w:rsid w:val="0409634C"/>
    <w:rsid w:val="0410DB67"/>
    <w:rsid w:val="0417796A"/>
    <w:rsid w:val="041D2CEE"/>
    <w:rsid w:val="041D2DB7"/>
    <w:rsid w:val="04230851"/>
    <w:rsid w:val="0425BA00"/>
    <w:rsid w:val="0427B190"/>
    <w:rsid w:val="04283585"/>
    <w:rsid w:val="04296D10"/>
    <w:rsid w:val="0429F0BD"/>
    <w:rsid w:val="042C2502"/>
    <w:rsid w:val="043C5450"/>
    <w:rsid w:val="0440822C"/>
    <w:rsid w:val="0447B815"/>
    <w:rsid w:val="044B34F0"/>
    <w:rsid w:val="044CDC04"/>
    <w:rsid w:val="04518161"/>
    <w:rsid w:val="04551CBF"/>
    <w:rsid w:val="04589E3F"/>
    <w:rsid w:val="045B0965"/>
    <w:rsid w:val="045D87F5"/>
    <w:rsid w:val="045FD5C4"/>
    <w:rsid w:val="0462A162"/>
    <w:rsid w:val="046418DE"/>
    <w:rsid w:val="046A49FC"/>
    <w:rsid w:val="046A6905"/>
    <w:rsid w:val="046E5060"/>
    <w:rsid w:val="046E732C"/>
    <w:rsid w:val="046F41BE"/>
    <w:rsid w:val="046F7B0C"/>
    <w:rsid w:val="0481CDB3"/>
    <w:rsid w:val="0481E220"/>
    <w:rsid w:val="0492067A"/>
    <w:rsid w:val="0493F094"/>
    <w:rsid w:val="04941FE4"/>
    <w:rsid w:val="0495E4AB"/>
    <w:rsid w:val="04991926"/>
    <w:rsid w:val="049AE19A"/>
    <w:rsid w:val="049B41CE"/>
    <w:rsid w:val="04A9023F"/>
    <w:rsid w:val="04AB83B2"/>
    <w:rsid w:val="04B10577"/>
    <w:rsid w:val="04B1065B"/>
    <w:rsid w:val="04B2F312"/>
    <w:rsid w:val="04B36077"/>
    <w:rsid w:val="04B81B57"/>
    <w:rsid w:val="04BA31FE"/>
    <w:rsid w:val="04BC37F7"/>
    <w:rsid w:val="04BD7EAC"/>
    <w:rsid w:val="04C6407C"/>
    <w:rsid w:val="04CB3D99"/>
    <w:rsid w:val="04CB4E18"/>
    <w:rsid w:val="04D32A70"/>
    <w:rsid w:val="04D8D513"/>
    <w:rsid w:val="04DBE376"/>
    <w:rsid w:val="04E54704"/>
    <w:rsid w:val="04E56E8F"/>
    <w:rsid w:val="04E8E48D"/>
    <w:rsid w:val="04ED8D29"/>
    <w:rsid w:val="04F880C0"/>
    <w:rsid w:val="04F9C109"/>
    <w:rsid w:val="04FAF00C"/>
    <w:rsid w:val="050049F2"/>
    <w:rsid w:val="05026CD8"/>
    <w:rsid w:val="0506FF78"/>
    <w:rsid w:val="0508E748"/>
    <w:rsid w:val="0517FA07"/>
    <w:rsid w:val="0518113B"/>
    <w:rsid w:val="051A848A"/>
    <w:rsid w:val="051F7A6B"/>
    <w:rsid w:val="05203C0F"/>
    <w:rsid w:val="05237E67"/>
    <w:rsid w:val="0523ACDD"/>
    <w:rsid w:val="05291488"/>
    <w:rsid w:val="052ADB02"/>
    <w:rsid w:val="052C439C"/>
    <w:rsid w:val="0536FB79"/>
    <w:rsid w:val="053DFDCF"/>
    <w:rsid w:val="0540DA9E"/>
    <w:rsid w:val="0541AC3F"/>
    <w:rsid w:val="054442E5"/>
    <w:rsid w:val="0545B515"/>
    <w:rsid w:val="05465718"/>
    <w:rsid w:val="0546D16C"/>
    <w:rsid w:val="0546FBC4"/>
    <w:rsid w:val="054798E3"/>
    <w:rsid w:val="054BBE2A"/>
    <w:rsid w:val="0552F73C"/>
    <w:rsid w:val="0554D23C"/>
    <w:rsid w:val="05594148"/>
    <w:rsid w:val="055BBD34"/>
    <w:rsid w:val="055DB790"/>
    <w:rsid w:val="055F94ED"/>
    <w:rsid w:val="05611FCA"/>
    <w:rsid w:val="05633C8E"/>
    <w:rsid w:val="0563B228"/>
    <w:rsid w:val="056770CE"/>
    <w:rsid w:val="05682F99"/>
    <w:rsid w:val="056B1D3F"/>
    <w:rsid w:val="056B29C2"/>
    <w:rsid w:val="0570381E"/>
    <w:rsid w:val="0570C4D2"/>
    <w:rsid w:val="0575905E"/>
    <w:rsid w:val="05790876"/>
    <w:rsid w:val="05792362"/>
    <w:rsid w:val="05852A25"/>
    <w:rsid w:val="05863EC5"/>
    <w:rsid w:val="058FCA7F"/>
    <w:rsid w:val="059122AF"/>
    <w:rsid w:val="059356DA"/>
    <w:rsid w:val="059486C3"/>
    <w:rsid w:val="05963669"/>
    <w:rsid w:val="0597F5C5"/>
    <w:rsid w:val="05995B19"/>
    <w:rsid w:val="059A3172"/>
    <w:rsid w:val="059BF95E"/>
    <w:rsid w:val="059EFC96"/>
    <w:rsid w:val="05A6633B"/>
    <w:rsid w:val="05A68210"/>
    <w:rsid w:val="05A6849F"/>
    <w:rsid w:val="05AB21CA"/>
    <w:rsid w:val="05B48660"/>
    <w:rsid w:val="05B5C663"/>
    <w:rsid w:val="05B9CAB9"/>
    <w:rsid w:val="05C0CE66"/>
    <w:rsid w:val="05C5EAF8"/>
    <w:rsid w:val="05C6C9F2"/>
    <w:rsid w:val="05CB6DA8"/>
    <w:rsid w:val="05D02420"/>
    <w:rsid w:val="05D5A1DA"/>
    <w:rsid w:val="05D63028"/>
    <w:rsid w:val="05DA26C0"/>
    <w:rsid w:val="05DD92E8"/>
    <w:rsid w:val="05DF030D"/>
    <w:rsid w:val="05E2811D"/>
    <w:rsid w:val="05E2847F"/>
    <w:rsid w:val="05E35222"/>
    <w:rsid w:val="05E35749"/>
    <w:rsid w:val="05E596FA"/>
    <w:rsid w:val="05E80FC8"/>
    <w:rsid w:val="05ED32F6"/>
    <w:rsid w:val="05ED5C99"/>
    <w:rsid w:val="05F023D2"/>
    <w:rsid w:val="05F18664"/>
    <w:rsid w:val="06019105"/>
    <w:rsid w:val="060204C8"/>
    <w:rsid w:val="0602D64E"/>
    <w:rsid w:val="06037B44"/>
    <w:rsid w:val="0603A61F"/>
    <w:rsid w:val="06067ED9"/>
    <w:rsid w:val="0606EA19"/>
    <w:rsid w:val="060752E4"/>
    <w:rsid w:val="0607F2EE"/>
    <w:rsid w:val="0608F885"/>
    <w:rsid w:val="060E4DA6"/>
    <w:rsid w:val="0617DD1E"/>
    <w:rsid w:val="061D9234"/>
    <w:rsid w:val="0622581B"/>
    <w:rsid w:val="0624431E"/>
    <w:rsid w:val="0624A9BE"/>
    <w:rsid w:val="0624D7D3"/>
    <w:rsid w:val="062B2590"/>
    <w:rsid w:val="062BA86A"/>
    <w:rsid w:val="06312969"/>
    <w:rsid w:val="0634618D"/>
    <w:rsid w:val="063F3577"/>
    <w:rsid w:val="0645738B"/>
    <w:rsid w:val="0646830E"/>
    <w:rsid w:val="06469E67"/>
    <w:rsid w:val="064AE3C4"/>
    <w:rsid w:val="0650086B"/>
    <w:rsid w:val="065141F3"/>
    <w:rsid w:val="0652ABA5"/>
    <w:rsid w:val="06550952"/>
    <w:rsid w:val="06583AFF"/>
    <w:rsid w:val="065ACABB"/>
    <w:rsid w:val="065C0C59"/>
    <w:rsid w:val="065F9F52"/>
    <w:rsid w:val="065FBE39"/>
    <w:rsid w:val="06670299"/>
    <w:rsid w:val="0678D4EB"/>
    <w:rsid w:val="067A3235"/>
    <w:rsid w:val="067F70EA"/>
    <w:rsid w:val="067F8406"/>
    <w:rsid w:val="06860B7A"/>
    <w:rsid w:val="068796E6"/>
    <w:rsid w:val="068AFBD9"/>
    <w:rsid w:val="068C6A7D"/>
    <w:rsid w:val="068FAEFD"/>
    <w:rsid w:val="069979AC"/>
    <w:rsid w:val="0699AFD1"/>
    <w:rsid w:val="069C00C3"/>
    <w:rsid w:val="069C2DDD"/>
    <w:rsid w:val="069F796D"/>
    <w:rsid w:val="06A66663"/>
    <w:rsid w:val="06A9DE6C"/>
    <w:rsid w:val="06AB10DA"/>
    <w:rsid w:val="06B57EB6"/>
    <w:rsid w:val="06C1CD2B"/>
    <w:rsid w:val="06C291B6"/>
    <w:rsid w:val="06C60C00"/>
    <w:rsid w:val="06C7B5A9"/>
    <w:rsid w:val="06DD09B7"/>
    <w:rsid w:val="06E234D3"/>
    <w:rsid w:val="06E2F326"/>
    <w:rsid w:val="06ED08A8"/>
    <w:rsid w:val="06EF67E1"/>
    <w:rsid w:val="06F0E1A9"/>
    <w:rsid w:val="06F8FC74"/>
    <w:rsid w:val="06FA10D3"/>
    <w:rsid w:val="06FAA4C7"/>
    <w:rsid w:val="06FE37AB"/>
    <w:rsid w:val="07075E61"/>
    <w:rsid w:val="070B4DCB"/>
    <w:rsid w:val="070EEB0E"/>
    <w:rsid w:val="07129AF4"/>
    <w:rsid w:val="071775EB"/>
    <w:rsid w:val="071A2EAA"/>
    <w:rsid w:val="072379ED"/>
    <w:rsid w:val="07256530"/>
    <w:rsid w:val="0726891D"/>
    <w:rsid w:val="07293CF7"/>
    <w:rsid w:val="072E3D15"/>
    <w:rsid w:val="0730A938"/>
    <w:rsid w:val="0735D98E"/>
    <w:rsid w:val="0738C37D"/>
    <w:rsid w:val="073DB52E"/>
    <w:rsid w:val="073E95AE"/>
    <w:rsid w:val="073F383A"/>
    <w:rsid w:val="074515A7"/>
    <w:rsid w:val="074ED5BF"/>
    <w:rsid w:val="07508A7F"/>
    <w:rsid w:val="07520846"/>
    <w:rsid w:val="0758B981"/>
    <w:rsid w:val="075C6A0C"/>
    <w:rsid w:val="07615F05"/>
    <w:rsid w:val="0765E689"/>
    <w:rsid w:val="076A1FA3"/>
    <w:rsid w:val="076AA92C"/>
    <w:rsid w:val="0771DB6A"/>
    <w:rsid w:val="07724425"/>
    <w:rsid w:val="07730E04"/>
    <w:rsid w:val="07769514"/>
    <w:rsid w:val="077B1B8A"/>
    <w:rsid w:val="077B41D8"/>
    <w:rsid w:val="077CEE24"/>
    <w:rsid w:val="077E7D1F"/>
    <w:rsid w:val="077EC859"/>
    <w:rsid w:val="07862DB2"/>
    <w:rsid w:val="078ABD8D"/>
    <w:rsid w:val="078ECB26"/>
    <w:rsid w:val="07939699"/>
    <w:rsid w:val="0796482C"/>
    <w:rsid w:val="07A27BEC"/>
    <w:rsid w:val="07A4C8E6"/>
    <w:rsid w:val="07A5B041"/>
    <w:rsid w:val="07A7AAA5"/>
    <w:rsid w:val="07AF8858"/>
    <w:rsid w:val="07B3E024"/>
    <w:rsid w:val="07B8CA77"/>
    <w:rsid w:val="07C00525"/>
    <w:rsid w:val="07C43038"/>
    <w:rsid w:val="07C741E8"/>
    <w:rsid w:val="07C82611"/>
    <w:rsid w:val="07CE9D31"/>
    <w:rsid w:val="07D4A010"/>
    <w:rsid w:val="07D872AA"/>
    <w:rsid w:val="07E44352"/>
    <w:rsid w:val="07EC3CEC"/>
    <w:rsid w:val="07EF1643"/>
    <w:rsid w:val="07F317ED"/>
    <w:rsid w:val="07F5DA7D"/>
    <w:rsid w:val="07F8D139"/>
    <w:rsid w:val="07F91253"/>
    <w:rsid w:val="07F9DD62"/>
    <w:rsid w:val="07FB15AB"/>
    <w:rsid w:val="07FC4A7D"/>
    <w:rsid w:val="07FCF9A8"/>
    <w:rsid w:val="07FF5C10"/>
    <w:rsid w:val="0801E73E"/>
    <w:rsid w:val="08033BC8"/>
    <w:rsid w:val="0803B977"/>
    <w:rsid w:val="08063FB1"/>
    <w:rsid w:val="08095DC7"/>
    <w:rsid w:val="081059FE"/>
    <w:rsid w:val="08194933"/>
    <w:rsid w:val="081A68E2"/>
    <w:rsid w:val="0826EAF1"/>
    <w:rsid w:val="0829BEC9"/>
    <w:rsid w:val="0829CA45"/>
    <w:rsid w:val="08349F98"/>
    <w:rsid w:val="0835B230"/>
    <w:rsid w:val="0835D52C"/>
    <w:rsid w:val="0836FC17"/>
    <w:rsid w:val="08385A0E"/>
    <w:rsid w:val="083A4C1C"/>
    <w:rsid w:val="083BCDD8"/>
    <w:rsid w:val="083DFE70"/>
    <w:rsid w:val="0846487B"/>
    <w:rsid w:val="084812B8"/>
    <w:rsid w:val="084AEB64"/>
    <w:rsid w:val="0853E490"/>
    <w:rsid w:val="0858B729"/>
    <w:rsid w:val="0863679B"/>
    <w:rsid w:val="0864A3AE"/>
    <w:rsid w:val="086A60ED"/>
    <w:rsid w:val="086EFD45"/>
    <w:rsid w:val="086F963E"/>
    <w:rsid w:val="0876200F"/>
    <w:rsid w:val="08783FB9"/>
    <w:rsid w:val="087B8DDE"/>
    <w:rsid w:val="08858192"/>
    <w:rsid w:val="08872BDE"/>
    <w:rsid w:val="0887EA6B"/>
    <w:rsid w:val="0889F54C"/>
    <w:rsid w:val="088AE231"/>
    <w:rsid w:val="088F0C9F"/>
    <w:rsid w:val="088F5316"/>
    <w:rsid w:val="088F5BD5"/>
    <w:rsid w:val="089AC9D0"/>
    <w:rsid w:val="089E77C7"/>
    <w:rsid w:val="08A2B0EA"/>
    <w:rsid w:val="08A37111"/>
    <w:rsid w:val="08A8B83F"/>
    <w:rsid w:val="08B13FAD"/>
    <w:rsid w:val="08B1B83B"/>
    <w:rsid w:val="08B35BCC"/>
    <w:rsid w:val="08B3B661"/>
    <w:rsid w:val="08B684FB"/>
    <w:rsid w:val="08B6AC00"/>
    <w:rsid w:val="08B94F6B"/>
    <w:rsid w:val="08BAB144"/>
    <w:rsid w:val="08BE2852"/>
    <w:rsid w:val="08C05DDF"/>
    <w:rsid w:val="08C731B5"/>
    <w:rsid w:val="08C75F28"/>
    <w:rsid w:val="08C78CCC"/>
    <w:rsid w:val="08CB7829"/>
    <w:rsid w:val="08CFA0A5"/>
    <w:rsid w:val="08CFDCAD"/>
    <w:rsid w:val="08D0F3CF"/>
    <w:rsid w:val="08D0FFDC"/>
    <w:rsid w:val="08DAC4A1"/>
    <w:rsid w:val="08DDDEB7"/>
    <w:rsid w:val="08E675DD"/>
    <w:rsid w:val="08E6BFF1"/>
    <w:rsid w:val="08E86BDB"/>
    <w:rsid w:val="08E97CE8"/>
    <w:rsid w:val="08EA875D"/>
    <w:rsid w:val="08ED97FB"/>
    <w:rsid w:val="08EFF46B"/>
    <w:rsid w:val="08F509A0"/>
    <w:rsid w:val="08F7A686"/>
    <w:rsid w:val="08F95C39"/>
    <w:rsid w:val="08FA205B"/>
    <w:rsid w:val="08FC6541"/>
    <w:rsid w:val="09068456"/>
    <w:rsid w:val="0907FA37"/>
    <w:rsid w:val="090C6F26"/>
    <w:rsid w:val="090CD6D6"/>
    <w:rsid w:val="091014E7"/>
    <w:rsid w:val="09102835"/>
    <w:rsid w:val="0910D3EA"/>
    <w:rsid w:val="0914D888"/>
    <w:rsid w:val="091F04B8"/>
    <w:rsid w:val="091FBBFE"/>
    <w:rsid w:val="09231DB6"/>
    <w:rsid w:val="09236347"/>
    <w:rsid w:val="092471A9"/>
    <w:rsid w:val="0925A545"/>
    <w:rsid w:val="0929A6C0"/>
    <w:rsid w:val="092DDB71"/>
    <w:rsid w:val="0931E48D"/>
    <w:rsid w:val="0933AC9F"/>
    <w:rsid w:val="093BD8B6"/>
    <w:rsid w:val="093BDC68"/>
    <w:rsid w:val="094140B4"/>
    <w:rsid w:val="0944B627"/>
    <w:rsid w:val="09471DA8"/>
    <w:rsid w:val="0947386A"/>
    <w:rsid w:val="094B9F13"/>
    <w:rsid w:val="0952CE5E"/>
    <w:rsid w:val="095663F5"/>
    <w:rsid w:val="0957255B"/>
    <w:rsid w:val="095888B2"/>
    <w:rsid w:val="095CBE94"/>
    <w:rsid w:val="0965DE8B"/>
    <w:rsid w:val="0967BE02"/>
    <w:rsid w:val="096985CF"/>
    <w:rsid w:val="096CA36F"/>
    <w:rsid w:val="09704D90"/>
    <w:rsid w:val="0970D8F8"/>
    <w:rsid w:val="0972F793"/>
    <w:rsid w:val="0973CD73"/>
    <w:rsid w:val="0982E042"/>
    <w:rsid w:val="098A8E3D"/>
    <w:rsid w:val="098F8E53"/>
    <w:rsid w:val="09916463"/>
    <w:rsid w:val="0993E1A8"/>
    <w:rsid w:val="09941EF9"/>
    <w:rsid w:val="0994FA0C"/>
    <w:rsid w:val="09977F01"/>
    <w:rsid w:val="09990EC0"/>
    <w:rsid w:val="099AA114"/>
    <w:rsid w:val="099E7078"/>
    <w:rsid w:val="099E7D6A"/>
    <w:rsid w:val="09A008CF"/>
    <w:rsid w:val="09A0FCD9"/>
    <w:rsid w:val="09A28B13"/>
    <w:rsid w:val="09A430E6"/>
    <w:rsid w:val="09A4C956"/>
    <w:rsid w:val="09A5CF34"/>
    <w:rsid w:val="09A710C7"/>
    <w:rsid w:val="09A7B75E"/>
    <w:rsid w:val="09A83BAD"/>
    <w:rsid w:val="09AE7216"/>
    <w:rsid w:val="09B075AD"/>
    <w:rsid w:val="09B65D6E"/>
    <w:rsid w:val="09B6DE37"/>
    <w:rsid w:val="09BA0D02"/>
    <w:rsid w:val="09BB38B7"/>
    <w:rsid w:val="09BCF520"/>
    <w:rsid w:val="09BDAC31"/>
    <w:rsid w:val="09C6BC7F"/>
    <w:rsid w:val="09C6DDB5"/>
    <w:rsid w:val="09CA15B1"/>
    <w:rsid w:val="09CA5357"/>
    <w:rsid w:val="09D21389"/>
    <w:rsid w:val="09D5BCF1"/>
    <w:rsid w:val="09DD64F9"/>
    <w:rsid w:val="09DE6E7E"/>
    <w:rsid w:val="09E18283"/>
    <w:rsid w:val="09E403F5"/>
    <w:rsid w:val="09EAF1F6"/>
    <w:rsid w:val="09EF987F"/>
    <w:rsid w:val="09F250FD"/>
    <w:rsid w:val="09F810CE"/>
    <w:rsid w:val="09F9F7A5"/>
    <w:rsid w:val="09FA7BE8"/>
    <w:rsid w:val="09FB2364"/>
    <w:rsid w:val="09FDDC83"/>
    <w:rsid w:val="0A02ECCE"/>
    <w:rsid w:val="0A035B89"/>
    <w:rsid w:val="0A043C14"/>
    <w:rsid w:val="0A0849BC"/>
    <w:rsid w:val="0A19A8F0"/>
    <w:rsid w:val="0A1C08BA"/>
    <w:rsid w:val="0A231B55"/>
    <w:rsid w:val="0A2340F9"/>
    <w:rsid w:val="0A255B01"/>
    <w:rsid w:val="0A288324"/>
    <w:rsid w:val="0A2C8C26"/>
    <w:rsid w:val="0A2CB26B"/>
    <w:rsid w:val="0A2E4324"/>
    <w:rsid w:val="0A3208F2"/>
    <w:rsid w:val="0A35F2C5"/>
    <w:rsid w:val="0A38EF9E"/>
    <w:rsid w:val="0A3FAEE2"/>
    <w:rsid w:val="0A407AB6"/>
    <w:rsid w:val="0A408F95"/>
    <w:rsid w:val="0A527565"/>
    <w:rsid w:val="0A559143"/>
    <w:rsid w:val="0A5BFABB"/>
    <w:rsid w:val="0A5CB61F"/>
    <w:rsid w:val="0A6325EB"/>
    <w:rsid w:val="0A6B00D9"/>
    <w:rsid w:val="0A6F93DD"/>
    <w:rsid w:val="0A70643F"/>
    <w:rsid w:val="0A74BC0C"/>
    <w:rsid w:val="0A76568D"/>
    <w:rsid w:val="0A774E7F"/>
    <w:rsid w:val="0A799C08"/>
    <w:rsid w:val="0A79E5CC"/>
    <w:rsid w:val="0A7C96A3"/>
    <w:rsid w:val="0A7D2EFA"/>
    <w:rsid w:val="0A7F46AA"/>
    <w:rsid w:val="0A812043"/>
    <w:rsid w:val="0A8266B7"/>
    <w:rsid w:val="0A84FE10"/>
    <w:rsid w:val="0A8FC583"/>
    <w:rsid w:val="0A940615"/>
    <w:rsid w:val="0A957AED"/>
    <w:rsid w:val="0AA1076C"/>
    <w:rsid w:val="0AA359E4"/>
    <w:rsid w:val="0AA48762"/>
    <w:rsid w:val="0AA64924"/>
    <w:rsid w:val="0AA7EEDB"/>
    <w:rsid w:val="0AA83A2C"/>
    <w:rsid w:val="0AAAD641"/>
    <w:rsid w:val="0AAD262A"/>
    <w:rsid w:val="0AAE3AEE"/>
    <w:rsid w:val="0AB0E0EA"/>
    <w:rsid w:val="0AB510A5"/>
    <w:rsid w:val="0AB86DC0"/>
    <w:rsid w:val="0ABAD3A8"/>
    <w:rsid w:val="0ABEB875"/>
    <w:rsid w:val="0AC39522"/>
    <w:rsid w:val="0AC3B810"/>
    <w:rsid w:val="0AC3F641"/>
    <w:rsid w:val="0AC57721"/>
    <w:rsid w:val="0AC9EBD1"/>
    <w:rsid w:val="0ACD0DF2"/>
    <w:rsid w:val="0ACE7494"/>
    <w:rsid w:val="0AD1177D"/>
    <w:rsid w:val="0AD3F15B"/>
    <w:rsid w:val="0AD5818C"/>
    <w:rsid w:val="0ADDB7E7"/>
    <w:rsid w:val="0ADEE39E"/>
    <w:rsid w:val="0AE1A22B"/>
    <w:rsid w:val="0AE1C2B3"/>
    <w:rsid w:val="0AEB5880"/>
    <w:rsid w:val="0AF2D65B"/>
    <w:rsid w:val="0AF53CD8"/>
    <w:rsid w:val="0AFA0946"/>
    <w:rsid w:val="0AFA6B2C"/>
    <w:rsid w:val="0AFBF75B"/>
    <w:rsid w:val="0AFD483F"/>
    <w:rsid w:val="0AFE1161"/>
    <w:rsid w:val="0AFEB366"/>
    <w:rsid w:val="0B00C8C5"/>
    <w:rsid w:val="0B01AECC"/>
    <w:rsid w:val="0B086118"/>
    <w:rsid w:val="0B0A8EC8"/>
    <w:rsid w:val="0B0ECB3F"/>
    <w:rsid w:val="0B0F661A"/>
    <w:rsid w:val="0B15ACEB"/>
    <w:rsid w:val="0B17F2DA"/>
    <w:rsid w:val="0B1AB466"/>
    <w:rsid w:val="0B1AE840"/>
    <w:rsid w:val="0B1BE9FF"/>
    <w:rsid w:val="0B22A2EA"/>
    <w:rsid w:val="0B2617F4"/>
    <w:rsid w:val="0B28B91F"/>
    <w:rsid w:val="0B2C1C11"/>
    <w:rsid w:val="0B2EA08A"/>
    <w:rsid w:val="0B3189B3"/>
    <w:rsid w:val="0B32010F"/>
    <w:rsid w:val="0B32940E"/>
    <w:rsid w:val="0B367255"/>
    <w:rsid w:val="0B375F8D"/>
    <w:rsid w:val="0B38D650"/>
    <w:rsid w:val="0B3C643A"/>
    <w:rsid w:val="0B3C8536"/>
    <w:rsid w:val="0B4EA6BD"/>
    <w:rsid w:val="0B57EC54"/>
    <w:rsid w:val="0B5E7B91"/>
    <w:rsid w:val="0B64464E"/>
    <w:rsid w:val="0B72F08B"/>
    <w:rsid w:val="0B7985F8"/>
    <w:rsid w:val="0B7A5838"/>
    <w:rsid w:val="0B7D97A1"/>
    <w:rsid w:val="0B7FCECC"/>
    <w:rsid w:val="0B832ED4"/>
    <w:rsid w:val="0B87C555"/>
    <w:rsid w:val="0B8E67D0"/>
    <w:rsid w:val="0B9044FB"/>
    <w:rsid w:val="0B96F031"/>
    <w:rsid w:val="0B98576A"/>
    <w:rsid w:val="0B9877C8"/>
    <w:rsid w:val="0B9BD44D"/>
    <w:rsid w:val="0BA03198"/>
    <w:rsid w:val="0BA27B45"/>
    <w:rsid w:val="0BA31A02"/>
    <w:rsid w:val="0BA360C3"/>
    <w:rsid w:val="0BA69701"/>
    <w:rsid w:val="0BA7F52D"/>
    <w:rsid w:val="0BA97310"/>
    <w:rsid w:val="0BAD2636"/>
    <w:rsid w:val="0BAD5DA9"/>
    <w:rsid w:val="0BB22ECD"/>
    <w:rsid w:val="0BB3E58B"/>
    <w:rsid w:val="0BC46514"/>
    <w:rsid w:val="0BC91FF6"/>
    <w:rsid w:val="0BCB38EC"/>
    <w:rsid w:val="0BD1811C"/>
    <w:rsid w:val="0BD8AD8D"/>
    <w:rsid w:val="0BDBE8B6"/>
    <w:rsid w:val="0BDF06A1"/>
    <w:rsid w:val="0BE4DFC8"/>
    <w:rsid w:val="0BE54196"/>
    <w:rsid w:val="0BE5EBC2"/>
    <w:rsid w:val="0BE9AE4A"/>
    <w:rsid w:val="0BEE28AB"/>
    <w:rsid w:val="0BEFAC16"/>
    <w:rsid w:val="0BEFC8EE"/>
    <w:rsid w:val="0BF030A2"/>
    <w:rsid w:val="0BF12E27"/>
    <w:rsid w:val="0BF4EEC5"/>
    <w:rsid w:val="0BF70070"/>
    <w:rsid w:val="0C0AA016"/>
    <w:rsid w:val="0C11809A"/>
    <w:rsid w:val="0C16120B"/>
    <w:rsid w:val="0C164B65"/>
    <w:rsid w:val="0C193EC1"/>
    <w:rsid w:val="0C1DD1C2"/>
    <w:rsid w:val="0C1FC16A"/>
    <w:rsid w:val="0C202081"/>
    <w:rsid w:val="0C20B275"/>
    <w:rsid w:val="0C20D66F"/>
    <w:rsid w:val="0C2AE493"/>
    <w:rsid w:val="0C2E476E"/>
    <w:rsid w:val="0C2E51F3"/>
    <w:rsid w:val="0C2E877F"/>
    <w:rsid w:val="0C2EE1A5"/>
    <w:rsid w:val="0C34708A"/>
    <w:rsid w:val="0C3A42AC"/>
    <w:rsid w:val="0C3ACEB6"/>
    <w:rsid w:val="0C3C40ED"/>
    <w:rsid w:val="0C3D248F"/>
    <w:rsid w:val="0C43E9E6"/>
    <w:rsid w:val="0C495357"/>
    <w:rsid w:val="0C4A9837"/>
    <w:rsid w:val="0C4C60AC"/>
    <w:rsid w:val="0C4F2B2B"/>
    <w:rsid w:val="0C50FBA9"/>
    <w:rsid w:val="0C52A6F9"/>
    <w:rsid w:val="0C58BE59"/>
    <w:rsid w:val="0C5A12A2"/>
    <w:rsid w:val="0C6235F6"/>
    <w:rsid w:val="0C63B024"/>
    <w:rsid w:val="0C67CB38"/>
    <w:rsid w:val="0C6CF669"/>
    <w:rsid w:val="0C704812"/>
    <w:rsid w:val="0C728CA6"/>
    <w:rsid w:val="0C79ACD9"/>
    <w:rsid w:val="0C7D25E4"/>
    <w:rsid w:val="0C7F269B"/>
    <w:rsid w:val="0C804619"/>
    <w:rsid w:val="0C82AF26"/>
    <w:rsid w:val="0C845C2B"/>
    <w:rsid w:val="0C84E3C3"/>
    <w:rsid w:val="0C8B14EC"/>
    <w:rsid w:val="0C8D3805"/>
    <w:rsid w:val="0C90577B"/>
    <w:rsid w:val="0C90A119"/>
    <w:rsid w:val="0C91C7A0"/>
    <w:rsid w:val="0C92BE3A"/>
    <w:rsid w:val="0C9F0008"/>
    <w:rsid w:val="0CA23A42"/>
    <w:rsid w:val="0CA34BCA"/>
    <w:rsid w:val="0CA44B22"/>
    <w:rsid w:val="0CA6FC67"/>
    <w:rsid w:val="0CA7EE52"/>
    <w:rsid w:val="0CB99923"/>
    <w:rsid w:val="0CC48027"/>
    <w:rsid w:val="0CC5D1D6"/>
    <w:rsid w:val="0CC7DD26"/>
    <w:rsid w:val="0CCA69A3"/>
    <w:rsid w:val="0CCDA212"/>
    <w:rsid w:val="0CCDD824"/>
    <w:rsid w:val="0CD3ACB4"/>
    <w:rsid w:val="0CD5D36A"/>
    <w:rsid w:val="0CDC2526"/>
    <w:rsid w:val="0CDD03C8"/>
    <w:rsid w:val="0CDEED05"/>
    <w:rsid w:val="0CE4F96D"/>
    <w:rsid w:val="0CF3339D"/>
    <w:rsid w:val="0CF69D9E"/>
    <w:rsid w:val="0CF811C3"/>
    <w:rsid w:val="0CFB97D3"/>
    <w:rsid w:val="0D01D743"/>
    <w:rsid w:val="0D03BD86"/>
    <w:rsid w:val="0D03D87B"/>
    <w:rsid w:val="0D04ABBE"/>
    <w:rsid w:val="0D06FF90"/>
    <w:rsid w:val="0D077F13"/>
    <w:rsid w:val="0D08FDB7"/>
    <w:rsid w:val="0D0E6BCF"/>
    <w:rsid w:val="0D10D649"/>
    <w:rsid w:val="0D19CC12"/>
    <w:rsid w:val="0D1AE627"/>
    <w:rsid w:val="0D202C39"/>
    <w:rsid w:val="0D2293A2"/>
    <w:rsid w:val="0D2395B6"/>
    <w:rsid w:val="0D256906"/>
    <w:rsid w:val="0D29C118"/>
    <w:rsid w:val="0D2AC741"/>
    <w:rsid w:val="0D2E2AC6"/>
    <w:rsid w:val="0D383DDD"/>
    <w:rsid w:val="0D3B8CF9"/>
    <w:rsid w:val="0D3BF3D7"/>
    <w:rsid w:val="0D3C9FCC"/>
    <w:rsid w:val="0D447FC0"/>
    <w:rsid w:val="0D44D476"/>
    <w:rsid w:val="0D4B9DEE"/>
    <w:rsid w:val="0D4BEC83"/>
    <w:rsid w:val="0D4D6172"/>
    <w:rsid w:val="0D541DE7"/>
    <w:rsid w:val="0D5A7BF4"/>
    <w:rsid w:val="0D5AC286"/>
    <w:rsid w:val="0D5D4B1A"/>
    <w:rsid w:val="0D5D66E0"/>
    <w:rsid w:val="0D5E448B"/>
    <w:rsid w:val="0D60C145"/>
    <w:rsid w:val="0D72FE8F"/>
    <w:rsid w:val="0D7944BC"/>
    <w:rsid w:val="0D7C4B72"/>
    <w:rsid w:val="0D7D75CE"/>
    <w:rsid w:val="0D7EFD28"/>
    <w:rsid w:val="0D83735E"/>
    <w:rsid w:val="0D8405A1"/>
    <w:rsid w:val="0D8B44D7"/>
    <w:rsid w:val="0D8CDDAB"/>
    <w:rsid w:val="0D953863"/>
    <w:rsid w:val="0D96A59D"/>
    <w:rsid w:val="0D9AD2EC"/>
    <w:rsid w:val="0D9D2F9F"/>
    <w:rsid w:val="0D9E0E19"/>
    <w:rsid w:val="0D9F29FB"/>
    <w:rsid w:val="0DA05414"/>
    <w:rsid w:val="0DA09348"/>
    <w:rsid w:val="0DA80501"/>
    <w:rsid w:val="0DAD083C"/>
    <w:rsid w:val="0DAEF9B4"/>
    <w:rsid w:val="0DB0D4CA"/>
    <w:rsid w:val="0DB34635"/>
    <w:rsid w:val="0DB63BAF"/>
    <w:rsid w:val="0DB94BE6"/>
    <w:rsid w:val="0DBACD7E"/>
    <w:rsid w:val="0DC2451E"/>
    <w:rsid w:val="0DC2CA9A"/>
    <w:rsid w:val="0DC56D8A"/>
    <w:rsid w:val="0DCC8068"/>
    <w:rsid w:val="0DCC933D"/>
    <w:rsid w:val="0DCDCB98"/>
    <w:rsid w:val="0DCF07A7"/>
    <w:rsid w:val="0DD70AC4"/>
    <w:rsid w:val="0DD93014"/>
    <w:rsid w:val="0DDD708D"/>
    <w:rsid w:val="0DE42543"/>
    <w:rsid w:val="0DE4729B"/>
    <w:rsid w:val="0DE49C23"/>
    <w:rsid w:val="0DE98C7E"/>
    <w:rsid w:val="0DEAEB13"/>
    <w:rsid w:val="0DEE6D4B"/>
    <w:rsid w:val="0DF07D02"/>
    <w:rsid w:val="0DF19337"/>
    <w:rsid w:val="0DF23992"/>
    <w:rsid w:val="0DF524D9"/>
    <w:rsid w:val="0E005548"/>
    <w:rsid w:val="0E0200B1"/>
    <w:rsid w:val="0E041576"/>
    <w:rsid w:val="0E0A4EDE"/>
    <w:rsid w:val="0E0E43A9"/>
    <w:rsid w:val="0E161308"/>
    <w:rsid w:val="0E198648"/>
    <w:rsid w:val="0E19EFCE"/>
    <w:rsid w:val="0E1C668B"/>
    <w:rsid w:val="0E208091"/>
    <w:rsid w:val="0E26B2C4"/>
    <w:rsid w:val="0E29B341"/>
    <w:rsid w:val="0E2C5369"/>
    <w:rsid w:val="0E2CECB9"/>
    <w:rsid w:val="0E2D43D2"/>
    <w:rsid w:val="0E30AE4D"/>
    <w:rsid w:val="0E316228"/>
    <w:rsid w:val="0E3984EB"/>
    <w:rsid w:val="0E3A0588"/>
    <w:rsid w:val="0E3B7C79"/>
    <w:rsid w:val="0E3E1EF1"/>
    <w:rsid w:val="0E3EFFA0"/>
    <w:rsid w:val="0E425C6F"/>
    <w:rsid w:val="0E48DD02"/>
    <w:rsid w:val="0E4C7A6D"/>
    <w:rsid w:val="0E4E63B3"/>
    <w:rsid w:val="0E520DAD"/>
    <w:rsid w:val="0E56FFD0"/>
    <w:rsid w:val="0E5FA180"/>
    <w:rsid w:val="0E645F93"/>
    <w:rsid w:val="0E6794E7"/>
    <w:rsid w:val="0E6CC968"/>
    <w:rsid w:val="0E7C4CDE"/>
    <w:rsid w:val="0E9A74ED"/>
    <w:rsid w:val="0E9E186D"/>
    <w:rsid w:val="0EA3329C"/>
    <w:rsid w:val="0EAD4497"/>
    <w:rsid w:val="0EADBB65"/>
    <w:rsid w:val="0EAF6BB3"/>
    <w:rsid w:val="0EB43E77"/>
    <w:rsid w:val="0EC0C0E8"/>
    <w:rsid w:val="0EC30C50"/>
    <w:rsid w:val="0EC35C58"/>
    <w:rsid w:val="0EC56FA8"/>
    <w:rsid w:val="0EC7434C"/>
    <w:rsid w:val="0ECCA861"/>
    <w:rsid w:val="0ECE1E7C"/>
    <w:rsid w:val="0ED3E12D"/>
    <w:rsid w:val="0ED632EE"/>
    <w:rsid w:val="0ED747E8"/>
    <w:rsid w:val="0ED8C3B4"/>
    <w:rsid w:val="0ED95EB5"/>
    <w:rsid w:val="0ED9F1A2"/>
    <w:rsid w:val="0EDE37C3"/>
    <w:rsid w:val="0EDF8340"/>
    <w:rsid w:val="0EE69756"/>
    <w:rsid w:val="0EE6FA8D"/>
    <w:rsid w:val="0EEBFAD7"/>
    <w:rsid w:val="0EF2DF1F"/>
    <w:rsid w:val="0EF52948"/>
    <w:rsid w:val="0EF6D7B8"/>
    <w:rsid w:val="0EFC770A"/>
    <w:rsid w:val="0EFEF489"/>
    <w:rsid w:val="0EFF0F29"/>
    <w:rsid w:val="0F01D722"/>
    <w:rsid w:val="0F03821B"/>
    <w:rsid w:val="0F08D765"/>
    <w:rsid w:val="0F102866"/>
    <w:rsid w:val="0F146232"/>
    <w:rsid w:val="0F196405"/>
    <w:rsid w:val="0F1D6596"/>
    <w:rsid w:val="0F1E02B1"/>
    <w:rsid w:val="0F2260B6"/>
    <w:rsid w:val="0F2515CE"/>
    <w:rsid w:val="0F2A3780"/>
    <w:rsid w:val="0F2C6235"/>
    <w:rsid w:val="0F2D424B"/>
    <w:rsid w:val="0F2FE245"/>
    <w:rsid w:val="0F380C60"/>
    <w:rsid w:val="0F3CC3A8"/>
    <w:rsid w:val="0F3CFF67"/>
    <w:rsid w:val="0F3E1436"/>
    <w:rsid w:val="0F3FC17E"/>
    <w:rsid w:val="0F40FD4B"/>
    <w:rsid w:val="0F43D562"/>
    <w:rsid w:val="0F4447A7"/>
    <w:rsid w:val="0F4AD417"/>
    <w:rsid w:val="0F4C95DB"/>
    <w:rsid w:val="0F52DC94"/>
    <w:rsid w:val="0F532CA9"/>
    <w:rsid w:val="0F55648F"/>
    <w:rsid w:val="0F59E208"/>
    <w:rsid w:val="0F5DCB86"/>
    <w:rsid w:val="0F6032F9"/>
    <w:rsid w:val="0F63456C"/>
    <w:rsid w:val="0F63EAE8"/>
    <w:rsid w:val="0F64238D"/>
    <w:rsid w:val="0F6639D0"/>
    <w:rsid w:val="0F679574"/>
    <w:rsid w:val="0F69A518"/>
    <w:rsid w:val="0F76FC78"/>
    <w:rsid w:val="0F7FCC86"/>
    <w:rsid w:val="0F85912A"/>
    <w:rsid w:val="0F8AB09E"/>
    <w:rsid w:val="0F8BAD60"/>
    <w:rsid w:val="0F8FFD6C"/>
    <w:rsid w:val="0F942BF7"/>
    <w:rsid w:val="0F947973"/>
    <w:rsid w:val="0F96C9C8"/>
    <w:rsid w:val="0F981726"/>
    <w:rsid w:val="0F9B874B"/>
    <w:rsid w:val="0F9F1876"/>
    <w:rsid w:val="0FA583B4"/>
    <w:rsid w:val="0FA5D672"/>
    <w:rsid w:val="0FA751F3"/>
    <w:rsid w:val="0FA8F2AF"/>
    <w:rsid w:val="0FAB8E85"/>
    <w:rsid w:val="0FAC8BBD"/>
    <w:rsid w:val="0FAE4E30"/>
    <w:rsid w:val="0FB09DB4"/>
    <w:rsid w:val="0FBA035E"/>
    <w:rsid w:val="0FC19AAC"/>
    <w:rsid w:val="0FC361CD"/>
    <w:rsid w:val="0FC57D2C"/>
    <w:rsid w:val="0FC83805"/>
    <w:rsid w:val="0FCEB6AF"/>
    <w:rsid w:val="0FD03C2C"/>
    <w:rsid w:val="0FD8B540"/>
    <w:rsid w:val="0FD9A5C8"/>
    <w:rsid w:val="0FDA0E82"/>
    <w:rsid w:val="0FDAA5FA"/>
    <w:rsid w:val="0FE13965"/>
    <w:rsid w:val="0FE19CC9"/>
    <w:rsid w:val="0FE78B37"/>
    <w:rsid w:val="0FEACC26"/>
    <w:rsid w:val="0FEB1C9F"/>
    <w:rsid w:val="0FEC13A2"/>
    <w:rsid w:val="0FEC52CA"/>
    <w:rsid w:val="0FF1C1A3"/>
    <w:rsid w:val="0FF7CA77"/>
    <w:rsid w:val="0FF8A4F3"/>
    <w:rsid w:val="0FF9724D"/>
    <w:rsid w:val="0FFA7BFE"/>
    <w:rsid w:val="0FFD55CE"/>
    <w:rsid w:val="0FFDE994"/>
    <w:rsid w:val="0FFF154B"/>
    <w:rsid w:val="1000F02E"/>
    <w:rsid w:val="10035064"/>
    <w:rsid w:val="100D3910"/>
    <w:rsid w:val="101374D7"/>
    <w:rsid w:val="101412B9"/>
    <w:rsid w:val="1018515F"/>
    <w:rsid w:val="1019C9D3"/>
    <w:rsid w:val="101AB17C"/>
    <w:rsid w:val="101C0619"/>
    <w:rsid w:val="101CB308"/>
    <w:rsid w:val="1022B756"/>
    <w:rsid w:val="1026D907"/>
    <w:rsid w:val="10283EC8"/>
    <w:rsid w:val="10296B0D"/>
    <w:rsid w:val="102C34F8"/>
    <w:rsid w:val="102DDAC7"/>
    <w:rsid w:val="103020AE"/>
    <w:rsid w:val="1035873E"/>
    <w:rsid w:val="1036EAB5"/>
    <w:rsid w:val="10379BF1"/>
    <w:rsid w:val="1038B9E5"/>
    <w:rsid w:val="103F7760"/>
    <w:rsid w:val="104187A7"/>
    <w:rsid w:val="10445C0B"/>
    <w:rsid w:val="10492330"/>
    <w:rsid w:val="104D2895"/>
    <w:rsid w:val="104FB890"/>
    <w:rsid w:val="1056465A"/>
    <w:rsid w:val="1068F354"/>
    <w:rsid w:val="106C673D"/>
    <w:rsid w:val="1071031B"/>
    <w:rsid w:val="10738A7A"/>
    <w:rsid w:val="10747058"/>
    <w:rsid w:val="10786505"/>
    <w:rsid w:val="107F9946"/>
    <w:rsid w:val="10804D02"/>
    <w:rsid w:val="10813D7D"/>
    <w:rsid w:val="1088D5C6"/>
    <w:rsid w:val="1089FDC9"/>
    <w:rsid w:val="108A8647"/>
    <w:rsid w:val="108C36FF"/>
    <w:rsid w:val="10945E27"/>
    <w:rsid w:val="10965039"/>
    <w:rsid w:val="109DBDCE"/>
    <w:rsid w:val="10A3B2EE"/>
    <w:rsid w:val="10A4A7C6"/>
    <w:rsid w:val="10AE4A48"/>
    <w:rsid w:val="10B1217D"/>
    <w:rsid w:val="10BDC39E"/>
    <w:rsid w:val="10BE7EBA"/>
    <w:rsid w:val="10BF78E7"/>
    <w:rsid w:val="10C2806E"/>
    <w:rsid w:val="10C6A2F8"/>
    <w:rsid w:val="10C97741"/>
    <w:rsid w:val="10CBF448"/>
    <w:rsid w:val="10CF734A"/>
    <w:rsid w:val="10D67A38"/>
    <w:rsid w:val="10DD582C"/>
    <w:rsid w:val="10DF34FA"/>
    <w:rsid w:val="10E3624E"/>
    <w:rsid w:val="10E46E7C"/>
    <w:rsid w:val="10E5CF42"/>
    <w:rsid w:val="10E71B8F"/>
    <w:rsid w:val="10EE1FC0"/>
    <w:rsid w:val="10F668A8"/>
    <w:rsid w:val="10F7D8E8"/>
    <w:rsid w:val="1104D261"/>
    <w:rsid w:val="11070530"/>
    <w:rsid w:val="110F0AF4"/>
    <w:rsid w:val="1111B5D5"/>
    <w:rsid w:val="1112E5FB"/>
    <w:rsid w:val="1113126C"/>
    <w:rsid w:val="1116BF9E"/>
    <w:rsid w:val="1118B74A"/>
    <w:rsid w:val="111C348C"/>
    <w:rsid w:val="11250906"/>
    <w:rsid w:val="112A71E8"/>
    <w:rsid w:val="112C5776"/>
    <w:rsid w:val="1130D193"/>
    <w:rsid w:val="11342C77"/>
    <w:rsid w:val="113556D7"/>
    <w:rsid w:val="1137E468"/>
    <w:rsid w:val="113A1310"/>
    <w:rsid w:val="114109A4"/>
    <w:rsid w:val="11416C11"/>
    <w:rsid w:val="11477541"/>
    <w:rsid w:val="1147FD45"/>
    <w:rsid w:val="114A7713"/>
    <w:rsid w:val="114F3586"/>
    <w:rsid w:val="114F80C0"/>
    <w:rsid w:val="114FACCE"/>
    <w:rsid w:val="11581872"/>
    <w:rsid w:val="115820A4"/>
    <w:rsid w:val="115BACA5"/>
    <w:rsid w:val="115DCD49"/>
    <w:rsid w:val="11607016"/>
    <w:rsid w:val="11619022"/>
    <w:rsid w:val="1162936D"/>
    <w:rsid w:val="116527FF"/>
    <w:rsid w:val="1168E60F"/>
    <w:rsid w:val="11692CA8"/>
    <w:rsid w:val="116F2FB6"/>
    <w:rsid w:val="11715395"/>
    <w:rsid w:val="1172A8E1"/>
    <w:rsid w:val="11753847"/>
    <w:rsid w:val="11784B3C"/>
    <w:rsid w:val="1178C9F7"/>
    <w:rsid w:val="117D2EA8"/>
    <w:rsid w:val="1181C3BC"/>
    <w:rsid w:val="118BD55E"/>
    <w:rsid w:val="1190AFE1"/>
    <w:rsid w:val="11910E38"/>
    <w:rsid w:val="11960F69"/>
    <w:rsid w:val="11A57AD5"/>
    <w:rsid w:val="11A6991B"/>
    <w:rsid w:val="11AD6AA6"/>
    <w:rsid w:val="11AEA55E"/>
    <w:rsid w:val="11B081D8"/>
    <w:rsid w:val="11B49E64"/>
    <w:rsid w:val="11B53D21"/>
    <w:rsid w:val="11B75667"/>
    <w:rsid w:val="11BBAB42"/>
    <w:rsid w:val="11BC3182"/>
    <w:rsid w:val="11BD3F71"/>
    <w:rsid w:val="11BDF6FD"/>
    <w:rsid w:val="11BE34B5"/>
    <w:rsid w:val="11C73F65"/>
    <w:rsid w:val="11D066AB"/>
    <w:rsid w:val="11D544E7"/>
    <w:rsid w:val="11D7311C"/>
    <w:rsid w:val="11D79F35"/>
    <w:rsid w:val="11DA2452"/>
    <w:rsid w:val="11DD5D2F"/>
    <w:rsid w:val="11E01B50"/>
    <w:rsid w:val="11EF6067"/>
    <w:rsid w:val="11F11266"/>
    <w:rsid w:val="11F13311"/>
    <w:rsid w:val="11F13780"/>
    <w:rsid w:val="11F16EE1"/>
    <w:rsid w:val="11F3EE20"/>
    <w:rsid w:val="11F73750"/>
    <w:rsid w:val="11F84394"/>
    <w:rsid w:val="11FA3ACB"/>
    <w:rsid w:val="11FB88DE"/>
    <w:rsid w:val="11FC6628"/>
    <w:rsid w:val="11FCB10C"/>
    <w:rsid w:val="11FD39F2"/>
    <w:rsid w:val="12019BE9"/>
    <w:rsid w:val="1201EBA0"/>
    <w:rsid w:val="1205FF1F"/>
    <w:rsid w:val="12092A2D"/>
    <w:rsid w:val="120BD8D8"/>
    <w:rsid w:val="120BEE9E"/>
    <w:rsid w:val="120D36B6"/>
    <w:rsid w:val="12161B5A"/>
    <w:rsid w:val="121664D9"/>
    <w:rsid w:val="1225F7E1"/>
    <w:rsid w:val="1226A556"/>
    <w:rsid w:val="12285BA4"/>
    <w:rsid w:val="1230C788"/>
    <w:rsid w:val="12318D61"/>
    <w:rsid w:val="12354A35"/>
    <w:rsid w:val="1236163E"/>
    <w:rsid w:val="1238087A"/>
    <w:rsid w:val="1240BCCB"/>
    <w:rsid w:val="12416A90"/>
    <w:rsid w:val="1242A32E"/>
    <w:rsid w:val="1249527B"/>
    <w:rsid w:val="1249532A"/>
    <w:rsid w:val="12496F02"/>
    <w:rsid w:val="124AE5C1"/>
    <w:rsid w:val="1253D5C5"/>
    <w:rsid w:val="12564F34"/>
    <w:rsid w:val="12568436"/>
    <w:rsid w:val="125ED699"/>
    <w:rsid w:val="12651914"/>
    <w:rsid w:val="126D5160"/>
    <w:rsid w:val="12732ED4"/>
    <w:rsid w:val="12752DA1"/>
    <w:rsid w:val="1278462B"/>
    <w:rsid w:val="127A377F"/>
    <w:rsid w:val="127D1504"/>
    <w:rsid w:val="128249BE"/>
    <w:rsid w:val="128E3A65"/>
    <w:rsid w:val="1297DCB6"/>
    <w:rsid w:val="12995623"/>
    <w:rsid w:val="12996FC4"/>
    <w:rsid w:val="129BC4F4"/>
    <w:rsid w:val="12A11633"/>
    <w:rsid w:val="12A606ED"/>
    <w:rsid w:val="12A6F90D"/>
    <w:rsid w:val="12A81877"/>
    <w:rsid w:val="12AA9C72"/>
    <w:rsid w:val="12ACC31F"/>
    <w:rsid w:val="12ADB2F2"/>
    <w:rsid w:val="12AF0955"/>
    <w:rsid w:val="12B36D1A"/>
    <w:rsid w:val="12B85818"/>
    <w:rsid w:val="12D111DD"/>
    <w:rsid w:val="12D15F29"/>
    <w:rsid w:val="12DDE7B1"/>
    <w:rsid w:val="12E0ED71"/>
    <w:rsid w:val="12E1F973"/>
    <w:rsid w:val="12E2B5D0"/>
    <w:rsid w:val="12EB3505"/>
    <w:rsid w:val="12F0731B"/>
    <w:rsid w:val="12FB7015"/>
    <w:rsid w:val="13008EB2"/>
    <w:rsid w:val="130AC606"/>
    <w:rsid w:val="130D4592"/>
    <w:rsid w:val="1314E828"/>
    <w:rsid w:val="1315E1AD"/>
    <w:rsid w:val="13193C9B"/>
    <w:rsid w:val="1320A37C"/>
    <w:rsid w:val="1322B37F"/>
    <w:rsid w:val="132650FC"/>
    <w:rsid w:val="132F2975"/>
    <w:rsid w:val="1334CD24"/>
    <w:rsid w:val="13351D1C"/>
    <w:rsid w:val="13387CB7"/>
    <w:rsid w:val="13398043"/>
    <w:rsid w:val="13409B4B"/>
    <w:rsid w:val="13412D16"/>
    <w:rsid w:val="13428D18"/>
    <w:rsid w:val="1345E6C9"/>
    <w:rsid w:val="1347E418"/>
    <w:rsid w:val="134CFFA5"/>
    <w:rsid w:val="134DFC6B"/>
    <w:rsid w:val="134ED87C"/>
    <w:rsid w:val="1350B633"/>
    <w:rsid w:val="1350CBF7"/>
    <w:rsid w:val="135132BD"/>
    <w:rsid w:val="1351B238"/>
    <w:rsid w:val="13527EB8"/>
    <w:rsid w:val="1352A5F5"/>
    <w:rsid w:val="1353DC2B"/>
    <w:rsid w:val="135571A0"/>
    <w:rsid w:val="135889F4"/>
    <w:rsid w:val="135A5530"/>
    <w:rsid w:val="135AD83C"/>
    <w:rsid w:val="135C08F3"/>
    <w:rsid w:val="135F4D97"/>
    <w:rsid w:val="13610237"/>
    <w:rsid w:val="13622ED2"/>
    <w:rsid w:val="1363A228"/>
    <w:rsid w:val="13656741"/>
    <w:rsid w:val="1366A0A7"/>
    <w:rsid w:val="136EBAD1"/>
    <w:rsid w:val="136FFACA"/>
    <w:rsid w:val="13739312"/>
    <w:rsid w:val="13749E86"/>
    <w:rsid w:val="1374E1A2"/>
    <w:rsid w:val="1376A3CF"/>
    <w:rsid w:val="13779A9B"/>
    <w:rsid w:val="137AD035"/>
    <w:rsid w:val="137DFF1F"/>
    <w:rsid w:val="13890D87"/>
    <w:rsid w:val="1389D15B"/>
    <w:rsid w:val="138E72F8"/>
    <w:rsid w:val="138F3719"/>
    <w:rsid w:val="1390B783"/>
    <w:rsid w:val="1390E954"/>
    <w:rsid w:val="13911EAD"/>
    <w:rsid w:val="139B6E88"/>
    <w:rsid w:val="139BB767"/>
    <w:rsid w:val="139BF7EA"/>
    <w:rsid w:val="139E91F2"/>
    <w:rsid w:val="13A5B0B9"/>
    <w:rsid w:val="13ADF5A4"/>
    <w:rsid w:val="13AE5644"/>
    <w:rsid w:val="13AFCA0A"/>
    <w:rsid w:val="13B24912"/>
    <w:rsid w:val="13B4E4E2"/>
    <w:rsid w:val="13B9F2ED"/>
    <w:rsid w:val="13BA26B4"/>
    <w:rsid w:val="13BB9F41"/>
    <w:rsid w:val="13BC7216"/>
    <w:rsid w:val="13BE9F33"/>
    <w:rsid w:val="13C1C966"/>
    <w:rsid w:val="13C880E3"/>
    <w:rsid w:val="13C96792"/>
    <w:rsid w:val="13CB167E"/>
    <w:rsid w:val="13CC276C"/>
    <w:rsid w:val="13CF393B"/>
    <w:rsid w:val="13D04B09"/>
    <w:rsid w:val="13D26193"/>
    <w:rsid w:val="13D71A83"/>
    <w:rsid w:val="13D903D5"/>
    <w:rsid w:val="13D9DFD0"/>
    <w:rsid w:val="13E3E3AD"/>
    <w:rsid w:val="13E65F59"/>
    <w:rsid w:val="13EAD351"/>
    <w:rsid w:val="13F17E4E"/>
    <w:rsid w:val="13F96AEF"/>
    <w:rsid w:val="14018F6A"/>
    <w:rsid w:val="1404610F"/>
    <w:rsid w:val="140D0C25"/>
    <w:rsid w:val="14109983"/>
    <w:rsid w:val="1413893C"/>
    <w:rsid w:val="1414F1FB"/>
    <w:rsid w:val="141BB80B"/>
    <w:rsid w:val="141F9548"/>
    <w:rsid w:val="14223568"/>
    <w:rsid w:val="142635B3"/>
    <w:rsid w:val="142BE01D"/>
    <w:rsid w:val="142D2EB3"/>
    <w:rsid w:val="142D9618"/>
    <w:rsid w:val="142EE5C8"/>
    <w:rsid w:val="143094F4"/>
    <w:rsid w:val="14355BCE"/>
    <w:rsid w:val="1437BB40"/>
    <w:rsid w:val="1448F7AF"/>
    <w:rsid w:val="144E091C"/>
    <w:rsid w:val="144EFCDD"/>
    <w:rsid w:val="1450D295"/>
    <w:rsid w:val="1455ABDC"/>
    <w:rsid w:val="1457D226"/>
    <w:rsid w:val="145C69F4"/>
    <w:rsid w:val="14618244"/>
    <w:rsid w:val="14619BB7"/>
    <w:rsid w:val="1469540B"/>
    <w:rsid w:val="1469723E"/>
    <w:rsid w:val="1469F945"/>
    <w:rsid w:val="146B72BE"/>
    <w:rsid w:val="146EA0FD"/>
    <w:rsid w:val="147350ED"/>
    <w:rsid w:val="1474A800"/>
    <w:rsid w:val="14786CF4"/>
    <w:rsid w:val="1478AC73"/>
    <w:rsid w:val="147BB5F2"/>
    <w:rsid w:val="1481AD92"/>
    <w:rsid w:val="14834312"/>
    <w:rsid w:val="14875AFE"/>
    <w:rsid w:val="1489C12B"/>
    <w:rsid w:val="148A8786"/>
    <w:rsid w:val="148E1470"/>
    <w:rsid w:val="1492469C"/>
    <w:rsid w:val="14927636"/>
    <w:rsid w:val="1499C6D8"/>
    <w:rsid w:val="149CEC60"/>
    <w:rsid w:val="149F1911"/>
    <w:rsid w:val="14A12EE5"/>
    <w:rsid w:val="14A1FC91"/>
    <w:rsid w:val="14A29327"/>
    <w:rsid w:val="14A3B12B"/>
    <w:rsid w:val="14AB8B83"/>
    <w:rsid w:val="14AC85D3"/>
    <w:rsid w:val="14ACB29D"/>
    <w:rsid w:val="14AD44BC"/>
    <w:rsid w:val="14B1E1AF"/>
    <w:rsid w:val="14B8C634"/>
    <w:rsid w:val="14C0CCA1"/>
    <w:rsid w:val="14C2AA4A"/>
    <w:rsid w:val="14C33AF8"/>
    <w:rsid w:val="14CB1F01"/>
    <w:rsid w:val="14D1577E"/>
    <w:rsid w:val="14D32A47"/>
    <w:rsid w:val="14E3328F"/>
    <w:rsid w:val="14E686EF"/>
    <w:rsid w:val="14E7ED5A"/>
    <w:rsid w:val="14E80055"/>
    <w:rsid w:val="14E8A4AC"/>
    <w:rsid w:val="14E9DE31"/>
    <w:rsid w:val="14E9FDE6"/>
    <w:rsid w:val="14ECD467"/>
    <w:rsid w:val="14ECFB04"/>
    <w:rsid w:val="14F08C93"/>
    <w:rsid w:val="14F3780A"/>
    <w:rsid w:val="150810A4"/>
    <w:rsid w:val="151217BC"/>
    <w:rsid w:val="1512445A"/>
    <w:rsid w:val="1513486E"/>
    <w:rsid w:val="15145EAE"/>
    <w:rsid w:val="15164E6D"/>
    <w:rsid w:val="151A0B51"/>
    <w:rsid w:val="151A68F8"/>
    <w:rsid w:val="151AB73A"/>
    <w:rsid w:val="151B39C1"/>
    <w:rsid w:val="15226B1F"/>
    <w:rsid w:val="15232A03"/>
    <w:rsid w:val="15239A68"/>
    <w:rsid w:val="15271D28"/>
    <w:rsid w:val="152A81AA"/>
    <w:rsid w:val="1532D18F"/>
    <w:rsid w:val="1535F7CD"/>
    <w:rsid w:val="153ECFBF"/>
    <w:rsid w:val="153F3E12"/>
    <w:rsid w:val="15409F7A"/>
    <w:rsid w:val="1541B30C"/>
    <w:rsid w:val="1541C58F"/>
    <w:rsid w:val="15491953"/>
    <w:rsid w:val="154BE80F"/>
    <w:rsid w:val="15508335"/>
    <w:rsid w:val="1554F58C"/>
    <w:rsid w:val="155B84D2"/>
    <w:rsid w:val="155F4432"/>
    <w:rsid w:val="1563AAEA"/>
    <w:rsid w:val="1563E8FC"/>
    <w:rsid w:val="15697E33"/>
    <w:rsid w:val="156A3C58"/>
    <w:rsid w:val="156CD3AC"/>
    <w:rsid w:val="156E7630"/>
    <w:rsid w:val="156ED1D3"/>
    <w:rsid w:val="1570BBB0"/>
    <w:rsid w:val="1573C96B"/>
    <w:rsid w:val="1575B3CE"/>
    <w:rsid w:val="15769C6B"/>
    <w:rsid w:val="15776322"/>
    <w:rsid w:val="1579DFCA"/>
    <w:rsid w:val="157B5DD4"/>
    <w:rsid w:val="157EE4C2"/>
    <w:rsid w:val="1580AD61"/>
    <w:rsid w:val="1582ADAB"/>
    <w:rsid w:val="15891022"/>
    <w:rsid w:val="15977B88"/>
    <w:rsid w:val="1599691F"/>
    <w:rsid w:val="159DF735"/>
    <w:rsid w:val="15A1ABC5"/>
    <w:rsid w:val="15A62547"/>
    <w:rsid w:val="15AE1948"/>
    <w:rsid w:val="15AF5030"/>
    <w:rsid w:val="15AF9190"/>
    <w:rsid w:val="15B0B5BF"/>
    <w:rsid w:val="15B185B0"/>
    <w:rsid w:val="15B66355"/>
    <w:rsid w:val="15C301E1"/>
    <w:rsid w:val="15C6DF52"/>
    <w:rsid w:val="15C8CCCF"/>
    <w:rsid w:val="15CE3566"/>
    <w:rsid w:val="15D518F5"/>
    <w:rsid w:val="15D85E78"/>
    <w:rsid w:val="15DE13F3"/>
    <w:rsid w:val="15E3FD85"/>
    <w:rsid w:val="15E75EA3"/>
    <w:rsid w:val="15E97458"/>
    <w:rsid w:val="15E9AA1C"/>
    <w:rsid w:val="15EEB254"/>
    <w:rsid w:val="15EFA8D1"/>
    <w:rsid w:val="15F3FF80"/>
    <w:rsid w:val="15F767F3"/>
    <w:rsid w:val="15F7FCC2"/>
    <w:rsid w:val="15F853CD"/>
    <w:rsid w:val="15F8598C"/>
    <w:rsid w:val="1600168F"/>
    <w:rsid w:val="16002D31"/>
    <w:rsid w:val="1600F35D"/>
    <w:rsid w:val="1605650F"/>
    <w:rsid w:val="16057317"/>
    <w:rsid w:val="1606BAC5"/>
    <w:rsid w:val="1606E07E"/>
    <w:rsid w:val="16089877"/>
    <w:rsid w:val="160A926A"/>
    <w:rsid w:val="161744F4"/>
    <w:rsid w:val="16193E3D"/>
    <w:rsid w:val="1621447A"/>
    <w:rsid w:val="1623075C"/>
    <w:rsid w:val="162470A7"/>
    <w:rsid w:val="1625B808"/>
    <w:rsid w:val="1626D434"/>
    <w:rsid w:val="162D66AD"/>
    <w:rsid w:val="1632D877"/>
    <w:rsid w:val="1633FE91"/>
    <w:rsid w:val="1635651C"/>
    <w:rsid w:val="16357D50"/>
    <w:rsid w:val="163E6388"/>
    <w:rsid w:val="16413C3A"/>
    <w:rsid w:val="16416B12"/>
    <w:rsid w:val="1645630D"/>
    <w:rsid w:val="164ADFC3"/>
    <w:rsid w:val="164B6C01"/>
    <w:rsid w:val="164ED098"/>
    <w:rsid w:val="1650CF31"/>
    <w:rsid w:val="1656B1F8"/>
    <w:rsid w:val="1656F8F7"/>
    <w:rsid w:val="165DC455"/>
    <w:rsid w:val="16628061"/>
    <w:rsid w:val="166501E0"/>
    <w:rsid w:val="166510AF"/>
    <w:rsid w:val="166524BC"/>
    <w:rsid w:val="1665A714"/>
    <w:rsid w:val="16684C27"/>
    <w:rsid w:val="16698668"/>
    <w:rsid w:val="166D9644"/>
    <w:rsid w:val="16767A21"/>
    <w:rsid w:val="16821681"/>
    <w:rsid w:val="1685EE50"/>
    <w:rsid w:val="168B08DA"/>
    <w:rsid w:val="168D55E9"/>
    <w:rsid w:val="16924AC2"/>
    <w:rsid w:val="1693F13A"/>
    <w:rsid w:val="16998D9F"/>
    <w:rsid w:val="1699B053"/>
    <w:rsid w:val="169FE79B"/>
    <w:rsid w:val="16A12107"/>
    <w:rsid w:val="16A79B8C"/>
    <w:rsid w:val="16A99843"/>
    <w:rsid w:val="16B37D92"/>
    <w:rsid w:val="16B3B049"/>
    <w:rsid w:val="16B7C2AD"/>
    <w:rsid w:val="16B93EA9"/>
    <w:rsid w:val="16BA0AEF"/>
    <w:rsid w:val="16BCDEAF"/>
    <w:rsid w:val="16C2084D"/>
    <w:rsid w:val="16C2AA9F"/>
    <w:rsid w:val="16C2EDA6"/>
    <w:rsid w:val="16D0D1FF"/>
    <w:rsid w:val="16D2C60D"/>
    <w:rsid w:val="16D54EFD"/>
    <w:rsid w:val="16D6F8AE"/>
    <w:rsid w:val="16D7997F"/>
    <w:rsid w:val="16D97DB4"/>
    <w:rsid w:val="16DC9BA7"/>
    <w:rsid w:val="16E3C036"/>
    <w:rsid w:val="16E52D00"/>
    <w:rsid w:val="16E573E0"/>
    <w:rsid w:val="16EABDA2"/>
    <w:rsid w:val="16ED6195"/>
    <w:rsid w:val="16F41E83"/>
    <w:rsid w:val="16F42365"/>
    <w:rsid w:val="16F8C728"/>
    <w:rsid w:val="16FBDE1A"/>
    <w:rsid w:val="16FFD60F"/>
    <w:rsid w:val="1708E66C"/>
    <w:rsid w:val="170FDADE"/>
    <w:rsid w:val="17102FBC"/>
    <w:rsid w:val="1712B464"/>
    <w:rsid w:val="17155BE4"/>
    <w:rsid w:val="1717B7E1"/>
    <w:rsid w:val="1717D481"/>
    <w:rsid w:val="17189EDD"/>
    <w:rsid w:val="171D1490"/>
    <w:rsid w:val="1722C806"/>
    <w:rsid w:val="172491B1"/>
    <w:rsid w:val="1725E644"/>
    <w:rsid w:val="17264860"/>
    <w:rsid w:val="1727B37D"/>
    <w:rsid w:val="17296F04"/>
    <w:rsid w:val="1734F87E"/>
    <w:rsid w:val="17365504"/>
    <w:rsid w:val="173703B9"/>
    <w:rsid w:val="1737F762"/>
    <w:rsid w:val="173809F0"/>
    <w:rsid w:val="173B75ED"/>
    <w:rsid w:val="173C01D1"/>
    <w:rsid w:val="173EDA71"/>
    <w:rsid w:val="1740784D"/>
    <w:rsid w:val="1740D274"/>
    <w:rsid w:val="1748BF5F"/>
    <w:rsid w:val="174D25AB"/>
    <w:rsid w:val="1754794E"/>
    <w:rsid w:val="1755B688"/>
    <w:rsid w:val="1759AAC2"/>
    <w:rsid w:val="175AA593"/>
    <w:rsid w:val="175FFBB7"/>
    <w:rsid w:val="1761FF9A"/>
    <w:rsid w:val="17672277"/>
    <w:rsid w:val="17694368"/>
    <w:rsid w:val="176F31B1"/>
    <w:rsid w:val="17724126"/>
    <w:rsid w:val="17732671"/>
    <w:rsid w:val="1779620C"/>
    <w:rsid w:val="177C97D9"/>
    <w:rsid w:val="177F7F43"/>
    <w:rsid w:val="17837D38"/>
    <w:rsid w:val="17896007"/>
    <w:rsid w:val="17942550"/>
    <w:rsid w:val="179696C0"/>
    <w:rsid w:val="17987032"/>
    <w:rsid w:val="17988C30"/>
    <w:rsid w:val="17A10DFA"/>
    <w:rsid w:val="17A56E33"/>
    <w:rsid w:val="17A61716"/>
    <w:rsid w:val="17AA4296"/>
    <w:rsid w:val="17AAFDCA"/>
    <w:rsid w:val="17B08ED1"/>
    <w:rsid w:val="17B2CED0"/>
    <w:rsid w:val="17B774D8"/>
    <w:rsid w:val="17BB216A"/>
    <w:rsid w:val="17BC3DB9"/>
    <w:rsid w:val="17C079B5"/>
    <w:rsid w:val="17C8CA9E"/>
    <w:rsid w:val="17CA66CE"/>
    <w:rsid w:val="17CE3D4D"/>
    <w:rsid w:val="17CED588"/>
    <w:rsid w:val="17D071F9"/>
    <w:rsid w:val="17D0D763"/>
    <w:rsid w:val="17D1C4A9"/>
    <w:rsid w:val="17D2B2C6"/>
    <w:rsid w:val="17D6BC53"/>
    <w:rsid w:val="17DB61F0"/>
    <w:rsid w:val="17DD6E11"/>
    <w:rsid w:val="17E077AD"/>
    <w:rsid w:val="17E10F5C"/>
    <w:rsid w:val="17E348DC"/>
    <w:rsid w:val="17E3D280"/>
    <w:rsid w:val="17E71FA0"/>
    <w:rsid w:val="17EBE7BF"/>
    <w:rsid w:val="17EF5A2F"/>
    <w:rsid w:val="17F25083"/>
    <w:rsid w:val="17F4BB66"/>
    <w:rsid w:val="17F5311F"/>
    <w:rsid w:val="17F854E8"/>
    <w:rsid w:val="17FCB699"/>
    <w:rsid w:val="180BC7D9"/>
    <w:rsid w:val="180C0513"/>
    <w:rsid w:val="180C0681"/>
    <w:rsid w:val="180F67B5"/>
    <w:rsid w:val="1810648D"/>
    <w:rsid w:val="181740BE"/>
    <w:rsid w:val="1818FFBF"/>
    <w:rsid w:val="181EBEDD"/>
    <w:rsid w:val="18242B75"/>
    <w:rsid w:val="18273AA1"/>
    <w:rsid w:val="182B852B"/>
    <w:rsid w:val="182BB4B4"/>
    <w:rsid w:val="1834F235"/>
    <w:rsid w:val="183DED1B"/>
    <w:rsid w:val="183F9B98"/>
    <w:rsid w:val="18401BB8"/>
    <w:rsid w:val="18411B2A"/>
    <w:rsid w:val="1841B3C9"/>
    <w:rsid w:val="1847F83D"/>
    <w:rsid w:val="1848843E"/>
    <w:rsid w:val="184EB4BC"/>
    <w:rsid w:val="185027BD"/>
    <w:rsid w:val="185238F9"/>
    <w:rsid w:val="1854511D"/>
    <w:rsid w:val="18549CC7"/>
    <w:rsid w:val="18583B78"/>
    <w:rsid w:val="185DC94C"/>
    <w:rsid w:val="185DDDDA"/>
    <w:rsid w:val="185DEB98"/>
    <w:rsid w:val="186459D2"/>
    <w:rsid w:val="186D9F4F"/>
    <w:rsid w:val="186DE798"/>
    <w:rsid w:val="18707702"/>
    <w:rsid w:val="1870EA62"/>
    <w:rsid w:val="18730417"/>
    <w:rsid w:val="18818570"/>
    <w:rsid w:val="18820F45"/>
    <w:rsid w:val="1884AE75"/>
    <w:rsid w:val="18862A1F"/>
    <w:rsid w:val="1891ADA5"/>
    <w:rsid w:val="1893EC0F"/>
    <w:rsid w:val="18956214"/>
    <w:rsid w:val="18A29730"/>
    <w:rsid w:val="18A6A8FA"/>
    <w:rsid w:val="18A6C40D"/>
    <w:rsid w:val="18AB2095"/>
    <w:rsid w:val="18ABB1C6"/>
    <w:rsid w:val="18AF88F8"/>
    <w:rsid w:val="18B02F36"/>
    <w:rsid w:val="18B42415"/>
    <w:rsid w:val="18B5DA50"/>
    <w:rsid w:val="18B7498F"/>
    <w:rsid w:val="18B76535"/>
    <w:rsid w:val="18B8CC64"/>
    <w:rsid w:val="18BA325B"/>
    <w:rsid w:val="18BC2F7E"/>
    <w:rsid w:val="18BC4BF6"/>
    <w:rsid w:val="18BE1DAD"/>
    <w:rsid w:val="18BEAC9F"/>
    <w:rsid w:val="18C18AC6"/>
    <w:rsid w:val="18C5DFBD"/>
    <w:rsid w:val="18D1CC7C"/>
    <w:rsid w:val="18D30CE4"/>
    <w:rsid w:val="18D3FA7E"/>
    <w:rsid w:val="18D60CF8"/>
    <w:rsid w:val="18D6D464"/>
    <w:rsid w:val="18D7FBC8"/>
    <w:rsid w:val="18DB5A9D"/>
    <w:rsid w:val="18DE1B66"/>
    <w:rsid w:val="18DEC569"/>
    <w:rsid w:val="18E75C2D"/>
    <w:rsid w:val="18EA692C"/>
    <w:rsid w:val="18F18359"/>
    <w:rsid w:val="18F1FBC4"/>
    <w:rsid w:val="18F40328"/>
    <w:rsid w:val="18F674F0"/>
    <w:rsid w:val="1905CF9F"/>
    <w:rsid w:val="19065C2B"/>
    <w:rsid w:val="19072514"/>
    <w:rsid w:val="190C0780"/>
    <w:rsid w:val="190D85F7"/>
    <w:rsid w:val="190E552F"/>
    <w:rsid w:val="190F65FA"/>
    <w:rsid w:val="19149686"/>
    <w:rsid w:val="191B45D7"/>
    <w:rsid w:val="191C8DDC"/>
    <w:rsid w:val="1920F5FE"/>
    <w:rsid w:val="19221FAE"/>
    <w:rsid w:val="1922FAD3"/>
    <w:rsid w:val="192381C9"/>
    <w:rsid w:val="1923A614"/>
    <w:rsid w:val="1924080F"/>
    <w:rsid w:val="1926F271"/>
    <w:rsid w:val="1927CBBF"/>
    <w:rsid w:val="192E5B8A"/>
    <w:rsid w:val="192F4EF1"/>
    <w:rsid w:val="193BCB16"/>
    <w:rsid w:val="193C04A4"/>
    <w:rsid w:val="193E2047"/>
    <w:rsid w:val="193FC1BA"/>
    <w:rsid w:val="194185A6"/>
    <w:rsid w:val="19425BA3"/>
    <w:rsid w:val="1942AC04"/>
    <w:rsid w:val="19465575"/>
    <w:rsid w:val="194C893E"/>
    <w:rsid w:val="194D244E"/>
    <w:rsid w:val="19556419"/>
    <w:rsid w:val="1956C2D0"/>
    <w:rsid w:val="195FF684"/>
    <w:rsid w:val="19604D93"/>
    <w:rsid w:val="19647141"/>
    <w:rsid w:val="196C11DB"/>
    <w:rsid w:val="196C186F"/>
    <w:rsid w:val="196C3E86"/>
    <w:rsid w:val="19714E2B"/>
    <w:rsid w:val="19740206"/>
    <w:rsid w:val="197E7475"/>
    <w:rsid w:val="1987957E"/>
    <w:rsid w:val="198A3460"/>
    <w:rsid w:val="198B8830"/>
    <w:rsid w:val="198E7F04"/>
    <w:rsid w:val="19929B96"/>
    <w:rsid w:val="199330F3"/>
    <w:rsid w:val="1996C91D"/>
    <w:rsid w:val="199F05E8"/>
    <w:rsid w:val="199FD48F"/>
    <w:rsid w:val="19A0595A"/>
    <w:rsid w:val="19A0B935"/>
    <w:rsid w:val="19A0C143"/>
    <w:rsid w:val="19A11E40"/>
    <w:rsid w:val="19A3B85A"/>
    <w:rsid w:val="19A58DC8"/>
    <w:rsid w:val="19A5D855"/>
    <w:rsid w:val="19AAEB62"/>
    <w:rsid w:val="19ADFFBF"/>
    <w:rsid w:val="19B7AD92"/>
    <w:rsid w:val="19B8A88F"/>
    <w:rsid w:val="19B9F7CC"/>
    <w:rsid w:val="19BB6817"/>
    <w:rsid w:val="19C6AA74"/>
    <w:rsid w:val="19CDAE32"/>
    <w:rsid w:val="19CDDB5F"/>
    <w:rsid w:val="19D177C0"/>
    <w:rsid w:val="19D2DD94"/>
    <w:rsid w:val="19D38422"/>
    <w:rsid w:val="19D49738"/>
    <w:rsid w:val="19D79549"/>
    <w:rsid w:val="19D8E691"/>
    <w:rsid w:val="19D9AEED"/>
    <w:rsid w:val="19E2FA7D"/>
    <w:rsid w:val="19E3C298"/>
    <w:rsid w:val="19E46699"/>
    <w:rsid w:val="19EAECE5"/>
    <w:rsid w:val="19F41D2C"/>
    <w:rsid w:val="19F6B211"/>
    <w:rsid w:val="1A0185A6"/>
    <w:rsid w:val="1A06547E"/>
    <w:rsid w:val="1A096EF6"/>
    <w:rsid w:val="1A0B8B0B"/>
    <w:rsid w:val="1A11284E"/>
    <w:rsid w:val="1A128044"/>
    <w:rsid w:val="1A175C2D"/>
    <w:rsid w:val="1A1773DA"/>
    <w:rsid w:val="1A1E4475"/>
    <w:rsid w:val="1A22A5C5"/>
    <w:rsid w:val="1A294D7D"/>
    <w:rsid w:val="1A2D4F9C"/>
    <w:rsid w:val="1A2FCA46"/>
    <w:rsid w:val="1A30A238"/>
    <w:rsid w:val="1A322A97"/>
    <w:rsid w:val="1A37DFFE"/>
    <w:rsid w:val="1A380CE6"/>
    <w:rsid w:val="1A3852DD"/>
    <w:rsid w:val="1A3BBD50"/>
    <w:rsid w:val="1A4018C1"/>
    <w:rsid w:val="1A46A9D0"/>
    <w:rsid w:val="1A4CC384"/>
    <w:rsid w:val="1A51C2DE"/>
    <w:rsid w:val="1A5405BE"/>
    <w:rsid w:val="1A5B59F2"/>
    <w:rsid w:val="1A5C2266"/>
    <w:rsid w:val="1A5E0C00"/>
    <w:rsid w:val="1A5F83D3"/>
    <w:rsid w:val="1A620BA3"/>
    <w:rsid w:val="1A66541B"/>
    <w:rsid w:val="1A6762DF"/>
    <w:rsid w:val="1A68E4A9"/>
    <w:rsid w:val="1A6C09F3"/>
    <w:rsid w:val="1A6C7BD3"/>
    <w:rsid w:val="1A6F99A8"/>
    <w:rsid w:val="1A6FE476"/>
    <w:rsid w:val="1A702063"/>
    <w:rsid w:val="1A75410C"/>
    <w:rsid w:val="1A77F925"/>
    <w:rsid w:val="1A803927"/>
    <w:rsid w:val="1A8164D8"/>
    <w:rsid w:val="1A83D016"/>
    <w:rsid w:val="1A83D5D3"/>
    <w:rsid w:val="1A84A210"/>
    <w:rsid w:val="1A86E705"/>
    <w:rsid w:val="1A86F1BE"/>
    <w:rsid w:val="1A8A27C7"/>
    <w:rsid w:val="1A957004"/>
    <w:rsid w:val="1A96F5FE"/>
    <w:rsid w:val="1A9B3DD3"/>
    <w:rsid w:val="1AA30B6D"/>
    <w:rsid w:val="1AA38EF9"/>
    <w:rsid w:val="1AA5ABF7"/>
    <w:rsid w:val="1AAB35F4"/>
    <w:rsid w:val="1AB5669F"/>
    <w:rsid w:val="1AB86DC7"/>
    <w:rsid w:val="1ABCED3B"/>
    <w:rsid w:val="1AC2CCD0"/>
    <w:rsid w:val="1AC722FE"/>
    <w:rsid w:val="1AC8A008"/>
    <w:rsid w:val="1AD00A98"/>
    <w:rsid w:val="1AD1AE6C"/>
    <w:rsid w:val="1AD272C9"/>
    <w:rsid w:val="1AD39E54"/>
    <w:rsid w:val="1AD6D504"/>
    <w:rsid w:val="1ADE508D"/>
    <w:rsid w:val="1ADFED94"/>
    <w:rsid w:val="1AE16583"/>
    <w:rsid w:val="1AED6E68"/>
    <w:rsid w:val="1AF16FAB"/>
    <w:rsid w:val="1AF302F7"/>
    <w:rsid w:val="1AFFB036"/>
    <w:rsid w:val="1AFFE168"/>
    <w:rsid w:val="1B02F56A"/>
    <w:rsid w:val="1B0475AF"/>
    <w:rsid w:val="1B049F58"/>
    <w:rsid w:val="1B103E10"/>
    <w:rsid w:val="1B138341"/>
    <w:rsid w:val="1B1C86DD"/>
    <w:rsid w:val="1B1FB36C"/>
    <w:rsid w:val="1B22AAC2"/>
    <w:rsid w:val="1B24838D"/>
    <w:rsid w:val="1B24C084"/>
    <w:rsid w:val="1B28CD77"/>
    <w:rsid w:val="1B28E9E6"/>
    <w:rsid w:val="1B2A27F2"/>
    <w:rsid w:val="1B2F3BAB"/>
    <w:rsid w:val="1B371922"/>
    <w:rsid w:val="1B3814BF"/>
    <w:rsid w:val="1B3A852E"/>
    <w:rsid w:val="1B3B052B"/>
    <w:rsid w:val="1B3B562D"/>
    <w:rsid w:val="1B3C46F3"/>
    <w:rsid w:val="1B45E5CC"/>
    <w:rsid w:val="1B497E12"/>
    <w:rsid w:val="1B49FC11"/>
    <w:rsid w:val="1B4FC213"/>
    <w:rsid w:val="1B52486D"/>
    <w:rsid w:val="1B559EBE"/>
    <w:rsid w:val="1B55E134"/>
    <w:rsid w:val="1B567321"/>
    <w:rsid w:val="1B56A56B"/>
    <w:rsid w:val="1B5768F1"/>
    <w:rsid w:val="1B5F74F2"/>
    <w:rsid w:val="1B603D31"/>
    <w:rsid w:val="1B650C47"/>
    <w:rsid w:val="1B6DCFEB"/>
    <w:rsid w:val="1B6EF9DE"/>
    <w:rsid w:val="1B6FCEB9"/>
    <w:rsid w:val="1B7CE8D9"/>
    <w:rsid w:val="1B7D33E7"/>
    <w:rsid w:val="1B7F0F39"/>
    <w:rsid w:val="1B7FDC68"/>
    <w:rsid w:val="1B8220CD"/>
    <w:rsid w:val="1B837A34"/>
    <w:rsid w:val="1B86E8B8"/>
    <w:rsid w:val="1B8E9E6B"/>
    <w:rsid w:val="1B93F3BB"/>
    <w:rsid w:val="1B95CB4C"/>
    <w:rsid w:val="1B95F202"/>
    <w:rsid w:val="1B9A5425"/>
    <w:rsid w:val="1B9CE433"/>
    <w:rsid w:val="1B9CE997"/>
    <w:rsid w:val="1B9D655E"/>
    <w:rsid w:val="1B9E390B"/>
    <w:rsid w:val="1B9E97E5"/>
    <w:rsid w:val="1B9F2AA4"/>
    <w:rsid w:val="1BA728BC"/>
    <w:rsid w:val="1BA8B724"/>
    <w:rsid w:val="1BA8CABB"/>
    <w:rsid w:val="1BACAF1D"/>
    <w:rsid w:val="1BAD65CD"/>
    <w:rsid w:val="1BB04CE6"/>
    <w:rsid w:val="1BB20D35"/>
    <w:rsid w:val="1BB4440D"/>
    <w:rsid w:val="1BB821AE"/>
    <w:rsid w:val="1BB8FDA1"/>
    <w:rsid w:val="1BB94CF4"/>
    <w:rsid w:val="1BBA4E7C"/>
    <w:rsid w:val="1BC05688"/>
    <w:rsid w:val="1BC2EA99"/>
    <w:rsid w:val="1BC67FEE"/>
    <w:rsid w:val="1BC882D6"/>
    <w:rsid w:val="1BC941F8"/>
    <w:rsid w:val="1BCF86AB"/>
    <w:rsid w:val="1BD0D23E"/>
    <w:rsid w:val="1BD31511"/>
    <w:rsid w:val="1BD3FDE1"/>
    <w:rsid w:val="1BD4D76C"/>
    <w:rsid w:val="1BD54AF7"/>
    <w:rsid w:val="1BD6804A"/>
    <w:rsid w:val="1BD8CF0E"/>
    <w:rsid w:val="1BD8DB51"/>
    <w:rsid w:val="1BDB782D"/>
    <w:rsid w:val="1BDE2466"/>
    <w:rsid w:val="1BDE4F3B"/>
    <w:rsid w:val="1BE1B243"/>
    <w:rsid w:val="1BE2DE4A"/>
    <w:rsid w:val="1BE3113D"/>
    <w:rsid w:val="1BE4E9F3"/>
    <w:rsid w:val="1BEA7314"/>
    <w:rsid w:val="1BF7EF31"/>
    <w:rsid w:val="1BF8193C"/>
    <w:rsid w:val="1BFBD1BC"/>
    <w:rsid w:val="1BFCAE4D"/>
    <w:rsid w:val="1C00AD75"/>
    <w:rsid w:val="1C00E259"/>
    <w:rsid w:val="1C06F613"/>
    <w:rsid w:val="1C083A81"/>
    <w:rsid w:val="1C09F857"/>
    <w:rsid w:val="1C106356"/>
    <w:rsid w:val="1C11A97E"/>
    <w:rsid w:val="1C1ADDE1"/>
    <w:rsid w:val="1C1DC370"/>
    <w:rsid w:val="1C1E7583"/>
    <w:rsid w:val="1C1F0B32"/>
    <w:rsid w:val="1C1F945C"/>
    <w:rsid w:val="1C2723DD"/>
    <w:rsid w:val="1C295BCF"/>
    <w:rsid w:val="1C2E4677"/>
    <w:rsid w:val="1C31A6CE"/>
    <w:rsid w:val="1C31AFBB"/>
    <w:rsid w:val="1C31BA8E"/>
    <w:rsid w:val="1C3358E5"/>
    <w:rsid w:val="1C3455C0"/>
    <w:rsid w:val="1C3486B9"/>
    <w:rsid w:val="1C350ED7"/>
    <w:rsid w:val="1C3D7706"/>
    <w:rsid w:val="1C3EB9BF"/>
    <w:rsid w:val="1C43B003"/>
    <w:rsid w:val="1C43CFBA"/>
    <w:rsid w:val="1C472397"/>
    <w:rsid w:val="1C48BCEE"/>
    <w:rsid w:val="1C492DFE"/>
    <w:rsid w:val="1C4C709F"/>
    <w:rsid w:val="1C4EE525"/>
    <w:rsid w:val="1C502EA5"/>
    <w:rsid w:val="1C54F03F"/>
    <w:rsid w:val="1C57BB47"/>
    <w:rsid w:val="1C6384E6"/>
    <w:rsid w:val="1C652ED5"/>
    <w:rsid w:val="1C69349F"/>
    <w:rsid w:val="1C6B1628"/>
    <w:rsid w:val="1C6B5172"/>
    <w:rsid w:val="1C6D4D1E"/>
    <w:rsid w:val="1C6F6EB5"/>
    <w:rsid w:val="1C702C29"/>
    <w:rsid w:val="1C712ECC"/>
    <w:rsid w:val="1C716F1C"/>
    <w:rsid w:val="1C743A1D"/>
    <w:rsid w:val="1C74741F"/>
    <w:rsid w:val="1C74FAD2"/>
    <w:rsid w:val="1C7C968F"/>
    <w:rsid w:val="1C7EB230"/>
    <w:rsid w:val="1C7FAA6E"/>
    <w:rsid w:val="1C7FD7C5"/>
    <w:rsid w:val="1C85E881"/>
    <w:rsid w:val="1C864E25"/>
    <w:rsid w:val="1C870387"/>
    <w:rsid w:val="1C875E80"/>
    <w:rsid w:val="1C888ECC"/>
    <w:rsid w:val="1C88CC71"/>
    <w:rsid w:val="1C9356BC"/>
    <w:rsid w:val="1C94B852"/>
    <w:rsid w:val="1C95C9D6"/>
    <w:rsid w:val="1C9A4568"/>
    <w:rsid w:val="1C9A991C"/>
    <w:rsid w:val="1C9AE590"/>
    <w:rsid w:val="1C9B5490"/>
    <w:rsid w:val="1CA11D69"/>
    <w:rsid w:val="1CAB4C84"/>
    <w:rsid w:val="1CAB6D4A"/>
    <w:rsid w:val="1CB0A3D0"/>
    <w:rsid w:val="1CB24D5D"/>
    <w:rsid w:val="1CB3F8ED"/>
    <w:rsid w:val="1CB91E4E"/>
    <w:rsid w:val="1CC0F716"/>
    <w:rsid w:val="1CC9A131"/>
    <w:rsid w:val="1CC9C215"/>
    <w:rsid w:val="1CCA8085"/>
    <w:rsid w:val="1CCAE93A"/>
    <w:rsid w:val="1CCB77AF"/>
    <w:rsid w:val="1CCD5237"/>
    <w:rsid w:val="1CCFC041"/>
    <w:rsid w:val="1CD08C02"/>
    <w:rsid w:val="1CD5736B"/>
    <w:rsid w:val="1CDD8683"/>
    <w:rsid w:val="1CDE0085"/>
    <w:rsid w:val="1CDE0AF8"/>
    <w:rsid w:val="1CDE7E74"/>
    <w:rsid w:val="1CDF6B05"/>
    <w:rsid w:val="1CE2DDD0"/>
    <w:rsid w:val="1CE78B29"/>
    <w:rsid w:val="1CEA92C2"/>
    <w:rsid w:val="1CF15219"/>
    <w:rsid w:val="1CF2485E"/>
    <w:rsid w:val="1CFC4836"/>
    <w:rsid w:val="1D02BE05"/>
    <w:rsid w:val="1D042781"/>
    <w:rsid w:val="1D05B8FC"/>
    <w:rsid w:val="1D06DF5C"/>
    <w:rsid w:val="1D07F730"/>
    <w:rsid w:val="1D08E419"/>
    <w:rsid w:val="1D08F763"/>
    <w:rsid w:val="1D0979D9"/>
    <w:rsid w:val="1D0AEB11"/>
    <w:rsid w:val="1D0B617C"/>
    <w:rsid w:val="1D0E02FC"/>
    <w:rsid w:val="1D0F8947"/>
    <w:rsid w:val="1D134CA9"/>
    <w:rsid w:val="1D1389B4"/>
    <w:rsid w:val="1D143810"/>
    <w:rsid w:val="1D17DBA8"/>
    <w:rsid w:val="1D194E7B"/>
    <w:rsid w:val="1D1F85A6"/>
    <w:rsid w:val="1D23CF5C"/>
    <w:rsid w:val="1D2DB90F"/>
    <w:rsid w:val="1D30DE1E"/>
    <w:rsid w:val="1D379D15"/>
    <w:rsid w:val="1D3AD3BA"/>
    <w:rsid w:val="1D3AEBEB"/>
    <w:rsid w:val="1D3B5839"/>
    <w:rsid w:val="1D3F7D4F"/>
    <w:rsid w:val="1D40D10A"/>
    <w:rsid w:val="1D4118BD"/>
    <w:rsid w:val="1D4204ED"/>
    <w:rsid w:val="1D4241E3"/>
    <w:rsid w:val="1D468689"/>
    <w:rsid w:val="1D4B84CF"/>
    <w:rsid w:val="1D4EC4EA"/>
    <w:rsid w:val="1D4F45E1"/>
    <w:rsid w:val="1D517818"/>
    <w:rsid w:val="1D5586AD"/>
    <w:rsid w:val="1D561EDD"/>
    <w:rsid w:val="1D589772"/>
    <w:rsid w:val="1D5E73FE"/>
    <w:rsid w:val="1D64C022"/>
    <w:rsid w:val="1D69D2BF"/>
    <w:rsid w:val="1D6B40AD"/>
    <w:rsid w:val="1D6BBF50"/>
    <w:rsid w:val="1D6DBCAA"/>
    <w:rsid w:val="1D6E44CE"/>
    <w:rsid w:val="1D6FA4D4"/>
    <w:rsid w:val="1D73CE0E"/>
    <w:rsid w:val="1D8248A4"/>
    <w:rsid w:val="1D861007"/>
    <w:rsid w:val="1D87BB04"/>
    <w:rsid w:val="1D887062"/>
    <w:rsid w:val="1D8A419A"/>
    <w:rsid w:val="1D8E291B"/>
    <w:rsid w:val="1D91340E"/>
    <w:rsid w:val="1D92B98A"/>
    <w:rsid w:val="1D9324EF"/>
    <w:rsid w:val="1D981ED7"/>
    <w:rsid w:val="1D9AAB93"/>
    <w:rsid w:val="1DA10937"/>
    <w:rsid w:val="1DA33BB5"/>
    <w:rsid w:val="1DA662BF"/>
    <w:rsid w:val="1DA98190"/>
    <w:rsid w:val="1DA9B87D"/>
    <w:rsid w:val="1DA9D131"/>
    <w:rsid w:val="1DAAF2BC"/>
    <w:rsid w:val="1DAC5249"/>
    <w:rsid w:val="1DACA122"/>
    <w:rsid w:val="1DACA28F"/>
    <w:rsid w:val="1DB3D448"/>
    <w:rsid w:val="1DBA4E62"/>
    <w:rsid w:val="1DBCCB78"/>
    <w:rsid w:val="1DBD0E64"/>
    <w:rsid w:val="1DC056FC"/>
    <w:rsid w:val="1DC97C4E"/>
    <w:rsid w:val="1DCA5675"/>
    <w:rsid w:val="1DCBD03D"/>
    <w:rsid w:val="1DCD4E95"/>
    <w:rsid w:val="1DD41131"/>
    <w:rsid w:val="1DD5A401"/>
    <w:rsid w:val="1DD94958"/>
    <w:rsid w:val="1DDE2468"/>
    <w:rsid w:val="1DE66897"/>
    <w:rsid w:val="1DE6BDA6"/>
    <w:rsid w:val="1DE732B5"/>
    <w:rsid w:val="1DE76719"/>
    <w:rsid w:val="1DE77AFE"/>
    <w:rsid w:val="1DE9563A"/>
    <w:rsid w:val="1DEB3BEE"/>
    <w:rsid w:val="1DF51669"/>
    <w:rsid w:val="1DFD794D"/>
    <w:rsid w:val="1E03A94E"/>
    <w:rsid w:val="1E07327A"/>
    <w:rsid w:val="1E0AD141"/>
    <w:rsid w:val="1E0AFFE5"/>
    <w:rsid w:val="1E0B10BE"/>
    <w:rsid w:val="1E12D62C"/>
    <w:rsid w:val="1E133AC8"/>
    <w:rsid w:val="1E13D787"/>
    <w:rsid w:val="1E1AFBFB"/>
    <w:rsid w:val="1E1C9073"/>
    <w:rsid w:val="1E23CACE"/>
    <w:rsid w:val="1E284DE4"/>
    <w:rsid w:val="1E286167"/>
    <w:rsid w:val="1E2F8328"/>
    <w:rsid w:val="1E31307A"/>
    <w:rsid w:val="1E34AD83"/>
    <w:rsid w:val="1E39978D"/>
    <w:rsid w:val="1E3E260D"/>
    <w:rsid w:val="1E3E91F5"/>
    <w:rsid w:val="1E41603C"/>
    <w:rsid w:val="1E441CFB"/>
    <w:rsid w:val="1E45B266"/>
    <w:rsid w:val="1E46A187"/>
    <w:rsid w:val="1E483177"/>
    <w:rsid w:val="1E492CFF"/>
    <w:rsid w:val="1E4B0FDE"/>
    <w:rsid w:val="1E4E1FCD"/>
    <w:rsid w:val="1E51E4BD"/>
    <w:rsid w:val="1E529B6E"/>
    <w:rsid w:val="1E537A49"/>
    <w:rsid w:val="1E5E85C1"/>
    <w:rsid w:val="1E608AA8"/>
    <w:rsid w:val="1E6A9D95"/>
    <w:rsid w:val="1E6DA431"/>
    <w:rsid w:val="1E6DC2DC"/>
    <w:rsid w:val="1E6F3DB2"/>
    <w:rsid w:val="1E72CE91"/>
    <w:rsid w:val="1E7658C0"/>
    <w:rsid w:val="1E7A55DB"/>
    <w:rsid w:val="1E7AA94D"/>
    <w:rsid w:val="1E7B51B0"/>
    <w:rsid w:val="1E7F02B5"/>
    <w:rsid w:val="1E806502"/>
    <w:rsid w:val="1E80CA33"/>
    <w:rsid w:val="1E8A4CB9"/>
    <w:rsid w:val="1E8C275D"/>
    <w:rsid w:val="1E902E22"/>
    <w:rsid w:val="1E91738E"/>
    <w:rsid w:val="1E95F8A3"/>
    <w:rsid w:val="1E999B37"/>
    <w:rsid w:val="1E9F089B"/>
    <w:rsid w:val="1EA43120"/>
    <w:rsid w:val="1EA4AD3A"/>
    <w:rsid w:val="1EA4C7C4"/>
    <w:rsid w:val="1EA61674"/>
    <w:rsid w:val="1EA93655"/>
    <w:rsid w:val="1EAC62D9"/>
    <w:rsid w:val="1EAD5A98"/>
    <w:rsid w:val="1EAE9780"/>
    <w:rsid w:val="1EB7AEEF"/>
    <w:rsid w:val="1EC5CF4B"/>
    <w:rsid w:val="1EC75FC6"/>
    <w:rsid w:val="1EC8772B"/>
    <w:rsid w:val="1EC8D15C"/>
    <w:rsid w:val="1ECD9872"/>
    <w:rsid w:val="1ECFF6CD"/>
    <w:rsid w:val="1ED09EA9"/>
    <w:rsid w:val="1ED364DC"/>
    <w:rsid w:val="1ED94ECD"/>
    <w:rsid w:val="1EDCC21A"/>
    <w:rsid w:val="1EDDA7C1"/>
    <w:rsid w:val="1EDE25E6"/>
    <w:rsid w:val="1EE4B851"/>
    <w:rsid w:val="1EE963BB"/>
    <w:rsid w:val="1EEA38E8"/>
    <w:rsid w:val="1EEB1745"/>
    <w:rsid w:val="1EEEE487"/>
    <w:rsid w:val="1EEF8AF2"/>
    <w:rsid w:val="1EF0A411"/>
    <w:rsid w:val="1EF4092F"/>
    <w:rsid w:val="1EFF05FF"/>
    <w:rsid w:val="1F01E0B4"/>
    <w:rsid w:val="1F05D599"/>
    <w:rsid w:val="1F073329"/>
    <w:rsid w:val="1F0BE8DE"/>
    <w:rsid w:val="1F1BD919"/>
    <w:rsid w:val="1F1D4357"/>
    <w:rsid w:val="1F1DEF9B"/>
    <w:rsid w:val="1F2970DB"/>
    <w:rsid w:val="1F342887"/>
    <w:rsid w:val="1F34F650"/>
    <w:rsid w:val="1F378014"/>
    <w:rsid w:val="1F38B80A"/>
    <w:rsid w:val="1F3A6EEF"/>
    <w:rsid w:val="1F3A7953"/>
    <w:rsid w:val="1F3AD066"/>
    <w:rsid w:val="1F3B7E1C"/>
    <w:rsid w:val="1F3BACB2"/>
    <w:rsid w:val="1F40556F"/>
    <w:rsid w:val="1F468438"/>
    <w:rsid w:val="1F488763"/>
    <w:rsid w:val="1F4AC583"/>
    <w:rsid w:val="1F4EC006"/>
    <w:rsid w:val="1F509C2F"/>
    <w:rsid w:val="1F52A9B2"/>
    <w:rsid w:val="1F5831D9"/>
    <w:rsid w:val="1F593481"/>
    <w:rsid w:val="1F5A5506"/>
    <w:rsid w:val="1F5B0B8B"/>
    <w:rsid w:val="1F629187"/>
    <w:rsid w:val="1F64DF72"/>
    <w:rsid w:val="1F6A770C"/>
    <w:rsid w:val="1F6C6003"/>
    <w:rsid w:val="1F6CD13F"/>
    <w:rsid w:val="1F703CF9"/>
    <w:rsid w:val="1F751E8D"/>
    <w:rsid w:val="1F76DC7E"/>
    <w:rsid w:val="1F784B9D"/>
    <w:rsid w:val="1F7AB398"/>
    <w:rsid w:val="1F7BC254"/>
    <w:rsid w:val="1F839B71"/>
    <w:rsid w:val="1F83F624"/>
    <w:rsid w:val="1F8561B1"/>
    <w:rsid w:val="1F85759E"/>
    <w:rsid w:val="1F87425E"/>
    <w:rsid w:val="1F8CAA8B"/>
    <w:rsid w:val="1F90B421"/>
    <w:rsid w:val="1F92C89C"/>
    <w:rsid w:val="1F958630"/>
    <w:rsid w:val="1F98D718"/>
    <w:rsid w:val="1F9D2BA4"/>
    <w:rsid w:val="1F9ECFED"/>
    <w:rsid w:val="1F9FB919"/>
    <w:rsid w:val="1FA255AC"/>
    <w:rsid w:val="1FA2CD9A"/>
    <w:rsid w:val="1FA5AE43"/>
    <w:rsid w:val="1FAA8ABF"/>
    <w:rsid w:val="1FAF40B4"/>
    <w:rsid w:val="1FB0AFB1"/>
    <w:rsid w:val="1FB9F21D"/>
    <w:rsid w:val="1FBAAB11"/>
    <w:rsid w:val="1FBD45BC"/>
    <w:rsid w:val="1FBF2F4A"/>
    <w:rsid w:val="1FC27F87"/>
    <w:rsid w:val="1FC4571D"/>
    <w:rsid w:val="1FC50015"/>
    <w:rsid w:val="1FC9047F"/>
    <w:rsid w:val="1FCD4141"/>
    <w:rsid w:val="1FCEF623"/>
    <w:rsid w:val="1FD9EEB0"/>
    <w:rsid w:val="1FDCFDCC"/>
    <w:rsid w:val="1FE46880"/>
    <w:rsid w:val="1FE7376C"/>
    <w:rsid w:val="1FEA1FDD"/>
    <w:rsid w:val="1FF5969E"/>
    <w:rsid w:val="1FF6D0D3"/>
    <w:rsid w:val="1FF781C3"/>
    <w:rsid w:val="1FF85B96"/>
    <w:rsid w:val="1FFD6293"/>
    <w:rsid w:val="200271D8"/>
    <w:rsid w:val="200A43C0"/>
    <w:rsid w:val="200F0991"/>
    <w:rsid w:val="20175DA7"/>
    <w:rsid w:val="201969FA"/>
    <w:rsid w:val="201D07D4"/>
    <w:rsid w:val="201F8180"/>
    <w:rsid w:val="20282C32"/>
    <w:rsid w:val="202A9ABA"/>
    <w:rsid w:val="20359013"/>
    <w:rsid w:val="20387426"/>
    <w:rsid w:val="20397F71"/>
    <w:rsid w:val="203CCE89"/>
    <w:rsid w:val="20406E42"/>
    <w:rsid w:val="2043371A"/>
    <w:rsid w:val="204AE128"/>
    <w:rsid w:val="204B0AE4"/>
    <w:rsid w:val="2054AE6C"/>
    <w:rsid w:val="205FB868"/>
    <w:rsid w:val="20618306"/>
    <w:rsid w:val="2062F0EA"/>
    <w:rsid w:val="206656A9"/>
    <w:rsid w:val="2069B55F"/>
    <w:rsid w:val="2069DB1E"/>
    <w:rsid w:val="206B42AE"/>
    <w:rsid w:val="2076D37D"/>
    <w:rsid w:val="20772A62"/>
    <w:rsid w:val="207DD6B8"/>
    <w:rsid w:val="2087DE23"/>
    <w:rsid w:val="208CDE6C"/>
    <w:rsid w:val="20909177"/>
    <w:rsid w:val="20976DE4"/>
    <w:rsid w:val="209782FC"/>
    <w:rsid w:val="2099B10F"/>
    <w:rsid w:val="209A43AE"/>
    <w:rsid w:val="209C6A6D"/>
    <w:rsid w:val="209EFEC4"/>
    <w:rsid w:val="20A80470"/>
    <w:rsid w:val="20AD41A5"/>
    <w:rsid w:val="20AE0714"/>
    <w:rsid w:val="20BAA67A"/>
    <w:rsid w:val="20BAC673"/>
    <w:rsid w:val="20C536B4"/>
    <w:rsid w:val="20CEC517"/>
    <w:rsid w:val="20CF46BD"/>
    <w:rsid w:val="20D0DA54"/>
    <w:rsid w:val="20D52486"/>
    <w:rsid w:val="20D54142"/>
    <w:rsid w:val="20DBBB3C"/>
    <w:rsid w:val="20E0DEA1"/>
    <w:rsid w:val="20E15850"/>
    <w:rsid w:val="20E28FE1"/>
    <w:rsid w:val="20EDA12E"/>
    <w:rsid w:val="20EEE6A0"/>
    <w:rsid w:val="20F09F06"/>
    <w:rsid w:val="20F1B24D"/>
    <w:rsid w:val="20F4114E"/>
    <w:rsid w:val="20F6632B"/>
    <w:rsid w:val="20FBD811"/>
    <w:rsid w:val="210118B0"/>
    <w:rsid w:val="2102A13B"/>
    <w:rsid w:val="21030735"/>
    <w:rsid w:val="2103C0C2"/>
    <w:rsid w:val="210D75FD"/>
    <w:rsid w:val="210D8376"/>
    <w:rsid w:val="2111AE25"/>
    <w:rsid w:val="211337F4"/>
    <w:rsid w:val="211763E1"/>
    <w:rsid w:val="211C7F11"/>
    <w:rsid w:val="2121134A"/>
    <w:rsid w:val="2121F682"/>
    <w:rsid w:val="21256EC5"/>
    <w:rsid w:val="212E76FC"/>
    <w:rsid w:val="21358ADD"/>
    <w:rsid w:val="213BE17C"/>
    <w:rsid w:val="213C5DB8"/>
    <w:rsid w:val="213C6044"/>
    <w:rsid w:val="2141704D"/>
    <w:rsid w:val="21432EC6"/>
    <w:rsid w:val="21456B71"/>
    <w:rsid w:val="214712AE"/>
    <w:rsid w:val="21492DB3"/>
    <w:rsid w:val="214A6927"/>
    <w:rsid w:val="214D4FA9"/>
    <w:rsid w:val="214EF4F3"/>
    <w:rsid w:val="21500719"/>
    <w:rsid w:val="21532BC1"/>
    <w:rsid w:val="2155BA49"/>
    <w:rsid w:val="215B9517"/>
    <w:rsid w:val="21619D98"/>
    <w:rsid w:val="2167250A"/>
    <w:rsid w:val="21675C6E"/>
    <w:rsid w:val="2168D77B"/>
    <w:rsid w:val="216BAF1C"/>
    <w:rsid w:val="216D2298"/>
    <w:rsid w:val="216F6C73"/>
    <w:rsid w:val="21708689"/>
    <w:rsid w:val="21715EAD"/>
    <w:rsid w:val="2171E5F5"/>
    <w:rsid w:val="217689E2"/>
    <w:rsid w:val="217A775A"/>
    <w:rsid w:val="217AF4F9"/>
    <w:rsid w:val="21805669"/>
    <w:rsid w:val="21854C35"/>
    <w:rsid w:val="2187794E"/>
    <w:rsid w:val="21881AA8"/>
    <w:rsid w:val="2188F42F"/>
    <w:rsid w:val="218A9235"/>
    <w:rsid w:val="218C53BA"/>
    <w:rsid w:val="218EDC2A"/>
    <w:rsid w:val="21939AA2"/>
    <w:rsid w:val="219D27B5"/>
    <w:rsid w:val="219F6CF3"/>
    <w:rsid w:val="21A93733"/>
    <w:rsid w:val="21A9F469"/>
    <w:rsid w:val="21AC6E89"/>
    <w:rsid w:val="21AE48A3"/>
    <w:rsid w:val="21B0114D"/>
    <w:rsid w:val="21B4F19D"/>
    <w:rsid w:val="21B6ABA5"/>
    <w:rsid w:val="21C305C1"/>
    <w:rsid w:val="21C4EE00"/>
    <w:rsid w:val="21C5A312"/>
    <w:rsid w:val="21CEB567"/>
    <w:rsid w:val="21D4DD6F"/>
    <w:rsid w:val="21D951A5"/>
    <w:rsid w:val="21DEC785"/>
    <w:rsid w:val="21DF0BEA"/>
    <w:rsid w:val="21DFA590"/>
    <w:rsid w:val="21E0C360"/>
    <w:rsid w:val="21E12027"/>
    <w:rsid w:val="21E334F2"/>
    <w:rsid w:val="21E63876"/>
    <w:rsid w:val="21EB67EB"/>
    <w:rsid w:val="21F0CB1F"/>
    <w:rsid w:val="21F86691"/>
    <w:rsid w:val="21FC1BAD"/>
    <w:rsid w:val="22012BAA"/>
    <w:rsid w:val="22016BCF"/>
    <w:rsid w:val="2204B5DA"/>
    <w:rsid w:val="22063300"/>
    <w:rsid w:val="22063997"/>
    <w:rsid w:val="220D3ABA"/>
    <w:rsid w:val="220DFAE4"/>
    <w:rsid w:val="22116AD4"/>
    <w:rsid w:val="22139615"/>
    <w:rsid w:val="221A2BBA"/>
    <w:rsid w:val="221ABA48"/>
    <w:rsid w:val="221ED3EB"/>
    <w:rsid w:val="2236BDBA"/>
    <w:rsid w:val="22391B8F"/>
    <w:rsid w:val="223DBD1A"/>
    <w:rsid w:val="22408FBD"/>
    <w:rsid w:val="22421562"/>
    <w:rsid w:val="2244139B"/>
    <w:rsid w:val="224477A8"/>
    <w:rsid w:val="22486473"/>
    <w:rsid w:val="225018E3"/>
    <w:rsid w:val="2251931D"/>
    <w:rsid w:val="22535648"/>
    <w:rsid w:val="2253BE2C"/>
    <w:rsid w:val="225666E4"/>
    <w:rsid w:val="2259D32D"/>
    <w:rsid w:val="225CA4EC"/>
    <w:rsid w:val="225DB51C"/>
    <w:rsid w:val="225F6590"/>
    <w:rsid w:val="2261A461"/>
    <w:rsid w:val="22641C68"/>
    <w:rsid w:val="22664F05"/>
    <w:rsid w:val="226C6967"/>
    <w:rsid w:val="2270CA55"/>
    <w:rsid w:val="22762933"/>
    <w:rsid w:val="22765C2E"/>
    <w:rsid w:val="2276623D"/>
    <w:rsid w:val="227CF06C"/>
    <w:rsid w:val="22813553"/>
    <w:rsid w:val="2283E052"/>
    <w:rsid w:val="228B3F33"/>
    <w:rsid w:val="22915BB6"/>
    <w:rsid w:val="229F63BE"/>
    <w:rsid w:val="229FA623"/>
    <w:rsid w:val="22A2C6EB"/>
    <w:rsid w:val="22A398A3"/>
    <w:rsid w:val="22A45D46"/>
    <w:rsid w:val="22A52238"/>
    <w:rsid w:val="22A71B45"/>
    <w:rsid w:val="22A74FFD"/>
    <w:rsid w:val="22AAA0AC"/>
    <w:rsid w:val="22B07DD0"/>
    <w:rsid w:val="22B08C52"/>
    <w:rsid w:val="22B53811"/>
    <w:rsid w:val="22B6E9B9"/>
    <w:rsid w:val="22BB253C"/>
    <w:rsid w:val="22C03AAA"/>
    <w:rsid w:val="22C1C816"/>
    <w:rsid w:val="22CA7C11"/>
    <w:rsid w:val="22CE9A44"/>
    <w:rsid w:val="22CFDB8C"/>
    <w:rsid w:val="22D4DDE6"/>
    <w:rsid w:val="22DFE3D3"/>
    <w:rsid w:val="22E53CFE"/>
    <w:rsid w:val="22E9CB52"/>
    <w:rsid w:val="22EBBF08"/>
    <w:rsid w:val="22EFE46A"/>
    <w:rsid w:val="22F0BF4C"/>
    <w:rsid w:val="22F5FC5C"/>
    <w:rsid w:val="22F6F310"/>
    <w:rsid w:val="22FC9E3B"/>
    <w:rsid w:val="22FEB5A5"/>
    <w:rsid w:val="23001F79"/>
    <w:rsid w:val="2300BBEA"/>
    <w:rsid w:val="23035836"/>
    <w:rsid w:val="2311F32B"/>
    <w:rsid w:val="23149E4F"/>
    <w:rsid w:val="2314DC30"/>
    <w:rsid w:val="23183941"/>
    <w:rsid w:val="231B5CD7"/>
    <w:rsid w:val="231D11E7"/>
    <w:rsid w:val="231E2F54"/>
    <w:rsid w:val="231EDD98"/>
    <w:rsid w:val="23209B55"/>
    <w:rsid w:val="23227EA3"/>
    <w:rsid w:val="23259F82"/>
    <w:rsid w:val="23281594"/>
    <w:rsid w:val="232EBCD8"/>
    <w:rsid w:val="23326A76"/>
    <w:rsid w:val="233CD3ED"/>
    <w:rsid w:val="233DB2BE"/>
    <w:rsid w:val="23462867"/>
    <w:rsid w:val="234822A2"/>
    <w:rsid w:val="23498A55"/>
    <w:rsid w:val="2349E7CD"/>
    <w:rsid w:val="234E25A1"/>
    <w:rsid w:val="234EFB76"/>
    <w:rsid w:val="2359298E"/>
    <w:rsid w:val="2359A9CB"/>
    <w:rsid w:val="235AED80"/>
    <w:rsid w:val="235E6145"/>
    <w:rsid w:val="235EDB40"/>
    <w:rsid w:val="23619FFD"/>
    <w:rsid w:val="2368C059"/>
    <w:rsid w:val="236AFA8D"/>
    <w:rsid w:val="236B74AE"/>
    <w:rsid w:val="237AAF14"/>
    <w:rsid w:val="237E1683"/>
    <w:rsid w:val="237F45B9"/>
    <w:rsid w:val="237FC98A"/>
    <w:rsid w:val="2380EA24"/>
    <w:rsid w:val="2386DAA9"/>
    <w:rsid w:val="238AFA8F"/>
    <w:rsid w:val="238D16A3"/>
    <w:rsid w:val="2390E752"/>
    <w:rsid w:val="2397E8EA"/>
    <w:rsid w:val="239FB36A"/>
    <w:rsid w:val="23A37FDA"/>
    <w:rsid w:val="23A3E283"/>
    <w:rsid w:val="23A75172"/>
    <w:rsid w:val="23A7D12C"/>
    <w:rsid w:val="23AA8A7C"/>
    <w:rsid w:val="23AB97EC"/>
    <w:rsid w:val="23ACA5A5"/>
    <w:rsid w:val="23AE794F"/>
    <w:rsid w:val="23B23960"/>
    <w:rsid w:val="23BAB2F5"/>
    <w:rsid w:val="23C0CED1"/>
    <w:rsid w:val="23C3B008"/>
    <w:rsid w:val="23C4BA34"/>
    <w:rsid w:val="23CA4718"/>
    <w:rsid w:val="23CAF276"/>
    <w:rsid w:val="23D006A4"/>
    <w:rsid w:val="23D5D77C"/>
    <w:rsid w:val="23D8EA5F"/>
    <w:rsid w:val="23E148DA"/>
    <w:rsid w:val="23E94673"/>
    <w:rsid w:val="23E97A08"/>
    <w:rsid w:val="23EB686A"/>
    <w:rsid w:val="24038E14"/>
    <w:rsid w:val="2407DC84"/>
    <w:rsid w:val="24084587"/>
    <w:rsid w:val="240CCFB3"/>
    <w:rsid w:val="241CBC45"/>
    <w:rsid w:val="241EEDEE"/>
    <w:rsid w:val="241FD0F2"/>
    <w:rsid w:val="242583D1"/>
    <w:rsid w:val="24262D69"/>
    <w:rsid w:val="243557D5"/>
    <w:rsid w:val="24377CA7"/>
    <w:rsid w:val="244437C3"/>
    <w:rsid w:val="244DD3F3"/>
    <w:rsid w:val="2456753A"/>
    <w:rsid w:val="245976EC"/>
    <w:rsid w:val="245E97A7"/>
    <w:rsid w:val="2467AB7F"/>
    <w:rsid w:val="2468C737"/>
    <w:rsid w:val="246B40C7"/>
    <w:rsid w:val="246D99C6"/>
    <w:rsid w:val="24702999"/>
    <w:rsid w:val="2471312E"/>
    <w:rsid w:val="247518C5"/>
    <w:rsid w:val="2475BD3F"/>
    <w:rsid w:val="2477B65A"/>
    <w:rsid w:val="247917B4"/>
    <w:rsid w:val="247B1D32"/>
    <w:rsid w:val="247D81A6"/>
    <w:rsid w:val="24863194"/>
    <w:rsid w:val="24887D84"/>
    <w:rsid w:val="2488A4B4"/>
    <w:rsid w:val="24929AA0"/>
    <w:rsid w:val="2492B89F"/>
    <w:rsid w:val="24940AA9"/>
    <w:rsid w:val="2495436B"/>
    <w:rsid w:val="2496840C"/>
    <w:rsid w:val="249DCB5D"/>
    <w:rsid w:val="24A0E7F0"/>
    <w:rsid w:val="24ABB0C0"/>
    <w:rsid w:val="24ABF473"/>
    <w:rsid w:val="24ACA852"/>
    <w:rsid w:val="24B051AF"/>
    <w:rsid w:val="24B1002F"/>
    <w:rsid w:val="24B451C2"/>
    <w:rsid w:val="24BC33B5"/>
    <w:rsid w:val="24BC3E44"/>
    <w:rsid w:val="24BCE829"/>
    <w:rsid w:val="24C589A7"/>
    <w:rsid w:val="24CBF689"/>
    <w:rsid w:val="24CC56FA"/>
    <w:rsid w:val="24CF2A9E"/>
    <w:rsid w:val="24DE9635"/>
    <w:rsid w:val="24E27F4B"/>
    <w:rsid w:val="24E2CF97"/>
    <w:rsid w:val="24E5CE33"/>
    <w:rsid w:val="24E9C5F8"/>
    <w:rsid w:val="24EA361A"/>
    <w:rsid w:val="24EC9100"/>
    <w:rsid w:val="24EC96E7"/>
    <w:rsid w:val="24F0300E"/>
    <w:rsid w:val="24F5B75D"/>
    <w:rsid w:val="24F5E5C7"/>
    <w:rsid w:val="24F7F09F"/>
    <w:rsid w:val="24F8AB40"/>
    <w:rsid w:val="24F9D402"/>
    <w:rsid w:val="24FB8264"/>
    <w:rsid w:val="24FFED93"/>
    <w:rsid w:val="250534CF"/>
    <w:rsid w:val="250B3FD5"/>
    <w:rsid w:val="250FE33C"/>
    <w:rsid w:val="25132B32"/>
    <w:rsid w:val="25150CA4"/>
    <w:rsid w:val="25193028"/>
    <w:rsid w:val="251DDA62"/>
    <w:rsid w:val="252445AB"/>
    <w:rsid w:val="2524C1B0"/>
    <w:rsid w:val="25270726"/>
    <w:rsid w:val="252A47F6"/>
    <w:rsid w:val="252BA64B"/>
    <w:rsid w:val="252E84D9"/>
    <w:rsid w:val="2533BF84"/>
    <w:rsid w:val="253705DD"/>
    <w:rsid w:val="253ADB1D"/>
    <w:rsid w:val="253C8148"/>
    <w:rsid w:val="253E76CC"/>
    <w:rsid w:val="2546539B"/>
    <w:rsid w:val="2547C552"/>
    <w:rsid w:val="2548FA0A"/>
    <w:rsid w:val="255A9F69"/>
    <w:rsid w:val="255ADB3B"/>
    <w:rsid w:val="255DA693"/>
    <w:rsid w:val="2560BB26"/>
    <w:rsid w:val="2574F98D"/>
    <w:rsid w:val="257955EA"/>
    <w:rsid w:val="257D3DA7"/>
    <w:rsid w:val="2580DC98"/>
    <w:rsid w:val="258298EB"/>
    <w:rsid w:val="25847702"/>
    <w:rsid w:val="2584A0EA"/>
    <w:rsid w:val="2589D171"/>
    <w:rsid w:val="25995A10"/>
    <w:rsid w:val="259C63E6"/>
    <w:rsid w:val="259C6AEA"/>
    <w:rsid w:val="25A3F700"/>
    <w:rsid w:val="25A4A5DE"/>
    <w:rsid w:val="25A66670"/>
    <w:rsid w:val="25A81043"/>
    <w:rsid w:val="25AA9246"/>
    <w:rsid w:val="25ACC093"/>
    <w:rsid w:val="25AD1EFB"/>
    <w:rsid w:val="25AE4B97"/>
    <w:rsid w:val="25B4A36B"/>
    <w:rsid w:val="25B94C58"/>
    <w:rsid w:val="25BC534C"/>
    <w:rsid w:val="25BF99DF"/>
    <w:rsid w:val="25C4F49E"/>
    <w:rsid w:val="25C94B6F"/>
    <w:rsid w:val="25C9736D"/>
    <w:rsid w:val="25CAACDD"/>
    <w:rsid w:val="25CDA54F"/>
    <w:rsid w:val="25CE0A64"/>
    <w:rsid w:val="25CEEE96"/>
    <w:rsid w:val="25D1DC4F"/>
    <w:rsid w:val="25D9096B"/>
    <w:rsid w:val="25D9A943"/>
    <w:rsid w:val="25E0187D"/>
    <w:rsid w:val="25E3051D"/>
    <w:rsid w:val="25E3A241"/>
    <w:rsid w:val="25E6EDE2"/>
    <w:rsid w:val="25EDB975"/>
    <w:rsid w:val="25F34C6B"/>
    <w:rsid w:val="26045B88"/>
    <w:rsid w:val="26060B7B"/>
    <w:rsid w:val="2607F1A8"/>
    <w:rsid w:val="260C226D"/>
    <w:rsid w:val="260C972B"/>
    <w:rsid w:val="260F25B2"/>
    <w:rsid w:val="2611ACE7"/>
    <w:rsid w:val="2615387D"/>
    <w:rsid w:val="2615FB65"/>
    <w:rsid w:val="2618011A"/>
    <w:rsid w:val="2618F924"/>
    <w:rsid w:val="26206CD2"/>
    <w:rsid w:val="2620994B"/>
    <w:rsid w:val="26214A6F"/>
    <w:rsid w:val="2622A0FD"/>
    <w:rsid w:val="262A5E6A"/>
    <w:rsid w:val="26335BC1"/>
    <w:rsid w:val="26392E77"/>
    <w:rsid w:val="263B8BC6"/>
    <w:rsid w:val="263E37A7"/>
    <w:rsid w:val="263F2B6C"/>
    <w:rsid w:val="263F2E19"/>
    <w:rsid w:val="264439FA"/>
    <w:rsid w:val="26456C69"/>
    <w:rsid w:val="26484C5A"/>
    <w:rsid w:val="264CC37A"/>
    <w:rsid w:val="264FD080"/>
    <w:rsid w:val="265AEB1F"/>
    <w:rsid w:val="26608BE6"/>
    <w:rsid w:val="26617194"/>
    <w:rsid w:val="2661A5DF"/>
    <w:rsid w:val="26696C45"/>
    <w:rsid w:val="266A3959"/>
    <w:rsid w:val="266E9294"/>
    <w:rsid w:val="26704D6A"/>
    <w:rsid w:val="26710C6C"/>
    <w:rsid w:val="267402FD"/>
    <w:rsid w:val="267A1505"/>
    <w:rsid w:val="267DC095"/>
    <w:rsid w:val="267E4F89"/>
    <w:rsid w:val="2684E30A"/>
    <w:rsid w:val="269119AC"/>
    <w:rsid w:val="2692A6D1"/>
    <w:rsid w:val="269A8865"/>
    <w:rsid w:val="269C171D"/>
    <w:rsid w:val="269D027E"/>
    <w:rsid w:val="269F0682"/>
    <w:rsid w:val="26A01A23"/>
    <w:rsid w:val="26A08238"/>
    <w:rsid w:val="26AF3F1B"/>
    <w:rsid w:val="26B0E8CE"/>
    <w:rsid w:val="26B7071C"/>
    <w:rsid w:val="26B76325"/>
    <w:rsid w:val="26B84966"/>
    <w:rsid w:val="26BB2E38"/>
    <w:rsid w:val="26BC1C6A"/>
    <w:rsid w:val="26BDC19B"/>
    <w:rsid w:val="26BEC7E8"/>
    <w:rsid w:val="26C17378"/>
    <w:rsid w:val="26C28372"/>
    <w:rsid w:val="26C46A60"/>
    <w:rsid w:val="26C4BD1C"/>
    <w:rsid w:val="26C4D587"/>
    <w:rsid w:val="26C82240"/>
    <w:rsid w:val="26D3B6A7"/>
    <w:rsid w:val="26DAC8C3"/>
    <w:rsid w:val="26DE5FDA"/>
    <w:rsid w:val="26E9EF98"/>
    <w:rsid w:val="26EBB05A"/>
    <w:rsid w:val="26EBCD1D"/>
    <w:rsid w:val="26EEF834"/>
    <w:rsid w:val="26F1B6EE"/>
    <w:rsid w:val="26F5A626"/>
    <w:rsid w:val="26F8AAAC"/>
    <w:rsid w:val="2702F08B"/>
    <w:rsid w:val="270910FB"/>
    <w:rsid w:val="27096BC7"/>
    <w:rsid w:val="270A760D"/>
    <w:rsid w:val="270D1D8D"/>
    <w:rsid w:val="270D540B"/>
    <w:rsid w:val="270E0B16"/>
    <w:rsid w:val="2710439E"/>
    <w:rsid w:val="27118354"/>
    <w:rsid w:val="2713AEDB"/>
    <w:rsid w:val="2714A19A"/>
    <w:rsid w:val="27206935"/>
    <w:rsid w:val="2721485F"/>
    <w:rsid w:val="272227CF"/>
    <w:rsid w:val="2722522E"/>
    <w:rsid w:val="2722E8D6"/>
    <w:rsid w:val="272375DB"/>
    <w:rsid w:val="2726265F"/>
    <w:rsid w:val="272807B3"/>
    <w:rsid w:val="27310690"/>
    <w:rsid w:val="2735D52B"/>
    <w:rsid w:val="27360CFE"/>
    <w:rsid w:val="273672E4"/>
    <w:rsid w:val="27397E61"/>
    <w:rsid w:val="273ACEA3"/>
    <w:rsid w:val="273BBCA1"/>
    <w:rsid w:val="273C0108"/>
    <w:rsid w:val="273FF1D2"/>
    <w:rsid w:val="273FFD0F"/>
    <w:rsid w:val="274C0510"/>
    <w:rsid w:val="274FA616"/>
    <w:rsid w:val="2751BCAC"/>
    <w:rsid w:val="2759EB9B"/>
    <w:rsid w:val="275FBEC3"/>
    <w:rsid w:val="2766F90C"/>
    <w:rsid w:val="2767E33D"/>
    <w:rsid w:val="276948AA"/>
    <w:rsid w:val="276B83F4"/>
    <w:rsid w:val="2771EA0A"/>
    <w:rsid w:val="27751B71"/>
    <w:rsid w:val="27766D6A"/>
    <w:rsid w:val="2786BE7B"/>
    <w:rsid w:val="278C4AF4"/>
    <w:rsid w:val="278E43CE"/>
    <w:rsid w:val="278EF7E9"/>
    <w:rsid w:val="2798BBAD"/>
    <w:rsid w:val="279EA1EB"/>
    <w:rsid w:val="279F2329"/>
    <w:rsid w:val="27A0E6F5"/>
    <w:rsid w:val="27A26F2E"/>
    <w:rsid w:val="27A639F3"/>
    <w:rsid w:val="27A7B3C2"/>
    <w:rsid w:val="27B3D03B"/>
    <w:rsid w:val="27B6463E"/>
    <w:rsid w:val="27B68E6B"/>
    <w:rsid w:val="27B74EBC"/>
    <w:rsid w:val="27BE33F6"/>
    <w:rsid w:val="27C00450"/>
    <w:rsid w:val="27C1C7B1"/>
    <w:rsid w:val="27C4ECCA"/>
    <w:rsid w:val="27CE0C36"/>
    <w:rsid w:val="27D27227"/>
    <w:rsid w:val="27D2FFD0"/>
    <w:rsid w:val="27D3C0FD"/>
    <w:rsid w:val="27D5DEAD"/>
    <w:rsid w:val="27D5F527"/>
    <w:rsid w:val="27DAAD00"/>
    <w:rsid w:val="27DBD06C"/>
    <w:rsid w:val="27DE3256"/>
    <w:rsid w:val="27DF9CA3"/>
    <w:rsid w:val="27E025C2"/>
    <w:rsid w:val="27E178C8"/>
    <w:rsid w:val="27E3501F"/>
    <w:rsid w:val="27E3AB91"/>
    <w:rsid w:val="27E3B0B2"/>
    <w:rsid w:val="27E79C66"/>
    <w:rsid w:val="27F17818"/>
    <w:rsid w:val="27F1B055"/>
    <w:rsid w:val="27FCB20E"/>
    <w:rsid w:val="2800D7B7"/>
    <w:rsid w:val="28012CF8"/>
    <w:rsid w:val="2804BDE5"/>
    <w:rsid w:val="280762D0"/>
    <w:rsid w:val="2807B6E9"/>
    <w:rsid w:val="28089D4A"/>
    <w:rsid w:val="28098341"/>
    <w:rsid w:val="2809FC93"/>
    <w:rsid w:val="280A3747"/>
    <w:rsid w:val="280B070A"/>
    <w:rsid w:val="280B2BE9"/>
    <w:rsid w:val="280E66A6"/>
    <w:rsid w:val="280F4866"/>
    <w:rsid w:val="2810EFDC"/>
    <w:rsid w:val="2812DB66"/>
    <w:rsid w:val="2813613D"/>
    <w:rsid w:val="28143CAF"/>
    <w:rsid w:val="281AF33E"/>
    <w:rsid w:val="2820B4B9"/>
    <w:rsid w:val="28239611"/>
    <w:rsid w:val="2826997F"/>
    <w:rsid w:val="28272EF4"/>
    <w:rsid w:val="283195CC"/>
    <w:rsid w:val="283481C5"/>
    <w:rsid w:val="283ADFAE"/>
    <w:rsid w:val="284537AE"/>
    <w:rsid w:val="28459C55"/>
    <w:rsid w:val="285012EA"/>
    <w:rsid w:val="28536021"/>
    <w:rsid w:val="28542AFC"/>
    <w:rsid w:val="28562285"/>
    <w:rsid w:val="285A2C5B"/>
    <w:rsid w:val="285B53C6"/>
    <w:rsid w:val="285F0FD6"/>
    <w:rsid w:val="286FD92D"/>
    <w:rsid w:val="287830A1"/>
    <w:rsid w:val="288008AD"/>
    <w:rsid w:val="28872A0E"/>
    <w:rsid w:val="2889EBE7"/>
    <w:rsid w:val="288AE42C"/>
    <w:rsid w:val="2890CB8A"/>
    <w:rsid w:val="289105FC"/>
    <w:rsid w:val="2891E1D5"/>
    <w:rsid w:val="2893534B"/>
    <w:rsid w:val="289492B0"/>
    <w:rsid w:val="28967967"/>
    <w:rsid w:val="2897212B"/>
    <w:rsid w:val="289B8AEB"/>
    <w:rsid w:val="28A05314"/>
    <w:rsid w:val="28A16A65"/>
    <w:rsid w:val="28A367E4"/>
    <w:rsid w:val="28AD8035"/>
    <w:rsid w:val="28B35BB2"/>
    <w:rsid w:val="28B38F2C"/>
    <w:rsid w:val="28B57FFE"/>
    <w:rsid w:val="28B9A1D4"/>
    <w:rsid w:val="28BE6C47"/>
    <w:rsid w:val="28BF5021"/>
    <w:rsid w:val="28C20EDD"/>
    <w:rsid w:val="28C22D89"/>
    <w:rsid w:val="28CDD880"/>
    <w:rsid w:val="28CE3F1A"/>
    <w:rsid w:val="28CEED5E"/>
    <w:rsid w:val="28D29A56"/>
    <w:rsid w:val="28D32EBE"/>
    <w:rsid w:val="28D40B98"/>
    <w:rsid w:val="28D6A9C5"/>
    <w:rsid w:val="28D82BCC"/>
    <w:rsid w:val="28D939A5"/>
    <w:rsid w:val="28D9D373"/>
    <w:rsid w:val="28DCF13A"/>
    <w:rsid w:val="28E5EC59"/>
    <w:rsid w:val="28F08168"/>
    <w:rsid w:val="28F14DE3"/>
    <w:rsid w:val="28F31BFE"/>
    <w:rsid w:val="28FB6477"/>
    <w:rsid w:val="28FCE7FC"/>
    <w:rsid w:val="28FE6922"/>
    <w:rsid w:val="29023C31"/>
    <w:rsid w:val="2905F155"/>
    <w:rsid w:val="29091DDE"/>
    <w:rsid w:val="290B5C30"/>
    <w:rsid w:val="290D3733"/>
    <w:rsid w:val="2910EBD2"/>
    <w:rsid w:val="29119476"/>
    <w:rsid w:val="2913ED84"/>
    <w:rsid w:val="2913F0AB"/>
    <w:rsid w:val="291525F2"/>
    <w:rsid w:val="29163038"/>
    <w:rsid w:val="29166852"/>
    <w:rsid w:val="291AB1E1"/>
    <w:rsid w:val="2923B94A"/>
    <w:rsid w:val="2925C932"/>
    <w:rsid w:val="292979A9"/>
    <w:rsid w:val="2929D1F1"/>
    <w:rsid w:val="292DE90D"/>
    <w:rsid w:val="292E18CC"/>
    <w:rsid w:val="292ECB4F"/>
    <w:rsid w:val="2931AD3F"/>
    <w:rsid w:val="2935AC16"/>
    <w:rsid w:val="2937CEA1"/>
    <w:rsid w:val="29401962"/>
    <w:rsid w:val="2944723A"/>
    <w:rsid w:val="29450E32"/>
    <w:rsid w:val="2945183E"/>
    <w:rsid w:val="2947BB21"/>
    <w:rsid w:val="294B403D"/>
    <w:rsid w:val="294E17E4"/>
    <w:rsid w:val="294E3C52"/>
    <w:rsid w:val="2955907F"/>
    <w:rsid w:val="2955CDBB"/>
    <w:rsid w:val="29569864"/>
    <w:rsid w:val="29576E34"/>
    <w:rsid w:val="2958618E"/>
    <w:rsid w:val="296167C3"/>
    <w:rsid w:val="296A0330"/>
    <w:rsid w:val="296C4DA1"/>
    <w:rsid w:val="296C6B63"/>
    <w:rsid w:val="296CD078"/>
    <w:rsid w:val="296E6949"/>
    <w:rsid w:val="2973D07B"/>
    <w:rsid w:val="2975D869"/>
    <w:rsid w:val="29760D0F"/>
    <w:rsid w:val="29772A32"/>
    <w:rsid w:val="297BB246"/>
    <w:rsid w:val="298E75E8"/>
    <w:rsid w:val="298FFCA5"/>
    <w:rsid w:val="2990BC21"/>
    <w:rsid w:val="29972F36"/>
    <w:rsid w:val="29980B40"/>
    <w:rsid w:val="299C17A8"/>
    <w:rsid w:val="299CA6D7"/>
    <w:rsid w:val="299CE8C0"/>
    <w:rsid w:val="29A71B20"/>
    <w:rsid w:val="29B15FEB"/>
    <w:rsid w:val="29B637D5"/>
    <w:rsid w:val="29B68E44"/>
    <w:rsid w:val="29B6C8B4"/>
    <w:rsid w:val="29B73750"/>
    <w:rsid w:val="29B7C629"/>
    <w:rsid w:val="29BE18A1"/>
    <w:rsid w:val="29C0912B"/>
    <w:rsid w:val="29C4415B"/>
    <w:rsid w:val="29C68B30"/>
    <w:rsid w:val="29C90B6D"/>
    <w:rsid w:val="29C9F199"/>
    <w:rsid w:val="29CA657A"/>
    <w:rsid w:val="29CADDB6"/>
    <w:rsid w:val="29CAFD6A"/>
    <w:rsid w:val="29CE2902"/>
    <w:rsid w:val="29D7293B"/>
    <w:rsid w:val="29D962D1"/>
    <w:rsid w:val="29DA1489"/>
    <w:rsid w:val="29E34A57"/>
    <w:rsid w:val="29E374A8"/>
    <w:rsid w:val="29E45C43"/>
    <w:rsid w:val="29E4B4C7"/>
    <w:rsid w:val="29E698E3"/>
    <w:rsid w:val="29F1F776"/>
    <w:rsid w:val="29F4DB8E"/>
    <w:rsid w:val="29FA1B9E"/>
    <w:rsid w:val="29FB8AE3"/>
    <w:rsid w:val="2A0081D3"/>
    <w:rsid w:val="2A0AB9C3"/>
    <w:rsid w:val="2A0F6AFC"/>
    <w:rsid w:val="2A15C495"/>
    <w:rsid w:val="2A17925D"/>
    <w:rsid w:val="2A226D45"/>
    <w:rsid w:val="2A23AB90"/>
    <w:rsid w:val="2A2D02A6"/>
    <w:rsid w:val="2A34A25A"/>
    <w:rsid w:val="2A3779E6"/>
    <w:rsid w:val="2A37AA32"/>
    <w:rsid w:val="2A397F5D"/>
    <w:rsid w:val="2A39B423"/>
    <w:rsid w:val="2A3F6236"/>
    <w:rsid w:val="2A430D5F"/>
    <w:rsid w:val="2A45CD32"/>
    <w:rsid w:val="2A4972F5"/>
    <w:rsid w:val="2A4C6D91"/>
    <w:rsid w:val="2A4D8C37"/>
    <w:rsid w:val="2A501E4F"/>
    <w:rsid w:val="2A56B52E"/>
    <w:rsid w:val="2A5B4DC1"/>
    <w:rsid w:val="2A5B7389"/>
    <w:rsid w:val="2A609B8F"/>
    <w:rsid w:val="2A690764"/>
    <w:rsid w:val="2A6A1706"/>
    <w:rsid w:val="2A6B41C2"/>
    <w:rsid w:val="2A74458C"/>
    <w:rsid w:val="2A751531"/>
    <w:rsid w:val="2A7737A0"/>
    <w:rsid w:val="2A78DA02"/>
    <w:rsid w:val="2A7A9503"/>
    <w:rsid w:val="2A7B2C20"/>
    <w:rsid w:val="2A7B748C"/>
    <w:rsid w:val="2A7CFD63"/>
    <w:rsid w:val="2A8016E3"/>
    <w:rsid w:val="2A813A2B"/>
    <w:rsid w:val="2A82933D"/>
    <w:rsid w:val="2A83F3B9"/>
    <w:rsid w:val="2A84102C"/>
    <w:rsid w:val="2A93A959"/>
    <w:rsid w:val="2A96CBE9"/>
    <w:rsid w:val="2A9BA689"/>
    <w:rsid w:val="2AA0D9EA"/>
    <w:rsid w:val="2AA117CE"/>
    <w:rsid w:val="2AA1C252"/>
    <w:rsid w:val="2AA6341E"/>
    <w:rsid w:val="2AA86BD6"/>
    <w:rsid w:val="2AAD9B31"/>
    <w:rsid w:val="2AB2960E"/>
    <w:rsid w:val="2AB55509"/>
    <w:rsid w:val="2AB5F9E7"/>
    <w:rsid w:val="2ABB524F"/>
    <w:rsid w:val="2ABBC8ED"/>
    <w:rsid w:val="2ABEDB86"/>
    <w:rsid w:val="2ABFF95F"/>
    <w:rsid w:val="2AC2C502"/>
    <w:rsid w:val="2AC46F37"/>
    <w:rsid w:val="2ACCD278"/>
    <w:rsid w:val="2AD0C8FE"/>
    <w:rsid w:val="2AD55668"/>
    <w:rsid w:val="2ADBF8CC"/>
    <w:rsid w:val="2ADF0B4C"/>
    <w:rsid w:val="2AE4486B"/>
    <w:rsid w:val="2AE5C74D"/>
    <w:rsid w:val="2AE71FE4"/>
    <w:rsid w:val="2AE8F12D"/>
    <w:rsid w:val="2AEA8643"/>
    <w:rsid w:val="2AED53FA"/>
    <w:rsid w:val="2AF040D2"/>
    <w:rsid w:val="2AF29DC5"/>
    <w:rsid w:val="2AF3DB82"/>
    <w:rsid w:val="2AF57D2C"/>
    <w:rsid w:val="2AFD1BDA"/>
    <w:rsid w:val="2B03FAF5"/>
    <w:rsid w:val="2B04D4EB"/>
    <w:rsid w:val="2B0589C8"/>
    <w:rsid w:val="2B0FCDFE"/>
    <w:rsid w:val="2B151C68"/>
    <w:rsid w:val="2B178985"/>
    <w:rsid w:val="2B1AE1CD"/>
    <w:rsid w:val="2B23341A"/>
    <w:rsid w:val="2B274D8F"/>
    <w:rsid w:val="2B27A3EB"/>
    <w:rsid w:val="2B2AC024"/>
    <w:rsid w:val="2B2CA514"/>
    <w:rsid w:val="2B2DBB32"/>
    <w:rsid w:val="2B2DBFE2"/>
    <w:rsid w:val="2B2E8BCA"/>
    <w:rsid w:val="2B315468"/>
    <w:rsid w:val="2B3326B5"/>
    <w:rsid w:val="2B3791B9"/>
    <w:rsid w:val="2B385B73"/>
    <w:rsid w:val="2B393AEC"/>
    <w:rsid w:val="2B3E2A18"/>
    <w:rsid w:val="2B406B0B"/>
    <w:rsid w:val="2B471A5D"/>
    <w:rsid w:val="2B475B4C"/>
    <w:rsid w:val="2B4A8C56"/>
    <w:rsid w:val="2B4BA0EF"/>
    <w:rsid w:val="2B4BB99E"/>
    <w:rsid w:val="2B4BFD01"/>
    <w:rsid w:val="2B4EF31F"/>
    <w:rsid w:val="2B571399"/>
    <w:rsid w:val="2B57A002"/>
    <w:rsid w:val="2B61A046"/>
    <w:rsid w:val="2B65A8D2"/>
    <w:rsid w:val="2B686077"/>
    <w:rsid w:val="2B699FF7"/>
    <w:rsid w:val="2B69C365"/>
    <w:rsid w:val="2B741704"/>
    <w:rsid w:val="2B7CB2A7"/>
    <w:rsid w:val="2B7EE74C"/>
    <w:rsid w:val="2B803B48"/>
    <w:rsid w:val="2B82A8D0"/>
    <w:rsid w:val="2B830609"/>
    <w:rsid w:val="2B88F087"/>
    <w:rsid w:val="2B8E703F"/>
    <w:rsid w:val="2B959314"/>
    <w:rsid w:val="2B9A8C7B"/>
    <w:rsid w:val="2B9C2680"/>
    <w:rsid w:val="2B9F9886"/>
    <w:rsid w:val="2BA09C9A"/>
    <w:rsid w:val="2BA2DAEE"/>
    <w:rsid w:val="2BA3C7B1"/>
    <w:rsid w:val="2BAC000B"/>
    <w:rsid w:val="2BACE9AC"/>
    <w:rsid w:val="2BAE73B8"/>
    <w:rsid w:val="2BB19F89"/>
    <w:rsid w:val="2BB26161"/>
    <w:rsid w:val="2BB34001"/>
    <w:rsid w:val="2BC13CAE"/>
    <w:rsid w:val="2BC17939"/>
    <w:rsid w:val="2BC258CD"/>
    <w:rsid w:val="2BC3DAF4"/>
    <w:rsid w:val="2BC664BE"/>
    <w:rsid w:val="2BC716DA"/>
    <w:rsid w:val="2BCAB059"/>
    <w:rsid w:val="2BCCE817"/>
    <w:rsid w:val="2BCEC1ED"/>
    <w:rsid w:val="2BD04F72"/>
    <w:rsid w:val="2BD8F6C8"/>
    <w:rsid w:val="2BD9B9B8"/>
    <w:rsid w:val="2BDDF614"/>
    <w:rsid w:val="2BE3BA50"/>
    <w:rsid w:val="2BE5F799"/>
    <w:rsid w:val="2BEF68B9"/>
    <w:rsid w:val="2BF243AA"/>
    <w:rsid w:val="2BF57BD0"/>
    <w:rsid w:val="2BF5CC1D"/>
    <w:rsid w:val="2BFA6D1B"/>
    <w:rsid w:val="2BFA7240"/>
    <w:rsid w:val="2BFD8A7D"/>
    <w:rsid w:val="2BFE6C7B"/>
    <w:rsid w:val="2BFFD4D6"/>
    <w:rsid w:val="2C013783"/>
    <w:rsid w:val="2C0C5EDA"/>
    <w:rsid w:val="2C100312"/>
    <w:rsid w:val="2C139047"/>
    <w:rsid w:val="2C18828A"/>
    <w:rsid w:val="2C1B5E59"/>
    <w:rsid w:val="2C1BBAAE"/>
    <w:rsid w:val="2C1DC647"/>
    <w:rsid w:val="2C231056"/>
    <w:rsid w:val="2C2390DA"/>
    <w:rsid w:val="2C2555AE"/>
    <w:rsid w:val="2C2BB87F"/>
    <w:rsid w:val="2C30B191"/>
    <w:rsid w:val="2C314341"/>
    <w:rsid w:val="2C32C837"/>
    <w:rsid w:val="2C35660C"/>
    <w:rsid w:val="2C361E2B"/>
    <w:rsid w:val="2C38099F"/>
    <w:rsid w:val="2C3CA701"/>
    <w:rsid w:val="2C3E6A22"/>
    <w:rsid w:val="2C42A4CE"/>
    <w:rsid w:val="2C4594C6"/>
    <w:rsid w:val="2C5307D9"/>
    <w:rsid w:val="2C535971"/>
    <w:rsid w:val="2C56DD24"/>
    <w:rsid w:val="2C574C9C"/>
    <w:rsid w:val="2C5BD58C"/>
    <w:rsid w:val="2C5DE245"/>
    <w:rsid w:val="2C5F872A"/>
    <w:rsid w:val="2C5FA5E5"/>
    <w:rsid w:val="2C62FEEA"/>
    <w:rsid w:val="2C63DEC3"/>
    <w:rsid w:val="2C65180C"/>
    <w:rsid w:val="2C6703EA"/>
    <w:rsid w:val="2C68896F"/>
    <w:rsid w:val="2C6AD1B3"/>
    <w:rsid w:val="2C6C6007"/>
    <w:rsid w:val="2C6CE2BB"/>
    <w:rsid w:val="2C6F0F4E"/>
    <w:rsid w:val="2C7377C4"/>
    <w:rsid w:val="2C76A3D4"/>
    <w:rsid w:val="2C76CA66"/>
    <w:rsid w:val="2C776E88"/>
    <w:rsid w:val="2C7A54D1"/>
    <w:rsid w:val="2C7BAE26"/>
    <w:rsid w:val="2C8170B4"/>
    <w:rsid w:val="2C818FD7"/>
    <w:rsid w:val="2C830F4C"/>
    <w:rsid w:val="2C83EBE8"/>
    <w:rsid w:val="2C8D08CB"/>
    <w:rsid w:val="2C93A793"/>
    <w:rsid w:val="2CA579E2"/>
    <w:rsid w:val="2CA72236"/>
    <w:rsid w:val="2CA7475C"/>
    <w:rsid w:val="2CA881DF"/>
    <w:rsid w:val="2CA95AA2"/>
    <w:rsid w:val="2CAD792B"/>
    <w:rsid w:val="2CAED2C6"/>
    <w:rsid w:val="2CB02F6D"/>
    <w:rsid w:val="2CB7494A"/>
    <w:rsid w:val="2CBF0D1A"/>
    <w:rsid w:val="2CCBD879"/>
    <w:rsid w:val="2CCDED26"/>
    <w:rsid w:val="2CCF409C"/>
    <w:rsid w:val="2CDF5992"/>
    <w:rsid w:val="2CE25F27"/>
    <w:rsid w:val="2CE619A5"/>
    <w:rsid w:val="2CE7DA1E"/>
    <w:rsid w:val="2CE9ECC9"/>
    <w:rsid w:val="2CEDB8AC"/>
    <w:rsid w:val="2CF14FF7"/>
    <w:rsid w:val="2CF471F0"/>
    <w:rsid w:val="2CFC7337"/>
    <w:rsid w:val="2CFEF561"/>
    <w:rsid w:val="2CFF6248"/>
    <w:rsid w:val="2D0327F6"/>
    <w:rsid w:val="2D03E012"/>
    <w:rsid w:val="2D074723"/>
    <w:rsid w:val="2D0FB15D"/>
    <w:rsid w:val="2D13745C"/>
    <w:rsid w:val="2D183516"/>
    <w:rsid w:val="2D259EDB"/>
    <w:rsid w:val="2D292C08"/>
    <w:rsid w:val="2D2D7019"/>
    <w:rsid w:val="2D31CF70"/>
    <w:rsid w:val="2D323EAE"/>
    <w:rsid w:val="2D323F8F"/>
    <w:rsid w:val="2D34B7A6"/>
    <w:rsid w:val="2D3BBD0E"/>
    <w:rsid w:val="2D3DC6E7"/>
    <w:rsid w:val="2D418816"/>
    <w:rsid w:val="2D42DEC8"/>
    <w:rsid w:val="2D4B7EF9"/>
    <w:rsid w:val="2D4FAFC6"/>
    <w:rsid w:val="2D536ECC"/>
    <w:rsid w:val="2D53A89D"/>
    <w:rsid w:val="2D5852D1"/>
    <w:rsid w:val="2D5A2726"/>
    <w:rsid w:val="2D5E0B7E"/>
    <w:rsid w:val="2D60EAAB"/>
    <w:rsid w:val="2D62BBD1"/>
    <w:rsid w:val="2D62FA23"/>
    <w:rsid w:val="2D6A3320"/>
    <w:rsid w:val="2D6BF7DD"/>
    <w:rsid w:val="2D6CBCC5"/>
    <w:rsid w:val="2D715C2B"/>
    <w:rsid w:val="2D72E7F0"/>
    <w:rsid w:val="2D77B532"/>
    <w:rsid w:val="2D7A6461"/>
    <w:rsid w:val="2D7AAC69"/>
    <w:rsid w:val="2D7DD2DF"/>
    <w:rsid w:val="2D7E237C"/>
    <w:rsid w:val="2D81C5D9"/>
    <w:rsid w:val="2D85507F"/>
    <w:rsid w:val="2D8A9CFE"/>
    <w:rsid w:val="2D8D3D30"/>
    <w:rsid w:val="2D8ED912"/>
    <w:rsid w:val="2D901D9E"/>
    <w:rsid w:val="2D94050A"/>
    <w:rsid w:val="2D950475"/>
    <w:rsid w:val="2D987A97"/>
    <w:rsid w:val="2D9C7652"/>
    <w:rsid w:val="2D9CB62C"/>
    <w:rsid w:val="2D9D0442"/>
    <w:rsid w:val="2DA1AF65"/>
    <w:rsid w:val="2DA3562C"/>
    <w:rsid w:val="2DA650F2"/>
    <w:rsid w:val="2DB23357"/>
    <w:rsid w:val="2DB64AEB"/>
    <w:rsid w:val="2DB77F78"/>
    <w:rsid w:val="2DC5EABA"/>
    <w:rsid w:val="2DC90518"/>
    <w:rsid w:val="2DCB2467"/>
    <w:rsid w:val="2DCD0FAF"/>
    <w:rsid w:val="2DCEB95B"/>
    <w:rsid w:val="2DD0079C"/>
    <w:rsid w:val="2DD1F429"/>
    <w:rsid w:val="2DD237B1"/>
    <w:rsid w:val="2DD5771C"/>
    <w:rsid w:val="2DE425B2"/>
    <w:rsid w:val="2DE459C9"/>
    <w:rsid w:val="2DEBB3AC"/>
    <w:rsid w:val="2DF50DE3"/>
    <w:rsid w:val="2E062EFF"/>
    <w:rsid w:val="2E0764DE"/>
    <w:rsid w:val="2E07BCC3"/>
    <w:rsid w:val="2E07BDBC"/>
    <w:rsid w:val="2E0D373D"/>
    <w:rsid w:val="2E0EC351"/>
    <w:rsid w:val="2E14120A"/>
    <w:rsid w:val="2E155989"/>
    <w:rsid w:val="2E29FC3F"/>
    <w:rsid w:val="2E2BE899"/>
    <w:rsid w:val="2E2E3AAB"/>
    <w:rsid w:val="2E32DC26"/>
    <w:rsid w:val="2E3540F1"/>
    <w:rsid w:val="2E40A7C8"/>
    <w:rsid w:val="2E40D434"/>
    <w:rsid w:val="2E4193D6"/>
    <w:rsid w:val="2E429186"/>
    <w:rsid w:val="2E42E12A"/>
    <w:rsid w:val="2E45211B"/>
    <w:rsid w:val="2E46264D"/>
    <w:rsid w:val="2E4E340E"/>
    <w:rsid w:val="2E5387A7"/>
    <w:rsid w:val="2E55E9B1"/>
    <w:rsid w:val="2E5D506E"/>
    <w:rsid w:val="2E5E298E"/>
    <w:rsid w:val="2E64E916"/>
    <w:rsid w:val="2E64F175"/>
    <w:rsid w:val="2E662EEA"/>
    <w:rsid w:val="2E681AF4"/>
    <w:rsid w:val="2E6A6A34"/>
    <w:rsid w:val="2E6B72C2"/>
    <w:rsid w:val="2E6D2A73"/>
    <w:rsid w:val="2E7579DA"/>
    <w:rsid w:val="2E789259"/>
    <w:rsid w:val="2E7D4115"/>
    <w:rsid w:val="2E7EC1B2"/>
    <w:rsid w:val="2E80A08D"/>
    <w:rsid w:val="2E829D62"/>
    <w:rsid w:val="2E84A73E"/>
    <w:rsid w:val="2E88BC56"/>
    <w:rsid w:val="2E91A1C1"/>
    <w:rsid w:val="2E9BC589"/>
    <w:rsid w:val="2EA08948"/>
    <w:rsid w:val="2EA16389"/>
    <w:rsid w:val="2EA2D489"/>
    <w:rsid w:val="2EA78FD7"/>
    <w:rsid w:val="2EA8E93C"/>
    <w:rsid w:val="2EAE4544"/>
    <w:rsid w:val="2EB1B034"/>
    <w:rsid w:val="2EB49A94"/>
    <w:rsid w:val="2EB6F1A5"/>
    <w:rsid w:val="2EBED56C"/>
    <w:rsid w:val="2EC1C03B"/>
    <w:rsid w:val="2EC55338"/>
    <w:rsid w:val="2EC7478B"/>
    <w:rsid w:val="2EC8A05E"/>
    <w:rsid w:val="2ECA8C17"/>
    <w:rsid w:val="2ECD26C2"/>
    <w:rsid w:val="2ED56C61"/>
    <w:rsid w:val="2ED7AD26"/>
    <w:rsid w:val="2ED81FE8"/>
    <w:rsid w:val="2EDC0CD0"/>
    <w:rsid w:val="2EDD5A0F"/>
    <w:rsid w:val="2EDD99B5"/>
    <w:rsid w:val="2EE4863C"/>
    <w:rsid w:val="2EE6D806"/>
    <w:rsid w:val="2EE7CA6B"/>
    <w:rsid w:val="2EE996B8"/>
    <w:rsid w:val="2EEC8D07"/>
    <w:rsid w:val="2EED7533"/>
    <w:rsid w:val="2EF4437C"/>
    <w:rsid w:val="2EF5A60B"/>
    <w:rsid w:val="2EF65D26"/>
    <w:rsid w:val="2EFAA0CA"/>
    <w:rsid w:val="2EFE4512"/>
    <w:rsid w:val="2EFED388"/>
    <w:rsid w:val="2F002A25"/>
    <w:rsid w:val="2F02C9A1"/>
    <w:rsid w:val="2F0513B2"/>
    <w:rsid w:val="2F08D677"/>
    <w:rsid w:val="2F0E19FB"/>
    <w:rsid w:val="2F0EC33D"/>
    <w:rsid w:val="2F0FB90B"/>
    <w:rsid w:val="2F138E13"/>
    <w:rsid w:val="2F13D2F7"/>
    <w:rsid w:val="2F13E3BD"/>
    <w:rsid w:val="2F17072E"/>
    <w:rsid w:val="2F1A5AC7"/>
    <w:rsid w:val="2F1ADBEC"/>
    <w:rsid w:val="2F1ADCB7"/>
    <w:rsid w:val="2F1B07F8"/>
    <w:rsid w:val="2F1BA11F"/>
    <w:rsid w:val="2F1DA746"/>
    <w:rsid w:val="2F212B0B"/>
    <w:rsid w:val="2F22A204"/>
    <w:rsid w:val="2F2DC9CD"/>
    <w:rsid w:val="2F33B233"/>
    <w:rsid w:val="2F3553EB"/>
    <w:rsid w:val="2F360DBB"/>
    <w:rsid w:val="2F3B36C6"/>
    <w:rsid w:val="2F3EC757"/>
    <w:rsid w:val="2F4097ED"/>
    <w:rsid w:val="2F4571AF"/>
    <w:rsid w:val="2F4C6BA5"/>
    <w:rsid w:val="2F4EDB51"/>
    <w:rsid w:val="2F50D0BB"/>
    <w:rsid w:val="2F519E99"/>
    <w:rsid w:val="2F51B00A"/>
    <w:rsid w:val="2F526DE6"/>
    <w:rsid w:val="2F562D89"/>
    <w:rsid w:val="2F57DE9F"/>
    <w:rsid w:val="2F62B978"/>
    <w:rsid w:val="2F62E559"/>
    <w:rsid w:val="2F64A636"/>
    <w:rsid w:val="2F64E5AF"/>
    <w:rsid w:val="2F69A4A4"/>
    <w:rsid w:val="2F69BE36"/>
    <w:rsid w:val="2F6F60E2"/>
    <w:rsid w:val="2F721ED9"/>
    <w:rsid w:val="2F7AF715"/>
    <w:rsid w:val="2F7BBC56"/>
    <w:rsid w:val="2F7E86D1"/>
    <w:rsid w:val="2F817ECD"/>
    <w:rsid w:val="2F840AAA"/>
    <w:rsid w:val="2F86BAE6"/>
    <w:rsid w:val="2F9937A2"/>
    <w:rsid w:val="2F9BB7EC"/>
    <w:rsid w:val="2F9C0A4B"/>
    <w:rsid w:val="2F9DED9B"/>
    <w:rsid w:val="2FA149C8"/>
    <w:rsid w:val="2FA2BBF9"/>
    <w:rsid w:val="2FA3F3FE"/>
    <w:rsid w:val="2FA44C8A"/>
    <w:rsid w:val="2FAB2D76"/>
    <w:rsid w:val="2FAB7915"/>
    <w:rsid w:val="2FAE19FC"/>
    <w:rsid w:val="2FAEAC9A"/>
    <w:rsid w:val="2FB1C52E"/>
    <w:rsid w:val="2FB96239"/>
    <w:rsid w:val="2FBE8F17"/>
    <w:rsid w:val="2FC71D9A"/>
    <w:rsid w:val="2FC9A202"/>
    <w:rsid w:val="2FCF7A5E"/>
    <w:rsid w:val="2FDEBA9B"/>
    <w:rsid w:val="2FE366CE"/>
    <w:rsid w:val="2FE3DA30"/>
    <w:rsid w:val="2FF092C9"/>
    <w:rsid w:val="2FF37961"/>
    <w:rsid w:val="2FFA3925"/>
    <w:rsid w:val="300DE10A"/>
    <w:rsid w:val="3016C8B4"/>
    <w:rsid w:val="3018DB04"/>
    <w:rsid w:val="301F9B9F"/>
    <w:rsid w:val="302DBE7C"/>
    <w:rsid w:val="3035125A"/>
    <w:rsid w:val="303ACDB7"/>
    <w:rsid w:val="3042EEBA"/>
    <w:rsid w:val="3046894E"/>
    <w:rsid w:val="304A05D1"/>
    <w:rsid w:val="30506AF5"/>
    <w:rsid w:val="30518ED3"/>
    <w:rsid w:val="305330D9"/>
    <w:rsid w:val="30598495"/>
    <w:rsid w:val="3061DF69"/>
    <w:rsid w:val="3062C8E3"/>
    <w:rsid w:val="306374DD"/>
    <w:rsid w:val="30657A16"/>
    <w:rsid w:val="306D90C1"/>
    <w:rsid w:val="307172BF"/>
    <w:rsid w:val="3071F7F0"/>
    <w:rsid w:val="30725A77"/>
    <w:rsid w:val="30743BAD"/>
    <w:rsid w:val="307E67A1"/>
    <w:rsid w:val="3080D9B7"/>
    <w:rsid w:val="3084558B"/>
    <w:rsid w:val="30852FBD"/>
    <w:rsid w:val="30894594"/>
    <w:rsid w:val="308A347A"/>
    <w:rsid w:val="3091DB86"/>
    <w:rsid w:val="309AD028"/>
    <w:rsid w:val="309BFD27"/>
    <w:rsid w:val="30A1158B"/>
    <w:rsid w:val="30A2E528"/>
    <w:rsid w:val="30A5B18F"/>
    <w:rsid w:val="30A74CB4"/>
    <w:rsid w:val="30AF3856"/>
    <w:rsid w:val="30AF92DF"/>
    <w:rsid w:val="30B12C13"/>
    <w:rsid w:val="30BCB5F8"/>
    <w:rsid w:val="30BD8C71"/>
    <w:rsid w:val="30BEECB1"/>
    <w:rsid w:val="30BFBF52"/>
    <w:rsid w:val="30C0093C"/>
    <w:rsid w:val="30C6C9CF"/>
    <w:rsid w:val="30CD78D8"/>
    <w:rsid w:val="30CF6918"/>
    <w:rsid w:val="30D7606D"/>
    <w:rsid w:val="30DC233C"/>
    <w:rsid w:val="30DC4F1A"/>
    <w:rsid w:val="30E293E7"/>
    <w:rsid w:val="30E4D394"/>
    <w:rsid w:val="30E64F7C"/>
    <w:rsid w:val="30EB8814"/>
    <w:rsid w:val="30EDDC78"/>
    <w:rsid w:val="30F50096"/>
    <w:rsid w:val="30F52445"/>
    <w:rsid w:val="30F7AC7F"/>
    <w:rsid w:val="30F85691"/>
    <w:rsid w:val="30FD36CC"/>
    <w:rsid w:val="30FE1AAB"/>
    <w:rsid w:val="31033B4B"/>
    <w:rsid w:val="3104BFCB"/>
    <w:rsid w:val="31095491"/>
    <w:rsid w:val="3109BAEA"/>
    <w:rsid w:val="310A45FB"/>
    <w:rsid w:val="310ADAE5"/>
    <w:rsid w:val="310D8A33"/>
    <w:rsid w:val="310DAF94"/>
    <w:rsid w:val="3115FF9E"/>
    <w:rsid w:val="3118F1A6"/>
    <w:rsid w:val="31233BFF"/>
    <w:rsid w:val="3126B253"/>
    <w:rsid w:val="3128E691"/>
    <w:rsid w:val="312A8087"/>
    <w:rsid w:val="312AF9C5"/>
    <w:rsid w:val="312BDACE"/>
    <w:rsid w:val="312CD33C"/>
    <w:rsid w:val="312F8B7A"/>
    <w:rsid w:val="3136ED51"/>
    <w:rsid w:val="31376D1A"/>
    <w:rsid w:val="313F4CC6"/>
    <w:rsid w:val="31406ED7"/>
    <w:rsid w:val="3140B490"/>
    <w:rsid w:val="3149332E"/>
    <w:rsid w:val="3151AB95"/>
    <w:rsid w:val="3153911A"/>
    <w:rsid w:val="3154D7CB"/>
    <w:rsid w:val="315D6B59"/>
    <w:rsid w:val="315D7CBD"/>
    <w:rsid w:val="31602C06"/>
    <w:rsid w:val="31640201"/>
    <w:rsid w:val="316EB85F"/>
    <w:rsid w:val="316F4C5B"/>
    <w:rsid w:val="3170A63C"/>
    <w:rsid w:val="3171D8DA"/>
    <w:rsid w:val="317519AC"/>
    <w:rsid w:val="3175FCAF"/>
    <w:rsid w:val="3181270C"/>
    <w:rsid w:val="31830AAC"/>
    <w:rsid w:val="31871957"/>
    <w:rsid w:val="318E8876"/>
    <w:rsid w:val="318F59C8"/>
    <w:rsid w:val="31916122"/>
    <w:rsid w:val="3195C51F"/>
    <w:rsid w:val="31983B09"/>
    <w:rsid w:val="319875C3"/>
    <w:rsid w:val="319ADE13"/>
    <w:rsid w:val="319FCA08"/>
    <w:rsid w:val="31A419EF"/>
    <w:rsid w:val="31A772E9"/>
    <w:rsid w:val="31ABBC46"/>
    <w:rsid w:val="31B598A0"/>
    <w:rsid w:val="31B63D96"/>
    <w:rsid w:val="31B75548"/>
    <w:rsid w:val="31B8CE9A"/>
    <w:rsid w:val="31BBE226"/>
    <w:rsid w:val="31BE28FF"/>
    <w:rsid w:val="31C0BB1B"/>
    <w:rsid w:val="31C33DA8"/>
    <w:rsid w:val="31C53697"/>
    <w:rsid w:val="31C575A9"/>
    <w:rsid w:val="31C75A30"/>
    <w:rsid w:val="31CFE89D"/>
    <w:rsid w:val="31D1E00B"/>
    <w:rsid w:val="31D388EA"/>
    <w:rsid w:val="31D4CD51"/>
    <w:rsid w:val="31DF99AE"/>
    <w:rsid w:val="31E5895F"/>
    <w:rsid w:val="31E83009"/>
    <w:rsid w:val="31EB8B2B"/>
    <w:rsid w:val="31ED60EE"/>
    <w:rsid w:val="31EDF8C9"/>
    <w:rsid w:val="31F3A8EF"/>
    <w:rsid w:val="31F5B7A1"/>
    <w:rsid w:val="31F716A6"/>
    <w:rsid w:val="31F896B2"/>
    <w:rsid w:val="31FC0CA1"/>
    <w:rsid w:val="32071E02"/>
    <w:rsid w:val="3208F9F2"/>
    <w:rsid w:val="3209D1DD"/>
    <w:rsid w:val="320CF913"/>
    <w:rsid w:val="321272A3"/>
    <w:rsid w:val="32145BD2"/>
    <w:rsid w:val="321598BE"/>
    <w:rsid w:val="3219EE4B"/>
    <w:rsid w:val="321DBB68"/>
    <w:rsid w:val="32239710"/>
    <w:rsid w:val="3225B5D6"/>
    <w:rsid w:val="322C36EB"/>
    <w:rsid w:val="322CB95C"/>
    <w:rsid w:val="322D73B3"/>
    <w:rsid w:val="322D7DBB"/>
    <w:rsid w:val="32327CDD"/>
    <w:rsid w:val="3239D6BF"/>
    <w:rsid w:val="3239DDC4"/>
    <w:rsid w:val="323A6A63"/>
    <w:rsid w:val="323A7D91"/>
    <w:rsid w:val="323CC006"/>
    <w:rsid w:val="323F84D3"/>
    <w:rsid w:val="324270DE"/>
    <w:rsid w:val="3245FB61"/>
    <w:rsid w:val="324AA195"/>
    <w:rsid w:val="32516C35"/>
    <w:rsid w:val="3254640A"/>
    <w:rsid w:val="325BAE7C"/>
    <w:rsid w:val="325BF199"/>
    <w:rsid w:val="32623182"/>
    <w:rsid w:val="3262ACC3"/>
    <w:rsid w:val="3265228D"/>
    <w:rsid w:val="32692128"/>
    <w:rsid w:val="326D4270"/>
    <w:rsid w:val="326DC1DD"/>
    <w:rsid w:val="326F78B9"/>
    <w:rsid w:val="327668FD"/>
    <w:rsid w:val="32768B4D"/>
    <w:rsid w:val="3281C762"/>
    <w:rsid w:val="32837DE0"/>
    <w:rsid w:val="3284F8A0"/>
    <w:rsid w:val="3285F83F"/>
    <w:rsid w:val="328C41EE"/>
    <w:rsid w:val="328CC7B7"/>
    <w:rsid w:val="329C9D4C"/>
    <w:rsid w:val="329E2139"/>
    <w:rsid w:val="329F104B"/>
    <w:rsid w:val="32A1A0D3"/>
    <w:rsid w:val="32A23022"/>
    <w:rsid w:val="32A8AEB9"/>
    <w:rsid w:val="32AE197D"/>
    <w:rsid w:val="32AF52F1"/>
    <w:rsid w:val="32B09AF8"/>
    <w:rsid w:val="32B0C17E"/>
    <w:rsid w:val="32B15684"/>
    <w:rsid w:val="32B38BD6"/>
    <w:rsid w:val="32B3A88D"/>
    <w:rsid w:val="32B489EC"/>
    <w:rsid w:val="32B4F70F"/>
    <w:rsid w:val="32BA966A"/>
    <w:rsid w:val="32BD7A9E"/>
    <w:rsid w:val="32C6475D"/>
    <w:rsid w:val="32C8032A"/>
    <w:rsid w:val="32CA5E26"/>
    <w:rsid w:val="32D138D6"/>
    <w:rsid w:val="32D24C47"/>
    <w:rsid w:val="32D481BB"/>
    <w:rsid w:val="32D52106"/>
    <w:rsid w:val="32D7E714"/>
    <w:rsid w:val="32E1D56A"/>
    <w:rsid w:val="32E9B09D"/>
    <w:rsid w:val="32EA777B"/>
    <w:rsid w:val="32EB06E4"/>
    <w:rsid w:val="32F0A8A6"/>
    <w:rsid w:val="32F18974"/>
    <w:rsid w:val="32FC65D2"/>
    <w:rsid w:val="32FE1054"/>
    <w:rsid w:val="32FF393C"/>
    <w:rsid w:val="32FF590E"/>
    <w:rsid w:val="3302F786"/>
    <w:rsid w:val="330AA7E1"/>
    <w:rsid w:val="330B228F"/>
    <w:rsid w:val="330DE8DE"/>
    <w:rsid w:val="330F9B88"/>
    <w:rsid w:val="33125EDA"/>
    <w:rsid w:val="3313CDD2"/>
    <w:rsid w:val="331504F9"/>
    <w:rsid w:val="33156E89"/>
    <w:rsid w:val="33170EAF"/>
    <w:rsid w:val="331AB957"/>
    <w:rsid w:val="3320E1DD"/>
    <w:rsid w:val="3321C213"/>
    <w:rsid w:val="33286127"/>
    <w:rsid w:val="332DF1AF"/>
    <w:rsid w:val="332E824D"/>
    <w:rsid w:val="33364894"/>
    <w:rsid w:val="333E117C"/>
    <w:rsid w:val="3342C78B"/>
    <w:rsid w:val="33450FF7"/>
    <w:rsid w:val="3346B7F8"/>
    <w:rsid w:val="3352E7F7"/>
    <w:rsid w:val="335772CA"/>
    <w:rsid w:val="33581920"/>
    <w:rsid w:val="33621CE0"/>
    <w:rsid w:val="33643FE1"/>
    <w:rsid w:val="3367E900"/>
    <w:rsid w:val="3368FE31"/>
    <w:rsid w:val="336B513B"/>
    <w:rsid w:val="336C91DC"/>
    <w:rsid w:val="336DAF20"/>
    <w:rsid w:val="33722FE3"/>
    <w:rsid w:val="3372323B"/>
    <w:rsid w:val="3374B9BD"/>
    <w:rsid w:val="3374D0E1"/>
    <w:rsid w:val="33770DD9"/>
    <w:rsid w:val="337CF650"/>
    <w:rsid w:val="337DDF3D"/>
    <w:rsid w:val="338066A8"/>
    <w:rsid w:val="3384DFE3"/>
    <w:rsid w:val="338567C3"/>
    <w:rsid w:val="33859011"/>
    <w:rsid w:val="3389798C"/>
    <w:rsid w:val="338A45D4"/>
    <w:rsid w:val="33908450"/>
    <w:rsid w:val="339153C8"/>
    <w:rsid w:val="3392F881"/>
    <w:rsid w:val="3393DB9B"/>
    <w:rsid w:val="339980EA"/>
    <w:rsid w:val="339D521B"/>
    <w:rsid w:val="339D7A54"/>
    <w:rsid w:val="339EEB79"/>
    <w:rsid w:val="33A2B5DE"/>
    <w:rsid w:val="33A338D1"/>
    <w:rsid w:val="33A47F2B"/>
    <w:rsid w:val="33A896F6"/>
    <w:rsid w:val="33ACBD84"/>
    <w:rsid w:val="33B6E745"/>
    <w:rsid w:val="33B74BCA"/>
    <w:rsid w:val="33B8C6FA"/>
    <w:rsid w:val="33B9509B"/>
    <w:rsid w:val="33B9DF4B"/>
    <w:rsid w:val="33BAE4D0"/>
    <w:rsid w:val="33BCDA12"/>
    <w:rsid w:val="33C11778"/>
    <w:rsid w:val="33C1DFB9"/>
    <w:rsid w:val="33C4A8CE"/>
    <w:rsid w:val="33CD5043"/>
    <w:rsid w:val="33CF3702"/>
    <w:rsid w:val="33CF77FA"/>
    <w:rsid w:val="33D9D3D2"/>
    <w:rsid w:val="33DCA1B8"/>
    <w:rsid w:val="33E1C158"/>
    <w:rsid w:val="33E2AA83"/>
    <w:rsid w:val="33E73A06"/>
    <w:rsid w:val="33E7A6E6"/>
    <w:rsid w:val="33F4F03F"/>
    <w:rsid w:val="33F6EA5D"/>
    <w:rsid w:val="33FE048A"/>
    <w:rsid w:val="33FF9DBA"/>
    <w:rsid w:val="3406EA54"/>
    <w:rsid w:val="34078B74"/>
    <w:rsid w:val="340A5B75"/>
    <w:rsid w:val="341130C3"/>
    <w:rsid w:val="3416BD17"/>
    <w:rsid w:val="342B2750"/>
    <w:rsid w:val="342D621B"/>
    <w:rsid w:val="34314346"/>
    <w:rsid w:val="3434FD47"/>
    <w:rsid w:val="343EF2C8"/>
    <w:rsid w:val="343F5585"/>
    <w:rsid w:val="3441AB16"/>
    <w:rsid w:val="3441F41D"/>
    <w:rsid w:val="34443541"/>
    <w:rsid w:val="3445B229"/>
    <w:rsid w:val="3447A136"/>
    <w:rsid w:val="344B6023"/>
    <w:rsid w:val="344E82C6"/>
    <w:rsid w:val="344F9F0F"/>
    <w:rsid w:val="344FEF44"/>
    <w:rsid w:val="345157E9"/>
    <w:rsid w:val="34570194"/>
    <w:rsid w:val="3457E9A3"/>
    <w:rsid w:val="345F2BD4"/>
    <w:rsid w:val="3462ED7F"/>
    <w:rsid w:val="3468F2A4"/>
    <w:rsid w:val="346A2D20"/>
    <w:rsid w:val="346A58C5"/>
    <w:rsid w:val="3472F260"/>
    <w:rsid w:val="3478F069"/>
    <w:rsid w:val="3481A3B5"/>
    <w:rsid w:val="3482BB4D"/>
    <w:rsid w:val="3483270E"/>
    <w:rsid w:val="34843055"/>
    <w:rsid w:val="3486090B"/>
    <w:rsid w:val="34870455"/>
    <w:rsid w:val="34871234"/>
    <w:rsid w:val="34891DFB"/>
    <w:rsid w:val="348DA140"/>
    <w:rsid w:val="348EA051"/>
    <w:rsid w:val="349E0C66"/>
    <w:rsid w:val="349FADD1"/>
    <w:rsid w:val="34A2F7C0"/>
    <w:rsid w:val="34A6CD9F"/>
    <w:rsid w:val="34AAA3A4"/>
    <w:rsid w:val="34AB9FAD"/>
    <w:rsid w:val="34B3AF86"/>
    <w:rsid w:val="34B448CF"/>
    <w:rsid w:val="34BDA582"/>
    <w:rsid w:val="34C1E8DC"/>
    <w:rsid w:val="34C3E3A8"/>
    <w:rsid w:val="34C89142"/>
    <w:rsid w:val="34C9DAD9"/>
    <w:rsid w:val="34CC80DE"/>
    <w:rsid w:val="34D529EB"/>
    <w:rsid w:val="34D673E7"/>
    <w:rsid w:val="34D82EA3"/>
    <w:rsid w:val="34D9939B"/>
    <w:rsid w:val="34DC8B95"/>
    <w:rsid w:val="34EC1937"/>
    <w:rsid w:val="34EC8453"/>
    <w:rsid w:val="34ECF0B6"/>
    <w:rsid w:val="34EE5CBF"/>
    <w:rsid w:val="34EECE4D"/>
    <w:rsid w:val="34F1D6F2"/>
    <w:rsid w:val="34F973AB"/>
    <w:rsid w:val="34FB9DD1"/>
    <w:rsid w:val="34FC52DC"/>
    <w:rsid w:val="34FE89A8"/>
    <w:rsid w:val="3500BC28"/>
    <w:rsid w:val="350352A5"/>
    <w:rsid w:val="35044095"/>
    <w:rsid w:val="35055DC0"/>
    <w:rsid w:val="35061BA0"/>
    <w:rsid w:val="35070221"/>
    <w:rsid w:val="35093437"/>
    <w:rsid w:val="350C5589"/>
    <w:rsid w:val="350DAB6E"/>
    <w:rsid w:val="3515BA25"/>
    <w:rsid w:val="351BE27B"/>
    <w:rsid w:val="351CC93C"/>
    <w:rsid w:val="3521FDA3"/>
    <w:rsid w:val="35241219"/>
    <w:rsid w:val="3528E866"/>
    <w:rsid w:val="352B5DDC"/>
    <w:rsid w:val="353C58F5"/>
    <w:rsid w:val="353CF423"/>
    <w:rsid w:val="35403031"/>
    <w:rsid w:val="3547372A"/>
    <w:rsid w:val="35493BD8"/>
    <w:rsid w:val="354A90A4"/>
    <w:rsid w:val="354AA562"/>
    <w:rsid w:val="355D3A28"/>
    <w:rsid w:val="3564C793"/>
    <w:rsid w:val="35657BE7"/>
    <w:rsid w:val="35660C71"/>
    <w:rsid w:val="35669B28"/>
    <w:rsid w:val="356AEDDB"/>
    <w:rsid w:val="356AF0DE"/>
    <w:rsid w:val="356DF5E8"/>
    <w:rsid w:val="356F0C17"/>
    <w:rsid w:val="3571FB1B"/>
    <w:rsid w:val="3572D1FD"/>
    <w:rsid w:val="35781C1D"/>
    <w:rsid w:val="35790629"/>
    <w:rsid w:val="35792E6E"/>
    <w:rsid w:val="357ADE13"/>
    <w:rsid w:val="357E53A1"/>
    <w:rsid w:val="357F81E3"/>
    <w:rsid w:val="35820AE2"/>
    <w:rsid w:val="35892D9B"/>
    <w:rsid w:val="358A0674"/>
    <w:rsid w:val="358D2918"/>
    <w:rsid w:val="359690B8"/>
    <w:rsid w:val="359B2F0E"/>
    <w:rsid w:val="359E3646"/>
    <w:rsid w:val="35A15FB9"/>
    <w:rsid w:val="35A2C35D"/>
    <w:rsid w:val="35A33999"/>
    <w:rsid w:val="35A46463"/>
    <w:rsid w:val="35A9B1D1"/>
    <w:rsid w:val="35AEF5B6"/>
    <w:rsid w:val="35B17A7E"/>
    <w:rsid w:val="35B2F4E4"/>
    <w:rsid w:val="35B35056"/>
    <w:rsid w:val="35B40022"/>
    <w:rsid w:val="35B48E78"/>
    <w:rsid w:val="35B4A6A9"/>
    <w:rsid w:val="35B68D1F"/>
    <w:rsid w:val="35B97A41"/>
    <w:rsid w:val="35C0C670"/>
    <w:rsid w:val="35C14942"/>
    <w:rsid w:val="35C69233"/>
    <w:rsid w:val="35C8118C"/>
    <w:rsid w:val="35C9A7AB"/>
    <w:rsid w:val="35DB2429"/>
    <w:rsid w:val="35E3A964"/>
    <w:rsid w:val="35E7CC81"/>
    <w:rsid w:val="35EF73B7"/>
    <w:rsid w:val="35F00C28"/>
    <w:rsid w:val="35F226B3"/>
    <w:rsid w:val="35F4072B"/>
    <w:rsid w:val="35F515D0"/>
    <w:rsid w:val="35F77CAC"/>
    <w:rsid w:val="35F9A30A"/>
    <w:rsid w:val="35F9F901"/>
    <w:rsid w:val="35FBAD5C"/>
    <w:rsid w:val="36048D8F"/>
    <w:rsid w:val="36074CF2"/>
    <w:rsid w:val="361055CF"/>
    <w:rsid w:val="3610F406"/>
    <w:rsid w:val="3615EE41"/>
    <w:rsid w:val="3615FDDC"/>
    <w:rsid w:val="3616977E"/>
    <w:rsid w:val="36171D75"/>
    <w:rsid w:val="361B1033"/>
    <w:rsid w:val="361C9620"/>
    <w:rsid w:val="361CBED5"/>
    <w:rsid w:val="361D7DA7"/>
    <w:rsid w:val="361F541A"/>
    <w:rsid w:val="36222256"/>
    <w:rsid w:val="3627E39D"/>
    <w:rsid w:val="362DAAA4"/>
    <w:rsid w:val="362F160C"/>
    <w:rsid w:val="36308312"/>
    <w:rsid w:val="3634C953"/>
    <w:rsid w:val="3635744E"/>
    <w:rsid w:val="3637DD3A"/>
    <w:rsid w:val="363C2E3B"/>
    <w:rsid w:val="363CD89F"/>
    <w:rsid w:val="363D5B54"/>
    <w:rsid w:val="363DE4F5"/>
    <w:rsid w:val="363FEEE8"/>
    <w:rsid w:val="36450333"/>
    <w:rsid w:val="364758D6"/>
    <w:rsid w:val="364A231B"/>
    <w:rsid w:val="364F5AAD"/>
    <w:rsid w:val="3657D30D"/>
    <w:rsid w:val="365A840C"/>
    <w:rsid w:val="365B9060"/>
    <w:rsid w:val="36632F7E"/>
    <w:rsid w:val="366540F9"/>
    <w:rsid w:val="3665CAF6"/>
    <w:rsid w:val="3666A090"/>
    <w:rsid w:val="3668D889"/>
    <w:rsid w:val="3669BBC9"/>
    <w:rsid w:val="366DAE79"/>
    <w:rsid w:val="367146FE"/>
    <w:rsid w:val="3671C34E"/>
    <w:rsid w:val="3681162F"/>
    <w:rsid w:val="3682F758"/>
    <w:rsid w:val="36836881"/>
    <w:rsid w:val="368372A0"/>
    <w:rsid w:val="3688349C"/>
    <w:rsid w:val="368FC759"/>
    <w:rsid w:val="3691A1B8"/>
    <w:rsid w:val="3697CE7E"/>
    <w:rsid w:val="36999D50"/>
    <w:rsid w:val="369A6512"/>
    <w:rsid w:val="369C42BE"/>
    <w:rsid w:val="369DAB0A"/>
    <w:rsid w:val="369E9E82"/>
    <w:rsid w:val="36A6E726"/>
    <w:rsid w:val="36A7139A"/>
    <w:rsid w:val="36A97D55"/>
    <w:rsid w:val="36AA59C7"/>
    <w:rsid w:val="36AA5BE8"/>
    <w:rsid w:val="36B89611"/>
    <w:rsid w:val="36C49D40"/>
    <w:rsid w:val="36C7ED61"/>
    <w:rsid w:val="36C860BF"/>
    <w:rsid w:val="36CB2697"/>
    <w:rsid w:val="36D468F1"/>
    <w:rsid w:val="36D5B9F4"/>
    <w:rsid w:val="36DE55C8"/>
    <w:rsid w:val="36E0C1F7"/>
    <w:rsid w:val="36E1FBFF"/>
    <w:rsid w:val="36E2948B"/>
    <w:rsid w:val="36E321CC"/>
    <w:rsid w:val="36E3CC2C"/>
    <w:rsid w:val="36E4A3CF"/>
    <w:rsid w:val="36E71FC1"/>
    <w:rsid w:val="36E9BFA0"/>
    <w:rsid w:val="36EA672C"/>
    <w:rsid w:val="36EBF311"/>
    <w:rsid w:val="36F18B49"/>
    <w:rsid w:val="36F1A04B"/>
    <w:rsid w:val="3700A784"/>
    <w:rsid w:val="37049CD4"/>
    <w:rsid w:val="3705A8FE"/>
    <w:rsid w:val="3707B340"/>
    <w:rsid w:val="37080DDB"/>
    <w:rsid w:val="370A6AD6"/>
    <w:rsid w:val="370ADB3D"/>
    <w:rsid w:val="37121987"/>
    <w:rsid w:val="37122A74"/>
    <w:rsid w:val="3712BA06"/>
    <w:rsid w:val="371A3F11"/>
    <w:rsid w:val="37235664"/>
    <w:rsid w:val="37319C3A"/>
    <w:rsid w:val="3734D330"/>
    <w:rsid w:val="3736A41A"/>
    <w:rsid w:val="3737EBCA"/>
    <w:rsid w:val="37392765"/>
    <w:rsid w:val="373CD361"/>
    <w:rsid w:val="373F2825"/>
    <w:rsid w:val="373FEB5F"/>
    <w:rsid w:val="37439278"/>
    <w:rsid w:val="37443032"/>
    <w:rsid w:val="3746DCB6"/>
    <w:rsid w:val="3747372C"/>
    <w:rsid w:val="374D2CFC"/>
    <w:rsid w:val="374F42BE"/>
    <w:rsid w:val="375504DA"/>
    <w:rsid w:val="3757AE1A"/>
    <w:rsid w:val="375AEA30"/>
    <w:rsid w:val="375BB73B"/>
    <w:rsid w:val="375C204C"/>
    <w:rsid w:val="375DDC1A"/>
    <w:rsid w:val="375E164E"/>
    <w:rsid w:val="37604A89"/>
    <w:rsid w:val="3761590D"/>
    <w:rsid w:val="3762AAFB"/>
    <w:rsid w:val="3765A749"/>
    <w:rsid w:val="3769C29E"/>
    <w:rsid w:val="376DF10A"/>
    <w:rsid w:val="37748CE9"/>
    <w:rsid w:val="377C6A40"/>
    <w:rsid w:val="377E234C"/>
    <w:rsid w:val="377E5F6B"/>
    <w:rsid w:val="3783F45D"/>
    <w:rsid w:val="37887ED2"/>
    <w:rsid w:val="37888470"/>
    <w:rsid w:val="3788F48E"/>
    <w:rsid w:val="378A58C9"/>
    <w:rsid w:val="378AEEFA"/>
    <w:rsid w:val="378B469B"/>
    <w:rsid w:val="378BE26B"/>
    <w:rsid w:val="378CECAE"/>
    <w:rsid w:val="3792AD21"/>
    <w:rsid w:val="379364BE"/>
    <w:rsid w:val="37955BD4"/>
    <w:rsid w:val="379A29E7"/>
    <w:rsid w:val="379B0F6F"/>
    <w:rsid w:val="379BBC93"/>
    <w:rsid w:val="379E2B94"/>
    <w:rsid w:val="379E67E1"/>
    <w:rsid w:val="37A11916"/>
    <w:rsid w:val="37A674FB"/>
    <w:rsid w:val="37AA17F9"/>
    <w:rsid w:val="37AB6B18"/>
    <w:rsid w:val="37AFECEC"/>
    <w:rsid w:val="37B04E1A"/>
    <w:rsid w:val="37B0C358"/>
    <w:rsid w:val="37B1F975"/>
    <w:rsid w:val="37B2BFE1"/>
    <w:rsid w:val="37B2CB83"/>
    <w:rsid w:val="37B6DF9A"/>
    <w:rsid w:val="37B77E99"/>
    <w:rsid w:val="37BB0BB9"/>
    <w:rsid w:val="37BBAEC9"/>
    <w:rsid w:val="37BC4B3C"/>
    <w:rsid w:val="37C34667"/>
    <w:rsid w:val="37C5339D"/>
    <w:rsid w:val="37CA4730"/>
    <w:rsid w:val="37CB0775"/>
    <w:rsid w:val="37CCD7F9"/>
    <w:rsid w:val="37D0A8D3"/>
    <w:rsid w:val="37D0C66A"/>
    <w:rsid w:val="37D70C6C"/>
    <w:rsid w:val="37D90F08"/>
    <w:rsid w:val="37D947AC"/>
    <w:rsid w:val="37DA7521"/>
    <w:rsid w:val="37DAA27D"/>
    <w:rsid w:val="37DC0938"/>
    <w:rsid w:val="37DED3B3"/>
    <w:rsid w:val="37E1A296"/>
    <w:rsid w:val="37E7093A"/>
    <w:rsid w:val="37E9616E"/>
    <w:rsid w:val="37EEAC29"/>
    <w:rsid w:val="37EEFCE2"/>
    <w:rsid w:val="37F021D7"/>
    <w:rsid w:val="37F4364F"/>
    <w:rsid w:val="37FEEC68"/>
    <w:rsid w:val="38038AF4"/>
    <w:rsid w:val="38040BB6"/>
    <w:rsid w:val="38055269"/>
    <w:rsid w:val="380824B9"/>
    <w:rsid w:val="380983D8"/>
    <w:rsid w:val="380A52A5"/>
    <w:rsid w:val="380C30F9"/>
    <w:rsid w:val="380E444A"/>
    <w:rsid w:val="3810CDB4"/>
    <w:rsid w:val="381257A1"/>
    <w:rsid w:val="381D04BE"/>
    <w:rsid w:val="382082C8"/>
    <w:rsid w:val="382313DE"/>
    <w:rsid w:val="38232018"/>
    <w:rsid w:val="3825DE53"/>
    <w:rsid w:val="3827C62E"/>
    <w:rsid w:val="382A7E07"/>
    <w:rsid w:val="3832181A"/>
    <w:rsid w:val="3837FC12"/>
    <w:rsid w:val="38387869"/>
    <w:rsid w:val="38441138"/>
    <w:rsid w:val="38444AB6"/>
    <w:rsid w:val="38488F4A"/>
    <w:rsid w:val="38491C2C"/>
    <w:rsid w:val="384C2BA6"/>
    <w:rsid w:val="384D222C"/>
    <w:rsid w:val="384DA284"/>
    <w:rsid w:val="385A5762"/>
    <w:rsid w:val="3861E5CA"/>
    <w:rsid w:val="3862316F"/>
    <w:rsid w:val="38649A12"/>
    <w:rsid w:val="3866A618"/>
    <w:rsid w:val="386B242D"/>
    <w:rsid w:val="386C3756"/>
    <w:rsid w:val="386C3D10"/>
    <w:rsid w:val="386D5A04"/>
    <w:rsid w:val="386EE23A"/>
    <w:rsid w:val="386FED38"/>
    <w:rsid w:val="387713DD"/>
    <w:rsid w:val="3879F4C4"/>
    <w:rsid w:val="3881EAC1"/>
    <w:rsid w:val="3887911F"/>
    <w:rsid w:val="388B0EC0"/>
    <w:rsid w:val="388EDEB7"/>
    <w:rsid w:val="388FA975"/>
    <w:rsid w:val="389C3F41"/>
    <w:rsid w:val="389D7622"/>
    <w:rsid w:val="389DF922"/>
    <w:rsid w:val="389E0A90"/>
    <w:rsid w:val="389E4E99"/>
    <w:rsid w:val="38A1CE9D"/>
    <w:rsid w:val="38A2CD26"/>
    <w:rsid w:val="38A9D79A"/>
    <w:rsid w:val="38AAF8A9"/>
    <w:rsid w:val="38AC095C"/>
    <w:rsid w:val="38AD3FE8"/>
    <w:rsid w:val="38B0F9D0"/>
    <w:rsid w:val="38B3958F"/>
    <w:rsid w:val="38B7EE9B"/>
    <w:rsid w:val="38BAB003"/>
    <w:rsid w:val="38C7203B"/>
    <w:rsid w:val="38CAA687"/>
    <w:rsid w:val="38D2CF21"/>
    <w:rsid w:val="38D48F2B"/>
    <w:rsid w:val="38DB96CD"/>
    <w:rsid w:val="38E0B2C4"/>
    <w:rsid w:val="38E0B30B"/>
    <w:rsid w:val="38E36CD2"/>
    <w:rsid w:val="38E37DCB"/>
    <w:rsid w:val="38E57226"/>
    <w:rsid w:val="38E5BF5A"/>
    <w:rsid w:val="38E5E76D"/>
    <w:rsid w:val="38E8A8E8"/>
    <w:rsid w:val="38EA0E35"/>
    <w:rsid w:val="38EEE116"/>
    <w:rsid w:val="38F1FD29"/>
    <w:rsid w:val="38F5989B"/>
    <w:rsid w:val="38F789E4"/>
    <w:rsid w:val="38F970A9"/>
    <w:rsid w:val="3901BE9D"/>
    <w:rsid w:val="39022DFC"/>
    <w:rsid w:val="39064996"/>
    <w:rsid w:val="390B0577"/>
    <w:rsid w:val="390B56B3"/>
    <w:rsid w:val="390E5EC1"/>
    <w:rsid w:val="39162B76"/>
    <w:rsid w:val="39180ABF"/>
    <w:rsid w:val="39193B1F"/>
    <w:rsid w:val="391BDB57"/>
    <w:rsid w:val="391CBF7D"/>
    <w:rsid w:val="3920D96F"/>
    <w:rsid w:val="3921C7FE"/>
    <w:rsid w:val="39224311"/>
    <w:rsid w:val="3925FBF3"/>
    <w:rsid w:val="392B9439"/>
    <w:rsid w:val="392BE6D2"/>
    <w:rsid w:val="392CA85B"/>
    <w:rsid w:val="3930391B"/>
    <w:rsid w:val="393092B2"/>
    <w:rsid w:val="39311BE9"/>
    <w:rsid w:val="39317564"/>
    <w:rsid w:val="3934F15D"/>
    <w:rsid w:val="393620FA"/>
    <w:rsid w:val="39390430"/>
    <w:rsid w:val="393B525C"/>
    <w:rsid w:val="39434915"/>
    <w:rsid w:val="3948C374"/>
    <w:rsid w:val="3948FACB"/>
    <w:rsid w:val="3953898B"/>
    <w:rsid w:val="395477EC"/>
    <w:rsid w:val="3955924E"/>
    <w:rsid w:val="395F66AC"/>
    <w:rsid w:val="395F8525"/>
    <w:rsid w:val="3960A1DF"/>
    <w:rsid w:val="3960E2E4"/>
    <w:rsid w:val="396BF72B"/>
    <w:rsid w:val="39715FE2"/>
    <w:rsid w:val="3975061B"/>
    <w:rsid w:val="3977D4F2"/>
    <w:rsid w:val="397D83E6"/>
    <w:rsid w:val="3985C74F"/>
    <w:rsid w:val="398C8934"/>
    <w:rsid w:val="398D02AB"/>
    <w:rsid w:val="398F5790"/>
    <w:rsid w:val="3992AD92"/>
    <w:rsid w:val="399B6E3B"/>
    <w:rsid w:val="399DC585"/>
    <w:rsid w:val="399ECA6A"/>
    <w:rsid w:val="39A5A13D"/>
    <w:rsid w:val="39A8C6B1"/>
    <w:rsid w:val="39AE6A90"/>
    <w:rsid w:val="39B61ED7"/>
    <w:rsid w:val="39B72107"/>
    <w:rsid w:val="39BAF7BB"/>
    <w:rsid w:val="39C11534"/>
    <w:rsid w:val="39C13A40"/>
    <w:rsid w:val="39CB2336"/>
    <w:rsid w:val="39CE8467"/>
    <w:rsid w:val="39D327A7"/>
    <w:rsid w:val="39D33DDC"/>
    <w:rsid w:val="39D79246"/>
    <w:rsid w:val="39DC21AC"/>
    <w:rsid w:val="39E1C77D"/>
    <w:rsid w:val="39E1CA21"/>
    <w:rsid w:val="39E65F81"/>
    <w:rsid w:val="39E811A0"/>
    <w:rsid w:val="39ED893E"/>
    <w:rsid w:val="39EF9CD8"/>
    <w:rsid w:val="39F32FCA"/>
    <w:rsid w:val="39F9060B"/>
    <w:rsid w:val="39F98758"/>
    <w:rsid w:val="39FB4ECE"/>
    <w:rsid w:val="39FC8471"/>
    <w:rsid w:val="3A00C42C"/>
    <w:rsid w:val="3A01EB29"/>
    <w:rsid w:val="3A087B21"/>
    <w:rsid w:val="3A0ABD06"/>
    <w:rsid w:val="3A0E82E7"/>
    <w:rsid w:val="3A0EA7E8"/>
    <w:rsid w:val="3A155CBD"/>
    <w:rsid w:val="3A176E3E"/>
    <w:rsid w:val="3A17CE56"/>
    <w:rsid w:val="3A1AD28F"/>
    <w:rsid w:val="3A20324A"/>
    <w:rsid w:val="3A23F594"/>
    <w:rsid w:val="3A253EE2"/>
    <w:rsid w:val="3A258B2B"/>
    <w:rsid w:val="3A2E36B6"/>
    <w:rsid w:val="3A2F39B4"/>
    <w:rsid w:val="3A32885B"/>
    <w:rsid w:val="3A33213E"/>
    <w:rsid w:val="3A338E9C"/>
    <w:rsid w:val="3A33A193"/>
    <w:rsid w:val="3A3A21CF"/>
    <w:rsid w:val="3A40A715"/>
    <w:rsid w:val="3A4174B5"/>
    <w:rsid w:val="3A419F60"/>
    <w:rsid w:val="3A429B19"/>
    <w:rsid w:val="3A437A65"/>
    <w:rsid w:val="3A45BC88"/>
    <w:rsid w:val="3A461154"/>
    <w:rsid w:val="3A471C04"/>
    <w:rsid w:val="3A47BCF3"/>
    <w:rsid w:val="3A491556"/>
    <w:rsid w:val="3A4D718D"/>
    <w:rsid w:val="3A4F5643"/>
    <w:rsid w:val="3A505913"/>
    <w:rsid w:val="3A526D49"/>
    <w:rsid w:val="3A549221"/>
    <w:rsid w:val="3A578129"/>
    <w:rsid w:val="3A593686"/>
    <w:rsid w:val="3A5CEA21"/>
    <w:rsid w:val="3A5E777C"/>
    <w:rsid w:val="3A62A7AF"/>
    <w:rsid w:val="3A69E822"/>
    <w:rsid w:val="3A6F57B0"/>
    <w:rsid w:val="3A75CD1A"/>
    <w:rsid w:val="3A7697E9"/>
    <w:rsid w:val="3A7CE674"/>
    <w:rsid w:val="3A7E67BD"/>
    <w:rsid w:val="3A89C7AC"/>
    <w:rsid w:val="3A8A9C65"/>
    <w:rsid w:val="3A8BCB84"/>
    <w:rsid w:val="3A8D7C86"/>
    <w:rsid w:val="3A94A2AF"/>
    <w:rsid w:val="3A9CAF09"/>
    <w:rsid w:val="3A9E47B4"/>
    <w:rsid w:val="3A9EDED9"/>
    <w:rsid w:val="3A9F1D7A"/>
    <w:rsid w:val="3AA3F7A2"/>
    <w:rsid w:val="3AA775BF"/>
    <w:rsid w:val="3AAB8923"/>
    <w:rsid w:val="3AB0E96D"/>
    <w:rsid w:val="3AB11E21"/>
    <w:rsid w:val="3AB1558B"/>
    <w:rsid w:val="3AB420CF"/>
    <w:rsid w:val="3AB49B3E"/>
    <w:rsid w:val="3AB84DD3"/>
    <w:rsid w:val="3ABCEFFE"/>
    <w:rsid w:val="3AC57943"/>
    <w:rsid w:val="3AC59842"/>
    <w:rsid w:val="3AC886F3"/>
    <w:rsid w:val="3ACAAF51"/>
    <w:rsid w:val="3ACD05D3"/>
    <w:rsid w:val="3ADF3712"/>
    <w:rsid w:val="3AE25D54"/>
    <w:rsid w:val="3AE42BD6"/>
    <w:rsid w:val="3AE6677B"/>
    <w:rsid w:val="3AE716C2"/>
    <w:rsid w:val="3AE87C11"/>
    <w:rsid w:val="3AE8CF2F"/>
    <w:rsid w:val="3AE91B11"/>
    <w:rsid w:val="3AEEC3EB"/>
    <w:rsid w:val="3AF13D0A"/>
    <w:rsid w:val="3AFC8CF9"/>
    <w:rsid w:val="3AFD6D85"/>
    <w:rsid w:val="3B06AEBC"/>
    <w:rsid w:val="3B0A6A25"/>
    <w:rsid w:val="3B0A9642"/>
    <w:rsid w:val="3B0C48CE"/>
    <w:rsid w:val="3B12A2F7"/>
    <w:rsid w:val="3B162755"/>
    <w:rsid w:val="3B178CD9"/>
    <w:rsid w:val="3B192DE0"/>
    <w:rsid w:val="3B199E47"/>
    <w:rsid w:val="3B1A36AC"/>
    <w:rsid w:val="3B1AD6EA"/>
    <w:rsid w:val="3B1CBC4C"/>
    <w:rsid w:val="3B1FE2DF"/>
    <w:rsid w:val="3B213DDA"/>
    <w:rsid w:val="3B22A259"/>
    <w:rsid w:val="3B2FB25C"/>
    <w:rsid w:val="3B33B047"/>
    <w:rsid w:val="3B35FAFB"/>
    <w:rsid w:val="3B393833"/>
    <w:rsid w:val="3B3CABBD"/>
    <w:rsid w:val="3B40C742"/>
    <w:rsid w:val="3B430200"/>
    <w:rsid w:val="3B44EF80"/>
    <w:rsid w:val="3B46E333"/>
    <w:rsid w:val="3B48751A"/>
    <w:rsid w:val="3B4A0353"/>
    <w:rsid w:val="3B4C9980"/>
    <w:rsid w:val="3B4EEFA3"/>
    <w:rsid w:val="3B529547"/>
    <w:rsid w:val="3B54E072"/>
    <w:rsid w:val="3B57E9E1"/>
    <w:rsid w:val="3B5BE63B"/>
    <w:rsid w:val="3B616B73"/>
    <w:rsid w:val="3B66919E"/>
    <w:rsid w:val="3B67B933"/>
    <w:rsid w:val="3B695A33"/>
    <w:rsid w:val="3B696CF3"/>
    <w:rsid w:val="3B6C935A"/>
    <w:rsid w:val="3B6D51CB"/>
    <w:rsid w:val="3B6DA34A"/>
    <w:rsid w:val="3B6FEAF9"/>
    <w:rsid w:val="3B728537"/>
    <w:rsid w:val="3B728C31"/>
    <w:rsid w:val="3B73F116"/>
    <w:rsid w:val="3B7421A4"/>
    <w:rsid w:val="3B74A56A"/>
    <w:rsid w:val="3B74E8B1"/>
    <w:rsid w:val="3B776EE3"/>
    <w:rsid w:val="3B783E3E"/>
    <w:rsid w:val="3B79E72D"/>
    <w:rsid w:val="3B7BABB9"/>
    <w:rsid w:val="3B857B90"/>
    <w:rsid w:val="3B877B18"/>
    <w:rsid w:val="3B87BCB1"/>
    <w:rsid w:val="3B8DAA4A"/>
    <w:rsid w:val="3B9180A9"/>
    <w:rsid w:val="3B9796D8"/>
    <w:rsid w:val="3B99C084"/>
    <w:rsid w:val="3B9BEECB"/>
    <w:rsid w:val="3B9C909B"/>
    <w:rsid w:val="3BA291B2"/>
    <w:rsid w:val="3BA50D4C"/>
    <w:rsid w:val="3BA7C4DD"/>
    <w:rsid w:val="3BA95385"/>
    <w:rsid w:val="3BABACA6"/>
    <w:rsid w:val="3BAC944F"/>
    <w:rsid w:val="3BAD5988"/>
    <w:rsid w:val="3BADC222"/>
    <w:rsid w:val="3BAF6D81"/>
    <w:rsid w:val="3BB04602"/>
    <w:rsid w:val="3BB1E44B"/>
    <w:rsid w:val="3BB3762C"/>
    <w:rsid w:val="3BB4890D"/>
    <w:rsid w:val="3BB63BC8"/>
    <w:rsid w:val="3BB8968B"/>
    <w:rsid w:val="3BBC7731"/>
    <w:rsid w:val="3BBF8DD8"/>
    <w:rsid w:val="3BC21B3F"/>
    <w:rsid w:val="3BC71126"/>
    <w:rsid w:val="3BC8B54C"/>
    <w:rsid w:val="3BCC422A"/>
    <w:rsid w:val="3BCFAE98"/>
    <w:rsid w:val="3BCFF511"/>
    <w:rsid w:val="3BD1EB43"/>
    <w:rsid w:val="3BDA0F8D"/>
    <w:rsid w:val="3BDD248F"/>
    <w:rsid w:val="3BDE5097"/>
    <w:rsid w:val="3BE05359"/>
    <w:rsid w:val="3BE2B16E"/>
    <w:rsid w:val="3BE3FD56"/>
    <w:rsid w:val="3BE52C25"/>
    <w:rsid w:val="3BE65A7B"/>
    <w:rsid w:val="3BE8C771"/>
    <w:rsid w:val="3BEA3E69"/>
    <w:rsid w:val="3BEB9E6E"/>
    <w:rsid w:val="3BEFACA2"/>
    <w:rsid w:val="3BF7F66E"/>
    <w:rsid w:val="3BFB8792"/>
    <w:rsid w:val="3BFC6CA5"/>
    <w:rsid w:val="3BFE6A8A"/>
    <w:rsid w:val="3C0276DA"/>
    <w:rsid w:val="3C02F185"/>
    <w:rsid w:val="3C062168"/>
    <w:rsid w:val="3C07493B"/>
    <w:rsid w:val="3C077BFE"/>
    <w:rsid w:val="3C0E0917"/>
    <w:rsid w:val="3C0FA172"/>
    <w:rsid w:val="3C16C987"/>
    <w:rsid w:val="3C185CC5"/>
    <w:rsid w:val="3C2B9B6C"/>
    <w:rsid w:val="3C3135D1"/>
    <w:rsid w:val="3C332E9E"/>
    <w:rsid w:val="3C3534B8"/>
    <w:rsid w:val="3C394374"/>
    <w:rsid w:val="3C40B046"/>
    <w:rsid w:val="3C44A0AA"/>
    <w:rsid w:val="3C44FCA5"/>
    <w:rsid w:val="3C4A8588"/>
    <w:rsid w:val="3C4A8E7F"/>
    <w:rsid w:val="3C4B3B71"/>
    <w:rsid w:val="3C509028"/>
    <w:rsid w:val="3C5184FA"/>
    <w:rsid w:val="3C5250BD"/>
    <w:rsid w:val="3C5567DD"/>
    <w:rsid w:val="3C56F010"/>
    <w:rsid w:val="3C5DFE5D"/>
    <w:rsid w:val="3C67099C"/>
    <w:rsid w:val="3C6E6A99"/>
    <w:rsid w:val="3C6E8E1F"/>
    <w:rsid w:val="3C701B54"/>
    <w:rsid w:val="3C716A26"/>
    <w:rsid w:val="3C72FC0E"/>
    <w:rsid w:val="3C733EEB"/>
    <w:rsid w:val="3C74E14C"/>
    <w:rsid w:val="3C7CB55D"/>
    <w:rsid w:val="3C8E84BD"/>
    <w:rsid w:val="3C8F691D"/>
    <w:rsid w:val="3C8FA648"/>
    <w:rsid w:val="3C9120EC"/>
    <w:rsid w:val="3C941FAB"/>
    <w:rsid w:val="3C943BB7"/>
    <w:rsid w:val="3C94B173"/>
    <w:rsid w:val="3C9BD94A"/>
    <w:rsid w:val="3CA34E98"/>
    <w:rsid w:val="3CA77CF9"/>
    <w:rsid w:val="3CAB0042"/>
    <w:rsid w:val="3CAB8F35"/>
    <w:rsid w:val="3CAC80DA"/>
    <w:rsid w:val="3CAD56B1"/>
    <w:rsid w:val="3CAD974B"/>
    <w:rsid w:val="3CAF4A4D"/>
    <w:rsid w:val="3CB02984"/>
    <w:rsid w:val="3CB36CED"/>
    <w:rsid w:val="3CBBF259"/>
    <w:rsid w:val="3CBDA677"/>
    <w:rsid w:val="3CC6D0DE"/>
    <w:rsid w:val="3CC6DD8F"/>
    <w:rsid w:val="3CCAC5B7"/>
    <w:rsid w:val="3CCCEDD2"/>
    <w:rsid w:val="3CCF8E62"/>
    <w:rsid w:val="3CD0C5E7"/>
    <w:rsid w:val="3CD0FBAF"/>
    <w:rsid w:val="3CD55AA7"/>
    <w:rsid w:val="3CD56AA7"/>
    <w:rsid w:val="3CE252ED"/>
    <w:rsid w:val="3CE7105F"/>
    <w:rsid w:val="3CE98624"/>
    <w:rsid w:val="3CEAF0B0"/>
    <w:rsid w:val="3CEBD6CF"/>
    <w:rsid w:val="3CF0E965"/>
    <w:rsid w:val="3CF6C17C"/>
    <w:rsid w:val="3CFD2CC1"/>
    <w:rsid w:val="3D006537"/>
    <w:rsid w:val="3D0911D0"/>
    <w:rsid w:val="3D09DF75"/>
    <w:rsid w:val="3D0ADABA"/>
    <w:rsid w:val="3D0E303A"/>
    <w:rsid w:val="3D0F1058"/>
    <w:rsid w:val="3D0FA17C"/>
    <w:rsid w:val="3D106B30"/>
    <w:rsid w:val="3D14830E"/>
    <w:rsid w:val="3D159F70"/>
    <w:rsid w:val="3D18E212"/>
    <w:rsid w:val="3D1A96D3"/>
    <w:rsid w:val="3D1AB355"/>
    <w:rsid w:val="3D1B0F47"/>
    <w:rsid w:val="3D26AD3F"/>
    <w:rsid w:val="3D280FE0"/>
    <w:rsid w:val="3D296379"/>
    <w:rsid w:val="3D29C77A"/>
    <w:rsid w:val="3D2B9E59"/>
    <w:rsid w:val="3D302FC5"/>
    <w:rsid w:val="3D31B082"/>
    <w:rsid w:val="3D35019B"/>
    <w:rsid w:val="3D35C12A"/>
    <w:rsid w:val="3D3C1D9E"/>
    <w:rsid w:val="3D4923EE"/>
    <w:rsid w:val="3D49C110"/>
    <w:rsid w:val="3D49F23B"/>
    <w:rsid w:val="3D4E2679"/>
    <w:rsid w:val="3D53D581"/>
    <w:rsid w:val="3D54C2C1"/>
    <w:rsid w:val="3D55C5FF"/>
    <w:rsid w:val="3D575799"/>
    <w:rsid w:val="3D5A97B9"/>
    <w:rsid w:val="3D5BD134"/>
    <w:rsid w:val="3D5E7930"/>
    <w:rsid w:val="3D647224"/>
    <w:rsid w:val="3D649B90"/>
    <w:rsid w:val="3D65B07D"/>
    <w:rsid w:val="3D663E83"/>
    <w:rsid w:val="3D6717EB"/>
    <w:rsid w:val="3D6723EB"/>
    <w:rsid w:val="3D67EC69"/>
    <w:rsid w:val="3D727717"/>
    <w:rsid w:val="3D73C447"/>
    <w:rsid w:val="3D73F72F"/>
    <w:rsid w:val="3D756589"/>
    <w:rsid w:val="3D7D42B6"/>
    <w:rsid w:val="3D7DAD52"/>
    <w:rsid w:val="3D7E94BC"/>
    <w:rsid w:val="3D80D717"/>
    <w:rsid w:val="3D838F1F"/>
    <w:rsid w:val="3D85F22B"/>
    <w:rsid w:val="3D8795FA"/>
    <w:rsid w:val="3D880034"/>
    <w:rsid w:val="3D8DD357"/>
    <w:rsid w:val="3D8F2ED9"/>
    <w:rsid w:val="3D902659"/>
    <w:rsid w:val="3D909402"/>
    <w:rsid w:val="3D918FCA"/>
    <w:rsid w:val="3D92E6D2"/>
    <w:rsid w:val="3D93037A"/>
    <w:rsid w:val="3D98EEB0"/>
    <w:rsid w:val="3D9975CF"/>
    <w:rsid w:val="3D9AF354"/>
    <w:rsid w:val="3D9C3E25"/>
    <w:rsid w:val="3D9F3BA6"/>
    <w:rsid w:val="3D9FFDDE"/>
    <w:rsid w:val="3DA30597"/>
    <w:rsid w:val="3DA3BD87"/>
    <w:rsid w:val="3DA4CA09"/>
    <w:rsid w:val="3DA7DFCD"/>
    <w:rsid w:val="3DA882D8"/>
    <w:rsid w:val="3DAC0CED"/>
    <w:rsid w:val="3DBC74BC"/>
    <w:rsid w:val="3DBFDA8C"/>
    <w:rsid w:val="3DC4081A"/>
    <w:rsid w:val="3DC5B9DC"/>
    <w:rsid w:val="3DC6F1AE"/>
    <w:rsid w:val="3DD24E97"/>
    <w:rsid w:val="3DE1D3EC"/>
    <w:rsid w:val="3DE3890F"/>
    <w:rsid w:val="3DE57BB4"/>
    <w:rsid w:val="3DE6789B"/>
    <w:rsid w:val="3DE83D72"/>
    <w:rsid w:val="3DE8BEAA"/>
    <w:rsid w:val="3DEADF5C"/>
    <w:rsid w:val="3DEBE825"/>
    <w:rsid w:val="3DFBE1CB"/>
    <w:rsid w:val="3DFDF9A8"/>
    <w:rsid w:val="3E00C04B"/>
    <w:rsid w:val="3E017B81"/>
    <w:rsid w:val="3E0A9BCD"/>
    <w:rsid w:val="3E10CCAC"/>
    <w:rsid w:val="3E11C518"/>
    <w:rsid w:val="3E11D566"/>
    <w:rsid w:val="3E15176A"/>
    <w:rsid w:val="3E188D73"/>
    <w:rsid w:val="3E1C63C5"/>
    <w:rsid w:val="3E234AC4"/>
    <w:rsid w:val="3E33362A"/>
    <w:rsid w:val="3E350EC1"/>
    <w:rsid w:val="3E38F564"/>
    <w:rsid w:val="3E3EDD0E"/>
    <w:rsid w:val="3E42D8F0"/>
    <w:rsid w:val="3E47E69F"/>
    <w:rsid w:val="3E4E6901"/>
    <w:rsid w:val="3E5542EA"/>
    <w:rsid w:val="3E5B5BEE"/>
    <w:rsid w:val="3E5D23D4"/>
    <w:rsid w:val="3E5E67F1"/>
    <w:rsid w:val="3E65C3C2"/>
    <w:rsid w:val="3E66C1C9"/>
    <w:rsid w:val="3E6743EF"/>
    <w:rsid w:val="3E6910DF"/>
    <w:rsid w:val="3E6C93F4"/>
    <w:rsid w:val="3E71BD7A"/>
    <w:rsid w:val="3E78A487"/>
    <w:rsid w:val="3E7A16FA"/>
    <w:rsid w:val="3E7ADC86"/>
    <w:rsid w:val="3E7F2F51"/>
    <w:rsid w:val="3E8147EB"/>
    <w:rsid w:val="3E81D545"/>
    <w:rsid w:val="3E8DEDC9"/>
    <w:rsid w:val="3E932E6D"/>
    <w:rsid w:val="3E9474FC"/>
    <w:rsid w:val="3E9DF54D"/>
    <w:rsid w:val="3EA0351F"/>
    <w:rsid w:val="3EAB08A0"/>
    <w:rsid w:val="3EACEB5F"/>
    <w:rsid w:val="3EB07651"/>
    <w:rsid w:val="3EB0A83C"/>
    <w:rsid w:val="3EB0A907"/>
    <w:rsid w:val="3EB42237"/>
    <w:rsid w:val="3EB4EE00"/>
    <w:rsid w:val="3EB64B72"/>
    <w:rsid w:val="3EBC470C"/>
    <w:rsid w:val="3EBF5F64"/>
    <w:rsid w:val="3EC209E5"/>
    <w:rsid w:val="3EC3BAF0"/>
    <w:rsid w:val="3EC9C51D"/>
    <w:rsid w:val="3ECD6CBC"/>
    <w:rsid w:val="3ED74CC9"/>
    <w:rsid w:val="3ED7DEC1"/>
    <w:rsid w:val="3ED88A0E"/>
    <w:rsid w:val="3EDA4D15"/>
    <w:rsid w:val="3EDCDD88"/>
    <w:rsid w:val="3EDD60F3"/>
    <w:rsid w:val="3EDF37B3"/>
    <w:rsid w:val="3EE276C7"/>
    <w:rsid w:val="3EE379BC"/>
    <w:rsid w:val="3EE59184"/>
    <w:rsid w:val="3EE8CE15"/>
    <w:rsid w:val="3EEADD46"/>
    <w:rsid w:val="3EEFE6B0"/>
    <w:rsid w:val="3EF17DB4"/>
    <w:rsid w:val="3EF69D20"/>
    <w:rsid w:val="3EFB3027"/>
    <w:rsid w:val="3EFB519A"/>
    <w:rsid w:val="3EFC864E"/>
    <w:rsid w:val="3EFE88E4"/>
    <w:rsid w:val="3F03F06B"/>
    <w:rsid w:val="3F0B9422"/>
    <w:rsid w:val="3F0EF6CE"/>
    <w:rsid w:val="3F0F3A2F"/>
    <w:rsid w:val="3F11822D"/>
    <w:rsid w:val="3F18ED6B"/>
    <w:rsid w:val="3F1E2F3F"/>
    <w:rsid w:val="3F2150E9"/>
    <w:rsid w:val="3F21B328"/>
    <w:rsid w:val="3F22CB07"/>
    <w:rsid w:val="3F269AB3"/>
    <w:rsid w:val="3F2BE05C"/>
    <w:rsid w:val="3F2D7128"/>
    <w:rsid w:val="3F2E8609"/>
    <w:rsid w:val="3F2F2E7D"/>
    <w:rsid w:val="3F32A610"/>
    <w:rsid w:val="3F4143F4"/>
    <w:rsid w:val="3F419DEB"/>
    <w:rsid w:val="3F41F196"/>
    <w:rsid w:val="3F43B4AA"/>
    <w:rsid w:val="3F4607D6"/>
    <w:rsid w:val="3F4855CE"/>
    <w:rsid w:val="3F48E653"/>
    <w:rsid w:val="3F4923FA"/>
    <w:rsid w:val="3F4F1606"/>
    <w:rsid w:val="3F501224"/>
    <w:rsid w:val="3F55796B"/>
    <w:rsid w:val="3F5D3BA8"/>
    <w:rsid w:val="3F5E077B"/>
    <w:rsid w:val="3F5E34B2"/>
    <w:rsid w:val="3F6247C9"/>
    <w:rsid w:val="3F68B22D"/>
    <w:rsid w:val="3F6A0718"/>
    <w:rsid w:val="3F6B021A"/>
    <w:rsid w:val="3F6B7734"/>
    <w:rsid w:val="3F756691"/>
    <w:rsid w:val="3F79DA9F"/>
    <w:rsid w:val="3F7EEB11"/>
    <w:rsid w:val="3F7F5ABE"/>
    <w:rsid w:val="3F809AD5"/>
    <w:rsid w:val="3F84C853"/>
    <w:rsid w:val="3F8E5AF3"/>
    <w:rsid w:val="3F8E8EBA"/>
    <w:rsid w:val="3F996E8A"/>
    <w:rsid w:val="3F9A8F58"/>
    <w:rsid w:val="3F9B5B9D"/>
    <w:rsid w:val="3FA9DC24"/>
    <w:rsid w:val="3FAD4A39"/>
    <w:rsid w:val="3FB7CFC7"/>
    <w:rsid w:val="3FB9D734"/>
    <w:rsid w:val="3FBABAAB"/>
    <w:rsid w:val="3FC4216B"/>
    <w:rsid w:val="3FC4EAA5"/>
    <w:rsid w:val="3FC516E4"/>
    <w:rsid w:val="3FC69D35"/>
    <w:rsid w:val="3FCD3BF4"/>
    <w:rsid w:val="3FD3A592"/>
    <w:rsid w:val="3FDA0CFB"/>
    <w:rsid w:val="3FDC5863"/>
    <w:rsid w:val="3FDD15FD"/>
    <w:rsid w:val="3FE6B318"/>
    <w:rsid w:val="3FE72748"/>
    <w:rsid w:val="3FE8B98F"/>
    <w:rsid w:val="3FEC1EBB"/>
    <w:rsid w:val="3FF673A1"/>
    <w:rsid w:val="3FF6E3FB"/>
    <w:rsid w:val="3FFE463A"/>
    <w:rsid w:val="3FFF0E95"/>
    <w:rsid w:val="4001AB12"/>
    <w:rsid w:val="4008A525"/>
    <w:rsid w:val="400A909F"/>
    <w:rsid w:val="400D43F9"/>
    <w:rsid w:val="4015A835"/>
    <w:rsid w:val="401B8EA9"/>
    <w:rsid w:val="401FE2D7"/>
    <w:rsid w:val="4025C066"/>
    <w:rsid w:val="40308B15"/>
    <w:rsid w:val="4031457D"/>
    <w:rsid w:val="4031C992"/>
    <w:rsid w:val="4039099C"/>
    <w:rsid w:val="403962EA"/>
    <w:rsid w:val="4043235D"/>
    <w:rsid w:val="4044AA4B"/>
    <w:rsid w:val="40452A49"/>
    <w:rsid w:val="4047423E"/>
    <w:rsid w:val="4047861E"/>
    <w:rsid w:val="4047B315"/>
    <w:rsid w:val="40493B17"/>
    <w:rsid w:val="404E4FD2"/>
    <w:rsid w:val="4053F8E8"/>
    <w:rsid w:val="405709CE"/>
    <w:rsid w:val="405B3455"/>
    <w:rsid w:val="405C4401"/>
    <w:rsid w:val="405E2E12"/>
    <w:rsid w:val="4062C4CE"/>
    <w:rsid w:val="4063749D"/>
    <w:rsid w:val="40651893"/>
    <w:rsid w:val="40696F4F"/>
    <w:rsid w:val="406B3EA4"/>
    <w:rsid w:val="406E3F0E"/>
    <w:rsid w:val="406EA526"/>
    <w:rsid w:val="40731FDD"/>
    <w:rsid w:val="40739B2F"/>
    <w:rsid w:val="4077BC93"/>
    <w:rsid w:val="4079FB5B"/>
    <w:rsid w:val="407C34A6"/>
    <w:rsid w:val="407E1861"/>
    <w:rsid w:val="40846CF0"/>
    <w:rsid w:val="40862813"/>
    <w:rsid w:val="4087CD83"/>
    <w:rsid w:val="4087FCDE"/>
    <w:rsid w:val="408C7002"/>
    <w:rsid w:val="408F6817"/>
    <w:rsid w:val="40922AD8"/>
    <w:rsid w:val="409BE8A3"/>
    <w:rsid w:val="409C1F4B"/>
    <w:rsid w:val="409D2266"/>
    <w:rsid w:val="409E5D67"/>
    <w:rsid w:val="40A0266E"/>
    <w:rsid w:val="40A0B529"/>
    <w:rsid w:val="40A1E8D5"/>
    <w:rsid w:val="40A3E6C4"/>
    <w:rsid w:val="40A4B361"/>
    <w:rsid w:val="40A7ACBD"/>
    <w:rsid w:val="40A92EA5"/>
    <w:rsid w:val="40B22517"/>
    <w:rsid w:val="40B4DBB5"/>
    <w:rsid w:val="40B7ACBD"/>
    <w:rsid w:val="40B856DA"/>
    <w:rsid w:val="40BF12E8"/>
    <w:rsid w:val="40C00C66"/>
    <w:rsid w:val="40C61086"/>
    <w:rsid w:val="40D1F65B"/>
    <w:rsid w:val="40D6D3E8"/>
    <w:rsid w:val="40D7E4C1"/>
    <w:rsid w:val="40DAED21"/>
    <w:rsid w:val="40DAF8B9"/>
    <w:rsid w:val="40DBA0D3"/>
    <w:rsid w:val="40DBB091"/>
    <w:rsid w:val="40EB6A4C"/>
    <w:rsid w:val="40F28F0F"/>
    <w:rsid w:val="40F51FEA"/>
    <w:rsid w:val="40F9D3A6"/>
    <w:rsid w:val="4107F37C"/>
    <w:rsid w:val="4108859C"/>
    <w:rsid w:val="410CF685"/>
    <w:rsid w:val="410DD223"/>
    <w:rsid w:val="41158B1F"/>
    <w:rsid w:val="41190400"/>
    <w:rsid w:val="4119932C"/>
    <w:rsid w:val="411DAEB9"/>
    <w:rsid w:val="411EC27E"/>
    <w:rsid w:val="41211A3E"/>
    <w:rsid w:val="41254319"/>
    <w:rsid w:val="41286072"/>
    <w:rsid w:val="412BBEA8"/>
    <w:rsid w:val="41362FB6"/>
    <w:rsid w:val="4137C877"/>
    <w:rsid w:val="413AFFA9"/>
    <w:rsid w:val="41409712"/>
    <w:rsid w:val="4146F141"/>
    <w:rsid w:val="414C5B8C"/>
    <w:rsid w:val="414D57EB"/>
    <w:rsid w:val="414F4334"/>
    <w:rsid w:val="4150C51B"/>
    <w:rsid w:val="41563CA9"/>
    <w:rsid w:val="41572A24"/>
    <w:rsid w:val="4157665F"/>
    <w:rsid w:val="415E1208"/>
    <w:rsid w:val="415E1287"/>
    <w:rsid w:val="415F1C3F"/>
    <w:rsid w:val="4161B86B"/>
    <w:rsid w:val="4166600A"/>
    <w:rsid w:val="4166C4D1"/>
    <w:rsid w:val="41690EAC"/>
    <w:rsid w:val="4169AB28"/>
    <w:rsid w:val="4169C41C"/>
    <w:rsid w:val="416A6D70"/>
    <w:rsid w:val="4172C242"/>
    <w:rsid w:val="4173BE09"/>
    <w:rsid w:val="4174B212"/>
    <w:rsid w:val="41774DF7"/>
    <w:rsid w:val="417BDCC1"/>
    <w:rsid w:val="417CB5F7"/>
    <w:rsid w:val="41805ABD"/>
    <w:rsid w:val="41889023"/>
    <w:rsid w:val="4189066F"/>
    <w:rsid w:val="4194ECC7"/>
    <w:rsid w:val="4195928A"/>
    <w:rsid w:val="41972D5C"/>
    <w:rsid w:val="41978ECC"/>
    <w:rsid w:val="419B0DFE"/>
    <w:rsid w:val="419C0B37"/>
    <w:rsid w:val="41A11572"/>
    <w:rsid w:val="41A1863C"/>
    <w:rsid w:val="41A2D9F3"/>
    <w:rsid w:val="41A88955"/>
    <w:rsid w:val="41A90B05"/>
    <w:rsid w:val="41ADFAC0"/>
    <w:rsid w:val="41B2BD95"/>
    <w:rsid w:val="41B3493A"/>
    <w:rsid w:val="41B4CE76"/>
    <w:rsid w:val="41B693AE"/>
    <w:rsid w:val="41B85892"/>
    <w:rsid w:val="41B8B3C3"/>
    <w:rsid w:val="41BB5A4B"/>
    <w:rsid w:val="41C0100D"/>
    <w:rsid w:val="41C35804"/>
    <w:rsid w:val="41C711D8"/>
    <w:rsid w:val="41C7F260"/>
    <w:rsid w:val="41CB1551"/>
    <w:rsid w:val="41CC8C88"/>
    <w:rsid w:val="41CF4393"/>
    <w:rsid w:val="41CF543E"/>
    <w:rsid w:val="41D11F07"/>
    <w:rsid w:val="41D225C1"/>
    <w:rsid w:val="41D4B360"/>
    <w:rsid w:val="41D85128"/>
    <w:rsid w:val="41E23739"/>
    <w:rsid w:val="41EA7FCE"/>
    <w:rsid w:val="41EC2F03"/>
    <w:rsid w:val="41F408B0"/>
    <w:rsid w:val="41FA4409"/>
    <w:rsid w:val="41FCB8FA"/>
    <w:rsid w:val="420118E8"/>
    <w:rsid w:val="4202FADF"/>
    <w:rsid w:val="4205883E"/>
    <w:rsid w:val="4207E84B"/>
    <w:rsid w:val="42084683"/>
    <w:rsid w:val="4211A6D0"/>
    <w:rsid w:val="421757BB"/>
    <w:rsid w:val="4218EE0C"/>
    <w:rsid w:val="4227383B"/>
    <w:rsid w:val="422884C5"/>
    <w:rsid w:val="422BD9F2"/>
    <w:rsid w:val="42302E59"/>
    <w:rsid w:val="42339198"/>
    <w:rsid w:val="4237E899"/>
    <w:rsid w:val="423B7632"/>
    <w:rsid w:val="423EB69F"/>
    <w:rsid w:val="423F17AF"/>
    <w:rsid w:val="424594D2"/>
    <w:rsid w:val="424646FD"/>
    <w:rsid w:val="4247BDDD"/>
    <w:rsid w:val="424EE38C"/>
    <w:rsid w:val="4251AF88"/>
    <w:rsid w:val="425C5FA0"/>
    <w:rsid w:val="426007BB"/>
    <w:rsid w:val="42607AAE"/>
    <w:rsid w:val="42663281"/>
    <w:rsid w:val="426EF8FC"/>
    <w:rsid w:val="426FE1D6"/>
    <w:rsid w:val="427620F7"/>
    <w:rsid w:val="4279919F"/>
    <w:rsid w:val="427F9C9F"/>
    <w:rsid w:val="4281C7C2"/>
    <w:rsid w:val="428589AA"/>
    <w:rsid w:val="4288EE0F"/>
    <w:rsid w:val="428D3E51"/>
    <w:rsid w:val="4295ECD5"/>
    <w:rsid w:val="429F4CBC"/>
    <w:rsid w:val="42A251DA"/>
    <w:rsid w:val="42AAA265"/>
    <w:rsid w:val="42C139D3"/>
    <w:rsid w:val="42C1D217"/>
    <w:rsid w:val="42C3151C"/>
    <w:rsid w:val="42C56B17"/>
    <w:rsid w:val="42D0BCC2"/>
    <w:rsid w:val="42D1D6C6"/>
    <w:rsid w:val="42D398D8"/>
    <w:rsid w:val="42D682E8"/>
    <w:rsid w:val="42D9835E"/>
    <w:rsid w:val="42E0A6CD"/>
    <w:rsid w:val="42E1A592"/>
    <w:rsid w:val="42E5F254"/>
    <w:rsid w:val="42E7EBA6"/>
    <w:rsid w:val="42EBA496"/>
    <w:rsid w:val="42ECE454"/>
    <w:rsid w:val="42ED94EC"/>
    <w:rsid w:val="42F02D01"/>
    <w:rsid w:val="42F3BB7E"/>
    <w:rsid w:val="42F5FC51"/>
    <w:rsid w:val="42FA5B9C"/>
    <w:rsid w:val="42FBCA93"/>
    <w:rsid w:val="42FC96A7"/>
    <w:rsid w:val="42FDE3C6"/>
    <w:rsid w:val="42FF20CA"/>
    <w:rsid w:val="43011F4F"/>
    <w:rsid w:val="43045542"/>
    <w:rsid w:val="43065127"/>
    <w:rsid w:val="430D0C08"/>
    <w:rsid w:val="430DBD96"/>
    <w:rsid w:val="4310A640"/>
    <w:rsid w:val="43136401"/>
    <w:rsid w:val="431414C4"/>
    <w:rsid w:val="431640D7"/>
    <w:rsid w:val="431A41C6"/>
    <w:rsid w:val="431C489A"/>
    <w:rsid w:val="431CF21B"/>
    <w:rsid w:val="4322AAE6"/>
    <w:rsid w:val="4323F1A4"/>
    <w:rsid w:val="43244EF6"/>
    <w:rsid w:val="4324BCE3"/>
    <w:rsid w:val="43251E54"/>
    <w:rsid w:val="4327AB35"/>
    <w:rsid w:val="4328473B"/>
    <w:rsid w:val="432DCE11"/>
    <w:rsid w:val="4331B0AE"/>
    <w:rsid w:val="43340777"/>
    <w:rsid w:val="4339B57D"/>
    <w:rsid w:val="4346B553"/>
    <w:rsid w:val="4347FA20"/>
    <w:rsid w:val="434DF3E4"/>
    <w:rsid w:val="434EB4EC"/>
    <w:rsid w:val="43575DF0"/>
    <w:rsid w:val="4359C51D"/>
    <w:rsid w:val="435BD8C1"/>
    <w:rsid w:val="435BD8CA"/>
    <w:rsid w:val="435DF371"/>
    <w:rsid w:val="435F5C65"/>
    <w:rsid w:val="43605947"/>
    <w:rsid w:val="436A5841"/>
    <w:rsid w:val="4370892C"/>
    <w:rsid w:val="4374EB2C"/>
    <w:rsid w:val="4377D926"/>
    <w:rsid w:val="437F6D1D"/>
    <w:rsid w:val="4382E1F6"/>
    <w:rsid w:val="438B2949"/>
    <w:rsid w:val="438C00DE"/>
    <w:rsid w:val="438C66F1"/>
    <w:rsid w:val="438E1044"/>
    <w:rsid w:val="43906F7F"/>
    <w:rsid w:val="439239C2"/>
    <w:rsid w:val="4392976E"/>
    <w:rsid w:val="43982116"/>
    <w:rsid w:val="4399A540"/>
    <w:rsid w:val="439BAD1F"/>
    <w:rsid w:val="439BC35B"/>
    <w:rsid w:val="439D2A8F"/>
    <w:rsid w:val="43A26025"/>
    <w:rsid w:val="43A4E24D"/>
    <w:rsid w:val="43A92C05"/>
    <w:rsid w:val="43B0CCDD"/>
    <w:rsid w:val="43B15605"/>
    <w:rsid w:val="43B5B0EA"/>
    <w:rsid w:val="43B68A55"/>
    <w:rsid w:val="43BDA35C"/>
    <w:rsid w:val="43BE8E47"/>
    <w:rsid w:val="43C0F9C0"/>
    <w:rsid w:val="43C1ECFC"/>
    <w:rsid w:val="43CBFFF0"/>
    <w:rsid w:val="43D05563"/>
    <w:rsid w:val="43D20743"/>
    <w:rsid w:val="43D3F603"/>
    <w:rsid w:val="43D5F00C"/>
    <w:rsid w:val="43DF0325"/>
    <w:rsid w:val="43E010B0"/>
    <w:rsid w:val="43E1EE69"/>
    <w:rsid w:val="43E25408"/>
    <w:rsid w:val="43E46874"/>
    <w:rsid w:val="43E76900"/>
    <w:rsid w:val="43EEA888"/>
    <w:rsid w:val="43F1807E"/>
    <w:rsid w:val="43FD5FD0"/>
    <w:rsid w:val="43FF148F"/>
    <w:rsid w:val="44008438"/>
    <w:rsid w:val="44035D70"/>
    <w:rsid w:val="440F510F"/>
    <w:rsid w:val="44124446"/>
    <w:rsid w:val="44158014"/>
    <w:rsid w:val="44183F7E"/>
    <w:rsid w:val="441F79CA"/>
    <w:rsid w:val="4424395D"/>
    <w:rsid w:val="44248B24"/>
    <w:rsid w:val="4425421F"/>
    <w:rsid w:val="4426E256"/>
    <w:rsid w:val="443100DC"/>
    <w:rsid w:val="4433DA26"/>
    <w:rsid w:val="443E71A0"/>
    <w:rsid w:val="44408866"/>
    <w:rsid w:val="444244B8"/>
    <w:rsid w:val="4444B69E"/>
    <w:rsid w:val="4446BC8E"/>
    <w:rsid w:val="444B3081"/>
    <w:rsid w:val="444EA944"/>
    <w:rsid w:val="444FDB12"/>
    <w:rsid w:val="4452FF50"/>
    <w:rsid w:val="4455A9CC"/>
    <w:rsid w:val="4455D96C"/>
    <w:rsid w:val="445A3904"/>
    <w:rsid w:val="445F1830"/>
    <w:rsid w:val="445F4392"/>
    <w:rsid w:val="44616F20"/>
    <w:rsid w:val="446676D4"/>
    <w:rsid w:val="4466CD6E"/>
    <w:rsid w:val="4467EFFF"/>
    <w:rsid w:val="4468C316"/>
    <w:rsid w:val="446E91B7"/>
    <w:rsid w:val="446FC4A8"/>
    <w:rsid w:val="44723140"/>
    <w:rsid w:val="44793CAC"/>
    <w:rsid w:val="44799E93"/>
    <w:rsid w:val="447F8961"/>
    <w:rsid w:val="44829EEB"/>
    <w:rsid w:val="44830635"/>
    <w:rsid w:val="4483256B"/>
    <w:rsid w:val="4483FE7F"/>
    <w:rsid w:val="4489D505"/>
    <w:rsid w:val="448A5504"/>
    <w:rsid w:val="448A9EC9"/>
    <w:rsid w:val="4493B15B"/>
    <w:rsid w:val="44940F9E"/>
    <w:rsid w:val="449576FB"/>
    <w:rsid w:val="4495A893"/>
    <w:rsid w:val="449C71A1"/>
    <w:rsid w:val="449F61A4"/>
    <w:rsid w:val="44A3DF72"/>
    <w:rsid w:val="44A6D0C7"/>
    <w:rsid w:val="44AA58B5"/>
    <w:rsid w:val="44AAB05C"/>
    <w:rsid w:val="44AC2EA9"/>
    <w:rsid w:val="44AF6DEF"/>
    <w:rsid w:val="44B2F118"/>
    <w:rsid w:val="44B5BBC5"/>
    <w:rsid w:val="44BB5B85"/>
    <w:rsid w:val="44BD01ED"/>
    <w:rsid w:val="44BE7DC5"/>
    <w:rsid w:val="44C11805"/>
    <w:rsid w:val="44C1C070"/>
    <w:rsid w:val="44C25AA4"/>
    <w:rsid w:val="44C3C6A4"/>
    <w:rsid w:val="44C735B5"/>
    <w:rsid w:val="44C755EE"/>
    <w:rsid w:val="44C81880"/>
    <w:rsid w:val="44C833CF"/>
    <w:rsid w:val="44C89FA9"/>
    <w:rsid w:val="44CA0901"/>
    <w:rsid w:val="44CAD7D7"/>
    <w:rsid w:val="44CAEF6B"/>
    <w:rsid w:val="44CDAE17"/>
    <w:rsid w:val="44CE4765"/>
    <w:rsid w:val="44CEFC8A"/>
    <w:rsid w:val="44D1C1C1"/>
    <w:rsid w:val="44D24D37"/>
    <w:rsid w:val="44D37F7F"/>
    <w:rsid w:val="44DA2105"/>
    <w:rsid w:val="44E15619"/>
    <w:rsid w:val="44EBA5D0"/>
    <w:rsid w:val="44F602C2"/>
    <w:rsid w:val="44FAEBC4"/>
    <w:rsid w:val="44FFB6AC"/>
    <w:rsid w:val="450B3726"/>
    <w:rsid w:val="450DC9F3"/>
    <w:rsid w:val="451139EC"/>
    <w:rsid w:val="45128591"/>
    <w:rsid w:val="451D3B32"/>
    <w:rsid w:val="451F9867"/>
    <w:rsid w:val="45221384"/>
    <w:rsid w:val="4527B344"/>
    <w:rsid w:val="453A2DCF"/>
    <w:rsid w:val="453A469D"/>
    <w:rsid w:val="453A945A"/>
    <w:rsid w:val="45442161"/>
    <w:rsid w:val="455EDE39"/>
    <w:rsid w:val="456187A8"/>
    <w:rsid w:val="456364CE"/>
    <w:rsid w:val="45686587"/>
    <w:rsid w:val="456B2597"/>
    <w:rsid w:val="45761E9B"/>
    <w:rsid w:val="45789954"/>
    <w:rsid w:val="45845052"/>
    <w:rsid w:val="458521DD"/>
    <w:rsid w:val="458590D0"/>
    <w:rsid w:val="45873571"/>
    <w:rsid w:val="4589504A"/>
    <w:rsid w:val="458B12D5"/>
    <w:rsid w:val="459698A9"/>
    <w:rsid w:val="459B642B"/>
    <w:rsid w:val="459CC179"/>
    <w:rsid w:val="459F46DC"/>
    <w:rsid w:val="45AA434F"/>
    <w:rsid w:val="45AC606B"/>
    <w:rsid w:val="45B0FBFF"/>
    <w:rsid w:val="45B19411"/>
    <w:rsid w:val="45B35CC5"/>
    <w:rsid w:val="45B3FCD6"/>
    <w:rsid w:val="45B5B8A7"/>
    <w:rsid w:val="45B5C66F"/>
    <w:rsid w:val="45BE0FAF"/>
    <w:rsid w:val="45BF0C27"/>
    <w:rsid w:val="45BF169B"/>
    <w:rsid w:val="45C55A76"/>
    <w:rsid w:val="45C58E84"/>
    <w:rsid w:val="45C820EB"/>
    <w:rsid w:val="45D31EA4"/>
    <w:rsid w:val="45D37B14"/>
    <w:rsid w:val="45D81B75"/>
    <w:rsid w:val="45DDA336"/>
    <w:rsid w:val="45DDC110"/>
    <w:rsid w:val="45DE8D17"/>
    <w:rsid w:val="45E7C3DA"/>
    <w:rsid w:val="45EB796B"/>
    <w:rsid w:val="45EECDFC"/>
    <w:rsid w:val="45EEFE5B"/>
    <w:rsid w:val="45EFF274"/>
    <w:rsid w:val="45F6AD7C"/>
    <w:rsid w:val="45FB3E14"/>
    <w:rsid w:val="45FEF371"/>
    <w:rsid w:val="45FF2ED8"/>
    <w:rsid w:val="46027AF6"/>
    <w:rsid w:val="4603D4CD"/>
    <w:rsid w:val="46054D9D"/>
    <w:rsid w:val="4606632F"/>
    <w:rsid w:val="4607439C"/>
    <w:rsid w:val="46075EB5"/>
    <w:rsid w:val="460B399A"/>
    <w:rsid w:val="460DB83B"/>
    <w:rsid w:val="460DE25A"/>
    <w:rsid w:val="460E6FF8"/>
    <w:rsid w:val="4610087E"/>
    <w:rsid w:val="4612ADA7"/>
    <w:rsid w:val="461B5FA7"/>
    <w:rsid w:val="461DF5B7"/>
    <w:rsid w:val="461DFD35"/>
    <w:rsid w:val="46272CE1"/>
    <w:rsid w:val="46323AEF"/>
    <w:rsid w:val="46327067"/>
    <w:rsid w:val="4632A45E"/>
    <w:rsid w:val="4632FBD8"/>
    <w:rsid w:val="4634357F"/>
    <w:rsid w:val="4635B983"/>
    <w:rsid w:val="4639B255"/>
    <w:rsid w:val="463FBBDC"/>
    <w:rsid w:val="46450A2A"/>
    <w:rsid w:val="4648F54D"/>
    <w:rsid w:val="464B3E5E"/>
    <w:rsid w:val="465167A7"/>
    <w:rsid w:val="4654538F"/>
    <w:rsid w:val="4654BFBE"/>
    <w:rsid w:val="4654D983"/>
    <w:rsid w:val="465F896D"/>
    <w:rsid w:val="46601D13"/>
    <w:rsid w:val="4662F0A8"/>
    <w:rsid w:val="4664F6D1"/>
    <w:rsid w:val="46651E06"/>
    <w:rsid w:val="46672BB5"/>
    <w:rsid w:val="4668C6A3"/>
    <w:rsid w:val="466917DD"/>
    <w:rsid w:val="466FC8E2"/>
    <w:rsid w:val="466FE195"/>
    <w:rsid w:val="467A307A"/>
    <w:rsid w:val="467B780E"/>
    <w:rsid w:val="467DC60C"/>
    <w:rsid w:val="46830593"/>
    <w:rsid w:val="4683B3AC"/>
    <w:rsid w:val="468520BC"/>
    <w:rsid w:val="468696D2"/>
    <w:rsid w:val="4686CD00"/>
    <w:rsid w:val="4688B6A4"/>
    <w:rsid w:val="468A72C8"/>
    <w:rsid w:val="468C7E0A"/>
    <w:rsid w:val="468D6DEB"/>
    <w:rsid w:val="468D9A8E"/>
    <w:rsid w:val="468DA081"/>
    <w:rsid w:val="468EA931"/>
    <w:rsid w:val="468FD5CB"/>
    <w:rsid w:val="4691AB51"/>
    <w:rsid w:val="4698C6BE"/>
    <w:rsid w:val="46A3D603"/>
    <w:rsid w:val="46A40443"/>
    <w:rsid w:val="46A66155"/>
    <w:rsid w:val="46A7A254"/>
    <w:rsid w:val="46A9569D"/>
    <w:rsid w:val="46AD8386"/>
    <w:rsid w:val="46B526D9"/>
    <w:rsid w:val="46C0F4E5"/>
    <w:rsid w:val="46C3FA32"/>
    <w:rsid w:val="46C40D7E"/>
    <w:rsid w:val="46C65AAD"/>
    <w:rsid w:val="46CDC957"/>
    <w:rsid w:val="46CFC104"/>
    <w:rsid w:val="46D852EE"/>
    <w:rsid w:val="46E67F6B"/>
    <w:rsid w:val="46F197A4"/>
    <w:rsid w:val="46F42589"/>
    <w:rsid w:val="46F61D0C"/>
    <w:rsid w:val="46FAED4E"/>
    <w:rsid w:val="46FB4406"/>
    <w:rsid w:val="46FB7A12"/>
    <w:rsid w:val="46FD2FB2"/>
    <w:rsid w:val="46FEB45A"/>
    <w:rsid w:val="46FF525C"/>
    <w:rsid w:val="4702915C"/>
    <w:rsid w:val="4702B3FA"/>
    <w:rsid w:val="47087411"/>
    <w:rsid w:val="47174759"/>
    <w:rsid w:val="471DC5DF"/>
    <w:rsid w:val="4721A07C"/>
    <w:rsid w:val="47240C95"/>
    <w:rsid w:val="47276323"/>
    <w:rsid w:val="4727985E"/>
    <w:rsid w:val="472E12CE"/>
    <w:rsid w:val="472F7C1B"/>
    <w:rsid w:val="472F85E4"/>
    <w:rsid w:val="47365142"/>
    <w:rsid w:val="473A0297"/>
    <w:rsid w:val="473E96C2"/>
    <w:rsid w:val="4745050E"/>
    <w:rsid w:val="474799EB"/>
    <w:rsid w:val="474C0167"/>
    <w:rsid w:val="474C3243"/>
    <w:rsid w:val="474EDADC"/>
    <w:rsid w:val="4751235E"/>
    <w:rsid w:val="47599774"/>
    <w:rsid w:val="475A7D7A"/>
    <w:rsid w:val="4766709E"/>
    <w:rsid w:val="4767FD61"/>
    <w:rsid w:val="4770B631"/>
    <w:rsid w:val="477640D2"/>
    <w:rsid w:val="47779AE0"/>
    <w:rsid w:val="477C3324"/>
    <w:rsid w:val="4780BBB8"/>
    <w:rsid w:val="478372D6"/>
    <w:rsid w:val="4788613F"/>
    <w:rsid w:val="478A2510"/>
    <w:rsid w:val="478CDD2F"/>
    <w:rsid w:val="47927C6C"/>
    <w:rsid w:val="4792E92A"/>
    <w:rsid w:val="47945253"/>
    <w:rsid w:val="47981926"/>
    <w:rsid w:val="479E7A63"/>
    <w:rsid w:val="47A2A584"/>
    <w:rsid w:val="47A3E10C"/>
    <w:rsid w:val="47A65666"/>
    <w:rsid w:val="47A65914"/>
    <w:rsid w:val="47A75EB7"/>
    <w:rsid w:val="47A855E3"/>
    <w:rsid w:val="47AC71DA"/>
    <w:rsid w:val="47B22DEC"/>
    <w:rsid w:val="47B3CC3F"/>
    <w:rsid w:val="47B4765B"/>
    <w:rsid w:val="47B6C43A"/>
    <w:rsid w:val="47B9AF6B"/>
    <w:rsid w:val="47BF8C85"/>
    <w:rsid w:val="47C023EF"/>
    <w:rsid w:val="47D1B716"/>
    <w:rsid w:val="47D535CE"/>
    <w:rsid w:val="47DB0E06"/>
    <w:rsid w:val="47E31F53"/>
    <w:rsid w:val="47E634E9"/>
    <w:rsid w:val="47E8F4A1"/>
    <w:rsid w:val="47E9DEC0"/>
    <w:rsid w:val="47EFC8CB"/>
    <w:rsid w:val="47F2EB32"/>
    <w:rsid w:val="47F4D584"/>
    <w:rsid w:val="47F97D77"/>
    <w:rsid w:val="47FACF47"/>
    <w:rsid w:val="47FB425E"/>
    <w:rsid w:val="47FC5AF7"/>
    <w:rsid w:val="47FCF97F"/>
    <w:rsid w:val="47FEBD07"/>
    <w:rsid w:val="4802554F"/>
    <w:rsid w:val="480548B6"/>
    <w:rsid w:val="48059F22"/>
    <w:rsid w:val="4805D5AC"/>
    <w:rsid w:val="48064364"/>
    <w:rsid w:val="4806C27A"/>
    <w:rsid w:val="4809F38F"/>
    <w:rsid w:val="480CE6BD"/>
    <w:rsid w:val="4813A9DF"/>
    <w:rsid w:val="4814CFF8"/>
    <w:rsid w:val="48150F32"/>
    <w:rsid w:val="481E90B0"/>
    <w:rsid w:val="4821D214"/>
    <w:rsid w:val="48223B33"/>
    <w:rsid w:val="48281F63"/>
    <w:rsid w:val="48289F88"/>
    <w:rsid w:val="48381F7F"/>
    <w:rsid w:val="483AF380"/>
    <w:rsid w:val="483B93EB"/>
    <w:rsid w:val="483C47D6"/>
    <w:rsid w:val="483DE0D6"/>
    <w:rsid w:val="483E2E3F"/>
    <w:rsid w:val="48428980"/>
    <w:rsid w:val="4846153A"/>
    <w:rsid w:val="48463730"/>
    <w:rsid w:val="484B0C8F"/>
    <w:rsid w:val="484EC4C2"/>
    <w:rsid w:val="484F3F93"/>
    <w:rsid w:val="48522D03"/>
    <w:rsid w:val="4855A43D"/>
    <w:rsid w:val="485E4BFE"/>
    <w:rsid w:val="48682C96"/>
    <w:rsid w:val="486A711A"/>
    <w:rsid w:val="4871C23C"/>
    <w:rsid w:val="487690D1"/>
    <w:rsid w:val="4879EA06"/>
    <w:rsid w:val="487ADAE0"/>
    <w:rsid w:val="487B6FEF"/>
    <w:rsid w:val="48838832"/>
    <w:rsid w:val="488A5A28"/>
    <w:rsid w:val="488AA69F"/>
    <w:rsid w:val="4893473B"/>
    <w:rsid w:val="48949FAC"/>
    <w:rsid w:val="48953727"/>
    <w:rsid w:val="4896855B"/>
    <w:rsid w:val="489839E3"/>
    <w:rsid w:val="489A0EDF"/>
    <w:rsid w:val="489E2DED"/>
    <w:rsid w:val="489EC8A5"/>
    <w:rsid w:val="48A1E8CC"/>
    <w:rsid w:val="48A76209"/>
    <w:rsid w:val="48B2C037"/>
    <w:rsid w:val="48B90687"/>
    <w:rsid w:val="48BBD9C7"/>
    <w:rsid w:val="48BC1349"/>
    <w:rsid w:val="48C03BC2"/>
    <w:rsid w:val="48C0AF2A"/>
    <w:rsid w:val="48C25E86"/>
    <w:rsid w:val="48C42209"/>
    <w:rsid w:val="48C518D0"/>
    <w:rsid w:val="48C688D3"/>
    <w:rsid w:val="48CAC43E"/>
    <w:rsid w:val="48CCCB30"/>
    <w:rsid w:val="48CE6ACD"/>
    <w:rsid w:val="48D1050B"/>
    <w:rsid w:val="48E47F40"/>
    <w:rsid w:val="48E5DC85"/>
    <w:rsid w:val="48EB0E94"/>
    <w:rsid w:val="48EBBE6E"/>
    <w:rsid w:val="48F0BC1D"/>
    <w:rsid w:val="48F1F616"/>
    <w:rsid w:val="48F6C18A"/>
    <w:rsid w:val="48F8FC88"/>
    <w:rsid w:val="48FA9936"/>
    <w:rsid w:val="48FAD794"/>
    <w:rsid w:val="48FB8581"/>
    <w:rsid w:val="48FBB2F2"/>
    <w:rsid w:val="49014486"/>
    <w:rsid w:val="49020652"/>
    <w:rsid w:val="4903091D"/>
    <w:rsid w:val="490630DE"/>
    <w:rsid w:val="49077700"/>
    <w:rsid w:val="490ABF66"/>
    <w:rsid w:val="490B19D0"/>
    <w:rsid w:val="490B25C7"/>
    <w:rsid w:val="490E6A98"/>
    <w:rsid w:val="49121526"/>
    <w:rsid w:val="49185A3F"/>
    <w:rsid w:val="4919FCB1"/>
    <w:rsid w:val="491B2772"/>
    <w:rsid w:val="49233C6C"/>
    <w:rsid w:val="49235F00"/>
    <w:rsid w:val="4929B3B6"/>
    <w:rsid w:val="492A0DD9"/>
    <w:rsid w:val="492C9FB7"/>
    <w:rsid w:val="4931074E"/>
    <w:rsid w:val="493302AC"/>
    <w:rsid w:val="4935E716"/>
    <w:rsid w:val="4938F274"/>
    <w:rsid w:val="49392B70"/>
    <w:rsid w:val="4944C000"/>
    <w:rsid w:val="4944C19B"/>
    <w:rsid w:val="49466795"/>
    <w:rsid w:val="494C3301"/>
    <w:rsid w:val="494C6A97"/>
    <w:rsid w:val="494D546C"/>
    <w:rsid w:val="494DF8AD"/>
    <w:rsid w:val="4955F8D1"/>
    <w:rsid w:val="49563880"/>
    <w:rsid w:val="4957DFA2"/>
    <w:rsid w:val="49586714"/>
    <w:rsid w:val="4958C9E5"/>
    <w:rsid w:val="495CB090"/>
    <w:rsid w:val="495E27FB"/>
    <w:rsid w:val="49608948"/>
    <w:rsid w:val="4962360A"/>
    <w:rsid w:val="4964E1D0"/>
    <w:rsid w:val="496A83E4"/>
    <w:rsid w:val="4970AA1E"/>
    <w:rsid w:val="4974C584"/>
    <w:rsid w:val="4979E95B"/>
    <w:rsid w:val="497D03E2"/>
    <w:rsid w:val="4984F250"/>
    <w:rsid w:val="49860B97"/>
    <w:rsid w:val="498C6BC7"/>
    <w:rsid w:val="4995BEA1"/>
    <w:rsid w:val="4996E8A6"/>
    <w:rsid w:val="4997CE59"/>
    <w:rsid w:val="49982A9E"/>
    <w:rsid w:val="499D1086"/>
    <w:rsid w:val="49A06F7C"/>
    <w:rsid w:val="49A8A3C7"/>
    <w:rsid w:val="49ACA94D"/>
    <w:rsid w:val="49B07245"/>
    <w:rsid w:val="49B0F40A"/>
    <w:rsid w:val="49B1C9AA"/>
    <w:rsid w:val="49B2227C"/>
    <w:rsid w:val="49B2A072"/>
    <w:rsid w:val="49B9B313"/>
    <w:rsid w:val="49BF1467"/>
    <w:rsid w:val="49C0D173"/>
    <w:rsid w:val="49C395C7"/>
    <w:rsid w:val="49C521D7"/>
    <w:rsid w:val="49CC8DF0"/>
    <w:rsid w:val="49D01832"/>
    <w:rsid w:val="49D0AD10"/>
    <w:rsid w:val="49D10BAB"/>
    <w:rsid w:val="49D61D9B"/>
    <w:rsid w:val="49D7FA33"/>
    <w:rsid w:val="49DD75F6"/>
    <w:rsid w:val="49DE1EC9"/>
    <w:rsid w:val="49E02EA5"/>
    <w:rsid w:val="49E4DEBE"/>
    <w:rsid w:val="49E6B9E0"/>
    <w:rsid w:val="49EA2376"/>
    <w:rsid w:val="49ECC79B"/>
    <w:rsid w:val="49F615EE"/>
    <w:rsid w:val="4A0B848E"/>
    <w:rsid w:val="4A0BE810"/>
    <w:rsid w:val="4A1681C1"/>
    <w:rsid w:val="4A180949"/>
    <w:rsid w:val="4A1A3B73"/>
    <w:rsid w:val="4A1BD00C"/>
    <w:rsid w:val="4A1D79CF"/>
    <w:rsid w:val="4A229CA0"/>
    <w:rsid w:val="4A245C6A"/>
    <w:rsid w:val="4A29E2BB"/>
    <w:rsid w:val="4A2AB8BC"/>
    <w:rsid w:val="4A2BA44A"/>
    <w:rsid w:val="4A376361"/>
    <w:rsid w:val="4A38C981"/>
    <w:rsid w:val="4A3993BC"/>
    <w:rsid w:val="4A41F298"/>
    <w:rsid w:val="4A42D12C"/>
    <w:rsid w:val="4A43CCD7"/>
    <w:rsid w:val="4A497D83"/>
    <w:rsid w:val="4A4EB0C9"/>
    <w:rsid w:val="4A4FCE83"/>
    <w:rsid w:val="4A52957E"/>
    <w:rsid w:val="4A5569CA"/>
    <w:rsid w:val="4A58B9D5"/>
    <w:rsid w:val="4A5A96CE"/>
    <w:rsid w:val="4A5F3920"/>
    <w:rsid w:val="4A614A21"/>
    <w:rsid w:val="4A6369F6"/>
    <w:rsid w:val="4A63ABF7"/>
    <w:rsid w:val="4A63B698"/>
    <w:rsid w:val="4A67AC3E"/>
    <w:rsid w:val="4A707EF3"/>
    <w:rsid w:val="4A713A23"/>
    <w:rsid w:val="4A7354E6"/>
    <w:rsid w:val="4A790AA7"/>
    <w:rsid w:val="4A7A3481"/>
    <w:rsid w:val="4A7B05D4"/>
    <w:rsid w:val="4A7B3B43"/>
    <w:rsid w:val="4A7E8C80"/>
    <w:rsid w:val="4A84A819"/>
    <w:rsid w:val="4A88C0B5"/>
    <w:rsid w:val="4A8BC3B6"/>
    <w:rsid w:val="4A93058A"/>
    <w:rsid w:val="4A93D033"/>
    <w:rsid w:val="4A941D49"/>
    <w:rsid w:val="4A988BA0"/>
    <w:rsid w:val="4A9B9DD9"/>
    <w:rsid w:val="4A9CD315"/>
    <w:rsid w:val="4A9D7C17"/>
    <w:rsid w:val="4AADF004"/>
    <w:rsid w:val="4AB0877D"/>
    <w:rsid w:val="4AB4C0F5"/>
    <w:rsid w:val="4AB4DE22"/>
    <w:rsid w:val="4AB8C4A5"/>
    <w:rsid w:val="4ABDD31B"/>
    <w:rsid w:val="4AC83996"/>
    <w:rsid w:val="4ACCCE46"/>
    <w:rsid w:val="4ACD57DB"/>
    <w:rsid w:val="4AD0514E"/>
    <w:rsid w:val="4AD37B7A"/>
    <w:rsid w:val="4AD8FC1C"/>
    <w:rsid w:val="4AD9B487"/>
    <w:rsid w:val="4ADBF6DB"/>
    <w:rsid w:val="4ADD1D1B"/>
    <w:rsid w:val="4ADEB05D"/>
    <w:rsid w:val="4AE54305"/>
    <w:rsid w:val="4AE8D512"/>
    <w:rsid w:val="4AEE52C1"/>
    <w:rsid w:val="4AF19303"/>
    <w:rsid w:val="4AF57F94"/>
    <w:rsid w:val="4AF5D15F"/>
    <w:rsid w:val="4AFC1BE4"/>
    <w:rsid w:val="4AFDC82A"/>
    <w:rsid w:val="4AFF3EB3"/>
    <w:rsid w:val="4B0076A2"/>
    <w:rsid w:val="4B018031"/>
    <w:rsid w:val="4B05F172"/>
    <w:rsid w:val="4B0E718E"/>
    <w:rsid w:val="4B0F3143"/>
    <w:rsid w:val="4B0F5A51"/>
    <w:rsid w:val="4B1C7929"/>
    <w:rsid w:val="4B29E875"/>
    <w:rsid w:val="4B2BB2AF"/>
    <w:rsid w:val="4B2E45FC"/>
    <w:rsid w:val="4B2F9173"/>
    <w:rsid w:val="4B357664"/>
    <w:rsid w:val="4B393521"/>
    <w:rsid w:val="4B3F81B0"/>
    <w:rsid w:val="4B418C6E"/>
    <w:rsid w:val="4B4C68BD"/>
    <w:rsid w:val="4B50929B"/>
    <w:rsid w:val="4B529140"/>
    <w:rsid w:val="4B57B05D"/>
    <w:rsid w:val="4B594650"/>
    <w:rsid w:val="4B601261"/>
    <w:rsid w:val="4B618AEA"/>
    <w:rsid w:val="4B632896"/>
    <w:rsid w:val="4B63697E"/>
    <w:rsid w:val="4B642A08"/>
    <w:rsid w:val="4B66A847"/>
    <w:rsid w:val="4B6AD8F9"/>
    <w:rsid w:val="4B6C3C83"/>
    <w:rsid w:val="4B6ED2FA"/>
    <w:rsid w:val="4B70B56D"/>
    <w:rsid w:val="4B798B03"/>
    <w:rsid w:val="4B7E78A3"/>
    <w:rsid w:val="4B844159"/>
    <w:rsid w:val="4B90A44F"/>
    <w:rsid w:val="4B960DBC"/>
    <w:rsid w:val="4B977AC4"/>
    <w:rsid w:val="4B98040C"/>
    <w:rsid w:val="4B98B3C6"/>
    <w:rsid w:val="4B99FCC8"/>
    <w:rsid w:val="4B9F3F3E"/>
    <w:rsid w:val="4B9FA93B"/>
    <w:rsid w:val="4BA10FAA"/>
    <w:rsid w:val="4BA236ED"/>
    <w:rsid w:val="4BA43525"/>
    <w:rsid w:val="4BA7CB74"/>
    <w:rsid w:val="4BA8C813"/>
    <w:rsid w:val="4BACA141"/>
    <w:rsid w:val="4BACBFFF"/>
    <w:rsid w:val="4BB2282E"/>
    <w:rsid w:val="4BB28946"/>
    <w:rsid w:val="4BB2AC36"/>
    <w:rsid w:val="4BB70178"/>
    <w:rsid w:val="4BBD68A5"/>
    <w:rsid w:val="4BC640E9"/>
    <w:rsid w:val="4BC7B76C"/>
    <w:rsid w:val="4BCC32AF"/>
    <w:rsid w:val="4BCCDDA4"/>
    <w:rsid w:val="4BCDE0A4"/>
    <w:rsid w:val="4BCE8E7C"/>
    <w:rsid w:val="4BCF4331"/>
    <w:rsid w:val="4BD1332F"/>
    <w:rsid w:val="4BD25F4C"/>
    <w:rsid w:val="4BD354E3"/>
    <w:rsid w:val="4BD3C81F"/>
    <w:rsid w:val="4BDDEB0D"/>
    <w:rsid w:val="4BE24722"/>
    <w:rsid w:val="4BE3B1B7"/>
    <w:rsid w:val="4BE5CCDE"/>
    <w:rsid w:val="4BE6711D"/>
    <w:rsid w:val="4BE73C97"/>
    <w:rsid w:val="4BE76098"/>
    <w:rsid w:val="4BEA2C86"/>
    <w:rsid w:val="4BEB89A7"/>
    <w:rsid w:val="4BEFB0A9"/>
    <w:rsid w:val="4BF42B8D"/>
    <w:rsid w:val="4BFA0AF4"/>
    <w:rsid w:val="4BFBACA0"/>
    <w:rsid w:val="4BFCEC17"/>
    <w:rsid w:val="4C0236FF"/>
    <w:rsid w:val="4C0658FD"/>
    <w:rsid w:val="4C09D30B"/>
    <w:rsid w:val="4C1003AA"/>
    <w:rsid w:val="4C1244FE"/>
    <w:rsid w:val="4C1FFD8F"/>
    <w:rsid w:val="4C20A0F1"/>
    <w:rsid w:val="4C23481B"/>
    <w:rsid w:val="4C2626A2"/>
    <w:rsid w:val="4C2A93C8"/>
    <w:rsid w:val="4C2D9129"/>
    <w:rsid w:val="4C2E0CD8"/>
    <w:rsid w:val="4C3045C2"/>
    <w:rsid w:val="4C328BB3"/>
    <w:rsid w:val="4C3323AE"/>
    <w:rsid w:val="4C34CA67"/>
    <w:rsid w:val="4C359019"/>
    <w:rsid w:val="4C36C449"/>
    <w:rsid w:val="4C3899D8"/>
    <w:rsid w:val="4C3A14D8"/>
    <w:rsid w:val="4C3DECBB"/>
    <w:rsid w:val="4C40BBA5"/>
    <w:rsid w:val="4C413FED"/>
    <w:rsid w:val="4C427804"/>
    <w:rsid w:val="4C471440"/>
    <w:rsid w:val="4C47A822"/>
    <w:rsid w:val="4C4C1E5C"/>
    <w:rsid w:val="4C501F6A"/>
    <w:rsid w:val="4C51F73E"/>
    <w:rsid w:val="4C52A60F"/>
    <w:rsid w:val="4C561FA8"/>
    <w:rsid w:val="4C5699B4"/>
    <w:rsid w:val="4C57FC10"/>
    <w:rsid w:val="4C5897CD"/>
    <w:rsid w:val="4C5E658A"/>
    <w:rsid w:val="4C64C1A3"/>
    <w:rsid w:val="4C65B861"/>
    <w:rsid w:val="4C66C0FA"/>
    <w:rsid w:val="4C68A965"/>
    <w:rsid w:val="4C6959CB"/>
    <w:rsid w:val="4C6994B4"/>
    <w:rsid w:val="4C6CB26D"/>
    <w:rsid w:val="4C7715E8"/>
    <w:rsid w:val="4C77F514"/>
    <w:rsid w:val="4C7952A9"/>
    <w:rsid w:val="4C7CADA1"/>
    <w:rsid w:val="4C844D42"/>
    <w:rsid w:val="4C880BB1"/>
    <w:rsid w:val="4C897808"/>
    <w:rsid w:val="4C8BCCBD"/>
    <w:rsid w:val="4C9332A5"/>
    <w:rsid w:val="4C964747"/>
    <w:rsid w:val="4C99E8CF"/>
    <w:rsid w:val="4C9C9AF2"/>
    <w:rsid w:val="4CA5B74B"/>
    <w:rsid w:val="4CA6765D"/>
    <w:rsid w:val="4CAD6EE3"/>
    <w:rsid w:val="4CC03F33"/>
    <w:rsid w:val="4CC1B712"/>
    <w:rsid w:val="4CC3049F"/>
    <w:rsid w:val="4CCFF8F2"/>
    <w:rsid w:val="4CD7FE8D"/>
    <w:rsid w:val="4CD893F6"/>
    <w:rsid w:val="4CD9E6C7"/>
    <w:rsid w:val="4CDD1B87"/>
    <w:rsid w:val="4CDF9582"/>
    <w:rsid w:val="4CE66939"/>
    <w:rsid w:val="4CEB5538"/>
    <w:rsid w:val="4CF225A8"/>
    <w:rsid w:val="4CF72ED5"/>
    <w:rsid w:val="4CF75588"/>
    <w:rsid w:val="4CFCD5A3"/>
    <w:rsid w:val="4CFCDBC5"/>
    <w:rsid w:val="4CFD5F28"/>
    <w:rsid w:val="4CFE0F2F"/>
    <w:rsid w:val="4D029D1E"/>
    <w:rsid w:val="4D047522"/>
    <w:rsid w:val="4D05AD16"/>
    <w:rsid w:val="4D071BA5"/>
    <w:rsid w:val="4D0BE571"/>
    <w:rsid w:val="4D0CDDDE"/>
    <w:rsid w:val="4D1162BB"/>
    <w:rsid w:val="4D250719"/>
    <w:rsid w:val="4D2CE237"/>
    <w:rsid w:val="4D3816B5"/>
    <w:rsid w:val="4D387983"/>
    <w:rsid w:val="4D3A49FF"/>
    <w:rsid w:val="4D3B8B24"/>
    <w:rsid w:val="4D42E021"/>
    <w:rsid w:val="4D4425CD"/>
    <w:rsid w:val="4D4494F7"/>
    <w:rsid w:val="4D44BE8F"/>
    <w:rsid w:val="4D4560B2"/>
    <w:rsid w:val="4D4D896A"/>
    <w:rsid w:val="4D4FFC53"/>
    <w:rsid w:val="4D54CED6"/>
    <w:rsid w:val="4D57560D"/>
    <w:rsid w:val="4D5850C6"/>
    <w:rsid w:val="4D5A2655"/>
    <w:rsid w:val="4D5F9A64"/>
    <w:rsid w:val="4D62D52B"/>
    <w:rsid w:val="4D62FA13"/>
    <w:rsid w:val="4D648398"/>
    <w:rsid w:val="4D66B3B7"/>
    <w:rsid w:val="4D6A10E8"/>
    <w:rsid w:val="4D7084A1"/>
    <w:rsid w:val="4D738462"/>
    <w:rsid w:val="4D738653"/>
    <w:rsid w:val="4D75A15C"/>
    <w:rsid w:val="4D766B44"/>
    <w:rsid w:val="4D8060DD"/>
    <w:rsid w:val="4D81C91C"/>
    <w:rsid w:val="4D93E883"/>
    <w:rsid w:val="4D97A673"/>
    <w:rsid w:val="4D997882"/>
    <w:rsid w:val="4D9B575A"/>
    <w:rsid w:val="4D9BFD9F"/>
    <w:rsid w:val="4D9ECBB4"/>
    <w:rsid w:val="4D9F7D48"/>
    <w:rsid w:val="4DA2295E"/>
    <w:rsid w:val="4DA47FE4"/>
    <w:rsid w:val="4DAEF3CF"/>
    <w:rsid w:val="4DB06C7C"/>
    <w:rsid w:val="4DB0A66A"/>
    <w:rsid w:val="4DB2C41F"/>
    <w:rsid w:val="4DB67A9C"/>
    <w:rsid w:val="4DB7599E"/>
    <w:rsid w:val="4DBC121D"/>
    <w:rsid w:val="4DBC48D7"/>
    <w:rsid w:val="4DBC7019"/>
    <w:rsid w:val="4DC046F7"/>
    <w:rsid w:val="4DC23E2A"/>
    <w:rsid w:val="4DC3A115"/>
    <w:rsid w:val="4DC6D528"/>
    <w:rsid w:val="4DC962A6"/>
    <w:rsid w:val="4DC9DD39"/>
    <w:rsid w:val="4DCE0086"/>
    <w:rsid w:val="4DCE9F5C"/>
    <w:rsid w:val="4DD591E2"/>
    <w:rsid w:val="4DD64A51"/>
    <w:rsid w:val="4DD98919"/>
    <w:rsid w:val="4DDB97F9"/>
    <w:rsid w:val="4DE19E60"/>
    <w:rsid w:val="4DECC79D"/>
    <w:rsid w:val="4DED184A"/>
    <w:rsid w:val="4DED2B21"/>
    <w:rsid w:val="4DED7661"/>
    <w:rsid w:val="4DEE5E7A"/>
    <w:rsid w:val="4DF446D2"/>
    <w:rsid w:val="4DF55744"/>
    <w:rsid w:val="4DF7351B"/>
    <w:rsid w:val="4DFFA269"/>
    <w:rsid w:val="4E02D4AC"/>
    <w:rsid w:val="4E04FDC0"/>
    <w:rsid w:val="4E08E03A"/>
    <w:rsid w:val="4E0CA971"/>
    <w:rsid w:val="4E0D7F76"/>
    <w:rsid w:val="4E0DACA7"/>
    <w:rsid w:val="4E12034E"/>
    <w:rsid w:val="4E1E9FAB"/>
    <w:rsid w:val="4E24D165"/>
    <w:rsid w:val="4E299C95"/>
    <w:rsid w:val="4E2D63B2"/>
    <w:rsid w:val="4E32F230"/>
    <w:rsid w:val="4E33993E"/>
    <w:rsid w:val="4E39F315"/>
    <w:rsid w:val="4E3B453E"/>
    <w:rsid w:val="4E4880DE"/>
    <w:rsid w:val="4E4D820C"/>
    <w:rsid w:val="4E4D9446"/>
    <w:rsid w:val="4E4E8090"/>
    <w:rsid w:val="4E53FD7D"/>
    <w:rsid w:val="4E5BC81C"/>
    <w:rsid w:val="4E5D1DC3"/>
    <w:rsid w:val="4E5FE0DB"/>
    <w:rsid w:val="4E5FEB0E"/>
    <w:rsid w:val="4E6385DA"/>
    <w:rsid w:val="4E64BD67"/>
    <w:rsid w:val="4E667C49"/>
    <w:rsid w:val="4E694237"/>
    <w:rsid w:val="4E69E76B"/>
    <w:rsid w:val="4E73450B"/>
    <w:rsid w:val="4E7A4E84"/>
    <w:rsid w:val="4E7AAC94"/>
    <w:rsid w:val="4E7AF462"/>
    <w:rsid w:val="4E7B6D7A"/>
    <w:rsid w:val="4E7C18AD"/>
    <w:rsid w:val="4E7C4FB6"/>
    <w:rsid w:val="4E7FDC11"/>
    <w:rsid w:val="4E84276C"/>
    <w:rsid w:val="4E85E736"/>
    <w:rsid w:val="4E875CDB"/>
    <w:rsid w:val="4E8AE628"/>
    <w:rsid w:val="4E935BA4"/>
    <w:rsid w:val="4E97022E"/>
    <w:rsid w:val="4E993105"/>
    <w:rsid w:val="4E9C0306"/>
    <w:rsid w:val="4E9FB4BA"/>
    <w:rsid w:val="4EA623AB"/>
    <w:rsid w:val="4EA8201D"/>
    <w:rsid w:val="4EAAD3DB"/>
    <w:rsid w:val="4EAC9F11"/>
    <w:rsid w:val="4EB028E1"/>
    <w:rsid w:val="4EB6B527"/>
    <w:rsid w:val="4EB70E72"/>
    <w:rsid w:val="4EB93992"/>
    <w:rsid w:val="4EBA72E8"/>
    <w:rsid w:val="4EBABAE0"/>
    <w:rsid w:val="4EBCFC89"/>
    <w:rsid w:val="4EBD25D0"/>
    <w:rsid w:val="4EC4A299"/>
    <w:rsid w:val="4ED423A9"/>
    <w:rsid w:val="4ED64A59"/>
    <w:rsid w:val="4ED64D4F"/>
    <w:rsid w:val="4ED6C05A"/>
    <w:rsid w:val="4ED6EEA1"/>
    <w:rsid w:val="4EDA013A"/>
    <w:rsid w:val="4EE7A736"/>
    <w:rsid w:val="4EEBC08F"/>
    <w:rsid w:val="4EEEA869"/>
    <w:rsid w:val="4EEEFDEF"/>
    <w:rsid w:val="4EF4A197"/>
    <w:rsid w:val="4EF50C21"/>
    <w:rsid w:val="4EF58096"/>
    <w:rsid w:val="4EF7CB4D"/>
    <w:rsid w:val="4F027327"/>
    <w:rsid w:val="4F04AAD3"/>
    <w:rsid w:val="4F051492"/>
    <w:rsid w:val="4F0A19FB"/>
    <w:rsid w:val="4F0EF5A2"/>
    <w:rsid w:val="4F11BE43"/>
    <w:rsid w:val="4F150CDD"/>
    <w:rsid w:val="4F15B164"/>
    <w:rsid w:val="4F15C921"/>
    <w:rsid w:val="4F187A74"/>
    <w:rsid w:val="4F1C6873"/>
    <w:rsid w:val="4F1D9AB7"/>
    <w:rsid w:val="4F23E00B"/>
    <w:rsid w:val="4F2589AE"/>
    <w:rsid w:val="4F272BBF"/>
    <w:rsid w:val="4F2A4A41"/>
    <w:rsid w:val="4F2D3778"/>
    <w:rsid w:val="4F2E7A33"/>
    <w:rsid w:val="4F2F8990"/>
    <w:rsid w:val="4F3066C7"/>
    <w:rsid w:val="4F3B2BB8"/>
    <w:rsid w:val="4F3BF8A7"/>
    <w:rsid w:val="4F3DDF5A"/>
    <w:rsid w:val="4F3DF9BF"/>
    <w:rsid w:val="4F3ECC29"/>
    <w:rsid w:val="4F404AA9"/>
    <w:rsid w:val="4F4089A5"/>
    <w:rsid w:val="4F411DDE"/>
    <w:rsid w:val="4F414CA9"/>
    <w:rsid w:val="4F42A4D4"/>
    <w:rsid w:val="4F489468"/>
    <w:rsid w:val="4F494247"/>
    <w:rsid w:val="4F49A681"/>
    <w:rsid w:val="4F539EF6"/>
    <w:rsid w:val="4F620046"/>
    <w:rsid w:val="4F633D94"/>
    <w:rsid w:val="4F6755DA"/>
    <w:rsid w:val="4F6C595A"/>
    <w:rsid w:val="4F717243"/>
    <w:rsid w:val="4F7ABBF0"/>
    <w:rsid w:val="4F7B482E"/>
    <w:rsid w:val="4F7DCB1A"/>
    <w:rsid w:val="4F813C0B"/>
    <w:rsid w:val="4F83927E"/>
    <w:rsid w:val="4F885FA7"/>
    <w:rsid w:val="4F8C54A3"/>
    <w:rsid w:val="4F8CDEF8"/>
    <w:rsid w:val="4F8D0A0A"/>
    <w:rsid w:val="4F94D83C"/>
    <w:rsid w:val="4F95DEE7"/>
    <w:rsid w:val="4F9A316B"/>
    <w:rsid w:val="4F9C2BDF"/>
    <w:rsid w:val="4FA47359"/>
    <w:rsid w:val="4FA7ED11"/>
    <w:rsid w:val="4FB3AB02"/>
    <w:rsid w:val="4FB5D16C"/>
    <w:rsid w:val="4FB7157B"/>
    <w:rsid w:val="4FBA1DEA"/>
    <w:rsid w:val="4FBDB554"/>
    <w:rsid w:val="4FBF22A9"/>
    <w:rsid w:val="4FC0167F"/>
    <w:rsid w:val="4FC1D893"/>
    <w:rsid w:val="4FC49F4F"/>
    <w:rsid w:val="4FC9AD90"/>
    <w:rsid w:val="4FCA0EF1"/>
    <w:rsid w:val="4FD63C36"/>
    <w:rsid w:val="4FD77816"/>
    <w:rsid w:val="4FD9FCA7"/>
    <w:rsid w:val="4FDCD3F5"/>
    <w:rsid w:val="4FE1EEBA"/>
    <w:rsid w:val="4FE2158B"/>
    <w:rsid w:val="4FEA9900"/>
    <w:rsid w:val="4FEB0FB6"/>
    <w:rsid w:val="4FEEAD96"/>
    <w:rsid w:val="4FEF8043"/>
    <w:rsid w:val="4FEFDEC4"/>
    <w:rsid w:val="4FF2A730"/>
    <w:rsid w:val="4FF50033"/>
    <w:rsid w:val="4FFED5BD"/>
    <w:rsid w:val="50020993"/>
    <w:rsid w:val="500A9A5A"/>
    <w:rsid w:val="500CDF7D"/>
    <w:rsid w:val="500DE2D3"/>
    <w:rsid w:val="50153BFB"/>
    <w:rsid w:val="501702F9"/>
    <w:rsid w:val="50173E6D"/>
    <w:rsid w:val="50182BB2"/>
    <w:rsid w:val="50184F9D"/>
    <w:rsid w:val="501A3E21"/>
    <w:rsid w:val="501A528F"/>
    <w:rsid w:val="501B5902"/>
    <w:rsid w:val="501BD78D"/>
    <w:rsid w:val="501DA228"/>
    <w:rsid w:val="501E231C"/>
    <w:rsid w:val="501E97F7"/>
    <w:rsid w:val="5024335C"/>
    <w:rsid w:val="502F1569"/>
    <w:rsid w:val="50308F7E"/>
    <w:rsid w:val="5030BE85"/>
    <w:rsid w:val="50335A92"/>
    <w:rsid w:val="503422B3"/>
    <w:rsid w:val="5035F8A6"/>
    <w:rsid w:val="50368093"/>
    <w:rsid w:val="503CA4F9"/>
    <w:rsid w:val="5040A1FF"/>
    <w:rsid w:val="50455836"/>
    <w:rsid w:val="50463E4F"/>
    <w:rsid w:val="5048F2AA"/>
    <w:rsid w:val="504E44B9"/>
    <w:rsid w:val="505031D8"/>
    <w:rsid w:val="5053C8A1"/>
    <w:rsid w:val="5055C35E"/>
    <w:rsid w:val="50566574"/>
    <w:rsid w:val="505E30E2"/>
    <w:rsid w:val="50630423"/>
    <w:rsid w:val="506432D8"/>
    <w:rsid w:val="506A0729"/>
    <w:rsid w:val="506A5BA8"/>
    <w:rsid w:val="506CFC7A"/>
    <w:rsid w:val="50727E74"/>
    <w:rsid w:val="5079E075"/>
    <w:rsid w:val="507A199E"/>
    <w:rsid w:val="507DB957"/>
    <w:rsid w:val="507E8937"/>
    <w:rsid w:val="507EFDF0"/>
    <w:rsid w:val="5083D606"/>
    <w:rsid w:val="5084701B"/>
    <w:rsid w:val="508493A6"/>
    <w:rsid w:val="5087F524"/>
    <w:rsid w:val="508928E0"/>
    <w:rsid w:val="508CD87B"/>
    <w:rsid w:val="5090BC2D"/>
    <w:rsid w:val="50913115"/>
    <w:rsid w:val="50957903"/>
    <w:rsid w:val="50974BED"/>
    <w:rsid w:val="509959E6"/>
    <w:rsid w:val="50A4D4F7"/>
    <w:rsid w:val="50A8F1EC"/>
    <w:rsid w:val="50AA7F1F"/>
    <w:rsid w:val="50AE70C3"/>
    <w:rsid w:val="50B49E07"/>
    <w:rsid w:val="50B4BC4A"/>
    <w:rsid w:val="50B8E0EF"/>
    <w:rsid w:val="50BAA476"/>
    <w:rsid w:val="50BB775C"/>
    <w:rsid w:val="50BC38F6"/>
    <w:rsid w:val="50C049DB"/>
    <w:rsid w:val="50C1F476"/>
    <w:rsid w:val="50C4172B"/>
    <w:rsid w:val="50C66649"/>
    <w:rsid w:val="50C92D9F"/>
    <w:rsid w:val="50CB72A7"/>
    <w:rsid w:val="50CC7080"/>
    <w:rsid w:val="50CF1A45"/>
    <w:rsid w:val="50D21E7C"/>
    <w:rsid w:val="50D5A4CB"/>
    <w:rsid w:val="50D60CFB"/>
    <w:rsid w:val="50D62FFD"/>
    <w:rsid w:val="50D6682A"/>
    <w:rsid w:val="50D9CA20"/>
    <w:rsid w:val="50D9D98E"/>
    <w:rsid w:val="50DC4581"/>
    <w:rsid w:val="50DE80F9"/>
    <w:rsid w:val="50DEE377"/>
    <w:rsid w:val="50E011EA"/>
    <w:rsid w:val="50E20255"/>
    <w:rsid w:val="50E31299"/>
    <w:rsid w:val="50E3CF0F"/>
    <w:rsid w:val="50E8513B"/>
    <w:rsid w:val="50F12DAE"/>
    <w:rsid w:val="50F4BDA0"/>
    <w:rsid w:val="50F54600"/>
    <w:rsid w:val="50F9677B"/>
    <w:rsid w:val="50FB3D5C"/>
    <w:rsid w:val="50FDEB92"/>
    <w:rsid w:val="5100C913"/>
    <w:rsid w:val="510638C0"/>
    <w:rsid w:val="51129C9F"/>
    <w:rsid w:val="511308D7"/>
    <w:rsid w:val="5114D6DF"/>
    <w:rsid w:val="51151BDE"/>
    <w:rsid w:val="51167185"/>
    <w:rsid w:val="51167BC3"/>
    <w:rsid w:val="511733C6"/>
    <w:rsid w:val="5119121F"/>
    <w:rsid w:val="511C6B85"/>
    <w:rsid w:val="512AFC19"/>
    <w:rsid w:val="512D52AC"/>
    <w:rsid w:val="5136C3AC"/>
    <w:rsid w:val="513BD27F"/>
    <w:rsid w:val="513C6A8C"/>
    <w:rsid w:val="513D18EC"/>
    <w:rsid w:val="513E6A38"/>
    <w:rsid w:val="51409C67"/>
    <w:rsid w:val="514214AA"/>
    <w:rsid w:val="514C2513"/>
    <w:rsid w:val="514EFF11"/>
    <w:rsid w:val="5152FF80"/>
    <w:rsid w:val="515A8D66"/>
    <w:rsid w:val="515B7E5A"/>
    <w:rsid w:val="516125B9"/>
    <w:rsid w:val="51618FF5"/>
    <w:rsid w:val="51623DDE"/>
    <w:rsid w:val="5165F236"/>
    <w:rsid w:val="5169A300"/>
    <w:rsid w:val="516A0E76"/>
    <w:rsid w:val="516B7ABD"/>
    <w:rsid w:val="516CD3FF"/>
    <w:rsid w:val="5173AB7B"/>
    <w:rsid w:val="517720E7"/>
    <w:rsid w:val="51803AD6"/>
    <w:rsid w:val="518155E8"/>
    <w:rsid w:val="51862C05"/>
    <w:rsid w:val="5186BE02"/>
    <w:rsid w:val="51896EB1"/>
    <w:rsid w:val="518E3D58"/>
    <w:rsid w:val="51933CF9"/>
    <w:rsid w:val="51952DFA"/>
    <w:rsid w:val="5197231E"/>
    <w:rsid w:val="51A522BF"/>
    <w:rsid w:val="51A63EDF"/>
    <w:rsid w:val="51AB8682"/>
    <w:rsid w:val="51AC7CEB"/>
    <w:rsid w:val="51AEF3FC"/>
    <w:rsid w:val="51B24712"/>
    <w:rsid w:val="51B544B1"/>
    <w:rsid w:val="51B83E70"/>
    <w:rsid w:val="51BD3D27"/>
    <w:rsid w:val="51BFF124"/>
    <w:rsid w:val="51C07FA2"/>
    <w:rsid w:val="51C10308"/>
    <w:rsid w:val="51C31E38"/>
    <w:rsid w:val="51CA8FE2"/>
    <w:rsid w:val="51D364A1"/>
    <w:rsid w:val="51D5B505"/>
    <w:rsid w:val="51E25897"/>
    <w:rsid w:val="51E49A68"/>
    <w:rsid w:val="51E52297"/>
    <w:rsid w:val="51E6B2DF"/>
    <w:rsid w:val="51F5C5D8"/>
    <w:rsid w:val="51F61006"/>
    <w:rsid w:val="51FD9609"/>
    <w:rsid w:val="520283EE"/>
    <w:rsid w:val="5208D02D"/>
    <w:rsid w:val="52094FF5"/>
    <w:rsid w:val="520B4E9A"/>
    <w:rsid w:val="520F226D"/>
    <w:rsid w:val="521099B2"/>
    <w:rsid w:val="5210D2EA"/>
    <w:rsid w:val="5214CF7B"/>
    <w:rsid w:val="521B920B"/>
    <w:rsid w:val="522F5911"/>
    <w:rsid w:val="5230EFD5"/>
    <w:rsid w:val="52318B61"/>
    <w:rsid w:val="52327A9F"/>
    <w:rsid w:val="5235FEC0"/>
    <w:rsid w:val="5237C33F"/>
    <w:rsid w:val="523A202C"/>
    <w:rsid w:val="523CF050"/>
    <w:rsid w:val="5240091F"/>
    <w:rsid w:val="524311BC"/>
    <w:rsid w:val="524C666B"/>
    <w:rsid w:val="5250E712"/>
    <w:rsid w:val="5252B440"/>
    <w:rsid w:val="5252D7C3"/>
    <w:rsid w:val="525637B7"/>
    <w:rsid w:val="52588903"/>
    <w:rsid w:val="525DF54F"/>
    <w:rsid w:val="525EDB97"/>
    <w:rsid w:val="526012A4"/>
    <w:rsid w:val="5265229A"/>
    <w:rsid w:val="5265C140"/>
    <w:rsid w:val="526C8966"/>
    <w:rsid w:val="5272388B"/>
    <w:rsid w:val="52724323"/>
    <w:rsid w:val="52766C38"/>
    <w:rsid w:val="527D5C91"/>
    <w:rsid w:val="527EE3B5"/>
    <w:rsid w:val="52872DC6"/>
    <w:rsid w:val="528BBABD"/>
    <w:rsid w:val="52921C39"/>
    <w:rsid w:val="529710A6"/>
    <w:rsid w:val="5297C5D3"/>
    <w:rsid w:val="529A0FBE"/>
    <w:rsid w:val="529B89C9"/>
    <w:rsid w:val="529D7C04"/>
    <w:rsid w:val="52A3F687"/>
    <w:rsid w:val="52A68AE6"/>
    <w:rsid w:val="52A89946"/>
    <w:rsid w:val="52AA421F"/>
    <w:rsid w:val="52AF00B3"/>
    <w:rsid w:val="52B0ADEE"/>
    <w:rsid w:val="52B13A4E"/>
    <w:rsid w:val="52B2B4C0"/>
    <w:rsid w:val="52B3F3FD"/>
    <w:rsid w:val="52B798D6"/>
    <w:rsid w:val="52B9FAE3"/>
    <w:rsid w:val="52C05F4A"/>
    <w:rsid w:val="52C2F5B1"/>
    <w:rsid w:val="52C55ACD"/>
    <w:rsid w:val="52C64913"/>
    <w:rsid w:val="52C82BD8"/>
    <w:rsid w:val="52D40BF0"/>
    <w:rsid w:val="52D50067"/>
    <w:rsid w:val="52D8F0A1"/>
    <w:rsid w:val="52E06299"/>
    <w:rsid w:val="52EA4AD3"/>
    <w:rsid w:val="52EB27C5"/>
    <w:rsid w:val="52EFB710"/>
    <w:rsid w:val="52F33CEB"/>
    <w:rsid w:val="52FBF845"/>
    <w:rsid w:val="53013716"/>
    <w:rsid w:val="53016A19"/>
    <w:rsid w:val="5302636A"/>
    <w:rsid w:val="5302FF7B"/>
    <w:rsid w:val="53086D74"/>
    <w:rsid w:val="53095934"/>
    <w:rsid w:val="530F43F2"/>
    <w:rsid w:val="53104036"/>
    <w:rsid w:val="53119A95"/>
    <w:rsid w:val="531944CD"/>
    <w:rsid w:val="531CAE68"/>
    <w:rsid w:val="531FC1FF"/>
    <w:rsid w:val="53214E21"/>
    <w:rsid w:val="53234DA7"/>
    <w:rsid w:val="53276FBD"/>
    <w:rsid w:val="532B6DC6"/>
    <w:rsid w:val="532DBB1D"/>
    <w:rsid w:val="5330A566"/>
    <w:rsid w:val="53356DF2"/>
    <w:rsid w:val="5336BA2F"/>
    <w:rsid w:val="533E86C8"/>
    <w:rsid w:val="533F3DC4"/>
    <w:rsid w:val="533F6DAA"/>
    <w:rsid w:val="53449F9B"/>
    <w:rsid w:val="5344C795"/>
    <w:rsid w:val="5347BF7D"/>
    <w:rsid w:val="534E2142"/>
    <w:rsid w:val="534ED7E9"/>
    <w:rsid w:val="5351489B"/>
    <w:rsid w:val="5351D663"/>
    <w:rsid w:val="535274C2"/>
    <w:rsid w:val="5353C6D6"/>
    <w:rsid w:val="5356004E"/>
    <w:rsid w:val="53577B25"/>
    <w:rsid w:val="53613B3F"/>
    <w:rsid w:val="5361BF93"/>
    <w:rsid w:val="5362DB85"/>
    <w:rsid w:val="53677BE2"/>
    <w:rsid w:val="536796FE"/>
    <w:rsid w:val="536CD144"/>
    <w:rsid w:val="53740112"/>
    <w:rsid w:val="537556D6"/>
    <w:rsid w:val="537E064A"/>
    <w:rsid w:val="5380118C"/>
    <w:rsid w:val="538B94C2"/>
    <w:rsid w:val="53923532"/>
    <w:rsid w:val="53927258"/>
    <w:rsid w:val="5393C05A"/>
    <w:rsid w:val="53A99196"/>
    <w:rsid w:val="53AC2C09"/>
    <w:rsid w:val="53B0A96D"/>
    <w:rsid w:val="53B4EBC4"/>
    <w:rsid w:val="53B843E5"/>
    <w:rsid w:val="53BA61F9"/>
    <w:rsid w:val="53BF967F"/>
    <w:rsid w:val="53CB965D"/>
    <w:rsid w:val="53CD0D6D"/>
    <w:rsid w:val="53CDAB79"/>
    <w:rsid w:val="53D3ED67"/>
    <w:rsid w:val="53D432F0"/>
    <w:rsid w:val="53D49B82"/>
    <w:rsid w:val="53D99F1D"/>
    <w:rsid w:val="53E044F4"/>
    <w:rsid w:val="53E2A09F"/>
    <w:rsid w:val="53E59B53"/>
    <w:rsid w:val="53E632A3"/>
    <w:rsid w:val="53E95730"/>
    <w:rsid w:val="53E9C833"/>
    <w:rsid w:val="53ECE62F"/>
    <w:rsid w:val="53EE7FEC"/>
    <w:rsid w:val="53EE9E03"/>
    <w:rsid w:val="53F1F5E6"/>
    <w:rsid w:val="53F6B7E3"/>
    <w:rsid w:val="53F7CBEC"/>
    <w:rsid w:val="53F85B0E"/>
    <w:rsid w:val="53F9F080"/>
    <w:rsid w:val="54077669"/>
    <w:rsid w:val="5407ADA4"/>
    <w:rsid w:val="5409EA6C"/>
    <w:rsid w:val="540E08EC"/>
    <w:rsid w:val="541346E8"/>
    <w:rsid w:val="5416E50A"/>
    <w:rsid w:val="54171216"/>
    <w:rsid w:val="54173C52"/>
    <w:rsid w:val="541C8384"/>
    <w:rsid w:val="5420E496"/>
    <w:rsid w:val="542D5684"/>
    <w:rsid w:val="542E17D0"/>
    <w:rsid w:val="542E7696"/>
    <w:rsid w:val="54301620"/>
    <w:rsid w:val="54305D51"/>
    <w:rsid w:val="54326ACC"/>
    <w:rsid w:val="54336227"/>
    <w:rsid w:val="54340695"/>
    <w:rsid w:val="54352BD6"/>
    <w:rsid w:val="5435F157"/>
    <w:rsid w:val="5436C2CF"/>
    <w:rsid w:val="543A7775"/>
    <w:rsid w:val="54413EDE"/>
    <w:rsid w:val="5444DAAA"/>
    <w:rsid w:val="54486465"/>
    <w:rsid w:val="544FD276"/>
    <w:rsid w:val="5452CCB1"/>
    <w:rsid w:val="5453CF1E"/>
    <w:rsid w:val="545E1BD9"/>
    <w:rsid w:val="546D6E3F"/>
    <w:rsid w:val="5472D02C"/>
    <w:rsid w:val="5473C252"/>
    <w:rsid w:val="547472D9"/>
    <w:rsid w:val="547D2B3E"/>
    <w:rsid w:val="547E5A00"/>
    <w:rsid w:val="548106FB"/>
    <w:rsid w:val="54874CEF"/>
    <w:rsid w:val="54887988"/>
    <w:rsid w:val="5488A999"/>
    <w:rsid w:val="548D3A0A"/>
    <w:rsid w:val="548F81B9"/>
    <w:rsid w:val="549A0AB7"/>
    <w:rsid w:val="549FA9C7"/>
    <w:rsid w:val="54A2FACC"/>
    <w:rsid w:val="54A4655A"/>
    <w:rsid w:val="54A498AE"/>
    <w:rsid w:val="54A859BD"/>
    <w:rsid w:val="54B3D3A7"/>
    <w:rsid w:val="54B9F02C"/>
    <w:rsid w:val="54BCDF88"/>
    <w:rsid w:val="54BD9941"/>
    <w:rsid w:val="54C1D1D7"/>
    <w:rsid w:val="54C542B6"/>
    <w:rsid w:val="54C7892E"/>
    <w:rsid w:val="54C84897"/>
    <w:rsid w:val="54C86BCE"/>
    <w:rsid w:val="54CB8785"/>
    <w:rsid w:val="54CC88C5"/>
    <w:rsid w:val="54CF6020"/>
    <w:rsid w:val="54D02375"/>
    <w:rsid w:val="54D5B93E"/>
    <w:rsid w:val="54D63478"/>
    <w:rsid w:val="54DB3074"/>
    <w:rsid w:val="54DD1CEE"/>
    <w:rsid w:val="54E07C5B"/>
    <w:rsid w:val="54E3BC7F"/>
    <w:rsid w:val="54E752B3"/>
    <w:rsid w:val="54ED173A"/>
    <w:rsid w:val="54F1CE3D"/>
    <w:rsid w:val="54F1D0AF"/>
    <w:rsid w:val="54F1DA0C"/>
    <w:rsid w:val="54F62597"/>
    <w:rsid w:val="54FEBE9B"/>
    <w:rsid w:val="55010318"/>
    <w:rsid w:val="55096529"/>
    <w:rsid w:val="550AF19F"/>
    <w:rsid w:val="55114B63"/>
    <w:rsid w:val="5511C8FB"/>
    <w:rsid w:val="55127609"/>
    <w:rsid w:val="5517BE44"/>
    <w:rsid w:val="551F8A56"/>
    <w:rsid w:val="5522A38E"/>
    <w:rsid w:val="552396A2"/>
    <w:rsid w:val="55247DCB"/>
    <w:rsid w:val="5525DA93"/>
    <w:rsid w:val="5528F0DB"/>
    <w:rsid w:val="552CCFFE"/>
    <w:rsid w:val="552E00C0"/>
    <w:rsid w:val="552E8234"/>
    <w:rsid w:val="5536201A"/>
    <w:rsid w:val="5536381F"/>
    <w:rsid w:val="55365A17"/>
    <w:rsid w:val="553A727B"/>
    <w:rsid w:val="553AA5E5"/>
    <w:rsid w:val="553C00A7"/>
    <w:rsid w:val="553C04B2"/>
    <w:rsid w:val="553D8B30"/>
    <w:rsid w:val="5541810E"/>
    <w:rsid w:val="554999E4"/>
    <w:rsid w:val="554C229E"/>
    <w:rsid w:val="554E2518"/>
    <w:rsid w:val="55520642"/>
    <w:rsid w:val="5554ABAD"/>
    <w:rsid w:val="5557C7AB"/>
    <w:rsid w:val="555913C9"/>
    <w:rsid w:val="555B6CDA"/>
    <w:rsid w:val="555C15BE"/>
    <w:rsid w:val="555DE614"/>
    <w:rsid w:val="555FB255"/>
    <w:rsid w:val="5561BAD3"/>
    <w:rsid w:val="5561C6B5"/>
    <w:rsid w:val="5562E188"/>
    <w:rsid w:val="55668A93"/>
    <w:rsid w:val="5566F65F"/>
    <w:rsid w:val="556A919C"/>
    <w:rsid w:val="5572125B"/>
    <w:rsid w:val="557EC439"/>
    <w:rsid w:val="557F1802"/>
    <w:rsid w:val="5581BF1F"/>
    <w:rsid w:val="558200B5"/>
    <w:rsid w:val="55827867"/>
    <w:rsid w:val="5584A203"/>
    <w:rsid w:val="55861D5F"/>
    <w:rsid w:val="558CA2D2"/>
    <w:rsid w:val="55994374"/>
    <w:rsid w:val="55A50792"/>
    <w:rsid w:val="55A7111A"/>
    <w:rsid w:val="55A99447"/>
    <w:rsid w:val="55AA2177"/>
    <w:rsid w:val="55AACEDB"/>
    <w:rsid w:val="55ABDCC9"/>
    <w:rsid w:val="55B18145"/>
    <w:rsid w:val="55B2F2C3"/>
    <w:rsid w:val="55B31E24"/>
    <w:rsid w:val="55B483FE"/>
    <w:rsid w:val="55B5140B"/>
    <w:rsid w:val="55B69DFA"/>
    <w:rsid w:val="55B7079F"/>
    <w:rsid w:val="55BB081E"/>
    <w:rsid w:val="55BD57AD"/>
    <w:rsid w:val="55BD5896"/>
    <w:rsid w:val="55BF5877"/>
    <w:rsid w:val="55C520DD"/>
    <w:rsid w:val="55C8F458"/>
    <w:rsid w:val="55C9CC3B"/>
    <w:rsid w:val="55CD5F46"/>
    <w:rsid w:val="55CE8F65"/>
    <w:rsid w:val="55CF07BE"/>
    <w:rsid w:val="55D234A7"/>
    <w:rsid w:val="55D4B272"/>
    <w:rsid w:val="55E2E13B"/>
    <w:rsid w:val="55E2E353"/>
    <w:rsid w:val="55E34DD2"/>
    <w:rsid w:val="55E49A4B"/>
    <w:rsid w:val="55E53C42"/>
    <w:rsid w:val="55E7F636"/>
    <w:rsid w:val="55E89073"/>
    <w:rsid w:val="55EA67FE"/>
    <w:rsid w:val="55EE26DB"/>
    <w:rsid w:val="55EFB375"/>
    <w:rsid w:val="55F0BB91"/>
    <w:rsid w:val="55F2B100"/>
    <w:rsid w:val="55F5177E"/>
    <w:rsid w:val="55FE5986"/>
    <w:rsid w:val="55FF1B0A"/>
    <w:rsid w:val="5601E43D"/>
    <w:rsid w:val="56028246"/>
    <w:rsid w:val="560389AF"/>
    <w:rsid w:val="5606F3EA"/>
    <w:rsid w:val="56071DF2"/>
    <w:rsid w:val="560B3FD2"/>
    <w:rsid w:val="560C6C59"/>
    <w:rsid w:val="560D2C2A"/>
    <w:rsid w:val="560DBEBB"/>
    <w:rsid w:val="561224F6"/>
    <w:rsid w:val="561C0589"/>
    <w:rsid w:val="561FB638"/>
    <w:rsid w:val="56261116"/>
    <w:rsid w:val="562A6F2A"/>
    <w:rsid w:val="562CB0E9"/>
    <w:rsid w:val="562F0B83"/>
    <w:rsid w:val="562F179A"/>
    <w:rsid w:val="5635F415"/>
    <w:rsid w:val="5636B6CF"/>
    <w:rsid w:val="5636DC0A"/>
    <w:rsid w:val="563A061D"/>
    <w:rsid w:val="563C6576"/>
    <w:rsid w:val="563F6C50"/>
    <w:rsid w:val="5649175E"/>
    <w:rsid w:val="56494358"/>
    <w:rsid w:val="5649A1B0"/>
    <w:rsid w:val="564C188C"/>
    <w:rsid w:val="56568734"/>
    <w:rsid w:val="5658AFE9"/>
    <w:rsid w:val="56596801"/>
    <w:rsid w:val="5659D4DE"/>
    <w:rsid w:val="565A0B91"/>
    <w:rsid w:val="565BE133"/>
    <w:rsid w:val="565F2611"/>
    <w:rsid w:val="5662C6D8"/>
    <w:rsid w:val="566BAF2C"/>
    <w:rsid w:val="566C86E5"/>
    <w:rsid w:val="566F2693"/>
    <w:rsid w:val="5671F969"/>
    <w:rsid w:val="5673BE80"/>
    <w:rsid w:val="567B7A0C"/>
    <w:rsid w:val="567E749D"/>
    <w:rsid w:val="568016B0"/>
    <w:rsid w:val="56829B91"/>
    <w:rsid w:val="56835285"/>
    <w:rsid w:val="5689FC05"/>
    <w:rsid w:val="568B37E1"/>
    <w:rsid w:val="5694F70F"/>
    <w:rsid w:val="56964A35"/>
    <w:rsid w:val="5697EE80"/>
    <w:rsid w:val="5699D748"/>
    <w:rsid w:val="5699DAAC"/>
    <w:rsid w:val="569A1780"/>
    <w:rsid w:val="569AACB0"/>
    <w:rsid w:val="569B3B4E"/>
    <w:rsid w:val="56A079C2"/>
    <w:rsid w:val="56A70A2D"/>
    <w:rsid w:val="56A9A9FD"/>
    <w:rsid w:val="56ABDA41"/>
    <w:rsid w:val="56B5E8C3"/>
    <w:rsid w:val="56B91E26"/>
    <w:rsid w:val="56BAE491"/>
    <w:rsid w:val="56BC6839"/>
    <w:rsid w:val="56C6CAB4"/>
    <w:rsid w:val="56C8B211"/>
    <w:rsid w:val="56D01000"/>
    <w:rsid w:val="56D836E3"/>
    <w:rsid w:val="56DC8365"/>
    <w:rsid w:val="56DD0266"/>
    <w:rsid w:val="56EB4AC9"/>
    <w:rsid w:val="56F15DF1"/>
    <w:rsid w:val="56F3794B"/>
    <w:rsid w:val="56F69A3D"/>
    <w:rsid w:val="56FB5863"/>
    <w:rsid w:val="56FB7661"/>
    <w:rsid w:val="56FBF7FA"/>
    <w:rsid w:val="56FCD0A1"/>
    <w:rsid w:val="56FDB8A5"/>
    <w:rsid w:val="5702AE7D"/>
    <w:rsid w:val="5702BD0E"/>
    <w:rsid w:val="5703750C"/>
    <w:rsid w:val="5705B87C"/>
    <w:rsid w:val="5706E3D7"/>
    <w:rsid w:val="570A7268"/>
    <w:rsid w:val="570B0AD8"/>
    <w:rsid w:val="570B0E9C"/>
    <w:rsid w:val="57104D59"/>
    <w:rsid w:val="5715FAE4"/>
    <w:rsid w:val="5718C2DA"/>
    <w:rsid w:val="571B7EE2"/>
    <w:rsid w:val="571D94F4"/>
    <w:rsid w:val="57213038"/>
    <w:rsid w:val="57217E55"/>
    <w:rsid w:val="57220B05"/>
    <w:rsid w:val="5725EB46"/>
    <w:rsid w:val="57284E12"/>
    <w:rsid w:val="57301F69"/>
    <w:rsid w:val="57314185"/>
    <w:rsid w:val="57336D3B"/>
    <w:rsid w:val="57391AEA"/>
    <w:rsid w:val="5739295A"/>
    <w:rsid w:val="5745A9AE"/>
    <w:rsid w:val="5747F279"/>
    <w:rsid w:val="574951A3"/>
    <w:rsid w:val="574BAC09"/>
    <w:rsid w:val="574CC9E0"/>
    <w:rsid w:val="5752E6B7"/>
    <w:rsid w:val="57547860"/>
    <w:rsid w:val="57581A29"/>
    <w:rsid w:val="5758B585"/>
    <w:rsid w:val="575F745A"/>
    <w:rsid w:val="5764CD10"/>
    <w:rsid w:val="5765F41A"/>
    <w:rsid w:val="5766D9D9"/>
    <w:rsid w:val="57697D0C"/>
    <w:rsid w:val="576BE356"/>
    <w:rsid w:val="57730973"/>
    <w:rsid w:val="57760DB4"/>
    <w:rsid w:val="5777E801"/>
    <w:rsid w:val="577A01D6"/>
    <w:rsid w:val="577A4919"/>
    <w:rsid w:val="578B6FE0"/>
    <w:rsid w:val="578BDB34"/>
    <w:rsid w:val="579B1DAB"/>
    <w:rsid w:val="579C36A8"/>
    <w:rsid w:val="57A12720"/>
    <w:rsid w:val="57A26024"/>
    <w:rsid w:val="57A78A7F"/>
    <w:rsid w:val="57A9527C"/>
    <w:rsid w:val="57A9ABE7"/>
    <w:rsid w:val="57AE83F4"/>
    <w:rsid w:val="57AFE4D1"/>
    <w:rsid w:val="57B221C1"/>
    <w:rsid w:val="57B41618"/>
    <w:rsid w:val="57B4877E"/>
    <w:rsid w:val="57B89580"/>
    <w:rsid w:val="57B98798"/>
    <w:rsid w:val="57BF015D"/>
    <w:rsid w:val="57BF9AC6"/>
    <w:rsid w:val="57C509F6"/>
    <w:rsid w:val="57C95828"/>
    <w:rsid w:val="57C9BF06"/>
    <w:rsid w:val="57D17CE3"/>
    <w:rsid w:val="57D213CC"/>
    <w:rsid w:val="57D248A9"/>
    <w:rsid w:val="57DB5FE2"/>
    <w:rsid w:val="57DD47A8"/>
    <w:rsid w:val="57E427BA"/>
    <w:rsid w:val="57E482B3"/>
    <w:rsid w:val="57E4B260"/>
    <w:rsid w:val="57E903D6"/>
    <w:rsid w:val="57E97A54"/>
    <w:rsid w:val="57E99974"/>
    <w:rsid w:val="57E9C7BB"/>
    <w:rsid w:val="57EC2C70"/>
    <w:rsid w:val="57EE8801"/>
    <w:rsid w:val="57F3A3ED"/>
    <w:rsid w:val="57F7E23D"/>
    <w:rsid w:val="57F959A1"/>
    <w:rsid w:val="57FA719E"/>
    <w:rsid w:val="57FD5123"/>
    <w:rsid w:val="5801E05C"/>
    <w:rsid w:val="58027C49"/>
    <w:rsid w:val="5814DC18"/>
    <w:rsid w:val="581776AB"/>
    <w:rsid w:val="581B1851"/>
    <w:rsid w:val="582143E2"/>
    <w:rsid w:val="582D7957"/>
    <w:rsid w:val="58314721"/>
    <w:rsid w:val="5832B44D"/>
    <w:rsid w:val="5834FD50"/>
    <w:rsid w:val="583EFDF8"/>
    <w:rsid w:val="583FC77F"/>
    <w:rsid w:val="5840C780"/>
    <w:rsid w:val="5843BCF5"/>
    <w:rsid w:val="584DD82F"/>
    <w:rsid w:val="584F9285"/>
    <w:rsid w:val="58524C26"/>
    <w:rsid w:val="58534592"/>
    <w:rsid w:val="585630C7"/>
    <w:rsid w:val="585BC209"/>
    <w:rsid w:val="585D579D"/>
    <w:rsid w:val="585D9C4D"/>
    <w:rsid w:val="585E3568"/>
    <w:rsid w:val="585E6EC8"/>
    <w:rsid w:val="5863DAF7"/>
    <w:rsid w:val="58660A56"/>
    <w:rsid w:val="58662024"/>
    <w:rsid w:val="5866EE6B"/>
    <w:rsid w:val="586925F0"/>
    <w:rsid w:val="5870575B"/>
    <w:rsid w:val="5870C3EA"/>
    <w:rsid w:val="5873B9FE"/>
    <w:rsid w:val="58781439"/>
    <w:rsid w:val="587C1061"/>
    <w:rsid w:val="587E9FFE"/>
    <w:rsid w:val="5882B719"/>
    <w:rsid w:val="5882D5F5"/>
    <w:rsid w:val="58884B6B"/>
    <w:rsid w:val="588908C6"/>
    <w:rsid w:val="58898807"/>
    <w:rsid w:val="588A619D"/>
    <w:rsid w:val="588BF6FA"/>
    <w:rsid w:val="588C7599"/>
    <w:rsid w:val="588DC934"/>
    <w:rsid w:val="588FE142"/>
    <w:rsid w:val="58934B42"/>
    <w:rsid w:val="5894C0CB"/>
    <w:rsid w:val="589BA6AD"/>
    <w:rsid w:val="589C5F25"/>
    <w:rsid w:val="58A2FC4D"/>
    <w:rsid w:val="58A60132"/>
    <w:rsid w:val="58ADDE35"/>
    <w:rsid w:val="58B14E90"/>
    <w:rsid w:val="58C0A730"/>
    <w:rsid w:val="58C60D40"/>
    <w:rsid w:val="58C84442"/>
    <w:rsid w:val="58CA9225"/>
    <w:rsid w:val="58CAB84C"/>
    <w:rsid w:val="58CE5107"/>
    <w:rsid w:val="58D7B2A7"/>
    <w:rsid w:val="58DAA8F1"/>
    <w:rsid w:val="58DACC37"/>
    <w:rsid w:val="58DB0F98"/>
    <w:rsid w:val="58DD3A75"/>
    <w:rsid w:val="58DDAB45"/>
    <w:rsid w:val="58E02828"/>
    <w:rsid w:val="58E47F6A"/>
    <w:rsid w:val="58E74967"/>
    <w:rsid w:val="58E7E805"/>
    <w:rsid w:val="58E86DC1"/>
    <w:rsid w:val="58E98736"/>
    <w:rsid w:val="58EBA1BE"/>
    <w:rsid w:val="58F2C598"/>
    <w:rsid w:val="58F3F087"/>
    <w:rsid w:val="58F5CA49"/>
    <w:rsid w:val="58F77D09"/>
    <w:rsid w:val="58F8F5EC"/>
    <w:rsid w:val="590222B0"/>
    <w:rsid w:val="590F87C5"/>
    <w:rsid w:val="5912E28D"/>
    <w:rsid w:val="591F7781"/>
    <w:rsid w:val="59214C28"/>
    <w:rsid w:val="5926C651"/>
    <w:rsid w:val="592DEEF7"/>
    <w:rsid w:val="59316D76"/>
    <w:rsid w:val="59320518"/>
    <w:rsid w:val="5934B1F8"/>
    <w:rsid w:val="5936D5A1"/>
    <w:rsid w:val="593C41CD"/>
    <w:rsid w:val="593C84BE"/>
    <w:rsid w:val="59405732"/>
    <w:rsid w:val="59410AAE"/>
    <w:rsid w:val="5943C7F2"/>
    <w:rsid w:val="5953FA73"/>
    <w:rsid w:val="595D52C3"/>
    <w:rsid w:val="595F0AE6"/>
    <w:rsid w:val="595F32AA"/>
    <w:rsid w:val="5960F53F"/>
    <w:rsid w:val="596359F4"/>
    <w:rsid w:val="59669BBF"/>
    <w:rsid w:val="5966B017"/>
    <w:rsid w:val="59722625"/>
    <w:rsid w:val="5972F122"/>
    <w:rsid w:val="59760681"/>
    <w:rsid w:val="59766DD1"/>
    <w:rsid w:val="597CA4B3"/>
    <w:rsid w:val="597D5E09"/>
    <w:rsid w:val="597F612E"/>
    <w:rsid w:val="598463A5"/>
    <w:rsid w:val="598BC27C"/>
    <w:rsid w:val="598F92E6"/>
    <w:rsid w:val="5999C1BE"/>
    <w:rsid w:val="599AB759"/>
    <w:rsid w:val="599BF017"/>
    <w:rsid w:val="59A11D37"/>
    <w:rsid w:val="59A39DBA"/>
    <w:rsid w:val="59A40BEA"/>
    <w:rsid w:val="59A72502"/>
    <w:rsid w:val="59A77403"/>
    <w:rsid w:val="59A9BE5E"/>
    <w:rsid w:val="59ACDC87"/>
    <w:rsid w:val="59AD0AD2"/>
    <w:rsid w:val="59B32013"/>
    <w:rsid w:val="59B74874"/>
    <w:rsid w:val="59B84758"/>
    <w:rsid w:val="59B9D39A"/>
    <w:rsid w:val="59BBB94F"/>
    <w:rsid w:val="59BBD1D0"/>
    <w:rsid w:val="59C3D5D5"/>
    <w:rsid w:val="59C6EC9A"/>
    <w:rsid w:val="59D2C239"/>
    <w:rsid w:val="59D5D931"/>
    <w:rsid w:val="59D9116C"/>
    <w:rsid w:val="59D9B811"/>
    <w:rsid w:val="59DBB901"/>
    <w:rsid w:val="59DD17A3"/>
    <w:rsid w:val="59EA8EAA"/>
    <w:rsid w:val="59EB7716"/>
    <w:rsid w:val="59ECE77D"/>
    <w:rsid w:val="59ED8C37"/>
    <w:rsid w:val="59F0061A"/>
    <w:rsid w:val="59F0FC3E"/>
    <w:rsid w:val="59F114AF"/>
    <w:rsid w:val="59F17754"/>
    <w:rsid w:val="59F94E28"/>
    <w:rsid w:val="59FFB353"/>
    <w:rsid w:val="5A03DB91"/>
    <w:rsid w:val="5A047620"/>
    <w:rsid w:val="5A05D295"/>
    <w:rsid w:val="5A088A68"/>
    <w:rsid w:val="5A0B482A"/>
    <w:rsid w:val="5A11C412"/>
    <w:rsid w:val="5A122A3B"/>
    <w:rsid w:val="5A16866E"/>
    <w:rsid w:val="5A18F796"/>
    <w:rsid w:val="5A1C554B"/>
    <w:rsid w:val="5A1D5917"/>
    <w:rsid w:val="5A1D888D"/>
    <w:rsid w:val="5A1F780F"/>
    <w:rsid w:val="5A24E085"/>
    <w:rsid w:val="5A2622E4"/>
    <w:rsid w:val="5A26401E"/>
    <w:rsid w:val="5A28E9C4"/>
    <w:rsid w:val="5A308DE4"/>
    <w:rsid w:val="5A320414"/>
    <w:rsid w:val="5A349415"/>
    <w:rsid w:val="5A381023"/>
    <w:rsid w:val="5A3AF208"/>
    <w:rsid w:val="5A3D8918"/>
    <w:rsid w:val="5A426FB3"/>
    <w:rsid w:val="5A4776FD"/>
    <w:rsid w:val="5A480DA0"/>
    <w:rsid w:val="5A49AEDB"/>
    <w:rsid w:val="5A575342"/>
    <w:rsid w:val="5A598E82"/>
    <w:rsid w:val="5A5FB06A"/>
    <w:rsid w:val="5A63425A"/>
    <w:rsid w:val="5A64B7DA"/>
    <w:rsid w:val="5A6BC45B"/>
    <w:rsid w:val="5A6EEDF2"/>
    <w:rsid w:val="5A6FC50D"/>
    <w:rsid w:val="5A726A10"/>
    <w:rsid w:val="5A783D86"/>
    <w:rsid w:val="5A7D4A70"/>
    <w:rsid w:val="5A8453BB"/>
    <w:rsid w:val="5A84DDFB"/>
    <w:rsid w:val="5A9828BA"/>
    <w:rsid w:val="5A98B8F3"/>
    <w:rsid w:val="5A9BED97"/>
    <w:rsid w:val="5A9DF13C"/>
    <w:rsid w:val="5AA167A6"/>
    <w:rsid w:val="5AA3CDC4"/>
    <w:rsid w:val="5AA46F6C"/>
    <w:rsid w:val="5AA4FCE1"/>
    <w:rsid w:val="5AA51FFF"/>
    <w:rsid w:val="5AAA2F26"/>
    <w:rsid w:val="5AADA985"/>
    <w:rsid w:val="5AB47114"/>
    <w:rsid w:val="5AB5AC96"/>
    <w:rsid w:val="5AB78B0B"/>
    <w:rsid w:val="5AB95B06"/>
    <w:rsid w:val="5AC1C84F"/>
    <w:rsid w:val="5AC3DD06"/>
    <w:rsid w:val="5AC78CAF"/>
    <w:rsid w:val="5AC8B131"/>
    <w:rsid w:val="5AD336A8"/>
    <w:rsid w:val="5AD338BF"/>
    <w:rsid w:val="5AD358A5"/>
    <w:rsid w:val="5AD8C082"/>
    <w:rsid w:val="5AE24FED"/>
    <w:rsid w:val="5AE4A6F5"/>
    <w:rsid w:val="5AE59378"/>
    <w:rsid w:val="5AE65858"/>
    <w:rsid w:val="5AF115D5"/>
    <w:rsid w:val="5AF3D5D9"/>
    <w:rsid w:val="5AF482CC"/>
    <w:rsid w:val="5AF58859"/>
    <w:rsid w:val="5AFD4D61"/>
    <w:rsid w:val="5AFFE9B4"/>
    <w:rsid w:val="5B010AC9"/>
    <w:rsid w:val="5B036CA3"/>
    <w:rsid w:val="5B11F233"/>
    <w:rsid w:val="5B18709B"/>
    <w:rsid w:val="5B1C815C"/>
    <w:rsid w:val="5B1D0D90"/>
    <w:rsid w:val="5B1DA3D9"/>
    <w:rsid w:val="5B2B4AB7"/>
    <w:rsid w:val="5B2BB7DC"/>
    <w:rsid w:val="5B2D723E"/>
    <w:rsid w:val="5B2E31BD"/>
    <w:rsid w:val="5B3456A5"/>
    <w:rsid w:val="5B3C84B5"/>
    <w:rsid w:val="5B43B1B3"/>
    <w:rsid w:val="5B440DC4"/>
    <w:rsid w:val="5B48611C"/>
    <w:rsid w:val="5B4CBD11"/>
    <w:rsid w:val="5B50B531"/>
    <w:rsid w:val="5B53AD59"/>
    <w:rsid w:val="5B545A40"/>
    <w:rsid w:val="5B54F982"/>
    <w:rsid w:val="5B5A53AD"/>
    <w:rsid w:val="5B5D2591"/>
    <w:rsid w:val="5B5DB5CF"/>
    <w:rsid w:val="5B5E6A1A"/>
    <w:rsid w:val="5B64F59A"/>
    <w:rsid w:val="5B728DC7"/>
    <w:rsid w:val="5B73C60F"/>
    <w:rsid w:val="5B799343"/>
    <w:rsid w:val="5B7B5502"/>
    <w:rsid w:val="5B7EEB9A"/>
    <w:rsid w:val="5B804412"/>
    <w:rsid w:val="5B81CBB8"/>
    <w:rsid w:val="5B821F0D"/>
    <w:rsid w:val="5B8781A1"/>
    <w:rsid w:val="5B8C1CAF"/>
    <w:rsid w:val="5B9125DF"/>
    <w:rsid w:val="5B945653"/>
    <w:rsid w:val="5B946CDF"/>
    <w:rsid w:val="5B97EA00"/>
    <w:rsid w:val="5B9F87CA"/>
    <w:rsid w:val="5BA8A6C1"/>
    <w:rsid w:val="5BAA7757"/>
    <w:rsid w:val="5BAC26D0"/>
    <w:rsid w:val="5BAD3849"/>
    <w:rsid w:val="5BAFF9A4"/>
    <w:rsid w:val="5BB04778"/>
    <w:rsid w:val="5BB24C6E"/>
    <w:rsid w:val="5BB452B9"/>
    <w:rsid w:val="5BB4C2FB"/>
    <w:rsid w:val="5BB57056"/>
    <w:rsid w:val="5BBA3480"/>
    <w:rsid w:val="5BBB27AC"/>
    <w:rsid w:val="5BC3143C"/>
    <w:rsid w:val="5BC623E4"/>
    <w:rsid w:val="5BC640BF"/>
    <w:rsid w:val="5BC74FD0"/>
    <w:rsid w:val="5BCE42DF"/>
    <w:rsid w:val="5BCFC9C0"/>
    <w:rsid w:val="5BCFFC37"/>
    <w:rsid w:val="5BD00729"/>
    <w:rsid w:val="5BD01908"/>
    <w:rsid w:val="5BDD192E"/>
    <w:rsid w:val="5BE17432"/>
    <w:rsid w:val="5BE2F562"/>
    <w:rsid w:val="5BE754EA"/>
    <w:rsid w:val="5BE8E0F0"/>
    <w:rsid w:val="5BE9C25A"/>
    <w:rsid w:val="5BF24110"/>
    <w:rsid w:val="5BF6D6CF"/>
    <w:rsid w:val="5BFCF015"/>
    <w:rsid w:val="5BFE20EE"/>
    <w:rsid w:val="5BFEBEE0"/>
    <w:rsid w:val="5BFF5BDE"/>
    <w:rsid w:val="5C0044E6"/>
    <w:rsid w:val="5C022C74"/>
    <w:rsid w:val="5C0F1876"/>
    <w:rsid w:val="5C13849A"/>
    <w:rsid w:val="5C140CA1"/>
    <w:rsid w:val="5C1AA62C"/>
    <w:rsid w:val="5C239303"/>
    <w:rsid w:val="5C25FCCA"/>
    <w:rsid w:val="5C27F10D"/>
    <w:rsid w:val="5C2A50C6"/>
    <w:rsid w:val="5C2BF773"/>
    <w:rsid w:val="5C2C4CA1"/>
    <w:rsid w:val="5C2F5F24"/>
    <w:rsid w:val="5C2F9C0F"/>
    <w:rsid w:val="5C309D70"/>
    <w:rsid w:val="5C34A715"/>
    <w:rsid w:val="5C38FC41"/>
    <w:rsid w:val="5C3BC099"/>
    <w:rsid w:val="5C3BF141"/>
    <w:rsid w:val="5C4372F7"/>
    <w:rsid w:val="5C443279"/>
    <w:rsid w:val="5C447053"/>
    <w:rsid w:val="5C4C93FF"/>
    <w:rsid w:val="5C515284"/>
    <w:rsid w:val="5C5B4B81"/>
    <w:rsid w:val="5C5D98B0"/>
    <w:rsid w:val="5C5E2372"/>
    <w:rsid w:val="5C61CB20"/>
    <w:rsid w:val="5C66CBE6"/>
    <w:rsid w:val="5C67207E"/>
    <w:rsid w:val="5C6DF9D4"/>
    <w:rsid w:val="5C6E4F3D"/>
    <w:rsid w:val="5C724A51"/>
    <w:rsid w:val="5C75A51E"/>
    <w:rsid w:val="5C77486E"/>
    <w:rsid w:val="5C786D81"/>
    <w:rsid w:val="5C7E4325"/>
    <w:rsid w:val="5C7F7BCF"/>
    <w:rsid w:val="5C818F35"/>
    <w:rsid w:val="5C8D4B15"/>
    <w:rsid w:val="5C8DADB0"/>
    <w:rsid w:val="5C915A61"/>
    <w:rsid w:val="5C92AF99"/>
    <w:rsid w:val="5C943AF7"/>
    <w:rsid w:val="5C99682C"/>
    <w:rsid w:val="5C9C348C"/>
    <w:rsid w:val="5C9DEB93"/>
    <w:rsid w:val="5CA2C531"/>
    <w:rsid w:val="5CA99E01"/>
    <w:rsid w:val="5CAD4F13"/>
    <w:rsid w:val="5CAEC910"/>
    <w:rsid w:val="5CB2BCE8"/>
    <w:rsid w:val="5CBD39B0"/>
    <w:rsid w:val="5CBD9625"/>
    <w:rsid w:val="5CC32904"/>
    <w:rsid w:val="5CC680E4"/>
    <w:rsid w:val="5CCBD420"/>
    <w:rsid w:val="5CCD18CB"/>
    <w:rsid w:val="5CCDB7DE"/>
    <w:rsid w:val="5CD15D26"/>
    <w:rsid w:val="5CD283D3"/>
    <w:rsid w:val="5CD5A2D3"/>
    <w:rsid w:val="5CD6EF09"/>
    <w:rsid w:val="5CDA22ED"/>
    <w:rsid w:val="5CDDA227"/>
    <w:rsid w:val="5CE0A290"/>
    <w:rsid w:val="5CE22E5C"/>
    <w:rsid w:val="5CEF1A2C"/>
    <w:rsid w:val="5CF09CCA"/>
    <w:rsid w:val="5CF52E8F"/>
    <w:rsid w:val="5CF87406"/>
    <w:rsid w:val="5CFC719F"/>
    <w:rsid w:val="5CFEEAD3"/>
    <w:rsid w:val="5D03AEAE"/>
    <w:rsid w:val="5D03FB2D"/>
    <w:rsid w:val="5D068F56"/>
    <w:rsid w:val="5D09C8ED"/>
    <w:rsid w:val="5D0AE441"/>
    <w:rsid w:val="5D0D0FA0"/>
    <w:rsid w:val="5D145C33"/>
    <w:rsid w:val="5D1570CB"/>
    <w:rsid w:val="5D15AF7C"/>
    <w:rsid w:val="5D16BDAA"/>
    <w:rsid w:val="5D18CC3F"/>
    <w:rsid w:val="5D1CD7FC"/>
    <w:rsid w:val="5D201C9A"/>
    <w:rsid w:val="5D204A7C"/>
    <w:rsid w:val="5D236463"/>
    <w:rsid w:val="5D23D7EB"/>
    <w:rsid w:val="5D280CFF"/>
    <w:rsid w:val="5D2B1EFD"/>
    <w:rsid w:val="5D2B3F91"/>
    <w:rsid w:val="5D2D624B"/>
    <w:rsid w:val="5D2DB562"/>
    <w:rsid w:val="5D2F58E1"/>
    <w:rsid w:val="5D331707"/>
    <w:rsid w:val="5D380415"/>
    <w:rsid w:val="5D38543F"/>
    <w:rsid w:val="5D38FBA3"/>
    <w:rsid w:val="5D39E09A"/>
    <w:rsid w:val="5D3D1B02"/>
    <w:rsid w:val="5D3E9BC0"/>
    <w:rsid w:val="5D41ECCD"/>
    <w:rsid w:val="5D46CA97"/>
    <w:rsid w:val="5D476929"/>
    <w:rsid w:val="5D47BDF1"/>
    <w:rsid w:val="5D496B95"/>
    <w:rsid w:val="5D49D958"/>
    <w:rsid w:val="5D4A431B"/>
    <w:rsid w:val="5D4F374F"/>
    <w:rsid w:val="5D4F6EE0"/>
    <w:rsid w:val="5D4F71A3"/>
    <w:rsid w:val="5D524A9F"/>
    <w:rsid w:val="5D5719C0"/>
    <w:rsid w:val="5D58EAE5"/>
    <w:rsid w:val="5D61CBA5"/>
    <w:rsid w:val="5D65B212"/>
    <w:rsid w:val="5D6932D9"/>
    <w:rsid w:val="5D69810D"/>
    <w:rsid w:val="5D6E985B"/>
    <w:rsid w:val="5D6EDA51"/>
    <w:rsid w:val="5D7A84EC"/>
    <w:rsid w:val="5D80321C"/>
    <w:rsid w:val="5D8B05D4"/>
    <w:rsid w:val="5D91D2A9"/>
    <w:rsid w:val="5D9B0876"/>
    <w:rsid w:val="5D9B2153"/>
    <w:rsid w:val="5D9B7352"/>
    <w:rsid w:val="5D9F17D8"/>
    <w:rsid w:val="5DA01E20"/>
    <w:rsid w:val="5DA07DFF"/>
    <w:rsid w:val="5DA1585E"/>
    <w:rsid w:val="5DA1BCA2"/>
    <w:rsid w:val="5DAA29CF"/>
    <w:rsid w:val="5DB38A8D"/>
    <w:rsid w:val="5DB7588D"/>
    <w:rsid w:val="5DBDA828"/>
    <w:rsid w:val="5DBFB3B9"/>
    <w:rsid w:val="5DCA3085"/>
    <w:rsid w:val="5DCAB6EF"/>
    <w:rsid w:val="5DCCDE87"/>
    <w:rsid w:val="5DD40682"/>
    <w:rsid w:val="5DDBAC01"/>
    <w:rsid w:val="5DDC102E"/>
    <w:rsid w:val="5DDF5374"/>
    <w:rsid w:val="5DE04677"/>
    <w:rsid w:val="5DE59BE0"/>
    <w:rsid w:val="5DED8C5D"/>
    <w:rsid w:val="5DEDEAB7"/>
    <w:rsid w:val="5DEF084E"/>
    <w:rsid w:val="5DF04B6E"/>
    <w:rsid w:val="5DF95280"/>
    <w:rsid w:val="5E006CF3"/>
    <w:rsid w:val="5E007759"/>
    <w:rsid w:val="5E01C537"/>
    <w:rsid w:val="5E02211B"/>
    <w:rsid w:val="5E06077B"/>
    <w:rsid w:val="5E0DCB16"/>
    <w:rsid w:val="5E12F82D"/>
    <w:rsid w:val="5E17F810"/>
    <w:rsid w:val="5E194FD2"/>
    <w:rsid w:val="5E202CB4"/>
    <w:rsid w:val="5E21DFFA"/>
    <w:rsid w:val="5E227B23"/>
    <w:rsid w:val="5E234234"/>
    <w:rsid w:val="5E2438FC"/>
    <w:rsid w:val="5E2AE167"/>
    <w:rsid w:val="5E2C924F"/>
    <w:rsid w:val="5E31F393"/>
    <w:rsid w:val="5E31F6D3"/>
    <w:rsid w:val="5E35E777"/>
    <w:rsid w:val="5E361990"/>
    <w:rsid w:val="5E3805A5"/>
    <w:rsid w:val="5E3B2FDD"/>
    <w:rsid w:val="5E3B99E1"/>
    <w:rsid w:val="5E49BBA4"/>
    <w:rsid w:val="5E4A53C5"/>
    <w:rsid w:val="5E4B13F0"/>
    <w:rsid w:val="5E4C5F13"/>
    <w:rsid w:val="5E4C9C3F"/>
    <w:rsid w:val="5E50EE51"/>
    <w:rsid w:val="5E5537C8"/>
    <w:rsid w:val="5E568A4D"/>
    <w:rsid w:val="5E74EC74"/>
    <w:rsid w:val="5E77A2BE"/>
    <w:rsid w:val="5E7860B3"/>
    <w:rsid w:val="5E791ACC"/>
    <w:rsid w:val="5E7E5794"/>
    <w:rsid w:val="5E809B39"/>
    <w:rsid w:val="5E84DEAD"/>
    <w:rsid w:val="5E8633E1"/>
    <w:rsid w:val="5E87E181"/>
    <w:rsid w:val="5E8B7863"/>
    <w:rsid w:val="5E8B7D5E"/>
    <w:rsid w:val="5E8C9DA0"/>
    <w:rsid w:val="5E92674C"/>
    <w:rsid w:val="5E98CB6F"/>
    <w:rsid w:val="5E99BEAB"/>
    <w:rsid w:val="5EAC9C86"/>
    <w:rsid w:val="5EB1778B"/>
    <w:rsid w:val="5EB70DA9"/>
    <w:rsid w:val="5EBCB62C"/>
    <w:rsid w:val="5EC04AE6"/>
    <w:rsid w:val="5EC20027"/>
    <w:rsid w:val="5EC356E6"/>
    <w:rsid w:val="5EC77037"/>
    <w:rsid w:val="5ECA214D"/>
    <w:rsid w:val="5ECC780C"/>
    <w:rsid w:val="5ECD9500"/>
    <w:rsid w:val="5ED38202"/>
    <w:rsid w:val="5ED7A01C"/>
    <w:rsid w:val="5ED7C552"/>
    <w:rsid w:val="5EDB2B95"/>
    <w:rsid w:val="5EDD9B8B"/>
    <w:rsid w:val="5EE9ACDF"/>
    <w:rsid w:val="5EEA3AAF"/>
    <w:rsid w:val="5EEDB885"/>
    <w:rsid w:val="5EEF83FE"/>
    <w:rsid w:val="5EFF9A8E"/>
    <w:rsid w:val="5F00BB6B"/>
    <w:rsid w:val="5F04E723"/>
    <w:rsid w:val="5F066E55"/>
    <w:rsid w:val="5F0959DD"/>
    <w:rsid w:val="5F0E7C36"/>
    <w:rsid w:val="5F136058"/>
    <w:rsid w:val="5F17C8DB"/>
    <w:rsid w:val="5F1F065B"/>
    <w:rsid w:val="5F206F3A"/>
    <w:rsid w:val="5F212B83"/>
    <w:rsid w:val="5F2177A1"/>
    <w:rsid w:val="5F28A3C7"/>
    <w:rsid w:val="5F2B019A"/>
    <w:rsid w:val="5F2E861C"/>
    <w:rsid w:val="5F2FE6D5"/>
    <w:rsid w:val="5F30158B"/>
    <w:rsid w:val="5F379BA5"/>
    <w:rsid w:val="5F381155"/>
    <w:rsid w:val="5F3F00B1"/>
    <w:rsid w:val="5F43B904"/>
    <w:rsid w:val="5F45B030"/>
    <w:rsid w:val="5F4C88DF"/>
    <w:rsid w:val="5F4CBAC2"/>
    <w:rsid w:val="5F4D577D"/>
    <w:rsid w:val="5F4E22CB"/>
    <w:rsid w:val="5F50F3A1"/>
    <w:rsid w:val="5F523E88"/>
    <w:rsid w:val="5F52D653"/>
    <w:rsid w:val="5F531FE3"/>
    <w:rsid w:val="5F5407AE"/>
    <w:rsid w:val="5F56763B"/>
    <w:rsid w:val="5F58595F"/>
    <w:rsid w:val="5F5B911D"/>
    <w:rsid w:val="5F5DFE3D"/>
    <w:rsid w:val="5F5EB832"/>
    <w:rsid w:val="5F5F84C1"/>
    <w:rsid w:val="5F61C8C2"/>
    <w:rsid w:val="5F6373BA"/>
    <w:rsid w:val="5F6DCF87"/>
    <w:rsid w:val="5F6FA711"/>
    <w:rsid w:val="5F711285"/>
    <w:rsid w:val="5F757BE3"/>
    <w:rsid w:val="5F766E5B"/>
    <w:rsid w:val="5F78D8E0"/>
    <w:rsid w:val="5F7A524A"/>
    <w:rsid w:val="5F7B71A3"/>
    <w:rsid w:val="5F80AFD3"/>
    <w:rsid w:val="5F83D5E7"/>
    <w:rsid w:val="5F9093B3"/>
    <w:rsid w:val="5F9271EE"/>
    <w:rsid w:val="5F93C27C"/>
    <w:rsid w:val="5F966862"/>
    <w:rsid w:val="5F9C54B7"/>
    <w:rsid w:val="5F9D9050"/>
    <w:rsid w:val="5FA00487"/>
    <w:rsid w:val="5FA258E0"/>
    <w:rsid w:val="5FAA7191"/>
    <w:rsid w:val="5FB16211"/>
    <w:rsid w:val="5FB478DA"/>
    <w:rsid w:val="5FB4E0EE"/>
    <w:rsid w:val="5FBA27F1"/>
    <w:rsid w:val="5FBDAE75"/>
    <w:rsid w:val="5FC0A426"/>
    <w:rsid w:val="5FC5B4AE"/>
    <w:rsid w:val="5FCA1799"/>
    <w:rsid w:val="5FCC9447"/>
    <w:rsid w:val="5FCEF4A1"/>
    <w:rsid w:val="5FD10E79"/>
    <w:rsid w:val="5FD28389"/>
    <w:rsid w:val="5FD6C021"/>
    <w:rsid w:val="5FD7D353"/>
    <w:rsid w:val="5FDC4163"/>
    <w:rsid w:val="5FE0BB52"/>
    <w:rsid w:val="5FEA7BA6"/>
    <w:rsid w:val="5FEEE95E"/>
    <w:rsid w:val="5FF26CE4"/>
    <w:rsid w:val="5FF658EC"/>
    <w:rsid w:val="5FF87001"/>
    <w:rsid w:val="5FF8BC91"/>
    <w:rsid w:val="5FFC2D0E"/>
    <w:rsid w:val="5FFF3BFA"/>
    <w:rsid w:val="600082B5"/>
    <w:rsid w:val="6002EEDE"/>
    <w:rsid w:val="6005D045"/>
    <w:rsid w:val="60074281"/>
    <w:rsid w:val="600A29AE"/>
    <w:rsid w:val="600F8CC0"/>
    <w:rsid w:val="601053F6"/>
    <w:rsid w:val="60122DCC"/>
    <w:rsid w:val="6013FC91"/>
    <w:rsid w:val="6017092D"/>
    <w:rsid w:val="601722D6"/>
    <w:rsid w:val="60259295"/>
    <w:rsid w:val="602D68F2"/>
    <w:rsid w:val="602E40D5"/>
    <w:rsid w:val="602EEF5C"/>
    <w:rsid w:val="603499AD"/>
    <w:rsid w:val="60358CF4"/>
    <w:rsid w:val="603A3EB3"/>
    <w:rsid w:val="603C36A2"/>
    <w:rsid w:val="603DE330"/>
    <w:rsid w:val="6041C228"/>
    <w:rsid w:val="60433333"/>
    <w:rsid w:val="6043B685"/>
    <w:rsid w:val="6045FEEA"/>
    <w:rsid w:val="6047A599"/>
    <w:rsid w:val="6047F4FC"/>
    <w:rsid w:val="60480BBE"/>
    <w:rsid w:val="604ABE36"/>
    <w:rsid w:val="605309F6"/>
    <w:rsid w:val="60566BFA"/>
    <w:rsid w:val="605CFC0D"/>
    <w:rsid w:val="60615D42"/>
    <w:rsid w:val="606FC01F"/>
    <w:rsid w:val="607A9FCB"/>
    <w:rsid w:val="607E3746"/>
    <w:rsid w:val="607F6651"/>
    <w:rsid w:val="6083DB04"/>
    <w:rsid w:val="6088D2BC"/>
    <w:rsid w:val="608F5F6D"/>
    <w:rsid w:val="609228FD"/>
    <w:rsid w:val="6092E25E"/>
    <w:rsid w:val="60957386"/>
    <w:rsid w:val="609D99D5"/>
    <w:rsid w:val="609E383F"/>
    <w:rsid w:val="609F5D78"/>
    <w:rsid w:val="60A084B2"/>
    <w:rsid w:val="60A581A0"/>
    <w:rsid w:val="60AEB767"/>
    <w:rsid w:val="60B2A5A5"/>
    <w:rsid w:val="60C358D4"/>
    <w:rsid w:val="60CB2752"/>
    <w:rsid w:val="60CBADFE"/>
    <w:rsid w:val="60CE924C"/>
    <w:rsid w:val="60D2F9C7"/>
    <w:rsid w:val="60D49519"/>
    <w:rsid w:val="60D9C059"/>
    <w:rsid w:val="60D9EA33"/>
    <w:rsid w:val="60DB34BA"/>
    <w:rsid w:val="60DD5BCC"/>
    <w:rsid w:val="60E08279"/>
    <w:rsid w:val="60E1461D"/>
    <w:rsid w:val="60E48185"/>
    <w:rsid w:val="60E74485"/>
    <w:rsid w:val="60ECB171"/>
    <w:rsid w:val="60F6B8D1"/>
    <w:rsid w:val="60FCF2C1"/>
    <w:rsid w:val="60FD5202"/>
    <w:rsid w:val="60FF4ECC"/>
    <w:rsid w:val="6102754B"/>
    <w:rsid w:val="61082536"/>
    <w:rsid w:val="610B597C"/>
    <w:rsid w:val="610B92D7"/>
    <w:rsid w:val="610C6F5F"/>
    <w:rsid w:val="61120FD6"/>
    <w:rsid w:val="61169C2E"/>
    <w:rsid w:val="61183D9D"/>
    <w:rsid w:val="611CAF2F"/>
    <w:rsid w:val="611CB89B"/>
    <w:rsid w:val="611D2B16"/>
    <w:rsid w:val="611D5BA2"/>
    <w:rsid w:val="611FA6D0"/>
    <w:rsid w:val="612093C2"/>
    <w:rsid w:val="61220445"/>
    <w:rsid w:val="61283876"/>
    <w:rsid w:val="612B0F9A"/>
    <w:rsid w:val="612B11C1"/>
    <w:rsid w:val="6136440A"/>
    <w:rsid w:val="613704B9"/>
    <w:rsid w:val="613BE9B9"/>
    <w:rsid w:val="6149AAFD"/>
    <w:rsid w:val="614A94B9"/>
    <w:rsid w:val="614B95EF"/>
    <w:rsid w:val="614CC77F"/>
    <w:rsid w:val="615038AD"/>
    <w:rsid w:val="6153D629"/>
    <w:rsid w:val="6157139B"/>
    <w:rsid w:val="615E4B32"/>
    <w:rsid w:val="616019F1"/>
    <w:rsid w:val="6160B829"/>
    <w:rsid w:val="616A9924"/>
    <w:rsid w:val="616E134E"/>
    <w:rsid w:val="616E85DF"/>
    <w:rsid w:val="616FF53F"/>
    <w:rsid w:val="61723CEB"/>
    <w:rsid w:val="617BCC62"/>
    <w:rsid w:val="617E590B"/>
    <w:rsid w:val="617E71D2"/>
    <w:rsid w:val="618B4F32"/>
    <w:rsid w:val="618C1265"/>
    <w:rsid w:val="618D3D38"/>
    <w:rsid w:val="6190B659"/>
    <w:rsid w:val="619902F8"/>
    <w:rsid w:val="61996F07"/>
    <w:rsid w:val="619A8482"/>
    <w:rsid w:val="619D1726"/>
    <w:rsid w:val="61A8C776"/>
    <w:rsid w:val="61A97271"/>
    <w:rsid w:val="61AE5551"/>
    <w:rsid w:val="61AE7942"/>
    <w:rsid w:val="61B16BB6"/>
    <w:rsid w:val="61B1E503"/>
    <w:rsid w:val="61BD578E"/>
    <w:rsid w:val="61C39FE2"/>
    <w:rsid w:val="61C3AF94"/>
    <w:rsid w:val="61C6ACC1"/>
    <w:rsid w:val="61CA8F60"/>
    <w:rsid w:val="61D1749E"/>
    <w:rsid w:val="61D1B453"/>
    <w:rsid w:val="61D3250C"/>
    <w:rsid w:val="61D3B7FF"/>
    <w:rsid w:val="61D3D124"/>
    <w:rsid w:val="61D84661"/>
    <w:rsid w:val="61D9250C"/>
    <w:rsid w:val="61DA0799"/>
    <w:rsid w:val="61DAB28A"/>
    <w:rsid w:val="61DF8E2E"/>
    <w:rsid w:val="61E36436"/>
    <w:rsid w:val="61EE42E0"/>
    <w:rsid w:val="61EFEC56"/>
    <w:rsid w:val="61F27984"/>
    <w:rsid w:val="61F37685"/>
    <w:rsid w:val="61F6A45C"/>
    <w:rsid w:val="61FDF104"/>
    <w:rsid w:val="620159A4"/>
    <w:rsid w:val="62069379"/>
    <w:rsid w:val="6207AA72"/>
    <w:rsid w:val="6207F15D"/>
    <w:rsid w:val="620A18B4"/>
    <w:rsid w:val="620AA913"/>
    <w:rsid w:val="620AEBD1"/>
    <w:rsid w:val="620FB4C8"/>
    <w:rsid w:val="62124C0B"/>
    <w:rsid w:val="6212F4DF"/>
    <w:rsid w:val="62181816"/>
    <w:rsid w:val="621A021D"/>
    <w:rsid w:val="621CECD5"/>
    <w:rsid w:val="62209024"/>
    <w:rsid w:val="62246319"/>
    <w:rsid w:val="6224D511"/>
    <w:rsid w:val="6229AC52"/>
    <w:rsid w:val="622DC27F"/>
    <w:rsid w:val="62309365"/>
    <w:rsid w:val="623A620F"/>
    <w:rsid w:val="623D8B8A"/>
    <w:rsid w:val="623FE9E3"/>
    <w:rsid w:val="6243A5F9"/>
    <w:rsid w:val="625197AE"/>
    <w:rsid w:val="6261BC84"/>
    <w:rsid w:val="6267B882"/>
    <w:rsid w:val="6269FE72"/>
    <w:rsid w:val="626A365E"/>
    <w:rsid w:val="626D79A7"/>
    <w:rsid w:val="627104CA"/>
    <w:rsid w:val="627878CF"/>
    <w:rsid w:val="627A2098"/>
    <w:rsid w:val="627FF889"/>
    <w:rsid w:val="62801C0F"/>
    <w:rsid w:val="62841A54"/>
    <w:rsid w:val="62852973"/>
    <w:rsid w:val="629143FB"/>
    <w:rsid w:val="62964CC2"/>
    <w:rsid w:val="6296E41C"/>
    <w:rsid w:val="629CC9F6"/>
    <w:rsid w:val="62A0E3A1"/>
    <w:rsid w:val="62A355C6"/>
    <w:rsid w:val="62A4BE88"/>
    <w:rsid w:val="62A645C5"/>
    <w:rsid w:val="62A676F7"/>
    <w:rsid w:val="62A6D5B8"/>
    <w:rsid w:val="62B3650E"/>
    <w:rsid w:val="62B9A1F2"/>
    <w:rsid w:val="62BAFAE5"/>
    <w:rsid w:val="62BB6DC5"/>
    <w:rsid w:val="62BE0EB8"/>
    <w:rsid w:val="62BFF04C"/>
    <w:rsid w:val="62C452D2"/>
    <w:rsid w:val="62C53F16"/>
    <w:rsid w:val="62CD7FAE"/>
    <w:rsid w:val="62D1D5EB"/>
    <w:rsid w:val="62D2413D"/>
    <w:rsid w:val="62D3D765"/>
    <w:rsid w:val="62D53C99"/>
    <w:rsid w:val="62D5CC20"/>
    <w:rsid w:val="62D6771F"/>
    <w:rsid w:val="62D6842E"/>
    <w:rsid w:val="62E9CA6F"/>
    <w:rsid w:val="62EE4299"/>
    <w:rsid w:val="62EEE099"/>
    <w:rsid w:val="62F7F54A"/>
    <w:rsid w:val="62FA8749"/>
    <w:rsid w:val="62FE5C97"/>
    <w:rsid w:val="6301CB7F"/>
    <w:rsid w:val="6304EA4C"/>
    <w:rsid w:val="6307E347"/>
    <w:rsid w:val="6308B3D6"/>
    <w:rsid w:val="6309B1DD"/>
    <w:rsid w:val="6309B531"/>
    <w:rsid w:val="630A62B8"/>
    <w:rsid w:val="630CD6D7"/>
    <w:rsid w:val="6311564F"/>
    <w:rsid w:val="631451AC"/>
    <w:rsid w:val="63158274"/>
    <w:rsid w:val="63169A1A"/>
    <w:rsid w:val="63177B12"/>
    <w:rsid w:val="6318C583"/>
    <w:rsid w:val="631BA77C"/>
    <w:rsid w:val="631CEC39"/>
    <w:rsid w:val="631E3111"/>
    <w:rsid w:val="6320B504"/>
    <w:rsid w:val="6320D2A0"/>
    <w:rsid w:val="6322E9F1"/>
    <w:rsid w:val="6324AD77"/>
    <w:rsid w:val="6326CCB8"/>
    <w:rsid w:val="6329F7E8"/>
    <w:rsid w:val="632CB4EA"/>
    <w:rsid w:val="632E3C22"/>
    <w:rsid w:val="632F46D9"/>
    <w:rsid w:val="63305BC0"/>
    <w:rsid w:val="6330E949"/>
    <w:rsid w:val="6331000D"/>
    <w:rsid w:val="633518B3"/>
    <w:rsid w:val="6336A081"/>
    <w:rsid w:val="633844F8"/>
    <w:rsid w:val="6339B34D"/>
    <w:rsid w:val="633AA21A"/>
    <w:rsid w:val="633B0B00"/>
    <w:rsid w:val="633C79BC"/>
    <w:rsid w:val="63470F14"/>
    <w:rsid w:val="634889A8"/>
    <w:rsid w:val="634E52EF"/>
    <w:rsid w:val="6354A1A6"/>
    <w:rsid w:val="63570813"/>
    <w:rsid w:val="635DE76C"/>
    <w:rsid w:val="635EA92F"/>
    <w:rsid w:val="6362DFFA"/>
    <w:rsid w:val="636302B0"/>
    <w:rsid w:val="6363BBBD"/>
    <w:rsid w:val="63643416"/>
    <w:rsid w:val="6368C570"/>
    <w:rsid w:val="6371F8DE"/>
    <w:rsid w:val="637481AB"/>
    <w:rsid w:val="63753F0D"/>
    <w:rsid w:val="6375DDAF"/>
    <w:rsid w:val="63768577"/>
    <w:rsid w:val="6376E6CC"/>
    <w:rsid w:val="63823485"/>
    <w:rsid w:val="63824546"/>
    <w:rsid w:val="6389B444"/>
    <w:rsid w:val="638B698F"/>
    <w:rsid w:val="638F36E1"/>
    <w:rsid w:val="63909372"/>
    <w:rsid w:val="63924AD3"/>
    <w:rsid w:val="63A33B9E"/>
    <w:rsid w:val="63A50DD6"/>
    <w:rsid w:val="63ACCF74"/>
    <w:rsid w:val="63ADDD44"/>
    <w:rsid w:val="63B10032"/>
    <w:rsid w:val="63B61836"/>
    <w:rsid w:val="63BEA758"/>
    <w:rsid w:val="63BFCE3B"/>
    <w:rsid w:val="63C5AB99"/>
    <w:rsid w:val="63C61D0C"/>
    <w:rsid w:val="63CA1097"/>
    <w:rsid w:val="63CD8683"/>
    <w:rsid w:val="63D2D1A8"/>
    <w:rsid w:val="63D75A58"/>
    <w:rsid w:val="63D8348B"/>
    <w:rsid w:val="63DB1139"/>
    <w:rsid w:val="63DF08EB"/>
    <w:rsid w:val="63E0C375"/>
    <w:rsid w:val="63F3EC32"/>
    <w:rsid w:val="63F4BF1F"/>
    <w:rsid w:val="63F7D7CF"/>
    <w:rsid w:val="63FCCAC4"/>
    <w:rsid w:val="63FD531B"/>
    <w:rsid w:val="63FD8FD6"/>
    <w:rsid w:val="63FFAAC7"/>
    <w:rsid w:val="63FFEE33"/>
    <w:rsid w:val="64013698"/>
    <w:rsid w:val="64071CB5"/>
    <w:rsid w:val="64084AC4"/>
    <w:rsid w:val="64085C1E"/>
    <w:rsid w:val="640B56D0"/>
    <w:rsid w:val="640CC219"/>
    <w:rsid w:val="6410C69E"/>
    <w:rsid w:val="64169B3F"/>
    <w:rsid w:val="64187BBA"/>
    <w:rsid w:val="6419AC43"/>
    <w:rsid w:val="641CA0F8"/>
    <w:rsid w:val="641EBA8B"/>
    <w:rsid w:val="64233A88"/>
    <w:rsid w:val="642BA55F"/>
    <w:rsid w:val="642EE137"/>
    <w:rsid w:val="642F9BCD"/>
    <w:rsid w:val="64320EAD"/>
    <w:rsid w:val="6434A839"/>
    <w:rsid w:val="6434E8DD"/>
    <w:rsid w:val="6438C10D"/>
    <w:rsid w:val="643A1D5D"/>
    <w:rsid w:val="643CC31D"/>
    <w:rsid w:val="643CD36E"/>
    <w:rsid w:val="643CE931"/>
    <w:rsid w:val="643DA5CD"/>
    <w:rsid w:val="644C1C34"/>
    <w:rsid w:val="6450411E"/>
    <w:rsid w:val="645482E3"/>
    <w:rsid w:val="645B3A4F"/>
    <w:rsid w:val="645B3AFE"/>
    <w:rsid w:val="645DC5E1"/>
    <w:rsid w:val="645F1E63"/>
    <w:rsid w:val="6465117F"/>
    <w:rsid w:val="64662207"/>
    <w:rsid w:val="646BC168"/>
    <w:rsid w:val="6470071B"/>
    <w:rsid w:val="647170D4"/>
    <w:rsid w:val="6472CC69"/>
    <w:rsid w:val="6474EFDC"/>
    <w:rsid w:val="64775920"/>
    <w:rsid w:val="647C537D"/>
    <w:rsid w:val="6480A99A"/>
    <w:rsid w:val="64870AC1"/>
    <w:rsid w:val="64888643"/>
    <w:rsid w:val="648D5F71"/>
    <w:rsid w:val="648E6E76"/>
    <w:rsid w:val="648F1B23"/>
    <w:rsid w:val="648FBE38"/>
    <w:rsid w:val="6493DCA0"/>
    <w:rsid w:val="6498215C"/>
    <w:rsid w:val="649A732E"/>
    <w:rsid w:val="649E2CE3"/>
    <w:rsid w:val="64A59B8B"/>
    <w:rsid w:val="64A9C71F"/>
    <w:rsid w:val="64AC6C79"/>
    <w:rsid w:val="64AF0DAB"/>
    <w:rsid w:val="64B0CEE2"/>
    <w:rsid w:val="64B7339F"/>
    <w:rsid w:val="64B96349"/>
    <w:rsid w:val="64C40270"/>
    <w:rsid w:val="64C66DC4"/>
    <w:rsid w:val="64C92B3C"/>
    <w:rsid w:val="64CC3A4F"/>
    <w:rsid w:val="64D3E2A4"/>
    <w:rsid w:val="64D54B22"/>
    <w:rsid w:val="64D88E55"/>
    <w:rsid w:val="64D8D4C1"/>
    <w:rsid w:val="64D9CAEA"/>
    <w:rsid w:val="64DEE66C"/>
    <w:rsid w:val="64DF0C88"/>
    <w:rsid w:val="64E8ADE6"/>
    <w:rsid w:val="64E91BB9"/>
    <w:rsid w:val="64F28C21"/>
    <w:rsid w:val="64F46213"/>
    <w:rsid w:val="64F91CA7"/>
    <w:rsid w:val="64FB3EBE"/>
    <w:rsid w:val="64FB5078"/>
    <w:rsid w:val="64FC543C"/>
    <w:rsid w:val="65027E2B"/>
    <w:rsid w:val="65059F0F"/>
    <w:rsid w:val="650A46B0"/>
    <w:rsid w:val="650A8555"/>
    <w:rsid w:val="650CC288"/>
    <w:rsid w:val="65134725"/>
    <w:rsid w:val="65137A5D"/>
    <w:rsid w:val="6514996F"/>
    <w:rsid w:val="65150083"/>
    <w:rsid w:val="651EB3D7"/>
    <w:rsid w:val="6522D6A9"/>
    <w:rsid w:val="65235B48"/>
    <w:rsid w:val="6523B1A6"/>
    <w:rsid w:val="6527049B"/>
    <w:rsid w:val="6528E2A0"/>
    <w:rsid w:val="6529DEC4"/>
    <w:rsid w:val="652A9B78"/>
    <w:rsid w:val="652C4603"/>
    <w:rsid w:val="653800DF"/>
    <w:rsid w:val="653C881F"/>
    <w:rsid w:val="65430F3C"/>
    <w:rsid w:val="654D00CA"/>
    <w:rsid w:val="654D83A1"/>
    <w:rsid w:val="654D8B76"/>
    <w:rsid w:val="654E4C4D"/>
    <w:rsid w:val="654F829A"/>
    <w:rsid w:val="65522034"/>
    <w:rsid w:val="65536D94"/>
    <w:rsid w:val="6555611F"/>
    <w:rsid w:val="65591CD3"/>
    <w:rsid w:val="655959C9"/>
    <w:rsid w:val="655A0984"/>
    <w:rsid w:val="655A3933"/>
    <w:rsid w:val="655B043D"/>
    <w:rsid w:val="655E59DE"/>
    <w:rsid w:val="65624E22"/>
    <w:rsid w:val="6564F982"/>
    <w:rsid w:val="6565C152"/>
    <w:rsid w:val="656CA570"/>
    <w:rsid w:val="656D1811"/>
    <w:rsid w:val="6572B446"/>
    <w:rsid w:val="657A73D7"/>
    <w:rsid w:val="657BABDD"/>
    <w:rsid w:val="657CBCCA"/>
    <w:rsid w:val="6588791E"/>
    <w:rsid w:val="658A80F8"/>
    <w:rsid w:val="658DE990"/>
    <w:rsid w:val="658EAFF2"/>
    <w:rsid w:val="658FF48D"/>
    <w:rsid w:val="659151B3"/>
    <w:rsid w:val="6595BFE2"/>
    <w:rsid w:val="659D4CF4"/>
    <w:rsid w:val="65A2B4C4"/>
    <w:rsid w:val="65A476B5"/>
    <w:rsid w:val="65A4FFEB"/>
    <w:rsid w:val="65AC49CC"/>
    <w:rsid w:val="65AE0E77"/>
    <w:rsid w:val="65AF09FE"/>
    <w:rsid w:val="65B08073"/>
    <w:rsid w:val="65B5B04A"/>
    <w:rsid w:val="65B9295A"/>
    <w:rsid w:val="65BB7F2E"/>
    <w:rsid w:val="65BBC1A9"/>
    <w:rsid w:val="65BE89EA"/>
    <w:rsid w:val="65BEB9CF"/>
    <w:rsid w:val="65BEC342"/>
    <w:rsid w:val="65C4910A"/>
    <w:rsid w:val="65C9CE01"/>
    <w:rsid w:val="65DBB3A8"/>
    <w:rsid w:val="65DDC7F3"/>
    <w:rsid w:val="65E08297"/>
    <w:rsid w:val="65E48730"/>
    <w:rsid w:val="65E5DB1E"/>
    <w:rsid w:val="65E8D4AB"/>
    <w:rsid w:val="65E9E491"/>
    <w:rsid w:val="65ED2703"/>
    <w:rsid w:val="65F0B069"/>
    <w:rsid w:val="65F111E3"/>
    <w:rsid w:val="65F158C7"/>
    <w:rsid w:val="65F685AF"/>
    <w:rsid w:val="65FC5388"/>
    <w:rsid w:val="65FC9386"/>
    <w:rsid w:val="65FD0B49"/>
    <w:rsid w:val="65FD56A4"/>
    <w:rsid w:val="65FE833C"/>
    <w:rsid w:val="660060B8"/>
    <w:rsid w:val="66007960"/>
    <w:rsid w:val="6605B912"/>
    <w:rsid w:val="6606506C"/>
    <w:rsid w:val="6607EC6B"/>
    <w:rsid w:val="660AFB3E"/>
    <w:rsid w:val="661291F3"/>
    <w:rsid w:val="66135DED"/>
    <w:rsid w:val="661B8755"/>
    <w:rsid w:val="661F0327"/>
    <w:rsid w:val="661F54CC"/>
    <w:rsid w:val="6621F975"/>
    <w:rsid w:val="66246B7B"/>
    <w:rsid w:val="662A59DE"/>
    <w:rsid w:val="662C7036"/>
    <w:rsid w:val="66301C58"/>
    <w:rsid w:val="663223FB"/>
    <w:rsid w:val="6639671B"/>
    <w:rsid w:val="663A7AFA"/>
    <w:rsid w:val="663FF067"/>
    <w:rsid w:val="66453F5E"/>
    <w:rsid w:val="6649F1E7"/>
    <w:rsid w:val="664A3029"/>
    <w:rsid w:val="66522226"/>
    <w:rsid w:val="66524DAF"/>
    <w:rsid w:val="6659C6F5"/>
    <w:rsid w:val="666007F9"/>
    <w:rsid w:val="6663E938"/>
    <w:rsid w:val="66649A63"/>
    <w:rsid w:val="6665E721"/>
    <w:rsid w:val="6667AB5D"/>
    <w:rsid w:val="666B17FF"/>
    <w:rsid w:val="66724625"/>
    <w:rsid w:val="6674D7BA"/>
    <w:rsid w:val="66779100"/>
    <w:rsid w:val="667CD818"/>
    <w:rsid w:val="667CE18E"/>
    <w:rsid w:val="667DC3A4"/>
    <w:rsid w:val="667FE452"/>
    <w:rsid w:val="668D85EB"/>
    <w:rsid w:val="668F4C80"/>
    <w:rsid w:val="669433D8"/>
    <w:rsid w:val="66954714"/>
    <w:rsid w:val="669A97AD"/>
    <w:rsid w:val="669B02CF"/>
    <w:rsid w:val="669B0523"/>
    <w:rsid w:val="66A4DD1C"/>
    <w:rsid w:val="66A96AC7"/>
    <w:rsid w:val="66AB46B3"/>
    <w:rsid w:val="66AC7FFE"/>
    <w:rsid w:val="66B7C24D"/>
    <w:rsid w:val="66B828D0"/>
    <w:rsid w:val="66B86822"/>
    <w:rsid w:val="66BE6DF3"/>
    <w:rsid w:val="66BEB7D8"/>
    <w:rsid w:val="66BF112D"/>
    <w:rsid w:val="66C19E41"/>
    <w:rsid w:val="66C36460"/>
    <w:rsid w:val="66C9DA34"/>
    <w:rsid w:val="66CA20C8"/>
    <w:rsid w:val="66CA948A"/>
    <w:rsid w:val="66D02154"/>
    <w:rsid w:val="66D3E49D"/>
    <w:rsid w:val="66D6CD79"/>
    <w:rsid w:val="66D996B4"/>
    <w:rsid w:val="66DFEBC3"/>
    <w:rsid w:val="66E02E94"/>
    <w:rsid w:val="66E0E5B9"/>
    <w:rsid w:val="66E14B99"/>
    <w:rsid w:val="66E61714"/>
    <w:rsid w:val="66F27274"/>
    <w:rsid w:val="66F70511"/>
    <w:rsid w:val="66FF524B"/>
    <w:rsid w:val="66FFF75F"/>
    <w:rsid w:val="6702A131"/>
    <w:rsid w:val="6702C64A"/>
    <w:rsid w:val="6704F0F1"/>
    <w:rsid w:val="67084F61"/>
    <w:rsid w:val="670B9BEC"/>
    <w:rsid w:val="670BBB88"/>
    <w:rsid w:val="670FB4A5"/>
    <w:rsid w:val="670FE29C"/>
    <w:rsid w:val="6713F62A"/>
    <w:rsid w:val="671CEC2D"/>
    <w:rsid w:val="671D2AD4"/>
    <w:rsid w:val="6725E30A"/>
    <w:rsid w:val="672FEC64"/>
    <w:rsid w:val="6733B666"/>
    <w:rsid w:val="67359E35"/>
    <w:rsid w:val="6738A3C1"/>
    <w:rsid w:val="673D58D3"/>
    <w:rsid w:val="67418F71"/>
    <w:rsid w:val="674C3031"/>
    <w:rsid w:val="674E414B"/>
    <w:rsid w:val="6754715E"/>
    <w:rsid w:val="67563769"/>
    <w:rsid w:val="675950EA"/>
    <w:rsid w:val="675AA555"/>
    <w:rsid w:val="67672CFA"/>
    <w:rsid w:val="6769A6F0"/>
    <w:rsid w:val="676A01AC"/>
    <w:rsid w:val="676B023C"/>
    <w:rsid w:val="676B26D9"/>
    <w:rsid w:val="676B3B6E"/>
    <w:rsid w:val="676F9F33"/>
    <w:rsid w:val="676FED46"/>
    <w:rsid w:val="676FF151"/>
    <w:rsid w:val="67705BE7"/>
    <w:rsid w:val="6772CE23"/>
    <w:rsid w:val="6773DE9E"/>
    <w:rsid w:val="6774EAB0"/>
    <w:rsid w:val="67753243"/>
    <w:rsid w:val="677C73BE"/>
    <w:rsid w:val="677CC0A2"/>
    <w:rsid w:val="67857496"/>
    <w:rsid w:val="6785A509"/>
    <w:rsid w:val="678A6991"/>
    <w:rsid w:val="678E7E27"/>
    <w:rsid w:val="678E7F70"/>
    <w:rsid w:val="67931AD6"/>
    <w:rsid w:val="679EC15B"/>
    <w:rsid w:val="679F92CF"/>
    <w:rsid w:val="679FD677"/>
    <w:rsid w:val="67A06208"/>
    <w:rsid w:val="67A1B711"/>
    <w:rsid w:val="67AB6128"/>
    <w:rsid w:val="67B09DD2"/>
    <w:rsid w:val="67B139CF"/>
    <w:rsid w:val="67B33495"/>
    <w:rsid w:val="67B60790"/>
    <w:rsid w:val="67B7A706"/>
    <w:rsid w:val="67BC1576"/>
    <w:rsid w:val="67BD0497"/>
    <w:rsid w:val="67BE8710"/>
    <w:rsid w:val="67BFB62E"/>
    <w:rsid w:val="67C4E3B0"/>
    <w:rsid w:val="67C5B6EA"/>
    <w:rsid w:val="67C8ED7F"/>
    <w:rsid w:val="67CA81B8"/>
    <w:rsid w:val="67D29803"/>
    <w:rsid w:val="67D480C1"/>
    <w:rsid w:val="67D78898"/>
    <w:rsid w:val="67E04FB1"/>
    <w:rsid w:val="67E1B113"/>
    <w:rsid w:val="67E4B1B3"/>
    <w:rsid w:val="67F1F798"/>
    <w:rsid w:val="67F85403"/>
    <w:rsid w:val="67F90EEB"/>
    <w:rsid w:val="6804999F"/>
    <w:rsid w:val="68087B14"/>
    <w:rsid w:val="6809E302"/>
    <w:rsid w:val="6809EFB3"/>
    <w:rsid w:val="680B26F9"/>
    <w:rsid w:val="680B5567"/>
    <w:rsid w:val="680D66F2"/>
    <w:rsid w:val="6811480F"/>
    <w:rsid w:val="681381EE"/>
    <w:rsid w:val="68167495"/>
    <w:rsid w:val="68187184"/>
    <w:rsid w:val="681A8D1D"/>
    <w:rsid w:val="681EBAC6"/>
    <w:rsid w:val="6820FCAC"/>
    <w:rsid w:val="6822DAA7"/>
    <w:rsid w:val="6826140F"/>
    <w:rsid w:val="68273C53"/>
    <w:rsid w:val="6829D931"/>
    <w:rsid w:val="682A0CF8"/>
    <w:rsid w:val="682AE17A"/>
    <w:rsid w:val="6830D7EE"/>
    <w:rsid w:val="68349688"/>
    <w:rsid w:val="6838B726"/>
    <w:rsid w:val="684BA6A4"/>
    <w:rsid w:val="684DCA8B"/>
    <w:rsid w:val="684EFF06"/>
    <w:rsid w:val="6850E0B9"/>
    <w:rsid w:val="68520179"/>
    <w:rsid w:val="6853CD98"/>
    <w:rsid w:val="68544317"/>
    <w:rsid w:val="6854E1E8"/>
    <w:rsid w:val="6855FC53"/>
    <w:rsid w:val="685DEB76"/>
    <w:rsid w:val="685DF119"/>
    <w:rsid w:val="68638A70"/>
    <w:rsid w:val="6865CBA8"/>
    <w:rsid w:val="68664897"/>
    <w:rsid w:val="6866FBD3"/>
    <w:rsid w:val="686A4247"/>
    <w:rsid w:val="6871DDDE"/>
    <w:rsid w:val="68757E21"/>
    <w:rsid w:val="687D2A40"/>
    <w:rsid w:val="687D90AB"/>
    <w:rsid w:val="687DBD30"/>
    <w:rsid w:val="688193E1"/>
    <w:rsid w:val="68824E0A"/>
    <w:rsid w:val="6884F293"/>
    <w:rsid w:val="68898711"/>
    <w:rsid w:val="688B352D"/>
    <w:rsid w:val="688FD770"/>
    <w:rsid w:val="6891DD15"/>
    <w:rsid w:val="689551D9"/>
    <w:rsid w:val="689756CE"/>
    <w:rsid w:val="68A68372"/>
    <w:rsid w:val="68AC7185"/>
    <w:rsid w:val="68B4F164"/>
    <w:rsid w:val="68B70277"/>
    <w:rsid w:val="68B7822F"/>
    <w:rsid w:val="68B842FD"/>
    <w:rsid w:val="68B9D1C1"/>
    <w:rsid w:val="68BAA9C6"/>
    <w:rsid w:val="68BAF933"/>
    <w:rsid w:val="68BFBFFE"/>
    <w:rsid w:val="68C0BCC6"/>
    <w:rsid w:val="68C2DE24"/>
    <w:rsid w:val="68C3E388"/>
    <w:rsid w:val="68C54AC4"/>
    <w:rsid w:val="68C70058"/>
    <w:rsid w:val="68C7477D"/>
    <w:rsid w:val="68C89901"/>
    <w:rsid w:val="68C996AC"/>
    <w:rsid w:val="68D0D527"/>
    <w:rsid w:val="68D3E59B"/>
    <w:rsid w:val="68D6577D"/>
    <w:rsid w:val="68DF5DAF"/>
    <w:rsid w:val="68E60355"/>
    <w:rsid w:val="68EA2C62"/>
    <w:rsid w:val="68EB0740"/>
    <w:rsid w:val="68EFCF84"/>
    <w:rsid w:val="68F3C4F3"/>
    <w:rsid w:val="68FBC6DB"/>
    <w:rsid w:val="68FDB24A"/>
    <w:rsid w:val="68FE21FE"/>
    <w:rsid w:val="68FF8BFC"/>
    <w:rsid w:val="69091977"/>
    <w:rsid w:val="690B7FF7"/>
    <w:rsid w:val="690D9153"/>
    <w:rsid w:val="690F5DE4"/>
    <w:rsid w:val="69100EF1"/>
    <w:rsid w:val="691034BC"/>
    <w:rsid w:val="6910414D"/>
    <w:rsid w:val="691505B5"/>
    <w:rsid w:val="691629C5"/>
    <w:rsid w:val="6918B78E"/>
    <w:rsid w:val="6922968E"/>
    <w:rsid w:val="69233F98"/>
    <w:rsid w:val="6925B117"/>
    <w:rsid w:val="693D1031"/>
    <w:rsid w:val="69424779"/>
    <w:rsid w:val="694D8031"/>
    <w:rsid w:val="695286FF"/>
    <w:rsid w:val="6956006A"/>
    <w:rsid w:val="695B0328"/>
    <w:rsid w:val="695D5B9B"/>
    <w:rsid w:val="695FEC93"/>
    <w:rsid w:val="69624FAB"/>
    <w:rsid w:val="696432F0"/>
    <w:rsid w:val="69681146"/>
    <w:rsid w:val="69698214"/>
    <w:rsid w:val="696B76BE"/>
    <w:rsid w:val="696C2431"/>
    <w:rsid w:val="696EF764"/>
    <w:rsid w:val="696FF10C"/>
    <w:rsid w:val="69729E87"/>
    <w:rsid w:val="697ABA38"/>
    <w:rsid w:val="697C185B"/>
    <w:rsid w:val="697E4E6B"/>
    <w:rsid w:val="69801B6A"/>
    <w:rsid w:val="698329F3"/>
    <w:rsid w:val="69864C5A"/>
    <w:rsid w:val="698B2333"/>
    <w:rsid w:val="6991DB7F"/>
    <w:rsid w:val="699248B1"/>
    <w:rsid w:val="6992695B"/>
    <w:rsid w:val="699A60C7"/>
    <w:rsid w:val="699AC2B3"/>
    <w:rsid w:val="69A3E967"/>
    <w:rsid w:val="69ACC418"/>
    <w:rsid w:val="69AEE600"/>
    <w:rsid w:val="69B1327B"/>
    <w:rsid w:val="69B521B8"/>
    <w:rsid w:val="69B588D4"/>
    <w:rsid w:val="69B91012"/>
    <w:rsid w:val="69BC0AE9"/>
    <w:rsid w:val="69C68E4D"/>
    <w:rsid w:val="69CB028B"/>
    <w:rsid w:val="69CD7542"/>
    <w:rsid w:val="69CED6DE"/>
    <w:rsid w:val="69CF562B"/>
    <w:rsid w:val="69CF5684"/>
    <w:rsid w:val="69D77B58"/>
    <w:rsid w:val="69D8833C"/>
    <w:rsid w:val="69DA6D5A"/>
    <w:rsid w:val="69DD86D5"/>
    <w:rsid w:val="69E0CEB6"/>
    <w:rsid w:val="69E498F4"/>
    <w:rsid w:val="69EECE78"/>
    <w:rsid w:val="69F224A4"/>
    <w:rsid w:val="69F548BD"/>
    <w:rsid w:val="69F8FEE5"/>
    <w:rsid w:val="69FDBCE5"/>
    <w:rsid w:val="6A02652F"/>
    <w:rsid w:val="6A062606"/>
    <w:rsid w:val="6A06BA59"/>
    <w:rsid w:val="6A0A868D"/>
    <w:rsid w:val="6A0CE2D8"/>
    <w:rsid w:val="6A19E677"/>
    <w:rsid w:val="6A208951"/>
    <w:rsid w:val="6A2B204D"/>
    <w:rsid w:val="6A305D67"/>
    <w:rsid w:val="6A31319D"/>
    <w:rsid w:val="6A330FFB"/>
    <w:rsid w:val="6A33EF31"/>
    <w:rsid w:val="6A356DBB"/>
    <w:rsid w:val="6A370F5C"/>
    <w:rsid w:val="6A3A961A"/>
    <w:rsid w:val="6A3CA162"/>
    <w:rsid w:val="6A3CC276"/>
    <w:rsid w:val="6A44D3CE"/>
    <w:rsid w:val="6A4D3990"/>
    <w:rsid w:val="6A4E1C76"/>
    <w:rsid w:val="6A54514E"/>
    <w:rsid w:val="6A56296E"/>
    <w:rsid w:val="6A60C66E"/>
    <w:rsid w:val="6A67C2B3"/>
    <w:rsid w:val="6A6D5B0D"/>
    <w:rsid w:val="6A74F995"/>
    <w:rsid w:val="6A7E4C6B"/>
    <w:rsid w:val="6A7F0611"/>
    <w:rsid w:val="6A7F3BB7"/>
    <w:rsid w:val="6A80614E"/>
    <w:rsid w:val="6A829160"/>
    <w:rsid w:val="6A8649B8"/>
    <w:rsid w:val="6A89753B"/>
    <w:rsid w:val="6A9512A0"/>
    <w:rsid w:val="6A98765A"/>
    <w:rsid w:val="6AA545F8"/>
    <w:rsid w:val="6AA5C383"/>
    <w:rsid w:val="6AA63471"/>
    <w:rsid w:val="6AAF4172"/>
    <w:rsid w:val="6AB0AB4D"/>
    <w:rsid w:val="6AB33AC2"/>
    <w:rsid w:val="6AB49677"/>
    <w:rsid w:val="6AB7B730"/>
    <w:rsid w:val="6AB7CD85"/>
    <w:rsid w:val="6ABBE0D2"/>
    <w:rsid w:val="6AC8DC94"/>
    <w:rsid w:val="6ACC0EE0"/>
    <w:rsid w:val="6AE18C01"/>
    <w:rsid w:val="6AE199B9"/>
    <w:rsid w:val="6AECD40E"/>
    <w:rsid w:val="6AED3C65"/>
    <w:rsid w:val="6AED3D97"/>
    <w:rsid w:val="6AF0D5E8"/>
    <w:rsid w:val="6AF1CFF5"/>
    <w:rsid w:val="6AF3A809"/>
    <w:rsid w:val="6AF7687A"/>
    <w:rsid w:val="6AFBCD93"/>
    <w:rsid w:val="6AFCE8DF"/>
    <w:rsid w:val="6B010653"/>
    <w:rsid w:val="6B020F3D"/>
    <w:rsid w:val="6B0252B4"/>
    <w:rsid w:val="6B028BBB"/>
    <w:rsid w:val="6B0430DA"/>
    <w:rsid w:val="6B09AE00"/>
    <w:rsid w:val="6B0AB2FF"/>
    <w:rsid w:val="6B0DD179"/>
    <w:rsid w:val="6B107EAD"/>
    <w:rsid w:val="6B191F3D"/>
    <w:rsid w:val="6B1D13E8"/>
    <w:rsid w:val="6B1D1E07"/>
    <w:rsid w:val="6B219943"/>
    <w:rsid w:val="6B226CD3"/>
    <w:rsid w:val="6B23E1D9"/>
    <w:rsid w:val="6B242A8C"/>
    <w:rsid w:val="6B24F489"/>
    <w:rsid w:val="6B263B5E"/>
    <w:rsid w:val="6B291981"/>
    <w:rsid w:val="6B2D59E4"/>
    <w:rsid w:val="6B343DA3"/>
    <w:rsid w:val="6B420803"/>
    <w:rsid w:val="6B4332C7"/>
    <w:rsid w:val="6B4553FD"/>
    <w:rsid w:val="6B478E50"/>
    <w:rsid w:val="6B4CF2FE"/>
    <w:rsid w:val="6B4E5234"/>
    <w:rsid w:val="6B52C05E"/>
    <w:rsid w:val="6B576C0C"/>
    <w:rsid w:val="6B5A4620"/>
    <w:rsid w:val="6B5FD5AB"/>
    <w:rsid w:val="6B612FBE"/>
    <w:rsid w:val="6B638A10"/>
    <w:rsid w:val="6B66BA38"/>
    <w:rsid w:val="6B671799"/>
    <w:rsid w:val="6B6A8A8B"/>
    <w:rsid w:val="6B6E8104"/>
    <w:rsid w:val="6B7075CE"/>
    <w:rsid w:val="6B71AE29"/>
    <w:rsid w:val="6B762122"/>
    <w:rsid w:val="6B77BE2F"/>
    <w:rsid w:val="6B7C86E2"/>
    <w:rsid w:val="6B7D2939"/>
    <w:rsid w:val="6B7DB1B6"/>
    <w:rsid w:val="6B909F17"/>
    <w:rsid w:val="6B9178E7"/>
    <w:rsid w:val="6B924F7B"/>
    <w:rsid w:val="6B939020"/>
    <w:rsid w:val="6B93E4D4"/>
    <w:rsid w:val="6B950F64"/>
    <w:rsid w:val="6B966384"/>
    <w:rsid w:val="6B96954A"/>
    <w:rsid w:val="6B991EA1"/>
    <w:rsid w:val="6B9A1894"/>
    <w:rsid w:val="6B9EC054"/>
    <w:rsid w:val="6B9ECED7"/>
    <w:rsid w:val="6BA03961"/>
    <w:rsid w:val="6BA1D3AE"/>
    <w:rsid w:val="6BA44428"/>
    <w:rsid w:val="6BA84CC9"/>
    <w:rsid w:val="6BAB4CB9"/>
    <w:rsid w:val="6BAC5F8E"/>
    <w:rsid w:val="6BAD92E4"/>
    <w:rsid w:val="6BAE0D00"/>
    <w:rsid w:val="6BB03FD6"/>
    <w:rsid w:val="6BB6E78C"/>
    <w:rsid w:val="6BB85500"/>
    <w:rsid w:val="6BB8B0B1"/>
    <w:rsid w:val="6BC0D04D"/>
    <w:rsid w:val="6BC602C2"/>
    <w:rsid w:val="6BCB100A"/>
    <w:rsid w:val="6BCF088B"/>
    <w:rsid w:val="6BD43ACB"/>
    <w:rsid w:val="6BD5600F"/>
    <w:rsid w:val="6BD5D27B"/>
    <w:rsid w:val="6BDA2FE9"/>
    <w:rsid w:val="6BDCA127"/>
    <w:rsid w:val="6BDF1D02"/>
    <w:rsid w:val="6BE01059"/>
    <w:rsid w:val="6BE1BF94"/>
    <w:rsid w:val="6BE1DCA2"/>
    <w:rsid w:val="6BE7A624"/>
    <w:rsid w:val="6BEE54C2"/>
    <w:rsid w:val="6BF583C5"/>
    <w:rsid w:val="6C0247BD"/>
    <w:rsid w:val="6C0307C6"/>
    <w:rsid w:val="6C04C915"/>
    <w:rsid w:val="6C06044B"/>
    <w:rsid w:val="6C075025"/>
    <w:rsid w:val="6C0EE693"/>
    <w:rsid w:val="6C115704"/>
    <w:rsid w:val="6C14B04F"/>
    <w:rsid w:val="6C156C21"/>
    <w:rsid w:val="6C16415C"/>
    <w:rsid w:val="6C176F37"/>
    <w:rsid w:val="6C251B07"/>
    <w:rsid w:val="6C25B045"/>
    <w:rsid w:val="6C3140DA"/>
    <w:rsid w:val="6C3231B1"/>
    <w:rsid w:val="6C38859B"/>
    <w:rsid w:val="6C38F051"/>
    <w:rsid w:val="6C403BB5"/>
    <w:rsid w:val="6C4528C0"/>
    <w:rsid w:val="6C45AB7F"/>
    <w:rsid w:val="6C4A1AAA"/>
    <w:rsid w:val="6C50F9E7"/>
    <w:rsid w:val="6C52C80C"/>
    <w:rsid w:val="6C5410E2"/>
    <w:rsid w:val="6C5428A7"/>
    <w:rsid w:val="6C54E4E9"/>
    <w:rsid w:val="6C557B67"/>
    <w:rsid w:val="6C572E90"/>
    <w:rsid w:val="6C58A62B"/>
    <w:rsid w:val="6C5B1520"/>
    <w:rsid w:val="6C5BFE14"/>
    <w:rsid w:val="6C6431A0"/>
    <w:rsid w:val="6C6868E9"/>
    <w:rsid w:val="6C6D2E6C"/>
    <w:rsid w:val="6C6E8F4E"/>
    <w:rsid w:val="6C6F7F49"/>
    <w:rsid w:val="6C74C80E"/>
    <w:rsid w:val="6C76D0F1"/>
    <w:rsid w:val="6C79314F"/>
    <w:rsid w:val="6C802DCA"/>
    <w:rsid w:val="6C8423FE"/>
    <w:rsid w:val="6C89C077"/>
    <w:rsid w:val="6C97470E"/>
    <w:rsid w:val="6C98B0C6"/>
    <w:rsid w:val="6C9DFBF7"/>
    <w:rsid w:val="6C9FAE50"/>
    <w:rsid w:val="6CA1BB77"/>
    <w:rsid w:val="6CA68C87"/>
    <w:rsid w:val="6CA6BD2A"/>
    <w:rsid w:val="6CAA1945"/>
    <w:rsid w:val="6CADD254"/>
    <w:rsid w:val="6CB2ECE9"/>
    <w:rsid w:val="6CB76F4C"/>
    <w:rsid w:val="6CB93FE8"/>
    <w:rsid w:val="6CBE9D16"/>
    <w:rsid w:val="6CC0C4EA"/>
    <w:rsid w:val="6CC10C67"/>
    <w:rsid w:val="6CC77A50"/>
    <w:rsid w:val="6CCB3296"/>
    <w:rsid w:val="6CCD15B6"/>
    <w:rsid w:val="6CCFC3B9"/>
    <w:rsid w:val="6CD5348C"/>
    <w:rsid w:val="6CDB5447"/>
    <w:rsid w:val="6CDBCE91"/>
    <w:rsid w:val="6CE2FB14"/>
    <w:rsid w:val="6CE4F20C"/>
    <w:rsid w:val="6CEB0ED5"/>
    <w:rsid w:val="6CEB8AE7"/>
    <w:rsid w:val="6CECBC3C"/>
    <w:rsid w:val="6CF2C5C7"/>
    <w:rsid w:val="6CF66180"/>
    <w:rsid w:val="6CF7F50F"/>
    <w:rsid w:val="6CF9658E"/>
    <w:rsid w:val="6CF97B6F"/>
    <w:rsid w:val="6CF9C426"/>
    <w:rsid w:val="6CFE5101"/>
    <w:rsid w:val="6D0398DA"/>
    <w:rsid w:val="6D0641A5"/>
    <w:rsid w:val="6D06D06B"/>
    <w:rsid w:val="6D09A007"/>
    <w:rsid w:val="6D0C7582"/>
    <w:rsid w:val="6D0D6A2B"/>
    <w:rsid w:val="6D0FB095"/>
    <w:rsid w:val="6D186769"/>
    <w:rsid w:val="6D18D4C5"/>
    <w:rsid w:val="6D1A6801"/>
    <w:rsid w:val="6D1E3A5E"/>
    <w:rsid w:val="6D224FCE"/>
    <w:rsid w:val="6D23614E"/>
    <w:rsid w:val="6D23AE3C"/>
    <w:rsid w:val="6D27174E"/>
    <w:rsid w:val="6D2ABD90"/>
    <w:rsid w:val="6D34EF02"/>
    <w:rsid w:val="6D39525C"/>
    <w:rsid w:val="6D3BEE12"/>
    <w:rsid w:val="6D3CDC88"/>
    <w:rsid w:val="6D3F185A"/>
    <w:rsid w:val="6D4010A4"/>
    <w:rsid w:val="6D412082"/>
    <w:rsid w:val="6D44CA1A"/>
    <w:rsid w:val="6D477289"/>
    <w:rsid w:val="6D4E34A0"/>
    <w:rsid w:val="6D532E35"/>
    <w:rsid w:val="6D57929B"/>
    <w:rsid w:val="6D5C8A08"/>
    <w:rsid w:val="6D5D6A35"/>
    <w:rsid w:val="6D65CECD"/>
    <w:rsid w:val="6D67912A"/>
    <w:rsid w:val="6D716C46"/>
    <w:rsid w:val="6D73907B"/>
    <w:rsid w:val="6D797905"/>
    <w:rsid w:val="6D7CB2CB"/>
    <w:rsid w:val="6D817153"/>
    <w:rsid w:val="6D81BA23"/>
    <w:rsid w:val="6D859122"/>
    <w:rsid w:val="6D864AF9"/>
    <w:rsid w:val="6D8A35C7"/>
    <w:rsid w:val="6D8F9146"/>
    <w:rsid w:val="6D93A7AF"/>
    <w:rsid w:val="6D9402AF"/>
    <w:rsid w:val="6D959D51"/>
    <w:rsid w:val="6D98B0AB"/>
    <w:rsid w:val="6D9CAB9C"/>
    <w:rsid w:val="6DA2AC75"/>
    <w:rsid w:val="6DA48045"/>
    <w:rsid w:val="6DAA8ACE"/>
    <w:rsid w:val="6DAB4B52"/>
    <w:rsid w:val="6DAD8880"/>
    <w:rsid w:val="6DAEDF29"/>
    <w:rsid w:val="6DB1C334"/>
    <w:rsid w:val="6DB49084"/>
    <w:rsid w:val="6DB5AEBC"/>
    <w:rsid w:val="6DB99FF3"/>
    <w:rsid w:val="6DBA74FE"/>
    <w:rsid w:val="6DC72C0F"/>
    <w:rsid w:val="6DC7B03A"/>
    <w:rsid w:val="6DC7F870"/>
    <w:rsid w:val="6DC8254E"/>
    <w:rsid w:val="6DC8FC40"/>
    <w:rsid w:val="6DCA175E"/>
    <w:rsid w:val="6DD42F1D"/>
    <w:rsid w:val="6DD683BD"/>
    <w:rsid w:val="6DD8C1D4"/>
    <w:rsid w:val="6DE0F921"/>
    <w:rsid w:val="6DE2A800"/>
    <w:rsid w:val="6DE44FCA"/>
    <w:rsid w:val="6DEB2BFE"/>
    <w:rsid w:val="6DEBE55D"/>
    <w:rsid w:val="6DF4E45C"/>
    <w:rsid w:val="6DF6EE86"/>
    <w:rsid w:val="6DF77B2F"/>
    <w:rsid w:val="6DF8E85E"/>
    <w:rsid w:val="6DFB93AD"/>
    <w:rsid w:val="6DFC65DC"/>
    <w:rsid w:val="6DFE547F"/>
    <w:rsid w:val="6DFEF30A"/>
    <w:rsid w:val="6DFF9FAC"/>
    <w:rsid w:val="6DFFE773"/>
    <w:rsid w:val="6E02B459"/>
    <w:rsid w:val="6E037BE8"/>
    <w:rsid w:val="6E075760"/>
    <w:rsid w:val="6E121342"/>
    <w:rsid w:val="6E1B0CE7"/>
    <w:rsid w:val="6E1CA474"/>
    <w:rsid w:val="6E1CAD29"/>
    <w:rsid w:val="6E211B87"/>
    <w:rsid w:val="6E22203B"/>
    <w:rsid w:val="6E2630D0"/>
    <w:rsid w:val="6E273623"/>
    <w:rsid w:val="6E279188"/>
    <w:rsid w:val="6E29813D"/>
    <w:rsid w:val="6E2FBC26"/>
    <w:rsid w:val="6E369EFE"/>
    <w:rsid w:val="6E3E8A9B"/>
    <w:rsid w:val="6E4BF64C"/>
    <w:rsid w:val="6E531339"/>
    <w:rsid w:val="6E54559C"/>
    <w:rsid w:val="6E553D54"/>
    <w:rsid w:val="6E607854"/>
    <w:rsid w:val="6E6131E4"/>
    <w:rsid w:val="6E618C69"/>
    <w:rsid w:val="6E69598E"/>
    <w:rsid w:val="6E6B8148"/>
    <w:rsid w:val="6E6BA4F9"/>
    <w:rsid w:val="6E6BE957"/>
    <w:rsid w:val="6E71D940"/>
    <w:rsid w:val="6E72D900"/>
    <w:rsid w:val="6E744D87"/>
    <w:rsid w:val="6E7CA0B1"/>
    <w:rsid w:val="6E7D8B28"/>
    <w:rsid w:val="6E7EB803"/>
    <w:rsid w:val="6E808CC0"/>
    <w:rsid w:val="6E8346B9"/>
    <w:rsid w:val="6E869018"/>
    <w:rsid w:val="6E8A8A9B"/>
    <w:rsid w:val="6E8C8135"/>
    <w:rsid w:val="6E919DA5"/>
    <w:rsid w:val="6E92E2A3"/>
    <w:rsid w:val="6E93517D"/>
    <w:rsid w:val="6E983FFD"/>
    <w:rsid w:val="6E9E47A4"/>
    <w:rsid w:val="6E9F075F"/>
    <w:rsid w:val="6EA08575"/>
    <w:rsid w:val="6EA50FC6"/>
    <w:rsid w:val="6EA81A74"/>
    <w:rsid w:val="6EB19DCA"/>
    <w:rsid w:val="6EB1DFDF"/>
    <w:rsid w:val="6EB349B5"/>
    <w:rsid w:val="6EB3E39C"/>
    <w:rsid w:val="6EB9E7AD"/>
    <w:rsid w:val="6EBE2F64"/>
    <w:rsid w:val="6EBE5C5B"/>
    <w:rsid w:val="6EBF68DD"/>
    <w:rsid w:val="6EC6824E"/>
    <w:rsid w:val="6ECD3F07"/>
    <w:rsid w:val="6ECF9F0D"/>
    <w:rsid w:val="6ED8ACE9"/>
    <w:rsid w:val="6EDA1E84"/>
    <w:rsid w:val="6EDC3718"/>
    <w:rsid w:val="6EE5315B"/>
    <w:rsid w:val="6EE5FA38"/>
    <w:rsid w:val="6EE6F674"/>
    <w:rsid w:val="6EE88578"/>
    <w:rsid w:val="6EE90F5D"/>
    <w:rsid w:val="6EE989FF"/>
    <w:rsid w:val="6EEB73C5"/>
    <w:rsid w:val="6EEE21A4"/>
    <w:rsid w:val="6EF23511"/>
    <w:rsid w:val="6EFC28F7"/>
    <w:rsid w:val="6EFD035B"/>
    <w:rsid w:val="6EFDB56C"/>
    <w:rsid w:val="6EFF40F1"/>
    <w:rsid w:val="6F002A13"/>
    <w:rsid w:val="6F00DEFA"/>
    <w:rsid w:val="6F014886"/>
    <w:rsid w:val="6F03CDB3"/>
    <w:rsid w:val="6F086E07"/>
    <w:rsid w:val="6F09142E"/>
    <w:rsid w:val="6F0E0E8A"/>
    <w:rsid w:val="6F12639B"/>
    <w:rsid w:val="6F15A47F"/>
    <w:rsid w:val="6F167782"/>
    <w:rsid w:val="6F1A35DB"/>
    <w:rsid w:val="6F1ADDE0"/>
    <w:rsid w:val="6F1D6CE7"/>
    <w:rsid w:val="6F24383E"/>
    <w:rsid w:val="6F269CF6"/>
    <w:rsid w:val="6F287008"/>
    <w:rsid w:val="6F28DA2C"/>
    <w:rsid w:val="6F353029"/>
    <w:rsid w:val="6F3B20F6"/>
    <w:rsid w:val="6F439E2B"/>
    <w:rsid w:val="6F441C1C"/>
    <w:rsid w:val="6F45B98F"/>
    <w:rsid w:val="6F4E32BB"/>
    <w:rsid w:val="6F4F6289"/>
    <w:rsid w:val="6F513AC8"/>
    <w:rsid w:val="6F541980"/>
    <w:rsid w:val="6F56DFE9"/>
    <w:rsid w:val="6F577B40"/>
    <w:rsid w:val="6F57FEE3"/>
    <w:rsid w:val="6F59C9E6"/>
    <w:rsid w:val="6F5ACFD7"/>
    <w:rsid w:val="6F5BF518"/>
    <w:rsid w:val="6F5E4A5B"/>
    <w:rsid w:val="6F62207F"/>
    <w:rsid w:val="6F627FAC"/>
    <w:rsid w:val="6F64C16C"/>
    <w:rsid w:val="6F6FC9C8"/>
    <w:rsid w:val="6F6FF5A5"/>
    <w:rsid w:val="6F70A6A9"/>
    <w:rsid w:val="6F725C70"/>
    <w:rsid w:val="6F8256D2"/>
    <w:rsid w:val="6F82960F"/>
    <w:rsid w:val="6F84EEE9"/>
    <w:rsid w:val="6F855BEF"/>
    <w:rsid w:val="6F8831AE"/>
    <w:rsid w:val="6F8CF71B"/>
    <w:rsid w:val="6F8D9B0D"/>
    <w:rsid w:val="6F8DFBFB"/>
    <w:rsid w:val="6F93B253"/>
    <w:rsid w:val="6F94960E"/>
    <w:rsid w:val="6F963A45"/>
    <w:rsid w:val="6F98EB72"/>
    <w:rsid w:val="6F9FB7A4"/>
    <w:rsid w:val="6FA07C96"/>
    <w:rsid w:val="6FA0EAF4"/>
    <w:rsid w:val="6FA21108"/>
    <w:rsid w:val="6FA39369"/>
    <w:rsid w:val="6FA42149"/>
    <w:rsid w:val="6FA9CE48"/>
    <w:rsid w:val="6FAB9FE9"/>
    <w:rsid w:val="6FAC222B"/>
    <w:rsid w:val="6FAF7F8A"/>
    <w:rsid w:val="6FB857A8"/>
    <w:rsid w:val="6FBF7166"/>
    <w:rsid w:val="6FC3EC03"/>
    <w:rsid w:val="6FC77177"/>
    <w:rsid w:val="6FC7C698"/>
    <w:rsid w:val="6FC913F5"/>
    <w:rsid w:val="6FCDDB39"/>
    <w:rsid w:val="6FCEFF3E"/>
    <w:rsid w:val="6FD2CE41"/>
    <w:rsid w:val="6FD2D49B"/>
    <w:rsid w:val="6FD2E31B"/>
    <w:rsid w:val="6FD8C398"/>
    <w:rsid w:val="6FD95B80"/>
    <w:rsid w:val="6FDE0864"/>
    <w:rsid w:val="6FE8E9EC"/>
    <w:rsid w:val="6FE9AF26"/>
    <w:rsid w:val="6FEB2AB8"/>
    <w:rsid w:val="6FEE8543"/>
    <w:rsid w:val="6FF95156"/>
    <w:rsid w:val="6FFCB2DB"/>
    <w:rsid w:val="70004491"/>
    <w:rsid w:val="7000FA46"/>
    <w:rsid w:val="700825BB"/>
    <w:rsid w:val="700A1C81"/>
    <w:rsid w:val="700F464B"/>
    <w:rsid w:val="7017BD9C"/>
    <w:rsid w:val="7019B163"/>
    <w:rsid w:val="701B661F"/>
    <w:rsid w:val="701C0D78"/>
    <w:rsid w:val="702166F7"/>
    <w:rsid w:val="7024C887"/>
    <w:rsid w:val="70283390"/>
    <w:rsid w:val="70285196"/>
    <w:rsid w:val="7029C3E4"/>
    <w:rsid w:val="702D16BC"/>
    <w:rsid w:val="7032A081"/>
    <w:rsid w:val="7036F4C4"/>
    <w:rsid w:val="70426747"/>
    <w:rsid w:val="70428763"/>
    <w:rsid w:val="7046DF37"/>
    <w:rsid w:val="70481159"/>
    <w:rsid w:val="704DF55D"/>
    <w:rsid w:val="705439BA"/>
    <w:rsid w:val="7060F3A4"/>
    <w:rsid w:val="706484E6"/>
    <w:rsid w:val="7076AD27"/>
    <w:rsid w:val="7076DF02"/>
    <w:rsid w:val="707A426D"/>
    <w:rsid w:val="707E16D8"/>
    <w:rsid w:val="70823863"/>
    <w:rsid w:val="70898932"/>
    <w:rsid w:val="708AAC91"/>
    <w:rsid w:val="708C2848"/>
    <w:rsid w:val="70911ECF"/>
    <w:rsid w:val="7093DB85"/>
    <w:rsid w:val="709448C2"/>
    <w:rsid w:val="7094F136"/>
    <w:rsid w:val="709527AA"/>
    <w:rsid w:val="709777FE"/>
    <w:rsid w:val="70987E68"/>
    <w:rsid w:val="709D8BE4"/>
    <w:rsid w:val="70A01A30"/>
    <w:rsid w:val="70A60412"/>
    <w:rsid w:val="70A8EDA7"/>
    <w:rsid w:val="70AE2944"/>
    <w:rsid w:val="70B1E565"/>
    <w:rsid w:val="70BA4FA6"/>
    <w:rsid w:val="70BDC59A"/>
    <w:rsid w:val="70BE45E3"/>
    <w:rsid w:val="70C3E120"/>
    <w:rsid w:val="70C92650"/>
    <w:rsid w:val="70CA6F48"/>
    <w:rsid w:val="70CD0456"/>
    <w:rsid w:val="70CD7219"/>
    <w:rsid w:val="70D11AB6"/>
    <w:rsid w:val="70D67B04"/>
    <w:rsid w:val="70D941D5"/>
    <w:rsid w:val="70DAF23A"/>
    <w:rsid w:val="70DB4420"/>
    <w:rsid w:val="70E3241F"/>
    <w:rsid w:val="70E63D8B"/>
    <w:rsid w:val="70E6E156"/>
    <w:rsid w:val="70EA3F75"/>
    <w:rsid w:val="70EAC58D"/>
    <w:rsid w:val="70EFB31B"/>
    <w:rsid w:val="70F1ECF2"/>
    <w:rsid w:val="70F33272"/>
    <w:rsid w:val="70F40D54"/>
    <w:rsid w:val="70F6D837"/>
    <w:rsid w:val="70F7B9F5"/>
    <w:rsid w:val="70F96F4D"/>
    <w:rsid w:val="70F9FC1A"/>
    <w:rsid w:val="70FB4424"/>
    <w:rsid w:val="70FCB709"/>
    <w:rsid w:val="70FD5B66"/>
    <w:rsid w:val="7107AFB9"/>
    <w:rsid w:val="710C9CC9"/>
    <w:rsid w:val="710FB97C"/>
    <w:rsid w:val="711106C0"/>
    <w:rsid w:val="711A9D15"/>
    <w:rsid w:val="711B9860"/>
    <w:rsid w:val="711C1489"/>
    <w:rsid w:val="711EDF98"/>
    <w:rsid w:val="71285FA1"/>
    <w:rsid w:val="712CBC25"/>
    <w:rsid w:val="71305930"/>
    <w:rsid w:val="7139A90D"/>
    <w:rsid w:val="713D2D6B"/>
    <w:rsid w:val="713D5098"/>
    <w:rsid w:val="71481BBE"/>
    <w:rsid w:val="714859FA"/>
    <w:rsid w:val="714E36A8"/>
    <w:rsid w:val="714FE5A7"/>
    <w:rsid w:val="715192CB"/>
    <w:rsid w:val="7151D7ED"/>
    <w:rsid w:val="715215E4"/>
    <w:rsid w:val="7157D0FC"/>
    <w:rsid w:val="71597CA6"/>
    <w:rsid w:val="715DF7CD"/>
    <w:rsid w:val="715E024D"/>
    <w:rsid w:val="71630D44"/>
    <w:rsid w:val="71647252"/>
    <w:rsid w:val="716E01E3"/>
    <w:rsid w:val="716F685C"/>
    <w:rsid w:val="717B75E9"/>
    <w:rsid w:val="717C22EC"/>
    <w:rsid w:val="7182CD3A"/>
    <w:rsid w:val="71859E60"/>
    <w:rsid w:val="7189FF2F"/>
    <w:rsid w:val="718B1E04"/>
    <w:rsid w:val="718E474F"/>
    <w:rsid w:val="7190C62B"/>
    <w:rsid w:val="719CEDA0"/>
    <w:rsid w:val="719EAA9F"/>
    <w:rsid w:val="71A61F02"/>
    <w:rsid w:val="71A9D5E7"/>
    <w:rsid w:val="71AD3659"/>
    <w:rsid w:val="71AE0956"/>
    <w:rsid w:val="71AF9405"/>
    <w:rsid w:val="71BA06A8"/>
    <w:rsid w:val="71C23F5A"/>
    <w:rsid w:val="71C3C566"/>
    <w:rsid w:val="71C5FB8A"/>
    <w:rsid w:val="71CA24A5"/>
    <w:rsid w:val="71CDF516"/>
    <w:rsid w:val="71D3B710"/>
    <w:rsid w:val="71D700A1"/>
    <w:rsid w:val="71DB4453"/>
    <w:rsid w:val="71DCDFA6"/>
    <w:rsid w:val="71DD4A54"/>
    <w:rsid w:val="71DDC3D0"/>
    <w:rsid w:val="71DEEB9E"/>
    <w:rsid w:val="71E7F8D8"/>
    <w:rsid w:val="71EF2E4E"/>
    <w:rsid w:val="71FE1F66"/>
    <w:rsid w:val="72028C62"/>
    <w:rsid w:val="7203DE70"/>
    <w:rsid w:val="72046F50"/>
    <w:rsid w:val="7208935F"/>
    <w:rsid w:val="7208B9FE"/>
    <w:rsid w:val="7212B5FD"/>
    <w:rsid w:val="72146B86"/>
    <w:rsid w:val="7219E7E0"/>
    <w:rsid w:val="721B3034"/>
    <w:rsid w:val="721D04EE"/>
    <w:rsid w:val="72201BBE"/>
    <w:rsid w:val="722A803D"/>
    <w:rsid w:val="722A80C3"/>
    <w:rsid w:val="722BD6FB"/>
    <w:rsid w:val="72396CBD"/>
    <w:rsid w:val="72398AF2"/>
    <w:rsid w:val="72398B83"/>
    <w:rsid w:val="723BED78"/>
    <w:rsid w:val="723C5C4A"/>
    <w:rsid w:val="723D347C"/>
    <w:rsid w:val="723E93EE"/>
    <w:rsid w:val="7241EFCC"/>
    <w:rsid w:val="7242225B"/>
    <w:rsid w:val="72439394"/>
    <w:rsid w:val="7244D0B0"/>
    <w:rsid w:val="7246CEC8"/>
    <w:rsid w:val="724B3FB2"/>
    <w:rsid w:val="724F4025"/>
    <w:rsid w:val="7251035B"/>
    <w:rsid w:val="72572C01"/>
    <w:rsid w:val="725B1000"/>
    <w:rsid w:val="725DACFC"/>
    <w:rsid w:val="72602F41"/>
    <w:rsid w:val="7260EFCB"/>
    <w:rsid w:val="72619407"/>
    <w:rsid w:val="72651ADD"/>
    <w:rsid w:val="726521DC"/>
    <w:rsid w:val="726AB025"/>
    <w:rsid w:val="726C1927"/>
    <w:rsid w:val="72750198"/>
    <w:rsid w:val="72786859"/>
    <w:rsid w:val="7278801F"/>
    <w:rsid w:val="727BF380"/>
    <w:rsid w:val="727CE6A0"/>
    <w:rsid w:val="727D273D"/>
    <w:rsid w:val="72856F03"/>
    <w:rsid w:val="7286DC4D"/>
    <w:rsid w:val="7287E3E4"/>
    <w:rsid w:val="7289A223"/>
    <w:rsid w:val="728EDC66"/>
    <w:rsid w:val="72938EA9"/>
    <w:rsid w:val="7296B101"/>
    <w:rsid w:val="729C67ED"/>
    <w:rsid w:val="729D73AF"/>
    <w:rsid w:val="729DE3AB"/>
    <w:rsid w:val="729DF7C3"/>
    <w:rsid w:val="729EB395"/>
    <w:rsid w:val="72A5B30B"/>
    <w:rsid w:val="72A65132"/>
    <w:rsid w:val="72A74275"/>
    <w:rsid w:val="72AAF87F"/>
    <w:rsid w:val="72AE6EB2"/>
    <w:rsid w:val="72AEB939"/>
    <w:rsid w:val="72B76352"/>
    <w:rsid w:val="72BA1D80"/>
    <w:rsid w:val="72BC041A"/>
    <w:rsid w:val="72BFBFBB"/>
    <w:rsid w:val="72C10885"/>
    <w:rsid w:val="72C39955"/>
    <w:rsid w:val="72CD6EE9"/>
    <w:rsid w:val="72CFBE48"/>
    <w:rsid w:val="72D0271A"/>
    <w:rsid w:val="72D0A9EF"/>
    <w:rsid w:val="72D3C812"/>
    <w:rsid w:val="72D5BED9"/>
    <w:rsid w:val="72D74952"/>
    <w:rsid w:val="72D7A42D"/>
    <w:rsid w:val="72DC7B08"/>
    <w:rsid w:val="72DDFCE7"/>
    <w:rsid w:val="72E41938"/>
    <w:rsid w:val="72E7EB38"/>
    <w:rsid w:val="72E869B9"/>
    <w:rsid w:val="72E8AB99"/>
    <w:rsid w:val="72EB718E"/>
    <w:rsid w:val="72EB8F48"/>
    <w:rsid w:val="72F07ED2"/>
    <w:rsid w:val="72F1DCBC"/>
    <w:rsid w:val="72F5A551"/>
    <w:rsid w:val="72F94272"/>
    <w:rsid w:val="72FD612D"/>
    <w:rsid w:val="72FDD567"/>
    <w:rsid w:val="72FDF795"/>
    <w:rsid w:val="72FF10DD"/>
    <w:rsid w:val="73030231"/>
    <w:rsid w:val="730CF6CE"/>
    <w:rsid w:val="730FCAC7"/>
    <w:rsid w:val="73110AE3"/>
    <w:rsid w:val="73144A62"/>
    <w:rsid w:val="7314C346"/>
    <w:rsid w:val="73173658"/>
    <w:rsid w:val="73182B36"/>
    <w:rsid w:val="731C0A4E"/>
    <w:rsid w:val="731C32C8"/>
    <w:rsid w:val="731CE535"/>
    <w:rsid w:val="731CED99"/>
    <w:rsid w:val="7321A466"/>
    <w:rsid w:val="7328A7C0"/>
    <w:rsid w:val="732C5D9A"/>
    <w:rsid w:val="732C758C"/>
    <w:rsid w:val="732DD907"/>
    <w:rsid w:val="732DE7B9"/>
    <w:rsid w:val="73354BF8"/>
    <w:rsid w:val="73383306"/>
    <w:rsid w:val="733A186F"/>
    <w:rsid w:val="733EDB1C"/>
    <w:rsid w:val="73413518"/>
    <w:rsid w:val="734F7623"/>
    <w:rsid w:val="7354A497"/>
    <w:rsid w:val="7355D8D9"/>
    <w:rsid w:val="7357D009"/>
    <w:rsid w:val="73587A9E"/>
    <w:rsid w:val="7358FC89"/>
    <w:rsid w:val="7359B5CA"/>
    <w:rsid w:val="735B4542"/>
    <w:rsid w:val="7365072C"/>
    <w:rsid w:val="7369FDF8"/>
    <w:rsid w:val="736B0B50"/>
    <w:rsid w:val="736C6DAF"/>
    <w:rsid w:val="736D8588"/>
    <w:rsid w:val="736D89DC"/>
    <w:rsid w:val="736DE43A"/>
    <w:rsid w:val="73710E3F"/>
    <w:rsid w:val="7379537B"/>
    <w:rsid w:val="7384C8D1"/>
    <w:rsid w:val="73860D6A"/>
    <w:rsid w:val="7388099B"/>
    <w:rsid w:val="73892427"/>
    <w:rsid w:val="738D959D"/>
    <w:rsid w:val="7393504C"/>
    <w:rsid w:val="73940AA8"/>
    <w:rsid w:val="739B85EE"/>
    <w:rsid w:val="739BB0FC"/>
    <w:rsid w:val="739CFC19"/>
    <w:rsid w:val="73A263A4"/>
    <w:rsid w:val="73AC0637"/>
    <w:rsid w:val="73AC8217"/>
    <w:rsid w:val="73B521FE"/>
    <w:rsid w:val="73BC46E5"/>
    <w:rsid w:val="73BDB88E"/>
    <w:rsid w:val="73BE8317"/>
    <w:rsid w:val="73BEFB3A"/>
    <w:rsid w:val="73C01FCA"/>
    <w:rsid w:val="73C11C13"/>
    <w:rsid w:val="73C1DF27"/>
    <w:rsid w:val="73C35F3C"/>
    <w:rsid w:val="73C42697"/>
    <w:rsid w:val="73C78882"/>
    <w:rsid w:val="73C7CA9C"/>
    <w:rsid w:val="73C96C27"/>
    <w:rsid w:val="73CD8CBB"/>
    <w:rsid w:val="73CDF329"/>
    <w:rsid w:val="73CE9BE9"/>
    <w:rsid w:val="73D27B70"/>
    <w:rsid w:val="73D2A6AA"/>
    <w:rsid w:val="73D4345D"/>
    <w:rsid w:val="73D4347F"/>
    <w:rsid w:val="73DF2A39"/>
    <w:rsid w:val="73E407C9"/>
    <w:rsid w:val="73E441B9"/>
    <w:rsid w:val="73E442E1"/>
    <w:rsid w:val="73E84C1A"/>
    <w:rsid w:val="73E9846C"/>
    <w:rsid w:val="73EE4380"/>
    <w:rsid w:val="73F2ECE6"/>
    <w:rsid w:val="73F342BC"/>
    <w:rsid w:val="73F7E9AD"/>
    <w:rsid w:val="73F963A8"/>
    <w:rsid w:val="73FBB87A"/>
    <w:rsid w:val="73FDA348"/>
    <w:rsid w:val="73FFF224"/>
    <w:rsid w:val="7406E427"/>
    <w:rsid w:val="740A005B"/>
    <w:rsid w:val="740C8AA5"/>
    <w:rsid w:val="74117696"/>
    <w:rsid w:val="7412C80B"/>
    <w:rsid w:val="741321D0"/>
    <w:rsid w:val="741485D0"/>
    <w:rsid w:val="74179E8A"/>
    <w:rsid w:val="741D4029"/>
    <w:rsid w:val="741DE90B"/>
    <w:rsid w:val="741F86B7"/>
    <w:rsid w:val="74202DB4"/>
    <w:rsid w:val="74225B38"/>
    <w:rsid w:val="7423DBA0"/>
    <w:rsid w:val="74254261"/>
    <w:rsid w:val="74273AEE"/>
    <w:rsid w:val="74292041"/>
    <w:rsid w:val="742F9F53"/>
    <w:rsid w:val="7434295C"/>
    <w:rsid w:val="74358617"/>
    <w:rsid w:val="743A300D"/>
    <w:rsid w:val="743FE921"/>
    <w:rsid w:val="74449C75"/>
    <w:rsid w:val="74482EB7"/>
    <w:rsid w:val="744A1FF7"/>
    <w:rsid w:val="744CE962"/>
    <w:rsid w:val="745544FD"/>
    <w:rsid w:val="745791A9"/>
    <w:rsid w:val="745C86A4"/>
    <w:rsid w:val="745CA09D"/>
    <w:rsid w:val="745D5820"/>
    <w:rsid w:val="745E2D23"/>
    <w:rsid w:val="746D4C58"/>
    <w:rsid w:val="746D80CE"/>
    <w:rsid w:val="7470FFA7"/>
    <w:rsid w:val="7473DF5F"/>
    <w:rsid w:val="747AFBB5"/>
    <w:rsid w:val="747FCB46"/>
    <w:rsid w:val="7480AC6E"/>
    <w:rsid w:val="74855187"/>
    <w:rsid w:val="748802DB"/>
    <w:rsid w:val="7489589B"/>
    <w:rsid w:val="748FD3BC"/>
    <w:rsid w:val="7490E2D3"/>
    <w:rsid w:val="7494B131"/>
    <w:rsid w:val="749B747C"/>
    <w:rsid w:val="749C1ED6"/>
    <w:rsid w:val="749C42A0"/>
    <w:rsid w:val="749D0A4F"/>
    <w:rsid w:val="74A549E8"/>
    <w:rsid w:val="74A7AC3E"/>
    <w:rsid w:val="74AC7858"/>
    <w:rsid w:val="74ACCA1B"/>
    <w:rsid w:val="74B9EC9A"/>
    <w:rsid w:val="74BC0C2D"/>
    <w:rsid w:val="74C023A1"/>
    <w:rsid w:val="74C08055"/>
    <w:rsid w:val="74C228BC"/>
    <w:rsid w:val="74C74C00"/>
    <w:rsid w:val="74D1C107"/>
    <w:rsid w:val="74DEEEF5"/>
    <w:rsid w:val="74E08147"/>
    <w:rsid w:val="74E108A8"/>
    <w:rsid w:val="74E5CE1D"/>
    <w:rsid w:val="74E6E235"/>
    <w:rsid w:val="74E8D5C2"/>
    <w:rsid w:val="74E9A3C6"/>
    <w:rsid w:val="74ED6DFA"/>
    <w:rsid w:val="74EDB7BB"/>
    <w:rsid w:val="74EEF3E8"/>
    <w:rsid w:val="74EF27AF"/>
    <w:rsid w:val="74F10A77"/>
    <w:rsid w:val="74F72CD4"/>
    <w:rsid w:val="74FBCB28"/>
    <w:rsid w:val="75064D45"/>
    <w:rsid w:val="7508FA8A"/>
    <w:rsid w:val="750BFF9D"/>
    <w:rsid w:val="75128AB3"/>
    <w:rsid w:val="75173D6C"/>
    <w:rsid w:val="75175ADC"/>
    <w:rsid w:val="7517EC85"/>
    <w:rsid w:val="7519442C"/>
    <w:rsid w:val="75247772"/>
    <w:rsid w:val="752B740E"/>
    <w:rsid w:val="752D623F"/>
    <w:rsid w:val="7533BFE8"/>
    <w:rsid w:val="75370000"/>
    <w:rsid w:val="754039A1"/>
    <w:rsid w:val="75418EF9"/>
    <w:rsid w:val="75445A7B"/>
    <w:rsid w:val="7545CCBD"/>
    <w:rsid w:val="75469B8C"/>
    <w:rsid w:val="754C0EDC"/>
    <w:rsid w:val="7551A6B6"/>
    <w:rsid w:val="7557E5AF"/>
    <w:rsid w:val="755D6B1C"/>
    <w:rsid w:val="755F269E"/>
    <w:rsid w:val="756082CF"/>
    <w:rsid w:val="7564918A"/>
    <w:rsid w:val="7565A3EF"/>
    <w:rsid w:val="7567EE2D"/>
    <w:rsid w:val="756AA5EC"/>
    <w:rsid w:val="756C6591"/>
    <w:rsid w:val="75710C97"/>
    <w:rsid w:val="757357FA"/>
    <w:rsid w:val="757476E3"/>
    <w:rsid w:val="757860F3"/>
    <w:rsid w:val="757962EF"/>
    <w:rsid w:val="758256B9"/>
    <w:rsid w:val="7586AFC8"/>
    <w:rsid w:val="75892EB0"/>
    <w:rsid w:val="75960A90"/>
    <w:rsid w:val="75966978"/>
    <w:rsid w:val="75990527"/>
    <w:rsid w:val="75996CCC"/>
    <w:rsid w:val="759C1993"/>
    <w:rsid w:val="759F4904"/>
    <w:rsid w:val="759F7B04"/>
    <w:rsid w:val="75A03719"/>
    <w:rsid w:val="75A21D8B"/>
    <w:rsid w:val="75A52C6F"/>
    <w:rsid w:val="75A6B34A"/>
    <w:rsid w:val="75A7BCB4"/>
    <w:rsid w:val="75AC279A"/>
    <w:rsid w:val="75AD19C6"/>
    <w:rsid w:val="75B029B3"/>
    <w:rsid w:val="75B24EDE"/>
    <w:rsid w:val="75B652B8"/>
    <w:rsid w:val="75BA6D7E"/>
    <w:rsid w:val="75BB3935"/>
    <w:rsid w:val="75BEE1F7"/>
    <w:rsid w:val="75BFD531"/>
    <w:rsid w:val="75C12186"/>
    <w:rsid w:val="75C2EBB4"/>
    <w:rsid w:val="75C2FD3A"/>
    <w:rsid w:val="75C8A513"/>
    <w:rsid w:val="75C9E877"/>
    <w:rsid w:val="75CF479F"/>
    <w:rsid w:val="75D61CA4"/>
    <w:rsid w:val="75E166F6"/>
    <w:rsid w:val="75E1AC0A"/>
    <w:rsid w:val="75E28EA2"/>
    <w:rsid w:val="75E477E8"/>
    <w:rsid w:val="75F09AFC"/>
    <w:rsid w:val="75F43171"/>
    <w:rsid w:val="75F4BE11"/>
    <w:rsid w:val="75F82D13"/>
    <w:rsid w:val="75FABDDE"/>
    <w:rsid w:val="75FEA29F"/>
    <w:rsid w:val="75FEC373"/>
    <w:rsid w:val="76002E2D"/>
    <w:rsid w:val="76003134"/>
    <w:rsid w:val="7601BFC6"/>
    <w:rsid w:val="76044191"/>
    <w:rsid w:val="760752C3"/>
    <w:rsid w:val="760A4DEA"/>
    <w:rsid w:val="760E1846"/>
    <w:rsid w:val="76128A89"/>
    <w:rsid w:val="76182DF9"/>
    <w:rsid w:val="761C98B6"/>
    <w:rsid w:val="761D3178"/>
    <w:rsid w:val="761F4592"/>
    <w:rsid w:val="76232BEC"/>
    <w:rsid w:val="7625E847"/>
    <w:rsid w:val="76288928"/>
    <w:rsid w:val="762B6CEA"/>
    <w:rsid w:val="762C29DF"/>
    <w:rsid w:val="762D08B4"/>
    <w:rsid w:val="7634826B"/>
    <w:rsid w:val="76360371"/>
    <w:rsid w:val="7637E727"/>
    <w:rsid w:val="76388C82"/>
    <w:rsid w:val="7643A3CE"/>
    <w:rsid w:val="7646E257"/>
    <w:rsid w:val="764D5E5A"/>
    <w:rsid w:val="764F0E34"/>
    <w:rsid w:val="76554D43"/>
    <w:rsid w:val="765550EB"/>
    <w:rsid w:val="7655D43A"/>
    <w:rsid w:val="76586616"/>
    <w:rsid w:val="765A62A0"/>
    <w:rsid w:val="765AAA5E"/>
    <w:rsid w:val="765D56CB"/>
    <w:rsid w:val="765E711F"/>
    <w:rsid w:val="765FBAA5"/>
    <w:rsid w:val="766588D7"/>
    <w:rsid w:val="76677A77"/>
    <w:rsid w:val="7667E07D"/>
    <w:rsid w:val="7670090A"/>
    <w:rsid w:val="7670D8E2"/>
    <w:rsid w:val="767161BD"/>
    <w:rsid w:val="767328B9"/>
    <w:rsid w:val="7680F096"/>
    <w:rsid w:val="7682838E"/>
    <w:rsid w:val="7687BB6A"/>
    <w:rsid w:val="768843ED"/>
    <w:rsid w:val="768AA13B"/>
    <w:rsid w:val="768EAA70"/>
    <w:rsid w:val="768FACAD"/>
    <w:rsid w:val="76911626"/>
    <w:rsid w:val="7698D3BC"/>
    <w:rsid w:val="769A17BD"/>
    <w:rsid w:val="769A25A4"/>
    <w:rsid w:val="769A98E3"/>
    <w:rsid w:val="769B820F"/>
    <w:rsid w:val="769C9229"/>
    <w:rsid w:val="76A0EE4A"/>
    <w:rsid w:val="76A1407D"/>
    <w:rsid w:val="76A3E8C9"/>
    <w:rsid w:val="76A4EE3A"/>
    <w:rsid w:val="76A73957"/>
    <w:rsid w:val="76A7FDE5"/>
    <w:rsid w:val="76ADE64B"/>
    <w:rsid w:val="76B06DAE"/>
    <w:rsid w:val="76BFAC6F"/>
    <w:rsid w:val="76C34818"/>
    <w:rsid w:val="76C6E38B"/>
    <w:rsid w:val="76CF9427"/>
    <w:rsid w:val="76CFF239"/>
    <w:rsid w:val="76D3AAA4"/>
    <w:rsid w:val="76D525E7"/>
    <w:rsid w:val="76D71279"/>
    <w:rsid w:val="76DCBCE8"/>
    <w:rsid w:val="76DF7C67"/>
    <w:rsid w:val="76E7E21B"/>
    <w:rsid w:val="76F502A8"/>
    <w:rsid w:val="76F796ED"/>
    <w:rsid w:val="76F8203E"/>
    <w:rsid w:val="76FEB5F8"/>
    <w:rsid w:val="7700431E"/>
    <w:rsid w:val="77021751"/>
    <w:rsid w:val="770A5E5A"/>
    <w:rsid w:val="770E7B2C"/>
    <w:rsid w:val="770FCD6D"/>
    <w:rsid w:val="7710245B"/>
    <w:rsid w:val="771568DB"/>
    <w:rsid w:val="771854AD"/>
    <w:rsid w:val="77192E47"/>
    <w:rsid w:val="771BCCF3"/>
    <w:rsid w:val="77274226"/>
    <w:rsid w:val="77299384"/>
    <w:rsid w:val="772D0CDC"/>
    <w:rsid w:val="772D710E"/>
    <w:rsid w:val="77314228"/>
    <w:rsid w:val="7735C3B2"/>
    <w:rsid w:val="7736CD0F"/>
    <w:rsid w:val="773D4F57"/>
    <w:rsid w:val="773FBD0C"/>
    <w:rsid w:val="774131AF"/>
    <w:rsid w:val="7743255C"/>
    <w:rsid w:val="77455701"/>
    <w:rsid w:val="77501BCF"/>
    <w:rsid w:val="775144D2"/>
    <w:rsid w:val="77518DD7"/>
    <w:rsid w:val="7759720F"/>
    <w:rsid w:val="775B3970"/>
    <w:rsid w:val="775F8DF6"/>
    <w:rsid w:val="775FE321"/>
    <w:rsid w:val="77631BA2"/>
    <w:rsid w:val="776C372A"/>
    <w:rsid w:val="776D2216"/>
    <w:rsid w:val="776E89C1"/>
    <w:rsid w:val="776E998B"/>
    <w:rsid w:val="776F9582"/>
    <w:rsid w:val="77704DE5"/>
    <w:rsid w:val="77758F03"/>
    <w:rsid w:val="7776D871"/>
    <w:rsid w:val="7778140E"/>
    <w:rsid w:val="777C0A9A"/>
    <w:rsid w:val="777CBF80"/>
    <w:rsid w:val="777F80A2"/>
    <w:rsid w:val="7783FC75"/>
    <w:rsid w:val="7786D3E2"/>
    <w:rsid w:val="7787DB67"/>
    <w:rsid w:val="778820BF"/>
    <w:rsid w:val="778BC4F7"/>
    <w:rsid w:val="77925C81"/>
    <w:rsid w:val="7793095F"/>
    <w:rsid w:val="7796DB0F"/>
    <w:rsid w:val="779EC588"/>
    <w:rsid w:val="779F3A05"/>
    <w:rsid w:val="77A3299C"/>
    <w:rsid w:val="77A369DB"/>
    <w:rsid w:val="77ADEC54"/>
    <w:rsid w:val="77B03BE4"/>
    <w:rsid w:val="77B03CA7"/>
    <w:rsid w:val="77B9A947"/>
    <w:rsid w:val="77BAA15D"/>
    <w:rsid w:val="77C0C238"/>
    <w:rsid w:val="77C0C4ED"/>
    <w:rsid w:val="77C223FD"/>
    <w:rsid w:val="77C24EDF"/>
    <w:rsid w:val="77C6999B"/>
    <w:rsid w:val="77C7CB4C"/>
    <w:rsid w:val="77C9EAEC"/>
    <w:rsid w:val="77CB5031"/>
    <w:rsid w:val="77CF6482"/>
    <w:rsid w:val="77D1303C"/>
    <w:rsid w:val="77D2DF7A"/>
    <w:rsid w:val="77D45A0A"/>
    <w:rsid w:val="77D8917C"/>
    <w:rsid w:val="77DABA1A"/>
    <w:rsid w:val="77DE1180"/>
    <w:rsid w:val="77DFA47C"/>
    <w:rsid w:val="77E19082"/>
    <w:rsid w:val="77E498F5"/>
    <w:rsid w:val="77E8B6B7"/>
    <w:rsid w:val="77EB3763"/>
    <w:rsid w:val="77EEC3AA"/>
    <w:rsid w:val="77F39E32"/>
    <w:rsid w:val="77F76910"/>
    <w:rsid w:val="77F95FE5"/>
    <w:rsid w:val="77FF1816"/>
    <w:rsid w:val="77FFD993"/>
    <w:rsid w:val="7801D962"/>
    <w:rsid w:val="7802632C"/>
    <w:rsid w:val="7803D26E"/>
    <w:rsid w:val="7807342E"/>
    <w:rsid w:val="78088224"/>
    <w:rsid w:val="780BB080"/>
    <w:rsid w:val="780FEB08"/>
    <w:rsid w:val="78142481"/>
    <w:rsid w:val="78174A47"/>
    <w:rsid w:val="7817904E"/>
    <w:rsid w:val="78181800"/>
    <w:rsid w:val="7818C3EE"/>
    <w:rsid w:val="7826D3E1"/>
    <w:rsid w:val="782941F7"/>
    <w:rsid w:val="78389E8B"/>
    <w:rsid w:val="784020C0"/>
    <w:rsid w:val="784578DC"/>
    <w:rsid w:val="78464655"/>
    <w:rsid w:val="7846B729"/>
    <w:rsid w:val="784884B6"/>
    <w:rsid w:val="7850C1CD"/>
    <w:rsid w:val="78531FE9"/>
    <w:rsid w:val="78553807"/>
    <w:rsid w:val="7858D274"/>
    <w:rsid w:val="7859C303"/>
    <w:rsid w:val="785D0C92"/>
    <w:rsid w:val="78625795"/>
    <w:rsid w:val="78678B2A"/>
    <w:rsid w:val="786D59AF"/>
    <w:rsid w:val="786EFCA3"/>
    <w:rsid w:val="787114F8"/>
    <w:rsid w:val="7873A2D8"/>
    <w:rsid w:val="78756ED3"/>
    <w:rsid w:val="7876F018"/>
    <w:rsid w:val="78837BEF"/>
    <w:rsid w:val="7883B27C"/>
    <w:rsid w:val="7885D4EB"/>
    <w:rsid w:val="78874BF3"/>
    <w:rsid w:val="788BD9E8"/>
    <w:rsid w:val="788E95F8"/>
    <w:rsid w:val="789C16A3"/>
    <w:rsid w:val="78A0A401"/>
    <w:rsid w:val="78A2BB55"/>
    <w:rsid w:val="78A79EF4"/>
    <w:rsid w:val="78AD4049"/>
    <w:rsid w:val="78BB9D88"/>
    <w:rsid w:val="78C96A99"/>
    <w:rsid w:val="78CC6658"/>
    <w:rsid w:val="78CC81AD"/>
    <w:rsid w:val="78CCAE15"/>
    <w:rsid w:val="78D0DD82"/>
    <w:rsid w:val="78D0E09C"/>
    <w:rsid w:val="78D34146"/>
    <w:rsid w:val="78D4C500"/>
    <w:rsid w:val="78D6F143"/>
    <w:rsid w:val="78E3EBB3"/>
    <w:rsid w:val="78E77698"/>
    <w:rsid w:val="78EC3205"/>
    <w:rsid w:val="78EE93A3"/>
    <w:rsid w:val="78F27B9A"/>
    <w:rsid w:val="78F3E269"/>
    <w:rsid w:val="78F4611A"/>
    <w:rsid w:val="78F4635D"/>
    <w:rsid w:val="78FE797C"/>
    <w:rsid w:val="7904794C"/>
    <w:rsid w:val="790538F4"/>
    <w:rsid w:val="790A1632"/>
    <w:rsid w:val="790B7F5A"/>
    <w:rsid w:val="790DE106"/>
    <w:rsid w:val="790F158C"/>
    <w:rsid w:val="79105CC5"/>
    <w:rsid w:val="791370D6"/>
    <w:rsid w:val="791532B5"/>
    <w:rsid w:val="791A083F"/>
    <w:rsid w:val="791CF536"/>
    <w:rsid w:val="791F0E35"/>
    <w:rsid w:val="7922CD49"/>
    <w:rsid w:val="7924E78C"/>
    <w:rsid w:val="7930E579"/>
    <w:rsid w:val="7934D084"/>
    <w:rsid w:val="793D963C"/>
    <w:rsid w:val="793E5DAB"/>
    <w:rsid w:val="793EDAD5"/>
    <w:rsid w:val="79409F97"/>
    <w:rsid w:val="7943FF2A"/>
    <w:rsid w:val="794805A9"/>
    <w:rsid w:val="79494FA6"/>
    <w:rsid w:val="794B4D3D"/>
    <w:rsid w:val="794FA82C"/>
    <w:rsid w:val="7950BFA2"/>
    <w:rsid w:val="7954A41A"/>
    <w:rsid w:val="7954F4B4"/>
    <w:rsid w:val="7956227F"/>
    <w:rsid w:val="7959A4E1"/>
    <w:rsid w:val="795CA134"/>
    <w:rsid w:val="795CA489"/>
    <w:rsid w:val="795E699E"/>
    <w:rsid w:val="79604550"/>
    <w:rsid w:val="796A847A"/>
    <w:rsid w:val="796D4F7B"/>
    <w:rsid w:val="796E4C47"/>
    <w:rsid w:val="7971FF74"/>
    <w:rsid w:val="79764320"/>
    <w:rsid w:val="797750D0"/>
    <w:rsid w:val="797B7983"/>
    <w:rsid w:val="797CFE26"/>
    <w:rsid w:val="797E14C0"/>
    <w:rsid w:val="798594B8"/>
    <w:rsid w:val="79868410"/>
    <w:rsid w:val="7986A030"/>
    <w:rsid w:val="7986D21E"/>
    <w:rsid w:val="798D7BF4"/>
    <w:rsid w:val="798D9BF1"/>
    <w:rsid w:val="7991431D"/>
    <w:rsid w:val="7995A4E0"/>
    <w:rsid w:val="799B692F"/>
    <w:rsid w:val="799E7655"/>
    <w:rsid w:val="799E9920"/>
    <w:rsid w:val="799F8E0C"/>
    <w:rsid w:val="79A1CC8A"/>
    <w:rsid w:val="79A6CA2C"/>
    <w:rsid w:val="79A71B52"/>
    <w:rsid w:val="79A9A01D"/>
    <w:rsid w:val="79B2A685"/>
    <w:rsid w:val="79BBBAE8"/>
    <w:rsid w:val="79BC7DBA"/>
    <w:rsid w:val="79C0A1B9"/>
    <w:rsid w:val="79C1D82B"/>
    <w:rsid w:val="79C3F87F"/>
    <w:rsid w:val="79CA4F18"/>
    <w:rsid w:val="79DCBC7D"/>
    <w:rsid w:val="79E0E633"/>
    <w:rsid w:val="79E4B3AB"/>
    <w:rsid w:val="79E521AD"/>
    <w:rsid w:val="79E69B6D"/>
    <w:rsid w:val="79EE234B"/>
    <w:rsid w:val="79EF15BC"/>
    <w:rsid w:val="79EFB751"/>
    <w:rsid w:val="79F0917D"/>
    <w:rsid w:val="79F42D7C"/>
    <w:rsid w:val="79F60756"/>
    <w:rsid w:val="79FA670B"/>
    <w:rsid w:val="79FD6B32"/>
    <w:rsid w:val="7A02949A"/>
    <w:rsid w:val="7A03FE15"/>
    <w:rsid w:val="7A08EECA"/>
    <w:rsid w:val="7A091D07"/>
    <w:rsid w:val="7A09A211"/>
    <w:rsid w:val="7A0AF280"/>
    <w:rsid w:val="7A0C5F8A"/>
    <w:rsid w:val="7A12722C"/>
    <w:rsid w:val="7A15E62B"/>
    <w:rsid w:val="7A16FA2D"/>
    <w:rsid w:val="7A182A89"/>
    <w:rsid w:val="7A1D251B"/>
    <w:rsid w:val="7A2033E5"/>
    <w:rsid w:val="7A22B415"/>
    <w:rsid w:val="7A27CFD1"/>
    <w:rsid w:val="7A3140E9"/>
    <w:rsid w:val="7A354A18"/>
    <w:rsid w:val="7A35643F"/>
    <w:rsid w:val="7A372F29"/>
    <w:rsid w:val="7A37C689"/>
    <w:rsid w:val="7A390361"/>
    <w:rsid w:val="7A3ACAC1"/>
    <w:rsid w:val="7A3D7B98"/>
    <w:rsid w:val="7A3FFDB5"/>
    <w:rsid w:val="7A4B6225"/>
    <w:rsid w:val="7A556264"/>
    <w:rsid w:val="7A59E760"/>
    <w:rsid w:val="7A5BC1A9"/>
    <w:rsid w:val="7A5BEB6F"/>
    <w:rsid w:val="7A5EB763"/>
    <w:rsid w:val="7A60F59A"/>
    <w:rsid w:val="7A6446FB"/>
    <w:rsid w:val="7A665874"/>
    <w:rsid w:val="7A6E5628"/>
    <w:rsid w:val="7A7308E2"/>
    <w:rsid w:val="7A786F1A"/>
    <w:rsid w:val="7A88385B"/>
    <w:rsid w:val="7A923BB6"/>
    <w:rsid w:val="7A9912AF"/>
    <w:rsid w:val="7A9AE052"/>
    <w:rsid w:val="7A9BC9A7"/>
    <w:rsid w:val="7AA280F6"/>
    <w:rsid w:val="7AA50257"/>
    <w:rsid w:val="7AA5D971"/>
    <w:rsid w:val="7AADA085"/>
    <w:rsid w:val="7AB0BC0B"/>
    <w:rsid w:val="7AB11357"/>
    <w:rsid w:val="7AB6C6DE"/>
    <w:rsid w:val="7AB90E38"/>
    <w:rsid w:val="7ABBE342"/>
    <w:rsid w:val="7AC7934C"/>
    <w:rsid w:val="7AD08D29"/>
    <w:rsid w:val="7AD2D943"/>
    <w:rsid w:val="7AD3FAA4"/>
    <w:rsid w:val="7AD4EE1A"/>
    <w:rsid w:val="7AD7A950"/>
    <w:rsid w:val="7ADCA8CF"/>
    <w:rsid w:val="7AE07842"/>
    <w:rsid w:val="7AE58D16"/>
    <w:rsid w:val="7AE7BC64"/>
    <w:rsid w:val="7AED9034"/>
    <w:rsid w:val="7AF0DF47"/>
    <w:rsid w:val="7AF1F6B1"/>
    <w:rsid w:val="7AF9D85A"/>
    <w:rsid w:val="7AF9EFA1"/>
    <w:rsid w:val="7AFA01B5"/>
    <w:rsid w:val="7B052094"/>
    <w:rsid w:val="7B08DB07"/>
    <w:rsid w:val="7B0D315E"/>
    <w:rsid w:val="7B0DE3A4"/>
    <w:rsid w:val="7B0EE69E"/>
    <w:rsid w:val="7B0F6389"/>
    <w:rsid w:val="7B10AB7B"/>
    <w:rsid w:val="7B1BBC72"/>
    <w:rsid w:val="7B1ECC6E"/>
    <w:rsid w:val="7B2CE6E8"/>
    <w:rsid w:val="7B2DB55E"/>
    <w:rsid w:val="7B31ECE2"/>
    <w:rsid w:val="7B35875E"/>
    <w:rsid w:val="7B3BF3C3"/>
    <w:rsid w:val="7B3F0F93"/>
    <w:rsid w:val="7B43C5D2"/>
    <w:rsid w:val="7B45E29F"/>
    <w:rsid w:val="7B468F01"/>
    <w:rsid w:val="7B47A977"/>
    <w:rsid w:val="7B488EE2"/>
    <w:rsid w:val="7B51C614"/>
    <w:rsid w:val="7B53C970"/>
    <w:rsid w:val="7B55EF02"/>
    <w:rsid w:val="7B5857EE"/>
    <w:rsid w:val="7B59F897"/>
    <w:rsid w:val="7B5A0447"/>
    <w:rsid w:val="7B618FF5"/>
    <w:rsid w:val="7B635FF5"/>
    <w:rsid w:val="7B6859D3"/>
    <w:rsid w:val="7B68B7C5"/>
    <w:rsid w:val="7B695C72"/>
    <w:rsid w:val="7B6B0CAC"/>
    <w:rsid w:val="7B6B66BF"/>
    <w:rsid w:val="7B6D5A3D"/>
    <w:rsid w:val="7B6FB068"/>
    <w:rsid w:val="7B72F1C3"/>
    <w:rsid w:val="7B7F3DBF"/>
    <w:rsid w:val="7B842C9A"/>
    <w:rsid w:val="7B963077"/>
    <w:rsid w:val="7B976C1F"/>
    <w:rsid w:val="7B9956D2"/>
    <w:rsid w:val="7B9A50D4"/>
    <w:rsid w:val="7B9EC95A"/>
    <w:rsid w:val="7B9FCBA6"/>
    <w:rsid w:val="7B9FFA78"/>
    <w:rsid w:val="7BA0455C"/>
    <w:rsid w:val="7BA2E8F5"/>
    <w:rsid w:val="7BA3A87F"/>
    <w:rsid w:val="7BA96AB1"/>
    <w:rsid w:val="7BACB263"/>
    <w:rsid w:val="7BB0EA76"/>
    <w:rsid w:val="7BB20EF0"/>
    <w:rsid w:val="7BB30AF4"/>
    <w:rsid w:val="7BB37836"/>
    <w:rsid w:val="7BB67086"/>
    <w:rsid w:val="7BBAD7A9"/>
    <w:rsid w:val="7BC04ABC"/>
    <w:rsid w:val="7BC10851"/>
    <w:rsid w:val="7BC1852F"/>
    <w:rsid w:val="7BC53688"/>
    <w:rsid w:val="7BC73AEE"/>
    <w:rsid w:val="7BC93486"/>
    <w:rsid w:val="7BCADA2B"/>
    <w:rsid w:val="7BCB734E"/>
    <w:rsid w:val="7BCCBC57"/>
    <w:rsid w:val="7BE00A5C"/>
    <w:rsid w:val="7BEF567D"/>
    <w:rsid w:val="7BF9058E"/>
    <w:rsid w:val="7BFDE22D"/>
    <w:rsid w:val="7C00ACE1"/>
    <w:rsid w:val="7C03B11B"/>
    <w:rsid w:val="7C087AAF"/>
    <w:rsid w:val="7C0A92BD"/>
    <w:rsid w:val="7C0E74EE"/>
    <w:rsid w:val="7C15E467"/>
    <w:rsid w:val="7C171382"/>
    <w:rsid w:val="7C182DC5"/>
    <w:rsid w:val="7C1B561C"/>
    <w:rsid w:val="7C247931"/>
    <w:rsid w:val="7C2840AC"/>
    <w:rsid w:val="7C2A655B"/>
    <w:rsid w:val="7C3381D1"/>
    <w:rsid w:val="7C3635B2"/>
    <w:rsid w:val="7C39A943"/>
    <w:rsid w:val="7C3CF630"/>
    <w:rsid w:val="7C3DED29"/>
    <w:rsid w:val="7C3EC439"/>
    <w:rsid w:val="7C446E7F"/>
    <w:rsid w:val="7C496EA7"/>
    <w:rsid w:val="7C4D8C59"/>
    <w:rsid w:val="7C4DCDC7"/>
    <w:rsid w:val="7C5367D2"/>
    <w:rsid w:val="7C57A9BB"/>
    <w:rsid w:val="7C57D13D"/>
    <w:rsid w:val="7C58C089"/>
    <w:rsid w:val="7C5B2B25"/>
    <w:rsid w:val="7C5F0871"/>
    <w:rsid w:val="7C60A820"/>
    <w:rsid w:val="7C611EBF"/>
    <w:rsid w:val="7C677C05"/>
    <w:rsid w:val="7C682AD0"/>
    <w:rsid w:val="7C68C0C4"/>
    <w:rsid w:val="7C698BE1"/>
    <w:rsid w:val="7C69C477"/>
    <w:rsid w:val="7C6BB799"/>
    <w:rsid w:val="7C6C39A6"/>
    <w:rsid w:val="7C6DE423"/>
    <w:rsid w:val="7C739E00"/>
    <w:rsid w:val="7C73D403"/>
    <w:rsid w:val="7C7653C2"/>
    <w:rsid w:val="7C7F1EFA"/>
    <w:rsid w:val="7C8010D5"/>
    <w:rsid w:val="7C815D77"/>
    <w:rsid w:val="7C85F245"/>
    <w:rsid w:val="7C8826A5"/>
    <w:rsid w:val="7C885017"/>
    <w:rsid w:val="7C8D7429"/>
    <w:rsid w:val="7C8FA500"/>
    <w:rsid w:val="7C90A702"/>
    <w:rsid w:val="7C92BF07"/>
    <w:rsid w:val="7C9320B5"/>
    <w:rsid w:val="7C96BBFF"/>
    <w:rsid w:val="7C972FC8"/>
    <w:rsid w:val="7C998848"/>
    <w:rsid w:val="7CA10810"/>
    <w:rsid w:val="7CA146DC"/>
    <w:rsid w:val="7CA4AAE2"/>
    <w:rsid w:val="7CA7A51B"/>
    <w:rsid w:val="7CA84465"/>
    <w:rsid w:val="7CA8B587"/>
    <w:rsid w:val="7CAEB673"/>
    <w:rsid w:val="7CB01A96"/>
    <w:rsid w:val="7CB0D605"/>
    <w:rsid w:val="7CB26A89"/>
    <w:rsid w:val="7CB429CE"/>
    <w:rsid w:val="7CB80A98"/>
    <w:rsid w:val="7CBC5766"/>
    <w:rsid w:val="7CBE1084"/>
    <w:rsid w:val="7CC453C3"/>
    <w:rsid w:val="7CC791B4"/>
    <w:rsid w:val="7CCB93AB"/>
    <w:rsid w:val="7CD1FA54"/>
    <w:rsid w:val="7CD7C87E"/>
    <w:rsid w:val="7CDC9312"/>
    <w:rsid w:val="7CE4E93B"/>
    <w:rsid w:val="7CE60F23"/>
    <w:rsid w:val="7CE66974"/>
    <w:rsid w:val="7CEA10D8"/>
    <w:rsid w:val="7CEBFE74"/>
    <w:rsid w:val="7CECF124"/>
    <w:rsid w:val="7CF3FA33"/>
    <w:rsid w:val="7CF6BEDC"/>
    <w:rsid w:val="7CF7E36D"/>
    <w:rsid w:val="7CFD3FFD"/>
    <w:rsid w:val="7D0038BF"/>
    <w:rsid w:val="7D028029"/>
    <w:rsid w:val="7D0A09C0"/>
    <w:rsid w:val="7D0AFD5E"/>
    <w:rsid w:val="7D163C27"/>
    <w:rsid w:val="7D24A611"/>
    <w:rsid w:val="7D2BE235"/>
    <w:rsid w:val="7D3088F3"/>
    <w:rsid w:val="7D3397B4"/>
    <w:rsid w:val="7D35C8B8"/>
    <w:rsid w:val="7D363102"/>
    <w:rsid w:val="7D37B1A7"/>
    <w:rsid w:val="7D41841B"/>
    <w:rsid w:val="7D448FC5"/>
    <w:rsid w:val="7D493426"/>
    <w:rsid w:val="7D5A77FC"/>
    <w:rsid w:val="7D5D3B06"/>
    <w:rsid w:val="7D5ED0E1"/>
    <w:rsid w:val="7D683061"/>
    <w:rsid w:val="7D69572E"/>
    <w:rsid w:val="7D699C5E"/>
    <w:rsid w:val="7D6A8A9C"/>
    <w:rsid w:val="7D6E1634"/>
    <w:rsid w:val="7D6E2206"/>
    <w:rsid w:val="7D6EFCB9"/>
    <w:rsid w:val="7D715F1C"/>
    <w:rsid w:val="7D784A0B"/>
    <w:rsid w:val="7D7CB05B"/>
    <w:rsid w:val="7D82BC59"/>
    <w:rsid w:val="7D847FCE"/>
    <w:rsid w:val="7D85231B"/>
    <w:rsid w:val="7D891E75"/>
    <w:rsid w:val="7D9272B8"/>
    <w:rsid w:val="7D95521D"/>
    <w:rsid w:val="7D9644EA"/>
    <w:rsid w:val="7D96F3D1"/>
    <w:rsid w:val="7D99D8FB"/>
    <w:rsid w:val="7D9B7046"/>
    <w:rsid w:val="7D9DA677"/>
    <w:rsid w:val="7DA28ADA"/>
    <w:rsid w:val="7DA29D3A"/>
    <w:rsid w:val="7DAE2402"/>
    <w:rsid w:val="7DB748F5"/>
    <w:rsid w:val="7DBAAF4B"/>
    <w:rsid w:val="7DBCAB72"/>
    <w:rsid w:val="7DBCC9A7"/>
    <w:rsid w:val="7DC3225E"/>
    <w:rsid w:val="7DD0EAE5"/>
    <w:rsid w:val="7DD421C0"/>
    <w:rsid w:val="7DDB440C"/>
    <w:rsid w:val="7DDBC427"/>
    <w:rsid w:val="7DE2D625"/>
    <w:rsid w:val="7DEA2428"/>
    <w:rsid w:val="7DEAB6C2"/>
    <w:rsid w:val="7DEB0B4B"/>
    <w:rsid w:val="7DEE68DA"/>
    <w:rsid w:val="7DF3FE70"/>
    <w:rsid w:val="7DF4A9BF"/>
    <w:rsid w:val="7DF4BC9F"/>
    <w:rsid w:val="7DF54B61"/>
    <w:rsid w:val="7DFA0829"/>
    <w:rsid w:val="7DFD2782"/>
    <w:rsid w:val="7DFF040E"/>
    <w:rsid w:val="7E028517"/>
    <w:rsid w:val="7E07AD00"/>
    <w:rsid w:val="7E0A9FDD"/>
    <w:rsid w:val="7E0DC73C"/>
    <w:rsid w:val="7E0F543E"/>
    <w:rsid w:val="7E1E04BC"/>
    <w:rsid w:val="7E22E13F"/>
    <w:rsid w:val="7E22F193"/>
    <w:rsid w:val="7E267D20"/>
    <w:rsid w:val="7E26915E"/>
    <w:rsid w:val="7E27236C"/>
    <w:rsid w:val="7E2958B0"/>
    <w:rsid w:val="7E2A92F5"/>
    <w:rsid w:val="7E381C62"/>
    <w:rsid w:val="7E38460A"/>
    <w:rsid w:val="7E3DB857"/>
    <w:rsid w:val="7E40E07B"/>
    <w:rsid w:val="7E43EC95"/>
    <w:rsid w:val="7E45BB93"/>
    <w:rsid w:val="7E4961E8"/>
    <w:rsid w:val="7E50ECE7"/>
    <w:rsid w:val="7E529C1C"/>
    <w:rsid w:val="7E58DDF2"/>
    <w:rsid w:val="7E5DFB45"/>
    <w:rsid w:val="7E6043BC"/>
    <w:rsid w:val="7E65E42D"/>
    <w:rsid w:val="7E680013"/>
    <w:rsid w:val="7E6816D5"/>
    <w:rsid w:val="7E68806C"/>
    <w:rsid w:val="7E6A997B"/>
    <w:rsid w:val="7E6BBD15"/>
    <w:rsid w:val="7E6FD5F2"/>
    <w:rsid w:val="7E73A210"/>
    <w:rsid w:val="7E7426C0"/>
    <w:rsid w:val="7E7A1CA2"/>
    <w:rsid w:val="7E7E785F"/>
    <w:rsid w:val="7E80F376"/>
    <w:rsid w:val="7E840E73"/>
    <w:rsid w:val="7E8CCB50"/>
    <w:rsid w:val="7E8D82B0"/>
    <w:rsid w:val="7E94CBB2"/>
    <w:rsid w:val="7E982771"/>
    <w:rsid w:val="7E99865E"/>
    <w:rsid w:val="7E99D8C6"/>
    <w:rsid w:val="7EA3B21D"/>
    <w:rsid w:val="7EA6945B"/>
    <w:rsid w:val="7EA784B4"/>
    <w:rsid w:val="7EADA9B5"/>
    <w:rsid w:val="7EB21540"/>
    <w:rsid w:val="7EB24D6C"/>
    <w:rsid w:val="7EB870BC"/>
    <w:rsid w:val="7EBCF58E"/>
    <w:rsid w:val="7EBE208A"/>
    <w:rsid w:val="7EBF5493"/>
    <w:rsid w:val="7EC3BB7F"/>
    <w:rsid w:val="7EC4E3EA"/>
    <w:rsid w:val="7EC5DD15"/>
    <w:rsid w:val="7EC61D69"/>
    <w:rsid w:val="7EC6B319"/>
    <w:rsid w:val="7ECAFBC7"/>
    <w:rsid w:val="7ECBA159"/>
    <w:rsid w:val="7ECBE351"/>
    <w:rsid w:val="7ECE9610"/>
    <w:rsid w:val="7ED150A9"/>
    <w:rsid w:val="7ED1B781"/>
    <w:rsid w:val="7ED68CDC"/>
    <w:rsid w:val="7ED91868"/>
    <w:rsid w:val="7EDA1DE8"/>
    <w:rsid w:val="7EE61805"/>
    <w:rsid w:val="7EE8E52E"/>
    <w:rsid w:val="7EEADFDE"/>
    <w:rsid w:val="7EEB172B"/>
    <w:rsid w:val="7EEC0772"/>
    <w:rsid w:val="7EEDBEF2"/>
    <w:rsid w:val="7EF0B9F6"/>
    <w:rsid w:val="7EF359CC"/>
    <w:rsid w:val="7EF44EA7"/>
    <w:rsid w:val="7EF64C8F"/>
    <w:rsid w:val="7EFBBB9C"/>
    <w:rsid w:val="7EFC5577"/>
    <w:rsid w:val="7EFD57A7"/>
    <w:rsid w:val="7EFFCBD5"/>
    <w:rsid w:val="7F02521E"/>
    <w:rsid w:val="7F074870"/>
    <w:rsid w:val="7F0B43E0"/>
    <w:rsid w:val="7F0F9B01"/>
    <w:rsid w:val="7F1AF9AD"/>
    <w:rsid w:val="7F231DE2"/>
    <w:rsid w:val="7F24CE18"/>
    <w:rsid w:val="7F297448"/>
    <w:rsid w:val="7F2CCDE1"/>
    <w:rsid w:val="7F31904A"/>
    <w:rsid w:val="7F344C8F"/>
    <w:rsid w:val="7F378DC3"/>
    <w:rsid w:val="7F38AE71"/>
    <w:rsid w:val="7F39AE45"/>
    <w:rsid w:val="7F3B3E07"/>
    <w:rsid w:val="7F4252DC"/>
    <w:rsid w:val="7F463F14"/>
    <w:rsid w:val="7F4E88FC"/>
    <w:rsid w:val="7F4F08F0"/>
    <w:rsid w:val="7F5487E0"/>
    <w:rsid w:val="7F59DADA"/>
    <w:rsid w:val="7F5AB025"/>
    <w:rsid w:val="7F5CCDE9"/>
    <w:rsid w:val="7F5F1979"/>
    <w:rsid w:val="7F64A60C"/>
    <w:rsid w:val="7F6E5F3C"/>
    <w:rsid w:val="7F7082A3"/>
    <w:rsid w:val="7F70A48B"/>
    <w:rsid w:val="7F782743"/>
    <w:rsid w:val="7F7F33A5"/>
    <w:rsid w:val="7F7FA9E5"/>
    <w:rsid w:val="7F813F83"/>
    <w:rsid w:val="7F819E7F"/>
    <w:rsid w:val="7F83B61C"/>
    <w:rsid w:val="7F852D1B"/>
    <w:rsid w:val="7F878342"/>
    <w:rsid w:val="7F8B3C9A"/>
    <w:rsid w:val="7F9A9DC0"/>
    <w:rsid w:val="7F9BC453"/>
    <w:rsid w:val="7F9D6E46"/>
    <w:rsid w:val="7F9DDA0A"/>
    <w:rsid w:val="7FA11087"/>
    <w:rsid w:val="7FA4A4C0"/>
    <w:rsid w:val="7FA65348"/>
    <w:rsid w:val="7FA71DF4"/>
    <w:rsid w:val="7FA81275"/>
    <w:rsid w:val="7FA90A7F"/>
    <w:rsid w:val="7FA91C7D"/>
    <w:rsid w:val="7FABF489"/>
    <w:rsid w:val="7FB14030"/>
    <w:rsid w:val="7FB21F69"/>
    <w:rsid w:val="7FB25EF0"/>
    <w:rsid w:val="7FBA31E8"/>
    <w:rsid w:val="7FBC82AA"/>
    <w:rsid w:val="7FBD736F"/>
    <w:rsid w:val="7FBEB468"/>
    <w:rsid w:val="7FCB338F"/>
    <w:rsid w:val="7FD0660D"/>
    <w:rsid w:val="7FD2A9D9"/>
    <w:rsid w:val="7FD8126E"/>
    <w:rsid w:val="7FD8BF3C"/>
    <w:rsid w:val="7FED1EA8"/>
    <w:rsid w:val="7FEFA1B7"/>
    <w:rsid w:val="7FF028E8"/>
    <w:rsid w:val="7FF5D0AC"/>
    <w:rsid w:val="7FF6E440"/>
    <w:rsid w:val="7FF9F96B"/>
    <w:rsid w:val="7FFAF75F"/>
    <w:rsid w:val="7FFE4035"/>
    <w:rsid w:val="7FFF44F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D0114D"/>
  <w15:chartTrackingRefBased/>
  <w15:docId w15:val="{BF0B6790-45DF-40A9-B060-7194D72F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E0"/>
  </w:style>
  <w:style w:type="paragraph" w:styleId="Heading1">
    <w:name w:val="heading 1"/>
    <w:basedOn w:val="Normal"/>
    <w:next w:val="Normal"/>
    <w:link w:val="Heading1Char"/>
    <w:uiPriority w:val="1"/>
    <w:qFormat/>
    <w:rsid w:val="0034142F"/>
    <w:pPr>
      <w:keepNext/>
      <w:spacing w:before="240" w:after="240" w:line="240" w:lineRule="auto"/>
      <w:ind w:left="720" w:hanging="360"/>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1"/>
    <w:unhideWhenUsed/>
    <w:qFormat/>
    <w:rsid w:val="007F6BE9"/>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fr-BE"/>
    </w:rPr>
  </w:style>
  <w:style w:type="paragraph" w:styleId="Heading3">
    <w:name w:val="heading 3"/>
    <w:basedOn w:val="Normal"/>
    <w:next w:val="Normal"/>
    <w:link w:val="Heading3Char"/>
    <w:uiPriority w:val="1"/>
    <w:unhideWhenUsed/>
    <w:qFormat/>
    <w:rsid w:val="001521F6"/>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lang w:eastAsia="fr-BE"/>
    </w:rPr>
  </w:style>
  <w:style w:type="paragraph" w:styleId="Heading4">
    <w:name w:val="heading 4"/>
    <w:basedOn w:val="Normal"/>
    <w:next w:val="Normal"/>
    <w:link w:val="Heading4Char"/>
    <w:uiPriority w:val="9"/>
    <w:semiHidden/>
    <w:unhideWhenUsed/>
    <w:qFormat/>
    <w:rsid w:val="00D72D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4010E0"/>
    <w:pPr>
      <w:ind w:left="720"/>
      <w:contextualSpacing/>
    </w:pPr>
  </w:style>
  <w:style w:type="character" w:styleId="Hyperlink">
    <w:name w:val="Hyperlink"/>
    <w:basedOn w:val="DefaultParagraphFont"/>
    <w:uiPriority w:val="99"/>
    <w:unhideWhenUsed/>
    <w:rsid w:val="004010E0"/>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3F32AE"/>
    <w:rPr>
      <w:b/>
      <w:bCs/>
    </w:rPr>
  </w:style>
  <w:style w:type="character" w:customStyle="1" w:styleId="CommentSubjectChar">
    <w:name w:val="Comment Subject Char"/>
    <w:basedOn w:val="CommentTextChar"/>
    <w:link w:val="CommentSubject"/>
    <w:uiPriority w:val="99"/>
    <w:semiHidden/>
    <w:rsid w:val="003F32AE"/>
    <w:rPr>
      <w:b/>
      <w:bCs/>
      <w:sz w:val="20"/>
      <w:szCs w:val="20"/>
    </w:rPr>
  </w:style>
  <w:style w:type="paragraph" w:styleId="Header">
    <w:name w:val="header"/>
    <w:basedOn w:val="Normal"/>
    <w:link w:val="HeaderChar"/>
    <w:uiPriority w:val="99"/>
    <w:unhideWhenUsed/>
    <w:rsid w:val="00654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6E5"/>
  </w:style>
  <w:style w:type="paragraph" w:styleId="Footer">
    <w:name w:val="footer"/>
    <w:basedOn w:val="Normal"/>
    <w:link w:val="FooterChar"/>
    <w:uiPriority w:val="99"/>
    <w:unhideWhenUsed/>
    <w:rsid w:val="00654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6E5"/>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CD47A8"/>
    <w:rPr>
      <w:color w:val="605E5C"/>
      <w:shd w:val="clear" w:color="auto" w:fill="E1DFDD"/>
    </w:rPr>
  </w:style>
  <w:style w:type="character" w:customStyle="1" w:styleId="Heading1Char">
    <w:name w:val="Heading 1 Char"/>
    <w:basedOn w:val="DefaultParagraphFont"/>
    <w:link w:val="Heading1"/>
    <w:uiPriority w:val="1"/>
    <w:rsid w:val="0034142F"/>
    <w:rPr>
      <w:rFonts w:ascii="Times New Roman" w:eastAsia="Times New Roman" w:hAnsi="Times New Roman" w:cs="Times New Roman"/>
      <w:b/>
      <w:smallCaps/>
      <w:sz w:val="24"/>
      <w:szCs w:val="20"/>
      <w:lang w:val="es-ES" w:eastAsia="fr-BE"/>
    </w:rPr>
  </w:style>
  <w:style w:type="character" w:customStyle="1" w:styleId="Heading2Char">
    <w:name w:val="Heading 2 Char"/>
    <w:basedOn w:val="DefaultParagraphFont"/>
    <w:link w:val="Heading2"/>
    <w:uiPriority w:val="1"/>
    <w:rsid w:val="007F6BE9"/>
    <w:rPr>
      <w:rFonts w:asciiTheme="majorHAnsi" w:eastAsiaTheme="majorEastAsia" w:hAnsiTheme="majorHAnsi" w:cstheme="majorBidi"/>
      <w:color w:val="2F5496" w:themeColor="accent1" w:themeShade="BF"/>
      <w:sz w:val="26"/>
      <w:szCs w:val="26"/>
      <w:lang w:val="es-ES" w:eastAsia="fr-BE"/>
    </w:rPr>
  </w:style>
  <w:style w:type="character" w:customStyle="1" w:styleId="Heading3Char">
    <w:name w:val="Heading 3 Char"/>
    <w:basedOn w:val="DefaultParagraphFont"/>
    <w:link w:val="Heading3"/>
    <w:uiPriority w:val="1"/>
    <w:rsid w:val="001521F6"/>
    <w:rPr>
      <w:rFonts w:asciiTheme="majorHAnsi" w:eastAsiaTheme="majorEastAsia" w:hAnsiTheme="majorHAnsi" w:cstheme="majorBidi"/>
      <w:color w:val="1F3763" w:themeColor="accent1" w:themeShade="7F"/>
      <w:sz w:val="24"/>
      <w:szCs w:val="24"/>
      <w:lang w:val="es-ES" w:eastAsia="fr-BE"/>
    </w:rPr>
  </w:style>
  <w:style w:type="paragraph" w:styleId="TOCHeading">
    <w:name w:val="TOC Heading"/>
    <w:basedOn w:val="Heading1"/>
    <w:next w:val="Normal"/>
    <w:uiPriority w:val="39"/>
    <w:unhideWhenUsed/>
    <w:qFormat/>
    <w:rsid w:val="001B2A1C"/>
    <w:pPr>
      <w:keepLines/>
      <w:spacing w:after="0" w:line="259" w:lineRule="auto"/>
      <w:ind w:left="0" w:firstLine="0"/>
      <w:jc w:val="left"/>
      <w:outlineLvl w:val="9"/>
    </w:pPr>
    <w:rPr>
      <w:rFonts w:asciiTheme="majorHAnsi" w:eastAsiaTheme="majorEastAsia" w:hAnsiTheme="majorHAnsi" w:cstheme="majorBidi"/>
      <w:b w:val="0"/>
      <w:smallCaps w:val="0"/>
      <w:color w:val="2F5496" w:themeColor="accent1" w:themeShade="BF"/>
      <w:sz w:val="32"/>
      <w:szCs w:val="32"/>
      <w:lang w:eastAsia="en-US"/>
    </w:rPr>
  </w:style>
  <w:style w:type="paragraph" w:styleId="TOC1">
    <w:name w:val="toc 1"/>
    <w:basedOn w:val="Normal"/>
    <w:next w:val="Normal"/>
    <w:autoRedefine/>
    <w:uiPriority w:val="39"/>
    <w:unhideWhenUsed/>
    <w:rsid w:val="000A4CBF"/>
    <w:pPr>
      <w:tabs>
        <w:tab w:val="left" w:pos="440"/>
        <w:tab w:val="right" w:leader="dot" w:pos="9016"/>
      </w:tabs>
      <w:spacing w:after="100"/>
    </w:pPr>
  </w:style>
  <w:style w:type="paragraph" w:styleId="TOC2">
    <w:name w:val="toc 2"/>
    <w:basedOn w:val="Normal"/>
    <w:next w:val="Normal"/>
    <w:autoRedefine/>
    <w:uiPriority w:val="39"/>
    <w:unhideWhenUsed/>
    <w:rsid w:val="001B2A1C"/>
    <w:pPr>
      <w:spacing w:after="100"/>
      <w:ind w:left="220"/>
    </w:pPr>
  </w:style>
  <w:style w:type="paragraph" w:styleId="TOC3">
    <w:name w:val="toc 3"/>
    <w:basedOn w:val="Normal"/>
    <w:next w:val="Normal"/>
    <w:autoRedefine/>
    <w:uiPriority w:val="39"/>
    <w:unhideWhenUsed/>
    <w:rsid w:val="005A663D"/>
    <w:pPr>
      <w:tabs>
        <w:tab w:val="left" w:pos="1320"/>
        <w:tab w:val="right" w:leader="dot" w:pos="9016"/>
      </w:tabs>
      <w:spacing w:after="100"/>
      <w:ind w:left="440"/>
    </w:pPr>
  </w:style>
  <w:style w:type="character" w:customStyle="1" w:styleId="ui-provider">
    <w:name w:val="ui-provider"/>
    <w:basedOn w:val="DefaultParagraphFont"/>
    <w:rsid w:val="0069100F"/>
  </w:style>
  <w:style w:type="character" w:customStyle="1" w:styleId="Heading4Char">
    <w:name w:val="Heading 4 Char"/>
    <w:basedOn w:val="DefaultParagraphFont"/>
    <w:link w:val="Heading4"/>
    <w:uiPriority w:val="9"/>
    <w:semiHidden/>
    <w:rsid w:val="00D72DE3"/>
    <w:rPr>
      <w:rFonts w:asciiTheme="majorHAnsi" w:eastAsiaTheme="majorEastAsia" w:hAnsiTheme="majorHAnsi" w:cstheme="majorBidi"/>
      <w:i/>
      <w:iCs/>
      <w:color w:val="2F5496" w:themeColor="accent1" w:themeShade="BF"/>
    </w:rPr>
  </w:style>
  <w:style w:type="paragraph" w:customStyle="1" w:styleId="Default">
    <w:name w:val="Default"/>
    <w:rsid w:val="00D72DE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21A2"/>
    <w:pPr>
      <w:spacing w:after="0" w:line="240" w:lineRule="auto"/>
    </w:p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sid w:val="0003546D"/>
    <w:rPr>
      <w:vertAlign w:val="superscript"/>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03546D"/>
    <w:rPr>
      <w:sz w:val="20"/>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qFormat/>
    <w:rsid w:val="0003546D"/>
    <w:pPr>
      <w:spacing w:after="0" w:line="240" w:lineRule="auto"/>
    </w:pPr>
    <w:rPr>
      <w:sz w:val="20"/>
      <w:szCs w:val="20"/>
    </w:rPr>
  </w:style>
  <w:style w:type="paragraph" w:styleId="BalloonText">
    <w:name w:val="Balloon Text"/>
    <w:basedOn w:val="Normal"/>
    <w:link w:val="BalloonTextChar"/>
    <w:uiPriority w:val="99"/>
    <w:semiHidden/>
    <w:unhideWhenUsed/>
    <w:rsid w:val="00F53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47"/>
    <w:rPr>
      <w:rFonts w:ascii="Segoe UI" w:hAnsi="Segoe UI" w:cs="Segoe UI"/>
      <w:sz w:val="18"/>
      <w:szCs w:val="18"/>
    </w:rPr>
  </w:style>
  <w:style w:type="paragraph" w:customStyle="1" w:styleId="Nota">
    <w:name w:val="Nota"/>
    <w:aliases w:val="Char1,(NECG) Footnote Reference,fr,Appel note de bas de p,o,Style 6,Signature Ch, Char1"/>
    <w:basedOn w:val="Normal"/>
    <w:link w:val="FootnoteReference"/>
    <w:uiPriority w:val="99"/>
    <w:rsid w:val="00F53547"/>
    <w:pPr>
      <w:spacing w:line="240" w:lineRule="exact"/>
      <w:jc w:val="both"/>
    </w:pPr>
    <w:rPr>
      <w:vertAlign w:val="superscript"/>
    </w:rPr>
  </w:style>
  <w:style w:type="character" w:customStyle="1" w:styleId="Mention2">
    <w:name w:val="Mention2"/>
    <w:basedOn w:val="DefaultParagraphFont"/>
    <w:uiPriority w:val="99"/>
    <w:unhideWhenUsed/>
    <w:rPr>
      <w:color w:val="2B579A"/>
      <w:shd w:val="clear" w:color="auto" w:fill="E6E6E6"/>
    </w:rPr>
  </w:style>
  <w:style w:type="paragraph" w:customStyle="1" w:styleId="JRCLevel-2title">
    <w:name w:val="JRC_Level-2_title"/>
    <w:basedOn w:val="Heading2"/>
    <w:next w:val="Normal"/>
    <w:autoRedefine/>
    <w:qFormat/>
    <w:rsid w:val="003F0968"/>
    <w:pPr>
      <w:numPr>
        <w:ilvl w:val="1"/>
        <w:numId w:val="5"/>
      </w:numPr>
      <w:tabs>
        <w:tab w:val="num" w:pos="360"/>
      </w:tabs>
      <w:spacing w:before="240" w:after="120"/>
      <w:ind w:left="0" w:firstLine="0"/>
      <w:jc w:val="left"/>
    </w:pPr>
    <w:rPr>
      <w:rFonts w:ascii="EC Square Sans Pro" w:eastAsia="Times New Roman" w:hAnsi="EC Square Sans Pro" w:cs="Times New Roman"/>
      <w:b/>
      <w:bCs/>
      <w:iCs/>
      <w:color w:val="auto"/>
      <w:sz w:val="24"/>
      <w:lang w:eastAsia="en-US"/>
    </w:rPr>
  </w:style>
  <w:style w:type="paragraph" w:customStyle="1" w:styleId="JRCLevel-1title">
    <w:name w:val="JRC_Level-1_title"/>
    <w:basedOn w:val="Heading1"/>
    <w:next w:val="Normal"/>
    <w:autoRedefine/>
    <w:qFormat/>
    <w:rsid w:val="003F0968"/>
    <w:pPr>
      <w:pageBreakBefore/>
      <w:numPr>
        <w:numId w:val="5"/>
      </w:numPr>
      <w:tabs>
        <w:tab w:val="num" w:pos="360"/>
      </w:tabs>
      <w:spacing w:before="0" w:after="120"/>
      <w:ind w:left="0" w:firstLine="0"/>
      <w:jc w:val="left"/>
    </w:pPr>
    <w:rPr>
      <w:rFonts w:ascii="EC Square Sans Pro" w:eastAsia="Calibri" w:hAnsi="EC Square Sans Pro"/>
      <w:smallCaps w:val="0"/>
      <w:sz w:val="26"/>
      <w:szCs w:val="24"/>
      <w:lang w:eastAsia="en-US"/>
    </w:rPr>
  </w:style>
  <w:style w:type="paragraph" w:customStyle="1" w:styleId="JRCLevel-4title">
    <w:name w:val="JRC_Level-4_title"/>
    <w:basedOn w:val="Normal"/>
    <w:next w:val="Normal"/>
    <w:autoRedefine/>
    <w:qFormat/>
    <w:rsid w:val="003F0968"/>
    <w:pPr>
      <w:keepNext/>
      <w:numPr>
        <w:ilvl w:val="3"/>
        <w:numId w:val="5"/>
      </w:numPr>
      <w:spacing w:before="240" w:after="120" w:line="240" w:lineRule="auto"/>
    </w:pPr>
    <w:rPr>
      <w:rFonts w:ascii="EC Square Sans Pro" w:eastAsia="Times New Roman" w:hAnsi="EC Square Sans Pro" w:cs="Times New Roman"/>
      <w:b/>
      <w:i/>
      <w:sz w:val="20"/>
      <w:lang w:eastAsia="en-GB"/>
    </w:rPr>
  </w:style>
  <w:style w:type="paragraph" w:customStyle="1" w:styleId="JRCLevel-3title">
    <w:name w:val="JRC_Level-3_title"/>
    <w:basedOn w:val="Heading3"/>
    <w:next w:val="Normal"/>
    <w:autoRedefine/>
    <w:qFormat/>
    <w:rsid w:val="003F0968"/>
    <w:pPr>
      <w:numPr>
        <w:ilvl w:val="2"/>
        <w:numId w:val="5"/>
      </w:numPr>
      <w:tabs>
        <w:tab w:val="num" w:pos="360"/>
      </w:tabs>
      <w:spacing w:before="240" w:after="120"/>
      <w:ind w:left="720" w:firstLine="0"/>
    </w:pPr>
    <w:rPr>
      <w:rFonts w:ascii="EC Square Sans Pro" w:eastAsia="Times New Roman" w:hAnsi="EC Square Sans Pro" w:cs="Times New Roman"/>
      <w:b/>
      <w:bCs/>
      <w:color w:val="auto"/>
      <w:sz w:val="22"/>
      <w:lang w:eastAsia="en-US"/>
    </w:rPr>
  </w:style>
  <w:style w:type="paragraph" w:customStyle="1" w:styleId="JRCLevel-5title">
    <w:name w:val="JRC_Level-5_title"/>
    <w:basedOn w:val="Normal"/>
    <w:next w:val="Normal"/>
    <w:autoRedefine/>
    <w:qFormat/>
    <w:rsid w:val="003F0968"/>
    <w:pPr>
      <w:keepNext/>
      <w:numPr>
        <w:ilvl w:val="4"/>
        <w:numId w:val="5"/>
      </w:numPr>
      <w:spacing w:before="200" w:after="0" w:line="240" w:lineRule="auto"/>
      <w:outlineLvl w:val="4"/>
    </w:pPr>
    <w:rPr>
      <w:rFonts w:ascii="EC Square Sans Pro" w:eastAsia="Times New Roman" w:hAnsi="EC Square Sans Pro" w:cs="Times New Roman"/>
      <w:sz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0B2457"/>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B00C97"/>
    <w:pPr>
      <w:spacing w:line="240" w:lineRule="exact"/>
    </w:pPr>
    <w:rPr>
      <w:vertAlign w:val="superscript"/>
    </w:rPr>
  </w:style>
  <w:style w:type="character" w:customStyle="1" w:styleId="Mention3">
    <w:name w:val="Mention3"/>
    <w:basedOn w:val="DefaultParagraphFont"/>
    <w:uiPriority w:val="99"/>
    <w:unhideWhenUsed/>
    <w:rsid w:val="008E6238"/>
    <w:rPr>
      <w:color w:val="2B579A"/>
      <w:shd w:val="clear" w:color="auto" w:fill="E1DFDD"/>
    </w:rPr>
  </w:style>
  <w:style w:type="paragraph" w:customStyle="1" w:styleId="Briefinglist1">
    <w:name w:val="Briefing list 1"/>
    <w:basedOn w:val="Normal"/>
    <w:link w:val="Briefinglist1Char"/>
    <w:qFormat/>
    <w:rsid w:val="006277E8"/>
    <w:pPr>
      <w:keepLines/>
      <w:numPr>
        <w:numId w:val="6"/>
      </w:numPr>
      <w:spacing w:after="120" w:line="240" w:lineRule="auto"/>
      <w:jc w:val="both"/>
    </w:pPr>
    <w:rPr>
      <w:rFonts w:ascii="Arial" w:eastAsia="Times New Roman" w:hAnsi="Arial" w:cs="Arial"/>
      <w:szCs w:val="24"/>
    </w:rPr>
  </w:style>
  <w:style w:type="character" w:customStyle="1" w:styleId="Briefinglist1Char">
    <w:name w:val="Briefing list 1 Char"/>
    <w:basedOn w:val="DefaultParagraphFont"/>
    <w:link w:val="Briefinglist1"/>
    <w:qFormat/>
    <w:rsid w:val="00B00C97"/>
    <w:rPr>
      <w:rFonts w:ascii="Arial" w:eastAsia="Times New Roman" w:hAnsi="Arial" w:cs="Arial"/>
      <w:szCs w:val="24"/>
      <w:lang w:val="es-ES"/>
    </w:rPr>
  </w:style>
  <w:style w:type="paragraph" w:styleId="Caption">
    <w:name w:val="caption"/>
    <w:basedOn w:val="Normal"/>
    <w:next w:val="Normal"/>
    <w:uiPriority w:val="35"/>
    <w:unhideWhenUsed/>
    <w:qFormat/>
    <w:rsid w:val="00126F36"/>
    <w:pPr>
      <w:spacing w:after="200" w:line="240" w:lineRule="auto"/>
    </w:pPr>
    <w:rPr>
      <w:i/>
      <w:iCs/>
      <w:color w:val="44546A" w:themeColor="text2"/>
      <w:sz w:val="18"/>
      <w:szCs w:val="18"/>
    </w:rPr>
  </w:style>
  <w:style w:type="character" w:customStyle="1" w:styleId="Mention4">
    <w:name w:val="Mention4"/>
    <w:basedOn w:val="DefaultParagraphFont"/>
    <w:uiPriority w:val="99"/>
    <w:unhideWhenUsed/>
    <w:rsid w:val="00C23846"/>
    <w:rPr>
      <w:color w:val="2B579A"/>
      <w:shd w:val="clear" w:color="auto" w:fill="E1DFDD"/>
    </w:rPr>
  </w:style>
  <w:style w:type="character" w:customStyle="1" w:styleId="Mention5">
    <w:name w:val="Mention5"/>
    <w:basedOn w:val="DefaultParagraphFont"/>
    <w:uiPriority w:val="99"/>
    <w:unhideWhenUsed/>
    <w:rsid w:val="003B7A3C"/>
    <w:rPr>
      <w:color w:val="2B579A"/>
      <w:shd w:val="clear" w:color="auto" w:fill="E1DFDD"/>
    </w:rPr>
  </w:style>
  <w:style w:type="character" w:customStyle="1" w:styleId="Mention50">
    <w:name w:val="Mention50"/>
    <w:basedOn w:val="DefaultParagraphFont"/>
    <w:uiPriority w:val="99"/>
    <w:unhideWhenUsed/>
    <w:rsid w:val="00064795"/>
    <w:rPr>
      <w:color w:val="2B579A"/>
      <w:shd w:val="clear" w:color="auto" w:fill="E1DFDD"/>
    </w:rPr>
  </w:style>
  <w:style w:type="character" w:customStyle="1" w:styleId="UnresolvedMention20">
    <w:name w:val="Unresolved Mention20"/>
    <w:basedOn w:val="DefaultParagraphFont"/>
    <w:uiPriority w:val="99"/>
    <w:semiHidden/>
    <w:unhideWhenUsed/>
    <w:rsid w:val="00E60F53"/>
    <w:rPr>
      <w:color w:val="605E5C"/>
      <w:shd w:val="clear" w:color="auto" w:fill="E1DFDD"/>
    </w:rPr>
  </w:style>
  <w:style w:type="character" w:customStyle="1" w:styleId="Mention60">
    <w:name w:val="Mention60"/>
    <w:basedOn w:val="DefaultParagraphFont"/>
    <w:uiPriority w:val="99"/>
    <w:unhideWhenUsed/>
    <w:rsid w:val="00E60F53"/>
    <w:rPr>
      <w:color w:val="2B579A"/>
      <w:shd w:val="clear" w:color="auto" w:fill="E1DFDD"/>
    </w:rPr>
  </w:style>
  <w:style w:type="character" w:customStyle="1" w:styleId="Mention500">
    <w:name w:val="Mention500"/>
    <w:basedOn w:val="DefaultParagraphFont"/>
    <w:uiPriority w:val="99"/>
    <w:unhideWhenUsed/>
    <w:rsid w:val="007405FE"/>
    <w:rPr>
      <w:color w:val="2B579A"/>
      <w:shd w:val="clear" w:color="auto" w:fill="E1DFDD"/>
    </w:rPr>
  </w:style>
  <w:style w:type="character" w:customStyle="1" w:styleId="Mention5000">
    <w:name w:val="Mention5000"/>
    <w:basedOn w:val="DefaultParagraphFont"/>
    <w:uiPriority w:val="99"/>
    <w:unhideWhenUsed/>
    <w:rsid w:val="00A97A6F"/>
    <w:rPr>
      <w:color w:val="2B579A"/>
      <w:shd w:val="clear" w:color="auto" w:fill="E1DFDD"/>
    </w:rPr>
  </w:style>
  <w:style w:type="character" w:customStyle="1" w:styleId="UnresolvedMention2">
    <w:name w:val="Unresolved Mention2"/>
    <w:basedOn w:val="DefaultParagraphFont"/>
    <w:uiPriority w:val="99"/>
    <w:semiHidden/>
    <w:unhideWhenUsed/>
    <w:rsid w:val="00A97A6F"/>
    <w:rPr>
      <w:color w:val="605E5C"/>
      <w:shd w:val="clear" w:color="auto" w:fill="E1DFDD"/>
    </w:rPr>
  </w:style>
  <w:style w:type="character" w:customStyle="1" w:styleId="Mention6">
    <w:name w:val="Mention6"/>
    <w:basedOn w:val="DefaultParagraphFont"/>
    <w:uiPriority w:val="99"/>
    <w:unhideWhenUsed/>
    <w:rsid w:val="00A97A6F"/>
    <w:rPr>
      <w:color w:val="2B579A"/>
      <w:shd w:val="clear" w:color="auto" w:fill="E1DFDD"/>
    </w:rPr>
  </w:style>
  <w:style w:type="character" w:customStyle="1" w:styleId="Mention50000">
    <w:name w:val="Mention50000"/>
    <w:basedOn w:val="DefaultParagraphFont"/>
    <w:uiPriority w:val="99"/>
    <w:unhideWhenUsed/>
    <w:rsid w:val="00A97A6F"/>
    <w:rPr>
      <w:color w:val="2B579A"/>
      <w:shd w:val="clear" w:color="auto" w:fill="E1DFDD"/>
    </w:rPr>
  </w:style>
  <w:style w:type="character" w:customStyle="1" w:styleId="Mention500000">
    <w:name w:val="Mention500000"/>
    <w:basedOn w:val="DefaultParagraphFont"/>
    <w:uiPriority w:val="99"/>
    <w:unhideWhenUsed/>
    <w:rsid w:val="00A97A6F"/>
    <w:rPr>
      <w:color w:val="2B579A"/>
      <w:shd w:val="clear" w:color="auto" w:fill="E1DFDD"/>
    </w:rPr>
  </w:style>
  <w:style w:type="character" w:customStyle="1" w:styleId="Mention5000000">
    <w:name w:val="Mention5000000"/>
    <w:basedOn w:val="DefaultParagraphFont"/>
    <w:uiPriority w:val="99"/>
    <w:unhideWhenUsed/>
    <w:rsid w:val="00E60F53"/>
    <w:rPr>
      <w:color w:val="2B579A"/>
      <w:shd w:val="clear" w:color="auto" w:fill="E1DFDD"/>
    </w:rPr>
  </w:style>
  <w:style w:type="character" w:customStyle="1" w:styleId="Mention50000000">
    <w:name w:val="Mention50000000"/>
    <w:basedOn w:val="DefaultParagraphFont"/>
    <w:uiPriority w:val="99"/>
    <w:unhideWhenUsed/>
    <w:rsid w:val="00691426"/>
    <w:rPr>
      <w:color w:val="2B579A"/>
      <w:shd w:val="clear" w:color="auto" w:fill="E1DFDD"/>
    </w:rPr>
  </w:style>
  <w:style w:type="paragraph" w:styleId="BodyText">
    <w:name w:val="Body Text"/>
    <w:basedOn w:val="Normal"/>
    <w:link w:val="BodyTextChar"/>
    <w:uiPriority w:val="99"/>
    <w:unhideWhenUsed/>
    <w:rsid w:val="00E75D25"/>
    <w:pPr>
      <w:spacing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75D25"/>
    <w:rPr>
      <w:rFonts w:ascii="Times New Roman" w:eastAsia="Times New Roman" w:hAnsi="Times New Roman" w:cs="Times New Roman"/>
      <w:sz w:val="24"/>
      <w:szCs w:val="24"/>
    </w:rPr>
  </w:style>
  <w:style w:type="character" w:customStyle="1" w:styleId="Mention7">
    <w:name w:val="Mention7"/>
    <w:basedOn w:val="DefaultParagraphFont"/>
    <w:uiPriority w:val="99"/>
    <w:unhideWhenUsed/>
    <w:rsid w:val="00C36B27"/>
    <w:rPr>
      <w:color w:val="2B579A"/>
      <w:shd w:val="clear" w:color="auto" w:fill="E1DFDD"/>
    </w:rPr>
  </w:style>
  <w:style w:type="character" w:customStyle="1" w:styleId="UnresolvedMention3">
    <w:name w:val="Unresolved Mention3"/>
    <w:basedOn w:val="DefaultParagraphFont"/>
    <w:uiPriority w:val="99"/>
    <w:semiHidden/>
    <w:unhideWhenUsed/>
    <w:rsid w:val="00C36B27"/>
    <w:rPr>
      <w:color w:val="605E5C"/>
      <w:shd w:val="clear" w:color="auto" w:fill="E1DFDD"/>
    </w:rPr>
  </w:style>
  <w:style w:type="character" w:customStyle="1" w:styleId="Mention8">
    <w:name w:val="Mention8"/>
    <w:basedOn w:val="DefaultParagraphFont"/>
    <w:uiPriority w:val="99"/>
    <w:unhideWhenUsed/>
    <w:rsid w:val="00C36B27"/>
    <w:rPr>
      <w:color w:val="2B579A"/>
      <w:shd w:val="clear" w:color="auto" w:fill="E6E6E6"/>
    </w:rPr>
  </w:style>
  <w:style w:type="character" w:styleId="FollowedHyperlink">
    <w:name w:val="FollowedHyperlink"/>
    <w:basedOn w:val="DefaultParagraphFont"/>
    <w:uiPriority w:val="99"/>
    <w:semiHidden/>
    <w:unhideWhenUsed/>
    <w:rsid w:val="00C36B27"/>
    <w:rPr>
      <w:color w:val="954F72" w:themeColor="followedHyperlink"/>
      <w:u w:val="single"/>
    </w:rPr>
  </w:style>
  <w:style w:type="character" w:customStyle="1" w:styleId="UnresolvedMention4">
    <w:name w:val="Unresolved Mention4"/>
    <w:basedOn w:val="DefaultParagraphFont"/>
    <w:uiPriority w:val="99"/>
    <w:semiHidden/>
    <w:unhideWhenUsed/>
    <w:rsid w:val="00C36B27"/>
    <w:rPr>
      <w:color w:val="605E5C"/>
      <w:shd w:val="clear" w:color="auto" w:fill="E1DFDD"/>
    </w:rPr>
  </w:style>
  <w:style w:type="character" w:customStyle="1" w:styleId="Mention9">
    <w:name w:val="Mention9"/>
    <w:basedOn w:val="DefaultParagraphFont"/>
    <w:uiPriority w:val="99"/>
    <w:unhideWhenUsed/>
    <w:rsid w:val="00E75D25"/>
    <w:rPr>
      <w:color w:val="2B579A"/>
      <w:shd w:val="clear" w:color="auto" w:fill="E6E6E6"/>
    </w:rPr>
  </w:style>
  <w:style w:type="character" w:customStyle="1" w:styleId="UnresolvedMention5">
    <w:name w:val="Unresolved Mention5"/>
    <w:basedOn w:val="DefaultParagraphFont"/>
    <w:uiPriority w:val="99"/>
    <w:semiHidden/>
    <w:unhideWhenUsed/>
    <w:rsid w:val="00E75D25"/>
    <w:rPr>
      <w:color w:val="605E5C"/>
      <w:shd w:val="clear" w:color="auto" w:fill="E1DFDD"/>
    </w:rPr>
  </w:style>
  <w:style w:type="character" w:customStyle="1" w:styleId="Mention10">
    <w:name w:val="Mention10"/>
    <w:basedOn w:val="DefaultParagraphFont"/>
    <w:uiPriority w:val="99"/>
    <w:unhideWhenUsed/>
    <w:rsid w:val="00E75D25"/>
    <w:rPr>
      <w:color w:val="2B579A"/>
      <w:shd w:val="clear" w:color="auto" w:fill="E6E6E6"/>
    </w:rPr>
  </w:style>
  <w:style w:type="character" w:customStyle="1" w:styleId="Mention11">
    <w:name w:val="Mention11"/>
    <w:basedOn w:val="DefaultParagraphFont"/>
    <w:uiPriority w:val="99"/>
    <w:unhideWhenUsed/>
    <w:rsid w:val="00E75D25"/>
    <w:rPr>
      <w:color w:val="2B579A"/>
      <w:shd w:val="clear" w:color="auto" w:fill="E6E6E6"/>
    </w:rPr>
  </w:style>
  <w:style w:type="paragraph" w:customStyle="1" w:styleId="pf0">
    <w:name w:val="pf0"/>
    <w:basedOn w:val="Normal"/>
    <w:rsid w:val="00E91F6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E91F6A"/>
    <w:rPr>
      <w:rFonts w:ascii="Segoe UI" w:hAnsi="Segoe UI" w:cs="Segoe UI" w:hint="default"/>
      <w:sz w:val="18"/>
      <w:szCs w:val="18"/>
    </w:rPr>
  </w:style>
  <w:style w:type="character" w:customStyle="1" w:styleId="tabchar">
    <w:name w:val="tabchar"/>
    <w:basedOn w:val="DefaultParagraphFont"/>
    <w:rsid w:val="00641B6D"/>
  </w:style>
  <w:style w:type="character" w:customStyle="1" w:styleId="normaltextrun">
    <w:name w:val="normaltextrun"/>
    <w:basedOn w:val="DefaultParagraphFont"/>
    <w:rsid w:val="00641B6D"/>
  </w:style>
  <w:style w:type="character" w:customStyle="1" w:styleId="Mention12">
    <w:name w:val="Mention12"/>
    <w:basedOn w:val="DefaultParagraphFont"/>
    <w:uiPriority w:val="99"/>
    <w:unhideWhenUsed/>
    <w:rsid w:val="00F8680C"/>
    <w:rPr>
      <w:color w:val="2B579A"/>
      <w:shd w:val="clear" w:color="auto" w:fill="E6E6E6"/>
    </w:rPr>
  </w:style>
  <w:style w:type="character" w:customStyle="1" w:styleId="tab">
    <w:name w:val="tab"/>
    <w:basedOn w:val="DefaultParagraphFont"/>
    <w:rsid w:val="004B6A14"/>
  </w:style>
  <w:style w:type="character" w:customStyle="1" w:styleId="Mention13">
    <w:name w:val="Mention13"/>
    <w:basedOn w:val="DefaultParagraphFont"/>
    <w:uiPriority w:val="99"/>
    <w:unhideWhenUsed/>
    <w:rsid w:val="00E7252B"/>
    <w:rPr>
      <w:color w:val="2B579A"/>
      <w:shd w:val="clear" w:color="auto" w:fill="E6E6E6"/>
    </w:rPr>
  </w:style>
  <w:style w:type="character" w:customStyle="1" w:styleId="Mention130">
    <w:name w:val="Mention130"/>
    <w:basedOn w:val="DefaultParagraphFont"/>
    <w:uiPriority w:val="99"/>
    <w:unhideWhenUsed/>
    <w:rsid w:val="00FA1889"/>
    <w:rPr>
      <w:color w:val="2B579A"/>
      <w:shd w:val="clear" w:color="auto" w:fill="E1DFDD"/>
    </w:rPr>
  </w:style>
  <w:style w:type="paragraph" w:customStyle="1" w:styleId="paragraph">
    <w:name w:val="paragraph"/>
    <w:basedOn w:val="Normal"/>
    <w:rsid w:val="004D6EE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DefaultParagraphFont"/>
    <w:rsid w:val="008E46B7"/>
  </w:style>
  <w:style w:type="character" w:customStyle="1" w:styleId="Mention14">
    <w:name w:val="Mention14"/>
    <w:basedOn w:val="DefaultParagraphFont"/>
    <w:uiPriority w:val="99"/>
    <w:unhideWhenUsed/>
    <w:rsid w:val="00A83307"/>
    <w:rPr>
      <w:color w:val="2B579A"/>
      <w:shd w:val="clear" w:color="auto" w:fill="E1DFDD"/>
    </w:rPr>
  </w:style>
  <w:style w:type="character" w:customStyle="1" w:styleId="Mention140">
    <w:name w:val="Mention140"/>
    <w:basedOn w:val="DefaultParagraphFont"/>
    <w:uiPriority w:val="99"/>
    <w:unhideWhenUsed/>
    <w:rsid w:val="00DC3B2F"/>
    <w:rPr>
      <w:color w:val="2B579A"/>
      <w:shd w:val="clear" w:color="auto" w:fill="E1DFDD"/>
    </w:rPr>
  </w:style>
  <w:style w:type="character" w:customStyle="1" w:styleId="Mention15">
    <w:name w:val="Mention15"/>
    <w:basedOn w:val="DefaultParagraphFont"/>
    <w:uiPriority w:val="99"/>
    <w:unhideWhenUsed/>
    <w:rPr>
      <w:color w:val="2B579A"/>
      <w:shd w:val="clear" w:color="auto" w:fill="E6E6E6"/>
    </w:rPr>
  </w:style>
  <w:style w:type="character" w:customStyle="1" w:styleId="Mention16">
    <w:name w:val="Mention16"/>
    <w:basedOn w:val="DefaultParagraphFont"/>
    <w:uiPriority w:val="99"/>
    <w:unhideWhenUsed/>
    <w:rsid w:val="009D381B"/>
    <w:rPr>
      <w:color w:val="2B579A"/>
      <w:shd w:val="clear" w:color="auto" w:fill="E1DFDD"/>
    </w:rPr>
  </w:style>
  <w:style w:type="character" w:styleId="EndnoteReference">
    <w:name w:val="endnote reference"/>
    <w:basedOn w:val="DefaultParagraphFont"/>
    <w:uiPriority w:val="99"/>
    <w:semiHidden/>
    <w:unhideWhenUsed/>
    <w:rsid w:val="00692C77"/>
    <w:rPr>
      <w:vertAlign w:val="superscript"/>
    </w:rPr>
  </w:style>
  <w:style w:type="character" w:customStyle="1" w:styleId="EndnoteTextChar">
    <w:name w:val="Endnote Text Char"/>
    <w:basedOn w:val="DefaultParagraphFont"/>
    <w:link w:val="EndnoteText"/>
    <w:uiPriority w:val="99"/>
    <w:semiHidden/>
    <w:rsid w:val="00692C77"/>
    <w:rPr>
      <w:sz w:val="20"/>
      <w:szCs w:val="20"/>
    </w:rPr>
  </w:style>
  <w:style w:type="paragraph" w:styleId="EndnoteText">
    <w:name w:val="endnote text"/>
    <w:basedOn w:val="Normal"/>
    <w:link w:val="EndnoteTextChar"/>
    <w:uiPriority w:val="99"/>
    <w:semiHidden/>
    <w:unhideWhenUsed/>
    <w:rsid w:val="00692C77"/>
    <w:pPr>
      <w:spacing w:after="0" w:line="240" w:lineRule="auto"/>
    </w:pPr>
    <w:rPr>
      <w:sz w:val="20"/>
      <w:szCs w:val="20"/>
    </w:rPr>
  </w:style>
  <w:style w:type="character" w:customStyle="1" w:styleId="EndnoteTextChar1">
    <w:name w:val="Endnote Text Char1"/>
    <w:basedOn w:val="DefaultParagraphFont"/>
    <w:uiPriority w:val="99"/>
    <w:semiHidden/>
    <w:rsid w:val="00692C77"/>
    <w:rPr>
      <w:sz w:val="20"/>
      <w:szCs w:val="20"/>
    </w:rPr>
  </w:style>
  <w:style w:type="character" w:styleId="Strong">
    <w:name w:val="Strong"/>
    <w:basedOn w:val="DefaultParagraphFont"/>
    <w:uiPriority w:val="22"/>
    <w:qFormat/>
    <w:rsid w:val="005F30E9"/>
    <w:rPr>
      <w:b/>
      <w:bCs/>
    </w:rPr>
  </w:style>
  <w:style w:type="character" w:customStyle="1" w:styleId="UnresolvedMention6">
    <w:name w:val="Unresolved Mention6"/>
    <w:basedOn w:val="DefaultParagraphFont"/>
    <w:uiPriority w:val="99"/>
    <w:semiHidden/>
    <w:unhideWhenUsed/>
    <w:rsid w:val="00500951"/>
    <w:rPr>
      <w:color w:val="605E5C"/>
      <w:shd w:val="clear" w:color="auto" w:fill="E1DFDD"/>
    </w:rPr>
  </w:style>
  <w:style w:type="character" w:customStyle="1" w:styleId="Marker">
    <w:name w:val="Marker"/>
    <w:basedOn w:val="DefaultParagraphFont"/>
    <w:rsid w:val="0084640F"/>
    <w:rPr>
      <w:color w:val="0000FF"/>
      <w:shd w:val="clear" w:color="auto" w:fill="auto"/>
    </w:rPr>
  </w:style>
  <w:style w:type="paragraph" w:customStyle="1" w:styleId="Pagedecouverture">
    <w:name w:val="Page de couverture"/>
    <w:basedOn w:val="Normal"/>
    <w:next w:val="Normal"/>
    <w:link w:val="PagedecouvertureChar"/>
    <w:rsid w:val="0084640F"/>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4640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84640F"/>
    <w:rPr>
      <w:rFonts w:ascii="Times New Roman" w:hAnsi="Times New Roman" w:cs="Times New Roman"/>
      <w:sz w:val="24"/>
    </w:rPr>
  </w:style>
  <w:style w:type="character" w:customStyle="1" w:styleId="FooterCoverPageChar">
    <w:name w:val="Footer Cover Page Char"/>
    <w:basedOn w:val="PagedecouvertureChar"/>
    <w:link w:val="FooterCoverPage"/>
    <w:rsid w:val="0084640F"/>
    <w:rPr>
      <w:rFonts w:ascii="Times New Roman" w:hAnsi="Times New Roman" w:cs="Times New Roman"/>
      <w:sz w:val="24"/>
    </w:rPr>
  </w:style>
  <w:style w:type="paragraph" w:customStyle="1" w:styleId="FooterSensitivity">
    <w:name w:val="Footer Sensitivity"/>
    <w:basedOn w:val="Normal"/>
    <w:link w:val="FooterSensitivityChar"/>
    <w:rsid w:val="0084640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84640F"/>
    <w:rPr>
      <w:rFonts w:ascii="Times New Roman" w:hAnsi="Times New Roman" w:cs="Times New Roman"/>
      <w:b/>
      <w:sz w:val="32"/>
    </w:rPr>
  </w:style>
  <w:style w:type="paragraph" w:customStyle="1" w:styleId="HeaderCoverPage">
    <w:name w:val="Header Cover Page"/>
    <w:basedOn w:val="Normal"/>
    <w:link w:val="HeaderCoverPageChar"/>
    <w:rsid w:val="0084640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84640F"/>
    <w:rPr>
      <w:rFonts w:ascii="Times New Roman" w:hAnsi="Times New Roman" w:cs="Times New Roman"/>
      <w:sz w:val="24"/>
    </w:rPr>
  </w:style>
  <w:style w:type="paragraph" w:customStyle="1" w:styleId="HeaderSensitivity">
    <w:name w:val="Header Sensitivity"/>
    <w:basedOn w:val="Normal"/>
    <w:link w:val="HeaderSensitivityChar"/>
    <w:rsid w:val="0084640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84640F"/>
    <w:rPr>
      <w:rFonts w:ascii="Times New Roman" w:hAnsi="Times New Roman" w:cs="Times New Roman"/>
      <w:b/>
      <w:sz w:val="32"/>
    </w:rPr>
  </w:style>
  <w:style w:type="paragraph" w:customStyle="1" w:styleId="HeaderSensitivityRight">
    <w:name w:val="Header Sensitivity Right"/>
    <w:basedOn w:val="Normal"/>
    <w:link w:val="HeaderSensitivityRightChar"/>
    <w:rsid w:val="0084640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84640F"/>
    <w:rPr>
      <w:rFonts w:ascii="Times New Roman" w:hAnsi="Times New Roman" w:cs="Times New Roman"/>
      <w:sz w:val="28"/>
    </w:rPr>
  </w:style>
  <w:style w:type="character" w:customStyle="1" w:styleId="UnresolvedMention7">
    <w:name w:val="Unresolved Mention7"/>
    <w:basedOn w:val="DefaultParagraphFont"/>
    <w:uiPriority w:val="99"/>
    <w:semiHidden/>
    <w:unhideWhenUsed/>
    <w:rsid w:val="002B1B28"/>
    <w:rPr>
      <w:color w:val="605E5C"/>
      <w:shd w:val="clear" w:color="auto" w:fill="E1DFDD"/>
    </w:rPr>
  </w:style>
  <w:style w:type="character" w:customStyle="1" w:styleId="Mention17">
    <w:name w:val="Mention17"/>
    <w:basedOn w:val="DefaultParagraphFont"/>
    <w:uiPriority w:val="99"/>
    <w:unhideWhenUsed/>
    <w:rPr>
      <w:color w:val="2B579A"/>
      <w:shd w:val="clear" w:color="auto" w:fill="E6E6E6"/>
    </w:rPr>
  </w:style>
  <w:style w:type="character" w:customStyle="1" w:styleId="Mention18">
    <w:name w:val="Mention18"/>
    <w:basedOn w:val="DefaultParagraphFont"/>
    <w:uiPriority w:val="99"/>
    <w:unhideWhenUsed/>
    <w:rsid w:val="00B462C4"/>
    <w:rPr>
      <w:color w:val="2B579A"/>
      <w:shd w:val="clear" w:color="auto" w:fill="E1DFDD"/>
    </w:rPr>
  </w:style>
  <w:style w:type="character" w:customStyle="1" w:styleId="UnresolvedMention8">
    <w:name w:val="Unresolved Mention8"/>
    <w:basedOn w:val="DefaultParagraphFont"/>
    <w:uiPriority w:val="99"/>
    <w:semiHidden/>
    <w:unhideWhenUsed/>
    <w:rsid w:val="002537DE"/>
    <w:rPr>
      <w:color w:val="605E5C"/>
      <w:shd w:val="clear" w:color="auto" w:fill="E1DFDD"/>
    </w:rPr>
  </w:style>
  <w:style w:type="character" w:customStyle="1" w:styleId="Mention19">
    <w:name w:val="Mention19"/>
    <w:basedOn w:val="DefaultParagraphFont"/>
    <w:uiPriority w:val="99"/>
    <w:unhideWhenUsed/>
    <w:rsid w:val="002537DE"/>
    <w:rPr>
      <w:color w:val="2B579A"/>
      <w:shd w:val="clear" w:color="auto" w:fill="E6E6E6"/>
    </w:rPr>
  </w:style>
  <w:style w:type="character" w:customStyle="1" w:styleId="UnresolvedMention9">
    <w:name w:val="Unresolved Mention9"/>
    <w:basedOn w:val="DefaultParagraphFont"/>
    <w:uiPriority w:val="99"/>
    <w:semiHidden/>
    <w:unhideWhenUsed/>
    <w:rsid w:val="00993E07"/>
    <w:rPr>
      <w:color w:val="605E5C"/>
      <w:shd w:val="clear" w:color="auto" w:fill="E1DFDD"/>
    </w:rPr>
  </w:style>
  <w:style w:type="character" w:customStyle="1" w:styleId="Mention20">
    <w:name w:val="Mention20"/>
    <w:basedOn w:val="DefaultParagraphFont"/>
    <w:uiPriority w:val="99"/>
    <w:unhideWhenUsed/>
    <w:rsid w:val="000E7105"/>
    <w:rPr>
      <w:color w:val="2B579A"/>
      <w:shd w:val="clear" w:color="auto" w:fill="E1DFDD"/>
    </w:rPr>
  </w:style>
  <w:style w:type="character" w:customStyle="1" w:styleId="UnresolvedMention10">
    <w:name w:val="Unresolved Mention10"/>
    <w:basedOn w:val="DefaultParagraphFont"/>
    <w:uiPriority w:val="99"/>
    <w:semiHidden/>
    <w:unhideWhenUsed/>
    <w:rsid w:val="008404C2"/>
    <w:rPr>
      <w:color w:val="605E5C"/>
      <w:shd w:val="clear" w:color="auto" w:fill="E1DFDD"/>
    </w:rPr>
  </w:style>
  <w:style w:type="character" w:customStyle="1" w:styleId="UnresolvedMention">
    <w:name w:val="Unresolved Mention"/>
    <w:basedOn w:val="DefaultParagraphFont"/>
    <w:uiPriority w:val="99"/>
    <w:semiHidden/>
    <w:unhideWhenUsed/>
    <w:rsid w:val="0025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974">
      <w:bodyDiv w:val="1"/>
      <w:marLeft w:val="0"/>
      <w:marRight w:val="0"/>
      <w:marTop w:val="0"/>
      <w:marBottom w:val="0"/>
      <w:divBdr>
        <w:top w:val="none" w:sz="0" w:space="0" w:color="auto"/>
        <w:left w:val="none" w:sz="0" w:space="0" w:color="auto"/>
        <w:bottom w:val="none" w:sz="0" w:space="0" w:color="auto"/>
        <w:right w:val="none" w:sz="0" w:space="0" w:color="auto"/>
      </w:divBdr>
    </w:div>
    <w:div w:id="174266364">
      <w:bodyDiv w:val="1"/>
      <w:marLeft w:val="0"/>
      <w:marRight w:val="0"/>
      <w:marTop w:val="0"/>
      <w:marBottom w:val="0"/>
      <w:divBdr>
        <w:top w:val="none" w:sz="0" w:space="0" w:color="auto"/>
        <w:left w:val="none" w:sz="0" w:space="0" w:color="auto"/>
        <w:bottom w:val="none" w:sz="0" w:space="0" w:color="auto"/>
        <w:right w:val="none" w:sz="0" w:space="0" w:color="auto"/>
      </w:divBdr>
    </w:div>
    <w:div w:id="205259456">
      <w:bodyDiv w:val="1"/>
      <w:marLeft w:val="0"/>
      <w:marRight w:val="0"/>
      <w:marTop w:val="0"/>
      <w:marBottom w:val="0"/>
      <w:divBdr>
        <w:top w:val="none" w:sz="0" w:space="0" w:color="auto"/>
        <w:left w:val="none" w:sz="0" w:space="0" w:color="auto"/>
        <w:bottom w:val="none" w:sz="0" w:space="0" w:color="auto"/>
        <w:right w:val="none" w:sz="0" w:space="0" w:color="auto"/>
      </w:divBdr>
    </w:div>
    <w:div w:id="210770422">
      <w:bodyDiv w:val="1"/>
      <w:marLeft w:val="0"/>
      <w:marRight w:val="0"/>
      <w:marTop w:val="0"/>
      <w:marBottom w:val="0"/>
      <w:divBdr>
        <w:top w:val="none" w:sz="0" w:space="0" w:color="auto"/>
        <w:left w:val="none" w:sz="0" w:space="0" w:color="auto"/>
        <w:bottom w:val="none" w:sz="0" w:space="0" w:color="auto"/>
        <w:right w:val="none" w:sz="0" w:space="0" w:color="auto"/>
      </w:divBdr>
    </w:div>
    <w:div w:id="263004149">
      <w:bodyDiv w:val="1"/>
      <w:marLeft w:val="0"/>
      <w:marRight w:val="0"/>
      <w:marTop w:val="0"/>
      <w:marBottom w:val="0"/>
      <w:divBdr>
        <w:top w:val="none" w:sz="0" w:space="0" w:color="auto"/>
        <w:left w:val="none" w:sz="0" w:space="0" w:color="auto"/>
        <w:bottom w:val="none" w:sz="0" w:space="0" w:color="auto"/>
        <w:right w:val="none" w:sz="0" w:space="0" w:color="auto"/>
      </w:divBdr>
    </w:div>
    <w:div w:id="720326514">
      <w:bodyDiv w:val="1"/>
      <w:marLeft w:val="0"/>
      <w:marRight w:val="0"/>
      <w:marTop w:val="0"/>
      <w:marBottom w:val="0"/>
      <w:divBdr>
        <w:top w:val="none" w:sz="0" w:space="0" w:color="auto"/>
        <w:left w:val="none" w:sz="0" w:space="0" w:color="auto"/>
        <w:bottom w:val="none" w:sz="0" w:space="0" w:color="auto"/>
        <w:right w:val="none" w:sz="0" w:space="0" w:color="auto"/>
      </w:divBdr>
    </w:div>
    <w:div w:id="740756975">
      <w:bodyDiv w:val="1"/>
      <w:marLeft w:val="0"/>
      <w:marRight w:val="0"/>
      <w:marTop w:val="0"/>
      <w:marBottom w:val="0"/>
      <w:divBdr>
        <w:top w:val="none" w:sz="0" w:space="0" w:color="auto"/>
        <w:left w:val="none" w:sz="0" w:space="0" w:color="auto"/>
        <w:bottom w:val="none" w:sz="0" w:space="0" w:color="auto"/>
        <w:right w:val="none" w:sz="0" w:space="0" w:color="auto"/>
      </w:divBdr>
    </w:div>
    <w:div w:id="821001594">
      <w:bodyDiv w:val="1"/>
      <w:marLeft w:val="0"/>
      <w:marRight w:val="0"/>
      <w:marTop w:val="0"/>
      <w:marBottom w:val="0"/>
      <w:divBdr>
        <w:top w:val="none" w:sz="0" w:space="0" w:color="auto"/>
        <w:left w:val="none" w:sz="0" w:space="0" w:color="auto"/>
        <w:bottom w:val="none" w:sz="0" w:space="0" w:color="auto"/>
        <w:right w:val="none" w:sz="0" w:space="0" w:color="auto"/>
      </w:divBdr>
    </w:div>
    <w:div w:id="885994384">
      <w:bodyDiv w:val="1"/>
      <w:marLeft w:val="0"/>
      <w:marRight w:val="0"/>
      <w:marTop w:val="0"/>
      <w:marBottom w:val="0"/>
      <w:divBdr>
        <w:top w:val="none" w:sz="0" w:space="0" w:color="auto"/>
        <w:left w:val="none" w:sz="0" w:space="0" w:color="auto"/>
        <w:bottom w:val="none" w:sz="0" w:space="0" w:color="auto"/>
        <w:right w:val="none" w:sz="0" w:space="0" w:color="auto"/>
      </w:divBdr>
    </w:div>
    <w:div w:id="911038198">
      <w:bodyDiv w:val="1"/>
      <w:marLeft w:val="0"/>
      <w:marRight w:val="0"/>
      <w:marTop w:val="0"/>
      <w:marBottom w:val="0"/>
      <w:divBdr>
        <w:top w:val="none" w:sz="0" w:space="0" w:color="auto"/>
        <w:left w:val="none" w:sz="0" w:space="0" w:color="auto"/>
        <w:bottom w:val="none" w:sz="0" w:space="0" w:color="auto"/>
        <w:right w:val="none" w:sz="0" w:space="0" w:color="auto"/>
      </w:divBdr>
    </w:div>
    <w:div w:id="946353802">
      <w:bodyDiv w:val="1"/>
      <w:marLeft w:val="0"/>
      <w:marRight w:val="0"/>
      <w:marTop w:val="0"/>
      <w:marBottom w:val="0"/>
      <w:divBdr>
        <w:top w:val="none" w:sz="0" w:space="0" w:color="auto"/>
        <w:left w:val="none" w:sz="0" w:space="0" w:color="auto"/>
        <w:bottom w:val="none" w:sz="0" w:space="0" w:color="auto"/>
        <w:right w:val="none" w:sz="0" w:space="0" w:color="auto"/>
      </w:divBdr>
    </w:div>
    <w:div w:id="992870636">
      <w:bodyDiv w:val="1"/>
      <w:marLeft w:val="0"/>
      <w:marRight w:val="0"/>
      <w:marTop w:val="0"/>
      <w:marBottom w:val="0"/>
      <w:divBdr>
        <w:top w:val="none" w:sz="0" w:space="0" w:color="auto"/>
        <w:left w:val="none" w:sz="0" w:space="0" w:color="auto"/>
        <w:bottom w:val="none" w:sz="0" w:space="0" w:color="auto"/>
        <w:right w:val="none" w:sz="0" w:space="0" w:color="auto"/>
      </w:divBdr>
    </w:div>
    <w:div w:id="993266435">
      <w:bodyDiv w:val="1"/>
      <w:marLeft w:val="0"/>
      <w:marRight w:val="0"/>
      <w:marTop w:val="0"/>
      <w:marBottom w:val="0"/>
      <w:divBdr>
        <w:top w:val="none" w:sz="0" w:space="0" w:color="auto"/>
        <w:left w:val="none" w:sz="0" w:space="0" w:color="auto"/>
        <w:bottom w:val="none" w:sz="0" w:space="0" w:color="auto"/>
        <w:right w:val="none" w:sz="0" w:space="0" w:color="auto"/>
      </w:divBdr>
    </w:div>
    <w:div w:id="1044645257">
      <w:bodyDiv w:val="1"/>
      <w:marLeft w:val="0"/>
      <w:marRight w:val="0"/>
      <w:marTop w:val="0"/>
      <w:marBottom w:val="0"/>
      <w:divBdr>
        <w:top w:val="none" w:sz="0" w:space="0" w:color="auto"/>
        <w:left w:val="none" w:sz="0" w:space="0" w:color="auto"/>
        <w:bottom w:val="none" w:sz="0" w:space="0" w:color="auto"/>
        <w:right w:val="none" w:sz="0" w:space="0" w:color="auto"/>
      </w:divBdr>
    </w:div>
    <w:div w:id="1069233431">
      <w:bodyDiv w:val="1"/>
      <w:marLeft w:val="0"/>
      <w:marRight w:val="0"/>
      <w:marTop w:val="0"/>
      <w:marBottom w:val="0"/>
      <w:divBdr>
        <w:top w:val="none" w:sz="0" w:space="0" w:color="auto"/>
        <w:left w:val="none" w:sz="0" w:space="0" w:color="auto"/>
        <w:bottom w:val="none" w:sz="0" w:space="0" w:color="auto"/>
        <w:right w:val="none" w:sz="0" w:space="0" w:color="auto"/>
      </w:divBdr>
    </w:div>
    <w:div w:id="1146244353">
      <w:bodyDiv w:val="1"/>
      <w:marLeft w:val="0"/>
      <w:marRight w:val="0"/>
      <w:marTop w:val="0"/>
      <w:marBottom w:val="0"/>
      <w:divBdr>
        <w:top w:val="none" w:sz="0" w:space="0" w:color="auto"/>
        <w:left w:val="none" w:sz="0" w:space="0" w:color="auto"/>
        <w:bottom w:val="none" w:sz="0" w:space="0" w:color="auto"/>
        <w:right w:val="none" w:sz="0" w:space="0" w:color="auto"/>
      </w:divBdr>
    </w:div>
    <w:div w:id="1164584739">
      <w:bodyDiv w:val="1"/>
      <w:marLeft w:val="0"/>
      <w:marRight w:val="0"/>
      <w:marTop w:val="0"/>
      <w:marBottom w:val="0"/>
      <w:divBdr>
        <w:top w:val="none" w:sz="0" w:space="0" w:color="auto"/>
        <w:left w:val="none" w:sz="0" w:space="0" w:color="auto"/>
        <w:bottom w:val="none" w:sz="0" w:space="0" w:color="auto"/>
        <w:right w:val="none" w:sz="0" w:space="0" w:color="auto"/>
      </w:divBdr>
    </w:div>
    <w:div w:id="1279339974">
      <w:bodyDiv w:val="1"/>
      <w:marLeft w:val="0"/>
      <w:marRight w:val="0"/>
      <w:marTop w:val="0"/>
      <w:marBottom w:val="0"/>
      <w:divBdr>
        <w:top w:val="none" w:sz="0" w:space="0" w:color="auto"/>
        <w:left w:val="none" w:sz="0" w:space="0" w:color="auto"/>
        <w:bottom w:val="none" w:sz="0" w:space="0" w:color="auto"/>
        <w:right w:val="none" w:sz="0" w:space="0" w:color="auto"/>
      </w:divBdr>
    </w:div>
    <w:div w:id="1288126459">
      <w:bodyDiv w:val="1"/>
      <w:marLeft w:val="0"/>
      <w:marRight w:val="0"/>
      <w:marTop w:val="0"/>
      <w:marBottom w:val="0"/>
      <w:divBdr>
        <w:top w:val="none" w:sz="0" w:space="0" w:color="auto"/>
        <w:left w:val="none" w:sz="0" w:space="0" w:color="auto"/>
        <w:bottom w:val="none" w:sz="0" w:space="0" w:color="auto"/>
        <w:right w:val="none" w:sz="0" w:space="0" w:color="auto"/>
      </w:divBdr>
    </w:div>
    <w:div w:id="1307398512">
      <w:bodyDiv w:val="1"/>
      <w:marLeft w:val="0"/>
      <w:marRight w:val="0"/>
      <w:marTop w:val="0"/>
      <w:marBottom w:val="0"/>
      <w:divBdr>
        <w:top w:val="none" w:sz="0" w:space="0" w:color="auto"/>
        <w:left w:val="none" w:sz="0" w:space="0" w:color="auto"/>
        <w:bottom w:val="none" w:sz="0" w:space="0" w:color="auto"/>
        <w:right w:val="none" w:sz="0" w:space="0" w:color="auto"/>
      </w:divBdr>
    </w:div>
    <w:div w:id="1366059945">
      <w:bodyDiv w:val="1"/>
      <w:marLeft w:val="0"/>
      <w:marRight w:val="0"/>
      <w:marTop w:val="0"/>
      <w:marBottom w:val="0"/>
      <w:divBdr>
        <w:top w:val="none" w:sz="0" w:space="0" w:color="auto"/>
        <w:left w:val="none" w:sz="0" w:space="0" w:color="auto"/>
        <w:bottom w:val="none" w:sz="0" w:space="0" w:color="auto"/>
        <w:right w:val="none" w:sz="0" w:space="0" w:color="auto"/>
      </w:divBdr>
    </w:div>
    <w:div w:id="1387754667">
      <w:bodyDiv w:val="1"/>
      <w:marLeft w:val="0"/>
      <w:marRight w:val="0"/>
      <w:marTop w:val="0"/>
      <w:marBottom w:val="0"/>
      <w:divBdr>
        <w:top w:val="none" w:sz="0" w:space="0" w:color="auto"/>
        <w:left w:val="none" w:sz="0" w:space="0" w:color="auto"/>
        <w:bottom w:val="none" w:sz="0" w:space="0" w:color="auto"/>
        <w:right w:val="none" w:sz="0" w:space="0" w:color="auto"/>
      </w:divBdr>
    </w:div>
    <w:div w:id="1399860759">
      <w:bodyDiv w:val="1"/>
      <w:marLeft w:val="0"/>
      <w:marRight w:val="0"/>
      <w:marTop w:val="0"/>
      <w:marBottom w:val="0"/>
      <w:divBdr>
        <w:top w:val="none" w:sz="0" w:space="0" w:color="auto"/>
        <w:left w:val="none" w:sz="0" w:space="0" w:color="auto"/>
        <w:bottom w:val="none" w:sz="0" w:space="0" w:color="auto"/>
        <w:right w:val="none" w:sz="0" w:space="0" w:color="auto"/>
      </w:divBdr>
    </w:div>
    <w:div w:id="1464620363">
      <w:bodyDiv w:val="1"/>
      <w:marLeft w:val="0"/>
      <w:marRight w:val="0"/>
      <w:marTop w:val="0"/>
      <w:marBottom w:val="0"/>
      <w:divBdr>
        <w:top w:val="none" w:sz="0" w:space="0" w:color="auto"/>
        <w:left w:val="none" w:sz="0" w:space="0" w:color="auto"/>
        <w:bottom w:val="none" w:sz="0" w:space="0" w:color="auto"/>
        <w:right w:val="none" w:sz="0" w:space="0" w:color="auto"/>
      </w:divBdr>
    </w:div>
    <w:div w:id="1526405880">
      <w:bodyDiv w:val="1"/>
      <w:marLeft w:val="0"/>
      <w:marRight w:val="0"/>
      <w:marTop w:val="0"/>
      <w:marBottom w:val="0"/>
      <w:divBdr>
        <w:top w:val="none" w:sz="0" w:space="0" w:color="auto"/>
        <w:left w:val="none" w:sz="0" w:space="0" w:color="auto"/>
        <w:bottom w:val="none" w:sz="0" w:space="0" w:color="auto"/>
        <w:right w:val="none" w:sz="0" w:space="0" w:color="auto"/>
      </w:divBdr>
    </w:div>
    <w:div w:id="1554075556">
      <w:bodyDiv w:val="1"/>
      <w:marLeft w:val="0"/>
      <w:marRight w:val="0"/>
      <w:marTop w:val="0"/>
      <w:marBottom w:val="0"/>
      <w:divBdr>
        <w:top w:val="none" w:sz="0" w:space="0" w:color="auto"/>
        <w:left w:val="none" w:sz="0" w:space="0" w:color="auto"/>
        <w:bottom w:val="none" w:sz="0" w:space="0" w:color="auto"/>
        <w:right w:val="none" w:sz="0" w:space="0" w:color="auto"/>
      </w:divBdr>
    </w:div>
    <w:div w:id="1561209108">
      <w:bodyDiv w:val="1"/>
      <w:marLeft w:val="0"/>
      <w:marRight w:val="0"/>
      <w:marTop w:val="0"/>
      <w:marBottom w:val="0"/>
      <w:divBdr>
        <w:top w:val="none" w:sz="0" w:space="0" w:color="auto"/>
        <w:left w:val="none" w:sz="0" w:space="0" w:color="auto"/>
        <w:bottom w:val="none" w:sz="0" w:space="0" w:color="auto"/>
        <w:right w:val="none" w:sz="0" w:space="0" w:color="auto"/>
      </w:divBdr>
    </w:div>
    <w:div w:id="1622877841">
      <w:bodyDiv w:val="1"/>
      <w:marLeft w:val="0"/>
      <w:marRight w:val="0"/>
      <w:marTop w:val="0"/>
      <w:marBottom w:val="0"/>
      <w:divBdr>
        <w:top w:val="none" w:sz="0" w:space="0" w:color="auto"/>
        <w:left w:val="none" w:sz="0" w:space="0" w:color="auto"/>
        <w:bottom w:val="none" w:sz="0" w:space="0" w:color="auto"/>
        <w:right w:val="none" w:sz="0" w:space="0" w:color="auto"/>
      </w:divBdr>
    </w:div>
    <w:div w:id="1664775163">
      <w:bodyDiv w:val="1"/>
      <w:marLeft w:val="0"/>
      <w:marRight w:val="0"/>
      <w:marTop w:val="0"/>
      <w:marBottom w:val="0"/>
      <w:divBdr>
        <w:top w:val="none" w:sz="0" w:space="0" w:color="auto"/>
        <w:left w:val="none" w:sz="0" w:space="0" w:color="auto"/>
        <w:bottom w:val="none" w:sz="0" w:space="0" w:color="auto"/>
        <w:right w:val="none" w:sz="0" w:space="0" w:color="auto"/>
      </w:divBdr>
    </w:div>
    <w:div w:id="1712145555">
      <w:bodyDiv w:val="1"/>
      <w:marLeft w:val="0"/>
      <w:marRight w:val="0"/>
      <w:marTop w:val="0"/>
      <w:marBottom w:val="0"/>
      <w:divBdr>
        <w:top w:val="none" w:sz="0" w:space="0" w:color="auto"/>
        <w:left w:val="none" w:sz="0" w:space="0" w:color="auto"/>
        <w:bottom w:val="none" w:sz="0" w:space="0" w:color="auto"/>
        <w:right w:val="none" w:sz="0" w:space="0" w:color="auto"/>
      </w:divBdr>
    </w:div>
    <w:div w:id="1761946313">
      <w:bodyDiv w:val="1"/>
      <w:marLeft w:val="0"/>
      <w:marRight w:val="0"/>
      <w:marTop w:val="0"/>
      <w:marBottom w:val="0"/>
      <w:divBdr>
        <w:top w:val="none" w:sz="0" w:space="0" w:color="auto"/>
        <w:left w:val="none" w:sz="0" w:space="0" w:color="auto"/>
        <w:bottom w:val="none" w:sz="0" w:space="0" w:color="auto"/>
        <w:right w:val="none" w:sz="0" w:space="0" w:color="auto"/>
      </w:divBdr>
    </w:div>
    <w:div w:id="1791514616">
      <w:bodyDiv w:val="1"/>
      <w:marLeft w:val="0"/>
      <w:marRight w:val="0"/>
      <w:marTop w:val="0"/>
      <w:marBottom w:val="0"/>
      <w:divBdr>
        <w:top w:val="none" w:sz="0" w:space="0" w:color="auto"/>
        <w:left w:val="none" w:sz="0" w:space="0" w:color="auto"/>
        <w:bottom w:val="none" w:sz="0" w:space="0" w:color="auto"/>
        <w:right w:val="none" w:sz="0" w:space="0" w:color="auto"/>
      </w:divBdr>
    </w:div>
    <w:div w:id="1902059646">
      <w:bodyDiv w:val="1"/>
      <w:marLeft w:val="0"/>
      <w:marRight w:val="0"/>
      <w:marTop w:val="0"/>
      <w:marBottom w:val="0"/>
      <w:divBdr>
        <w:top w:val="none" w:sz="0" w:space="0" w:color="auto"/>
        <w:left w:val="none" w:sz="0" w:space="0" w:color="auto"/>
        <w:bottom w:val="none" w:sz="0" w:space="0" w:color="auto"/>
        <w:right w:val="none" w:sz="0" w:space="0" w:color="auto"/>
      </w:divBdr>
    </w:div>
    <w:div w:id="1929656817">
      <w:bodyDiv w:val="1"/>
      <w:marLeft w:val="0"/>
      <w:marRight w:val="0"/>
      <w:marTop w:val="0"/>
      <w:marBottom w:val="0"/>
      <w:divBdr>
        <w:top w:val="none" w:sz="0" w:space="0" w:color="auto"/>
        <w:left w:val="none" w:sz="0" w:space="0" w:color="auto"/>
        <w:bottom w:val="none" w:sz="0" w:space="0" w:color="auto"/>
        <w:right w:val="none" w:sz="0" w:space="0" w:color="auto"/>
      </w:divBdr>
    </w:div>
    <w:div w:id="2071539634">
      <w:bodyDiv w:val="1"/>
      <w:marLeft w:val="0"/>
      <w:marRight w:val="0"/>
      <w:marTop w:val="0"/>
      <w:marBottom w:val="0"/>
      <w:divBdr>
        <w:top w:val="none" w:sz="0" w:space="0" w:color="auto"/>
        <w:left w:val="none" w:sz="0" w:space="0" w:color="auto"/>
        <w:bottom w:val="none" w:sz="0" w:space="0" w:color="auto"/>
        <w:right w:val="none" w:sz="0" w:space="0" w:color="auto"/>
      </w:divBdr>
    </w:div>
    <w:div w:id="2072073468">
      <w:bodyDiv w:val="1"/>
      <w:marLeft w:val="0"/>
      <w:marRight w:val="0"/>
      <w:marTop w:val="0"/>
      <w:marBottom w:val="0"/>
      <w:divBdr>
        <w:top w:val="none" w:sz="0" w:space="0" w:color="auto"/>
        <w:left w:val="none" w:sz="0" w:space="0" w:color="auto"/>
        <w:bottom w:val="none" w:sz="0" w:space="0" w:color="auto"/>
        <w:right w:val="none" w:sz="0" w:space="0" w:color="auto"/>
      </w:divBdr>
    </w:div>
    <w:div w:id="21040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ecb.europa.eu/stats/policy_and_exchange_rates/euro_reference_exchange_rates/html/eurofxref-graph-usd.en.html" TargetMode="External"/><Relationship Id="rId18" Type="http://schemas.openxmlformats.org/officeDocument/2006/relationships/hyperlink" Target="https://www.ecb.europa.eu/stats/policy_and_exchange_rates/euro_reference_exchange_rates/html/eurofxref-graph-jpy.en.html" TargetMode="External"/><Relationship Id="rId26" Type="http://schemas.openxmlformats.org/officeDocument/2006/relationships/hyperlink" Target="https://energy.ec.europa.eu/news/pact-skills-launch-large-scale-renewable-energy-skills-partnership-2023-03-21_en" TargetMode="External"/><Relationship Id="rId39" Type="http://schemas.openxmlformats.org/officeDocument/2006/relationships/hyperlink" Target="https://www.pvxchange.com/Price-Index" TargetMode="External"/><Relationship Id="rId21" Type="http://schemas.openxmlformats.org/officeDocument/2006/relationships/hyperlink" Target="https://commission.europa.eu/funding-tenders/find-funding/eu-funding-programmes/technical-support-instrument/technical-support-instrument-tsi/technical-support-instrument-2024-call_en" TargetMode="External"/><Relationship Id="rId34" Type="http://schemas.openxmlformats.org/officeDocument/2006/relationships/hyperlink" Target="https://energy.ec.europa.eu/topics/energy-strategy/national-energy-and-climate-plans-necps_en" TargetMode="External"/><Relationship Id="rId42" Type="http://schemas.openxmlformats.org/officeDocument/2006/relationships/hyperlink" Target="https://windeurope.org/intelligence-platform/product/wind-energy-in-europe-2022-statistics-and-the-outlook-for-2023-2027/" TargetMode="External"/><Relationship Id="rId47" Type="http://schemas.openxmlformats.org/officeDocument/2006/relationships/hyperlink" Target="https://www.etipocean.eu/knowledge_hub/industrial-roadmap-for-ocean-energy/" TargetMode="External"/><Relationship Id="rId50" Type="http://schemas.openxmlformats.org/officeDocument/2006/relationships/hyperlink" Target="https://single-market-economy.ec.europa.eu/industry/strategy/industrial-alliances/european-battery-alliance_en" TargetMode="External"/><Relationship Id="rId55" Type="http://schemas.openxmlformats.org/officeDocument/2006/relationships/hyperlink" Target="https://iea.blob.core.windows.net/assets/dacf14d2-eabc-498a-8263-9f97fd5dc327/GEVO2023.pdf" TargetMode="External"/><Relationship Id="rId63" Type="http://schemas.openxmlformats.org/officeDocument/2006/relationships/hyperlink" Target="https://www.transportenvironment.org/discover/how-not-to-lose-it-all/" TargetMode="External"/><Relationship Id="rId68" Type="http://schemas.openxmlformats.org/officeDocument/2006/relationships/hyperlink" Target="https://www.greencarcongress.com/2023/05/20230531-acc.html" TargetMode="External"/><Relationship Id="rId76" Type="http://schemas.openxmlformats.org/officeDocument/2006/relationships/hyperlink" Target="https://single-market-economy.ec.europa.eu/industry/strategy/industrial-alliances/european-clean-hydrogen-alliance_en" TargetMode="External"/><Relationship Id="rId84" Type="http://schemas.openxmlformats.org/officeDocument/2006/relationships/hyperlink" Target="https://www.europeanenergyinnovation.eu/Articles/Autumn-2022/A-new-policy-context-for-assessing-biogas-and-biomethane" TargetMode="External"/><Relationship Id="rId89" Type="http://schemas.openxmlformats.org/officeDocument/2006/relationships/hyperlink" Target="https://www.ecb.europa.eu/stats/policy_and_exchange_rates/euro_reference_exchange_rates/html/eurofxref-graph-usd.en.html" TargetMode="External"/><Relationship Id="rId7" Type="http://schemas.openxmlformats.org/officeDocument/2006/relationships/hyperlink" Target="https://www.ecb.europa.eu/stats/policy_and_exchange_rates/euro_reference_exchange_rates/html/eurofxref-graph-usd.en.html" TargetMode="External"/><Relationship Id="rId71" Type="http://schemas.openxmlformats.org/officeDocument/2006/relationships/hyperlink" Target="https://www.ehpa.org/wp-content/uploads/2022/11/HP-Investments-Website-3.0.pdf" TargetMode="External"/><Relationship Id="rId92" Type="http://schemas.openxmlformats.org/officeDocument/2006/relationships/hyperlink" Target="https://www.power-technology.com/data-insights/innovators-hvdc-transmission-systems-power/" TargetMode="External"/><Relationship Id="rId2" Type="http://schemas.openxmlformats.org/officeDocument/2006/relationships/hyperlink" Target="https://setis.ec.europa.eu/publications/clean-energy-technology-observatory-ceto_en" TargetMode="External"/><Relationship Id="rId16" Type="http://schemas.openxmlformats.org/officeDocument/2006/relationships/hyperlink" Target="https://www.green.earth/news/the-japanese-cabinet-confirms-the-basic-plan-for-the-gx-green-transformation-policy" TargetMode="External"/><Relationship Id="rId29" Type="http://schemas.openxmlformats.org/officeDocument/2006/relationships/hyperlink" Target="https://energy.ec.europa.eu/news/pact-skills-launch-large-scale-renewable-energy-skills-partnership-2023-03-21_en" TargetMode="External"/><Relationship Id="rId11" Type="http://schemas.openxmlformats.org/officeDocument/2006/relationships/hyperlink" Target="https://data.europa.eu/doi/10.2833/946002" TargetMode="External"/><Relationship Id="rId24" Type="http://schemas.openxmlformats.org/officeDocument/2006/relationships/hyperlink" Target="https://www.eurobserv-er.org/category/all-annual-overview-barometers/" TargetMode="External"/><Relationship Id="rId32" Type="http://schemas.openxmlformats.org/officeDocument/2006/relationships/hyperlink" Target="https://setis.ec.europa.eu/publications/setis-reseach-and-innovation-data_en" TargetMode="External"/><Relationship Id="rId37" Type="http://schemas.openxmlformats.org/officeDocument/2006/relationships/hyperlink" Target="https://doi.org/10.1002/pip.3726" TargetMode="External"/><Relationship Id="rId40" Type="http://schemas.openxmlformats.org/officeDocument/2006/relationships/hyperlink" Target="https://iea-pvps.org/snapshot-reports/snapshot-2023/" TargetMode="External"/><Relationship Id="rId45" Type="http://schemas.openxmlformats.org/officeDocument/2006/relationships/hyperlink" Target="https://windeurope.org/newsroom/press-releases/investments-in-wind-energy-are-down-europe-must-get-market-design-and-green-industrial-policy-right/" TargetMode="External"/><Relationship Id="rId53" Type="http://schemas.openxmlformats.org/officeDocument/2006/relationships/hyperlink" Target="https://www.iea.org/reports/global-ev-outlook-2023/executive-summary" TargetMode="External"/><Relationship Id="rId58" Type="http://schemas.openxmlformats.org/officeDocument/2006/relationships/hyperlink" Target="https://insideevs.com/news/666377/europe-plugin-car-sales-march2023/" TargetMode="External"/><Relationship Id="rId66" Type="http://schemas.openxmlformats.org/officeDocument/2006/relationships/hyperlink" Target="https://www.mckinsey.com/industries/automotive-and-assembly/our-insights/battery-2030-resilient-sustainable-and-circular" TargetMode="External"/><Relationship Id="rId74" Type="http://schemas.openxmlformats.org/officeDocument/2006/relationships/hyperlink" Target="https://www.egec.org/wp-content/uploads/2023/05/EGEC-Market-Report-2022_Key-Findings.pdf" TargetMode="External"/><Relationship Id="rId79" Type="http://schemas.openxmlformats.org/officeDocument/2006/relationships/hyperlink" Target="https://ec.europa.eu/docsroom/documents/54935" TargetMode="External"/><Relationship Id="rId87" Type="http://schemas.openxmlformats.org/officeDocument/2006/relationships/hyperlink" Target="https://energy.ec.europa.eu/publications/eu-regulation-development-market-co2-transport-and-storage_en" TargetMode="External"/><Relationship Id="rId5" Type="http://schemas.openxmlformats.org/officeDocument/2006/relationships/hyperlink" Target="https://www.enerdata.net/publications/daily-energy-news/europe-built-19-gw-new-wind-capacity-2022-including-16-gw-eu.html" TargetMode="External"/><Relationship Id="rId61" Type="http://schemas.openxmlformats.org/officeDocument/2006/relationships/hyperlink" Target="https://source.benchmarkminerals.com/article/ira-supercharges-usas-gigafactory-capacity-pipeline-as-it-overtakes-europe-for-first-time" TargetMode="External"/><Relationship Id="rId82" Type="http://schemas.openxmlformats.org/officeDocument/2006/relationships/hyperlink" Target="https://www.eurobserv-er.org/online-database/" TargetMode="External"/><Relationship Id="rId90" Type="http://schemas.openxmlformats.org/officeDocument/2006/relationships/hyperlink" Target="https://publications.jrc.ec.europa.eu/repository/handle/JRC13066" TargetMode="External"/><Relationship Id="rId19" Type="http://schemas.openxmlformats.org/officeDocument/2006/relationships/hyperlink" Target="https://www.bloomberg.com/news/articles/2023-02-01/india-to-invest-4-3-billion-for-energy-transition-and-security" TargetMode="External"/><Relationship Id="rId14" Type="http://schemas.openxmlformats.org/officeDocument/2006/relationships/hyperlink" Target="https://www.ecb.europa.eu/stats/policy_and_exchange_rates/euro_reference_exchange_rates/html/eurofxref-graph-usd.en.html" TargetMode="External"/><Relationship Id="rId22" Type="http://schemas.openxmlformats.org/officeDocument/2006/relationships/hyperlink" Target="https://commission.europa.eu/strategy-and-policy/eu-budget/strategic-technologies-europe-platform_en" TargetMode="External"/><Relationship Id="rId27" Type="http://schemas.openxmlformats.org/officeDocument/2006/relationships/hyperlink" Target="https://ec.europa.eu/social/main.jsp?catId=738&amp;langId=en&amp;pubId=8553&amp;furtherPubs=yes" TargetMode="External"/><Relationship Id="rId30" Type="http://schemas.openxmlformats.org/officeDocument/2006/relationships/hyperlink" Target="https://energy.ec.europa.eu/news/pact-skills-launch-large-scale-renewable-energy-skills-partnership-2023-03-21_en" TargetMode="External"/><Relationship Id="rId35" Type="http://schemas.openxmlformats.org/officeDocument/2006/relationships/hyperlink" Target="https://www.pitchbook.com" TargetMode="External"/><Relationship Id="rId43" Type="http://schemas.openxmlformats.org/officeDocument/2006/relationships/hyperlink" Target="https://windeurope.org/intelligence-platform/product/wind-energy-in-europe-2022-statistics-and-the-outlook-for-2023-2027/" TargetMode="External"/><Relationship Id="rId48" Type="http://schemas.openxmlformats.org/officeDocument/2006/relationships/hyperlink" Target="https://www.eca.europa.eu/ECAPublications/SR-2023-15/SR-2023-15_ES.pdf" TargetMode="External"/><Relationship Id="rId56" Type="http://schemas.openxmlformats.org/officeDocument/2006/relationships/hyperlink" Target="https://about.bnef.com/blog/lithium-ion-battery-pack-prices-rise-for-first-time-to-an-average-of-151-kwh/" TargetMode="External"/><Relationship Id="rId64" Type="http://schemas.openxmlformats.org/officeDocument/2006/relationships/hyperlink" Target="https://battery-charts.rwth-aachen.de/" TargetMode="External"/><Relationship Id="rId69" Type="http://schemas.openxmlformats.org/officeDocument/2006/relationships/hyperlink" Target="https://www.isi.fraunhofer.de/en/blog/themen/batterie-update/recycling-lithium-ionen-batterien-europa-starke-zunahme-2030-2040.html" TargetMode="External"/><Relationship Id="rId77" Type="http://schemas.openxmlformats.org/officeDocument/2006/relationships/hyperlink" Target="https://hydrogeneurope.eu/new-electrolyser-partnership/" TargetMode="External"/><Relationship Id="rId8" Type="http://schemas.openxmlformats.org/officeDocument/2006/relationships/hyperlink" Target="https://economy-finance.ec.europa.eu/system/files/2023-06/dp187_en_energy%20markets.pdf" TargetMode="External"/><Relationship Id="rId51" Type="http://schemas.openxmlformats.org/officeDocument/2006/relationships/hyperlink" Target="https://www.acea.auto/fuel-pc/fuel-types-of-new-cars-battery-electric-12-1-hybrid-22-6-and-petrol-36-4-market-share-full-year-2022/" TargetMode="External"/><Relationship Id="rId72" Type="http://schemas.openxmlformats.org/officeDocument/2006/relationships/hyperlink" Target="https://webstore.iec.ch/publication/62837" TargetMode="External"/><Relationship Id="rId80" Type="http://schemas.openxmlformats.org/officeDocument/2006/relationships/hyperlink" Target="https://cordis.europa.eu/projects/es" TargetMode="External"/><Relationship Id="rId85" Type="http://schemas.openxmlformats.org/officeDocument/2006/relationships/hyperlink" Target="https://www.europeanbiogas.eu/biomethane-map-2021/" TargetMode="External"/><Relationship Id="rId93" Type="http://schemas.openxmlformats.org/officeDocument/2006/relationships/hyperlink" Target="https://www.ecb.europa.eu/stats/policy_and_exchange_rates/euro_reference_exchange_rates/html/eurofxref-graph-usd.en.html" TargetMode="External"/><Relationship Id="rId3" Type="http://schemas.openxmlformats.org/officeDocument/2006/relationships/hyperlink" Target="https://ember-climate.org/insights/research/eu-fossil-generation-hits-record-low-as-demand-falls/" TargetMode="External"/><Relationship Id="rId12" Type="http://schemas.openxmlformats.org/officeDocument/2006/relationships/hyperlink" Target="https://www.whitehouse.gov/cleanenergy/inflation-reduction-act-guidebook/" TargetMode="External"/><Relationship Id="rId17" Type="http://schemas.openxmlformats.org/officeDocument/2006/relationships/hyperlink" Target="https://www.green.earth/news/the-japanese-cabinet-confirms-the-basic-plan-for-the-gx-green-transformation-policy" TargetMode="External"/><Relationship Id="rId25" Type="http://schemas.openxmlformats.org/officeDocument/2006/relationships/hyperlink" Target="https://ec.europa.eu/commission/presscorner/detail/en/ip_23_3704" TargetMode="External"/><Relationship Id="rId33" Type="http://schemas.openxmlformats.org/officeDocument/2006/relationships/hyperlink" Target="https://setis.ec.europa.eu/publications/setis-reseach-and-innovation-data_en" TargetMode="External"/><Relationship Id="rId38" Type="http://schemas.openxmlformats.org/officeDocument/2006/relationships/hyperlink" Target="https://www.woodmac.com/press-releases/chinas-solar-exports-booming-up-64-in-2022-despite-global-trade-tensions/" TargetMode="External"/><Relationship Id="rId46" Type="http://schemas.openxmlformats.org/officeDocument/2006/relationships/hyperlink" Target="https://www.oceanenergy-europe.eu/policy-topics/research-innovation/" TargetMode="External"/><Relationship Id="rId59" Type="http://schemas.openxmlformats.org/officeDocument/2006/relationships/hyperlink" Target="https://www.whitehouse.gov/invest/" TargetMode="External"/><Relationship Id="rId67" Type="http://schemas.openxmlformats.org/officeDocument/2006/relationships/hyperlink" Target="https://www.mckinsey.com/industries/automotive-and-assembly/our-insights/battery-2030-resilient-sustainable-and-circular" TargetMode="External"/><Relationship Id="rId20" Type="http://schemas.openxmlformats.org/officeDocument/2006/relationships/hyperlink" Target="https://www.ecb.europa.eu/stats/policy_and_exchange_rates/euro_reference_exchange_rates/html/eurofxref-graph-inr.en.html" TargetMode="External"/><Relationship Id="rId41" Type="http://schemas.openxmlformats.org/officeDocument/2006/relationships/hyperlink" Target="https://commission.europa.eu/publications/spain-draft-updated-necp-2021-2030_en" TargetMode="External"/><Relationship Id="rId54" Type="http://schemas.openxmlformats.org/officeDocument/2006/relationships/hyperlink" Target="https://single-market-economy.ec.europa.eu/industry/strategy/industrial-alliances/european-battery-alliance_en" TargetMode="External"/><Relationship Id="rId62" Type="http://schemas.openxmlformats.org/officeDocument/2006/relationships/hyperlink" Target="https://www.eba250.com/wp-content/uploads/2023/03/EBA_DiscussionPaper_Battery-Ministerial_01_03_2023.pdf" TargetMode="External"/><Relationship Id="rId70" Type="http://schemas.openxmlformats.org/officeDocument/2006/relationships/hyperlink" Target="https://ec.europa.eu/info/law/better-regulation/have-your-say/initiatives/13771-Heat-pumps-action-plan-to-accelerate-roll-out-across-the-EU_es" TargetMode="External"/><Relationship Id="rId75" Type="http://schemas.openxmlformats.org/officeDocument/2006/relationships/hyperlink" Target="https://www.egec.org/wp-content/uploads/2023/05/EGEC-Market-Report-2022_Key-Findings.pdf" TargetMode="External"/><Relationship Id="rId83" Type="http://schemas.openxmlformats.org/officeDocument/2006/relationships/hyperlink" Target="https://data.europa.eu/doi/10.2832/163774" TargetMode="External"/><Relationship Id="rId88" Type="http://schemas.openxmlformats.org/officeDocument/2006/relationships/hyperlink" Target="https://status22.globalccsinstitute.com/wp-content/uploads/2023/03/GCCSI_Global-Report-2022_PDF_FINAL-01-03-23.pdf" TargetMode="External"/><Relationship Id="rId91" Type="http://schemas.openxmlformats.org/officeDocument/2006/relationships/hyperlink" Target="https://interopera.eu" TargetMode="External"/><Relationship Id="rId1" Type="http://schemas.openxmlformats.org/officeDocument/2006/relationships/hyperlink" Target="https://energy.ec.europa.eu/topics/research-and-technology/clean-energy-competitiveness_en" TargetMode="External"/><Relationship Id="rId6" Type="http://schemas.openxmlformats.org/officeDocument/2006/relationships/hyperlink" Target="https://www.ecb.europa.eu/stats/policy_and_exchange_rates/euro_reference_exchange_rates/html/eurofxref-graph-usd.en.html" TargetMode="External"/><Relationship Id="rId15" Type="http://schemas.openxmlformats.org/officeDocument/2006/relationships/hyperlink" Target="https://isdp.eu/content/uploads/2018/06/Made-in-China-Backgrounder.pdf" TargetMode="External"/><Relationship Id="rId23" Type="http://schemas.openxmlformats.org/officeDocument/2006/relationships/hyperlink" Target="https://climate.ec.europa.eu/eu-action/eu-funding-climate-action/innovation-fund/large-scale-calls_en" TargetMode="External"/><Relationship Id="rId28" Type="http://schemas.openxmlformats.org/officeDocument/2006/relationships/hyperlink" Target="https://europa.eu/eurobarometer/surveys/detail/2994" TargetMode="External"/><Relationship Id="rId36" Type="http://schemas.openxmlformats.org/officeDocument/2006/relationships/hyperlink" Target="https://www.iea.org/reports/world-energy-investment-2023" TargetMode="External"/><Relationship Id="rId49" Type="http://schemas.openxmlformats.org/officeDocument/2006/relationships/hyperlink" Target="https://www.transportenvironment.org/" TargetMode="External"/><Relationship Id="rId57" Type="http://schemas.openxmlformats.org/officeDocument/2006/relationships/hyperlink" Target="https://insideevs.com/news/666377/europe-plugin-car-sales-march2023/" TargetMode="External"/><Relationship Id="rId10" Type="http://schemas.openxmlformats.org/officeDocument/2006/relationships/hyperlink" Target="https://data.europa.eu/doi/10.2873/725585" TargetMode="External"/><Relationship Id="rId31" Type="http://schemas.openxmlformats.org/officeDocument/2006/relationships/hyperlink" Target="http://mission-innovation.net/wp-content/uploads/2021/05/MI_2021v0527.pdf" TargetMode="External"/><Relationship Id="rId44" Type="http://schemas.openxmlformats.org/officeDocument/2006/relationships/hyperlink" Target="https://energy.ec.europa.eu/news/member-states-agree-new-ambition-expanding-offshore-renewable-energy-2023-01-19_en" TargetMode="External"/><Relationship Id="rId52" Type="http://schemas.openxmlformats.org/officeDocument/2006/relationships/hyperlink" Target="https://alternative-fuels-observatory.ec.europa.eu/transport-mode/road/european-union-eu27/vehicles-and-fleet" TargetMode="External"/><Relationship Id="rId60" Type="http://schemas.openxmlformats.org/officeDocument/2006/relationships/hyperlink" Target="https://www.ecb.europa.eu/stats/policy_and_exchange_rates/euro_reference_exchange_rates/html/eurofxref-graph-usd.en.html" TargetMode="External"/><Relationship Id="rId65" Type="http://schemas.openxmlformats.org/officeDocument/2006/relationships/hyperlink" Target="https://energystoragecoalition.eu/wp-content/uploads/2023/03/23.03.17-ESC_response-1.pdf" TargetMode="External"/><Relationship Id="rId73" Type="http://schemas.openxmlformats.org/officeDocument/2006/relationships/hyperlink" Target="https://webstore.iec.ch/publication/62837" TargetMode="External"/><Relationship Id="rId78" Type="http://schemas.openxmlformats.org/officeDocument/2006/relationships/hyperlink" Target="https://www.hydrogen.energy.gov/clean-hydrogen-strategy-roadmap.html" TargetMode="External"/><Relationship Id="rId81" Type="http://schemas.openxmlformats.org/officeDocument/2006/relationships/hyperlink" Target="https://cordis.europa.eu/projects/es" TargetMode="External"/><Relationship Id="rId86" Type="http://schemas.openxmlformats.org/officeDocument/2006/relationships/hyperlink" Target="https://climate.ec.europa.eu/eu-action/carbon-capture-use-and-storage/implementation-ccs-directive_en" TargetMode="External"/><Relationship Id="rId4" Type="http://schemas.openxmlformats.org/officeDocument/2006/relationships/hyperlink" Target="https://windeurope.org/newsroom/press-releases/investments-in-wind-energy-are-down-europe-must-get-market-design-and-green-industrial-policy-right/" TargetMode="External"/><Relationship Id="rId9" Type="http://schemas.openxmlformats.org/officeDocument/2006/relationships/hyperlink" Target="https://rmis.jrc.ec.europa.eu/" TargetMode="External"/></Relationships>
</file>

<file path=word/documenttasks/documenttasks1.xml><?xml version="1.0" encoding="utf-8"?>
<t:Tasks xmlns:t="http://schemas.microsoft.com/office/tasks/2019/documenttasks" xmlns:oel="http://schemas.microsoft.com/office/2019/extlst">
  <t:Task id="{BD3233A1-3BB7-4D3C-9E9A-C54B33E21602}">
    <t:Anchor>
      <t:Comment id="183429160"/>
    </t:Anchor>
    <t:History>
      <t:Event id="{66BB669F-449C-448F-B938-53CDEA5A2583}" time="2023-10-04T12:52:01.254Z">
        <t:Attribution userId="S::cristiana.marchitelli@ec.europa.eu::6005c952-9479-4837-876d-b341877848f1" userProvider="AD" userName="MARCHITELLI Cristiana (ENER)"/>
        <t:Anchor>
          <t:Comment id="1887956856"/>
        </t:Anchor>
        <t:Create/>
      </t:Event>
      <t:Event id="{B176C612-66F9-48B5-967B-1CF0379EC025}" time="2023-10-04T12:52:01.254Z">
        <t:Attribution userId="S::cristiana.marchitelli@ec.europa.eu::6005c952-9479-4837-876d-b341877848f1" userProvider="AD" userName="MARCHITELLI Cristiana (ENER)"/>
        <t:Anchor>
          <t:Comment id="1887956856"/>
        </t:Anchor>
        <t:Assign userId="S::Pablo.RIESGO-ABELEDO11@ec.europa.eu::e7befc6e-3c77-4505-bd83-14eec162e486" userProvider="AD" userName="RIESGO ABELEDO Pablo (ENER)"/>
      </t:Event>
      <t:Event id="{F7F94C81-EE98-4786-9509-DF62C18FB01C}" time="2023-10-04T12:52:01.254Z">
        <t:Attribution userId="S::cristiana.marchitelli@ec.europa.eu::6005c952-9479-4837-876d-b341877848f1" userProvider="AD" userName="MARCHITELLI Cristiana (ENER)"/>
        <t:Anchor>
          <t:Comment id="1887956856"/>
        </t:Anchor>
        <t:SetTitle title="GS: During ISC we will ask Aliki to replace the graph so to make the legend more clear. @RIESGO ABELEDO Pablo (ENER)"/>
      </t:Event>
    </t:History>
  </t:Task>
  <t:Task id="{41134227-F5E2-4556-BA63-EAA22985FDDD}">
    <t:Anchor>
      <t:Comment id="1396421725"/>
    </t:Anchor>
    <t:History>
      <t:Event id="{4755E451-1229-4283-A40C-F7A16FDF03B7}" time="2023-10-04T13:36:13.708Z">
        <t:Attribution userId="S::cristiana.marchitelli@ec.europa.eu::6005c952-9479-4837-876d-b341877848f1" userProvider="AD" userName="MARCHITELLI Cristiana (ENER)"/>
        <t:Anchor>
          <t:Comment id="1396421725"/>
        </t:Anchor>
        <t:Create/>
      </t:Event>
      <t:Event id="{AAFB6989-5A85-4B43-9658-2A0957798224}" time="2023-10-04T13:36:13.708Z">
        <t:Attribution userId="S::cristiana.marchitelli@ec.europa.eu::6005c952-9479-4837-876d-b341877848f1" userProvider="AD" userName="MARCHITELLI Cristiana (ENER)"/>
        <t:Anchor>
          <t:Comment id="1396421725"/>
        </t:Anchor>
        <t:Assign userId="S::Johanna.FIKSDAHL@ec.europa.eu::c5db874e-737a-4dbc-8e45-6d4ab918b94d" userProvider="AD" userName="FIKSDAHL Johanna (ENER)"/>
      </t:Event>
      <t:Event id="{FEDBA239-01C0-4EC5-9121-57BB24D71D32}" time="2023-10-04T13:36:13.708Z">
        <t:Attribution userId="S::cristiana.marchitelli@ec.europa.eu::6005c952-9479-4837-876d-b341877848f1" userProvider="AD" userName="MARCHITELLI Cristiana (ENER)"/>
        <t:Anchor>
          <t:Comment id="1396421725"/>
        </t:Anchor>
        <t:SetTitle title="@FIKSDAHL Johanna (ENER)"/>
      </t:Event>
      <t:Event id="{644589B0-DAD1-4154-916B-872A3A54C81B}" time="2023-10-05T14:00:19.071Z">
        <t:Attribution userId="S::cristiana.marchitelli@ec.europa.eu::6005c952-9479-4837-876d-b341877848f1" userProvider="AD" userName="MARCHITELLI Cristiana (ENER)"/>
        <t:Anchor>
          <t:Comment id="961160704"/>
        </t:Anchor>
        <t:UnassignAll/>
      </t:Event>
      <t:Event id="{5FB65935-23C6-44A3-AC57-0DE2DF5E0275}" time="2023-10-05T14:00:19.071Z">
        <t:Attribution userId="S::cristiana.marchitelli@ec.europa.eu::6005c952-9479-4837-876d-b341877848f1" userProvider="AD" userName="MARCHITELLI Cristiana (ENER)"/>
        <t:Anchor>
          <t:Comment id="961160704"/>
        </t:Anchor>
        <t:Assign userId="S::Chris.BOLESTA@ec.europa.eu::f6b905f1-5626-48c6-94a8-c35c4f87b36c" userProvider="AD" userName="BOLESTA Chris (ENER)"/>
      </t:Event>
    </t:History>
  </t:Task>
  <t:Task id="{816E8A50-8E21-49EE-8FCB-A5F82703531B}">
    <t:Anchor>
      <t:Comment id="1874338654"/>
    </t:Anchor>
    <t:History>
      <t:Event id="{D567E135-C1FF-42C6-9629-A0606622D612}" time="2023-10-05T13:57:14.301Z">
        <t:Attribution userId="S::cristiana.marchitelli@ec.europa.eu::6005c952-9479-4837-876d-b341877848f1" userProvider="AD" userName="MARCHITELLI Cristiana (ENER)"/>
        <t:Anchor>
          <t:Comment id="1739396657"/>
        </t:Anchor>
        <t:Create/>
      </t:Event>
      <t:Event id="{49299F73-BBEE-45CB-9079-D04CD728FD10}" time="2023-10-05T13:57:14.301Z">
        <t:Attribution userId="S::cristiana.marchitelli@ec.europa.eu::6005c952-9479-4837-876d-b341877848f1" userProvider="AD" userName="MARCHITELLI Cristiana (ENER)"/>
        <t:Anchor>
          <t:Comment id="1739396657"/>
        </t:Anchor>
        <t:Assign userId="S::Alexandros.Kotronaros@ec.europa.eu::461ded9c-77c2-4f69-9058-4213412a8a72" userProvider="AD" userName="KOTRONAROS Alexandros (ENER)"/>
      </t:Event>
      <t:Event id="{F3F5DA40-BD6B-4ED2-966B-030EDDA81DBB}" time="2023-10-05T13:57:14.301Z">
        <t:Attribution userId="S::cristiana.marchitelli@ec.europa.eu::6005c952-9479-4837-876d-b341877848f1" userProvider="AD" userName="MARCHITELLI Cristiana (ENER)"/>
        <t:Anchor>
          <t:Comment id="1739396657"/>
        </t:Anchor>
        <t:SetTitle title="@KOTRONAROS Alexandros (ENER) HI Alex could you please help?"/>
      </t:Event>
      <t:Event id="{767DBC4A-CE3B-4A59-9CAD-5CBC13BA746A}" time="2023-10-10T12:35:16.48Z">
        <t:Attribution userId="S::cristiana.marchitelli@ec.europa.eu::6005c952-9479-4837-876d-b341877848f1" userProvider="AD" userName="MARCHITELLI Cristiana (ENER)"/>
        <t:Progress percentComplete="100"/>
      </t:Event>
    </t:History>
  </t:Task>
  <t:Task id="{3C4A3104-7A84-419F-89B2-769E94AD5D9E}">
    <t:Anchor>
      <t:Comment id="1014864610"/>
    </t:Anchor>
    <t:History>
      <t:Event id="{30C20407-FDAB-45A1-A812-9957F611B46F}" time="2023-10-05T14:03:06.58Z">
        <t:Attribution userId="S::cristiana.marchitelli@ec.europa.eu::6005c952-9479-4837-876d-b341877848f1" userProvider="AD" userName="MARCHITELLI Cristiana (ENER)"/>
        <t:Anchor>
          <t:Comment id="180102259"/>
        </t:Anchor>
        <t:Create/>
      </t:Event>
      <t:Event id="{B6C60972-52E7-4359-82B9-A4F98A9335B3}" time="2023-10-05T14:03:06.58Z">
        <t:Attribution userId="S::cristiana.marchitelli@ec.europa.eu::6005c952-9479-4837-876d-b341877848f1" userProvider="AD" userName="MARCHITELLI Cristiana (ENER)"/>
        <t:Anchor>
          <t:Comment id="180102259"/>
        </t:Anchor>
        <t:Assign userId="S::Viktor.HAUK@ec.europa.eu::846a41fb-e92e-43f3-affc-9dc41d382753" userProvider="AD" userName="HAUK Viktor (ENER)"/>
      </t:Event>
      <t:Event id="{6B794833-CE6B-4D15-AB10-64389608CBB7}" time="2023-10-05T14:03:06.58Z">
        <t:Attribution userId="S::cristiana.marchitelli@ec.europa.eu::6005c952-9479-4837-876d-b341877848f1" userProvider="AD" userName="MARCHITELLI Cristiana (ENER)"/>
        <t:Anchor>
          <t:Comment id="180102259"/>
        </t:Anchor>
        <t:SetTitle title="does this fit with our LTT @HAUK Viktor (ENER)? shall we reject the comment?"/>
      </t:Event>
      <t:Event id="{765DC7FC-0D5F-497D-8F85-E62F4EFF63E8}" time="2023-10-05T14:32:11.41Z">
        <t:Attribution userId="S::viktor.hauk@ec.europa.eu::846a41fb-e92e-43f3-affc-9dc41d382753" userProvider="AD" userName="HAUK Viktor (ENER)"/>
        <t:Anchor>
          <t:Comment id="1694309635"/>
        </t:Anchor>
        <t:UnassignAll/>
      </t:Event>
      <t:Event id="{8A2A5898-87FC-4703-AAE0-9DD6D2ED26DF}" time="2023-10-05T14:32:11.41Z">
        <t:Attribution userId="S::viktor.hauk@ec.europa.eu::846a41fb-e92e-43f3-affc-9dc41d382753" userProvider="AD" userName="HAUK Viktor (ENER)"/>
        <t:Anchor>
          <t:Comment id="1694309635"/>
        </t:Anchor>
        <t:Assign userId="S::Cristiana.MARCHITELLI@ec.europa.eu::6005c952-9479-4837-876d-b341877848f1" userProvider="AD" userName="MARCHITELLI Cristiana (ENER)"/>
      </t:Event>
    </t:History>
  </t:Task>
  <t:Task id="{0BE49B99-8677-4452-BE6D-B8ACF8EDDDFA}">
    <t:Anchor>
      <t:Comment id="713876239"/>
    </t:Anchor>
    <t:History>
      <t:Event id="{6AC7093F-7BEA-46EA-8A3D-5198CF3B195B}" time="2023-10-05T13:58:09.843Z">
        <t:Attribution userId="S::cristiana.marchitelli@ec.europa.eu::6005c952-9479-4837-876d-b341877848f1" userProvider="AD" userName="MARCHITELLI Cristiana (ENER)"/>
        <t:Anchor>
          <t:Comment id="797120737"/>
        </t:Anchor>
        <t:Create/>
      </t:Event>
      <t:Event id="{FB29EB76-4312-4ECA-8771-0B7D6C456AAD}" time="2023-10-05T13:58:09.843Z">
        <t:Attribution userId="S::cristiana.marchitelli@ec.europa.eu::6005c952-9479-4837-876d-b341877848f1" userProvider="AD" userName="MARCHITELLI Cristiana (ENER)"/>
        <t:Anchor>
          <t:Comment id="797120737"/>
        </t:Anchor>
        <t:Assign userId="S::Katarzyna.GRYC@ec.europa.eu::acb223ce-c787-4b27-82bf-cf48b456fecb" userProvider="AD" userName="GRYC Katarzyna (ENER)"/>
      </t:Event>
      <t:Event id="{F61BEAB4-580E-445F-857E-8BBCEB16D58E}" time="2023-10-05T13:58:09.843Z">
        <t:Attribution userId="S::cristiana.marchitelli@ec.europa.eu::6005c952-9479-4837-876d-b341877848f1" userProvider="AD" userName="MARCHITELLI Cristiana (ENER)"/>
        <t:Anchor>
          <t:Comment id="797120737"/>
        </t:Anchor>
        <t:SetTitle title="@GRYC Katarzyna (ENER) HI Kasia would you be able to help?"/>
      </t:Event>
    </t:History>
  </t:Task>
  <t:Task id="{F6918B1A-3B13-462F-84F0-F6F2F6A7A55B}">
    <t:Anchor>
      <t:Comment id="57171865"/>
    </t:Anchor>
    <t:History>
      <t:Event id="{0CFB7335-FC64-40A0-B187-222A38A8EEEE}" time="2023-10-05T13:59:11.992Z">
        <t:Attribution userId="S::cristiana.marchitelli@ec.europa.eu::6005c952-9479-4837-876d-b341877848f1" userProvider="AD" userName="MARCHITELLI Cristiana (ENER)"/>
        <t:Anchor>
          <t:Comment id="1449573848"/>
        </t:Anchor>
        <t:Create/>
      </t:Event>
      <t:Event id="{B9EA3240-77C4-4586-9F53-4CEEFDB09699}" time="2023-10-05T13:59:11.992Z">
        <t:Attribution userId="S::cristiana.marchitelli@ec.europa.eu::6005c952-9479-4837-876d-b341877848f1" userProvider="AD" userName="MARCHITELLI Cristiana (ENER)"/>
        <t:Anchor>
          <t:Comment id="1449573848"/>
        </t:Anchor>
        <t:Assign userId="S::Maria.GEORGIADOU@ec.europa.eu::e64e9741-4749-45cc-8202-630852f70919" userProvider="AD" userName="GEORGIADOU Maria (RTD)"/>
      </t:Event>
      <t:Event id="{E39838C5-D125-4943-8CD8-E1D30F29020E}" time="2023-10-05T13:59:11.992Z">
        <t:Attribution userId="S::cristiana.marchitelli@ec.europa.eu::6005c952-9479-4837-876d-b341877848f1" userProvider="AD" userName="MARCHITELLI Cristiana (ENER)"/>
        <t:Anchor>
          <t:Comment id="1449573848"/>
        </t:Anchor>
        <t:SetTitle title="@GEORGIADOU Maria (RTD) hello Maria, would we accept?"/>
      </t:Event>
    </t:History>
  </t:Task>
  <t:Task id="{D421002E-A95C-4156-A5A7-75018C81F4C3}">
    <t:Anchor>
      <t:Comment id="915027588"/>
    </t:Anchor>
    <t:History>
      <t:Event id="{0F1F6E96-42FA-4CC2-8775-5BE32DE907E6}" time="2023-10-05T14:00:47.715Z">
        <t:Attribution userId="S::cristiana.marchitelli@ec.europa.eu::6005c952-9479-4837-876d-b341877848f1" userProvider="AD" userName="MARCHITELLI Cristiana (ENER)"/>
        <t:Anchor>
          <t:Comment id="59305043"/>
        </t:Anchor>
        <t:Create/>
      </t:Event>
      <t:Event id="{6175EFAA-9618-4297-83F3-03E3FB22A86F}" time="2023-10-05T14:00:47.715Z">
        <t:Attribution userId="S::cristiana.marchitelli@ec.europa.eu::6005c952-9479-4837-876d-b341877848f1" userProvider="AD" userName="MARCHITELLI Cristiana (ENER)"/>
        <t:Anchor>
          <t:Comment id="59305043"/>
        </t:Anchor>
        <t:Assign userId="S::Peter.HORVATH@ec.europa.eu::f989c181-d4fd-4486-91dc-cc26650fb441" userProvider="AD" userName="HORVATH Peter (ENER)"/>
      </t:Event>
      <t:Event id="{7980947F-D04E-43AD-933C-45458FF313FB}" time="2023-10-05T14:00:47.715Z">
        <t:Attribution userId="S::cristiana.marchitelli@ec.europa.eu::6005c952-9479-4837-876d-b341877848f1" userProvider="AD" userName="MARCHITELLI Cristiana (ENER)"/>
        <t:Anchor>
          <t:Comment id="59305043"/>
        </t:Anchor>
        <t:SetTitle title="@HORVATH Peter (ENER) do we accept?"/>
      </t:Event>
    </t:History>
  </t:Task>
  <t:Task id="{1A13CDE4-C0C2-4BAF-945C-391566594DE9}">
    <t:Anchor>
      <t:Comment id="999581393"/>
    </t:Anchor>
    <t:History>
      <t:Event id="{4F391A90-77FF-4C6D-906F-5A1A4FC5DD44}" time="2023-10-05T14:05:43.258Z">
        <t:Attribution userId="S::cristiana.marchitelli@ec.europa.eu::6005c952-9479-4837-876d-b341877848f1" userProvider="AD" userName="MARCHITELLI Cristiana (ENER)"/>
        <t:Anchor>
          <t:Comment id="1943653952"/>
        </t:Anchor>
        <t:Create/>
      </t:Event>
      <t:Event id="{E1AB57A7-F228-40EA-87AC-5F9A82C3FE6D}" time="2023-10-05T14:05:43.258Z">
        <t:Attribution userId="S::cristiana.marchitelli@ec.europa.eu::6005c952-9479-4837-876d-b341877848f1" userProvider="AD" userName="MARCHITELLI Cristiana (ENER)"/>
        <t:Anchor>
          <t:Comment id="1943653952"/>
        </t:Anchor>
        <t:Assign userId="S::Viktor.HAUK@ec.europa.eu::846a41fb-e92e-43f3-affc-9dc41d382753" userProvider="AD" userName="HAUK Viktor (ENER)"/>
      </t:Event>
      <t:Event id="{7684ADBC-5E2D-41D6-B127-5693E1FACE74}" time="2023-10-05T14:05:43.258Z">
        <t:Attribution userId="S::cristiana.marchitelli@ec.europa.eu::6005c952-9479-4837-876d-b341877848f1" userProvider="AD" userName="MARCHITELLI Cristiana (ENER)"/>
        <t:Anchor>
          <t:Comment id="1943653952"/>
        </t:Anchor>
        <t:SetTitle title="@HAUK Viktor (ENER) what do you think?"/>
      </t:Event>
      <t:Event id="{13C51455-E53D-441A-9B0A-835315E13CF7}" time="2023-10-05T14:39:09.685Z">
        <t:Attribution userId="S::viktor.hauk@ec.europa.eu::846a41fb-e92e-43f3-affc-9dc41d382753" userProvider="AD" userName="HAUK Viktor (ENER)"/>
        <t:Anchor>
          <t:Comment id="194631127"/>
        </t:Anchor>
        <t:UnassignAll/>
      </t:Event>
      <t:Event id="{E5789F77-C6D0-4C2C-93B0-0F0B04C3CE82}" time="2023-10-05T14:39:09.685Z">
        <t:Attribution userId="S::viktor.hauk@ec.europa.eu::846a41fb-e92e-43f3-affc-9dc41d382753" userProvider="AD" userName="HAUK Viktor (ENER)"/>
        <t:Anchor>
          <t:Comment id="194631127"/>
        </t:Anchor>
        <t:Assign userId="S::Cristiana.MARCHITELLI@ec.europa.eu::6005c952-9479-4837-876d-b341877848f1" userProvider="AD" userName="MARCHITELLI Cristiana (ENER)"/>
      </t:Event>
    </t:History>
  </t:Task>
  <t:Task id="{89799DE1-36C4-4D8A-8011-60495127BD98}">
    <t:Anchor>
      <t:Comment id="278200250"/>
    </t:Anchor>
    <t:History>
      <t:Event id="{FC6B608E-A6CE-4A4C-A0F5-A18449FA03AB}" time="2023-10-05T14:07:38.354Z">
        <t:Attribution userId="S::cristiana.marchitelli@ec.europa.eu::6005c952-9479-4837-876d-b341877848f1" userProvider="AD" userName="MARCHITELLI Cristiana (ENER)"/>
        <t:Anchor>
          <t:Comment id="1280421974"/>
        </t:Anchor>
        <t:Create/>
      </t:Event>
      <t:Event id="{982035E8-1D12-4904-AA0C-F0DE44A08194}" time="2023-10-05T14:07:38.354Z">
        <t:Attribution userId="S::cristiana.marchitelli@ec.europa.eu::6005c952-9479-4837-876d-b341877848f1" userProvider="AD" userName="MARCHITELLI Cristiana (ENER)"/>
        <t:Anchor>
          <t:Comment id="1280421974"/>
        </t:Anchor>
        <t:Assign userId="S::Viktor.HAUK@ec.europa.eu::846a41fb-e92e-43f3-affc-9dc41d382753" userProvider="AD" userName="HAUK Viktor (ENER)"/>
      </t:Event>
      <t:Event id="{85744893-C7B5-4BE0-8D16-BFE694159431}" time="2023-10-05T14:07:38.354Z">
        <t:Attribution userId="S::cristiana.marchitelli@ec.europa.eu::6005c952-9479-4837-876d-b341877848f1" userProvider="AD" userName="MARCHITELLI Cristiana (ENER)"/>
        <t:Anchor>
          <t:Comment id="1280421974"/>
        </t:Anchor>
        <t:SetTitle title="@HAUK Viktor (ENER) what do you think?"/>
      </t:Event>
      <t:Event id="{EB34E88C-A06D-433C-9B2F-855652C66EE7}" time="2023-10-05T14:40:26.502Z">
        <t:Attribution userId="S::viktor.hauk@ec.europa.eu::846a41fb-e92e-43f3-affc-9dc41d382753" userProvider="AD" userName="HAUK Viktor (ENER)"/>
        <t:Anchor>
          <t:Comment id="2026689869"/>
        </t:Anchor>
        <t:UnassignAll/>
      </t:Event>
      <t:Event id="{6161EE22-1591-413D-B56D-9DBFA708CDBB}" time="2023-10-05T14:40:26.502Z">
        <t:Attribution userId="S::viktor.hauk@ec.europa.eu::846a41fb-e92e-43f3-affc-9dc41d382753" userProvider="AD" userName="HAUK Viktor (ENER)"/>
        <t:Anchor>
          <t:Comment id="2026689869"/>
        </t:Anchor>
        <t:Assign userId="S::Cristiana.MARCHITELLI@ec.europa.eu::6005c952-9479-4837-876d-b341877848f1" userProvider="AD" userName="MARCHITELLI Cristiana (ENER)"/>
      </t:Event>
    </t:History>
  </t:Task>
  <t:Task id="{D259FF59-4F9E-4AE9-AE2A-32C97127B343}">
    <t:Anchor>
      <t:Comment id="436630702"/>
    </t:Anchor>
    <t:History>
      <t:Event id="{5B2822A8-D640-44EB-A169-FA0022220ED2}" time="2023-10-09T13:47:55.117Z">
        <t:Attribution userId="S::katarzyna.gryc@ec.europa.eu::acb223ce-c787-4b27-82bf-cf48b456fecb" userProvider="AD" userName="GRYC Katarzyna (ENER)"/>
        <t:Anchor>
          <t:Comment id="436630702"/>
        </t:Anchor>
        <t:Create/>
      </t:Event>
      <t:Event id="{D8BFC0BD-EC25-42E8-AB24-46D1644FD47C}" time="2023-10-09T13:47:55.117Z">
        <t:Attribution userId="S::katarzyna.gryc@ec.europa.eu::acb223ce-c787-4b27-82bf-cf48b456fecb" userProvider="AD" userName="GRYC Katarzyna (ENER)"/>
        <t:Anchor>
          <t:Comment id="436630702"/>
        </t:Anchor>
        <t:Assign userId="S::Cristiana.MARCHITELLI@ec.europa.eu::6005c952-9479-4837-876d-b341877848f1" userProvider="AD" userName="MARCHITELLI Cristiana (ENER)"/>
      </t:Event>
      <t:Event id="{E8759336-E077-44F4-9F44-1972702C65AB}" time="2023-10-09T13:47:55.117Z">
        <t:Attribution userId="S::katarzyna.gryc@ec.europa.eu::acb223ce-c787-4b27-82bf-cf48b456fecb" userProvider="AD" userName="GRYC Katarzyna (ENER)"/>
        <t:Anchor>
          <t:Comment id="436630702"/>
        </t:Anchor>
        <t:SetTitle title="@MARCHITELLI Cristiana (ENER) @DOLCI Francesco (JRC-PETTEN)  I can go back to grow I do not know which pipeline of 17 projects we speak about- is this the Electrolyser Partnreship announcements? If yes, we need to refer to this. Otherwise unclear which …"/>
      </t:Event>
    </t:History>
  </t:Task>
  <t:Task id="{C4F63FFC-0ECB-4855-A308-B1808D4CFE4D}">
    <t:Anchor>
      <t:Comment id="1935053358"/>
    </t:Anchor>
    <t:History>
      <t:Event id="{78952464-1B55-4C0E-9E09-18FE49695BB6}" time="2023-10-05T14:12:16.679Z">
        <t:Attribution userId="S::cristiana.marchitelli@ec.europa.eu::6005c952-9479-4837-876d-b341877848f1" userProvider="AD" userName="MARCHITELLI Cristiana (ENER)"/>
        <t:Anchor>
          <t:Comment id="930813041"/>
        </t:Anchor>
        <t:Create/>
      </t:Event>
      <t:Event id="{8F34489A-BCB6-48F1-B45B-1A7C297A9771}" time="2023-10-05T14:12:16.679Z">
        <t:Attribution userId="S::cristiana.marchitelli@ec.europa.eu::6005c952-9479-4837-876d-b341877848f1" userProvider="AD" userName="MARCHITELLI Cristiana (ENER)"/>
        <t:Anchor>
          <t:Comment id="930813041"/>
        </t:Anchor>
        <t:Assign userId="S::Alessandro.POLITO@ec.europa.eu::1227ab5c-2288-4d01-b7e6-1050bb2147cd" userProvider="AD" userName="POLITO Alessandro (ENER)"/>
      </t:Event>
      <t:Event id="{2E8F3E6D-4A84-44BC-8406-2A132C286788}" time="2023-10-05T14:12:16.679Z">
        <t:Attribution userId="S::cristiana.marchitelli@ec.europa.eu::6005c952-9479-4837-876d-b341877848f1" userProvider="AD" userName="MARCHITELLI Cristiana (ENER)"/>
        <t:Anchor>
          <t:Comment id="930813041"/>
        </t:Anchor>
        <t:SetTitle title="@POLITO Alessandro (ENER) I would accept the changes, what do you think?"/>
      </t:Event>
    </t:History>
  </t:Task>
  <t:Task id="{88116E75-1FEB-44BD-A339-88D64EBC5638}">
    <t:Anchor>
      <t:Comment id="616360173"/>
    </t:Anchor>
    <t:History>
      <t:Event id="{5998217D-5E46-4AF5-B1AE-62C49E7DAF81}" time="2023-10-05T14:14:34.819Z">
        <t:Attribution userId="S::cristiana.marchitelli@ec.europa.eu::6005c952-9479-4837-876d-b341877848f1" userProvider="AD" userName="MARCHITELLI Cristiana (ENER)"/>
        <t:Anchor>
          <t:Comment id="947196255"/>
        </t:Anchor>
        <t:Create/>
      </t:Event>
      <t:Event id="{34DA8D5C-FEBF-4177-9C3D-733D78E736D7}" time="2023-10-05T14:14:34.819Z">
        <t:Attribution userId="S::cristiana.marchitelli@ec.europa.eu::6005c952-9479-4837-876d-b341877848f1" userProvider="AD" userName="MARCHITELLI Cristiana (ENER)"/>
        <t:Anchor>
          <t:Comment id="947196255"/>
        </t:Anchor>
        <t:Assign userId="S::Pablo.RIESGO-ABELEDO11@ec.europa.eu::e7befc6e-3c77-4505-bd83-14eec162e486" userProvider="AD" userName="RIESGO ABELEDO Pablo (ENER)"/>
      </t:Event>
      <t:Event id="{834AE8C8-F9DB-4E83-B3A0-E8C8185F97F3}" time="2023-10-05T14:14:34.819Z">
        <t:Attribution userId="S::cristiana.marchitelli@ec.europa.eu::6005c952-9479-4837-876d-b341877848f1" userProvider="AD" userName="MARCHITELLI Cristiana (ENER)"/>
        <t:Anchor>
          <t:Comment id="947196255"/>
        </t:Anchor>
        <t:SetTitle title="@RIESGO ABELEDO Pablo (ENER) I was actually thinking the same, after the meeting with the Project Team. I suggest we see how the lenght is affected in other parts - we could reword a bit the para, shorten it to make space for India"/>
      </t:Event>
    </t:History>
  </t:Task>
  <t:Task id="{BCDE0F2C-240B-424E-853F-48CCC8AA648D}">
    <t:Anchor>
      <t:Comment id="1580674572"/>
    </t:Anchor>
    <t:History>
      <t:Event id="{67C6AB91-5748-4323-B0FF-49F84729C70A}" time="2023-10-06T10:03:14.443Z">
        <t:Attribution userId="S::cristiana.marchitelli@ec.europa.eu::6005c952-9479-4837-876d-b341877848f1" userProvider="AD" userName="MARCHITELLI Cristiana (ENER)"/>
        <t:Anchor>
          <t:Comment id="1470946307"/>
        </t:Anchor>
        <t:Create/>
      </t:Event>
      <t:Event id="{55A26094-AC78-41B0-8B91-ED5DFFCB1C0F}" time="2023-10-06T10:03:14.443Z">
        <t:Attribution userId="S::cristiana.marchitelli@ec.europa.eu::6005c952-9479-4837-876d-b341877848f1" userProvider="AD" userName="MARCHITELLI Cristiana (ENER)"/>
        <t:Anchor>
          <t:Comment id="1470946307"/>
        </t:Anchor>
        <t:Assign userId="S::Klaudie.MRKUSOVA@ec.europa.eu::b348bce1-e8e4-4dd3-9e09-687a49a08fd5" userProvider="AD" userName="MRKUSOVA Klaudie (ENER)"/>
      </t:Event>
      <t:Event id="{74578B40-58B4-4681-B78E-4439282A1940}" time="2023-10-06T10:03:14.443Z">
        <t:Attribution userId="S::cristiana.marchitelli@ec.europa.eu::6005c952-9479-4837-876d-b341877848f1" userProvider="AD" userName="MARCHITELLI Cristiana (ENER)"/>
        <t:Anchor>
          <t:Comment id="1470946307"/>
        </t:Anchor>
        <t:SetTitle title="@MRKUSOVA Klaudie (ENER) HI Klaudie, do you think it is feasible to have the adoption of the Communication in the coming days or it is safer to change the wording into &quot;upcoming&quot; ? thanks"/>
      </t:Event>
      <t:Event id="{34A38F8D-3511-4050-9787-9889A72560F2}" time="2023-10-09T11:44:54.254Z">
        <t:Attribution userId="S::cristiana.marchitelli@ec.europa.eu::6005c952-9479-4837-876d-b341877848f1" userProvider="AD" userName="MARCHITELLI Cristiana (ENER)"/>
        <t:Anchor>
          <t:Comment id="1197228122"/>
        </t:Anchor>
        <t:UnassignAll/>
      </t:Event>
      <t:Event id="{833756D9-6A96-4AFC-8047-55A2C69BA581}" time="2023-10-09T11:44:54.254Z">
        <t:Attribution userId="S::cristiana.marchitelli@ec.europa.eu::6005c952-9479-4837-876d-b341877848f1" userProvider="AD" userName="MARCHITELLI Cristiana (ENER)"/>
        <t:Anchor>
          <t:Comment id="1197228122"/>
        </t:Anchor>
        <t:Assign userId="S::Anna.SOBCZAK1@ec.europa.eu::2d7b845e-b4a6-4086-a6c0-0520a2a024a0" userProvider="AD" userName="SOBCZAK Anna (ENER)"/>
      </t:Event>
    </t:History>
  </t:Task>
  <t:Task id="{9754DDF1-8B80-463D-B324-C66810753B9B}">
    <t:Anchor>
      <t:Comment id="321818165"/>
    </t:Anchor>
    <t:History>
      <t:Event id="{D8724B36-0C3C-4A59-B23B-4DCA423E52FD}" time="2023-10-06T14:23:12.233Z">
        <t:Attribution userId="S::cristiana.marchitelli@ec.europa.eu::6005c952-9479-4837-876d-b341877848f1" userProvider="AD" userName="MARCHITELLI Cristiana (ENER)"/>
        <t:Anchor>
          <t:Comment id="916380951"/>
        </t:Anchor>
        <t:Create/>
      </t:Event>
      <t:Event id="{286E873E-9CE2-4359-9E84-D7BF2F4C44B9}" time="2023-10-06T14:23:12.233Z">
        <t:Attribution userId="S::cristiana.marchitelli@ec.europa.eu::6005c952-9479-4837-876d-b341877848f1" userProvider="AD" userName="MARCHITELLI Cristiana (ENER)"/>
        <t:Anchor>
          <t:Comment id="916380951"/>
        </t:Anchor>
        <t:Assign userId="S::Luca.GIOVANNELLI@ec.europa.eu::29fe5232-43a1-48e3-a7d3-a1f7c83ecaa0" userProvider="AD" userName="GIOVANNELLI Luca (RTD)"/>
      </t:Event>
      <t:Event id="{62A6CF8F-F787-4485-BC62-F4847F64E4FA}" time="2023-10-06T14:23:12.233Z">
        <t:Attribution userId="S::cristiana.marchitelli@ec.europa.eu::6005c952-9479-4837-876d-b341877848f1" userProvider="AD" userName="MARCHITELLI Cristiana (ENER)"/>
        <t:Anchor>
          <t:Comment id="916380951"/>
        </t:Anchor>
        <t:SetTitle title="@GIOVANNELLI Luca (RTD) HI Luca could you please help?"/>
      </t:Event>
    </t:History>
  </t:Task>
  <t:Task id="{CB19B4EC-7002-4C55-B434-00F5DFABBF2E}">
    <t:Anchor>
      <t:Comment id="346757231"/>
    </t:Anchor>
    <t:History>
      <t:Event id="{0631312C-9FE6-4E12-908A-02A353435ED4}" time="2023-10-09T14:17:13.934Z">
        <t:Attribution userId="S::cristiana.marchitelli@ec.europa.eu::6005c952-9479-4837-876d-b341877848f1" userProvider="AD" userName="MARCHITELLI Cristiana (ENER)"/>
        <t:Anchor>
          <t:Comment id="1522541"/>
        </t:Anchor>
        <t:Create/>
      </t:Event>
      <t:Event id="{CEB50BD3-FDC3-4F02-A867-3FBA81ABA0F7}" time="2023-10-09T14:17:13.934Z">
        <t:Attribution userId="S::cristiana.marchitelli@ec.europa.eu::6005c952-9479-4837-876d-b341877848f1" userProvider="AD" userName="MARCHITELLI Cristiana (ENER)"/>
        <t:Anchor>
          <t:Comment id="1522541"/>
        </t:Anchor>
        <t:Assign userId="S::Vera.KISSLER@ec.europa.eu::7fd9da9e-0c90-428c-9211-d6c934b865fc" userProvider="AD" userName="KISSLER Vera (ENER)"/>
      </t:Event>
      <t:Event id="{A42A607E-68CF-4469-8246-68DDE25A8BB2}" time="2023-10-09T14:17:13.934Z">
        <t:Attribution userId="S::cristiana.marchitelli@ec.europa.eu::6005c952-9479-4837-876d-b341877848f1" userProvider="AD" userName="MARCHITELLI Cristiana (ENER)"/>
        <t:Anchor>
          <t:Comment id="1522541"/>
        </t:Anchor>
        <t:SetTitle title="@KISSLER Vera (ENER)"/>
      </t:Event>
      <t:Event id="{599468F1-5B2C-42A2-8B2C-CC97004C75EF}" time="2023-10-09T14:33:03.606Z">
        <t:Attribution userId="S::vera.kissler@ec.europa.eu::7fd9da9e-0c90-428c-9211-d6c934b865fc" userProvider="AD" userName="KISSLER Vera (ENER)"/>
        <t:Progress percentComplete="100"/>
      </t:Event>
      <t:Event id="{637B2C66-39D0-41FD-8B89-730809BB41CF}" time="2023-10-09T14:33:09.129Z">
        <t:Attribution userId="S::vera.kissler@ec.europa.eu::7fd9da9e-0c90-428c-9211-d6c934b865fc" userProvider="AD" userName="KISSLER Vera (ENER)"/>
        <t:Progress percentComplete="0"/>
      </t:Event>
      <t:Event id="{ECD73314-00AF-4465-90FE-D0B00F81C4AB}" time="2023-10-09T14:45:25.905Z">
        <t:Attribution userId="S::vera.kissler@ec.europa.eu::7fd9da9e-0c90-428c-9211-d6c934b865fc" userProvider="AD" userName="KISSLER Vera (ENER)"/>
        <t:Progress percentComplete="100"/>
      </t:Event>
    </t:History>
  </t:Task>
  <t:Task id="{DBB03748-6D79-43CE-8086-0F0B363178A5}">
    <t:Anchor>
      <t:Comment id="1891484342"/>
    </t:Anchor>
    <t:History>
      <t:Event id="{CA5E0298-66E8-473D-B8D5-9630FF8B68CB}" time="2023-10-06T14:30:54.789Z">
        <t:Attribution userId="S::cristiana.marchitelli@ec.europa.eu::6005c952-9479-4837-876d-b341877848f1" userProvider="AD" userName="MARCHITELLI Cristiana (ENER)"/>
        <t:Anchor>
          <t:Comment id="1349409856"/>
        </t:Anchor>
        <t:Create/>
      </t:Event>
      <t:Event id="{0EB6E9D2-EFB1-476B-98F3-4F2BE36FA324}" time="2023-10-06T14:30:54.789Z">
        <t:Attribution userId="S::cristiana.marchitelli@ec.europa.eu::6005c952-9479-4837-876d-b341877848f1" userProvider="AD" userName="MARCHITELLI Cristiana (ENER)"/>
        <t:Anchor>
          <t:Comment id="1349409856"/>
        </t:Anchor>
        <t:Assign userId="S::Anna.KUOKKANEN@ec.europa.eu::7f7af69b-dbb1-4499-98f2-f5779595601b" userProvider="AD" userName="KUOKKANEN Anna (JRC-PETTEN)"/>
      </t:Event>
      <t:Event id="{585B7F4E-5163-4BD3-9B95-16983CEB8300}" time="2023-10-06T14:30:54.789Z">
        <t:Attribution userId="S::cristiana.marchitelli@ec.europa.eu::6005c952-9479-4837-876d-b341877848f1" userProvider="AD" userName="MARCHITELLI Cristiana (ENER)"/>
        <t:Anchor>
          <t:Comment id="1349409856"/>
        </t:Anchor>
        <t:SetTitle title="@KUOKKANEN Anna (JRC-PETTEN)"/>
      </t:Event>
    </t:History>
  </t:Task>
  <t:Task id="{805BBBA1-E1F0-48FB-88B4-1F8B83EF51A5}">
    <t:Anchor>
      <t:Comment id="555705140"/>
    </t:Anchor>
    <t:History>
      <t:Event id="{362ECB55-C56E-48A2-9F81-7E84B0DB9F12}" time="2023-10-09T06:24:17.318Z">
        <t:Attribution userId="S::aliki.georgakaki@ec.europa.eu::78498c03-778f-431b-8433-8925760e6f5d" userProvider="AD" userName="GEORGAKAKI Aliki (JRC-PETTEN)"/>
        <t:Anchor>
          <t:Comment id="772682457"/>
        </t:Anchor>
        <t:Create/>
      </t:Event>
      <t:Event id="{4867A111-13AB-4591-AE90-0E1C521B9FBA}" time="2023-10-09T06:24:17.318Z">
        <t:Attribution userId="S::aliki.georgakaki@ec.europa.eu::78498c03-778f-431b-8433-8925760e6f5d" userProvider="AD" userName="GEORGAKAKI Aliki (JRC-PETTEN)"/>
        <t:Anchor>
          <t:Comment id="772682457"/>
        </t:Anchor>
        <t:Assign userId="S::Derck.KOOLEN@ec.europa.eu::af7ffff7-bf1d-476c-9542-f17e769d8018" userProvider="AD" userName="KOOLEN Derck (ENER)"/>
      </t:Event>
      <t:Event id="{E6427C6F-7F24-4E5E-9EE6-722F1FFFD269}" time="2023-10-09T06:24:17.318Z">
        <t:Attribution userId="S::aliki.georgakaki@ec.europa.eu::78498c03-778f-431b-8433-8925760e6f5d" userProvider="AD" userName="GEORGAKAKI Aliki (JRC-PETTEN)"/>
        <t:Anchor>
          <t:Comment id="772682457"/>
        </t:Anchor>
        <t:SetTitle title="@KOOLEN Derck (ENER) and ENER colleagues working on costs and prices worked on this"/>
      </t:Event>
      <t:Event id="{F868F8FD-827A-41CF-8E5D-1832877C8113}" time="2023-10-09T09:31:12.454Z">
        <t:Attribution userId="S::viktor.hauk@ec.europa.eu::846a41fb-e92e-43f3-affc-9dc41d382753" userProvider="AD" userName="HAUK Viktor (ENER)"/>
        <t:Anchor>
          <t:Comment id="823671324"/>
        </t:Anchor>
        <t:UnassignAll/>
      </t:Event>
      <t:Event id="{6EC3ED33-D7FD-437D-BC9F-8A10B8525B99}" time="2023-10-09T09:31:12.454Z">
        <t:Attribution userId="S::viktor.hauk@ec.europa.eu::846a41fb-e92e-43f3-affc-9dc41d382753" userProvider="AD" userName="HAUK Viktor (ENER)"/>
        <t:Anchor>
          <t:Comment id="823671324"/>
        </t:Anchor>
        <t:Assign userId="S::Pablo.RIESGO-ABELEDO11@ec.europa.eu::e7befc6e-3c77-4505-bd83-14eec162e486" userProvider="AD" userName="RIESGO ABELEDO Pablo (ENER)"/>
      </t:Event>
    </t:History>
  </t:Task>
  <t:Task id="{C5541771-041C-462E-8C34-18A0053E0D75}">
    <t:Anchor>
      <t:Comment id="362393513"/>
    </t:Anchor>
    <t:History>
      <t:Event id="{9810FFA4-5349-4905-83F3-509B8BBEB2D2}" time="2023-10-09T11:59:59.068Z">
        <t:Attribution userId="S::anna.sobczak1@ec.europa.eu::2d7b845e-b4a6-4086-a6c0-0520a2a024a0" userProvider="AD" userName="SOBCZAK Anna (ENER)"/>
        <t:Anchor>
          <t:Comment id="362393513"/>
        </t:Anchor>
        <t:Create/>
      </t:Event>
      <t:Event id="{75509BA9-FDAD-4E73-BA4D-AEBE7B4C0948}" time="2023-10-09T11:59:59.068Z">
        <t:Attribution userId="S::anna.sobczak1@ec.europa.eu::2d7b845e-b4a6-4086-a6c0-0520a2a024a0" userProvider="AD" userName="SOBCZAK Anna (ENER)"/>
        <t:Anchor>
          <t:Comment id="362393513"/>
        </t:Anchor>
        <t:Assign userId="S::Cristiana.MARCHITELLI@ec.europa.eu::6005c952-9479-4837-876d-b341877848f1" userProvider="AD" userName="MARCHITELLI Cristiana (ENER)"/>
      </t:Event>
      <t:Event id="{57C885EB-B45B-44F1-8E8A-E4A5813CDB35}" time="2023-10-09T11:59:59.068Z">
        <t:Attribution userId="S::anna.sobczak1@ec.europa.eu::2d7b845e-b4a6-4086-a6c0-0520a2a024a0" userProvider="AD" userName="SOBCZAK Anna (ENER)"/>
        <t:Anchor>
          <t:Comment id="362393513"/>
        </t:Anchor>
        <t:SetTitle title="@MARCHITELLI Cristiana (ENER) SET Plan will be adopted on 20 October."/>
      </t:Event>
    </t:History>
  </t:Task>
  <t:Task id="{6CD086E9-2B08-4021-A065-E2AC92D547A8}">
    <t:Anchor>
      <t:Comment id="1273166620"/>
    </t:Anchor>
    <t:History>
      <t:Event id="{4D140642-D2EF-4B1A-A715-3A536496E4C4}" time="2023-10-09T12:41:27.558Z">
        <t:Attribution userId="S::cristiana.marchitelli@ec.europa.eu::6005c952-9479-4837-876d-b341877848f1" userProvider="AD" userName="MARCHITELLI Cristiana (ENER)"/>
        <t:Anchor>
          <t:Comment id="760737144"/>
        </t:Anchor>
        <t:Create/>
      </t:Event>
      <t:Event id="{79A8E778-F7A0-413D-B0EE-7A77C2FCFD01}" time="2023-10-09T12:41:27.558Z">
        <t:Attribution userId="S::cristiana.marchitelli@ec.europa.eu::6005c952-9479-4837-876d-b341877848f1" userProvider="AD" userName="MARCHITELLI Cristiana (ENER)"/>
        <t:Anchor>
          <t:Comment id="760737144"/>
        </t:Anchor>
        <t:Assign userId="S::Katarzyna.GRYC@ec.europa.eu::acb223ce-c787-4b27-82bf-cf48b456fecb" userProvider="AD" userName="GRYC Katarzyna (ENER)"/>
      </t:Event>
      <t:Event id="{DA8ABE54-9CA9-48CF-B44A-D415C91F92AD}" time="2023-10-09T12:41:27.558Z">
        <t:Attribution userId="S::cristiana.marchitelli@ec.europa.eu::6005c952-9479-4837-876d-b341877848f1" userProvider="AD" userName="MARCHITELLI Cristiana (ENER)"/>
        <t:Anchor>
          <t:Comment id="760737144"/>
        </t:Anchor>
        <t:SetTitle title="@GRYC Katarzyna (ENER) @BARTHOLMES Jens (ENER)"/>
      </t:Event>
      <t:Event id="{CF11DDD0-030A-48C5-B953-B51E0EAD2E8F}" time="2023-10-09T13:36:08.735Z">
        <t:Attribution userId="S::katarzyna.gryc@ec.europa.eu::acb223ce-c787-4b27-82bf-cf48b456fecb" userProvider="AD" userName="GRYC Katarzyna (ENER)"/>
        <t:Anchor>
          <t:Comment id="1641431053"/>
        </t:Anchor>
        <t:UnassignAll/>
      </t:Event>
      <t:Event id="{400C0929-28D9-4C03-829C-043498479DAB}" time="2023-10-09T13:36:08.735Z">
        <t:Attribution userId="S::katarzyna.gryc@ec.europa.eu::acb223ce-c787-4b27-82bf-cf48b456fecb" userProvider="AD" userName="GRYC Katarzyna (ENER)"/>
        <t:Anchor>
          <t:Comment id="1641431053"/>
        </t:Anchor>
        <t:Assign userId="S::Cristiana.MARCHITELLI@ec.europa.eu::6005c952-9479-4837-876d-b341877848f1" userProvider="AD" userName="MARCHITELLI Cristiana (E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a75fd84-9932-4f20-bd9a-caf75fd0bd51">
      <UserInfo>
        <DisplayName>SharingLinks.60b40a56-355e-4f7e-91cd-7547cf9c7992.OrganizationView.27417521-fda3-469e-956d-05cd352e9a38</DisplayName>
        <AccountId>18</AccountId>
        <AccountType/>
      </UserInfo>
      <UserInfo>
        <DisplayName>KRAUSE Karsten (ENER)</DisplayName>
        <AccountId>11</AccountId>
        <AccountType/>
      </UserInfo>
      <UserInfo>
        <DisplayName>GRYC Katarzyna (ENER)</DisplayName>
        <AccountId>59</AccountId>
        <AccountType/>
      </UserInfo>
      <UserInfo>
        <DisplayName>LETOUT Simon (JRC-PETTEN)</DisplayName>
        <AccountId>63</AccountId>
        <AccountType/>
      </UserInfo>
    </SharedWithUsers>
    <_activity xmlns="ffb6d218-e4ef-4c97-8942-1bf8159dda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0FB2F397B3D448BFDC6DF71B5B186" ma:contentTypeVersion="12" ma:contentTypeDescription="Create a new document." ma:contentTypeScope="" ma:versionID="4e20052714baf2097f47f9043633cdf2">
  <xsd:schema xmlns:xsd="http://www.w3.org/2001/XMLSchema" xmlns:xs="http://www.w3.org/2001/XMLSchema" xmlns:p="http://schemas.microsoft.com/office/2006/metadata/properties" xmlns:ns3="ba75fd84-9932-4f20-bd9a-caf75fd0bd51" xmlns:ns4="ffb6d218-e4ef-4c97-8942-1bf8159ddab9" targetNamespace="http://schemas.microsoft.com/office/2006/metadata/properties" ma:root="true" ma:fieldsID="1964095729edf7b68c7b2f46ca6a8acd" ns3:_="" ns4:_="">
    <xsd:import namespace="ba75fd84-9932-4f20-bd9a-caf75fd0bd51"/>
    <xsd:import namespace="ffb6d218-e4ef-4c97-8942-1bf8159dda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ObjectDetectorVersions"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5fd84-9932-4f20-bd9a-caf75fd0bd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6d218-e4ef-4c97-8942-1bf8159dda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3595-C162-4F13-9EB9-954E7C2007BC}">
  <ds:schemaRefs>
    <ds:schemaRef ds:uri="http://schemas.microsoft.com/sharepoint/v3/contenttype/forms"/>
  </ds:schemaRefs>
</ds:datastoreItem>
</file>

<file path=customXml/itemProps2.xml><?xml version="1.0" encoding="utf-8"?>
<ds:datastoreItem xmlns:ds="http://schemas.openxmlformats.org/officeDocument/2006/customXml" ds:itemID="{25EC8644-12DB-4B25-A3B9-287F1BDAD317}">
  <ds:schemaRefs>
    <ds:schemaRef ds:uri="http://schemas.microsoft.com/office/2006/documentManagement/types"/>
    <ds:schemaRef ds:uri="ba75fd84-9932-4f20-bd9a-caf75fd0bd51"/>
    <ds:schemaRef ds:uri="ffb6d218-e4ef-4c97-8942-1bf8159ddab9"/>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FDDCEE1-5FD3-4BE3-94C5-5BEF2B5A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5fd84-9932-4f20-bd9a-caf75fd0bd51"/>
    <ds:schemaRef ds:uri="ffb6d218-e4ef-4c97-8942-1bf8159d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1E512-904C-4E5A-A8B1-B664A814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23</Pages>
  <Words>22780</Words>
  <Characters>115951</Characters>
  <Application>Microsoft Office Word</Application>
  <DocSecurity>0</DocSecurity>
  <Lines>1680</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138456</CharactersWithSpaces>
  <SharedDoc>false</SharedDoc>
  <HLinks>
    <vt:vector size="642" baseType="variant">
      <vt:variant>
        <vt:i4>1769532</vt:i4>
      </vt:variant>
      <vt:variant>
        <vt:i4>122</vt:i4>
      </vt:variant>
      <vt:variant>
        <vt:i4>0</vt:i4>
      </vt:variant>
      <vt:variant>
        <vt:i4>5</vt:i4>
      </vt:variant>
      <vt:variant>
        <vt:lpwstr/>
      </vt:variant>
      <vt:variant>
        <vt:lpwstr>_Toc147996371</vt:lpwstr>
      </vt:variant>
      <vt:variant>
        <vt:i4>1769532</vt:i4>
      </vt:variant>
      <vt:variant>
        <vt:i4>116</vt:i4>
      </vt:variant>
      <vt:variant>
        <vt:i4>0</vt:i4>
      </vt:variant>
      <vt:variant>
        <vt:i4>5</vt:i4>
      </vt:variant>
      <vt:variant>
        <vt:lpwstr/>
      </vt:variant>
      <vt:variant>
        <vt:lpwstr>_Toc147996370</vt:lpwstr>
      </vt:variant>
      <vt:variant>
        <vt:i4>1703996</vt:i4>
      </vt:variant>
      <vt:variant>
        <vt:i4>110</vt:i4>
      </vt:variant>
      <vt:variant>
        <vt:i4>0</vt:i4>
      </vt:variant>
      <vt:variant>
        <vt:i4>5</vt:i4>
      </vt:variant>
      <vt:variant>
        <vt:lpwstr/>
      </vt:variant>
      <vt:variant>
        <vt:lpwstr>_Toc147996369</vt:lpwstr>
      </vt:variant>
      <vt:variant>
        <vt:i4>1703996</vt:i4>
      </vt:variant>
      <vt:variant>
        <vt:i4>104</vt:i4>
      </vt:variant>
      <vt:variant>
        <vt:i4>0</vt:i4>
      </vt:variant>
      <vt:variant>
        <vt:i4>5</vt:i4>
      </vt:variant>
      <vt:variant>
        <vt:lpwstr/>
      </vt:variant>
      <vt:variant>
        <vt:lpwstr>_Toc147996368</vt:lpwstr>
      </vt:variant>
      <vt:variant>
        <vt:i4>1703996</vt:i4>
      </vt:variant>
      <vt:variant>
        <vt:i4>98</vt:i4>
      </vt:variant>
      <vt:variant>
        <vt:i4>0</vt:i4>
      </vt:variant>
      <vt:variant>
        <vt:i4>5</vt:i4>
      </vt:variant>
      <vt:variant>
        <vt:lpwstr/>
      </vt:variant>
      <vt:variant>
        <vt:lpwstr>_Toc147996367</vt:lpwstr>
      </vt:variant>
      <vt:variant>
        <vt:i4>1703996</vt:i4>
      </vt:variant>
      <vt:variant>
        <vt:i4>92</vt:i4>
      </vt:variant>
      <vt:variant>
        <vt:i4>0</vt:i4>
      </vt:variant>
      <vt:variant>
        <vt:i4>5</vt:i4>
      </vt:variant>
      <vt:variant>
        <vt:lpwstr/>
      </vt:variant>
      <vt:variant>
        <vt:lpwstr>_Toc147996366</vt:lpwstr>
      </vt:variant>
      <vt:variant>
        <vt:i4>1703996</vt:i4>
      </vt:variant>
      <vt:variant>
        <vt:i4>86</vt:i4>
      </vt:variant>
      <vt:variant>
        <vt:i4>0</vt:i4>
      </vt:variant>
      <vt:variant>
        <vt:i4>5</vt:i4>
      </vt:variant>
      <vt:variant>
        <vt:lpwstr/>
      </vt:variant>
      <vt:variant>
        <vt:lpwstr>_Toc147996365</vt:lpwstr>
      </vt:variant>
      <vt:variant>
        <vt:i4>1703996</vt:i4>
      </vt:variant>
      <vt:variant>
        <vt:i4>80</vt:i4>
      </vt:variant>
      <vt:variant>
        <vt:i4>0</vt:i4>
      </vt:variant>
      <vt:variant>
        <vt:i4>5</vt:i4>
      </vt:variant>
      <vt:variant>
        <vt:lpwstr/>
      </vt:variant>
      <vt:variant>
        <vt:lpwstr>_Toc147996364</vt:lpwstr>
      </vt:variant>
      <vt:variant>
        <vt:i4>1703996</vt:i4>
      </vt:variant>
      <vt:variant>
        <vt:i4>74</vt:i4>
      </vt:variant>
      <vt:variant>
        <vt:i4>0</vt:i4>
      </vt:variant>
      <vt:variant>
        <vt:i4>5</vt:i4>
      </vt:variant>
      <vt:variant>
        <vt:lpwstr/>
      </vt:variant>
      <vt:variant>
        <vt:lpwstr>_Toc147996363</vt:lpwstr>
      </vt:variant>
      <vt:variant>
        <vt:i4>1703996</vt:i4>
      </vt:variant>
      <vt:variant>
        <vt:i4>68</vt:i4>
      </vt:variant>
      <vt:variant>
        <vt:i4>0</vt:i4>
      </vt:variant>
      <vt:variant>
        <vt:i4>5</vt:i4>
      </vt:variant>
      <vt:variant>
        <vt:lpwstr/>
      </vt:variant>
      <vt:variant>
        <vt:lpwstr>_Toc147996362</vt:lpwstr>
      </vt:variant>
      <vt:variant>
        <vt:i4>1703996</vt:i4>
      </vt:variant>
      <vt:variant>
        <vt:i4>62</vt:i4>
      </vt:variant>
      <vt:variant>
        <vt:i4>0</vt:i4>
      </vt:variant>
      <vt:variant>
        <vt:i4>5</vt:i4>
      </vt:variant>
      <vt:variant>
        <vt:lpwstr/>
      </vt:variant>
      <vt:variant>
        <vt:lpwstr>_Toc147996361</vt:lpwstr>
      </vt:variant>
      <vt:variant>
        <vt:i4>1703996</vt:i4>
      </vt:variant>
      <vt:variant>
        <vt:i4>56</vt:i4>
      </vt:variant>
      <vt:variant>
        <vt:i4>0</vt:i4>
      </vt:variant>
      <vt:variant>
        <vt:i4>5</vt:i4>
      </vt:variant>
      <vt:variant>
        <vt:lpwstr/>
      </vt:variant>
      <vt:variant>
        <vt:lpwstr>_Toc147996360</vt:lpwstr>
      </vt:variant>
      <vt:variant>
        <vt:i4>1638460</vt:i4>
      </vt:variant>
      <vt:variant>
        <vt:i4>50</vt:i4>
      </vt:variant>
      <vt:variant>
        <vt:i4>0</vt:i4>
      </vt:variant>
      <vt:variant>
        <vt:i4>5</vt:i4>
      </vt:variant>
      <vt:variant>
        <vt:lpwstr/>
      </vt:variant>
      <vt:variant>
        <vt:lpwstr>_Toc147996358</vt:lpwstr>
      </vt:variant>
      <vt:variant>
        <vt:i4>1638460</vt:i4>
      </vt:variant>
      <vt:variant>
        <vt:i4>44</vt:i4>
      </vt:variant>
      <vt:variant>
        <vt:i4>0</vt:i4>
      </vt:variant>
      <vt:variant>
        <vt:i4>5</vt:i4>
      </vt:variant>
      <vt:variant>
        <vt:lpwstr/>
      </vt:variant>
      <vt:variant>
        <vt:lpwstr>_Toc147996357</vt:lpwstr>
      </vt:variant>
      <vt:variant>
        <vt:i4>1638460</vt:i4>
      </vt:variant>
      <vt:variant>
        <vt:i4>38</vt:i4>
      </vt:variant>
      <vt:variant>
        <vt:i4>0</vt:i4>
      </vt:variant>
      <vt:variant>
        <vt:i4>5</vt:i4>
      </vt:variant>
      <vt:variant>
        <vt:lpwstr/>
      </vt:variant>
      <vt:variant>
        <vt:lpwstr>_Toc147996356</vt:lpwstr>
      </vt:variant>
      <vt:variant>
        <vt:i4>1638460</vt:i4>
      </vt:variant>
      <vt:variant>
        <vt:i4>32</vt:i4>
      </vt:variant>
      <vt:variant>
        <vt:i4>0</vt:i4>
      </vt:variant>
      <vt:variant>
        <vt:i4>5</vt:i4>
      </vt:variant>
      <vt:variant>
        <vt:lpwstr/>
      </vt:variant>
      <vt:variant>
        <vt:lpwstr>_Toc147996355</vt:lpwstr>
      </vt:variant>
      <vt:variant>
        <vt:i4>1638460</vt:i4>
      </vt:variant>
      <vt:variant>
        <vt:i4>26</vt:i4>
      </vt:variant>
      <vt:variant>
        <vt:i4>0</vt:i4>
      </vt:variant>
      <vt:variant>
        <vt:i4>5</vt:i4>
      </vt:variant>
      <vt:variant>
        <vt:lpwstr/>
      </vt:variant>
      <vt:variant>
        <vt:lpwstr>_Toc147996354</vt:lpwstr>
      </vt:variant>
      <vt:variant>
        <vt:i4>1638460</vt:i4>
      </vt:variant>
      <vt:variant>
        <vt:i4>20</vt:i4>
      </vt:variant>
      <vt:variant>
        <vt:i4>0</vt:i4>
      </vt:variant>
      <vt:variant>
        <vt:i4>5</vt:i4>
      </vt:variant>
      <vt:variant>
        <vt:lpwstr/>
      </vt:variant>
      <vt:variant>
        <vt:lpwstr>_Toc147996353</vt:lpwstr>
      </vt:variant>
      <vt:variant>
        <vt:i4>1638460</vt:i4>
      </vt:variant>
      <vt:variant>
        <vt:i4>14</vt:i4>
      </vt:variant>
      <vt:variant>
        <vt:i4>0</vt:i4>
      </vt:variant>
      <vt:variant>
        <vt:i4>5</vt:i4>
      </vt:variant>
      <vt:variant>
        <vt:lpwstr/>
      </vt:variant>
      <vt:variant>
        <vt:lpwstr>_Toc147996352</vt:lpwstr>
      </vt:variant>
      <vt:variant>
        <vt:i4>1638460</vt:i4>
      </vt:variant>
      <vt:variant>
        <vt:i4>8</vt:i4>
      </vt:variant>
      <vt:variant>
        <vt:i4>0</vt:i4>
      </vt:variant>
      <vt:variant>
        <vt:i4>5</vt:i4>
      </vt:variant>
      <vt:variant>
        <vt:lpwstr/>
      </vt:variant>
      <vt:variant>
        <vt:lpwstr>_Toc147996351</vt:lpwstr>
      </vt:variant>
      <vt:variant>
        <vt:i4>1638460</vt:i4>
      </vt:variant>
      <vt:variant>
        <vt:i4>2</vt:i4>
      </vt:variant>
      <vt:variant>
        <vt:i4>0</vt:i4>
      </vt:variant>
      <vt:variant>
        <vt:i4>5</vt:i4>
      </vt:variant>
      <vt:variant>
        <vt:lpwstr/>
      </vt:variant>
      <vt:variant>
        <vt:lpwstr>_Toc147996350</vt:lpwstr>
      </vt:variant>
      <vt:variant>
        <vt:i4>4653059</vt:i4>
      </vt:variant>
      <vt:variant>
        <vt:i4>255</vt:i4>
      </vt:variant>
      <vt:variant>
        <vt:i4>0</vt:i4>
      </vt:variant>
      <vt:variant>
        <vt:i4>5</vt:i4>
      </vt:variant>
      <vt:variant>
        <vt:lpwstr>https://www.ecb.europa.eu/stats/policy_and_exchange_rates/euro_reference_exchange_rates/html/eurofxref-graph-usd.en.html</vt:lpwstr>
      </vt:variant>
      <vt:variant>
        <vt:lpwstr/>
      </vt:variant>
      <vt:variant>
        <vt:i4>2949172</vt:i4>
      </vt:variant>
      <vt:variant>
        <vt:i4>252</vt:i4>
      </vt:variant>
      <vt:variant>
        <vt:i4>0</vt:i4>
      </vt:variant>
      <vt:variant>
        <vt:i4>5</vt:i4>
      </vt:variant>
      <vt:variant>
        <vt:lpwstr>https://www.power-technology.com/data-insights/innovators-hvdc-transmission-systems-power/</vt:lpwstr>
      </vt:variant>
      <vt:variant>
        <vt:lpwstr/>
      </vt:variant>
      <vt:variant>
        <vt:i4>3866742</vt:i4>
      </vt:variant>
      <vt:variant>
        <vt:i4>249</vt:i4>
      </vt:variant>
      <vt:variant>
        <vt:i4>0</vt:i4>
      </vt:variant>
      <vt:variant>
        <vt:i4>5</vt:i4>
      </vt:variant>
      <vt:variant>
        <vt:lpwstr>https://interopera.eu/</vt:lpwstr>
      </vt:variant>
      <vt:variant>
        <vt:lpwstr/>
      </vt:variant>
      <vt:variant>
        <vt:i4>327748</vt:i4>
      </vt:variant>
      <vt:variant>
        <vt:i4>246</vt:i4>
      </vt:variant>
      <vt:variant>
        <vt:i4>0</vt:i4>
      </vt:variant>
      <vt:variant>
        <vt:i4>5</vt:i4>
      </vt:variant>
      <vt:variant>
        <vt:lpwstr>https://publications.jrc.ec.europa.eu/repository/handle/JRC130663</vt:lpwstr>
      </vt:variant>
      <vt:variant>
        <vt:lpwstr/>
      </vt:variant>
      <vt:variant>
        <vt:i4>4653059</vt:i4>
      </vt:variant>
      <vt:variant>
        <vt:i4>243</vt:i4>
      </vt:variant>
      <vt:variant>
        <vt:i4>0</vt:i4>
      </vt:variant>
      <vt:variant>
        <vt:i4>5</vt:i4>
      </vt:variant>
      <vt:variant>
        <vt:lpwstr>https://www.ecb.europa.eu/stats/policy_and_exchange_rates/euro_reference_exchange_rates/html/eurofxref-graph-usd.en.html</vt:lpwstr>
      </vt:variant>
      <vt:variant>
        <vt:lpwstr/>
      </vt:variant>
      <vt:variant>
        <vt:i4>3735625</vt:i4>
      </vt:variant>
      <vt:variant>
        <vt:i4>240</vt:i4>
      </vt:variant>
      <vt:variant>
        <vt:i4>0</vt:i4>
      </vt:variant>
      <vt:variant>
        <vt:i4>5</vt:i4>
      </vt:variant>
      <vt:variant>
        <vt:lpwstr>https://status22.globalccsinstitute.com/wp-content/uploads/2023/03/GCCSI_Global-Report-2022_PDF_FINAL-01-03-23.pdf</vt:lpwstr>
      </vt:variant>
      <vt:variant>
        <vt:lpwstr/>
      </vt:variant>
      <vt:variant>
        <vt:i4>524341</vt:i4>
      </vt:variant>
      <vt:variant>
        <vt:i4>237</vt:i4>
      </vt:variant>
      <vt:variant>
        <vt:i4>0</vt:i4>
      </vt:variant>
      <vt:variant>
        <vt:i4>5</vt:i4>
      </vt:variant>
      <vt:variant>
        <vt:lpwstr>https://energy.ec.europa.eu/publications/eu-regulation-development-market-co2-transport-and-storage_en</vt:lpwstr>
      </vt:variant>
      <vt:variant>
        <vt:lpwstr/>
      </vt:variant>
      <vt:variant>
        <vt:i4>1769523</vt:i4>
      </vt:variant>
      <vt:variant>
        <vt:i4>234</vt:i4>
      </vt:variant>
      <vt:variant>
        <vt:i4>0</vt:i4>
      </vt:variant>
      <vt:variant>
        <vt:i4>5</vt:i4>
      </vt:variant>
      <vt:variant>
        <vt:lpwstr>https://climate.ec.europa.eu/eu-action/carbon-capture-use-and-storage/implementation-ccs-directive_en</vt:lpwstr>
      </vt:variant>
      <vt:variant>
        <vt:lpwstr/>
      </vt:variant>
      <vt:variant>
        <vt:i4>2621567</vt:i4>
      </vt:variant>
      <vt:variant>
        <vt:i4>231</vt:i4>
      </vt:variant>
      <vt:variant>
        <vt:i4>0</vt:i4>
      </vt:variant>
      <vt:variant>
        <vt:i4>5</vt:i4>
      </vt:variant>
      <vt:variant>
        <vt:lpwstr>https://www.europeanbiogas.eu/biomethane-map-2021/</vt:lpwstr>
      </vt:variant>
      <vt:variant>
        <vt:lpwstr/>
      </vt:variant>
      <vt:variant>
        <vt:i4>5505027</vt:i4>
      </vt:variant>
      <vt:variant>
        <vt:i4>228</vt:i4>
      </vt:variant>
      <vt:variant>
        <vt:i4>0</vt:i4>
      </vt:variant>
      <vt:variant>
        <vt:i4>5</vt:i4>
      </vt:variant>
      <vt:variant>
        <vt:lpwstr>https://www.europeanenergyinnovation.eu/Articles/Autumn-2022/A-new-policy-context-for-assessing-biogas-and-biomethane</vt:lpwstr>
      </vt:variant>
      <vt:variant>
        <vt:lpwstr/>
      </vt:variant>
      <vt:variant>
        <vt:i4>16</vt:i4>
      </vt:variant>
      <vt:variant>
        <vt:i4>225</vt:i4>
      </vt:variant>
      <vt:variant>
        <vt:i4>0</vt:i4>
      </vt:variant>
      <vt:variant>
        <vt:i4>5</vt:i4>
      </vt:variant>
      <vt:variant>
        <vt:lpwstr>https://data.europa.eu/doi/10.2832/163774</vt:lpwstr>
      </vt:variant>
      <vt:variant>
        <vt:lpwstr/>
      </vt:variant>
      <vt:variant>
        <vt:i4>4194387</vt:i4>
      </vt:variant>
      <vt:variant>
        <vt:i4>222</vt:i4>
      </vt:variant>
      <vt:variant>
        <vt:i4>0</vt:i4>
      </vt:variant>
      <vt:variant>
        <vt:i4>5</vt:i4>
      </vt:variant>
      <vt:variant>
        <vt:lpwstr>https://www.eurobserv-er.org/online-database/</vt:lpwstr>
      </vt:variant>
      <vt:variant>
        <vt:lpwstr/>
      </vt:variant>
      <vt:variant>
        <vt:i4>1704010</vt:i4>
      </vt:variant>
      <vt:variant>
        <vt:i4>219</vt:i4>
      </vt:variant>
      <vt:variant>
        <vt:i4>0</vt:i4>
      </vt:variant>
      <vt:variant>
        <vt:i4>5</vt:i4>
      </vt:variant>
      <vt:variant>
        <vt:lpwstr>https://cordis.europa.eu/projects/en</vt:lpwstr>
      </vt:variant>
      <vt:variant>
        <vt:lpwstr/>
      </vt:variant>
      <vt:variant>
        <vt:i4>1704010</vt:i4>
      </vt:variant>
      <vt:variant>
        <vt:i4>216</vt:i4>
      </vt:variant>
      <vt:variant>
        <vt:i4>0</vt:i4>
      </vt:variant>
      <vt:variant>
        <vt:i4>5</vt:i4>
      </vt:variant>
      <vt:variant>
        <vt:lpwstr>https://cordis.europa.eu/projects/en</vt:lpwstr>
      </vt:variant>
      <vt:variant>
        <vt:lpwstr/>
      </vt:variant>
      <vt:variant>
        <vt:i4>5767263</vt:i4>
      </vt:variant>
      <vt:variant>
        <vt:i4>213</vt:i4>
      </vt:variant>
      <vt:variant>
        <vt:i4>0</vt:i4>
      </vt:variant>
      <vt:variant>
        <vt:i4>5</vt:i4>
      </vt:variant>
      <vt:variant>
        <vt:lpwstr>https://ec.europa.eu/docsroom/documents/54935</vt:lpwstr>
      </vt:variant>
      <vt:variant>
        <vt:lpwstr/>
      </vt:variant>
      <vt:variant>
        <vt:i4>131165</vt:i4>
      </vt:variant>
      <vt:variant>
        <vt:i4>210</vt:i4>
      </vt:variant>
      <vt:variant>
        <vt:i4>0</vt:i4>
      </vt:variant>
      <vt:variant>
        <vt:i4>5</vt:i4>
      </vt:variant>
      <vt:variant>
        <vt:lpwstr>https://www.hydrogen.energy.gov/clean-hydrogen-strategy-roadmap.html</vt:lpwstr>
      </vt:variant>
      <vt:variant>
        <vt:lpwstr/>
      </vt:variant>
      <vt:variant>
        <vt:i4>7864355</vt:i4>
      </vt:variant>
      <vt:variant>
        <vt:i4>207</vt:i4>
      </vt:variant>
      <vt:variant>
        <vt:i4>0</vt:i4>
      </vt:variant>
      <vt:variant>
        <vt:i4>5</vt:i4>
      </vt:variant>
      <vt:variant>
        <vt:lpwstr>https://hydrogeneurope.eu/new-electrolyser-partnership/</vt:lpwstr>
      </vt:variant>
      <vt:variant>
        <vt:lpwstr/>
      </vt:variant>
      <vt:variant>
        <vt:i4>5111904</vt:i4>
      </vt:variant>
      <vt:variant>
        <vt:i4>204</vt:i4>
      </vt:variant>
      <vt:variant>
        <vt:i4>0</vt:i4>
      </vt:variant>
      <vt:variant>
        <vt:i4>5</vt:i4>
      </vt:variant>
      <vt:variant>
        <vt:lpwstr>https://single-market-economy.ec.europa.eu/industry/strategy/industrial-alliances/european-clean-hydrogen-alliance_en</vt:lpwstr>
      </vt:variant>
      <vt:variant>
        <vt:lpwstr/>
      </vt:variant>
      <vt:variant>
        <vt:i4>3145756</vt:i4>
      </vt:variant>
      <vt:variant>
        <vt:i4>201</vt:i4>
      </vt:variant>
      <vt:variant>
        <vt:i4>0</vt:i4>
      </vt:variant>
      <vt:variant>
        <vt:i4>5</vt:i4>
      </vt:variant>
      <vt:variant>
        <vt:lpwstr>https://www.egec.org/wp-content/uploads/2023/05/EGEC-Market-Report-2022_Key-Findings.pdf</vt:lpwstr>
      </vt:variant>
      <vt:variant>
        <vt:lpwstr/>
      </vt:variant>
      <vt:variant>
        <vt:i4>3145756</vt:i4>
      </vt:variant>
      <vt:variant>
        <vt:i4>198</vt:i4>
      </vt:variant>
      <vt:variant>
        <vt:i4>0</vt:i4>
      </vt:variant>
      <vt:variant>
        <vt:i4>5</vt:i4>
      </vt:variant>
      <vt:variant>
        <vt:lpwstr>https://www.egec.org/wp-content/uploads/2023/05/EGEC-Market-Report-2022_Key-Findings.pdf</vt:lpwstr>
      </vt:variant>
      <vt:variant>
        <vt:lpwstr/>
      </vt:variant>
      <vt:variant>
        <vt:i4>262221</vt:i4>
      </vt:variant>
      <vt:variant>
        <vt:i4>195</vt:i4>
      </vt:variant>
      <vt:variant>
        <vt:i4>0</vt:i4>
      </vt:variant>
      <vt:variant>
        <vt:i4>5</vt:i4>
      </vt:variant>
      <vt:variant>
        <vt:lpwstr>https://webstore.iec.ch/publication/62837</vt:lpwstr>
      </vt:variant>
      <vt:variant>
        <vt:lpwstr/>
      </vt:variant>
      <vt:variant>
        <vt:i4>6357106</vt:i4>
      </vt:variant>
      <vt:variant>
        <vt:i4>192</vt:i4>
      </vt:variant>
      <vt:variant>
        <vt:i4>0</vt:i4>
      </vt:variant>
      <vt:variant>
        <vt:i4>5</vt:i4>
      </vt:variant>
      <vt:variant>
        <vt:lpwstr>https://www.ehpa.org/wp-content/uploads/2022/11/HP-Investments-Website-3.0.pdf</vt:lpwstr>
      </vt:variant>
      <vt:variant>
        <vt:lpwstr/>
      </vt:variant>
      <vt:variant>
        <vt:i4>5308541</vt:i4>
      </vt:variant>
      <vt:variant>
        <vt:i4>189</vt:i4>
      </vt:variant>
      <vt:variant>
        <vt:i4>0</vt:i4>
      </vt:variant>
      <vt:variant>
        <vt:i4>5</vt:i4>
      </vt:variant>
      <vt:variant>
        <vt:lpwstr>https://ec.europa.eu/info/law/better-regulation/have-your-say/initiatives/13771-Heat-pumps-action-plan-to-accelerate-roll-out-across-the-EU_en</vt:lpwstr>
      </vt:variant>
      <vt:variant>
        <vt:lpwstr/>
      </vt:variant>
      <vt:variant>
        <vt:i4>2424959</vt:i4>
      </vt:variant>
      <vt:variant>
        <vt:i4>186</vt:i4>
      </vt:variant>
      <vt:variant>
        <vt:i4>0</vt:i4>
      </vt:variant>
      <vt:variant>
        <vt:i4>5</vt:i4>
      </vt:variant>
      <vt:variant>
        <vt:lpwstr>https://www.isi.fraunhofer.de/en/blog/themen/batterie-update/recycling-lithium-ionen-batterien-europa-starke-zunahme-2030-2040.html</vt:lpwstr>
      </vt:variant>
      <vt:variant>
        <vt:lpwstr/>
      </vt:variant>
      <vt:variant>
        <vt:i4>4128819</vt:i4>
      </vt:variant>
      <vt:variant>
        <vt:i4>183</vt:i4>
      </vt:variant>
      <vt:variant>
        <vt:i4>0</vt:i4>
      </vt:variant>
      <vt:variant>
        <vt:i4>5</vt:i4>
      </vt:variant>
      <vt:variant>
        <vt:lpwstr>https://www.greencarcongress.com/2023/05/20230531-acc.html</vt:lpwstr>
      </vt:variant>
      <vt:variant>
        <vt:lpwstr/>
      </vt:variant>
      <vt:variant>
        <vt:i4>1769573</vt:i4>
      </vt:variant>
      <vt:variant>
        <vt:i4>180</vt:i4>
      </vt:variant>
      <vt:variant>
        <vt:i4>0</vt:i4>
      </vt:variant>
      <vt:variant>
        <vt:i4>5</vt:i4>
      </vt:variant>
      <vt:variant>
        <vt:lpwstr>https://www.mckinsey.com/industries/automotive-and-assembly/our-insights/battery-2030-resilient-sustainable-and-circular</vt:lpwstr>
      </vt:variant>
      <vt:variant>
        <vt:lpwstr>/</vt:lpwstr>
      </vt:variant>
      <vt:variant>
        <vt:i4>7209042</vt:i4>
      </vt:variant>
      <vt:variant>
        <vt:i4>177</vt:i4>
      </vt:variant>
      <vt:variant>
        <vt:i4>0</vt:i4>
      </vt:variant>
      <vt:variant>
        <vt:i4>5</vt:i4>
      </vt:variant>
      <vt:variant>
        <vt:lpwstr>https://energystoragecoalition.eu/wp-content/uploads/2023/03/23.03.17-ESC_response-1.pdf</vt:lpwstr>
      </vt:variant>
      <vt:variant>
        <vt:lpwstr/>
      </vt:variant>
      <vt:variant>
        <vt:i4>3473441</vt:i4>
      </vt:variant>
      <vt:variant>
        <vt:i4>174</vt:i4>
      </vt:variant>
      <vt:variant>
        <vt:i4>0</vt:i4>
      </vt:variant>
      <vt:variant>
        <vt:i4>5</vt:i4>
      </vt:variant>
      <vt:variant>
        <vt:lpwstr>https://battery-charts.rwth-aachen.de/</vt:lpwstr>
      </vt:variant>
      <vt:variant>
        <vt:lpwstr/>
      </vt:variant>
      <vt:variant>
        <vt:i4>5636181</vt:i4>
      </vt:variant>
      <vt:variant>
        <vt:i4>171</vt:i4>
      </vt:variant>
      <vt:variant>
        <vt:i4>0</vt:i4>
      </vt:variant>
      <vt:variant>
        <vt:i4>5</vt:i4>
      </vt:variant>
      <vt:variant>
        <vt:lpwstr>https://www.transportenvironment.org/discover/how-not-to-lose-it-all/</vt:lpwstr>
      </vt:variant>
      <vt:variant>
        <vt:lpwstr/>
      </vt:variant>
      <vt:variant>
        <vt:i4>5177440</vt:i4>
      </vt:variant>
      <vt:variant>
        <vt:i4>168</vt:i4>
      </vt:variant>
      <vt:variant>
        <vt:i4>0</vt:i4>
      </vt:variant>
      <vt:variant>
        <vt:i4>5</vt:i4>
      </vt:variant>
      <vt:variant>
        <vt:lpwstr>https://www.eba250.com/wp-content/uploads/2023/03/EBA_DiscussionPaper_Battery-Ministerial_01_03_2023.pdf</vt:lpwstr>
      </vt:variant>
      <vt:variant>
        <vt:lpwstr/>
      </vt:variant>
      <vt:variant>
        <vt:i4>7864364</vt:i4>
      </vt:variant>
      <vt:variant>
        <vt:i4>165</vt:i4>
      </vt:variant>
      <vt:variant>
        <vt:i4>0</vt:i4>
      </vt:variant>
      <vt:variant>
        <vt:i4>5</vt:i4>
      </vt:variant>
      <vt:variant>
        <vt:lpwstr>https://source.benchmarkminerals.com/article/ira-supercharges-usas-gigafactory-capacity-pipeline-as-it-overtakes-europe-for-first-time</vt:lpwstr>
      </vt:variant>
      <vt:variant>
        <vt:lpwstr/>
      </vt:variant>
      <vt:variant>
        <vt:i4>4653059</vt:i4>
      </vt:variant>
      <vt:variant>
        <vt:i4>162</vt:i4>
      </vt:variant>
      <vt:variant>
        <vt:i4>0</vt:i4>
      </vt:variant>
      <vt:variant>
        <vt:i4>5</vt:i4>
      </vt:variant>
      <vt:variant>
        <vt:lpwstr>https://www.ecb.europa.eu/stats/policy_and_exchange_rates/euro_reference_exchange_rates/html/eurofxref-graph-usd.en.html</vt:lpwstr>
      </vt:variant>
      <vt:variant>
        <vt:lpwstr/>
      </vt:variant>
      <vt:variant>
        <vt:i4>8257590</vt:i4>
      </vt:variant>
      <vt:variant>
        <vt:i4>159</vt:i4>
      </vt:variant>
      <vt:variant>
        <vt:i4>0</vt:i4>
      </vt:variant>
      <vt:variant>
        <vt:i4>5</vt:i4>
      </vt:variant>
      <vt:variant>
        <vt:lpwstr>https://www.whitehouse.gov/invest/</vt:lpwstr>
      </vt:variant>
      <vt:variant>
        <vt:lpwstr/>
      </vt:variant>
      <vt:variant>
        <vt:i4>1245188</vt:i4>
      </vt:variant>
      <vt:variant>
        <vt:i4>156</vt:i4>
      </vt:variant>
      <vt:variant>
        <vt:i4>0</vt:i4>
      </vt:variant>
      <vt:variant>
        <vt:i4>5</vt:i4>
      </vt:variant>
      <vt:variant>
        <vt:lpwstr>https://insideevs.com/news/666377/europe-plugin-car-sales-march2023/</vt:lpwstr>
      </vt:variant>
      <vt:variant>
        <vt:lpwstr/>
      </vt:variant>
      <vt:variant>
        <vt:i4>4325466</vt:i4>
      </vt:variant>
      <vt:variant>
        <vt:i4>153</vt:i4>
      </vt:variant>
      <vt:variant>
        <vt:i4>0</vt:i4>
      </vt:variant>
      <vt:variant>
        <vt:i4>5</vt:i4>
      </vt:variant>
      <vt:variant>
        <vt:lpwstr>https://about.bnef.com/blog/lithium-ion-battery-pack-prices-rise-for-first-time-to-an-average-of-151-kwh/</vt:lpwstr>
      </vt:variant>
      <vt:variant>
        <vt:lpwstr/>
      </vt:variant>
      <vt:variant>
        <vt:i4>8323177</vt:i4>
      </vt:variant>
      <vt:variant>
        <vt:i4>150</vt:i4>
      </vt:variant>
      <vt:variant>
        <vt:i4>0</vt:i4>
      </vt:variant>
      <vt:variant>
        <vt:i4>5</vt:i4>
      </vt:variant>
      <vt:variant>
        <vt:lpwstr>https://iea.blob.core.windows.net/assets/dacf14d2-eabc-498a-8263-9f97fd5dc327/GEVO2023.pdf</vt:lpwstr>
      </vt:variant>
      <vt:variant>
        <vt:lpwstr/>
      </vt:variant>
      <vt:variant>
        <vt:i4>5374003</vt:i4>
      </vt:variant>
      <vt:variant>
        <vt:i4>147</vt:i4>
      </vt:variant>
      <vt:variant>
        <vt:i4>0</vt:i4>
      </vt:variant>
      <vt:variant>
        <vt:i4>5</vt:i4>
      </vt:variant>
      <vt:variant>
        <vt:lpwstr>https://single-market-economy.ec.europa.eu/industry/strategy/industrial-alliances/european-battery-alliance_en</vt:lpwstr>
      </vt:variant>
      <vt:variant>
        <vt:lpwstr/>
      </vt:variant>
      <vt:variant>
        <vt:i4>131103</vt:i4>
      </vt:variant>
      <vt:variant>
        <vt:i4>144</vt:i4>
      </vt:variant>
      <vt:variant>
        <vt:i4>0</vt:i4>
      </vt:variant>
      <vt:variant>
        <vt:i4>5</vt:i4>
      </vt:variant>
      <vt:variant>
        <vt:lpwstr>https://www.iea.org/reports/global-ev-outlook-2023/executive-summary</vt:lpwstr>
      </vt:variant>
      <vt:variant>
        <vt:lpwstr/>
      </vt:variant>
      <vt:variant>
        <vt:i4>65618</vt:i4>
      </vt:variant>
      <vt:variant>
        <vt:i4>141</vt:i4>
      </vt:variant>
      <vt:variant>
        <vt:i4>0</vt:i4>
      </vt:variant>
      <vt:variant>
        <vt:i4>5</vt:i4>
      </vt:variant>
      <vt:variant>
        <vt:lpwstr>https://alternative-fuels-observatory.ec.europa.eu/transport-mode/road/european-union-eu27/vehicles-and-fleet</vt:lpwstr>
      </vt:variant>
      <vt:variant>
        <vt:lpwstr/>
      </vt:variant>
      <vt:variant>
        <vt:i4>3932267</vt:i4>
      </vt:variant>
      <vt:variant>
        <vt:i4>138</vt:i4>
      </vt:variant>
      <vt:variant>
        <vt:i4>0</vt:i4>
      </vt:variant>
      <vt:variant>
        <vt:i4>5</vt:i4>
      </vt:variant>
      <vt:variant>
        <vt:lpwstr>https://www.acea.auto/fuel-pc/fuel-types-of-new-cars-battery-electric-12-1-hybrid-22-6-and-petrol-36-4-market-share-full-year-2022/</vt:lpwstr>
      </vt:variant>
      <vt:variant>
        <vt:lpwstr/>
      </vt:variant>
      <vt:variant>
        <vt:i4>5374003</vt:i4>
      </vt:variant>
      <vt:variant>
        <vt:i4>135</vt:i4>
      </vt:variant>
      <vt:variant>
        <vt:i4>0</vt:i4>
      </vt:variant>
      <vt:variant>
        <vt:i4>5</vt:i4>
      </vt:variant>
      <vt:variant>
        <vt:lpwstr>https://single-market-economy.ec.europa.eu/industry/strategy/industrial-alliances/european-battery-alliance_en</vt:lpwstr>
      </vt:variant>
      <vt:variant>
        <vt:lpwstr/>
      </vt:variant>
      <vt:variant>
        <vt:i4>4194314</vt:i4>
      </vt:variant>
      <vt:variant>
        <vt:i4>132</vt:i4>
      </vt:variant>
      <vt:variant>
        <vt:i4>0</vt:i4>
      </vt:variant>
      <vt:variant>
        <vt:i4>5</vt:i4>
      </vt:variant>
      <vt:variant>
        <vt:lpwstr>https://www.transportenvironment.org/</vt:lpwstr>
      </vt:variant>
      <vt:variant>
        <vt:lpwstr/>
      </vt:variant>
      <vt:variant>
        <vt:i4>4456552</vt:i4>
      </vt:variant>
      <vt:variant>
        <vt:i4>129</vt:i4>
      </vt:variant>
      <vt:variant>
        <vt:i4>0</vt:i4>
      </vt:variant>
      <vt:variant>
        <vt:i4>5</vt:i4>
      </vt:variant>
      <vt:variant>
        <vt:lpwstr>https://www.eca.europa.eu/ECAPublications/SR-2023-15/SR-2023-15_EN.pdf</vt:lpwstr>
      </vt:variant>
      <vt:variant>
        <vt:lpwstr/>
      </vt:variant>
      <vt:variant>
        <vt:i4>7929871</vt:i4>
      </vt:variant>
      <vt:variant>
        <vt:i4>126</vt:i4>
      </vt:variant>
      <vt:variant>
        <vt:i4>0</vt:i4>
      </vt:variant>
      <vt:variant>
        <vt:i4>5</vt:i4>
      </vt:variant>
      <vt:variant>
        <vt:lpwstr>https://www.etipocean.eu/knowledge_hub/industrial-roadmap-for-ocean-energy/</vt:lpwstr>
      </vt:variant>
      <vt:variant>
        <vt:lpwstr/>
      </vt:variant>
      <vt:variant>
        <vt:i4>6094867</vt:i4>
      </vt:variant>
      <vt:variant>
        <vt:i4>123</vt:i4>
      </vt:variant>
      <vt:variant>
        <vt:i4>0</vt:i4>
      </vt:variant>
      <vt:variant>
        <vt:i4>5</vt:i4>
      </vt:variant>
      <vt:variant>
        <vt:lpwstr>https://www.oceanenergy-europe.eu/policy-topics/research-innovation/</vt:lpwstr>
      </vt:variant>
      <vt:variant>
        <vt:lpwstr/>
      </vt:variant>
      <vt:variant>
        <vt:i4>7798827</vt:i4>
      </vt:variant>
      <vt:variant>
        <vt:i4>120</vt:i4>
      </vt:variant>
      <vt:variant>
        <vt:i4>0</vt:i4>
      </vt:variant>
      <vt:variant>
        <vt:i4>5</vt:i4>
      </vt:variant>
      <vt:variant>
        <vt:lpwstr>https://windeurope.org/newsroom/press-releases/investments-in-wind-energy-are-down-europe-must-get-market-design-and-green-industrial-policy-right/</vt:lpwstr>
      </vt:variant>
      <vt:variant>
        <vt:lpwstr/>
      </vt:variant>
      <vt:variant>
        <vt:i4>3932247</vt:i4>
      </vt:variant>
      <vt:variant>
        <vt:i4>117</vt:i4>
      </vt:variant>
      <vt:variant>
        <vt:i4>0</vt:i4>
      </vt:variant>
      <vt:variant>
        <vt:i4>5</vt:i4>
      </vt:variant>
      <vt:variant>
        <vt:lpwstr>https://energy.ec.europa.eu/news/member-states-agree-new-ambition-expanding-offshore-renewable-energy-2023-01-19_en</vt:lpwstr>
      </vt:variant>
      <vt:variant>
        <vt:lpwstr/>
      </vt:variant>
      <vt:variant>
        <vt:i4>4653066</vt:i4>
      </vt:variant>
      <vt:variant>
        <vt:i4>114</vt:i4>
      </vt:variant>
      <vt:variant>
        <vt:i4>0</vt:i4>
      </vt:variant>
      <vt:variant>
        <vt:i4>5</vt:i4>
      </vt:variant>
      <vt:variant>
        <vt:lpwstr>https://windeurope.org/intelligence-platform/product/wind-energy-in-europe-2022-statistics-and-the-outlook-for-2023-2027/</vt:lpwstr>
      </vt:variant>
      <vt:variant>
        <vt:lpwstr/>
      </vt:variant>
      <vt:variant>
        <vt:i4>6291525</vt:i4>
      </vt:variant>
      <vt:variant>
        <vt:i4>111</vt:i4>
      </vt:variant>
      <vt:variant>
        <vt:i4>0</vt:i4>
      </vt:variant>
      <vt:variant>
        <vt:i4>5</vt:i4>
      </vt:variant>
      <vt:variant>
        <vt:lpwstr>https://commission.europa.eu/publications/spain-draft-updated-necp-2021-2030_en</vt:lpwstr>
      </vt:variant>
      <vt:variant>
        <vt:lpwstr/>
      </vt:variant>
      <vt:variant>
        <vt:i4>720922</vt:i4>
      </vt:variant>
      <vt:variant>
        <vt:i4>108</vt:i4>
      </vt:variant>
      <vt:variant>
        <vt:i4>0</vt:i4>
      </vt:variant>
      <vt:variant>
        <vt:i4>5</vt:i4>
      </vt:variant>
      <vt:variant>
        <vt:lpwstr>https://iea-pvps.org/snapshot-reports/snapshot-2023/</vt:lpwstr>
      </vt:variant>
      <vt:variant>
        <vt:lpwstr/>
      </vt:variant>
      <vt:variant>
        <vt:i4>131156</vt:i4>
      </vt:variant>
      <vt:variant>
        <vt:i4>105</vt:i4>
      </vt:variant>
      <vt:variant>
        <vt:i4>0</vt:i4>
      </vt:variant>
      <vt:variant>
        <vt:i4>5</vt:i4>
      </vt:variant>
      <vt:variant>
        <vt:lpwstr>https://www.pvxchange.com/Price-Index</vt:lpwstr>
      </vt:variant>
      <vt:variant>
        <vt:lpwstr/>
      </vt:variant>
      <vt:variant>
        <vt:i4>5111872</vt:i4>
      </vt:variant>
      <vt:variant>
        <vt:i4>102</vt:i4>
      </vt:variant>
      <vt:variant>
        <vt:i4>0</vt:i4>
      </vt:variant>
      <vt:variant>
        <vt:i4>5</vt:i4>
      </vt:variant>
      <vt:variant>
        <vt:lpwstr>https://www.woodmac.com/press-releases/chinas-solar-exports-booming-up-64-in-2022-despite-global-trade-tensions/</vt:lpwstr>
      </vt:variant>
      <vt:variant>
        <vt:lpwstr/>
      </vt:variant>
      <vt:variant>
        <vt:i4>5570649</vt:i4>
      </vt:variant>
      <vt:variant>
        <vt:i4>99</vt:i4>
      </vt:variant>
      <vt:variant>
        <vt:i4>0</vt:i4>
      </vt:variant>
      <vt:variant>
        <vt:i4>5</vt:i4>
      </vt:variant>
      <vt:variant>
        <vt:lpwstr>https://doi.org/10.1002/pip.3726</vt:lpwstr>
      </vt:variant>
      <vt:variant>
        <vt:lpwstr/>
      </vt:variant>
      <vt:variant>
        <vt:i4>327686</vt:i4>
      </vt:variant>
      <vt:variant>
        <vt:i4>96</vt:i4>
      </vt:variant>
      <vt:variant>
        <vt:i4>0</vt:i4>
      </vt:variant>
      <vt:variant>
        <vt:i4>5</vt:i4>
      </vt:variant>
      <vt:variant>
        <vt:lpwstr>https://www.iea.org/reports/world-energy-investment-2023</vt:lpwstr>
      </vt:variant>
      <vt:variant>
        <vt:lpwstr/>
      </vt:variant>
      <vt:variant>
        <vt:i4>2162726</vt:i4>
      </vt:variant>
      <vt:variant>
        <vt:i4>93</vt:i4>
      </vt:variant>
      <vt:variant>
        <vt:i4>0</vt:i4>
      </vt:variant>
      <vt:variant>
        <vt:i4>5</vt:i4>
      </vt:variant>
      <vt:variant>
        <vt:lpwstr>https://www.pitchbook.com/</vt:lpwstr>
      </vt:variant>
      <vt:variant>
        <vt:lpwstr/>
      </vt:variant>
      <vt:variant>
        <vt:i4>1441912</vt:i4>
      </vt:variant>
      <vt:variant>
        <vt:i4>90</vt:i4>
      </vt:variant>
      <vt:variant>
        <vt:i4>0</vt:i4>
      </vt:variant>
      <vt:variant>
        <vt:i4>5</vt:i4>
      </vt:variant>
      <vt:variant>
        <vt:lpwstr>https://energy.ec.europa.eu/topics/energy-strategy/national-energy-and-climate-plans-necps_en</vt:lpwstr>
      </vt:variant>
      <vt:variant>
        <vt:lpwstr/>
      </vt:variant>
      <vt:variant>
        <vt:i4>3407879</vt:i4>
      </vt:variant>
      <vt:variant>
        <vt:i4>87</vt:i4>
      </vt:variant>
      <vt:variant>
        <vt:i4>0</vt:i4>
      </vt:variant>
      <vt:variant>
        <vt:i4>5</vt:i4>
      </vt:variant>
      <vt:variant>
        <vt:lpwstr>https://setis.ec.europa.eu/publications/setis-reseach-and-innovation-data_en</vt:lpwstr>
      </vt:variant>
      <vt:variant>
        <vt:lpwstr/>
      </vt:variant>
      <vt:variant>
        <vt:i4>3407879</vt:i4>
      </vt:variant>
      <vt:variant>
        <vt:i4>84</vt:i4>
      </vt:variant>
      <vt:variant>
        <vt:i4>0</vt:i4>
      </vt:variant>
      <vt:variant>
        <vt:i4>5</vt:i4>
      </vt:variant>
      <vt:variant>
        <vt:lpwstr>https://setis.ec.europa.eu/publications/setis-reseach-and-innovation-data_en</vt:lpwstr>
      </vt:variant>
      <vt:variant>
        <vt:lpwstr/>
      </vt:variant>
      <vt:variant>
        <vt:i4>3801099</vt:i4>
      </vt:variant>
      <vt:variant>
        <vt:i4>81</vt:i4>
      </vt:variant>
      <vt:variant>
        <vt:i4>0</vt:i4>
      </vt:variant>
      <vt:variant>
        <vt:i4>5</vt:i4>
      </vt:variant>
      <vt:variant>
        <vt:lpwstr>http://mission-innovation.net/wp-content/uploads/2021/05/MI_2021v0527.pdf</vt:lpwstr>
      </vt:variant>
      <vt:variant>
        <vt:lpwstr/>
      </vt:variant>
      <vt:variant>
        <vt:i4>2031714</vt:i4>
      </vt:variant>
      <vt:variant>
        <vt:i4>78</vt:i4>
      </vt:variant>
      <vt:variant>
        <vt:i4>0</vt:i4>
      </vt:variant>
      <vt:variant>
        <vt:i4>5</vt:i4>
      </vt:variant>
      <vt:variant>
        <vt:lpwstr>https://energy.ec.europa.eu/news/pact-skills-launch-large-scale-renewable-energy-skills-partnership-2023-03-21_en</vt:lpwstr>
      </vt:variant>
      <vt:variant>
        <vt:lpwstr/>
      </vt:variant>
      <vt:variant>
        <vt:i4>2949224</vt:i4>
      </vt:variant>
      <vt:variant>
        <vt:i4>75</vt:i4>
      </vt:variant>
      <vt:variant>
        <vt:i4>0</vt:i4>
      </vt:variant>
      <vt:variant>
        <vt:i4>5</vt:i4>
      </vt:variant>
      <vt:variant>
        <vt:lpwstr>https://europa.eu/eurobarometer/surveys/detail/2994</vt:lpwstr>
      </vt:variant>
      <vt:variant>
        <vt:lpwstr/>
      </vt:variant>
      <vt:variant>
        <vt:i4>3276897</vt:i4>
      </vt:variant>
      <vt:variant>
        <vt:i4>72</vt:i4>
      </vt:variant>
      <vt:variant>
        <vt:i4>0</vt:i4>
      </vt:variant>
      <vt:variant>
        <vt:i4>5</vt:i4>
      </vt:variant>
      <vt:variant>
        <vt:lpwstr>https://ec.europa.eu/social/main.jsp?catId=738&amp;langId=en&amp;pubId=8553&amp;furtherPubs=yes</vt:lpwstr>
      </vt:variant>
      <vt:variant>
        <vt:lpwstr/>
      </vt:variant>
      <vt:variant>
        <vt:i4>8126567</vt:i4>
      </vt:variant>
      <vt:variant>
        <vt:i4>69</vt:i4>
      </vt:variant>
      <vt:variant>
        <vt:i4>0</vt:i4>
      </vt:variant>
      <vt:variant>
        <vt:i4>5</vt:i4>
      </vt:variant>
      <vt:variant>
        <vt:lpwstr>https://ec.europa.eu/commission/presscorner/detail/en/ip_23_3704</vt:lpwstr>
      </vt:variant>
      <vt:variant>
        <vt:lpwstr/>
      </vt:variant>
      <vt:variant>
        <vt:i4>5636109</vt:i4>
      </vt:variant>
      <vt:variant>
        <vt:i4>66</vt:i4>
      </vt:variant>
      <vt:variant>
        <vt:i4>0</vt:i4>
      </vt:variant>
      <vt:variant>
        <vt:i4>5</vt:i4>
      </vt:variant>
      <vt:variant>
        <vt:lpwstr>https://www.eurobserv-er.org/category/all-annual-overview-barometers/</vt:lpwstr>
      </vt:variant>
      <vt:variant>
        <vt:lpwstr/>
      </vt:variant>
      <vt:variant>
        <vt:i4>6029351</vt:i4>
      </vt:variant>
      <vt:variant>
        <vt:i4>63</vt:i4>
      </vt:variant>
      <vt:variant>
        <vt:i4>0</vt:i4>
      </vt:variant>
      <vt:variant>
        <vt:i4>5</vt:i4>
      </vt:variant>
      <vt:variant>
        <vt:lpwstr>https://climate.ec.europa.eu/eu-action/eu-funding-climate-action/innovation-fund/large-scale-calls_en</vt:lpwstr>
      </vt:variant>
      <vt:variant>
        <vt:lpwstr/>
      </vt:variant>
      <vt:variant>
        <vt:i4>7733335</vt:i4>
      </vt:variant>
      <vt:variant>
        <vt:i4>60</vt:i4>
      </vt:variant>
      <vt:variant>
        <vt:i4>0</vt:i4>
      </vt:variant>
      <vt:variant>
        <vt:i4>5</vt:i4>
      </vt:variant>
      <vt:variant>
        <vt:lpwstr>https://commission.europa.eu/strategy-and-policy/eu-budget/strategic-technologies-europe-platform_en</vt:lpwstr>
      </vt:variant>
      <vt:variant>
        <vt:lpwstr/>
      </vt:variant>
      <vt:variant>
        <vt:i4>2883606</vt:i4>
      </vt:variant>
      <vt:variant>
        <vt:i4>57</vt:i4>
      </vt:variant>
      <vt:variant>
        <vt:i4>0</vt:i4>
      </vt:variant>
      <vt:variant>
        <vt:i4>5</vt:i4>
      </vt:variant>
      <vt:variant>
        <vt:lpwstr>https://commission.europa.eu/funding-tenders/find-funding/eu-funding-programmes/technical-support-instrument/technical-support-instrument-tsi/technical-support-instrument-2024-call_en</vt:lpwstr>
      </vt:variant>
      <vt:variant>
        <vt:lpwstr/>
      </vt:variant>
      <vt:variant>
        <vt:i4>5046302</vt:i4>
      </vt:variant>
      <vt:variant>
        <vt:i4>54</vt:i4>
      </vt:variant>
      <vt:variant>
        <vt:i4>0</vt:i4>
      </vt:variant>
      <vt:variant>
        <vt:i4>5</vt:i4>
      </vt:variant>
      <vt:variant>
        <vt:lpwstr>https://www.ecb.europa.eu/stats/policy_and_exchange_rates/euro_reference_exchange_rates/html/eurofxref-graph-inr.en.html</vt:lpwstr>
      </vt:variant>
      <vt:variant>
        <vt:lpwstr/>
      </vt:variant>
      <vt:variant>
        <vt:i4>4915216</vt:i4>
      </vt:variant>
      <vt:variant>
        <vt:i4>51</vt:i4>
      </vt:variant>
      <vt:variant>
        <vt:i4>0</vt:i4>
      </vt:variant>
      <vt:variant>
        <vt:i4>5</vt:i4>
      </vt:variant>
      <vt:variant>
        <vt:lpwstr>https://www.bloomberg.com/news/articles/2023-02-01/india-to-invest-4-3-billion-for-energy-transition-and-security</vt:lpwstr>
      </vt:variant>
      <vt:variant>
        <vt:lpwstr/>
      </vt:variant>
      <vt:variant>
        <vt:i4>4521984</vt:i4>
      </vt:variant>
      <vt:variant>
        <vt:i4>48</vt:i4>
      </vt:variant>
      <vt:variant>
        <vt:i4>0</vt:i4>
      </vt:variant>
      <vt:variant>
        <vt:i4>5</vt:i4>
      </vt:variant>
      <vt:variant>
        <vt:lpwstr>https://www.ecb.europa.eu/stats/policy_and_exchange_rates/euro_reference_exchange_rates/html/eurofxref-graph-jpy.en.html</vt:lpwstr>
      </vt:variant>
      <vt:variant>
        <vt:lpwstr/>
      </vt:variant>
      <vt:variant>
        <vt:i4>5177369</vt:i4>
      </vt:variant>
      <vt:variant>
        <vt:i4>45</vt:i4>
      </vt:variant>
      <vt:variant>
        <vt:i4>0</vt:i4>
      </vt:variant>
      <vt:variant>
        <vt:i4>5</vt:i4>
      </vt:variant>
      <vt:variant>
        <vt:lpwstr>https://www.green.earth/news/the-japanese-cabinet-confirms-the-basic-plan-for-the-gx-green-transformation-policy</vt:lpwstr>
      </vt:variant>
      <vt:variant>
        <vt:lpwstr/>
      </vt:variant>
      <vt:variant>
        <vt:i4>2556018</vt:i4>
      </vt:variant>
      <vt:variant>
        <vt:i4>42</vt:i4>
      </vt:variant>
      <vt:variant>
        <vt:i4>0</vt:i4>
      </vt:variant>
      <vt:variant>
        <vt:i4>5</vt:i4>
      </vt:variant>
      <vt:variant>
        <vt:lpwstr>https://isdp.eu/content/uploads/2018/06/Made-in-China-Backgrounder.pdf</vt:lpwstr>
      </vt:variant>
      <vt:variant>
        <vt:lpwstr/>
      </vt:variant>
      <vt:variant>
        <vt:i4>4653059</vt:i4>
      </vt:variant>
      <vt:variant>
        <vt:i4>39</vt:i4>
      </vt:variant>
      <vt:variant>
        <vt:i4>0</vt:i4>
      </vt:variant>
      <vt:variant>
        <vt:i4>5</vt:i4>
      </vt:variant>
      <vt:variant>
        <vt:lpwstr>https://www.ecb.europa.eu/stats/policy_and_exchange_rates/euro_reference_exchange_rates/html/eurofxref-graph-usd.en.html</vt:lpwstr>
      </vt:variant>
      <vt:variant>
        <vt:lpwstr/>
      </vt:variant>
      <vt:variant>
        <vt:i4>4653059</vt:i4>
      </vt:variant>
      <vt:variant>
        <vt:i4>36</vt:i4>
      </vt:variant>
      <vt:variant>
        <vt:i4>0</vt:i4>
      </vt:variant>
      <vt:variant>
        <vt:i4>5</vt:i4>
      </vt:variant>
      <vt:variant>
        <vt:lpwstr>https://www.ecb.europa.eu/stats/policy_and_exchange_rates/euro_reference_exchange_rates/html/eurofxref-graph-usd.en.html</vt:lpwstr>
      </vt:variant>
      <vt:variant>
        <vt:lpwstr/>
      </vt:variant>
      <vt:variant>
        <vt:i4>5308492</vt:i4>
      </vt:variant>
      <vt:variant>
        <vt:i4>33</vt:i4>
      </vt:variant>
      <vt:variant>
        <vt:i4>0</vt:i4>
      </vt:variant>
      <vt:variant>
        <vt:i4>5</vt:i4>
      </vt:variant>
      <vt:variant>
        <vt:lpwstr>https://www.whitehouse.gov/cleanenergy/inflation-reduction-act-guidebook/</vt:lpwstr>
      </vt:variant>
      <vt:variant>
        <vt:lpwstr/>
      </vt:variant>
      <vt:variant>
        <vt:i4>720917</vt:i4>
      </vt:variant>
      <vt:variant>
        <vt:i4>30</vt:i4>
      </vt:variant>
      <vt:variant>
        <vt:i4>0</vt:i4>
      </vt:variant>
      <vt:variant>
        <vt:i4>5</vt:i4>
      </vt:variant>
      <vt:variant>
        <vt:lpwstr>https://data.europa.eu/doi/10.2833/946002</vt:lpwstr>
      </vt:variant>
      <vt:variant>
        <vt:lpwstr/>
      </vt:variant>
      <vt:variant>
        <vt:i4>917522</vt:i4>
      </vt:variant>
      <vt:variant>
        <vt:i4>27</vt:i4>
      </vt:variant>
      <vt:variant>
        <vt:i4>0</vt:i4>
      </vt:variant>
      <vt:variant>
        <vt:i4>5</vt:i4>
      </vt:variant>
      <vt:variant>
        <vt:lpwstr>https://data.europa.eu/doi/10.2873/725585</vt:lpwstr>
      </vt:variant>
      <vt:variant>
        <vt:lpwstr/>
      </vt:variant>
      <vt:variant>
        <vt:i4>8126582</vt:i4>
      </vt:variant>
      <vt:variant>
        <vt:i4>24</vt:i4>
      </vt:variant>
      <vt:variant>
        <vt:i4>0</vt:i4>
      </vt:variant>
      <vt:variant>
        <vt:i4>5</vt:i4>
      </vt:variant>
      <vt:variant>
        <vt:lpwstr>https://rmis.jrc.ec.europa.eu/</vt:lpwstr>
      </vt:variant>
      <vt:variant>
        <vt:lpwstr/>
      </vt:variant>
      <vt:variant>
        <vt:i4>3735651</vt:i4>
      </vt:variant>
      <vt:variant>
        <vt:i4>21</vt:i4>
      </vt:variant>
      <vt:variant>
        <vt:i4>0</vt:i4>
      </vt:variant>
      <vt:variant>
        <vt:i4>5</vt:i4>
      </vt:variant>
      <vt:variant>
        <vt:lpwstr>https://economy-finance.ec.europa.eu/system/files/2023-06/dp187_en_energy markets.pdf</vt:lpwstr>
      </vt:variant>
      <vt:variant>
        <vt:lpwstr/>
      </vt:variant>
      <vt:variant>
        <vt:i4>4653059</vt:i4>
      </vt:variant>
      <vt:variant>
        <vt:i4>18</vt:i4>
      </vt:variant>
      <vt:variant>
        <vt:i4>0</vt:i4>
      </vt:variant>
      <vt:variant>
        <vt:i4>5</vt:i4>
      </vt:variant>
      <vt:variant>
        <vt:lpwstr>https://www.ecb.europa.eu/stats/policy_and_exchange_rates/euro_reference_exchange_rates/html/eurofxref-graph-usd.en.html</vt:lpwstr>
      </vt:variant>
      <vt:variant>
        <vt:lpwstr/>
      </vt:variant>
      <vt:variant>
        <vt:i4>4653059</vt:i4>
      </vt:variant>
      <vt:variant>
        <vt:i4>15</vt:i4>
      </vt:variant>
      <vt:variant>
        <vt:i4>0</vt:i4>
      </vt:variant>
      <vt:variant>
        <vt:i4>5</vt:i4>
      </vt:variant>
      <vt:variant>
        <vt:lpwstr>https://www.ecb.europa.eu/stats/policy_and_exchange_rates/euro_reference_exchange_rates/html/eurofxref-graph-usd.en.html</vt:lpwstr>
      </vt:variant>
      <vt:variant>
        <vt:lpwstr/>
      </vt:variant>
      <vt:variant>
        <vt:i4>6094920</vt:i4>
      </vt:variant>
      <vt:variant>
        <vt:i4>12</vt:i4>
      </vt:variant>
      <vt:variant>
        <vt:i4>0</vt:i4>
      </vt:variant>
      <vt:variant>
        <vt:i4>5</vt:i4>
      </vt:variant>
      <vt:variant>
        <vt:lpwstr>https://www.enerdata.net/publications/daily-energy-news/europe-built-19-gw-new-wind-capacity-2022-including-16-gw-eu.html</vt:lpwstr>
      </vt:variant>
      <vt:variant>
        <vt:lpwstr/>
      </vt:variant>
      <vt:variant>
        <vt:i4>7798827</vt:i4>
      </vt:variant>
      <vt:variant>
        <vt:i4>9</vt:i4>
      </vt:variant>
      <vt:variant>
        <vt:i4>0</vt:i4>
      </vt:variant>
      <vt:variant>
        <vt:i4>5</vt:i4>
      </vt:variant>
      <vt:variant>
        <vt:lpwstr>https://windeurope.org/newsroom/press-releases/investments-in-wind-energy-are-down-europe-must-get-market-design-and-green-industrial-policy-right/</vt:lpwstr>
      </vt:variant>
      <vt:variant>
        <vt:lpwstr/>
      </vt:variant>
      <vt:variant>
        <vt:i4>5308504</vt:i4>
      </vt:variant>
      <vt:variant>
        <vt:i4>6</vt:i4>
      </vt:variant>
      <vt:variant>
        <vt:i4>0</vt:i4>
      </vt:variant>
      <vt:variant>
        <vt:i4>5</vt:i4>
      </vt:variant>
      <vt:variant>
        <vt:lpwstr>https://ember-climate.org/insights/research/eu-fossil-generation-hits-record-low-as-demand-falls/</vt:lpwstr>
      </vt:variant>
      <vt:variant>
        <vt:lpwstr/>
      </vt:variant>
      <vt:variant>
        <vt:i4>7405659</vt:i4>
      </vt:variant>
      <vt:variant>
        <vt:i4>3</vt:i4>
      </vt:variant>
      <vt:variant>
        <vt:i4>0</vt:i4>
      </vt:variant>
      <vt:variant>
        <vt:i4>5</vt:i4>
      </vt:variant>
      <vt:variant>
        <vt:lpwstr>https://setis.ec.europa.eu/publications/clean-energy-technology-observatory-ceto_en</vt:lpwstr>
      </vt:variant>
      <vt:variant>
        <vt:lpwstr/>
      </vt:variant>
      <vt:variant>
        <vt:i4>327780</vt:i4>
      </vt:variant>
      <vt:variant>
        <vt:i4>0</vt:i4>
      </vt:variant>
      <vt:variant>
        <vt:i4>0</vt:i4>
      </vt:variant>
      <vt:variant>
        <vt:i4>5</vt:i4>
      </vt:variant>
      <vt:variant>
        <vt:lpwstr>https://energy.ec.europa.eu/topics/research-and-technology/clean-energy-competitiveness_en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dcterms:created xsi:type="dcterms:W3CDTF">2023-10-19T13:17:00Z</dcterms:created>
  <dcterms:modified xsi:type="dcterms:W3CDTF">2023-12-15T16:34:00Z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2023-06-12T14:03:31Z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ad6c150e-32aa-4db8-b53a-5c85316c57a0</vt:lpwstr>
  </property>
  <property fmtid="{D5CDD505-2E9C-101B-9397-08002B2CF9AE}" pid="8" name="MSIP_Label_6bd9ddd1-4d20-43f6-abfa-fc3c07406f94_ContentBits">
    <vt:lpwstr>0</vt:lpwstr>
  </property>
  <property fmtid="{D5CDD505-2E9C-101B-9397-08002B2CF9AE}" pid="9" name="ContentTypeId">
    <vt:lpwstr>0x0101003580FB2F397B3D448BFDC6DF71B5B186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Level of sensitivity">
    <vt:lpwstr>Standard treatment</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CP-006</vt:lpwstr>
  </property>
  <property fmtid="{D5CDD505-2E9C-101B-9397-08002B2CF9AE}" pid="22" name="Last edited using">
    <vt:lpwstr>LW 9.0, Build 20230317</vt:lpwstr>
  </property>
  <property fmtid="{D5CDD505-2E9C-101B-9397-08002B2CF9AE}" pid="23" name="Created using">
    <vt:lpwstr>LW 9.0, Build 20230317</vt:lpwstr>
  </property>
</Properties>
</file>