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CE0AF" w14:textId="6DE2A999" w:rsidR="003230C2" w:rsidRPr="0068720C" w:rsidRDefault="0053798F" w:rsidP="0053798F">
      <w:pPr>
        <w:pStyle w:val="Pagedecouverture"/>
        <w:rPr>
          <w:noProof/>
        </w:rPr>
      </w:pPr>
      <w:r>
        <w:rPr>
          <w:noProof/>
        </w:rPr>
        <w:pict w14:anchorId="603C58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alt="434B5CEE-EF35-4450-8F07-ECB2BE2D1490" style="width:455.25pt;height:383.25pt">
            <v:imagedata r:id="rId8" o:title=""/>
          </v:shape>
        </w:pict>
      </w:r>
    </w:p>
    <w:p w14:paraId="4AE456CA" w14:textId="77777777" w:rsidR="003230C2" w:rsidRPr="0068720C" w:rsidRDefault="003230C2" w:rsidP="003230C2">
      <w:pPr>
        <w:rPr>
          <w:noProof/>
        </w:rPr>
        <w:sectPr w:rsidR="003230C2" w:rsidRPr="0068720C" w:rsidSect="0053798F">
          <w:footerReference w:type="default" r:id="rId9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34E26C95" w14:textId="77777777" w:rsidR="003230C2" w:rsidRPr="0068720C" w:rsidRDefault="003230C2" w:rsidP="00BB6B30">
      <w:pPr>
        <w:pStyle w:val="Exposdesmotifstitre"/>
        <w:rPr>
          <w:noProof/>
        </w:rPr>
      </w:pPr>
      <w:bookmarkStart w:id="0" w:name="_GoBack"/>
      <w:bookmarkEnd w:id="0"/>
      <w:r w:rsidRPr="0068720C">
        <w:rPr>
          <w:noProof/>
        </w:rPr>
        <w:lastRenderedPageBreak/>
        <w:t>DÔVODOVÁ SPRÁVA</w:t>
      </w:r>
    </w:p>
    <w:p w14:paraId="6D6C6ADD" w14:textId="215B0400" w:rsidR="003230C2" w:rsidRPr="0068720C" w:rsidRDefault="00900046" w:rsidP="00900046">
      <w:pPr>
        <w:pStyle w:val="ManualHeading1"/>
        <w:rPr>
          <w:rFonts w:eastAsia="Arial Unicode MS"/>
          <w:noProof/>
        </w:rPr>
      </w:pPr>
      <w:r w:rsidRPr="00900046">
        <w:t>1.</w:t>
      </w:r>
      <w:r w:rsidRPr="00900046">
        <w:tab/>
      </w:r>
      <w:r w:rsidR="003230C2" w:rsidRPr="0068720C">
        <w:rPr>
          <w:noProof/>
        </w:rPr>
        <w:t>Predmet návrhu</w:t>
      </w:r>
    </w:p>
    <w:p w14:paraId="734C9F36" w14:textId="658D3590" w:rsidR="003230C2" w:rsidRPr="0068720C" w:rsidRDefault="003230C2" w:rsidP="00736AA9">
      <w:pPr>
        <w:rPr>
          <w:rFonts w:eastAsia="Arial Unicode MS"/>
          <w:noProof/>
        </w:rPr>
      </w:pPr>
      <w:r w:rsidRPr="0068720C">
        <w:rPr>
          <w:noProof/>
        </w:rPr>
        <w:t>Tento návrh sa týka rozhodnutia</w:t>
      </w:r>
      <w:r w:rsidR="0068720C">
        <w:rPr>
          <w:noProof/>
        </w:rPr>
        <w:t xml:space="preserve"> o </w:t>
      </w:r>
      <w:r w:rsidRPr="0068720C">
        <w:rPr>
          <w:noProof/>
        </w:rPr>
        <w:t>pozícii, ktorá sa má zaujať</w:t>
      </w:r>
      <w:r w:rsidR="0068720C">
        <w:rPr>
          <w:noProof/>
        </w:rPr>
        <w:t xml:space="preserve"> v </w:t>
      </w:r>
      <w:r w:rsidRPr="0068720C">
        <w:rPr>
          <w:noProof/>
        </w:rPr>
        <w:t>mene Európskej únie na 67. zasadnutí Komisie Organizácie Spojených národov (OSN) pre omamné látky, pokiaľ ide</w:t>
      </w:r>
      <w:r w:rsidR="0068720C">
        <w:rPr>
          <w:noProof/>
        </w:rPr>
        <w:t xml:space="preserve"> o </w:t>
      </w:r>
      <w:r w:rsidRPr="0068720C">
        <w:rPr>
          <w:noProof/>
        </w:rPr>
        <w:t>zaradenie látok do zoznamov</w:t>
      </w:r>
      <w:r w:rsidR="0068720C">
        <w:rPr>
          <w:noProof/>
        </w:rPr>
        <w:t xml:space="preserve"> k </w:t>
      </w:r>
      <w:r w:rsidRPr="0068720C">
        <w:rPr>
          <w:noProof/>
        </w:rPr>
        <w:t>Jednotnému dohovoru OSN</w:t>
      </w:r>
      <w:r w:rsidR="0068720C">
        <w:rPr>
          <w:noProof/>
        </w:rPr>
        <w:t xml:space="preserve"> o </w:t>
      </w:r>
      <w:r w:rsidRPr="0068720C">
        <w:rPr>
          <w:noProof/>
        </w:rPr>
        <w:t>omamných látkach</w:t>
      </w:r>
      <w:r w:rsidR="0068720C">
        <w:rPr>
          <w:noProof/>
        </w:rPr>
        <w:t xml:space="preserve"> z </w:t>
      </w:r>
      <w:r w:rsidRPr="0068720C">
        <w:rPr>
          <w:noProof/>
        </w:rPr>
        <w:t>roku 1961 zmenenému protokolom</w:t>
      </w:r>
      <w:r w:rsidR="0068720C">
        <w:rPr>
          <w:noProof/>
        </w:rPr>
        <w:t xml:space="preserve"> z </w:t>
      </w:r>
      <w:r w:rsidRPr="0068720C">
        <w:rPr>
          <w:noProof/>
        </w:rPr>
        <w:t>roku 1972</w:t>
      </w:r>
      <w:r w:rsidR="0068720C">
        <w:rPr>
          <w:noProof/>
        </w:rPr>
        <w:t xml:space="preserve"> a k </w:t>
      </w:r>
      <w:r w:rsidRPr="0068720C">
        <w:rPr>
          <w:noProof/>
        </w:rPr>
        <w:t>Dohovoru OSN</w:t>
      </w:r>
      <w:r w:rsidR="0068720C">
        <w:rPr>
          <w:noProof/>
        </w:rPr>
        <w:t xml:space="preserve"> o </w:t>
      </w:r>
      <w:r w:rsidRPr="0068720C">
        <w:rPr>
          <w:noProof/>
        </w:rPr>
        <w:t>psychotropných látkach</w:t>
      </w:r>
      <w:r w:rsidR="0068720C">
        <w:rPr>
          <w:noProof/>
        </w:rPr>
        <w:t xml:space="preserve"> z </w:t>
      </w:r>
      <w:r w:rsidRPr="0068720C">
        <w:rPr>
          <w:noProof/>
        </w:rPr>
        <w:t>roku 1971. Uvedené 67. zasadnutie Komisie pre omamné látky je naplánované na 14. až 22</w:t>
      </w:r>
      <w:r w:rsidR="0068720C">
        <w:rPr>
          <w:noProof/>
        </w:rPr>
        <w:t>. marca</w:t>
      </w:r>
      <w:r w:rsidRPr="0068720C">
        <w:rPr>
          <w:noProof/>
        </w:rPr>
        <w:t xml:space="preserve"> 2024.</w:t>
      </w:r>
    </w:p>
    <w:p w14:paraId="5D84CF6E" w14:textId="147681B7" w:rsidR="003230C2" w:rsidRPr="0068720C" w:rsidRDefault="00900046" w:rsidP="00900046">
      <w:pPr>
        <w:pStyle w:val="ManualHeading1"/>
        <w:rPr>
          <w:noProof/>
        </w:rPr>
      </w:pPr>
      <w:r w:rsidRPr="00900046">
        <w:t>2.</w:t>
      </w:r>
      <w:r w:rsidRPr="00900046">
        <w:tab/>
      </w:r>
      <w:r w:rsidR="003230C2" w:rsidRPr="0068720C">
        <w:rPr>
          <w:noProof/>
        </w:rPr>
        <w:t>Kontext návrhu</w:t>
      </w:r>
    </w:p>
    <w:p w14:paraId="4B168FB1" w14:textId="7F2047FC" w:rsidR="003230C2" w:rsidRPr="0068720C" w:rsidRDefault="00900046" w:rsidP="00900046">
      <w:pPr>
        <w:pStyle w:val="ManualHeading2"/>
        <w:rPr>
          <w:noProof/>
        </w:rPr>
      </w:pPr>
      <w:r w:rsidRPr="00900046">
        <w:t>2.1.</w:t>
      </w:r>
      <w:r w:rsidRPr="00900046">
        <w:tab/>
      </w:r>
      <w:r w:rsidR="003230C2" w:rsidRPr="0068720C">
        <w:rPr>
          <w:noProof/>
        </w:rPr>
        <w:t>Jednotný dohovor OSN</w:t>
      </w:r>
      <w:r w:rsidR="0068720C">
        <w:rPr>
          <w:noProof/>
        </w:rPr>
        <w:t xml:space="preserve"> o </w:t>
      </w:r>
      <w:r w:rsidR="003230C2" w:rsidRPr="0068720C">
        <w:rPr>
          <w:noProof/>
        </w:rPr>
        <w:t>omamných látkach</w:t>
      </w:r>
      <w:r w:rsidR="0068720C">
        <w:rPr>
          <w:noProof/>
        </w:rPr>
        <w:t xml:space="preserve"> z </w:t>
      </w:r>
      <w:r w:rsidR="003230C2" w:rsidRPr="0068720C">
        <w:rPr>
          <w:noProof/>
        </w:rPr>
        <w:t>roku 1961 zmenený protokolom</w:t>
      </w:r>
      <w:r w:rsidR="0068720C">
        <w:rPr>
          <w:noProof/>
        </w:rPr>
        <w:t xml:space="preserve"> z </w:t>
      </w:r>
      <w:r w:rsidR="003230C2" w:rsidRPr="0068720C">
        <w:rPr>
          <w:noProof/>
        </w:rPr>
        <w:t>roku 1972</w:t>
      </w:r>
      <w:r w:rsidR="0068720C">
        <w:rPr>
          <w:noProof/>
        </w:rPr>
        <w:t xml:space="preserve"> a </w:t>
      </w:r>
      <w:r w:rsidR="003230C2" w:rsidRPr="0068720C">
        <w:rPr>
          <w:noProof/>
        </w:rPr>
        <w:t>Dohovor OSN</w:t>
      </w:r>
      <w:r w:rsidR="0068720C">
        <w:rPr>
          <w:noProof/>
        </w:rPr>
        <w:t xml:space="preserve"> o </w:t>
      </w:r>
      <w:r w:rsidR="003230C2" w:rsidRPr="0068720C">
        <w:rPr>
          <w:noProof/>
        </w:rPr>
        <w:t>psychotropných látkach</w:t>
      </w:r>
      <w:r w:rsidR="0068720C">
        <w:rPr>
          <w:noProof/>
        </w:rPr>
        <w:t xml:space="preserve"> z </w:t>
      </w:r>
      <w:r w:rsidR="003230C2" w:rsidRPr="0068720C">
        <w:rPr>
          <w:noProof/>
        </w:rPr>
        <w:t>roku 1971</w:t>
      </w:r>
    </w:p>
    <w:p w14:paraId="3B93663F" w14:textId="0A6D12EF" w:rsidR="0017431F" w:rsidRPr="0068720C" w:rsidRDefault="0017431F" w:rsidP="0017431F">
      <w:pPr>
        <w:autoSpaceDE w:val="0"/>
        <w:autoSpaceDN w:val="0"/>
        <w:adjustRightInd w:val="0"/>
        <w:spacing w:after="240"/>
        <w:rPr>
          <w:noProof/>
          <w:szCs w:val="24"/>
        </w:rPr>
      </w:pPr>
      <w:r w:rsidRPr="0068720C">
        <w:rPr>
          <w:noProof/>
        </w:rPr>
        <w:t>Jednotný dohovor OSN</w:t>
      </w:r>
      <w:r w:rsidR="0068720C">
        <w:rPr>
          <w:noProof/>
        </w:rPr>
        <w:t xml:space="preserve"> o </w:t>
      </w:r>
      <w:r w:rsidRPr="0068720C">
        <w:rPr>
          <w:noProof/>
        </w:rPr>
        <w:t>omamných látkach</w:t>
      </w:r>
      <w:r w:rsidR="0068720C">
        <w:rPr>
          <w:noProof/>
        </w:rPr>
        <w:t xml:space="preserve"> z </w:t>
      </w:r>
      <w:r w:rsidRPr="0068720C">
        <w:rPr>
          <w:noProof/>
        </w:rPr>
        <w:t>roku 1961 zmenený protokolom</w:t>
      </w:r>
      <w:r w:rsidR="0068720C">
        <w:rPr>
          <w:noProof/>
        </w:rPr>
        <w:t xml:space="preserve"> z </w:t>
      </w:r>
      <w:r w:rsidRPr="0068720C">
        <w:rPr>
          <w:noProof/>
        </w:rPr>
        <w:t>roku 1972 (ďalej len „dohovor</w:t>
      </w:r>
      <w:r w:rsidR="0068720C">
        <w:rPr>
          <w:noProof/>
        </w:rPr>
        <w:t xml:space="preserve"> o </w:t>
      </w:r>
      <w:r w:rsidRPr="0068720C">
        <w:rPr>
          <w:noProof/>
        </w:rPr>
        <w:t>omamných látkach“)</w:t>
      </w:r>
      <w:r w:rsidRPr="0068720C">
        <w:rPr>
          <w:rStyle w:val="FootnoteReference"/>
          <w:noProof/>
          <w:szCs w:val="24"/>
        </w:rPr>
        <w:footnoteReference w:id="1"/>
      </w:r>
      <w:r w:rsidRPr="0068720C">
        <w:rPr>
          <w:noProof/>
        </w:rPr>
        <w:t xml:space="preserve"> sa zameriava na boj proti zneužívaniu drog prostredníctvom koordinovaných medzinárodných opatrení. Existujú dve formy zásahu</w:t>
      </w:r>
      <w:r w:rsidR="0068720C">
        <w:rPr>
          <w:noProof/>
        </w:rPr>
        <w:t xml:space="preserve"> a </w:t>
      </w:r>
      <w:r w:rsidRPr="0068720C">
        <w:rPr>
          <w:noProof/>
        </w:rPr>
        <w:t>kontroly, ktoré pôsobia</w:t>
      </w:r>
      <w:r w:rsidR="0068720C">
        <w:rPr>
          <w:noProof/>
        </w:rPr>
        <w:t xml:space="preserve"> v </w:t>
      </w:r>
      <w:r w:rsidRPr="0068720C">
        <w:rPr>
          <w:noProof/>
        </w:rPr>
        <w:t>súčinnosti. Po prvé je to snaha obmedziť prechovávanie, používanie, distribúciu, dovoz, vývoz, výrobu</w:t>
      </w:r>
      <w:r w:rsidR="0068720C">
        <w:rPr>
          <w:noProof/>
        </w:rPr>
        <w:t xml:space="preserve"> a </w:t>
      </w:r>
      <w:r w:rsidRPr="0068720C">
        <w:rPr>
          <w:noProof/>
        </w:rPr>
        <w:t>produkciu drog</w:t>
      </w:r>
      <w:r w:rsidR="0068720C">
        <w:rPr>
          <w:noProof/>
        </w:rPr>
        <w:t xml:space="preserve"> a </w:t>
      </w:r>
      <w:r w:rsidRPr="0068720C">
        <w:rPr>
          <w:noProof/>
        </w:rPr>
        <w:t>obchod</w:t>
      </w:r>
      <w:r w:rsidR="0068720C">
        <w:rPr>
          <w:noProof/>
        </w:rPr>
        <w:t xml:space="preserve"> s </w:t>
      </w:r>
      <w:r w:rsidRPr="0068720C">
        <w:rPr>
          <w:noProof/>
        </w:rPr>
        <w:t>nimi výlučne na lekárske</w:t>
      </w:r>
      <w:r w:rsidR="0068720C">
        <w:rPr>
          <w:noProof/>
        </w:rPr>
        <w:t xml:space="preserve"> a </w:t>
      </w:r>
      <w:r w:rsidRPr="0068720C">
        <w:rPr>
          <w:noProof/>
        </w:rPr>
        <w:t>vedecké účely. Po druhé sa proti obchodovaniu</w:t>
      </w:r>
      <w:r w:rsidR="0068720C">
        <w:rPr>
          <w:noProof/>
        </w:rPr>
        <w:t xml:space="preserve"> s </w:t>
      </w:r>
      <w:r w:rsidRPr="0068720C">
        <w:rPr>
          <w:noProof/>
        </w:rPr>
        <w:t>drogami bojuje prostredníctvom medzinárodnej spolupráce</w:t>
      </w:r>
      <w:r w:rsidR="0068720C">
        <w:rPr>
          <w:noProof/>
        </w:rPr>
        <w:t xml:space="preserve"> s </w:t>
      </w:r>
      <w:r w:rsidRPr="0068720C">
        <w:rPr>
          <w:noProof/>
        </w:rPr>
        <w:t>cieľom odradiť obchodníkov</w:t>
      </w:r>
      <w:r w:rsidR="0068720C">
        <w:rPr>
          <w:noProof/>
        </w:rPr>
        <w:t xml:space="preserve"> s </w:t>
      </w:r>
      <w:r w:rsidRPr="0068720C">
        <w:rPr>
          <w:noProof/>
        </w:rPr>
        <w:t>drogami.</w:t>
      </w:r>
    </w:p>
    <w:p w14:paraId="20C65CC6" w14:textId="311C6185" w:rsidR="0017431F" w:rsidRPr="0068720C" w:rsidRDefault="0017431F" w:rsidP="0017431F">
      <w:pPr>
        <w:autoSpaceDE w:val="0"/>
        <w:autoSpaceDN w:val="0"/>
        <w:adjustRightInd w:val="0"/>
        <w:spacing w:after="240"/>
        <w:rPr>
          <w:noProof/>
          <w:szCs w:val="24"/>
        </w:rPr>
      </w:pPr>
      <w:r w:rsidRPr="0068720C">
        <w:rPr>
          <w:noProof/>
        </w:rPr>
        <w:t>Dohovorom OSN</w:t>
      </w:r>
      <w:r w:rsidR="0068720C">
        <w:rPr>
          <w:noProof/>
        </w:rPr>
        <w:t xml:space="preserve"> o </w:t>
      </w:r>
      <w:r w:rsidRPr="0068720C">
        <w:rPr>
          <w:noProof/>
        </w:rPr>
        <w:t>psychotropných látkach</w:t>
      </w:r>
      <w:r w:rsidR="0068720C">
        <w:rPr>
          <w:noProof/>
        </w:rPr>
        <w:t xml:space="preserve"> z </w:t>
      </w:r>
      <w:r w:rsidRPr="0068720C">
        <w:rPr>
          <w:noProof/>
        </w:rPr>
        <w:t>roku 1971 (ďalej len „dohovor</w:t>
      </w:r>
      <w:r w:rsidR="0068720C">
        <w:rPr>
          <w:noProof/>
        </w:rPr>
        <w:t xml:space="preserve"> o </w:t>
      </w:r>
      <w:r w:rsidRPr="0068720C">
        <w:rPr>
          <w:noProof/>
        </w:rPr>
        <w:t>psychotropných látkach“)</w:t>
      </w:r>
      <w:r w:rsidRPr="0068720C">
        <w:rPr>
          <w:rStyle w:val="FootnoteReference"/>
          <w:noProof/>
          <w:szCs w:val="24"/>
        </w:rPr>
        <w:footnoteReference w:id="2"/>
      </w:r>
      <w:r w:rsidRPr="0068720C">
        <w:rPr>
          <w:noProof/>
        </w:rPr>
        <w:t xml:space="preserve"> sa zriaďuje systém medzinárodnej kontroly psychotropných látok. Tento dohovor bol reakciou na diverzifikáciu</w:t>
      </w:r>
      <w:r w:rsidR="0068720C">
        <w:rPr>
          <w:noProof/>
        </w:rPr>
        <w:t xml:space="preserve"> a </w:t>
      </w:r>
      <w:r w:rsidRPr="0068720C">
        <w:rPr>
          <w:noProof/>
        </w:rPr>
        <w:t>rozširovanie škály zneužívaných drog</w:t>
      </w:r>
      <w:r w:rsidR="0068720C">
        <w:rPr>
          <w:noProof/>
        </w:rPr>
        <w:t xml:space="preserve"> a </w:t>
      </w:r>
      <w:r w:rsidRPr="0068720C">
        <w:rPr>
          <w:noProof/>
        </w:rPr>
        <w:t>zaviedli sa ním kontroly viacerých syntetických drog podľa ich potenciálu zneužívania na jednej strane</w:t>
      </w:r>
      <w:r w:rsidR="0068720C">
        <w:rPr>
          <w:noProof/>
        </w:rPr>
        <w:t xml:space="preserve"> a </w:t>
      </w:r>
      <w:r w:rsidRPr="0068720C">
        <w:rPr>
          <w:noProof/>
        </w:rPr>
        <w:t>terapeutickej hodnoty na strane druhej.</w:t>
      </w:r>
    </w:p>
    <w:p w14:paraId="50FED3AF" w14:textId="77777777" w:rsidR="00300471" w:rsidRPr="0068720C" w:rsidRDefault="0017431F" w:rsidP="0017431F">
      <w:pPr>
        <w:autoSpaceDE w:val="0"/>
        <w:autoSpaceDN w:val="0"/>
        <w:adjustRightInd w:val="0"/>
        <w:spacing w:after="240"/>
        <w:rPr>
          <w:noProof/>
        </w:rPr>
      </w:pPr>
      <w:r w:rsidRPr="0068720C">
        <w:rPr>
          <w:noProof/>
        </w:rPr>
        <w:t>Všetky členské štáty EÚ sú zmluvnými stranami príslušných dohovorov, zatiaľ čo Únia nie je zmluvnou stranou</w:t>
      </w:r>
      <w:r w:rsidR="00300471" w:rsidRPr="0068720C">
        <w:rPr>
          <w:noProof/>
        </w:rPr>
        <w:t>.</w:t>
      </w:r>
    </w:p>
    <w:p w14:paraId="18B1DF03" w14:textId="406F0BB0" w:rsidR="003230C2" w:rsidRPr="0068720C" w:rsidRDefault="00900046" w:rsidP="00900046">
      <w:pPr>
        <w:pStyle w:val="ManualHeading2"/>
        <w:rPr>
          <w:noProof/>
        </w:rPr>
      </w:pPr>
      <w:r w:rsidRPr="00900046">
        <w:t>2.2.</w:t>
      </w:r>
      <w:r w:rsidRPr="00900046">
        <w:tab/>
      </w:r>
      <w:r w:rsidR="003230C2" w:rsidRPr="0068720C">
        <w:rPr>
          <w:noProof/>
        </w:rPr>
        <w:t>Komisia pre omamné látky</w:t>
      </w:r>
    </w:p>
    <w:p w14:paraId="7AC53241" w14:textId="26476D27" w:rsidR="003230C2" w:rsidRPr="0068720C" w:rsidRDefault="003230C2" w:rsidP="00736AA9">
      <w:pPr>
        <w:rPr>
          <w:noProof/>
          <w:szCs w:val="24"/>
        </w:rPr>
      </w:pPr>
      <w:r w:rsidRPr="0068720C">
        <w:rPr>
          <w:noProof/>
        </w:rPr>
        <w:t>Komisia pre omamné látky je komisiou Hospodárskej</w:t>
      </w:r>
      <w:r w:rsidR="0068720C">
        <w:rPr>
          <w:noProof/>
        </w:rPr>
        <w:t xml:space="preserve"> a </w:t>
      </w:r>
      <w:r w:rsidRPr="0068720C">
        <w:rPr>
          <w:noProof/>
        </w:rPr>
        <w:t>sociálnej rady OSN (ďalej len „rada ECOSOC“)</w:t>
      </w:r>
      <w:r w:rsidR="0068720C">
        <w:rPr>
          <w:noProof/>
        </w:rPr>
        <w:t xml:space="preserve"> a </w:t>
      </w:r>
      <w:r w:rsidRPr="0068720C">
        <w:rPr>
          <w:noProof/>
        </w:rPr>
        <w:t>jej úlohy</w:t>
      </w:r>
      <w:r w:rsidR="0068720C">
        <w:rPr>
          <w:noProof/>
        </w:rPr>
        <w:t xml:space="preserve"> a </w:t>
      </w:r>
      <w:r w:rsidRPr="0068720C">
        <w:rPr>
          <w:noProof/>
        </w:rPr>
        <w:t>právomoci sú okrem iného stanovené</w:t>
      </w:r>
      <w:r w:rsidR="0068720C">
        <w:rPr>
          <w:noProof/>
        </w:rPr>
        <w:t xml:space="preserve"> v </w:t>
      </w:r>
      <w:r w:rsidRPr="0068720C">
        <w:rPr>
          <w:noProof/>
        </w:rPr>
        <w:t>uvedených dvoch dohovoroch. Je zložená</w:t>
      </w:r>
      <w:r w:rsidR="0068720C">
        <w:rPr>
          <w:noProof/>
        </w:rPr>
        <w:t xml:space="preserve"> z </w:t>
      </w:r>
      <w:r w:rsidRPr="0068720C">
        <w:rPr>
          <w:noProof/>
        </w:rPr>
        <w:t>53 členských štátov OSN, ktoré volí rada ECOSOC.</w:t>
      </w:r>
      <w:r w:rsidR="0068720C">
        <w:rPr>
          <w:noProof/>
        </w:rPr>
        <w:t xml:space="preserve"> V </w:t>
      </w:r>
      <w:r w:rsidRPr="0068720C">
        <w:rPr>
          <w:noProof/>
        </w:rPr>
        <w:t>marci 2024</w:t>
      </w:r>
      <w:r w:rsidR="0068720C">
        <w:rPr>
          <w:noProof/>
        </w:rPr>
        <w:t xml:space="preserve"> v </w:t>
      </w:r>
      <w:r w:rsidRPr="0068720C">
        <w:rPr>
          <w:noProof/>
        </w:rPr>
        <w:t>nej bude mať 13 členských štátov EÚ status člena</w:t>
      </w:r>
      <w:r w:rsidR="0068720C">
        <w:rPr>
          <w:noProof/>
        </w:rPr>
        <w:t xml:space="preserve"> s </w:t>
      </w:r>
      <w:r w:rsidRPr="0068720C">
        <w:rPr>
          <w:noProof/>
        </w:rPr>
        <w:t>hlasovacím právom.</w:t>
      </w:r>
      <w:r w:rsidR="00794314" w:rsidRPr="0068720C">
        <w:rPr>
          <w:rStyle w:val="FootnoteReference"/>
          <w:noProof/>
          <w:szCs w:val="24"/>
        </w:rPr>
        <w:footnoteReference w:id="3"/>
      </w:r>
      <w:r w:rsidRPr="0068720C">
        <w:rPr>
          <w:rStyle w:val="Heading3Char"/>
          <w:noProof/>
        </w:rPr>
        <w:t xml:space="preserve"> </w:t>
      </w:r>
      <w:r w:rsidRPr="0068720C">
        <w:rPr>
          <w:noProof/>
        </w:rPr>
        <w:t>Únia má</w:t>
      </w:r>
      <w:r w:rsidR="0068720C">
        <w:rPr>
          <w:noProof/>
        </w:rPr>
        <w:t xml:space="preserve"> v </w:t>
      </w:r>
      <w:r w:rsidRPr="0068720C">
        <w:rPr>
          <w:noProof/>
        </w:rPr>
        <w:t>Komisii pre omamné látky status pozorovateľa.</w:t>
      </w:r>
    </w:p>
    <w:p w14:paraId="7A25E258" w14:textId="11D8ACEF" w:rsidR="003230C2" w:rsidRPr="0068720C" w:rsidRDefault="00900046" w:rsidP="00900046">
      <w:pPr>
        <w:pStyle w:val="ManualHeading2"/>
        <w:rPr>
          <w:noProof/>
        </w:rPr>
      </w:pPr>
      <w:r w:rsidRPr="00900046">
        <w:t>2.3.</w:t>
      </w:r>
      <w:r w:rsidRPr="00900046">
        <w:tab/>
      </w:r>
      <w:r w:rsidR="003230C2" w:rsidRPr="0068720C">
        <w:rPr>
          <w:noProof/>
        </w:rPr>
        <w:t>Pripravovaný akt Komisie pre omamné látky</w:t>
      </w:r>
    </w:p>
    <w:p w14:paraId="6EEC644B" w14:textId="241D0F07" w:rsidR="00300471" w:rsidRPr="0068720C" w:rsidRDefault="007C293F" w:rsidP="007C293F">
      <w:pPr>
        <w:autoSpaceDE w:val="0"/>
        <w:autoSpaceDN w:val="0"/>
        <w:adjustRightInd w:val="0"/>
        <w:spacing w:after="240"/>
        <w:rPr>
          <w:noProof/>
        </w:rPr>
      </w:pPr>
      <w:r w:rsidRPr="0068720C">
        <w:rPr>
          <w:noProof/>
        </w:rPr>
        <w:t>Komisia pre omamné látky pravidelne mení zoznamy látok, ktoré sú pripojené</w:t>
      </w:r>
      <w:r w:rsidR="0068720C">
        <w:rPr>
          <w:noProof/>
        </w:rPr>
        <w:t xml:space="preserve"> k </w:t>
      </w:r>
      <w:r w:rsidRPr="0068720C">
        <w:rPr>
          <w:noProof/>
        </w:rPr>
        <w:t>uvedeným dohovorom, na základe odporúčaní Svetovej zdravotníckej organizácie (ďalej len „WHO“), ktorej poskytuje poradenstvo jej odborný výbor pre drogovú závislosť</w:t>
      </w:r>
      <w:r w:rsidR="00300471" w:rsidRPr="0068720C">
        <w:rPr>
          <w:noProof/>
        </w:rPr>
        <w:t>.</w:t>
      </w:r>
    </w:p>
    <w:p w14:paraId="519D6AC5" w14:textId="45BE5F8E" w:rsidR="003230C2" w:rsidRPr="0068720C" w:rsidRDefault="00B327C5" w:rsidP="00A27EA1">
      <w:pPr>
        <w:autoSpaceDE w:val="0"/>
        <w:autoSpaceDN w:val="0"/>
        <w:adjustRightInd w:val="0"/>
        <w:spacing w:after="240"/>
        <w:rPr>
          <w:noProof/>
          <w:szCs w:val="24"/>
        </w:rPr>
      </w:pPr>
      <w:r w:rsidRPr="0068720C">
        <w:rPr>
          <w:noProof/>
        </w:rPr>
        <w:lastRenderedPageBreak/>
        <w:t>Dňa 15</w:t>
      </w:r>
      <w:r w:rsidR="0068720C">
        <w:rPr>
          <w:noProof/>
        </w:rPr>
        <w:t>. novembra</w:t>
      </w:r>
      <w:r w:rsidRPr="0068720C">
        <w:rPr>
          <w:noProof/>
        </w:rPr>
        <w:t xml:space="preserve"> WHO odporučila generálnemu tajomníkovi OSN</w:t>
      </w:r>
      <w:r w:rsidR="001C7F8B" w:rsidRPr="0068720C">
        <w:rPr>
          <w:rStyle w:val="FootnoteReference"/>
          <w:noProof/>
        </w:rPr>
        <w:footnoteReference w:id="4"/>
      </w:r>
      <w:r w:rsidRPr="0068720C">
        <w:rPr>
          <w:noProof/>
        </w:rPr>
        <w:t xml:space="preserve"> pridať do zoznamov</w:t>
      </w:r>
      <w:r w:rsidR="0068720C">
        <w:rPr>
          <w:noProof/>
        </w:rPr>
        <w:t xml:space="preserve"> k </w:t>
      </w:r>
      <w:r w:rsidRPr="0068720C">
        <w:rPr>
          <w:noProof/>
        </w:rPr>
        <w:t>dohovorom päť látok, ktoré odborný výbor pre drogovú závislosť kriticky preskúmal.</w:t>
      </w:r>
    </w:p>
    <w:p w14:paraId="4482C4DF" w14:textId="1A8655BB" w:rsidR="00300471" w:rsidRPr="0068720C" w:rsidRDefault="006A27E6" w:rsidP="006A27E6">
      <w:pPr>
        <w:autoSpaceDE w:val="0"/>
        <w:autoSpaceDN w:val="0"/>
        <w:adjustRightInd w:val="0"/>
        <w:spacing w:after="240"/>
        <w:rPr>
          <w:noProof/>
        </w:rPr>
      </w:pPr>
      <w:r w:rsidRPr="0068720C">
        <w:rPr>
          <w:noProof/>
        </w:rPr>
        <w:t>Na svojom 67. zasadnutí, ktoré sa bude konať 14. až 22</w:t>
      </w:r>
      <w:r w:rsidR="0068720C">
        <w:rPr>
          <w:noProof/>
        </w:rPr>
        <w:t>. marca</w:t>
      </w:r>
      <w:r w:rsidRPr="0068720C">
        <w:rPr>
          <w:noProof/>
        </w:rPr>
        <w:t xml:space="preserve"> 2024 vo Viedni, bude Komisia pre omamné látky vyzvaná prijať rozhodnutia</w:t>
      </w:r>
      <w:r w:rsidR="0068720C">
        <w:rPr>
          <w:noProof/>
        </w:rPr>
        <w:t xml:space="preserve"> o </w:t>
      </w:r>
      <w:r w:rsidRPr="0068720C">
        <w:rPr>
          <w:noProof/>
        </w:rPr>
        <w:t>zaradení týchto látok do zoznamov</w:t>
      </w:r>
      <w:r w:rsidR="0068720C">
        <w:rPr>
          <w:noProof/>
        </w:rPr>
        <w:t xml:space="preserve"> k </w:t>
      </w:r>
      <w:r w:rsidRPr="0068720C">
        <w:rPr>
          <w:noProof/>
        </w:rPr>
        <w:t>príslušným dohovorom</w:t>
      </w:r>
      <w:r w:rsidR="00300471" w:rsidRPr="0068720C">
        <w:rPr>
          <w:noProof/>
        </w:rPr>
        <w:t>.</w:t>
      </w:r>
    </w:p>
    <w:p w14:paraId="252D47B0" w14:textId="7C4583A8" w:rsidR="003230C2" w:rsidRPr="0068720C" w:rsidRDefault="00900046" w:rsidP="00900046">
      <w:pPr>
        <w:pStyle w:val="ManualHeading1"/>
        <w:rPr>
          <w:rFonts w:eastAsia="Arial Unicode MS"/>
          <w:noProof/>
        </w:rPr>
      </w:pPr>
      <w:r w:rsidRPr="00900046">
        <w:t>3.</w:t>
      </w:r>
      <w:r w:rsidRPr="00900046">
        <w:tab/>
      </w:r>
      <w:r w:rsidR="003230C2" w:rsidRPr="0068720C">
        <w:rPr>
          <w:noProof/>
        </w:rPr>
        <w:t>Pozícia, ktorá sa má zaujať</w:t>
      </w:r>
      <w:r w:rsidR="0068720C">
        <w:rPr>
          <w:noProof/>
        </w:rPr>
        <w:t xml:space="preserve"> v </w:t>
      </w:r>
      <w:r w:rsidR="003230C2" w:rsidRPr="0068720C">
        <w:rPr>
          <w:noProof/>
        </w:rPr>
        <w:t>mene Únie</w:t>
      </w:r>
    </w:p>
    <w:p w14:paraId="5523F843" w14:textId="4292AE45" w:rsidR="00BB5F02" w:rsidRPr="0068720C" w:rsidRDefault="00BB5F02" w:rsidP="00BB5F02">
      <w:pPr>
        <w:autoSpaceDE w:val="0"/>
        <w:autoSpaceDN w:val="0"/>
        <w:adjustRightInd w:val="0"/>
        <w:spacing w:after="240"/>
        <w:rPr>
          <w:noProof/>
          <w:szCs w:val="24"/>
        </w:rPr>
      </w:pPr>
      <w:r w:rsidRPr="0068720C">
        <w:rPr>
          <w:noProof/>
        </w:rPr>
        <w:t>Zmeny zoznamov</w:t>
      </w:r>
      <w:r w:rsidR="0068720C">
        <w:rPr>
          <w:noProof/>
        </w:rPr>
        <w:t xml:space="preserve"> k </w:t>
      </w:r>
      <w:r w:rsidRPr="0068720C">
        <w:rPr>
          <w:noProof/>
        </w:rPr>
        <w:t>uvedeným dohovorom majú priamy vplyv na rozsah uplatňovania práva Únie</w:t>
      </w:r>
      <w:r w:rsidR="0068720C">
        <w:rPr>
          <w:noProof/>
        </w:rPr>
        <w:t xml:space="preserve"> v </w:t>
      </w:r>
      <w:r w:rsidRPr="0068720C">
        <w:rPr>
          <w:noProof/>
        </w:rPr>
        <w:t>oblasti kontroly drog pre všetky členské štáty.</w:t>
      </w:r>
      <w:r w:rsidR="0068720C">
        <w:rPr>
          <w:noProof/>
        </w:rPr>
        <w:t xml:space="preserve"> V </w:t>
      </w:r>
      <w:r w:rsidRPr="0068720C">
        <w:rPr>
          <w:noProof/>
        </w:rPr>
        <w:t>článku 1 ods. 1 rámcového rozhodnutia Rady 2004/757/SVV</w:t>
      </w:r>
      <w:r w:rsidR="0068720C">
        <w:rPr>
          <w:noProof/>
        </w:rPr>
        <w:t xml:space="preserve"> z </w:t>
      </w:r>
      <w:r w:rsidRPr="0068720C">
        <w:rPr>
          <w:noProof/>
        </w:rPr>
        <w:t>25</w:t>
      </w:r>
      <w:r w:rsidR="0068720C">
        <w:rPr>
          <w:noProof/>
        </w:rPr>
        <w:t>. októbra</w:t>
      </w:r>
      <w:r w:rsidRPr="0068720C">
        <w:rPr>
          <w:noProof/>
        </w:rPr>
        <w:t xml:space="preserve"> 2004, ktorým sa stanovujú minimálne ustanovenia</w:t>
      </w:r>
      <w:r w:rsidR="0068720C">
        <w:rPr>
          <w:noProof/>
        </w:rPr>
        <w:t xml:space="preserve"> o </w:t>
      </w:r>
      <w:r w:rsidRPr="0068720C">
        <w:rPr>
          <w:noProof/>
        </w:rPr>
        <w:t>znakoch skutkových podstát trestných činov</w:t>
      </w:r>
      <w:r w:rsidR="0068720C">
        <w:rPr>
          <w:noProof/>
        </w:rPr>
        <w:t xml:space="preserve"> a </w:t>
      </w:r>
      <w:r w:rsidRPr="0068720C">
        <w:rPr>
          <w:noProof/>
        </w:rPr>
        <w:t>trestov</w:t>
      </w:r>
      <w:r w:rsidR="0068720C">
        <w:rPr>
          <w:noProof/>
        </w:rPr>
        <w:t xml:space="preserve"> v </w:t>
      </w:r>
      <w:r w:rsidRPr="0068720C">
        <w:rPr>
          <w:noProof/>
        </w:rPr>
        <w:t>oblasti nezákonného obchodu</w:t>
      </w:r>
      <w:r w:rsidR="0068720C">
        <w:rPr>
          <w:noProof/>
        </w:rPr>
        <w:t xml:space="preserve"> s </w:t>
      </w:r>
      <w:r w:rsidRPr="0068720C">
        <w:rPr>
          <w:noProof/>
        </w:rPr>
        <w:t>drogami (ďalej len „rámcové rozhodnutie“)</w:t>
      </w:r>
      <w:r w:rsidRPr="0068720C">
        <w:rPr>
          <w:rStyle w:val="FootnoteReference"/>
          <w:noProof/>
          <w:szCs w:val="24"/>
        </w:rPr>
        <w:footnoteReference w:id="5"/>
      </w:r>
      <w:r w:rsidRPr="0068720C">
        <w:rPr>
          <w:noProof/>
        </w:rPr>
        <w:t>, sa stanovuje, že na účely rámcového rozhodnutia je „droga“ látka, na ktorú sa vzťahuje buď dohovor</w:t>
      </w:r>
      <w:r w:rsidR="0068720C">
        <w:rPr>
          <w:noProof/>
        </w:rPr>
        <w:t xml:space="preserve"> o </w:t>
      </w:r>
      <w:r w:rsidRPr="0068720C">
        <w:rPr>
          <w:noProof/>
        </w:rPr>
        <w:t>omamných látkach, alebo dohovor</w:t>
      </w:r>
      <w:r w:rsidR="0068720C">
        <w:rPr>
          <w:noProof/>
        </w:rPr>
        <w:t xml:space="preserve"> o </w:t>
      </w:r>
      <w:r w:rsidRPr="0068720C">
        <w:rPr>
          <w:noProof/>
        </w:rPr>
        <w:t>psychotropných látkach,</w:t>
      </w:r>
      <w:r w:rsidR="0068720C">
        <w:rPr>
          <w:noProof/>
        </w:rPr>
        <w:t xml:space="preserve"> a </w:t>
      </w:r>
      <w:r w:rsidRPr="0068720C">
        <w:rPr>
          <w:noProof/>
        </w:rPr>
        <w:t>ktorákoľvek</w:t>
      </w:r>
      <w:r w:rsidR="0068720C">
        <w:rPr>
          <w:noProof/>
        </w:rPr>
        <w:t xml:space="preserve"> z </w:t>
      </w:r>
      <w:r w:rsidRPr="0068720C">
        <w:rPr>
          <w:noProof/>
        </w:rPr>
        <w:t>látok uvedených</w:t>
      </w:r>
      <w:r w:rsidR="0068720C">
        <w:rPr>
          <w:noProof/>
        </w:rPr>
        <w:t xml:space="preserve"> v </w:t>
      </w:r>
      <w:r w:rsidRPr="0068720C">
        <w:rPr>
          <w:noProof/>
        </w:rPr>
        <w:t>prílohe</w:t>
      </w:r>
      <w:r w:rsidR="0068720C">
        <w:rPr>
          <w:noProof/>
        </w:rPr>
        <w:t xml:space="preserve"> k </w:t>
      </w:r>
      <w:r w:rsidRPr="0068720C">
        <w:rPr>
          <w:noProof/>
        </w:rPr>
        <w:t>rámcovému rozhodnutiu. Rámcové rozhodnutie sa preto vzťahuje na látky uvedené</w:t>
      </w:r>
      <w:r w:rsidR="0068720C">
        <w:rPr>
          <w:noProof/>
        </w:rPr>
        <w:t xml:space="preserve"> v </w:t>
      </w:r>
      <w:r w:rsidRPr="0068720C">
        <w:rPr>
          <w:noProof/>
        </w:rPr>
        <w:t>zoznamoch</w:t>
      </w:r>
      <w:r w:rsidR="0068720C">
        <w:rPr>
          <w:noProof/>
        </w:rPr>
        <w:t xml:space="preserve"> k </w:t>
      </w:r>
      <w:r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Pr="0068720C">
        <w:rPr>
          <w:noProof/>
        </w:rPr>
        <w:t>omamných látkach</w:t>
      </w:r>
      <w:r w:rsidR="0068720C">
        <w:rPr>
          <w:noProof/>
        </w:rPr>
        <w:t xml:space="preserve"> a k </w:t>
      </w:r>
      <w:r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Pr="0068720C">
        <w:rPr>
          <w:noProof/>
        </w:rPr>
        <w:t>psychotropných látkach. Preto akákoľvek zmena</w:t>
      </w:r>
      <w:r w:rsidR="0068720C">
        <w:rPr>
          <w:noProof/>
        </w:rPr>
        <w:t xml:space="preserve"> v </w:t>
      </w:r>
      <w:r w:rsidRPr="0068720C">
        <w:rPr>
          <w:noProof/>
        </w:rPr>
        <w:t>zoznamoch pripojených</w:t>
      </w:r>
      <w:r w:rsidR="0068720C">
        <w:rPr>
          <w:noProof/>
        </w:rPr>
        <w:t xml:space="preserve"> k </w:t>
      </w:r>
      <w:r w:rsidRPr="0068720C">
        <w:rPr>
          <w:noProof/>
        </w:rPr>
        <w:t>uvedeným dohovorom priamo ovplyvňuje spoločné pravidlá EÚ</w:t>
      </w:r>
      <w:r w:rsidR="0068720C">
        <w:rPr>
          <w:noProof/>
        </w:rPr>
        <w:t xml:space="preserve"> a </w:t>
      </w:r>
      <w:r w:rsidRPr="0068720C">
        <w:rPr>
          <w:noProof/>
        </w:rPr>
        <w:t>mení ich rozsah pôsobnosti</w:t>
      </w:r>
      <w:r w:rsidR="0068720C">
        <w:rPr>
          <w:noProof/>
        </w:rPr>
        <w:t xml:space="preserve"> v </w:t>
      </w:r>
      <w:r w:rsidRPr="0068720C">
        <w:rPr>
          <w:noProof/>
        </w:rPr>
        <w:t>súlade</w:t>
      </w:r>
      <w:r w:rsidR="0068720C">
        <w:rPr>
          <w:noProof/>
        </w:rPr>
        <w:t xml:space="preserve"> s </w:t>
      </w:r>
      <w:r w:rsidRPr="0068720C">
        <w:rPr>
          <w:noProof/>
        </w:rPr>
        <w:t>článkom 3 ods. 2 Zmluvy</w:t>
      </w:r>
      <w:r w:rsidR="0068720C">
        <w:rPr>
          <w:noProof/>
        </w:rPr>
        <w:t xml:space="preserve"> o </w:t>
      </w:r>
      <w:r w:rsidRPr="0068720C">
        <w:rPr>
          <w:noProof/>
        </w:rPr>
        <w:t>fungovaní Európskej únie (ZFEÚ). Platí to bez ohľadu na to, či predmetná látka podlieha</w:t>
      </w:r>
      <w:r w:rsidR="0068720C">
        <w:rPr>
          <w:noProof/>
        </w:rPr>
        <w:t xml:space="preserve"> v </w:t>
      </w:r>
      <w:r w:rsidRPr="0068720C">
        <w:rPr>
          <w:noProof/>
        </w:rPr>
        <w:t>Únii kontrole.</w:t>
      </w:r>
      <w:r w:rsidRPr="0068720C">
        <w:rPr>
          <w:rStyle w:val="FootnoteReference"/>
          <w:noProof/>
          <w:szCs w:val="24"/>
        </w:rPr>
        <w:footnoteReference w:id="6"/>
      </w:r>
    </w:p>
    <w:p w14:paraId="5FF80D90" w14:textId="1D08CE8B" w:rsidR="00C857DF" w:rsidRPr="0068720C" w:rsidRDefault="00BB5F02" w:rsidP="00BB5F02">
      <w:pPr>
        <w:autoSpaceDE w:val="0"/>
        <w:autoSpaceDN w:val="0"/>
        <w:adjustRightInd w:val="0"/>
        <w:rPr>
          <w:noProof/>
          <w:szCs w:val="24"/>
        </w:rPr>
      </w:pPr>
      <w:r w:rsidRPr="0068720C">
        <w:rPr>
          <w:noProof/>
        </w:rPr>
        <w:t>Odborný výbor pre drogovú závislosť kriticky preskúmal na svojom 46. zasadnutí šesť látok,</w:t>
      </w:r>
      <w:r w:rsidR="0068720C">
        <w:rPr>
          <w:noProof/>
        </w:rPr>
        <w:t xml:space="preserve"> a </w:t>
      </w:r>
      <w:r w:rsidRPr="0068720C">
        <w:rPr>
          <w:noProof/>
        </w:rPr>
        <w:t>to dva benzodiazepíny – bromazolam</w:t>
      </w:r>
      <w:r w:rsidR="0068720C">
        <w:rPr>
          <w:noProof/>
        </w:rPr>
        <w:t xml:space="preserve"> a </w:t>
      </w:r>
      <w:r w:rsidRPr="0068720C">
        <w:rPr>
          <w:noProof/>
        </w:rPr>
        <w:t xml:space="preserve">flubromazepam, jeden nový syntetický opioid – butonitazén, dva katinóny/stimulanty – </w:t>
      </w:r>
      <w:bookmarkStart w:id="1" w:name="_Hlk150768719"/>
      <w:r w:rsidRPr="0068720C">
        <w:rPr>
          <w:noProof/>
        </w:rPr>
        <w:t>3-chlórmetkatinón</w:t>
      </w:r>
      <w:bookmarkEnd w:id="1"/>
      <w:r w:rsidRPr="0068720C">
        <w:rPr>
          <w:noProof/>
        </w:rPr>
        <w:t xml:space="preserve"> (3-CMC)</w:t>
      </w:r>
      <w:r w:rsidR="0068720C">
        <w:rPr>
          <w:noProof/>
        </w:rPr>
        <w:t xml:space="preserve"> a </w:t>
      </w:r>
      <w:r w:rsidRPr="0068720C">
        <w:rPr>
          <w:noProof/>
        </w:rPr>
        <w:t>dipentylón, ako aj jednu látku disociačného typu – 2-fluórdeschlórketamín (2-FDCK).</w:t>
      </w:r>
    </w:p>
    <w:p w14:paraId="4A2D2461" w14:textId="3FFE3F54" w:rsidR="009B0E6B" w:rsidRPr="0068720C" w:rsidRDefault="00AA7E7C" w:rsidP="00BB5F02">
      <w:pPr>
        <w:autoSpaceDE w:val="0"/>
        <w:autoSpaceDN w:val="0"/>
        <w:adjustRightInd w:val="0"/>
        <w:rPr>
          <w:noProof/>
          <w:szCs w:val="24"/>
        </w:rPr>
      </w:pPr>
      <w:r w:rsidRPr="0068720C">
        <w:rPr>
          <w:noProof/>
        </w:rPr>
        <w:t>Všetkých týchto šesť látok je predmetom monitorovania Európskeho monitorovacieho centra pre drogy</w:t>
      </w:r>
      <w:r w:rsidR="0068720C">
        <w:rPr>
          <w:noProof/>
        </w:rPr>
        <w:t xml:space="preserve"> a </w:t>
      </w:r>
      <w:r w:rsidRPr="0068720C">
        <w:rPr>
          <w:noProof/>
        </w:rPr>
        <w:t>drogovú závislosť (EMCDDA). Jedna látka už navyše podlieha kontrolným opatreniam</w:t>
      </w:r>
      <w:r w:rsidR="0068720C">
        <w:rPr>
          <w:noProof/>
        </w:rPr>
        <w:t xml:space="preserve"> v </w:t>
      </w:r>
      <w:r w:rsidRPr="0068720C">
        <w:rPr>
          <w:noProof/>
        </w:rPr>
        <w:t>celej Únii: látka 3-CMC bola do zoznamu drog uvedeného</w:t>
      </w:r>
      <w:r w:rsidR="0068720C">
        <w:rPr>
          <w:noProof/>
        </w:rPr>
        <w:t xml:space="preserve"> v </w:t>
      </w:r>
      <w:r w:rsidRPr="0068720C">
        <w:rPr>
          <w:noProof/>
        </w:rPr>
        <w:t>rámcovom rozhodnutí pridaná</w:t>
      </w:r>
      <w:r w:rsidR="0068720C">
        <w:rPr>
          <w:noProof/>
        </w:rPr>
        <w:t xml:space="preserve"> v </w:t>
      </w:r>
      <w:r w:rsidRPr="0068720C">
        <w:rPr>
          <w:noProof/>
        </w:rPr>
        <w:t>roku 2022. Okrem toho dve</w:t>
      </w:r>
      <w:r w:rsidR="0068720C">
        <w:rPr>
          <w:noProof/>
        </w:rPr>
        <w:t xml:space="preserve"> z </w:t>
      </w:r>
      <w:r w:rsidRPr="0068720C">
        <w:rPr>
          <w:noProof/>
        </w:rPr>
        <w:t>týchto látok – butonitazén</w:t>
      </w:r>
      <w:r w:rsidR="0068720C">
        <w:rPr>
          <w:noProof/>
        </w:rPr>
        <w:t xml:space="preserve"> a </w:t>
      </w:r>
      <w:r w:rsidRPr="0068720C">
        <w:rPr>
          <w:noProof/>
        </w:rPr>
        <w:t>2-FDCK – sú predmetom intenzívneho monitorovania zo strany centra EMCDDA. Odborný výbor pre drogovú závislosť rozhodol odporučiť päť</w:t>
      </w:r>
      <w:r w:rsidR="0068720C">
        <w:rPr>
          <w:noProof/>
        </w:rPr>
        <w:t xml:space="preserve"> z </w:t>
      </w:r>
      <w:r w:rsidRPr="0068720C">
        <w:rPr>
          <w:noProof/>
        </w:rPr>
        <w:t>nich na zaradenie do zoznamov: bromazolam, butonitazén, 3-CMC, dipentylón</w:t>
      </w:r>
      <w:r w:rsidR="0068720C">
        <w:rPr>
          <w:noProof/>
        </w:rPr>
        <w:t xml:space="preserve"> a </w:t>
      </w:r>
      <w:r w:rsidRPr="0068720C">
        <w:rPr>
          <w:noProof/>
        </w:rPr>
        <w:t>2-DFCK.</w:t>
      </w:r>
    </w:p>
    <w:p w14:paraId="40D979A0" w14:textId="679E9C70" w:rsidR="00BB5F02" w:rsidRPr="0068720C" w:rsidRDefault="00BB5F02" w:rsidP="00BB5F02">
      <w:pPr>
        <w:autoSpaceDE w:val="0"/>
        <w:autoSpaceDN w:val="0"/>
        <w:adjustRightInd w:val="0"/>
        <w:spacing w:after="240"/>
        <w:rPr>
          <w:noProof/>
          <w:szCs w:val="24"/>
        </w:rPr>
      </w:pPr>
      <w:r w:rsidRPr="0068720C">
        <w:rPr>
          <w:noProof/>
        </w:rPr>
        <w:t>V návrhu Komisie týkajúcom sa pozície Únie sa navrhuje podporiť odporúčania WHO – kontrolu vyššie uvedených piatich látok, pretože sú</w:t>
      </w:r>
      <w:r w:rsidR="0068720C">
        <w:rPr>
          <w:noProof/>
        </w:rPr>
        <w:t xml:space="preserve"> v </w:t>
      </w:r>
      <w:r w:rsidRPr="0068720C">
        <w:rPr>
          <w:noProof/>
        </w:rPr>
        <w:t>súlade</w:t>
      </w:r>
      <w:r w:rsidR="0068720C">
        <w:rPr>
          <w:noProof/>
        </w:rPr>
        <w:t xml:space="preserve"> s </w:t>
      </w:r>
      <w:r w:rsidRPr="0068720C">
        <w:rPr>
          <w:noProof/>
        </w:rPr>
        <w:t>aktuálnym stavom vedeckých poznatkov. Pokiaľ ide</w:t>
      </w:r>
      <w:r w:rsidR="0068720C">
        <w:rPr>
          <w:noProof/>
        </w:rPr>
        <w:t xml:space="preserve"> o </w:t>
      </w:r>
      <w:r w:rsidRPr="0068720C">
        <w:rPr>
          <w:noProof/>
        </w:rPr>
        <w:t>tieto nové psychoaktívne látky, ich pridanie do zoznamov</w:t>
      </w:r>
      <w:r w:rsidR="0068720C">
        <w:rPr>
          <w:noProof/>
        </w:rPr>
        <w:t xml:space="preserve"> k </w:t>
      </w:r>
      <w:r w:rsidRPr="0068720C">
        <w:rPr>
          <w:noProof/>
        </w:rPr>
        <w:t>uvedeným dohovorom je podporené aj informáciami dostupnými</w:t>
      </w:r>
      <w:r w:rsidR="0068720C">
        <w:rPr>
          <w:noProof/>
        </w:rPr>
        <w:t xml:space="preserve"> v </w:t>
      </w:r>
      <w:r w:rsidRPr="0068720C">
        <w:rPr>
          <w:noProof/>
        </w:rPr>
        <w:t>európskej databáze nových drog centra EMCDDA.</w:t>
      </w:r>
    </w:p>
    <w:p w14:paraId="721BC78A" w14:textId="35DFB803" w:rsidR="00BB5F02" w:rsidRPr="0068720C" w:rsidRDefault="00BB5F02" w:rsidP="00BB5F02">
      <w:pPr>
        <w:autoSpaceDE w:val="0"/>
        <w:autoSpaceDN w:val="0"/>
        <w:adjustRightInd w:val="0"/>
        <w:spacing w:after="240"/>
        <w:rPr>
          <w:noProof/>
          <w:szCs w:val="24"/>
        </w:rPr>
      </w:pPr>
      <w:r w:rsidRPr="0068720C">
        <w:rPr>
          <w:noProof/>
        </w:rPr>
        <w:t>Je potrebné, aby Rada stanovila pozíciu Únie na účely zasadnutia Komisie pre omamné látky, keď bude vyzvaná, aby rozhodla</w:t>
      </w:r>
      <w:r w:rsidR="0068720C">
        <w:rPr>
          <w:noProof/>
        </w:rPr>
        <w:t xml:space="preserve"> o </w:t>
      </w:r>
      <w:r w:rsidRPr="0068720C">
        <w:rPr>
          <w:noProof/>
        </w:rPr>
        <w:t>zaradení látok do zoznamov.</w:t>
      </w:r>
      <w:r w:rsidR="0068720C">
        <w:rPr>
          <w:noProof/>
        </w:rPr>
        <w:t xml:space="preserve"> Z </w:t>
      </w:r>
      <w:r w:rsidRPr="0068720C">
        <w:rPr>
          <w:noProof/>
        </w:rPr>
        <w:t>dôvodu obmedzení vyplývajúcich zo statusu Únie ako pozorovateľa by túto pozíciu mali vyjadriť členské štáty, ktoré budú členmi Komisie pre omamné látky</w:t>
      </w:r>
      <w:r w:rsidR="0068720C">
        <w:rPr>
          <w:noProof/>
        </w:rPr>
        <w:t xml:space="preserve"> v </w:t>
      </w:r>
      <w:r w:rsidRPr="0068720C">
        <w:rPr>
          <w:noProof/>
        </w:rPr>
        <w:t>marci 2024, konajúc spoločne</w:t>
      </w:r>
      <w:r w:rsidR="0068720C">
        <w:rPr>
          <w:noProof/>
        </w:rPr>
        <w:t xml:space="preserve"> v </w:t>
      </w:r>
      <w:r w:rsidRPr="0068720C">
        <w:rPr>
          <w:noProof/>
        </w:rPr>
        <w:t>záujme Únie</w:t>
      </w:r>
      <w:r w:rsidR="0068720C">
        <w:rPr>
          <w:noProof/>
        </w:rPr>
        <w:t xml:space="preserve"> </w:t>
      </w:r>
      <w:r w:rsidR="0068720C">
        <w:rPr>
          <w:noProof/>
        </w:rPr>
        <w:lastRenderedPageBreak/>
        <w:t>v </w:t>
      </w:r>
      <w:r w:rsidRPr="0068720C">
        <w:rPr>
          <w:noProof/>
        </w:rPr>
        <w:t>rámci Komisie pre omamné látky. Únia nie je zmluvnou stranou týchto dohovorov, má však</w:t>
      </w:r>
      <w:r w:rsidR="0068720C">
        <w:rPr>
          <w:noProof/>
        </w:rPr>
        <w:t xml:space="preserve"> v </w:t>
      </w:r>
      <w:r w:rsidRPr="0068720C">
        <w:rPr>
          <w:noProof/>
        </w:rPr>
        <w:t>tejto oblasti výlučnú právomoc.</w:t>
      </w:r>
    </w:p>
    <w:p w14:paraId="2EC2DFDC" w14:textId="75E1635C" w:rsidR="00BB5F02" w:rsidRPr="0068720C" w:rsidRDefault="00BB5F02" w:rsidP="00BB5F02">
      <w:pPr>
        <w:autoSpaceDE w:val="0"/>
        <w:autoSpaceDN w:val="0"/>
        <w:adjustRightInd w:val="0"/>
        <w:spacing w:after="240"/>
        <w:rPr>
          <w:noProof/>
          <w:szCs w:val="24"/>
        </w:rPr>
      </w:pPr>
      <w:r w:rsidRPr="0068720C">
        <w:rPr>
          <w:noProof/>
        </w:rPr>
        <w:t>Na tento účel Komisia navrhuje pozíciu Únie, ktorú majú na 67. zasadnutí Komisie pre omamné látky</w:t>
      </w:r>
      <w:r w:rsidR="0068720C">
        <w:rPr>
          <w:noProof/>
        </w:rPr>
        <w:t xml:space="preserve"> v </w:t>
      </w:r>
      <w:r w:rsidRPr="0068720C">
        <w:rPr>
          <w:noProof/>
        </w:rPr>
        <w:t>súvislosti so zaradením látok do zoznamov</w:t>
      </w:r>
      <w:r w:rsidR="0068720C">
        <w:rPr>
          <w:noProof/>
        </w:rPr>
        <w:t xml:space="preserve"> k </w:t>
      </w:r>
      <w:r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Pr="0068720C">
        <w:rPr>
          <w:noProof/>
        </w:rPr>
        <w:t>omamných látkach</w:t>
      </w:r>
      <w:r w:rsidR="0068720C">
        <w:rPr>
          <w:noProof/>
        </w:rPr>
        <w:t xml:space="preserve"> a k </w:t>
      </w:r>
      <w:r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Pr="0068720C">
        <w:rPr>
          <w:noProof/>
        </w:rPr>
        <w:t>psychotropných látkach vyjadriť</w:t>
      </w:r>
      <w:r w:rsidR="0068720C">
        <w:rPr>
          <w:noProof/>
        </w:rPr>
        <w:t xml:space="preserve"> v </w:t>
      </w:r>
      <w:r w:rsidRPr="0068720C">
        <w:rPr>
          <w:noProof/>
        </w:rPr>
        <w:t>mene Európskej únie členské štáty, ktoré budú členmi Komisie pre omamné látky</w:t>
      </w:r>
      <w:r w:rsidR="0068720C">
        <w:rPr>
          <w:noProof/>
        </w:rPr>
        <w:t xml:space="preserve"> v </w:t>
      </w:r>
      <w:r w:rsidRPr="0068720C">
        <w:rPr>
          <w:noProof/>
        </w:rPr>
        <w:t>marci 2024.</w:t>
      </w:r>
      <w:r w:rsidR="0068720C">
        <w:rPr>
          <w:noProof/>
        </w:rPr>
        <w:t xml:space="preserve"> V </w:t>
      </w:r>
      <w:r w:rsidRPr="0068720C">
        <w:rPr>
          <w:noProof/>
        </w:rPr>
        <w:t>minulosti Rada tieto pozície Únie prijala,</w:t>
      </w:r>
      <w:r w:rsidR="0068720C">
        <w:rPr>
          <w:noProof/>
        </w:rPr>
        <w:t xml:space="preserve"> a </w:t>
      </w:r>
      <w:r w:rsidRPr="0068720C">
        <w:rPr>
          <w:noProof/>
        </w:rPr>
        <w:t>EÚ tak mohla na predchádzajúcich zasadnutiach Komisie pre omamné látky vystupovať</w:t>
      </w:r>
      <w:r w:rsidR="0068720C">
        <w:rPr>
          <w:noProof/>
        </w:rPr>
        <w:t xml:space="preserve"> v </w:t>
      </w:r>
      <w:r w:rsidRPr="0068720C">
        <w:rPr>
          <w:noProof/>
        </w:rPr>
        <w:t>otázke zaradenia látok do medzinárodných zoznamov jednotne, pretože členské štáty, ktoré sa zúčastnili zasadnutia Komisie pre omamné látky, hlasovali za zaradenie látok do zoznamov</w:t>
      </w:r>
      <w:r w:rsidR="0068720C">
        <w:rPr>
          <w:noProof/>
        </w:rPr>
        <w:t xml:space="preserve"> v </w:t>
      </w:r>
      <w:r w:rsidRPr="0068720C">
        <w:rPr>
          <w:noProof/>
        </w:rPr>
        <w:t>súlade</w:t>
      </w:r>
      <w:r w:rsidR="0068720C">
        <w:rPr>
          <w:noProof/>
        </w:rPr>
        <w:t xml:space="preserve"> s </w:t>
      </w:r>
      <w:r w:rsidRPr="0068720C">
        <w:rPr>
          <w:noProof/>
        </w:rPr>
        <w:t>prijatou pozíciou Únie</w:t>
      </w:r>
      <w:r w:rsidRPr="0068720C">
        <w:rPr>
          <w:rStyle w:val="FootnoteReference"/>
          <w:noProof/>
          <w:szCs w:val="24"/>
        </w:rPr>
        <w:footnoteReference w:id="7"/>
      </w:r>
      <w:r w:rsidRPr="0068720C">
        <w:rPr>
          <w:noProof/>
        </w:rPr>
        <w:t>.</w:t>
      </w:r>
    </w:p>
    <w:p w14:paraId="0512D5F7" w14:textId="0E4EB369" w:rsidR="003230C2" w:rsidRPr="0068720C" w:rsidRDefault="00900046" w:rsidP="00900046">
      <w:pPr>
        <w:pStyle w:val="ManualHeading1"/>
        <w:rPr>
          <w:noProof/>
        </w:rPr>
      </w:pPr>
      <w:r w:rsidRPr="00900046">
        <w:t>4.</w:t>
      </w:r>
      <w:r w:rsidRPr="00900046">
        <w:tab/>
      </w:r>
      <w:r w:rsidR="003230C2" w:rsidRPr="0068720C">
        <w:rPr>
          <w:noProof/>
        </w:rPr>
        <w:t>Právny základ</w:t>
      </w:r>
    </w:p>
    <w:p w14:paraId="3EA70C71" w14:textId="41A5BCF4" w:rsidR="003230C2" w:rsidRPr="0068720C" w:rsidRDefault="00900046" w:rsidP="00900046">
      <w:pPr>
        <w:pStyle w:val="ManualHeading2"/>
        <w:rPr>
          <w:noProof/>
        </w:rPr>
      </w:pPr>
      <w:r w:rsidRPr="00900046">
        <w:t>4.1.</w:t>
      </w:r>
      <w:r w:rsidRPr="00900046">
        <w:tab/>
      </w:r>
      <w:r w:rsidR="003230C2" w:rsidRPr="0068720C">
        <w:rPr>
          <w:noProof/>
        </w:rPr>
        <w:t>Procesnoprávny základ</w:t>
      </w:r>
    </w:p>
    <w:p w14:paraId="29952F3B" w14:textId="4702633C" w:rsidR="003230C2" w:rsidRPr="0068720C" w:rsidRDefault="00900046" w:rsidP="00900046">
      <w:pPr>
        <w:pStyle w:val="ManualHeading3"/>
        <w:rPr>
          <w:noProof/>
        </w:rPr>
      </w:pPr>
      <w:r w:rsidRPr="00900046">
        <w:t>4.1.1.</w:t>
      </w:r>
      <w:r w:rsidRPr="00900046">
        <w:tab/>
      </w:r>
      <w:r w:rsidR="003230C2" w:rsidRPr="0068720C">
        <w:rPr>
          <w:noProof/>
        </w:rPr>
        <w:t>Zásady</w:t>
      </w:r>
    </w:p>
    <w:p w14:paraId="5B41BEA7" w14:textId="1689EE55" w:rsidR="003230C2" w:rsidRPr="0068720C" w:rsidRDefault="003230C2" w:rsidP="00736AA9">
      <w:pPr>
        <w:rPr>
          <w:noProof/>
        </w:rPr>
      </w:pPr>
      <w:r w:rsidRPr="0068720C">
        <w:rPr>
          <w:noProof/>
        </w:rPr>
        <w:t>V článku 218 ods. 9 ZFEÚ sa stanovujú rozhodnutia, ktorými sa určujú „</w:t>
      </w:r>
      <w:r w:rsidRPr="0068720C">
        <w:rPr>
          <w:i/>
          <w:noProof/>
        </w:rPr>
        <w:t>pozície, ktoré sa majú prijať</w:t>
      </w:r>
      <w:r w:rsidR="0068720C">
        <w:rPr>
          <w:i/>
          <w:noProof/>
        </w:rPr>
        <w:t xml:space="preserve"> v </w:t>
      </w:r>
      <w:r w:rsidRPr="0068720C">
        <w:rPr>
          <w:i/>
          <w:noProof/>
        </w:rPr>
        <w:t>mene Únie</w:t>
      </w:r>
      <w:r w:rsidR="0068720C">
        <w:rPr>
          <w:i/>
          <w:noProof/>
        </w:rPr>
        <w:t xml:space="preserve"> v </w:t>
      </w:r>
      <w:r w:rsidRPr="0068720C">
        <w:rPr>
          <w:i/>
          <w:noProof/>
        </w:rPr>
        <w:t>rámci orgánu zriadeného dohodou, keď je tento orgán vyzvaný prijať akty</w:t>
      </w:r>
      <w:r w:rsidR="0068720C">
        <w:rPr>
          <w:i/>
          <w:noProof/>
        </w:rPr>
        <w:t xml:space="preserve"> s </w:t>
      </w:r>
      <w:r w:rsidRPr="0068720C">
        <w:rPr>
          <w:i/>
          <w:noProof/>
        </w:rPr>
        <w:t>právnymi účinkami</w:t>
      </w:r>
      <w:r w:rsidR="0068720C">
        <w:rPr>
          <w:i/>
          <w:noProof/>
        </w:rPr>
        <w:t xml:space="preserve"> s </w:t>
      </w:r>
      <w:r w:rsidRPr="0068720C">
        <w:rPr>
          <w:i/>
          <w:noProof/>
        </w:rPr>
        <w:t>výnimkou aktov dopĺňajúcich alebo meniacich inštitucionálny rámec danej dohody</w:t>
      </w:r>
      <w:r w:rsidRPr="0068720C">
        <w:rPr>
          <w:noProof/>
        </w:rPr>
        <w:t>.“</w:t>
      </w:r>
    </w:p>
    <w:p w14:paraId="043BECCE" w14:textId="77777777" w:rsidR="003230C2" w:rsidRPr="0068720C" w:rsidRDefault="003230C2" w:rsidP="00736AA9">
      <w:pPr>
        <w:rPr>
          <w:noProof/>
        </w:rPr>
      </w:pPr>
      <w:r w:rsidRPr="0068720C">
        <w:rPr>
          <w:noProof/>
        </w:rPr>
        <w:t>Článok 218 ods. 9 ZFEÚ sa uplatňuje bez ohľadu na to, či je Únia členom predmetného orgánu alebo zmluvnou stranou dohody</w:t>
      </w:r>
      <w:r w:rsidRPr="0068720C">
        <w:rPr>
          <w:rStyle w:val="FootnoteReference"/>
          <w:noProof/>
        </w:rPr>
        <w:footnoteReference w:id="8"/>
      </w:r>
      <w:r w:rsidRPr="0068720C">
        <w:rPr>
          <w:noProof/>
        </w:rPr>
        <w:t>.</w:t>
      </w:r>
    </w:p>
    <w:p w14:paraId="09F8500A" w14:textId="54A4FAA3" w:rsidR="003230C2" w:rsidRPr="0068720C" w:rsidRDefault="003230C2" w:rsidP="00736AA9">
      <w:pPr>
        <w:rPr>
          <w:noProof/>
        </w:rPr>
      </w:pPr>
      <w:r w:rsidRPr="0068720C">
        <w:rPr>
          <w:noProof/>
        </w:rPr>
        <w:t>Pojem „</w:t>
      </w:r>
      <w:r w:rsidRPr="0068720C">
        <w:rPr>
          <w:i/>
          <w:noProof/>
        </w:rPr>
        <w:t>akty</w:t>
      </w:r>
      <w:r w:rsidR="0068720C">
        <w:rPr>
          <w:i/>
          <w:noProof/>
        </w:rPr>
        <w:t xml:space="preserve"> s </w:t>
      </w:r>
      <w:r w:rsidRPr="0068720C">
        <w:rPr>
          <w:i/>
          <w:noProof/>
        </w:rPr>
        <w:t>právnymi účinkami</w:t>
      </w:r>
      <w:r w:rsidRPr="0068720C">
        <w:rPr>
          <w:noProof/>
        </w:rPr>
        <w:t>“ zahŕňa akty, ktoré majú právne účinky na základe pravidiel medzinárodného práva, ktorým sa riadi predmetný orgán. Zahŕňa aj nástroje, ktoré nemajú záväzný účinok podľa medzinárodného práva, ale „</w:t>
      </w:r>
      <w:r w:rsidRPr="0068720C">
        <w:rPr>
          <w:i/>
          <w:noProof/>
        </w:rPr>
        <w:t>môžu rozhodujúcim spôsobom ovplyvniť obsah právnej úpravy prijatej normotvorcom EÚ</w:t>
      </w:r>
      <w:r w:rsidRPr="0068720C">
        <w:rPr>
          <w:noProof/>
        </w:rPr>
        <w:t>“</w:t>
      </w:r>
      <w:r w:rsidRPr="0068720C">
        <w:rPr>
          <w:rStyle w:val="FootnoteReference"/>
          <w:noProof/>
        </w:rPr>
        <w:footnoteReference w:id="9"/>
      </w:r>
      <w:r w:rsidRPr="0068720C">
        <w:rPr>
          <w:noProof/>
        </w:rPr>
        <w:t>.</w:t>
      </w:r>
    </w:p>
    <w:p w14:paraId="162341C3" w14:textId="188F281B" w:rsidR="003230C2" w:rsidRPr="0068720C" w:rsidRDefault="00900046" w:rsidP="00900046">
      <w:pPr>
        <w:pStyle w:val="ManualHeading3"/>
        <w:rPr>
          <w:noProof/>
        </w:rPr>
      </w:pPr>
      <w:r w:rsidRPr="00900046">
        <w:t>4.1.2.</w:t>
      </w:r>
      <w:r w:rsidRPr="00900046">
        <w:tab/>
      </w:r>
      <w:r w:rsidR="003230C2" w:rsidRPr="0068720C">
        <w:rPr>
          <w:noProof/>
        </w:rPr>
        <w:t>Uplatnenie na tento prípad</w:t>
      </w:r>
    </w:p>
    <w:p w14:paraId="619E9D2B" w14:textId="3674C079" w:rsidR="00390D4C" w:rsidRPr="0068720C" w:rsidRDefault="00390D4C" w:rsidP="00390D4C">
      <w:pPr>
        <w:rPr>
          <w:noProof/>
        </w:rPr>
      </w:pPr>
      <w:r w:rsidRPr="0068720C">
        <w:rPr>
          <w:noProof/>
        </w:rPr>
        <w:t>Komisia pre omamné látky je</w:t>
      </w:r>
      <w:r w:rsidR="0068720C">
        <w:rPr>
          <w:noProof/>
        </w:rPr>
        <w:t xml:space="preserve"> v </w:t>
      </w:r>
      <w:r w:rsidRPr="0068720C">
        <w:rPr>
          <w:noProof/>
        </w:rPr>
        <w:t>zmysle tohto článku „orgán zriadený dohodou“ vzhľadom na to, že je to orgán, ktorý bol zriadený Hospodárskou</w:t>
      </w:r>
      <w:r w:rsidR="0068720C">
        <w:rPr>
          <w:noProof/>
        </w:rPr>
        <w:t xml:space="preserve"> a </w:t>
      </w:r>
      <w:r w:rsidRPr="0068720C">
        <w:rPr>
          <w:noProof/>
        </w:rPr>
        <w:t>sociálnou radou Organizácie Spojených národov (ďalej len „rada ECOSOC“)</w:t>
      </w:r>
      <w:r w:rsidR="0068720C">
        <w:rPr>
          <w:noProof/>
        </w:rPr>
        <w:t xml:space="preserve"> a </w:t>
      </w:r>
      <w:r w:rsidRPr="0068720C">
        <w:rPr>
          <w:noProof/>
        </w:rPr>
        <w:t>ktorému boli podľa dohovoru</w:t>
      </w:r>
      <w:r w:rsidR="0068720C">
        <w:rPr>
          <w:noProof/>
        </w:rPr>
        <w:t xml:space="preserve"> o </w:t>
      </w:r>
      <w:r w:rsidRPr="0068720C">
        <w:rPr>
          <w:noProof/>
        </w:rPr>
        <w:t>omamných látkach</w:t>
      </w:r>
      <w:r w:rsidR="0068720C">
        <w:rPr>
          <w:noProof/>
        </w:rPr>
        <w:t xml:space="preserve"> a </w:t>
      </w:r>
      <w:r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Pr="0068720C">
        <w:rPr>
          <w:noProof/>
        </w:rPr>
        <w:t>psychotropných látkach pridelené osobitné úlohy.</w:t>
      </w:r>
    </w:p>
    <w:p w14:paraId="1D0077D4" w14:textId="3EAC9A3A" w:rsidR="00390D4C" w:rsidRPr="0068720C" w:rsidRDefault="00390D4C" w:rsidP="00390D4C">
      <w:pPr>
        <w:rPr>
          <w:noProof/>
        </w:rPr>
      </w:pPr>
      <w:r w:rsidRPr="0068720C">
        <w:rPr>
          <w:noProof/>
        </w:rPr>
        <w:t>Rozhodnutia Komisie pre omamné látky týkajúce sa zaradenia látok do zoznamov predstavujú „akty</w:t>
      </w:r>
      <w:r w:rsidR="0068720C">
        <w:rPr>
          <w:noProof/>
        </w:rPr>
        <w:t xml:space="preserve"> s </w:t>
      </w:r>
      <w:r w:rsidRPr="0068720C">
        <w:rPr>
          <w:noProof/>
        </w:rPr>
        <w:t>právnymi účinkami“</w:t>
      </w:r>
      <w:r w:rsidR="0068720C">
        <w:rPr>
          <w:noProof/>
        </w:rPr>
        <w:t xml:space="preserve"> v </w:t>
      </w:r>
      <w:r w:rsidRPr="0068720C">
        <w:rPr>
          <w:noProof/>
        </w:rPr>
        <w:t>zmysle článku 218 ods. 9 ZFEÚ. Podľa dohovoru</w:t>
      </w:r>
      <w:r w:rsidR="0068720C">
        <w:rPr>
          <w:noProof/>
        </w:rPr>
        <w:t xml:space="preserve"> o </w:t>
      </w:r>
      <w:r w:rsidRPr="0068720C">
        <w:rPr>
          <w:noProof/>
        </w:rPr>
        <w:t>omamných látkach</w:t>
      </w:r>
      <w:r w:rsidR="0068720C">
        <w:rPr>
          <w:noProof/>
        </w:rPr>
        <w:t xml:space="preserve"> a </w:t>
      </w:r>
      <w:r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Pr="0068720C">
        <w:rPr>
          <w:noProof/>
        </w:rPr>
        <w:t>psychotropných látkach sú rozhodnutia Komisie pre omamné látky záväzné. Ak strana predloží rozhodnutie Komisie pre omamné látky na preskúmanie rade ECOSOC</w:t>
      </w:r>
      <w:r w:rsidR="0068720C">
        <w:rPr>
          <w:noProof/>
        </w:rPr>
        <w:t xml:space="preserve"> v </w:t>
      </w:r>
      <w:r w:rsidRPr="0068720C">
        <w:rPr>
          <w:noProof/>
        </w:rPr>
        <w:t>stanovenej lehote,</w:t>
      </w:r>
      <w:r w:rsidR="00000C81" w:rsidRPr="0068720C">
        <w:rPr>
          <w:rStyle w:val="FootnoteReference"/>
          <w:noProof/>
          <w:szCs w:val="24"/>
        </w:rPr>
        <w:footnoteReference w:id="10"/>
      </w:r>
      <w:r w:rsidRPr="0068720C">
        <w:rPr>
          <w:noProof/>
        </w:rPr>
        <w:t xml:space="preserve"> rozhodnutia rady ECOSOC</w:t>
      </w:r>
      <w:r w:rsidR="0068720C">
        <w:rPr>
          <w:noProof/>
        </w:rPr>
        <w:t xml:space="preserve"> v </w:t>
      </w:r>
      <w:r w:rsidRPr="0068720C">
        <w:rPr>
          <w:noProof/>
        </w:rPr>
        <w:t>tejto veci sú konečné. Keďže rozhodnutia Komisie pre omamné látky týkajúce sa zaradenia látok do zoznamov môžu rozhodujúcim spôsobom ovplyvniť obsah právnych predpisov EÚ, konkrétne rámcového rozhodnutia Rady 2004/757/SVV, majú podľa práva Únie právne účinky aj</w:t>
      </w:r>
      <w:r w:rsidR="0068720C">
        <w:rPr>
          <w:noProof/>
        </w:rPr>
        <w:t xml:space="preserve"> v </w:t>
      </w:r>
      <w:r w:rsidRPr="0068720C">
        <w:rPr>
          <w:noProof/>
        </w:rPr>
        <w:t>právnom poriadku EÚ. Zmeny zoznamov</w:t>
      </w:r>
      <w:r w:rsidR="0068720C">
        <w:rPr>
          <w:noProof/>
        </w:rPr>
        <w:t xml:space="preserve"> k </w:t>
      </w:r>
      <w:r w:rsidRPr="0068720C">
        <w:rPr>
          <w:noProof/>
        </w:rPr>
        <w:t>uvedeným dohovorom majú priamy vplyv na rozsah uplatňovania uvedeného právneho nástroja EÚ.</w:t>
      </w:r>
    </w:p>
    <w:p w14:paraId="3601C780" w14:textId="77777777" w:rsidR="00390D4C" w:rsidRPr="0068720C" w:rsidRDefault="00390D4C" w:rsidP="00390D4C">
      <w:pPr>
        <w:rPr>
          <w:noProof/>
        </w:rPr>
      </w:pPr>
      <w:r w:rsidRPr="0068720C">
        <w:rPr>
          <w:noProof/>
        </w:rPr>
        <w:lastRenderedPageBreak/>
        <w:t>Pripravovaný akt nedopĺňa ani nemení inštitucionálny rámec predmetnej dohody.</w:t>
      </w:r>
    </w:p>
    <w:p w14:paraId="7D4F37E9" w14:textId="77777777" w:rsidR="00390D4C" w:rsidRPr="0068720C" w:rsidRDefault="00390D4C" w:rsidP="00390D4C">
      <w:pPr>
        <w:rPr>
          <w:noProof/>
        </w:rPr>
      </w:pPr>
      <w:r w:rsidRPr="0068720C">
        <w:rPr>
          <w:noProof/>
        </w:rPr>
        <w:t>Procesnoprávnym základom navrhovaného rozhodnutia je preto článok 218 ods. 9 ZFEÚ.</w:t>
      </w:r>
    </w:p>
    <w:p w14:paraId="6320F19C" w14:textId="521F5F12" w:rsidR="003230C2" w:rsidRPr="0068720C" w:rsidRDefault="00900046" w:rsidP="00900046">
      <w:pPr>
        <w:pStyle w:val="ManualHeading2"/>
        <w:rPr>
          <w:noProof/>
        </w:rPr>
      </w:pPr>
      <w:r w:rsidRPr="00900046">
        <w:t>4.2.</w:t>
      </w:r>
      <w:r w:rsidRPr="00900046">
        <w:tab/>
      </w:r>
      <w:r w:rsidR="003230C2" w:rsidRPr="0068720C">
        <w:rPr>
          <w:noProof/>
        </w:rPr>
        <w:t>Hmotnoprávny základ</w:t>
      </w:r>
    </w:p>
    <w:p w14:paraId="01E1D334" w14:textId="38849A47" w:rsidR="003230C2" w:rsidRPr="0068720C" w:rsidRDefault="00900046" w:rsidP="00900046">
      <w:pPr>
        <w:pStyle w:val="ManualHeading3"/>
        <w:rPr>
          <w:noProof/>
        </w:rPr>
      </w:pPr>
      <w:r w:rsidRPr="00900046">
        <w:t>4.2.1.</w:t>
      </w:r>
      <w:r w:rsidRPr="00900046">
        <w:tab/>
      </w:r>
      <w:r w:rsidR="003230C2" w:rsidRPr="0068720C">
        <w:rPr>
          <w:noProof/>
        </w:rPr>
        <w:t>Zásady</w:t>
      </w:r>
    </w:p>
    <w:p w14:paraId="4F702A16" w14:textId="2C48B8BE" w:rsidR="003230C2" w:rsidRPr="0068720C" w:rsidRDefault="003230C2" w:rsidP="00736AA9">
      <w:pPr>
        <w:rPr>
          <w:noProof/>
        </w:rPr>
      </w:pPr>
      <w:r w:rsidRPr="0068720C">
        <w:rPr>
          <w:noProof/>
        </w:rPr>
        <w:t>Hmotnoprávny základ rozhodnutia podľa článku 218 ods. 9 ZFEÚ závisí predovšetkým od cieľa</w:t>
      </w:r>
      <w:r w:rsidR="0068720C">
        <w:rPr>
          <w:noProof/>
        </w:rPr>
        <w:t xml:space="preserve"> a </w:t>
      </w:r>
      <w:r w:rsidRPr="0068720C">
        <w:rPr>
          <w:noProof/>
        </w:rPr>
        <w:t>obsahu pripravovaného aktu,</w:t>
      </w:r>
      <w:r w:rsidR="0068720C">
        <w:rPr>
          <w:noProof/>
        </w:rPr>
        <w:t xml:space="preserve"> v </w:t>
      </w:r>
      <w:r w:rsidRPr="0068720C">
        <w:rPr>
          <w:noProof/>
        </w:rPr>
        <w:t>súvislosti</w:t>
      </w:r>
      <w:r w:rsidR="0068720C">
        <w:rPr>
          <w:noProof/>
        </w:rPr>
        <w:t xml:space="preserve"> s </w:t>
      </w:r>
      <w:r w:rsidRPr="0068720C">
        <w:rPr>
          <w:noProof/>
        </w:rPr>
        <w:t>ktorým sa zaujíma pozícia</w:t>
      </w:r>
      <w:r w:rsidR="0068720C">
        <w:rPr>
          <w:noProof/>
        </w:rPr>
        <w:t xml:space="preserve"> v </w:t>
      </w:r>
      <w:r w:rsidRPr="0068720C">
        <w:rPr>
          <w:noProof/>
        </w:rPr>
        <w:t>mene Únie.</w:t>
      </w:r>
    </w:p>
    <w:p w14:paraId="1D0B70AD" w14:textId="24D272A3" w:rsidR="003230C2" w:rsidRPr="0068720C" w:rsidRDefault="00900046" w:rsidP="00900046">
      <w:pPr>
        <w:pStyle w:val="ManualHeading3"/>
        <w:rPr>
          <w:noProof/>
        </w:rPr>
      </w:pPr>
      <w:r w:rsidRPr="00900046">
        <w:t>4.2.2.</w:t>
      </w:r>
      <w:r w:rsidRPr="00900046">
        <w:tab/>
      </w:r>
      <w:r w:rsidR="003230C2" w:rsidRPr="0068720C">
        <w:rPr>
          <w:noProof/>
        </w:rPr>
        <w:t>Uplatnenie na tento prípad</w:t>
      </w:r>
    </w:p>
    <w:p w14:paraId="691B2462" w14:textId="5630CA45" w:rsidR="00300471" w:rsidRPr="0068720C" w:rsidRDefault="003230C2" w:rsidP="00736AA9">
      <w:pPr>
        <w:rPr>
          <w:noProof/>
        </w:rPr>
      </w:pPr>
      <w:r w:rsidRPr="0068720C">
        <w:rPr>
          <w:noProof/>
        </w:rPr>
        <w:t>Hlavný cieľ</w:t>
      </w:r>
      <w:r w:rsidR="0068720C">
        <w:rPr>
          <w:noProof/>
        </w:rPr>
        <w:t xml:space="preserve"> a </w:t>
      </w:r>
      <w:r w:rsidRPr="0068720C">
        <w:rPr>
          <w:noProof/>
        </w:rPr>
        <w:t>obsah pripravovaného aktu sa týkajú nedovoleného obchodovania</w:t>
      </w:r>
      <w:r w:rsidR="0068720C">
        <w:rPr>
          <w:noProof/>
        </w:rPr>
        <w:t xml:space="preserve"> s </w:t>
      </w:r>
      <w:r w:rsidRPr="0068720C">
        <w:rPr>
          <w:noProof/>
        </w:rPr>
        <w:t>drogami</w:t>
      </w:r>
      <w:r w:rsidR="00300471" w:rsidRPr="0068720C">
        <w:rPr>
          <w:noProof/>
        </w:rPr>
        <w:t>.</w:t>
      </w:r>
    </w:p>
    <w:p w14:paraId="7B654F86" w14:textId="46AB6CCE" w:rsidR="00300471" w:rsidRPr="0068720C" w:rsidRDefault="009A6B83" w:rsidP="009A6B83">
      <w:pPr>
        <w:autoSpaceDE w:val="0"/>
        <w:autoSpaceDN w:val="0"/>
        <w:adjustRightInd w:val="0"/>
        <w:spacing w:after="240"/>
        <w:rPr>
          <w:noProof/>
        </w:rPr>
      </w:pPr>
      <w:r w:rsidRPr="0068720C">
        <w:rPr>
          <w:noProof/>
        </w:rPr>
        <w:t>Hmotnoprávnym základom navrhovaného rozhodnutia je preto článok 83 ods. 1 ZFEÚ, ktorý vymedzuje nedovolené obchodovanie</w:t>
      </w:r>
      <w:r w:rsidR="0068720C">
        <w:rPr>
          <w:noProof/>
        </w:rPr>
        <w:t xml:space="preserve"> s </w:t>
      </w:r>
      <w:r w:rsidRPr="0068720C">
        <w:rPr>
          <w:noProof/>
        </w:rPr>
        <w:t>drogami ako oblasť trestnej činnosti</w:t>
      </w:r>
      <w:r w:rsidR="0068720C">
        <w:rPr>
          <w:noProof/>
        </w:rPr>
        <w:t xml:space="preserve"> s </w:t>
      </w:r>
      <w:r w:rsidRPr="0068720C">
        <w:rPr>
          <w:noProof/>
        </w:rPr>
        <w:t>osobitným cezhraničným rozmerom,</w:t>
      </w:r>
      <w:r w:rsidR="0068720C">
        <w:rPr>
          <w:noProof/>
        </w:rPr>
        <w:t xml:space="preserve"> a </w:t>
      </w:r>
      <w:r w:rsidRPr="0068720C">
        <w:rPr>
          <w:noProof/>
        </w:rPr>
        <w:t>Európsky parlament</w:t>
      </w:r>
      <w:r w:rsidR="0068720C">
        <w:rPr>
          <w:noProof/>
        </w:rPr>
        <w:t xml:space="preserve"> a </w:t>
      </w:r>
      <w:r w:rsidRPr="0068720C">
        <w:rPr>
          <w:noProof/>
        </w:rPr>
        <w:t>Rada sa</w:t>
      </w:r>
      <w:r w:rsidR="0068720C">
        <w:rPr>
          <w:noProof/>
        </w:rPr>
        <w:t xml:space="preserve"> v </w:t>
      </w:r>
      <w:r w:rsidRPr="0068720C">
        <w:rPr>
          <w:noProof/>
        </w:rPr>
        <w:t>ňom splnomocňujú stanoviť minimálne pravidlá týkajúce sa vymedzenia trestných činov</w:t>
      </w:r>
      <w:r w:rsidR="0068720C">
        <w:rPr>
          <w:noProof/>
        </w:rPr>
        <w:t xml:space="preserve"> a </w:t>
      </w:r>
      <w:r w:rsidRPr="0068720C">
        <w:rPr>
          <w:noProof/>
        </w:rPr>
        <w:t>sankcií</w:t>
      </w:r>
      <w:r w:rsidR="0068720C">
        <w:rPr>
          <w:noProof/>
        </w:rPr>
        <w:t xml:space="preserve"> v </w:t>
      </w:r>
      <w:r w:rsidRPr="0068720C">
        <w:rPr>
          <w:noProof/>
        </w:rPr>
        <w:t>oblasti nedovoleného obchodovania</w:t>
      </w:r>
      <w:r w:rsidR="0068720C">
        <w:rPr>
          <w:noProof/>
        </w:rPr>
        <w:t xml:space="preserve"> s </w:t>
      </w:r>
      <w:r w:rsidRPr="0068720C">
        <w:rPr>
          <w:noProof/>
        </w:rPr>
        <w:t>drogami</w:t>
      </w:r>
      <w:r w:rsidR="00300471" w:rsidRPr="0068720C">
        <w:rPr>
          <w:noProof/>
        </w:rPr>
        <w:t>.</w:t>
      </w:r>
    </w:p>
    <w:p w14:paraId="24B19F1F" w14:textId="155CD134" w:rsidR="00FA47EE" w:rsidRPr="0068720C" w:rsidRDefault="00900046" w:rsidP="00900046">
      <w:pPr>
        <w:pStyle w:val="ManualHeading2"/>
        <w:rPr>
          <w:noProof/>
        </w:rPr>
      </w:pPr>
      <w:r w:rsidRPr="00900046">
        <w:t>4.3.</w:t>
      </w:r>
      <w:r w:rsidRPr="00900046">
        <w:tab/>
      </w:r>
      <w:r w:rsidR="00FA47EE" w:rsidRPr="0068720C">
        <w:rPr>
          <w:noProof/>
        </w:rPr>
        <w:t>Variabilná geometria</w:t>
      </w:r>
    </w:p>
    <w:p w14:paraId="4D323A62" w14:textId="38F32507" w:rsidR="00FA47EE" w:rsidRPr="0068720C" w:rsidRDefault="00FA47EE" w:rsidP="00FA47EE">
      <w:pPr>
        <w:autoSpaceDE w:val="0"/>
        <w:autoSpaceDN w:val="0"/>
        <w:adjustRightInd w:val="0"/>
        <w:spacing w:after="240"/>
        <w:rPr>
          <w:noProof/>
          <w:szCs w:val="24"/>
        </w:rPr>
      </w:pPr>
      <w:r w:rsidRPr="0068720C">
        <w:rPr>
          <w:noProof/>
        </w:rPr>
        <w:t>Dánsko je viazané rámcovým rozhodnutím Rady 2004/757/SVV</w:t>
      </w:r>
      <w:r w:rsidR="0068720C">
        <w:rPr>
          <w:noProof/>
        </w:rPr>
        <w:t xml:space="preserve"> v </w:t>
      </w:r>
      <w:r w:rsidRPr="0068720C">
        <w:rPr>
          <w:noProof/>
        </w:rPr>
        <w:t>znení uplatniteľnom do 21</w:t>
      </w:r>
      <w:r w:rsidR="0068720C">
        <w:rPr>
          <w:noProof/>
        </w:rPr>
        <w:t>. novembra</w:t>
      </w:r>
      <w:r w:rsidRPr="0068720C">
        <w:rPr>
          <w:noProof/>
        </w:rPr>
        <w:t xml:space="preserve"> 2018,</w:t>
      </w:r>
      <w:r w:rsidR="0068720C">
        <w:rPr>
          <w:noProof/>
        </w:rPr>
        <w:t xml:space="preserve"> v </w:t>
      </w:r>
      <w:r w:rsidRPr="0068720C">
        <w:rPr>
          <w:noProof/>
        </w:rPr>
        <w:t>ktorého článku 1 sa uvádza, že „drogy“ sú akékoľvek látky, na ktoré sa vzťahuje buď dohovor</w:t>
      </w:r>
      <w:r w:rsidR="0068720C">
        <w:rPr>
          <w:noProof/>
        </w:rPr>
        <w:t xml:space="preserve"> o </w:t>
      </w:r>
      <w:r w:rsidRPr="0068720C">
        <w:rPr>
          <w:noProof/>
        </w:rPr>
        <w:t>omamných látkach, alebo dohovor</w:t>
      </w:r>
      <w:r w:rsidR="0068720C">
        <w:rPr>
          <w:noProof/>
        </w:rPr>
        <w:t xml:space="preserve"> o </w:t>
      </w:r>
      <w:r w:rsidRPr="0068720C">
        <w:rPr>
          <w:noProof/>
        </w:rPr>
        <w:t>psychotropných látkach. Keďže rozhodnutia Komisie pre omamné látky týkajúce sa zaradenia látok do zoznamov majú vplyv na spoločné pravidlá</w:t>
      </w:r>
      <w:r w:rsidR="0068720C">
        <w:rPr>
          <w:noProof/>
        </w:rPr>
        <w:t xml:space="preserve"> v </w:t>
      </w:r>
      <w:r w:rsidRPr="0068720C">
        <w:rPr>
          <w:noProof/>
        </w:rPr>
        <w:t>oblasti nedovoleného obchodovania</w:t>
      </w:r>
      <w:r w:rsidR="0068720C">
        <w:rPr>
          <w:noProof/>
        </w:rPr>
        <w:t xml:space="preserve"> s </w:t>
      </w:r>
      <w:r w:rsidRPr="0068720C">
        <w:rPr>
          <w:noProof/>
        </w:rPr>
        <w:t>drogami, ktorými je Dánsko viazané, Dánsko sa zúčastňuje na prijatí rozhodnutia Rady, ktorým sa stanovuje pozícia, ktorá sa má prijať</w:t>
      </w:r>
      <w:r w:rsidR="0068720C">
        <w:rPr>
          <w:noProof/>
        </w:rPr>
        <w:t xml:space="preserve"> v </w:t>
      </w:r>
      <w:r w:rsidRPr="0068720C">
        <w:rPr>
          <w:noProof/>
        </w:rPr>
        <w:t>mene Únie, keď sa takéto rozhodnutia týkajúce sa zaradenia látok do zoznamov prijímajú.</w:t>
      </w:r>
    </w:p>
    <w:p w14:paraId="1AF69E71" w14:textId="15EEAB0F" w:rsidR="00FA47EE" w:rsidRPr="0068720C" w:rsidRDefault="00FA47EE" w:rsidP="00FA47EE">
      <w:pPr>
        <w:autoSpaceDE w:val="0"/>
        <w:autoSpaceDN w:val="0"/>
        <w:adjustRightInd w:val="0"/>
        <w:spacing w:after="240"/>
        <w:rPr>
          <w:noProof/>
          <w:szCs w:val="24"/>
        </w:rPr>
      </w:pPr>
      <w:r w:rsidRPr="0068720C">
        <w:rPr>
          <w:noProof/>
        </w:rPr>
        <w:t>Írsko je viazané rámcovým rozhodnutím,</w:t>
      </w:r>
      <w:r w:rsidR="0068720C">
        <w:rPr>
          <w:noProof/>
        </w:rPr>
        <w:t xml:space="preserve"> a </w:t>
      </w:r>
      <w:r w:rsidRPr="0068720C">
        <w:rPr>
          <w:noProof/>
        </w:rPr>
        <w:t>preto sa zúčastňuje na prijatí rozhodnutia Rady, ktorým sa stanovuje pozícia, ktorá sa má prijať</w:t>
      </w:r>
      <w:r w:rsidR="0068720C">
        <w:rPr>
          <w:noProof/>
        </w:rPr>
        <w:t xml:space="preserve"> v </w:t>
      </w:r>
      <w:r w:rsidRPr="0068720C">
        <w:rPr>
          <w:noProof/>
        </w:rPr>
        <w:t>mene Únie, keď sa takéto rozhodnutia týkajúce sa zaradenia látok do zoznamov prijímajú.</w:t>
      </w:r>
    </w:p>
    <w:p w14:paraId="02290A8E" w14:textId="1EAE075A" w:rsidR="003230C2" w:rsidRPr="0068720C" w:rsidRDefault="00900046" w:rsidP="00900046">
      <w:pPr>
        <w:pStyle w:val="ManualHeading2"/>
        <w:rPr>
          <w:noProof/>
        </w:rPr>
      </w:pPr>
      <w:r w:rsidRPr="00900046">
        <w:t>4.4.</w:t>
      </w:r>
      <w:r w:rsidRPr="00900046">
        <w:tab/>
      </w:r>
      <w:r w:rsidR="003230C2" w:rsidRPr="0068720C">
        <w:rPr>
          <w:noProof/>
        </w:rPr>
        <w:t>Záver</w:t>
      </w:r>
    </w:p>
    <w:p w14:paraId="7B869138" w14:textId="0E7FBF90" w:rsidR="003230C2" w:rsidRPr="0068720C" w:rsidRDefault="003230C2" w:rsidP="00736AA9">
      <w:pPr>
        <w:rPr>
          <w:noProof/>
        </w:rPr>
      </w:pPr>
      <w:r w:rsidRPr="0068720C">
        <w:rPr>
          <w:noProof/>
        </w:rPr>
        <w:t>Právnym základom navrhovaného rozhodnutia je článok 83 ods. 1 ZFEÚ</w:t>
      </w:r>
      <w:r w:rsidR="0068720C">
        <w:rPr>
          <w:noProof/>
        </w:rPr>
        <w:t xml:space="preserve"> v </w:t>
      </w:r>
      <w:r w:rsidRPr="0068720C">
        <w:rPr>
          <w:noProof/>
        </w:rPr>
        <w:t>spojení</w:t>
      </w:r>
      <w:r w:rsidR="0068720C">
        <w:rPr>
          <w:noProof/>
        </w:rPr>
        <w:t xml:space="preserve"> s </w:t>
      </w:r>
      <w:r w:rsidRPr="0068720C">
        <w:rPr>
          <w:noProof/>
        </w:rPr>
        <w:t>článkom 218 ods. 9 ZFEÚ.</w:t>
      </w:r>
    </w:p>
    <w:p w14:paraId="747E14EB" w14:textId="7AA81EAF" w:rsidR="001748D4" w:rsidRPr="0068720C" w:rsidRDefault="00900046" w:rsidP="00900046">
      <w:pPr>
        <w:pStyle w:val="ManualHeading1"/>
        <w:rPr>
          <w:noProof/>
        </w:rPr>
      </w:pPr>
      <w:r w:rsidRPr="00900046">
        <w:t>5.</w:t>
      </w:r>
      <w:r w:rsidRPr="00900046">
        <w:tab/>
      </w:r>
      <w:r w:rsidR="001748D4" w:rsidRPr="0068720C">
        <w:rPr>
          <w:noProof/>
        </w:rPr>
        <w:t>Vplyv na rozpočet</w:t>
      </w:r>
    </w:p>
    <w:p w14:paraId="23F56ACB" w14:textId="77777777" w:rsidR="001748D4" w:rsidRPr="0068720C" w:rsidRDefault="001748D4" w:rsidP="001748D4">
      <w:pPr>
        <w:rPr>
          <w:noProof/>
        </w:rPr>
      </w:pPr>
      <w:r w:rsidRPr="0068720C">
        <w:rPr>
          <w:noProof/>
        </w:rPr>
        <w:t>Návrh nemá vplyv na rozpočet.</w:t>
      </w:r>
    </w:p>
    <w:p w14:paraId="1C2CB9F2" w14:textId="77777777" w:rsidR="003230C2" w:rsidRPr="0068720C" w:rsidRDefault="003230C2" w:rsidP="00FD40BA">
      <w:pPr>
        <w:rPr>
          <w:noProof/>
        </w:rPr>
        <w:sectPr w:rsidR="003230C2" w:rsidRPr="0068720C" w:rsidSect="0053798F">
          <w:footerReference w:type="default" r:id="rId10"/>
          <w:footerReference w:type="first" r:id="rId11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14:paraId="7E71EE15" w14:textId="572DF3E4" w:rsidR="00717A68" w:rsidRDefault="00717A68" w:rsidP="00717A68">
      <w:pPr>
        <w:pStyle w:val="Rfrenceinterinstitutionnelle"/>
        <w:rPr>
          <w:noProof/>
        </w:rPr>
      </w:pPr>
      <w:r w:rsidRPr="00717A68">
        <w:lastRenderedPageBreak/>
        <w:t>2024/0001 (NLE)</w:t>
      </w:r>
    </w:p>
    <w:p w14:paraId="7AE63441" w14:textId="693A58EA" w:rsidR="003230C2" w:rsidRPr="0068720C" w:rsidRDefault="0068720C" w:rsidP="0068720C">
      <w:pPr>
        <w:pStyle w:val="Statut"/>
        <w:rPr>
          <w:noProof/>
        </w:rPr>
      </w:pPr>
      <w:r w:rsidRPr="0068720C">
        <w:rPr>
          <w:noProof/>
        </w:rPr>
        <w:t>Návrh</w:t>
      </w:r>
    </w:p>
    <w:p w14:paraId="6C6F9C6B" w14:textId="7891B10D" w:rsidR="003230C2" w:rsidRPr="0068720C" w:rsidRDefault="0068720C" w:rsidP="0068720C">
      <w:pPr>
        <w:pStyle w:val="Typedudocument"/>
        <w:rPr>
          <w:noProof/>
        </w:rPr>
      </w:pPr>
      <w:r w:rsidRPr="0068720C">
        <w:rPr>
          <w:noProof/>
        </w:rPr>
        <w:t>ROZHODNUTIE RADY</w:t>
      </w:r>
    </w:p>
    <w:p w14:paraId="10D0A9FD" w14:textId="70605103" w:rsidR="003230C2" w:rsidRPr="0068720C" w:rsidRDefault="0068720C" w:rsidP="0068720C">
      <w:pPr>
        <w:pStyle w:val="Titreobjet"/>
        <w:rPr>
          <w:noProof/>
        </w:rPr>
      </w:pPr>
      <w:r w:rsidRPr="0068720C">
        <w:rPr>
          <w:noProof/>
        </w:rPr>
        <w:t>o pozícii, ktorá sa má zaujať v mene Európskej únie na šesťdesiatom siedmom zasadnutí Komisie pre omamné látky v súvislosti so zaradením látok do zoznamov k Jednotnému dohovoru o omamných látkach z roku 1961 zmenenému protokolom z roku 1972 a k Dohovoru o psychotropných látkach z roku 1971</w:t>
      </w:r>
    </w:p>
    <w:p w14:paraId="3015FECA" w14:textId="77777777" w:rsidR="003230C2" w:rsidRPr="0068720C" w:rsidRDefault="003230C2" w:rsidP="00BE7CB9">
      <w:pPr>
        <w:pStyle w:val="Institutionquiagit"/>
        <w:rPr>
          <w:noProof/>
        </w:rPr>
      </w:pPr>
      <w:r w:rsidRPr="0068720C">
        <w:rPr>
          <w:noProof/>
        </w:rPr>
        <w:t>RADA EURÓPSKEJ ÚNIE,</w:t>
      </w:r>
    </w:p>
    <w:p w14:paraId="56DC67D8" w14:textId="332B53BA" w:rsidR="003230C2" w:rsidRPr="0068720C" w:rsidRDefault="003230C2" w:rsidP="00BE7CB9">
      <w:pPr>
        <w:rPr>
          <w:noProof/>
        </w:rPr>
      </w:pPr>
      <w:r w:rsidRPr="0068720C">
        <w:rPr>
          <w:noProof/>
        </w:rPr>
        <w:t>so zreteľom na Zmluvu</w:t>
      </w:r>
      <w:r w:rsidR="0068720C">
        <w:rPr>
          <w:noProof/>
        </w:rPr>
        <w:t xml:space="preserve"> o </w:t>
      </w:r>
      <w:r w:rsidRPr="0068720C">
        <w:rPr>
          <w:noProof/>
        </w:rPr>
        <w:t>fungovaní Európskej únie (ZFEÚ),</w:t>
      </w:r>
      <w:r w:rsidR="0068720C">
        <w:rPr>
          <w:noProof/>
        </w:rPr>
        <w:t xml:space="preserve"> a </w:t>
      </w:r>
      <w:r w:rsidRPr="0068720C">
        <w:rPr>
          <w:noProof/>
        </w:rPr>
        <w:t>najmä na jej článok 83 ods. 1</w:t>
      </w:r>
      <w:r w:rsidR="0068720C">
        <w:rPr>
          <w:noProof/>
        </w:rPr>
        <w:t xml:space="preserve"> v </w:t>
      </w:r>
      <w:r w:rsidRPr="0068720C">
        <w:rPr>
          <w:noProof/>
        </w:rPr>
        <w:t>spojení</w:t>
      </w:r>
      <w:r w:rsidR="0068720C">
        <w:rPr>
          <w:noProof/>
        </w:rPr>
        <w:t xml:space="preserve"> s </w:t>
      </w:r>
      <w:r w:rsidRPr="0068720C">
        <w:rPr>
          <w:noProof/>
        </w:rPr>
        <w:t>článkom 218 ods. 9,</w:t>
      </w:r>
    </w:p>
    <w:p w14:paraId="6088A8DA" w14:textId="77777777" w:rsidR="003230C2" w:rsidRPr="0068720C" w:rsidRDefault="003230C2" w:rsidP="00BE7CB9">
      <w:pPr>
        <w:rPr>
          <w:noProof/>
        </w:rPr>
      </w:pPr>
      <w:r w:rsidRPr="0068720C">
        <w:rPr>
          <w:noProof/>
        </w:rPr>
        <w:t>so zreteľom na návrh Európskej komisie,</w:t>
      </w:r>
    </w:p>
    <w:p w14:paraId="75C295CC" w14:textId="77777777" w:rsidR="003230C2" w:rsidRPr="0068720C" w:rsidRDefault="003230C2" w:rsidP="00BE7CB9">
      <w:pPr>
        <w:rPr>
          <w:noProof/>
        </w:rPr>
      </w:pPr>
      <w:r w:rsidRPr="0068720C">
        <w:rPr>
          <w:noProof/>
        </w:rPr>
        <w:t>keďže:</w:t>
      </w:r>
    </w:p>
    <w:p w14:paraId="7C039220" w14:textId="760A0D2B" w:rsidR="00300471" w:rsidRPr="0068720C" w:rsidRDefault="00900046" w:rsidP="00900046">
      <w:pPr>
        <w:pStyle w:val="ManualConsidrant"/>
        <w:rPr>
          <w:noProof/>
        </w:rPr>
      </w:pPr>
      <w:r w:rsidRPr="00900046">
        <w:t>(1)</w:t>
      </w:r>
      <w:r w:rsidRPr="00900046">
        <w:tab/>
      </w:r>
      <w:r w:rsidR="005A0005" w:rsidRPr="0068720C">
        <w:rPr>
          <w:noProof/>
        </w:rPr>
        <w:t>Jednotný dohovor Organizácie Spojených národov (OSN)</w:t>
      </w:r>
      <w:r w:rsidR="0068720C">
        <w:rPr>
          <w:noProof/>
        </w:rPr>
        <w:t xml:space="preserve"> o </w:t>
      </w:r>
      <w:r w:rsidR="005A0005" w:rsidRPr="0068720C">
        <w:rPr>
          <w:noProof/>
        </w:rPr>
        <w:t>omamných látkach</w:t>
      </w:r>
      <w:r w:rsidR="0068720C">
        <w:rPr>
          <w:noProof/>
        </w:rPr>
        <w:t xml:space="preserve"> z </w:t>
      </w:r>
      <w:r w:rsidR="005A0005" w:rsidRPr="0068720C">
        <w:rPr>
          <w:noProof/>
        </w:rPr>
        <w:t>roku 1961 zmenený protokolom</w:t>
      </w:r>
      <w:r w:rsidR="0068720C">
        <w:rPr>
          <w:noProof/>
        </w:rPr>
        <w:t xml:space="preserve"> z </w:t>
      </w:r>
      <w:r w:rsidR="005A0005" w:rsidRPr="0068720C">
        <w:rPr>
          <w:noProof/>
        </w:rPr>
        <w:t>roku 1972 (ďalej len „dohovor</w:t>
      </w:r>
      <w:r w:rsidR="0068720C">
        <w:rPr>
          <w:noProof/>
        </w:rPr>
        <w:t xml:space="preserve"> o </w:t>
      </w:r>
      <w:r w:rsidR="005A0005" w:rsidRPr="0068720C">
        <w:rPr>
          <w:noProof/>
        </w:rPr>
        <w:t>omamných látkach“)</w:t>
      </w:r>
      <w:r w:rsidR="005A0005" w:rsidRPr="0068720C">
        <w:rPr>
          <w:rStyle w:val="FootnoteReference"/>
          <w:noProof/>
        </w:rPr>
        <w:footnoteReference w:id="11"/>
      </w:r>
      <w:r w:rsidR="005A0005" w:rsidRPr="0068720C">
        <w:rPr>
          <w:noProof/>
        </w:rPr>
        <w:t xml:space="preserve"> nadobudol platnosť 8</w:t>
      </w:r>
      <w:r w:rsidR="0068720C">
        <w:rPr>
          <w:noProof/>
        </w:rPr>
        <w:t>. augusta</w:t>
      </w:r>
      <w:r w:rsidR="005A0005" w:rsidRPr="0068720C">
        <w:rPr>
          <w:noProof/>
        </w:rPr>
        <w:t xml:space="preserve"> 1975</w:t>
      </w:r>
      <w:r w:rsidR="00300471" w:rsidRPr="0068720C">
        <w:rPr>
          <w:noProof/>
        </w:rPr>
        <w:t>.</w:t>
      </w:r>
    </w:p>
    <w:p w14:paraId="3A9A5339" w14:textId="6B7EAEF0" w:rsidR="005A0005" w:rsidRPr="0068720C" w:rsidRDefault="00900046" w:rsidP="00900046">
      <w:pPr>
        <w:pStyle w:val="ManualConsidrant"/>
        <w:rPr>
          <w:noProof/>
        </w:rPr>
      </w:pPr>
      <w:r w:rsidRPr="00900046">
        <w:t>(2)</w:t>
      </w:r>
      <w:r w:rsidRPr="00900046">
        <w:tab/>
      </w:r>
      <w:r w:rsidR="005A0005" w:rsidRPr="0068720C">
        <w:rPr>
          <w:noProof/>
        </w:rPr>
        <w:t>Podľa článku 3 dohovoru</w:t>
      </w:r>
      <w:r w:rsidR="0068720C">
        <w:rPr>
          <w:noProof/>
        </w:rPr>
        <w:t xml:space="preserve"> o </w:t>
      </w:r>
      <w:r w:rsidR="005A0005" w:rsidRPr="0068720C">
        <w:rPr>
          <w:noProof/>
        </w:rPr>
        <w:t>omamných látkach môže Komisia pre omamné látky rozhodnúť</w:t>
      </w:r>
      <w:r w:rsidR="0068720C">
        <w:rPr>
          <w:noProof/>
        </w:rPr>
        <w:t xml:space="preserve"> o </w:t>
      </w:r>
      <w:r w:rsidR="005A0005" w:rsidRPr="0068720C">
        <w:rPr>
          <w:noProof/>
        </w:rPr>
        <w:t>zaradení látok do zoznamov pripojených</w:t>
      </w:r>
      <w:r w:rsidR="0068720C">
        <w:rPr>
          <w:noProof/>
        </w:rPr>
        <w:t xml:space="preserve"> k </w:t>
      </w:r>
      <w:r w:rsidR="005A0005" w:rsidRPr="0068720C">
        <w:rPr>
          <w:noProof/>
        </w:rPr>
        <w:t>uvedenému dohovoru. Zmeny</w:t>
      </w:r>
      <w:r w:rsidR="0068720C">
        <w:rPr>
          <w:noProof/>
        </w:rPr>
        <w:t xml:space="preserve"> v </w:t>
      </w:r>
      <w:r w:rsidR="005A0005" w:rsidRPr="0068720C">
        <w:rPr>
          <w:noProof/>
        </w:rPr>
        <w:t>zoznamoch môže vykonať len</w:t>
      </w:r>
      <w:r w:rsidR="0068720C">
        <w:rPr>
          <w:noProof/>
        </w:rPr>
        <w:t xml:space="preserve"> v </w:t>
      </w:r>
      <w:r w:rsidR="005A0005" w:rsidRPr="0068720C">
        <w:rPr>
          <w:noProof/>
        </w:rPr>
        <w:t>súlade</w:t>
      </w:r>
      <w:r w:rsidR="0068720C">
        <w:rPr>
          <w:noProof/>
        </w:rPr>
        <w:t xml:space="preserve"> s </w:t>
      </w:r>
      <w:r w:rsidR="005A0005" w:rsidRPr="0068720C">
        <w:rPr>
          <w:noProof/>
        </w:rPr>
        <w:t>odporúčaniami Svetovej zdravotníckej organizácie (ďalej len „WHO“), môže však tiež rozhodnúť, že zmeny odporúčané WHO nevykoná.</w:t>
      </w:r>
    </w:p>
    <w:p w14:paraId="4D778C5F" w14:textId="642B4839" w:rsidR="0071248F" w:rsidRPr="0068720C" w:rsidRDefault="00900046" w:rsidP="00900046">
      <w:pPr>
        <w:pStyle w:val="ManualConsidrant"/>
        <w:rPr>
          <w:noProof/>
        </w:rPr>
      </w:pPr>
      <w:r w:rsidRPr="00900046">
        <w:t>(3)</w:t>
      </w:r>
      <w:r w:rsidRPr="00900046">
        <w:tab/>
      </w:r>
      <w:r w:rsidR="0071248F" w:rsidRPr="0068720C">
        <w:rPr>
          <w:noProof/>
        </w:rPr>
        <w:t>Dohovor OSN</w:t>
      </w:r>
      <w:r w:rsidR="0068720C">
        <w:rPr>
          <w:noProof/>
        </w:rPr>
        <w:t xml:space="preserve"> o </w:t>
      </w:r>
      <w:r w:rsidR="0071248F" w:rsidRPr="0068720C">
        <w:rPr>
          <w:noProof/>
        </w:rPr>
        <w:t>psychotropných látkach</w:t>
      </w:r>
      <w:r w:rsidR="0068720C">
        <w:rPr>
          <w:noProof/>
        </w:rPr>
        <w:t xml:space="preserve"> z </w:t>
      </w:r>
      <w:r w:rsidR="0071248F" w:rsidRPr="0068720C">
        <w:rPr>
          <w:noProof/>
        </w:rPr>
        <w:t>roku 1971 (ďalej len „dohovor</w:t>
      </w:r>
      <w:r w:rsidR="0068720C">
        <w:rPr>
          <w:noProof/>
        </w:rPr>
        <w:t xml:space="preserve"> o </w:t>
      </w:r>
      <w:r w:rsidR="0071248F" w:rsidRPr="0068720C">
        <w:rPr>
          <w:noProof/>
        </w:rPr>
        <w:t>psychotropných látkach“)</w:t>
      </w:r>
      <w:r w:rsidR="0071248F" w:rsidRPr="0068720C">
        <w:rPr>
          <w:rStyle w:val="FootnoteReference"/>
          <w:noProof/>
        </w:rPr>
        <w:footnoteReference w:id="12"/>
      </w:r>
      <w:r w:rsidR="0071248F" w:rsidRPr="0068720C">
        <w:rPr>
          <w:noProof/>
        </w:rPr>
        <w:t xml:space="preserve"> nadobudol platnosť 16</w:t>
      </w:r>
      <w:r w:rsidR="0068720C">
        <w:rPr>
          <w:noProof/>
        </w:rPr>
        <w:t>. augusta</w:t>
      </w:r>
      <w:r w:rsidR="0071248F" w:rsidRPr="0068720C">
        <w:rPr>
          <w:noProof/>
        </w:rPr>
        <w:t xml:space="preserve"> 1976.</w:t>
      </w:r>
    </w:p>
    <w:p w14:paraId="0188985B" w14:textId="0E9AD007" w:rsidR="00300471" w:rsidRPr="0068720C" w:rsidRDefault="00900046" w:rsidP="00900046">
      <w:pPr>
        <w:pStyle w:val="ManualConsidrant"/>
        <w:rPr>
          <w:noProof/>
        </w:rPr>
      </w:pPr>
      <w:r w:rsidRPr="00900046">
        <w:t>(4)</w:t>
      </w:r>
      <w:r w:rsidRPr="00900046">
        <w:tab/>
      </w:r>
      <w:r w:rsidR="0071248F" w:rsidRPr="0068720C">
        <w:rPr>
          <w:noProof/>
        </w:rPr>
        <w:t>Podľa článku 2 dohovoru</w:t>
      </w:r>
      <w:r w:rsidR="0068720C">
        <w:rPr>
          <w:noProof/>
        </w:rPr>
        <w:t xml:space="preserve"> o </w:t>
      </w:r>
      <w:r w:rsidR="0071248F" w:rsidRPr="0068720C">
        <w:rPr>
          <w:noProof/>
        </w:rPr>
        <w:t>psychotropných látkach môže Komisia pre omamné látky na základe odporúčaní WHO rozhodnúť</w:t>
      </w:r>
      <w:r w:rsidR="0068720C">
        <w:rPr>
          <w:noProof/>
        </w:rPr>
        <w:t xml:space="preserve"> o </w:t>
      </w:r>
      <w:r w:rsidR="0071248F" w:rsidRPr="0068720C">
        <w:rPr>
          <w:noProof/>
        </w:rPr>
        <w:t>zaradení látok do zoznamov</w:t>
      </w:r>
      <w:r w:rsidR="0068720C">
        <w:rPr>
          <w:noProof/>
        </w:rPr>
        <w:t xml:space="preserve"> k </w:t>
      </w:r>
      <w:r w:rsidR="0071248F" w:rsidRPr="0068720C">
        <w:rPr>
          <w:noProof/>
        </w:rPr>
        <w:t>tomuto dohovoru alebo</w:t>
      </w:r>
      <w:r w:rsidR="0068720C">
        <w:rPr>
          <w:noProof/>
        </w:rPr>
        <w:t xml:space="preserve"> o </w:t>
      </w:r>
      <w:r w:rsidR="0071248F" w:rsidRPr="0068720C">
        <w:rPr>
          <w:noProof/>
        </w:rPr>
        <w:t>ich vypustení. Má rozsiahle diskrečné právomoci</w:t>
      </w:r>
      <w:r w:rsidR="0068720C">
        <w:rPr>
          <w:noProof/>
        </w:rPr>
        <w:t xml:space="preserve"> s </w:t>
      </w:r>
      <w:r w:rsidR="0071248F" w:rsidRPr="0068720C">
        <w:rPr>
          <w:noProof/>
        </w:rPr>
        <w:t>cieľom zohľadniť hospodárske, sociálne, právne, administratívne</w:t>
      </w:r>
      <w:r w:rsidR="0068720C">
        <w:rPr>
          <w:noProof/>
        </w:rPr>
        <w:t xml:space="preserve"> a </w:t>
      </w:r>
      <w:r w:rsidR="0071248F" w:rsidRPr="0068720C">
        <w:rPr>
          <w:noProof/>
        </w:rPr>
        <w:t>iné faktory, ale nemôže konať svojvoľne</w:t>
      </w:r>
      <w:r w:rsidR="00300471" w:rsidRPr="0068720C">
        <w:rPr>
          <w:noProof/>
        </w:rPr>
        <w:t>.</w:t>
      </w:r>
    </w:p>
    <w:p w14:paraId="01320699" w14:textId="7083E2A5" w:rsidR="005A0005" w:rsidRPr="0068720C" w:rsidRDefault="00900046" w:rsidP="00900046">
      <w:pPr>
        <w:pStyle w:val="ManualConsidrant"/>
        <w:rPr>
          <w:noProof/>
        </w:rPr>
      </w:pPr>
      <w:r w:rsidRPr="00900046">
        <w:t>(5)</w:t>
      </w:r>
      <w:r w:rsidRPr="00900046">
        <w:tab/>
      </w:r>
      <w:r w:rsidR="008266F2" w:rsidRPr="0068720C">
        <w:rPr>
          <w:noProof/>
        </w:rPr>
        <w:t>Zmeny</w:t>
      </w:r>
      <w:r w:rsidR="0068720C">
        <w:rPr>
          <w:noProof/>
        </w:rPr>
        <w:t xml:space="preserve"> v </w:t>
      </w:r>
      <w:r w:rsidR="008266F2" w:rsidRPr="0068720C">
        <w:rPr>
          <w:noProof/>
        </w:rPr>
        <w:t>zoznamoch</w:t>
      </w:r>
      <w:r w:rsidR="0068720C">
        <w:rPr>
          <w:noProof/>
        </w:rPr>
        <w:t xml:space="preserve"> k </w:t>
      </w:r>
      <w:r w:rsidR="008266F2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8266F2" w:rsidRPr="0068720C">
        <w:rPr>
          <w:noProof/>
        </w:rPr>
        <w:t>omamných látkach</w:t>
      </w:r>
      <w:r w:rsidR="0068720C">
        <w:rPr>
          <w:noProof/>
        </w:rPr>
        <w:t xml:space="preserve"> a k </w:t>
      </w:r>
      <w:r w:rsidR="008266F2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8266F2" w:rsidRPr="0068720C">
        <w:rPr>
          <w:noProof/>
        </w:rPr>
        <w:t>psychotropných látkach majú priamy vplyv na rozsah uplatňovania práva Únie</w:t>
      </w:r>
      <w:r w:rsidR="0068720C">
        <w:rPr>
          <w:noProof/>
        </w:rPr>
        <w:t xml:space="preserve"> v </w:t>
      </w:r>
      <w:r w:rsidR="008266F2" w:rsidRPr="0068720C">
        <w:rPr>
          <w:noProof/>
        </w:rPr>
        <w:t>oblasti kontroly drog. Rámcové rozhodnutie Rady 2004/757/SVV</w:t>
      </w:r>
      <w:r w:rsidR="008266F2" w:rsidRPr="0068720C">
        <w:rPr>
          <w:rStyle w:val="FootnoteReference"/>
          <w:noProof/>
        </w:rPr>
        <w:footnoteReference w:id="13"/>
      </w:r>
      <w:r w:rsidR="008266F2" w:rsidRPr="0068720C">
        <w:rPr>
          <w:noProof/>
        </w:rPr>
        <w:t xml:space="preserve"> sa vzťahuje na látky uvedené</w:t>
      </w:r>
      <w:r w:rsidR="0068720C">
        <w:rPr>
          <w:noProof/>
        </w:rPr>
        <w:t xml:space="preserve"> v </w:t>
      </w:r>
      <w:r w:rsidR="008266F2" w:rsidRPr="0068720C">
        <w:rPr>
          <w:noProof/>
        </w:rPr>
        <w:t>zoznamoch</w:t>
      </w:r>
      <w:r w:rsidR="0068720C">
        <w:rPr>
          <w:noProof/>
        </w:rPr>
        <w:t xml:space="preserve"> k </w:t>
      </w:r>
      <w:r w:rsidR="008266F2" w:rsidRPr="0068720C">
        <w:rPr>
          <w:noProof/>
        </w:rPr>
        <w:t>uvedeným dohovorom. Preto akákoľvek zmena zoznamov pripojených</w:t>
      </w:r>
      <w:r w:rsidR="0068720C">
        <w:rPr>
          <w:noProof/>
        </w:rPr>
        <w:t xml:space="preserve"> k </w:t>
      </w:r>
      <w:r w:rsidR="008266F2" w:rsidRPr="0068720C">
        <w:rPr>
          <w:noProof/>
        </w:rPr>
        <w:t>týmto dohovorom priamo ovplyvňuje spoločné pravidlá Únie</w:t>
      </w:r>
      <w:r w:rsidR="0068720C">
        <w:rPr>
          <w:noProof/>
        </w:rPr>
        <w:t xml:space="preserve"> a </w:t>
      </w:r>
      <w:r w:rsidR="008266F2" w:rsidRPr="0068720C">
        <w:rPr>
          <w:noProof/>
        </w:rPr>
        <w:t>mení ich rozsah pôsobnosti</w:t>
      </w:r>
      <w:r w:rsidR="0068720C">
        <w:rPr>
          <w:noProof/>
        </w:rPr>
        <w:t xml:space="preserve"> v </w:t>
      </w:r>
      <w:r w:rsidR="008266F2" w:rsidRPr="0068720C">
        <w:rPr>
          <w:noProof/>
        </w:rPr>
        <w:t>súlade</w:t>
      </w:r>
      <w:r w:rsidR="0068720C">
        <w:rPr>
          <w:noProof/>
        </w:rPr>
        <w:t xml:space="preserve"> s </w:t>
      </w:r>
      <w:r w:rsidR="008266F2" w:rsidRPr="0068720C">
        <w:rPr>
          <w:noProof/>
        </w:rPr>
        <w:t>článkom 3 ods. 2 ZFEÚ.</w:t>
      </w:r>
    </w:p>
    <w:p w14:paraId="7733C790" w14:textId="534DF384" w:rsidR="002C76FF" w:rsidRPr="0068720C" w:rsidRDefault="00900046" w:rsidP="00900046">
      <w:pPr>
        <w:pStyle w:val="ManualConsidrant"/>
        <w:rPr>
          <w:bCs/>
          <w:noProof/>
        </w:rPr>
      </w:pPr>
      <w:r w:rsidRPr="00900046">
        <w:lastRenderedPageBreak/>
        <w:t>(6)</w:t>
      </w:r>
      <w:r w:rsidRPr="00900046">
        <w:tab/>
      </w:r>
      <w:r w:rsidR="002C76FF" w:rsidRPr="0068720C">
        <w:rPr>
          <w:noProof/>
        </w:rPr>
        <w:t>Komisia pre omamné látky má na svojom 67. zasadnutí, ktoré je naplánované na 14. až 22</w:t>
      </w:r>
      <w:r w:rsidR="0068720C">
        <w:rPr>
          <w:noProof/>
        </w:rPr>
        <w:t>. marca</w:t>
      </w:r>
      <w:r w:rsidR="002C76FF" w:rsidRPr="0068720C">
        <w:rPr>
          <w:noProof/>
        </w:rPr>
        <w:t xml:space="preserve"> 2024 vo Viedni, rozhodnúť</w:t>
      </w:r>
      <w:r w:rsidR="0068720C">
        <w:rPr>
          <w:noProof/>
        </w:rPr>
        <w:t xml:space="preserve"> o </w:t>
      </w:r>
      <w:r w:rsidR="002C76FF" w:rsidRPr="0068720C">
        <w:rPr>
          <w:noProof/>
        </w:rPr>
        <w:t>zaradení piatich nových látok do zoznamov</w:t>
      </w:r>
      <w:r w:rsidR="0068720C">
        <w:rPr>
          <w:noProof/>
        </w:rPr>
        <w:t xml:space="preserve"> k </w:t>
      </w:r>
      <w:r w:rsidR="002C76FF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2C76FF" w:rsidRPr="0068720C">
        <w:rPr>
          <w:noProof/>
        </w:rPr>
        <w:t>omamných látkach</w:t>
      </w:r>
      <w:r w:rsidR="0068720C">
        <w:rPr>
          <w:noProof/>
        </w:rPr>
        <w:t xml:space="preserve"> a k </w:t>
      </w:r>
      <w:r w:rsidR="002C76FF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2C76FF" w:rsidRPr="0068720C">
        <w:rPr>
          <w:noProof/>
        </w:rPr>
        <w:t>psychotropných látkach.</w:t>
      </w:r>
    </w:p>
    <w:p w14:paraId="187BD10F" w14:textId="66F154C5" w:rsidR="00447542" w:rsidRPr="0068720C" w:rsidRDefault="00900046" w:rsidP="00900046">
      <w:pPr>
        <w:pStyle w:val="ManualConsidrant"/>
        <w:rPr>
          <w:bCs/>
          <w:noProof/>
        </w:rPr>
      </w:pPr>
      <w:r w:rsidRPr="00900046">
        <w:t>(7)</w:t>
      </w:r>
      <w:r w:rsidRPr="00900046">
        <w:tab/>
      </w:r>
      <w:r w:rsidR="00447542" w:rsidRPr="0068720C">
        <w:rPr>
          <w:noProof/>
        </w:rPr>
        <w:t>Únia nie je zmluvnou stranou dohovoru</w:t>
      </w:r>
      <w:r w:rsidR="0068720C">
        <w:rPr>
          <w:noProof/>
        </w:rPr>
        <w:t xml:space="preserve"> o </w:t>
      </w:r>
      <w:r w:rsidR="00447542" w:rsidRPr="0068720C">
        <w:rPr>
          <w:noProof/>
        </w:rPr>
        <w:t>omamných látkach ani dohovoru</w:t>
      </w:r>
      <w:r w:rsidR="0068720C">
        <w:rPr>
          <w:noProof/>
        </w:rPr>
        <w:t xml:space="preserve"> o </w:t>
      </w:r>
      <w:r w:rsidR="00447542" w:rsidRPr="0068720C">
        <w:rPr>
          <w:noProof/>
        </w:rPr>
        <w:t>psychotropných látkach.</w:t>
      </w:r>
      <w:r w:rsidR="0068720C">
        <w:rPr>
          <w:noProof/>
        </w:rPr>
        <w:t xml:space="preserve"> V </w:t>
      </w:r>
      <w:r w:rsidR="00447542" w:rsidRPr="0068720C">
        <w:rPr>
          <w:noProof/>
        </w:rPr>
        <w:t>Komisii pre omamné látky,</w:t>
      </w:r>
      <w:r w:rsidR="0068720C">
        <w:rPr>
          <w:noProof/>
        </w:rPr>
        <w:t xml:space="preserve"> v </w:t>
      </w:r>
      <w:r w:rsidR="00447542" w:rsidRPr="0068720C">
        <w:rPr>
          <w:noProof/>
        </w:rPr>
        <w:t>ktorej bude mať</w:t>
      </w:r>
      <w:r w:rsidR="0068720C">
        <w:rPr>
          <w:noProof/>
        </w:rPr>
        <w:t xml:space="preserve"> v </w:t>
      </w:r>
      <w:r w:rsidR="00447542" w:rsidRPr="0068720C">
        <w:rPr>
          <w:noProof/>
        </w:rPr>
        <w:t>marci 2024 trinásť členských štátov status člena</w:t>
      </w:r>
      <w:r w:rsidR="0068720C">
        <w:rPr>
          <w:noProof/>
        </w:rPr>
        <w:t xml:space="preserve"> s </w:t>
      </w:r>
      <w:r w:rsidR="00447542" w:rsidRPr="0068720C">
        <w:rPr>
          <w:noProof/>
        </w:rPr>
        <w:t>hlasovacím právom, má status pozorovateľa bez hlasovacieho práva.</w:t>
      </w:r>
      <w:r w:rsidR="00122183" w:rsidRPr="0068720C">
        <w:rPr>
          <w:rStyle w:val="FootnoteReference"/>
          <w:noProof/>
          <w:szCs w:val="24"/>
        </w:rPr>
        <w:footnoteReference w:id="14"/>
      </w:r>
      <w:r w:rsidR="00447542" w:rsidRPr="0068720C">
        <w:rPr>
          <w:noProof/>
        </w:rPr>
        <w:t xml:space="preserve"> Je nevyhnutné, aby Rada poverila tieto členské štáty vyjadriť pozíciu Únie</w:t>
      </w:r>
      <w:r w:rsidR="0068720C">
        <w:rPr>
          <w:noProof/>
        </w:rPr>
        <w:t xml:space="preserve"> v </w:t>
      </w:r>
      <w:r w:rsidR="00447542" w:rsidRPr="0068720C">
        <w:rPr>
          <w:noProof/>
        </w:rPr>
        <w:t>súvislosti so zaradením látok do zoznamov</w:t>
      </w:r>
      <w:r w:rsidR="0068720C">
        <w:rPr>
          <w:noProof/>
        </w:rPr>
        <w:t xml:space="preserve"> k </w:t>
      </w:r>
      <w:r w:rsidR="00447542" w:rsidRPr="0068720C">
        <w:rPr>
          <w:noProof/>
        </w:rPr>
        <w:t>uvedeným dohovorom, pretože rozhodnutia</w:t>
      </w:r>
      <w:r w:rsidR="0068720C">
        <w:rPr>
          <w:noProof/>
        </w:rPr>
        <w:t xml:space="preserve"> o </w:t>
      </w:r>
      <w:r w:rsidR="00447542" w:rsidRPr="0068720C">
        <w:rPr>
          <w:noProof/>
        </w:rPr>
        <w:t>zaradení nových látok do zoznamov patria do výlučnej právomoci Únie.</w:t>
      </w:r>
    </w:p>
    <w:p w14:paraId="610FE11F" w14:textId="160C0A3C" w:rsidR="001D4511" w:rsidRPr="0068720C" w:rsidRDefault="00900046" w:rsidP="00900046">
      <w:pPr>
        <w:pStyle w:val="ManualConsidrant"/>
        <w:rPr>
          <w:noProof/>
        </w:rPr>
      </w:pPr>
      <w:r w:rsidRPr="00900046">
        <w:t>(8)</w:t>
      </w:r>
      <w:r w:rsidRPr="00900046">
        <w:tab/>
      </w:r>
      <w:r w:rsidR="001D4511" w:rsidRPr="0068720C">
        <w:rPr>
          <w:noProof/>
        </w:rPr>
        <w:t>WHO odporučila zaradiť jednu novú látku do zoznamu I</w:t>
      </w:r>
      <w:r w:rsidR="0068720C">
        <w:rPr>
          <w:noProof/>
        </w:rPr>
        <w:t xml:space="preserve"> k </w:t>
      </w:r>
      <w:r w:rsidR="001D4511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1D4511" w:rsidRPr="0068720C">
        <w:rPr>
          <w:noProof/>
        </w:rPr>
        <w:t>omamných látkach, tri nové látky do zoznamu II</w:t>
      </w:r>
      <w:r w:rsidR="0068720C">
        <w:rPr>
          <w:noProof/>
        </w:rPr>
        <w:t xml:space="preserve"> k </w:t>
      </w:r>
      <w:r w:rsidR="001D4511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1D4511" w:rsidRPr="0068720C">
        <w:rPr>
          <w:noProof/>
        </w:rPr>
        <w:t>psychotropných látkach</w:t>
      </w:r>
      <w:r w:rsidR="0068720C">
        <w:rPr>
          <w:noProof/>
        </w:rPr>
        <w:t xml:space="preserve"> a </w:t>
      </w:r>
      <w:r w:rsidR="001D4511" w:rsidRPr="0068720C">
        <w:rPr>
          <w:noProof/>
        </w:rPr>
        <w:t>jednu novú látku do zoznamu IV</w:t>
      </w:r>
      <w:r w:rsidR="0068720C">
        <w:rPr>
          <w:noProof/>
        </w:rPr>
        <w:t xml:space="preserve"> k </w:t>
      </w:r>
      <w:r w:rsidR="001D4511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1D4511" w:rsidRPr="0068720C">
        <w:rPr>
          <w:noProof/>
        </w:rPr>
        <w:t>psychotropných látkach</w:t>
      </w:r>
      <w:r w:rsidR="001C7F8B" w:rsidRPr="0068720C">
        <w:rPr>
          <w:rStyle w:val="FootnoteReference"/>
          <w:noProof/>
        </w:rPr>
        <w:footnoteReference w:id="15"/>
      </w:r>
      <w:r w:rsidR="001D4511" w:rsidRPr="0068720C">
        <w:rPr>
          <w:noProof/>
        </w:rPr>
        <w:t>.</w:t>
      </w:r>
    </w:p>
    <w:p w14:paraId="393C56B3" w14:textId="2F060C21" w:rsidR="00BB7CFB" w:rsidRPr="0068720C" w:rsidRDefault="00900046" w:rsidP="00900046">
      <w:pPr>
        <w:pStyle w:val="ManualConsidrant"/>
        <w:rPr>
          <w:noProof/>
        </w:rPr>
      </w:pPr>
      <w:r w:rsidRPr="00900046">
        <w:t>(9)</w:t>
      </w:r>
      <w:r w:rsidRPr="00900046">
        <w:tab/>
      </w:r>
      <w:r w:rsidR="00BB7CFB" w:rsidRPr="0068720C">
        <w:rPr>
          <w:noProof/>
        </w:rPr>
        <w:t>Všetky látky preskúmané odborným výborom WHO pre drogovú závislosť</w:t>
      </w:r>
      <w:r w:rsidR="0068720C">
        <w:rPr>
          <w:noProof/>
        </w:rPr>
        <w:t xml:space="preserve"> a </w:t>
      </w:r>
      <w:r w:rsidR="00BB7CFB" w:rsidRPr="0068720C">
        <w:rPr>
          <w:noProof/>
        </w:rPr>
        <w:t>odporúčané zo strany WHO na zaradenie do príslušných zoznamov monitoruje Európske monitorovacie centrum pre drogy</w:t>
      </w:r>
      <w:r w:rsidR="0068720C">
        <w:rPr>
          <w:noProof/>
        </w:rPr>
        <w:t xml:space="preserve"> a </w:t>
      </w:r>
      <w:r w:rsidR="00BB7CFB" w:rsidRPr="0068720C">
        <w:rPr>
          <w:noProof/>
        </w:rPr>
        <w:t>drogovú závislosť (ďalej len „EMCDDA“) ako nové psychoaktívne látky podľa podmienok nariadenia Európskeho parlamentu</w:t>
      </w:r>
      <w:r w:rsidR="0068720C">
        <w:rPr>
          <w:noProof/>
        </w:rPr>
        <w:t xml:space="preserve"> a </w:t>
      </w:r>
      <w:r w:rsidR="00BB7CFB" w:rsidRPr="0068720C">
        <w:rPr>
          <w:noProof/>
        </w:rPr>
        <w:t xml:space="preserve">Rady (ES) </w:t>
      </w:r>
      <w:r w:rsidR="0068720C">
        <w:rPr>
          <w:noProof/>
        </w:rPr>
        <w:t>č. </w:t>
      </w:r>
      <w:r w:rsidR="00BB7CFB" w:rsidRPr="0068720C">
        <w:rPr>
          <w:noProof/>
        </w:rPr>
        <w:t>1920/2006</w:t>
      </w:r>
      <w:r w:rsidR="0084076F" w:rsidRPr="0068720C">
        <w:rPr>
          <w:rStyle w:val="FootnoteReference"/>
          <w:noProof/>
        </w:rPr>
        <w:footnoteReference w:id="16"/>
      </w:r>
      <w:r w:rsidR="00BB7CFB" w:rsidRPr="0068720C">
        <w:rPr>
          <w:noProof/>
        </w:rPr>
        <w:t>.</w:t>
      </w:r>
    </w:p>
    <w:p w14:paraId="5AD6F535" w14:textId="2615D7D7" w:rsidR="001D4511" w:rsidRPr="0068720C" w:rsidRDefault="00900046" w:rsidP="00900046">
      <w:pPr>
        <w:pStyle w:val="ManualConsidrant"/>
        <w:rPr>
          <w:noProof/>
        </w:rPr>
      </w:pPr>
      <w:r w:rsidRPr="00900046">
        <w:t>(10)</w:t>
      </w:r>
      <w:r w:rsidRPr="00900046">
        <w:tab/>
      </w:r>
      <w:r w:rsidR="00FB06B6" w:rsidRPr="0068720C">
        <w:rPr>
          <w:noProof/>
        </w:rPr>
        <w:t>Podľa posúdenia odborného výboru pre drogovú závislosť bromazolam (názov IUPAC: 8-bróm-6-fenyl-1-metyl-4</w:t>
      </w:r>
      <w:r w:rsidR="00FB06B6" w:rsidRPr="0068720C">
        <w:rPr>
          <w:i/>
          <w:noProof/>
        </w:rPr>
        <w:t>H</w:t>
      </w:r>
      <w:r w:rsidR="00FB06B6" w:rsidRPr="0068720C">
        <w:rPr>
          <w:noProof/>
        </w:rPr>
        <w:t>-[1,2,4]triazolo[4,3-</w:t>
      </w:r>
      <w:r w:rsidR="00FB06B6" w:rsidRPr="0068720C">
        <w:rPr>
          <w:i/>
          <w:iCs/>
          <w:noProof/>
        </w:rPr>
        <w:t>a</w:t>
      </w:r>
      <w:r w:rsidR="00FB06B6" w:rsidRPr="0068720C">
        <w:rPr>
          <w:noProof/>
        </w:rPr>
        <w:t>][1,4]benzodiazepín) je benzodiazepín</w:t>
      </w:r>
      <w:r w:rsidR="0068720C">
        <w:rPr>
          <w:noProof/>
        </w:rPr>
        <w:t xml:space="preserve"> s </w:t>
      </w:r>
      <w:r w:rsidR="00FB06B6" w:rsidRPr="0068720C">
        <w:rPr>
          <w:noProof/>
        </w:rPr>
        <w:t>relatívne vysokou potenciou. Odborný výbor pre drogovú závislosť látku bromazolam už preskúmal na svojom 45. zasadnutí</w:t>
      </w:r>
      <w:r w:rsidR="0068720C">
        <w:rPr>
          <w:noProof/>
        </w:rPr>
        <w:t xml:space="preserve"> a </w:t>
      </w:r>
      <w:r w:rsidR="00FB06B6" w:rsidRPr="0068720C">
        <w:rPr>
          <w:noProof/>
        </w:rPr>
        <w:t>zaviedol nad ňou dohľad. Látka bromazolam nemá žiadne známe terapeutické využitie ani povolenia na uvedenie na trh. Existuje dostatok dôkazov, že látka bromazolam sa zneužíva alebo pravdepodobne môže byť zneužitá</w:t>
      </w:r>
      <w:r w:rsidR="0068720C">
        <w:rPr>
          <w:noProof/>
        </w:rPr>
        <w:t xml:space="preserve"> a </w:t>
      </w:r>
      <w:r w:rsidR="00FB06B6" w:rsidRPr="0068720C">
        <w:rPr>
          <w:noProof/>
        </w:rPr>
        <w:t>môže predstavovať problém pre verejné zdravie</w:t>
      </w:r>
      <w:r w:rsidR="0068720C">
        <w:rPr>
          <w:noProof/>
        </w:rPr>
        <w:t xml:space="preserve"> a </w:t>
      </w:r>
      <w:r w:rsidR="00FB06B6" w:rsidRPr="0068720C">
        <w:rPr>
          <w:noProof/>
        </w:rPr>
        <w:t>spoločenský problém, čo odôvodňuje zaradenie uvedenej látky pod medzinárodnú kontrolu. WHO preto odporúča zaradiť látku bromazolam do zoznamu IV</w:t>
      </w:r>
      <w:r w:rsidR="0068720C">
        <w:rPr>
          <w:noProof/>
        </w:rPr>
        <w:t xml:space="preserve"> k </w:t>
      </w:r>
      <w:r w:rsidR="00FB06B6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FB06B6" w:rsidRPr="0068720C">
        <w:rPr>
          <w:noProof/>
        </w:rPr>
        <w:t>psychotropných látkach.</w:t>
      </w:r>
    </w:p>
    <w:p w14:paraId="0389C67A" w14:textId="5FFA72E0" w:rsidR="00AF269D" w:rsidRPr="0068720C" w:rsidRDefault="00900046" w:rsidP="00900046">
      <w:pPr>
        <w:pStyle w:val="ManualConsidrant"/>
        <w:rPr>
          <w:bCs/>
          <w:noProof/>
        </w:rPr>
      </w:pPr>
      <w:r w:rsidRPr="00900046">
        <w:t>(11)</w:t>
      </w:r>
      <w:r w:rsidRPr="00900046">
        <w:tab/>
      </w:r>
      <w:r w:rsidR="0061304A" w:rsidRPr="0068720C">
        <w:rPr>
          <w:noProof/>
        </w:rPr>
        <w:t>Látka bromazolam bola zistená</w:t>
      </w:r>
      <w:r w:rsidR="0068720C">
        <w:rPr>
          <w:noProof/>
        </w:rPr>
        <w:t xml:space="preserve"> v </w:t>
      </w:r>
      <w:r w:rsidR="0061304A" w:rsidRPr="0068720C">
        <w:rPr>
          <w:noProof/>
        </w:rPr>
        <w:t>19 členských štátoch</w:t>
      </w:r>
      <w:r w:rsidR="0068720C">
        <w:rPr>
          <w:noProof/>
        </w:rPr>
        <w:t xml:space="preserve"> a </w:t>
      </w:r>
      <w:r w:rsidR="0061304A" w:rsidRPr="0068720C">
        <w:rPr>
          <w:noProof/>
        </w:rPr>
        <w:t>kontroluje sa</w:t>
      </w:r>
      <w:r w:rsidR="0068720C">
        <w:rPr>
          <w:noProof/>
        </w:rPr>
        <w:t xml:space="preserve"> v </w:t>
      </w:r>
      <w:r w:rsidR="0061304A" w:rsidRPr="0068720C">
        <w:rPr>
          <w:noProof/>
        </w:rPr>
        <w:t>najmenej štyroch členských štátoch. Látka bromazolam je predmetom monitorovania centrom EMCDDA. Jeden členský štát nahlásil jednu akútnu otravu</w:t>
      </w:r>
      <w:r w:rsidR="0068720C">
        <w:rPr>
          <w:noProof/>
        </w:rPr>
        <w:t xml:space="preserve"> s </w:t>
      </w:r>
      <w:r w:rsidR="0061304A" w:rsidRPr="0068720C">
        <w:rPr>
          <w:noProof/>
        </w:rPr>
        <w:t>potvrdeným vystavením látke bromazolam. Jeden členský štát nahlásil ďalšiu akútnu otravu</w:t>
      </w:r>
      <w:r w:rsidR="0068720C">
        <w:rPr>
          <w:noProof/>
        </w:rPr>
        <w:t xml:space="preserve"> s </w:t>
      </w:r>
      <w:r w:rsidR="0061304A" w:rsidRPr="0068720C">
        <w:rPr>
          <w:noProof/>
        </w:rPr>
        <w:t>podozrením na vystavenie látke bromazolam. Päť členských štátov nahlásilo celkovo 15 úmrtí</w:t>
      </w:r>
      <w:r w:rsidR="0068720C">
        <w:rPr>
          <w:noProof/>
        </w:rPr>
        <w:t xml:space="preserve"> s </w:t>
      </w:r>
      <w:r w:rsidR="0061304A" w:rsidRPr="0068720C">
        <w:rPr>
          <w:noProof/>
        </w:rPr>
        <w:t>potvrdeným vystavením látke bromazolam.</w:t>
      </w:r>
    </w:p>
    <w:p w14:paraId="578FF017" w14:textId="4800C10A" w:rsidR="008244FC" w:rsidRPr="0068720C" w:rsidRDefault="00900046" w:rsidP="00900046">
      <w:pPr>
        <w:pStyle w:val="ManualConsidrant"/>
        <w:rPr>
          <w:noProof/>
        </w:rPr>
      </w:pPr>
      <w:r w:rsidRPr="00900046">
        <w:t>(12)</w:t>
      </w:r>
      <w:r w:rsidRPr="00900046">
        <w:tab/>
      </w:r>
      <w:r w:rsidR="008244FC" w:rsidRPr="0068720C">
        <w:rPr>
          <w:noProof/>
        </w:rPr>
        <w:t>Pozíciou Únie by preto malo byť zaradenie látky bromazolam do zoznamu IV</w:t>
      </w:r>
      <w:r w:rsidR="0068720C">
        <w:rPr>
          <w:noProof/>
        </w:rPr>
        <w:t xml:space="preserve"> k </w:t>
      </w:r>
      <w:r w:rsidR="008244FC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8244FC" w:rsidRPr="0068720C">
        <w:rPr>
          <w:noProof/>
        </w:rPr>
        <w:t>psychotropných látkach.</w:t>
      </w:r>
    </w:p>
    <w:p w14:paraId="47FA7DEB" w14:textId="31D4B3C1" w:rsidR="00383FBC" w:rsidRPr="0068720C" w:rsidRDefault="00900046" w:rsidP="00900046">
      <w:pPr>
        <w:pStyle w:val="ManualConsidrant"/>
        <w:rPr>
          <w:bCs/>
          <w:noProof/>
        </w:rPr>
      </w:pPr>
      <w:r w:rsidRPr="00900046">
        <w:t>(13)</w:t>
      </w:r>
      <w:r w:rsidRPr="00900046">
        <w:tab/>
      </w:r>
      <w:r w:rsidR="00AF269D" w:rsidRPr="0068720C">
        <w:rPr>
          <w:noProof/>
        </w:rPr>
        <w:t>Podľa posúdenia odborného výboru pre drogovú závislosť butonitazén (názov IUPAC: 2-{2-[(4-butoxyfenyl)metyl]-</w:t>
      </w:r>
      <w:r w:rsidR="00AF269D" w:rsidRPr="0068720C">
        <w:rPr>
          <w:i/>
          <w:noProof/>
        </w:rPr>
        <w:t>N,N</w:t>
      </w:r>
      <w:r w:rsidR="00AF269D" w:rsidRPr="0068720C">
        <w:rPr>
          <w:noProof/>
        </w:rPr>
        <w:t>-dietyl-5-nitro-1</w:t>
      </w:r>
      <w:r w:rsidR="00AF269D" w:rsidRPr="0068720C">
        <w:rPr>
          <w:i/>
          <w:noProof/>
        </w:rPr>
        <w:t>H</w:t>
      </w:r>
      <w:r w:rsidR="00AF269D" w:rsidRPr="0068720C">
        <w:rPr>
          <w:noProof/>
        </w:rPr>
        <w:t>-benzo[</w:t>
      </w:r>
      <w:r w:rsidR="00AF269D" w:rsidRPr="0068720C">
        <w:rPr>
          <w:i/>
          <w:iCs/>
          <w:noProof/>
        </w:rPr>
        <w:t>d</w:t>
      </w:r>
      <w:r w:rsidR="00AF269D" w:rsidRPr="0068720C">
        <w:rPr>
          <w:noProof/>
        </w:rPr>
        <w:t>]imidazol-1-yl}etán-1-amín) je syntetický opioid odvodený</w:t>
      </w:r>
      <w:r w:rsidR="0068720C">
        <w:rPr>
          <w:noProof/>
        </w:rPr>
        <w:t xml:space="preserve"> z </w:t>
      </w:r>
      <w:r w:rsidR="00AF269D" w:rsidRPr="0068720C">
        <w:rPr>
          <w:noProof/>
        </w:rPr>
        <w:t>benzimidazolu („nitazén“)</w:t>
      </w:r>
      <w:r w:rsidR="0068720C">
        <w:rPr>
          <w:noProof/>
        </w:rPr>
        <w:t xml:space="preserve"> s </w:t>
      </w:r>
      <w:r w:rsidR="00AF269D" w:rsidRPr="0068720C">
        <w:rPr>
          <w:noProof/>
        </w:rPr>
        <w:t>chemickou štruktúrou</w:t>
      </w:r>
      <w:r w:rsidR="0068720C">
        <w:rPr>
          <w:noProof/>
        </w:rPr>
        <w:t xml:space="preserve"> a </w:t>
      </w:r>
      <w:r w:rsidR="00AF269D" w:rsidRPr="0068720C">
        <w:rPr>
          <w:noProof/>
        </w:rPr>
        <w:t>farmakologickým účinkom podobným ako</w:t>
      </w:r>
      <w:r w:rsidR="0068720C">
        <w:rPr>
          <w:noProof/>
        </w:rPr>
        <w:t xml:space="preserve"> v </w:t>
      </w:r>
      <w:r w:rsidR="00AF269D" w:rsidRPr="0068720C">
        <w:rPr>
          <w:noProof/>
        </w:rPr>
        <w:t>prípade drog zaradených do zoznamu I</w:t>
      </w:r>
      <w:r w:rsidR="0068720C">
        <w:rPr>
          <w:noProof/>
        </w:rPr>
        <w:t xml:space="preserve"> k </w:t>
      </w:r>
      <w:r w:rsidR="00AF269D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AF269D" w:rsidRPr="0068720C">
        <w:rPr>
          <w:noProof/>
        </w:rPr>
        <w:t>omamných látkach. Odborný výbor pre drogovú závislosť látku butonitazén doposiaľ nepreskúmaval.</w:t>
      </w:r>
      <w:r w:rsidR="00AF269D" w:rsidRPr="0068720C">
        <w:rPr>
          <w:noProof/>
          <w:color w:val="000000"/>
        </w:rPr>
        <w:t xml:space="preserve"> </w:t>
      </w:r>
      <w:r w:rsidR="00AF269D" w:rsidRPr="0068720C">
        <w:rPr>
          <w:noProof/>
        </w:rPr>
        <w:t xml:space="preserve">Látka butonitazén nemá žiadne známe </w:t>
      </w:r>
      <w:r w:rsidR="00AF269D" w:rsidRPr="0068720C">
        <w:rPr>
          <w:noProof/>
        </w:rPr>
        <w:lastRenderedPageBreak/>
        <w:t>terapeutické využitie ani povolenia na uvedenie na trh. Existuje dostatok dôkazov, že látka butonitazén sa zneužíva alebo pravdepodobne môže byť zneužitá</w:t>
      </w:r>
      <w:r w:rsidR="0068720C">
        <w:rPr>
          <w:noProof/>
        </w:rPr>
        <w:t xml:space="preserve"> a </w:t>
      </w:r>
      <w:r w:rsidR="00AF269D" w:rsidRPr="0068720C">
        <w:rPr>
          <w:noProof/>
        </w:rPr>
        <w:t>môže predstavovať problém pre verejné zdravie</w:t>
      </w:r>
      <w:r w:rsidR="0068720C">
        <w:rPr>
          <w:noProof/>
        </w:rPr>
        <w:t xml:space="preserve"> a </w:t>
      </w:r>
      <w:r w:rsidR="00AF269D" w:rsidRPr="0068720C">
        <w:rPr>
          <w:noProof/>
        </w:rPr>
        <w:t>spoločenský problém, čo odôvodňuje zaradenie uvedenej látky pod medzinárodnú kontrolu. WHO preto odporúča zaradiť látku butonitazén do zoznamu I</w:t>
      </w:r>
      <w:r w:rsidR="0068720C">
        <w:rPr>
          <w:noProof/>
        </w:rPr>
        <w:t xml:space="preserve"> k </w:t>
      </w:r>
      <w:r w:rsidR="00AF269D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AF269D" w:rsidRPr="0068720C">
        <w:rPr>
          <w:noProof/>
        </w:rPr>
        <w:t>omamných látkach.</w:t>
      </w:r>
    </w:p>
    <w:p w14:paraId="6FBD78DC" w14:textId="5ADB8045" w:rsidR="0023684B" w:rsidRPr="0068720C" w:rsidRDefault="00900046" w:rsidP="00900046">
      <w:pPr>
        <w:pStyle w:val="ManualConsidrant"/>
        <w:rPr>
          <w:noProof/>
        </w:rPr>
      </w:pPr>
      <w:r w:rsidRPr="00900046">
        <w:t>(14)</w:t>
      </w:r>
      <w:r w:rsidRPr="00900046">
        <w:tab/>
      </w:r>
      <w:r w:rsidR="00CA0699" w:rsidRPr="0068720C">
        <w:rPr>
          <w:noProof/>
        </w:rPr>
        <w:t>Látka butonitazén bola zistená</w:t>
      </w:r>
      <w:r w:rsidR="0068720C">
        <w:rPr>
          <w:noProof/>
        </w:rPr>
        <w:t xml:space="preserve"> v </w:t>
      </w:r>
      <w:r w:rsidR="00CA0699" w:rsidRPr="0068720C">
        <w:rPr>
          <w:noProof/>
        </w:rPr>
        <w:t>siedmich členských štátoch</w:t>
      </w:r>
      <w:r w:rsidR="0068720C">
        <w:rPr>
          <w:noProof/>
        </w:rPr>
        <w:t xml:space="preserve"> a </w:t>
      </w:r>
      <w:r w:rsidR="00CA0699" w:rsidRPr="0068720C">
        <w:rPr>
          <w:noProof/>
        </w:rPr>
        <w:t>podlieha kontrole</w:t>
      </w:r>
      <w:r w:rsidR="0068720C">
        <w:rPr>
          <w:noProof/>
        </w:rPr>
        <w:t xml:space="preserve"> v </w:t>
      </w:r>
      <w:r w:rsidR="00CA0699" w:rsidRPr="0068720C">
        <w:rPr>
          <w:noProof/>
        </w:rPr>
        <w:t>najmenej troch členských štátoch. Látka butonitazén je predmetom intenzívneho monitorovania centrom EMCDDA. Jeden členský štát nahlásil jedno úmrtie</w:t>
      </w:r>
      <w:r w:rsidR="0068720C">
        <w:rPr>
          <w:noProof/>
        </w:rPr>
        <w:t xml:space="preserve"> s </w:t>
      </w:r>
      <w:r w:rsidR="00CA0699" w:rsidRPr="0068720C">
        <w:rPr>
          <w:noProof/>
        </w:rPr>
        <w:t>potvrdeným vystavením látke butonitazén.</w:t>
      </w:r>
    </w:p>
    <w:p w14:paraId="52D27D9E" w14:textId="750BA590" w:rsidR="008244FC" w:rsidRPr="0068720C" w:rsidRDefault="00900046" w:rsidP="00900046">
      <w:pPr>
        <w:pStyle w:val="ManualConsidrant"/>
        <w:rPr>
          <w:bCs/>
          <w:noProof/>
        </w:rPr>
      </w:pPr>
      <w:r w:rsidRPr="00900046">
        <w:t>(15)</w:t>
      </w:r>
      <w:r w:rsidRPr="00900046">
        <w:tab/>
      </w:r>
      <w:r w:rsidR="008244FC" w:rsidRPr="0068720C">
        <w:rPr>
          <w:noProof/>
        </w:rPr>
        <w:t>Pozíciou Únie by preto malo byť zaradenie látky butonitazén do zoznamu I</w:t>
      </w:r>
      <w:r w:rsidR="0068720C">
        <w:rPr>
          <w:noProof/>
        </w:rPr>
        <w:t xml:space="preserve"> k </w:t>
      </w:r>
      <w:r w:rsidR="008244FC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8244FC" w:rsidRPr="0068720C">
        <w:rPr>
          <w:noProof/>
        </w:rPr>
        <w:t>omamných látkach.</w:t>
      </w:r>
    </w:p>
    <w:p w14:paraId="7029ED3D" w14:textId="4E963F6A" w:rsidR="0090093F" w:rsidRPr="0068720C" w:rsidRDefault="00900046" w:rsidP="00900046">
      <w:pPr>
        <w:pStyle w:val="ManualConsidrant"/>
        <w:rPr>
          <w:noProof/>
        </w:rPr>
      </w:pPr>
      <w:r w:rsidRPr="00900046">
        <w:t>(16)</w:t>
      </w:r>
      <w:r w:rsidRPr="00900046">
        <w:tab/>
      </w:r>
      <w:r w:rsidR="00AF269D" w:rsidRPr="0068720C">
        <w:rPr>
          <w:noProof/>
        </w:rPr>
        <w:t>Podľa posúdenia odborného výboru pre drogovú závislosť 3-chlórmetkatinón (3-CMC; názov IUPAC: 1-(3-chlórfenyl)-2-(metylamino)propán-1-ón) je syntetický stimulant radu katinónov. Látka 3-CMC je analógom drogy metkatinón, ktorá je kontrolovaná podľa zoznamu I</w:t>
      </w:r>
      <w:r w:rsidR="0068720C">
        <w:rPr>
          <w:noProof/>
        </w:rPr>
        <w:t xml:space="preserve"> k </w:t>
      </w:r>
      <w:r w:rsidR="00AF269D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AF269D" w:rsidRPr="0068720C">
        <w:rPr>
          <w:noProof/>
        </w:rPr>
        <w:t>psychotropných látkach. Látka 3-CMC</w:t>
      </w:r>
      <w:r w:rsidR="0068720C">
        <w:rPr>
          <w:noProof/>
        </w:rPr>
        <w:t xml:space="preserve"> v </w:t>
      </w:r>
      <w:r w:rsidR="00AF269D" w:rsidRPr="0068720C">
        <w:rPr>
          <w:noProof/>
        </w:rPr>
        <w:t>súčasnosti nie je pod medzinárodnou kontrolou, ale jej izomér 4-CMC bol</w:t>
      </w:r>
      <w:r w:rsidR="0068720C">
        <w:rPr>
          <w:noProof/>
        </w:rPr>
        <w:t xml:space="preserve"> v </w:t>
      </w:r>
      <w:r w:rsidR="00AF269D" w:rsidRPr="0068720C">
        <w:rPr>
          <w:noProof/>
        </w:rPr>
        <w:t>roku 2020 zaradený pod medzinárodnú kontrolu. Odborný výbor WHO pre drogovú závislosť látku 3-CMC doposiaľ nepreskúmaval.</w:t>
      </w:r>
      <w:r w:rsidR="00AF269D" w:rsidRPr="0068720C">
        <w:rPr>
          <w:noProof/>
          <w:color w:val="000000"/>
        </w:rPr>
        <w:t xml:space="preserve"> </w:t>
      </w:r>
      <w:r w:rsidR="00AF269D" w:rsidRPr="0068720C">
        <w:rPr>
          <w:noProof/>
        </w:rPr>
        <w:t>Látka 3-CMC nemá žiadne známe terapeutické využitie ani povolenia na uvedenie na trh. Existuje dostatok dôkazov, že látka 3-CMC sa zneužíva alebo pravdepodobne môže byť zneužitá</w:t>
      </w:r>
      <w:r w:rsidR="0068720C">
        <w:rPr>
          <w:noProof/>
        </w:rPr>
        <w:t xml:space="preserve"> a </w:t>
      </w:r>
      <w:r w:rsidR="00AF269D" w:rsidRPr="0068720C">
        <w:rPr>
          <w:noProof/>
        </w:rPr>
        <w:t>môže predstavovať problém pre verejné zdravie</w:t>
      </w:r>
      <w:r w:rsidR="0068720C">
        <w:rPr>
          <w:noProof/>
        </w:rPr>
        <w:t xml:space="preserve"> a </w:t>
      </w:r>
      <w:r w:rsidR="00AF269D" w:rsidRPr="0068720C">
        <w:rPr>
          <w:noProof/>
        </w:rPr>
        <w:t>spoločenský problém, čo odôvodňuje zaradenie uvedenej látky pod medzinárodnú kontrolu. WHO preto odporúča zaradiť látku 3-CMC do zoznamu II</w:t>
      </w:r>
      <w:r w:rsidR="0068720C">
        <w:rPr>
          <w:noProof/>
        </w:rPr>
        <w:t xml:space="preserve"> k </w:t>
      </w:r>
      <w:r w:rsidR="00AF269D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AF269D" w:rsidRPr="0068720C">
        <w:rPr>
          <w:noProof/>
        </w:rPr>
        <w:t>psychotropných látkach.</w:t>
      </w:r>
    </w:p>
    <w:p w14:paraId="524F7F89" w14:textId="3DD5CFEB" w:rsidR="00300471" w:rsidRPr="0068720C" w:rsidRDefault="00900046" w:rsidP="00900046">
      <w:pPr>
        <w:pStyle w:val="ManualConsidrant"/>
        <w:rPr>
          <w:noProof/>
        </w:rPr>
      </w:pPr>
      <w:r w:rsidRPr="00900046">
        <w:t>(17)</w:t>
      </w:r>
      <w:r w:rsidRPr="00900046">
        <w:tab/>
      </w:r>
      <w:r w:rsidR="00731F9F" w:rsidRPr="0068720C">
        <w:rPr>
          <w:noProof/>
        </w:rPr>
        <w:t>Riziká látky 3-CMC posúdil vedecký výbor centra EMCDDA</w:t>
      </w:r>
      <w:r w:rsidR="0068720C">
        <w:rPr>
          <w:noProof/>
        </w:rPr>
        <w:t xml:space="preserve"> a </w:t>
      </w:r>
      <w:r w:rsidR="00731F9F" w:rsidRPr="0068720C">
        <w:rPr>
          <w:noProof/>
        </w:rPr>
        <w:t>látka 3-CMC už bola zahrnutá do vymedzenia pojmu drogy podľa rámcového rozhodnutia 2004/757/SVV delegovanou smernicou Komisie (EÚ) 2022/1326</w:t>
      </w:r>
      <w:r w:rsidR="00731F9F" w:rsidRPr="0068720C">
        <w:rPr>
          <w:rStyle w:val="FootnoteReference"/>
          <w:noProof/>
          <w:szCs w:val="24"/>
        </w:rPr>
        <w:footnoteReference w:id="17"/>
      </w:r>
      <w:r w:rsidR="00731F9F" w:rsidRPr="0068720C">
        <w:rPr>
          <w:noProof/>
        </w:rPr>
        <w:t>. Je predmetom monitorovania centrom EMCDDA.</w:t>
      </w:r>
      <w:r w:rsidR="0068720C">
        <w:rPr>
          <w:noProof/>
        </w:rPr>
        <w:t xml:space="preserve"> V </w:t>
      </w:r>
      <w:r w:rsidR="00731F9F" w:rsidRPr="0068720C">
        <w:rPr>
          <w:noProof/>
        </w:rPr>
        <w:t>čase posúdenia rizika</w:t>
      </w:r>
      <w:r w:rsidR="0068720C">
        <w:rPr>
          <w:noProof/>
        </w:rPr>
        <w:t xml:space="preserve"> v </w:t>
      </w:r>
      <w:r w:rsidR="00731F9F" w:rsidRPr="0068720C">
        <w:rPr>
          <w:noProof/>
        </w:rPr>
        <w:t>novembri 2021 sa zistila prítomnosť látky 3-CMC</w:t>
      </w:r>
      <w:r w:rsidR="0068720C">
        <w:rPr>
          <w:noProof/>
        </w:rPr>
        <w:t xml:space="preserve"> v </w:t>
      </w:r>
      <w:r w:rsidR="00731F9F" w:rsidRPr="0068720C">
        <w:rPr>
          <w:noProof/>
        </w:rPr>
        <w:t>23 členských štátoch. Dva členské štáty nahlásili celkovo 10 úmrtí</w:t>
      </w:r>
      <w:r w:rsidR="0068720C">
        <w:rPr>
          <w:noProof/>
        </w:rPr>
        <w:t xml:space="preserve"> s </w:t>
      </w:r>
      <w:r w:rsidR="00731F9F" w:rsidRPr="0068720C">
        <w:rPr>
          <w:noProof/>
        </w:rPr>
        <w:t>potvrdeným vystavením látke 3-CMC</w:t>
      </w:r>
      <w:r w:rsidR="0068720C">
        <w:rPr>
          <w:noProof/>
        </w:rPr>
        <w:t xml:space="preserve"> a </w:t>
      </w:r>
      <w:r w:rsidR="00731F9F" w:rsidRPr="0068720C">
        <w:rPr>
          <w:noProof/>
        </w:rPr>
        <w:t>jeden členský štát nahlásil jeden prípad akútnej otravy</w:t>
      </w:r>
      <w:r w:rsidR="0068720C">
        <w:rPr>
          <w:noProof/>
        </w:rPr>
        <w:t xml:space="preserve"> s </w:t>
      </w:r>
      <w:r w:rsidR="00731F9F" w:rsidRPr="0068720C">
        <w:rPr>
          <w:noProof/>
        </w:rPr>
        <w:t>potvrdeným vystavením látke 3-CMC</w:t>
      </w:r>
      <w:r w:rsidR="00300471" w:rsidRPr="0068720C">
        <w:rPr>
          <w:noProof/>
        </w:rPr>
        <w:t>.</w:t>
      </w:r>
    </w:p>
    <w:p w14:paraId="10A1AA4B" w14:textId="72623D47" w:rsidR="008244FC" w:rsidRPr="0068720C" w:rsidRDefault="00900046" w:rsidP="00900046">
      <w:pPr>
        <w:pStyle w:val="ManualConsidrant"/>
        <w:rPr>
          <w:noProof/>
        </w:rPr>
      </w:pPr>
      <w:r w:rsidRPr="00900046">
        <w:t>(18)</w:t>
      </w:r>
      <w:r w:rsidRPr="00900046">
        <w:tab/>
      </w:r>
      <w:r w:rsidR="008244FC" w:rsidRPr="0068720C">
        <w:rPr>
          <w:noProof/>
        </w:rPr>
        <w:t>Pozíciou Únie by preto malo byť zaradenie látky 3-CMC do zoznamu II</w:t>
      </w:r>
      <w:r w:rsidR="0068720C">
        <w:rPr>
          <w:noProof/>
        </w:rPr>
        <w:t xml:space="preserve"> k </w:t>
      </w:r>
      <w:r w:rsidR="008244FC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8244FC" w:rsidRPr="0068720C">
        <w:rPr>
          <w:noProof/>
        </w:rPr>
        <w:t>psychotropných látkach.</w:t>
      </w:r>
    </w:p>
    <w:p w14:paraId="250ECC6D" w14:textId="2921024E" w:rsidR="00AF269D" w:rsidRPr="0068720C" w:rsidRDefault="00900046" w:rsidP="00900046">
      <w:pPr>
        <w:pStyle w:val="ManualConsidrant"/>
        <w:rPr>
          <w:noProof/>
        </w:rPr>
      </w:pPr>
      <w:r w:rsidRPr="00900046">
        <w:t>(19)</w:t>
      </w:r>
      <w:r w:rsidRPr="00900046">
        <w:tab/>
      </w:r>
      <w:r w:rsidR="00AF269D" w:rsidRPr="0068720C">
        <w:rPr>
          <w:noProof/>
        </w:rPr>
        <w:t>Podľa posúdenia odborného výboru pre drogovú závislosť dipentylón (názov IUPAC: 1-(1,3-benzodioxol-5-yl)-2-(dimetylamino)pentán-1-ón) je syntetický stimulant radu katinónov. Má podobnú chemickú štruktúru</w:t>
      </w:r>
      <w:r w:rsidR="0068720C">
        <w:rPr>
          <w:noProof/>
        </w:rPr>
        <w:t xml:space="preserve"> a </w:t>
      </w:r>
      <w:r w:rsidR="00AF269D" w:rsidRPr="0068720C">
        <w:rPr>
          <w:noProof/>
        </w:rPr>
        <w:t>farmakológiu ako iné syntetické katinóny zoznamu II</w:t>
      </w:r>
      <w:r w:rsidR="0068720C">
        <w:rPr>
          <w:noProof/>
        </w:rPr>
        <w:t xml:space="preserve"> k </w:t>
      </w:r>
      <w:r w:rsidR="00AF269D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AF269D" w:rsidRPr="0068720C">
        <w:rPr>
          <w:noProof/>
        </w:rPr>
        <w:t>psychotropných látkach. Odborný výbor WHO pre drogovú závislosť látku dipentylón doposiaľ nepreskúmaval.</w:t>
      </w:r>
      <w:r w:rsidR="00AF269D" w:rsidRPr="0068720C">
        <w:rPr>
          <w:noProof/>
          <w:color w:val="000000"/>
        </w:rPr>
        <w:t xml:space="preserve"> </w:t>
      </w:r>
      <w:r w:rsidR="00AF269D" w:rsidRPr="0068720C">
        <w:rPr>
          <w:noProof/>
        </w:rPr>
        <w:t>Látka dipentylón nemá žiadne známe terapeutické využitie ani povolenia na uvedenie na trh. Existuje dostatok dôkazov, že látka dipentylón sa zneužíva alebo pravdepodobne môže byť zneužitá</w:t>
      </w:r>
      <w:r w:rsidR="0068720C">
        <w:rPr>
          <w:noProof/>
        </w:rPr>
        <w:t xml:space="preserve"> a </w:t>
      </w:r>
      <w:r w:rsidR="00AF269D" w:rsidRPr="0068720C">
        <w:rPr>
          <w:noProof/>
        </w:rPr>
        <w:t>môže predstavovať problém pre verejné zdravie</w:t>
      </w:r>
      <w:r w:rsidR="0068720C">
        <w:rPr>
          <w:noProof/>
        </w:rPr>
        <w:t xml:space="preserve"> a </w:t>
      </w:r>
      <w:r w:rsidR="00AF269D" w:rsidRPr="0068720C">
        <w:rPr>
          <w:noProof/>
        </w:rPr>
        <w:t>spoločenský problém, čo odôvodňuje zaradenie uvedenej látky pod medzinárodnú kontrolu. Nebolo hlásené žiadne schválené použitie na lekárske účely. WHO preto odporúča zaradiť látku dipentylón do zoznamu II</w:t>
      </w:r>
      <w:r w:rsidR="0068720C">
        <w:rPr>
          <w:noProof/>
        </w:rPr>
        <w:t xml:space="preserve"> k </w:t>
      </w:r>
      <w:r w:rsidR="00AF269D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AF269D" w:rsidRPr="0068720C">
        <w:rPr>
          <w:noProof/>
        </w:rPr>
        <w:t>psychotropných látkach.</w:t>
      </w:r>
    </w:p>
    <w:p w14:paraId="43C52885" w14:textId="5B9974C1" w:rsidR="00AF269D" w:rsidRPr="0068720C" w:rsidRDefault="00900046" w:rsidP="00900046">
      <w:pPr>
        <w:pStyle w:val="ManualConsidrant"/>
        <w:rPr>
          <w:bCs/>
          <w:noProof/>
        </w:rPr>
      </w:pPr>
      <w:r w:rsidRPr="00900046">
        <w:lastRenderedPageBreak/>
        <w:t>(20)</w:t>
      </w:r>
      <w:r w:rsidRPr="00900046">
        <w:tab/>
      </w:r>
      <w:r w:rsidR="00354BA8" w:rsidRPr="0068720C">
        <w:rPr>
          <w:noProof/>
        </w:rPr>
        <w:t>Látka dipentylón bola zistená</w:t>
      </w:r>
      <w:r w:rsidR="0068720C">
        <w:rPr>
          <w:noProof/>
        </w:rPr>
        <w:t xml:space="preserve"> v </w:t>
      </w:r>
      <w:r w:rsidR="00354BA8" w:rsidRPr="0068720C">
        <w:rPr>
          <w:noProof/>
        </w:rPr>
        <w:t>16 členských štátoch</w:t>
      </w:r>
      <w:r w:rsidR="0068720C">
        <w:rPr>
          <w:noProof/>
        </w:rPr>
        <w:t xml:space="preserve"> a </w:t>
      </w:r>
      <w:r w:rsidR="00354BA8" w:rsidRPr="0068720C">
        <w:rPr>
          <w:noProof/>
        </w:rPr>
        <w:t>kontroluje sa</w:t>
      </w:r>
      <w:r w:rsidR="0068720C">
        <w:rPr>
          <w:noProof/>
        </w:rPr>
        <w:t xml:space="preserve"> v </w:t>
      </w:r>
      <w:r w:rsidR="00354BA8" w:rsidRPr="0068720C">
        <w:rPr>
          <w:noProof/>
        </w:rPr>
        <w:t>najmenej štyroch členských štátoch. Látka dipentylón je predmetom monitorovania centrom EMCDDA.</w:t>
      </w:r>
    </w:p>
    <w:p w14:paraId="7DB0559F" w14:textId="4B10B917" w:rsidR="008244FC" w:rsidRPr="0068720C" w:rsidRDefault="00900046" w:rsidP="00900046">
      <w:pPr>
        <w:pStyle w:val="ManualConsidrant"/>
        <w:rPr>
          <w:noProof/>
        </w:rPr>
      </w:pPr>
      <w:r w:rsidRPr="00900046">
        <w:t>(21)</w:t>
      </w:r>
      <w:r w:rsidRPr="00900046">
        <w:tab/>
      </w:r>
      <w:r w:rsidR="008244FC" w:rsidRPr="0068720C">
        <w:rPr>
          <w:noProof/>
        </w:rPr>
        <w:t>Pozíciou Únie by preto malo byť zaradenie látky dipentylón do zoznamu II</w:t>
      </w:r>
      <w:r w:rsidR="0068720C">
        <w:rPr>
          <w:noProof/>
        </w:rPr>
        <w:t xml:space="preserve"> k </w:t>
      </w:r>
      <w:r w:rsidR="008244FC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8244FC" w:rsidRPr="0068720C">
        <w:rPr>
          <w:noProof/>
        </w:rPr>
        <w:t>psychotropných látkach.</w:t>
      </w:r>
    </w:p>
    <w:p w14:paraId="70D1B6C2" w14:textId="6A474436" w:rsidR="00AF269D" w:rsidRPr="0068720C" w:rsidRDefault="00900046" w:rsidP="00900046">
      <w:pPr>
        <w:pStyle w:val="ManualConsidrant"/>
        <w:rPr>
          <w:noProof/>
        </w:rPr>
      </w:pPr>
      <w:r w:rsidRPr="00900046">
        <w:t>(22)</w:t>
      </w:r>
      <w:r w:rsidRPr="00900046">
        <w:tab/>
      </w:r>
      <w:r w:rsidR="00AF269D" w:rsidRPr="0068720C">
        <w:rPr>
          <w:noProof/>
        </w:rPr>
        <w:t xml:space="preserve">Podľa posúdenia odborného výboru pre drogovú závislosť </w:t>
      </w:r>
      <w:bookmarkStart w:id="2" w:name="_Hlk150768691"/>
      <w:r w:rsidR="00AF269D" w:rsidRPr="0068720C">
        <w:rPr>
          <w:noProof/>
        </w:rPr>
        <w:t>2-fluórdeschlórketamín</w:t>
      </w:r>
      <w:bookmarkEnd w:id="2"/>
      <w:r w:rsidR="00AF269D" w:rsidRPr="0068720C">
        <w:rPr>
          <w:noProof/>
        </w:rPr>
        <w:t xml:space="preserve"> (2-FDCK; názov IUPAC: 2-(2-fluórfenyl)-2-(metylamino)cyklohexanón) je arylcyklohexylamín, ktorý je chemicky príbuzný disociatívnemu anestetickému ketamínu. Odborný výbor WHO pre drogovú závislosť látku 2-FDCK doposiaľ nepreskúmaval.</w:t>
      </w:r>
      <w:r w:rsidR="00AF269D" w:rsidRPr="0068720C">
        <w:rPr>
          <w:noProof/>
          <w:color w:val="000000"/>
        </w:rPr>
        <w:t xml:space="preserve"> </w:t>
      </w:r>
      <w:r w:rsidR="00AF269D" w:rsidRPr="0068720C">
        <w:rPr>
          <w:noProof/>
        </w:rPr>
        <w:t>Látka 2-FDCK nemá žiadne známe terapeutické využitie ani povolenia na uvedenie na trh. Existuje dostatok dôkazov, že látka 2-FDCK sa zneužíva alebo pravdepodobne môže byť zneužitá</w:t>
      </w:r>
      <w:r w:rsidR="0068720C">
        <w:rPr>
          <w:noProof/>
        </w:rPr>
        <w:t xml:space="preserve"> a </w:t>
      </w:r>
      <w:r w:rsidR="00AF269D" w:rsidRPr="0068720C">
        <w:rPr>
          <w:noProof/>
        </w:rPr>
        <w:t>môže predstavovať problém pre verejné zdravie</w:t>
      </w:r>
      <w:r w:rsidR="0068720C">
        <w:rPr>
          <w:noProof/>
        </w:rPr>
        <w:t xml:space="preserve"> a </w:t>
      </w:r>
      <w:r w:rsidR="00AF269D" w:rsidRPr="0068720C">
        <w:rPr>
          <w:noProof/>
        </w:rPr>
        <w:t>spoločenský problém, čo odôvodňuje zaradenie uvedenej látky pod medzinárodnú kontrolu. WHO preto odporúča zaradiť látku 2-FDCK do zoznamu II</w:t>
      </w:r>
      <w:r w:rsidR="0068720C">
        <w:rPr>
          <w:noProof/>
        </w:rPr>
        <w:t xml:space="preserve"> k </w:t>
      </w:r>
      <w:r w:rsidR="00AF269D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AF269D" w:rsidRPr="0068720C">
        <w:rPr>
          <w:noProof/>
        </w:rPr>
        <w:t>psychotropných látkach.</w:t>
      </w:r>
    </w:p>
    <w:p w14:paraId="7D4B212B" w14:textId="0102FA41" w:rsidR="00300471" w:rsidRPr="0068720C" w:rsidRDefault="00900046" w:rsidP="00900046">
      <w:pPr>
        <w:pStyle w:val="ManualConsidrant"/>
        <w:rPr>
          <w:noProof/>
        </w:rPr>
      </w:pPr>
      <w:r w:rsidRPr="00900046">
        <w:t>(23)</w:t>
      </w:r>
      <w:r w:rsidRPr="00900046">
        <w:tab/>
      </w:r>
      <w:r w:rsidR="005D65DB" w:rsidRPr="0068720C">
        <w:rPr>
          <w:noProof/>
        </w:rPr>
        <w:t>Látka 2-FDCK bola zistená</w:t>
      </w:r>
      <w:r w:rsidR="0068720C">
        <w:rPr>
          <w:noProof/>
        </w:rPr>
        <w:t xml:space="preserve"> v </w:t>
      </w:r>
      <w:r w:rsidR="005D65DB" w:rsidRPr="0068720C">
        <w:rPr>
          <w:noProof/>
        </w:rPr>
        <w:t>22 členských štátoch</w:t>
      </w:r>
      <w:r w:rsidR="0068720C">
        <w:rPr>
          <w:noProof/>
        </w:rPr>
        <w:t xml:space="preserve"> a </w:t>
      </w:r>
      <w:r w:rsidR="005D65DB" w:rsidRPr="0068720C">
        <w:rPr>
          <w:noProof/>
        </w:rPr>
        <w:t>kontroluje sa</w:t>
      </w:r>
      <w:r w:rsidR="0068720C">
        <w:rPr>
          <w:noProof/>
        </w:rPr>
        <w:t xml:space="preserve"> v </w:t>
      </w:r>
      <w:r w:rsidR="005D65DB" w:rsidRPr="0068720C">
        <w:rPr>
          <w:noProof/>
        </w:rPr>
        <w:t>najmenej piatich členských štátoch. Látka 2-FDCK je predmetom intenzívneho monitorovania centrom EMCDDA. Dva členské štáty nahlásili dve úmrtia</w:t>
      </w:r>
      <w:r w:rsidR="0068720C">
        <w:rPr>
          <w:noProof/>
        </w:rPr>
        <w:t xml:space="preserve"> s </w:t>
      </w:r>
      <w:r w:rsidR="005D65DB" w:rsidRPr="0068720C">
        <w:rPr>
          <w:noProof/>
        </w:rPr>
        <w:t>potvrdeným vystavením látke 2-FDCK. Tri členské štáty nahlásili celkovo 11 akútnych otráv</w:t>
      </w:r>
      <w:r w:rsidR="0068720C">
        <w:rPr>
          <w:noProof/>
        </w:rPr>
        <w:t xml:space="preserve"> s </w:t>
      </w:r>
      <w:r w:rsidR="005D65DB" w:rsidRPr="0068720C">
        <w:rPr>
          <w:noProof/>
        </w:rPr>
        <w:t>potvrdeným vystavením látke 2-FDCK. Jeden členský štát nahlásil ďalšiu akútnu otravu</w:t>
      </w:r>
      <w:r w:rsidR="0068720C">
        <w:rPr>
          <w:noProof/>
        </w:rPr>
        <w:t xml:space="preserve"> s </w:t>
      </w:r>
      <w:r w:rsidR="005D65DB" w:rsidRPr="0068720C">
        <w:rPr>
          <w:noProof/>
        </w:rPr>
        <w:t>podozrením na vystavenie látke 2-FDCK</w:t>
      </w:r>
      <w:r w:rsidR="00300471" w:rsidRPr="0068720C">
        <w:rPr>
          <w:noProof/>
        </w:rPr>
        <w:t>.</w:t>
      </w:r>
    </w:p>
    <w:p w14:paraId="6AFBCB20" w14:textId="1E215D3F" w:rsidR="008244FC" w:rsidRPr="0068720C" w:rsidRDefault="00900046" w:rsidP="00900046">
      <w:pPr>
        <w:pStyle w:val="ManualConsidrant"/>
        <w:rPr>
          <w:noProof/>
        </w:rPr>
      </w:pPr>
      <w:r w:rsidRPr="00900046">
        <w:t>(24)</w:t>
      </w:r>
      <w:r w:rsidRPr="00900046">
        <w:tab/>
      </w:r>
      <w:r w:rsidR="008244FC" w:rsidRPr="0068720C">
        <w:rPr>
          <w:noProof/>
        </w:rPr>
        <w:t>Pozíciou Únie by preto malo byť zaradenie látky 2-FDCK do zoznamu II</w:t>
      </w:r>
      <w:r w:rsidR="0068720C">
        <w:rPr>
          <w:noProof/>
        </w:rPr>
        <w:t xml:space="preserve"> k </w:t>
      </w:r>
      <w:r w:rsidR="008244FC" w:rsidRPr="0068720C">
        <w:rPr>
          <w:noProof/>
        </w:rPr>
        <w:t>dohovoru</w:t>
      </w:r>
      <w:r w:rsidR="0068720C">
        <w:rPr>
          <w:noProof/>
        </w:rPr>
        <w:t xml:space="preserve"> o </w:t>
      </w:r>
      <w:r w:rsidR="008244FC" w:rsidRPr="0068720C">
        <w:rPr>
          <w:noProof/>
        </w:rPr>
        <w:t>psychotropných látkach.</w:t>
      </w:r>
    </w:p>
    <w:p w14:paraId="58AC8B0D" w14:textId="23A222E4" w:rsidR="004C2315" w:rsidRPr="0068720C" w:rsidRDefault="00900046" w:rsidP="00900046">
      <w:pPr>
        <w:pStyle w:val="ManualConsidrant"/>
        <w:rPr>
          <w:noProof/>
        </w:rPr>
      </w:pPr>
      <w:r w:rsidRPr="00900046">
        <w:t>(25)</w:t>
      </w:r>
      <w:r w:rsidRPr="00900046">
        <w:tab/>
      </w:r>
      <w:r w:rsidR="004C2315" w:rsidRPr="0068720C">
        <w:rPr>
          <w:noProof/>
        </w:rPr>
        <w:t>Je vhodné stanoviť pozíciu, ktorá sa má zaujať</w:t>
      </w:r>
      <w:r w:rsidR="0068720C">
        <w:rPr>
          <w:noProof/>
        </w:rPr>
        <w:t xml:space="preserve"> v </w:t>
      </w:r>
      <w:r w:rsidR="004C2315" w:rsidRPr="0068720C">
        <w:rPr>
          <w:noProof/>
        </w:rPr>
        <w:t>mene Únie</w:t>
      </w:r>
      <w:r w:rsidR="0068720C">
        <w:rPr>
          <w:noProof/>
        </w:rPr>
        <w:t xml:space="preserve"> v </w:t>
      </w:r>
      <w:r w:rsidR="004C2315" w:rsidRPr="0068720C">
        <w:rPr>
          <w:noProof/>
        </w:rPr>
        <w:t>Komisii pre omamné látky, pretože rozhodnutia týkajúce sa zaradenia uvedených piatich látok do zoznamov môžu rozhodujúcim spôsobom ovplyvniť obsah práva Únie, konkrétne rámcového rozhodnutia 2004/757/SVV.</w:t>
      </w:r>
    </w:p>
    <w:p w14:paraId="6E5F5872" w14:textId="5F1AD675" w:rsidR="008056A1" w:rsidRPr="0068720C" w:rsidRDefault="00900046" w:rsidP="00900046">
      <w:pPr>
        <w:pStyle w:val="ManualConsidrant"/>
        <w:rPr>
          <w:noProof/>
        </w:rPr>
      </w:pPr>
      <w:r w:rsidRPr="00900046">
        <w:t>(26)</w:t>
      </w:r>
      <w:r w:rsidRPr="00900046">
        <w:tab/>
      </w:r>
      <w:r w:rsidR="008056A1" w:rsidRPr="0068720C">
        <w:rPr>
          <w:noProof/>
        </w:rPr>
        <w:t>Pozíciu Únie majú vyjadriť členské štáty, ktoré sú členmi Komisie pre omamné látky, konajúc spoločne.</w:t>
      </w:r>
    </w:p>
    <w:p w14:paraId="5AD10EBD" w14:textId="19C2BEB5" w:rsidR="008056A1" w:rsidRPr="0068720C" w:rsidRDefault="00900046" w:rsidP="00900046">
      <w:pPr>
        <w:pStyle w:val="ManualConsidrant"/>
        <w:rPr>
          <w:noProof/>
        </w:rPr>
      </w:pPr>
      <w:r w:rsidRPr="00900046">
        <w:t>(27)</w:t>
      </w:r>
      <w:r w:rsidRPr="00900046">
        <w:tab/>
      </w:r>
      <w:r w:rsidR="008056A1" w:rsidRPr="0068720C">
        <w:rPr>
          <w:noProof/>
        </w:rPr>
        <w:t>Dánsko je viazané rámcovým rozhodnutím 2004/757/SVV,</w:t>
      </w:r>
      <w:r w:rsidR="0068720C">
        <w:rPr>
          <w:noProof/>
        </w:rPr>
        <w:t xml:space="preserve"> a </w:t>
      </w:r>
      <w:r w:rsidR="008056A1" w:rsidRPr="0068720C">
        <w:rPr>
          <w:noProof/>
        </w:rPr>
        <w:t>preto sa zúčastňuje na prijatí</w:t>
      </w:r>
      <w:r w:rsidR="0068720C">
        <w:rPr>
          <w:noProof/>
        </w:rPr>
        <w:t xml:space="preserve"> a </w:t>
      </w:r>
      <w:r w:rsidR="008056A1" w:rsidRPr="0068720C">
        <w:rPr>
          <w:noProof/>
        </w:rPr>
        <w:t>uplatňovaní tohto rozhodnutia.</w:t>
      </w:r>
    </w:p>
    <w:p w14:paraId="212F5648" w14:textId="1C3AE07C" w:rsidR="008056A1" w:rsidRPr="0068720C" w:rsidRDefault="00900046" w:rsidP="00900046">
      <w:pPr>
        <w:pStyle w:val="ManualConsidrant"/>
        <w:rPr>
          <w:noProof/>
        </w:rPr>
      </w:pPr>
      <w:r w:rsidRPr="00900046">
        <w:t>(28)</w:t>
      </w:r>
      <w:r w:rsidRPr="00900046">
        <w:tab/>
      </w:r>
      <w:r w:rsidR="008056A1" w:rsidRPr="0068720C">
        <w:rPr>
          <w:noProof/>
        </w:rPr>
        <w:t>Írsko je viazané rámcovým rozhodnutím 2004/757/JHA,</w:t>
      </w:r>
      <w:r w:rsidR="0068720C">
        <w:rPr>
          <w:noProof/>
        </w:rPr>
        <w:t xml:space="preserve"> a </w:t>
      </w:r>
      <w:r w:rsidR="008056A1" w:rsidRPr="0068720C">
        <w:rPr>
          <w:noProof/>
        </w:rPr>
        <w:t>preto sa zúčastňuje na prijatí</w:t>
      </w:r>
      <w:r w:rsidR="0068720C">
        <w:rPr>
          <w:noProof/>
        </w:rPr>
        <w:t xml:space="preserve"> a </w:t>
      </w:r>
      <w:r w:rsidR="008056A1" w:rsidRPr="0068720C">
        <w:rPr>
          <w:noProof/>
        </w:rPr>
        <w:t>uplatňovaní tohto rozhodnutia,</w:t>
      </w:r>
    </w:p>
    <w:p w14:paraId="300DD808" w14:textId="77777777" w:rsidR="003230C2" w:rsidRPr="0068720C" w:rsidRDefault="003230C2" w:rsidP="00BE7CB9">
      <w:pPr>
        <w:pStyle w:val="Formuledadoption"/>
        <w:rPr>
          <w:noProof/>
        </w:rPr>
      </w:pPr>
      <w:r w:rsidRPr="0068720C">
        <w:rPr>
          <w:noProof/>
        </w:rPr>
        <w:t>PRIJALA TOTO ROZHODNUTIE:</w:t>
      </w:r>
    </w:p>
    <w:p w14:paraId="1E257683" w14:textId="77777777" w:rsidR="003230C2" w:rsidRPr="0068720C" w:rsidRDefault="003230C2" w:rsidP="00BE7CB9">
      <w:pPr>
        <w:pStyle w:val="Titrearticle"/>
        <w:rPr>
          <w:noProof/>
        </w:rPr>
      </w:pPr>
      <w:r w:rsidRPr="0068720C">
        <w:rPr>
          <w:noProof/>
        </w:rPr>
        <w:t>Článok 1</w:t>
      </w:r>
    </w:p>
    <w:p w14:paraId="1E403DA2" w14:textId="4AC1703E" w:rsidR="003230C2" w:rsidRPr="0068720C" w:rsidRDefault="003230C2" w:rsidP="00BE7CB9">
      <w:pPr>
        <w:rPr>
          <w:noProof/>
        </w:rPr>
      </w:pPr>
      <w:r w:rsidRPr="0068720C">
        <w:rPr>
          <w:noProof/>
        </w:rPr>
        <w:t>Pozícia, ktorá sa má prijať</w:t>
      </w:r>
      <w:r w:rsidR="0068720C">
        <w:rPr>
          <w:noProof/>
        </w:rPr>
        <w:t xml:space="preserve"> v </w:t>
      </w:r>
      <w:r w:rsidRPr="0068720C">
        <w:rPr>
          <w:noProof/>
        </w:rPr>
        <w:t>mene Únie na šesťdesiatom siedmom zasadnutí Komisie pre omamné látky, ktoré sa uskutoční 14. až 22</w:t>
      </w:r>
      <w:r w:rsidR="0068720C">
        <w:rPr>
          <w:noProof/>
        </w:rPr>
        <w:t>. marca</w:t>
      </w:r>
      <w:r w:rsidRPr="0068720C">
        <w:rPr>
          <w:noProof/>
        </w:rPr>
        <w:t xml:space="preserve"> 2024, keď bude tento orgán vyzvaný, aby prijal rozhodnutia</w:t>
      </w:r>
      <w:r w:rsidR="0068720C">
        <w:rPr>
          <w:noProof/>
        </w:rPr>
        <w:t xml:space="preserve"> o </w:t>
      </w:r>
      <w:r w:rsidRPr="0068720C">
        <w:rPr>
          <w:noProof/>
        </w:rPr>
        <w:t>zaradení látok do zoznamov</w:t>
      </w:r>
      <w:r w:rsidR="0068720C">
        <w:rPr>
          <w:noProof/>
        </w:rPr>
        <w:t xml:space="preserve"> k </w:t>
      </w:r>
      <w:r w:rsidRPr="0068720C">
        <w:rPr>
          <w:noProof/>
        </w:rPr>
        <w:t>Jednotnému dohovoru Organizácie Spojených národov</w:t>
      </w:r>
      <w:r w:rsidR="0068720C">
        <w:rPr>
          <w:noProof/>
        </w:rPr>
        <w:t xml:space="preserve"> o </w:t>
      </w:r>
      <w:r w:rsidRPr="0068720C">
        <w:rPr>
          <w:noProof/>
        </w:rPr>
        <w:t>omamných látkach</w:t>
      </w:r>
      <w:r w:rsidR="0068720C">
        <w:rPr>
          <w:noProof/>
        </w:rPr>
        <w:t xml:space="preserve"> z </w:t>
      </w:r>
      <w:r w:rsidRPr="0068720C">
        <w:rPr>
          <w:noProof/>
        </w:rPr>
        <w:t>roku 1961 zmenenému protokolom</w:t>
      </w:r>
      <w:r w:rsidR="0068720C">
        <w:rPr>
          <w:noProof/>
        </w:rPr>
        <w:t xml:space="preserve"> z </w:t>
      </w:r>
      <w:r w:rsidRPr="0068720C">
        <w:rPr>
          <w:noProof/>
        </w:rPr>
        <w:t>roku 1972</w:t>
      </w:r>
      <w:r w:rsidR="0068720C">
        <w:rPr>
          <w:noProof/>
        </w:rPr>
        <w:t xml:space="preserve"> a k </w:t>
      </w:r>
      <w:r w:rsidRPr="0068720C">
        <w:rPr>
          <w:noProof/>
        </w:rPr>
        <w:t>Dohovoru Organizácie Spojených národov</w:t>
      </w:r>
      <w:r w:rsidR="0068720C">
        <w:rPr>
          <w:noProof/>
        </w:rPr>
        <w:t xml:space="preserve"> o </w:t>
      </w:r>
      <w:r w:rsidRPr="0068720C">
        <w:rPr>
          <w:noProof/>
        </w:rPr>
        <w:t>psychotropných látkach</w:t>
      </w:r>
      <w:r w:rsidR="0068720C">
        <w:rPr>
          <w:noProof/>
        </w:rPr>
        <w:t xml:space="preserve"> z </w:t>
      </w:r>
      <w:r w:rsidRPr="0068720C">
        <w:rPr>
          <w:noProof/>
        </w:rPr>
        <w:t>roku 1971, sa uvádza</w:t>
      </w:r>
      <w:r w:rsidR="0068720C">
        <w:rPr>
          <w:noProof/>
        </w:rPr>
        <w:t xml:space="preserve"> v </w:t>
      </w:r>
      <w:r w:rsidRPr="0068720C">
        <w:rPr>
          <w:noProof/>
        </w:rPr>
        <w:t>prílohe</w:t>
      </w:r>
      <w:r w:rsidR="0068720C">
        <w:rPr>
          <w:noProof/>
        </w:rPr>
        <w:t xml:space="preserve"> k </w:t>
      </w:r>
      <w:r w:rsidRPr="0068720C">
        <w:rPr>
          <w:noProof/>
        </w:rPr>
        <w:t>tomuto rozhodnutiu.</w:t>
      </w:r>
    </w:p>
    <w:p w14:paraId="2189329D" w14:textId="77777777" w:rsidR="003230C2" w:rsidRPr="0068720C" w:rsidRDefault="003230C2" w:rsidP="00BE7CB9">
      <w:pPr>
        <w:pStyle w:val="Titrearticle"/>
        <w:rPr>
          <w:noProof/>
        </w:rPr>
      </w:pPr>
      <w:r w:rsidRPr="0068720C">
        <w:rPr>
          <w:noProof/>
        </w:rPr>
        <w:lastRenderedPageBreak/>
        <w:t>Článok 2</w:t>
      </w:r>
    </w:p>
    <w:p w14:paraId="276784CF" w14:textId="18E59883" w:rsidR="008763B5" w:rsidRPr="0068720C" w:rsidRDefault="008763B5" w:rsidP="008763B5">
      <w:pPr>
        <w:rPr>
          <w:bCs/>
          <w:noProof/>
          <w:szCs w:val="24"/>
        </w:rPr>
      </w:pPr>
      <w:r w:rsidRPr="0068720C">
        <w:rPr>
          <w:noProof/>
        </w:rPr>
        <w:t>Pozíciu uvedenú</w:t>
      </w:r>
      <w:r w:rsidR="0068720C">
        <w:rPr>
          <w:noProof/>
        </w:rPr>
        <w:t xml:space="preserve"> v </w:t>
      </w:r>
      <w:r w:rsidRPr="0068720C">
        <w:rPr>
          <w:noProof/>
        </w:rPr>
        <w:t>článku 1 vyjadria členské štáty, ktoré sú členmi Komisie pre omamné látky, konajúc spoločne</w:t>
      </w:r>
      <w:r w:rsidR="0068720C">
        <w:rPr>
          <w:noProof/>
        </w:rPr>
        <w:t xml:space="preserve"> v </w:t>
      </w:r>
      <w:r w:rsidRPr="0068720C">
        <w:rPr>
          <w:noProof/>
        </w:rPr>
        <w:t>záujme Únie.</w:t>
      </w:r>
    </w:p>
    <w:p w14:paraId="495EAF86" w14:textId="77777777" w:rsidR="003230C2" w:rsidRPr="0068720C" w:rsidRDefault="003230C2" w:rsidP="00090C94">
      <w:pPr>
        <w:pStyle w:val="Titrearticle"/>
        <w:rPr>
          <w:noProof/>
        </w:rPr>
      </w:pPr>
      <w:r w:rsidRPr="0068720C">
        <w:rPr>
          <w:noProof/>
        </w:rPr>
        <w:t>Článok 3</w:t>
      </w:r>
    </w:p>
    <w:p w14:paraId="5080759B" w14:textId="77777777" w:rsidR="003230C2" w:rsidRPr="0068720C" w:rsidRDefault="003230C2" w:rsidP="00BE7CB9">
      <w:pPr>
        <w:rPr>
          <w:noProof/>
        </w:rPr>
      </w:pPr>
      <w:r w:rsidRPr="0068720C">
        <w:rPr>
          <w:noProof/>
        </w:rPr>
        <w:t>Toto rozhodnutie je určené členským štátom</w:t>
      </w:r>
      <w:r w:rsidRPr="0068720C">
        <w:rPr>
          <w:i/>
          <w:noProof/>
        </w:rPr>
        <w:t>.</w:t>
      </w:r>
    </w:p>
    <w:p w14:paraId="6B2C918C" w14:textId="11D846FE" w:rsidR="003230C2" w:rsidRPr="0068720C" w:rsidRDefault="00D976C6" w:rsidP="00090C94">
      <w:pPr>
        <w:pStyle w:val="Fait"/>
        <w:rPr>
          <w:noProof/>
        </w:rPr>
      </w:pPr>
      <w:r w:rsidRPr="00D976C6">
        <w:t>V Bruseli</w:t>
      </w:r>
    </w:p>
    <w:p w14:paraId="27D8AAB0" w14:textId="77777777" w:rsidR="003230C2" w:rsidRPr="0068720C" w:rsidRDefault="003230C2" w:rsidP="00090C94">
      <w:pPr>
        <w:pStyle w:val="Institutionquisigne"/>
        <w:rPr>
          <w:noProof/>
        </w:rPr>
      </w:pPr>
      <w:r w:rsidRPr="0068720C">
        <w:rPr>
          <w:noProof/>
        </w:rPr>
        <w:tab/>
        <w:t>Za Radu</w:t>
      </w:r>
    </w:p>
    <w:p w14:paraId="3E18DB1C" w14:textId="77777777" w:rsidR="003230C2" w:rsidRPr="0068720C" w:rsidRDefault="003230C2" w:rsidP="003230C2">
      <w:pPr>
        <w:pStyle w:val="Personnequisigne"/>
        <w:rPr>
          <w:noProof/>
        </w:rPr>
      </w:pPr>
      <w:r w:rsidRPr="0068720C">
        <w:rPr>
          <w:noProof/>
        </w:rPr>
        <w:tab/>
        <w:t>predseda/predsedníčka</w:t>
      </w:r>
    </w:p>
    <w:sectPr w:rsidR="003230C2" w:rsidRPr="0068720C" w:rsidSect="0053798F"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9F73E" w14:textId="77777777" w:rsidR="007545F4" w:rsidRDefault="007545F4" w:rsidP="003230C2">
      <w:pPr>
        <w:spacing w:before="0" w:after="0"/>
      </w:pPr>
      <w:r>
        <w:separator/>
      </w:r>
    </w:p>
  </w:endnote>
  <w:endnote w:type="continuationSeparator" w:id="0">
    <w:p w14:paraId="281FB3CB" w14:textId="77777777" w:rsidR="007545F4" w:rsidRDefault="007545F4" w:rsidP="003230C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14E48" w14:textId="279E355B" w:rsidR="0068720C" w:rsidRPr="0053798F" w:rsidRDefault="0053798F" w:rsidP="0053798F">
    <w:pPr>
      <w:pStyle w:val="Footer"/>
      <w:rPr>
        <w:rFonts w:ascii="Arial" w:hAnsi="Arial" w:cs="Arial"/>
        <w:b/>
        <w:sz w:val="48"/>
      </w:rPr>
    </w:pPr>
    <w:r w:rsidRPr="0053798F">
      <w:rPr>
        <w:rFonts w:ascii="Arial" w:hAnsi="Arial" w:cs="Arial"/>
        <w:b/>
        <w:sz w:val="48"/>
      </w:rPr>
      <w:t>SK</w:t>
    </w:r>
    <w:r w:rsidRPr="0053798F">
      <w:rPr>
        <w:rFonts w:ascii="Arial" w:hAnsi="Arial" w:cs="Arial"/>
        <w:b/>
        <w:sz w:val="48"/>
      </w:rPr>
      <w:tab/>
    </w:r>
    <w:r w:rsidRPr="0053798F">
      <w:rPr>
        <w:rFonts w:ascii="Arial" w:hAnsi="Arial" w:cs="Arial"/>
        <w:b/>
        <w:sz w:val="48"/>
      </w:rPr>
      <w:tab/>
    </w:r>
    <w:r w:rsidRPr="0053798F">
      <w:tab/>
    </w:r>
    <w:r w:rsidRPr="0053798F">
      <w:rPr>
        <w:rFonts w:ascii="Arial" w:hAnsi="Arial" w:cs="Arial"/>
        <w:b/>
        <w:sz w:val="48"/>
      </w:rP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FCBB0" w14:textId="2CB130E8" w:rsidR="0053798F" w:rsidRPr="0053798F" w:rsidRDefault="0053798F" w:rsidP="0053798F">
    <w:pPr>
      <w:pStyle w:val="Footer"/>
      <w:rPr>
        <w:rFonts w:ascii="Arial" w:hAnsi="Arial" w:cs="Arial"/>
        <w:b/>
        <w:sz w:val="48"/>
      </w:rPr>
    </w:pPr>
    <w:r w:rsidRPr="0053798F">
      <w:rPr>
        <w:rFonts w:ascii="Arial" w:hAnsi="Arial" w:cs="Arial"/>
        <w:b/>
        <w:sz w:val="48"/>
      </w:rPr>
      <w:t>SK</w:t>
    </w:r>
    <w:r w:rsidRPr="0053798F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090C94">
      <w:rPr>
        <w:noProof/>
      </w:rPr>
      <w:t>9</w:t>
    </w:r>
    <w:r>
      <w:fldChar w:fldCharType="end"/>
    </w:r>
    <w:r>
      <w:tab/>
    </w:r>
    <w:r w:rsidRPr="0053798F">
      <w:tab/>
    </w:r>
    <w:r w:rsidRPr="0053798F">
      <w:rPr>
        <w:rFonts w:ascii="Arial" w:hAnsi="Arial" w:cs="Arial"/>
        <w:b/>
        <w:sz w:val="48"/>
      </w:rPr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0DB0C" w14:textId="77777777" w:rsidR="0053798F" w:rsidRPr="0053798F" w:rsidRDefault="0053798F" w:rsidP="00537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E9167" w14:textId="77777777" w:rsidR="007545F4" w:rsidRDefault="007545F4" w:rsidP="003230C2">
      <w:pPr>
        <w:spacing w:before="0" w:after="0"/>
      </w:pPr>
      <w:r>
        <w:separator/>
      </w:r>
    </w:p>
  </w:footnote>
  <w:footnote w:type="continuationSeparator" w:id="0">
    <w:p w14:paraId="265C55FA" w14:textId="77777777" w:rsidR="007545F4" w:rsidRDefault="007545F4" w:rsidP="003230C2">
      <w:pPr>
        <w:spacing w:before="0" w:after="0"/>
      </w:pPr>
      <w:r>
        <w:continuationSeparator/>
      </w:r>
    </w:p>
  </w:footnote>
  <w:footnote w:id="1">
    <w:p w14:paraId="3ACA2226" w14:textId="3297C2E1" w:rsidR="0017431F" w:rsidRPr="0068720C" w:rsidRDefault="0017431F" w:rsidP="0017431F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 xml:space="preserve">Organizácia Spojených národov, Série zmlúv (Treaty Series), zv. 978, </w:t>
      </w:r>
      <w:r w:rsidR="0068720C">
        <w:t>č. </w:t>
      </w:r>
      <w:r w:rsidRPr="0068720C">
        <w:t>14152.</w:t>
      </w:r>
    </w:p>
  </w:footnote>
  <w:footnote w:id="2">
    <w:p w14:paraId="778CEC02" w14:textId="6514C886" w:rsidR="0017431F" w:rsidRPr="0068720C" w:rsidRDefault="0017431F" w:rsidP="0017431F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 xml:space="preserve">Organizácia Spojených národov, Série zmlúv (Treaty Series), zv. 1019, </w:t>
      </w:r>
      <w:r w:rsidR="0068720C">
        <w:t>č. </w:t>
      </w:r>
      <w:r w:rsidRPr="0068720C">
        <w:t>14956.</w:t>
      </w:r>
    </w:p>
  </w:footnote>
  <w:footnote w:id="3">
    <w:p w14:paraId="7447119E" w14:textId="5CA54485" w:rsidR="00794314" w:rsidRPr="0068720C" w:rsidRDefault="00794314" w:rsidP="00794314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>Belgicko, Fínsko, Francúzsko, Holandsko, Litva, Maďarsko, Malta, Poľsko, Portugalsko, Rakúsko, Slovinsko, Španielsko</w:t>
      </w:r>
      <w:r w:rsidR="0068720C">
        <w:t xml:space="preserve"> a </w:t>
      </w:r>
      <w:r w:rsidRPr="0068720C">
        <w:t>Taliansko.</w:t>
      </w:r>
    </w:p>
  </w:footnote>
  <w:footnote w:id="4">
    <w:p w14:paraId="657BD534" w14:textId="3B4A4ED5" w:rsidR="001C7F8B" w:rsidRPr="0068720C" w:rsidRDefault="001C7F8B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</w:r>
      <w:hyperlink r:id="rId1" w:history="1">
        <w:r w:rsidRPr="0068720C">
          <w:rPr>
            <w:rStyle w:val="Hyperlink"/>
          </w:rPr>
          <w:t>https://www.who.int/groups/who-expert-committee-on-drug-dependence/46th-ecdd-documents</w:t>
        </w:r>
      </w:hyperlink>
      <w:r w:rsidRPr="0068720C">
        <w:t>.</w:t>
      </w:r>
    </w:p>
  </w:footnote>
  <w:footnote w:id="5">
    <w:p w14:paraId="5AAF2101" w14:textId="3AEBFC46" w:rsidR="00BB5F02" w:rsidRPr="0068720C" w:rsidRDefault="00BB5F02" w:rsidP="00300471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>Smernica Európskeho parlamentu</w:t>
      </w:r>
      <w:r w:rsidR="0068720C">
        <w:t xml:space="preserve"> a </w:t>
      </w:r>
      <w:r w:rsidRPr="0068720C">
        <w:t>Rady (EÚ) 2017/2103</w:t>
      </w:r>
      <w:r w:rsidR="0068720C">
        <w:t xml:space="preserve"> z </w:t>
      </w:r>
      <w:r w:rsidRPr="0068720C">
        <w:t>15</w:t>
      </w:r>
      <w:r w:rsidR="0068720C">
        <w:t>. novembra</w:t>
      </w:r>
      <w:r w:rsidRPr="0068720C">
        <w:t xml:space="preserve"> 2017, ktorou sa mení rámcové rozhodnutie Rady 2004/757/SVV</w:t>
      </w:r>
      <w:r w:rsidR="0068720C">
        <w:t xml:space="preserve"> s </w:t>
      </w:r>
      <w:r w:rsidRPr="0068720C">
        <w:t>cieľom zahrnúť nové psychoaktívne látky do vymedzenia pojmu drogy</w:t>
      </w:r>
      <w:r w:rsidR="0068720C">
        <w:t xml:space="preserve"> a </w:t>
      </w:r>
      <w:r w:rsidRPr="0068720C">
        <w:t>ktorou sa zrušuje rozhodnutie Rady 2005/387/SVV (Ú. v. EÚ L 305, 21.11.2017, s. 12)</w:t>
      </w:r>
      <w:r w:rsidR="00300471" w:rsidRPr="0068720C">
        <w:t>.</w:t>
      </w:r>
    </w:p>
  </w:footnote>
  <w:footnote w:id="6">
    <w:p w14:paraId="0B91F989" w14:textId="151A4068" w:rsidR="00BB5F02" w:rsidRPr="0068720C" w:rsidRDefault="00BB5F02" w:rsidP="00BB5F02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>Pozri prílohu</w:t>
      </w:r>
      <w:r w:rsidR="0068720C">
        <w:t xml:space="preserve"> k </w:t>
      </w:r>
      <w:r w:rsidRPr="0068720C">
        <w:t>rámcovému rozhodnutiu.</w:t>
      </w:r>
    </w:p>
  </w:footnote>
  <w:footnote w:id="7">
    <w:p w14:paraId="7A1EABE5" w14:textId="715B5D85" w:rsidR="00BB5F02" w:rsidRPr="0068720C" w:rsidRDefault="00BB5F02" w:rsidP="00BB5F02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>S jedinou výnimkou,</w:t>
      </w:r>
      <w:r w:rsidR="0068720C">
        <w:t xml:space="preserve"> v </w:t>
      </w:r>
      <w:r w:rsidRPr="0068720C">
        <w:t>prípade ktorej sa uskutočnilo podanie na Súdny dvor.</w:t>
      </w:r>
    </w:p>
  </w:footnote>
  <w:footnote w:id="8">
    <w:p w14:paraId="05B57A10" w14:textId="5698F788" w:rsidR="003230C2" w:rsidRPr="0068720C" w:rsidRDefault="003230C2" w:rsidP="00300471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>Rozsudok Súdneho dvora zo 7</w:t>
      </w:r>
      <w:r w:rsidR="0068720C">
        <w:t>. októbra</w:t>
      </w:r>
      <w:r w:rsidRPr="0068720C">
        <w:t xml:space="preserve"> 2014, Nemecko/Rada, C-399/12, ECLI:EU:C:2014:2258, bod 64</w:t>
      </w:r>
      <w:r w:rsidR="00300471" w:rsidRPr="0068720C">
        <w:t>.</w:t>
      </w:r>
    </w:p>
  </w:footnote>
  <w:footnote w:id="9">
    <w:p w14:paraId="1E1873AF" w14:textId="1DA13B0E" w:rsidR="003230C2" w:rsidRPr="0068720C" w:rsidRDefault="003230C2" w:rsidP="00300471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>Rozsudok Súdneho dvora zo 7</w:t>
      </w:r>
      <w:r w:rsidR="0068720C">
        <w:t>. októbra</w:t>
      </w:r>
      <w:r w:rsidRPr="0068720C">
        <w:t xml:space="preserve"> 2014, Nemecko/Rada, C-399/12, ECLI:EU:C:2014:2258, body 61 až 64</w:t>
      </w:r>
      <w:r w:rsidR="00300471" w:rsidRPr="0068720C">
        <w:t>.</w:t>
      </w:r>
    </w:p>
  </w:footnote>
  <w:footnote w:id="10">
    <w:p w14:paraId="2B1AB912" w14:textId="39F77C32" w:rsidR="00000C81" w:rsidRPr="0068720C" w:rsidRDefault="00000C81" w:rsidP="00000C81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>Článok 3 ods. 7 dohovoru</w:t>
      </w:r>
      <w:r w:rsidR="0068720C">
        <w:t xml:space="preserve"> o </w:t>
      </w:r>
      <w:r w:rsidRPr="0068720C">
        <w:t>omamných látkach; článok 2 ods. 7 dohovoru</w:t>
      </w:r>
      <w:r w:rsidR="0068720C">
        <w:t xml:space="preserve"> o </w:t>
      </w:r>
      <w:r w:rsidRPr="0068720C">
        <w:t>psychotropných látkach.</w:t>
      </w:r>
    </w:p>
  </w:footnote>
  <w:footnote w:id="11">
    <w:p w14:paraId="3B3ABFBB" w14:textId="4880BCAE" w:rsidR="005A0005" w:rsidRPr="0068720C" w:rsidRDefault="005A0005" w:rsidP="005A0005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</w:r>
      <w:r w:rsidRPr="0068720C">
        <w:rPr>
          <w:color w:val="000000" w:themeColor="text1"/>
        </w:rPr>
        <w:t xml:space="preserve">Organizácia Spojených národov, Série zmlúv (Treaty Series), zv. 978, </w:t>
      </w:r>
      <w:r w:rsidR="0068720C">
        <w:rPr>
          <w:color w:val="000000" w:themeColor="text1"/>
        </w:rPr>
        <w:t>č. </w:t>
      </w:r>
      <w:r w:rsidRPr="0068720C">
        <w:rPr>
          <w:color w:val="000000" w:themeColor="text1"/>
        </w:rPr>
        <w:t>14152.</w:t>
      </w:r>
    </w:p>
  </w:footnote>
  <w:footnote w:id="12">
    <w:p w14:paraId="57DA3AC1" w14:textId="78B3F6C0" w:rsidR="0071248F" w:rsidRPr="0068720C" w:rsidRDefault="0071248F" w:rsidP="0071248F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</w:r>
      <w:r w:rsidRPr="0068720C">
        <w:rPr>
          <w:color w:val="000000" w:themeColor="text1"/>
        </w:rPr>
        <w:t xml:space="preserve">Organizácia Spojených národov, Série zmlúv (Treaty Series), zv. 1019, </w:t>
      </w:r>
      <w:r w:rsidR="0068720C">
        <w:rPr>
          <w:color w:val="000000" w:themeColor="text1"/>
        </w:rPr>
        <w:t>č. </w:t>
      </w:r>
      <w:r w:rsidRPr="0068720C">
        <w:rPr>
          <w:color w:val="000000" w:themeColor="text1"/>
        </w:rPr>
        <w:t>14956.</w:t>
      </w:r>
    </w:p>
  </w:footnote>
  <w:footnote w:id="13">
    <w:p w14:paraId="6A0CE570" w14:textId="77BF1DA1" w:rsidR="008266F2" w:rsidRPr="0068720C" w:rsidRDefault="008266F2" w:rsidP="008266F2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>Rámcové rozhodnutie Rady 2004/757/SVV</w:t>
      </w:r>
      <w:r w:rsidR="0068720C">
        <w:t xml:space="preserve"> z </w:t>
      </w:r>
      <w:r w:rsidRPr="0068720C">
        <w:t>25</w:t>
      </w:r>
      <w:r w:rsidR="0068720C">
        <w:t>. októbra</w:t>
      </w:r>
      <w:r w:rsidRPr="0068720C">
        <w:t xml:space="preserve"> 2004, ktorým sa stanovujú minimálne ustanovenia</w:t>
      </w:r>
      <w:r w:rsidR="0068720C">
        <w:t xml:space="preserve"> o </w:t>
      </w:r>
      <w:r w:rsidRPr="0068720C">
        <w:t>znakoch skutkových podstát trestných činov</w:t>
      </w:r>
      <w:r w:rsidR="0068720C">
        <w:t xml:space="preserve"> a </w:t>
      </w:r>
      <w:r w:rsidRPr="0068720C">
        <w:t>trestov</w:t>
      </w:r>
      <w:r w:rsidR="0068720C">
        <w:t xml:space="preserve"> v </w:t>
      </w:r>
      <w:r w:rsidRPr="0068720C">
        <w:t>oblasti nezákonného obchodu</w:t>
      </w:r>
      <w:r w:rsidR="0068720C">
        <w:t xml:space="preserve"> s </w:t>
      </w:r>
      <w:r w:rsidRPr="0068720C">
        <w:t>drogami (Ú. v. EÚ L 335, 11.11.2004, s. 8).</w:t>
      </w:r>
    </w:p>
  </w:footnote>
  <w:footnote w:id="14">
    <w:p w14:paraId="0BCAE60A" w14:textId="753CE375" w:rsidR="00122183" w:rsidRPr="0068720C" w:rsidRDefault="00122183" w:rsidP="00122183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>Belgicko, Fínsko, Francúzsko, Holandsko, Litva, Maďarsko, Malta, Poľsko, Portugalsko, Rakúsko, Slovinsko, Španielsko</w:t>
      </w:r>
      <w:r w:rsidR="0068720C">
        <w:t xml:space="preserve"> a </w:t>
      </w:r>
      <w:r w:rsidRPr="0068720C">
        <w:t>Taliansko.</w:t>
      </w:r>
    </w:p>
  </w:footnote>
  <w:footnote w:id="15">
    <w:p w14:paraId="01E7B3C7" w14:textId="2C318EE5" w:rsidR="001C7F8B" w:rsidRPr="0068720C" w:rsidRDefault="001C7F8B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</w:r>
      <w:hyperlink r:id="rId2" w:history="1">
        <w:r w:rsidRPr="0068720C">
          <w:rPr>
            <w:rStyle w:val="Hyperlink"/>
          </w:rPr>
          <w:t>https://www.who.int/groups/who-expert-committee-on-drug-dependence/46th-ecdd-documents</w:t>
        </w:r>
      </w:hyperlink>
      <w:r w:rsidRPr="0068720C">
        <w:t>.</w:t>
      </w:r>
      <w:r w:rsidRPr="0068720C">
        <w:tab/>
      </w:r>
    </w:p>
  </w:footnote>
  <w:footnote w:id="16">
    <w:p w14:paraId="30E877DD" w14:textId="54EB62FA" w:rsidR="0084076F" w:rsidRPr="0068720C" w:rsidRDefault="0084076F" w:rsidP="0084076F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>Nariadenie Európskeho parlamentu</w:t>
      </w:r>
      <w:r w:rsidR="0068720C">
        <w:t xml:space="preserve"> a </w:t>
      </w:r>
      <w:r w:rsidRPr="0068720C">
        <w:t xml:space="preserve">Rady (ES) </w:t>
      </w:r>
      <w:r w:rsidR="0068720C">
        <w:t>č. </w:t>
      </w:r>
      <w:r w:rsidRPr="0068720C">
        <w:t>1920/2006</w:t>
      </w:r>
      <w:r w:rsidR="0068720C">
        <w:t xml:space="preserve"> z </w:t>
      </w:r>
      <w:r w:rsidRPr="0068720C">
        <w:t>12</w:t>
      </w:r>
      <w:r w:rsidR="0068720C">
        <w:t>. decembra</w:t>
      </w:r>
      <w:r w:rsidRPr="0068720C">
        <w:t xml:space="preserve"> 2006</w:t>
      </w:r>
      <w:r w:rsidR="0068720C">
        <w:t xml:space="preserve"> o </w:t>
      </w:r>
      <w:r w:rsidRPr="0068720C">
        <w:t>Európskom monitorovacom centre pre drogy</w:t>
      </w:r>
      <w:r w:rsidR="0068720C">
        <w:t xml:space="preserve"> a </w:t>
      </w:r>
      <w:r w:rsidRPr="0068720C">
        <w:t>drogovú závislosť (Ú. v. EÚ L 376, 27.12.2006, s. 1).</w:t>
      </w:r>
    </w:p>
  </w:footnote>
  <w:footnote w:id="17">
    <w:p w14:paraId="614B3752" w14:textId="41462FEF" w:rsidR="00731F9F" w:rsidRPr="0068720C" w:rsidRDefault="00731F9F" w:rsidP="00731F9F">
      <w:pPr>
        <w:pStyle w:val="FootnoteText"/>
      </w:pPr>
      <w:r w:rsidRPr="0068720C">
        <w:rPr>
          <w:rStyle w:val="FootnoteReference"/>
        </w:rPr>
        <w:footnoteRef/>
      </w:r>
      <w:r w:rsidRPr="0068720C">
        <w:tab/>
        <w:t>Delegovaná smernica Komisie (EÚ) 2022/1326</w:t>
      </w:r>
      <w:r w:rsidR="0068720C">
        <w:t xml:space="preserve"> z </w:t>
      </w:r>
      <w:r w:rsidRPr="0068720C">
        <w:t>18</w:t>
      </w:r>
      <w:r w:rsidR="0068720C">
        <w:t>. marca</w:t>
      </w:r>
      <w:r w:rsidRPr="0068720C">
        <w:t xml:space="preserve"> 2022, ktorou sa mení príloha</w:t>
      </w:r>
      <w:r w:rsidR="0068720C">
        <w:t xml:space="preserve"> k </w:t>
      </w:r>
      <w:r w:rsidRPr="0068720C">
        <w:t>rámcovému rozhodnutiu Rady 2004/757/SVV, pokiaľ ide</w:t>
      </w:r>
      <w:r w:rsidR="0068720C">
        <w:t xml:space="preserve"> o </w:t>
      </w:r>
      <w:r w:rsidRPr="0068720C">
        <w:t>zahrnutie nových psychoaktívnych látok do vymedzenia pojmu drogy (Ú. v. EÚ L 200, 29.7.2022, s. 148).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2D69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C687AA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33F6A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8ABE1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8"/>
    <w:lvlOverride w:ilvl="0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8"/>
  </w:num>
  <w:num w:numId="9">
    <w:abstractNumId w:val="17"/>
  </w:num>
  <w:num w:numId="10">
    <w:abstractNumId w:val="7"/>
  </w:num>
  <w:num w:numId="11">
    <w:abstractNumId w:val="9"/>
  </w:num>
  <w:num w:numId="12">
    <w:abstractNumId w:val="10"/>
  </w:num>
  <w:num w:numId="13">
    <w:abstractNumId w:val="5"/>
  </w:num>
  <w:num w:numId="14">
    <w:abstractNumId w:val="16"/>
  </w:num>
  <w:num w:numId="15">
    <w:abstractNumId w:val="4"/>
  </w:num>
  <w:num w:numId="16">
    <w:abstractNumId w:val="11"/>
  </w:num>
  <w:num w:numId="17">
    <w:abstractNumId w:val="13"/>
  </w:num>
  <w:num w:numId="18">
    <w:abstractNumId w:val="14"/>
  </w:num>
  <w:num w:numId="19">
    <w:abstractNumId w:val="6"/>
  </w:num>
  <w:num w:numId="20">
    <w:abstractNumId w:val="12"/>
  </w:num>
  <w:num w:numId="21">
    <w:abstractNumId w:val="18"/>
  </w:num>
  <w:num w:numId="22">
    <w:abstractNumId w:val="15"/>
  </w:num>
  <w:num w:numId="23">
    <w:abstractNumId w:val="8"/>
  </w:num>
  <w:num w:numId="24">
    <w:abstractNumId w:val="17"/>
  </w:num>
  <w:num w:numId="25">
    <w:abstractNumId w:val="7"/>
  </w:num>
  <w:num w:numId="26">
    <w:abstractNumId w:val="9"/>
  </w:num>
  <w:num w:numId="27">
    <w:abstractNumId w:val="10"/>
  </w:num>
  <w:num w:numId="28">
    <w:abstractNumId w:val="5"/>
  </w:num>
  <w:num w:numId="29">
    <w:abstractNumId w:val="16"/>
  </w:num>
  <w:num w:numId="30">
    <w:abstractNumId w:val="4"/>
  </w:num>
  <w:num w:numId="31">
    <w:abstractNumId w:val="11"/>
  </w:num>
  <w:num w:numId="32">
    <w:abstractNumId w:val="13"/>
  </w:num>
  <w:num w:numId="33">
    <w:abstractNumId w:val="14"/>
  </w:num>
  <w:num w:numId="34">
    <w:abstractNumId w:val="6"/>
  </w:num>
  <w:num w:numId="35">
    <w:abstractNumId w:val="12"/>
  </w:num>
  <w:num w:numId="36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R_RefLast" w:val="0"/>
    <w:docVar w:name="DQCDateTime" w:val="2023-12-18 15:58:32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434B5CEE-EF35-4450-8F07-ECB2BE2D1490"/>
    <w:docVar w:name="LW_COVERPAGE_TYPE" w:val="1"/>
    <w:docVar w:name="LW_CROSSREFERENCE" w:val="&lt;UNUSED&gt;"/>
    <w:docVar w:name="LW_DocType" w:val="COM"/>
    <w:docVar w:name="LW_EMISSION" w:val="9. 1. 2024"/>
    <w:docVar w:name="LW_EMISSION_ISODATE" w:val="2024-01-09"/>
    <w:docVar w:name="LW_EMISSION_LOCATION" w:val="BRX"/>
    <w:docVar w:name="LW_EMISSION_PREFIX" w:val="V Bruseli"/>
    <w:docVar w:name="LW_EMISSION_SUFFIX" w:val=" "/>
    <w:docVar w:name="LW_ID_DOCMODEL" w:val="SJ-043"/>
    <w:docVar w:name="LW_ID_DOCSIGNATURE" w:val="SJ-019"/>
    <w:docVar w:name="LW_ID_DOCSTRUCTURE" w:val="COM/PL/ORG"/>
    <w:docVar w:name="LW_ID_DOCTYPE" w:val="SJ-043"/>
    <w:docVar w:name="LW_ID_STATUT" w:val="SJ-019"/>
    <w:docVar w:name="LW_INSERT_EXP.MOTIFS.NEW" w:val="1"/>
    <w:docVar w:name="LW_INTERETEEE.CP" w:val="&lt;UNUSED&gt;"/>
    <w:docVar w:name="LW_LANGUE" w:val="SK"/>
    <w:docVar w:name="LW_LEVEL_OF_SENSITIVITY" w:val="Standard treatment"/>
    <w:docVar w:name="LW_NOM.INST" w:val="EURÓPSKA KOMISIA"/>
    <w:docVar w:name="LW_NOM.INST_JOINTDOC" w:val="&lt;EMPTY&gt;"/>
    <w:docVar w:name="LW_PART_NBR" w:val="1"/>
    <w:docVar w:name="LW_PART_NBR_TOTAL" w:val="1"/>
    <w:docVar w:name="LW_REF.II.NEW.CP" w:val="NLE"/>
    <w:docVar w:name="LW_REF.II.NEW.CP_NUMBER" w:val="0001"/>
    <w:docVar w:name="LW_REF.II.NEW.CP_YEAR" w:val="2024"/>
    <w:docVar w:name="LW_REF.INST.NEW" w:val="COM"/>
    <w:docVar w:name="LW_REF.INST.NEW_ADOPTED" w:val="final"/>
    <w:docVar w:name="LW_REF.INST.NEW_TEXT" w:val="(2024) 2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Návrh"/>
    <w:docVar w:name="LW_SUPERTITRE" w:val="&lt;UNUSED&gt;"/>
    <w:docVar w:name="LW_TITRE.OBJ.CP" w:val="o pozícii, ktorá sa má zaujať v mene Európskej únie na šesťdesiatom siedmom zasadnutí Komisie pre omamné látky v súvislosti so zaradením látok do zoznamov k Jednotnému dohovoru o omamných látkach z roku 1961 zmenenému protokolom z roku 1972 a k Dohovoru o psychotropných látkach z roku 1971"/>
    <w:docVar w:name="LW_TYPE.DOC.CP" w:val="ROZHODNUTIE RADY"/>
    <w:docVar w:name="LwApiVersions" w:val="LW4CoDe 1.23.2.0; LW 8.0, Build 20211117"/>
  </w:docVars>
  <w:rsids>
    <w:rsidRoot w:val="003230C2"/>
    <w:rsid w:val="00000C81"/>
    <w:rsid w:val="000110FF"/>
    <w:rsid w:val="00011BFA"/>
    <w:rsid w:val="00014C49"/>
    <w:rsid w:val="000160BE"/>
    <w:rsid w:val="00020437"/>
    <w:rsid w:val="000216B0"/>
    <w:rsid w:val="00033C6C"/>
    <w:rsid w:val="00034413"/>
    <w:rsid w:val="00035DD2"/>
    <w:rsid w:val="0004767F"/>
    <w:rsid w:val="00056C6F"/>
    <w:rsid w:val="00060BCE"/>
    <w:rsid w:val="00061B69"/>
    <w:rsid w:val="000631A6"/>
    <w:rsid w:val="00070EB8"/>
    <w:rsid w:val="000731B5"/>
    <w:rsid w:val="000745D7"/>
    <w:rsid w:val="000810D5"/>
    <w:rsid w:val="00087035"/>
    <w:rsid w:val="00090C94"/>
    <w:rsid w:val="000934E3"/>
    <w:rsid w:val="000A5238"/>
    <w:rsid w:val="000C0437"/>
    <w:rsid w:val="000C2643"/>
    <w:rsid w:val="000D0991"/>
    <w:rsid w:val="000D0A19"/>
    <w:rsid w:val="000D0C7F"/>
    <w:rsid w:val="000D1F21"/>
    <w:rsid w:val="000D5A7F"/>
    <w:rsid w:val="000D5B2C"/>
    <w:rsid w:val="000E4185"/>
    <w:rsid w:val="000F4056"/>
    <w:rsid w:val="001048CA"/>
    <w:rsid w:val="001065F5"/>
    <w:rsid w:val="00111BA6"/>
    <w:rsid w:val="001219F0"/>
    <w:rsid w:val="00121B36"/>
    <w:rsid w:val="00122183"/>
    <w:rsid w:val="001238EF"/>
    <w:rsid w:val="00123BBB"/>
    <w:rsid w:val="00123E32"/>
    <w:rsid w:val="00125A89"/>
    <w:rsid w:val="001443DE"/>
    <w:rsid w:val="0017431F"/>
    <w:rsid w:val="001748D4"/>
    <w:rsid w:val="00176358"/>
    <w:rsid w:val="0018330E"/>
    <w:rsid w:val="0018341F"/>
    <w:rsid w:val="00197613"/>
    <w:rsid w:val="001A5887"/>
    <w:rsid w:val="001C7F8B"/>
    <w:rsid w:val="001D1627"/>
    <w:rsid w:val="001D4511"/>
    <w:rsid w:val="001D47B3"/>
    <w:rsid w:val="001D663C"/>
    <w:rsid w:val="001E4B0F"/>
    <w:rsid w:val="001E517B"/>
    <w:rsid w:val="001F2E78"/>
    <w:rsid w:val="001F3114"/>
    <w:rsid w:val="001F621A"/>
    <w:rsid w:val="00203F51"/>
    <w:rsid w:val="002055BE"/>
    <w:rsid w:val="002235B9"/>
    <w:rsid w:val="002239E3"/>
    <w:rsid w:val="00233DC7"/>
    <w:rsid w:val="0023684B"/>
    <w:rsid w:val="00244D64"/>
    <w:rsid w:val="00247779"/>
    <w:rsid w:val="00254FAE"/>
    <w:rsid w:val="0025546A"/>
    <w:rsid w:val="00264BC2"/>
    <w:rsid w:val="0027648E"/>
    <w:rsid w:val="00285BEE"/>
    <w:rsid w:val="00286F8F"/>
    <w:rsid w:val="002910EB"/>
    <w:rsid w:val="0029533F"/>
    <w:rsid w:val="002A0AE0"/>
    <w:rsid w:val="002A0B2F"/>
    <w:rsid w:val="002A2F82"/>
    <w:rsid w:val="002B30AF"/>
    <w:rsid w:val="002B5427"/>
    <w:rsid w:val="002C37FA"/>
    <w:rsid w:val="002C76FF"/>
    <w:rsid w:val="002F2DE8"/>
    <w:rsid w:val="002F40F2"/>
    <w:rsid w:val="002F5F3D"/>
    <w:rsid w:val="00300471"/>
    <w:rsid w:val="003230C2"/>
    <w:rsid w:val="00327CAA"/>
    <w:rsid w:val="003305CF"/>
    <w:rsid w:val="0033071C"/>
    <w:rsid w:val="0033344A"/>
    <w:rsid w:val="003375E9"/>
    <w:rsid w:val="00340134"/>
    <w:rsid w:val="00354BA8"/>
    <w:rsid w:val="00357B8D"/>
    <w:rsid w:val="00357BE3"/>
    <w:rsid w:val="00371BE0"/>
    <w:rsid w:val="00376F2A"/>
    <w:rsid w:val="00383FBC"/>
    <w:rsid w:val="00390D4C"/>
    <w:rsid w:val="0039242D"/>
    <w:rsid w:val="00393C7D"/>
    <w:rsid w:val="0039561E"/>
    <w:rsid w:val="003A72AC"/>
    <w:rsid w:val="003B3D32"/>
    <w:rsid w:val="003B431E"/>
    <w:rsid w:val="003B518C"/>
    <w:rsid w:val="003C0719"/>
    <w:rsid w:val="003C3281"/>
    <w:rsid w:val="003C6527"/>
    <w:rsid w:val="003C6664"/>
    <w:rsid w:val="003D231B"/>
    <w:rsid w:val="003D2A4E"/>
    <w:rsid w:val="003E5D3B"/>
    <w:rsid w:val="003F18C0"/>
    <w:rsid w:val="003F6E3D"/>
    <w:rsid w:val="00400A40"/>
    <w:rsid w:val="004100D6"/>
    <w:rsid w:val="0041073F"/>
    <w:rsid w:val="0041131A"/>
    <w:rsid w:val="00412743"/>
    <w:rsid w:val="00414C3C"/>
    <w:rsid w:val="00415132"/>
    <w:rsid w:val="00421E4A"/>
    <w:rsid w:val="00423CA6"/>
    <w:rsid w:val="0042648E"/>
    <w:rsid w:val="00433230"/>
    <w:rsid w:val="00440048"/>
    <w:rsid w:val="00442944"/>
    <w:rsid w:val="00447542"/>
    <w:rsid w:val="0045508C"/>
    <w:rsid w:val="00460D11"/>
    <w:rsid w:val="0046148C"/>
    <w:rsid w:val="00461A47"/>
    <w:rsid w:val="00484378"/>
    <w:rsid w:val="004936D2"/>
    <w:rsid w:val="004A2BC6"/>
    <w:rsid w:val="004A4D44"/>
    <w:rsid w:val="004B3B52"/>
    <w:rsid w:val="004B5C6D"/>
    <w:rsid w:val="004B5F58"/>
    <w:rsid w:val="004B76CE"/>
    <w:rsid w:val="004C2315"/>
    <w:rsid w:val="004D7E1E"/>
    <w:rsid w:val="004F2246"/>
    <w:rsid w:val="00503F79"/>
    <w:rsid w:val="00514F78"/>
    <w:rsid w:val="00522474"/>
    <w:rsid w:val="00522677"/>
    <w:rsid w:val="00525394"/>
    <w:rsid w:val="0053798F"/>
    <w:rsid w:val="00541601"/>
    <w:rsid w:val="00547AF4"/>
    <w:rsid w:val="005517D1"/>
    <w:rsid w:val="00552608"/>
    <w:rsid w:val="005846E1"/>
    <w:rsid w:val="00590379"/>
    <w:rsid w:val="00591A60"/>
    <w:rsid w:val="005A0005"/>
    <w:rsid w:val="005A3CC9"/>
    <w:rsid w:val="005B1EB6"/>
    <w:rsid w:val="005C58BE"/>
    <w:rsid w:val="005C7A75"/>
    <w:rsid w:val="005D489F"/>
    <w:rsid w:val="005D65DB"/>
    <w:rsid w:val="005D6AA2"/>
    <w:rsid w:val="005F199A"/>
    <w:rsid w:val="006031DC"/>
    <w:rsid w:val="0061304A"/>
    <w:rsid w:val="0061394E"/>
    <w:rsid w:val="00624AE5"/>
    <w:rsid w:val="006365D9"/>
    <w:rsid w:val="0064353D"/>
    <w:rsid w:val="00644BDC"/>
    <w:rsid w:val="00647171"/>
    <w:rsid w:val="00651818"/>
    <w:rsid w:val="006608F1"/>
    <w:rsid w:val="006624FF"/>
    <w:rsid w:val="0066305D"/>
    <w:rsid w:val="00673C0A"/>
    <w:rsid w:val="00676378"/>
    <w:rsid w:val="00680889"/>
    <w:rsid w:val="0068403A"/>
    <w:rsid w:val="006853F4"/>
    <w:rsid w:val="0068720C"/>
    <w:rsid w:val="00691A1F"/>
    <w:rsid w:val="006964AB"/>
    <w:rsid w:val="006A27E6"/>
    <w:rsid w:val="006A44F3"/>
    <w:rsid w:val="006A70A2"/>
    <w:rsid w:val="006A7544"/>
    <w:rsid w:val="006B15D1"/>
    <w:rsid w:val="006C1272"/>
    <w:rsid w:val="006D1598"/>
    <w:rsid w:val="006D5480"/>
    <w:rsid w:val="006D7070"/>
    <w:rsid w:val="006E3423"/>
    <w:rsid w:val="006E5E4E"/>
    <w:rsid w:val="006F3A39"/>
    <w:rsid w:val="006F5C6F"/>
    <w:rsid w:val="00701F51"/>
    <w:rsid w:val="0070278A"/>
    <w:rsid w:val="0071248F"/>
    <w:rsid w:val="00714643"/>
    <w:rsid w:val="00714719"/>
    <w:rsid w:val="00717A68"/>
    <w:rsid w:val="00720E03"/>
    <w:rsid w:val="00721069"/>
    <w:rsid w:val="00731F9F"/>
    <w:rsid w:val="0073425F"/>
    <w:rsid w:val="007426FC"/>
    <w:rsid w:val="00743ACA"/>
    <w:rsid w:val="00746977"/>
    <w:rsid w:val="00753CAD"/>
    <w:rsid w:val="007545F4"/>
    <w:rsid w:val="00760123"/>
    <w:rsid w:val="007621C0"/>
    <w:rsid w:val="007705A3"/>
    <w:rsid w:val="00773331"/>
    <w:rsid w:val="007804FE"/>
    <w:rsid w:val="00783732"/>
    <w:rsid w:val="007932EF"/>
    <w:rsid w:val="007942E8"/>
    <w:rsid w:val="00794314"/>
    <w:rsid w:val="007A620A"/>
    <w:rsid w:val="007B2B89"/>
    <w:rsid w:val="007B3937"/>
    <w:rsid w:val="007B512C"/>
    <w:rsid w:val="007C243C"/>
    <w:rsid w:val="007C293F"/>
    <w:rsid w:val="007D2D14"/>
    <w:rsid w:val="007D486C"/>
    <w:rsid w:val="007E05B0"/>
    <w:rsid w:val="007E5A47"/>
    <w:rsid w:val="00805397"/>
    <w:rsid w:val="0080540C"/>
    <w:rsid w:val="008056A1"/>
    <w:rsid w:val="00814249"/>
    <w:rsid w:val="008168B8"/>
    <w:rsid w:val="0082083F"/>
    <w:rsid w:val="00821EE2"/>
    <w:rsid w:val="008244FC"/>
    <w:rsid w:val="008266F2"/>
    <w:rsid w:val="0084076F"/>
    <w:rsid w:val="00851C73"/>
    <w:rsid w:val="0085348C"/>
    <w:rsid w:val="008574BA"/>
    <w:rsid w:val="0086303B"/>
    <w:rsid w:val="00864130"/>
    <w:rsid w:val="00874D22"/>
    <w:rsid w:val="008763B5"/>
    <w:rsid w:val="00877156"/>
    <w:rsid w:val="008921A6"/>
    <w:rsid w:val="008A0772"/>
    <w:rsid w:val="008A2914"/>
    <w:rsid w:val="008A43E3"/>
    <w:rsid w:val="008A5D0D"/>
    <w:rsid w:val="008B567F"/>
    <w:rsid w:val="008C3EC3"/>
    <w:rsid w:val="008D3B4F"/>
    <w:rsid w:val="008E07B3"/>
    <w:rsid w:val="008E4D8E"/>
    <w:rsid w:val="008F01B8"/>
    <w:rsid w:val="008F1E82"/>
    <w:rsid w:val="008F2942"/>
    <w:rsid w:val="008F47F2"/>
    <w:rsid w:val="008F545F"/>
    <w:rsid w:val="00900046"/>
    <w:rsid w:val="0090093F"/>
    <w:rsid w:val="00913B34"/>
    <w:rsid w:val="0091727C"/>
    <w:rsid w:val="009201E2"/>
    <w:rsid w:val="00930253"/>
    <w:rsid w:val="00943589"/>
    <w:rsid w:val="0094791D"/>
    <w:rsid w:val="00952AFA"/>
    <w:rsid w:val="0095592D"/>
    <w:rsid w:val="00956A25"/>
    <w:rsid w:val="00977B86"/>
    <w:rsid w:val="00980CDA"/>
    <w:rsid w:val="0098123E"/>
    <w:rsid w:val="00983BAD"/>
    <w:rsid w:val="009938F5"/>
    <w:rsid w:val="0099745D"/>
    <w:rsid w:val="009A6B83"/>
    <w:rsid w:val="009A794F"/>
    <w:rsid w:val="009B0E6B"/>
    <w:rsid w:val="009C7B16"/>
    <w:rsid w:val="009D136A"/>
    <w:rsid w:val="009D3D9F"/>
    <w:rsid w:val="009F5E34"/>
    <w:rsid w:val="00A02545"/>
    <w:rsid w:val="00A05252"/>
    <w:rsid w:val="00A14406"/>
    <w:rsid w:val="00A27EA1"/>
    <w:rsid w:val="00A41E69"/>
    <w:rsid w:val="00A567DA"/>
    <w:rsid w:val="00A73CCD"/>
    <w:rsid w:val="00A774D2"/>
    <w:rsid w:val="00A83EBF"/>
    <w:rsid w:val="00A85563"/>
    <w:rsid w:val="00A87B0F"/>
    <w:rsid w:val="00A96C6B"/>
    <w:rsid w:val="00AA0130"/>
    <w:rsid w:val="00AA1733"/>
    <w:rsid w:val="00AA71EC"/>
    <w:rsid w:val="00AA7C2E"/>
    <w:rsid w:val="00AA7E7C"/>
    <w:rsid w:val="00AB6B0F"/>
    <w:rsid w:val="00AB713F"/>
    <w:rsid w:val="00AC118A"/>
    <w:rsid w:val="00AC212C"/>
    <w:rsid w:val="00AD186B"/>
    <w:rsid w:val="00AD4814"/>
    <w:rsid w:val="00AD6BA3"/>
    <w:rsid w:val="00AF244A"/>
    <w:rsid w:val="00AF269D"/>
    <w:rsid w:val="00AF429B"/>
    <w:rsid w:val="00AF57D6"/>
    <w:rsid w:val="00B0230F"/>
    <w:rsid w:val="00B0618B"/>
    <w:rsid w:val="00B07B97"/>
    <w:rsid w:val="00B1705C"/>
    <w:rsid w:val="00B21888"/>
    <w:rsid w:val="00B3090D"/>
    <w:rsid w:val="00B327C5"/>
    <w:rsid w:val="00B407A3"/>
    <w:rsid w:val="00B41044"/>
    <w:rsid w:val="00B445C3"/>
    <w:rsid w:val="00B50BF2"/>
    <w:rsid w:val="00B50F83"/>
    <w:rsid w:val="00B553C3"/>
    <w:rsid w:val="00B55D78"/>
    <w:rsid w:val="00B64150"/>
    <w:rsid w:val="00B64CFE"/>
    <w:rsid w:val="00B66DC8"/>
    <w:rsid w:val="00B73979"/>
    <w:rsid w:val="00B75AA5"/>
    <w:rsid w:val="00B81E9B"/>
    <w:rsid w:val="00B82266"/>
    <w:rsid w:val="00BA09CA"/>
    <w:rsid w:val="00BA3E65"/>
    <w:rsid w:val="00BB3FAF"/>
    <w:rsid w:val="00BB438E"/>
    <w:rsid w:val="00BB5F02"/>
    <w:rsid w:val="00BB7CFB"/>
    <w:rsid w:val="00BC05EF"/>
    <w:rsid w:val="00BC0C12"/>
    <w:rsid w:val="00BC4427"/>
    <w:rsid w:val="00BC5C05"/>
    <w:rsid w:val="00BD1388"/>
    <w:rsid w:val="00BF0F7E"/>
    <w:rsid w:val="00C01D0A"/>
    <w:rsid w:val="00C12301"/>
    <w:rsid w:val="00C22343"/>
    <w:rsid w:val="00C2296D"/>
    <w:rsid w:val="00C25222"/>
    <w:rsid w:val="00C32BD0"/>
    <w:rsid w:val="00C52BDA"/>
    <w:rsid w:val="00C55A34"/>
    <w:rsid w:val="00C57B21"/>
    <w:rsid w:val="00C62E11"/>
    <w:rsid w:val="00C67E30"/>
    <w:rsid w:val="00C706A5"/>
    <w:rsid w:val="00C81AC8"/>
    <w:rsid w:val="00C857DF"/>
    <w:rsid w:val="00CA0699"/>
    <w:rsid w:val="00CA2AD2"/>
    <w:rsid w:val="00CA4A46"/>
    <w:rsid w:val="00CA5C7C"/>
    <w:rsid w:val="00CB01B1"/>
    <w:rsid w:val="00CB65C9"/>
    <w:rsid w:val="00CC4D16"/>
    <w:rsid w:val="00CD0FD6"/>
    <w:rsid w:val="00CD22BD"/>
    <w:rsid w:val="00CE182B"/>
    <w:rsid w:val="00CE3F4E"/>
    <w:rsid w:val="00CE73C8"/>
    <w:rsid w:val="00CF2388"/>
    <w:rsid w:val="00CF58EA"/>
    <w:rsid w:val="00D0377C"/>
    <w:rsid w:val="00D0431D"/>
    <w:rsid w:val="00D116E3"/>
    <w:rsid w:val="00D1396D"/>
    <w:rsid w:val="00D16850"/>
    <w:rsid w:val="00D20381"/>
    <w:rsid w:val="00D24F7D"/>
    <w:rsid w:val="00D313D8"/>
    <w:rsid w:val="00D47E2C"/>
    <w:rsid w:val="00D5614A"/>
    <w:rsid w:val="00D626DE"/>
    <w:rsid w:val="00D66E48"/>
    <w:rsid w:val="00D829E1"/>
    <w:rsid w:val="00D8422D"/>
    <w:rsid w:val="00D87F67"/>
    <w:rsid w:val="00D907A2"/>
    <w:rsid w:val="00D94346"/>
    <w:rsid w:val="00D976C6"/>
    <w:rsid w:val="00DA06B5"/>
    <w:rsid w:val="00DA52E0"/>
    <w:rsid w:val="00DA5B34"/>
    <w:rsid w:val="00DB4574"/>
    <w:rsid w:val="00DC1452"/>
    <w:rsid w:val="00DC1E22"/>
    <w:rsid w:val="00DC493D"/>
    <w:rsid w:val="00DD4452"/>
    <w:rsid w:val="00DD7038"/>
    <w:rsid w:val="00DD7C04"/>
    <w:rsid w:val="00E02141"/>
    <w:rsid w:val="00E03B0B"/>
    <w:rsid w:val="00E042C9"/>
    <w:rsid w:val="00E1712D"/>
    <w:rsid w:val="00E2090C"/>
    <w:rsid w:val="00E2137D"/>
    <w:rsid w:val="00E24BF8"/>
    <w:rsid w:val="00E430C0"/>
    <w:rsid w:val="00E53AF3"/>
    <w:rsid w:val="00E71875"/>
    <w:rsid w:val="00E75366"/>
    <w:rsid w:val="00E75F66"/>
    <w:rsid w:val="00E91742"/>
    <w:rsid w:val="00EA465E"/>
    <w:rsid w:val="00EB4425"/>
    <w:rsid w:val="00EB52D2"/>
    <w:rsid w:val="00EB7D5E"/>
    <w:rsid w:val="00ED0AE9"/>
    <w:rsid w:val="00EE35A0"/>
    <w:rsid w:val="00EE4D7D"/>
    <w:rsid w:val="00EF3CFE"/>
    <w:rsid w:val="00F00EB4"/>
    <w:rsid w:val="00F03292"/>
    <w:rsid w:val="00F108CB"/>
    <w:rsid w:val="00F134D4"/>
    <w:rsid w:val="00F13C70"/>
    <w:rsid w:val="00F40596"/>
    <w:rsid w:val="00F54735"/>
    <w:rsid w:val="00F5537F"/>
    <w:rsid w:val="00F62F7B"/>
    <w:rsid w:val="00F70E72"/>
    <w:rsid w:val="00F71712"/>
    <w:rsid w:val="00F7490A"/>
    <w:rsid w:val="00F77FC7"/>
    <w:rsid w:val="00F80643"/>
    <w:rsid w:val="00F809B7"/>
    <w:rsid w:val="00F8501B"/>
    <w:rsid w:val="00F92B02"/>
    <w:rsid w:val="00FA1487"/>
    <w:rsid w:val="00FA27DA"/>
    <w:rsid w:val="00FA47EE"/>
    <w:rsid w:val="00FB06B6"/>
    <w:rsid w:val="00FB1692"/>
    <w:rsid w:val="00FC38F8"/>
    <w:rsid w:val="00FC73B2"/>
    <w:rsid w:val="00FD486B"/>
    <w:rsid w:val="00FE6941"/>
    <w:rsid w:val="00FF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286B2AC"/>
  <w15:docId w15:val="{D1B588E2-257E-402E-BEC0-A915D24E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sk-SK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9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9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9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9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29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29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29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rsid w:val="0045508C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5508C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5508C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5508C"/>
    <w:pPr>
      <w:numPr>
        <w:numId w:val="4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433230"/>
    <w:rPr>
      <w:color w:val="0000FF"/>
      <w:u w:val="single"/>
    </w:rPr>
  </w:style>
  <w:style w:type="paragraph" w:styleId="Revision">
    <w:name w:val="Revision"/>
    <w:hidden/>
    <w:uiPriority w:val="99"/>
    <w:semiHidden/>
    <w:rsid w:val="007D486C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D48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48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486C"/>
    <w:rPr>
      <w:rFonts w:ascii="Times New Roman" w:hAnsi="Times New Roman" w:cs="Times New Roman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8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86C"/>
    <w:rPr>
      <w:rFonts w:ascii="Times New Roman" w:hAnsi="Times New Roman" w:cs="Times New Roman"/>
      <w:b/>
      <w:bCs/>
      <w:sz w:val="20"/>
      <w:szCs w:val="20"/>
      <w:lang w:val="sk-SK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73C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3798F"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53798F"/>
    <w:rPr>
      <w:rFonts w:ascii="Times New Roman" w:hAnsi="Times New Roman" w:cs="Times New Roman"/>
      <w:sz w:val="24"/>
      <w:lang w:val="sk-SK"/>
    </w:rPr>
  </w:style>
  <w:style w:type="paragraph" w:styleId="Footer">
    <w:name w:val="footer"/>
    <w:basedOn w:val="Normal"/>
    <w:link w:val="FooterChar"/>
    <w:uiPriority w:val="99"/>
    <w:unhideWhenUsed/>
    <w:rsid w:val="0053798F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53798F"/>
    <w:rPr>
      <w:rFonts w:ascii="Times New Roman" w:hAnsi="Times New Roman" w:cs="Times New Roman"/>
      <w:sz w:val="24"/>
      <w:lang w:val="sk-SK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paragraph" w:customStyle="1" w:styleId="HeaderLandscape">
    <w:name w:val="HeaderLandscape"/>
    <w:basedOn w:val="Normal"/>
    <w:rsid w:val="0053798F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53798F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53798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53798F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53798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2"/>
      </w:numPr>
    </w:pPr>
  </w:style>
  <w:style w:type="paragraph" w:customStyle="1" w:styleId="Tiret1">
    <w:name w:val="Tiret 1"/>
    <w:basedOn w:val="Point1"/>
    <w:pPr>
      <w:numPr>
        <w:numId w:val="23"/>
      </w:numPr>
    </w:pPr>
  </w:style>
  <w:style w:type="paragraph" w:customStyle="1" w:styleId="Tiret2">
    <w:name w:val="Tiret 2"/>
    <w:basedOn w:val="Point2"/>
    <w:pPr>
      <w:numPr>
        <w:numId w:val="24"/>
      </w:numPr>
    </w:pPr>
  </w:style>
  <w:style w:type="paragraph" w:customStyle="1" w:styleId="Tiret3">
    <w:name w:val="Tiret 3"/>
    <w:basedOn w:val="Point3"/>
    <w:pPr>
      <w:numPr>
        <w:numId w:val="25"/>
      </w:numPr>
    </w:pPr>
  </w:style>
  <w:style w:type="paragraph" w:customStyle="1" w:styleId="Tiret4">
    <w:name w:val="Tiret 4"/>
    <w:basedOn w:val="Point4"/>
    <w:pPr>
      <w:numPr>
        <w:numId w:val="26"/>
      </w:numPr>
    </w:pPr>
  </w:style>
  <w:style w:type="paragraph" w:customStyle="1" w:styleId="Tiret5">
    <w:name w:val="Tiret 5"/>
    <w:basedOn w:val="Point5"/>
    <w:pPr>
      <w:numPr>
        <w:numId w:val="27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8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8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8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8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28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28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28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0"/>
      </w:numPr>
    </w:pPr>
  </w:style>
  <w:style w:type="paragraph" w:customStyle="1" w:styleId="Point1number">
    <w:name w:val="Point 1 (number)"/>
    <w:basedOn w:val="Normal"/>
    <w:pPr>
      <w:numPr>
        <w:ilvl w:val="2"/>
        <w:numId w:val="30"/>
      </w:numPr>
    </w:pPr>
  </w:style>
  <w:style w:type="paragraph" w:customStyle="1" w:styleId="Point2number">
    <w:name w:val="Point 2 (number)"/>
    <w:basedOn w:val="Normal"/>
    <w:pPr>
      <w:numPr>
        <w:ilvl w:val="4"/>
        <w:numId w:val="30"/>
      </w:numPr>
    </w:pPr>
  </w:style>
  <w:style w:type="paragraph" w:customStyle="1" w:styleId="Point3number">
    <w:name w:val="Point 3 (number)"/>
    <w:basedOn w:val="Normal"/>
    <w:pPr>
      <w:numPr>
        <w:ilvl w:val="6"/>
        <w:numId w:val="30"/>
      </w:numPr>
    </w:pPr>
  </w:style>
  <w:style w:type="paragraph" w:customStyle="1" w:styleId="Point0letter">
    <w:name w:val="Point 0 (letter)"/>
    <w:basedOn w:val="Normal"/>
    <w:pPr>
      <w:numPr>
        <w:ilvl w:val="1"/>
        <w:numId w:val="30"/>
      </w:numPr>
    </w:pPr>
  </w:style>
  <w:style w:type="paragraph" w:customStyle="1" w:styleId="Point1letter">
    <w:name w:val="Point 1 (letter)"/>
    <w:basedOn w:val="Normal"/>
    <w:pPr>
      <w:numPr>
        <w:ilvl w:val="3"/>
        <w:numId w:val="30"/>
      </w:numPr>
    </w:pPr>
  </w:style>
  <w:style w:type="paragraph" w:customStyle="1" w:styleId="Point2letter">
    <w:name w:val="Point 2 (letter)"/>
    <w:basedOn w:val="Normal"/>
    <w:pPr>
      <w:numPr>
        <w:ilvl w:val="5"/>
        <w:numId w:val="30"/>
      </w:numPr>
    </w:pPr>
  </w:style>
  <w:style w:type="paragraph" w:customStyle="1" w:styleId="Point3letter">
    <w:name w:val="Point 3 (letter)"/>
    <w:basedOn w:val="Normal"/>
    <w:pPr>
      <w:numPr>
        <w:ilvl w:val="7"/>
        <w:numId w:val="30"/>
      </w:numPr>
    </w:pPr>
  </w:style>
  <w:style w:type="paragraph" w:customStyle="1" w:styleId="Point4letter">
    <w:name w:val="Point 4 (letter)"/>
    <w:basedOn w:val="Normal"/>
    <w:pPr>
      <w:numPr>
        <w:ilvl w:val="8"/>
        <w:numId w:val="30"/>
      </w:numPr>
    </w:pPr>
  </w:style>
  <w:style w:type="paragraph" w:customStyle="1" w:styleId="Bullet0">
    <w:name w:val="Bullet 0"/>
    <w:basedOn w:val="Normal"/>
    <w:pPr>
      <w:numPr>
        <w:numId w:val="31"/>
      </w:numPr>
    </w:pPr>
  </w:style>
  <w:style w:type="paragraph" w:customStyle="1" w:styleId="Bullet1">
    <w:name w:val="Bullet 1"/>
    <w:basedOn w:val="Normal"/>
    <w:pPr>
      <w:numPr>
        <w:numId w:val="32"/>
      </w:numPr>
    </w:pPr>
  </w:style>
  <w:style w:type="paragraph" w:customStyle="1" w:styleId="Bullet2">
    <w:name w:val="Bullet 2"/>
    <w:basedOn w:val="Normal"/>
    <w:pPr>
      <w:numPr>
        <w:numId w:val="33"/>
      </w:numPr>
    </w:pPr>
  </w:style>
  <w:style w:type="paragraph" w:customStyle="1" w:styleId="Bullet3">
    <w:name w:val="Bullet 3"/>
    <w:basedOn w:val="Normal"/>
    <w:pPr>
      <w:numPr>
        <w:numId w:val="34"/>
      </w:numPr>
    </w:pPr>
  </w:style>
  <w:style w:type="paragraph" w:customStyle="1" w:styleId="Bullet4">
    <w:name w:val="Bullet 4"/>
    <w:basedOn w:val="Normal"/>
    <w:pPr>
      <w:numPr>
        <w:numId w:val="35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6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who.int/groups/who-expert-committee-on-drug-dependence/46th-ecdd-documents" TargetMode="External"/><Relationship Id="rId1" Type="http://schemas.openxmlformats.org/officeDocument/2006/relationships/hyperlink" Target="https://www.who.int/groups/who-expert-committee-on-drug-dependence/46th-ecdd-document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C4544-EC7B-44BC-8B50-1184FEE38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33</TotalTime>
  <Pages>10</Pages>
  <Words>3075</Words>
  <Characters>18087</Characters>
  <Application>Microsoft Office Word</Application>
  <DocSecurity>0</DocSecurity>
  <Lines>317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48</cp:revision>
  <dcterms:created xsi:type="dcterms:W3CDTF">2023-12-11T13:33:00Z</dcterms:created>
  <dcterms:modified xsi:type="dcterms:W3CDTF">2023-12-18T14:58:00Z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8.0.25.0</vt:lpwstr>
  </property>
  <property fmtid="{D5CDD505-2E9C-101B-9397-08002B2CF9AE}" pid="4" name="Last edited using">
    <vt:lpwstr>LW 9.0, Build 20230317</vt:lpwstr>
  </property>
  <property fmtid="{D5CDD505-2E9C-101B-9397-08002B2CF9AE}" pid="5" name="MSIP_Label_6bd9ddd1-4d20-43f6-abfa-fc3c07406f94_Enabled">
    <vt:lpwstr>true</vt:lpwstr>
  </property>
  <property fmtid="{D5CDD505-2E9C-101B-9397-08002B2CF9AE}" pid="6" name="MSIP_Label_6bd9ddd1-4d20-43f6-abfa-fc3c07406f94_SetDate">
    <vt:lpwstr>2023-10-08T15:48:55Z</vt:lpwstr>
  </property>
  <property fmtid="{D5CDD505-2E9C-101B-9397-08002B2CF9AE}" pid="7" name="MSIP_Label_6bd9ddd1-4d20-43f6-abfa-fc3c07406f94_Method">
    <vt:lpwstr>Standard</vt:lpwstr>
  </property>
  <property fmtid="{D5CDD505-2E9C-101B-9397-08002B2CF9AE}" pid="8" name="MSIP_Label_6bd9ddd1-4d20-43f6-abfa-fc3c07406f94_Name">
    <vt:lpwstr>Commission Use</vt:lpwstr>
  </property>
  <property fmtid="{D5CDD505-2E9C-101B-9397-08002B2CF9AE}" pid="9" name="MSIP_Label_6bd9ddd1-4d20-43f6-abfa-fc3c07406f94_SiteId">
    <vt:lpwstr>b24c8b06-522c-46fe-9080-70926f8dddb1</vt:lpwstr>
  </property>
  <property fmtid="{D5CDD505-2E9C-101B-9397-08002B2CF9AE}" pid="10" name="MSIP_Label_6bd9ddd1-4d20-43f6-abfa-fc3c07406f94_ActionId">
    <vt:lpwstr>8b362cb8-3e86-4fb7-a222-22f2a49fffa8</vt:lpwstr>
  </property>
  <property fmtid="{D5CDD505-2E9C-101B-9397-08002B2CF9AE}" pid="11" name="MSIP_Label_6bd9ddd1-4d20-43f6-abfa-fc3c07406f94_ContentBits">
    <vt:lpwstr>0</vt:lpwstr>
  </property>
  <property fmtid="{D5CDD505-2E9C-101B-9397-08002B2CF9AE}" pid="12" name="Created using">
    <vt:lpwstr>LW 9.0, Build 20230317</vt:lpwstr>
  </property>
  <property fmtid="{D5CDD505-2E9C-101B-9397-08002B2CF9AE}" pid="13" name="Part">
    <vt:lpwstr>1</vt:lpwstr>
  </property>
  <property fmtid="{D5CDD505-2E9C-101B-9397-08002B2CF9AE}" pid="14" name="Total parts">
    <vt:lpwstr>1</vt:lpwstr>
  </property>
  <property fmtid="{D5CDD505-2E9C-101B-9397-08002B2CF9AE}" pid="15" name="Level of sensitivity">
    <vt:lpwstr>Standard treatment</vt:lpwstr>
  </property>
  <property fmtid="{D5CDD505-2E9C-101B-9397-08002B2CF9AE}" pid="16" name="LWTemplateID">
    <vt:lpwstr>SJ-043</vt:lpwstr>
  </property>
  <property fmtid="{D5CDD505-2E9C-101B-9397-08002B2CF9AE}" pid="17" name="DQCStatus">
    <vt:lpwstr>Green (DQC version 03)</vt:lpwstr>
  </property>
</Properties>
</file>