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CE0AF" w14:textId="6A2C157F" w:rsidR="003230C2" w:rsidRPr="000E69D3" w:rsidRDefault="00ED07B7" w:rsidP="00ED07B7">
      <w:pPr>
        <w:pStyle w:val="Pagedecouverture"/>
        <w:rPr>
          <w:noProof/>
        </w:rPr>
      </w:pPr>
      <w:r>
        <w:rPr>
          <w:noProof/>
        </w:rPr>
        <w:pict w14:anchorId="0818A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9F1A93D-FABB-45C2-A1E5-16719B0FCDE4" style="width:455.25pt;height:383.25pt">
            <v:imagedata r:id="rId8" o:title=""/>
          </v:shape>
        </w:pict>
      </w:r>
    </w:p>
    <w:p w14:paraId="4AE456CA" w14:textId="77777777" w:rsidR="003230C2" w:rsidRPr="000E69D3" w:rsidRDefault="003230C2" w:rsidP="003230C2">
      <w:pPr>
        <w:rPr>
          <w:noProof/>
        </w:rPr>
        <w:sectPr w:rsidR="003230C2" w:rsidRPr="000E69D3" w:rsidSect="00ED07B7">
          <w:footerReference w:type="default" r:id="rId9"/>
          <w:pgSz w:w="11907" w:h="16839"/>
          <w:pgMar w:top="1134" w:right="1417" w:bottom="1134" w:left="1417" w:header="709" w:footer="709" w:gutter="0"/>
          <w:pgNumType w:start="0"/>
          <w:cols w:space="720"/>
          <w:docGrid w:linePitch="360"/>
        </w:sectPr>
      </w:pPr>
    </w:p>
    <w:p w14:paraId="34E26C95" w14:textId="77777777" w:rsidR="003230C2" w:rsidRPr="000E69D3" w:rsidRDefault="003230C2" w:rsidP="00BB6B30">
      <w:pPr>
        <w:pStyle w:val="Exposdesmotifstitre"/>
        <w:rPr>
          <w:noProof/>
        </w:rPr>
      </w:pPr>
      <w:bookmarkStart w:id="0" w:name="_GoBack"/>
      <w:bookmarkEnd w:id="0"/>
      <w:r w:rsidRPr="000E69D3">
        <w:rPr>
          <w:noProof/>
        </w:rPr>
        <w:lastRenderedPageBreak/>
        <w:t>PERUSTELUT</w:t>
      </w:r>
    </w:p>
    <w:p w14:paraId="6D6C6ADD" w14:textId="2D676DEC" w:rsidR="003230C2" w:rsidRPr="000E69D3" w:rsidRDefault="00342BA0" w:rsidP="00342BA0">
      <w:pPr>
        <w:pStyle w:val="ManualHeading1"/>
        <w:rPr>
          <w:rFonts w:eastAsia="Arial Unicode MS"/>
          <w:noProof/>
        </w:rPr>
      </w:pPr>
      <w:r w:rsidRPr="00342BA0">
        <w:t>1.</w:t>
      </w:r>
      <w:r w:rsidRPr="00342BA0">
        <w:tab/>
      </w:r>
      <w:r w:rsidR="003230C2" w:rsidRPr="000E69D3">
        <w:rPr>
          <w:noProof/>
        </w:rPr>
        <w:t>Ehdotuksen kohde</w:t>
      </w:r>
    </w:p>
    <w:p w14:paraId="734C9F36" w14:textId="77777777" w:rsidR="003230C2" w:rsidRPr="000E69D3" w:rsidRDefault="003230C2" w:rsidP="00736AA9">
      <w:pPr>
        <w:rPr>
          <w:rFonts w:eastAsia="Arial Unicode MS"/>
          <w:noProof/>
        </w:rPr>
      </w:pPr>
      <w:r w:rsidRPr="000E69D3">
        <w:rPr>
          <w:noProof/>
        </w:rPr>
        <w:t>Tämä ehdotus koskee päätöstä, jolla vahvistetaan Yhdistyneiden kansakuntien (YK) huumausainetoimikunnan (CND) 67. istunnossa Euroopan unionin (EU) puolesta otettava kanta, joka koskee aineiden listaamista YK:n vuoden 1961 huumausaineyleissopimuksen, sellaisena kuin se on muutettuna vuoden 1972 pöytäkirjalla, ja psykotrooppisia aineita koskevan YK:n vuoden 1971 yleissopimuksen mukaisesti. Huumausainetoimikunnan 67. istunto on tarkoitus pitää 14.–22. maaliskuuta 2024.</w:t>
      </w:r>
    </w:p>
    <w:p w14:paraId="5D84CF6E" w14:textId="2742168A" w:rsidR="003230C2" w:rsidRPr="000E69D3" w:rsidRDefault="00342BA0" w:rsidP="00342BA0">
      <w:pPr>
        <w:pStyle w:val="ManualHeading1"/>
        <w:rPr>
          <w:noProof/>
        </w:rPr>
      </w:pPr>
      <w:r w:rsidRPr="00342BA0">
        <w:t>2.</w:t>
      </w:r>
      <w:r w:rsidRPr="00342BA0">
        <w:tab/>
      </w:r>
      <w:r w:rsidR="003230C2" w:rsidRPr="000E69D3">
        <w:rPr>
          <w:noProof/>
        </w:rPr>
        <w:t>Ehdotuksen tausta</w:t>
      </w:r>
    </w:p>
    <w:p w14:paraId="4B168FB1" w14:textId="67F11867" w:rsidR="003230C2" w:rsidRPr="000E69D3" w:rsidRDefault="00342BA0" w:rsidP="00342BA0">
      <w:pPr>
        <w:pStyle w:val="ManualHeading2"/>
        <w:rPr>
          <w:noProof/>
        </w:rPr>
      </w:pPr>
      <w:r w:rsidRPr="00342BA0">
        <w:t>2.1.</w:t>
      </w:r>
      <w:r w:rsidRPr="00342BA0">
        <w:tab/>
      </w:r>
      <w:r w:rsidR="003230C2" w:rsidRPr="000E69D3">
        <w:rPr>
          <w:noProof/>
          <w:bdr w:val="none" w:sz="0" w:space="0" w:color="auto" w:frame="1"/>
        </w:rPr>
        <w:t>YK:n vuoden 1961 huumausaineyleissopimus, sellaisena kuin se on muutettuna vuoden 1972 pöytäkirjalla, ja psykotrooppisia aineita koskeva YK:n vuoden 1971 yleissopimus</w:t>
      </w:r>
    </w:p>
    <w:p w14:paraId="3B93663F" w14:textId="77777777" w:rsidR="0017431F" w:rsidRPr="000E69D3" w:rsidRDefault="0017431F" w:rsidP="0017431F">
      <w:pPr>
        <w:autoSpaceDE w:val="0"/>
        <w:autoSpaceDN w:val="0"/>
        <w:adjustRightInd w:val="0"/>
        <w:spacing w:after="240"/>
        <w:rPr>
          <w:noProof/>
          <w:szCs w:val="24"/>
        </w:rPr>
      </w:pPr>
      <w:r w:rsidRPr="000E69D3">
        <w:rPr>
          <w:noProof/>
        </w:rPr>
        <w:t>YK:n vuoden 1961 huumausaineyleissopimuksen, sellaisena kuin se on muutettuna vuoden 1972 pöytäkirjalla, jäljempänä ’huumausaineyleissopimus’</w:t>
      </w:r>
      <w:r w:rsidRPr="000E69D3">
        <w:rPr>
          <w:rStyle w:val="FootnoteReference"/>
          <w:noProof/>
          <w:szCs w:val="24"/>
        </w:rPr>
        <w:footnoteReference w:id="1"/>
      </w:r>
      <w:r w:rsidRPr="000E69D3">
        <w:rPr>
          <w:noProof/>
        </w:rPr>
        <w:t>, tarkoituksena on torjua huumausaineiden väärinkäyttöä koordinoidulla kansainvälisellä toiminnalla. Sen yhteydessä toteutetaan kahdenlaisia toimia ja valvontaa. Ensinnäkin sillä pyritään rajoittamaan huumausaineiden hallussapito, käyttö, kauppa, jakelu, tuonti, vienti, valmistus ja tuotanto ainoastaan lääketieteellisiin ja tieteellisiin tarkoituksiin. Toiseksi sillä torjutaan huumausainekauppaa kansainvälisen yhteistyön avulla huumekauppiaiden toiminnan estämiseksi ja hillitsemiseksi.</w:t>
      </w:r>
    </w:p>
    <w:p w14:paraId="20C65CC6" w14:textId="77777777" w:rsidR="0017431F" w:rsidRPr="000E69D3" w:rsidRDefault="0017431F" w:rsidP="0017431F">
      <w:pPr>
        <w:autoSpaceDE w:val="0"/>
        <w:autoSpaceDN w:val="0"/>
        <w:adjustRightInd w:val="0"/>
        <w:spacing w:after="240"/>
        <w:rPr>
          <w:noProof/>
          <w:szCs w:val="24"/>
        </w:rPr>
      </w:pPr>
      <w:r w:rsidRPr="000E69D3">
        <w:rPr>
          <w:noProof/>
        </w:rPr>
        <w:t>Psykotrooppisista aineista vuonna 1971 tehdyllä YK:n yleissopimuksella, jäljempänä ’psykotrooppisia aineita koskeva yleissopimus’</w:t>
      </w:r>
      <w:r w:rsidRPr="000E69D3">
        <w:rPr>
          <w:rStyle w:val="FootnoteReference"/>
          <w:noProof/>
          <w:szCs w:val="24"/>
        </w:rPr>
        <w:footnoteReference w:id="2"/>
      </w:r>
      <w:r w:rsidRPr="000E69D3">
        <w:rPr>
          <w:noProof/>
        </w:rPr>
        <w:t>, perustettiin kansainvälinen psykotrooppisten aineiden valvontajärjestelmä. Sillä monipuolistettiin ja laajennettiin järjestelmän piiriin kuuluvien huumausaineiden joukkoa ja otettiin käyttöön useita synteettisiä huumausaineita koskevat valvontatoimet toisaalta niiden väärinkäyttömahdollisuuksien ja toisaalta niiden lääkinnällisen arvon perusteella.</w:t>
      </w:r>
    </w:p>
    <w:p w14:paraId="74E1E241" w14:textId="77777777" w:rsidR="0017431F" w:rsidRPr="000E69D3" w:rsidRDefault="0017431F" w:rsidP="0017431F">
      <w:pPr>
        <w:autoSpaceDE w:val="0"/>
        <w:autoSpaceDN w:val="0"/>
        <w:adjustRightInd w:val="0"/>
        <w:spacing w:after="240"/>
        <w:rPr>
          <w:noProof/>
          <w:szCs w:val="24"/>
        </w:rPr>
      </w:pPr>
      <w:r w:rsidRPr="000E69D3">
        <w:rPr>
          <w:noProof/>
        </w:rPr>
        <w:t xml:space="preserve">Kaikki EU:n jäsenvaltiot ovat yleissopimusten osapuolia, mutta unioni ei ole. </w:t>
      </w:r>
    </w:p>
    <w:p w14:paraId="18B1DF03" w14:textId="48650EAF" w:rsidR="003230C2" w:rsidRPr="000E69D3" w:rsidRDefault="00342BA0" w:rsidP="00342BA0">
      <w:pPr>
        <w:pStyle w:val="ManualHeading2"/>
        <w:rPr>
          <w:noProof/>
        </w:rPr>
      </w:pPr>
      <w:r w:rsidRPr="00342BA0">
        <w:t>2.2.</w:t>
      </w:r>
      <w:r w:rsidRPr="00342BA0">
        <w:tab/>
      </w:r>
      <w:r w:rsidR="003230C2" w:rsidRPr="000E69D3">
        <w:rPr>
          <w:noProof/>
        </w:rPr>
        <w:t>Huumausainetoimikunta</w:t>
      </w:r>
    </w:p>
    <w:p w14:paraId="7AC53241" w14:textId="77777777" w:rsidR="003230C2" w:rsidRPr="000E69D3" w:rsidRDefault="003230C2" w:rsidP="00736AA9">
      <w:pPr>
        <w:rPr>
          <w:noProof/>
          <w:szCs w:val="24"/>
        </w:rPr>
      </w:pPr>
      <w:r w:rsidRPr="000E69D3">
        <w:rPr>
          <w:noProof/>
        </w:rPr>
        <w:t>Huumausainetoimikunta on YK:n talous- ja sosiaalineuvoston (Ecosoc) alainen toimikunta, jonka tehtävät ja toimivaltuudet on vahvistettu muun muassa mainituissa kahdessa yleissopimuksessa. Toimikuntaan kuuluu 53 YK:n jäsenvaltiota, jotka Ecosoc on valinnut. Maaliskuussa 2024 huumausainetoimikunnassa on 13 EU:n jäsenvaltiota, joilla on äänioikeus.</w:t>
      </w:r>
      <w:r w:rsidR="00794314" w:rsidRPr="000E69D3">
        <w:rPr>
          <w:rStyle w:val="FootnoteReference"/>
          <w:noProof/>
          <w:szCs w:val="24"/>
        </w:rPr>
        <w:footnoteReference w:id="3"/>
      </w:r>
      <w:r w:rsidRPr="000E69D3">
        <w:rPr>
          <w:rStyle w:val="Heading3Char"/>
          <w:noProof/>
        </w:rPr>
        <w:t xml:space="preserve"> </w:t>
      </w:r>
      <w:r w:rsidRPr="000E69D3">
        <w:rPr>
          <w:noProof/>
        </w:rPr>
        <w:t>Unioni osallistuu huumausainetoimikunnan työskentelyyn tarkkailijana.</w:t>
      </w:r>
    </w:p>
    <w:p w14:paraId="7A25E258" w14:textId="4F8BFC90" w:rsidR="003230C2" w:rsidRPr="000E69D3" w:rsidRDefault="00342BA0" w:rsidP="00342BA0">
      <w:pPr>
        <w:pStyle w:val="ManualHeading2"/>
        <w:rPr>
          <w:noProof/>
        </w:rPr>
      </w:pPr>
      <w:r w:rsidRPr="00342BA0">
        <w:t>2.3.</w:t>
      </w:r>
      <w:r w:rsidRPr="00342BA0">
        <w:tab/>
      </w:r>
      <w:r w:rsidR="003230C2" w:rsidRPr="000E69D3">
        <w:rPr>
          <w:noProof/>
        </w:rPr>
        <w:t>Suunniteltu huumausainetoimikunnan säädös</w:t>
      </w:r>
    </w:p>
    <w:p w14:paraId="1A693831" w14:textId="77777777" w:rsidR="007C293F" w:rsidRPr="000E69D3" w:rsidRDefault="007C293F" w:rsidP="007C293F">
      <w:pPr>
        <w:autoSpaceDE w:val="0"/>
        <w:autoSpaceDN w:val="0"/>
        <w:adjustRightInd w:val="0"/>
        <w:spacing w:after="240"/>
        <w:rPr>
          <w:noProof/>
          <w:szCs w:val="24"/>
        </w:rPr>
      </w:pPr>
      <w:r w:rsidRPr="000E69D3">
        <w:rPr>
          <w:noProof/>
        </w:rPr>
        <w:t xml:space="preserve">Huumausainetoimikunta tarkistaa säännöllisesti ainelistoja, jotka on liitetty mainittuihin yleissopimuksiin. Tarkistukset perustuvat suosituksiin, jotka Maailman terveysjärjestö (WHO) antaa huumeriippuvuutta käsittelevän asiantuntijakomiteansa lausuntojen perusteella. </w:t>
      </w:r>
    </w:p>
    <w:p w14:paraId="519D6AC5" w14:textId="77777777" w:rsidR="003230C2" w:rsidRPr="000E69D3" w:rsidRDefault="00B327C5" w:rsidP="00A27EA1">
      <w:pPr>
        <w:autoSpaceDE w:val="0"/>
        <w:autoSpaceDN w:val="0"/>
        <w:adjustRightInd w:val="0"/>
        <w:spacing w:after="240"/>
        <w:rPr>
          <w:noProof/>
          <w:szCs w:val="24"/>
        </w:rPr>
      </w:pPr>
      <w:r w:rsidRPr="000E69D3">
        <w:rPr>
          <w:noProof/>
        </w:rPr>
        <w:t>WHO antoi 15. marraskuuta YK:n pääsihteerille suosituksen</w:t>
      </w:r>
      <w:r w:rsidR="001C7F8B" w:rsidRPr="000E69D3">
        <w:rPr>
          <w:rStyle w:val="FootnoteReference"/>
          <w:noProof/>
        </w:rPr>
        <w:footnoteReference w:id="4"/>
      </w:r>
      <w:r w:rsidRPr="000E69D3">
        <w:rPr>
          <w:noProof/>
        </w:rPr>
        <w:t>, jonka mukaan yleissopimusten listoihin olisi lisättävä viisi uutta ainetta, joita on tarkasteltu kriittisesti huumeriippuvuutta käsittelevässä asiantuntijakomiteassa.</w:t>
      </w:r>
    </w:p>
    <w:p w14:paraId="1F15DF89" w14:textId="77777777" w:rsidR="006A27E6" w:rsidRPr="000E69D3" w:rsidRDefault="006A27E6" w:rsidP="006A27E6">
      <w:pPr>
        <w:autoSpaceDE w:val="0"/>
        <w:autoSpaceDN w:val="0"/>
        <w:adjustRightInd w:val="0"/>
        <w:spacing w:after="240"/>
        <w:rPr>
          <w:rFonts w:eastAsia="Arial Unicode MS"/>
          <w:noProof/>
        </w:rPr>
      </w:pPr>
      <w:r w:rsidRPr="000E69D3">
        <w:rPr>
          <w:noProof/>
        </w:rPr>
        <w:t xml:space="preserve">Huumausainetoimikuntaa kehotetaan hyväksymään päätökset näiden aineiden lisäämisestä yleissopimusten listoihin 67. istunnossaan, joka on määrä järjestää 14.–22. maaliskuuta 2024 Wienissä. </w:t>
      </w:r>
    </w:p>
    <w:p w14:paraId="252D47B0" w14:textId="76D474A6" w:rsidR="003230C2" w:rsidRPr="000E69D3" w:rsidRDefault="00342BA0" w:rsidP="00342BA0">
      <w:pPr>
        <w:pStyle w:val="ManualHeading1"/>
        <w:rPr>
          <w:rFonts w:eastAsia="Arial Unicode MS"/>
          <w:noProof/>
        </w:rPr>
      </w:pPr>
      <w:r w:rsidRPr="00342BA0">
        <w:t>3.</w:t>
      </w:r>
      <w:r w:rsidRPr="00342BA0">
        <w:tab/>
      </w:r>
      <w:r w:rsidR="003230C2" w:rsidRPr="000E69D3">
        <w:rPr>
          <w:noProof/>
        </w:rPr>
        <w:t>Unionin puolesta otettava kanta</w:t>
      </w:r>
    </w:p>
    <w:p w14:paraId="5523F843" w14:textId="77777777" w:rsidR="00BB5F02" w:rsidRPr="000E69D3" w:rsidRDefault="00BB5F02" w:rsidP="00BB5F02">
      <w:pPr>
        <w:autoSpaceDE w:val="0"/>
        <w:autoSpaceDN w:val="0"/>
        <w:adjustRightInd w:val="0"/>
        <w:spacing w:after="240"/>
        <w:rPr>
          <w:noProof/>
          <w:szCs w:val="24"/>
        </w:rPr>
      </w:pPr>
      <w:r w:rsidRPr="000E69D3">
        <w:rPr>
          <w:noProof/>
        </w:rPr>
        <w:t>Yleissopimusten listoihin tehtävät muutokset vaikuttavat suoraan unionin lainsäädännön soveltamisalaan huumausaineiden valvonnan alalla kaikissa jäsenvaltioissa. Laittoman huumausainekaupan rikostunnusmerkistöjä ja seuraamuksia koskevien vähimmäissääntöjen vahvistamisesta 25 päivänä lokakuuta 2004 tehdyn neuvoston puitepäätöksen 2004/757/YOS, jäljempänä ’puitepäätös’</w:t>
      </w:r>
      <w:r w:rsidRPr="000E69D3">
        <w:rPr>
          <w:rStyle w:val="FootnoteReference"/>
          <w:noProof/>
          <w:szCs w:val="24"/>
        </w:rPr>
        <w:footnoteReference w:id="5"/>
      </w:r>
      <w:r w:rsidRPr="000E69D3">
        <w:rPr>
          <w:noProof/>
        </w:rPr>
        <w:t>, 1 artiklan 1 kohdan mukaisesti ”huumausaineella” tarkoitetaan joko huumausaineyleissopimuksen tai psykotrooppisia aineita koskevan yleissopimuksen soveltamisalaan kuuluvaa ainetta, samoin kuin puitepäätöksen liitteessä lueteltuja aineita. Sen vuoksi puitepäätöstä sovelletaan aineisiin, jotka on sisällytetty huumausaineyleissopimuksen ja psykotrooppisia aineita koskevan yleissopimuksen listoihin. Näin ollen kaikki näiden yleissopimusten listoihin tehtävät muutokset vaikuttavat suoraan EU:n yhteisiin sääntöihin ja muuttavat niiden soveltamisalaa Euroopan unionin toiminnasta tehdyn sopimuksen, jäljempänä ’SEUT-sopimus’, 3 artiklan 2 kohdassa tarkoitetulla tavalla. Tähän ei vaikuta se, onko kyseinen aine jo saatettu valvontatoimien piiriin unionissa.</w:t>
      </w:r>
      <w:r w:rsidRPr="000E69D3">
        <w:rPr>
          <w:rStyle w:val="FootnoteReference"/>
          <w:noProof/>
          <w:szCs w:val="24"/>
        </w:rPr>
        <w:footnoteReference w:id="6"/>
      </w:r>
    </w:p>
    <w:p w14:paraId="5FF80D90" w14:textId="77777777" w:rsidR="00C857DF" w:rsidRPr="000E69D3" w:rsidRDefault="00BB5F02" w:rsidP="00BB5F02">
      <w:pPr>
        <w:autoSpaceDE w:val="0"/>
        <w:autoSpaceDN w:val="0"/>
        <w:adjustRightInd w:val="0"/>
        <w:rPr>
          <w:noProof/>
          <w:szCs w:val="24"/>
        </w:rPr>
      </w:pPr>
      <w:r w:rsidRPr="000E69D3">
        <w:rPr>
          <w:noProof/>
        </w:rPr>
        <w:t>Huumeriippuvuutta käsittelevän asiantuntijakomitean 46. kokouksessa tarkasteltiin kriittisesti kuutta ainetta: kahta bentsodiatsepiinia (bromatsolaami ja flubromatsepaami), yhtä uutta synteettistä opioidia (butonitatseeni), kahta katinonia/stimulanttia (</w:t>
      </w:r>
      <w:bookmarkStart w:id="1" w:name="_Hlk150768719"/>
      <w:r w:rsidRPr="000E69D3">
        <w:rPr>
          <w:noProof/>
        </w:rPr>
        <w:t>3-kloorimetkatinoni</w:t>
      </w:r>
      <w:bookmarkEnd w:id="1"/>
      <w:r w:rsidRPr="000E69D3">
        <w:rPr>
          <w:noProof/>
        </w:rPr>
        <w:t xml:space="preserve"> eli 3-CMC sekä dipentyloni) ja yhtä ainetta, jolla on dissosiatiivisia ominaisuuksia (2-fluoridesklooriketamiini eli 2-FDCK).</w:t>
      </w:r>
    </w:p>
    <w:p w14:paraId="4A2D2461" w14:textId="77777777" w:rsidR="009B0E6B" w:rsidRPr="000E69D3" w:rsidRDefault="00AA7E7C" w:rsidP="00BB5F02">
      <w:pPr>
        <w:autoSpaceDE w:val="0"/>
        <w:autoSpaceDN w:val="0"/>
        <w:adjustRightInd w:val="0"/>
        <w:rPr>
          <w:noProof/>
          <w:szCs w:val="24"/>
        </w:rPr>
      </w:pPr>
      <w:r w:rsidRPr="000E69D3">
        <w:rPr>
          <w:noProof/>
        </w:rPr>
        <w:t>Kaikki kuusi ainetta ovat Euroopan huumausaineiden ja niiden väärinkäytön seurantakeskuksen (EMCDDA) seurannassa. Lisäksi yksi aineista on jo valvontatoimenpiteiden kohteena koko unionissa: 3-CMC on lisätty puitepäätöksen huumausaineluetteloon vuonna 2022. Lisäksi kaksi näistä aineista eli butonitatseeni ja 2-FDCK ovat Euroopan huumausaineiden ja niiden väärinkäytön seurantakeskuksen tehostetussa seurannassa. Huumeriippuvuutta käsittelevä asiantuntijakomitea päätti suosittaa seuraavien viiden aineen listaamista. Nämä ovat bromatsolaami, butonitatseeni, 3-CMC, dipentyloni ja 2-FDCK.</w:t>
      </w:r>
    </w:p>
    <w:p w14:paraId="40D979A0" w14:textId="77777777" w:rsidR="00BB5F02" w:rsidRPr="000E69D3" w:rsidRDefault="00BB5F02" w:rsidP="00BB5F02">
      <w:pPr>
        <w:autoSpaceDE w:val="0"/>
        <w:autoSpaceDN w:val="0"/>
        <w:adjustRightInd w:val="0"/>
        <w:spacing w:after="240"/>
        <w:rPr>
          <w:noProof/>
          <w:szCs w:val="24"/>
        </w:rPr>
      </w:pPr>
      <w:r w:rsidRPr="000E69D3">
        <w:rPr>
          <w:noProof/>
        </w:rPr>
        <w:t>Komission ehdotuksessa unionin kannaksi ehdotetaan WHO:n suositusten tukemista eli edellä mainittujen viiden aineen valvontaa, koska suositukset ovat nykyisen tieteellisen tiedon mukaisia. Uusien psykoaktiivisten aineiden lisäämistä kyseisten yleissopimusten listoihin tukevat myös tiedot, jotka ovat saatavilla Euroopan huumausaineiden ja niiden väärinkäytön seurantakeskuksen uusia huumausaineita koskevassa eurooppalaisessa tietokannassa.</w:t>
      </w:r>
    </w:p>
    <w:p w14:paraId="721BC78A" w14:textId="77777777" w:rsidR="00BB5F02" w:rsidRPr="000E69D3" w:rsidRDefault="00BB5F02" w:rsidP="00BB5F02">
      <w:pPr>
        <w:autoSpaceDE w:val="0"/>
        <w:autoSpaceDN w:val="0"/>
        <w:adjustRightInd w:val="0"/>
        <w:spacing w:after="240"/>
        <w:rPr>
          <w:noProof/>
          <w:szCs w:val="24"/>
        </w:rPr>
      </w:pPr>
      <w:r w:rsidRPr="000E69D3">
        <w:rPr>
          <w:noProof/>
        </w:rPr>
        <w:t>Neuvoston on vahvistettava unionin puolesta huumausainetoimikunnan kokouksessa otettava kanta, kun huumausainetoimikunnan on määrä päättää aineiden listaamisesta. Koska unioni toimii huumausainetoimikunnassa vain tarkkailijana rajoitetuin valtuuksin, huumausainetoimikunnan jäseninä maaliskuussa 2024 olevien jäsenvaltioiden olisi esitettävä yhteinen kanta toimien yhdessä unionin etujen mukaisesti. Unioni ei ole näiden yleissopimusten osapuoli, mutta sillä on yksinomainen toimivalta tällä alalla.</w:t>
      </w:r>
    </w:p>
    <w:p w14:paraId="2EC2DFDC" w14:textId="77777777" w:rsidR="00BB5F02" w:rsidRPr="000E69D3" w:rsidRDefault="00BB5F02" w:rsidP="00BB5F02">
      <w:pPr>
        <w:autoSpaceDE w:val="0"/>
        <w:autoSpaceDN w:val="0"/>
        <w:adjustRightInd w:val="0"/>
        <w:spacing w:after="240"/>
        <w:rPr>
          <w:noProof/>
          <w:szCs w:val="24"/>
        </w:rPr>
      </w:pPr>
      <w:r w:rsidRPr="000E69D3">
        <w:rPr>
          <w:noProof/>
        </w:rPr>
        <w:t>Tämän vuoksi komissio esittää ehdotuksen huumausainetoimikunnan 67. istunnossa otettavasta unionin kannasta, joka huumausainetoimikunnan jäseninä maaliskuussa 2024 toimivien jäsenvaltioiden on määrä esittää Euroopan unionin puolesta ja joka koskee aineiden listaamista huumausaineyleissopimuksen ja psykotrooppisia aineita koskevan yleissopimuksen mukaisesti. Neuvosto on aiemmin hyväksynyt tällaiset unionin kannat, joten EU:n on ollut mahdollista esiintyä yhtenä rintamana aikaisemmissa huumausainetoimikunnan kokouksissa, joissa on käsitelty aineiden listaamista koskevia kansainvälisiä päätöksiä, koska huumausainetoimikuntaan kuuluvat jäsenvaltiot ovat äänestäneet hyväksyttyjen unionin kantojen mukaisesti listaamisen puolesta</w:t>
      </w:r>
      <w:r w:rsidRPr="000E69D3">
        <w:rPr>
          <w:rStyle w:val="FootnoteReference"/>
          <w:noProof/>
          <w:szCs w:val="24"/>
        </w:rPr>
        <w:footnoteReference w:id="7"/>
      </w:r>
      <w:r w:rsidRPr="000E69D3">
        <w:rPr>
          <w:noProof/>
        </w:rPr>
        <w:t>.</w:t>
      </w:r>
    </w:p>
    <w:p w14:paraId="0512D5F7" w14:textId="6DD09AED" w:rsidR="003230C2" w:rsidRPr="000E69D3" w:rsidRDefault="00342BA0" w:rsidP="00342BA0">
      <w:pPr>
        <w:pStyle w:val="ManualHeading1"/>
        <w:rPr>
          <w:noProof/>
        </w:rPr>
      </w:pPr>
      <w:r w:rsidRPr="00342BA0">
        <w:t>4.</w:t>
      </w:r>
      <w:r w:rsidRPr="00342BA0">
        <w:tab/>
      </w:r>
      <w:r w:rsidR="003230C2" w:rsidRPr="000E69D3">
        <w:rPr>
          <w:noProof/>
        </w:rPr>
        <w:t>Oikeusperusta</w:t>
      </w:r>
    </w:p>
    <w:p w14:paraId="3EA70C71" w14:textId="5080873A" w:rsidR="003230C2" w:rsidRPr="000E69D3" w:rsidRDefault="00342BA0" w:rsidP="00342BA0">
      <w:pPr>
        <w:pStyle w:val="ManualHeading2"/>
        <w:rPr>
          <w:noProof/>
        </w:rPr>
      </w:pPr>
      <w:r w:rsidRPr="00342BA0">
        <w:t>4.1.</w:t>
      </w:r>
      <w:r w:rsidRPr="00342BA0">
        <w:tab/>
      </w:r>
      <w:r w:rsidR="003230C2" w:rsidRPr="000E69D3">
        <w:rPr>
          <w:noProof/>
        </w:rPr>
        <w:t>Menettelyllinen oikeusperusta</w:t>
      </w:r>
    </w:p>
    <w:p w14:paraId="29952F3B" w14:textId="2E3C0B0C" w:rsidR="003230C2" w:rsidRPr="000E69D3" w:rsidRDefault="00342BA0" w:rsidP="00342BA0">
      <w:pPr>
        <w:pStyle w:val="ManualHeading3"/>
        <w:rPr>
          <w:noProof/>
        </w:rPr>
      </w:pPr>
      <w:r w:rsidRPr="00342BA0">
        <w:t>4.1.1.</w:t>
      </w:r>
      <w:r w:rsidRPr="00342BA0">
        <w:tab/>
      </w:r>
      <w:r w:rsidR="003230C2" w:rsidRPr="000E69D3">
        <w:rPr>
          <w:noProof/>
        </w:rPr>
        <w:t>Periaatteet</w:t>
      </w:r>
    </w:p>
    <w:p w14:paraId="5B41BEA7" w14:textId="77777777" w:rsidR="003230C2" w:rsidRPr="000E69D3" w:rsidRDefault="003230C2" w:rsidP="00736AA9">
      <w:pPr>
        <w:rPr>
          <w:noProof/>
        </w:rPr>
      </w:pPr>
      <w:r w:rsidRPr="000E69D3">
        <w:rPr>
          <w:noProof/>
        </w:rPr>
        <w:t>SEUT-sopimuksen 218 artiklan 9 kohdassa määrätään päätöksistä ”sopimuksella perustetussa elimessä unionin puolesta esitettävien kantojen vahvistamisesta, silloin kun tämän elimen on annettava säädöksiä, joilla on oikeusvaikutuksia, lukuun ottamatta säädöksiä, joilla täydennetään tai muutetaan sopimuksen institutionaalisia rakenteita”.</w:t>
      </w:r>
    </w:p>
    <w:p w14:paraId="043BECCE" w14:textId="77777777" w:rsidR="003230C2" w:rsidRPr="000E69D3" w:rsidRDefault="003230C2" w:rsidP="00736AA9">
      <w:pPr>
        <w:rPr>
          <w:noProof/>
        </w:rPr>
      </w:pPr>
      <w:r w:rsidRPr="000E69D3">
        <w:rPr>
          <w:noProof/>
        </w:rPr>
        <w:t>SEUT-sopimuksen 218 artiklan 9 kohtaa sovelletaan riippumatta siitä, onko unioni kyseisen elimen jäsen tai kyseisen sopimuksen osapuoli.</w:t>
      </w:r>
      <w:r w:rsidRPr="000E69D3">
        <w:rPr>
          <w:rStyle w:val="FootnoteReference"/>
          <w:noProof/>
        </w:rPr>
        <w:footnoteReference w:id="8"/>
      </w:r>
    </w:p>
    <w:p w14:paraId="09F8500A" w14:textId="77777777" w:rsidR="003230C2" w:rsidRPr="000E69D3" w:rsidRDefault="003230C2" w:rsidP="00736AA9">
      <w:pPr>
        <w:rPr>
          <w:noProof/>
        </w:rPr>
      </w:pPr>
      <w:r w:rsidRPr="000E69D3">
        <w:rPr>
          <w:noProof/>
        </w:rPr>
        <w:t>Ilmaisu ’säädökset, joilla on oikeusvaikutuksia’ kattaa myös säädökset, joilla on oikeusvaikutuksia kyseiseen elimeen sovellettavan kansainvälisen oikeuden nojalla. Lisäksi se kattaa välineet, joilla ei ole sitovaa vaikutusta kansainvälisen oikeuden nojalla, mutta jotka ”voivat vaikuttaa ratkaisevasti sen säännöstön sisältöön, jonka unionin lainsäätäjä antaa”.</w:t>
      </w:r>
      <w:r w:rsidRPr="000E69D3">
        <w:rPr>
          <w:rStyle w:val="FootnoteReference"/>
          <w:noProof/>
        </w:rPr>
        <w:footnoteReference w:id="9"/>
      </w:r>
    </w:p>
    <w:p w14:paraId="162341C3" w14:textId="0F8CF913" w:rsidR="003230C2" w:rsidRPr="000E69D3" w:rsidRDefault="00342BA0" w:rsidP="00342BA0">
      <w:pPr>
        <w:pStyle w:val="ManualHeading3"/>
        <w:rPr>
          <w:noProof/>
        </w:rPr>
      </w:pPr>
      <w:r w:rsidRPr="00342BA0">
        <w:t>4.1.2.</w:t>
      </w:r>
      <w:r w:rsidRPr="00342BA0">
        <w:tab/>
      </w:r>
      <w:r w:rsidR="003230C2" w:rsidRPr="000E69D3">
        <w:rPr>
          <w:noProof/>
        </w:rPr>
        <w:t>Soveltaminen käsillä olevassa asiassa</w:t>
      </w:r>
    </w:p>
    <w:p w14:paraId="619E9D2B" w14:textId="77777777" w:rsidR="00390D4C" w:rsidRPr="000E69D3" w:rsidRDefault="00390D4C" w:rsidP="00390D4C">
      <w:pPr>
        <w:rPr>
          <w:noProof/>
        </w:rPr>
      </w:pPr>
      <w:r w:rsidRPr="000E69D3">
        <w:rPr>
          <w:noProof/>
        </w:rPr>
        <w:t>Huumausainetoimikunta on kyseisessä artiklassa tarkoitettu ”sopimuksella perustettu elin”, koska se on Yhdistyneiden kansakuntien talous- ja sosiaalineuvoston (Ecosoc) perustama elin, jolle on osoitettu erityisiä tehtäviä huumausaineyleissopimuksessa ja psykotrooppisia aineita koskevassa yleissopimuksessa.</w:t>
      </w:r>
    </w:p>
    <w:p w14:paraId="1D0077D4" w14:textId="77777777" w:rsidR="00390D4C" w:rsidRPr="000E69D3" w:rsidRDefault="00390D4C" w:rsidP="00390D4C">
      <w:pPr>
        <w:rPr>
          <w:noProof/>
        </w:rPr>
      </w:pPr>
      <w:r w:rsidRPr="000E69D3">
        <w:rPr>
          <w:noProof/>
        </w:rPr>
        <w:t>Huumausainetoimikunnan päätökset aineiden listaamisesta yleissopimusten mukaisesti ovat SEUT-sopimuksen 218 artiklan 9 kohdassa tarkoitettuja ”säädöksiä, joilla on oikeusvaikutuksia”. Huumausaineyleissopimuksen ja psykotrooppisia aineita koskevan yleissopimuksen mukaan huumausainetoimikunnan päätökset ovat sitovia. Jos osapuoli toimittaa huumausainetoimikunnan päätöksen Ecosocille uudelleentarkastelua varten sovellettavassa määräajassa,</w:t>
      </w:r>
      <w:r w:rsidR="00000C81" w:rsidRPr="000E69D3">
        <w:rPr>
          <w:rStyle w:val="FootnoteReference"/>
          <w:noProof/>
          <w:szCs w:val="24"/>
        </w:rPr>
        <w:footnoteReference w:id="10"/>
      </w:r>
      <w:r w:rsidRPr="000E69D3">
        <w:rPr>
          <w:noProof/>
        </w:rPr>
        <w:t xml:space="preserve"> asiaa koskevat Ecosocin päätökset ovat lopullisia. Aineiden listaamista koskevilla huumausainetoimikunnan päätöksillä on oikeusvaikutuksia myös EU:n oikeusjärjestelmään unionin lainsäädännön nojalla ottaen huomioon, että ne voivat vaikuttaa ratkaisevasti EU:n säännöstön sisältöön eli neuvoston puitepäätökseen 2004/757/YOS. Yleissopimusten listoihin tehtävät muutokset vaikuttavat suoraan tämän unionin säädöksen soveltamisalaan.</w:t>
      </w:r>
    </w:p>
    <w:p w14:paraId="3601C780" w14:textId="77777777" w:rsidR="00390D4C" w:rsidRPr="000E69D3" w:rsidRDefault="00390D4C" w:rsidP="00390D4C">
      <w:pPr>
        <w:rPr>
          <w:noProof/>
        </w:rPr>
      </w:pPr>
      <w:r w:rsidRPr="000E69D3">
        <w:rPr>
          <w:noProof/>
        </w:rPr>
        <w:t>Suunnitellulla säädöksellä ei täydennetä eikä muuteta sopimuksen institutionaalisia rakenteita.</w:t>
      </w:r>
    </w:p>
    <w:p w14:paraId="7D4F37E9" w14:textId="77777777" w:rsidR="00390D4C" w:rsidRPr="000E69D3" w:rsidRDefault="00390D4C" w:rsidP="00390D4C">
      <w:pPr>
        <w:rPr>
          <w:noProof/>
        </w:rPr>
      </w:pPr>
      <w:r w:rsidRPr="000E69D3">
        <w:rPr>
          <w:noProof/>
        </w:rPr>
        <w:t>Sen vuoksi ehdotetun päätöksen menettelyllinen oikeusperusta on SEUT-sopimuksen 218 artiklan 9 kohta.</w:t>
      </w:r>
    </w:p>
    <w:p w14:paraId="6320F19C" w14:textId="5E6CD0A3" w:rsidR="003230C2" w:rsidRPr="000E69D3" w:rsidRDefault="00342BA0" w:rsidP="00342BA0">
      <w:pPr>
        <w:pStyle w:val="ManualHeading2"/>
        <w:rPr>
          <w:noProof/>
        </w:rPr>
      </w:pPr>
      <w:r w:rsidRPr="00342BA0">
        <w:t>4.2.</w:t>
      </w:r>
      <w:r w:rsidRPr="00342BA0">
        <w:tab/>
      </w:r>
      <w:r w:rsidR="003230C2" w:rsidRPr="000E69D3">
        <w:rPr>
          <w:noProof/>
        </w:rPr>
        <w:t>Aineellinen oikeusperusta</w:t>
      </w:r>
    </w:p>
    <w:p w14:paraId="01E1D334" w14:textId="356E2ACD" w:rsidR="003230C2" w:rsidRPr="000E69D3" w:rsidRDefault="00342BA0" w:rsidP="00342BA0">
      <w:pPr>
        <w:pStyle w:val="ManualHeading3"/>
        <w:rPr>
          <w:noProof/>
        </w:rPr>
      </w:pPr>
      <w:r w:rsidRPr="00342BA0">
        <w:t>4.2.1.</w:t>
      </w:r>
      <w:r w:rsidRPr="00342BA0">
        <w:tab/>
      </w:r>
      <w:r w:rsidR="003230C2" w:rsidRPr="000E69D3">
        <w:rPr>
          <w:noProof/>
        </w:rPr>
        <w:t>Periaatteet</w:t>
      </w:r>
    </w:p>
    <w:p w14:paraId="4F702A16" w14:textId="77777777" w:rsidR="003230C2" w:rsidRPr="000E69D3" w:rsidRDefault="003230C2" w:rsidP="00736AA9">
      <w:pPr>
        <w:rPr>
          <w:noProof/>
        </w:rPr>
      </w:pPr>
      <w:r w:rsidRPr="000E69D3">
        <w:rPr>
          <w:noProof/>
        </w:rPr>
        <w:t>SEUT-sopimuksen 218 artiklan 9 kohdan nojalla annettavan päätöksen aineellinen oikeusperusta määräytyy ensisijaisesti sen suunnitellun säädöksen tavoitteen ja sisällön perusteella, jota unionin puolesta otettava kanta koskee.</w:t>
      </w:r>
    </w:p>
    <w:p w14:paraId="1D0B70AD" w14:textId="6A115170" w:rsidR="003230C2" w:rsidRPr="000E69D3" w:rsidRDefault="00342BA0" w:rsidP="00342BA0">
      <w:pPr>
        <w:pStyle w:val="ManualHeading3"/>
        <w:rPr>
          <w:noProof/>
        </w:rPr>
      </w:pPr>
      <w:r w:rsidRPr="00342BA0">
        <w:t>4.2.2.</w:t>
      </w:r>
      <w:r w:rsidRPr="00342BA0">
        <w:tab/>
      </w:r>
      <w:r w:rsidR="003230C2" w:rsidRPr="000E69D3">
        <w:rPr>
          <w:noProof/>
        </w:rPr>
        <w:t>Soveltaminen käsillä olevassa asiassa</w:t>
      </w:r>
    </w:p>
    <w:p w14:paraId="5AEE6FCB" w14:textId="77777777" w:rsidR="003230C2" w:rsidRPr="000E69D3" w:rsidRDefault="003230C2" w:rsidP="00736AA9">
      <w:pPr>
        <w:rPr>
          <w:noProof/>
        </w:rPr>
      </w:pPr>
      <w:r w:rsidRPr="000E69D3">
        <w:rPr>
          <w:noProof/>
        </w:rPr>
        <w:t xml:space="preserve">Suunnitellun säädöksen pääasiallinen tarkoitus ja sisältö liittyvät laittomaan huumausainekauppaan. </w:t>
      </w:r>
    </w:p>
    <w:p w14:paraId="08439B83" w14:textId="77777777" w:rsidR="009A6B83" w:rsidRPr="000E69D3" w:rsidRDefault="009A6B83" w:rsidP="009A6B83">
      <w:pPr>
        <w:autoSpaceDE w:val="0"/>
        <w:autoSpaceDN w:val="0"/>
        <w:adjustRightInd w:val="0"/>
        <w:spacing w:after="240"/>
        <w:rPr>
          <w:noProof/>
          <w:szCs w:val="24"/>
        </w:rPr>
      </w:pPr>
      <w:r w:rsidRPr="000E69D3">
        <w:rPr>
          <w:noProof/>
        </w:rPr>
        <w:t xml:space="preserve">Sen vuoksi ehdotetun päätöksen aineellinen oikeusperusta on SEUT-sopimuksen 83 artiklan 1 kohta. Siinä määritellään laiton huumausainekauppa rikokseksi, joka on luonteeltaan rajatylittävää, ja annetaan Euroopan parlamentille ja neuvostolle valtuudet säätää rikosten ja seuraamusten määrittelyä koskevista vähimmäissäännöistä tällä alalla. </w:t>
      </w:r>
    </w:p>
    <w:p w14:paraId="24B19F1F" w14:textId="2B7CB3FA" w:rsidR="00FA47EE" w:rsidRPr="000E69D3" w:rsidRDefault="00342BA0" w:rsidP="00342BA0">
      <w:pPr>
        <w:pStyle w:val="ManualHeading2"/>
        <w:rPr>
          <w:noProof/>
        </w:rPr>
      </w:pPr>
      <w:r w:rsidRPr="00342BA0">
        <w:t>4.3.</w:t>
      </w:r>
      <w:r w:rsidRPr="00342BA0">
        <w:tab/>
      </w:r>
      <w:r w:rsidR="00FA47EE" w:rsidRPr="000E69D3">
        <w:rPr>
          <w:noProof/>
        </w:rPr>
        <w:t>Eriytetty yhdentyminen</w:t>
      </w:r>
    </w:p>
    <w:p w14:paraId="4D323A62" w14:textId="77777777" w:rsidR="00FA47EE" w:rsidRPr="000E69D3" w:rsidRDefault="00FA47EE" w:rsidP="00FA47EE">
      <w:pPr>
        <w:autoSpaceDE w:val="0"/>
        <w:autoSpaceDN w:val="0"/>
        <w:adjustRightInd w:val="0"/>
        <w:spacing w:after="240"/>
        <w:rPr>
          <w:noProof/>
          <w:szCs w:val="24"/>
        </w:rPr>
      </w:pPr>
      <w:r w:rsidRPr="000E69D3">
        <w:rPr>
          <w:noProof/>
        </w:rPr>
        <w:t>Neuvoston puitepäätös 2004/757/YOS, sellaisena kuin sitä sovellettiin 21. marraskuuta 2018 saakka, sitoo Tanskaa. Tämän puitepäätöksen 1 artiklan mukaan ”huumausaineilla” tarkoitetaan aineita, jotka kuuluvat joko huumausaineyleissopimuksen tai psykotrooppisia aineita koskevan yleissopimuksen soveltamisalaan. Koska aineiden listaamista koskevat huumausainetoimikunnan päätökset vaikuttavat niihin laitonta huumausainekauppaa koskeviin yhteisiin sääntöihin, jotka velvoittavat Tanskaa, Tanska osallistuu unionin puolesta otettavan kannan vahvistamista koskevan neuvoston päätöksen antamiseen silloin kun tällaisia aineiden listaamista koskevia päätöksiä annetaan.</w:t>
      </w:r>
    </w:p>
    <w:p w14:paraId="1AF69E71" w14:textId="77777777" w:rsidR="00FA47EE" w:rsidRPr="000E69D3" w:rsidRDefault="00FA47EE" w:rsidP="00FA47EE">
      <w:pPr>
        <w:autoSpaceDE w:val="0"/>
        <w:autoSpaceDN w:val="0"/>
        <w:adjustRightInd w:val="0"/>
        <w:spacing w:after="240"/>
        <w:rPr>
          <w:noProof/>
          <w:szCs w:val="24"/>
        </w:rPr>
      </w:pPr>
      <w:r w:rsidRPr="000E69D3">
        <w:rPr>
          <w:noProof/>
        </w:rPr>
        <w:t>Puitepäätös sitoo Irlantia, ja sen vuoksi Irlanti osallistuu unionin puolesta otettavan kannan vahvistamista koskevan neuvoston päätöksen antamiseen silloin kun tällaisia aineiden listaamista koskevia päätöksiä annetaan.</w:t>
      </w:r>
    </w:p>
    <w:p w14:paraId="02290A8E" w14:textId="5CCC7A4D" w:rsidR="003230C2" w:rsidRPr="000E69D3" w:rsidRDefault="00342BA0" w:rsidP="00342BA0">
      <w:pPr>
        <w:pStyle w:val="ManualHeading2"/>
        <w:rPr>
          <w:noProof/>
        </w:rPr>
      </w:pPr>
      <w:r w:rsidRPr="00342BA0">
        <w:t>4.4.</w:t>
      </w:r>
      <w:r w:rsidRPr="00342BA0">
        <w:tab/>
      </w:r>
      <w:r w:rsidR="003230C2" w:rsidRPr="000E69D3">
        <w:rPr>
          <w:noProof/>
        </w:rPr>
        <w:t>Päätelmät</w:t>
      </w:r>
    </w:p>
    <w:p w14:paraId="7B869138" w14:textId="77777777" w:rsidR="003230C2" w:rsidRPr="000E69D3" w:rsidRDefault="003230C2" w:rsidP="00736AA9">
      <w:pPr>
        <w:rPr>
          <w:noProof/>
        </w:rPr>
      </w:pPr>
      <w:r w:rsidRPr="000E69D3">
        <w:rPr>
          <w:noProof/>
        </w:rPr>
        <w:t>Ehdotetun päätöksen oikeusperustana on SEUT-sopimuksen 83 artiklan 1 kohta yhdessä sen 218 artiklan 9 kohdan kanssa.</w:t>
      </w:r>
    </w:p>
    <w:p w14:paraId="747E14EB" w14:textId="29527E85" w:rsidR="001748D4" w:rsidRPr="000E69D3" w:rsidRDefault="00342BA0" w:rsidP="00342BA0">
      <w:pPr>
        <w:pStyle w:val="ManualHeading1"/>
        <w:rPr>
          <w:noProof/>
        </w:rPr>
      </w:pPr>
      <w:r w:rsidRPr="00342BA0">
        <w:t>5.</w:t>
      </w:r>
      <w:r w:rsidRPr="00342BA0">
        <w:tab/>
      </w:r>
      <w:r w:rsidR="001748D4" w:rsidRPr="000E69D3">
        <w:rPr>
          <w:noProof/>
        </w:rPr>
        <w:t>Talousarviovaikutukset</w:t>
      </w:r>
    </w:p>
    <w:p w14:paraId="23F56ACB" w14:textId="77777777" w:rsidR="001748D4" w:rsidRPr="000E69D3" w:rsidRDefault="001748D4" w:rsidP="001748D4">
      <w:pPr>
        <w:rPr>
          <w:noProof/>
        </w:rPr>
      </w:pPr>
      <w:r w:rsidRPr="000E69D3">
        <w:rPr>
          <w:noProof/>
        </w:rPr>
        <w:t>Ehdotuksella ei ole vaikutuksia talousarvioon.</w:t>
      </w:r>
    </w:p>
    <w:p w14:paraId="1C2CB9F2" w14:textId="77777777" w:rsidR="003230C2" w:rsidRPr="000E69D3" w:rsidRDefault="003230C2" w:rsidP="00FD40BA">
      <w:pPr>
        <w:rPr>
          <w:noProof/>
        </w:rPr>
        <w:sectPr w:rsidR="003230C2" w:rsidRPr="000E69D3" w:rsidSect="00ED07B7">
          <w:footerReference w:type="default" r:id="rId10"/>
          <w:footerReference w:type="first" r:id="rId11"/>
          <w:pgSz w:w="11907" w:h="16839"/>
          <w:pgMar w:top="1134" w:right="1417" w:bottom="1134" w:left="1417" w:header="709" w:footer="709" w:gutter="0"/>
          <w:cols w:space="708"/>
          <w:docGrid w:linePitch="360"/>
        </w:sectPr>
      </w:pPr>
    </w:p>
    <w:p w14:paraId="6EE86A5C" w14:textId="7337D499" w:rsidR="00EA274E" w:rsidRDefault="00EA274E" w:rsidP="00EA274E">
      <w:pPr>
        <w:pStyle w:val="Rfrenceinterinstitutionnelle"/>
        <w:rPr>
          <w:noProof/>
        </w:rPr>
      </w:pPr>
      <w:r w:rsidRPr="00EA274E">
        <w:t>2024/0001 (NLE)</w:t>
      </w:r>
    </w:p>
    <w:p w14:paraId="7AE63441" w14:textId="0F6D4B24" w:rsidR="003230C2" w:rsidRPr="000E69D3" w:rsidRDefault="000E69D3" w:rsidP="000E69D3">
      <w:pPr>
        <w:pStyle w:val="Statut"/>
        <w:rPr>
          <w:noProof/>
        </w:rPr>
      </w:pPr>
      <w:r w:rsidRPr="000E69D3">
        <w:rPr>
          <w:noProof/>
        </w:rPr>
        <w:t>Ehdotus</w:t>
      </w:r>
    </w:p>
    <w:p w14:paraId="6C6F9C6B" w14:textId="4C9684D4" w:rsidR="003230C2" w:rsidRPr="000E69D3" w:rsidRDefault="000E69D3" w:rsidP="000E69D3">
      <w:pPr>
        <w:pStyle w:val="Typedudocument"/>
        <w:rPr>
          <w:noProof/>
        </w:rPr>
      </w:pPr>
      <w:r w:rsidRPr="000E69D3">
        <w:rPr>
          <w:noProof/>
        </w:rPr>
        <w:t>NEUVOSTON PÄÄTÖS</w:t>
      </w:r>
    </w:p>
    <w:p w14:paraId="10D0A9FD" w14:textId="7E63F3A8" w:rsidR="003230C2" w:rsidRPr="000E69D3" w:rsidRDefault="000E69D3" w:rsidP="000E69D3">
      <w:pPr>
        <w:pStyle w:val="Titreobjet"/>
        <w:rPr>
          <w:noProof/>
        </w:rPr>
      </w:pPr>
      <w:r w:rsidRPr="000E69D3">
        <w:rPr>
          <w:noProof/>
        </w:rPr>
        <w:t>huumausainetoimikunnan 67. istunnossa Euroopan unionin puolesta otettavasta kannasta, joka koskee aineiden listaamista vuoden 1961 huumausaineyleissopimuksen, sellaisena kuin se on muutettuna vuoden 1972 pöytäkirjalla, ja psykotrooppisia aineita koskevan vuoden 1971 yleissopimuksen mukaisesti</w:t>
      </w:r>
    </w:p>
    <w:p w14:paraId="3015FECA" w14:textId="77777777" w:rsidR="003230C2" w:rsidRPr="000E69D3" w:rsidRDefault="003230C2" w:rsidP="00BE7CB9">
      <w:pPr>
        <w:pStyle w:val="Institutionquiagit"/>
        <w:rPr>
          <w:noProof/>
        </w:rPr>
      </w:pPr>
      <w:r w:rsidRPr="000E69D3">
        <w:rPr>
          <w:noProof/>
        </w:rPr>
        <w:t>EUROOPAN UNIONIN NEUVOSTO, joka</w:t>
      </w:r>
    </w:p>
    <w:p w14:paraId="56DC67D8" w14:textId="77777777" w:rsidR="003230C2" w:rsidRPr="000E69D3" w:rsidRDefault="003230C2" w:rsidP="00BE7CB9">
      <w:pPr>
        <w:rPr>
          <w:noProof/>
        </w:rPr>
      </w:pPr>
      <w:r w:rsidRPr="000E69D3">
        <w:rPr>
          <w:noProof/>
        </w:rPr>
        <w:t>ottaa huomioon Euroopan unionin toiminnasta tehdyn sopimuksen, jäljempänä ’SEUT-sopimus’, ja erityisesti sen 83 artiklan 1 kohdan yhdessä sen 218 artiklan 9 kohdan kanssa,</w:t>
      </w:r>
    </w:p>
    <w:p w14:paraId="6088A8DA" w14:textId="77777777" w:rsidR="003230C2" w:rsidRPr="000E69D3" w:rsidRDefault="003230C2" w:rsidP="00BE7CB9">
      <w:pPr>
        <w:rPr>
          <w:noProof/>
        </w:rPr>
      </w:pPr>
      <w:r w:rsidRPr="000E69D3">
        <w:rPr>
          <w:noProof/>
        </w:rPr>
        <w:t>ottaa huomioon Euroopan komission ehdotuksen,</w:t>
      </w:r>
    </w:p>
    <w:p w14:paraId="75C295CC" w14:textId="77777777" w:rsidR="003230C2" w:rsidRPr="000E69D3" w:rsidRDefault="003230C2" w:rsidP="00BE7CB9">
      <w:pPr>
        <w:rPr>
          <w:noProof/>
        </w:rPr>
      </w:pPr>
      <w:r w:rsidRPr="000E69D3">
        <w:rPr>
          <w:noProof/>
        </w:rPr>
        <w:t>sekä katsoo seuraavaa:</w:t>
      </w:r>
    </w:p>
    <w:p w14:paraId="44F9B4CF" w14:textId="012FFEE6" w:rsidR="005A0005" w:rsidRPr="000E69D3" w:rsidRDefault="00342BA0" w:rsidP="00342BA0">
      <w:pPr>
        <w:pStyle w:val="ManualConsidrant"/>
        <w:rPr>
          <w:noProof/>
        </w:rPr>
      </w:pPr>
      <w:r w:rsidRPr="00342BA0">
        <w:t>(1)</w:t>
      </w:r>
      <w:r w:rsidRPr="00342BA0">
        <w:tab/>
      </w:r>
      <w:r w:rsidR="005A0005" w:rsidRPr="000E69D3">
        <w:rPr>
          <w:noProof/>
        </w:rPr>
        <w:t>Vuonna 1961 tehty Yhdistyneiden kansakuntien (YK) huumausaineyleissopimus, sellaisena kuin se on muutettuna vuoden 1972 pöytäkirjalla, jäljempänä ’huumausaineyleissopimus’</w:t>
      </w:r>
      <w:r w:rsidR="005A0005" w:rsidRPr="000E69D3">
        <w:rPr>
          <w:rStyle w:val="FootnoteReference"/>
          <w:noProof/>
        </w:rPr>
        <w:footnoteReference w:id="11"/>
      </w:r>
      <w:r w:rsidR="005A0005" w:rsidRPr="000E69D3">
        <w:rPr>
          <w:noProof/>
        </w:rPr>
        <w:t xml:space="preserve">, tuli voimaan 8 päivänä elokuuta 1975. </w:t>
      </w:r>
    </w:p>
    <w:p w14:paraId="3A9A5339" w14:textId="64468A2E" w:rsidR="005A0005" w:rsidRPr="000E69D3" w:rsidRDefault="00342BA0" w:rsidP="00342BA0">
      <w:pPr>
        <w:pStyle w:val="ManualConsidrant"/>
        <w:rPr>
          <w:noProof/>
        </w:rPr>
      </w:pPr>
      <w:r w:rsidRPr="00342BA0">
        <w:t>(2)</w:t>
      </w:r>
      <w:r w:rsidRPr="00342BA0">
        <w:tab/>
      </w:r>
      <w:r w:rsidR="005A0005" w:rsidRPr="000E69D3">
        <w:rPr>
          <w:noProof/>
        </w:rPr>
        <w:t>Huumausaineyleissopimuksen 3 artiklan nojalla huumausainetoimikunta (CND) voi päättää aineiden lisäämisestä kyseisen yleissopimuksen listoihin. Huumausainetoimikunta voi tehdä listoihin muutoksia vain Maailman terveysjärjestön, jäljempänä ’WHO’, suositusten perusteella, mutta se voi myös päättää, että WHO:n suosittamia muutoksia ei tehdä.</w:t>
      </w:r>
    </w:p>
    <w:p w14:paraId="4D778C5F" w14:textId="2D1D9E16" w:rsidR="0071248F" w:rsidRPr="000E69D3" w:rsidRDefault="00342BA0" w:rsidP="00342BA0">
      <w:pPr>
        <w:pStyle w:val="ManualConsidrant"/>
        <w:rPr>
          <w:noProof/>
        </w:rPr>
      </w:pPr>
      <w:r w:rsidRPr="00342BA0">
        <w:t>(3)</w:t>
      </w:r>
      <w:r w:rsidRPr="00342BA0">
        <w:tab/>
      </w:r>
      <w:r w:rsidR="0071248F" w:rsidRPr="000E69D3">
        <w:rPr>
          <w:noProof/>
        </w:rPr>
        <w:t>Psykotrooppisista aineista vuonna 1971 tehty YK:n yleissopimus, jäljempänä ’psykotrooppisia aineita koskeva yleissopimus’</w:t>
      </w:r>
      <w:r w:rsidR="0071248F" w:rsidRPr="000E69D3">
        <w:rPr>
          <w:rStyle w:val="FootnoteReference"/>
          <w:noProof/>
        </w:rPr>
        <w:footnoteReference w:id="12"/>
      </w:r>
      <w:r w:rsidR="0071248F" w:rsidRPr="000E69D3">
        <w:rPr>
          <w:noProof/>
        </w:rPr>
        <w:t>, tuli voimaan 16 päivänä elokuuta 1976.</w:t>
      </w:r>
    </w:p>
    <w:p w14:paraId="7E50EA1B" w14:textId="7BEC2392" w:rsidR="0071248F" w:rsidRPr="000E69D3" w:rsidRDefault="00342BA0" w:rsidP="00342BA0">
      <w:pPr>
        <w:pStyle w:val="ManualConsidrant"/>
        <w:rPr>
          <w:noProof/>
        </w:rPr>
      </w:pPr>
      <w:r w:rsidRPr="00342BA0">
        <w:t>(4)</w:t>
      </w:r>
      <w:r w:rsidRPr="00342BA0">
        <w:tab/>
      </w:r>
      <w:r w:rsidR="0071248F" w:rsidRPr="000E69D3">
        <w:rPr>
          <w:noProof/>
        </w:rPr>
        <w:t xml:space="preserve">Psykotrooppisia aineita koskevan yleissopimuksen 2 artiklan nojalla huumausainetoimikunta voi WHO:n suositusten perusteella päättää lisätä aineita kyseisen yleissopimuksen listoihin tai poistaa niitä listoista. Huumausainetoimikunnalla on laaja harkintavalta ottaa huomioon taloudellisia, sosiaalisia, oikeudellisia, hallinnollisia ja muita tekijöitä, mutta se ei saa toimia mielivaltaisesti. </w:t>
      </w:r>
    </w:p>
    <w:p w14:paraId="01320699" w14:textId="6A37DB7C" w:rsidR="005A0005" w:rsidRPr="000E69D3" w:rsidRDefault="00342BA0" w:rsidP="00342BA0">
      <w:pPr>
        <w:pStyle w:val="ManualConsidrant"/>
        <w:rPr>
          <w:noProof/>
        </w:rPr>
      </w:pPr>
      <w:r w:rsidRPr="00342BA0">
        <w:t>(5)</w:t>
      </w:r>
      <w:r w:rsidRPr="00342BA0">
        <w:tab/>
      </w:r>
      <w:r w:rsidR="008266F2" w:rsidRPr="000E69D3">
        <w:rPr>
          <w:noProof/>
        </w:rPr>
        <w:t>Huumausaineyleissopimuksen ja psykotrooppisia aineita koskevan yleissopimuksen listoihin tehtävät muutokset vaikuttavat suoraan unionin lainsäädännön soveltamisalaan huumausaineiden valvonnan alalla. Neuvoston puitepäätöstä 2004/757/YOS</w:t>
      </w:r>
      <w:r w:rsidR="008266F2" w:rsidRPr="000E69D3">
        <w:rPr>
          <w:rStyle w:val="FootnoteReference"/>
          <w:noProof/>
        </w:rPr>
        <w:footnoteReference w:id="13"/>
      </w:r>
      <w:r w:rsidR="008266F2" w:rsidRPr="000E69D3">
        <w:rPr>
          <w:noProof/>
        </w:rPr>
        <w:t xml:space="preserve"> sovelletaan näiden yleissopimusten listoissa lueteltuihin aineisiin. Näin kaikki kyseisten yleissopimusten listoihin tehtävät muutokset vaikuttavat suoraan unionin yhteisiin sääntöihin ja muuttavat niiden soveltamisalaa SEUT-sopimuksen 3 artiklan 2 kohdassa tarkoitetulla tavalla.</w:t>
      </w:r>
    </w:p>
    <w:p w14:paraId="7733C790" w14:textId="65DCFF37" w:rsidR="002C76FF" w:rsidRPr="000E69D3" w:rsidRDefault="00342BA0" w:rsidP="00342BA0">
      <w:pPr>
        <w:pStyle w:val="ManualConsidrant"/>
        <w:rPr>
          <w:bCs/>
          <w:noProof/>
        </w:rPr>
      </w:pPr>
      <w:r w:rsidRPr="00342BA0">
        <w:t>(6)</w:t>
      </w:r>
      <w:r w:rsidRPr="00342BA0">
        <w:tab/>
      </w:r>
      <w:r w:rsidR="002C76FF" w:rsidRPr="000E69D3">
        <w:rPr>
          <w:noProof/>
        </w:rPr>
        <w:t>Huumausainetoimikunnan on määrä päättää Wienissä 14–22 päivänä maaliskuuta 2024 pidettäväksi suunnitellussa 67. istunnossaan viiden uuden aineen lisäämisestä huumausaineyleissopimuksen ja psykotrooppisia aineita koskevan yleissopimuksen listoihin.</w:t>
      </w:r>
    </w:p>
    <w:p w14:paraId="187BD10F" w14:textId="1F2191A4" w:rsidR="00447542" w:rsidRPr="000E69D3" w:rsidRDefault="00342BA0" w:rsidP="00342BA0">
      <w:pPr>
        <w:pStyle w:val="ManualConsidrant"/>
        <w:rPr>
          <w:bCs/>
          <w:noProof/>
        </w:rPr>
      </w:pPr>
      <w:r w:rsidRPr="00342BA0">
        <w:t>(7)</w:t>
      </w:r>
      <w:r w:rsidRPr="00342BA0">
        <w:tab/>
      </w:r>
      <w:r w:rsidR="00447542" w:rsidRPr="000E69D3">
        <w:rPr>
          <w:noProof/>
        </w:rPr>
        <w:t>Unioni ei ole huumausaineyleissopimuksen eikä psykotrooppisia aineita koskevan yleissopimuksen osapuoli. Sillä on tarkkailijan asema mutta ei äänioikeutta huumausainetoimikunnassa, johon maaliskuussa 2024 kuuluu 13 EU:n jäsenvaltiota, joilla on äänioikeus.</w:t>
      </w:r>
      <w:r w:rsidR="00122183" w:rsidRPr="000E69D3">
        <w:rPr>
          <w:rStyle w:val="FootnoteReference"/>
          <w:noProof/>
          <w:szCs w:val="24"/>
        </w:rPr>
        <w:footnoteReference w:id="14"/>
      </w:r>
      <w:r w:rsidR="00447542" w:rsidRPr="000E69D3">
        <w:rPr>
          <w:noProof/>
        </w:rPr>
        <w:t xml:space="preserve"> Neuvoston on tarpeen valtuuttaa nämä jäsenvaltiot esittämään unionin kanta, joka koskee aineiden listaamista kyseisten yleissopimusten mukaisesti, koska päätökset uusien aineiden lisäämisestä yleissopimusten listoihin kuuluvat unionin yksinomaisen toimivallan piiriin.</w:t>
      </w:r>
    </w:p>
    <w:p w14:paraId="610FE11F" w14:textId="690FD314" w:rsidR="001D4511" w:rsidRPr="000E69D3" w:rsidRDefault="00342BA0" w:rsidP="00342BA0">
      <w:pPr>
        <w:pStyle w:val="ManualConsidrant"/>
        <w:rPr>
          <w:noProof/>
        </w:rPr>
      </w:pPr>
      <w:r w:rsidRPr="00342BA0">
        <w:t>(8)</w:t>
      </w:r>
      <w:r w:rsidRPr="00342BA0">
        <w:tab/>
      </w:r>
      <w:r w:rsidR="001D4511" w:rsidRPr="000E69D3">
        <w:rPr>
          <w:noProof/>
        </w:rPr>
        <w:t>WHO on suosittanut yhden uuden aineen lisäämistä huumausaineyleissopimuksen listaan I sekä kolmen uuden aineen lisäämistä psykotrooppisia aineita koskevan yleissopimuksen listaan II ja yhden uuden aineen lisäämistä sen listaan IV.</w:t>
      </w:r>
      <w:r w:rsidR="001C7F8B" w:rsidRPr="000E69D3">
        <w:rPr>
          <w:rStyle w:val="FootnoteReference"/>
          <w:noProof/>
        </w:rPr>
        <w:footnoteReference w:id="15"/>
      </w:r>
    </w:p>
    <w:p w14:paraId="393C56B3" w14:textId="2CD10093" w:rsidR="00BB7CFB" w:rsidRPr="000E69D3" w:rsidRDefault="00342BA0" w:rsidP="00342BA0">
      <w:pPr>
        <w:pStyle w:val="ManualConsidrant"/>
        <w:rPr>
          <w:noProof/>
        </w:rPr>
      </w:pPr>
      <w:r w:rsidRPr="00342BA0">
        <w:t>(9)</w:t>
      </w:r>
      <w:r w:rsidRPr="00342BA0">
        <w:tab/>
      </w:r>
      <w:r w:rsidR="00BB7CFB" w:rsidRPr="000E69D3">
        <w:rPr>
          <w:noProof/>
        </w:rPr>
        <w:t>Euroopan huumausaineiden ja niiden väärinkäytön seurantakeskus (EMCDDA) seuraa kaikkia huumeriippuvuutta käsittelevän WHO:n asiantuntijakomitean, jäljempänä ’asiantuntijakomitea’, tarkastelemia ja WHO:n listattaviksi suosittelemia aineita Euroopan parlamentin ja neuvoston asetuksessa (EY) N:o 1920/2006</w:t>
      </w:r>
      <w:r w:rsidR="0084076F" w:rsidRPr="000E69D3">
        <w:rPr>
          <w:rStyle w:val="FootnoteReference"/>
          <w:noProof/>
        </w:rPr>
        <w:footnoteReference w:id="16"/>
      </w:r>
      <w:r w:rsidR="00BB7CFB" w:rsidRPr="000E69D3">
        <w:rPr>
          <w:noProof/>
        </w:rPr>
        <w:t xml:space="preserve"> tarkoitettuina uusina psykoaktiivisina aineina.</w:t>
      </w:r>
    </w:p>
    <w:p w14:paraId="5AD6F535" w14:textId="584A133D" w:rsidR="001D4511" w:rsidRPr="000E69D3" w:rsidRDefault="00342BA0" w:rsidP="00342BA0">
      <w:pPr>
        <w:pStyle w:val="ManualConsidrant"/>
        <w:rPr>
          <w:noProof/>
        </w:rPr>
      </w:pPr>
      <w:r w:rsidRPr="00342BA0">
        <w:t>(10)</w:t>
      </w:r>
      <w:r w:rsidRPr="00342BA0">
        <w:tab/>
      </w:r>
      <w:r w:rsidR="00FB06B6" w:rsidRPr="000E69D3">
        <w:rPr>
          <w:noProof/>
        </w:rPr>
        <w:t>Asiantuntijakomitean arvion mukaan bromatsolaami (IUPAC-nimi: 8-bromo-1-metyyli-6-fenyyli-4</w:t>
      </w:r>
      <w:r w:rsidR="00FB06B6" w:rsidRPr="000E69D3">
        <w:rPr>
          <w:i/>
          <w:noProof/>
        </w:rPr>
        <w:t>H</w:t>
      </w:r>
      <w:r w:rsidR="00FB06B6" w:rsidRPr="000E69D3">
        <w:rPr>
          <w:noProof/>
        </w:rPr>
        <w:t>-[1,2,4]triatsolo[4,3-a][1,4]bentsodiatsepiini) on suhteellisen voimakas bentsodiatsepiini. Asiantuntijakomitea tarkasteli bromatsolaamia aiemmin 45. kokouksessaan ja asetti sen seurantaan. Bromatsolaamilla ei ole lääkinnällistä käyttöä, eikä sille ole myönnetty myyntilupaa. On riittävästi näyttöä siitä, että bromatsolaamia käytetään väärin tai että sen väärinkäyttö on todennäköistä ja että siitä voi tulla kansanterveydellinen ja sosiaalinen ongelma, minkä vuoksi aine olisi asetettava kansainväliseen valvontaan. Tämän vuoksi WHO suosittaa, että bromatsolaami lisätään psykotrooppisia aineita koskevan yleissopimuksen listaan IV.</w:t>
      </w:r>
    </w:p>
    <w:p w14:paraId="0389C67A" w14:textId="7FF0E9E6" w:rsidR="00AF269D" w:rsidRPr="000E69D3" w:rsidRDefault="00342BA0" w:rsidP="00342BA0">
      <w:pPr>
        <w:pStyle w:val="ManualConsidrant"/>
        <w:rPr>
          <w:bCs/>
          <w:noProof/>
        </w:rPr>
      </w:pPr>
      <w:r w:rsidRPr="00342BA0">
        <w:t>(11)</w:t>
      </w:r>
      <w:r w:rsidRPr="00342BA0">
        <w:tab/>
      </w:r>
      <w:r w:rsidR="0061304A" w:rsidRPr="000E69D3">
        <w:rPr>
          <w:noProof/>
        </w:rPr>
        <w:t>Bromatsolaamia on löydetty 19 jäsenvaltiosta, ja sitä valvotaan vähintään neljässä jäsenvaltiossa. Bromatsolaami on Euroopan huumausaineiden ja niiden väärinkäytön seurantakeskuksen seurannassa. Yksi jäsenvaltio on ilmoittanut yhdestä akuutista myrkytystapauksesta, jossa altistuminen bromatsolaamille on varmistettu. Lisäksi yksi jäsenvaltio on ilmoittanut yhdestä akuutista myrkytystapauksesta, jossa epäillään altistumista bromatsolaamille. Viisi jäsenvaltiota on ilmoittanut yhteensä 15 kuolemantapauksesta, joissa altistuminen bromatsolaamille on varmistettu.</w:t>
      </w:r>
    </w:p>
    <w:p w14:paraId="578FF017" w14:textId="453E3E82" w:rsidR="008244FC" w:rsidRPr="000E69D3" w:rsidRDefault="00342BA0" w:rsidP="00342BA0">
      <w:pPr>
        <w:pStyle w:val="ManualConsidrant"/>
        <w:rPr>
          <w:noProof/>
        </w:rPr>
      </w:pPr>
      <w:r w:rsidRPr="00342BA0">
        <w:t>(12)</w:t>
      </w:r>
      <w:r w:rsidRPr="00342BA0">
        <w:tab/>
      </w:r>
      <w:r w:rsidR="008244FC" w:rsidRPr="000E69D3">
        <w:rPr>
          <w:noProof/>
        </w:rPr>
        <w:t>Unionin kantana olisi sen vuoksi oltava, että bromatsolaami lisätään psykotrooppisia aineita koskevan yleissopimuksen listaan IV.</w:t>
      </w:r>
    </w:p>
    <w:p w14:paraId="47FA7DEB" w14:textId="1BC3E53E" w:rsidR="00383FBC" w:rsidRPr="000E69D3" w:rsidRDefault="00342BA0" w:rsidP="00342BA0">
      <w:pPr>
        <w:pStyle w:val="ManualConsidrant"/>
        <w:rPr>
          <w:bCs/>
          <w:noProof/>
        </w:rPr>
      </w:pPr>
      <w:r w:rsidRPr="00342BA0">
        <w:t>(13)</w:t>
      </w:r>
      <w:r w:rsidRPr="00342BA0">
        <w:tab/>
      </w:r>
      <w:r w:rsidR="00AF269D" w:rsidRPr="000E69D3">
        <w:rPr>
          <w:noProof/>
        </w:rPr>
        <w:t>Asiantuntijakomitean arvion mukaan butonitatseeni (IUPAC-nimi: 2-[(4-butoksifenyyli)metyyli]-</w:t>
      </w:r>
      <w:r w:rsidR="00AF269D" w:rsidRPr="000E69D3">
        <w:rPr>
          <w:i/>
          <w:noProof/>
        </w:rPr>
        <w:t>N,N</w:t>
      </w:r>
      <w:r w:rsidR="00AF269D" w:rsidRPr="000E69D3">
        <w:rPr>
          <w:noProof/>
        </w:rPr>
        <w:t>-dietyyli-5-nitro-1</w:t>
      </w:r>
      <w:r w:rsidR="00AF269D" w:rsidRPr="000E69D3">
        <w:rPr>
          <w:i/>
          <w:noProof/>
        </w:rPr>
        <w:t>H</w:t>
      </w:r>
      <w:r w:rsidR="00AF269D" w:rsidRPr="000E69D3">
        <w:rPr>
          <w:noProof/>
        </w:rPr>
        <w:t>-bentsimidatsoli-1-etaaniamiini) on bentsimidatsolista johdettu synteettinen opioidi, jäljempänä ’nitatseeni’, jonka kemiallinen rakenne ja farmakologiset ominaisuudet muistuttavat huumausaineyleissopimuksen listassa I olevia huumausaineita. Asiantuntijakomitea ei ole aiemmin tarkastellut butonitatseenia.</w:t>
      </w:r>
      <w:r w:rsidR="00AF269D" w:rsidRPr="000E69D3">
        <w:rPr>
          <w:noProof/>
          <w:color w:val="000000"/>
        </w:rPr>
        <w:t xml:space="preserve"> </w:t>
      </w:r>
      <w:r w:rsidR="00AF269D" w:rsidRPr="000E69D3">
        <w:rPr>
          <w:noProof/>
        </w:rPr>
        <w:t>Butonitatseenilla ei ole lääkinnällistä käyttöä, eikä sille ole myönnetty myyntilupaa. On riittävästi näyttöä siitä, että butonitatseenia käytetään väärin tai että sen väärinkäyttö on todennäköistä ja että siitä voi tulla kansanterveydellinen ja sosiaalinen ongelma, minkä vuoksi aine olisi asetettava kansainväliseen valvontaan. Tämän vuoksi WHO suosittaa, että butonitatseeni lisätään huumausaineyleissopimuksen listaan I.</w:t>
      </w:r>
    </w:p>
    <w:p w14:paraId="6FBD78DC" w14:textId="32705D9C" w:rsidR="0023684B" w:rsidRPr="000E69D3" w:rsidRDefault="00342BA0" w:rsidP="00342BA0">
      <w:pPr>
        <w:pStyle w:val="ManualConsidrant"/>
        <w:rPr>
          <w:noProof/>
        </w:rPr>
      </w:pPr>
      <w:r w:rsidRPr="00342BA0">
        <w:t>(14)</w:t>
      </w:r>
      <w:r w:rsidRPr="00342BA0">
        <w:tab/>
      </w:r>
      <w:r w:rsidR="00CA0699" w:rsidRPr="000E69D3">
        <w:rPr>
          <w:noProof/>
        </w:rPr>
        <w:t>Butonitatseenia on löydetty seitsemästä jäsenvaltiosta, ja sitä valvotaan vähintään kolmessa jäsenvaltiossa. Butonitatseeni on Euroopan huumausaineiden ja niiden väärinkäytön seurantakeskuksen tehostetussa seurannassa. Yksi jäsenvaltio on ilmoittanut yhdestä kuolemantapauksesta, jossa altistuminen butonitatseenille on varmistettu.</w:t>
      </w:r>
    </w:p>
    <w:p w14:paraId="52D27D9E" w14:textId="74CE8926" w:rsidR="008244FC" w:rsidRPr="000E69D3" w:rsidRDefault="00342BA0" w:rsidP="00342BA0">
      <w:pPr>
        <w:pStyle w:val="ManualConsidrant"/>
        <w:rPr>
          <w:bCs/>
          <w:noProof/>
        </w:rPr>
      </w:pPr>
      <w:r w:rsidRPr="00342BA0">
        <w:t>(15)</w:t>
      </w:r>
      <w:r w:rsidRPr="00342BA0">
        <w:tab/>
      </w:r>
      <w:r w:rsidR="008244FC" w:rsidRPr="000E69D3">
        <w:rPr>
          <w:noProof/>
        </w:rPr>
        <w:t>Unionin kantana olisi sen vuoksi oltava, että butonitatseeni lisätään huumausaineyleissopimuksen listaan I.</w:t>
      </w:r>
    </w:p>
    <w:p w14:paraId="7029ED3D" w14:textId="085660DC" w:rsidR="0090093F" w:rsidRPr="000E69D3" w:rsidRDefault="00342BA0" w:rsidP="00342BA0">
      <w:pPr>
        <w:pStyle w:val="ManualConsidrant"/>
        <w:rPr>
          <w:noProof/>
        </w:rPr>
      </w:pPr>
      <w:r w:rsidRPr="00342BA0">
        <w:t>(16)</w:t>
      </w:r>
      <w:r w:rsidRPr="00342BA0">
        <w:tab/>
      </w:r>
      <w:r w:rsidR="00AF269D" w:rsidRPr="000E69D3">
        <w:rPr>
          <w:noProof/>
        </w:rPr>
        <w:t>Asiantuntijakomitean arvion mukaan 3-kloorimetkatinoni (3-CMC; IUPAC-nimi: 1-(3-kloorifenyyli)-2-(metyyliamino)propan-1-oni) on katinoneihin kuuluva synteettinen stimulantti. 3-CMC on psykotrooppisia aineita koskevan yleissopimuksen listan I nojalla valvonnassa olevan metkatinoni-huumausaineen analogi. 3-CMC ei ole tällä hetkellä kansainvälisessä valvonnassa, mutta sen isomeeri 4-CMC asetettiin kansainväliseen valvontaan vuonna 2020. Huumeriippuvuutta käsittelevä WHO:n asiantuntijakomitea ei ole aiemmin tarkastellut 3-CMC:tä.</w:t>
      </w:r>
      <w:r w:rsidR="00AF269D" w:rsidRPr="000E69D3">
        <w:rPr>
          <w:noProof/>
          <w:color w:val="000000"/>
        </w:rPr>
        <w:t xml:space="preserve"> </w:t>
      </w:r>
      <w:r w:rsidR="00AF269D" w:rsidRPr="000E69D3">
        <w:rPr>
          <w:noProof/>
        </w:rPr>
        <w:t>3-CMC:llä ei ole lääkinnällistä käyttöä, eikä sille ole myönnetty myyntilupaa. On riittävästi näyttöä siitä, että 3-CMC:tä käytetään väärin tai että sen väärinkäyttö on todennäköistä ja että siitä voi tulla kansanterveydellinen ja sosiaalinen ongelma, minkä vuoksi aine olisi asetettava kansainväliseen valvontaan. Tämän vuoksi WHO suosittaa, että 3-CMC lisätään psykotrooppisia aineita koskevan yleissopimuksen listaan II.</w:t>
      </w:r>
    </w:p>
    <w:p w14:paraId="137F2B02" w14:textId="61620493" w:rsidR="00AF269D" w:rsidRPr="000E69D3" w:rsidRDefault="00342BA0" w:rsidP="00342BA0">
      <w:pPr>
        <w:pStyle w:val="ManualConsidrant"/>
        <w:rPr>
          <w:noProof/>
        </w:rPr>
      </w:pPr>
      <w:r w:rsidRPr="00342BA0">
        <w:t>(17)</w:t>
      </w:r>
      <w:r w:rsidRPr="00342BA0">
        <w:tab/>
      </w:r>
      <w:r w:rsidR="00731F9F" w:rsidRPr="000E69D3">
        <w:rPr>
          <w:noProof/>
        </w:rPr>
        <w:t>Euroopan huumausaineiden ja niiden väärinkäytön seurantakeskuksen tiedekomitea on arvioinut 3-CMC:n riskit, ja 3-CMC on jo sisällytetty puitepäätöksen 2004/757/YOS mukaiseen huumausaineen määritelmään komission delegoidulla direktiivillä (EU) 2022/1326</w:t>
      </w:r>
      <w:r w:rsidR="00731F9F" w:rsidRPr="000E69D3">
        <w:rPr>
          <w:rStyle w:val="FootnoteReference"/>
          <w:noProof/>
          <w:szCs w:val="24"/>
        </w:rPr>
        <w:footnoteReference w:id="17"/>
      </w:r>
      <w:r w:rsidR="00731F9F" w:rsidRPr="000E69D3">
        <w:rPr>
          <w:noProof/>
        </w:rPr>
        <w:t>. 3-CMC on Euroopan huumausaineiden ja niiden väärinkäytön seurantakeskuksen seurannassa. Kun riskinarviointi tehtiin marraskuussa 2021, 3-CMC:tä oli havaittu 23 jäsenvaltiossa. Kaksi jäsenvaltiota oli ilmoittanut yhteensä 10 kuolemantapauksesta, joissa altistuminen 3-CMC:lle on varmistettu, ja yksi jäsenvaltio oli ilmoittanut yhdestä akuutista myrkytystapauksesta, jossa altistuminen 3-CMC:lle on varmistettu.</w:t>
      </w:r>
      <w:r w:rsidR="00731F9F" w:rsidRPr="000E69D3">
        <w:rPr>
          <w:strike/>
          <w:noProof/>
        </w:rPr>
        <w:t xml:space="preserve"> </w:t>
      </w:r>
    </w:p>
    <w:p w14:paraId="10A1AA4B" w14:textId="1BE2A85F" w:rsidR="008244FC" w:rsidRPr="000E69D3" w:rsidRDefault="00342BA0" w:rsidP="00342BA0">
      <w:pPr>
        <w:pStyle w:val="ManualConsidrant"/>
        <w:rPr>
          <w:noProof/>
        </w:rPr>
      </w:pPr>
      <w:r w:rsidRPr="00342BA0">
        <w:t>(18)</w:t>
      </w:r>
      <w:r w:rsidRPr="00342BA0">
        <w:tab/>
      </w:r>
      <w:r w:rsidR="008244FC" w:rsidRPr="000E69D3">
        <w:rPr>
          <w:noProof/>
        </w:rPr>
        <w:t>Unionin kantana olisi sen vuoksi oltava, että 3-CMC lisätään psykotrooppisia aineita koskevan yleissopimuksen listaan II.</w:t>
      </w:r>
    </w:p>
    <w:p w14:paraId="250ECC6D" w14:textId="35F1E4C8" w:rsidR="00AF269D" w:rsidRPr="000E69D3" w:rsidRDefault="00342BA0" w:rsidP="00342BA0">
      <w:pPr>
        <w:pStyle w:val="ManualConsidrant"/>
        <w:rPr>
          <w:noProof/>
        </w:rPr>
      </w:pPr>
      <w:r w:rsidRPr="00342BA0">
        <w:t>(19)</w:t>
      </w:r>
      <w:r w:rsidRPr="00342BA0">
        <w:tab/>
      </w:r>
      <w:r w:rsidR="00AF269D" w:rsidRPr="000E69D3">
        <w:rPr>
          <w:noProof/>
        </w:rPr>
        <w:t>Asiantuntijakomitean arvion mukaan dipentyloni (IUPAC-nimi: 1-(1,3-bentsodioksol-5-yyli)-2-(dimetyyliamino)pentan-1-oni) on katinoneihin kuuluva synteettinen stimulantti. Se muistuttaa kemialliselta rakenteeltaan ja farmakologisilta ominaisuuksiltaan psykotrooppisia aineita koskevan yleissopimuksen listassa II olevia muita synteettisiä katinoneja. Huumeriippuvuutta käsittelevä WHO:n asiantuntijakomitea ei ole aiemmin tarkastellut dipentylonia.</w:t>
      </w:r>
      <w:r w:rsidR="00AF269D" w:rsidRPr="000E69D3">
        <w:rPr>
          <w:noProof/>
          <w:color w:val="000000"/>
        </w:rPr>
        <w:t xml:space="preserve"> </w:t>
      </w:r>
      <w:r w:rsidR="00AF269D" w:rsidRPr="000E69D3">
        <w:rPr>
          <w:noProof/>
        </w:rPr>
        <w:t>Dipentylonilla ei ole lääkinnällistä käyttöä, eikä sille ole myönnetty myyntilupaa. On riittävästi näyttöä siitä, että dipentylonia käytetään väärin tai että sen väärinkäyttö on todennäköistä ja että siitä voi tulla kansanterveydellinen ja sosiaalinen ongelma, minkä vuoksi aine olisi asetettava kansainväliseen valvontaan. Hyväksytyistä lääkinnällisistä käyttötarkoituksista ei ole ilmoitettu. Tämän vuoksi WHO suosittaa, että dipentyloni lisätään psykotrooppisia aineita koskevan yleissopimuksen listaan II.</w:t>
      </w:r>
    </w:p>
    <w:p w14:paraId="43C52885" w14:textId="206AA2BD" w:rsidR="00AF269D" w:rsidRPr="000E69D3" w:rsidRDefault="00342BA0" w:rsidP="00342BA0">
      <w:pPr>
        <w:pStyle w:val="ManualConsidrant"/>
        <w:rPr>
          <w:bCs/>
          <w:noProof/>
        </w:rPr>
      </w:pPr>
      <w:r w:rsidRPr="00342BA0">
        <w:t>(20)</w:t>
      </w:r>
      <w:r w:rsidRPr="00342BA0">
        <w:tab/>
      </w:r>
      <w:r w:rsidR="00354BA8" w:rsidRPr="000E69D3">
        <w:rPr>
          <w:noProof/>
        </w:rPr>
        <w:t>Dipentylonia on löydetty 16 jäsenvaltiosta, ja sitä valvotaan vähintään neljässä jäsenvaltiossa. Dipentyloni on Euroopan huumausaineiden ja niiden väärinkäytön seurantakeskuksen seurannassa.</w:t>
      </w:r>
    </w:p>
    <w:p w14:paraId="7DB0559F" w14:textId="6677E3CA" w:rsidR="008244FC" w:rsidRPr="000E69D3" w:rsidRDefault="00342BA0" w:rsidP="00342BA0">
      <w:pPr>
        <w:pStyle w:val="ManualConsidrant"/>
        <w:rPr>
          <w:noProof/>
        </w:rPr>
      </w:pPr>
      <w:r w:rsidRPr="00342BA0">
        <w:t>(21)</w:t>
      </w:r>
      <w:r w:rsidRPr="00342BA0">
        <w:tab/>
      </w:r>
      <w:r w:rsidR="008244FC" w:rsidRPr="000E69D3">
        <w:rPr>
          <w:noProof/>
        </w:rPr>
        <w:t>Unionin kantana olisi sen vuoksi oltava, että dipentyloni lisätään psykotrooppisia aineita koskevan yleissopimuksen listaan II.</w:t>
      </w:r>
    </w:p>
    <w:p w14:paraId="70D1B6C2" w14:textId="05D20E36" w:rsidR="00AF269D" w:rsidRPr="000E69D3" w:rsidRDefault="00342BA0" w:rsidP="00342BA0">
      <w:pPr>
        <w:pStyle w:val="ManualConsidrant"/>
        <w:rPr>
          <w:noProof/>
        </w:rPr>
      </w:pPr>
      <w:r w:rsidRPr="00342BA0">
        <w:t>(22)</w:t>
      </w:r>
      <w:r w:rsidRPr="00342BA0">
        <w:tab/>
      </w:r>
      <w:r w:rsidR="00AF269D" w:rsidRPr="000E69D3">
        <w:rPr>
          <w:noProof/>
        </w:rPr>
        <w:t xml:space="preserve">Asiantuntijakomitean arvion mukaan </w:t>
      </w:r>
      <w:bookmarkStart w:id="2" w:name="_Hlk150768691"/>
      <w:r w:rsidR="00AF269D" w:rsidRPr="000E69D3">
        <w:rPr>
          <w:noProof/>
        </w:rPr>
        <w:t>2-fluoridesklooriketamiini</w:t>
      </w:r>
      <w:bookmarkEnd w:id="2"/>
      <w:r w:rsidR="00AF269D" w:rsidRPr="000E69D3">
        <w:rPr>
          <w:noProof/>
        </w:rPr>
        <w:t xml:space="preserve"> (2-FDCK; IUPAC-nimi: 2-(2-fluorifenyyli)-2-metyyliamino-sykloheksanoni) on aryylisykloheksyyliamiinia, joka on samankaltainen kemiallinen tuote kuin ketamiini, joka on dissosiatiivinen anesteetti. Huumeriippuvuutta käsittelevä WHO:n asiantuntijakomitea ei ole aiemmin tarkastellut 2-FDCK:tä.</w:t>
      </w:r>
      <w:r w:rsidR="00AF269D" w:rsidRPr="000E69D3">
        <w:rPr>
          <w:noProof/>
          <w:color w:val="000000"/>
        </w:rPr>
        <w:t xml:space="preserve"> </w:t>
      </w:r>
      <w:r w:rsidR="00AF269D" w:rsidRPr="000E69D3">
        <w:rPr>
          <w:noProof/>
        </w:rPr>
        <w:t>2-FDCK:llä ei ole lääkinnällistä käyttöä, eikä sille ole myönnetty myyntilupaa. On riittävästi näyttöä siitä, että 2-FDCK:tä käytetään väärin tai että sen väärinkäyttö on todennäköistä ja että siitä voi tulla kansanterveydellinen ja sosiaalinen ongelma, minkä vuoksi aine olisi asetettava kansainväliseen valvontaan. Tämän vuoksi WHO suosittaa, että 2-FDCK lisätään psykotrooppisia aineita koskevan yleissopimuksen listaan II.</w:t>
      </w:r>
    </w:p>
    <w:p w14:paraId="385D3660" w14:textId="584FBB52" w:rsidR="00400A40" w:rsidRPr="000E69D3" w:rsidRDefault="00342BA0" w:rsidP="00342BA0">
      <w:pPr>
        <w:pStyle w:val="ManualConsidrant"/>
        <w:rPr>
          <w:noProof/>
          <w:szCs w:val="24"/>
        </w:rPr>
      </w:pPr>
      <w:r w:rsidRPr="00342BA0">
        <w:t>(23)</w:t>
      </w:r>
      <w:r w:rsidRPr="00342BA0">
        <w:tab/>
      </w:r>
      <w:r w:rsidR="005D65DB" w:rsidRPr="000E69D3">
        <w:rPr>
          <w:noProof/>
        </w:rPr>
        <w:t xml:space="preserve">2-FDCK:tä on löydetty 22 jäsenvaltiosta, ja sitä valvotaan vähintään viidessä jäsenvaltiossa. 2-FDCK on Euroopan huumausaineiden ja niiden väärinkäytön seurantakeskuksen tehostetussa seurannassa. Kaksi jäsenvaltiota on ilmoittanut kahdesta kuolemantapauksesta, joissa altistuminen 2-FDCK:lle on varmistettu. Kolme jäsenvaltiota on ilmoittanut yhteensä 11 akuutista myrkytystapauksesta, joissa altistuminen 2-FDCK:lle on varmistettu. Lisäksi yksi jäsenvaltio on ilmoittanut yhdestä akuutista myrkytystapauksesta, jossa altistumista 2-FDCK:lle epäillään. </w:t>
      </w:r>
    </w:p>
    <w:p w14:paraId="6AFBCB20" w14:textId="49F50864" w:rsidR="008244FC" w:rsidRPr="000E69D3" w:rsidRDefault="00342BA0" w:rsidP="00342BA0">
      <w:pPr>
        <w:pStyle w:val="ManualConsidrant"/>
        <w:rPr>
          <w:noProof/>
        </w:rPr>
      </w:pPr>
      <w:r w:rsidRPr="00342BA0">
        <w:t>(24)</w:t>
      </w:r>
      <w:r w:rsidRPr="00342BA0">
        <w:tab/>
      </w:r>
      <w:r w:rsidR="008244FC" w:rsidRPr="000E69D3">
        <w:rPr>
          <w:noProof/>
        </w:rPr>
        <w:t>Unionin kantana olisi sen vuoksi oltava, että 2-FDCK lisätään psykotrooppisia aineita koskevan yleissopimuksen listaan II.</w:t>
      </w:r>
    </w:p>
    <w:p w14:paraId="58AC8B0D" w14:textId="35F31839" w:rsidR="004C2315" w:rsidRPr="000E69D3" w:rsidRDefault="00342BA0" w:rsidP="00342BA0">
      <w:pPr>
        <w:pStyle w:val="ManualConsidrant"/>
        <w:rPr>
          <w:noProof/>
        </w:rPr>
      </w:pPr>
      <w:r w:rsidRPr="00342BA0">
        <w:t>(25)</w:t>
      </w:r>
      <w:r w:rsidRPr="00342BA0">
        <w:tab/>
      </w:r>
      <w:r w:rsidR="004C2315" w:rsidRPr="000E69D3">
        <w:rPr>
          <w:noProof/>
        </w:rPr>
        <w:t>On aiheellista vahvistaa huumausainetoimikunnassa unionin puolesta otettava kanta, koska näiden viiden aineen listaamista koskevat päätökset voivat vaikuttaa ratkaisevasti unionin säännöstön sisältöön, erityisesti puitepäätökseen 2004/757/YOS.</w:t>
      </w:r>
    </w:p>
    <w:p w14:paraId="6E5F5872" w14:textId="221FB86E" w:rsidR="008056A1" w:rsidRPr="000E69D3" w:rsidRDefault="00342BA0" w:rsidP="00342BA0">
      <w:pPr>
        <w:pStyle w:val="ManualConsidrant"/>
        <w:rPr>
          <w:noProof/>
        </w:rPr>
      </w:pPr>
      <w:r w:rsidRPr="00342BA0">
        <w:t>(26)</w:t>
      </w:r>
      <w:r w:rsidRPr="00342BA0">
        <w:tab/>
      </w:r>
      <w:r w:rsidR="008056A1" w:rsidRPr="000E69D3">
        <w:rPr>
          <w:noProof/>
        </w:rPr>
        <w:t>Unionin kannan esittävät yhdessä ne jäsenvaltiot, jotka ovat huumausainetoimikunnan jäseniä.</w:t>
      </w:r>
    </w:p>
    <w:p w14:paraId="5AD10EBD" w14:textId="6D70F97A" w:rsidR="008056A1" w:rsidRPr="000E69D3" w:rsidRDefault="00342BA0" w:rsidP="00342BA0">
      <w:pPr>
        <w:pStyle w:val="ManualConsidrant"/>
        <w:rPr>
          <w:noProof/>
        </w:rPr>
      </w:pPr>
      <w:r w:rsidRPr="00342BA0">
        <w:t>(27)</w:t>
      </w:r>
      <w:r w:rsidRPr="00342BA0">
        <w:tab/>
      </w:r>
      <w:r w:rsidR="008056A1" w:rsidRPr="000E69D3">
        <w:rPr>
          <w:noProof/>
        </w:rPr>
        <w:t>Puitepäätös 2004/757/YOS sitoo Tanskaa, ja sen vuoksi Tanska osallistuu tämän päätöksen hyväksymiseen ja soveltamiseen.</w:t>
      </w:r>
    </w:p>
    <w:p w14:paraId="212F5648" w14:textId="65FE723A" w:rsidR="008056A1" w:rsidRPr="000E69D3" w:rsidRDefault="00342BA0" w:rsidP="00342BA0">
      <w:pPr>
        <w:pStyle w:val="ManualConsidrant"/>
        <w:rPr>
          <w:noProof/>
        </w:rPr>
      </w:pPr>
      <w:r w:rsidRPr="00342BA0">
        <w:t>(28)</w:t>
      </w:r>
      <w:r w:rsidRPr="00342BA0">
        <w:tab/>
      </w:r>
      <w:r w:rsidR="008056A1" w:rsidRPr="000E69D3">
        <w:rPr>
          <w:noProof/>
        </w:rPr>
        <w:t>Puitepäätös 2004/757/YOS sitoo Irlantia, ja sen vuoksi Irlanti osallistuu tämän päätöksen hyväksymiseen ja soveltamiseen,</w:t>
      </w:r>
    </w:p>
    <w:p w14:paraId="300DD808" w14:textId="77777777" w:rsidR="003230C2" w:rsidRPr="000E69D3" w:rsidRDefault="003230C2" w:rsidP="00BE7CB9">
      <w:pPr>
        <w:pStyle w:val="Formuledadoption"/>
        <w:rPr>
          <w:noProof/>
        </w:rPr>
      </w:pPr>
      <w:r w:rsidRPr="000E69D3">
        <w:rPr>
          <w:noProof/>
        </w:rPr>
        <w:t>ON HYVÄKSYNYT TÄMÄN PÄÄTÖKSEN:</w:t>
      </w:r>
    </w:p>
    <w:p w14:paraId="1E257683" w14:textId="77777777" w:rsidR="003230C2" w:rsidRPr="000E69D3" w:rsidRDefault="003230C2" w:rsidP="00BE7CB9">
      <w:pPr>
        <w:pStyle w:val="Titrearticle"/>
        <w:rPr>
          <w:noProof/>
        </w:rPr>
      </w:pPr>
      <w:r w:rsidRPr="000E69D3">
        <w:rPr>
          <w:noProof/>
        </w:rPr>
        <w:t>1 artikla</w:t>
      </w:r>
    </w:p>
    <w:p w14:paraId="1E403DA2" w14:textId="77777777" w:rsidR="003230C2" w:rsidRPr="000E69D3" w:rsidRDefault="003230C2" w:rsidP="00BE7CB9">
      <w:pPr>
        <w:rPr>
          <w:noProof/>
        </w:rPr>
      </w:pPr>
      <w:r w:rsidRPr="000E69D3">
        <w:rPr>
          <w:noProof/>
        </w:rPr>
        <w:t>Huumausainetoimikunnan 67. istunnossa 14–22 päivänä maaliskuuta 2024, kun huumausainetoimikunnan on määrä antaa päätökset uusien aineiden lisäämisestä Yhdistyneiden kansakuntien vuoden 1961 huumausaineyleissopimuksessa, sellaisena kuin se on muutettuna vuoden 1972 pöytäkirjalla, ja psykotrooppisia aineita koskevassa Yhdistyneiden kansakuntien vuoden 1971 yleissopimuksessa oleviin listoihin, unionin puolesta otettava kanta esitetään tämän päätöksen liitteessä.</w:t>
      </w:r>
    </w:p>
    <w:p w14:paraId="2189329D" w14:textId="77777777" w:rsidR="003230C2" w:rsidRPr="000E69D3" w:rsidRDefault="003230C2" w:rsidP="00BE7CB9">
      <w:pPr>
        <w:pStyle w:val="Titrearticle"/>
        <w:rPr>
          <w:noProof/>
        </w:rPr>
      </w:pPr>
      <w:r w:rsidRPr="000E69D3">
        <w:rPr>
          <w:noProof/>
        </w:rPr>
        <w:t>2 artikla</w:t>
      </w:r>
    </w:p>
    <w:p w14:paraId="276784CF" w14:textId="77777777" w:rsidR="008763B5" w:rsidRPr="000E69D3" w:rsidRDefault="008763B5" w:rsidP="008763B5">
      <w:pPr>
        <w:rPr>
          <w:bCs/>
          <w:noProof/>
          <w:szCs w:val="24"/>
        </w:rPr>
      </w:pPr>
      <w:r w:rsidRPr="000E69D3">
        <w:rPr>
          <w:noProof/>
        </w:rPr>
        <w:t>Edellä 1 artiklassa tarkoitetun kannan esittävät yhdessä unionin edun mukaisesti toimien ne jäsenvaltiot, jotka ovat huumausainetoimikunnan jäseniä.</w:t>
      </w:r>
    </w:p>
    <w:p w14:paraId="495EAF86" w14:textId="77777777" w:rsidR="003230C2" w:rsidRPr="000E69D3" w:rsidRDefault="003230C2" w:rsidP="00E90246">
      <w:pPr>
        <w:pStyle w:val="Titrearticle"/>
        <w:rPr>
          <w:noProof/>
        </w:rPr>
      </w:pPr>
      <w:r w:rsidRPr="000E69D3">
        <w:rPr>
          <w:noProof/>
        </w:rPr>
        <w:t>3 artikla</w:t>
      </w:r>
    </w:p>
    <w:p w14:paraId="5080759B" w14:textId="77777777" w:rsidR="003230C2" w:rsidRPr="000E69D3" w:rsidRDefault="003230C2" w:rsidP="00BE7CB9">
      <w:pPr>
        <w:rPr>
          <w:noProof/>
        </w:rPr>
      </w:pPr>
      <w:r w:rsidRPr="000E69D3">
        <w:rPr>
          <w:noProof/>
        </w:rPr>
        <w:t>Tämä päätös on osoitettu kaikille jäsenvaltioille.</w:t>
      </w:r>
    </w:p>
    <w:p w14:paraId="6B2C918C" w14:textId="1D809BD0" w:rsidR="003230C2" w:rsidRPr="000E69D3" w:rsidRDefault="0048128D" w:rsidP="00E90246">
      <w:pPr>
        <w:pStyle w:val="Fait"/>
        <w:rPr>
          <w:noProof/>
        </w:rPr>
      </w:pPr>
      <w:r w:rsidRPr="0048128D">
        <w:t>Tehty Brysselissä</w:t>
      </w:r>
    </w:p>
    <w:p w14:paraId="27D8AAB0" w14:textId="77777777" w:rsidR="003230C2" w:rsidRPr="000E69D3" w:rsidRDefault="003230C2" w:rsidP="00E90246">
      <w:pPr>
        <w:pStyle w:val="Institutionquisigne"/>
        <w:rPr>
          <w:noProof/>
        </w:rPr>
      </w:pPr>
      <w:r w:rsidRPr="000E69D3">
        <w:rPr>
          <w:noProof/>
        </w:rPr>
        <w:tab/>
        <w:t>Neuvoston puolesta</w:t>
      </w:r>
    </w:p>
    <w:p w14:paraId="3E18DB1C" w14:textId="77777777" w:rsidR="003230C2" w:rsidRPr="000E69D3" w:rsidRDefault="003230C2" w:rsidP="003230C2">
      <w:pPr>
        <w:pStyle w:val="Personnequisigne"/>
        <w:rPr>
          <w:noProof/>
        </w:rPr>
      </w:pPr>
      <w:r w:rsidRPr="000E69D3">
        <w:rPr>
          <w:noProof/>
        </w:rPr>
        <w:tab/>
        <w:t>Puheenjohtaja</w:t>
      </w:r>
    </w:p>
    <w:sectPr w:rsidR="003230C2" w:rsidRPr="000E69D3" w:rsidSect="00ED07B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C87D9" w14:textId="77777777" w:rsidR="00F92B02" w:rsidRDefault="00F92B02" w:rsidP="003230C2">
      <w:pPr>
        <w:spacing w:before="0" w:after="0"/>
      </w:pPr>
      <w:r>
        <w:separator/>
      </w:r>
    </w:p>
  </w:endnote>
  <w:endnote w:type="continuationSeparator" w:id="0">
    <w:p w14:paraId="0C3429E8" w14:textId="77777777" w:rsidR="00F92B02" w:rsidRDefault="00F92B02" w:rsidP="003230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70EA" w14:textId="021A9496" w:rsidR="003B518C" w:rsidRPr="00ED07B7" w:rsidRDefault="00ED07B7" w:rsidP="00ED07B7">
    <w:pPr>
      <w:pStyle w:val="Footer"/>
      <w:rPr>
        <w:rFonts w:ascii="Arial" w:hAnsi="Arial" w:cs="Arial"/>
        <w:b/>
        <w:sz w:val="48"/>
      </w:rPr>
    </w:pPr>
    <w:r w:rsidRPr="00ED07B7">
      <w:rPr>
        <w:rFonts w:ascii="Arial" w:hAnsi="Arial" w:cs="Arial"/>
        <w:b/>
        <w:sz w:val="48"/>
      </w:rPr>
      <w:t>FI</w:t>
    </w:r>
    <w:r w:rsidRPr="00ED07B7">
      <w:rPr>
        <w:rFonts w:ascii="Arial" w:hAnsi="Arial" w:cs="Arial"/>
        <w:b/>
        <w:sz w:val="48"/>
      </w:rPr>
      <w:tab/>
    </w:r>
    <w:r w:rsidRPr="00ED07B7">
      <w:rPr>
        <w:rFonts w:ascii="Arial" w:hAnsi="Arial" w:cs="Arial"/>
        <w:b/>
        <w:sz w:val="48"/>
      </w:rPr>
      <w:tab/>
    </w:r>
    <w:r w:rsidRPr="00ED07B7">
      <w:tab/>
    </w:r>
    <w:r w:rsidRPr="00ED07B7">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BA8F" w14:textId="7362AFE2" w:rsidR="00ED07B7" w:rsidRPr="00ED07B7" w:rsidRDefault="00ED07B7" w:rsidP="00ED07B7">
    <w:pPr>
      <w:pStyle w:val="Footer"/>
      <w:rPr>
        <w:rFonts w:ascii="Arial" w:hAnsi="Arial" w:cs="Arial"/>
        <w:b/>
        <w:sz w:val="48"/>
      </w:rPr>
    </w:pPr>
    <w:r w:rsidRPr="00ED07B7">
      <w:rPr>
        <w:rFonts w:ascii="Arial" w:hAnsi="Arial" w:cs="Arial"/>
        <w:b/>
        <w:sz w:val="48"/>
      </w:rPr>
      <w:t>FI</w:t>
    </w:r>
    <w:r w:rsidRPr="00ED07B7">
      <w:rPr>
        <w:rFonts w:ascii="Arial" w:hAnsi="Arial" w:cs="Arial"/>
        <w:b/>
        <w:sz w:val="48"/>
      </w:rPr>
      <w:tab/>
    </w:r>
    <w:r>
      <w:fldChar w:fldCharType="begin"/>
    </w:r>
    <w:r>
      <w:instrText xml:space="preserve"> PAGE  \* MERGEFORMAT </w:instrText>
    </w:r>
    <w:r>
      <w:fldChar w:fldCharType="separate"/>
    </w:r>
    <w:r w:rsidR="00E90246">
      <w:rPr>
        <w:noProof/>
      </w:rPr>
      <w:t>9</w:t>
    </w:r>
    <w:r>
      <w:fldChar w:fldCharType="end"/>
    </w:r>
    <w:r>
      <w:tab/>
    </w:r>
    <w:r w:rsidRPr="00ED07B7">
      <w:tab/>
    </w:r>
    <w:r w:rsidRPr="00ED07B7">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8687" w14:textId="77777777" w:rsidR="00ED07B7" w:rsidRPr="00ED07B7" w:rsidRDefault="00ED07B7" w:rsidP="00ED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4DDC9" w14:textId="77777777" w:rsidR="00F92B02" w:rsidRDefault="00F92B02" w:rsidP="003230C2">
      <w:pPr>
        <w:spacing w:before="0" w:after="0"/>
      </w:pPr>
      <w:r>
        <w:separator/>
      </w:r>
    </w:p>
  </w:footnote>
  <w:footnote w:type="continuationSeparator" w:id="0">
    <w:p w14:paraId="10D6A07A" w14:textId="77777777" w:rsidR="00F92B02" w:rsidRDefault="00F92B02" w:rsidP="003230C2">
      <w:pPr>
        <w:spacing w:before="0" w:after="0"/>
      </w:pPr>
      <w:r>
        <w:continuationSeparator/>
      </w:r>
    </w:p>
  </w:footnote>
  <w:footnote w:id="1">
    <w:p w14:paraId="3ACA2226" w14:textId="77777777" w:rsidR="0017431F" w:rsidRPr="000E69D3" w:rsidRDefault="0017431F" w:rsidP="0017431F">
      <w:pPr>
        <w:pStyle w:val="FootnoteText"/>
      </w:pPr>
      <w:r>
        <w:rPr>
          <w:rStyle w:val="FootnoteReference"/>
        </w:rPr>
        <w:footnoteRef/>
      </w:r>
      <w:r w:rsidRPr="000E69D3">
        <w:tab/>
        <w:t>Yhdistyneiden kansakuntien sopimussarja, nide 978, nro 14152.</w:t>
      </w:r>
    </w:p>
  </w:footnote>
  <w:footnote w:id="2">
    <w:p w14:paraId="778CEC02" w14:textId="77777777" w:rsidR="0017431F" w:rsidRPr="000E69D3" w:rsidRDefault="0017431F" w:rsidP="0017431F">
      <w:pPr>
        <w:pStyle w:val="FootnoteText"/>
      </w:pPr>
      <w:r>
        <w:rPr>
          <w:rStyle w:val="FootnoteReference"/>
        </w:rPr>
        <w:footnoteRef/>
      </w:r>
      <w:r w:rsidRPr="000E69D3">
        <w:tab/>
        <w:t>Yhdistyneiden kansakuntien sopimussarja, nide 1019, nro 14956.</w:t>
      </w:r>
    </w:p>
  </w:footnote>
  <w:footnote w:id="3">
    <w:p w14:paraId="7447119E" w14:textId="77777777" w:rsidR="00794314" w:rsidRPr="000E69D3" w:rsidRDefault="00794314" w:rsidP="00794314">
      <w:pPr>
        <w:pStyle w:val="FootnoteText"/>
      </w:pPr>
      <w:r>
        <w:rPr>
          <w:rStyle w:val="FootnoteReference"/>
        </w:rPr>
        <w:footnoteRef/>
      </w:r>
      <w:r w:rsidRPr="000E69D3">
        <w:tab/>
        <w:t>Alankomaat, Belgia, Espanja, Italia, Itävalta, Liettua, Malta, Portugali, Puola, Ranska, Slovenia, Suomi ja Unkari.</w:t>
      </w:r>
    </w:p>
  </w:footnote>
  <w:footnote w:id="4">
    <w:p w14:paraId="657BD534" w14:textId="3B4A4ED5" w:rsidR="001C7F8B" w:rsidRPr="000E69D3" w:rsidRDefault="001C7F8B">
      <w:pPr>
        <w:pStyle w:val="FootnoteText"/>
      </w:pPr>
      <w:r>
        <w:rPr>
          <w:rStyle w:val="FootnoteReference"/>
        </w:rPr>
        <w:footnoteRef/>
      </w:r>
      <w:r w:rsidRPr="000E69D3">
        <w:tab/>
      </w:r>
      <w:hyperlink r:id="rId1" w:history="1">
        <w:r w:rsidRPr="000E69D3">
          <w:rPr>
            <w:rStyle w:val="Hyperlink"/>
          </w:rPr>
          <w:t>https://www.who.int/groups/who-expert-committee-on-drug-dependence/46th-ecdd-documents</w:t>
        </w:r>
      </w:hyperlink>
    </w:p>
  </w:footnote>
  <w:footnote w:id="5">
    <w:p w14:paraId="5AAF2101" w14:textId="77777777" w:rsidR="00BB5F02" w:rsidRPr="000E69D3" w:rsidRDefault="00BB5F02" w:rsidP="00BB5F02">
      <w:pPr>
        <w:pStyle w:val="FootnoteText"/>
      </w:pPr>
      <w:r>
        <w:rPr>
          <w:rStyle w:val="FootnoteReference"/>
        </w:rPr>
        <w:footnoteRef/>
      </w:r>
      <w:r w:rsidRPr="000E69D3">
        <w:tab/>
        <w:t xml:space="preserve">Euroopan parlamentin ja neuvoston direktiivi (EU) 2017/2103, annettu 15 päivänä marraskuuta 2017, neuvoston puitepäätöksen 2004/757/YOS muuttamisesta uusien psykoaktiivisten aineiden sisällyttämiseksi huumausaineen määritelmään ja neuvoston päätöksen 2005/387/YOS kumoamisesta (EUVL L 305, 21.11.2017, s. 12). </w:t>
      </w:r>
    </w:p>
  </w:footnote>
  <w:footnote w:id="6">
    <w:p w14:paraId="0B91F989" w14:textId="77777777" w:rsidR="00BB5F02" w:rsidRPr="000E69D3" w:rsidRDefault="00BB5F02" w:rsidP="00BB5F02">
      <w:pPr>
        <w:pStyle w:val="FootnoteText"/>
      </w:pPr>
      <w:r>
        <w:rPr>
          <w:rStyle w:val="FootnoteReference"/>
        </w:rPr>
        <w:footnoteRef/>
      </w:r>
      <w:r w:rsidRPr="000E69D3">
        <w:tab/>
        <w:t>Ks. puitepäätöksen liite.</w:t>
      </w:r>
    </w:p>
  </w:footnote>
  <w:footnote w:id="7">
    <w:p w14:paraId="7A1EABE5" w14:textId="0C8AB639" w:rsidR="00BB5F02" w:rsidRPr="000E69D3" w:rsidRDefault="00BB5F02" w:rsidP="00BB5F02">
      <w:pPr>
        <w:pStyle w:val="FootnoteText"/>
      </w:pPr>
      <w:r>
        <w:rPr>
          <w:rStyle w:val="FootnoteReference"/>
        </w:rPr>
        <w:footnoteRef/>
      </w:r>
      <w:r w:rsidRPr="000E69D3">
        <w:tab/>
        <w:t>Lukuun ottamatta yhtä poikkeusta, joka on saatettu unionin tuomioistuimen käsiteltäväksi.</w:t>
      </w:r>
    </w:p>
  </w:footnote>
  <w:footnote w:id="8">
    <w:p w14:paraId="05B57A10" w14:textId="77777777" w:rsidR="003230C2" w:rsidRPr="000E69D3" w:rsidRDefault="003230C2" w:rsidP="00736AA9">
      <w:pPr>
        <w:pStyle w:val="FootnoteText"/>
      </w:pPr>
      <w:r>
        <w:rPr>
          <w:rStyle w:val="FootnoteReference"/>
        </w:rPr>
        <w:footnoteRef/>
      </w:r>
      <w:r w:rsidRPr="000E69D3">
        <w:tab/>
        <w:t xml:space="preserve">Unionin tuomioistuimen tuomio 7.10.2014, Saksa v. neuvosto, C-399/12, ECLI:EU:C:2014:2258, 64 kohta. </w:t>
      </w:r>
    </w:p>
  </w:footnote>
  <w:footnote w:id="9">
    <w:p w14:paraId="1E1873AF" w14:textId="77777777" w:rsidR="003230C2" w:rsidRPr="000E69D3" w:rsidRDefault="003230C2" w:rsidP="00736AA9">
      <w:pPr>
        <w:pStyle w:val="FootnoteText"/>
      </w:pPr>
      <w:r>
        <w:rPr>
          <w:rStyle w:val="FootnoteReference"/>
        </w:rPr>
        <w:footnoteRef/>
      </w:r>
      <w:r w:rsidRPr="000E69D3">
        <w:tab/>
        <w:t xml:space="preserve">Unionin tuomioistuimen tuomio 7.10.2014, Saksa v. neuvosto, C-399/12, ECLI:EU:C:2014:2258, 61–64 kohta. </w:t>
      </w:r>
    </w:p>
  </w:footnote>
  <w:footnote w:id="10">
    <w:p w14:paraId="2B1AB912" w14:textId="77777777" w:rsidR="00000C81" w:rsidRPr="000E69D3" w:rsidRDefault="00000C81" w:rsidP="00000C81">
      <w:pPr>
        <w:pStyle w:val="FootnoteText"/>
      </w:pPr>
      <w:r>
        <w:rPr>
          <w:rStyle w:val="FootnoteReference"/>
        </w:rPr>
        <w:footnoteRef/>
      </w:r>
      <w:r w:rsidRPr="000E69D3">
        <w:tab/>
        <w:t>Huumausaineyleissopimuksen 3 artiklan 7 kohta; psykotrooppisia aineita koskevan yleissopimuksen 2 artiklan 7 kohta.</w:t>
      </w:r>
    </w:p>
  </w:footnote>
  <w:footnote w:id="11">
    <w:p w14:paraId="3B3ABFBB" w14:textId="77777777" w:rsidR="005A0005" w:rsidRPr="000E69D3" w:rsidRDefault="005A0005" w:rsidP="005A0005">
      <w:pPr>
        <w:pStyle w:val="FootnoteText"/>
      </w:pPr>
      <w:r>
        <w:rPr>
          <w:rStyle w:val="FootnoteReference"/>
        </w:rPr>
        <w:footnoteRef/>
      </w:r>
      <w:r w:rsidRPr="000E69D3">
        <w:tab/>
      </w:r>
      <w:r w:rsidRPr="000E69D3">
        <w:rPr>
          <w:color w:val="000000" w:themeColor="text1"/>
        </w:rPr>
        <w:t>Yhdistyneiden kansakuntien sopimussarja, nide 978, nro 14152.</w:t>
      </w:r>
    </w:p>
  </w:footnote>
  <w:footnote w:id="12">
    <w:p w14:paraId="57DA3AC1" w14:textId="77777777" w:rsidR="0071248F" w:rsidRPr="000E69D3" w:rsidRDefault="0071248F" w:rsidP="0071248F">
      <w:pPr>
        <w:pStyle w:val="FootnoteText"/>
      </w:pPr>
      <w:r>
        <w:rPr>
          <w:rStyle w:val="FootnoteReference"/>
        </w:rPr>
        <w:footnoteRef/>
      </w:r>
      <w:r w:rsidRPr="000E69D3">
        <w:tab/>
      </w:r>
      <w:r w:rsidRPr="000E69D3">
        <w:rPr>
          <w:color w:val="000000" w:themeColor="text1"/>
        </w:rPr>
        <w:t>Yhdistyneiden kansakuntien sopimussarja, nide 1019, nro 14956.</w:t>
      </w:r>
    </w:p>
  </w:footnote>
  <w:footnote w:id="13">
    <w:p w14:paraId="6A0CE570" w14:textId="77777777" w:rsidR="008266F2" w:rsidRPr="000E69D3" w:rsidRDefault="008266F2" w:rsidP="008266F2">
      <w:pPr>
        <w:pStyle w:val="FootnoteText"/>
      </w:pPr>
      <w:r>
        <w:rPr>
          <w:rStyle w:val="FootnoteReference"/>
        </w:rPr>
        <w:footnoteRef/>
      </w:r>
      <w:r w:rsidRPr="000E69D3">
        <w:tab/>
        <w:t>Neuvoston puitepäätös 2004/757/YOS, tehty 25 päivänä lokakuuta 2004, laittoman huumausainekaupan rikostunnusmerkistöjä ja seuraamuksia koskevien vähimmäissääntöjen vahvistamisesta (EUVL L 335, 11.11.2004, s. 8).</w:t>
      </w:r>
    </w:p>
  </w:footnote>
  <w:footnote w:id="14">
    <w:p w14:paraId="0BCAE60A" w14:textId="77777777" w:rsidR="00122183" w:rsidRPr="000E69D3" w:rsidRDefault="00122183" w:rsidP="00122183">
      <w:pPr>
        <w:pStyle w:val="FootnoteText"/>
      </w:pPr>
      <w:r>
        <w:rPr>
          <w:rStyle w:val="FootnoteReference"/>
        </w:rPr>
        <w:footnoteRef/>
      </w:r>
      <w:r w:rsidRPr="000E69D3">
        <w:tab/>
        <w:t>Alankomaat, Belgia, Espanja, Italia, Itävalta, Liettua, Malta, Portugali, Puola, Ranska, Slovenia, Suomi ja Unkari.</w:t>
      </w:r>
    </w:p>
  </w:footnote>
  <w:footnote w:id="15">
    <w:p w14:paraId="01E7B3C7" w14:textId="2C318EE5" w:rsidR="001C7F8B" w:rsidRPr="000E69D3" w:rsidRDefault="001C7F8B">
      <w:pPr>
        <w:pStyle w:val="FootnoteText"/>
      </w:pPr>
      <w:r>
        <w:rPr>
          <w:rStyle w:val="FootnoteReference"/>
        </w:rPr>
        <w:footnoteRef/>
      </w:r>
      <w:r w:rsidRPr="000E69D3">
        <w:tab/>
      </w:r>
      <w:hyperlink r:id="rId2" w:history="1">
        <w:r w:rsidRPr="000E69D3">
          <w:rPr>
            <w:rStyle w:val="Hyperlink"/>
          </w:rPr>
          <w:t>https://www.who.int/groups/who-expert-committee-on-drug-dependence/46th-ecdd-documents</w:t>
        </w:r>
      </w:hyperlink>
      <w:r w:rsidRPr="000E69D3">
        <w:tab/>
      </w:r>
    </w:p>
  </w:footnote>
  <w:footnote w:id="16">
    <w:p w14:paraId="30E877DD" w14:textId="77777777" w:rsidR="0084076F" w:rsidRPr="000E69D3" w:rsidRDefault="0084076F" w:rsidP="0084076F">
      <w:pPr>
        <w:pStyle w:val="FootnoteText"/>
      </w:pPr>
      <w:r>
        <w:rPr>
          <w:rStyle w:val="FootnoteReference"/>
        </w:rPr>
        <w:footnoteRef/>
      </w:r>
      <w:r w:rsidRPr="000E69D3">
        <w:tab/>
        <w:t>Euroopan parlamentin ja neuvoston asetus (EY) N:o 1920/2006, annettu 12 päivänä joulukuuta 2006, Euroopan huumausaineiden ja niiden väärinkäytön seurantakeskuksesta (EUVL L 376, 27.12.2006, s. 1).</w:t>
      </w:r>
    </w:p>
  </w:footnote>
  <w:footnote w:id="17">
    <w:p w14:paraId="614B3752" w14:textId="77777777" w:rsidR="00731F9F" w:rsidRPr="000E69D3" w:rsidRDefault="00731F9F" w:rsidP="00731F9F">
      <w:pPr>
        <w:pStyle w:val="FootnoteText"/>
      </w:pPr>
      <w:r>
        <w:rPr>
          <w:rStyle w:val="FootnoteReference"/>
        </w:rPr>
        <w:footnoteRef/>
      </w:r>
      <w:r w:rsidRPr="000E69D3">
        <w:tab/>
        <w:t>Komission delegoitu direktiivi (EU) 2022/1326, annettu 18 päivänä maaliskuuta 2022, neuvoston puitepäätöksen 2004/757/YOS liitteen muuttamisesta siltä osin kuin on kyse uusien psykoaktiivisten aineiden sisällyttämisestä huumausaineen määritelmään (EUVL L 200, 29.7.2022, s. 148).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2D69E4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C687AA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3F6AFD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ABE125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12-18 15:57: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9F1A93D-FABB-45C2-A1E5-16719B0FCDE4"/>
    <w:docVar w:name="LW_COVERPAGE_TYPE" w:val="1"/>
    <w:docVar w:name="LW_CROSSREFERENCE" w:val="&lt;UNUSED&gt;"/>
    <w:docVar w:name="LW_DocType" w:val="COM"/>
    <w:docVar w:name="LW_EMISSION" w:val="9.1.2024"/>
    <w:docVar w:name="LW_EMISSION_ISODATE" w:val="2024-01-09"/>
    <w:docVar w:name="LW_EMISSION_LOCATION" w:val="BRX"/>
    <w:docVar w:name="LW_EMISSION_PREFIX" w:val="Bryssel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001"/>
    <w:docVar w:name="LW_REF.II.NEW.CP_YEAR" w:val="2024"/>
    <w:docVar w:name="LW_REF.INST.NEW" w:val="COM"/>
    <w:docVar w:name="LW_REF.INST.NEW_ADOPTED" w:val="final"/>
    <w:docVar w:name="LW_REF.INST.NEW_TEXT" w:val="(2024) 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huumausainetoimikunnan 67. istunnossa Euroopan unionin puolesta otettavasta kannasta, joka koskee aineiden listaamista vuoden 1961 huumausaineyleissopimuksen, sellaisena kuin se on muutettuna vuoden 1972 pöytäkirjalla, ja psykotrooppisia aineita koskevan vuoden 1971 yleissopimuksen mukaisesti"/>
    <w:docVar w:name="LW_TYPE.DOC.CP" w:val="NEUVOSTON PÄÄTÖS"/>
    <w:docVar w:name="LwApiVersions" w:val="LW4CoDe 1.23.2.0; LW 8.0, Build 20211117"/>
  </w:docVars>
  <w:rsids>
    <w:rsidRoot w:val="003230C2"/>
    <w:rsid w:val="00000C81"/>
    <w:rsid w:val="000110FF"/>
    <w:rsid w:val="00011BFA"/>
    <w:rsid w:val="00014C49"/>
    <w:rsid w:val="000160BE"/>
    <w:rsid w:val="00020437"/>
    <w:rsid w:val="00033C6C"/>
    <w:rsid w:val="00034413"/>
    <w:rsid w:val="00035DD2"/>
    <w:rsid w:val="0004767F"/>
    <w:rsid w:val="00060BCE"/>
    <w:rsid w:val="00061058"/>
    <w:rsid w:val="00061B69"/>
    <w:rsid w:val="000631A6"/>
    <w:rsid w:val="00070EB8"/>
    <w:rsid w:val="000731B5"/>
    <w:rsid w:val="000745D7"/>
    <w:rsid w:val="000810D5"/>
    <w:rsid w:val="00087035"/>
    <w:rsid w:val="000934E3"/>
    <w:rsid w:val="000A5238"/>
    <w:rsid w:val="000C0437"/>
    <w:rsid w:val="000C2643"/>
    <w:rsid w:val="000D0991"/>
    <w:rsid w:val="000D0A19"/>
    <w:rsid w:val="000D0C7F"/>
    <w:rsid w:val="000D1F21"/>
    <w:rsid w:val="000D5B2C"/>
    <w:rsid w:val="000E4185"/>
    <w:rsid w:val="000E69D3"/>
    <w:rsid w:val="000F4056"/>
    <w:rsid w:val="001048CA"/>
    <w:rsid w:val="001065F5"/>
    <w:rsid w:val="00111BA6"/>
    <w:rsid w:val="00121B36"/>
    <w:rsid w:val="00122183"/>
    <w:rsid w:val="001238EF"/>
    <w:rsid w:val="00123BBB"/>
    <w:rsid w:val="00123E32"/>
    <w:rsid w:val="00125A89"/>
    <w:rsid w:val="001443DE"/>
    <w:rsid w:val="0017431F"/>
    <w:rsid w:val="001748D4"/>
    <w:rsid w:val="00176358"/>
    <w:rsid w:val="0018330E"/>
    <w:rsid w:val="0018341F"/>
    <w:rsid w:val="00197613"/>
    <w:rsid w:val="001A5887"/>
    <w:rsid w:val="001C7F8B"/>
    <w:rsid w:val="001D447D"/>
    <w:rsid w:val="001D4511"/>
    <w:rsid w:val="001D47B3"/>
    <w:rsid w:val="001D663C"/>
    <w:rsid w:val="001E4B0F"/>
    <w:rsid w:val="001E517B"/>
    <w:rsid w:val="001F2E78"/>
    <w:rsid w:val="001F3114"/>
    <w:rsid w:val="001F621A"/>
    <w:rsid w:val="002055BE"/>
    <w:rsid w:val="002235B9"/>
    <w:rsid w:val="002239E3"/>
    <w:rsid w:val="00230B48"/>
    <w:rsid w:val="00233DC7"/>
    <w:rsid w:val="0023684B"/>
    <w:rsid w:val="00244D64"/>
    <w:rsid w:val="00247779"/>
    <w:rsid w:val="00254FAE"/>
    <w:rsid w:val="0025546A"/>
    <w:rsid w:val="00264BC2"/>
    <w:rsid w:val="00272A33"/>
    <w:rsid w:val="0027648E"/>
    <w:rsid w:val="00285BEE"/>
    <w:rsid w:val="00286F8F"/>
    <w:rsid w:val="002910EB"/>
    <w:rsid w:val="0029533F"/>
    <w:rsid w:val="002A0AE0"/>
    <w:rsid w:val="002A0B2F"/>
    <w:rsid w:val="002A2F82"/>
    <w:rsid w:val="002B30AF"/>
    <w:rsid w:val="002B5427"/>
    <w:rsid w:val="002C37FA"/>
    <w:rsid w:val="002C76FF"/>
    <w:rsid w:val="002F2DE8"/>
    <w:rsid w:val="002F40F2"/>
    <w:rsid w:val="003230C2"/>
    <w:rsid w:val="00327CAA"/>
    <w:rsid w:val="003305CF"/>
    <w:rsid w:val="0033071C"/>
    <w:rsid w:val="0033344A"/>
    <w:rsid w:val="003375E9"/>
    <w:rsid w:val="00340134"/>
    <w:rsid w:val="00342BA0"/>
    <w:rsid w:val="00354BA8"/>
    <w:rsid w:val="00357B8D"/>
    <w:rsid w:val="00357BE3"/>
    <w:rsid w:val="00371BE0"/>
    <w:rsid w:val="00376F2A"/>
    <w:rsid w:val="00383FBC"/>
    <w:rsid w:val="00390D4C"/>
    <w:rsid w:val="0039242D"/>
    <w:rsid w:val="00393C7D"/>
    <w:rsid w:val="0039561E"/>
    <w:rsid w:val="003A72AC"/>
    <w:rsid w:val="003B3D32"/>
    <w:rsid w:val="003B431E"/>
    <w:rsid w:val="003B518C"/>
    <w:rsid w:val="003C0719"/>
    <w:rsid w:val="003C3281"/>
    <w:rsid w:val="003C6527"/>
    <w:rsid w:val="003C6664"/>
    <w:rsid w:val="003D231B"/>
    <w:rsid w:val="003E5D3B"/>
    <w:rsid w:val="003F18C0"/>
    <w:rsid w:val="003F6E3D"/>
    <w:rsid w:val="00400A40"/>
    <w:rsid w:val="0041073F"/>
    <w:rsid w:val="0041131A"/>
    <w:rsid w:val="00412743"/>
    <w:rsid w:val="00414C3C"/>
    <w:rsid w:val="00415132"/>
    <w:rsid w:val="0042648E"/>
    <w:rsid w:val="00433230"/>
    <w:rsid w:val="00440048"/>
    <w:rsid w:val="00442944"/>
    <w:rsid w:val="00447542"/>
    <w:rsid w:val="00454012"/>
    <w:rsid w:val="0045508C"/>
    <w:rsid w:val="00460D11"/>
    <w:rsid w:val="0046148C"/>
    <w:rsid w:val="00461A47"/>
    <w:rsid w:val="004727ED"/>
    <w:rsid w:val="00475235"/>
    <w:rsid w:val="0048128D"/>
    <w:rsid w:val="00484378"/>
    <w:rsid w:val="004936D2"/>
    <w:rsid w:val="004A1C54"/>
    <w:rsid w:val="004A2BC6"/>
    <w:rsid w:val="004A4D44"/>
    <w:rsid w:val="004B3B52"/>
    <w:rsid w:val="004B5C6D"/>
    <w:rsid w:val="004B76CE"/>
    <w:rsid w:val="004C2315"/>
    <w:rsid w:val="004D7E1E"/>
    <w:rsid w:val="004F2246"/>
    <w:rsid w:val="00503F79"/>
    <w:rsid w:val="00514F78"/>
    <w:rsid w:val="00516B8E"/>
    <w:rsid w:val="00522474"/>
    <w:rsid w:val="00522677"/>
    <w:rsid w:val="00525394"/>
    <w:rsid w:val="00530607"/>
    <w:rsid w:val="00541601"/>
    <w:rsid w:val="00547AF4"/>
    <w:rsid w:val="005517D1"/>
    <w:rsid w:val="00552608"/>
    <w:rsid w:val="005846E1"/>
    <w:rsid w:val="00590379"/>
    <w:rsid w:val="00591A60"/>
    <w:rsid w:val="005A0005"/>
    <w:rsid w:val="005B1EB6"/>
    <w:rsid w:val="005C58BE"/>
    <w:rsid w:val="005C7A75"/>
    <w:rsid w:val="005D489F"/>
    <w:rsid w:val="005D65DB"/>
    <w:rsid w:val="005D6AA2"/>
    <w:rsid w:val="005E64D4"/>
    <w:rsid w:val="005F199A"/>
    <w:rsid w:val="006031DC"/>
    <w:rsid w:val="0061304A"/>
    <w:rsid w:val="0061394E"/>
    <w:rsid w:val="00624AE5"/>
    <w:rsid w:val="00631F09"/>
    <w:rsid w:val="006365D9"/>
    <w:rsid w:val="0064353D"/>
    <w:rsid w:val="00644BDC"/>
    <w:rsid w:val="00647171"/>
    <w:rsid w:val="00651818"/>
    <w:rsid w:val="00655FE2"/>
    <w:rsid w:val="006624FF"/>
    <w:rsid w:val="0066305D"/>
    <w:rsid w:val="00673C0A"/>
    <w:rsid w:val="00676378"/>
    <w:rsid w:val="00680889"/>
    <w:rsid w:val="0068403A"/>
    <w:rsid w:val="006853F4"/>
    <w:rsid w:val="00691A1F"/>
    <w:rsid w:val="006964AB"/>
    <w:rsid w:val="006A27E6"/>
    <w:rsid w:val="006A7544"/>
    <w:rsid w:val="006C1272"/>
    <w:rsid w:val="006D1598"/>
    <w:rsid w:val="006D5480"/>
    <w:rsid w:val="006D7070"/>
    <w:rsid w:val="006E5E4E"/>
    <w:rsid w:val="006F3A39"/>
    <w:rsid w:val="006F5C6F"/>
    <w:rsid w:val="00701F51"/>
    <w:rsid w:val="0070278A"/>
    <w:rsid w:val="0071248F"/>
    <w:rsid w:val="00714643"/>
    <w:rsid w:val="00714719"/>
    <w:rsid w:val="00720E03"/>
    <w:rsid w:val="00721069"/>
    <w:rsid w:val="00731F9F"/>
    <w:rsid w:val="0073425F"/>
    <w:rsid w:val="007426FC"/>
    <w:rsid w:val="00743ACA"/>
    <w:rsid w:val="00746977"/>
    <w:rsid w:val="00760123"/>
    <w:rsid w:val="007621C0"/>
    <w:rsid w:val="007705A3"/>
    <w:rsid w:val="00773331"/>
    <w:rsid w:val="00783732"/>
    <w:rsid w:val="007932EF"/>
    <w:rsid w:val="007942E8"/>
    <w:rsid w:val="00794314"/>
    <w:rsid w:val="007A620A"/>
    <w:rsid w:val="007B113F"/>
    <w:rsid w:val="007B2B89"/>
    <w:rsid w:val="007B3937"/>
    <w:rsid w:val="007B512C"/>
    <w:rsid w:val="007C243C"/>
    <w:rsid w:val="007C293F"/>
    <w:rsid w:val="007D2D14"/>
    <w:rsid w:val="007D486C"/>
    <w:rsid w:val="007E05B0"/>
    <w:rsid w:val="007E5A47"/>
    <w:rsid w:val="00805397"/>
    <w:rsid w:val="0080540C"/>
    <w:rsid w:val="008056A1"/>
    <w:rsid w:val="00814249"/>
    <w:rsid w:val="008168B8"/>
    <w:rsid w:val="0082083F"/>
    <w:rsid w:val="00821EE2"/>
    <w:rsid w:val="008244FC"/>
    <w:rsid w:val="008266F2"/>
    <w:rsid w:val="0084076F"/>
    <w:rsid w:val="00851C73"/>
    <w:rsid w:val="0085348C"/>
    <w:rsid w:val="008574BA"/>
    <w:rsid w:val="0086303B"/>
    <w:rsid w:val="00864130"/>
    <w:rsid w:val="00874D22"/>
    <w:rsid w:val="008763B5"/>
    <w:rsid w:val="00877156"/>
    <w:rsid w:val="008921A6"/>
    <w:rsid w:val="008A0772"/>
    <w:rsid w:val="008A2914"/>
    <w:rsid w:val="008A43E3"/>
    <w:rsid w:val="008A5D0D"/>
    <w:rsid w:val="008B567F"/>
    <w:rsid w:val="008C0D9C"/>
    <w:rsid w:val="008C3EC3"/>
    <w:rsid w:val="008E07B3"/>
    <w:rsid w:val="008E4D8E"/>
    <w:rsid w:val="008F01B8"/>
    <w:rsid w:val="008F0D79"/>
    <w:rsid w:val="008F2942"/>
    <w:rsid w:val="008F47F2"/>
    <w:rsid w:val="008F545F"/>
    <w:rsid w:val="0090093F"/>
    <w:rsid w:val="00913B34"/>
    <w:rsid w:val="0091727C"/>
    <w:rsid w:val="009201E2"/>
    <w:rsid w:val="00923F57"/>
    <w:rsid w:val="00930253"/>
    <w:rsid w:val="00943589"/>
    <w:rsid w:val="00944EFA"/>
    <w:rsid w:val="0094791D"/>
    <w:rsid w:val="00952AFA"/>
    <w:rsid w:val="0095592D"/>
    <w:rsid w:val="00956A25"/>
    <w:rsid w:val="00977B86"/>
    <w:rsid w:val="00980CDA"/>
    <w:rsid w:val="0098123E"/>
    <w:rsid w:val="00983BAD"/>
    <w:rsid w:val="009938F5"/>
    <w:rsid w:val="0099745D"/>
    <w:rsid w:val="009A6B83"/>
    <w:rsid w:val="009A794F"/>
    <w:rsid w:val="009B0E6B"/>
    <w:rsid w:val="009B5767"/>
    <w:rsid w:val="009C7B16"/>
    <w:rsid w:val="009D136A"/>
    <w:rsid w:val="009D3D9F"/>
    <w:rsid w:val="009F5E34"/>
    <w:rsid w:val="00A02545"/>
    <w:rsid w:val="00A05252"/>
    <w:rsid w:val="00A14406"/>
    <w:rsid w:val="00A27EA1"/>
    <w:rsid w:val="00A545FB"/>
    <w:rsid w:val="00A567DA"/>
    <w:rsid w:val="00A73CCD"/>
    <w:rsid w:val="00A774D2"/>
    <w:rsid w:val="00A83EBF"/>
    <w:rsid w:val="00A85563"/>
    <w:rsid w:val="00A87B0F"/>
    <w:rsid w:val="00A96C6B"/>
    <w:rsid w:val="00AA0130"/>
    <w:rsid w:val="00AA1733"/>
    <w:rsid w:val="00AA71EC"/>
    <w:rsid w:val="00AA7C2E"/>
    <w:rsid w:val="00AA7E7C"/>
    <w:rsid w:val="00AB6B0F"/>
    <w:rsid w:val="00AB713F"/>
    <w:rsid w:val="00AC118A"/>
    <w:rsid w:val="00AC212C"/>
    <w:rsid w:val="00AD186B"/>
    <w:rsid w:val="00AD4814"/>
    <w:rsid w:val="00AD6BA3"/>
    <w:rsid w:val="00AF244A"/>
    <w:rsid w:val="00AF269D"/>
    <w:rsid w:val="00AF429B"/>
    <w:rsid w:val="00AF57D6"/>
    <w:rsid w:val="00B0230F"/>
    <w:rsid w:val="00B07B97"/>
    <w:rsid w:val="00B20AC0"/>
    <w:rsid w:val="00B21888"/>
    <w:rsid w:val="00B3090D"/>
    <w:rsid w:val="00B327C5"/>
    <w:rsid w:val="00B407A3"/>
    <w:rsid w:val="00B41044"/>
    <w:rsid w:val="00B445C3"/>
    <w:rsid w:val="00B46221"/>
    <w:rsid w:val="00B50F83"/>
    <w:rsid w:val="00B553C3"/>
    <w:rsid w:val="00B55D78"/>
    <w:rsid w:val="00B64150"/>
    <w:rsid w:val="00B64CFE"/>
    <w:rsid w:val="00B66DC8"/>
    <w:rsid w:val="00B73979"/>
    <w:rsid w:val="00B75AA5"/>
    <w:rsid w:val="00B81E9B"/>
    <w:rsid w:val="00BA09CA"/>
    <w:rsid w:val="00BA221A"/>
    <w:rsid w:val="00BA3E65"/>
    <w:rsid w:val="00BB3FAF"/>
    <w:rsid w:val="00BB438E"/>
    <w:rsid w:val="00BB5F02"/>
    <w:rsid w:val="00BB7CFB"/>
    <w:rsid w:val="00BC05EF"/>
    <w:rsid w:val="00BC4427"/>
    <w:rsid w:val="00BC5C05"/>
    <w:rsid w:val="00BD1388"/>
    <w:rsid w:val="00BF0F7E"/>
    <w:rsid w:val="00C01D0A"/>
    <w:rsid w:val="00C12301"/>
    <w:rsid w:val="00C2296D"/>
    <w:rsid w:val="00C32BD0"/>
    <w:rsid w:val="00C52BDA"/>
    <w:rsid w:val="00C55A34"/>
    <w:rsid w:val="00C57B21"/>
    <w:rsid w:val="00C62E11"/>
    <w:rsid w:val="00C67E30"/>
    <w:rsid w:val="00C706A5"/>
    <w:rsid w:val="00C81AC8"/>
    <w:rsid w:val="00C857DF"/>
    <w:rsid w:val="00CA0699"/>
    <w:rsid w:val="00CA2AD2"/>
    <w:rsid w:val="00CA4A46"/>
    <w:rsid w:val="00CA5C7C"/>
    <w:rsid w:val="00CB01B1"/>
    <w:rsid w:val="00CB65C9"/>
    <w:rsid w:val="00CC4D16"/>
    <w:rsid w:val="00CD0FD6"/>
    <w:rsid w:val="00CE182B"/>
    <w:rsid w:val="00CE3F4E"/>
    <w:rsid w:val="00CE73C8"/>
    <w:rsid w:val="00CF2388"/>
    <w:rsid w:val="00CF58EA"/>
    <w:rsid w:val="00D0377C"/>
    <w:rsid w:val="00D0431D"/>
    <w:rsid w:val="00D116E3"/>
    <w:rsid w:val="00D1396D"/>
    <w:rsid w:val="00D16850"/>
    <w:rsid w:val="00D20381"/>
    <w:rsid w:val="00D24F7D"/>
    <w:rsid w:val="00D313D8"/>
    <w:rsid w:val="00D47E2C"/>
    <w:rsid w:val="00D5614A"/>
    <w:rsid w:val="00D626DE"/>
    <w:rsid w:val="00D66E48"/>
    <w:rsid w:val="00D671BF"/>
    <w:rsid w:val="00D829E1"/>
    <w:rsid w:val="00D8422D"/>
    <w:rsid w:val="00D87F67"/>
    <w:rsid w:val="00D907A2"/>
    <w:rsid w:val="00D91F74"/>
    <w:rsid w:val="00D94346"/>
    <w:rsid w:val="00DA06B5"/>
    <w:rsid w:val="00DA52E0"/>
    <w:rsid w:val="00DA5B34"/>
    <w:rsid w:val="00DB4574"/>
    <w:rsid w:val="00DC1452"/>
    <w:rsid w:val="00DC1E22"/>
    <w:rsid w:val="00DC493D"/>
    <w:rsid w:val="00DD4452"/>
    <w:rsid w:val="00DD7038"/>
    <w:rsid w:val="00DD7C04"/>
    <w:rsid w:val="00E02141"/>
    <w:rsid w:val="00E03B0B"/>
    <w:rsid w:val="00E157F6"/>
    <w:rsid w:val="00E1712D"/>
    <w:rsid w:val="00E2090C"/>
    <w:rsid w:val="00E2137D"/>
    <w:rsid w:val="00E24BF8"/>
    <w:rsid w:val="00E430C0"/>
    <w:rsid w:val="00E53AF3"/>
    <w:rsid w:val="00E71875"/>
    <w:rsid w:val="00E75366"/>
    <w:rsid w:val="00E75F66"/>
    <w:rsid w:val="00E90246"/>
    <w:rsid w:val="00E91742"/>
    <w:rsid w:val="00EA274E"/>
    <w:rsid w:val="00EA465E"/>
    <w:rsid w:val="00EB4425"/>
    <w:rsid w:val="00EB52D2"/>
    <w:rsid w:val="00EB7D5E"/>
    <w:rsid w:val="00ED07B7"/>
    <w:rsid w:val="00ED0AE9"/>
    <w:rsid w:val="00EE35A0"/>
    <w:rsid w:val="00EE4D7D"/>
    <w:rsid w:val="00EF3CFE"/>
    <w:rsid w:val="00F00EB4"/>
    <w:rsid w:val="00F03292"/>
    <w:rsid w:val="00F108CB"/>
    <w:rsid w:val="00F11B35"/>
    <w:rsid w:val="00F134D4"/>
    <w:rsid w:val="00F13C70"/>
    <w:rsid w:val="00F34B94"/>
    <w:rsid w:val="00F40596"/>
    <w:rsid w:val="00F5537F"/>
    <w:rsid w:val="00F62F7B"/>
    <w:rsid w:val="00F70E72"/>
    <w:rsid w:val="00F71712"/>
    <w:rsid w:val="00F7490A"/>
    <w:rsid w:val="00F77FC7"/>
    <w:rsid w:val="00F80643"/>
    <w:rsid w:val="00F809B7"/>
    <w:rsid w:val="00F8501B"/>
    <w:rsid w:val="00F877A9"/>
    <w:rsid w:val="00F92B02"/>
    <w:rsid w:val="00FA1487"/>
    <w:rsid w:val="00FA27DA"/>
    <w:rsid w:val="00FA47EE"/>
    <w:rsid w:val="00FB06B6"/>
    <w:rsid w:val="00FB1692"/>
    <w:rsid w:val="00FC38F8"/>
    <w:rsid w:val="00FC73B2"/>
    <w:rsid w:val="00FD486B"/>
    <w:rsid w:val="00FE6941"/>
    <w:rsid w:val="00FF2ABD"/>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86B2AC"/>
  <w15:docId w15:val="{D1B588E2-257E-402E-BEC0-A915D24E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5508C"/>
    <w:pPr>
      <w:numPr>
        <w:numId w:val="1"/>
      </w:numPr>
      <w:contextualSpacing/>
    </w:pPr>
  </w:style>
  <w:style w:type="paragraph" w:styleId="ListBullet2">
    <w:name w:val="List Bullet 2"/>
    <w:basedOn w:val="Normal"/>
    <w:uiPriority w:val="99"/>
    <w:semiHidden/>
    <w:unhideWhenUsed/>
    <w:rsid w:val="0045508C"/>
    <w:pPr>
      <w:numPr>
        <w:numId w:val="2"/>
      </w:numPr>
      <w:contextualSpacing/>
    </w:pPr>
  </w:style>
  <w:style w:type="paragraph" w:styleId="ListBullet3">
    <w:name w:val="List Bullet 3"/>
    <w:basedOn w:val="Normal"/>
    <w:uiPriority w:val="99"/>
    <w:semiHidden/>
    <w:unhideWhenUsed/>
    <w:rsid w:val="0045508C"/>
    <w:pPr>
      <w:numPr>
        <w:numId w:val="3"/>
      </w:numPr>
      <w:contextualSpacing/>
    </w:pPr>
  </w:style>
  <w:style w:type="paragraph" w:styleId="ListBullet4">
    <w:name w:val="List Bullet 4"/>
    <w:basedOn w:val="Normal"/>
    <w:uiPriority w:val="99"/>
    <w:semiHidden/>
    <w:unhideWhenUsed/>
    <w:rsid w:val="0045508C"/>
    <w:pPr>
      <w:numPr>
        <w:numId w:val="4"/>
      </w:numPr>
      <w:contextualSpacing/>
    </w:pPr>
  </w:style>
  <w:style w:type="character" w:styleId="Hyperlink">
    <w:name w:val="Hyperlink"/>
    <w:basedOn w:val="DefaultParagraphFont"/>
    <w:uiPriority w:val="99"/>
    <w:unhideWhenUsed/>
    <w:rsid w:val="00433230"/>
    <w:rPr>
      <w:color w:val="0000FF"/>
      <w:u w:val="single"/>
    </w:rPr>
  </w:style>
  <w:style w:type="paragraph" w:styleId="Revision">
    <w:name w:val="Revision"/>
    <w:hidden/>
    <w:uiPriority w:val="99"/>
    <w:semiHidden/>
    <w:rsid w:val="007D486C"/>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7D486C"/>
    <w:rPr>
      <w:sz w:val="16"/>
      <w:szCs w:val="16"/>
    </w:rPr>
  </w:style>
  <w:style w:type="paragraph" w:styleId="CommentText">
    <w:name w:val="annotation text"/>
    <w:basedOn w:val="Normal"/>
    <w:link w:val="CommentTextChar"/>
    <w:uiPriority w:val="99"/>
    <w:unhideWhenUsed/>
    <w:rsid w:val="007D486C"/>
    <w:rPr>
      <w:sz w:val="20"/>
      <w:szCs w:val="20"/>
    </w:rPr>
  </w:style>
  <w:style w:type="character" w:customStyle="1" w:styleId="CommentTextChar">
    <w:name w:val="Comment Text Char"/>
    <w:basedOn w:val="DefaultParagraphFont"/>
    <w:link w:val="CommentText"/>
    <w:uiPriority w:val="99"/>
    <w:rsid w:val="007D486C"/>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7D486C"/>
    <w:rPr>
      <w:b/>
      <w:bCs/>
    </w:rPr>
  </w:style>
  <w:style w:type="character" w:customStyle="1" w:styleId="CommentSubjectChar">
    <w:name w:val="Comment Subject Char"/>
    <w:basedOn w:val="CommentTextChar"/>
    <w:link w:val="CommentSubject"/>
    <w:uiPriority w:val="99"/>
    <w:semiHidden/>
    <w:rsid w:val="007D486C"/>
    <w:rPr>
      <w:rFonts w:ascii="Times New Roman" w:hAnsi="Times New Roman" w:cs="Times New Roman"/>
      <w:b/>
      <w:bCs/>
      <w:sz w:val="20"/>
      <w:szCs w:val="20"/>
      <w:lang w:val="fi-FI"/>
    </w:rPr>
  </w:style>
  <w:style w:type="character" w:customStyle="1" w:styleId="UnresolvedMention">
    <w:name w:val="Unresolved Mention"/>
    <w:basedOn w:val="DefaultParagraphFont"/>
    <w:uiPriority w:val="99"/>
    <w:semiHidden/>
    <w:unhideWhenUsed/>
    <w:rsid w:val="00CE73C8"/>
    <w:rPr>
      <w:color w:val="605E5C"/>
      <w:shd w:val="clear" w:color="auto" w:fill="E1DFDD"/>
    </w:rPr>
  </w:style>
  <w:style w:type="paragraph" w:styleId="Header">
    <w:name w:val="header"/>
    <w:basedOn w:val="Normal"/>
    <w:link w:val="HeaderChar"/>
    <w:uiPriority w:val="99"/>
    <w:unhideWhenUsed/>
    <w:rsid w:val="00ED07B7"/>
    <w:pPr>
      <w:tabs>
        <w:tab w:val="center" w:pos="4535"/>
        <w:tab w:val="right" w:pos="9071"/>
      </w:tabs>
      <w:spacing w:before="0"/>
    </w:pPr>
  </w:style>
  <w:style w:type="character" w:customStyle="1" w:styleId="HeaderChar">
    <w:name w:val="Header Char"/>
    <w:basedOn w:val="DefaultParagraphFont"/>
    <w:link w:val="Header"/>
    <w:uiPriority w:val="99"/>
    <w:rsid w:val="00ED07B7"/>
    <w:rPr>
      <w:rFonts w:ascii="Times New Roman" w:hAnsi="Times New Roman" w:cs="Times New Roman"/>
      <w:sz w:val="24"/>
      <w:lang w:val="fi-FI"/>
    </w:rPr>
  </w:style>
  <w:style w:type="paragraph" w:styleId="Footer">
    <w:name w:val="footer"/>
    <w:basedOn w:val="Normal"/>
    <w:link w:val="FooterChar"/>
    <w:uiPriority w:val="99"/>
    <w:unhideWhenUsed/>
    <w:rsid w:val="00ED07B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D07B7"/>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D07B7"/>
    <w:pPr>
      <w:tabs>
        <w:tab w:val="center" w:pos="7285"/>
        <w:tab w:val="right" w:pos="14003"/>
      </w:tabs>
      <w:spacing w:before="0"/>
    </w:pPr>
  </w:style>
  <w:style w:type="paragraph" w:customStyle="1" w:styleId="FooterLandscape">
    <w:name w:val="FooterLandscape"/>
    <w:basedOn w:val="Normal"/>
    <w:rsid w:val="00ED07B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D07B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D07B7"/>
    <w:pPr>
      <w:spacing w:before="0"/>
      <w:jc w:val="right"/>
    </w:pPr>
    <w:rPr>
      <w:sz w:val="28"/>
    </w:rPr>
  </w:style>
  <w:style w:type="paragraph" w:customStyle="1" w:styleId="FooterSensitivity">
    <w:name w:val="Footer Sensitivity"/>
    <w:basedOn w:val="Normal"/>
    <w:rsid w:val="00ED07B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5735">
      <w:bodyDiv w:val="1"/>
      <w:marLeft w:val="0"/>
      <w:marRight w:val="0"/>
      <w:marTop w:val="0"/>
      <w:marBottom w:val="0"/>
      <w:divBdr>
        <w:top w:val="none" w:sz="0" w:space="0" w:color="auto"/>
        <w:left w:val="none" w:sz="0" w:space="0" w:color="auto"/>
        <w:bottom w:val="none" w:sz="0" w:space="0" w:color="auto"/>
        <w:right w:val="none" w:sz="0" w:space="0" w:color="auto"/>
      </w:divBdr>
    </w:div>
    <w:div w:id="475415358">
      <w:bodyDiv w:val="1"/>
      <w:marLeft w:val="0"/>
      <w:marRight w:val="0"/>
      <w:marTop w:val="0"/>
      <w:marBottom w:val="0"/>
      <w:divBdr>
        <w:top w:val="none" w:sz="0" w:space="0" w:color="auto"/>
        <w:left w:val="none" w:sz="0" w:space="0" w:color="auto"/>
        <w:bottom w:val="none" w:sz="0" w:space="0" w:color="auto"/>
        <w:right w:val="none" w:sz="0" w:space="0" w:color="auto"/>
      </w:divBdr>
    </w:div>
    <w:div w:id="486634711">
      <w:bodyDiv w:val="1"/>
      <w:marLeft w:val="0"/>
      <w:marRight w:val="0"/>
      <w:marTop w:val="0"/>
      <w:marBottom w:val="0"/>
      <w:divBdr>
        <w:top w:val="none" w:sz="0" w:space="0" w:color="auto"/>
        <w:left w:val="none" w:sz="0" w:space="0" w:color="auto"/>
        <w:bottom w:val="none" w:sz="0" w:space="0" w:color="auto"/>
        <w:right w:val="none" w:sz="0" w:space="0" w:color="auto"/>
      </w:divBdr>
    </w:div>
    <w:div w:id="1362169208">
      <w:bodyDiv w:val="1"/>
      <w:marLeft w:val="0"/>
      <w:marRight w:val="0"/>
      <w:marTop w:val="0"/>
      <w:marBottom w:val="0"/>
      <w:divBdr>
        <w:top w:val="none" w:sz="0" w:space="0" w:color="auto"/>
        <w:left w:val="none" w:sz="0" w:space="0" w:color="auto"/>
        <w:bottom w:val="none" w:sz="0" w:space="0" w:color="auto"/>
        <w:right w:val="none" w:sz="0" w:space="0" w:color="auto"/>
      </w:divBdr>
    </w:div>
    <w:div w:id="1391146534">
      <w:bodyDiv w:val="1"/>
      <w:marLeft w:val="0"/>
      <w:marRight w:val="0"/>
      <w:marTop w:val="0"/>
      <w:marBottom w:val="0"/>
      <w:divBdr>
        <w:top w:val="none" w:sz="0" w:space="0" w:color="auto"/>
        <w:left w:val="none" w:sz="0" w:space="0" w:color="auto"/>
        <w:bottom w:val="none" w:sz="0" w:space="0" w:color="auto"/>
        <w:right w:val="none" w:sz="0" w:space="0" w:color="auto"/>
      </w:divBdr>
    </w:div>
    <w:div w:id="1518689882">
      <w:bodyDiv w:val="1"/>
      <w:marLeft w:val="0"/>
      <w:marRight w:val="0"/>
      <w:marTop w:val="0"/>
      <w:marBottom w:val="0"/>
      <w:divBdr>
        <w:top w:val="none" w:sz="0" w:space="0" w:color="auto"/>
        <w:left w:val="none" w:sz="0" w:space="0" w:color="auto"/>
        <w:bottom w:val="none" w:sz="0" w:space="0" w:color="auto"/>
        <w:right w:val="none" w:sz="0" w:space="0" w:color="auto"/>
      </w:divBdr>
    </w:div>
    <w:div w:id="1744327257">
      <w:bodyDiv w:val="1"/>
      <w:marLeft w:val="0"/>
      <w:marRight w:val="0"/>
      <w:marTop w:val="0"/>
      <w:marBottom w:val="0"/>
      <w:divBdr>
        <w:top w:val="none" w:sz="0" w:space="0" w:color="auto"/>
        <w:left w:val="none" w:sz="0" w:space="0" w:color="auto"/>
        <w:bottom w:val="none" w:sz="0" w:space="0" w:color="auto"/>
        <w:right w:val="none" w:sz="0" w:space="0" w:color="auto"/>
      </w:divBdr>
    </w:div>
    <w:div w:id="1819414499">
      <w:bodyDiv w:val="1"/>
      <w:marLeft w:val="0"/>
      <w:marRight w:val="0"/>
      <w:marTop w:val="0"/>
      <w:marBottom w:val="0"/>
      <w:divBdr>
        <w:top w:val="none" w:sz="0" w:space="0" w:color="auto"/>
        <w:left w:val="none" w:sz="0" w:space="0" w:color="auto"/>
        <w:bottom w:val="none" w:sz="0" w:space="0" w:color="auto"/>
        <w:right w:val="none" w:sz="0" w:space="0" w:color="auto"/>
      </w:divBdr>
    </w:div>
    <w:div w:id="18735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groups/who-expert-committee-on-drug-dependence/46th-ecdd-documents" TargetMode="External"/><Relationship Id="rId1" Type="http://schemas.openxmlformats.org/officeDocument/2006/relationships/hyperlink" Target="https://www.who.int/groups/who-expert-committee-on-drug-dependence/46th-ecdd-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29C0-75F8-4DE5-BE56-0E4BCB69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10</Pages>
  <Words>2442</Words>
  <Characters>20953</Characters>
  <Application>Microsoft Office Word</Application>
  <DocSecurity>0</DocSecurity>
  <Lines>332</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43</cp:revision>
  <dcterms:created xsi:type="dcterms:W3CDTF">2023-12-11T13:33:00Z</dcterms:created>
  <dcterms:modified xsi:type="dcterms:W3CDTF">2023-12-18T14:57:00Z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2023-10-08T15:48:55Z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8b362cb8-3e86-4fb7-a222-22f2a49fffa8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SJ-043</vt:lpwstr>
  </property>
  <property fmtid="{D5CDD505-2E9C-101B-9397-08002B2CF9AE}" pid="17" name="DQCStatus">
    <vt:lpwstr>Green (DQC version 03)</vt:lpwstr>
  </property>
</Properties>
</file>