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9E005" w14:textId="1DF398EF" w:rsidR="00D446DD" w:rsidRPr="00347044" w:rsidRDefault="00A86325" w:rsidP="00A86325">
      <w:pPr>
        <w:pStyle w:val="Pagedecouverture"/>
        <w:rPr>
          <w:noProof/>
        </w:rPr>
      </w:pPr>
      <w:r>
        <w:rPr>
          <w:noProof/>
        </w:rPr>
        <w:pict w14:anchorId="126BC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A3A453D-8BB6-4143-96AE-EAFF907608BA" style="width:455.25pt;height:369.75pt">
            <v:imagedata r:id="rId8" o:title=""/>
          </v:shape>
        </w:pict>
      </w:r>
    </w:p>
    <w:p w14:paraId="392409FE" w14:textId="77777777" w:rsidR="00D446DD" w:rsidRPr="00347044" w:rsidRDefault="00D446DD" w:rsidP="00D446DD">
      <w:pPr>
        <w:rPr>
          <w:noProof/>
        </w:rPr>
        <w:sectPr w:rsidR="00D446DD" w:rsidRPr="00347044" w:rsidSect="00A86325">
          <w:footerReference w:type="default" r:id="rId9"/>
          <w:pgSz w:w="11907" w:h="16839"/>
          <w:pgMar w:top="1134" w:right="1417" w:bottom="1134" w:left="1417" w:header="709" w:footer="709" w:gutter="0"/>
          <w:pgNumType w:start="0"/>
          <w:cols w:space="720"/>
          <w:docGrid w:linePitch="360"/>
        </w:sectPr>
      </w:pPr>
    </w:p>
    <w:p w14:paraId="36A02320" w14:textId="77777777" w:rsidR="00D446DD" w:rsidRPr="00347044" w:rsidRDefault="00D446DD" w:rsidP="00D446DD">
      <w:pPr>
        <w:pStyle w:val="Exposdesmotifstitre"/>
        <w:rPr>
          <w:noProof/>
        </w:rPr>
      </w:pPr>
      <w:bookmarkStart w:id="0" w:name="_GoBack"/>
      <w:bookmarkEnd w:id="0"/>
      <w:r w:rsidRPr="00347044">
        <w:rPr>
          <w:noProof/>
        </w:rPr>
        <w:lastRenderedPageBreak/>
        <w:t>DÔVODOVÁ SPRÁVA</w:t>
      </w:r>
    </w:p>
    <w:p w14:paraId="387051E6" w14:textId="77777777" w:rsidR="00D446DD" w:rsidRPr="00347044" w:rsidRDefault="00D446DD" w:rsidP="00D446DD">
      <w:pPr>
        <w:pStyle w:val="ManualHeading1"/>
        <w:rPr>
          <w:noProof/>
        </w:rPr>
      </w:pPr>
      <w:r w:rsidRPr="00347044">
        <w:rPr>
          <w:noProof/>
        </w:rPr>
        <w:t>1.</w:t>
      </w:r>
      <w:r w:rsidRPr="00347044">
        <w:rPr>
          <w:noProof/>
        </w:rPr>
        <w:tab/>
        <w:t>KONTEXT NÁVRHU</w:t>
      </w:r>
    </w:p>
    <w:p w14:paraId="4802C523" w14:textId="1C336E5C" w:rsidR="00D446DD" w:rsidRPr="00347044" w:rsidRDefault="00D446DD" w:rsidP="00D446DD">
      <w:pPr>
        <w:pStyle w:val="ManualHeading2"/>
        <w:rPr>
          <w:rFonts w:eastAsia="Arial Unicode MS"/>
          <w:noProof/>
        </w:rPr>
      </w:pPr>
      <w:r w:rsidRPr="00347044">
        <w:rPr>
          <w:noProof/>
          <w:color w:val="000000"/>
          <w:u w:color="000000"/>
          <w:bdr w:val="nil"/>
        </w:rPr>
        <w:t>•</w:t>
      </w:r>
      <w:r w:rsidRPr="00347044">
        <w:rPr>
          <w:noProof/>
          <w:color w:val="000000"/>
          <w:u w:color="000000"/>
          <w:bdr w:val="nil"/>
        </w:rPr>
        <w:tab/>
      </w:r>
      <w:r w:rsidRPr="00347044">
        <w:rPr>
          <w:noProof/>
        </w:rPr>
        <w:t>Dôvody</w:t>
      </w:r>
      <w:r w:rsidR="00940F55">
        <w:rPr>
          <w:noProof/>
        </w:rPr>
        <w:t xml:space="preserve"> a </w:t>
      </w:r>
      <w:r w:rsidRPr="00347044">
        <w:rPr>
          <w:noProof/>
        </w:rPr>
        <w:t>ciele návrhu</w:t>
      </w:r>
    </w:p>
    <w:p w14:paraId="2D51AEBA" w14:textId="77777777" w:rsidR="00D446DD" w:rsidRPr="00347044" w:rsidRDefault="00D446DD" w:rsidP="00D446DD">
      <w:pPr>
        <w:rPr>
          <w:noProof/>
          <w:u w:val="single"/>
        </w:rPr>
      </w:pPr>
      <w:r w:rsidRPr="00347044">
        <w:rPr>
          <w:noProof/>
          <w:u w:val="single"/>
        </w:rPr>
        <w:t>Dôvody</w:t>
      </w:r>
    </w:p>
    <w:p w14:paraId="31A8D556" w14:textId="750BF21A" w:rsidR="00EE5C03" w:rsidRPr="00347044" w:rsidRDefault="00D446DD" w:rsidP="00D446DD">
      <w:pPr>
        <w:rPr>
          <w:noProof/>
        </w:rPr>
      </w:pPr>
      <w:r w:rsidRPr="00347044">
        <w:rPr>
          <w:noProof/>
        </w:rPr>
        <w:t>Európska únia</w:t>
      </w:r>
      <w:r w:rsidR="00940F55">
        <w:rPr>
          <w:noProof/>
        </w:rPr>
        <w:t xml:space="preserve"> a </w:t>
      </w:r>
      <w:r w:rsidRPr="00347044">
        <w:rPr>
          <w:noProof/>
        </w:rPr>
        <w:t>Švajčiarsko sú úzko prepojené</w:t>
      </w:r>
      <w:r w:rsidR="00940F55">
        <w:rPr>
          <w:noProof/>
        </w:rPr>
        <w:t xml:space="preserve"> z </w:t>
      </w:r>
      <w:r w:rsidRPr="00347044">
        <w:rPr>
          <w:noProof/>
        </w:rPr>
        <w:t>hospodárskeho, historického, kultúrneho, sociálneho</w:t>
      </w:r>
      <w:r w:rsidR="00940F55">
        <w:rPr>
          <w:noProof/>
        </w:rPr>
        <w:t xml:space="preserve"> a </w:t>
      </w:r>
      <w:r w:rsidRPr="00347044">
        <w:rPr>
          <w:noProof/>
        </w:rPr>
        <w:t>politického hľadiska. Únia je najväčším obchodným partnerom Švajčiarska, zatiaľ čo Švajčiarsko je štvrtým najväčším obchodným partnerom EÚ. Viac ako 1,3 milióna občanov EÚ žije vo Švajčiarsku</w:t>
      </w:r>
      <w:r w:rsidR="00940F55">
        <w:rPr>
          <w:noProof/>
        </w:rPr>
        <w:t xml:space="preserve"> a </w:t>
      </w:r>
      <w:r w:rsidRPr="00347044">
        <w:rPr>
          <w:noProof/>
        </w:rPr>
        <w:t>takmer 450 000 švajčiarskych štátnych príslušníkov žije</w:t>
      </w:r>
      <w:r w:rsidR="00940F55">
        <w:rPr>
          <w:noProof/>
        </w:rPr>
        <w:t xml:space="preserve"> v </w:t>
      </w:r>
      <w:r w:rsidRPr="00347044">
        <w:rPr>
          <w:noProof/>
        </w:rPr>
        <w:t>EÚ. Každý deň prekračuje hranicu medzi EÚ</w:t>
      </w:r>
      <w:r w:rsidR="00940F55">
        <w:rPr>
          <w:noProof/>
        </w:rPr>
        <w:t xml:space="preserve"> a </w:t>
      </w:r>
      <w:r w:rsidRPr="00347044">
        <w:rPr>
          <w:noProof/>
        </w:rPr>
        <w:t>Švajčiarskom niekoľko stoviek tisíc cezhraničných pracovníkov</w:t>
      </w:r>
      <w:r w:rsidR="00940F55">
        <w:rPr>
          <w:noProof/>
        </w:rPr>
        <w:t xml:space="preserve"> v </w:t>
      </w:r>
      <w:r w:rsidRPr="00347044">
        <w:rPr>
          <w:noProof/>
        </w:rPr>
        <w:t xml:space="preserve">oboch smeroch. </w:t>
      </w:r>
    </w:p>
    <w:p w14:paraId="350D0DD3" w14:textId="6E02544A" w:rsidR="00D446DD" w:rsidRPr="00347044" w:rsidRDefault="00EE5C03" w:rsidP="00D446DD">
      <w:pPr>
        <w:rPr>
          <w:noProof/>
        </w:rPr>
      </w:pPr>
      <w:r w:rsidRPr="00347044">
        <w:rPr>
          <w:noProof/>
        </w:rPr>
        <w:t>Únia</w:t>
      </w:r>
      <w:r w:rsidR="00940F55">
        <w:rPr>
          <w:noProof/>
        </w:rPr>
        <w:t xml:space="preserve"> a </w:t>
      </w:r>
      <w:r w:rsidRPr="00347044">
        <w:rPr>
          <w:noProof/>
        </w:rPr>
        <w:t>Švajčiarsko sú navzájom viazané viacerými dvojstrannými dohodami. Dohodami</w:t>
      </w:r>
      <w:r w:rsidR="00940F55">
        <w:rPr>
          <w:noProof/>
        </w:rPr>
        <w:t xml:space="preserve"> o </w:t>
      </w:r>
      <w:r w:rsidRPr="00347044">
        <w:rPr>
          <w:noProof/>
        </w:rPr>
        <w:t>voľnom pohybe osôb, pozemnej doprave, leteckej doprave, obchode</w:t>
      </w:r>
      <w:r w:rsidR="00940F55">
        <w:rPr>
          <w:noProof/>
        </w:rPr>
        <w:t xml:space="preserve"> s </w:t>
      </w:r>
      <w:r w:rsidRPr="00347044">
        <w:rPr>
          <w:noProof/>
        </w:rPr>
        <w:t>poľnohospodárskymi výrobkami, ako aj</w:t>
      </w:r>
      <w:r w:rsidR="00940F55">
        <w:rPr>
          <w:noProof/>
        </w:rPr>
        <w:t xml:space="preserve"> o </w:t>
      </w:r>
      <w:r w:rsidRPr="00347044">
        <w:rPr>
          <w:noProof/>
        </w:rPr>
        <w:t>vzájomnom uznávaní vo vzťahu</w:t>
      </w:r>
      <w:r w:rsidR="00940F55">
        <w:rPr>
          <w:noProof/>
        </w:rPr>
        <w:t xml:space="preserve"> k </w:t>
      </w:r>
      <w:r w:rsidRPr="00347044">
        <w:rPr>
          <w:noProof/>
        </w:rPr>
        <w:t>posudzovaniu zhody sa Švajčiarsko zúčastňuje na vnútornom trhu EÚ</w:t>
      </w:r>
      <w:r w:rsidRPr="00347044">
        <w:rPr>
          <w:rStyle w:val="FootnoteReference"/>
          <w:noProof/>
        </w:rPr>
        <w:footnoteReference w:id="1"/>
      </w:r>
      <w:r w:rsidRPr="00347044">
        <w:rPr>
          <w:noProof/>
        </w:rPr>
        <w:t>. Švajčiarsko je tiež krajinou pridruženou</w:t>
      </w:r>
      <w:r w:rsidR="00940F55">
        <w:rPr>
          <w:noProof/>
        </w:rPr>
        <w:t xml:space="preserve"> k </w:t>
      </w:r>
      <w:r w:rsidRPr="00347044">
        <w:rPr>
          <w:noProof/>
        </w:rPr>
        <w:t>schengenskému priestoru. Tradične je silným partnerom</w:t>
      </w:r>
      <w:r w:rsidR="00940F55">
        <w:rPr>
          <w:noProof/>
        </w:rPr>
        <w:t xml:space="preserve"> v </w:t>
      </w:r>
      <w:r w:rsidRPr="00347044">
        <w:rPr>
          <w:noProof/>
        </w:rPr>
        <w:t>oblasti výskumu</w:t>
      </w:r>
      <w:r w:rsidR="00940F55">
        <w:rPr>
          <w:noProof/>
        </w:rPr>
        <w:t xml:space="preserve"> a </w:t>
      </w:r>
      <w:r w:rsidRPr="00347044">
        <w:rPr>
          <w:noProof/>
        </w:rPr>
        <w:t>inovácií. Počas krízy spôsobenej pandémiou ochorenia COVID-19 sa zintenzívnila spolupráca medzi EÚ</w:t>
      </w:r>
      <w:r w:rsidR="00940F55">
        <w:rPr>
          <w:noProof/>
        </w:rPr>
        <w:t xml:space="preserve"> a </w:t>
      </w:r>
      <w:r w:rsidRPr="00347044">
        <w:rPr>
          <w:noProof/>
        </w:rPr>
        <w:t>Švajčiarskom</w:t>
      </w:r>
      <w:r w:rsidR="00940F55">
        <w:rPr>
          <w:noProof/>
        </w:rPr>
        <w:t xml:space="preserve"> v </w:t>
      </w:r>
      <w:r w:rsidRPr="00347044">
        <w:rPr>
          <w:noProof/>
        </w:rPr>
        <w:t>oblasti cezhraničných ohrození zdravia.</w:t>
      </w:r>
      <w:r w:rsidR="00940F55">
        <w:rPr>
          <w:noProof/>
        </w:rPr>
        <w:t xml:space="preserve"> A </w:t>
      </w:r>
      <w:r w:rsidRPr="00347044">
        <w:rPr>
          <w:noProof/>
        </w:rPr>
        <w:t>napokon, Švajčiarsko je vysoko integrované do elektrizačnej sústavy EÚ.</w:t>
      </w:r>
    </w:p>
    <w:p w14:paraId="50D8195D" w14:textId="19EF414D" w:rsidR="00D446DD" w:rsidRPr="00347044" w:rsidRDefault="00D446DD" w:rsidP="00D446DD">
      <w:pPr>
        <w:rPr>
          <w:noProof/>
        </w:rPr>
      </w:pPr>
      <w:r w:rsidRPr="00347044">
        <w:rPr>
          <w:noProof/>
        </w:rPr>
        <w:t>Hoci sú vzťahy medzi EÚ</w:t>
      </w:r>
      <w:r w:rsidR="00940F55">
        <w:rPr>
          <w:noProof/>
        </w:rPr>
        <w:t xml:space="preserve"> a </w:t>
      </w:r>
      <w:r w:rsidRPr="00347044">
        <w:rPr>
          <w:noProof/>
        </w:rPr>
        <w:t>Švajčiarskom úzke, obmedzovali ich aj viaceré dlhodobé štrukturálne problémy</w:t>
      </w:r>
      <w:r w:rsidR="00940F55">
        <w:rPr>
          <w:noProof/>
        </w:rPr>
        <w:t xml:space="preserve"> v </w:t>
      </w:r>
      <w:r w:rsidRPr="00347044">
        <w:rPr>
          <w:noProof/>
        </w:rPr>
        <w:t>existujúcich dohodách týkajúcich sa vnútorného trhu,</w:t>
      </w:r>
      <w:r w:rsidR="00940F55">
        <w:rPr>
          <w:noProof/>
        </w:rPr>
        <w:t xml:space="preserve"> a </w:t>
      </w:r>
      <w:r w:rsidRPr="00347044">
        <w:rPr>
          <w:noProof/>
        </w:rPr>
        <w:t>to najmä:</w:t>
      </w:r>
    </w:p>
    <w:p w14:paraId="0D51EA17" w14:textId="0DD95C89" w:rsidR="00D446DD" w:rsidRPr="00347044" w:rsidRDefault="00D446DD" w:rsidP="0060063E">
      <w:pPr>
        <w:pStyle w:val="Tiret1"/>
        <w:numPr>
          <w:ilvl w:val="0"/>
          <w:numId w:val="1"/>
        </w:numPr>
        <w:rPr>
          <w:noProof/>
        </w:rPr>
      </w:pPr>
      <w:r w:rsidRPr="00347044">
        <w:rPr>
          <w:noProof/>
        </w:rPr>
        <w:t>chýbajúci jednotný výklad</w:t>
      </w:r>
      <w:r w:rsidR="00940F55">
        <w:rPr>
          <w:noProof/>
        </w:rPr>
        <w:t xml:space="preserve"> a </w:t>
      </w:r>
      <w:r w:rsidRPr="00347044">
        <w:rPr>
          <w:noProof/>
        </w:rPr>
        <w:t>uplatňovanie práva Únie</w:t>
      </w:r>
      <w:r w:rsidR="00940F55">
        <w:rPr>
          <w:noProof/>
        </w:rPr>
        <w:t xml:space="preserve"> v </w:t>
      </w:r>
      <w:r w:rsidRPr="00347044">
        <w:rPr>
          <w:noProof/>
        </w:rPr>
        <w:t>oblastiach vnútorného trhu, na ktorom sa Švajčiarsko zúčastňuje,</w:t>
      </w:r>
    </w:p>
    <w:p w14:paraId="1A8E3E03" w14:textId="00D07AA7" w:rsidR="00D446DD" w:rsidRPr="00347044" w:rsidRDefault="00D446DD" w:rsidP="00D446DD">
      <w:pPr>
        <w:pStyle w:val="Tiret1"/>
        <w:rPr>
          <w:noProof/>
        </w:rPr>
      </w:pPr>
      <w:r w:rsidRPr="00347044">
        <w:rPr>
          <w:noProof/>
        </w:rPr>
        <w:t>neexistencia švajčiarskej povinnosti dynamického zosúlaďovania</w:t>
      </w:r>
      <w:r w:rsidR="00940F55">
        <w:rPr>
          <w:noProof/>
        </w:rPr>
        <w:t xml:space="preserve"> s </w:t>
      </w:r>
      <w:r w:rsidRPr="00347044">
        <w:rPr>
          <w:noProof/>
        </w:rPr>
        <w:t>právom Únie,</w:t>
      </w:r>
    </w:p>
    <w:p w14:paraId="5DEDC1C5" w14:textId="5EA83861" w:rsidR="00D446DD" w:rsidRPr="00347044" w:rsidRDefault="00D446DD" w:rsidP="00D446DD">
      <w:pPr>
        <w:pStyle w:val="Tiret1"/>
        <w:rPr>
          <w:noProof/>
        </w:rPr>
      </w:pPr>
      <w:r w:rsidRPr="00347044">
        <w:rPr>
          <w:noProof/>
        </w:rPr>
        <w:t>neexistencia účinného mechanizmu urovnávania sporov,</w:t>
      </w:r>
      <w:r w:rsidR="00940F55">
        <w:rPr>
          <w:noProof/>
        </w:rPr>
        <w:t xml:space="preserve"> v </w:t>
      </w:r>
      <w:r w:rsidRPr="00347044">
        <w:rPr>
          <w:noProof/>
        </w:rPr>
        <w:t>rámci ktorého by Súdny dvor Európskej únie zohrával úlohu pri dodržiavaní práva Únie,</w:t>
      </w:r>
    </w:p>
    <w:p w14:paraId="052F83C1" w14:textId="3807286A" w:rsidR="00D446DD" w:rsidRPr="00347044" w:rsidRDefault="00D446DD" w:rsidP="00D446DD">
      <w:pPr>
        <w:pStyle w:val="Tiret1"/>
        <w:rPr>
          <w:noProof/>
        </w:rPr>
      </w:pPr>
      <w:r w:rsidRPr="00347044">
        <w:rPr>
          <w:noProof/>
        </w:rPr>
        <w:t>neexistencia rovnakých podmienok pre spoločnosti</w:t>
      </w:r>
      <w:r w:rsidR="00940F55">
        <w:rPr>
          <w:noProof/>
        </w:rPr>
        <w:t xml:space="preserve"> z </w:t>
      </w:r>
      <w:r w:rsidRPr="00347044">
        <w:rPr>
          <w:noProof/>
        </w:rPr>
        <w:t>EÚ</w:t>
      </w:r>
      <w:r w:rsidR="00940F55">
        <w:rPr>
          <w:noProof/>
        </w:rPr>
        <w:t xml:space="preserve"> a </w:t>
      </w:r>
      <w:r w:rsidRPr="00347044">
        <w:rPr>
          <w:noProof/>
        </w:rPr>
        <w:t>zo Švajčiarska, najmä preto, že pravidlá štátnej pomoci nie sú zahrnuté do dohôd týkajúcich sa vnútorného trhu,</w:t>
      </w:r>
    </w:p>
    <w:p w14:paraId="0ADE26C8" w14:textId="243BF714" w:rsidR="00D446DD" w:rsidRPr="00347044" w:rsidRDefault="00D446DD" w:rsidP="00D446DD">
      <w:pPr>
        <w:pStyle w:val="Tiret1"/>
        <w:rPr>
          <w:noProof/>
        </w:rPr>
      </w:pPr>
      <w:r w:rsidRPr="00347044">
        <w:rPr>
          <w:noProof/>
        </w:rPr>
        <w:t>neexistencia pravidelného</w:t>
      </w:r>
      <w:r w:rsidR="00940F55">
        <w:rPr>
          <w:noProof/>
        </w:rPr>
        <w:t xml:space="preserve"> a </w:t>
      </w:r>
      <w:r w:rsidRPr="00347044">
        <w:rPr>
          <w:noProof/>
        </w:rPr>
        <w:t>spravodlivého finančného príspevku Švajčiarska na sociálnu</w:t>
      </w:r>
      <w:r w:rsidR="00940F55">
        <w:rPr>
          <w:noProof/>
        </w:rPr>
        <w:t xml:space="preserve"> a </w:t>
      </w:r>
      <w:r w:rsidRPr="00347044">
        <w:rPr>
          <w:noProof/>
        </w:rPr>
        <w:t>hospodársku súdržnosť EÚ.</w:t>
      </w:r>
    </w:p>
    <w:p w14:paraId="07828BD2" w14:textId="77777777" w:rsidR="000B05DA" w:rsidRPr="00347044" w:rsidRDefault="00576E89" w:rsidP="00A5062A">
      <w:pPr>
        <w:keepNext/>
        <w:rPr>
          <w:noProof/>
          <w:u w:val="single"/>
        </w:rPr>
      </w:pPr>
      <w:r w:rsidRPr="00347044">
        <w:rPr>
          <w:noProof/>
          <w:u w:val="single"/>
        </w:rPr>
        <w:t>Kontext</w:t>
      </w:r>
    </w:p>
    <w:p w14:paraId="363A9D81" w14:textId="717B401B" w:rsidR="00576E89" w:rsidRPr="00347044" w:rsidRDefault="00576E89" w:rsidP="00576E89">
      <w:pPr>
        <w:rPr>
          <w:noProof/>
        </w:rPr>
      </w:pPr>
      <w:r w:rsidRPr="00347044">
        <w:rPr>
          <w:noProof/>
        </w:rPr>
        <w:t>V rokoch 2014 až 2021 viedli EÚ</w:t>
      </w:r>
      <w:r w:rsidR="00940F55">
        <w:rPr>
          <w:noProof/>
        </w:rPr>
        <w:t xml:space="preserve"> a </w:t>
      </w:r>
      <w:r w:rsidRPr="00347044">
        <w:rPr>
          <w:noProof/>
        </w:rPr>
        <w:t>Švajčiarsko rokovania</w:t>
      </w:r>
      <w:r w:rsidR="00940F55">
        <w:rPr>
          <w:noProof/>
        </w:rPr>
        <w:t xml:space="preserve"> o </w:t>
      </w:r>
      <w:r w:rsidRPr="00347044">
        <w:rPr>
          <w:noProof/>
        </w:rPr>
        <w:t>dohode</w:t>
      </w:r>
      <w:r w:rsidR="00940F55">
        <w:rPr>
          <w:noProof/>
        </w:rPr>
        <w:t xml:space="preserve"> o </w:t>
      </w:r>
      <w:r w:rsidRPr="00347044">
        <w:rPr>
          <w:noProof/>
        </w:rPr>
        <w:t>inštitucionálnom rámci</w:t>
      </w:r>
      <w:r w:rsidR="00940F55">
        <w:rPr>
          <w:noProof/>
        </w:rPr>
        <w:t xml:space="preserve"> s </w:t>
      </w:r>
      <w:r w:rsidRPr="00347044">
        <w:rPr>
          <w:noProof/>
        </w:rPr>
        <w:t>cieľom vyriešiť rôzne štrukturálne problémy, ktoré obmedzujú vzťahy medzi EÚ</w:t>
      </w:r>
      <w:r w:rsidR="00940F55">
        <w:rPr>
          <w:noProof/>
        </w:rPr>
        <w:t xml:space="preserve"> a </w:t>
      </w:r>
      <w:r w:rsidRPr="00347044">
        <w:rPr>
          <w:noProof/>
        </w:rPr>
        <w:t>Švajčiarskom.</w:t>
      </w:r>
      <w:r w:rsidR="00940F55">
        <w:rPr>
          <w:noProof/>
        </w:rPr>
        <w:t xml:space="preserve"> V </w:t>
      </w:r>
      <w:r w:rsidRPr="00347044">
        <w:rPr>
          <w:noProof/>
        </w:rPr>
        <w:t>súlade so smernicami Rady na rokovania</w:t>
      </w:r>
      <w:r w:rsidR="00940F55">
        <w:rPr>
          <w:noProof/>
        </w:rPr>
        <w:t xml:space="preserve"> z </w:t>
      </w:r>
      <w:r w:rsidRPr="00347044">
        <w:rPr>
          <w:noProof/>
        </w:rPr>
        <w:t>roku 2014</w:t>
      </w:r>
      <w:r w:rsidRPr="00347044">
        <w:rPr>
          <w:rStyle w:val="FootnoteReference"/>
          <w:noProof/>
        </w:rPr>
        <w:footnoteReference w:id="2"/>
      </w:r>
      <w:r w:rsidRPr="00347044">
        <w:rPr>
          <w:noProof/>
        </w:rPr>
        <w:t xml:space="preserve"> by sa</w:t>
      </w:r>
      <w:r w:rsidR="00940F55">
        <w:rPr>
          <w:noProof/>
        </w:rPr>
        <w:t xml:space="preserve"> v </w:t>
      </w:r>
      <w:r w:rsidRPr="00347044">
        <w:rPr>
          <w:noProof/>
        </w:rPr>
        <w:t>dohode</w:t>
      </w:r>
      <w:r w:rsidR="00940F55">
        <w:rPr>
          <w:noProof/>
        </w:rPr>
        <w:t xml:space="preserve"> o </w:t>
      </w:r>
      <w:r w:rsidRPr="00347044">
        <w:rPr>
          <w:noProof/>
        </w:rPr>
        <w:t>inštitucionálnom rámci stanovil jednotný rámec riadenia, ktorým by sa riadili existujúce dohody týkajúce sa vnútorného trhu</w:t>
      </w:r>
      <w:r w:rsidR="00940F55">
        <w:rPr>
          <w:noProof/>
        </w:rPr>
        <w:t xml:space="preserve"> a </w:t>
      </w:r>
      <w:r w:rsidRPr="00347044">
        <w:rPr>
          <w:noProof/>
        </w:rPr>
        <w:t>zabezpečilo by sa ich správne uplatňovanie. Dohodou</w:t>
      </w:r>
      <w:r w:rsidR="00940F55">
        <w:rPr>
          <w:noProof/>
        </w:rPr>
        <w:t xml:space="preserve"> o </w:t>
      </w:r>
      <w:r w:rsidRPr="00347044">
        <w:rPr>
          <w:noProof/>
        </w:rPr>
        <w:t>inštitucionálnom rámci by sa takisto stanovil rámec riadenia pre dodatočné dohody týkajúce sa vnútorného trhu vrátane dohôd,</w:t>
      </w:r>
      <w:r w:rsidR="00940F55">
        <w:rPr>
          <w:noProof/>
        </w:rPr>
        <w:t xml:space="preserve"> o </w:t>
      </w:r>
      <w:r w:rsidRPr="00347044">
        <w:rPr>
          <w:noProof/>
        </w:rPr>
        <w:t>ktorých rokovania schválila Rada, najmä pokiaľ ide</w:t>
      </w:r>
      <w:r w:rsidR="00940F55">
        <w:rPr>
          <w:noProof/>
        </w:rPr>
        <w:t xml:space="preserve"> </w:t>
      </w:r>
      <w:r w:rsidR="00940F55">
        <w:rPr>
          <w:noProof/>
        </w:rPr>
        <w:lastRenderedPageBreak/>
        <w:t>o </w:t>
      </w:r>
      <w:r w:rsidRPr="00347044">
        <w:rPr>
          <w:noProof/>
        </w:rPr>
        <w:t>bezpečnosť potravín (2003</w:t>
      </w:r>
      <w:r w:rsidR="00940F55">
        <w:rPr>
          <w:noProof/>
        </w:rPr>
        <w:t xml:space="preserve"> a </w:t>
      </w:r>
      <w:r w:rsidRPr="00347044">
        <w:rPr>
          <w:noProof/>
        </w:rPr>
        <w:t>2008)</w:t>
      </w:r>
      <w:r w:rsidR="00940F55">
        <w:rPr>
          <w:noProof/>
        </w:rPr>
        <w:t xml:space="preserve"> a </w:t>
      </w:r>
      <w:r w:rsidRPr="00347044">
        <w:rPr>
          <w:noProof/>
        </w:rPr>
        <w:t>elektrickú energiu (2006). Okrem toho by sa ňou stanovil rámec riadenia</w:t>
      </w:r>
      <w:r w:rsidR="00940F55">
        <w:rPr>
          <w:noProof/>
        </w:rPr>
        <w:t xml:space="preserve"> v </w:t>
      </w:r>
      <w:r w:rsidRPr="00347044">
        <w:rPr>
          <w:noProof/>
        </w:rPr>
        <w:t>prípade dohody</w:t>
      </w:r>
      <w:r w:rsidR="00940F55">
        <w:rPr>
          <w:noProof/>
        </w:rPr>
        <w:t xml:space="preserve"> v </w:t>
      </w:r>
      <w:r w:rsidRPr="00347044">
        <w:rPr>
          <w:noProof/>
        </w:rPr>
        <w:t>oblasti zdravia,</w:t>
      </w:r>
      <w:r w:rsidR="00940F55">
        <w:rPr>
          <w:noProof/>
        </w:rPr>
        <w:t xml:space="preserve"> o </w:t>
      </w:r>
      <w:r w:rsidRPr="00347044">
        <w:rPr>
          <w:noProof/>
        </w:rPr>
        <w:t>ktorej rokovania schválila Rada</w:t>
      </w:r>
      <w:r w:rsidR="00940F55">
        <w:rPr>
          <w:noProof/>
        </w:rPr>
        <w:t xml:space="preserve"> v </w:t>
      </w:r>
      <w:r w:rsidRPr="00347044">
        <w:rPr>
          <w:noProof/>
        </w:rPr>
        <w:t>roku 2008.</w:t>
      </w:r>
    </w:p>
    <w:p w14:paraId="01B929C5" w14:textId="50B29956" w:rsidR="00576E89" w:rsidRPr="00347044" w:rsidRDefault="00576E89" w:rsidP="00576E89">
      <w:pPr>
        <w:rPr>
          <w:noProof/>
        </w:rPr>
      </w:pPr>
      <w:r w:rsidRPr="00347044">
        <w:rPr>
          <w:noProof/>
        </w:rPr>
        <w:t>Vyjednávači dosiahli dohodu</w:t>
      </w:r>
      <w:r w:rsidR="00940F55">
        <w:rPr>
          <w:noProof/>
        </w:rPr>
        <w:t xml:space="preserve"> o </w:t>
      </w:r>
      <w:r w:rsidRPr="00347044">
        <w:rPr>
          <w:noProof/>
        </w:rPr>
        <w:t>návrhu znenia dohody</w:t>
      </w:r>
      <w:r w:rsidR="00940F55">
        <w:rPr>
          <w:noProof/>
        </w:rPr>
        <w:t xml:space="preserve"> o </w:t>
      </w:r>
      <w:r w:rsidRPr="00347044">
        <w:rPr>
          <w:noProof/>
        </w:rPr>
        <w:t>inštitucionálnom rámci na technickej úrovni</w:t>
      </w:r>
      <w:r w:rsidR="00940F55">
        <w:rPr>
          <w:noProof/>
        </w:rPr>
        <w:t xml:space="preserve"> v </w:t>
      </w:r>
      <w:r w:rsidRPr="00347044">
        <w:rPr>
          <w:noProof/>
        </w:rPr>
        <w:t>novembri 2018.</w:t>
      </w:r>
      <w:r w:rsidR="00940F55">
        <w:rPr>
          <w:noProof/>
        </w:rPr>
        <w:t xml:space="preserve"> V </w:t>
      </w:r>
      <w:r w:rsidRPr="00347044">
        <w:rPr>
          <w:noProof/>
        </w:rPr>
        <w:t>reakcii na odmietnutie Spolkovej rady schváliť návrh znenia dohody</w:t>
      </w:r>
      <w:r w:rsidR="00940F55">
        <w:rPr>
          <w:noProof/>
        </w:rPr>
        <w:t xml:space="preserve"> o </w:t>
      </w:r>
      <w:r w:rsidRPr="00347044">
        <w:rPr>
          <w:noProof/>
        </w:rPr>
        <w:t>inštitucionálnom rámci sa rokovania</w:t>
      </w:r>
      <w:r w:rsidR="00940F55">
        <w:rPr>
          <w:noProof/>
        </w:rPr>
        <w:t xml:space="preserve"> o </w:t>
      </w:r>
      <w:r w:rsidRPr="00347044">
        <w:rPr>
          <w:noProof/>
        </w:rPr>
        <w:t>ostatných dohodách zastavili, keďže Rada vo svojich záveroch</w:t>
      </w:r>
      <w:r w:rsidR="00940F55">
        <w:rPr>
          <w:noProof/>
        </w:rPr>
        <w:t xml:space="preserve"> z </w:t>
      </w:r>
      <w:r w:rsidRPr="00347044">
        <w:rPr>
          <w:noProof/>
        </w:rPr>
        <w:t>19. februára 2019 aj Európsky parlament vo svojom odporúčaní</w:t>
      </w:r>
      <w:r w:rsidR="00940F55">
        <w:rPr>
          <w:noProof/>
        </w:rPr>
        <w:t xml:space="preserve"> z </w:t>
      </w:r>
      <w:r w:rsidRPr="00347044">
        <w:rPr>
          <w:noProof/>
        </w:rPr>
        <w:t>26. marca 2019 podmienili uzavretie nových dohôd</w:t>
      </w:r>
      <w:r w:rsidR="00940F55">
        <w:rPr>
          <w:noProof/>
        </w:rPr>
        <w:t xml:space="preserve"> o </w:t>
      </w:r>
      <w:r w:rsidRPr="00347044">
        <w:rPr>
          <w:noProof/>
        </w:rPr>
        <w:t>prístupe na trh alebo zlepšení podmienok uvedených</w:t>
      </w:r>
      <w:r w:rsidR="00940F55">
        <w:rPr>
          <w:noProof/>
        </w:rPr>
        <w:t xml:space="preserve"> v </w:t>
      </w:r>
      <w:r w:rsidRPr="00347044">
        <w:rPr>
          <w:noProof/>
        </w:rPr>
        <w:t>existujúcich dohodách uzavretím dohody</w:t>
      </w:r>
      <w:r w:rsidR="00940F55">
        <w:rPr>
          <w:noProof/>
        </w:rPr>
        <w:t xml:space="preserve"> o </w:t>
      </w:r>
      <w:r w:rsidRPr="00347044">
        <w:rPr>
          <w:noProof/>
        </w:rPr>
        <w:t>inštitucionálnom rámci. Švajčiarska federálna rada rozhodla 26. mája 2021, že napriek ďalším pokusom nájsť riešenia jednostranne ukončí rokovania</w:t>
      </w:r>
      <w:r w:rsidR="00940F55">
        <w:rPr>
          <w:noProof/>
        </w:rPr>
        <w:t xml:space="preserve"> o </w:t>
      </w:r>
      <w:r w:rsidRPr="00347044">
        <w:rPr>
          <w:noProof/>
        </w:rPr>
        <w:t>dohode</w:t>
      </w:r>
      <w:r w:rsidR="00940F55">
        <w:rPr>
          <w:noProof/>
        </w:rPr>
        <w:t xml:space="preserve"> o </w:t>
      </w:r>
      <w:r w:rsidRPr="00347044">
        <w:rPr>
          <w:noProof/>
        </w:rPr>
        <w:t>inštitucionálnom rámci.</w:t>
      </w:r>
    </w:p>
    <w:p w14:paraId="37841E1E" w14:textId="525A95CA" w:rsidR="00576E89" w:rsidRPr="00347044" w:rsidRDefault="00576E89" w:rsidP="00576E89">
      <w:pPr>
        <w:rPr>
          <w:noProof/>
        </w:rPr>
      </w:pPr>
      <w:r w:rsidRPr="00347044">
        <w:rPr>
          <w:noProof/>
        </w:rPr>
        <w:t>Federálna rada 25. februára 2022 navrhla obnoviť rokovania</w:t>
      </w:r>
      <w:r w:rsidR="00940F55">
        <w:rPr>
          <w:noProof/>
        </w:rPr>
        <w:t xml:space="preserve"> o </w:t>
      </w:r>
      <w:r w:rsidRPr="00347044">
        <w:rPr>
          <w:noProof/>
        </w:rPr>
        <w:t>rozsiahlom balíku opatrení týkajúcich sa dvojstranných vzťahov medzi EÚ</w:t>
      </w:r>
      <w:r w:rsidR="00940F55">
        <w:rPr>
          <w:noProof/>
        </w:rPr>
        <w:t xml:space="preserve"> a </w:t>
      </w:r>
      <w:r w:rsidRPr="00347044">
        <w:rPr>
          <w:noProof/>
        </w:rPr>
        <w:t>Švajčiarskom, ktorými by sa inštitucionálne otázky vyriešili</w:t>
      </w:r>
      <w:r w:rsidR="00940F55">
        <w:rPr>
          <w:noProof/>
        </w:rPr>
        <w:t xml:space="preserve"> v </w:t>
      </w:r>
      <w:r w:rsidRPr="00347044">
        <w:rPr>
          <w:noProof/>
        </w:rPr>
        <w:t>rámci existujúcich</w:t>
      </w:r>
      <w:r w:rsidR="00940F55">
        <w:rPr>
          <w:noProof/>
        </w:rPr>
        <w:t xml:space="preserve"> a </w:t>
      </w:r>
      <w:r w:rsidRPr="00347044">
        <w:rPr>
          <w:noProof/>
        </w:rPr>
        <w:t>budúcich dohôd týkajúcich sa vnútorného trhu,</w:t>
      </w:r>
      <w:r w:rsidR="00940F55">
        <w:rPr>
          <w:noProof/>
        </w:rPr>
        <w:t xml:space="preserve"> a </w:t>
      </w:r>
      <w:r w:rsidRPr="00347044">
        <w:rPr>
          <w:noProof/>
        </w:rPr>
        <w:t>nie horizontálnou dohodou. Od marca 2022 do novembra 2023 viedli zástupcovia Komisie prieskumné rozhovory so Švajčiarskom</w:t>
      </w:r>
      <w:r w:rsidR="00940F55">
        <w:rPr>
          <w:noProof/>
        </w:rPr>
        <w:t xml:space="preserve"> s </w:t>
      </w:r>
      <w:r w:rsidRPr="00347044">
        <w:rPr>
          <w:noProof/>
        </w:rPr>
        <w:t xml:space="preserve">cieľom určiť, či by Komisia mohla prijať návrhy Spolkovej rady ako základ pre odporúčanie opätovného začatia rokovaní. </w:t>
      </w:r>
    </w:p>
    <w:p w14:paraId="62843D8A" w14:textId="40B3DB96" w:rsidR="00576E89" w:rsidRPr="00347044" w:rsidRDefault="00576E89" w:rsidP="00576E89">
      <w:pPr>
        <w:rPr>
          <w:noProof/>
        </w:rPr>
      </w:pPr>
      <w:r w:rsidRPr="00347044">
        <w:rPr>
          <w:noProof/>
        </w:rPr>
        <w:t>Tieto rozhovory viedli</w:t>
      </w:r>
      <w:r w:rsidR="00940F55">
        <w:rPr>
          <w:noProof/>
        </w:rPr>
        <w:t xml:space="preserve"> k </w:t>
      </w:r>
      <w:r w:rsidRPr="00347044">
        <w:rPr>
          <w:noProof/>
        </w:rPr>
        <w:t>spoločnej dohode, ktorá obsahuje politické porozumenie oboch strán</w:t>
      </w:r>
      <w:r w:rsidR="00940F55">
        <w:rPr>
          <w:noProof/>
        </w:rPr>
        <w:t xml:space="preserve"> o </w:t>
      </w:r>
      <w:r w:rsidRPr="00347044">
        <w:rPr>
          <w:noProof/>
        </w:rPr>
        <w:t>ďalšom postupe pre budúce rokovania</w:t>
      </w:r>
      <w:r w:rsidR="00940F55">
        <w:rPr>
          <w:noProof/>
        </w:rPr>
        <w:t xml:space="preserve"> a </w:t>
      </w:r>
      <w:r w:rsidRPr="00347044">
        <w:rPr>
          <w:noProof/>
        </w:rPr>
        <w:t>identifikuje zložky</w:t>
      </w:r>
      <w:r w:rsidR="00940F55">
        <w:rPr>
          <w:noProof/>
        </w:rPr>
        <w:t xml:space="preserve"> a </w:t>
      </w:r>
      <w:r w:rsidRPr="00347044">
        <w:rPr>
          <w:noProof/>
        </w:rPr>
        <w:t>parametre rozsiahleho rokovacieho balíka, ako aj spoločné menovatele</w:t>
      </w:r>
      <w:r w:rsidR="00940F55">
        <w:rPr>
          <w:noProof/>
        </w:rPr>
        <w:t xml:space="preserve"> a </w:t>
      </w:r>
      <w:r w:rsidRPr="00347044">
        <w:rPr>
          <w:noProof/>
        </w:rPr>
        <w:t>riešenia</w:t>
      </w:r>
      <w:r w:rsidR="00940F55">
        <w:rPr>
          <w:noProof/>
        </w:rPr>
        <w:t xml:space="preserve"> v </w:t>
      </w:r>
      <w:r w:rsidRPr="00347044">
        <w:rPr>
          <w:noProof/>
        </w:rPr>
        <w:t>kľúčových inštitucionálnych</w:t>
      </w:r>
      <w:r w:rsidR="00940F55">
        <w:rPr>
          <w:noProof/>
        </w:rPr>
        <w:t xml:space="preserve"> a </w:t>
      </w:r>
      <w:r w:rsidRPr="00347044">
        <w:rPr>
          <w:noProof/>
        </w:rPr>
        <w:t>odvetvových bodoch. Túto spoločnú dohodu schválila Švajčiarska federálna rada 8. novembra 2023</w:t>
      </w:r>
      <w:r w:rsidR="00940F55">
        <w:rPr>
          <w:noProof/>
        </w:rPr>
        <w:t xml:space="preserve"> a </w:t>
      </w:r>
      <w:r w:rsidRPr="00347044">
        <w:rPr>
          <w:noProof/>
        </w:rPr>
        <w:t>Európska komisia 21. novembra 2023. Obe strany sa zaviazali použiť spoločnú dohodu ako základ pre príslušné mandáty na rokovania,</w:t>
      </w:r>
      <w:r w:rsidR="00940F55">
        <w:rPr>
          <w:noProof/>
        </w:rPr>
        <w:t xml:space="preserve"> o </w:t>
      </w:r>
      <w:r w:rsidRPr="00347044">
        <w:rPr>
          <w:noProof/>
        </w:rPr>
        <w:t>ktoré by sa usilovali,</w:t>
      </w:r>
      <w:r w:rsidR="00940F55">
        <w:rPr>
          <w:noProof/>
        </w:rPr>
        <w:t xml:space="preserve"> a </w:t>
      </w:r>
      <w:r w:rsidRPr="00347044">
        <w:rPr>
          <w:noProof/>
        </w:rPr>
        <w:t>dohodli sa na spoločnej ambícii uzavrieť rokovania</w:t>
      </w:r>
      <w:r w:rsidR="00940F55">
        <w:rPr>
          <w:noProof/>
        </w:rPr>
        <w:t xml:space="preserve"> v </w:t>
      </w:r>
      <w:r w:rsidRPr="00347044">
        <w:rPr>
          <w:noProof/>
        </w:rPr>
        <w:t>priebehu roka 2024.</w:t>
      </w:r>
    </w:p>
    <w:p w14:paraId="6AD7B8C8" w14:textId="2D112ACC" w:rsidR="000137EC" w:rsidRPr="00347044" w:rsidRDefault="000137EC" w:rsidP="00576E89">
      <w:pPr>
        <w:rPr>
          <w:noProof/>
        </w:rPr>
      </w:pPr>
      <w:r w:rsidRPr="00347044">
        <w:rPr>
          <w:noProof/>
        </w:rPr>
        <w:t>Švajčiarska federálna rada teraz konzultovala so švajčiarskym parlamentom</w:t>
      </w:r>
      <w:r w:rsidR="00940F55">
        <w:rPr>
          <w:noProof/>
        </w:rPr>
        <w:t xml:space="preserve"> a </w:t>
      </w:r>
      <w:r w:rsidRPr="00347044">
        <w:rPr>
          <w:noProof/>
        </w:rPr>
        <w:t>kantónmi nový mandát na rokovania.</w:t>
      </w:r>
    </w:p>
    <w:p w14:paraId="0639C368" w14:textId="2837C443" w:rsidR="00576E89" w:rsidRPr="00347044" w:rsidRDefault="00576E89" w:rsidP="000137EC">
      <w:pPr>
        <w:rPr>
          <w:rFonts w:eastAsia="Arial Unicode MS"/>
          <w:noProof/>
        </w:rPr>
      </w:pPr>
      <w:r w:rsidRPr="00347044">
        <w:rPr>
          <w:noProof/>
        </w:rPr>
        <w:t>Počas prieskumných rozhovorov boli členské štáty (pracovná skupina pre EZVO</w:t>
      </w:r>
      <w:r w:rsidRPr="00347044">
        <w:rPr>
          <w:rStyle w:val="FootnoteReference"/>
          <w:noProof/>
        </w:rPr>
        <w:footnoteReference w:id="3"/>
      </w:r>
      <w:r w:rsidRPr="00347044">
        <w:rPr>
          <w:noProof/>
        </w:rPr>
        <w:t>)</w:t>
      </w:r>
      <w:r w:rsidR="00940F55">
        <w:rPr>
          <w:noProof/>
        </w:rPr>
        <w:t xml:space="preserve"> a </w:t>
      </w:r>
      <w:r w:rsidRPr="00347044">
        <w:rPr>
          <w:noProof/>
        </w:rPr>
        <w:t>Európsky parlament (Výbor AFET</w:t>
      </w:r>
      <w:r w:rsidR="00940F55">
        <w:rPr>
          <w:noProof/>
        </w:rPr>
        <w:t xml:space="preserve"> a </w:t>
      </w:r>
      <w:r w:rsidRPr="00347044">
        <w:rPr>
          <w:noProof/>
        </w:rPr>
        <w:t>delegácia DEEA</w:t>
      </w:r>
      <w:r w:rsidRPr="00347044">
        <w:rPr>
          <w:rStyle w:val="FootnoteReference"/>
          <w:noProof/>
        </w:rPr>
        <w:footnoteReference w:id="4"/>
      </w:r>
      <w:r w:rsidRPr="00347044">
        <w:rPr>
          <w:noProof/>
        </w:rPr>
        <w:t>) pravidelne informované. Európsky parlament</w:t>
      </w:r>
      <w:r w:rsidR="00940F55">
        <w:rPr>
          <w:noProof/>
        </w:rPr>
        <w:t xml:space="preserve"> v </w:t>
      </w:r>
      <w:r w:rsidRPr="00347044">
        <w:rPr>
          <w:noProof/>
        </w:rPr>
        <w:t>uznesení zo 4. októbra 2023 vyzval na urýchlené dokončenie rozhovorov, rýchle prijatie mandátov na rokovania</w:t>
      </w:r>
      <w:r w:rsidR="00940F55">
        <w:rPr>
          <w:noProof/>
        </w:rPr>
        <w:t xml:space="preserve"> a </w:t>
      </w:r>
      <w:r w:rsidRPr="00347044">
        <w:rPr>
          <w:noProof/>
        </w:rPr>
        <w:t>ukončenie rokovaní počas funkčného obdobia súčasnej Komisie</w:t>
      </w:r>
      <w:r w:rsidR="00940F55">
        <w:rPr>
          <w:noProof/>
        </w:rPr>
        <w:t xml:space="preserve"> a </w:t>
      </w:r>
      <w:r w:rsidRPr="00347044">
        <w:rPr>
          <w:noProof/>
        </w:rPr>
        <w:t>Európskeho parlamentu.</w:t>
      </w:r>
    </w:p>
    <w:p w14:paraId="710A3250" w14:textId="77777777" w:rsidR="00D446DD" w:rsidRPr="00347044" w:rsidRDefault="00D446DD" w:rsidP="00A5062A">
      <w:pPr>
        <w:keepNext/>
        <w:rPr>
          <w:noProof/>
          <w:u w:val="single"/>
        </w:rPr>
      </w:pPr>
      <w:r w:rsidRPr="00347044">
        <w:rPr>
          <w:noProof/>
          <w:u w:val="single"/>
        </w:rPr>
        <w:t>Ciele</w:t>
      </w:r>
    </w:p>
    <w:p w14:paraId="2F39167B" w14:textId="234DA550" w:rsidR="00D446DD" w:rsidRPr="00347044" w:rsidRDefault="00D446DD" w:rsidP="00D446DD">
      <w:pPr>
        <w:rPr>
          <w:noProof/>
        </w:rPr>
      </w:pPr>
      <w:r w:rsidRPr="00347044">
        <w:rPr>
          <w:noProof/>
        </w:rPr>
        <w:t>Rokovaniami</w:t>
      </w:r>
      <w:r w:rsidR="00940F55">
        <w:rPr>
          <w:noProof/>
        </w:rPr>
        <w:t xml:space="preserve"> o </w:t>
      </w:r>
      <w:r w:rsidRPr="00347044">
        <w:rPr>
          <w:noProof/>
        </w:rPr>
        <w:t>rozsiahlom balíku opatrení súvisiacich</w:t>
      </w:r>
      <w:r w:rsidR="00940F55">
        <w:rPr>
          <w:noProof/>
        </w:rPr>
        <w:t xml:space="preserve"> s </w:t>
      </w:r>
      <w:r w:rsidRPr="00347044">
        <w:rPr>
          <w:noProof/>
        </w:rPr>
        <w:t>dvojstrannými vzťahmi so Švajčiarskom sa EÚ snaží zaviesť rovnocenné práva pre občanov</w:t>
      </w:r>
      <w:r w:rsidR="00940F55">
        <w:rPr>
          <w:noProof/>
        </w:rPr>
        <w:t xml:space="preserve"> a </w:t>
      </w:r>
      <w:r w:rsidRPr="00347044">
        <w:rPr>
          <w:noProof/>
        </w:rPr>
        <w:t>rovnaké podmienky pre podniky. Na tento účel treba riešiť dlhodobé štrukturálne otázky</w:t>
      </w:r>
      <w:r w:rsidR="00940F55">
        <w:rPr>
          <w:noProof/>
        </w:rPr>
        <w:t xml:space="preserve"> a </w:t>
      </w:r>
      <w:r w:rsidRPr="00347044">
        <w:rPr>
          <w:noProof/>
        </w:rPr>
        <w:t>vytvoriť novú rovnováhu práv</w:t>
      </w:r>
      <w:r w:rsidR="00940F55">
        <w:rPr>
          <w:noProof/>
        </w:rPr>
        <w:t xml:space="preserve"> a </w:t>
      </w:r>
      <w:r w:rsidRPr="00347044">
        <w:rPr>
          <w:noProof/>
        </w:rPr>
        <w:t>povinností pre EÚ</w:t>
      </w:r>
      <w:r w:rsidR="00940F55">
        <w:rPr>
          <w:noProof/>
        </w:rPr>
        <w:t xml:space="preserve"> a </w:t>
      </w:r>
      <w:r w:rsidRPr="00347044">
        <w:rPr>
          <w:noProof/>
        </w:rPr>
        <w:t>Švajčiarsko</w:t>
      </w:r>
      <w:r w:rsidR="00940F55">
        <w:rPr>
          <w:noProof/>
        </w:rPr>
        <w:t xml:space="preserve"> v </w:t>
      </w:r>
      <w:r w:rsidRPr="00347044">
        <w:rPr>
          <w:noProof/>
        </w:rPr>
        <w:t>rámci vzájomne prepojených dohôd</w:t>
      </w:r>
      <w:r w:rsidR="00940F55">
        <w:rPr>
          <w:noProof/>
        </w:rPr>
        <w:t xml:space="preserve"> o </w:t>
      </w:r>
      <w:r w:rsidRPr="00347044">
        <w:rPr>
          <w:noProof/>
        </w:rPr>
        <w:t>prístupe na trh</w:t>
      </w:r>
      <w:r w:rsidR="00940F55">
        <w:rPr>
          <w:noProof/>
        </w:rPr>
        <w:t xml:space="preserve"> a </w:t>
      </w:r>
      <w:r w:rsidRPr="00347044">
        <w:rPr>
          <w:noProof/>
        </w:rPr>
        <w:t>zároveň vytvoriť právnu istotu</w:t>
      </w:r>
      <w:r w:rsidR="00940F55">
        <w:rPr>
          <w:noProof/>
        </w:rPr>
        <w:t xml:space="preserve"> a </w:t>
      </w:r>
      <w:r w:rsidRPr="00347044">
        <w:rPr>
          <w:noProof/>
        </w:rPr>
        <w:t>jednotnosť prístupu</w:t>
      </w:r>
      <w:r w:rsidR="00940F55">
        <w:rPr>
          <w:noProof/>
        </w:rPr>
        <w:t xml:space="preserve"> v </w:t>
      </w:r>
      <w:r w:rsidRPr="00347044">
        <w:rPr>
          <w:noProof/>
        </w:rPr>
        <w:t>oblastiach vnútorného trhu, na ktorom sa Švajčiarsko zúčastňuje, ako aj rozšíriť hmatateľné výhody pre štátnych príslušníkov EÚ</w:t>
      </w:r>
      <w:r w:rsidR="00940F55">
        <w:rPr>
          <w:noProof/>
        </w:rPr>
        <w:t xml:space="preserve"> a </w:t>
      </w:r>
      <w:r w:rsidRPr="00347044">
        <w:rPr>
          <w:noProof/>
        </w:rPr>
        <w:t>Švajčiarska</w:t>
      </w:r>
      <w:r w:rsidR="00940F55">
        <w:rPr>
          <w:noProof/>
        </w:rPr>
        <w:t xml:space="preserve"> a </w:t>
      </w:r>
      <w:r w:rsidRPr="00347044">
        <w:rPr>
          <w:noProof/>
        </w:rPr>
        <w:t>spoločnosti.</w:t>
      </w:r>
      <w:r w:rsidR="00940F55">
        <w:rPr>
          <w:noProof/>
        </w:rPr>
        <w:t xml:space="preserve"> V </w:t>
      </w:r>
      <w:r w:rsidRPr="00347044">
        <w:rPr>
          <w:noProof/>
        </w:rPr>
        <w:t>dôsledku toho by existujúce</w:t>
      </w:r>
      <w:r w:rsidR="00940F55">
        <w:rPr>
          <w:noProof/>
        </w:rPr>
        <w:t xml:space="preserve"> a </w:t>
      </w:r>
      <w:r w:rsidRPr="00347044">
        <w:rPr>
          <w:noProof/>
        </w:rPr>
        <w:t>budúce dohody týkajúce sa vnútorného trhu mali vychádzať zo zásady nediskriminácie občanov</w:t>
      </w:r>
      <w:r w:rsidR="00940F55">
        <w:rPr>
          <w:noProof/>
        </w:rPr>
        <w:t xml:space="preserve"> a </w:t>
      </w:r>
      <w:r w:rsidRPr="00347044">
        <w:rPr>
          <w:noProof/>
        </w:rPr>
        <w:t>rovnakých podmienok pre spoločnosti.</w:t>
      </w:r>
    </w:p>
    <w:p w14:paraId="3C204A6B" w14:textId="0C2B49A8" w:rsidR="005F0F19" w:rsidRPr="00347044" w:rsidRDefault="005F0F19" w:rsidP="005F0F19">
      <w:pPr>
        <w:rPr>
          <w:noProof/>
        </w:rPr>
      </w:pPr>
      <w:r w:rsidRPr="00347044">
        <w:rPr>
          <w:noProof/>
        </w:rPr>
        <w:t>Tieto dohody by mali obsahovať inštitucionálne ustanovenia, ktoré odrážajú tieto základné zásady</w:t>
      </w:r>
      <w:r w:rsidR="00940F55">
        <w:rPr>
          <w:noProof/>
        </w:rPr>
        <w:t xml:space="preserve"> a </w:t>
      </w:r>
      <w:r w:rsidRPr="00347044">
        <w:rPr>
          <w:noProof/>
        </w:rPr>
        <w:t>prvky:</w:t>
      </w:r>
    </w:p>
    <w:p w14:paraId="3DD3CDA1" w14:textId="269F12C3" w:rsidR="005F0F19" w:rsidRPr="00347044" w:rsidRDefault="005F0F19" w:rsidP="005F0F19">
      <w:pPr>
        <w:pStyle w:val="Tiret1"/>
        <w:numPr>
          <w:ilvl w:val="0"/>
          <w:numId w:val="1"/>
        </w:numPr>
        <w:rPr>
          <w:noProof/>
        </w:rPr>
      </w:pPr>
      <w:r w:rsidRPr="00347044">
        <w:rPr>
          <w:noProof/>
        </w:rPr>
        <w:lastRenderedPageBreak/>
        <w:t>jednotný výklad</w:t>
      </w:r>
      <w:r w:rsidR="00940F55">
        <w:rPr>
          <w:noProof/>
        </w:rPr>
        <w:t xml:space="preserve"> a </w:t>
      </w:r>
      <w:r w:rsidRPr="00347044">
        <w:rPr>
          <w:noProof/>
        </w:rPr>
        <w:t xml:space="preserve">uplatňovanie </w:t>
      </w:r>
      <w:r w:rsidRPr="00347044">
        <w:rPr>
          <w:i/>
          <w:noProof/>
        </w:rPr>
        <w:t>acquis</w:t>
      </w:r>
      <w:r w:rsidRPr="00347044">
        <w:rPr>
          <w:noProof/>
        </w:rPr>
        <w:t xml:space="preserve"> Únie: povinnosť vykladať</w:t>
      </w:r>
      <w:r w:rsidR="00940F55">
        <w:rPr>
          <w:noProof/>
        </w:rPr>
        <w:t xml:space="preserve"> a </w:t>
      </w:r>
      <w:r w:rsidRPr="00347044">
        <w:rPr>
          <w:noProof/>
        </w:rPr>
        <w:t xml:space="preserve">uplatňovať </w:t>
      </w:r>
      <w:r w:rsidRPr="00347044">
        <w:rPr>
          <w:i/>
          <w:noProof/>
        </w:rPr>
        <w:t>acquis</w:t>
      </w:r>
      <w:r w:rsidRPr="00347044">
        <w:rPr>
          <w:noProof/>
        </w:rPr>
        <w:t xml:space="preserve"> Únie jednotne,</w:t>
      </w:r>
      <w:r w:rsidR="00940F55">
        <w:rPr>
          <w:noProof/>
        </w:rPr>
        <w:t xml:space="preserve"> a </w:t>
      </w:r>
      <w:r w:rsidRPr="00347044">
        <w:rPr>
          <w:noProof/>
        </w:rPr>
        <w:t>to všetko</w:t>
      </w:r>
      <w:r w:rsidR="00940F55">
        <w:rPr>
          <w:noProof/>
        </w:rPr>
        <w:t xml:space="preserve"> v </w:t>
      </w:r>
      <w:r w:rsidRPr="00347044">
        <w:rPr>
          <w:noProof/>
        </w:rPr>
        <w:t>rámci vnútorného trhu vrátane ustanovení</w:t>
      </w:r>
      <w:r w:rsidR="00940F55">
        <w:rPr>
          <w:noProof/>
        </w:rPr>
        <w:t xml:space="preserve"> o </w:t>
      </w:r>
      <w:r w:rsidRPr="00347044">
        <w:rPr>
          <w:noProof/>
        </w:rPr>
        <w:t>štátnej pomoci. Toto si vyžaduje, aby sa dohody so Švajčiarskom</w:t>
      </w:r>
      <w:r w:rsidR="00940F55">
        <w:rPr>
          <w:noProof/>
        </w:rPr>
        <w:t xml:space="preserve"> a </w:t>
      </w:r>
      <w:r w:rsidRPr="00347044">
        <w:rPr>
          <w:noProof/>
        </w:rPr>
        <w:t>akty Únie uvedené</w:t>
      </w:r>
      <w:r w:rsidR="00940F55">
        <w:rPr>
          <w:noProof/>
        </w:rPr>
        <w:t xml:space="preserve"> v </w:t>
      </w:r>
      <w:r w:rsidRPr="00347044">
        <w:rPr>
          <w:noProof/>
        </w:rPr>
        <w:t>dohodách vykladali</w:t>
      </w:r>
      <w:r w:rsidR="00940F55">
        <w:rPr>
          <w:noProof/>
        </w:rPr>
        <w:t xml:space="preserve"> a </w:t>
      </w:r>
      <w:r w:rsidRPr="00347044">
        <w:rPr>
          <w:noProof/>
        </w:rPr>
        <w:t>uplatňovali</w:t>
      </w:r>
      <w:r w:rsidR="00940F55">
        <w:rPr>
          <w:noProof/>
        </w:rPr>
        <w:t xml:space="preserve"> v </w:t>
      </w:r>
      <w:r w:rsidRPr="00347044">
        <w:rPr>
          <w:noProof/>
        </w:rPr>
        <w:t>súlade</w:t>
      </w:r>
      <w:r w:rsidR="00940F55">
        <w:rPr>
          <w:noProof/>
        </w:rPr>
        <w:t xml:space="preserve"> s </w:t>
      </w:r>
      <w:r w:rsidRPr="00347044">
        <w:rPr>
          <w:noProof/>
        </w:rPr>
        <w:t>judikatúrou Súdneho dvora Európskej únie,</w:t>
      </w:r>
      <w:r w:rsidR="00940F55">
        <w:rPr>
          <w:noProof/>
        </w:rPr>
        <w:t xml:space="preserve"> a </w:t>
      </w:r>
      <w:r w:rsidRPr="00347044">
        <w:rPr>
          <w:noProof/>
        </w:rPr>
        <w:t>to pred podpísaním príslušnej dohody, ako aj po jej podpísaní,</w:t>
      </w:r>
    </w:p>
    <w:p w14:paraId="01845C67" w14:textId="2558B221" w:rsidR="005F0F19" w:rsidRPr="00347044" w:rsidRDefault="005F0F19" w:rsidP="007E291B">
      <w:pPr>
        <w:pStyle w:val="Tiret1"/>
        <w:numPr>
          <w:ilvl w:val="0"/>
          <w:numId w:val="6"/>
        </w:numPr>
        <w:rPr>
          <w:noProof/>
        </w:rPr>
      </w:pPr>
      <w:r w:rsidRPr="00347044">
        <w:rPr>
          <w:noProof/>
        </w:rPr>
        <w:t xml:space="preserve">dynamické prispôsobovanie: povinnosť zmluvných strán zabezpečiť dynamické prispôsobovanie dohôd so Švajčiarskom, ktoré sa týkajú vnútorného trhu, vyvíjajúcemu sa </w:t>
      </w:r>
      <w:r w:rsidRPr="00347044">
        <w:rPr>
          <w:i/>
          <w:noProof/>
        </w:rPr>
        <w:t>acquis</w:t>
      </w:r>
      <w:r w:rsidRPr="00347044">
        <w:rPr>
          <w:noProof/>
        </w:rPr>
        <w:t xml:space="preserve"> Únie na základe vhodného rozhodovacieho postupu</w:t>
      </w:r>
      <w:r w:rsidR="00940F55">
        <w:rPr>
          <w:noProof/>
        </w:rPr>
        <w:t xml:space="preserve"> a </w:t>
      </w:r>
      <w:r w:rsidRPr="00347044">
        <w:rPr>
          <w:noProof/>
        </w:rPr>
        <w:t xml:space="preserve">maximálnej lehoty na prispôsobenie príslušných ustanovení </w:t>
      </w:r>
      <w:r w:rsidRPr="00347044">
        <w:rPr>
          <w:i/>
          <w:noProof/>
        </w:rPr>
        <w:t xml:space="preserve">acquis </w:t>
      </w:r>
      <w:r w:rsidRPr="00347044">
        <w:rPr>
          <w:noProof/>
        </w:rPr>
        <w:t>Únie do švajčiarskeho právneho poriadku,</w:t>
      </w:r>
    </w:p>
    <w:p w14:paraId="4DD996C3" w14:textId="57238F0F" w:rsidR="005F0F19" w:rsidRPr="00347044" w:rsidRDefault="005F0F19" w:rsidP="007E291B">
      <w:pPr>
        <w:pStyle w:val="Tiret1"/>
        <w:numPr>
          <w:ilvl w:val="0"/>
          <w:numId w:val="6"/>
        </w:numPr>
        <w:rPr>
          <w:noProof/>
        </w:rPr>
      </w:pPr>
      <w:r w:rsidRPr="00347044">
        <w:rPr>
          <w:noProof/>
        </w:rPr>
        <w:t>urovnávanie sporov: účinný mechanizmus urovnávania sporov, ktorý zaručuje právomoc Súdneho dvora Európskej únie vykladať právo Únie. Na tento účel by sa mal vytvoriť nezávislý rozhodcovský súd na urovnávanie sporov. Ak uplatňovanie ustanovení dohôd zahŕňa pojmy práva Únie, rozhodcovský súd by mal byť povinný predložiť otázku Súdnemu dvoru Európskej únie, ktorý prijme rozhodnutie, ktoré je pre rozhodcovský súd právne záväzné,</w:t>
      </w:r>
    </w:p>
    <w:p w14:paraId="2F798B49" w14:textId="1B19C100" w:rsidR="005F0F19" w:rsidRPr="00347044" w:rsidRDefault="005F0F19" w:rsidP="007E291B">
      <w:pPr>
        <w:pStyle w:val="Tiret1"/>
        <w:numPr>
          <w:ilvl w:val="0"/>
          <w:numId w:val="6"/>
        </w:numPr>
        <w:rPr>
          <w:noProof/>
        </w:rPr>
      </w:pPr>
      <w:r w:rsidRPr="00347044">
        <w:rPr>
          <w:noProof/>
        </w:rPr>
        <w:t>prepojenie dohôd: postup, ktorý sa má dodržať, ak sa jedna zo zmluvných strán domnieva, že druhá zmluvná strana nedodržala rozhodnutie rozhodcovského súdu, vrátane možnosti tejto zmluvnej strany prijať primerané</w:t>
      </w:r>
      <w:r w:rsidR="00940F55">
        <w:rPr>
          <w:noProof/>
        </w:rPr>
        <w:t xml:space="preserve"> a </w:t>
      </w:r>
      <w:r w:rsidRPr="00347044">
        <w:rPr>
          <w:noProof/>
        </w:rPr>
        <w:t>účinné kompenzačné opatrenia uvedené</w:t>
      </w:r>
      <w:r w:rsidR="00940F55">
        <w:rPr>
          <w:noProof/>
        </w:rPr>
        <w:t xml:space="preserve"> v </w:t>
      </w:r>
      <w:r w:rsidRPr="00347044">
        <w:rPr>
          <w:noProof/>
        </w:rPr>
        <w:t>dotknutej dohode alebo</w:t>
      </w:r>
      <w:r w:rsidR="00940F55">
        <w:rPr>
          <w:noProof/>
        </w:rPr>
        <w:t xml:space="preserve"> v </w:t>
      </w:r>
      <w:r w:rsidRPr="00347044">
        <w:rPr>
          <w:noProof/>
        </w:rPr>
        <w:t>akejkoľvek inej dohode týkajúcej sa vnútorného trhu vrátane čiastočného alebo úplného pozastavenia uplatňovania takejto dohody alebo dohôd. Existujúce ustanovenia</w:t>
      </w:r>
      <w:r w:rsidR="00940F55">
        <w:rPr>
          <w:noProof/>
        </w:rPr>
        <w:t xml:space="preserve"> o </w:t>
      </w:r>
      <w:r w:rsidRPr="00347044">
        <w:rPr>
          <w:noProof/>
        </w:rPr>
        <w:t>vypovedaní, ktoré prepájajú dohody medzi EÚ</w:t>
      </w:r>
      <w:r w:rsidR="00940F55">
        <w:rPr>
          <w:noProof/>
        </w:rPr>
        <w:t xml:space="preserve"> a </w:t>
      </w:r>
      <w:r w:rsidRPr="00347044">
        <w:rPr>
          <w:noProof/>
        </w:rPr>
        <w:t>Švajčiarskom uzavreté</w:t>
      </w:r>
      <w:r w:rsidR="00940F55">
        <w:rPr>
          <w:noProof/>
        </w:rPr>
        <w:t xml:space="preserve"> v </w:t>
      </w:r>
      <w:r w:rsidRPr="00347044">
        <w:rPr>
          <w:noProof/>
        </w:rPr>
        <w:t>apríli 2002, by sa mali zachovať,</w:t>
      </w:r>
    </w:p>
    <w:p w14:paraId="64E149A8" w14:textId="65903BD1" w:rsidR="005F0F19" w:rsidRPr="00347044" w:rsidRDefault="005F0F19" w:rsidP="007E291B">
      <w:pPr>
        <w:pStyle w:val="Tiret1"/>
        <w:numPr>
          <w:ilvl w:val="0"/>
          <w:numId w:val="6"/>
        </w:numPr>
        <w:rPr>
          <w:noProof/>
        </w:rPr>
      </w:pPr>
      <w:r w:rsidRPr="00347044">
        <w:rPr>
          <w:noProof/>
        </w:rPr>
        <w:t>výhľadová povaha inštitucionálnych riešení: inštitucionálne ustanovenia stanovené počas rokovaní by sa mali uplatňovať na existujúce</w:t>
      </w:r>
      <w:r w:rsidR="00940F55">
        <w:rPr>
          <w:noProof/>
        </w:rPr>
        <w:t xml:space="preserve"> a </w:t>
      </w:r>
      <w:r w:rsidRPr="00347044">
        <w:rPr>
          <w:noProof/>
        </w:rPr>
        <w:t>budúce dohody týkajúce sa vnútorného trhu</w:t>
      </w:r>
      <w:r w:rsidR="00940F55">
        <w:rPr>
          <w:noProof/>
        </w:rPr>
        <w:t xml:space="preserve"> a </w:t>
      </w:r>
      <w:r w:rsidRPr="00347044">
        <w:rPr>
          <w:noProof/>
        </w:rPr>
        <w:t>mali by byť totožné,</w:t>
      </w:r>
      <w:r w:rsidR="00940F55">
        <w:rPr>
          <w:noProof/>
        </w:rPr>
        <w:t xml:space="preserve"> s </w:t>
      </w:r>
      <w:r w:rsidRPr="00347044">
        <w:rPr>
          <w:noProof/>
        </w:rPr>
        <w:t>výhradou technicky odôvodnených úprav.</w:t>
      </w:r>
    </w:p>
    <w:p w14:paraId="31D39F94" w14:textId="4B2537AE" w:rsidR="00D446DD" w:rsidRPr="00347044" w:rsidRDefault="00D446DD" w:rsidP="00D446DD">
      <w:pPr>
        <w:rPr>
          <w:noProof/>
        </w:rPr>
      </w:pPr>
      <w:r w:rsidRPr="00347044">
        <w:rPr>
          <w:noProof/>
        </w:rPr>
        <w:t>Uvedené inštitucionálne ustanovenia by sa mali zahrnúť do budúcich dohôd</w:t>
      </w:r>
      <w:r w:rsidR="00940F55">
        <w:rPr>
          <w:noProof/>
        </w:rPr>
        <w:t xml:space="preserve"> o </w:t>
      </w:r>
      <w:r w:rsidRPr="00347044">
        <w:rPr>
          <w:noProof/>
        </w:rPr>
        <w:t>elektrickej energii</w:t>
      </w:r>
      <w:r w:rsidR="00940F55">
        <w:rPr>
          <w:noProof/>
        </w:rPr>
        <w:t xml:space="preserve"> a </w:t>
      </w:r>
      <w:r w:rsidRPr="00347044">
        <w:rPr>
          <w:noProof/>
        </w:rPr>
        <w:t>bezpečnosti potravín,</w:t>
      </w:r>
      <w:r w:rsidR="00940F55">
        <w:rPr>
          <w:noProof/>
        </w:rPr>
        <w:t xml:space="preserve"> o </w:t>
      </w:r>
      <w:r w:rsidRPr="00347044">
        <w:rPr>
          <w:noProof/>
        </w:rPr>
        <w:t>ktorých sa</w:t>
      </w:r>
      <w:r w:rsidR="00940F55">
        <w:rPr>
          <w:noProof/>
        </w:rPr>
        <w:t xml:space="preserve"> v </w:t>
      </w:r>
      <w:r w:rsidRPr="00347044">
        <w:rPr>
          <w:noProof/>
        </w:rPr>
        <w:t>roku 2018 rokovania pozastavili, kým sa neuzavrú rokovania</w:t>
      </w:r>
      <w:r w:rsidR="00940F55">
        <w:rPr>
          <w:noProof/>
        </w:rPr>
        <w:t xml:space="preserve"> o </w:t>
      </w:r>
      <w:r w:rsidRPr="00347044">
        <w:rPr>
          <w:noProof/>
        </w:rPr>
        <w:t>dohode</w:t>
      </w:r>
      <w:r w:rsidR="00940F55">
        <w:rPr>
          <w:noProof/>
        </w:rPr>
        <w:t xml:space="preserve"> o </w:t>
      </w:r>
      <w:r w:rsidRPr="00347044">
        <w:rPr>
          <w:noProof/>
        </w:rPr>
        <w:t>inštitucionálnom rámci, ako aj do akejkoľvek budúcej dohody týkajúcej sa vnútorného trhu. Okrem toho by sa tieto ustanovenia mali analogicky uplatňovať</w:t>
      </w:r>
      <w:r w:rsidR="00940F55">
        <w:rPr>
          <w:noProof/>
        </w:rPr>
        <w:t xml:space="preserve"> v </w:t>
      </w:r>
      <w:r w:rsidRPr="00347044">
        <w:rPr>
          <w:noProof/>
        </w:rPr>
        <w:t>budúcej dohode</w:t>
      </w:r>
      <w:r w:rsidR="00940F55">
        <w:rPr>
          <w:noProof/>
        </w:rPr>
        <w:t xml:space="preserve"> v </w:t>
      </w:r>
      <w:r w:rsidRPr="00347044">
        <w:rPr>
          <w:noProof/>
        </w:rPr>
        <w:t>oblasti zdravia, ktorá by umožnila účasť Švajčiarska na mechanizmoch</w:t>
      </w:r>
      <w:r w:rsidR="00940F55">
        <w:rPr>
          <w:noProof/>
        </w:rPr>
        <w:t xml:space="preserve"> a </w:t>
      </w:r>
      <w:r w:rsidRPr="00347044">
        <w:rPr>
          <w:noProof/>
        </w:rPr>
        <w:t>sieťach EÚ. Cieľom dohody</w:t>
      </w:r>
      <w:r w:rsidR="00940F55">
        <w:rPr>
          <w:noProof/>
        </w:rPr>
        <w:t xml:space="preserve"> o </w:t>
      </w:r>
      <w:r w:rsidRPr="00347044">
        <w:rPr>
          <w:noProof/>
        </w:rPr>
        <w:t>elektrickej energii by mala byť podpora obchodu</w:t>
      </w:r>
      <w:r w:rsidR="00940F55">
        <w:rPr>
          <w:noProof/>
        </w:rPr>
        <w:t xml:space="preserve"> s </w:t>
      </w:r>
      <w:r w:rsidRPr="00347044">
        <w:rPr>
          <w:noProof/>
        </w:rPr>
        <w:t>elektrinou, zvýšenie sociálneho blahobytu, zabezpečenie stability sústavy</w:t>
      </w:r>
      <w:r w:rsidR="00940F55">
        <w:rPr>
          <w:noProof/>
        </w:rPr>
        <w:t xml:space="preserve"> a </w:t>
      </w:r>
      <w:r w:rsidRPr="00347044">
        <w:rPr>
          <w:noProof/>
        </w:rPr>
        <w:t>bezpečnosti dodávok energie, ako aj uľahčenie prechodu na emisne neutrálny energetický systém. Budúca dohoda</w:t>
      </w:r>
      <w:r w:rsidR="00940F55">
        <w:rPr>
          <w:noProof/>
        </w:rPr>
        <w:t xml:space="preserve"> o </w:t>
      </w:r>
      <w:r w:rsidRPr="00347044">
        <w:rPr>
          <w:noProof/>
        </w:rPr>
        <w:t>bezpečnosti potravín by mala byť zameraná na to, aby prispela</w:t>
      </w:r>
      <w:r w:rsidR="00940F55">
        <w:rPr>
          <w:noProof/>
        </w:rPr>
        <w:t xml:space="preserve"> k </w:t>
      </w:r>
      <w:r w:rsidRPr="00347044">
        <w:rPr>
          <w:noProof/>
        </w:rPr>
        <w:t>vytvoreniu oblasti bezpečnosti potravín medzi EÚ</w:t>
      </w:r>
      <w:r w:rsidR="00940F55">
        <w:rPr>
          <w:noProof/>
        </w:rPr>
        <w:t xml:space="preserve"> a </w:t>
      </w:r>
      <w:r w:rsidRPr="00347044">
        <w:rPr>
          <w:noProof/>
        </w:rPr>
        <w:t>Švajčiarskom. Cieľom dohody</w:t>
      </w:r>
      <w:r w:rsidR="00940F55">
        <w:rPr>
          <w:noProof/>
        </w:rPr>
        <w:t xml:space="preserve"> v </w:t>
      </w:r>
      <w:r w:rsidRPr="00347044">
        <w:rPr>
          <w:noProof/>
        </w:rPr>
        <w:t>oblasti zdravia by mala byť podpora spolupráce</w:t>
      </w:r>
      <w:r w:rsidR="00940F55">
        <w:rPr>
          <w:noProof/>
        </w:rPr>
        <w:t xml:space="preserve"> v </w:t>
      </w:r>
      <w:r w:rsidRPr="00347044">
        <w:rPr>
          <w:noProof/>
        </w:rPr>
        <w:t>prospech zdravia obyvateľov EÚ</w:t>
      </w:r>
      <w:r w:rsidR="00940F55">
        <w:rPr>
          <w:noProof/>
        </w:rPr>
        <w:t xml:space="preserve"> a </w:t>
      </w:r>
      <w:r w:rsidRPr="00347044">
        <w:rPr>
          <w:noProof/>
        </w:rPr>
        <w:t>Švajčiarska.</w:t>
      </w:r>
    </w:p>
    <w:p w14:paraId="1E9DB9AC" w14:textId="2F0F52C1" w:rsidR="00D446DD" w:rsidRPr="00347044" w:rsidRDefault="00D446DD" w:rsidP="00824A51">
      <w:pPr>
        <w:rPr>
          <w:noProof/>
        </w:rPr>
      </w:pPr>
      <w:r w:rsidRPr="00347044">
        <w:rPr>
          <w:noProof/>
        </w:rPr>
        <w:t>Zaradenie inštitucionálnych ustanovení do dohody</w:t>
      </w:r>
      <w:r w:rsidR="00940F55">
        <w:rPr>
          <w:noProof/>
        </w:rPr>
        <w:t xml:space="preserve"> o </w:t>
      </w:r>
      <w:r w:rsidRPr="00347044">
        <w:rPr>
          <w:noProof/>
        </w:rPr>
        <w:t>voľnom pohybe osôb by malo viesť</w:t>
      </w:r>
      <w:r w:rsidR="00940F55">
        <w:rPr>
          <w:noProof/>
        </w:rPr>
        <w:t xml:space="preserve"> k </w:t>
      </w:r>
      <w:r w:rsidRPr="00347044">
        <w:rPr>
          <w:noProof/>
        </w:rPr>
        <w:t>výraznému zlepšeniu práv občanov EÚ vo Švajčiarsku</w:t>
      </w:r>
      <w:r w:rsidR="00940F55">
        <w:rPr>
          <w:noProof/>
        </w:rPr>
        <w:t xml:space="preserve"> a </w:t>
      </w:r>
      <w:r w:rsidRPr="00347044">
        <w:rPr>
          <w:noProof/>
        </w:rPr>
        <w:t>švajčiarskych štátnych príslušníkov</w:t>
      </w:r>
      <w:r w:rsidR="00940F55">
        <w:rPr>
          <w:noProof/>
        </w:rPr>
        <w:t xml:space="preserve"> v </w:t>
      </w:r>
      <w:r w:rsidRPr="00347044">
        <w:rPr>
          <w:noProof/>
        </w:rPr>
        <w:t>EÚ,</w:t>
      </w:r>
      <w:r w:rsidR="00940F55">
        <w:rPr>
          <w:noProof/>
        </w:rPr>
        <w:t xml:space="preserve"> a </w:t>
      </w:r>
      <w:r w:rsidRPr="00347044">
        <w:rPr>
          <w:noProof/>
        </w:rPr>
        <w:t>to najmä začlenením smernice 2004/38/ES</w:t>
      </w:r>
      <w:r w:rsidR="00940F55">
        <w:rPr>
          <w:noProof/>
        </w:rPr>
        <w:t xml:space="preserve"> o </w:t>
      </w:r>
      <w:r w:rsidRPr="00347044">
        <w:rPr>
          <w:noProof/>
        </w:rPr>
        <w:t>práve občanov EÚ</w:t>
      </w:r>
      <w:r w:rsidR="00940F55">
        <w:rPr>
          <w:noProof/>
        </w:rPr>
        <w:t xml:space="preserve"> a </w:t>
      </w:r>
      <w:r w:rsidRPr="00347044">
        <w:rPr>
          <w:noProof/>
        </w:rPr>
        <w:t>ich rodín voľne sa pohybovať</w:t>
      </w:r>
      <w:r w:rsidR="00940F55">
        <w:rPr>
          <w:noProof/>
        </w:rPr>
        <w:t xml:space="preserve"> a </w:t>
      </w:r>
      <w:r w:rsidRPr="00347044">
        <w:rPr>
          <w:noProof/>
        </w:rPr>
        <w:t>zdržiavať sa</w:t>
      </w:r>
      <w:r w:rsidR="00940F55">
        <w:rPr>
          <w:noProof/>
        </w:rPr>
        <w:t xml:space="preserve"> v </w:t>
      </w:r>
      <w:r w:rsidRPr="00347044">
        <w:rPr>
          <w:noProof/>
        </w:rPr>
        <w:t>rámci EÚ do uvedenej dohody</w:t>
      </w:r>
      <w:r w:rsidR="0049446F" w:rsidRPr="00347044">
        <w:rPr>
          <w:rStyle w:val="FootnoteReference"/>
          <w:noProof/>
        </w:rPr>
        <w:footnoteReference w:id="5"/>
      </w:r>
      <w:r w:rsidR="00940F55">
        <w:rPr>
          <w:noProof/>
        </w:rPr>
        <w:t xml:space="preserve"> a </w:t>
      </w:r>
      <w:r w:rsidRPr="00347044">
        <w:rPr>
          <w:noProof/>
        </w:rPr>
        <w:t xml:space="preserve">zavedením mechanizmu </w:t>
      </w:r>
      <w:r w:rsidRPr="00347044">
        <w:rPr>
          <w:noProof/>
        </w:rPr>
        <w:lastRenderedPageBreak/>
        <w:t>urovnávania sporov. Kľúčovými prvkami dohody by mali byť nediskriminácia medzi členskými štátmi</w:t>
      </w:r>
      <w:r w:rsidR="00940F55">
        <w:rPr>
          <w:noProof/>
        </w:rPr>
        <w:t xml:space="preserve"> a </w:t>
      </w:r>
      <w:r w:rsidRPr="00347044">
        <w:rPr>
          <w:noProof/>
        </w:rPr>
        <w:t>reciprocita. Mali by sa zlepšiť podmienky pre občanov EÚ</w:t>
      </w:r>
      <w:r w:rsidR="00940F55">
        <w:rPr>
          <w:noProof/>
        </w:rPr>
        <w:t xml:space="preserve"> a </w:t>
      </w:r>
      <w:r w:rsidRPr="00347044">
        <w:rPr>
          <w:noProof/>
        </w:rPr>
        <w:t>švajčiarskych štátnych príslušníkov na získanie trvalého pobytu. Zmenami dohody</w:t>
      </w:r>
      <w:r w:rsidR="00940F55">
        <w:rPr>
          <w:noProof/>
        </w:rPr>
        <w:t xml:space="preserve"> o </w:t>
      </w:r>
      <w:r w:rsidRPr="00347044">
        <w:rPr>
          <w:noProof/>
        </w:rPr>
        <w:t>voľnom pohybe osôb by sa takisto mali lepšie prispôsobiť existujúce švajčiarske sprievodné opatrenia</w:t>
      </w:r>
      <w:r w:rsidR="00940F55">
        <w:rPr>
          <w:noProof/>
        </w:rPr>
        <w:t xml:space="preserve"> k </w:t>
      </w:r>
      <w:r w:rsidRPr="00347044">
        <w:rPr>
          <w:noProof/>
        </w:rPr>
        <w:t>smernici 96/71/ES</w:t>
      </w:r>
      <w:r w:rsidR="00940F55">
        <w:rPr>
          <w:noProof/>
        </w:rPr>
        <w:t xml:space="preserve"> o </w:t>
      </w:r>
      <w:r w:rsidRPr="00347044">
        <w:rPr>
          <w:noProof/>
        </w:rPr>
        <w:t>vysielaní pracovníkov</w:t>
      </w:r>
      <w:r w:rsidR="0049446F" w:rsidRPr="00347044">
        <w:rPr>
          <w:rStyle w:val="FootnoteReference"/>
          <w:noProof/>
        </w:rPr>
        <w:footnoteReference w:id="6"/>
      </w:r>
      <w:r w:rsidR="00940F55">
        <w:rPr>
          <w:noProof/>
        </w:rPr>
        <w:t xml:space="preserve"> a </w:t>
      </w:r>
      <w:r w:rsidRPr="00347044">
        <w:rPr>
          <w:noProof/>
        </w:rPr>
        <w:t xml:space="preserve">následnému vývoju </w:t>
      </w:r>
      <w:r w:rsidRPr="00347044">
        <w:rPr>
          <w:i/>
          <w:noProof/>
        </w:rPr>
        <w:t>acquis</w:t>
      </w:r>
      <w:r w:rsidRPr="00347044">
        <w:rPr>
          <w:noProof/>
        </w:rPr>
        <w:t xml:space="preserve"> Únie</w:t>
      </w:r>
      <w:r w:rsidR="00940F55">
        <w:rPr>
          <w:noProof/>
        </w:rPr>
        <w:t xml:space="preserve"> v </w:t>
      </w:r>
      <w:r w:rsidRPr="00347044">
        <w:rPr>
          <w:noProof/>
        </w:rPr>
        <w:t>tejto oblasti. Môže byť potrebné dohodnúť sa na osobitných obmedzených výnimkách.</w:t>
      </w:r>
    </w:p>
    <w:p w14:paraId="7B558CE3" w14:textId="42D50527" w:rsidR="00A50D72" w:rsidRPr="00347044" w:rsidRDefault="00A50D72" w:rsidP="00A50D72">
      <w:pPr>
        <w:rPr>
          <w:noProof/>
        </w:rPr>
      </w:pPr>
      <w:r w:rsidRPr="00347044">
        <w:rPr>
          <w:noProof/>
        </w:rPr>
        <w:t>Zaradením inštitucionálnych ustanovení do Dohody</w:t>
      </w:r>
      <w:r w:rsidR="00940F55">
        <w:rPr>
          <w:noProof/>
        </w:rPr>
        <w:t xml:space="preserve"> o </w:t>
      </w:r>
      <w:r w:rsidRPr="00347044">
        <w:rPr>
          <w:noProof/>
        </w:rPr>
        <w:t>železničnej</w:t>
      </w:r>
      <w:r w:rsidR="00940F55">
        <w:rPr>
          <w:noProof/>
        </w:rPr>
        <w:t xml:space="preserve"> a </w:t>
      </w:r>
      <w:r w:rsidRPr="00347044">
        <w:rPr>
          <w:noProof/>
        </w:rPr>
        <w:t>cestnej preprave tovaru</w:t>
      </w:r>
      <w:r w:rsidR="00940F55">
        <w:rPr>
          <w:noProof/>
        </w:rPr>
        <w:t xml:space="preserve"> a </w:t>
      </w:r>
      <w:r w:rsidRPr="00347044">
        <w:rPr>
          <w:noProof/>
        </w:rPr>
        <w:t>osôb by sa nemal zmeniť rozsah pôsobnosti dohody, ktorá zahŕňa medzinárodnú osobnú dopravu</w:t>
      </w:r>
      <w:r w:rsidR="00940F55">
        <w:rPr>
          <w:noProof/>
        </w:rPr>
        <w:t xml:space="preserve"> s </w:t>
      </w:r>
      <w:r w:rsidRPr="00347044">
        <w:rPr>
          <w:noProof/>
        </w:rPr>
        <w:t>výnimkou švajčiarskej výlučne vnútroštátnej dopravy (t. j. vnútroštátnej diaľkovej, regionálnej</w:t>
      </w:r>
      <w:r w:rsidR="00940F55">
        <w:rPr>
          <w:noProof/>
        </w:rPr>
        <w:t xml:space="preserve"> a </w:t>
      </w:r>
      <w:r w:rsidRPr="00347044">
        <w:rPr>
          <w:noProof/>
        </w:rPr>
        <w:t>miestnej dopravy). Môže byť potrebné dohodnúť sa na osobitných obmedzených výnimkách.</w:t>
      </w:r>
    </w:p>
    <w:p w14:paraId="34C89449" w14:textId="24EF0788" w:rsidR="00D446DD" w:rsidRPr="00347044" w:rsidRDefault="00D446DD" w:rsidP="00D446DD">
      <w:pPr>
        <w:rPr>
          <w:noProof/>
        </w:rPr>
      </w:pPr>
      <w:r w:rsidRPr="00347044">
        <w:rPr>
          <w:noProof/>
        </w:rPr>
        <w:t>Cieľom EÚ je tiež vytvoriť stály, právne záväzný mechanizmus pre pravidelný, vzájomne dohodnutý</w:t>
      </w:r>
      <w:r w:rsidR="00940F55">
        <w:rPr>
          <w:noProof/>
        </w:rPr>
        <w:t xml:space="preserve"> a </w:t>
      </w:r>
      <w:r w:rsidRPr="00347044">
        <w:rPr>
          <w:noProof/>
        </w:rPr>
        <w:t>spravodlivý finančný príspevok Švajčiarska</w:t>
      </w:r>
      <w:r w:rsidR="00940F55">
        <w:rPr>
          <w:noProof/>
        </w:rPr>
        <w:t xml:space="preserve"> k </w:t>
      </w:r>
      <w:r w:rsidRPr="00347044">
        <w:rPr>
          <w:noProof/>
        </w:rPr>
        <w:t>politike súdržnosti EÚ ako súčasť novej rovnováhy práv</w:t>
      </w:r>
      <w:r w:rsidR="00940F55">
        <w:rPr>
          <w:noProof/>
        </w:rPr>
        <w:t xml:space="preserve"> a </w:t>
      </w:r>
      <w:r w:rsidRPr="00347044">
        <w:rPr>
          <w:noProof/>
        </w:rPr>
        <w:t>povinností. Okrem toho by sa mala stanoviť zásada, že Švajčiarsko by malo prispievať na náklady na vývoj, prevádzku</w:t>
      </w:r>
      <w:r w:rsidR="00940F55">
        <w:rPr>
          <w:noProof/>
        </w:rPr>
        <w:t xml:space="preserve"> a </w:t>
      </w:r>
      <w:r w:rsidRPr="00347044">
        <w:rPr>
          <w:noProof/>
        </w:rPr>
        <w:t>údržbu akéhokoľvek informačného systému EÚ, ku ktorému má prístup.</w:t>
      </w:r>
    </w:p>
    <w:p w14:paraId="0B502F4C" w14:textId="3DB6F86B" w:rsidR="00F44062" w:rsidRPr="00347044" w:rsidRDefault="0049446F" w:rsidP="00E16B7C">
      <w:pPr>
        <w:pBdr>
          <w:top w:val="nil"/>
          <w:left w:val="nil"/>
          <w:bottom w:val="nil"/>
          <w:right w:val="nil"/>
          <w:between w:val="nil"/>
          <w:bar w:val="nil"/>
        </w:pBdr>
        <w:spacing w:before="0" w:after="240"/>
        <w:rPr>
          <w:noProof/>
        </w:rPr>
      </w:pPr>
      <w:r w:rsidRPr="00347044">
        <w:rPr>
          <w:noProof/>
        </w:rPr>
        <w:t>Cieľom EÚ počas rokovaní je vytvoriť vhodné opatrenia na pridruženie Švajčiarska</w:t>
      </w:r>
      <w:r w:rsidR="00940F55">
        <w:rPr>
          <w:noProof/>
        </w:rPr>
        <w:t xml:space="preserve"> k </w:t>
      </w:r>
      <w:r w:rsidRPr="00347044">
        <w:rPr>
          <w:noProof/>
        </w:rPr>
        <w:t>programom Únie, najmä</w:t>
      </w:r>
      <w:r w:rsidR="00940F55">
        <w:rPr>
          <w:noProof/>
        </w:rPr>
        <w:t xml:space="preserve"> k </w:t>
      </w:r>
      <w:r w:rsidRPr="00347044">
        <w:rPr>
          <w:noProof/>
        </w:rPr>
        <w:t>programu Horizont Európa, výskumnému</w:t>
      </w:r>
      <w:r w:rsidR="00940F55">
        <w:rPr>
          <w:noProof/>
        </w:rPr>
        <w:t xml:space="preserve"> a </w:t>
      </w:r>
      <w:r w:rsidRPr="00347044">
        <w:rPr>
          <w:noProof/>
        </w:rPr>
        <w:t>vzdelávaciemu programu Euratomu,</w:t>
      </w:r>
      <w:r w:rsidR="00940F55">
        <w:rPr>
          <w:noProof/>
        </w:rPr>
        <w:t xml:space="preserve"> k </w:t>
      </w:r>
      <w:r w:rsidRPr="00347044">
        <w:rPr>
          <w:noProof/>
        </w:rPr>
        <w:t>činnostiam Európskeho spoločného podniku pre ITER</w:t>
      </w:r>
      <w:r w:rsidR="00940F55">
        <w:rPr>
          <w:noProof/>
        </w:rPr>
        <w:t xml:space="preserve"> a </w:t>
      </w:r>
      <w:r w:rsidRPr="00347044">
        <w:rPr>
          <w:noProof/>
        </w:rPr>
        <w:t>rozvoj energie jadrovej syntézy, programu Digitálna Európa, programu Erasmus+, ako aj ku zložke Copernicus Vesmírneho programu EÚ</w:t>
      </w:r>
      <w:r w:rsidR="00940F55">
        <w:rPr>
          <w:noProof/>
        </w:rPr>
        <w:t xml:space="preserve"> a </w:t>
      </w:r>
      <w:r w:rsidRPr="00347044">
        <w:rPr>
          <w:noProof/>
        </w:rPr>
        <w:t>jeho činnostiam alebo častiam.</w:t>
      </w:r>
    </w:p>
    <w:p w14:paraId="6A8CF2D8" w14:textId="301336F4" w:rsidR="00D446DD" w:rsidRPr="00347044" w:rsidRDefault="00D446DD" w:rsidP="00D446DD">
      <w:pPr>
        <w:pStyle w:val="ManualHeading2"/>
        <w:rPr>
          <w:rFonts w:eastAsia="Arial Unicode MS"/>
          <w:noProof/>
          <w:color w:val="000000"/>
          <w:u w:color="000000"/>
          <w:bdr w:val="nil"/>
        </w:rPr>
      </w:pPr>
      <w:r w:rsidRPr="00347044">
        <w:rPr>
          <w:noProof/>
          <w:color w:val="000000"/>
          <w:u w:color="000000"/>
          <w:bdr w:val="nil"/>
        </w:rPr>
        <w:t>•</w:t>
      </w:r>
      <w:r w:rsidRPr="00347044">
        <w:rPr>
          <w:noProof/>
          <w:color w:val="000000"/>
          <w:u w:color="000000"/>
          <w:bdr w:val="nil"/>
        </w:rPr>
        <w:tab/>
      </w:r>
      <w:r w:rsidRPr="00347044">
        <w:rPr>
          <w:noProof/>
        </w:rPr>
        <w:t>Súlad</w:t>
      </w:r>
      <w:r w:rsidR="00940F55">
        <w:rPr>
          <w:noProof/>
        </w:rPr>
        <w:t xml:space="preserve"> s </w:t>
      </w:r>
      <w:r w:rsidRPr="00347044">
        <w:rPr>
          <w:noProof/>
        </w:rPr>
        <w:t>existujúcimi ustanoveniami</w:t>
      </w:r>
      <w:r w:rsidR="00940F55">
        <w:rPr>
          <w:noProof/>
        </w:rPr>
        <w:t xml:space="preserve"> v </w:t>
      </w:r>
      <w:r w:rsidRPr="00347044">
        <w:rPr>
          <w:noProof/>
        </w:rPr>
        <w:t>tejto oblasti politiky</w:t>
      </w:r>
    </w:p>
    <w:p w14:paraId="3C4D49A5" w14:textId="7B016A2A" w:rsidR="00D446DD" w:rsidRPr="00347044" w:rsidRDefault="00D446DD" w:rsidP="00D446DD">
      <w:pPr>
        <w:pBdr>
          <w:top w:val="nil"/>
          <w:left w:val="nil"/>
          <w:bottom w:val="nil"/>
          <w:right w:val="nil"/>
          <w:between w:val="nil"/>
          <w:bar w:val="nil"/>
        </w:pBdr>
        <w:spacing w:before="0" w:after="240"/>
        <w:rPr>
          <w:rFonts w:eastAsia="Arial Unicode MS"/>
          <w:noProof/>
        </w:rPr>
      </w:pPr>
      <w:r w:rsidRPr="00347044">
        <w:rPr>
          <w:noProof/>
        </w:rPr>
        <w:t>Hoci by inštitucionálne ustanovenia nezmenili ciele rôznych dohôd, zabezpečili by konzistentnejšie</w:t>
      </w:r>
      <w:r w:rsidR="00940F55">
        <w:rPr>
          <w:noProof/>
        </w:rPr>
        <w:t xml:space="preserve"> a </w:t>
      </w:r>
      <w:r w:rsidRPr="00347044">
        <w:rPr>
          <w:noProof/>
        </w:rPr>
        <w:t xml:space="preserve">jednotnejšie uplatňovanie </w:t>
      </w:r>
      <w:r w:rsidRPr="00347044">
        <w:rPr>
          <w:i/>
          <w:noProof/>
        </w:rPr>
        <w:t>acquis</w:t>
      </w:r>
      <w:r w:rsidRPr="00347044">
        <w:rPr>
          <w:noProof/>
        </w:rPr>
        <w:t xml:space="preserve"> Únie</w:t>
      </w:r>
      <w:r w:rsidR="00940F55">
        <w:rPr>
          <w:noProof/>
        </w:rPr>
        <w:t xml:space="preserve"> v </w:t>
      </w:r>
      <w:r w:rsidRPr="00347044">
        <w:rPr>
          <w:noProof/>
        </w:rPr>
        <w:t>tých častiach vnútorného trhu, na ktorých sa Švajčiarsko zúčastňuje, alebo</w:t>
      </w:r>
      <w:r w:rsidR="00940F55">
        <w:rPr>
          <w:noProof/>
        </w:rPr>
        <w:t xml:space="preserve"> v </w:t>
      </w:r>
      <w:r w:rsidRPr="00347044">
        <w:rPr>
          <w:noProof/>
        </w:rPr>
        <w:t>oblastiach politiky,</w:t>
      </w:r>
      <w:r w:rsidR="00940F55">
        <w:rPr>
          <w:noProof/>
        </w:rPr>
        <w:t xml:space="preserve"> v </w:t>
      </w:r>
      <w:r w:rsidRPr="00347044">
        <w:rPr>
          <w:noProof/>
        </w:rPr>
        <w:t>ktorých sa Švajčiarsko zaviazalo</w:t>
      </w:r>
      <w:r w:rsidR="00940F55">
        <w:rPr>
          <w:noProof/>
        </w:rPr>
        <w:t xml:space="preserve"> k </w:t>
      </w:r>
      <w:r w:rsidRPr="00347044">
        <w:rPr>
          <w:noProof/>
        </w:rPr>
        <w:t>dynamickému zosúlaďovaniu. Zásady nediskriminácie občanov EÚ</w:t>
      </w:r>
      <w:r w:rsidR="00940F55">
        <w:rPr>
          <w:noProof/>
        </w:rPr>
        <w:t xml:space="preserve"> a </w:t>
      </w:r>
      <w:r w:rsidRPr="00347044">
        <w:rPr>
          <w:noProof/>
        </w:rPr>
        <w:t>rovnaké podmienky pre spoločnosti</w:t>
      </w:r>
      <w:r w:rsidR="00940F55">
        <w:rPr>
          <w:noProof/>
        </w:rPr>
        <w:t xml:space="preserve"> z </w:t>
      </w:r>
      <w:r w:rsidRPr="00347044">
        <w:rPr>
          <w:noProof/>
        </w:rPr>
        <w:t>EÚ</w:t>
      </w:r>
      <w:r w:rsidR="00940F55">
        <w:rPr>
          <w:noProof/>
        </w:rPr>
        <w:t xml:space="preserve"> a </w:t>
      </w:r>
      <w:r w:rsidRPr="00347044">
        <w:rPr>
          <w:noProof/>
        </w:rPr>
        <w:t>Švajčiarska by boli kľúčovými prvkami rôznych dohôd.</w:t>
      </w:r>
    </w:p>
    <w:p w14:paraId="7C0F1E79" w14:textId="059AA3B6" w:rsidR="00D446DD" w:rsidRPr="00347044" w:rsidRDefault="00D446DD" w:rsidP="00D446DD">
      <w:pPr>
        <w:pStyle w:val="ManualHeading2"/>
        <w:rPr>
          <w:rFonts w:eastAsia="Arial Unicode MS"/>
          <w:noProof/>
        </w:rPr>
      </w:pPr>
      <w:r w:rsidRPr="00347044">
        <w:rPr>
          <w:noProof/>
          <w:color w:val="000000"/>
          <w:u w:color="000000"/>
          <w:bdr w:val="nil"/>
        </w:rPr>
        <w:t>•</w:t>
      </w:r>
      <w:r w:rsidRPr="00347044">
        <w:rPr>
          <w:noProof/>
          <w:color w:val="000000"/>
          <w:u w:color="000000"/>
          <w:bdr w:val="nil"/>
        </w:rPr>
        <w:tab/>
      </w:r>
      <w:r w:rsidRPr="00347044">
        <w:rPr>
          <w:noProof/>
        </w:rPr>
        <w:t>Súlad</w:t>
      </w:r>
      <w:r w:rsidR="00940F55">
        <w:rPr>
          <w:noProof/>
        </w:rPr>
        <w:t xml:space="preserve"> s </w:t>
      </w:r>
      <w:r w:rsidRPr="00347044">
        <w:rPr>
          <w:noProof/>
        </w:rPr>
        <w:t>ostatnými politikami Únie</w:t>
      </w:r>
    </w:p>
    <w:p w14:paraId="6B10F87F" w14:textId="196CE056" w:rsidR="00D446DD" w:rsidRPr="00347044" w:rsidRDefault="00D446DD" w:rsidP="00D446DD">
      <w:pPr>
        <w:rPr>
          <w:noProof/>
        </w:rPr>
      </w:pPr>
      <w:r w:rsidRPr="00347044">
        <w:rPr>
          <w:noProof/>
        </w:rPr>
        <w:t>Rokovania</w:t>
      </w:r>
      <w:r w:rsidR="00940F55">
        <w:rPr>
          <w:noProof/>
        </w:rPr>
        <w:t xml:space="preserve"> o </w:t>
      </w:r>
      <w:r w:rsidRPr="00347044">
        <w:rPr>
          <w:noProof/>
        </w:rPr>
        <w:t>rozsiahlom balíku opatrení týkajúcich sa dvojstranných vzťahov medzi EÚ</w:t>
      </w:r>
      <w:r w:rsidR="00940F55">
        <w:rPr>
          <w:noProof/>
        </w:rPr>
        <w:t xml:space="preserve"> a </w:t>
      </w:r>
      <w:r w:rsidRPr="00347044">
        <w:rPr>
          <w:noProof/>
        </w:rPr>
        <w:t>Švajčiarskom by prispeli</w:t>
      </w:r>
      <w:r w:rsidR="00940F55">
        <w:rPr>
          <w:noProof/>
        </w:rPr>
        <w:t xml:space="preserve"> k </w:t>
      </w:r>
      <w:r w:rsidRPr="00347044">
        <w:rPr>
          <w:noProof/>
        </w:rPr>
        <w:t>dosiahnutiu politických cieľov Únie</w:t>
      </w:r>
      <w:r w:rsidR="00940F55">
        <w:rPr>
          <w:noProof/>
        </w:rPr>
        <w:t xml:space="preserve"> v </w:t>
      </w:r>
      <w:r w:rsidRPr="00347044">
        <w:rPr>
          <w:noProof/>
        </w:rPr>
        <w:t>týchto oblastiach politiky:</w:t>
      </w:r>
    </w:p>
    <w:p w14:paraId="051A19C0" w14:textId="38265BEC" w:rsidR="00D446DD" w:rsidRPr="00347044" w:rsidRDefault="00D446DD" w:rsidP="00D446DD">
      <w:pPr>
        <w:pStyle w:val="Tiret1"/>
        <w:rPr>
          <w:noProof/>
        </w:rPr>
      </w:pPr>
      <w:r w:rsidRPr="00347044">
        <w:rPr>
          <w:noProof/>
        </w:rPr>
        <w:t>spravodlivosť, základné práva</w:t>
      </w:r>
      <w:r w:rsidR="00940F55">
        <w:rPr>
          <w:noProof/>
        </w:rPr>
        <w:t xml:space="preserve"> a </w:t>
      </w:r>
      <w:r w:rsidRPr="00347044">
        <w:rPr>
          <w:noProof/>
        </w:rPr>
        <w:t>zamestnanosť,</w:t>
      </w:r>
    </w:p>
    <w:p w14:paraId="555A86BB" w14:textId="6D4BD2FF" w:rsidR="00D446DD" w:rsidRPr="00347044" w:rsidRDefault="00D446DD" w:rsidP="00D446DD">
      <w:pPr>
        <w:pStyle w:val="Tiret1"/>
        <w:rPr>
          <w:noProof/>
        </w:rPr>
      </w:pPr>
      <w:r w:rsidRPr="00347044">
        <w:rPr>
          <w:noProof/>
        </w:rPr>
        <w:t>obchod</w:t>
      </w:r>
      <w:r w:rsidR="00940F55">
        <w:rPr>
          <w:noProof/>
        </w:rPr>
        <w:t xml:space="preserve"> a </w:t>
      </w:r>
      <w:r w:rsidRPr="00347044">
        <w:rPr>
          <w:noProof/>
        </w:rPr>
        <w:t>priemysel,</w:t>
      </w:r>
    </w:p>
    <w:p w14:paraId="0CEFA5AE" w14:textId="23C1602F" w:rsidR="00D446DD" w:rsidRPr="00347044" w:rsidRDefault="00D446DD" w:rsidP="00D446DD">
      <w:pPr>
        <w:pStyle w:val="Tiret1"/>
        <w:rPr>
          <w:noProof/>
        </w:rPr>
      </w:pPr>
      <w:r w:rsidRPr="00347044">
        <w:rPr>
          <w:noProof/>
        </w:rPr>
        <w:t>zdravie,</w:t>
      </w:r>
    </w:p>
    <w:p w14:paraId="60B3AD58" w14:textId="31CAD24A" w:rsidR="00D446DD" w:rsidRPr="00347044" w:rsidRDefault="00D446DD" w:rsidP="00D446DD">
      <w:pPr>
        <w:pStyle w:val="Tiret1"/>
        <w:rPr>
          <w:noProof/>
        </w:rPr>
      </w:pPr>
      <w:r w:rsidRPr="00347044">
        <w:rPr>
          <w:noProof/>
        </w:rPr>
        <w:t>doprava,</w:t>
      </w:r>
    </w:p>
    <w:p w14:paraId="680DFE74" w14:textId="184B87FF" w:rsidR="00D446DD" w:rsidRPr="00347044" w:rsidRDefault="00D446DD" w:rsidP="00D446DD">
      <w:pPr>
        <w:pStyle w:val="Tiret1"/>
        <w:rPr>
          <w:noProof/>
        </w:rPr>
      </w:pPr>
      <w:r w:rsidRPr="00347044">
        <w:rPr>
          <w:noProof/>
        </w:rPr>
        <w:t>energetika,</w:t>
      </w:r>
    </w:p>
    <w:p w14:paraId="7BE7A125" w14:textId="1ED6E80C" w:rsidR="00D446DD" w:rsidRPr="00347044" w:rsidRDefault="00D446DD" w:rsidP="00D446DD">
      <w:pPr>
        <w:pStyle w:val="Tiret1"/>
        <w:rPr>
          <w:noProof/>
        </w:rPr>
      </w:pPr>
      <w:r w:rsidRPr="00347044">
        <w:rPr>
          <w:noProof/>
        </w:rPr>
        <w:t>bezpečnosť potravín,</w:t>
      </w:r>
    </w:p>
    <w:p w14:paraId="001E160F" w14:textId="5E239255" w:rsidR="00D446DD" w:rsidRPr="00347044" w:rsidRDefault="00D446DD" w:rsidP="00D446DD">
      <w:pPr>
        <w:pStyle w:val="Tiret1"/>
        <w:rPr>
          <w:noProof/>
        </w:rPr>
      </w:pPr>
      <w:r w:rsidRPr="00347044">
        <w:rPr>
          <w:noProof/>
        </w:rPr>
        <w:t>obchod,</w:t>
      </w:r>
    </w:p>
    <w:p w14:paraId="1D40FC9E" w14:textId="5614C58A" w:rsidR="00D446DD" w:rsidRPr="00347044" w:rsidRDefault="00D446DD" w:rsidP="00D446DD">
      <w:pPr>
        <w:pStyle w:val="Tiret1"/>
        <w:rPr>
          <w:noProof/>
        </w:rPr>
      </w:pPr>
      <w:r w:rsidRPr="00347044">
        <w:rPr>
          <w:noProof/>
        </w:rPr>
        <w:t>jednotný trh,</w:t>
      </w:r>
    </w:p>
    <w:p w14:paraId="6127F198" w14:textId="37A8E100" w:rsidR="00D446DD" w:rsidRPr="00347044" w:rsidRDefault="00D446DD" w:rsidP="00D446DD">
      <w:pPr>
        <w:pStyle w:val="Tiret1"/>
        <w:rPr>
          <w:noProof/>
        </w:rPr>
      </w:pPr>
      <w:r w:rsidRPr="00347044">
        <w:rPr>
          <w:noProof/>
        </w:rPr>
        <w:t>hospodárska súťaž.</w:t>
      </w:r>
    </w:p>
    <w:p w14:paraId="546C4549" w14:textId="4B1AF39A" w:rsidR="00D446DD" w:rsidRPr="00347044" w:rsidRDefault="00D446DD" w:rsidP="00D446DD">
      <w:pPr>
        <w:rPr>
          <w:noProof/>
        </w:rPr>
      </w:pPr>
      <w:r w:rsidRPr="00347044">
        <w:rPr>
          <w:noProof/>
        </w:rPr>
        <w:lastRenderedPageBreak/>
        <w:t>Okrem toho by dohoda</w:t>
      </w:r>
      <w:r w:rsidR="00940F55">
        <w:rPr>
          <w:noProof/>
        </w:rPr>
        <w:t xml:space="preserve"> o </w:t>
      </w:r>
      <w:r w:rsidRPr="00347044">
        <w:rPr>
          <w:noProof/>
        </w:rPr>
        <w:t>pridružení Švajčiarska</w:t>
      </w:r>
      <w:r w:rsidR="00940F55">
        <w:rPr>
          <w:noProof/>
        </w:rPr>
        <w:t xml:space="preserve"> k </w:t>
      </w:r>
      <w:r w:rsidRPr="00347044">
        <w:rPr>
          <w:noProof/>
        </w:rPr>
        <w:t>programom Únie prispela</w:t>
      </w:r>
      <w:r w:rsidR="00940F55">
        <w:rPr>
          <w:noProof/>
        </w:rPr>
        <w:t xml:space="preserve"> k </w:t>
      </w:r>
      <w:r w:rsidRPr="00347044">
        <w:rPr>
          <w:noProof/>
        </w:rPr>
        <w:t>podpore cieľov politiky Únie</w:t>
      </w:r>
      <w:r w:rsidR="00940F55">
        <w:rPr>
          <w:noProof/>
        </w:rPr>
        <w:t xml:space="preserve"> v </w:t>
      </w:r>
      <w:r w:rsidRPr="00347044">
        <w:rPr>
          <w:noProof/>
        </w:rPr>
        <w:t>týchto oblastiach politiky:</w:t>
      </w:r>
    </w:p>
    <w:p w14:paraId="58AADF07" w14:textId="0DE21AED" w:rsidR="00D446DD" w:rsidRPr="00347044" w:rsidRDefault="00D446DD" w:rsidP="00D446DD">
      <w:pPr>
        <w:pStyle w:val="Tiret1"/>
        <w:rPr>
          <w:noProof/>
        </w:rPr>
      </w:pPr>
      <w:r w:rsidRPr="00347044">
        <w:rPr>
          <w:noProof/>
        </w:rPr>
        <w:t>vzdelávanie</w:t>
      </w:r>
      <w:r w:rsidR="00940F55">
        <w:rPr>
          <w:noProof/>
        </w:rPr>
        <w:t xml:space="preserve"> a </w:t>
      </w:r>
      <w:r w:rsidRPr="00347044">
        <w:rPr>
          <w:noProof/>
        </w:rPr>
        <w:t>odborná príprava,</w:t>
      </w:r>
    </w:p>
    <w:p w14:paraId="2E3B03C2" w14:textId="5F8BC6EC" w:rsidR="00D446DD" w:rsidRPr="00347044" w:rsidRDefault="00D446DD" w:rsidP="00D446DD">
      <w:pPr>
        <w:pStyle w:val="Tiret1"/>
        <w:rPr>
          <w:noProof/>
        </w:rPr>
      </w:pPr>
      <w:r w:rsidRPr="00347044">
        <w:rPr>
          <w:noProof/>
        </w:rPr>
        <w:t>výskum</w:t>
      </w:r>
      <w:r w:rsidR="00940F55">
        <w:rPr>
          <w:noProof/>
        </w:rPr>
        <w:t xml:space="preserve"> a </w:t>
      </w:r>
      <w:r w:rsidRPr="00347044">
        <w:rPr>
          <w:noProof/>
        </w:rPr>
        <w:t>inovácie,</w:t>
      </w:r>
    </w:p>
    <w:p w14:paraId="290BF8C1" w14:textId="181B77C5" w:rsidR="00D446DD" w:rsidRPr="00347044" w:rsidRDefault="00D446DD" w:rsidP="00D446DD">
      <w:pPr>
        <w:pStyle w:val="Tiret1"/>
        <w:rPr>
          <w:noProof/>
        </w:rPr>
      </w:pPr>
      <w:r w:rsidRPr="00347044">
        <w:rPr>
          <w:noProof/>
        </w:rPr>
        <w:t>digitálna ekonomika</w:t>
      </w:r>
      <w:r w:rsidR="00940F55">
        <w:rPr>
          <w:noProof/>
        </w:rPr>
        <w:t xml:space="preserve"> a </w:t>
      </w:r>
      <w:r w:rsidRPr="00347044">
        <w:rPr>
          <w:noProof/>
        </w:rPr>
        <w:t>spoločnosť,</w:t>
      </w:r>
    </w:p>
    <w:p w14:paraId="4B52BE55" w14:textId="71C1D0D2" w:rsidR="00D446DD" w:rsidRPr="00347044" w:rsidRDefault="00D446DD" w:rsidP="00D446DD">
      <w:pPr>
        <w:pStyle w:val="Tiret1"/>
        <w:rPr>
          <w:noProof/>
        </w:rPr>
      </w:pPr>
      <w:r w:rsidRPr="00347044">
        <w:rPr>
          <w:noProof/>
        </w:rPr>
        <w:t>vesmír.</w:t>
      </w:r>
    </w:p>
    <w:p w14:paraId="405CA1E3" w14:textId="03255F1B" w:rsidR="00112B38" w:rsidRPr="00347044" w:rsidRDefault="00112B38" w:rsidP="00D446DD">
      <w:pPr>
        <w:pBdr>
          <w:top w:val="nil"/>
          <w:left w:val="nil"/>
          <w:bottom w:val="nil"/>
          <w:right w:val="nil"/>
          <w:between w:val="nil"/>
          <w:bar w:val="nil"/>
        </w:pBdr>
        <w:spacing w:before="0" w:after="240"/>
        <w:rPr>
          <w:noProof/>
        </w:rPr>
      </w:pPr>
      <w:r w:rsidRPr="00347044">
        <w:rPr>
          <w:noProof/>
        </w:rPr>
        <w:t>Vytvorenie právne záväzného rámca pre finančný príspevok Švajčiarska</w:t>
      </w:r>
      <w:r w:rsidR="00940F55">
        <w:rPr>
          <w:noProof/>
        </w:rPr>
        <w:t xml:space="preserve"> k </w:t>
      </w:r>
      <w:r w:rsidRPr="00347044">
        <w:rPr>
          <w:noProof/>
        </w:rPr>
        <w:t>hospodárskej</w:t>
      </w:r>
      <w:r w:rsidR="00940F55">
        <w:rPr>
          <w:noProof/>
        </w:rPr>
        <w:t xml:space="preserve"> a </w:t>
      </w:r>
      <w:r w:rsidRPr="00347044">
        <w:rPr>
          <w:noProof/>
        </w:rPr>
        <w:t>sociálnej súdržnosti EÚ by prispelo</w:t>
      </w:r>
      <w:r w:rsidR="00940F55">
        <w:rPr>
          <w:noProof/>
        </w:rPr>
        <w:t xml:space="preserve"> k </w:t>
      </w:r>
      <w:r w:rsidRPr="00347044">
        <w:rPr>
          <w:noProof/>
        </w:rPr>
        <w:t>dosiahnutiu cieľov politiky Únie</w:t>
      </w:r>
      <w:r w:rsidR="00940F55">
        <w:rPr>
          <w:noProof/>
        </w:rPr>
        <w:t xml:space="preserve"> v </w:t>
      </w:r>
      <w:r w:rsidRPr="00347044">
        <w:rPr>
          <w:noProof/>
        </w:rPr>
        <w:t>tejto oblasti politiky</w:t>
      </w:r>
      <w:r w:rsidR="00940F55">
        <w:rPr>
          <w:noProof/>
        </w:rPr>
        <w:t xml:space="preserve"> z </w:t>
      </w:r>
      <w:r w:rsidRPr="00347044">
        <w:rPr>
          <w:noProof/>
        </w:rPr>
        <w:t>dlhodobého hľadiska,</w:t>
      </w:r>
      <w:r w:rsidR="00940F55">
        <w:rPr>
          <w:noProof/>
        </w:rPr>
        <w:t xml:space="preserve"> v </w:t>
      </w:r>
      <w:r w:rsidRPr="00347044">
        <w:rPr>
          <w:noProof/>
        </w:rPr>
        <w:t>neposlednom rade poskytovaním právnej istoty</w:t>
      </w:r>
      <w:r w:rsidR="00940F55">
        <w:rPr>
          <w:noProof/>
        </w:rPr>
        <w:t xml:space="preserve"> a </w:t>
      </w:r>
      <w:r w:rsidRPr="00347044">
        <w:rPr>
          <w:noProof/>
        </w:rPr>
        <w:t>predvídateľnosti.</w:t>
      </w:r>
    </w:p>
    <w:p w14:paraId="3CBB6798" w14:textId="0EA41859" w:rsidR="00D446DD" w:rsidRPr="00347044" w:rsidRDefault="00D446DD" w:rsidP="00D446DD">
      <w:pPr>
        <w:pBdr>
          <w:top w:val="nil"/>
          <w:left w:val="nil"/>
          <w:bottom w:val="nil"/>
          <w:right w:val="nil"/>
          <w:between w:val="nil"/>
          <w:bar w:val="nil"/>
        </w:pBdr>
        <w:spacing w:before="0" w:after="240"/>
        <w:rPr>
          <w:rFonts w:eastAsia="Arial Unicode MS"/>
          <w:noProof/>
        </w:rPr>
      </w:pPr>
      <w:r w:rsidRPr="00347044">
        <w:rPr>
          <w:noProof/>
        </w:rPr>
        <w:t>A napokon, zabezpečením primeraného prispievania Švajčiarska</w:t>
      </w:r>
      <w:r w:rsidR="00940F55">
        <w:rPr>
          <w:noProof/>
        </w:rPr>
        <w:t xml:space="preserve"> k </w:t>
      </w:r>
      <w:r w:rsidRPr="00347044">
        <w:rPr>
          <w:noProof/>
        </w:rPr>
        <w:t>riadeniu</w:t>
      </w:r>
      <w:r w:rsidR="00940F55">
        <w:rPr>
          <w:noProof/>
        </w:rPr>
        <w:t xml:space="preserve"> a </w:t>
      </w:r>
      <w:r w:rsidRPr="00347044">
        <w:rPr>
          <w:noProof/>
        </w:rPr>
        <w:t>prevádzke programov</w:t>
      </w:r>
      <w:r w:rsidR="00940F55">
        <w:rPr>
          <w:noProof/>
        </w:rPr>
        <w:t xml:space="preserve"> a </w:t>
      </w:r>
      <w:r w:rsidRPr="00347044">
        <w:rPr>
          <w:noProof/>
        </w:rPr>
        <w:t>agentúr, na ktorých sa zúčastňuje,</w:t>
      </w:r>
      <w:r w:rsidR="00940F55">
        <w:rPr>
          <w:noProof/>
        </w:rPr>
        <w:t xml:space="preserve"> a </w:t>
      </w:r>
      <w:r w:rsidRPr="00347044">
        <w:rPr>
          <w:noProof/>
        </w:rPr>
        <w:t>informačných systémov, ku ktorým má prístup, by sa rokovaniami zabezpečila ochrana finančných záujmov Únie.</w:t>
      </w:r>
    </w:p>
    <w:p w14:paraId="7C81FBCC" w14:textId="466956E6" w:rsidR="00D446DD" w:rsidRPr="00347044" w:rsidRDefault="00D446DD" w:rsidP="00D446DD">
      <w:pPr>
        <w:pStyle w:val="ManualHeading1"/>
        <w:rPr>
          <w:noProof/>
        </w:rPr>
      </w:pPr>
      <w:r w:rsidRPr="00347044">
        <w:rPr>
          <w:noProof/>
        </w:rPr>
        <w:t>2.</w:t>
      </w:r>
      <w:r w:rsidRPr="00347044">
        <w:rPr>
          <w:noProof/>
        </w:rPr>
        <w:tab/>
        <w:t>PRÁVNY ZÁKLAD, SUBSIDIARITA</w:t>
      </w:r>
      <w:r w:rsidR="00940F55">
        <w:rPr>
          <w:noProof/>
        </w:rPr>
        <w:t xml:space="preserve"> A </w:t>
      </w:r>
      <w:r w:rsidRPr="00347044">
        <w:rPr>
          <w:noProof/>
        </w:rPr>
        <w:t>PROPORCIONALITA</w:t>
      </w:r>
    </w:p>
    <w:p w14:paraId="21A5A930"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Právny základ</w:t>
      </w:r>
    </w:p>
    <w:p w14:paraId="6B585573" w14:textId="755AFD3D" w:rsidR="00D446DD" w:rsidRPr="00347044" w:rsidRDefault="00D446DD" w:rsidP="00D446DD">
      <w:pPr>
        <w:rPr>
          <w:b/>
          <w:bCs/>
          <w:noProof/>
        </w:rPr>
      </w:pPr>
      <w:r w:rsidRPr="00347044">
        <w:rPr>
          <w:noProof/>
        </w:rPr>
        <w:t>Právnym základom tohto rozhodnutia je článok 218 ods. 3</w:t>
      </w:r>
      <w:r w:rsidR="00940F55">
        <w:rPr>
          <w:noProof/>
        </w:rPr>
        <w:t xml:space="preserve"> a </w:t>
      </w:r>
      <w:r w:rsidRPr="00347044">
        <w:rPr>
          <w:noProof/>
        </w:rPr>
        <w:t>4 Zmluvy</w:t>
      </w:r>
      <w:r w:rsidR="00940F55">
        <w:rPr>
          <w:noProof/>
        </w:rPr>
        <w:t xml:space="preserve"> o </w:t>
      </w:r>
      <w:r w:rsidRPr="00347044">
        <w:rPr>
          <w:noProof/>
        </w:rPr>
        <w:t>fungovaní Európskej únie (ZFEÚ),</w:t>
      </w:r>
      <w:r w:rsidR="00940F55">
        <w:rPr>
          <w:noProof/>
        </w:rPr>
        <w:t xml:space="preserve"> v </w:t>
      </w:r>
      <w:r w:rsidRPr="00347044">
        <w:rPr>
          <w:noProof/>
        </w:rPr>
        <w:t>ktorom sa stanovuje postup pre rokovania</w:t>
      </w:r>
      <w:r w:rsidR="00940F55">
        <w:rPr>
          <w:noProof/>
        </w:rPr>
        <w:t xml:space="preserve"> a </w:t>
      </w:r>
      <w:r w:rsidRPr="00347044">
        <w:rPr>
          <w:noProof/>
        </w:rPr>
        <w:t>uzatváranie dohôd medzi Úniou</w:t>
      </w:r>
      <w:r w:rsidR="00940F55">
        <w:rPr>
          <w:noProof/>
        </w:rPr>
        <w:t xml:space="preserve"> a </w:t>
      </w:r>
      <w:r w:rsidRPr="00347044">
        <w:rPr>
          <w:noProof/>
        </w:rPr>
        <w:t xml:space="preserve">krajinami mimo EÚ. </w:t>
      </w:r>
      <w:r w:rsidRPr="00347044">
        <w:rPr>
          <w:noProof/>
          <w:shd w:val="clear" w:color="auto" w:fill="FFFFFF"/>
        </w:rPr>
        <w:t>Okrem toho by sa na tie záležitosti, na ktoré sa vzťahuje Zmluva</w:t>
      </w:r>
      <w:r w:rsidR="00940F55">
        <w:rPr>
          <w:noProof/>
          <w:shd w:val="clear" w:color="auto" w:fill="FFFFFF"/>
        </w:rPr>
        <w:t xml:space="preserve"> o </w:t>
      </w:r>
      <w:r w:rsidRPr="00347044">
        <w:rPr>
          <w:noProof/>
          <w:shd w:val="clear" w:color="auto" w:fill="FFFFFF"/>
        </w:rPr>
        <w:t>Euratome, mal uplatňovať článok 101 Zmluvy</w:t>
      </w:r>
      <w:r w:rsidR="00940F55">
        <w:rPr>
          <w:noProof/>
          <w:shd w:val="clear" w:color="auto" w:fill="FFFFFF"/>
        </w:rPr>
        <w:t xml:space="preserve"> o </w:t>
      </w:r>
      <w:r w:rsidRPr="00347044">
        <w:rPr>
          <w:noProof/>
          <w:shd w:val="clear" w:color="auto" w:fill="FFFFFF"/>
        </w:rPr>
        <w:t>založení Európskeho spoločenstva pre atómovú energiu (dohoda Euratomu).</w:t>
      </w:r>
    </w:p>
    <w:p w14:paraId="36D313C4"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 xml:space="preserve">Subsidiarita (v prípade inej ako výlučnej právomoci) </w:t>
      </w:r>
    </w:p>
    <w:p w14:paraId="5AAA0AC3" w14:textId="77777777" w:rsidR="00D446DD" w:rsidRPr="00347044" w:rsidRDefault="00D446DD" w:rsidP="00D446DD">
      <w:pPr>
        <w:rPr>
          <w:noProof/>
        </w:rPr>
      </w:pPr>
      <w:r w:rsidRPr="00347044">
        <w:rPr>
          <w:noProof/>
        </w:rPr>
        <w:t>Neuvádza sa (výlučná právomoc)</w:t>
      </w:r>
    </w:p>
    <w:p w14:paraId="486BBC65"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Proporcionalita</w:t>
      </w:r>
    </w:p>
    <w:p w14:paraId="68275B8F" w14:textId="584ADE18" w:rsidR="00D446DD" w:rsidRPr="00347044" w:rsidRDefault="00D446DD" w:rsidP="00D446DD">
      <w:pPr>
        <w:pBdr>
          <w:top w:val="nil"/>
          <w:left w:val="nil"/>
          <w:bottom w:val="nil"/>
          <w:right w:val="nil"/>
          <w:between w:val="nil"/>
          <w:bar w:val="nil"/>
        </w:pBdr>
        <w:spacing w:before="0" w:after="240"/>
        <w:rPr>
          <w:rFonts w:eastAsia="Arial Unicode MS"/>
          <w:noProof/>
        </w:rPr>
      </w:pPr>
      <w:r w:rsidRPr="00347044">
        <w:rPr>
          <w:noProof/>
          <w:color w:val="333333"/>
          <w:shd w:val="clear" w:color="auto" w:fill="FFFFFF"/>
        </w:rPr>
        <w:t xml:space="preserve">Rozhodnutie je primerané cieľu podporovať </w:t>
      </w:r>
      <w:r w:rsidRPr="00347044">
        <w:rPr>
          <w:noProof/>
        </w:rPr>
        <w:t>právnu istotu</w:t>
      </w:r>
      <w:r w:rsidR="00940F55">
        <w:rPr>
          <w:noProof/>
        </w:rPr>
        <w:t xml:space="preserve"> a </w:t>
      </w:r>
      <w:r w:rsidRPr="00347044">
        <w:rPr>
          <w:noProof/>
        </w:rPr>
        <w:t>jednotnosť prístupu</w:t>
      </w:r>
      <w:r w:rsidR="00940F55">
        <w:rPr>
          <w:noProof/>
        </w:rPr>
        <w:t xml:space="preserve"> v </w:t>
      </w:r>
      <w:r w:rsidRPr="00347044">
        <w:rPr>
          <w:noProof/>
        </w:rPr>
        <w:t>oblastiach vnútorného trhu, na ktorých sa Švajčiarsko zúčastňuje,</w:t>
      </w:r>
      <w:r w:rsidR="00940F55">
        <w:rPr>
          <w:noProof/>
        </w:rPr>
        <w:t xml:space="preserve"> a </w:t>
      </w:r>
      <w:r w:rsidRPr="00347044">
        <w:rPr>
          <w:noProof/>
          <w:color w:val="333333"/>
          <w:shd w:val="clear" w:color="auto" w:fill="FFFFFF"/>
        </w:rPr>
        <w:t>zabezpečiť, aby každý, kto sa</w:t>
      </w:r>
      <w:r w:rsidR="00F0709A">
        <w:rPr>
          <w:noProof/>
          <w:color w:val="333333"/>
          <w:shd w:val="clear" w:color="auto" w:fill="FFFFFF"/>
        </w:rPr>
        <w:t xml:space="preserve"> </w:t>
      </w:r>
      <w:r w:rsidRPr="00347044">
        <w:rPr>
          <w:noProof/>
        </w:rPr>
        <w:t>zúčastňuje na vnútornom trhu EÚ, musel dodržiavať rovnaké pravidlá</w:t>
      </w:r>
      <w:r w:rsidR="00940F55">
        <w:rPr>
          <w:noProof/>
        </w:rPr>
        <w:t xml:space="preserve"> a </w:t>
      </w:r>
      <w:r w:rsidRPr="00347044">
        <w:rPr>
          <w:noProof/>
        </w:rPr>
        <w:t>povinnosti.</w:t>
      </w:r>
    </w:p>
    <w:p w14:paraId="48F07A3B"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Výber nástroja</w:t>
      </w:r>
    </w:p>
    <w:p w14:paraId="4C8DF7E2" w14:textId="1E033D1D" w:rsidR="00D446DD" w:rsidRPr="00347044" w:rsidRDefault="00D446DD" w:rsidP="00D446DD">
      <w:pPr>
        <w:rPr>
          <w:noProof/>
        </w:rPr>
      </w:pPr>
      <w:r w:rsidRPr="00347044">
        <w:rPr>
          <w:noProof/>
        </w:rPr>
        <w:t>Tento nástroj vychádza</w:t>
      </w:r>
      <w:r w:rsidR="00940F55">
        <w:rPr>
          <w:noProof/>
        </w:rPr>
        <w:t xml:space="preserve"> z </w:t>
      </w:r>
      <w:r w:rsidRPr="00347044">
        <w:rPr>
          <w:noProof/>
        </w:rPr>
        <w:t>článku 218 ods. 3</w:t>
      </w:r>
      <w:r w:rsidR="00940F55">
        <w:rPr>
          <w:noProof/>
        </w:rPr>
        <w:t xml:space="preserve"> a </w:t>
      </w:r>
      <w:r w:rsidRPr="00347044">
        <w:rPr>
          <w:noProof/>
        </w:rPr>
        <w:t>4 ZFEÚ.</w:t>
      </w:r>
    </w:p>
    <w:p w14:paraId="7D6B79C1" w14:textId="44D86798" w:rsidR="00D446DD" w:rsidRPr="00347044" w:rsidRDefault="00D446DD" w:rsidP="00D446DD">
      <w:pPr>
        <w:pStyle w:val="ManualHeading1"/>
        <w:rPr>
          <w:noProof/>
        </w:rPr>
      </w:pPr>
      <w:r w:rsidRPr="00347044">
        <w:rPr>
          <w:noProof/>
        </w:rPr>
        <w:t>3.</w:t>
      </w:r>
      <w:r w:rsidRPr="00347044">
        <w:rPr>
          <w:noProof/>
        </w:rPr>
        <w:tab/>
        <w:t xml:space="preserve">VÝSLEDKY HODNOTENÍ </w:t>
      </w:r>
      <w:r w:rsidRPr="00347044">
        <w:rPr>
          <w:i/>
          <w:noProof/>
        </w:rPr>
        <w:t>EX POST</w:t>
      </w:r>
      <w:r w:rsidRPr="00347044">
        <w:rPr>
          <w:noProof/>
        </w:rPr>
        <w:t>, KONZULTÁCIÍ SO ZAINTERESOVANÝMI STRANAMI</w:t>
      </w:r>
      <w:r w:rsidR="00940F55">
        <w:rPr>
          <w:noProof/>
        </w:rPr>
        <w:t xml:space="preserve"> A </w:t>
      </w:r>
      <w:r w:rsidRPr="00347044">
        <w:rPr>
          <w:noProof/>
        </w:rPr>
        <w:t>POSÚDENÍ VPLYVU</w:t>
      </w:r>
    </w:p>
    <w:p w14:paraId="1F2AED75"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 xml:space="preserve">Hodnotenia </w:t>
      </w:r>
      <w:r w:rsidRPr="00347044">
        <w:rPr>
          <w:i/>
          <w:noProof/>
          <w:u w:color="000000"/>
          <w:bdr w:val="nil"/>
        </w:rPr>
        <w:t>ex post</w:t>
      </w:r>
      <w:r w:rsidRPr="00347044">
        <w:rPr>
          <w:noProof/>
          <w:u w:color="000000"/>
          <w:bdr w:val="nil"/>
        </w:rPr>
        <w:t>/kontroly vhodnosti existujúcich právnych predpisov</w:t>
      </w:r>
    </w:p>
    <w:p w14:paraId="4CE45D39" w14:textId="77777777" w:rsidR="00D446DD" w:rsidRPr="00347044" w:rsidRDefault="00D446DD" w:rsidP="00D446DD">
      <w:pPr>
        <w:rPr>
          <w:noProof/>
        </w:rPr>
      </w:pPr>
      <w:r w:rsidRPr="00347044">
        <w:rPr>
          <w:noProof/>
        </w:rPr>
        <w:t>Neuvádza sa.</w:t>
      </w:r>
    </w:p>
    <w:p w14:paraId="6FD924A1"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Konzultácie so zainteresovanými stranami</w:t>
      </w:r>
    </w:p>
    <w:p w14:paraId="785F14EB" w14:textId="77777777" w:rsidR="00D446DD" w:rsidRPr="00347044" w:rsidRDefault="00D446DD" w:rsidP="00D446DD">
      <w:pPr>
        <w:rPr>
          <w:noProof/>
        </w:rPr>
      </w:pPr>
      <w:r w:rsidRPr="00347044">
        <w:rPr>
          <w:noProof/>
        </w:rPr>
        <w:t>Neuvádza sa.</w:t>
      </w:r>
    </w:p>
    <w:p w14:paraId="72B272E1" w14:textId="793E30D9"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Získavanie</w:t>
      </w:r>
      <w:r w:rsidR="00940F55">
        <w:rPr>
          <w:noProof/>
          <w:u w:color="000000"/>
          <w:bdr w:val="nil"/>
        </w:rPr>
        <w:t xml:space="preserve"> a </w:t>
      </w:r>
      <w:r w:rsidRPr="00347044">
        <w:rPr>
          <w:noProof/>
          <w:u w:color="000000"/>
          <w:bdr w:val="nil"/>
        </w:rPr>
        <w:t>využívanie expertízy</w:t>
      </w:r>
    </w:p>
    <w:p w14:paraId="42EE1727" w14:textId="77777777" w:rsidR="00D446DD" w:rsidRPr="00347044" w:rsidRDefault="00D446DD" w:rsidP="00D446DD">
      <w:pPr>
        <w:rPr>
          <w:noProof/>
        </w:rPr>
      </w:pPr>
      <w:r w:rsidRPr="00347044">
        <w:rPr>
          <w:noProof/>
        </w:rPr>
        <w:t>Neuvádza sa.</w:t>
      </w:r>
    </w:p>
    <w:p w14:paraId="42FAFEEC" w14:textId="77777777" w:rsidR="00D446DD" w:rsidRPr="00347044" w:rsidRDefault="00D446DD" w:rsidP="00D446DD">
      <w:pPr>
        <w:pStyle w:val="ManualHeading2"/>
        <w:rPr>
          <w:rFonts w:eastAsia="Arial Unicode MS"/>
          <w:noProof/>
          <w:u w:color="000000"/>
          <w:bdr w:val="nil"/>
        </w:rPr>
      </w:pPr>
      <w:r w:rsidRPr="00347044">
        <w:rPr>
          <w:noProof/>
          <w:u w:color="000000"/>
          <w:bdr w:val="nil"/>
        </w:rPr>
        <w:lastRenderedPageBreak/>
        <w:t>•</w:t>
      </w:r>
      <w:r w:rsidRPr="00347044">
        <w:rPr>
          <w:noProof/>
          <w:u w:color="000000"/>
          <w:bdr w:val="nil"/>
        </w:rPr>
        <w:tab/>
        <w:t>Posúdenie vplyvu</w:t>
      </w:r>
    </w:p>
    <w:p w14:paraId="32126FB6" w14:textId="77777777" w:rsidR="00D446DD" w:rsidRPr="00347044" w:rsidRDefault="00D446DD" w:rsidP="00D446DD">
      <w:pPr>
        <w:rPr>
          <w:noProof/>
        </w:rPr>
      </w:pPr>
      <w:r w:rsidRPr="00347044">
        <w:rPr>
          <w:noProof/>
        </w:rPr>
        <w:t>Neuvádza sa.</w:t>
      </w:r>
    </w:p>
    <w:p w14:paraId="08547A01" w14:textId="270F323A"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Regulačná vhodnosť</w:t>
      </w:r>
      <w:r w:rsidR="00940F55">
        <w:rPr>
          <w:noProof/>
          <w:u w:color="000000"/>
          <w:bdr w:val="nil"/>
        </w:rPr>
        <w:t xml:space="preserve"> a </w:t>
      </w:r>
      <w:r w:rsidRPr="00347044">
        <w:rPr>
          <w:noProof/>
          <w:u w:color="000000"/>
          <w:bdr w:val="nil"/>
        </w:rPr>
        <w:t>zjednodušenie</w:t>
      </w:r>
    </w:p>
    <w:p w14:paraId="2BD92685" w14:textId="77777777" w:rsidR="00D446DD" w:rsidRPr="00347044" w:rsidRDefault="00D446DD" w:rsidP="00D446DD">
      <w:pPr>
        <w:rPr>
          <w:noProof/>
        </w:rPr>
      </w:pPr>
      <w:r w:rsidRPr="00347044">
        <w:rPr>
          <w:noProof/>
        </w:rPr>
        <w:t>Neuvádza sa.</w:t>
      </w:r>
    </w:p>
    <w:p w14:paraId="44A791F6"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Základné práva</w:t>
      </w:r>
    </w:p>
    <w:p w14:paraId="6B975571" w14:textId="77777777" w:rsidR="00D446DD" w:rsidRPr="00347044" w:rsidRDefault="00D446DD" w:rsidP="00D446DD">
      <w:pPr>
        <w:rPr>
          <w:noProof/>
        </w:rPr>
      </w:pPr>
      <w:r w:rsidRPr="00347044">
        <w:rPr>
          <w:noProof/>
        </w:rPr>
        <w:t>Neuvádza sa.</w:t>
      </w:r>
    </w:p>
    <w:p w14:paraId="27B5D068" w14:textId="77777777" w:rsidR="00D446DD" w:rsidRPr="00347044" w:rsidRDefault="00D446DD" w:rsidP="00D446DD">
      <w:pPr>
        <w:pStyle w:val="ManualHeading1"/>
        <w:rPr>
          <w:noProof/>
        </w:rPr>
      </w:pPr>
      <w:r w:rsidRPr="00347044">
        <w:rPr>
          <w:noProof/>
        </w:rPr>
        <w:t>4.</w:t>
      </w:r>
      <w:r w:rsidRPr="00347044">
        <w:rPr>
          <w:noProof/>
        </w:rPr>
        <w:tab/>
        <w:t>VPLYV NA ROZPOČET</w:t>
      </w:r>
    </w:p>
    <w:p w14:paraId="1D2B4B63" w14:textId="77777777" w:rsidR="00873B91" w:rsidRPr="00347044" w:rsidRDefault="00D446DD" w:rsidP="00D00337">
      <w:pPr>
        <w:rPr>
          <w:noProof/>
        </w:rPr>
      </w:pPr>
      <w:r w:rsidRPr="00347044">
        <w:rPr>
          <w:noProof/>
        </w:rPr>
        <w:t xml:space="preserve">Európska únia predpokladá dohody, ktoré budú mať vplyv na rozpočet EÚ. </w:t>
      </w:r>
    </w:p>
    <w:p w14:paraId="0508DF1B" w14:textId="160C8122" w:rsidR="00D00337" w:rsidRPr="00347044" w:rsidRDefault="00112B38" w:rsidP="00D00337">
      <w:pPr>
        <w:rPr>
          <w:noProof/>
        </w:rPr>
      </w:pPr>
      <w:r w:rsidRPr="00347044">
        <w:rPr>
          <w:noProof/>
        </w:rPr>
        <w:t>Týka sa to dohody</w:t>
      </w:r>
      <w:r w:rsidR="00940F55">
        <w:rPr>
          <w:noProof/>
        </w:rPr>
        <w:t xml:space="preserve"> o </w:t>
      </w:r>
      <w:r w:rsidRPr="00347044">
        <w:rPr>
          <w:noProof/>
        </w:rPr>
        <w:t>pridružení Švajčiarska</w:t>
      </w:r>
      <w:r w:rsidR="00940F55">
        <w:rPr>
          <w:noProof/>
        </w:rPr>
        <w:t xml:space="preserve"> k </w:t>
      </w:r>
      <w:r w:rsidRPr="00347044">
        <w:rPr>
          <w:noProof/>
        </w:rPr>
        <w:t>programu Horizont Európa, výskumnému</w:t>
      </w:r>
      <w:r w:rsidR="00940F55">
        <w:rPr>
          <w:noProof/>
        </w:rPr>
        <w:t xml:space="preserve"> a </w:t>
      </w:r>
      <w:r w:rsidRPr="00347044">
        <w:rPr>
          <w:noProof/>
        </w:rPr>
        <w:t>vzdelávaciemu programu Euratomu, činnostiam Európskeho spoločného podniku pre ITER</w:t>
      </w:r>
      <w:r w:rsidR="00940F55">
        <w:rPr>
          <w:noProof/>
        </w:rPr>
        <w:t xml:space="preserve"> a </w:t>
      </w:r>
      <w:r w:rsidRPr="00347044">
        <w:rPr>
          <w:noProof/>
        </w:rPr>
        <w:t>rozvoj energie jadrovej syntézy, programu Digitálna Európa, programu Erasmus+, ako aj účasti Švajčiarska na zložke Copernicus Vesmírneho programu Únie.</w:t>
      </w:r>
      <w:r w:rsidR="00940F55">
        <w:rPr>
          <w:noProof/>
        </w:rPr>
        <w:t xml:space="preserve"> V </w:t>
      </w:r>
      <w:r w:rsidRPr="00347044">
        <w:rPr>
          <w:noProof/>
        </w:rPr>
        <w:t>navrhovanej dohode sa stanovia spravodlivé</w:t>
      </w:r>
      <w:r w:rsidR="00940F55">
        <w:rPr>
          <w:noProof/>
        </w:rPr>
        <w:t xml:space="preserve"> a </w:t>
      </w:r>
      <w:r w:rsidRPr="00347044">
        <w:rPr>
          <w:noProof/>
        </w:rPr>
        <w:t>vyvážené podmienky týkajúce sa finančného príspevku Švajčiarska na programy Únie, na ktorých by sa zúčastnilo,</w:t>
      </w:r>
      <w:r w:rsidR="00940F55">
        <w:rPr>
          <w:noProof/>
        </w:rPr>
        <w:t xml:space="preserve"> a </w:t>
      </w:r>
      <w:r w:rsidRPr="00347044">
        <w:rPr>
          <w:noProof/>
        </w:rPr>
        <w:t>zahrnú sa</w:t>
      </w:r>
      <w:r w:rsidR="00940F55">
        <w:rPr>
          <w:noProof/>
        </w:rPr>
        <w:t xml:space="preserve"> v </w:t>
      </w:r>
      <w:r w:rsidRPr="00347044">
        <w:rPr>
          <w:noProof/>
        </w:rPr>
        <w:t>ňom aj všeobecné administratívne náklady na riadenie týchto programov. Dohoda bude obsahovať doložku</w:t>
      </w:r>
      <w:r w:rsidR="00940F55">
        <w:rPr>
          <w:noProof/>
        </w:rPr>
        <w:t xml:space="preserve"> o </w:t>
      </w:r>
      <w:r w:rsidRPr="00347044">
        <w:rPr>
          <w:noProof/>
        </w:rPr>
        <w:t>reciprocite, ktorou sa zabezpečí, aby právne subjekty usadené</w:t>
      </w:r>
      <w:r w:rsidR="00940F55">
        <w:rPr>
          <w:noProof/>
        </w:rPr>
        <w:t xml:space="preserve"> v </w:t>
      </w:r>
      <w:r w:rsidRPr="00347044">
        <w:rPr>
          <w:noProof/>
        </w:rPr>
        <w:t>Únii mali</w:t>
      </w:r>
      <w:r w:rsidR="00940F55">
        <w:rPr>
          <w:noProof/>
        </w:rPr>
        <w:t xml:space="preserve"> v </w:t>
      </w:r>
      <w:r w:rsidRPr="00347044">
        <w:rPr>
          <w:noProof/>
        </w:rPr>
        <w:t>čo najväčšej možnej miere prístup</w:t>
      </w:r>
      <w:r w:rsidR="00940F55">
        <w:rPr>
          <w:noProof/>
        </w:rPr>
        <w:t xml:space="preserve"> k </w:t>
      </w:r>
      <w:r w:rsidRPr="00347044">
        <w:rPr>
          <w:noProof/>
        </w:rPr>
        <w:t>účasti na rovnocenných švajčiarskych výskumných</w:t>
      </w:r>
      <w:r w:rsidR="00940F55">
        <w:rPr>
          <w:noProof/>
        </w:rPr>
        <w:t xml:space="preserve"> a </w:t>
      </w:r>
      <w:r w:rsidRPr="00347044">
        <w:rPr>
          <w:noProof/>
        </w:rPr>
        <w:t>inovačných programoch</w:t>
      </w:r>
      <w:r w:rsidR="00940F55">
        <w:rPr>
          <w:noProof/>
        </w:rPr>
        <w:t xml:space="preserve"> v </w:t>
      </w:r>
      <w:r w:rsidRPr="00347044">
        <w:rPr>
          <w:noProof/>
        </w:rPr>
        <w:t>súlade</w:t>
      </w:r>
      <w:r w:rsidR="00940F55">
        <w:rPr>
          <w:noProof/>
        </w:rPr>
        <w:t xml:space="preserve"> s </w:t>
      </w:r>
      <w:r w:rsidRPr="00347044">
        <w:rPr>
          <w:noProof/>
        </w:rPr>
        <w:t>podmienkami stanovenými vo vnútroštátnych právnych predpisoch Švajčiarska.</w:t>
      </w:r>
    </w:p>
    <w:p w14:paraId="31D58817" w14:textId="5EB1C3A9" w:rsidR="00474A5C" w:rsidRPr="00347044" w:rsidRDefault="00112B38" w:rsidP="00D446DD">
      <w:pPr>
        <w:rPr>
          <w:noProof/>
        </w:rPr>
      </w:pPr>
      <w:r w:rsidRPr="00347044">
        <w:rPr>
          <w:noProof/>
        </w:rPr>
        <w:t>To sa takisto týka dohôd, ktoré vytvárajú mechanizmus pre príspevok Švajčiarska na náklady na vývoj, prevádzku</w:t>
      </w:r>
      <w:r w:rsidR="00940F55">
        <w:rPr>
          <w:noProof/>
        </w:rPr>
        <w:t xml:space="preserve"> a </w:t>
      </w:r>
      <w:r w:rsidRPr="00347044">
        <w:rPr>
          <w:noProof/>
        </w:rPr>
        <w:t>údržbu akéhokoľvek informačného systému EÚ, ku ktorému má Švajčiarsko prístup. Prijmú sa aj opatrenia týkajúce sa príspevku Švajčiarska na náklady agentúr</w:t>
      </w:r>
      <w:r w:rsidR="00940F55">
        <w:rPr>
          <w:noProof/>
        </w:rPr>
        <w:t xml:space="preserve"> a </w:t>
      </w:r>
      <w:r w:rsidRPr="00347044">
        <w:rPr>
          <w:noProof/>
        </w:rPr>
        <w:t xml:space="preserve">orgánov Únie, na ktorých sa bude zúčastňovať. </w:t>
      </w:r>
    </w:p>
    <w:p w14:paraId="4063C090" w14:textId="296C1104" w:rsidR="00D446DD" w:rsidRPr="00347044" w:rsidRDefault="00D446DD" w:rsidP="00D446DD">
      <w:pPr>
        <w:rPr>
          <w:noProof/>
        </w:rPr>
      </w:pPr>
      <w:r w:rsidRPr="00347044">
        <w:rPr>
          <w:noProof/>
        </w:rPr>
        <w:t>Presný vplyv na rozpočet bude závisieť od výsledku rokovaní.</w:t>
      </w:r>
    </w:p>
    <w:p w14:paraId="4DDF1F2A" w14:textId="77777777" w:rsidR="00D446DD" w:rsidRPr="00347044" w:rsidRDefault="00D446DD" w:rsidP="00D446DD">
      <w:pPr>
        <w:pStyle w:val="ManualHeading1"/>
        <w:rPr>
          <w:noProof/>
        </w:rPr>
      </w:pPr>
      <w:r w:rsidRPr="00347044">
        <w:rPr>
          <w:noProof/>
        </w:rPr>
        <w:t>5.</w:t>
      </w:r>
      <w:r w:rsidRPr="00347044">
        <w:rPr>
          <w:noProof/>
        </w:rPr>
        <w:tab/>
        <w:t>ĎALŠIE PRVKY</w:t>
      </w:r>
    </w:p>
    <w:p w14:paraId="03BB79B6" w14:textId="3A3EB486"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Plány vykonávania, spôsob monitorovania, hodnotenia</w:t>
      </w:r>
      <w:r w:rsidR="00940F55">
        <w:rPr>
          <w:noProof/>
          <w:u w:color="000000"/>
          <w:bdr w:val="nil"/>
        </w:rPr>
        <w:t xml:space="preserve"> a </w:t>
      </w:r>
      <w:r w:rsidRPr="00347044">
        <w:rPr>
          <w:noProof/>
          <w:u w:color="000000"/>
          <w:bdr w:val="nil"/>
        </w:rPr>
        <w:t>podávania správ</w:t>
      </w:r>
    </w:p>
    <w:p w14:paraId="4A38DA5D" w14:textId="2980CF97" w:rsidR="00D446DD" w:rsidRPr="00347044" w:rsidRDefault="00D446DD" w:rsidP="00D446DD">
      <w:pPr>
        <w:rPr>
          <w:noProof/>
        </w:rPr>
      </w:pPr>
      <w:r w:rsidRPr="00347044">
        <w:rPr>
          <w:noProof/>
        </w:rPr>
        <w:t>Proces rokovaní by sa mal začať</w:t>
      </w:r>
      <w:r w:rsidR="00940F55">
        <w:rPr>
          <w:noProof/>
        </w:rPr>
        <w:t xml:space="preserve"> v </w:t>
      </w:r>
      <w:r w:rsidRPr="00347044">
        <w:rPr>
          <w:noProof/>
        </w:rPr>
        <w:t>roku 2024. Počas prieskumných rozhovorov Európska komisia</w:t>
      </w:r>
      <w:r w:rsidR="00940F55">
        <w:rPr>
          <w:noProof/>
        </w:rPr>
        <w:t xml:space="preserve"> a </w:t>
      </w:r>
      <w:r w:rsidRPr="00347044">
        <w:rPr>
          <w:noProof/>
        </w:rPr>
        <w:t>Švajčiarsko vyjadrili spoločnú ambíciu dokončiť rokovania</w:t>
      </w:r>
      <w:r w:rsidR="00940F55">
        <w:rPr>
          <w:noProof/>
        </w:rPr>
        <w:t xml:space="preserve"> v </w:t>
      </w:r>
      <w:r w:rsidRPr="00347044">
        <w:rPr>
          <w:noProof/>
        </w:rPr>
        <w:t>priebehu roka 2024, po ktorých bude potrebné podpísať</w:t>
      </w:r>
      <w:r w:rsidR="00940F55">
        <w:rPr>
          <w:noProof/>
        </w:rPr>
        <w:t xml:space="preserve"> a </w:t>
      </w:r>
      <w:r w:rsidRPr="00347044">
        <w:rPr>
          <w:noProof/>
        </w:rPr>
        <w:t>uzavrieť rôzne dohody.</w:t>
      </w:r>
    </w:p>
    <w:p w14:paraId="021DF1D0" w14:textId="77777777" w:rsidR="00D446DD" w:rsidRPr="00347044" w:rsidRDefault="00D446DD" w:rsidP="00D446DD">
      <w:pPr>
        <w:pStyle w:val="ManualHeading2"/>
        <w:rPr>
          <w:rFonts w:eastAsia="Arial Unicode MS"/>
          <w:noProof/>
          <w:u w:color="000000"/>
          <w:bdr w:val="nil"/>
        </w:rPr>
      </w:pPr>
      <w:r w:rsidRPr="00347044">
        <w:rPr>
          <w:noProof/>
          <w:u w:color="000000"/>
          <w:bdr w:val="nil"/>
        </w:rPr>
        <w:t>•</w:t>
      </w:r>
      <w:r w:rsidRPr="00347044">
        <w:rPr>
          <w:noProof/>
          <w:u w:color="000000"/>
          <w:bdr w:val="nil"/>
        </w:rPr>
        <w:tab/>
        <w:t>Podrobné vysvetlenie konkrétnych ustanovení návrhu</w:t>
      </w:r>
    </w:p>
    <w:p w14:paraId="51D26BBD" w14:textId="77777777" w:rsidR="00D446DD" w:rsidRPr="00347044" w:rsidRDefault="00D446DD" w:rsidP="00D446DD">
      <w:pPr>
        <w:rPr>
          <w:noProof/>
        </w:rPr>
      </w:pPr>
      <w:r w:rsidRPr="00347044">
        <w:rPr>
          <w:noProof/>
        </w:rPr>
        <w:t>Komisia odporúča, aby:</w:t>
      </w:r>
    </w:p>
    <w:p w14:paraId="107C0DD4" w14:textId="0F80A7CC" w:rsidR="00D446DD" w:rsidRPr="00347044" w:rsidRDefault="00D446DD" w:rsidP="00D65D14">
      <w:pPr>
        <w:pStyle w:val="Tiret1"/>
        <w:rPr>
          <w:noProof/>
        </w:rPr>
      </w:pPr>
      <w:r w:rsidRPr="00347044">
        <w:rPr>
          <w:noProof/>
        </w:rPr>
        <w:t>Rada prijala rozhodnutie, ktorým sa Európska komisia poveruje začať</w:t>
      </w:r>
      <w:r w:rsidR="00940F55">
        <w:rPr>
          <w:noProof/>
        </w:rPr>
        <w:t xml:space="preserve"> a </w:t>
      </w:r>
      <w:r w:rsidRPr="00347044">
        <w:rPr>
          <w:noProof/>
        </w:rPr>
        <w:t>viesť rokovania so Švajčiarskom</w:t>
      </w:r>
      <w:r w:rsidR="00940F55">
        <w:rPr>
          <w:noProof/>
        </w:rPr>
        <w:t xml:space="preserve"> o </w:t>
      </w:r>
      <w:r w:rsidRPr="00347044">
        <w:rPr>
          <w:noProof/>
        </w:rPr>
        <w:t>rozsiahlom balíku opatrení súvisiacich</w:t>
      </w:r>
      <w:r w:rsidR="00940F55">
        <w:rPr>
          <w:noProof/>
        </w:rPr>
        <w:t xml:space="preserve"> s </w:t>
      </w:r>
      <w:r w:rsidRPr="00347044">
        <w:rPr>
          <w:noProof/>
        </w:rPr>
        <w:t>dvojstrannými vzťahmi so Švajčiarskou konfederáciou,</w:t>
      </w:r>
    </w:p>
    <w:p w14:paraId="022B322B" w14:textId="4C1194DE" w:rsidR="00A20C63" w:rsidRPr="00347044" w:rsidRDefault="00A20C63" w:rsidP="00A20C63">
      <w:pPr>
        <w:pStyle w:val="Tiret1"/>
        <w:rPr>
          <w:noProof/>
        </w:rPr>
      </w:pPr>
      <w:r w:rsidRPr="00347044">
        <w:rPr>
          <w:noProof/>
        </w:rPr>
        <w:t>Rada</w:t>
      </w:r>
      <w:r w:rsidR="00940F55">
        <w:rPr>
          <w:noProof/>
        </w:rPr>
        <w:t xml:space="preserve"> k </w:t>
      </w:r>
      <w:r w:rsidRPr="00347044">
        <w:rPr>
          <w:noProof/>
        </w:rPr>
        <w:t>rozhodnutiu Rady priložila smernice na rokovania,</w:t>
      </w:r>
    </w:p>
    <w:p w14:paraId="4E305F48" w14:textId="18493232" w:rsidR="00A20C63" w:rsidRPr="00347044" w:rsidRDefault="00A20C63" w:rsidP="00A20C63">
      <w:pPr>
        <w:pStyle w:val="Tiret1"/>
        <w:rPr>
          <w:noProof/>
        </w:rPr>
      </w:pPr>
      <w:r w:rsidRPr="00347044">
        <w:rPr>
          <w:noProof/>
        </w:rPr>
        <w:t>Rada nahradila</w:t>
      </w:r>
      <w:r w:rsidR="00940F55">
        <w:rPr>
          <w:noProof/>
        </w:rPr>
        <w:t xml:space="preserve"> a </w:t>
      </w:r>
      <w:r w:rsidRPr="00347044">
        <w:rPr>
          <w:noProof/>
        </w:rPr>
        <w:t>zrušila rozhodnutie Rady 6176/14</w:t>
      </w:r>
      <w:r w:rsidR="00940F55">
        <w:rPr>
          <w:noProof/>
        </w:rPr>
        <w:t xml:space="preserve"> o </w:t>
      </w:r>
      <w:r w:rsidRPr="00347044">
        <w:rPr>
          <w:noProof/>
        </w:rPr>
        <w:t>poverení začať rokovania</w:t>
      </w:r>
      <w:r w:rsidR="00940F55">
        <w:rPr>
          <w:noProof/>
        </w:rPr>
        <w:t xml:space="preserve"> o </w:t>
      </w:r>
      <w:r w:rsidRPr="00347044">
        <w:rPr>
          <w:noProof/>
        </w:rPr>
        <w:t>dohode medzi Európskou úniou</w:t>
      </w:r>
      <w:r w:rsidR="00940F55">
        <w:rPr>
          <w:noProof/>
        </w:rPr>
        <w:t xml:space="preserve"> a </w:t>
      </w:r>
      <w:r w:rsidRPr="00347044">
        <w:rPr>
          <w:noProof/>
        </w:rPr>
        <w:t>Švajčiarskou konfederáciou</w:t>
      </w:r>
      <w:r w:rsidR="00940F55">
        <w:rPr>
          <w:noProof/>
        </w:rPr>
        <w:t xml:space="preserve"> o </w:t>
      </w:r>
      <w:r w:rsidRPr="00347044">
        <w:rPr>
          <w:noProof/>
        </w:rPr>
        <w:t>inštitucionálnom rámci, ktorým sa riadia dvojstranné vzťahy,</w:t>
      </w:r>
    </w:p>
    <w:p w14:paraId="30C427D3" w14:textId="258D05FF" w:rsidR="00A20C63" w:rsidRPr="00347044" w:rsidRDefault="00A20C63" w:rsidP="00D65D14">
      <w:pPr>
        <w:pStyle w:val="Tiret1"/>
        <w:rPr>
          <w:noProof/>
        </w:rPr>
      </w:pPr>
      <w:r w:rsidRPr="00347044">
        <w:rPr>
          <w:noProof/>
        </w:rPr>
        <w:t>Rada určila osobitný výbor, po porade</w:t>
      </w:r>
      <w:r w:rsidR="00940F55">
        <w:rPr>
          <w:noProof/>
        </w:rPr>
        <w:t xml:space="preserve"> s </w:t>
      </w:r>
      <w:r w:rsidRPr="00347044">
        <w:rPr>
          <w:noProof/>
        </w:rPr>
        <w:t>ktorým sa musia viesť rokovania,</w:t>
      </w:r>
    </w:p>
    <w:p w14:paraId="70388BE3" w14:textId="77777777" w:rsidR="00D446DD" w:rsidRPr="00347044" w:rsidRDefault="00D446DD" w:rsidP="00A20C63">
      <w:pPr>
        <w:pStyle w:val="Tiret1"/>
        <w:rPr>
          <w:noProof/>
        </w:rPr>
      </w:pPr>
      <w:r w:rsidRPr="00347044">
        <w:rPr>
          <w:noProof/>
        </w:rPr>
        <w:t>Rada adresovala rozhodnutie vyjednávačovi.</w:t>
      </w:r>
    </w:p>
    <w:p w14:paraId="60F90D0F" w14:textId="01BD3D59" w:rsidR="00A314CF" w:rsidRPr="00347044" w:rsidRDefault="00A314CF" w:rsidP="00A314CF">
      <w:pPr>
        <w:rPr>
          <w:noProof/>
        </w:rPr>
        <w:sectPr w:rsidR="00A314CF" w:rsidRPr="00347044" w:rsidSect="00A86325">
          <w:footerReference w:type="default" r:id="rId10"/>
          <w:footerReference w:type="first" r:id="rId11"/>
          <w:pgSz w:w="11907" w:h="16839"/>
          <w:pgMar w:top="1134" w:right="1417" w:bottom="1134" w:left="1417" w:header="709" w:footer="709" w:gutter="0"/>
          <w:pgNumType w:start="1"/>
          <w:cols w:space="720"/>
          <w:docGrid w:linePitch="360"/>
        </w:sectPr>
      </w:pPr>
    </w:p>
    <w:p w14:paraId="4D76E339" w14:textId="2ABEC6F0" w:rsidR="00A314CF" w:rsidRPr="00347044" w:rsidRDefault="00940F55" w:rsidP="00940F55">
      <w:pPr>
        <w:pStyle w:val="Statut"/>
        <w:rPr>
          <w:noProof/>
        </w:rPr>
      </w:pPr>
      <w:r w:rsidRPr="00940F55">
        <w:rPr>
          <w:noProof/>
        </w:rPr>
        <w:lastRenderedPageBreak/>
        <w:t>Odporúčanie</w:t>
      </w:r>
    </w:p>
    <w:p w14:paraId="64F7D553" w14:textId="5B882F92" w:rsidR="00A314CF" w:rsidRPr="00347044" w:rsidRDefault="00940F55" w:rsidP="00940F55">
      <w:pPr>
        <w:pStyle w:val="Typedudocument"/>
        <w:rPr>
          <w:noProof/>
        </w:rPr>
      </w:pPr>
      <w:r w:rsidRPr="00940F55">
        <w:rPr>
          <w:noProof/>
        </w:rPr>
        <w:t>ROZHODNUTIE RADY</w:t>
      </w:r>
    </w:p>
    <w:p w14:paraId="12BFC645" w14:textId="12371C59" w:rsidR="00A314CF" w:rsidRPr="00347044" w:rsidRDefault="00940F55" w:rsidP="00940F55">
      <w:pPr>
        <w:pStyle w:val="Titreobjet"/>
        <w:rPr>
          <w:noProof/>
        </w:rPr>
      </w:pPr>
      <w:r w:rsidRPr="00940F55">
        <w:rPr>
          <w:noProof/>
        </w:rPr>
        <w:t>o poverení začať rokovania medzi Európskou úniou a Švajčiarskou konfederáciou o inštitucionálnych riešeniach pre dohody medzi EÚ a Švajčiarskom týkajúce sa vnútorného trhu, o dohodách, ktoré tvoria základ pre trvalý príspevok Švajčiarska k súdržnosti Únie a pre pridruženie Švajčiarska k programom Únie</w:t>
      </w:r>
    </w:p>
    <w:p w14:paraId="6225F4DE" w14:textId="77777777" w:rsidR="00A314CF" w:rsidRPr="00347044" w:rsidRDefault="00A314CF" w:rsidP="00A314CF">
      <w:pPr>
        <w:pStyle w:val="Institutionquiagit"/>
        <w:rPr>
          <w:noProof/>
        </w:rPr>
      </w:pPr>
      <w:r w:rsidRPr="00347044">
        <w:rPr>
          <w:noProof/>
        </w:rPr>
        <w:t>RADA EURÓPSKEJ ÚNIE,</w:t>
      </w:r>
    </w:p>
    <w:p w14:paraId="652FE481" w14:textId="0DE6B922" w:rsidR="00A314CF" w:rsidRPr="00347044" w:rsidRDefault="00A314CF" w:rsidP="00A314CF">
      <w:pPr>
        <w:rPr>
          <w:noProof/>
        </w:rPr>
      </w:pPr>
      <w:r w:rsidRPr="00347044">
        <w:rPr>
          <w:noProof/>
        </w:rPr>
        <w:t>so zreteľom na Zmluvu</w:t>
      </w:r>
      <w:r w:rsidR="00940F55">
        <w:rPr>
          <w:noProof/>
        </w:rPr>
        <w:t xml:space="preserve"> o </w:t>
      </w:r>
      <w:r w:rsidRPr="00347044">
        <w:rPr>
          <w:noProof/>
        </w:rPr>
        <w:t>fungovaní Európskej únie,</w:t>
      </w:r>
      <w:r w:rsidR="00940F55">
        <w:rPr>
          <w:noProof/>
        </w:rPr>
        <w:t xml:space="preserve"> a </w:t>
      </w:r>
      <w:r w:rsidRPr="00347044">
        <w:rPr>
          <w:noProof/>
        </w:rPr>
        <w:t>najmä na jej článok 218 ods. 3</w:t>
      </w:r>
      <w:r w:rsidR="00940F55">
        <w:rPr>
          <w:noProof/>
        </w:rPr>
        <w:t xml:space="preserve"> a </w:t>
      </w:r>
      <w:r w:rsidRPr="00347044">
        <w:rPr>
          <w:noProof/>
        </w:rPr>
        <w:t>4,</w:t>
      </w:r>
    </w:p>
    <w:p w14:paraId="795E0C5D" w14:textId="5F7E3449" w:rsidR="00A314CF" w:rsidRPr="00347044" w:rsidRDefault="00A314CF" w:rsidP="00A314CF">
      <w:pPr>
        <w:rPr>
          <w:noProof/>
        </w:rPr>
      </w:pPr>
      <w:r w:rsidRPr="00347044">
        <w:rPr>
          <w:noProof/>
        </w:rPr>
        <w:t>so zreteľom na Zmluvu</w:t>
      </w:r>
      <w:r w:rsidR="00940F55">
        <w:rPr>
          <w:noProof/>
        </w:rPr>
        <w:t xml:space="preserve"> o </w:t>
      </w:r>
      <w:r w:rsidRPr="00347044">
        <w:rPr>
          <w:noProof/>
        </w:rPr>
        <w:t>založení Európskeho spoločenstva pre atómovú energiu,</w:t>
      </w:r>
      <w:r w:rsidR="00940F55">
        <w:rPr>
          <w:noProof/>
        </w:rPr>
        <w:t xml:space="preserve"> a </w:t>
      </w:r>
      <w:r w:rsidRPr="00347044">
        <w:rPr>
          <w:noProof/>
        </w:rPr>
        <w:t>najmä na jej článok 101,</w:t>
      </w:r>
    </w:p>
    <w:p w14:paraId="280D5462" w14:textId="77777777" w:rsidR="00A314CF" w:rsidRPr="00347044" w:rsidRDefault="00A314CF" w:rsidP="00A314CF">
      <w:pPr>
        <w:rPr>
          <w:noProof/>
        </w:rPr>
      </w:pPr>
      <w:r w:rsidRPr="00347044">
        <w:rPr>
          <w:noProof/>
        </w:rPr>
        <w:t>so zreteľom na odporúčanie Európskej komisie,</w:t>
      </w:r>
    </w:p>
    <w:p w14:paraId="226AEC2D" w14:textId="77777777" w:rsidR="00A314CF" w:rsidRPr="00347044" w:rsidRDefault="00A314CF" w:rsidP="00A314CF">
      <w:pPr>
        <w:rPr>
          <w:noProof/>
        </w:rPr>
      </w:pPr>
      <w:r w:rsidRPr="00347044">
        <w:rPr>
          <w:noProof/>
        </w:rPr>
        <w:t>keďže:</w:t>
      </w:r>
    </w:p>
    <w:p w14:paraId="7AF33324" w14:textId="12E740D9" w:rsidR="00A314CF" w:rsidRPr="00347044" w:rsidRDefault="002B3FEB" w:rsidP="002B3FEB">
      <w:pPr>
        <w:pStyle w:val="ManualConsidrant"/>
        <w:rPr>
          <w:noProof/>
        </w:rPr>
      </w:pPr>
      <w:r w:rsidRPr="002B3FEB">
        <w:t>(1)</w:t>
      </w:r>
      <w:r w:rsidRPr="002B3FEB">
        <w:tab/>
      </w:r>
      <w:r w:rsidR="00A314CF" w:rsidRPr="00347044">
        <w:rPr>
          <w:noProof/>
        </w:rPr>
        <w:t>Rada vo februári 2014 konštatovala, že sa vzťahy medzi Úniou</w:t>
      </w:r>
      <w:r w:rsidR="00940F55">
        <w:rPr>
          <w:noProof/>
        </w:rPr>
        <w:t xml:space="preserve"> a </w:t>
      </w:r>
      <w:r w:rsidR="00A314CF" w:rsidRPr="00347044">
        <w:rPr>
          <w:noProof/>
        </w:rPr>
        <w:t>Švajčiarskom rozvinuli smerom</w:t>
      </w:r>
      <w:r w:rsidR="00940F55">
        <w:rPr>
          <w:noProof/>
        </w:rPr>
        <w:t xml:space="preserve"> k </w:t>
      </w:r>
      <w:r w:rsidR="00A314CF" w:rsidRPr="00347044">
        <w:rPr>
          <w:noProof/>
        </w:rPr>
        <w:t>vyššiemu stupňu integrácie. Švajčiarsko už získalo prístup</w:t>
      </w:r>
      <w:r w:rsidR="00940F55">
        <w:rPr>
          <w:noProof/>
        </w:rPr>
        <w:t xml:space="preserve"> k </w:t>
      </w:r>
      <w:r w:rsidR="00A314CF" w:rsidRPr="00347044">
        <w:rPr>
          <w:noProof/>
        </w:rPr>
        <w:t>viacerým odvetviam spojeným</w:t>
      </w:r>
      <w:r w:rsidR="00940F55">
        <w:rPr>
          <w:noProof/>
        </w:rPr>
        <w:t xml:space="preserve"> s </w:t>
      </w:r>
      <w:r w:rsidR="00A314CF" w:rsidRPr="00347044">
        <w:rPr>
          <w:noProof/>
        </w:rPr>
        <w:t>vnútorným trhom</w:t>
      </w:r>
      <w:r w:rsidR="00940F55">
        <w:rPr>
          <w:noProof/>
        </w:rPr>
        <w:t xml:space="preserve"> a </w:t>
      </w:r>
      <w:r w:rsidR="00A314CF" w:rsidRPr="00347044">
        <w:rPr>
          <w:noProof/>
        </w:rPr>
        <w:t>plánovali sa rokovania, ktoré by rozšírili účasť Švajčiarska na vnútornom trhu.</w:t>
      </w:r>
    </w:p>
    <w:p w14:paraId="5EFDE024" w14:textId="5308C7D6" w:rsidR="00A314CF" w:rsidRPr="00347044" w:rsidRDefault="002B3FEB" w:rsidP="002B3FEB">
      <w:pPr>
        <w:pStyle w:val="ManualConsidrant"/>
        <w:rPr>
          <w:noProof/>
        </w:rPr>
      </w:pPr>
      <w:r w:rsidRPr="002B3FEB">
        <w:t>(2)</w:t>
      </w:r>
      <w:r w:rsidRPr="002B3FEB">
        <w:tab/>
      </w:r>
      <w:r w:rsidR="00A314CF" w:rsidRPr="00347044">
        <w:rPr>
          <w:noProof/>
        </w:rPr>
        <w:t>Rada preto poverila Európsku komisiu, aby rokovala</w:t>
      </w:r>
      <w:r w:rsidR="00940F55">
        <w:rPr>
          <w:noProof/>
        </w:rPr>
        <w:t xml:space="preserve"> o </w:t>
      </w:r>
      <w:r w:rsidR="00A314CF" w:rsidRPr="00347044">
        <w:rPr>
          <w:noProof/>
        </w:rPr>
        <w:t>dohode</w:t>
      </w:r>
      <w:r w:rsidR="00940F55">
        <w:rPr>
          <w:noProof/>
        </w:rPr>
        <w:t xml:space="preserve"> o </w:t>
      </w:r>
      <w:r w:rsidR="00A314CF" w:rsidRPr="00347044">
        <w:rPr>
          <w:noProof/>
        </w:rPr>
        <w:t>inštitucionálnom rámci, ktorou by sa do existujúcich</w:t>
      </w:r>
      <w:r w:rsidR="00940F55">
        <w:rPr>
          <w:noProof/>
        </w:rPr>
        <w:t xml:space="preserve"> a </w:t>
      </w:r>
      <w:r w:rsidR="00A314CF" w:rsidRPr="00347044">
        <w:rPr>
          <w:noProof/>
        </w:rPr>
        <w:t>budúcich dohôd medzi EÚ</w:t>
      </w:r>
      <w:r w:rsidR="00940F55">
        <w:rPr>
          <w:noProof/>
        </w:rPr>
        <w:t xml:space="preserve"> a </w:t>
      </w:r>
      <w:r w:rsidR="00A314CF" w:rsidRPr="00347044">
        <w:rPr>
          <w:noProof/>
        </w:rPr>
        <w:t>Švajčiarskom týkajúcich sa vnútorného trhu zaviedli inštitucionálne ustanovenia.</w:t>
      </w:r>
    </w:p>
    <w:p w14:paraId="4C8CACDA" w14:textId="34FC6DB0" w:rsidR="00A314CF" w:rsidRPr="00347044" w:rsidRDefault="002B3FEB" w:rsidP="002B3FEB">
      <w:pPr>
        <w:pStyle w:val="ManualConsidrant"/>
        <w:rPr>
          <w:noProof/>
        </w:rPr>
      </w:pPr>
      <w:r w:rsidRPr="002B3FEB">
        <w:t>(3)</w:t>
      </w:r>
      <w:r w:rsidRPr="002B3FEB">
        <w:tab/>
      </w:r>
      <w:r w:rsidR="00A314CF" w:rsidRPr="00347044">
        <w:rPr>
          <w:noProof/>
        </w:rPr>
        <w:t>V novembri 2018 Európska komisia</w:t>
      </w:r>
      <w:r w:rsidR="00940F55">
        <w:rPr>
          <w:noProof/>
        </w:rPr>
        <w:t xml:space="preserve"> a </w:t>
      </w:r>
      <w:r w:rsidR="00A314CF" w:rsidRPr="00347044">
        <w:rPr>
          <w:noProof/>
        </w:rPr>
        <w:t>Švajčiarsko dokončili návrh znenia dohody</w:t>
      </w:r>
      <w:r w:rsidR="00940F55">
        <w:rPr>
          <w:noProof/>
        </w:rPr>
        <w:t xml:space="preserve"> o </w:t>
      </w:r>
      <w:r w:rsidR="00A314CF" w:rsidRPr="00347044">
        <w:rPr>
          <w:noProof/>
        </w:rPr>
        <w:t>inštitucionálnom rámci, ale pokračovali rokovania</w:t>
      </w:r>
      <w:r w:rsidR="00940F55">
        <w:rPr>
          <w:noProof/>
        </w:rPr>
        <w:t xml:space="preserve"> o </w:t>
      </w:r>
      <w:r w:rsidR="00A314CF" w:rsidRPr="00347044">
        <w:rPr>
          <w:noProof/>
        </w:rPr>
        <w:t>viacerých otázkach vrátane voľného pohybu osôb.</w:t>
      </w:r>
    </w:p>
    <w:p w14:paraId="4BD016FD" w14:textId="5C940122" w:rsidR="00A314CF" w:rsidRPr="00347044" w:rsidRDefault="002B3FEB" w:rsidP="002B3FEB">
      <w:pPr>
        <w:pStyle w:val="ManualConsidrant"/>
        <w:rPr>
          <w:noProof/>
        </w:rPr>
      </w:pPr>
      <w:r w:rsidRPr="002B3FEB">
        <w:t>(4)</w:t>
      </w:r>
      <w:r w:rsidRPr="002B3FEB">
        <w:tab/>
      </w:r>
      <w:r w:rsidR="00A314CF" w:rsidRPr="00347044">
        <w:rPr>
          <w:noProof/>
        </w:rPr>
        <w:t>Švajčiarsko po ďalšej výmene názorov</w:t>
      </w:r>
      <w:r w:rsidR="00940F55">
        <w:rPr>
          <w:noProof/>
        </w:rPr>
        <w:t xml:space="preserve"> s </w:t>
      </w:r>
      <w:r w:rsidR="00A314CF" w:rsidRPr="00347044">
        <w:rPr>
          <w:noProof/>
        </w:rPr>
        <w:t>Európskou komisiou</w:t>
      </w:r>
      <w:r w:rsidR="00940F55">
        <w:rPr>
          <w:noProof/>
        </w:rPr>
        <w:t xml:space="preserve"> v </w:t>
      </w:r>
      <w:r w:rsidR="00A314CF" w:rsidRPr="00347044">
        <w:rPr>
          <w:noProof/>
        </w:rPr>
        <w:t>máji 2021 rokovania</w:t>
      </w:r>
      <w:r w:rsidR="00940F55">
        <w:rPr>
          <w:noProof/>
        </w:rPr>
        <w:t xml:space="preserve"> o </w:t>
      </w:r>
      <w:r w:rsidR="00A314CF" w:rsidRPr="00347044">
        <w:rPr>
          <w:noProof/>
        </w:rPr>
        <w:t>dohode</w:t>
      </w:r>
      <w:r w:rsidR="00940F55">
        <w:rPr>
          <w:noProof/>
        </w:rPr>
        <w:t xml:space="preserve"> o </w:t>
      </w:r>
      <w:r w:rsidR="00A314CF" w:rsidRPr="00347044">
        <w:rPr>
          <w:noProof/>
        </w:rPr>
        <w:t>inštitucionálnom rámci jednostranne ukončilo.</w:t>
      </w:r>
    </w:p>
    <w:p w14:paraId="090EC20D" w14:textId="1DB8FB79" w:rsidR="00A314CF" w:rsidRPr="00347044" w:rsidRDefault="002B3FEB" w:rsidP="002B3FEB">
      <w:pPr>
        <w:pStyle w:val="ManualConsidrant"/>
        <w:rPr>
          <w:noProof/>
        </w:rPr>
      </w:pPr>
      <w:r w:rsidRPr="002B3FEB">
        <w:t>(5)</w:t>
      </w:r>
      <w:r w:rsidRPr="002B3FEB">
        <w:tab/>
      </w:r>
      <w:r w:rsidR="00A314CF" w:rsidRPr="00347044">
        <w:rPr>
          <w:noProof/>
        </w:rPr>
        <w:t>Vo februári 2022 Spolková rada predložila alternatívny spôsob napredovania, ktorý pozostával</w:t>
      </w:r>
      <w:r w:rsidR="00940F55">
        <w:rPr>
          <w:noProof/>
        </w:rPr>
        <w:t xml:space="preserve"> z </w:t>
      </w:r>
      <w:r w:rsidR="00A314CF" w:rsidRPr="00347044">
        <w:rPr>
          <w:noProof/>
        </w:rPr>
        <w:t>rozsiahleho balíka opatrení týkajúcich sa dvojstranných vzťahov medzi EÚ</w:t>
      </w:r>
      <w:r w:rsidR="00940F55">
        <w:rPr>
          <w:noProof/>
        </w:rPr>
        <w:t xml:space="preserve"> a </w:t>
      </w:r>
      <w:r w:rsidR="00A314CF" w:rsidRPr="00347044">
        <w:rPr>
          <w:noProof/>
        </w:rPr>
        <w:t>Švajčiarskom vrátane nového prístupu týkajúceho sa inštitucionálnych prvkov. Tieto inštitucionálne prvky by boli zahrnuté do každej dvojstrannej dohody týkajúcej sa vnútorného trhu,</w:t>
      </w:r>
      <w:r w:rsidR="00940F55">
        <w:rPr>
          <w:noProof/>
        </w:rPr>
        <w:t xml:space="preserve"> a </w:t>
      </w:r>
      <w:r w:rsidR="00A314CF" w:rsidRPr="00347044">
        <w:rPr>
          <w:noProof/>
        </w:rPr>
        <w:t>nie do horizontálnej dohody.</w:t>
      </w:r>
      <w:r w:rsidR="00940F55">
        <w:rPr>
          <w:noProof/>
        </w:rPr>
        <w:t xml:space="preserve"> V </w:t>
      </w:r>
      <w:r w:rsidR="00A314CF" w:rsidRPr="00347044">
        <w:rPr>
          <w:noProof/>
        </w:rPr>
        <w:t>marci 2022 začali Európska komisia</w:t>
      </w:r>
      <w:r w:rsidR="00940F55">
        <w:rPr>
          <w:noProof/>
        </w:rPr>
        <w:t xml:space="preserve"> a </w:t>
      </w:r>
      <w:r w:rsidR="00A314CF" w:rsidRPr="00347044">
        <w:rPr>
          <w:noProof/>
        </w:rPr>
        <w:t>Švajčiarsko prieskumné rozhovory, aby určili, či by obe strany mohli na tomto základe obnoviť rokovania.</w:t>
      </w:r>
    </w:p>
    <w:p w14:paraId="163733E8" w14:textId="56EB58C2" w:rsidR="00A314CF" w:rsidRPr="00347044" w:rsidRDefault="002B3FEB" w:rsidP="002B3FEB">
      <w:pPr>
        <w:pStyle w:val="ManualConsidrant"/>
        <w:rPr>
          <w:noProof/>
        </w:rPr>
      </w:pPr>
      <w:r w:rsidRPr="002B3FEB">
        <w:t>(6)</w:t>
      </w:r>
      <w:r w:rsidRPr="002B3FEB">
        <w:tab/>
      </w:r>
      <w:r w:rsidR="00A314CF" w:rsidRPr="00347044">
        <w:rPr>
          <w:noProof/>
        </w:rPr>
        <w:t>Na základe výsledkov prieskumných rozhovorov</w:t>
      </w:r>
      <w:r w:rsidR="00940F55">
        <w:rPr>
          <w:noProof/>
        </w:rPr>
        <w:t xml:space="preserve"> a </w:t>
      </w:r>
      <w:r w:rsidR="00A314CF" w:rsidRPr="00347044">
        <w:rPr>
          <w:noProof/>
        </w:rPr>
        <w:t>vychádzajúc</w:t>
      </w:r>
      <w:r w:rsidR="00940F55">
        <w:rPr>
          <w:noProof/>
        </w:rPr>
        <w:t xml:space="preserve"> z </w:t>
      </w:r>
      <w:r w:rsidR="00A314CF" w:rsidRPr="00347044">
        <w:rPr>
          <w:noProof/>
        </w:rPr>
        <w:t>mandátu</w:t>
      </w:r>
      <w:r w:rsidR="00940F55">
        <w:rPr>
          <w:noProof/>
        </w:rPr>
        <w:t xml:space="preserve"> z </w:t>
      </w:r>
      <w:r w:rsidR="00A314CF" w:rsidRPr="00347044">
        <w:rPr>
          <w:noProof/>
        </w:rPr>
        <w:t>roku 2014 na rokovania</w:t>
      </w:r>
      <w:r w:rsidR="00940F55">
        <w:rPr>
          <w:noProof/>
        </w:rPr>
        <w:t xml:space="preserve"> o </w:t>
      </w:r>
      <w:r w:rsidR="00A314CF" w:rsidRPr="00347044">
        <w:rPr>
          <w:noProof/>
        </w:rPr>
        <w:t>dohode</w:t>
      </w:r>
      <w:r w:rsidR="00940F55">
        <w:rPr>
          <w:noProof/>
        </w:rPr>
        <w:t xml:space="preserve"> o </w:t>
      </w:r>
      <w:r w:rsidR="00A314CF" w:rsidRPr="00347044">
        <w:rPr>
          <w:noProof/>
        </w:rPr>
        <w:t>inštitucionálnom rámci</w:t>
      </w:r>
      <w:r w:rsidR="00940F55">
        <w:rPr>
          <w:noProof/>
        </w:rPr>
        <w:t xml:space="preserve"> a </w:t>
      </w:r>
      <w:r w:rsidR="00A314CF" w:rsidRPr="00347044">
        <w:rPr>
          <w:noProof/>
        </w:rPr>
        <w:t>predchádzajúcich mandátov na rokovania</w:t>
      </w:r>
      <w:r w:rsidR="00940F55">
        <w:rPr>
          <w:noProof/>
        </w:rPr>
        <w:t xml:space="preserve"> o </w:t>
      </w:r>
      <w:r w:rsidR="00A314CF" w:rsidRPr="00347044">
        <w:rPr>
          <w:noProof/>
        </w:rPr>
        <w:t>dohodách</w:t>
      </w:r>
      <w:r w:rsidR="00940F55">
        <w:rPr>
          <w:noProof/>
        </w:rPr>
        <w:t xml:space="preserve"> o </w:t>
      </w:r>
      <w:r w:rsidR="00A314CF" w:rsidRPr="00347044">
        <w:rPr>
          <w:noProof/>
        </w:rPr>
        <w:t>elektrickej energii, zdraví</w:t>
      </w:r>
      <w:r w:rsidR="00940F55">
        <w:rPr>
          <w:noProof/>
        </w:rPr>
        <w:t xml:space="preserve"> a </w:t>
      </w:r>
      <w:r w:rsidR="00A314CF" w:rsidRPr="00347044">
        <w:rPr>
          <w:noProof/>
        </w:rPr>
        <w:t>bezpečnosti potravín, ako aj</w:t>
      </w:r>
      <w:r w:rsidR="00940F55">
        <w:rPr>
          <w:noProof/>
        </w:rPr>
        <w:t xml:space="preserve"> o </w:t>
      </w:r>
      <w:r w:rsidR="00A314CF" w:rsidRPr="00347044">
        <w:rPr>
          <w:noProof/>
        </w:rPr>
        <w:t>účasti Švajčiarska</w:t>
      </w:r>
      <w:r w:rsidR="00940F55">
        <w:rPr>
          <w:noProof/>
        </w:rPr>
        <w:t xml:space="preserve"> v </w:t>
      </w:r>
      <w:r w:rsidR="00A314CF" w:rsidRPr="00347044">
        <w:rPr>
          <w:noProof/>
        </w:rPr>
        <w:t>Agentúre Európskej únie pre vesmírny program</w:t>
      </w:r>
      <w:r w:rsidR="00940F55">
        <w:rPr>
          <w:noProof/>
        </w:rPr>
        <w:t xml:space="preserve"> a </w:t>
      </w:r>
      <w:r w:rsidR="00A314CF" w:rsidRPr="00347044">
        <w:rPr>
          <w:noProof/>
        </w:rPr>
        <w:t>Železničnej agentúre Európskej únie Komisia navrhla rokovania</w:t>
      </w:r>
      <w:r w:rsidR="00940F55">
        <w:rPr>
          <w:noProof/>
        </w:rPr>
        <w:t xml:space="preserve"> o </w:t>
      </w:r>
      <w:r w:rsidR="00A314CF" w:rsidRPr="00347044">
        <w:rPr>
          <w:noProof/>
        </w:rPr>
        <w:t>rozsiahlom balíku obnoviť.</w:t>
      </w:r>
    </w:p>
    <w:p w14:paraId="5ECF142F" w14:textId="0786BC1D" w:rsidR="00A314CF" w:rsidRPr="00347044" w:rsidRDefault="002B3FEB" w:rsidP="002B3FEB">
      <w:pPr>
        <w:pStyle w:val="ManualConsidrant"/>
        <w:rPr>
          <w:noProof/>
        </w:rPr>
      </w:pPr>
      <w:r w:rsidRPr="002B3FEB">
        <w:t>(7)</w:t>
      </w:r>
      <w:r w:rsidRPr="002B3FEB">
        <w:tab/>
      </w:r>
      <w:r w:rsidR="00A314CF" w:rsidRPr="00347044">
        <w:rPr>
          <w:noProof/>
        </w:rPr>
        <w:t>Rozsiahly balík by zahŕňal:</w:t>
      </w:r>
    </w:p>
    <w:p w14:paraId="49464529" w14:textId="531FDDA1" w:rsidR="00A314CF" w:rsidRPr="00347044" w:rsidRDefault="00A314CF" w:rsidP="005D23D4">
      <w:pPr>
        <w:pStyle w:val="Tiret1"/>
        <w:rPr>
          <w:noProof/>
        </w:rPr>
      </w:pPr>
      <w:r w:rsidRPr="00347044">
        <w:rPr>
          <w:noProof/>
        </w:rPr>
        <w:t>inštitucionálne ustanovenia, ktoré sa majú zahrnúť do existujúcich</w:t>
      </w:r>
      <w:r w:rsidR="00940F55">
        <w:rPr>
          <w:noProof/>
        </w:rPr>
        <w:t xml:space="preserve"> a </w:t>
      </w:r>
      <w:r w:rsidRPr="00347044">
        <w:rPr>
          <w:noProof/>
        </w:rPr>
        <w:t>budúcich dohôd týkajúcich sa vnútorného trhu</w:t>
      </w:r>
      <w:r w:rsidR="00940F55">
        <w:rPr>
          <w:noProof/>
        </w:rPr>
        <w:t xml:space="preserve"> a </w:t>
      </w:r>
      <w:r w:rsidRPr="00347044">
        <w:rPr>
          <w:noProof/>
        </w:rPr>
        <w:t xml:space="preserve">ktorými sa zabezpečí dynamické </w:t>
      </w:r>
      <w:r w:rsidRPr="00347044">
        <w:rPr>
          <w:noProof/>
        </w:rPr>
        <w:lastRenderedPageBreak/>
        <w:t>zosúlaďovanie</w:t>
      </w:r>
      <w:r w:rsidR="00940F55">
        <w:rPr>
          <w:noProof/>
        </w:rPr>
        <w:t xml:space="preserve"> s </w:t>
      </w:r>
      <w:r w:rsidRPr="00347044">
        <w:rPr>
          <w:i/>
          <w:noProof/>
        </w:rPr>
        <w:t>acquis</w:t>
      </w:r>
      <w:r w:rsidRPr="00347044">
        <w:rPr>
          <w:noProof/>
        </w:rPr>
        <w:t xml:space="preserve"> Únie, jednotný výklad</w:t>
      </w:r>
      <w:r w:rsidR="00940F55">
        <w:rPr>
          <w:noProof/>
        </w:rPr>
        <w:t xml:space="preserve"> a </w:t>
      </w:r>
      <w:r w:rsidRPr="00347044">
        <w:rPr>
          <w:noProof/>
        </w:rPr>
        <w:t xml:space="preserve">uplatňovanie, ako aj urovnávanie sporov, </w:t>
      </w:r>
    </w:p>
    <w:p w14:paraId="27D819ED" w14:textId="47C1A5DD" w:rsidR="00A314CF" w:rsidRPr="00347044" w:rsidRDefault="00A314CF" w:rsidP="005D23D4">
      <w:pPr>
        <w:pStyle w:val="Tiret1"/>
        <w:rPr>
          <w:noProof/>
        </w:rPr>
      </w:pPr>
      <w:r w:rsidRPr="00347044">
        <w:rPr>
          <w:noProof/>
        </w:rPr>
        <w:t>ustanovenia</w:t>
      </w:r>
      <w:r w:rsidR="00940F55">
        <w:rPr>
          <w:noProof/>
        </w:rPr>
        <w:t xml:space="preserve"> o </w:t>
      </w:r>
      <w:r w:rsidRPr="00347044">
        <w:rPr>
          <w:noProof/>
        </w:rPr>
        <w:t>štátnej pomoci, ktoré sa majú zahrnúť do existujúcich</w:t>
      </w:r>
      <w:r w:rsidR="00940F55">
        <w:rPr>
          <w:noProof/>
        </w:rPr>
        <w:t xml:space="preserve"> a </w:t>
      </w:r>
      <w:r w:rsidRPr="00347044">
        <w:rPr>
          <w:noProof/>
        </w:rPr>
        <w:t>budúcich dohôd týkajúcich sa vnútorného trhu,</w:t>
      </w:r>
    </w:p>
    <w:p w14:paraId="28675F62" w14:textId="2D692594" w:rsidR="00A314CF" w:rsidRPr="00347044" w:rsidRDefault="00A314CF" w:rsidP="005D23D4">
      <w:pPr>
        <w:pStyle w:val="Tiret1"/>
        <w:rPr>
          <w:noProof/>
        </w:rPr>
      </w:pPr>
      <w:r w:rsidRPr="00347044">
        <w:rPr>
          <w:noProof/>
        </w:rPr>
        <w:t>nové dohody</w:t>
      </w:r>
      <w:r w:rsidR="00940F55">
        <w:rPr>
          <w:noProof/>
        </w:rPr>
        <w:t xml:space="preserve"> o </w:t>
      </w:r>
      <w:r w:rsidRPr="00347044">
        <w:rPr>
          <w:noProof/>
        </w:rPr>
        <w:t>elektrickej energii, zdraví</w:t>
      </w:r>
      <w:r w:rsidR="00940F55">
        <w:rPr>
          <w:noProof/>
        </w:rPr>
        <w:t xml:space="preserve"> a </w:t>
      </w:r>
      <w:r w:rsidRPr="00347044">
        <w:rPr>
          <w:noProof/>
        </w:rPr>
        <w:t>aktualizovanú</w:t>
      </w:r>
      <w:r w:rsidR="00940F55">
        <w:rPr>
          <w:noProof/>
        </w:rPr>
        <w:t xml:space="preserve"> a </w:t>
      </w:r>
      <w:r w:rsidRPr="00347044">
        <w:rPr>
          <w:noProof/>
        </w:rPr>
        <w:t>rozšírenú dohodu</w:t>
      </w:r>
      <w:r w:rsidR="00940F55">
        <w:rPr>
          <w:noProof/>
        </w:rPr>
        <w:t xml:space="preserve"> o </w:t>
      </w:r>
      <w:r w:rsidRPr="00347044">
        <w:rPr>
          <w:noProof/>
        </w:rPr>
        <w:t>bezpečnosti potravín,</w:t>
      </w:r>
    </w:p>
    <w:p w14:paraId="20C2F49E" w14:textId="17A08574" w:rsidR="00A314CF" w:rsidRPr="00347044" w:rsidRDefault="00A314CF" w:rsidP="005D23D4">
      <w:pPr>
        <w:pStyle w:val="Tiret1"/>
        <w:rPr>
          <w:noProof/>
        </w:rPr>
      </w:pPr>
      <w:r w:rsidRPr="00347044">
        <w:rPr>
          <w:noProof/>
        </w:rPr>
        <w:t>dohodu, ktorá umožňuje účasť Švajčiarska na programoch Únie,</w:t>
      </w:r>
    </w:p>
    <w:p w14:paraId="722F05D8" w14:textId="764C6382" w:rsidR="00A314CF" w:rsidRPr="00347044" w:rsidRDefault="00A314CF" w:rsidP="005D23D4">
      <w:pPr>
        <w:pStyle w:val="Tiret1"/>
        <w:rPr>
          <w:noProof/>
        </w:rPr>
      </w:pPr>
      <w:r w:rsidRPr="00347044">
        <w:rPr>
          <w:noProof/>
        </w:rPr>
        <w:t>dohodu, ktorá umožňuje účasť Švajčiarska na činnosti Agentúry Európskej únie pre vesmírny program,</w:t>
      </w:r>
    </w:p>
    <w:p w14:paraId="1100355E" w14:textId="08AA9351" w:rsidR="00A314CF" w:rsidRPr="00347044" w:rsidRDefault="00A314CF" w:rsidP="005D23D4">
      <w:pPr>
        <w:pStyle w:val="Tiret1"/>
        <w:rPr>
          <w:noProof/>
        </w:rPr>
      </w:pPr>
      <w:r w:rsidRPr="00347044">
        <w:rPr>
          <w:noProof/>
        </w:rPr>
        <w:t>dohodu, ktorá zabezpečuje trvalý finančný príspevok Švajčiarska na znižovanie hospodárskych</w:t>
      </w:r>
      <w:r w:rsidR="00940F55">
        <w:rPr>
          <w:noProof/>
        </w:rPr>
        <w:t xml:space="preserve"> a </w:t>
      </w:r>
      <w:r w:rsidRPr="00347044">
        <w:rPr>
          <w:noProof/>
        </w:rPr>
        <w:t>sociálnych rozdielov</w:t>
      </w:r>
      <w:r w:rsidR="00940F55">
        <w:rPr>
          <w:noProof/>
        </w:rPr>
        <w:t xml:space="preserve"> v </w:t>
      </w:r>
      <w:r w:rsidRPr="00347044">
        <w:rPr>
          <w:noProof/>
        </w:rPr>
        <w:t>Európskej únii, a</w:t>
      </w:r>
    </w:p>
    <w:p w14:paraId="500C2167" w14:textId="0E2E046B" w:rsidR="00A314CF" w:rsidRPr="00347044" w:rsidRDefault="00A314CF" w:rsidP="005D23D4">
      <w:pPr>
        <w:pStyle w:val="Tiret1"/>
        <w:rPr>
          <w:noProof/>
        </w:rPr>
      </w:pPr>
      <w:r w:rsidRPr="00347044">
        <w:rPr>
          <w:noProof/>
        </w:rPr>
        <w:t>ďalšie prvky, ako napríklad finančný príspevok Švajčiarska na prístup</w:t>
      </w:r>
      <w:r w:rsidR="00940F55">
        <w:rPr>
          <w:noProof/>
        </w:rPr>
        <w:t xml:space="preserve"> k </w:t>
      </w:r>
      <w:r w:rsidRPr="00347044">
        <w:rPr>
          <w:noProof/>
        </w:rPr>
        <w:t>informačným systémom</w:t>
      </w:r>
      <w:r w:rsidR="00940F55">
        <w:rPr>
          <w:noProof/>
        </w:rPr>
        <w:t xml:space="preserve"> a </w:t>
      </w:r>
      <w:r w:rsidRPr="00347044">
        <w:rPr>
          <w:noProof/>
        </w:rPr>
        <w:t>ich používanie.</w:t>
      </w:r>
    </w:p>
    <w:p w14:paraId="7C6A467A" w14:textId="7BF52B30" w:rsidR="00A314CF" w:rsidRPr="00347044" w:rsidRDefault="002B3FEB" w:rsidP="002B3FEB">
      <w:pPr>
        <w:pStyle w:val="ManualConsidrant"/>
        <w:rPr>
          <w:noProof/>
        </w:rPr>
      </w:pPr>
      <w:r w:rsidRPr="002B3FEB">
        <w:t>(8)</w:t>
      </w:r>
      <w:r w:rsidRPr="002B3FEB">
        <w:tab/>
      </w:r>
      <w:r w:rsidR="00A314CF" w:rsidRPr="00347044">
        <w:rPr>
          <w:noProof/>
        </w:rPr>
        <w:t>S cieľom zabezpečiť homogenitu</w:t>
      </w:r>
      <w:r w:rsidR="00940F55">
        <w:rPr>
          <w:noProof/>
        </w:rPr>
        <w:t xml:space="preserve"> a </w:t>
      </w:r>
      <w:r w:rsidR="00A314CF" w:rsidRPr="00347044">
        <w:rPr>
          <w:noProof/>
        </w:rPr>
        <w:t>rovnaké podmienky pre hospodárske subjekty</w:t>
      </w:r>
      <w:r w:rsidR="00940F55">
        <w:rPr>
          <w:noProof/>
        </w:rPr>
        <w:t xml:space="preserve"> v </w:t>
      </w:r>
      <w:r w:rsidR="00A314CF" w:rsidRPr="00347044">
        <w:rPr>
          <w:noProof/>
        </w:rPr>
        <w:t>rámci vnútorného trhu by sa dohody týkajúce sa vnútorného trhu</w:t>
      </w:r>
      <w:r w:rsidR="00940F55">
        <w:rPr>
          <w:noProof/>
        </w:rPr>
        <w:t xml:space="preserve"> a </w:t>
      </w:r>
      <w:r w:rsidR="00A314CF" w:rsidRPr="00347044">
        <w:rPr>
          <w:noProof/>
        </w:rPr>
        <w:t>akty Únie uvedené</w:t>
      </w:r>
      <w:r w:rsidR="00940F55">
        <w:rPr>
          <w:noProof/>
        </w:rPr>
        <w:t xml:space="preserve"> v </w:t>
      </w:r>
      <w:r w:rsidR="00A314CF" w:rsidRPr="00347044">
        <w:rPr>
          <w:noProof/>
        </w:rPr>
        <w:t>týchto dohodách mali uplatňovať</w:t>
      </w:r>
      <w:r w:rsidR="00940F55">
        <w:rPr>
          <w:noProof/>
        </w:rPr>
        <w:t xml:space="preserve"> v </w:t>
      </w:r>
      <w:r w:rsidR="00A314CF" w:rsidRPr="00347044">
        <w:rPr>
          <w:noProof/>
        </w:rPr>
        <w:t>súlade</w:t>
      </w:r>
      <w:r w:rsidR="00940F55">
        <w:rPr>
          <w:noProof/>
        </w:rPr>
        <w:t xml:space="preserve"> s </w:t>
      </w:r>
      <w:r w:rsidR="00A314CF" w:rsidRPr="00347044">
        <w:rPr>
          <w:noProof/>
        </w:rPr>
        <w:t>judikatúrou Súdneho dvora Európskej únie. To by sa malo vzťahovať na všetku judikatúru pred ukončením rokovaní</w:t>
      </w:r>
      <w:r w:rsidR="00940F55">
        <w:rPr>
          <w:noProof/>
        </w:rPr>
        <w:t xml:space="preserve"> a </w:t>
      </w:r>
      <w:r w:rsidR="00A314CF" w:rsidRPr="00347044">
        <w:rPr>
          <w:noProof/>
        </w:rPr>
        <w:t>po nich.</w:t>
      </w:r>
    </w:p>
    <w:p w14:paraId="141EC343" w14:textId="50A2431A" w:rsidR="00A314CF" w:rsidRPr="00347044" w:rsidRDefault="002B3FEB" w:rsidP="002B3FEB">
      <w:pPr>
        <w:pStyle w:val="ManualConsidrant"/>
        <w:rPr>
          <w:noProof/>
        </w:rPr>
      </w:pPr>
      <w:r w:rsidRPr="002B3FEB">
        <w:t>(9)</w:t>
      </w:r>
      <w:r w:rsidRPr="002B3FEB">
        <w:tab/>
      </w:r>
      <w:r w:rsidR="00A314CF" w:rsidRPr="00347044">
        <w:rPr>
          <w:noProof/>
        </w:rPr>
        <w:t>Pokračujúca účasť Švajčiarska na vnútornom trhu</w:t>
      </w:r>
      <w:r w:rsidR="00940F55">
        <w:rPr>
          <w:noProof/>
        </w:rPr>
        <w:t xml:space="preserve"> a </w:t>
      </w:r>
      <w:r w:rsidR="00A314CF" w:rsidRPr="00347044">
        <w:rPr>
          <w:noProof/>
        </w:rPr>
        <w:t>jej možné rozšírenie je predpokladom toho, že pravidlá uplatniteľné na vzťahy so Švajčiarskom</w:t>
      </w:r>
      <w:r w:rsidR="00940F55">
        <w:rPr>
          <w:noProof/>
        </w:rPr>
        <w:t xml:space="preserve"> v </w:t>
      </w:r>
      <w:r w:rsidR="00A314CF" w:rsidRPr="00347044">
        <w:rPr>
          <w:noProof/>
        </w:rPr>
        <w:t>oblastiach, na ktoré sa vzťahujú dohody, budú rovnaké ako pravidlá uplatňované na vnútornom trhu</w:t>
      </w:r>
      <w:r w:rsidR="00940F55">
        <w:rPr>
          <w:noProof/>
        </w:rPr>
        <w:t xml:space="preserve"> a </w:t>
      </w:r>
      <w:r w:rsidR="00A314CF" w:rsidRPr="00347044">
        <w:rPr>
          <w:noProof/>
        </w:rPr>
        <w:t>že ich výklad</w:t>
      </w:r>
      <w:r w:rsidR="00940F55">
        <w:rPr>
          <w:noProof/>
        </w:rPr>
        <w:t xml:space="preserve"> a </w:t>
      </w:r>
      <w:r w:rsidR="00A314CF" w:rsidRPr="00347044">
        <w:rPr>
          <w:noProof/>
        </w:rPr>
        <w:t>uplatňovanie sa nemôžu líšiť.</w:t>
      </w:r>
    </w:p>
    <w:p w14:paraId="7B35AE70" w14:textId="4C50BE53" w:rsidR="00A314CF" w:rsidRPr="00347044" w:rsidRDefault="002B3FEB" w:rsidP="002B3FEB">
      <w:pPr>
        <w:pStyle w:val="ManualConsidrant"/>
        <w:rPr>
          <w:noProof/>
        </w:rPr>
      </w:pPr>
      <w:r w:rsidRPr="002B3FEB">
        <w:t>(10)</w:t>
      </w:r>
      <w:r w:rsidRPr="002B3FEB">
        <w:tab/>
      </w:r>
      <w:r w:rsidR="00A314CF" w:rsidRPr="00347044">
        <w:rPr>
          <w:noProof/>
        </w:rPr>
        <w:t>Homogenita si okrem toho vyžaduje, aby sa súčasné</w:t>
      </w:r>
      <w:r w:rsidR="00940F55">
        <w:rPr>
          <w:noProof/>
        </w:rPr>
        <w:t xml:space="preserve"> a </w:t>
      </w:r>
      <w:r w:rsidR="00A314CF" w:rsidRPr="00347044">
        <w:rPr>
          <w:noProof/>
        </w:rPr>
        <w:t>budúce právne predpisy Únie</w:t>
      </w:r>
      <w:r w:rsidR="00940F55">
        <w:rPr>
          <w:noProof/>
        </w:rPr>
        <w:t xml:space="preserve"> v </w:t>
      </w:r>
      <w:r w:rsidR="00A314CF" w:rsidRPr="00347044">
        <w:rPr>
          <w:noProof/>
        </w:rPr>
        <w:t>oblastiach, na ktoré sa tieto dohody vzťahujú, začlenili do dohôd tak, ako sú prijaté alebo ako sa vyvíjajú či menia. Na tento účel by sa mal stanoviť postup zapracovania vrátane maximálnej lehoty na vykonanie.</w:t>
      </w:r>
    </w:p>
    <w:p w14:paraId="5571FB5E" w14:textId="7CB87AED" w:rsidR="00A314CF" w:rsidRPr="00347044" w:rsidRDefault="002B3FEB" w:rsidP="002B3FEB">
      <w:pPr>
        <w:pStyle w:val="ManualConsidrant"/>
        <w:rPr>
          <w:noProof/>
        </w:rPr>
      </w:pPr>
      <w:r w:rsidRPr="002B3FEB">
        <w:t>(11)</w:t>
      </w:r>
      <w:r w:rsidRPr="002B3FEB">
        <w:tab/>
      </w:r>
      <w:r w:rsidR="00A314CF" w:rsidRPr="00347044">
        <w:rPr>
          <w:noProof/>
        </w:rPr>
        <w:t>Mal by sa vytvoriť nezávislý rozhodcovský súd na urovnávanie sporov. Rozhodcovský súd by mal postúpiť otázku Súdnemu dvoru Európskej únie na záväzné rozhodnutie, ak uplatňovanie ustanovení dohôd zahŕňa pojmy práva Únie vrátane možných výnimiek</w:t>
      </w:r>
      <w:r w:rsidR="00940F55">
        <w:rPr>
          <w:noProof/>
        </w:rPr>
        <w:t xml:space="preserve"> a </w:t>
      </w:r>
      <w:r w:rsidR="00A314CF" w:rsidRPr="00347044">
        <w:rPr>
          <w:noProof/>
        </w:rPr>
        <w:t>záruk.</w:t>
      </w:r>
    </w:p>
    <w:p w14:paraId="10C52895" w14:textId="6BA38F2C" w:rsidR="00A314CF" w:rsidRPr="00347044" w:rsidRDefault="002B3FEB" w:rsidP="002B3FEB">
      <w:pPr>
        <w:pStyle w:val="ManualConsidrant"/>
        <w:rPr>
          <w:noProof/>
        </w:rPr>
      </w:pPr>
      <w:r w:rsidRPr="002B3FEB">
        <w:t>(12)</w:t>
      </w:r>
      <w:r w:rsidRPr="002B3FEB">
        <w:tab/>
      </w:r>
      <w:r w:rsidR="00A314CF" w:rsidRPr="00347044">
        <w:rPr>
          <w:noProof/>
        </w:rPr>
        <w:t>Rovnaké inštitucionálne ustanovenia by sa mali zahrnúť do všetkých existujúcich</w:t>
      </w:r>
      <w:r w:rsidR="00940F55">
        <w:rPr>
          <w:noProof/>
        </w:rPr>
        <w:t xml:space="preserve"> a </w:t>
      </w:r>
      <w:r w:rsidR="00A314CF" w:rsidRPr="00347044">
        <w:rPr>
          <w:noProof/>
        </w:rPr>
        <w:t>budúcich dohôd medzi EÚ</w:t>
      </w:r>
      <w:r w:rsidR="00940F55">
        <w:rPr>
          <w:noProof/>
        </w:rPr>
        <w:t xml:space="preserve"> a </w:t>
      </w:r>
      <w:r w:rsidR="00A314CF" w:rsidRPr="00347044">
        <w:rPr>
          <w:noProof/>
        </w:rPr>
        <w:t>Švajčiarskom týkajúcich sa vnútorného trhu, aby sa uľahčilo koordinované</w:t>
      </w:r>
      <w:r w:rsidR="00940F55">
        <w:rPr>
          <w:noProof/>
        </w:rPr>
        <w:t xml:space="preserve"> a </w:t>
      </w:r>
      <w:r w:rsidR="00A314CF" w:rsidRPr="00347044">
        <w:rPr>
          <w:noProof/>
        </w:rPr>
        <w:t>koherentné riadenie dohôd. Tieto inštitucionálne ustanovenia by sa zaviedli najmä</w:t>
      </w:r>
      <w:r w:rsidR="00940F55">
        <w:rPr>
          <w:noProof/>
        </w:rPr>
        <w:t xml:space="preserve"> v </w:t>
      </w:r>
      <w:r w:rsidR="00A314CF" w:rsidRPr="00347044">
        <w:rPr>
          <w:noProof/>
        </w:rPr>
        <w:t>týchto existujúcich dohodách: dohoda</w:t>
      </w:r>
      <w:r w:rsidR="00940F55">
        <w:rPr>
          <w:noProof/>
        </w:rPr>
        <w:t xml:space="preserve"> o </w:t>
      </w:r>
      <w:r w:rsidR="00A314CF" w:rsidRPr="00347044">
        <w:rPr>
          <w:noProof/>
        </w:rPr>
        <w:t>voľnom pohybe osôb</w:t>
      </w:r>
      <w:r w:rsidR="00A314CF" w:rsidRPr="00347044">
        <w:rPr>
          <w:rStyle w:val="FootnoteReference"/>
          <w:noProof/>
        </w:rPr>
        <w:footnoteReference w:id="7"/>
      </w:r>
      <w:r w:rsidR="00A314CF" w:rsidRPr="00347044">
        <w:rPr>
          <w:noProof/>
        </w:rPr>
        <w:t>, dohoda</w:t>
      </w:r>
      <w:r w:rsidR="00940F55">
        <w:rPr>
          <w:noProof/>
        </w:rPr>
        <w:t xml:space="preserve"> o </w:t>
      </w:r>
      <w:r w:rsidR="00A314CF" w:rsidRPr="00347044">
        <w:rPr>
          <w:noProof/>
        </w:rPr>
        <w:t>leteckej doprave</w:t>
      </w:r>
      <w:r w:rsidR="00A314CF" w:rsidRPr="00347044">
        <w:rPr>
          <w:rStyle w:val="FootnoteReference"/>
          <w:noProof/>
        </w:rPr>
        <w:footnoteReference w:id="8"/>
      </w:r>
      <w:r w:rsidR="00A314CF" w:rsidRPr="00347044">
        <w:rPr>
          <w:noProof/>
        </w:rPr>
        <w:t>, dohoda</w:t>
      </w:r>
      <w:r w:rsidR="00940F55">
        <w:rPr>
          <w:noProof/>
        </w:rPr>
        <w:t xml:space="preserve"> o </w:t>
      </w:r>
      <w:r w:rsidR="00A314CF" w:rsidRPr="00347044">
        <w:rPr>
          <w:noProof/>
        </w:rPr>
        <w:t>železničnej</w:t>
      </w:r>
      <w:r w:rsidR="00940F55">
        <w:rPr>
          <w:noProof/>
        </w:rPr>
        <w:t xml:space="preserve"> a </w:t>
      </w:r>
      <w:r w:rsidR="00A314CF" w:rsidRPr="00347044">
        <w:rPr>
          <w:noProof/>
        </w:rPr>
        <w:t>cestnej preprave tovaru</w:t>
      </w:r>
      <w:r w:rsidR="00940F55">
        <w:rPr>
          <w:noProof/>
        </w:rPr>
        <w:t xml:space="preserve"> a </w:t>
      </w:r>
      <w:r w:rsidR="00A314CF" w:rsidRPr="00347044">
        <w:rPr>
          <w:noProof/>
        </w:rPr>
        <w:t>osôb</w:t>
      </w:r>
      <w:r w:rsidR="00A314CF" w:rsidRPr="00347044">
        <w:rPr>
          <w:rStyle w:val="FootnoteReference"/>
          <w:noProof/>
        </w:rPr>
        <w:footnoteReference w:id="9"/>
      </w:r>
      <w:r w:rsidR="00A314CF" w:rsidRPr="00347044">
        <w:rPr>
          <w:noProof/>
        </w:rPr>
        <w:t>, dohoda</w:t>
      </w:r>
      <w:r w:rsidR="00940F55">
        <w:rPr>
          <w:noProof/>
        </w:rPr>
        <w:t xml:space="preserve"> o </w:t>
      </w:r>
      <w:r w:rsidR="00A314CF" w:rsidRPr="00347044">
        <w:rPr>
          <w:noProof/>
        </w:rPr>
        <w:t>vzájomnom uznávaní vo vzťahu</w:t>
      </w:r>
      <w:r w:rsidR="00940F55">
        <w:rPr>
          <w:noProof/>
        </w:rPr>
        <w:t xml:space="preserve"> k </w:t>
      </w:r>
      <w:r w:rsidR="00A314CF" w:rsidRPr="00347044">
        <w:rPr>
          <w:noProof/>
        </w:rPr>
        <w:t>posudzovaniu zhody</w:t>
      </w:r>
      <w:r w:rsidR="00A314CF" w:rsidRPr="00347044">
        <w:rPr>
          <w:rStyle w:val="FootnoteReference"/>
          <w:noProof/>
        </w:rPr>
        <w:footnoteReference w:id="10"/>
      </w:r>
      <w:r w:rsidR="00A314CF" w:rsidRPr="00347044">
        <w:rPr>
          <w:noProof/>
        </w:rPr>
        <w:t>, dohoda</w:t>
      </w:r>
      <w:r w:rsidR="00940F55">
        <w:rPr>
          <w:noProof/>
        </w:rPr>
        <w:t xml:space="preserve"> o </w:t>
      </w:r>
      <w:r w:rsidR="00A314CF" w:rsidRPr="00347044">
        <w:rPr>
          <w:noProof/>
        </w:rPr>
        <w:t>obchode</w:t>
      </w:r>
      <w:r w:rsidR="00940F55">
        <w:rPr>
          <w:noProof/>
        </w:rPr>
        <w:t xml:space="preserve"> s </w:t>
      </w:r>
      <w:r w:rsidR="00A314CF" w:rsidRPr="00347044">
        <w:rPr>
          <w:noProof/>
        </w:rPr>
        <w:t>poľnohospodárskymi výrobkami</w:t>
      </w:r>
      <w:r w:rsidR="00A314CF" w:rsidRPr="00347044">
        <w:rPr>
          <w:rStyle w:val="FootnoteReference"/>
          <w:noProof/>
        </w:rPr>
        <w:footnoteReference w:id="11"/>
      </w:r>
      <w:r w:rsidR="00A314CF" w:rsidRPr="00347044">
        <w:rPr>
          <w:noProof/>
        </w:rPr>
        <w:t>, všetky podpísané 21. júna 1999. Inštitucionálne ustanovenia by boli zahrnuté aj do budúcich dohôd</w:t>
      </w:r>
      <w:r w:rsidR="00940F55">
        <w:rPr>
          <w:noProof/>
        </w:rPr>
        <w:t xml:space="preserve"> o </w:t>
      </w:r>
      <w:r w:rsidR="00A314CF" w:rsidRPr="00347044">
        <w:rPr>
          <w:noProof/>
        </w:rPr>
        <w:t>elektrickej energii</w:t>
      </w:r>
      <w:r w:rsidR="00940F55">
        <w:rPr>
          <w:noProof/>
        </w:rPr>
        <w:t xml:space="preserve"> a </w:t>
      </w:r>
      <w:r w:rsidR="00A314CF" w:rsidRPr="00347044">
        <w:rPr>
          <w:noProof/>
        </w:rPr>
        <w:t>bezpečnosti potravín. Mali by sa uplatňovať analogicky</w:t>
      </w:r>
      <w:r w:rsidR="00940F55">
        <w:rPr>
          <w:noProof/>
        </w:rPr>
        <w:t xml:space="preserve"> v </w:t>
      </w:r>
      <w:r w:rsidR="00A314CF" w:rsidRPr="00347044">
        <w:rPr>
          <w:noProof/>
        </w:rPr>
        <w:t>budúcej dohode</w:t>
      </w:r>
      <w:r w:rsidR="00940F55">
        <w:rPr>
          <w:noProof/>
        </w:rPr>
        <w:t xml:space="preserve"> v </w:t>
      </w:r>
      <w:r w:rsidR="00A314CF" w:rsidRPr="00347044">
        <w:rPr>
          <w:noProof/>
        </w:rPr>
        <w:t>oblasti zdravia, ak sa</w:t>
      </w:r>
      <w:r w:rsidR="00940F55">
        <w:rPr>
          <w:noProof/>
        </w:rPr>
        <w:t xml:space="preserve"> v </w:t>
      </w:r>
      <w:r w:rsidR="00A314CF" w:rsidRPr="00347044">
        <w:rPr>
          <w:noProof/>
        </w:rPr>
        <w:t>uvedenej dohode stanoví účasť Švajčiarska na mechanizmoch</w:t>
      </w:r>
      <w:r w:rsidR="00940F55">
        <w:rPr>
          <w:noProof/>
        </w:rPr>
        <w:t xml:space="preserve"> a </w:t>
      </w:r>
      <w:r w:rsidR="00A314CF" w:rsidRPr="00347044">
        <w:rPr>
          <w:noProof/>
        </w:rPr>
        <w:t>sieťach EÚ.</w:t>
      </w:r>
    </w:p>
    <w:p w14:paraId="76B29106" w14:textId="27AB247D" w:rsidR="00A314CF" w:rsidRPr="00347044" w:rsidRDefault="002B3FEB" w:rsidP="002B3FEB">
      <w:pPr>
        <w:pStyle w:val="ManualConsidrant"/>
        <w:rPr>
          <w:noProof/>
        </w:rPr>
      </w:pPr>
      <w:r w:rsidRPr="002B3FEB">
        <w:lastRenderedPageBreak/>
        <w:t>(13)</w:t>
      </w:r>
      <w:r w:rsidRPr="002B3FEB">
        <w:tab/>
      </w:r>
      <w:r w:rsidR="00A314CF" w:rsidRPr="00347044">
        <w:rPr>
          <w:noProof/>
        </w:rPr>
        <w:t>S cieľom zabezpečiť rovnaké podmienky pre hospodársku súťaž na vnútornom trhu by sa pravidlá štátnej pomoci uplatniteľné na členské štáty EÚ</w:t>
      </w:r>
      <w:r w:rsidR="00940F55">
        <w:rPr>
          <w:noProof/>
        </w:rPr>
        <w:t xml:space="preserve"> a </w:t>
      </w:r>
      <w:r w:rsidR="00A314CF" w:rsidRPr="00347044">
        <w:rPr>
          <w:noProof/>
        </w:rPr>
        <w:t>Švajčiarsko mali zahrnúť do existujúcej dohody</w:t>
      </w:r>
      <w:r w:rsidR="00940F55">
        <w:rPr>
          <w:noProof/>
        </w:rPr>
        <w:t xml:space="preserve"> o </w:t>
      </w:r>
      <w:r w:rsidR="00A314CF" w:rsidRPr="00347044">
        <w:rPr>
          <w:noProof/>
        </w:rPr>
        <w:t>leteckej doprave</w:t>
      </w:r>
      <w:r w:rsidR="00940F55">
        <w:rPr>
          <w:noProof/>
        </w:rPr>
        <w:t xml:space="preserve"> a </w:t>
      </w:r>
      <w:r w:rsidR="00A314CF" w:rsidRPr="00347044">
        <w:rPr>
          <w:noProof/>
        </w:rPr>
        <w:t>dohody</w:t>
      </w:r>
      <w:r w:rsidR="00940F55">
        <w:rPr>
          <w:noProof/>
        </w:rPr>
        <w:t xml:space="preserve"> o </w:t>
      </w:r>
      <w:r w:rsidR="00A314CF" w:rsidRPr="00347044">
        <w:rPr>
          <w:noProof/>
        </w:rPr>
        <w:t>železničnej</w:t>
      </w:r>
      <w:r w:rsidR="00940F55">
        <w:rPr>
          <w:noProof/>
        </w:rPr>
        <w:t xml:space="preserve"> a </w:t>
      </w:r>
      <w:r w:rsidR="00A314CF" w:rsidRPr="00347044">
        <w:rPr>
          <w:noProof/>
        </w:rPr>
        <w:t>cestnej preprave tovaru</w:t>
      </w:r>
      <w:r w:rsidR="00940F55">
        <w:rPr>
          <w:noProof/>
        </w:rPr>
        <w:t xml:space="preserve"> a </w:t>
      </w:r>
      <w:r w:rsidR="00A314CF" w:rsidRPr="00347044">
        <w:rPr>
          <w:noProof/>
        </w:rPr>
        <w:t>osôb, ako aj do budúcich dohôd týkajúcich sa vnútorného trhu vrátane dohody</w:t>
      </w:r>
      <w:r w:rsidR="00940F55">
        <w:rPr>
          <w:noProof/>
        </w:rPr>
        <w:t xml:space="preserve"> o </w:t>
      </w:r>
      <w:r w:rsidR="00A314CF" w:rsidRPr="00347044">
        <w:rPr>
          <w:noProof/>
        </w:rPr>
        <w:t>elektrickej energii. Okrem toho by sa preskúmanie akejkoľvek štátnej pomoci vo Švajčiarsku malo zakladať na hmotnoprávnych</w:t>
      </w:r>
      <w:r w:rsidR="00940F55">
        <w:rPr>
          <w:noProof/>
        </w:rPr>
        <w:t xml:space="preserve"> a </w:t>
      </w:r>
      <w:r w:rsidR="00A314CF" w:rsidRPr="00347044">
        <w:rPr>
          <w:noProof/>
        </w:rPr>
        <w:t>procesných pravidlách, ktoré sú rovnocenné</w:t>
      </w:r>
      <w:r w:rsidR="00940F55">
        <w:rPr>
          <w:noProof/>
        </w:rPr>
        <w:t xml:space="preserve"> s </w:t>
      </w:r>
      <w:r w:rsidR="00A314CF" w:rsidRPr="00347044">
        <w:rPr>
          <w:noProof/>
        </w:rPr>
        <w:t>pravidlami uplatňovanými</w:t>
      </w:r>
      <w:r w:rsidR="00940F55">
        <w:rPr>
          <w:noProof/>
        </w:rPr>
        <w:t xml:space="preserve"> v </w:t>
      </w:r>
      <w:r w:rsidR="00A314CF" w:rsidRPr="00347044">
        <w:rPr>
          <w:noProof/>
        </w:rPr>
        <w:t>rámci EÚ.</w:t>
      </w:r>
    </w:p>
    <w:p w14:paraId="3B729C86" w14:textId="53ACCFC2" w:rsidR="00A314CF" w:rsidRPr="00347044" w:rsidRDefault="002B3FEB" w:rsidP="002B3FEB">
      <w:pPr>
        <w:pStyle w:val="ManualConsidrant"/>
        <w:rPr>
          <w:noProof/>
        </w:rPr>
      </w:pPr>
      <w:r w:rsidRPr="002B3FEB">
        <w:t>(14)</w:t>
      </w:r>
      <w:r w:rsidRPr="002B3FEB">
        <w:tab/>
      </w:r>
      <w:r w:rsidR="00A314CF" w:rsidRPr="00347044">
        <w:rPr>
          <w:noProof/>
        </w:rPr>
        <w:t>Bez toho, aby bola dotknutá povinnosť začleniť súčasné</w:t>
      </w:r>
      <w:r w:rsidR="00940F55">
        <w:rPr>
          <w:noProof/>
        </w:rPr>
        <w:t xml:space="preserve"> a </w:t>
      </w:r>
      <w:r w:rsidR="00A314CF" w:rsidRPr="00347044">
        <w:rPr>
          <w:noProof/>
        </w:rPr>
        <w:t>budúce právne predpisy Únie do dohody</w:t>
      </w:r>
      <w:r w:rsidR="00940F55">
        <w:rPr>
          <w:noProof/>
        </w:rPr>
        <w:t xml:space="preserve"> o </w:t>
      </w:r>
      <w:r w:rsidR="00A314CF" w:rsidRPr="00347044">
        <w:rPr>
          <w:noProof/>
        </w:rPr>
        <w:t>voľnom pohybe osôb, ako aj dodržiavať zásady nediskriminácie medzi členskými štátmi</w:t>
      </w:r>
      <w:r w:rsidR="00940F55">
        <w:rPr>
          <w:noProof/>
        </w:rPr>
        <w:t xml:space="preserve"> a </w:t>
      </w:r>
      <w:r w:rsidR="00A314CF" w:rsidRPr="00347044">
        <w:rPr>
          <w:noProof/>
        </w:rPr>
        <w:t xml:space="preserve">reciprocity, môže byť potrebné dohodnúť sa na osobitných obmedzených úpravách existujúceho </w:t>
      </w:r>
      <w:r w:rsidR="00A314CF" w:rsidRPr="00347044">
        <w:rPr>
          <w:i/>
          <w:noProof/>
        </w:rPr>
        <w:t>acquis</w:t>
      </w:r>
      <w:r w:rsidR="00A314CF" w:rsidRPr="00347044">
        <w:rPr>
          <w:noProof/>
        </w:rPr>
        <w:t xml:space="preserve"> Únie</w:t>
      </w:r>
      <w:r w:rsidR="00940F55">
        <w:rPr>
          <w:noProof/>
        </w:rPr>
        <w:t xml:space="preserve"> v </w:t>
      </w:r>
      <w:r w:rsidR="00A314CF" w:rsidRPr="00347044">
        <w:rPr>
          <w:noProof/>
        </w:rPr>
        <w:t>oblasti voľného pohybu osôb.</w:t>
      </w:r>
      <w:r w:rsidR="00F0709A">
        <w:rPr>
          <w:noProof/>
        </w:rPr>
        <w:t xml:space="preserve"> </w:t>
      </w:r>
      <w:r w:rsidR="00A314CF" w:rsidRPr="00347044">
        <w:rPr>
          <w:noProof/>
        </w:rPr>
        <w:t>Žiadne úpravy by nemali viesť</w:t>
      </w:r>
      <w:r w:rsidR="00940F55">
        <w:rPr>
          <w:noProof/>
        </w:rPr>
        <w:t xml:space="preserve"> k </w:t>
      </w:r>
      <w:r w:rsidR="00A314CF" w:rsidRPr="00347044">
        <w:rPr>
          <w:noProof/>
        </w:rPr>
        <w:t>obmedzeniu práv, ktoré</w:t>
      </w:r>
      <w:r w:rsidR="00940F55">
        <w:rPr>
          <w:noProof/>
        </w:rPr>
        <w:t xml:space="preserve"> v </w:t>
      </w:r>
      <w:r w:rsidR="00A314CF" w:rsidRPr="00347044">
        <w:rPr>
          <w:noProof/>
        </w:rPr>
        <w:t>súčasnosti požívajú občania EÚ na základe dohody</w:t>
      </w:r>
      <w:r w:rsidR="00940F55">
        <w:rPr>
          <w:noProof/>
        </w:rPr>
        <w:t xml:space="preserve"> o </w:t>
      </w:r>
      <w:r w:rsidR="00A314CF" w:rsidRPr="00347044">
        <w:rPr>
          <w:noProof/>
        </w:rPr>
        <w:t>voľnom pohybe osôb.</w:t>
      </w:r>
    </w:p>
    <w:p w14:paraId="493C05C8" w14:textId="1016BF12" w:rsidR="00FA6DE1" w:rsidRPr="00347044" w:rsidRDefault="002B3FEB" w:rsidP="002B3FEB">
      <w:pPr>
        <w:pStyle w:val="ManualConsidrant"/>
        <w:rPr>
          <w:noProof/>
        </w:rPr>
      </w:pPr>
      <w:r w:rsidRPr="002B3FEB">
        <w:t>(15)</w:t>
      </w:r>
      <w:r w:rsidRPr="002B3FEB">
        <w:tab/>
      </w:r>
      <w:r w:rsidR="00FA6DE1" w:rsidRPr="00347044">
        <w:rPr>
          <w:noProof/>
        </w:rPr>
        <w:t>Bez toho, aby bola dotknutá povinnosť začleniť súčasné</w:t>
      </w:r>
      <w:r w:rsidR="00940F55">
        <w:rPr>
          <w:noProof/>
        </w:rPr>
        <w:t xml:space="preserve"> a </w:t>
      </w:r>
      <w:r w:rsidR="00FA6DE1" w:rsidRPr="00347044">
        <w:rPr>
          <w:noProof/>
        </w:rPr>
        <w:t>budúce právne predpisy Únie</w:t>
      </w:r>
      <w:r w:rsidR="00940F55">
        <w:rPr>
          <w:noProof/>
        </w:rPr>
        <w:t xml:space="preserve"> v </w:t>
      </w:r>
      <w:r w:rsidR="00FA6DE1" w:rsidRPr="00347044">
        <w:rPr>
          <w:noProof/>
        </w:rPr>
        <w:t>oblasti vysielania pracovníkov do dohody</w:t>
      </w:r>
      <w:r w:rsidR="00940F55">
        <w:rPr>
          <w:noProof/>
        </w:rPr>
        <w:t xml:space="preserve"> o </w:t>
      </w:r>
      <w:r w:rsidR="00FA6DE1" w:rsidRPr="00347044">
        <w:rPr>
          <w:noProof/>
        </w:rPr>
        <w:t>voľnom pohybe osôb, môže byť potrebné dohodnúť sa na osobitných obmedzených úpravách</w:t>
      </w:r>
      <w:r w:rsidR="00940F55">
        <w:rPr>
          <w:noProof/>
        </w:rPr>
        <w:t xml:space="preserve"> s </w:t>
      </w:r>
      <w:r w:rsidR="00FA6DE1" w:rsidRPr="00347044">
        <w:rPr>
          <w:noProof/>
        </w:rPr>
        <w:t>cieľom zohľadniť osobitosti švajčiarskeho trhu práce</w:t>
      </w:r>
      <w:r w:rsidR="00940F55">
        <w:rPr>
          <w:noProof/>
        </w:rPr>
        <w:t xml:space="preserve"> a </w:t>
      </w:r>
      <w:r w:rsidR="00FA6DE1" w:rsidRPr="00347044">
        <w:rPr>
          <w:noProof/>
        </w:rPr>
        <w:t>zabezpečiť uplatňovanie dohody. Bez toho, aby boli dotknuté zásady nediskriminácie, odôvodnenosti</w:t>
      </w:r>
      <w:r w:rsidR="00940F55">
        <w:rPr>
          <w:noProof/>
        </w:rPr>
        <w:t xml:space="preserve"> a </w:t>
      </w:r>
      <w:r w:rsidR="00FA6DE1" w:rsidRPr="00347044">
        <w:rPr>
          <w:noProof/>
        </w:rPr>
        <w:t>proporcionality, by sa tieto úpravy mali obmedziť na predchádzajúce oznamovanie cezhraničného poskytovania služieb</w:t>
      </w:r>
      <w:r w:rsidR="00940F55">
        <w:rPr>
          <w:noProof/>
        </w:rPr>
        <w:t xml:space="preserve"> s </w:t>
      </w:r>
      <w:r w:rsidR="00FA6DE1" w:rsidRPr="00347044">
        <w:rPr>
          <w:noProof/>
        </w:rPr>
        <w:t>cieľom uľahčiť kontroly</w:t>
      </w:r>
      <w:r w:rsidR="00940F55">
        <w:rPr>
          <w:noProof/>
        </w:rPr>
        <w:t xml:space="preserve"> v </w:t>
      </w:r>
      <w:r w:rsidR="00FA6DE1" w:rsidRPr="00347044">
        <w:rPr>
          <w:noProof/>
        </w:rPr>
        <w:t>konkrétnych odvetviach na základe posúdenia rizika, zloženia finančnej záruky</w:t>
      </w:r>
      <w:r w:rsidR="00940F55">
        <w:rPr>
          <w:noProof/>
        </w:rPr>
        <w:t xml:space="preserve"> v </w:t>
      </w:r>
      <w:r w:rsidR="00FA6DE1" w:rsidRPr="00347044">
        <w:rPr>
          <w:noProof/>
        </w:rPr>
        <w:t>prípade poskytovateľov služieb, ktorí nesplnili svoje predchádzajúce finančné záväzky, ako aj požiadavky na samostatne zárobkovo činné osoby, pokiaľ ide</w:t>
      </w:r>
      <w:r w:rsidR="00940F55">
        <w:rPr>
          <w:noProof/>
        </w:rPr>
        <w:t xml:space="preserve"> o </w:t>
      </w:r>
      <w:r w:rsidR="00FA6DE1" w:rsidRPr="00347044">
        <w:rPr>
          <w:noProof/>
        </w:rPr>
        <w:t>predkladanie jasne obmedzených</w:t>
      </w:r>
      <w:r w:rsidR="00940F55">
        <w:rPr>
          <w:noProof/>
        </w:rPr>
        <w:t xml:space="preserve"> a </w:t>
      </w:r>
      <w:r w:rsidR="00FA6DE1" w:rsidRPr="00347044">
        <w:rPr>
          <w:noProof/>
        </w:rPr>
        <w:t>špecifikovaných dokumentov. Únia sa takisto môže dohodnúť, že Švajčiarsko by nemalo byť viazané budúcimi zmenami právnych nástrojov Únie</w:t>
      </w:r>
      <w:r w:rsidR="00940F55">
        <w:rPr>
          <w:noProof/>
        </w:rPr>
        <w:t xml:space="preserve"> v </w:t>
      </w:r>
      <w:r w:rsidR="00FA6DE1" w:rsidRPr="00347044">
        <w:rPr>
          <w:noProof/>
        </w:rPr>
        <w:t>oblasti vysielania pracovníkov, ak ich účinkom je významné oslabenie alebo zníženie úrovne ochrany vyslaných pracovníkov, pokiaľ ide</w:t>
      </w:r>
      <w:r w:rsidR="00940F55">
        <w:rPr>
          <w:noProof/>
        </w:rPr>
        <w:t xml:space="preserve"> o </w:t>
      </w:r>
      <w:r w:rsidR="00FA6DE1" w:rsidRPr="00347044">
        <w:rPr>
          <w:noProof/>
        </w:rPr>
        <w:t>podmienky zamestnania, najmä odmeňovanie</w:t>
      </w:r>
      <w:r w:rsidR="00940F55">
        <w:rPr>
          <w:noProof/>
        </w:rPr>
        <w:t xml:space="preserve"> a </w:t>
      </w:r>
      <w:r w:rsidR="00FA6DE1" w:rsidRPr="00347044">
        <w:rPr>
          <w:noProof/>
        </w:rPr>
        <w:t>príspevky.</w:t>
      </w:r>
    </w:p>
    <w:p w14:paraId="0748F55B" w14:textId="28EFBC47" w:rsidR="00A314CF" w:rsidRPr="00347044" w:rsidRDefault="002B3FEB" w:rsidP="002B3FEB">
      <w:pPr>
        <w:pStyle w:val="ManualConsidrant"/>
        <w:rPr>
          <w:noProof/>
        </w:rPr>
      </w:pPr>
      <w:r w:rsidRPr="002B3FEB">
        <w:t>(16)</w:t>
      </w:r>
      <w:r w:rsidRPr="002B3FEB">
        <w:tab/>
      </w:r>
      <w:r w:rsidR="00A314CF" w:rsidRPr="00347044">
        <w:rPr>
          <w:noProof/>
        </w:rPr>
        <w:t>Bez toho, aby bola dotknutá povinnosť začleňovať súčasné</w:t>
      </w:r>
      <w:r w:rsidR="00940F55">
        <w:rPr>
          <w:noProof/>
        </w:rPr>
        <w:t xml:space="preserve"> a </w:t>
      </w:r>
      <w:r w:rsidR="00A314CF" w:rsidRPr="00347044">
        <w:rPr>
          <w:noProof/>
        </w:rPr>
        <w:t>budúce právne predpisy Únie do oblastí, na ktoré sa vzťahuje dohoda</w:t>
      </w:r>
      <w:r w:rsidR="00940F55">
        <w:rPr>
          <w:noProof/>
        </w:rPr>
        <w:t xml:space="preserve"> o </w:t>
      </w:r>
      <w:r w:rsidR="00A314CF" w:rsidRPr="00347044">
        <w:rPr>
          <w:noProof/>
        </w:rPr>
        <w:t>železničnej</w:t>
      </w:r>
      <w:r w:rsidR="00940F55">
        <w:rPr>
          <w:noProof/>
        </w:rPr>
        <w:t xml:space="preserve"> a </w:t>
      </w:r>
      <w:r w:rsidR="00A314CF" w:rsidRPr="00347044">
        <w:rPr>
          <w:noProof/>
        </w:rPr>
        <w:t>cestnej preprave tovaru</w:t>
      </w:r>
      <w:r w:rsidR="00940F55">
        <w:rPr>
          <w:noProof/>
        </w:rPr>
        <w:t xml:space="preserve"> a </w:t>
      </w:r>
      <w:r w:rsidR="00A314CF" w:rsidRPr="00347044">
        <w:rPr>
          <w:noProof/>
        </w:rPr>
        <w:t>osôb, by sa</w:t>
      </w:r>
      <w:r w:rsidR="00940F55">
        <w:rPr>
          <w:noProof/>
        </w:rPr>
        <w:t xml:space="preserve"> v </w:t>
      </w:r>
      <w:r w:rsidR="00A314CF" w:rsidRPr="00347044">
        <w:rPr>
          <w:noProof/>
        </w:rPr>
        <w:t>tejto oblasti mohli dohodnúť osobitné obmedzené úpravy. Tým by sa nemal meniť rozsah pôsobnosti dohody, ktorá zahŕňa medzinárodnú osobnú dopravu,</w:t>
      </w:r>
      <w:r w:rsidR="00940F55">
        <w:rPr>
          <w:noProof/>
        </w:rPr>
        <w:t xml:space="preserve"> s </w:t>
      </w:r>
      <w:r w:rsidR="00A314CF" w:rsidRPr="00347044">
        <w:rPr>
          <w:noProof/>
        </w:rPr>
        <w:t>výnimkou švajčiarskej výlučne vnútroštátnej dopravy (t. j. vnútroštátnej diaľkovej, regionálnej</w:t>
      </w:r>
      <w:r w:rsidR="00940F55">
        <w:rPr>
          <w:noProof/>
        </w:rPr>
        <w:t xml:space="preserve"> a </w:t>
      </w:r>
      <w:r w:rsidR="00A314CF" w:rsidRPr="00347044">
        <w:rPr>
          <w:noProof/>
        </w:rPr>
        <w:t>miestnej dopravy).</w:t>
      </w:r>
    </w:p>
    <w:p w14:paraId="14F94F25" w14:textId="16CF4751" w:rsidR="00A314CF" w:rsidRPr="00347044" w:rsidRDefault="002B3FEB" w:rsidP="002B3FEB">
      <w:pPr>
        <w:pStyle w:val="ManualConsidrant"/>
        <w:rPr>
          <w:noProof/>
        </w:rPr>
      </w:pPr>
      <w:r w:rsidRPr="002B3FEB">
        <w:t>(17)</w:t>
      </w:r>
      <w:r w:rsidRPr="002B3FEB">
        <w:tab/>
      </w:r>
      <w:r w:rsidR="00A314CF" w:rsidRPr="00347044">
        <w:rPr>
          <w:noProof/>
        </w:rPr>
        <w:t>S cieľom upevniť</w:t>
      </w:r>
      <w:r w:rsidR="00940F55">
        <w:rPr>
          <w:noProof/>
        </w:rPr>
        <w:t xml:space="preserve"> a </w:t>
      </w:r>
      <w:r w:rsidR="00A314CF" w:rsidRPr="00347044">
        <w:rPr>
          <w:noProof/>
        </w:rPr>
        <w:t>prehĺbiť dlhodobú</w:t>
      </w:r>
      <w:r w:rsidR="00940F55">
        <w:rPr>
          <w:noProof/>
        </w:rPr>
        <w:t xml:space="preserve"> a </w:t>
      </w:r>
      <w:r w:rsidR="00A314CF" w:rsidRPr="00347044">
        <w:rPr>
          <w:noProof/>
        </w:rPr>
        <w:t>úspešnú spoluprácu medzi EÚ</w:t>
      </w:r>
      <w:r w:rsidR="00940F55">
        <w:rPr>
          <w:noProof/>
        </w:rPr>
        <w:t xml:space="preserve"> a </w:t>
      </w:r>
      <w:r w:rsidR="00A314CF" w:rsidRPr="00347044">
        <w:rPr>
          <w:noProof/>
        </w:rPr>
        <w:t>Švajčiarskom, najmä</w:t>
      </w:r>
      <w:r w:rsidR="00940F55">
        <w:rPr>
          <w:noProof/>
        </w:rPr>
        <w:t xml:space="preserve"> v </w:t>
      </w:r>
      <w:r w:rsidR="00A314CF" w:rsidRPr="00347044">
        <w:rPr>
          <w:noProof/>
        </w:rPr>
        <w:t>oblasti výskumu</w:t>
      </w:r>
      <w:r w:rsidR="00940F55">
        <w:rPr>
          <w:noProof/>
        </w:rPr>
        <w:t xml:space="preserve"> a </w:t>
      </w:r>
      <w:r w:rsidR="00A314CF" w:rsidRPr="00347044">
        <w:rPr>
          <w:noProof/>
        </w:rPr>
        <w:t>inovácií, vzdelávania, odbornej prípravy, mládeže, športu</w:t>
      </w:r>
      <w:r w:rsidR="00940F55">
        <w:rPr>
          <w:noProof/>
        </w:rPr>
        <w:t xml:space="preserve"> a </w:t>
      </w:r>
      <w:r w:rsidR="00A314CF" w:rsidRPr="00347044">
        <w:rPr>
          <w:noProof/>
        </w:rPr>
        <w:t>kultúry, ako aj</w:t>
      </w:r>
      <w:r w:rsidR="00940F55">
        <w:rPr>
          <w:noProof/>
        </w:rPr>
        <w:t xml:space="preserve"> v </w:t>
      </w:r>
      <w:r w:rsidR="00A314CF" w:rsidRPr="00347044">
        <w:rPr>
          <w:noProof/>
        </w:rPr>
        <w:t>iných oblastiach spoločného záujmu, by dohoda mala umožniť systematickejšiu účasť Švajčiarska na programoch Únie</w:t>
      </w:r>
      <w:r w:rsidR="00940F55">
        <w:rPr>
          <w:noProof/>
        </w:rPr>
        <w:t xml:space="preserve"> v </w:t>
      </w:r>
      <w:r w:rsidR="00A314CF" w:rsidRPr="00347044">
        <w:rPr>
          <w:noProof/>
        </w:rPr>
        <w:t>budúcnosti. Touto dohodou by sa stanovili všeobecné podmienky účasti Švajčiarska na každom programe Únie.</w:t>
      </w:r>
    </w:p>
    <w:p w14:paraId="3B5E02ED" w14:textId="6B4A2737" w:rsidR="00A314CF" w:rsidRPr="00347044" w:rsidRDefault="002B3FEB" w:rsidP="002B3FEB">
      <w:pPr>
        <w:pStyle w:val="ManualConsidrant"/>
        <w:rPr>
          <w:noProof/>
        </w:rPr>
      </w:pPr>
      <w:r w:rsidRPr="002B3FEB">
        <w:t>(18)</w:t>
      </w:r>
      <w:r w:rsidRPr="002B3FEB">
        <w:tab/>
      </w:r>
      <w:r w:rsidR="0079037D" w:rsidRPr="00347044">
        <w:rPr>
          <w:noProof/>
        </w:rPr>
        <w:t>Mali by sa dohodnúť aj osobitné podmienky účasti Švajčiarska na generácii programov Únie na obdobie 2021 – 2027, najmä pokiaľ ide</w:t>
      </w:r>
      <w:r w:rsidR="00940F55">
        <w:rPr>
          <w:noProof/>
        </w:rPr>
        <w:t xml:space="preserve"> o </w:t>
      </w:r>
      <w:r w:rsidR="0079037D" w:rsidRPr="00347044">
        <w:rPr>
          <w:noProof/>
        </w:rPr>
        <w:t>výskumné</w:t>
      </w:r>
      <w:r w:rsidR="00940F55">
        <w:rPr>
          <w:noProof/>
        </w:rPr>
        <w:t xml:space="preserve"> a </w:t>
      </w:r>
      <w:r w:rsidR="0079037D" w:rsidRPr="00347044">
        <w:rPr>
          <w:noProof/>
        </w:rPr>
        <w:t>inovačné programy, činnosti Európskeho spoločného podniku pre ITER</w:t>
      </w:r>
      <w:r w:rsidR="00940F55">
        <w:rPr>
          <w:noProof/>
        </w:rPr>
        <w:t xml:space="preserve"> a </w:t>
      </w:r>
      <w:r w:rsidR="0079037D" w:rsidRPr="00347044">
        <w:rPr>
          <w:noProof/>
        </w:rPr>
        <w:t>rozvoj energie jadrovej syntézy</w:t>
      </w:r>
      <w:r w:rsidR="00940F55">
        <w:rPr>
          <w:noProof/>
        </w:rPr>
        <w:t xml:space="preserve"> a </w:t>
      </w:r>
      <w:r w:rsidR="0079037D" w:rsidRPr="00347044">
        <w:rPr>
          <w:noProof/>
        </w:rPr>
        <w:t>programy Digitálna Európa, Erasmus+, EU4Health</w:t>
      </w:r>
      <w:r w:rsidR="00940F55">
        <w:rPr>
          <w:noProof/>
        </w:rPr>
        <w:t xml:space="preserve"> a </w:t>
      </w:r>
      <w:r w:rsidR="0079037D" w:rsidRPr="00347044">
        <w:rPr>
          <w:noProof/>
        </w:rPr>
        <w:t>Copernicus.</w:t>
      </w:r>
    </w:p>
    <w:p w14:paraId="20A318B0" w14:textId="6B5D09B4" w:rsidR="00A314CF" w:rsidRPr="00347044" w:rsidRDefault="002B3FEB" w:rsidP="002B3FEB">
      <w:pPr>
        <w:pStyle w:val="ManualConsidrant"/>
        <w:rPr>
          <w:noProof/>
        </w:rPr>
      </w:pPr>
      <w:r w:rsidRPr="002B3FEB">
        <w:t>(19)</w:t>
      </w:r>
      <w:r w:rsidRPr="002B3FEB">
        <w:tab/>
      </w:r>
      <w:r w:rsidR="00A314CF" w:rsidRPr="00347044">
        <w:rPr>
          <w:noProof/>
        </w:rPr>
        <w:t>Vzhľadom na účasť Švajčiarska na vnútornom trhu EÚ</w:t>
      </w:r>
      <w:r w:rsidR="00940F55">
        <w:rPr>
          <w:noProof/>
        </w:rPr>
        <w:t xml:space="preserve"> a s </w:t>
      </w:r>
      <w:r w:rsidR="00A314CF" w:rsidRPr="00347044">
        <w:rPr>
          <w:noProof/>
        </w:rPr>
        <w:t>cieľom podporiť nepretržité</w:t>
      </w:r>
      <w:r w:rsidR="00940F55">
        <w:rPr>
          <w:noProof/>
        </w:rPr>
        <w:t xml:space="preserve"> a </w:t>
      </w:r>
      <w:r w:rsidR="00A314CF" w:rsidRPr="00347044">
        <w:rPr>
          <w:noProof/>
        </w:rPr>
        <w:t>vyvážené posilňovanie hospodárskych</w:t>
      </w:r>
      <w:r w:rsidR="00940F55">
        <w:rPr>
          <w:noProof/>
        </w:rPr>
        <w:t xml:space="preserve"> a </w:t>
      </w:r>
      <w:r w:rsidR="00A314CF" w:rsidRPr="00347044">
        <w:rPr>
          <w:noProof/>
        </w:rPr>
        <w:t>sociálnych vzťahov medzi nimi by EÚ</w:t>
      </w:r>
      <w:r w:rsidR="00940F55">
        <w:rPr>
          <w:noProof/>
        </w:rPr>
        <w:t xml:space="preserve"> a </w:t>
      </w:r>
      <w:r w:rsidR="00A314CF" w:rsidRPr="00347044">
        <w:rPr>
          <w:noProof/>
        </w:rPr>
        <w:t>Švajčiarsko mali vytvoriť nový právne záväzný mechanizmus, ktorý by umožnil pravidelný, vzájomne dohodnutý</w:t>
      </w:r>
      <w:r w:rsidR="00940F55">
        <w:rPr>
          <w:noProof/>
        </w:rPr>
        <w:t xml:space="preserve"> a </w:t>
      </w:r>
      <w:r w:rsidR="00A314CF" w:rsidRPr="00347044">
        <w:rPr>
          <w:noProof/>
        </w:rPr>
        <w:t>spravodlivý finančný príspevok Švajčiarska</w:t>
      </w:r>
      <w:r w:rsidR="00940F55">
        <w:rPr>
          <w:noProof/>
        </w:rPr>
        <w:t xml:space="preserve"> k </w:t>
      </w:r>
      <w:r w:rsidR="00A314CF" w:rsidRPr="00347044">
        <w:rPr>
          <w:noProof/>
        </w:rPr>
        <w:t>znižovaniu hospodárskych</w:t>
      </w:r>
      <w:r w:rsidR="00940F55">
        <w:rPr>
          <w:noProof/>
        </w:rPr>
        <w:t xml:space="preserve"> a </w:t>
      </w:r>
      <w:r w:rsidR="00A314CF" w:rsidRPr="00347044">
        <w:rPr>
          <w:noProof/>
        </w:rPr>
        <w:t xml:space="preserve">sociálnych rozdielov medzi ich regiónmi. Tento nový </w:t>
      </w:r>
      <w:r w:rsidR="00A314CF" w:rsidRPr="00347044">
        <w:rPr>
          <w:noProof/>
        </w:rPr>
        <w:lastRenderedPageBreak/>
        <w:t>právne záväzný mechanizmus by mal byť pripravený pre budúci viacročný finančný rámec EÚ,</w:t>
      </w:r>
    </w:p>
    <w:p w14:paraId="2BF6E291" w14:textId="77777777" w:rsidR="00A314CF" w:rsidRPr="00347044" w:rsidRDefault="00A314CF" w:rsidP="00A314CF">
      <w:pPr>
        <w:pStyle w:val="Formuledadoption"/>
        <w:spacing w:before="240"/>
        <w:rPr>
          <w:noProof/>
        </w:rPr>
      </w:pPr>
      <w:r w:rsidRPr="00347044">
        <w:rPr>
          <w:noProof/>
        </w:rPr>
        <w:t xml:space="preserve">PRIJALA TOTO ROZHODNUTIE: </w:t>
      </w:r>
    </w:p>
    <w:p w14:paraId="395EAB38" w14:textId="77777777" w:rsidR="00A314CF" w:rsidRPr="00347044" w:rsidRDefault="00A314CF" w:rsidP="005D23D4">
      <w:pPr>
        <w:pStyle w:val="Titrearticle"/>
        <w:rPr>
          <w:noProof/>
        </w:rPr>
      </w:pPr>
      <w:r w:rsidRPr="00347044">
        <w:rPr>
          <w:noProof/>
        </w:rPr>
        <w:t>Článok 1</w:t>
      </w:r>
    </w:p>
    <w:p w14:paraId="7FDB5550" w14:textId="0C74E1CC" w:rsidR="00A314CF" w:rsidRPr="00347044" w:rsidRDefault="00A314CF" w:rsidP="00A314CF">
      <w:pPr>
        <w:rPr>
          <w:noProof/>
        </w:rPr>
      </w:pPr>
      <w:r w:rsidRPr="00347044">
        <w:rPr>
          <w:noProof/>
        </w:rPr>
        <w:t>Komisia sa týmto poveruje rokovať</w:t>
      </w:r>
      <w:r w:rsidR="00940F55">
        <w:rPr>
          <w:noProof/>
        </w:rPr>
        <w:t xml:space="preserve"> v </w:t>
      </w:r>
      <w:r w:rsidRPr="00347044">
        <w:rPr>
          <w:noProof/>
        </w:rPr>
        <w:t>mene Únie so Švajčiarskou konfederáciou</w:t>
      </w:r>
      <w:r w:rsidR="00940F55">
        <w:rPr>
          <w:noProof/>
        </w:rPr>
        <w:t xml:space="preserve"> o </w:t>
      </w:r>
      <w:r w:rsidRPr="00347044">
        <w:rPr>
          <w:noProof/>
        </w:rPr>
        <w:t>rozsiahlom balíku opatrení týkajúcich sa dvojstranných vzťahov.</w:t>
      </w:r>
    </w:p>
    <w:p w14:paraId="1C64D354" w14:textId="77777777" w:rsidR="00A314CF" w:rsidRPr="00347044" w:rsidRDefault="00A314CF" w:rsidP="005D23D4">
      <w:pPr>
        <w:pStyle w:val="Titrearticle"/>
        <w:rPr>
          <w:i w:val="0"/>
          <w:iCs/>
          <w:noProof/>
        </w:rPr>
      </w:pPr>
      <w:r w:rsidRPr="00347044">
        <w:rPr>
          <w:noProof/>
        </w:rPr>
        <w:t>Článok 2</w:t>
      </w:r>
    </w:p>
    <w:p w14:paraId="630BFB54" w14:textId="1A2A0B1A" w:rsidR="00A314CF" w:rsidRPr="00347044" w:rsidRDefault="00A314CF" w:rsidP="00A314CF">
      <w:pPr>
        <w:rPr>
          <w:noProof/>
        </w:rPr>
      </w:pPr>
      <w:r w:rsidRPr="00347044">
        <w:rPr>
          <w:noProof/>
        </w:rPr>
        <w:t>Smernice na rokovania sa stanovujú</w:t>
      </w:r>
      <w:r w:rsidR="00940F55">
        <w:rPr>
          <w:noProof/>
        </w:rPr>
        <w:t xml:space="preserve"> v </w:t>
      </w:r>
      <w:r w:rsidRPr="00347044">
        <w:rPr>
          <w:noProof/>
        </w:rPr>
        <w:t>prílohe.</w:t>
      </w:r>
    </w:p>
    <w:p w14:paraId="5DB5C019" w14:textId="77777777" w:rsidR="00A314CF" w:rsidRPr="00347044" w:rsidRDefault="00A314CF" w:rsidP="005D23D4">
      <w:pPr>
        <w:pStyle w:val="Titrearticle"/>
        <w:rPr>
          <w:i w:val="0"/>
          <w:iCs/>
          <w:noProof/>
        </w:rPr>
      </w:pPr>
      <w:r w:rsidRPr="00347044">
        <w:rPr>
          <w:noProof/>
        </w:rPr>
        <w:t>Článok 3</w:t>
      </w:r>
    </w:p>
    <w:p w14:paraId="20975F38" w14:textId="34F04F5E" w:rsidR="00A314CF" w:rsidRPr="00347044" w:rsidRDefault="00A314CF" w:rsidP="00A314CF">
      <w:pPr>
        <w:rPr>
          <w:noProof/>
        </w:rPr>
      </w:pPr>
      <w:r w:rsidRPr="00347044">
        <w:rPr>
          <w:noProof/>
        </w:rPr>
        <w:t>Týmto rozhodnutím sa nahrádza</w:t>
      </w:r>
      <w:r w:rsidR="00940F55">
        <w:rPr>
          <w:noProof/>
        </w:rPr>
        <w:t xml:space="preserve"> a </w:t>
      </w:r>
      <w:r w:rsidRPr="00347044">
        <w:rPr>
          <w:noProof/>
        </w:rPr>
        <w:t>zrušuje rozhodnutie Rady 6176/14</w:t>
      </w:r>
      <w:r w:rsidR="00940F55">
        <w:rPr>
          <w:noProof/>
        </w:rPr>
        <w:t xml:space="preserve"> o </w:t>
      </w:r>
      <w:r w:rsidRPr="00347044">
        <w:rPr>
          <w:noProof/>
        </w:rPr>
        <w:t>poverení začať rokovania</w:t>
      </w:r>
      <w:r w:rsidR="00940F55">
        <w:rPr>
          <w:noProof/>
        </w:rPr>
        <w:t xml:space="preserve"> o </w:t>
      </w:r>
      <w:r w:rsidRPr="00347044">
        <w:rPr>
          <w:noProof/>
        </w:rPr>
        <w:t>dohode medzi Európskou úniou</w:t>
      </w:r>
      <w:r w:rsidR="00940F55">
        <w:rPr>
          <w:noProof/>
        </w:rPr>
        <w:t xml:space="preserve"> a </w:t>
      </w:r>
      <w:r w:rsidRPr="00347044">
        <w:rPr>
          <w:noProof/>
        </w:rPr>
        <w:t>Švajčiarskou konfederáciou</w:t>
      </w:r>
      <w:r w:rsidR="00940F55">
        <w:rPr>
          <w:noProof/>
        </w:rPr>
        <w:t xml:space="preserve"> o </w:t>
      </w:r>
      <w:r w:rsidRPr="00347044">
        <w:rPr>
          <w:noProof/>
        </w:rPr>
        <w:t>inštitucionálnom rámci, ktorým sa riadia dvojstranné vzťahy.</w:t>
      </w:r>
    </w:p>
    <w:p w14:paraId="6A2C9C8A" w14:textId="77777777" w:rsidR="00A314CF" w:rsidRPr="00347044" w:rsidRDefault="00A314CF" w:rsidP="005D23D4">
      <w:pPr>
        <w:pStyle w:val="Titrearticle"/>
        <w:rPr>
          <w:i w:val="0"/>
          <w:iCs/>
          <w:noProof/>
        </w:rPr>
      </w:pPr>
      <w:r w:rsidRPr="00347044">
        <w:rPr>
          <w:noProof/>
        </w:rPr>
        <w:t>Článok 4</w:t>
      </w:r>
    </w:p>
    <w:p w14:paraId="4C7E58FC" w14:textId="7F05DC01" w:rsidR="00A314CF" w:rsidRPr="00347044" w:rsidRDefault="00A314CF" w:rsidP="00A314CF">
      <w:pPr>
        <w:rPr>
          <w:noProof/>
        </w:rPr>
      </w:pPr>
      <w:r w:rsidRPr="00347044">
        <w:rPr>
          <w:noProof/>
        </w:rPr>
        <w:t>Rokovania sa vedú po porade</w:t>
      </w:r>
      <w:r w:rsidR="00940F55">
        <w:rPr>
          <w:noProof/>
        </w:rPr>
        <w:t xml:space="preserve"> s </w:t>
      </w:r>
      <w:r w:rsidRPr="00347044">
        <w:rPr>
          <w:noProof/>
        </w:rPr>
        <w:t>[názov osobitného výboru], ktorý koná ako osobitný výbor</w:t>
      </w:r>
      <w:r w:rsidR="00940F55">
        <w:rPr>
          <w:noProof/>
        </w:rPr>
        <w:t xml:space="preserve"> v </w:t>
      </w:r>
      <w:r w:rsidRPr="00347044">
        <w:rPr>
          <w:noProof/>
        </w:rPr>
        <w:t>súlade</w:t>
      </w:r>
      <w:r w:rsidR="00940F55">
        <w:rPr>
          <w:noProof/>
        </w:rPr>
        <w:t xml:space="preserve"> s </w:t>
      </w:r>
      <w:r w:rsidRPr="00347044">
        <w:rPr>
          <w:noProof/>
        </w:rPr>
        <w:t>článkom 218 ods. 4 ZFEÚ,</w:t>
      </w:r>
      <w:r w:rsidR="00940F55">
        <w:rPr>
          <w:noProof/>
        </w:rPr>
        <w:t xml:space="preserve"> a </w:t>
      </w:r>
      <w:r w:rsidRPr="00347044">
        <w:rPr>
          <w:noProof/>
        </w:rPr>
        <w:t>na základe smerníc uvedených</w:t>
      </w:r>
      <w:r w:rsidR="00940F55">
        <w:rPr>
          <w:noProof/>
        </w:rPr>
        <w:t xml:space="preserve"> v </w:t>
      </w:r>
      <w:r w:rsidRPr="00347044">
        <w:rPr>
          <w:noProof/>
        </w:rPr>
        <w:t>prílohe.</w:t>
      </w:r>
    </w:p>
    <w:p w14:paraId="2628A93E" w14:textId="77777777" w:rsidR="00A314CF" w:rsidRPr="00347044" w:rsidRDefault="00A314CF" w:rsidP="00472F92">
      <w:pPr>
        <w:pStyle w:val="Titrearticle"/>
        <w:rPr>
          <w:i w:val="0"/>
          <w:iCs/>
          <w:noProof/>
        </w:rPr>
      </w:pPr>
      <w:r w:rsidRPr="00347044">
        <w:rPr>
          <w:noProof/>
        </w:rPr>
        <w:t>Článok 5</w:t>
      </w:r>
    </w:p>
    <w:p w14:paraId="350D303E" w14:textId="77777777" w:rsidR="005D23D4" w:rsidRPr="00347044" w:rsidRDefault="00A314CF" w:rsidP="005D23D4">
      <w:pPr>
        <w:rPr>
          <w:noProof/>
        </w:rPr>
      </w:pPr>
      <w:r w:rsidRPr="00347044">
        <w:rPr>
          <w:noProof/>
        </w:rPr>
        <w:t>Toto rozhodnutie je určené Komisii.</w:t>
      </w:r>
      <w:bookmarkStart w:id="1" w:name="_CopyToNewDocument_"/>
      <w:bookmarkEnd w:id="1"/>
    </w:p>
    <w:p w14:paraId="5EA853C1" w14:textId="72B1F0D4" w:rsidR="005D23D4" w:rsidRPr="00347044" w:rsidRDefault="009E1F45" w:rsidP="00472F92">
      <w:pPr>
        <w:pStyle w:val="Fait"/>
        <w:rPr>
          <w:noProof/>
        </w:rPr>
      </w:pPr>
      <w:r w:rsidRPr="009E1F45">
        <w:t>V Bruseli</w:t>
      </w:r>
    </w:p>
    <w:p w14:paraId="7AA208AC" w14:textId="15F75E8C" w:rsidR="005D23D4" w:rsidRPr="00347044" w:rsidRDefault="005D23D4" w:rsidP="00472F92">
      <w:pPr>
        <w:pStyle w:val="Institutionquisigne"/>
        <w:rPr>
          <w:noProof/>
        </w:rPr>
      </w:pPr>
      <w:r w:rsidRPr="00347044">
        <w:rPr>
          <w:noProof/>
        </w:rPr>
        <w:tab/>
        <w:t>Za Radu</w:t>
      </w:r>
    </w:p>
    <w:p w14:paraId="3533AE76" w14:textId="77777777" w:rsidR="005D23D4" w:rsidRPr="00347044" w:rsidRDefault="005D23D4" w:rsidP="005D23D4">
      <w:pPr>
        <w:pStyle w:val="Personnequisigne"/>
        <w:rPr>
          <w:noProof/>
        </w:rPr>
      </w:pPr>
      <w:r w:rsidRPr="00347044">
        <w:rPr>
          <w:noProof/>
        </w:rPr>
        <w:tab/>
        <w:t>predseda/predsedníčka</w:t>
      </w:r>
    </w:p>
    <w:sectPr w:rsidR="005D23D4" w:rsidRPr="00347044" w:rsidSect="00A863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D591" w14:textId="77777777" w:rsidR="00D446DD" w:rsidRDefault="00D446DD" w:rsidP="00D446DD">
      <w:pPr>
        <w:spacing w:before="0" w:after="0"/>
      </w:pPr>
      <w:r>
        <w:separator/>
      </w:r>
    </w:p>
  </w:endnote>
  <w:endnote w:type="continuationSeparator" w:id="0">
    <w:p w14:paraId="78DDB9B7" w14:textId="77777777" w:rsidR="00D446DD" w:rsidRDefault="00D446DD" w:rsidP="00D446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00937" w14:textId="1BFF0AA8" w:rsidR="006A2814" w:rsidRPr="00A86325" w:rsidRDefault="00A86325" w:rsidP="00A86325">
    <w:pPr>
      <w:pStyle w:val="Footer"/>
      <w:rPr>
        <w:rFonts w:ascii="Arial" w:hAnsi="Arial" w:cs="Arial"/>
        <w:b/>
        <w:sz w:val="48"/>
      </w:rPr>
    </w:pPr>
    <w:r w:rsidRPr="00A86325">
      <w:rPr>
        <w:rFonts w:ascii="Arial" w:hAnsi="Arial" w:cs="Arial"/>
        <w:b/>
        <w:sz w:val="48"/>
      </w:rPr>
      <w:t>SK</w:t>
    </w:r>
    <w:r w:rsidRPr="00A86325">
      <w:rPr>
        <w:rFonts w:ascii="Arial" w:hAnsi="Arial" w:cs="Arial"/>
        <w:b/>
        <w:sz w:val="48"/>
      </w:rPr>
      <w:tab/>
    </w:r>
    <w:r w:rsidRPr="00A86325">
      <w:rPr>
        <w:rFonts w:ascii="Arial" w:hAnsi="Arial" w:cs="Arial"/>
        <w:b/>
        <w:sz w:val="48"/>
      </w:rPr>
      <w:tab/>
    </w:r>
    <w:r w:rsidRPr="00A86325">
      <w:tab/>
    </w:r>
    <w:r w:rsidRPr="00A86325">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F8AB" w14:textId="21342F0A" w:rsidR="00A86325" w:rsidRPr="00A86325" w:rsidRDefault="00A86325" w:rsidP="00A86325">
    <w:pPr>
      <w:pStyle w:val="Footer"/>
      <w:rPr>
        <w:rFonts w:ascii="Arial" w:hAnsi="Arial" w:cs="Arial"/>
        <w:b/>
        <w:sz w:val="48"/>
      </w:rPr>
    </w:pPr>
    <w:r w:rsidRPr="00A86325">
      <w:rPr>
        <w:rFonts w:ascii="Arial" w:hAnsi="Arial" w:cs="Arial"/>
        <w:b/>
        <w:sz w:val="48"/>
      </w:rPr>
      <w:t>SK</w:t>
    </w:r>
    <w:r w:rsidRPr="00A86325">
      <w:rPr>
        <w:rFonts w:ascii="Arial" w:hAnsi="Arial" w:cs="Arial"/>
        <w:b/>
        <w:sz w:val="48"/>
      </w:rPr>
      <w:tab/>
    </w:r>
    <w:r>
      <w:fldChar w:fldCharType="begin"/>
    </w:r>
    <w:r>
      <w:instrText xml:space="preserve"> PAGE  \* MERGEFORMAT </w:instrText>
    </w:r>
    <w:r>
      <w:fldChar w:fldCharType="separate"/>
    </w:r>
    <w:r w:rsidR="00472F92">
      <w:rPr>
        <w:noProof/>
      </w:rPr>
      <w:t>10</w:t>
    </w:r>
    <w:r>
      <w:fldChar w:fldCharType="end"/>
    </w:r>
    <w:r>
      <w:tab/>
    </w:r>
    <w:r w:rsidRPr="00A86325">
      <w:tab/>
    </w:r>
    <w:r w:rsidRPr="00A86325">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2AB14" w14:textId="77777777" w:rsidR="00A86325" w:rsidRPr="00A86325" w:rsidRDefault="00A86325" w:rsidP="00A8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4CF0" w14:textId="77777777" w:rsidR="00D446DD" w:rsidRDefault="00D446DD" w:rsidP="00D446DD">
      <w:pPr>
        <w:spacing w:before="0" w:after="0"/>
      </w:pPr>
      <w:r>
        <w:separator/>
      </w:r>
    </w:p>
  </w:footnote>
  <w:footnote w:type="continuationSeparator" w:id="0">
    <w:p w14:paraId="64D40C7B" w14:textId="77777777" w:rsidR="00D446DD" w:rsidRDefault="00D446DD" w:rsidP="00D446DD">
      <w:pPr>
        <w:spacing w:before="0" w:after="0"/>
      </w:pPr>
      <w:r>
        <w:continuationSeparator/>
      </w:r>
    </w:p>
  </w:footnote>
  <w:footnote w:id="1">
    <w:p w14:paraId="5322B027" w14:textId="77777777" w:rsidR="00EE5C03" w:rsidRPr="00A31546" w:rsidRDefault="00EE5C03" w:rsidP="00EE5C03">
      <w:pPr>
        <w:pStyle w:val="FootnoteText"/>
      </w:pPr>
      <w:r>
        <w:rPr>
          <w:rStyle w:val="FootnoteReference"/>
        </w:rPr>
        <w:footnoteRef/>
      </w:r>
      <w:r>
        <w:tab/>
        <w:t>Dohoda o leteckej doprave, dohoda o železničnej a cestnej preprave tovaru a osôb, dohoda o voľnom pohybe osôb, dohoda o vzájomnom uznávaní vo vzťahu k posudzovaniu zhody, dohoda o obchode s poľnohospodárskymi výrobkami, všetky podpísané 21. júna 1999.</w:t>
      </w:r>
    </w:p>
  </w:footnote>
  <w:footnote w:id="2">
    <w:p w14:paraId="74CCBA81" w14:textId="78BF0BFE" w:rsidR="00576E89" w:rsidRPr="0049446F" w:rsidRDefault="00576E89" w:rsidP="00576E89">
      <w:pPr>
        <w:pStyle w:val="FootnoteText"/>
      </w:pPr>
      <w:r>
        <w:rPr>
          <w:rStyle w:val="FootnoteReference"/>
        </w:rPr>
        <w:footnoteRef/>
      </w:r>
      <w:r>
        <w:tab/>
        <w:t>Rozhodnutie Rady 6176/14 o poverení začať rokovania o dohode medzi Európskou úniou a Švajčiarskou konfederáciou o inštitucionálnom rámci, ktorým sa riadia dvojstranné vzťahy</w:t>
      </w:r>
    </w:p>
  </w:footnote>
  <w:footnote w:id="3">
    <w:p w14:paraId="6D1BEE1B" w14:textId="77777777" w:rsidR="00576E89" w:rsidRPr="00A5062A" w:rsidRDefault="00576E89" w:rsidP="00576E89">
      <w:pPr>
        <w:pStyle w:val="FootnoteText"/>
      </w:pPr>
      <w:r>
        <w:rPr>
          <w:rStyle w:val="FootnoteReference"/>
        </w:rPr>
        <w:footnoteRef/>
      </w:r>
      <w:r>
        <w:tab/>
        <w:t>Pracovná skupina pre Európske združenie voľného obchodu.</w:t>
      </w:r>
    </w:p>
  </w:footnote>
  <w:footnote w:id="4">
    <w:p w14:paraId="638A7CC4" w14:textId="77777777" w:rsidR="00576E89" w:rsidRPr="00E91A9A" w:rsidRDefault="00576E89" w:rsidP="00576E89">
      <w:pPr>
        <w:pStyle w:val="FootnoteText"/>
      </w:pPr>
      <w:r>
        <w:rPr>
          <w:rStyle w:val="FootnoteReference"/>
        </w:rPr>
        <w:footnoteRef/>
      </w:r>
      <w:r>
        <w:tab/>
        <w:t>Výbor pre zahraničné veci (výbor AFET) a Delegácia pre severnú spoluprácu a pre vzťahy so Švajčiarskom a Nórskom, pri Spoločnom parlamentnom výbore EÚ – Island a pri Spoločnom parlamentnom výbore Európskeho hospodárskeho priestoru (EHP) (delegácia DEEA).</w:t>
      </w:r>
    </w:p>
  </w:footnote>
  <w:footnote w:id="5">
    <w:p w14:paraId="52E147E3" w14:textId="183AFA6E" w:rsidR="0049446F" w:rsidRPr="0049446F" w:rsidRDefault="0049446F">
      <w:pPr>
        <w:pStyle w:val="FootnoteText"/>
      </w:pPr>
      <w:r>
        <w:rPr>
          <w:rStyle w:val="FootnoteReference"/>
        </w:rPr>
        <w:footnoteRef/>
      </w:r>
      <w:r>
        <w:tab/>
        <w:t>Smernica Európskeho parlamentu a Rady 2004/38/ES o práve občanov Únie a ich rodinných príslušníkov voľne sa pohybovať a zdržiavať sa v rámci územia členských štátov, ktorá mení a dopĺňa nariadenie (EHS) 1612/68 a ruší smernice 64/221/EHS, 68/360/EHS, 72/194/EHS, 73/148/EHS, 75/34/EHS, 75/35/EHS, 90/364/EHS, 90/365/EHS a 93/96/EHS (Ú. v. ES L 158, 30.4.2004, s. 77).</w:t>
      </w:r>
    </w:p>
  </w:footnote>
  <w:footnote w:id="6">
    <w:p w14:paraId="278FC3C1" w14:textId="6A1CD823" w:rsidR="0049446F" w:rsidRPr="0049446F" w:rsidRDefault="0049446F">
      <w:pPr>
        <w:pStyle w:val="FootnoteText"/>
      </w:pPr>
      <w:r>
        <w:rPr>
          <w:rStyle w:val="FootnoteReference"/>
        </w:rPr>
        <w:footnoteRef/>
      </w:r>
      <w:r>
        <w:tab/>
        <w:t>Smernica 96/71/ES Európskeho parlamentu a Rady zo 16. decembra 1996 o vysielaní pracovníkov v rámci poskytovania služieb (Ú. v. ES L 018 21.1.1997, s. 1).</w:t>
      </w:r>
    </w:p>
  </w:footnote>
  <w:footnote w:id="7">
    <w:p w14:paraId="5155995B" w14:textId="77777777" w:rsidR="00A314CF" w:rsidRPr="00A16824" w:rsidRDefault="00A314CF" w:rsidP="00A314CF">
      <w:pPr>
        <w:pStyle w:val="FootnoteText"/>
      </w:pPr>
      <w:r>
        <w:rPr>
          <w:rStyle w:val="FootnoteReference"/>
        </w:rPr>
        <w:footnoteRef/>
      </w:r>
      <w:r>
        <w:tab/>
        <w:t>Ú. v. ES L 114, 30.4.2002, s. 6.</w:t>
      </w:r>
    </w:p>
  </w:footnote>
  <w:footnote w:id="8">
    <w:p w14:paraId="5BE91485" w14:textId="77777777" w:rsidR="00A314CF" w:rsidRPr="00A16824" w:rsidRDefault="00A314CF" w:rsidP="00A314CF">
      <w:pPr>
        <w:pStyle w:val="FootnoteText"/>
      </w:pPr>
      <w:r>
        <w:rPr>
          <w:rStyle w:val="FootnoteReference"/>
        </w:rPr>
        <w:footnoteRef/>
      </w:r>
      <w:r>
        <w:tab/>
        <w:t>Ú. v. ES L 114, 30.4.2002, s. 73.</w:t>
      </w:r>
    </w:p>
  </w:footnote>
  <w:footnote w:id="9">
    <w:p w14:paraId="17C511B4" w14:textId="77777777" w:rsidR="00A314CF" w:rsidRPr="00A16824" w:rsidRDefault="00A314CF" w:rsidP="00A314CF">
      <w:pPr>
        <w:pStyle w:val="FootnoteText"/>
      </w:pPr>
      <w:r>
        <w:rPr>
          <w:rStyle w:val="FootnoteReference"/>
        </w:rPr>
        <w:footnoteRef/>
      </w:r>
      <w:r>
        <w:tab/>
        <w:t>Ú. v. ES L 114, 30.4.2002, s. 91.</w:t>
      </w:r>
    </w:p>
  </w:footnote>
  <w:footnote w:id="10">
    <w:p w14:paraId="7E44E2A1" w14:textId="77777777" w:rsidR="00A314CF" w:rsidRPr="00010773" w:rsidRDefault="00A314CF" w:rsidP="00A314CF">
      <w:pPr>
        <w:pStyle w:val="FootnoteText"/>
      </w:pPr>
      <w:r>
        <w:rPr>
          <w:rStyle w:val="FootnoteReference"/>
        </w:rPr>
        <w:footnoteRef/>
      </w:r>
      <w:r>
        <w:tab/>
        <w:t>Ú. v. ES L 114, 30.4.2002, s. 132.</w:t>
      </w:r>
    </w:p>
  </w:footnote>
  <w:footnote w:id="11">
    <w:p w14:paraId="33B73C31" w14:textId="77777777" w:rsidR="00A314CF" w:rsidRPr="00010773" w:rsidRDefault="00A314CF" w:rsidP="00A314CF">
      <w:pPr>
        <w:pStyle w:val="FootnoteText"/>
      </w:pPr>
      <w:r>
        <w:rPr>
          <w:rStyle w:val="FootnoteReference"/>
        </w:rPr>
        <w:footnoteRef/>
      </w:r>
      <w:r>
        <w:tab/>
        <w:t>Ú. v. ES L 114, 30.4.2002, s. 369.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24E2E2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55223A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48A75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6E41AF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num>
  <w:num w:numId="2">
    <w:abstractNumId w:val="3"/>
  </w:num>
  <w:num w:numId="3">
    <w:abstractNumId w:val="2"/>
  </w:num>
  <w:num w:numId="4">
    <w:abstractNumId w:val="1"/>
  </w:num>
  <w:num w:numId="5">
    <w:abstractNumId w:val="0"/>
  </w:num>
  <w:num w:numId="6">
    <w:abstractNumId w:val="8"/>
  </w:num>
  <w:num w:numId="7">
    <w:abstractNumId w:val="18"/>
    <w:lvlOverride w:ilvl="0">
      <w:startOverride w:val="1"/>
    </w:lvlOverride>
  </w:num>
  <w:num w:numId="8">
    <w:abstractNumId w:val="15"/>
  </w:num>
  <w:num w:numId="9">
    <w:abstractNumId w:val="8"/>
  </w:num>
  <w:num w:numId="10">
    <w:abstractNumId w:val="17"/>
  </w:num>
  <w:num w:numId="11">
    <w:abstractNumId w:val="7"/>
  </w:num>
  <w:num w:numId="12">
    <w:abstractNumId w:val="9"/>
  </w:num>
  <w:num w:numId="13">
    <w:abstractNumId w:val="10"/>
  </w:num>
  <w:num w:numId="14">
    <w:abstractNumId w:val="5"/>
  </w:num>
  <w:num w:numId="15">
    <w:abstractNumId w:val="16"/>
  </w:num>
  <w:num w:numId="16">
    <w:abstractNumId w:val="4"/>
  </w:num>
  <w:num w:numId="17">
    <w:abstractNumId w:val="11"/>
  </w:num>
  <w:num w:numId="18">
    <w:abstractNumId w:val="13"/>
  </w:num>
  <w:num w:numId="19">
    <w:abstractNumId w:val="14"/>
  </w:num>
  <w:num w:numId="20">
    <w:abstractNumId w:val="6"/>
  </w:num>
  <w:num w:numId="21">
    <w:abstractNumId w:val="1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1-09 09:44:5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A3A453D-8BB6-4143-96AE-EAFF907608BA"/>
    <w:docVar w:name="LW_COVERPAGE_TYPE" w:val="1"/>
    <w:docVar w:name="LW_CROSSREFERENCE" w:val="&lt;UNUSED&gt;"/>
    <w:docVar w:name="LW_DocType" w:val="COM"/>
    <w:docVar w:name="LW_EMISSION" w:val="20. 12. 2023"/>
    <w:docVar w:name="LW_EMISSION_ISODATE" w:val="2023-12-20"/>
    <w:docVar w:name="LW_EMISSION_LOCATION" w:val="BRX"/>
    <w:docVar w:name="LW_EMISSION_PREFIX" w:val="V Bruseli"/>
    <w:docVar w:name="LW_EMISSION_SUFFIX" w:val=" "/>
    <w:docVar w:name="LW_ID_DOCMODEL" w:val="SG-001"/>
    <w:docVar w:name="LW_ID_DOCSIGNATURE" w:val="SG-001"/>
    <w:docVar w:name="LW_ID_DOCSTRUCTURE" w:val="COM/PL/ORG/NOEEA"/>
    <w:docVar w:name="LW_ID_DOCTYPE" w:val="SG-001"/>
    <w:docVar w:name="LW_ID_STATUT" w:val="SG-001"/>
    <w:docVar w:name="LW_INSERT_EXP.MOTIFS.NEW" w:val="1"/>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3)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Odporúčanie"/>
    <w:docVar w:name="LW_SUPERTITRE" w:val="&lt;UNUSED&gt;"/>
    <w:docVar w:name="LW_TITRE.OBJ.CP" w:val="o poverení začať rokovania medzi Európskou úniou a Švajčiarskou konfederáciou o inštitucionálnych riešeniach pre dohody medzi EÚ a Švajčiarskom týkajúce sa vnútorného trhu, o dohodách, ktoré tvoria základ pre trvalý príspevok Švajčiarska k súdržnosti Únie a pre pridruženie Švajčiarska k programom Únie"/>
    <w:docVar w:name="LW_TYPE.DOC.CP" w:val="ROZHODNUTIE RADY"/>
    <w:docVar w:name="LwApiVersions" w:val="LW4CoDe 1.23.2.0; LW 8.0, Build 20211117"/>
  </w:docVars>
  <w:rsids>
    <w:rsidRoot w:val="00D446DD"/>
    <w:rsid w:val="00010773"/>
    <w:rsid w:val="0001311A"/>
    <w:rsid w:val="00013614"/>
    <w:rsid w:val="000137EC"/>
    <w:rsid w:val="0004058F"/>
    <w:rsid w:val="00095553"/>
    <w:rsid w:val="000B05DA"/>
    <w:rsid w:val="000E71D4"/>
    <w:rsid w:val="000F195D"/>
    <w:rsid w:val="001065F5"/>
    <w:rsid w:val="00112B38"/>
    <w:rsid w:val="001161F0"/>
    <w:rsid w:val="001238EF"/>
    <w:rsid w:val="00134372"/>
    <w:rsid w:val="00137248"/>
    <w:rsid w:val="00142230"/>
    <w:rsid w:val="00145963"/>
    <w:rsid w:val="00156AAE"/>
    <w:rsid w:val="00164444"/>
    <w:rsid w:val="00197147"/>
    <w:rsid w:val="00197613"/>
    <w:rsid w:val="00197825"/>
    <w:rsid w:val="001A2036"/>
    <w:rsid w:val="001D1259"/>
    <w:rsid w:val="001E0F55"/>
    <w:rsid w:val="00203821"/>
    <w:rsid w:val="00206B2D"/>
    <w:rsid w:val="00212A74"/>
    <w:rsid w:val="00213252"/>
    <w:rsid w:val="002133CF"/>
    <w:rsid w:val="00217CED"/>
    <w:rsid w:val="00227CAF"/>
    <w:rsid w:val="002309BD"/>
    <w:rsid w:val="00232E0F"/>
    <w:rsid w:val="00233DC7"/>
    <w:rsid w:val="0024080B"/>
    <w:rsid w:val="00241938"/>
    <w:rsid w:val="00247779"/>
    <w:rsid w:val="002553B8"/>
    <w:rsid w:val="00273FF9"/>
    <w:rsid w:val="00283ACF"/>
    <w:rsid w:val="00285BEE"/>
    <w:rsid w:val="0029533F"/>
    <w:rsid w:val="002A622E"/>
    <w:rsid w:val="002A7E6C"/>
    <w:rsid w:val="002B30AF"/>
    <w:rsid w:val="002B3FEB"/>
    <w:rsid w:val="002C0BC2"/>
    <w:rsid w:val="002C1534"/>
    <w:rsid w:val="003017E5"/>
    <w:rsid w:val="003314CB"/>
    <w:rsid w:val="0033344A"/>
    <w:rsid w:val="00336E64"/>
    <w:rsid w:val="003469A3"/>
    <w:rsid w:val="00347044"/>
    <w:rsid w:val="00361A53"/>
    <w:rsid w:val="003648CB"/>
    <w:rsid w:val="003719BB"/>
    <w:rsid w:val="00391DA5"/>
    <w:rsid w:val="003A10DC"/>
    <w:rsid w:val="003A3C8D"/>
    <w:rsid w:val="003C3D19"/>
    <w:rsid w:val="003C7649"/>
    <w:rsid w:val="003E3198"/>
    <w:rsid w:val="00401A0E"/>
    <w:rsid w:val="0040451C"/>
    <w:rsid w:val="00410D79"/>
    <w:rsid w:val="00413A21"/>
    <w:rsid w:val="0042648E"/>
    <w:rsid w:val="0042676F"/>
    <w:rsid w:val="004354B4"/>
    <w:rsid w:val="00472F92"/>
    <w:rsid w:val="00474A5C"/>
    <w:rsid w:val="00475C2B"/>
    <w:rsid w:val="00477185"/>
    <w:rsid w:val="004936D2"/>
    <w:rsid w:val="0049446F"/>
    <w:rsid w:val="004A1CCC"/>
    <w:rsid w:val="004D09B2"/>
    <w:rsid w:val="004D69DD"/>
    <w:rsid w:val="00503A49"/>
    <w:rsid w:val="00511606"/>
    <w:rsid w:val="005220A6"/>
    <w:rsid w:val="0052550D"/>
    <w:rsid w:val="005470C1"/>
    <w:rsid w:val="00562F91"/>
    <w:rsid w:val="00572B51"/>
    <w:rsid w:val="00574DA8"/>
    <w:rsid w:val="00576E89"/>
    <w:rsid w:val="0058165D"/>
    <w:rsid w:val="005953C3"/>
    <w:rsid w:val="005A42D6"/>
    <w:rsid w:val="005B1EB6"/>
    <w:rsid w:val="005B2E8B"/>
    <w:rsid w:val="005C0DDF"/>
    <w:rsid w:val="005C3167"/>
    <w:rsid w:val="005D23D4"/>
    <w:rsid w:val="005F0F19"/>
    <w:rsid w:val="0060063E"/>
    <w:rsid w:val="00622A1E"/>
    <w:rsid w:val="00665448"/>
    <w:rsid w:val="00674BD3"/>
    <w:rsid w:val="00676B55"/>
    <w:rsid w:val="006839A9"/>
    <w:rsid w:val="00684D1A"/>
    <w:rsid w:val="00687090"/>
    <w:rsid w:val="00691FD4"/>
    <w:rsid w:val="00694E3E"/>
    <w:rsid w:val="006A2814"/>
    <w:rsid w:val="006D1F09"/>
    <w:rsid w:val="006F399F"/>
    <w:rsid w:val="00722E92"/>
    <w:rsid w:val="0074206B"/>
    <w:rsid w:val="00756954"/>
    <w:rsid w:val="00761336"/>
    <w:rsid w:val="007641DD"/>
    <w:rsid w:val="00773331"/>
    <w:rsid w:val="0079037D"/>
    <w:rsid w:val="007932EF"/>
    <w:rsid w:val="007A01F6"/>
    <w:rsid w:val="007D1BA3"/>
    <w:rsid w:val="007E05B0"/>
    <w:rsid w:val="007E291B"/>
    <w:rsid w:val="007F59B1"/>
    <w:rsid w:val="00806997"/>
    <w:rsid w:val="00811288"/>
    <w:rsid w:val="00822166"/>
    <w:rsid w:val="00824A51"/>
    <w:rsid w:val="00826392"/>
    <w:rsid w:val="00836FC1"/>
    <w:rsid w:val="008525E6"/>
    <w:rsid w:val="00873B91"/>
    <w:rsid w:val="00874D22"/>
    <w:rsid w:val="00884C69"/>
    <w:rsid w:val="00884D3B"/>
    <w:rsid w:val="008A2914"/>
    <w:rsid w:val="008A2EF4"/>
    <w:rsid w:val="008C5943"/>
    <w:rsid w:val="008E4D8E"/>
    <w:rsid w:val="00901148"/>
    <w:rsid w:val="0090541F"/>
    <w:rsid w:val="00920208"/>
    <w:rsid w:val="009335A4"/>
    <w:rsid w:val="00940F55"/>
    <w:rsid w:val="0095386C"/>
    <w:rsid w:val="00970421"/>
    <w:rsid w:val="0098068B"/>
    <w:rsid w:val="00985C8C"/>
    <w:rsid w:val="0099474F"/>
    <w:rsid w:val="009A302A"/>
    <w:rsid w:val="009C7569"/>
    <w:rsid w:val="009E0E73"/>
    <w:rsid w:val="009E1F45"/>
    <w:rsid w:val="009E7F2F"/>
    <w:rsid w:val="00A0267B"/>
    <w:rsid w:val="00A20C63"/>
    <w:rsid w:val="00A27BAE"/>
    <w:rsid w:val="00A314CF"/>
    <w:rsid w:val="00A5062A"/>
    <w:rsid w:val="00A50D72"/>
    <w:rsid w:val="00A700F0"/>
    <w:rsid w:val="00A71433"/>
    <w:rsid w:val="00A76725"/>
    <w:rsid w:val="00A8316E"/>
    <w:rsid w:val="00A86325"/>
    <w:rsid w:val="00AA4F65"/>
    <w:rsid w:val="00AB42D7"/>
    <w:rsid w:val="00AC55DF"/>
    <w:rsid w:val="00AD04B6"/>
    <w:rsid w:val="00AD4469"/>
    <w:rsid w:val="00AE5D4E"/>
    <w:rsid w:val="00AF7F63"/>
    <w:rsid w:val="00B047EF"/>
    <w:rsid w:val="00B062CA"/>
    <w:rsid w:val="00B34D92"/>
    <w:rsid w:val="00B8753C"/>
    <w:rsid w:val="00BA3AC1"/>
    <w:rsid w:val="00BB4A0B"/>
    <w:rsid w:val="00BB6C2F"/>
    <w:rsid w:val="00BC43E6"/>
    <w:rsid w:val="00BC665F"/>
    <w:rsid w:val="00BD5138"/>
    <w:rsid w:val="00BE43C5"/>
    <w:rsid w:val="00C063DE"/>
    <w:rsid w:val="00C06928"/>
    <w:rsid w:val="00C12301"/>
    <w:rsid w:val="00C262B1"/>
    <w:rsid w:val="00C314D6"/>
    <w:rsid w:val="00C535D6"/>
    <w:rsid w:val="00C57E67"/>
    <w:rsid w:val="00C623D2"/>
    <w:rsid w:val="00C6419E"/>
    <w:rsid w:val="00CA114E"/>
    <w:rsid w:val="00CB39CD"/>
    <w:rsid w:val="00CB3E08"/>
    <w:rsid w:val="00CB5A78"/>
    <w:rsid w:val="00CD4A3F"/>
    <w:rsid w:val="00CF3396"/>
    <w:rsid w:val="00D00337"/>
    <w:rsid w:val="00D058C9"/>
    <w:rsid w:val="00D15600"/>
    <w:rsid w:val="00D20381"/>
    <w:rsid w:val="00D21093"/>
    <w:rsid w:val="00D215F2"/>
    <w:rsid w:val="00D2213D"/>
    <w:rsid w:val="00D32E61"/>
    <w:rsid w:val="00D371CF"/>
    <w:rsid w:val="00D446DD"/>
    <w:rsid w:val="00D65D14"/>
    <w:rsid w:val="00D749FC"/>
    <w:rsid w:val="00D830B1"/>
    <w:rsid w:val="00D907FB"/>
    <w:rsid w:val="00D945ED"/>
    <w:rsid w:val="00D96AD3"/>
    <w:rsid w:val="00DC1F5D"/>
    <w:rsid w:val="00DC4A66"/>
    <w:rsid w:val="00DC5FE1"/>
    <w:rsid w:val="00E005B5"/>
    <w:rsid w:val="00E1436E"/>
    <w:rsid w:val="00E14508"/>
    <w:rsid w:val="00E16B7C"/>
    <w:rsid w:val="00E3745F"/>
    <w:rsid w:val="00E3789C"/>
    <w:rsid w:val="00E52659"/>
    <w:rsid w:val="00E63C5F"/>
    <w:rsid w:val="00E831C6"/>
    <w:rsid w:val="00E91A9A"/>
    <w:rsid w:val="00EB7080"/>
    <w:rsid w:val="00EC0097"/>
    <w:rsid w:val="00EC1BEA"/>
    <w:rsid w:val="00EE5C03"/>
    <w:rsid w:val="00F0709A"/>
    <w:rsid w:val="00F133E0"/>
    <w:rsid w:val="00F44062"/>
    <w:rsid w:val="00F705A9"/>
    <w:rsid w:val="00F70816"/>
    <w:rsid w:val="00F72198"/>
    <w:rsid w:val="00F72418"/>
    <w:rsid w:val="00F820EE"/>
    <w:rsid w:val="00FA2981"/>
    <w:rsid w:val="00FA6DE1"/>
    <w:rsid w:val="00FC38F8"/>
    <w:rsid w:val="00FD61D8"/>
    <w:rsid w:val="00FE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103585D"/>
  <w15:docId w15:val="{7BEF06AA-B2A0-495F-83CD-2504F444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114E"/>
    <w:rPr>
      <w:sz w:val="16"/>
      <w:szCs w:val="16"/>
    </w:rPr>
  </w:style>
  <w:style w:type="paragraph" w:styleId="CommentText">
    <w:name w:val="annotation text"/>
    <w:basedOn w:val="Normal"/>
    <w:link w:val="CommentTextChar"/>
    <w:uiPriority w:val="99"/>
    <w:unhideWhenUsed/>
    <w:rsid w:val="00CA114E"/>
    <w:rPr>
      <w:sz w:val="20"/>
      <w:szCs w:val="20"/>
    </w:rPr>
  </w:style>
  <w:style w:type="character" w:customStyle="1" w:styleId="CommentTextChar">
    <w:name w:val="Comment Text Char"/>
    <w:basedOn w:val="DefaultParagraphFont"/>
    <w:link w:val="CommentText"/>
    <w:uiPriority w:val="99"/>
    <w:rsid w:val="00CA114E"/>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CA114E"/>
    <w:rPr>
      <w:b/>
      <w:bCs/>
    </w:rPr>
  </w:style>
  <w:style w:type="character" w:customStyle="1" w:styleId="CommentSubjectChar">
    <w:name w:val="Comment Subject Char"/>
    <w:basedOn w:val="CommentTextChar"/>
    <w:link w:val="CommentSubject"/>
    <w:uiPriority w:val="99"/>
    <w:semiHidden/>
    <w:rsid w:val="00CA114E"/>
    <w:rPr>
      <w:rFonts w:ascii="Times New Roman" w:hAnsi="Times New Roman" w:cs="Times New Roman"/>
      <w:b/>
      <w:bCs/>
      <w:sz w:val="20"/>
      <w:szCs w:val="20"/>
      <w:lang w:val="sk-SK"/>
    </w:rPr>
  </w:style>
  <w:style w:type="character" w:styleId="Hyperlink">
    <w:name w:val="Hyperlink"/>
    <w:basedOn w:val="DefaultParagraphFont"/>
    <w:uiPriority w:val="99"/>
    <w:unhideWhenUsed/>
    <w:rsid w:val="00CA114E"/>
    <w:rPr>
      <w:color w:val="0000FF" w:themeColor="hyperlink"/>
      <w:u w:val="single"/>
    </w:rPr>
  </w:style>
  <w:style w:type="character" w:customStyle="1" w:styleId="UnresolvedMention">
    <w:name w:val="Unresolved Mention"/>
    <w:basedOn w:val="DefaultParagraphFont"/>
    <w:uiPriority w:val="99"/>
    <w:semiHidden/>
    <w:unhideWhenUsed/>
    <w:rsid w:val="00CA114E"/>
    <w:rPr>
      <w:color w:val="605E5C"/>
      <w:shd w:val="clear" w:color="auto" w:fill="E1DFDD"/>
    </w:rPr>
  </w:style>
  <w:style w:type="paragraph" w:styleId="Revision">
    <w:name w:val="Revision"/>
    <w:hidden/>
    <w:uiPriority w:val="99"/>
    <w:semiHidden/>
    <w:rsid w:val="00CA114E"/>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D65D14"/>
    <w:pPr>
      <w:numPr>
        <w:numId w:val="2"/>
      </w:numPr>
      <w:contextualSpacing/>
    </w:pPr>
  </w:style>
  <w:style w:type="paragraph" w:styleId="ListBullet2">
    <w:name w:val="List Bullet 2"/>
    <w:basedOn w:val="Normal"/>
    <w:uiPriority w:val="99"/>
    <w:semiHidden/>
    <w:unhideWhenUsed/>
    <w:rsid w:val="00D65D14"/>
    <w:pPr>
      <w:numPr>
        <w:numId w:val="3"/>
      </w:numPr>
      <w:contextualSpacing/>
    </w:pPr>
  </w:style>
  <w:style w:type="paragraph" w:styleId="ListBullet3">
    <w:name w:val="List Bullet 3"/>
    <w:basedOn w:val="Normal"/>
    <w:uiPriority w:val="99"/>
    <w:semiHidden/>
    <w:unhideWhenUsed/>
    <w:rsid w:val="00D65D14"/>
    <w:pPr>
      <w:numPr>
        <w:numId w:val="4"/>
      </w:numPr>
      <w:contextualSpacing/>
    </w:pPr>
  </w:style>
  <w:style w:type="paragraph" w:styleId="ListBullet4">
    <w:name w:val="List Bullet 4"/>
    <w:basedOn w:val="Normal"/>
    <w:uiPriority w:val="99"/>
    <w:semiHidden/>
    <w:unhideWhenUsed/>
    <w:rsid w:val="00D65D14"/>
    <w:pPr>
      <w:numPr>
        <w:numId w:val="5"/>
      </w:numPr>
      <w:contextualSpacing/>
    </w:pPr>
  </w:style>
  <w:style w:type="paragraph" w:styleId="Header">
    <w:name w:val="header"/>
    <w:basedOn w:val="Normal"/>
    <w:link w:val="HeaderChar"/>
    <w:uiPriority w:val="99"/>
    <w:unhideWhenUsed/>
    <w:rsid w:val="00A86325"/>
    <w:pPr>
      <w:tabs>
        <w:tab w:val="center" w:pos="4535"/>
        <w:tab w:val="right" w:pos="9071"/>
      </w:tabs>
      <w:spacing w:before="0"/>
    </w:pPr>
  </w:style>
  <w:style w:type="character" w:customStyle="1" w:styleId="HeaderChar">
    <w:name w:val="Header Char"/>
    <w:basedOn w:val="DefaultParagraphFont"/>
    <w:link w:val="Header"/>
    <w:uiPriority w:val="99"/>
    <w:rsid w:val="00A86325"/>
    <w:rPr>
      <w:rFonts w:ascii="Times New Roman" w:hAnsi="Times New Roman" w:cs="Times New Roman"/>
      <w:sz w:val="24"/>
      <w:lang w:val="sk-SK"/>
    </w:rPr>
  </w:style>
  <w:style w:type="paragraph" w:styleId="Footer">
    <w:name w:val="footer"/>
    <w:basedOn w:val="Normal"/>
    <w:link w:val="FooterChar"/>
    <w:uiPriority w:val="99"/>
    <w:unhideWhenUsed/>
    <w:rsid w:val="00A8632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86325"/>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86325"/>
    <w:pPr>
      <w:tabs>
        <w:tab w:val="center" w:pos="7285"/>
        <w:tab w:val="right" w:pos="14003"/>
      </w:tabs>
      <w:spacing w:before="0"/>
    </w:pPr>
  </w:style>
  <w:style w:type="paragraph" w:customStyle="1" w:styleId="FooterLandscape">
    <w:name w:val="FooterLandscape"/>
    <w:basedOn w:val="Normal"/>
    <w:rsid w:val="00A8632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8632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86325"/>
    <w:pPr>
      <w:spacing w:before="0"/>
      <w:jc w:val="right"/>
    </w:pPr>
    <w:rPr>
      <w:sz w:val="28"/>
    </w:rPr>
  </w:style>
  <w:style w:type="paragraph" w:customStyle="1" w:styleId="FooterSensitivity">
    <w:name w:val="Footer Sensitivity"/>
    <w:basedOn w:val="Normal"/>
    <w:rsid w:val="00A8632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ret5">
    <w:name w:val="Tiret 5"/>
    <w:basedOn w:val="Point5"/>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AF79-C1DD-404A-9CA7-EC7AF308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22</TotalTime>
  <Pages>11</Pages>
  <Words>3627</Words>
  <Characters>22091</Characters>
  <Application>Microsoft Office Word</Application>
  <DocSecurity>0</DocSecurity>
  <Lines>394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cp:lastPrinted>2023-11-29T11:07:00Z</cp:lastPrinted>
  <dcterms:created xsi:type="dcterms:W3CDTF">2023-12-05T10:59:00Z</dcterms:created>
  <dcterms:modified xsi:type="dcterms:W3CDTF">2024-01-09T08:44:00Z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MSIP_Label_6bd9ddd1-4d20-43f6-abfa-fc3c07406f94_Enabled">
    <vt:lpwstr>true</vt:lpwstr>
  </property>
  <property fmtid="{D5CDD505-2E9C-101B-9397-08002B2CF9AE}" pid="11" name="MSIP_Label_6bd9ddd1-4d20-43f6-abfa-fc3c07406f94_SetDate">
    <vt:lpwstr>2023-11-24T13:31:41Z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d3f801d2-7e27-4910-9a0f-0493c12fec14</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