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6916E" w14:textId="0CD20A0A" w:rsidR="0063683F" w:rsidRDefault="009C2F4B" w:rsidP="009C2F4B">
      <w:pPr>
        <w:pStyle w:val="Pagedecouverture"/>
        <w:rPr>
          <w:noProof/>
        </w:rPr>
      </w:pPr>
      <w:bookmarkStart w:id="0" w:name="LW_BM_COVERPAGE"/>
      <w:r>
        <w:rPr>
          <w:noProof/>
        </w:rPr>
        <w:pict w14:anchorId="3F013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6950450-B6F9-47A1-86AB-CC920CE0A2E1" style="width:455.25pt;height:336.75pt">
            <v:imagedata r:id="rId8" o:title=""/>
          </v:shape>
        </w:pict>
      </w:r>
    </w:p>
    <w:bookmarkEnd w:id="0"/>
    <w:p w14:paraId="5F37873E" w14:textId="236AD1FD" w:rsidR="00F511EA" w:rsidRPr="00F511EA" w:rsidRDefault="00F511EA" w:rsidP="00F511EA">
      <w:pPr>
        <w:pStyle w:val="Pagedecouverture"/>
        <w:rPr>
          <w:noProof/>
        </w:rPr>
        <w:sectPr w:rsidR="00F511EA" w:rsidRPr="00F511EA" w:rsidSect="009C2F4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6BA91FC3" w14:textId="47A2B062" w:rsidR="00376450" w:rsidRPr="00E72C2F" w:rsidRDefault="00026B70" w:rsidP="00386EAC">
      <w:pPr>
        <w:pStyle w:val="ListParagraph"/>
        <w:numPr>
          <w:ilvl w:val="0"/>
          <w:numId w:val="3"/>
        </w:numPr>
        <w:contextualSpacing w:val="0"/>
        <w:jc w:val="both"/>
        <w:rPr>
          <w:rFonts w:ascii="Times New Roman" w:hAnsi="Times New Roman" w:cs="Times New Roman"/>
          <w:b/>
          <w:bCs/>
          <w:noProof/>
          <w:sz w:val="24"/>
        </w:rPr>
      </w:pPr>
      <w:bookmarkStart w:id="1" w:name="_GoBack"/>
      <w:bookmarkEnd w:id="1"/>
      <w:r>
        <w:rPr>
          <w:rFonts w:ascii="Times New Roman" w:hAnsi="Times New Roman" w:cs="Times New Roman"/>
          <w:b/>
          <w:bCs/>
          <w:noProof/>
          <w:sz w:val="24"/>
        </w:rPr>
        <w:lastRenderedPageBreak/>
        <w:t xml:space="preserve">THE FIRST REVIEW – </w:t>
      </w:r>
      <w:r w:rsidR="00667D18">
        <w:rPr>
          <w:rFonts w:ascii="Times New Roman" w:hAnsi="Times New Roman" w:cs="Times New Roman"/>
          <w:b/>
          <w:bCs/>
          <w:noProof/>
          <w:sz w:val="24"/>
        </w:rPr>
        <w:t>BACKGROUND</w:t>
      </w:r>
      <w:r w:rsidR="00524C31">
        <w:rPr>
          <w:rFonts w:ascii="Times New Roman" w:hAnsi="Times New Roman" w:cs="Times New Roman"/>
          <w:b/>
          <w:bCs/>
          <w:noProof/>
          <w:sz w:val="24"/>
        </w:rPr>
        <w:t xml:space="preserve"> AND CONTEXT</w:t>
      </w:r>
    </w:p>
    <w:p w14:paraId="0FF046E3" w14:textId="232DCAB4" w:rsidR="00CC7AFF" w:rsidRDefault="004B4F9B" w:rsidP="00386EAC">
      <w:pPr>
        <w:jc w:val="both"/>
        <w:rPr>
          <w:rFonts w:ascii="Times New Roman" w:hAnsi="Times New Roman" w:cs="Times New Roman"/>
          <w:bCs/>
          <w:noProof/>
          <w:sz w:val="24"/>
        </w:rPr>
      </w:pPr>
      <w:r>
        <w:rPr>
          <w:rFonts w:ascii="Times New Roman" w:hAnsi="Times New Roman" w:cs="Times New Roman"/>
          <w:bCs/>
          <w:noProof/>
          <w:sz w:val="24"/>
        </w:rPr>
        <w:t>The</w:t>
      </w:r>
      <w:r w:rsidR="00E52B99" w:rsidRPr="00814046">
        <w:rPr>
          <w:rFonts w:ascii="Times New Roman" w:hAnsi="Times New Roman" w:cs="Times New Roman"/>
          <w:bCs/>
          <w:noProof/>
          <w:sz w:val="24"/>
        </w:rPr>
        <w:t xml:space="preserve"> </w:t>
      </w:r>
      <w:r>
        <w:rPr>
          <w:rFonts w:ascii="Times New Roman" w:hAnsi="Times New Roman" w:cs="Times New Roman"/>
          <w:bCs/>
          <w:noProof/>
          <w:sz w:val="24"/>
        </w:rPr>
        <w:t>present</w:t>
      </w:r>
      <w:r w:rsidR="00E52B99" w:rsidRPr="00814046">
        <w:rPr>
          <w:rFonts w:ascii="Times New Roman" w:hAnsi="Times New Roman" w:cs="Times New Roman"/>
          <w:bCs/>
          <w:noProof/>
          <w:sz w:val="24"/>
        </w:rPr>
        <w:t xml:space="preserve"> report</w:t>
      </w:r>
      <w:r>
        <w:rPr>
          <w:rFonts w:ascii="Times New Roman" w:hAnsi="Times New Roman" w:cs="Times New Roman"/>
          <w:bCs/>
          <w:noProof/>
          <w:sz w:val="24"/>
        </w:rPr>
        <w:t xml:space="preserve"> </w:t>
      </w:r>
      <w:r w:rsidR="00D60672">
        <w:rPr>
          <w:rFonts w:ascii="Times New Roman" w:hAnsi="Times New Roman" w:cs="Times New Roman"/>
          <w:bCs/>
          <w:noProof/>
          <w:sz w:val="24"/>
        </w:rPr>
        <w:t xml:space="preserve">contains </w:t>
      </w:r>
      <w:r>
        <w:rPr>
          <w:rFonts w:ascii="Times New Roman" w:hAnsi="Times New Roman" w:cs="Times New Roman"/>
          <w:bCs/>
          <w:noProof/>
          <w:sz w:val="24"/>
        </w:rPr>
        <w:t xml:space="preserve">the findings of </w:t>
      </w:r>
      <w:r w:rsidR="00E52B99" w:rsidRPr="00814046">
        <w:rPr>
          <w:rFonts w:ascii="Times New Roman" w:hAnsi="Times New Roman" w:cs="Times New Roman"/>
          <w:bCs/>
          <w:noProof/>
          <w:sz w:val="24"/>
        </w:rPr>
        <w:t xml:space="preserve">the Commission </w:t>
      </w:r>
      <w:r w:rsidR="002B7A66" w:rsidRPr="00814046">
        <w:rPr>
          <w:rFonts w:ascii="Times New Roman" w:hAnsi="Times New Roman" w:cs="Times New Roman"/>
          <w:bCs/>
          <w:noProof/>
          <w:sz w:val="24"/>
        </w:rPr>
        <w:t>on</w:t>
      </w:r>
      <w:r w:rsidR="00832D54">
        <w:rPr>
          <w:rFonts w:ascii="Times New Roman" w:hAnsi="Times New Roman" w:cs="Times New Roman"/>
          <w:bCs/>
          <w:noProof/>
          <w:sz w:val="24"/>
        </w:rPr>
        <w:t xml:space="preserve"> </w:t>
      </w:r>
      <w:r w:rsidR="00575706">
        <w:rPr>
          <w:rFonts w:ascii="Times New Roman" w:hAnsi="Times New Roman" w:cs="Times New Roman"/>
          <w:bCs/>
          <w:noProof/>
          <w:sz w:val="24"/>
        </w:rPr>
        <w:t>the</w:t>
      </w:r>
      <w:r w:rsidR="00832D54">
        <w:rPr>
          <w:rFonts w:ascii="Times New Roman" w:hAnsi="Times New Roman" w:cs="Times New Roman"/>
          <w:bCs/>
          <w:noProof/>
          <w:sz w:val="24"/>
        </w:rPr>
        <w:t xml:space="preserve"> </w:t>
      </w:r>
      <w:r w:rsidR="002B7A66" w:rsidRPr="00814046">
        <w:rPr>
          <w:rFonts w:ascii="Times New Roman" w:hAnsi="Times New Roman" w:cs="Times New Roman"/>
          <w:bCs/>
          <w:noProof/>
          <w:sz w:val="24"/>
        </w:rPr>
        <w:t xml:space="preserve">first </w:t>
      </w:r>
      <w:r w:rsidR="008A7D71">
        <w:rPr>
          <w:rFonts w:ascii="Times New Roman" w:hAnsi="Times New Roman" w:cs="Times New Roman"/>
          <w:bCs/>
          <w:noProof/>
          <w:sz w:val="24"/>
        </w:rPr>
        <w:t>review</w:t>
      </w:r>
      <w:r w:rsidR="008A7D71" w:rsidRPr="00814046">
        <w:rPr>
          <w:rFonts w:ascii="Times New Roman" w:hAnsi="Times New Roman" w:cs="Times New Roman"/>
          <w:bCs/>
          <w:noProof/>
          <w:sz w:val="24"/>
        </w:rPr>
        <w:t xml:space="preserve"> </w:t>
      </w:r>
      <w:r w:rsidR="002B7A66" w:rsidRPr="00814046">
        <w:rPr>
          <w:rFonts w:ascii="Times New Roman" w:hAnsi="Times New Roman" w:cs="Times New Roman"/>
          <w:bCs/>
          <w:noProof/>
          <w:sz w:val="24"/>
        </w:rPr>
        <w:t xml:space="preserve">of </w:t>
      </w:r>
      <w:r w:rsidR="00832D54">
        <w:rPr>
          <w:rFonts w:ascii="Times New Roman" w:hAnsi="Times New Roman" w:cs="Times New Roman"/>
          <w:bCs/>
          <w:noProof/>
          <w:sz w:val="24"/>
        </w:rPr>
        <w:t xml:space="preserve">the </w:t>
      </w:r>
      <w:r w:rsidR="002B7A66" w:rsidRPr="00814046">
        <w:rPr>
          <w:rFonts w:ascii="Times New Roman" w:hAnsi="Times New Roman" w:cs="Times New Roman"/>
          <w:bCs/>
          <w:noProof/>
          <w:sz w:val="24"/>
        </w:rPr>
        <w:t xml:space="preserve">adequacy decisions that were adopted </w:t>
      </w:r>
      <w:r w:rsidR="008A7D71">
        <w:rPr>
          <w:rFonts w:ascii="Times New Roman" w:hAnsi="Times New Roman" w:cs="Times New Roman"/>
          <w:bCs/>
          <w:noProof/>
          <w:sz w:val="24"/>
        </w:rPr>
        <w:t>on the basis of Article 25(6) of</w:t>
      </w:r>
      <w:r w:rsidR="008A7D71" w:rsidRPr="00814046">
        <w:rPr>
          <w:rFonts w:ascii="Times New Roman" w:hAnsi="Times New Roman" w:cs="Times New Roman"/>
          <w:bCs/>
          <w:noProof/>
          <w:sz w:val="24"/>
        </w:rPr>
        <w:t xml:space="preserve"> </w:t>
      </w:r>
      <w:r w:rsidR="002B7A66" w:rsidRPr="00814046">
        <w:rPr>
          <w:rFonts w:ascii="Times New Roman" w:hAnsi="Times New Roman" w:cs="Times New Roman"/>
          <w:bCs/>
          <w:noProof/>
          <w:sz w:val="24"/>
        </w:rPr>
        <w:t>Directive 95/46</w:t>
      </w:r>
      <w:r w:rsidR="00592F4A">
        <w:rPr>
          <w:rFonts w:ascii="Times New Roman" w:hAnsi="Times New Roman" w:cs="Times New Roman"/>
          <w:bCs/>
          <w:noProof/>
          <w:sz w:val="24"/>
        </w:rPr>
        <w:t>/EC</w:t>
      </w:r>
      <w:r w:rsidR="007C3AED">
        <w:rPr>
          <w:rStyle w:val="FootnoteReference"/>
          <w:rFonts w:ascii="Times New Roman" w:hAnsi="Times New Roman" w:cs="Times New Roman"/>
          <w:bCs/>
          <w:noProof/>
          <w:sz w:val="24"/>
        </w:rPr>
        <w:footnoteReference w:id="1"/>
      </w:r>
      <w:r w:rsidR="00393317">
        <w:rPr>
          <w:rFonts w:ascii="Times New Roman" w:hAnsi="Times New Roman" w:cs="Times New Roman"/>
          <w:bCs/>
          <w:noProof/>
          <w:sz w:val="24"/>
        </w:rPr>
        <w:t xml:space="preserve"> (Data Protection Directive)</w:t>
      </w:r>
      <w:r w:rsidR="008A7D71">
        <w:rPr>
          <w:rFonts w:ascii="Times New Roman" w:hAnsi="Times New Roman" w:cs="Times New Roman"/>
          <w:bCs/>
          <w:noProof/>
          <w:sz w:val="24"/>
        </w:rPr>
        <w:t xml:space="preserve">. </w:t>
      </w:r>
    </w:p>
    <w:p w14:paraId="0FDC354E" w14:textId="3193F295" w:rsidR="00C60B8F" w:rsidRDefault="00C60B8F" w:rsidP="00386EAC">
      <w:pPr>
        <w:jc w:val="both"/>
        <w:rPr>
          <w:rFonts w:ascii="Times New Roman" w:hAnsi="Times New Roman" w:cs="Times New Roman"/>
          <w:bCs/>
          <w:noProof/>
          <w:sz w:val="24"/>
        </w:rPr>
      </w:pPr>
      <w:r>
        <w:rPr>
          <w:rFonts w:ascii="Times New Roman" w:hAnsi="Times New Roman" w:cs="Times New Roman"/>
          <w:bCs/>
          <w:noProof/>
          <w:sz w:val="24"/>
        </w:rPr>
        <w:t xml:space="preserve">In these decisions, the Commission determined that eleven countries or territories </w:t>
      </w:r>
      <w:r w:rsidRPr="00C340E4">
        <w:rPr>
          <w:rFonts w:ascii="Times New Roman" w:hAnsi="Times New Roman" w:cs="Times New Roman"/>
          <w:bCs/>
          <w:noProof/>
          <w:sz w:val="24"/>
        </w:rPr>
        <w:t>ensur</w:t>
      </w:r>
      <w:r>
        <w:rPr>
          <w:rFonts w:ascii="Times New Roman" w:hAnsi="Times New Roman" w:cs="Times New Roman"/>
          <w:bCs/>
          <w:noProof/>
          <w:sz w:val="24"/>
        </w:rPr>
        <w:t>e</w:t>
      </w:r>
      <w:r w:rsidRPr="00C340E4">
        <w:rPr>
          <w:rFonts w:ascii="Times New Roman" w:hAnsi="Times New Roman" w:cs="Times New Roman"/>
          <w:bCs/>
          <w:noProof/>
          <w:sz w:val="24"/>
        </w:rPr>
        <w:t xml:space="preserve"> an adequate level of</w:t>
      </w:r>
      <w:r>
        <w:rPr>
          <w:rFonts w:ascii="Times New Roman" w:hAnsi="Times New Roman" w:cs="Times New Roman"/>
          <w:bCs/>
          <w:noProof/>
          <w:sz w:val="24"/>
        </w:rPr>
        <w:t xml:space="preserve"> </w:t>
      </w:r>
      <w:r w:rsidRPr="00C340E4">
        <w:rPr>
          <w:rFonts w:ascii="Times New Roman" w:hAnsi="Times New Roman" w:cs="Times New Roman"/>
          <w:bCs/>
          <w:noProof/>
          <w:sz w:val="24"/>
        </w:rPr>
        <w:t xml:space="preserve">protection for personal data transferred from the </w:t>
      </w:r>
      <w:r>
        <w:rPr>
          <w:rFonts w:ascii="Times New Roman" w:hAnsi="Times New Roman" w:cs="Times New Roman"/>
          <w:bCs/>
          <w:noProof/>
          <w:sz w:val="24"/>
        </w:rPr>
        <w:t xml:space="preserve">European </w:t>
      </w:r>
      <w:r w:rsidRPr="00C340E4">
        <w:rPr>
          <w:rFonts w:ascii="Times New Roman" w:hAnsi="Times New Roman" w:cs="Times New Roman"/>
          <w:bCs/>
          <w:noProof/>
          <w:sz w:val="24"/>
        </w:rPr>
        <w:t>Union</w:t>
      </w:r>
      <w:r w:rsidR="007F26DB">
        <w:rPr>
          <w:rFonts w:ascii="Times New Roman" w:hAnsi="Times New Roman" w:cs="Times New Roman"/>
          <w:bCs/>
          <w:noProof/>
          <w:sz w:val="24"/>
        </w:rPr>
        <w:t xml:space="preserve"> (EU)</w:t>
      </w:r>
      <w:r w:rsidR="007F26DB">
        <w:rPr>
          <w:rStyle w:val="FootnoteReference"/>
          <w:rFonts w:ascii="Times New Roman" w:hAnsi="Times New Roman" w:cs="Times New Roman"/>
          <w:bCs/>
          <w:noProof/>
          <w:sz w:val="24"/>
        </w:rPr>
        <w:footnoteReference w:id="2"/>
      </w:r>
      <w:r>
        <w:rPr>
          <w:rFonts w:ascii="Times New Roman" w:hAnsi="Times New Roman" w:cs="Times New Roman"/>
          <w:bCs/>
          <w:noProof/>
          <w:sz w:val="24"/>
        </w:rPr>
        <w:t xml:space="preserve">: </w:t>
      </w:r>
      <w:r w:rsidR="00026B70" w:rsidRPr="00026B70">
        <w:rPr>
          <w:rFonts w:ascii="Times New Roman" w:hAnsi="Times New Roman" w:cs="Times New Roman"/>
          <w:bCs/>
          <w:noProof/>
          <w:sz w:val="24"/>
        </w:rPr>
        <w:t>Andorra</w:t>
      </w:r>
      <w:r w:rsidR="00026B70" w:rsidRPr="00026B70">
        <w:rPr>
          <w:rFonts w:ascii="Times New Roman" w:hAnsi="Times New Roman" w:cs="Times New Roman"/>
          <w:bCs/>
          <w:noProof/>
          <w:sz w:val="24"/>
          <w:vertAlign w:val="superscript"/>
        </w:rPr>
        <w:footnoteReference w:id="3"/>
      </w:r>
      <w:r w:rsidR="00026B70">
        <w:rPr>
          <w:rFonts w:ascii="Times New Roman" w:hAnsi="Times New Roman" w:cs="Times New Roman"/>
          <w:bCs/>
          <w:noProof/>
          <w:sz w:val="24"/>
        </w:rPr>
        <w:t xml:space="preserve">, </w:t>
      </w:r>
      <w:r w:rsidR="00026B70" w:rsidRPr="00026B70">
        <w:rPr>
          <w:rFonts w:ascii="Times New Roman" w:hAnsi="Times New Roman" w:cs="Times New Roman"/>
          <w:bCs/>
          <w:noProof/>
          <w:sz w:val="24"/>
        </w:rPr>
        <w:t>Argentina</w:t>
      </w:r>
      <w:r w:rsidR="00026B70" w:rsidRPr="00026B70">
        <w:rPr>
          <w:rFonts w:ascii="Times New Roman" w:hAnsi="Times New Roman" w:cs="Times New Roman"/>
          <w:bCs/>
          <w:noProof/>
          <w:sz w:val="24"/>
          <w:vertAlign w:val="superscript"/>
        </w:rPr>
        <w:footnoteReference w:id="4"/>
      </w:r>
      <w:r w:rsidR="00026B70">
        <w:rPr>
          <w:rFonts w:ascii="Times New Roman" w:hAnsi="Times New Roman" w:cs="Times New Roman"/>
          <w:bCs/>
          <w:noProof/>
          <w:sz w:val="24"/>
        </w:rPr>
        <w:t xml:space="preserve">, </w:t>
      </w:r>
      <w:r w:rsidR="00026B70" w:rsidRPr="00026B70">
        <w:rPr>
          <w:rFonts w:ascii="Times New Roman" w:hAnsi="Times New Roman" w:cs="Times New Roman"/>
          <w:bCs/>
          <w:noProof/>
          <w:sz w:val="24"/>
        </w:rPr>
        <w:t>Canada (for commercial operators)</w:t>
      </w:r>
      <w:r w:rsidR="00026B70" w:rsidRPr="00026B70">
        <w:rPr>
          <w:rFonts w:ascii="Times New Roman" w:hAnsi="Times New Roman" w:cs="Times New Roman"/>
          <w:bCs/>
          <w:noProof/>
          <w:sz w:val="24"/>
          <w:vertAlign w:val="superscript"/>
        </w:rPr>
        <w:footnoteReference w:id="5"/>
      </w:r>
      <w:r w:rsidR="00026B70">
        <w:rPr>
          <w:rFonts w:ascii="Times New Roman" w:hAnsi="Times New Roman" w:cs="Times New Roman"/>
          <w:bCs/>
          <w:noProof/>
          <w:sz w:val="24"/>
        </w:rPr>
        <w:t xml:space="preserve">, </w:t>
      </w:r>
      <w:r w:rsidR="00026B70" w:rsidRPr="00026B70">
        <w:rPr>
          <w:rFonts w:ascii="Times New Roman" w:hAnsi="Times New Roman" w:cs="Times New Roman"/>
          <w:bCs/>
          <w:noProof/>
          <w:sz w:val="24"/>
        </w:rPr>
        <w:t>Faroe Islands</w:t>
      </w:r>
      <w:r w:rsidR="00026B70" w:rsidRPr="00026B70">
        <w:rPr>
          <w:rFonts w:ascii="Times New Roman" w:hAnsi="Times New Roman" w:cs="Times New Roman"/>
          <w:bCs/>
          <w:noProof/>
          <w:sz w:val="24"/>
          <w:vertAlign w:val="superscript"/>
        </w:rPr>
        <w:footnoteReference w:id="6"/>
      </w:r>
      <w:r w:rsidR="00026B70">
        <w:rPr>
          <w:rFonts w:ascii="Times New Roman" w:hAnsi="Times New Roman" w:cs="Times New Roman"/>
          <w:bCs/>
          <w:noProof/>
          <w:sz w:val="24"/>
        </w:rPr>
        <w:t xml:space="preserve">, </w:t>
      </w:r>
      <w:r w:rsidR="00026B70" w:rsidRPr="00026B70">
        <w:rPr>
          <w:rFonts w:ascii="Times New Roman" w:hAnsi="Times New Roman" w:cs="Times New Roman"/>
          <w:bCs/>
          <w:noProof/>
          <w:sz w:val="24"/>
        </w:rPr>
        <w:t>Guernsey</w:t>
      </w:r>
      <w:r w:rsidR="00026B70" w:rsidRPr="00026B70">
        <w:rPr>
          <w:rFonts w:ascii="Times New Roman" w:hAnsi="Times New Roman" w:cs="Times New Roman"/>
          <w:bCs/>
          <w:noProof/>
          <w:sz w:val="24"/>
          <w:vertAlign w:val="superscript"/>
        </w:rPr>
        <w:footnoteReference w:id="7"/>
      </w:r>
      <w:r w:rsidR="00026B70" w:rsidRPr="00026B70">
        <w:rPr>
          <w:rFonts w:ascii="Times New Roman" w:hAnsi="Times New Roman" w:cs="Times New Roman"/>
          <w:bCs/>
          <w:noProof/>
          <w:sz w:val="24"/>
        </w:rPr>
        <w:t>, Isle of Man</w:t>
      </w:r>
      <w:r w:rsidR="00026B70" w:rsidRPr="00026B70">
        <w:rPr>
          <w:rFonts w:ascii="Times New Roman" w:hAnsi="Times New Roman" w:cs="Times New Roman"/>
          <w:bCs/>
          <w:noProof/>
          <w:sz w:val="24"/>
          <w:vertAlign w:val="superscript"/>
        </w:rPr>
        <w:footnoteReference w:id="8"/>
      </w:r>
      <w:r w:rsidR="00026B70" w:rsidRPr="00026B70">
        <w:rPr>
          <w:rFonts w:ascii="Times New Roman" w:hAnsi="Times New Roman" w:cs="Times New Roman"/>
          <w:bCs/>
          <w:noProof/>
          <w:sz w:val="24"/>
        </w:rPr>
        <w:t>, Israel</w:t>
      </w:r>
      <w:r w:rsidR="00026B70" w:rsidRPr="00026B70">
        <w:rPr>
          <w:rFonts w:ascii="Times New Roman" w:hAnsi="Times New Roman" w:cs="Times New Roman"/>
          <w:bCs/>
          <w:noProof/>
          <w:sz w:val="24"/>
          <w:vertAlign w:val="superscript"/>
        </w:rPr>
        <w:footnoteReference w:id="9"/>
      </w:r>
      <w:r w:rsidR="00026B70" w:rsidRPr="00026B70">
        <w:rPr>
          <w:rFonts w:ascii="Times New Roman" w:hAnsi="Times New Roman" w:cs="Times New Roman"/>
          <w:bCs/>
          <w:noProof/>
          <w:sz w:val="24"/>
        </w:rPr>
        <w:t>,</w:t>
      </w:r>
      <w:r w:rsidR="00026B70">
        <w:rPr>
          <w:rFonts w:ascii="Times New Roman" w:hAnsi="Times New Roman" w:cs="Times New Roman"/>
          <w:bCs/>
          <w:noProof/>
          <w:sz w:val="24"/>
        </w:rPr>
        <w:t xml:space="preserve"> </w:t>
      </w:r>
      <w:r w:rsidR="00026B70" w:rsidRPr="00026B70">
        <w:rPr>
          <w:rFonts w:ascii="Times New Roman" w:hAnsi="Times New Roman" w:cs="Times New Roman"/>
          <w:bCs/>
          <w:noProof/>
          <w:sz w:val="24"/>
        </w:rPr>
        <w:t>Jersey</w:t>
      </w:r>
      <w:r w:rsidR="00026B70" w:rsidRPr="00026B70">
        <w:rPr>
          <w:rFonts w:ascii="Times New Roman" w:hAnsi="Times New Roman" w:cs="Times New Roman"/>
          <w:bCs/>
          <w:noProof/>
          <w:sz w:val="24"/>
          <w:vertAlign w:val="superscript"/>
        </w:rPr>
        <w:footnoteReference w:id="10"/>
      </w:r>
      <w:r w:rsidR="00026B70">
        <w:rPr>
          <w:rFonts w:ascii="Times New Roman" w:hAnsi="Times New Roman" w:cs="Times New Roman"/>
          <w:bCs/>
          <w:noProof/>
          <w:sz w:val="24"/>
        </w:rPr>
        <w:t xml:space="preserve">, </w:t>
      </w:r>
      <w:r w:rsidR="00026B70" w:rsidRPr="00026B70">
        <w:rPr>
          <w:rFonts w:ascii="Times New Roman" w:hAnsi="Times New Roman" w:cs="Times New Roman"/>
          <w:bCs/>
          <w:noProof/>
          <w:sz w:val="24"/>
        </w:rPr>
        <w:t>New Zealand</w:t>
      </w:r>
      <w:r w:rsidR="00026B70" w:rsidRPr="00026B70">
        <w:rPr>
          <w:rFonts w:ascii="Times New Roman" w:hAnsi="Times New Roman" w:cs="Times New Roman"/>
          <w:bCs/>
          <w:noProof/>
          <w:sz w:val="24"/>
          <w:vertAlign w:val="superscript"/>
        </w:rPr>
        <w:footnoteReference w:id="11"/>
      </w:r>
      <w:r w:rsidR="00026B70">
        <w:rPr>
          <w:rFonts w:ascii="Times New Roman" w:hAnsi="Times New Roman" w:cs="Times New Roman"/>
          <w:bCs/>
          <w:noProof/>
          <w:sz w:val="24"/>
        </w:rPr>
        <w:t xml:space="preserve">, </w:t>
      </w:r>
      <w:r>
        <w:rPr>
          <w:rFonts w:ascii="Times New Roman" w:hAnsi="Times New Roman" w:cs="Times New Roman"/>
          <w:bCs/>
          <w:noProof/>
          <w:sz w:val="24"/>
        </w:rPr>
        <w:t>Switzerland</w:t>
      </w:r>
      <w:r>
        <w:rPr>
          <w:rStyle w:val="FootnoteReference"/>
          <w:rFonts w:ascii="Times New Roman" w:hAnsi="Times New Roman" w:cs="Times New Roman"/>
          <w:bCs/>
          <w:noProof/>
          <w:sz w:val="24"/>
        </w:rPr>
        <w:footnoteReference w:id="12"/>
      </w:r>
      <w:r w:rsidR="001F7CD2">
        <w:rPr>
          <w:rFonts w:ascii="Times New Roman" w:hAnsi="Times New Roman" w:cs="Times New Roman"/>
          <w:bCs/>
          <w:noProof/>
          <w:sz w:val="24"/>
        </w:rPr>
        <w:t>,</w:t>
      </w:r>
      <w:r>
        <w:rPr>
          <w:rFonts w:ascii="Times New Roman" w:hAnsi="Times New Roman" w:cs="Times New Roman"/>
          <w:bCs/>
          <w:noProof/>
          <w:sz w:val="24"/>
        </w:rPr>
        <w:t xml:space="preserve"> </w:t>
      </w:r>
      <w:r w:rsidR="00026B70">
        <w:rPr>
          <w:rFonts w:ascii="Times New Roman" w:hAnsi="Times New Roman" w:cs="Times New Roman"/>
          <w:bCs/>
          <w:noProof/>
          <w:sz w:val="24"/>
        </w:rPr>
        <w:t>and</w:t>
      </w:r>
      <w:r>
        <w:rPr>
          <w:rFonts w:ascii="Times New Roman" w:hAnsi="Times New Roman" w:cs="Times New Roman"/>
          <w:bCs/>
          <w:noProof/>
          <w:sz w:val="24"/>
        </w:rPr>
        <w:t xml:space="preserve"> Uruguay</w:t>
      </w:r>
      <w:r>
        <w:rPr>
          <w:rStyle w:val="FootnoteReference"/>
          <w:rFonts w:ascii="Times New Roman" w:hAnsi="Times New Roman" w:cs="Times New Roman"/>
          <w:bCs/>
          <w:noProof/>
          <w:sz w:val="24"/>
        </w:rPr>
        <w:footnoteReference w:id="13"/>
      </w:r>
      <w:r w:rsidR="00026B70">
        <w:rPr>
          <w:rFonts w:ascii="Times New Roman" w:hAnsi="Times New Roman" w:cs="Times New Roman"/>
          <w:bCs/>
          <w:noProof/>
          <w:sz w:val="24"/>
        </w:rPr>
        <w:t>.</w:t>
      </w:r>
      <w:r>
        <w:rPr>
          <w:rFonts w:ascii="Times New Roman" w:hAnsi="Times New Roman" w:cs="Times New Roman"/>
          <w:bCs/>
          <w:noProof/>
          <w:sz w:val="24"/>
        </w:rPr>
        <w:t xml:space="preserve"> </w:t>
      </w:r>
      <w:r w:rsidR="00E40A18">
        <w:rPr>
          <w:rFonts w:ascii="Times New Roman" w:hAnsi="Times New Roman" w:cs="Times New Roman"/>
          <w:bCs/>
          <w:noProof/>
          <w:sz w:val="24"/>
        </w:rPr>
        <w:t>As a result,</w:t>
      </w:r>
      <w:r w:rsidRPr="00381AC0">
        <w:rPr>
          <w:rFonts w:ascii="Times New Roman" w:hAnsi="Times New Roman" w:cs="Times New Roman"/>
          <w:bCs/>
          <w:noProof/>
          <w:sz w:val="24"/>
        </w:rPr>
        <w:t xml:space="preserve"> </w:t>
      </w:r>
      <w:r w:rsidR="00E40A18">
        <w:rPr>
          <w:rFonts w:ascii="Times New Roman" w:hAnsi="Times New Roman" w:cs="Times New Roman"/>
          <w:bCs/>
          <w:noProof/>
          <w:sz w:val="24"/>
        </w:rPr>
        <w:t>data</w:t>
      </w:r>
      <w:r w:rsidRPr="00381AC0">
        <w:rPr>
          <w:rFonts w:ascii="Times New Roman" w:hAnsi="Times New Roman" w:cs="Times New Roman"/>
          <w:bCs/>
          <w:noProof/>
          <w:sz w:val="24"/>
        </w:rPr>
        <w:t xml:space="preserve"> transfers </w:t>
      </w:r>
      <w:r>
        <w:rPr>
          <w:rFonts w:ascii="Times New Roman" w:hAnsi="Times New Roman" w:cs="Times New Roman"/>
          <w:bCs/>
          <w:noProof/>
          <w:sz w:val="24"/>
        </w:rPr>
        <w:t xml:space="preserve">from the </w:t>
      </w:r>
      <w:r w:rsidR="00E40A18">
        <w:rPr>
          <w:rFonts w:ascii="Times New Roman" w:hAnsi="Times New Roman" w:cs="Times New Roman"/>
          <w:bCs/>
          <w:noProof/>
          <w:sz w:val="24"/>
        </w:rPr>
        <w:t>EU</w:t>
      </w:r>
      <w:r w:rsidRPr="00381AC0">
        <w:rPr>
          <w:rFonts w:ascii="Times New Roman" w:hAnsi="Times New Roman" w:cs="Times New Roman"/>
          <w:bCs/>
          <w:noProof/>
          <w:sz w:val="24"/>
        </w:rPr>
        <w:t xml:space="preserve"> to the</w:t>
      </w:r>
      <w:r w:rsidR="005B589B">
        <w:rPr>
          <w:rFonts w:ascii="Times New Roman" w:hAnsi="Times New Roman" w:cs="Times New Roman"/>
          <w:bCs/>
          <w:noProof/>
          <w:sz w:val="24"/>
        </w:rPr>
        <w:t>se</w:t>
      </w:r>
      <w:r>
        <w:rPr>
          <w:rFonts w:ascii="Times New Roman" w:hAnsi="Times New Roman" w:cs="Times New Roman"/>
          <w:bCs/>
          <w:noProof/>
          <w:sz w:val="24"/>
        </w:rPr>
        <w:t xml:space="preserve"> countries or territories</w:t>
      </w:r>
      <w:r w:rsidRPr="00381AC0">
        <w:rPr>
          <w:rFonts w:ascii="Times New Roman" w:hAnsi="Times New Roman" w:cs="Times New Roman"/>
          <w:bCs/>
          <w:noProof/>
          <w:sz w:val="24"/>
        </w:rPr>
        <w:t xml:space="preserve"> can take place without </w:t>
      </w:r>
      <w:r w:rsidR="00E40A18">
        <w:rPr>
          <w:rFonts w:ascii="Times New Roman" w:hAnsi="Times New Roman" w:cs="Times New Roman"/>
          <w:bCs/>
          <w:noProof/>
          <w:sz w:val="24"/>
        </w:rPr>
        <w:t>additional requirements</w:t>
      </w:r>
      <w:r w:rsidRPr="00381AC0">
        <w:rPr>
          <w:rFonts w:ascii="Times New Roman" w:hAnsi="Times New Roman" w:cs="Times New Roman"/>
          <w:bCs/>
          <w:noProof/>
          <w:sz w:val="24"/>
        </w:rPr>
        <w:t>.</w:t>
      </w:r>
    </w:p>
    <w:p w14:paraId="0DF5A5B7" w14:textId="27E2CAFD" w:rsidR="007F04BD" w:rsidRDefault="004B4F9B" w:rsidP="00386EAC">
      <w:pPr>
        <w:jc w:val="both"/>
        <w:rPr>
          <w:rFonts w:ascii="Times New Roman" w:hAnsi="Times New Roman" w:cs="Times New Roman"/>
          <w:bCs/>
          <w:noProof/>
          <w:sz w:val="24"/>
        </w:rPr>
      </w:pPr>
      <w:r>
        <w:rPr>
          <w:rFonts w:ascii="Times New Roman" w:hAnsi="Times New Roman" w:cs="Times New Roman"/>
          <w:bCs/>
          <w:noProof/>
          <w:sz w:val="24"/>
        </w:rPr>
        <w:t>With the entry into application of Regulation (EU) 2016/679</w:t>
      </w:r>
      <w:r>
        <w:rPr>
          <w:rStyle w:val="FootnoteReference"/>
          <w:rFonts w:ascii="Times New Roman" w:hAnsi="Times New Roman" w:cs="Times New Roman"/>
          <w:bCs/>
          <w:noProof/>
          <w:sz w:val="24"/>
        </w:rPr>
        <w:footnoteReference w:id="14"/>
      </w:r>
      <w:r>
        <w:rPr>
          <w:rFonts w:ascii="Times New Roman" w:hAnsi="Times New Roman" w:cs="Times New Roman"/>
          <w:bCs/>
          <w:noProof/>
          <w:sz w:val="24"/>
        </w:rPr>
        <w:t xml:space="preserve"> (GDPR) on 25 May 2018,</w:t>
      </w:r>
      <w:r w:rsidR="006F643E">
        <w:rPr>
          <w:rFonts w:ascii="Times New Roman" w:hAnsi="Times New Roman" w:cs="Times New Roman"/>
          <w:bCs/>
          <w:noProof/>
          <w:sz w:val="24"/>
        </w:rPr>
        <w:t xml:space="preserve"> the</w:t>
      </w:r>
      <w:r>
        <w:rPr>
          <w:rFonts w:ascii="Times New Roman" w:hAnsi="Times New Roman" w:cs="Times New Roman"/>
          <w:bCs/>
          <w:noProof/>
          <w:sz w:val="24"/>
        </w:rPr>
        <w:t xml:space="preserve"> adequacy decisions adopted under the Data Protection Directive remained in force</w:t>
      </w:r>
      <w:r>
        <w:rPr>
          <w:rStyle w:val="FootnoteReference"/>
          <w:rFonts w:ascii="Times New Roman" w:hAnsi="Times New Roman" w:cs="Times New Roman"/>
          <w:bCs/>
          <w:noProof/>
          <w:sz w:val="24"/>
        </w:rPr>
        <w:footnoteReference w:id="15"/>
      </w:r>
      <w:r>
        <w:rPr>
          <w:rFonts w:ascii="Times New Roman" w:hAnsi="Times New Roman" w:cs="Times New Roman"/>
          <w:bCs/>
          <w:noProof/>
          <w:sz w:val="24"/>
        </w:rPr>
        <w:t xml:space="preserve">. </w:t>
      </w:r>
      <w:r w:rsidR="00FD1C06">
        <w:rPr>
          <w:rFonts w:ascii="Times New Roman" w:hAnsi="Times New Roman" w:cs="Times New Roman"/>
          <w:bCs/>
          <w:noProof/>
          <w:sz w:val="24"/>
        </w:rPr>
        <w:t>At the same time</w:t>
      </w:r>
      <w:r w:rsidR="00FD1C06" w:rsidRPr="00814046">
        <w:rPr>
          <w:rFonts w:ascii="Times New Roman" w:hAnsi="Times New Roman" w:cs="Times New Roman"/>
          <w:bCs/>
          <w:noProof/>
          <w:sz w:val="24"/>
        </w:rPr>
        <w:t xml:space="preserve">, </w:t>
      </w:r>
      <w:r w:rsidR="00FD1C06">
        <w:rPr>
          <w:rFonts w:ascii="Times New Roman" w:hAnsi="Times New Roman" w:cs="Times New Roman"/>
          <w:bCs/>
          <w:noProof/>
          <w:sz w:val="24"/>
        </w:rPr>
        <w:t>the GDPR</w:t>
      </w:r>
      <w:r w:rsidR="00FD1C06" w:rsidRPr="00814046">
        <w:rPr>
          <w:rFonts w:ascii="Times New Roman" w:hAnsi="Times New Roman" w:cs="Times New Roman"/>
          <w:bCs/>
          <w:noProof/>
          <w:sz w:val="24"/>
        </w:rPr>
        <w:t xml:space="preserve"> </w:t>
      </w:r>
      <w:r w:rsidR="00FD1C06">
        <w:rPr>
          <w:rFonts w:ascii="Times New Roman" w:hAnsi="Times New Roman" w:cs="Times New Roman"/>
          <w:bCs/>
          <w:noProof/>
          <w:sz w:val="24"/>
        </w:rPr>
        <w:t>has clarified that adequacy findings are ‘living instruments’, stipulating</w:t>
      </w:r>
      <w:r w:rsidR="00FD1C06" w:rsidRPr="00814046">
        <w:rPr>
          <w:rFonts w:ascii="Times New Roman" w:hAnsi="Times New Roman" w:cs="Times New Roman"/>
          <w:bCs/>
          <w:noProof/>
          <w:sz w:val="24"/>
        </w:rPr>
        <w:t xml:space="preserve"> that the Commission </w:t>
      </w:r>
      <w:r w:rsidR="00FD1C06">
        <w:rPr>
          <w:rFonts w:ascii="Times New Roman" w:hAnsi="Times New Roman" w:cs="Times New Roman"/>
          <w:bCs/>
          <w:noProof/>
          <w:sz w:val="24"/>
        </w:rPr>
        <w:t>must</w:t>
      </w:r>
      <w:r w:rsidR="00FD1C06" w:rsidRPr="00814046">
        <w:rPr>
          <w:rFonts w:ascii="Times New Roman" w:hAnsi="Times New Roman" w:cs="Times New Roman"/>
          <w:bCs/>
          <w:noProof/>
          <w:sz w:val="24"/>
        </w:rPr>
        <w:t xml:space="preserve">, on an ongoing basis, monitor developments in third countries that could affect the functioning </w:t>
      </w:r>
      <w:r w:rsidR="00FD1C06">
        <w:rPr>
          <w:rFonts w:ascii="Times New Roman" w:hAnsi="Times New Roman" w:cs="Times New Roman"/>
          <w:bCs/>
          <w:noProof/>
          <w:sz w:val="24"/>
        </w:rPr>
        <w:t>of existing adequacy decisions</w:t>
      </w:r>
      <w:r w:rsidR="00FD1C06">
        <w:rPr>
          <w:rStyle w:val="FootnoteReference"/>
          <w:rFonts w:ascii="Times New Roman" w:hAnsi="Times New Roman" w:cs="Times New Roman"/>
          <w:bCs/>
          <w:noProof/>
          <w:sz w:val="24"/>
        </w:rPr>
        <w:footnoteReference w:id="16"/>
      </w:r>
      <w:r w:rsidR="00FD1C06">
        <w:rPr>
          <w:rFonts w:ascii="Times New Roman" w:hAnsi="Times New Roman" w:cs="Times New Roman"/>
          <w:bCs/>
          <w:noProof/>
          <w:sz w:val="24"/>
        </w:rPr>
        <w:t>. In addition</w:t>
      </w:r>
      <w:r>
        <w:rPr>
          <w:rFonts w:ascii="Times New Roman" w:hAnsi="Times New Roman" w:cs="Times New Roman"/>
          <w:bCs/>
          <w:noProof/>
          <w:sz w:val="24"/>
        </w:rPr>
        <w:t xml:space="preserve">, </w:t>
      </w:r>
      <w:r w:rsidR="002B7A66" w:rsidRPr="00814046">
        <w:rPr>
          <w:rFonts w:ascii="Times New Roman" w:hAnsi="Times New Roman" w:cs="Times New Roman"/>
          <w:bCs/>
          <w:noProof/>
          <w:sz w:val="24"/>
        </w:rPr>
        <w:t>Article 97</w:t>
      </w:r>
      <w:r w:rsidR="002245C6">
        <w:rPr>
          <w:rFonts w:ascii="Times New Roman" w:hAnsi="Times New Roman" w:cs="Times New Roman"/>
          <w:bCs/>
          <w:noProof/>
          <w:sz w:val="24"/>
        </w:rPr>
        <w:t xml:space="preserve"> </w:t>
      </w:r>
      <w:r w:rsidR="002B7A66" w:rsidRPr="00814046">
        <w:rPr>
          <w:rFonts w:ascii="Times New Roman" w:hAnsi="Times New Roman" w:cs="Times New Roman"/>
          <w:bCs/>
          <w:noProof/>
          <w:sz w:val="24"/>
        </w:rPr>
        <w:t xml:space="preserve">of </w:t>
      </w:r>
      <w:r>
        <w:rPr>
          <w:rFonts w:ascii="Times New Roman" w:hAnsi="Times New Roman" w:cs="Times New Roman"/>
          <w:bCs/>
          <w:noProof/>
          <w:sz w:val="24"/>
        </w:rPr>
        <w:t xml:space="preserve">the </w:t>
      </w:r>
      <w:r w:rsidR="007C3AED">
        <w:rPr>
          <w:rFonts w:ascii="Times New Roman" w:hAnsi="Times New Roman" w:cs="Times New Roman"/>
          <w:bCs/>
          <w:noProof/>
          <w:sz w:val="24"/>
        </w:rPr>
        <w:t>GDPR</w:t>
      </w:r>
      <w:r w:rsidR="00A7280C">
        <w:rPr>
          <w:rFonts w:ascii="Times New Roman" w:hAnsi="Times New Roman" w:cs="Times New Roman"/>
          <w:bCs/>
          <w:noProof/>
          <w:sz w:val="24"/>
        </w:rPr>
        <w:t xml:space="preserve"> </w:t>
      </w:r>
      <w:r>
        <w:rPr>
          <w:rFonts w:ascii="Times New Roman" w:hAnsi="Times New Roman" w:cs="Times New Roman"/>
          <w:bCs/>
          <w:noProof/>
          <w:sz w:val="24"/>
        </w:rPr>
        <w:t xml:space="preserve">requires the Commission </w:t>
      </w:r>
      <w:r w:rsidR="00A7280C">
        <w:rPr>
          <w:rFonts w:ascii="Times New Roman" w:hAnsi="Times New Roman" w:cs="Times New Roman"/>
          <w:bCs/>
          <w:noProof/>
          <w:sz w:val="24"/>
        </w:rPr>
        <w:t xml:space="preserve">to </w:t>
      </w:r>
      <w:r w:rsidR="00891D7A">
        <w:rPr>
          <w:rFonts w:ascii="Times New Roman" w:hAnsi="Times New Roman" w:cs="Times New Roman"/>
          <w:bCs/>
          <w:noProof/>
          <w:sz w:val="24"/>
        </w:rPr>
        <w:t xml:space="preserve">periodically </w:t>
      </w:r>
      <w:r w:rsidR="00A7280C">
        <w:rPr>
          <w:rFonts w:ascii="Times New Roman" w:hAnsi="Times New Roman" w:cs="Times New Roman"/>
          <w:bCs/>
          <w:noProof/>
          <w:sz w:val="24"/>
        </w:rPr>
        <w:t>review these decisions</w:t>
      </w:r>
      <w:r w:rsidR="002245C6">
        <w:rPr>
          <w:rFonts w:ascii="Times New Roman" w:hAnsi="Times New Roman" w:cs="Times New Roman"/>
          <w:bCs/>
          <w:noProof/>
          <w:sz w:val="24"/>
        </w:rPr>
        <w:t>, every four year</w:t>
      </w:r>
      <w:r w:rsidR="004563B9">
        <w:rPr>
          <w:rFonts w:ascii="Times New Roman" w:hAnsi="Times New Roman" w:cs="Times New Roman"/>
          <w:bCs/>
          <w:noProof/>
          <w:sz w:val="24"/>
        </w:rPr>
        <w:t>s</w:t>
      </w:r>
      <w:r w:rsidR="00A3676F">
        <w:rPr>
          <w:rFonts w:ascii="Times New Roman" w:hAnsi="Times New Roman" w:cs="Times New Roman"/>
          <w:bCs/>
          <w:noProof/>
          <w:sz w:val="24"/>
        </w:rPr>
        <w:t>,</w:t>
      </w:r>
      <w:r w:rsidR="003214F7">
        <w:rPr>
          <w:rFonts w:ascii="Times New Roman" w:hAnsi="Times New Roman" w:cs="Times New Roman"/>
          <w:bCs/>
          <w:noProof/>
          <w:sz w:val="24"/>
        </w:rPr>
        <w:t xml:space="preserve"> </w:t>
      </w:r>
      <w:r w:rsidR="004C3533">
        <w:rPr>
          <w:rFonts w:ascii="Times New Roman" w:hAnsi="Times New Roman" w:cs="Times New Roman"/>
          <w:bCs/>
          <w:noProof/>
          <w:sz w:val="24"/>
        </w:rPr>
        <w:t>in order to determine whether the countries</w:t>
      </w:r>
      <w:r w:rsidR="003214F7">
        <w:rPr>
          <w:rFonts w:ascii="Times New Roman" w:hAnsi="Times New Roman" w:cs="Times New Roman"/>
          <w:bCs/>
          <w:noProof/>
          <w:sz w:val="24"/>
        </w:rPr>
        <w:t xml:space="preserve"> and territories</w:t>
      </w:r>
      <w:r w:rsidR="004C3533">
        <w:rPr>
          <w:rFonts w:ascii="Times New Roman" w:hAnsi="Times New Roman" w:cs="Times New Roman"/>
          <w:bCs/>
          <w:noProof/>
          <w:sz w:val="24"/>
        </w:rPr>
        <w:t xml:space="preserve"> </w:t>
      </w:r>
      <w:r w:rsidR="006F643E">
        <w:rPr>
          <w:rFonts w:ascii="Times New Roman" w:hAnsi="Times New Roman" w:cs="Times New Roman"/>
          <w:bCs/>
          <w:noProof/>
          <w:sz w:val="24"/>
        </w:rPr>
        <w:t>that received an adequacy finding</w:t>
      </w:r>
      <w:r w:rsidR="004C3533">
        <w:rPr>
          <w:rFonts w:ascii="Times New Roman" w:hAnsi="Times New Roman" w:cs="Times New Roman"/>
          <w:bCs/>
          <w:noProof/>
          <w:sz w:val="24"/>
        </w:rPr>
        <w:t xml:space="preserve"> continue to provide an adequate level of protection </w:t>
      </w:r>
      <w:r w:rsidR="005B589B">
        <w:rPr>
          <w:rFonts w:ascii="Times New Roman" w:hAnsi="Times New Roman" w:cs="Times New Roman"/>
          <w:bCs/>
          <w:noProof/>
          <w:sz w:val="24"/>
        </w:rPr>
        <w:t>for</w:t>
      </w:r>
      <w:r w:rsidR="004C3533">
        <w:rPr>
          <w:rFonts w:ascii="Times New Roman" w:hAnsi="Times New Roman" w:cs="Times New Roman"/>
          <w:bCs/>
          <w:noProof/>
          <w:sz w:val="24"/>
        </w:rPr>
        <w:t xml:space="preserve"> personal data.</w:t>
      </w:r>
    </w:p>
    <w:p w14:paraId="08B6F619" w14:textId="3C73A166" w:rsidR="008A5A6E" w:rsidRDefault="008A5A6E" w:rsidP="00386EAC">
      <w:pPr>
        <w:jc w:val="both"/>
        <w:rPr>
          <w:rFonts w:ascii="Times New Roman" w:hAnsi="Times New Roman" w:cs="Times New Roman"/>
          <w:bCs/>
          <w:noProof/>
          <w:sz w:val="24"/>
        </w:rPr>
      </w:pPr>
      <w:r w:rsidRPr="00814046">
        <w:rPr>
          <w:rFonts w:ascii="Times New Roman" w:hAnsi="Times New Roman" w:cs="Times New Roman"/>
          <w:bCs/>
          <w:noProof/>
          <w:sz w:val="24"/>
        </w:rPr>
        <w:t>Th</w:t>
      </w:r>
      <w:r>
        <w:rPr>
          <w:rFonts w:ascii="Times New Roman" w:hAnsi="Times New Roman" w:cs="Times New Roman"/>
          <w:bCs/>
          <w:noProof/>
          <w:sz w:val="24"/>
        </w:rPr>
        <w:t>is first</w:t>
      </w:r>
      <w:r w:rsidRPr="00814046">
        <w:rPr>
          <w:rFonts w:ascii="Times New Roman" w:hAnsi="Times New Roman" w:cs="Times New Roman"/>
          <w:bCs/>
          <w:noProof/>
          <w:sz w:val="24"/>
        </w:rPr>
        <w:t xml:space="preserve"> </w:t>
      </w:r>
      <w:r>
        <w:rPr>
          <w:rFonts w:ascii="Times New Roman" w:hAnsi="Times New Roman" w:cs="Times New Roman"/>
          <w:bCs/>
          <w:noProof/>
          <w:sz w:val="24"/>
        </w:rPr>
        <w:t>review</w:t>
      </w:r>
      <w:r w:rsidRPr="00814046">
        <w:rPr>
          <w:rFonts w:ascii="Times New Roman" w:hAnsi="Times New Roman" w:cs="Times New Roman"/>
          <w:bCs/>
          <w:noProof/>
          <w:sz w:val="24"/>
        </w:rPr>
        <w:t xml:space="preserve"> </w:t>
      </w:r>
      <w:r>
        <w:rPr>
          <w:rFonts w:ascii="Times New Roman" w:hAnsi="Times New Roman" w:cs="Times New Roman"/>
          <w:bCs/>
          <w:noProof/>
          <w:sz w:val="24"/>
        </w:rPr>
        <w:t>of the adequacy decisions adopted under the former EU data protection framework was initiated as part of a broader</w:t>
      </w:r>
      <w:r w:rsidRPr="00814046">
        <w:rPr>
          <w:rFonts w:ascii="Times New Roman" w:hAnsi="Times New Roman" w:cs="Times New Roman"/>
          <w:bCs/>
          <w:noProof/>
          <w:sz w:val="24"/>
        </w:rPr>
        <w:t xml:space="preserve"> </w:t>
      </w:r>
      <w:r>
        <w:rPr>
          <w:rFonts w:ascii="Times New Roman" w:hAnsi="Times New Roman" w:cs="Times New Roman"/>
          <w:bCs/>
          <w:noProof/>
          <w:sz w:val="24"/>
        </w:rPr>
        <w:t xml:space="preserve">evaluation </w:t>
      </w:r>
      <w:r w:rsidRPr="00814046">
        <w:rPr>
          <w:rFonts w:ascii="Times New Roman" w:hAnsi="Times New Roman" w:cs="Times New Roman"/>
          <w:bCs/>
          <w:noProof/>
          <w:sz w:val="24"/>
        </w:rPr>
        <w:t xml:space="preserve">of the application </w:t>
      </w:r>
      <w:r>
        <w:rPr>
          <w:rFonts w:ascii="Times New Roman" w:hAnsi="Times New Roman" w:cs="Times New Roman"/>
          <w:bCs/>
          <w:noProof/>
          <w:sz w:val="24"/>
        </w:rPr>
        <w:t>and functioning of the GDPR on which the Commission presented its findings in its “</w:t>
      </w:r>
      <w:r w:rsidRPr="00814046">
        <w:rPr>
          <w:rFonts w:ascii="Times New Roman" w:hAnsi="Times New Roman" w:cs="Times New Roman"/>
          <w:bCs/>
          <w:noProof/>
          <w:sz w:val="24"/>
        </w:rPr>
        <w:t>Communication on Data protection as a pillar of citizens’ empowerment and the EU’s approach to the digital transition – two years of application of the General Data Protection Regulation</w:t>
      </w:r>
      <w:r>
        <w:rPr>
          <w:rFonts w:ascii="Times New Roman" w:hAnsi="Times New Roman" w:cs="Times New Roman"/>
          <w:bCs/>
          <w:noProof/>
          <w:sz w:val="24"/>
        </w:rPr>
        <w:t>”</w:t>
      </w:r>
      <w:r>
        <w:rPr>
          <w:rStyle w:val="FootnoteReference"/>
          <w:rFonts w:ascii="Times New Roman" w:hAnsi="Times New Roman" w:cs="Times New Roman"/>
          <w:bCs/>
          <w:noProof/>
          <w:sz w:val="24"/>
        </w:rPr>
        <w:footnoteReference w:id="17"/>
      </w:r>
      <w:r>
        <w:rPr>
          <w:rFonts w:ascii="Times New Roman" w:hAnsi="Times New Roman" w:cs="Times New Roman"/>
          <w:bCs/>
          <w:noProof/>
          <w:sz w:val="24"/>
        </w:rPr>
        <w:t xml:space="preserve">. However, the conclusion of this aspect of the review was postponed in order the take into account the judgment of the Court of Justice in the </w:t>
      </w:r>
      <w:r w:rsidRPr="00AD3D6A">
        <w:rPr>
          <w:rFonts w:ascii="Times New Roman" w:hAnsi="Times New Roman" w:cs="Times New Roman"/>
          <w:bCs/>
          <w:i/>
          <w:noProof/>
          <w:sz w:val="24"/>
        </w:rPr>
        <w:t>Schrems II</w:t>
      </w:r>
      <w:r>
        <w:rPr>
          <w:rFonts w:ascii="Times New Roman" w:hAnsi="Times New Roman" w:cs="Times New Roman"/>
          <w:bCs/>
          <w:noProof/>
          <w:sz w:val="24"/>
        </w:rPr>
        <w:t xml:space="preserve"> case</w:t>
      </w:r>
      <w:r>
        <w:rPr>
          <w:rStyle w:val="FootnoteReference"/>
          <w:rFonts w:ascii="Times New Roman" w:hAnsi="Times New Roman" w:cs="Times New Roman"/>
          <w:bCs/>
          <w:noProof/>
          <w:sz w:val="24"/>
        </w:rPr>
        <w:footnoteReference w:id="18"/>
      </w:r>
      <w:r>
        <w:rPr>
          <w:rFonts w:ascii="Times New Roman" w:hAnsi="Times New Roman" w:cs="Times New Roman"/>
          <w:bCs/>
          <w:noProof/>
          <w:sz w:val="24"/>
        </w:rPr>
        <w:t>, in which the Court</w:t>
      </w:r>
      <w:r w:rsidRPr="00814046">
        <w:rPr>
          <w:rFonts w:ascii="Times New Roman" w:hAnsi="Times New Roman" w:cs="Times New Roman"/>
          <w:bCs/>
          <w:noProof/>
          <w:sz w:val="24"/>
        </w:rPr>
        <w:t xml:space="preserve"> provide</w:t>
      </w:r>
      <w:r>
        <w:rPr>
          <w:rFonts w:ascii="Times New Roman" w:hAnsi="Times New Roman" w:cs="Times New Roman"/>
          <w:bCs/>
          <w:noProof/>
          <w:sz w:val="24"/>
        </w:rPr>
        <w:t>d important</w:t>
      </w:r>
      <w:r w:rsidRPr="00814046">
        <w:rPr>
          <w:rFonts w:ascii="Times New Roman" w:hAnsi="Times New Roman" w:cs="Times New Roman"/>
          <w:bCs/>
          <w:noProof/>
          <w:sz w:val="24"/>
        </w:rPr>
        <w:t xml:space="preserve"> clarifications </w:t>
      </w:r>
      <w:r>
        <w:rPr>
          <w:rFonts w:ascii="Times New Roman" w:hAnsi="Times New Roman" w:cs="Times New Roman"/>
          <w:bCs/>
          <w:noProof/>
          <w:sz w:val="24"/>
        </w:rPr>
        <w:t>on</w:t>
      </w:r>
      <w:r w:rsidRPr="00814046">
        <w:rPr>
          <w:rFonts w:ascii="Times New Roman" w:hAnsi="Times New Roman" w:cs="Times New Roman"/>
          <w:bCs/>
          <w:noProof/>
          <w:sz w:val="24"/>
        </w:rPr>
        <w:t xml:space="preserve"> </w:t>
      </w:r>
      <w:r>
        <w:rPr>
          <w:rFonts w:ascii="Times New Roman" w:hAnsi="Times New Roman" w:cs="Times New Roman"/>
          <w:bCs/>
          <w:noProof/>
          <w:sz w:val="24"/>
        </w:rPr>
        <w:t>key</w:t>
      </w:r>
      <w:r w:rsidRPr="00814046">
        <w:rPr>
          <w:rFonts w:ascii="Times New Roman" w:hAnsi="Times New Roman" w:cs="Times New Roman"/>
          <w:bCs/>
          <w:noProof/>
          <w:sz w:val="24"/>
        </w:rPr>
        <w:t xml:space="preserve"> elements of the adequacy standard</w:t>
      </w:r>
      <w:r>
        <w:rPr>
          <w:rFonts w:ascii="Times New Roman" w:hAnsi="Times New Roman" w:cs="Times New Roman"/>
          <w:bCs/>
          <w:noProof/>
          <w:sz w:val="24"/>
        </w:rPr>
        <w:t>, as well as other related developments. In turn, this led to detailed</w:t>
      </w:r>
      <w:r w:rsidRPr="00814046">
        <w:rPr>
          <w:rFonts w:ascii="Times New Roman" w:hAnsi="Times New Roman" w:cs="Times New Roman"/>
          <w:bCs/>
          <w:noProof/>
          <w:sz w:val="24"/>
        </w:rPr>
        <w:t xml:space="preserve"> </w:t>
      </w:r>
      <w:r>
        <w:rPr>
          <w:rFonts w:ascii="Times New Roman" w:hAnsi="Times New Roman" w:cs="Times New Roman"/>
          <w:bCs/>
          <w:noProof/>
          <w:sz w:val="24"/>
        </w:rPr>
        <w:t xml:space="preserve">exchanges with the countries and territories </w:t>
      </w:r>
      <w:r w:rsidR="00BD7A98">
        <w:rPr>
          <w:rFonts w:ascii="Times New Roman" w:hAnsi="Times New Roman" w:cs="Times New Roman"/>
          <w:bCs/>
          <w:noProof/>
          <w:sz w:val="24"/>
        </w:rPr>
        <w:t xml:space="preserve">concerned </w:t>
      </w:r>
      <w:r>
        <w:rPr>
          <w:rFonts w:ascii="Times New Roman" w:hAnsi="Times New Roman" w:cs="Times New Roman"/>
          <w:bCs/>
          <w:noProof/>
          <w:sz w:val="24"/>
        </w:rPr>
        <w:t>on relevant aspects of their legal framework, oversight mechanisms and enforcement system</w:t>
      </w:r>
      <w:r>
        <w:rPr>
          <w:rStyle w:val="FootnoteReference"/>
          <w:rFonts w:ascii="Times New Roman" w:hAnsi="Times New Roman" w:cs="Times New Roman"/>
          <w:bCs/>
          <w:noProof/>
          <w:sz w:val="24"/>
        </w:rPr>
        <w:footnoteReference w:id="19"/>
      </w:r>
      <w:r>
        <w:rPr>
          <w:rFonts w:ascii="Times New Roman" w:hAnsi="Times New Roman" w:cs="Times New Roman"/>
          <w:bCs/>
          <w:noProof/>
          <w:sz w:val="24"/>
        </w:rPr>
        <w:t>.</w:t>
      </w:r>
      <w:r w:rsidR="00AF4673">
        <w:rPr>
          <w:rFonts w:ascii="Times New Roman" w:hAnsi="Times New Roman" w:cs="Times New Roman"/>
          <w:bCs/>
          <w:noProof/>
          <w:sz w:val="24"/>
        </w:rPr>
        <w:t xml:space="preserve"> The present report takes full account of all these developments, both in the EU and the third countries and territories</w:t>
      </w:r>
      <w:r w:rsidR="00BD7A98">
        <w:rPr>
          <w:rFonts w:ascii="Times New Roman" w:hAnsi="Times New Roman" w:cs="Times New Roman"/>
          <w:bCs/>
          <w:noProof/>
          <w:sz w:val="24"/>
        </w:rPr>
        <w:t xml:space="preserve"> concerned</w:t>
      </w:r>
      <w:r w:rsidR="00AF4673">
        <w:rPr>
          <w:rFonts w:ascii="Times New Roman" w:hAnsi="Times New Roman" w:cs="Times New Roman"/>
          <w:bCs/>
          <w:noProof/>
          <w:sz w:val="24"/>
        </w:rPr>
        <w:t xml:space="preserve">. </w:t>
      </w:r>
    </w:p>
    <w:p w14:paraId="518BBE2F" w14:textId="6A57CC6D" w:rsidR="000A2CF4" w:rsidRDefault="0010650D" w:rsidP="00386EAC">
      <w:pPr>
        <w:jc w:val="both"/>
        <w:rPr>
          <w:rFonts w:ascii="Times New Roman" w:hAnsi="Times New Roman" w:cs="Times New Roman"/>
          <w:noProof/>
          <w:sz w:val="24"/>
          <w:szCs w:val="24"/>
        </w:rPr>
      </w:pPr>
      <w:r>
        <w:rPr>
          <w:rFonts w:ascii="Times New Roman" w:hAnsi="Times New Roman" w:cs="Times New Roman"/>
          <w:bCs/>
          <w:noProof/>
          <w:sz w:val="24"/>
        </w:rPr>
        <w:t>Importantly, t</w:t>
      </w:r>
      <w:r w:rsidR="005B23FA">
        <w:rPr>
          <w:rFonts w:ascii="Times New Roman" w:hAnsi="Times New Roman" w:cs="Times New Roman"/>
          <w:bCs/>
          <w:noProof/>
          <w:sz w:val="24"/>
        </w:rPr>
        <w:t>his first review takes place against the back</w:t>
      </w:r>
      <w:r w:rsidR="00507F09">
        <w:rPr>
          <w:rFonts w:ascii="Times New Roman" w:hAnsi="Times New Roman" w:cs="Times New Roman"/>
          <w:bCs/>
          <w:noProof/>
          <w:sz w:val="24"/>
        </w:rPr>
        <w:t xml:space="preserve">drop </w:t>
      </w:r>
      <w:r w:rsidR="00791DCE">
        <w:rPr>
          <w:rFonts w:ascii="Times New Roman" w:hAnsi="Times New Roman" w:cs="Times New Roman"/>
          <w:bCs/>
          <w:noProof/>
          <w:sz w:val="24"/>
        </w:rPr>
        <w:t xml:space="preserve">of the exponential development of digital technologies. </w:t>
      </w:r>
      <w:r w:rsidR="00E82109">
        <w:rPr>
          <w:rFonts w:ascii="Times New Roman" w:hAnsi="Times New Roman" w:cs="Times New Roman"/>
          <w:bCs/>
          <w:noProof/>
          <w:sz w:val="24"/>
        </w:rPr>
        <w:t xml:space="preserve">Over the past decades, the importance of </w:t>
      </w:r>
      <w:r w:rsidR="00BA27B6">
        <w:rPr>
          <w:rFonts w:ascii="Times New Roman" w:hAnsi="Times New Roman" w:cs="Times New Roman"/>
          <w:bCs/>
          <w:noProof/>
          <w:sz w:val="24"/>
        </w:rPr>
        <w:t>adequacy</w:t>
      </w:r>
      <w:r w:rsidR="00E82109">
        <w:rPr>
          <w:rFonts w:ascii="Times New Roman" w:hAnsi="Times New Roman" w:cs="Times New Roman"/>
          <w:bCs/>
          <w:noProof/>
          <w:sz w:val="24"/>
        </w:rPr>
        <w:t xml:space="preserve"> decisions has increased </w:t>
      </w:r>
      <w:r w:rsidR="000A2CF4">
        <w:rPr>
          <w:rFonts w:ascii="Times New Roman" w:hAnsi="Times New Roman" w:cs="Times New Roman"/>
          <w:bCs/>
          <w:noProof/>
          <w:sz w:val="24"/>
        </w:rPr>
        <w:t xml:space="preserve">considerably </w:t>
      </w:r>
      <w:r w:rsidR="00E82109">
        <w:rPr>
          <w:rFonts w:ascii="Times New Roman" w:hAnsi="Times New Roman" w:cs="Times New Roman"/>
          <w:bCs/>
          <w:noProof/>
          <w:sz w:val="24"/>
        </w:rPr>
        <w:t xml:space="preserve">as data flows </w:t>
      </w:r>
      <w:r w:rsidR="005B23FA">
        <w:rPr>
          <w:rFonts w:ascii="Times New Roman" w:hAnsi="Times New Roman" w:cs="Times New Roman"/>
          <w:bCs/>
          <w:noProof/>
          <w:sz w:val="24"/>
        </w:rPr>
        <w:t xml:space="preserve">have become an integral element of the digital transformation of the society and the globalisation of the economy. The transfer of data across borders </w:t>
      </w:r>
      <w:r w:rsidR="00507F09">
        <w:rPr>
          <w:rFonts w:ascii="Times New Roman" w:hAnsi="Times New Roman" w:cs="Times New Roman"/>
          <w:bCs/>
          <w:noProof/>
          <w:sz w:val="24"/>
        </w:rPr>
        <w:t>has become</w:t>
      </w:r>
      <w:r w:rsidR="005B23FA">
        <w:rPr>
          <w:rFonts w:ascii="Times New Roman" w:hAnsi="Times New Roman" w:cs="Times New Roman"/>
          <w:bCs/>
          <w:noProof/>
          <w:sz w:val="24"/>
        </w:rPr>
        <w:t xml:space="preserve"> part of the daily operations of European companies of all sizes, across all sectors. More than eve</w:t>
      </w:r>
      <w:r w:rsidR="00794AD7">
        <w:rPr>
          <w:rFonts w:ascii="Times New Roman" w:hAnsi="Times New Roman" w:cs="Times New Roman"/>
          <w:bCs/>
          <w:noProof/>
          <w:sz w:val="24"/>
        </w:rPr>
        <w:t>r</w:t>
      </w:r>
      <w:r w:rsidR="005B23FA">
        <w:rPr>
          <w:rFonts w:ascii="Times New Roman" w:hAnsi="Times New Roman" w:cs="Times New Roman"/>
          <w:bCs/>
          <w:noProof/>
          <w:sz w:val="24"/>
        </w:rPr>
        <w:t xml:space="preserve"> before, respecting privacy is a condition for stable, secure</w:t>
      </w:r>
      <w:r w:rsidR="00BD7A98">
        <w:rPr>
          <w:rFonts w:ascii="Times New Roman" w:hAnsi="Times New Roman" w:cs="Times New Roman"/>
          <w:bCs/>
          <w:noProof/>
          <w:sz w:val="24"/>
        </w:rPr>
        <w:t>,</w:t>
      </w:r>
      <w:r w:rsidR="005B23FA">
        <w:rPr>
          <w:rFonts w:ascii="Times New Roman" w:hAnsi="Times New Roman" w:cs="Times New Roman"/>
          <w:bCs/>
          <w:noProof/>
          <w:sz w:val="24"/>
        </w:rPr>
        <w:t xml:space="preserve"> and competitive commercial flows. </w:t>
      </w:r>
      <w:r w:rsidR="00791DCE">
        <w:rPr>
          <w:rFonts w:ascii="Times New Roman" w:hAnsi="Times New Roman" w:cs="Times New Roman"/>
          <w:bCs/>
          <w:noProof/>
          <w:sz w:val="24"/>
        </w:rPr>
        <w:t>In that context, adequacy decisions play a</w:t>
      </w:r>
      <w:r w:rsidR="000A2CF4">
        <w:rPr>
          <w:rFonts w:ascii="Times New Roman" w:hAnsi="Times New Roman" w:cs="Times New Roman"/>
          <w:bCs/>
          <w:noProof/>
          <w:sz w:val="24"/>
        </w:rPr>
        <w:t>n increasingly</w:t>
      </w:r>
      <w:r w:rsidR="00791DCE">
        <w:rPr>
          <w:rFonts w:ascii="Times New Roman" w:hAnsi="Times New Roman" w:cs="Times New Roman"/>
          <w:bCs/>
          <w:noProof/>
          <w:sz w:val="24"/>
        </w:rPr>
        <w:t xml:space="preserve"> key role</w:t>
      </w:r>
      <w:r w:rsidR="000A2CF4">
        <w:rPr>
          <w:rFonts w:ascii="Times New Roman" w:hAnsi="Times New Roman" w:cs="Times New Roman"/>
          <w:bCs/>
          <w:noProof/>
          <w:sz w:val="24"/>
        </w:rPr>
        <w:t>,</w:t>
      </w:r>
      <w:r w:rsidR="00791DCE">
        <w:rPr>
          <w:rFonts w:ascii="Times New Roman" w:hAnsi="Times New Roman" w:cs="Times New Roman"/>
          <w:bCs/>
          <w:noProof/>
          <w:sz w:val="24"/>
        </w:rPr>
        <w:t xml:space="preserve"> in </w:t>
      </w:r>
      <w:r w:rsidR="005900CC">
        <w:rPr>
          <w:rFonts w:ascii="Times New Roman" w:hAnsi="Times New Roman" w:cs="Times New Roman"/>
          <w:bCs/>
          <w:noProof/>
          <w:sz w:val="24"/>
        </w:rPr>
        <w:t>many</w:t>
      </w:r>
      <w:r w:rsidR="00791DCE">
        <w:rPr>
          <w:rFonts w:ascii="Times New Roman" w:hAnsi="Times New Roman" w:cs="Times New Roman"/>
          <w:bCs/>
          <w:noProof/>
          <w:sz w:val="24"/>
        </w:rPr>
        <w:t xml:space="preserve"> ways. </w:t>
      </w:r>
      <w:r>
        <w:rPr>
          <w:rFonts w:ascii="Times New Roman" w:hAnsi="Times New Roman" w:cs="Times New Roman"/>
          <w:bCs/>
          <w:noProof/>
          <w:sz w:val="24"/>
        </w:rPr>
        <w:t>By ensuring that protection travels with the da</w:t>
      </w:r>
      <w:r w:rsidR="005138A0">
        <w:rPr>
          <w:rFonts w:ascii="Times New Roman" w:hAnsi="Times New Roman" w:cs="Times New Roman"/>
          <w:bCs/>
          <w:noProof/>
          <w:sz w:val="24"/>
        </w:rPr>
        <w:t>ta</w:t>
      </w:r>
      <w:r>
        <w:rPr>
          <w:rFonts w:ascii="Times New Roman" w:hAnsi="Times New Roman" w:cs="Times New Roman"/>
          <w:bCs/>
          <w:noProof/>
          <w:sz w:val="24"/>
        </w:rPr>
        <w:t>, t</w:t>
      </w:r>
      <w:r w:rsidR="00791DCE">
        <w:rPr>
          <w:rFonts w:ascii="Times New Roman" w:hAnsi="Times New Roman" w:cs="Times New Roman"/>
          <w:bCs/>
          <w:noProof/>
          <w:sz w:val="24"/>
        </w:rPr>
        <w:t>hey enable safe data flows,</w:t>
      </w:r>
      <w:r w:rsidR="00507F09">
        <w:rPr>
          <w:rFonts w:ascii="Times New Roman" w:hAnsi="Times New Roman" w:cs="Times New Roman"/>
          <w:bCs/>
          <w:noProof/>
          <w:sz w:val="24"/>
        </w:rPr>
        <w:t xml:space="preserve"> </w:t>
      </w:r>
      <w:r w:rsidR="000A2CF4">
        <w:rPr>
          <w:rFonts w:ascii="Times New Roman" w:hAnsi="Times New Roman" w:cs="Times New Roman"/>
          <w:bCs/>
          <w:noProof/>
          <w:sz w:val="24"/>
        </w:rPr>
        <w:t>respect</w:t>
      </w:r>
      <w:r w:rsidR="00507F09">
        <w:rPr>
          <w:rFonts w:ascii="Times New Roman" w:hAnsi="Times New Roman" w:cs="Times New Roman"/>
          <w:bCs/>
          <w:noProof/>
          <w:sz w:val="24"/>
        </w:rPr>
        <w:t>ful of</w:t>
      </w:r>
      <w:r w:rsidR="00791DCE">
        <w:rPr>
          <w:rFonts w:ascii="Times New Roman" w:hAnsi="Times New Roman" w:cs="Times New Roman"/>
          <w:bCs/>
          <w:noProof/>
          <w:sz w:val="24"/>
        </w:rPr>
        <w:t xml:space="preserve"> individual</w:t>
      </w:r>
      <w:r w:rsidR="000A2CF4">
        <w:rPr>
          <w:rFonts w:ascii="Times New Roman" w:hAnsi="Times New Roman" w:cs="Times New Roman"/>
          <w:bCs/>
          <w:noProof/>
          <w:sz w:val="24"/>
        </w:rPr>
        <w:t>s’</w:t>
      </w:r>
      <w:r w:rsidR="00791DCE">
        <w:rPr>
          <w:rFonts w:ascii="Times New Roman" w:hAnsi="Times New Roman" w:cs="Times New Roman"/>
          <w:bCs/>
          <w:noProof/>
          <w:sz w:val="24"/>
        </w:rPr>
        <w:t xml:space="preserve"> rights in line with the EU human-centred approach to the digital transformation. </w:t>
      </w:r>
      <w:r w:rsidR="000A2CF4">
        <w:rPr>
          <w:rFonts w:ascii="Times New Roman" w:hAnsi="Times New Roman" w:cs="Times New Roman"/>
          <w:bCs/>
          <w:noProof/>
          <w:sz w:val="24"/>
        </w:rPr>
        <w:t>By involving a recognition of a third countries’ privacy framework as delivering a level of protection</w:t>
      </w:r>
      <w:r w:rsidR="00794AD7">
        <w:rPr>
          <w:rFonts w:ascii="Times New Roman" w:hAnsi="Times New Roman" w:cs="Times New Roman"/>
          <w:bCs/>
          <w:noProof/>
          <w:sz w:val="24"/>
        </w:rPr>
        <w:t xml:space="preserve"> that is essentially equivalent to</w:t>
      </w:r>
      <w:r w:rsidR="00507F09">
        <w:rPr>
          <w:rFonts w:ascii="Times New Roman" w:hAnsi="Times New Roman" w:cs="Times New Roman"/>
          <w:bCs/>
          <w:noProof/>
          <w:sz w:val="24"/>
        </w:rPr>
        <w:t xml:space="preserve"> the EU one</w:t>
      </w:r>
      <w:r w:rsidR="000A2CF4">
        <w:rPr>
          <w:rFonts w:ascii="Times New Roman" w:hAnsi="Times New Roman" w:cs="Times New Roman"/>
          <w:bCs/>
          <w:noProof/>
          <w:sz w:val="24"/>
        </w:rPr>
        <w:t>, the</w:t>
      </w:r>
      <w:r w:rsidR="00507F09">
        <w:rPr>
          <w:rFonts w:ascii="Times New Roman" w:hAnsi="Times New Roman" w:cs="Times New Roman"/>
          <w:bCs/>
          <w:noProof/>
          <w:sz w:val="24"/>
        </w:rPr>
        <w:t>y</w:t>
      </w:r>
      <w:r w:rsidR="000A2CF4">
        <w:rPr>
          <w:rFonts w:ascii="Times New Roman" w:hAnsi="Times New Roman" w:cs="Times New Roman"/>
          <w:bCs/>
          <w:noProof/>
          <w:sz w:val="24"/>
        </w:rPr>
        <w:t xml:space="preserve"> promote convergence between </w:t>
      </w:r>
      <w:r w:rsidR="00A4614A">
        <w:rPr>
          <w:rFonts w:ascii="Times New Roman" w:hAnsi="Times New Roman" w:cs="Times New Roman"/>
          <w:bCs/>
          <w:noProof/>
          <w:sz w:val="24"/>
        </w:rPr>
        <w:t>privacy</w:t>
      </w:r>
      <w:r w:rsidR="000A2CF4">
        <w:rPr>
          <w:rFonts w:ascii="Times New Roman" w:hAnsi="Times New Roman" w:cs="Times New Roman"/>
          <w:bCs/>
          <w:noProof/>
          <w:sz w:val="24"/>
        </w:rPr>
        <w:t xml:space="preserve"> systems</w:t>
      </w:r>
      <w:r w:rsidR="00507F09">
        <w:rPr>
          <w:rFonts w:ascii="Times New Roman" w:hAnsi="Times New Roman" w:cs="Times New Roman"/>
          <w:bCs/>
          <w:noProof/>
          <w:sz w:val="24"/>
        </w:rPr>
        <w:t xml:space="preserve"> based on high standards of protection</w:t>
      </w:r>
      <w:r w:rsidR="000A2CF4">
        <w:rPr>
          <w:rFonts w:ascii="Times New Roman" w:hAnsi="Times New Roman" w:cs="Times New Roman"/>
          <w:bCs/>
          <w:noProof/>
          <w:sz w:val="24"/>
        </w:rPr>
        <w:t>.</w:t>
      </w:r>
      <w:r w:rsidR="005138A0">
        <w:rPr>
          <w:rFonts w:ascii="Times New Roman" w:hAnsi="Times New Roman" w:cs="Times New Roman"/>
          <w:bCs/>
          <w:noProof/>
          <w:sz w:val="24"/>
        </w:rPr>
        <w:t xml:space="preserve"> </w:t>
      </w:r>
      <w:r w:rsidR="00A4614A">
        <w:rPr>
          <w:rFonts w:ascii="Times New Roman" w:hAnsi="Times New Roman" w:cs="Times New Roman"/>
          <w:bCs/>
          <w:noProof/>
          <w:sz w:val="24"/>
        </w:rPr>
        <w:t>Moreover</w:t>
      </w:r>
      <w:r w:rsidR="00E32DFE">
        <w:rPr>
          <w:rFonts w:ascii="Times New Roman" w:hAnsi="Times New Roman" w:cs="Times New Roman"/>
          <w:bCs/>
          <w:noProof/>
          <w:sz w:val="24"/>
        </w:rPr>
        <w:t>,</w:t>
      </w:r>
      <w:r w:rsidR="005138A0">
        <w:rPr>
          <w:rFonts w:ascii="Times New Roman" w:hAnsi="Times New Roman" w:cs="Times New Roman"/>
          <w:bCs/>
          <w:noProof/>
          <w:sz w:val="24"/>
        </w:rPr>
        <w:t xml:space="preserve"> as </w:t>
      </w:r>
      <w:r w:rsidR="008A5A6E">
        <w:rPr>
          <w:rFonts w:ascii="Times New Roman" w:hAnsi="Times New Roman" w:cs="Times New Roman"/>
          <w:bCs/>
          <w:noProof/>
          <w:sz w:val="24"/>
        </w:rPr>
        <w:t xml:space="preserve">explained in this report, rather than being an </w:t>
      </w:r>
      <w:r w:rsidR="00AF4673">
        <w:rPr>
          <w:rFonts w:ascii="Times New Roman" w:hAnsi="Times New Roman" w:cs="Times New Roman"/>
          <w:bCs/>
          <w:noProof/>
          <w:sz w:val="24"/>
        </w:rPr>
        <w:t>‘</w:t>
      </w:r>
      <w:r w:rsidR="008A5A6E">
        <w:rPr>
          <w:rFonts w:ascii="Times New Roman" w:hAnsi="Times New Roman" w:cs="Times New Roman"/>
          <w:bCs/>
          <w:noProof/>
          <w:sz w:val="24"/>
        </w:rPr>
        <w:t>end</w:t>
      </w:r>
      <w:r w:rsidR="00AF4673">
        <w:rPr>
          <w:rFonts w:ascii="Times New Roman" w:hAnsi="Times New Roman" w:cs="Times New Roman"/>
          <w:bCs/>
          <w:noProof/>
          <w:sz w:val="24"/>
        </w:rPr>
        <w:t xml:space="preserve"> </w:t>
      </w:r>
      <w:r w:rsidR="008A5A6E">
        <w:rPr>
          <w:rFonts w:ascii="Times New Roman" w:hAnsi="Times New Roman" w:cs="Times New Roman"/>
          <w:bCs/>
          <w:noProof/>
          <w:sz w:val="24"/>
        </w:rPr>
        <w:t>point</w:t>
      </w:r>
      <w:r w:rsidR="00AF4673">
        <w:rPr>
          <w:rFonts w:ascii="Times New Roman" w:hAnsi="Times New Roman" w:cs="Times New Roman"/>
          <w:bCs/>
          <w:noProof/>
          <w:sz w:val="24"/>
        </w:rPr>
        <w:t>’</w:t>
      </w:r>
      <w:r w:rsidR="00E32DFE">
        <w:rPr>
          <w:rFonts w:ascii="Times New Roman" w:hAnsi="Times New Roman" w:cs="Times New Roman"/>
          <w:bCs/>
          <w:noProof/>
          <w:sz w:val="24"/>
        </w:rPr>
        <w:t>,</w:t>
      </w:r>
      <w:r w:rsidR="008A5A6E">
        <w:rPr>
          <w:rFonts w:ascii="Times New Roman" w:hAnsi="Times New Roman" w:cs="Times New Roman"/>
          <w:bCs/>
          <w:noProof/>
          <w:sz w:val="24"/>
        </w:rPr>
        <w:t xml:space="preserve"> adequacy decisions have laid the foundation for closer cooperation and further regulatory convergence between </w:t>
      </w:r>
      <w:r w:rsidR="00AF4673">
        <w:rPr>
          <w:rFonts w:ascii="Times New Roman" w:hAnsi="Times New Roman" w:cs="Times New Roman"/>
          <w:bCs/>
          <w:noProof/>
          <w:sz w:val="24"/>
        </w:rPr>
        <w:t xml:space="preserve">the </w:t>
      </w:r>
      <w:r w:rsidR="008A5A6E">
        <w:rPr>
          <w:rFonts w:ascii="Times New Roman" w:hAnsi="Times New Roman" w:cs="Times New Roman"/>
          <w:bCs/>
          <w:noProof/>
          <w:sz w:val="24"/>
        </w:rPr>
        <w:t>EU and like-minded partners.</w:t>
      </w:r>
      <w:r w:rsidR="005138A0">
        <w:rPr>
          <w:rFonts w:ascii="Times New Roman" w:hAnsi="Times New Roman" w:cs="Times New Roman"/>
          <w:bCs/>
          <w:noProof/>
          <w:sz w:val="24"/>
        </w:rPr>
        <w:t xml:space="preserve"> By</w:t>
      </w:r>
      <w:r w:rsidR="000A2CF4">
        <w:rPr>
          <w:rFonts w:ascii="Times New Roman" w:hAnsi="Times New Roman" w:cs="Times New Roman"/>
          <w:bCs/>
          <w:noProof/>
          <w:sz w:val="24"/>
        </w:rPr>
        <w:t xml:space="preserve"> </w:t>
      </w:r>
      <w:r w:rsidR="005138A0">
        <w:rPr>
          <w:rFonts w:ascii="Times New Roman" w:hAnsi="Times New Roman" w:cs="Times New Roman"/>
          <w:bCs/>
          <w:noProof/>
          <w:sz w:val="24"/>
        </w:rPr>
        <w:t>e</w:t>
      </w:r>
      <w:r w:rsidR="005138A0" w:rsidRPr="005138A0">
        <w:rPr>
          <w:rFonts w:ascii="Times New Roman" w:hAnsi="Times New Roman" w:cs="Times New Roman"/>
          <w:bCs/>
          <w:noProof/>
          <w:sz w:val="24"/>
        </w:rPr>
        <w:t>nabl</w:t>
      </w:r>
      <w:r w:rsidR="005138A0">
        <w:rPr>
          <w:rFonts w:ascii="Times New Roman" w:hAnsi="Times New Roman" w:cs="Times New Roman"/>
          <w:bCs/>
          <w:noProof/>
          <w:sz w:val="24"/>
        </w:rPr>
        <w:t>ing</w:t>
      </w:r>
      <w:r w:rsidR="005138A0" w:rsidRPr="005138A0">
        <w:rPr>
          <w:rFonts w:ascii="Times New Roman" w:hAnsi="Times New Roman" w:cs="Times New Roman"/>
          <w:bCs/>
          <w:noProof/>
          <w:sz w:val="24"/>
        </w:rPr>
        <w:t xml:space="preserve"> the free flow of personal data</w:t>
      </w:r>
      <w:r w:rsidR="005138A0">
        <w:rPr>
          <w:rFonts w:ascii="Times New Roman" w:hAnsi="Times New Roman" w:cs="Times New Roman"/>
          <w:bCs/>
          <w:noProof/>
          <w:sz w:val="24"/>
        </w:rPr>
        <w:t>, t</w:t>
      </w:r>
      <w:r w:rsidR="00791DCE">
        <w:rPr>
          <w:rFonts w:ascii="Times New Roman" w:hAnsi="Times New Roman" w:cs="Times New Roman"/>
          <w:bCs/>
          <w:noProof/>
          <w:sz w:val="24"/>
        </w:rPr>
        <w:t>he</w:t>
      </w:r>
      <w:r w:rsidR="008A5A6E">
        <w:rPr>
          <w:rFonts w:ascii="Times New Roman" w:hAnsi="Times New Roman" w:cs="Times New Roman"/>
          <w:bCs/>
          <w:noProof/>
          <w:sz w:val="24"/>
        </w:rPr>
        <w:t>se decisions have</w:t>
      </w:r>
      <w:r w:rsidR="00791DCE">
        <w:rPr>
          <w:rFonts w:ascii="Times New Roman" w:hAnsi="Times New Roman" w:cs="Times New Roman"/>
          <w:bCs/>
          <w:noProof/>
          <w:sz w:val="24"/>
        </w:rPr>
        <w:t xml:space="preserve"> </w:t>
      </w:r>
      <w:r w:rsidR="000A2CF4">
        <w:rPr>
          <w:rFonts w:ascii="Times New Roman" w:hAnsi="Times New Roman" w:cs="Times New Roman"/>
          <w:bCs/>
          <w:noProof/>
          <w:sz w:val="24"/>
        </w:rPr>
        <w:t>open</w:t>
      </w:r>
      <w:r w:rsidR="008A5A6E">
        <w:rPr>
          <w:rFonts w:ascii="Times New Roman" w:hAnsi="Times New Roman" w:cs="Times New Roman"/>
          <w:bCs/>
          <w:noProof/>
          <w:sz w:val="24"/>
        </w:rPr>
        <w:t>ed</w:t>
      </w:r>
      <w:r w:rsidR="000A2CF4">
        <w:rPr>
          <w:rFonts w:ascii="Times New Roman" w:hAnsi="Times New Roman" w:cs="Times New Roman"/>
          <w:bCs/>
          <w:noProof/>
          <w:sz w:val="24"/>
        </w:rPr>
        <w:t xml:space="preserve"> up commercial channels for EU operators, including by </w:t>
      </w:r>
      <w:r w:rsidR="00791DCE">
        <w:rPr>
          <w:rFonts w:ascii="Times New Roman" w:hAnsi="Times New Roman" w:cs="Times New Roman"/>
          <w:bCs/>
          <w:noProof/>
          <w:sz w:val="24"/>
        </w:rPr>
        <w:t>complement</w:t>
      </w:r>
      <w:r w:rsidR="000A2CF4">
        <w:rPr>
          <w:rFonts w:ascii="Times New Roman" w:hAnsi="Times New Roman" w:cs="Times New Roman"/>
          <w:bCs/>
          <w:noProof/>
          <w:sz w:val="24"/>
        </w:rPr>
        <w:t xml:space="preserve">ing </w:t>
      </w:r>
      <w:r w:rsidR="00791DCE">
        <w:rPr>
          <w:rFonts w:ascii="Times New Roman" w:hAnsi="Times New Roman" w:cs="Times New Roman"/>
          <w:bCs/>
          <w:noProof/>
          <w:sz w:val="24"/>
        </w:rPr>
        <w:t xml:space="preserve">and </w:t>
      </w:r>
      <w:r w:rsidR="000A2CF4">
        <w:rPr>
          <w:rFonts w:ascii="Times New Roman" w:hAnsi="Times New Roman" w:cs="Times New Roman"/>
          <w:bCs/>
          <w:noProof/>
          <w:sz w:val="24"/>
        </w:rPr>
        <w:t>amplifying</w:t>
      </w:r>
      <w:r w:rsidR="00791DCE">
        <w:rPr>
          <w:rFonts w:ascii="Times New Roman" w:hAnsi="Times New Roman" w:cs="Times New Roman"/>
          <w:bCs/>
          <w:noProof/>
          <w:sz w:val="24"/>
        </w:rPr>
        <w:t xml:space="preserve"> the benefits of trade agreements</w:t>
      </w:r>
      <w:r w:rsidR="000A2CF4">
        <w:rPr>
          <w:rFonts w:ascii="Times New Roman" w:hAnsi="Times New Roman" w:cs="Times New Roman"/>
          <w:bCs/>
          <w:noProof/>
          <w:sz w:val="24"/>
        </w:rPr>
        <w:t xml:space="preserve">, </w:t>
      </w:r>
      <w:r w:rsidR="00507F09">
        <w:rPr>
          <w:rFonts w:ascii="Times New Roman" w:hAnsi="Times New Roman" w:cs="Times New Roman"/>
          <w:bCs/>
          <w:noProof/>
          <w:sz w:val="24"/>
        </w:rPr>
        <w:t>a</w:t>
      </w:r>
      <w:r w:rsidR="008A5A6E">
        <w:rPr>
          <w:rFonts w:ascii="Times New Roman" w:hAnsi="Times New Roman" w:cs="Times New Roman"/>
          <w:bCs/>
          <w:noProof/>
          <w:sz w:val="24"/>
        </w:rPr>
        <w:t>s well as</w:t>
      </w:r>
      <w:r w:rsidR="000A2CF4">
        <w:rPr>
          <w:rFonts w:ascii="Times New Roman" w:hAnsi="Times New Roman" w:cs="Times New Roman"/>
          <w:bCs/>
          <w:noProof/>
          <w:sz w:val="24"/>
        </w:rPr>
        <w:t xml:space="preserve"> ease</w:t>
      </w:r>
      <w:r w:rsidR="008A5A6E">
        <w:rPr>
          <w:rFonts w:ascii="Times New Roman" w:hAnsi="Times New Roman" w:cs="Times New Roman"/>
          <w:bCs/>
          <w:noProof/>
          <w:sz w:val="24"/>
        </w:rPr>
        <w:t>d</w:t>
      </w:r>
      <w:r w:rsidR="000A2CF4">
        <w:rPr>
          <w:rFonts w:ascii="Times New Roman" w:hAnsi="Times New Roman" w:cs="Times New Roman"/>
          <w:bCs/>
          <w:noProof/>
          <w:sz w:val="24"/>
        </w:rPr>
        <w:t xml:space="preserve"> cooperation </w:t>
      </w:r>
      <w:r w:rsidR="00507F09">
        <w:rPr>
          <w:rFonts w:ascii="Times New Roman" w:hAnsi="Times New Roman" w:cs="Times New Roman"/>
          <w:bCs/>
          <w:noProof/>
          <w:sz w:val="24"/>
        </w:rPr>
        <w:t xml:space="preserve">with foreign partners </w:t>
      </w:r>
      <w:r w:rsidR="000A2CF4">
        <w:rPr>
          <w:rFonts w:ascii="Times New Roman" w:hAnsi="Times New Roman" w:cs="Times New Roman"/>
          <w:bCs/>
          <w:noProof/>
          <w:sz w:val="24"/>
        </w:rPr>
        <w:t xml:space="preserve">in a broad range of regulatory fields. By providing </w:t>
      </w:r>
      <w:r w:rsidR="005138A0">
        <w:rPr>
          <w:rFonts w:ascii="Times New Roman" w:hAnsi="Times New Roman" w:cs="Times New Roman"/>
          <w:bCs/>
          <w:noProof/>
          <w:sz w:val="24"/>
        </w:rPr>
        <w:t>a straightforward and</w:t>
      </w:r>
      <w:r w:rsidR="000A2CF4">
        <w:rPr>
          <w:rFonts w:ascii="Times New Roman" w:hAnsi="Times New Roman" w:cs="Times New Roman"/>
          <w:bCs/>
          <w:noProof/>
          <w:sz w:val="24"/>
        </w:rPr>
        <w:t xml:space="preserve"> comprehensive solution for data </w:t>
      </w:r>
      <w:r w:rsidR="00507F09">
        <w:rPr>
          <w:rFonts w:ascii="Times New Roman" w:hAnsi="Times New Roman" w:cs="Times New Roman"/>
          <w:bCs/>
          <w:noProof/>
          <w:sz w:val="24"/>
        </w:rPr>
        <w:t>transfers</w:t>
      </w:r>
      <w:r w:rsidR="005138A0" w:rsidRPr="005138A0">
        <w:rPr>
          <w:rFonts w:ascii="Times New Roman" w:hAnsi="Times New Roman" w:cs="Times New Roman"/>
          <w:bCs/>
          <w:noProof/>
          <w:sz w:val="24"/>
        </w:rPr>
        <w:t xml:space="preserve"> without the need for the data exporter to provide further safeguards or obtain any authorisation</w:t>
      </w:r>
      <w:r w:rsidR="000A2CF4">
        <w:rPr>
          <w:rFonts w:ascii="Times New Roman" w:hAnsi="Times New Roman" w:cs="Times New Roman"/>
          <w:bCs/>
          <w:noProof/>
          <w:sz w:val="24"/>
        </w:rPr>
        <w:t>, they</w:t>
      </w:r>
      <w:r w:rsidR="00507F09">
        <w:rPr>
          <w:rFonts w:ascii="Times New Roman" w:hAnsi="Times New Roman" w:cs="Times New Roman"/>
          <w:bCs/>
          <w:noProof/>
          <w:sz w:val="24"/>
        </w:rPr>
        <w:t xml:space="preserve"> </w:t>
      </w:r>
      <w:r w:rsidR="000A2CF4">
        <w:rPr>
          <w:rFonts w:ascii="Times New Roman" w:hAnsi="Times New Roman" w:cs="Times New Roman"/>
          <w:bCs/>
          <w:noProof/>
          <w:sz w:val="24"/>
        </w:rPr>
        <w:t>facilitate compliance</w:t>
      </w:r>
      <w:r w:rsidR="00507F09">
        <w:rPr>
          <w:rFonts w:ascii="Times New Roman" w:hAnsi="Times New Roman" w:cs="Times New Roman"/>
          <w:bCs/>
          <w:noProof/>
          <w:sz w:val="24"/>
        </w:rPr>
        <w:t xml:space="preserve">, in </w:t>
      </w:r>
      <w:r w:rsidR="000A2CF4">
        <w:rPr>
          <w:rFonts w:ascii="Times New Roman" w:hAnsi="Times New Roman" w:cs="Times New Roman"/>
          <w:bCs/>
          <w:noProof/>
          <w:sz w:val="24"/>
        </w:rPr>
        <w:t xml:space="preserve">particular </w:t>
      </w:r>
      <w:r w:rsidR="00507F09">
        <w:rPr>
          <w:rFonts w:ascii="Times New Roman" w:hAnsi="Times New Roman" w:cs="Times New Roman"/>
          <w:bCs/>
          <w:noProof/>
          <w:sz w:val="24"/>
        </w:rPr>
        <w:t>by</w:t>
      </w:r>
      <w:r w:rsidR="000A2CF4">
        <w:rPr>
          <w:rFonts w:ascii="Times New Roman" w:hAnsi="Times New Roman" w:cs="Times New Roman"/>
          <w:bCs/>
          <w:noProof/>
          <w:sz w:val="24"/>
        </w:rPr>
        <w:t xml:space="preserve"> small and medium </w:t>
      </w:r>
      <w:r w:rsidR="00507F09">
        <w:rPr>
          <w:rFonts w:ascii="Times New Roman" w:hAnsi="Times New Roman" w:cs="Times New Roman"/>
          <w:bCs/>
          <w:noProof/>
          <w:sz w:val="24"/>
        </w:rPr>
        <w:t xml:space="preserve">enterprises, with the </w:t>
      </w:r>
      <w:r w:rsidR="005138A0">
        <w:rPr>
          <w:rFonts w:ascii="Times New Roman" w:hAnsi="Times New Roman" w:cs="Times New Roman"/>
          <w:bCs/>
          <w:noProof/>
          <w:sz w:val="24"/>
        </w:rPr>
        <w:t>international</w:t>
      </w:r>
      <w:r w:rsidR="00507F09">
        <w:rPr>
          <w:rFonts w:ascii="Times New Roman" w:hAnsi="Times New Roman" w:cs="Times New Roman"/>
          <w:bCs/>
          <w:noProof/>
          <w:sz w:val="24"/>
        </w:rPr>
        <w:t xml:space="preserve"> </w:t>
      </w:r>
      <w:r w:rsidR="00A4614A">
        <w:rPr>
          <w:rFonts w:ascii="Times New Roman" w:hAnsi="Times New Roman" w:cs="Times New Roman"/>
          <w:bCs/>
          <w:noProof/>
          <w:sz w:val="24"/>
        </w:rPr>
        <w:t>transfer</w:t>
      </w:r>
      <w:r w:rsidR="005138A0">
        <w:rPr>
          <w:rFonts w:ascii="Times New Roman" w:hAnsi="Times New Roman" w:cs="Times New Roman"/>
          <w:bCs/>
          <w:noProof/>
          <w:sz w:val="24"/>
        </w:rPr>
        <w:t xml:space="preserve"> requirements </w:t>
      </w:r>
      <w:r w:rsidR="00507F09">
        <w:rPr>
          <w:rFonts w:ascii="Times New Roman" w:hAnsi="Times New Roman" w:cs="Times New Roman"/>
          <w:bCs/>
          <w:noProof/>
          <w:sz w:val="24"/>
        </w:rPr>
        <w:t xml:space="preserve">of the GDPR. </w:t>
      </w:r>
      <w:r w:rsidR="008A5A6E" w:rsidRPr="00AC4884">
        <w:rPr>
          <w:rFonts w:ascii="Times New Roman" w:hAnsi="Times New Roman" w:cs="Times New Roman"/>
          <w:noProof/>
          <w:sz w:val="24"/>
          <w:szCs w:val="24"/>
        </w:rPr>
        <w:t xml:space="preserve">Finally, thanks to their </w:t>
      </w:r>
      <w:r w:rsidR="006B4461">
        <w:rPr>
          <w:rFonts w:ascii="Times New Roman" w:hAnsi="Times New Roman" w:cs="Times New Roman"/>
          <w:iCs/>
          <w:noProof/>
          <w:sz w:val="24"/>
          <w:szCs w:val="24"/>
        </w:rPr>
        <w:t>‘</w:t>
      </w:r>
      <w:r w:rsidR="008A5A6E" w:rsidRPr="00AC4884">
        <w:rPr>
          <w:rFonts w:ascii="Times New Roman" w:hAnsi="Times New Roman" w:cs="Times New Roman"/>
          <w:iCs/>
          <w:noProof/>
          <w:sz w:val="24"/>
          <w:szCs w:val="24"/>
        </w:rPr>
        <w:t>network effect</w:t>
      </w:r>
      <w:r w:rsidR="006B4461">
        <w:rPr>
          <w:rFonts w:ascii="Times New Roman" w:hAnsi="Times New Roman" w:cs="Times New Roman"/>
          <w:iCs/>
          <w:noProof/>
          <w:sz w:val="24"/>
          <w:szCs w:val="24"/>
        </w:rPr>
        <w:t>’</w:t>
      </w:r>
      <w:r w:rsidR="008A5A6E" w:rsidRPr="00AC4884">
        <w:rPr>
          <w:rFonts w:ascii="Times New Roman" w:hAnsi="Times New Roman" w:cs="Times New Roman"/>
          <w:iCs/>
          <w:noProof/>
          <w:sz w:val="24"/>
          <w:szCs w:val="24"/>
        </w:rPr>
        <w:t xml:space="preserve"> adequacy</w:t>
      </w:r>
      <w:r w:rsidR="008A5A6E" w:rsidRPr="00AC4884">
        <w:rPr>
          <w:rFonts w:ascii="Times New Roman" w:hAnsi="Times New Roman" w:cs="Times New Roman"/>
          <w:noProof/>
          <w:sz w:val="24"/>
          <w:szCs w:val="24"/>
        </w:rPr>
        <w:t xml:space="preserve"> decisions adopted by the European Commission are</w:t>
      </w:r>
      <w:r w:rsidR="008A5A6E">
        <w:rPr>
          <w:rFonts w:ascii="Times New Roman" w:hAnsi="Times New Roman" w:cs="Times New Roman"/>
          <w:noProof/>
          <w:sz w:val="24"/>
          <w:szCs w:val="24"/>
        </w:rPr>
        <w:t xml:space="preserve"> increasingly relevant also beyond the</w:t>
      </w:r>
      <w:r w:rsidR="007F26DB">
        <w:rPr>
          <w:rFonts w:ascii="Times New Roman" w:hAnsi="Times New Roman" w:cs="Times New Roman"/>
          <w:noProof/>
          <w:sz w:val="24"/>
          <w:szCs w:val="24"/>
        </w:rPr>
        <w:t>EU</w:t>
      </w:r>
      <w:r w:rsidR="008A5A6E">
        <w:rPr>
          <w:rFonts w:ascii="Times New Roman" w:hAnsi="Times New Roman" w:cs="Times New Roman"/>
          <w:noProof/>
          <w:sz w:val="24"/>
          <w:szCs w:val="24"/>
        </w:rPr>
        <w:t>, as they do not only allow for the</w:t>
      </w:r>
      <w:r w:rsidR="008A5A6E" w:rsidRPr="005E6D61">
        <w:rPr>
          <w:rFonts w:ascii="Times New Roman" w:hAnsi="Times New Roman" w:cs="Times New Roman"/>
          <w:noProof/>
          <w:sz w:val="24"/>
          <w:szCs w:val="24"/>
        </w:rPr>
        <w:t xml:space="preserve"> free flow of data with the 30 economies of the </w:t>
      </w:r>
      <w:r w:rsidR="007F26DB">
        <w:rPr>
          <w:rFonts w:ascii="Times New Roman" w:hAnsi="Times New Roman" w:cs="Times New Roman"/>
          <w:noProof/>
          <w:sz w:val="24"/>
          <w:szCs w:val="24"/>
        </w:rPr>
        <w:t>EU</w:t>
      </w:r>
      <w:r w:rsidR="008A5A6E">
        <w:rPr>
          <w:rFonts w:ascii="Times New Roman" w:hAnsi="Times New Roman" w:cs="Times New Roman"/>
          <w:noProof/>
          <w:sz w:val="24"/>
          <w:szCs w:val="24"/>
        </w:rPr>
        <w:t>,</w:t>
      </w:r>
      <w:r w:rsidR="008A5A6E" w:rsidRPr="005E6D61">
        <w:rPr>
          <w:rFonts w:ascii="Times New Roman" w:hAnsi="Times New Roman" w:cs="Times New Roman"/>
          <w:noProof/>
          <w:sz w:val="24"/>
          <w:szCs w:val="24"/>
        </w:rPr>
        <w:t xml:space="preserve"> but also with many more jurisdictions </w:t>
      </w:r>
      <w:r w:rsidR="006B4461">
        <w:rPr>
          <w:rFonts w:ascii="Times New Roman" w:hAnsi="Times New Roman" w:cs="Times New Roman"/>
          <w:noProof/>
          <w:sz w:val="24"/>
          <w:szCs w:val="24"/>
        </w:rPr>
        <w:t>around the globe</w:t>
      </w:r>
      <w:r w:rsidR="006B4461">
        <w:rPr>
          <w:rStyle w:val="FootnoteReference"/>
          <w:rFonts w:ascii="Times New Roman" w:hAnsi="Times New Roman" w:cs="Times New Roman"/>
          <w:noProof/>
          <w:sz w:val="24"/>
          <w:szCs w:val="24"/>
        </w:rPr>
        <w:footnoteReference w:id="20"/>
      </w:r>
      <w:r w:rsidR="008A5A6E" w:rsidRPr="005E6D61">
        <w:rPr>
          <w:rFonts w:ascii="Times New Roman" w:hAnsi="Times New Roman" w:cs="Times New Roman"/>
          <w:noProof/>
          <w:sz w:val="24"/>
          <w:szCs w:val="24"/>
        </w:rPr>
        <w:t xml:space="preserve"> that recognise </w:t>
      </w:r>
      <w:r w:rsidR="000A245B">
        <w:rPr>
          <w:rFonts w:ascii="Times New Roman" w:hAnsi="Times New Roman" w:cs="Times New Roman"/>
          <w:noProof/>
          <w:sz w:val="24"/>
          <w:szCs w:val="24"/>
        </w:rPr>
        <w:t>countries for which there is an</w:t>
      </w:r>
      <w:r w:rsidR="00AF4673">
        <w:rPr>
          <w:rFonts w:ascii="Times New Roman" w:hAnsi="Times New Roman" w:cs="Times New Roman"/>
          <w:noProof/>
          <w:sz w:val="24"/>
          <w:szCs w:val="24"/>
        </w:rPr>
        <w:t xml:space="preserve"> EU</w:t>
      </w:r>
      <w:r w:rsidR="008A5A6E" w:rsidRPr="005E6D61">
        <w:rPr>
          <w:rFonts w:ascii="Times New Roman" w:hAnsi="Times New Roman" w:cs="Times New Roman"/>
          <w:noProof/>
          <w:sz w:val="24"/>
          <w:szCs w:val="24"/>
        </w:rPr>
        <w:t xml:space="preserve"> adequacy decision </w:t>
      </w:r>
      <w:r w:rsidR="008A5A6E">
        <w:rPr>
          <w:rFonts w:ascii="Times New Roman" w:hAnsi="Times New Roman" w:cs="Times New Roman"/>
          <w:noProof/>
          <w:sz w:val="24"/>
          <w:szCs w:val="24"/>
        </w:rPr>
        <w:t xml:space="preserve">as </w:t>
      </w:r>
      <w:r w:rsidR="009767AF">
        <w:rPr>
          <w:rFonts w:ascii="Times New Roman" w:hAnsi="Times New Roman" w:cs="Times New Roman"/>
          <w:noProof/>
          <w:sz w:val="24"/>
          <w:szCs w:val="24"/>
        </w:rPr>
        <w:t>‘</w:t>
      </w:r>
      <w:r w:rsidR="000A245B">
        <w:rPr>
          <w:rFonts w:ascii="Times New Roman" w:hAnsi="Times New Roman" w:cs="Times New Roman"/>
          <w:noProof/>
          <w:sz w:val="24"/>
          <w:szCs w:val="24"/>
        </w:rPr>
        <w:t>safe destinations</w:t>
      </w:r>
      <w:r w:rsidR="009767AF">
        <w:rPr>
          <w:rFonts w:ascii="Times New Roman" w:hAnsi="Times New Roman" w:cs="Times New Roman"/>
          <w:noProof/>
          <w:sz w:val="24"/>
          <w:szCs w:val="24"/>
        </w:rPr>
        <w:t>’</w:t>
      </w:r>
      <w:r w:rsidR="008A5A6E">
        <w:rPr>
          <w:rFonts w:ascii="Times New Roman" w:hAnsi="Times New Roman" w:cs="Times New Roman"/>
          <w:noProof/>
          <w:sz w:val="24"/>
          <w:szCs w:val="24"/>
        </w:rPr>
        <w:t xml:space="preserve"> </w:t>
      </w:r>
      <w:r w:rsidR="008A5A6E" w:rsidRPr="005E6D61">
        <w:rPr>
          <w:rFonts w:ascii="Times New Roman" w:hAnsi="Times New Roman" w:cs="Times New Roman"/>
          <w:noProof/>
          <w:sz w:val="24"/>
          <w:szCs w:val="24"/>
        </w:rPr>
        <w:t xml:space="preserve">under their own </w:t>
      </w:r>
      <w:r w:rsidR="008A5A6E">
        <w:rPr>
          <w:rFonts w:ascii="Times New Roman" w:hAnsi="Times New Roman" w:cs="Times New Roman"/>
          <w:noProof/>
          <w:sz w:val="24"/>
          <w:szCs w:val="24"/>
        </w:rPr>
        <w:t>data protection</w:t>
      </w:r>
      <w:r w:rsidR="008A5A6E" w:rsidRPr="005E6D61">
        <w:rPr>
          <w:rFonts w:ascii="Times New Roman" w:hAnsi="Times New Roman" w:cs="Times New Roman"/>
          <w:noProof/>
          <w:sz w:val="24"/>
          <w:szCs w:val="24"/>
        </w:rPr>
        <w:t xml:space="preserve"> </w:t>
      </w:r>
      <w:r w:rsidR="008A5A6E">
        <w:rPr>
          <w:rFonts w:ascii="Times New Roman" w:hAnsi="Times New Roman" w:cs="Times New Roman"/>
          <w:noProof/>
          <w:sz w:val="24"/>
          <w:szCs w:val="24"/>
        </w:rPr>
        <w:t>rules.</w:t>
      </w:r>
      <w:r w:rsidR="00AF4673">
        <w:rPr>
          <w:rFonts w:ascii="Times New Roman" w:hAnsi="Times New Roman" w:cs="Times New Roman"/>
          <w:noProof/>
          <w:sz w:val="24"/>
          <w:szCs w:val="24"/>
        </w:rPr>
        <w:t xml:space="preserve"> </w:t>
      </w:r>
    </w:p>
    <w:p w14:paraId="200DA341" w14:textId="53CE9936" w:rsidR="00791DCE" w:rsidRDefault="008A5A6E" w:rsidP="00386EAC">
      <w:pPr>
        <w:jc w:val="both"/>
        <w:rPr>
          <w:rFonts w:ascii="Times New Roman" w:hAnsi="Times New Roman" w:cs="Times New Roman"/>
          <w:bCs/>
          <w:noProof/>
          <w:sz w:val="24"/>
        </w:rPr>
      </w:pPr>
      <w:r>
        <w:rPr>
          <w:rFonts w:ascii="Times New Roman" w:hAnsi="Times New Roman" w:cs="Times New Roman"/>
          <w:noProof/>
          <w:sz w:val="24"/>
          <w:szCs w:val="24"/>
        </w:rPr>
        <w:t>For all these reasons, as also confirmed by the intense and fruitful dialogue with the third countries/territories</w:t>
      </w:r>
      <w:r w:rsidR="00BD7A98">
        <w:rPr>
          <w:rFonts w:ascii="Times New Roman" w:hAnsi="Times New Roman" w:cs="Times New Roman"/>
          <w:noProof/>
          <w:sz w:val="24"/>
          <w:szCs w:val="24"/>
        </w:rPr>
        <w:t xml:space="preserve"> concerned</w:t>
      </w:r>
      <w:r>
        <w:rPr>
          <w:rFonts w:ascii="Times New Roman" w:hAnsi="Times New Roman" w:cs="Times New Roman"/>
          <w:noProof/>
          <w:sz w:val="24"/>
          <w:szCs w:val="24"/>
        </w:rPr>
        <w:t xml:space="preserve"> underpinning this review, adequacy decisions have become a strategic component of the overall relationship of the EU with these foreign partners and are recognised as a major enabler for deepening cooperation in a broad range of areas. It is therefore particular</w:t>
      </w:r>
      <w:r w:rsidR="00BD7A98">
        <w:rPr>
          <w:rFonts w:ascii="Times New Roman" w:hAnsi="Times New Roman" w:cs="Times New Roman"/>
          <w:noProof/>
          <w:sz w:val="24"/>
          <w:szCs w:val="24"/>
        </w:rPr>
        <w:t>ly</w:t>
      </w:r>
      <w:r>
        <w:rPr>
          <w:rFonts w:ascii="Times New Roman" w:hAnsi="Times New Roman" w:cs="Times New Roman"/>
          <w:noProof/>
          <w:sz w:val="24"/>
          <w:szCs w:val="24"/>
        </w:rPr>
        <w:t xml:space="preserve"> important that these decisions can stand the test of time and address new developments and challenges. </w:t>
      </w:r>
    </w:p>
    <w:p w14:paraId="1941B0D0" w14:textId="77777777" w:rsidR="00667D18" w:rsidRPr="00802EF9" w:rsidRDefault="001737AE" w:rsidP="00386EAC">
      <w:pPr>
        <w:pStyle w:val="ListParagraph"/>
        <w:numPr>
          <w:ilvl w:val="0"/>
          <w:numId w:val="3"/>
        </w:numPr>
        <w:ind w:left="357" w:hanging="357"/>
        <w:contextualSpacing w:val="0"/>
        <w:jc w:val="both"/>
        <w:rPr>
          <w:rFonts w:ascii="Times New Roman" w:hAnsi="Times New Roman" w:cs="Times New Roman"/>
          <w:b/>
          <w:bCs/>
          <w:noProof/>
          <w:sz w:val="24"/>
        </w:rPr>
      </w:pPr>
      <w:r>
        <w:rPr>
          <w:rFonts w:ascii="Times New Roman" w:hAnsi="Times New Roman" w:cs="Times New Roman"/>
          <w:b/>
          <w:bCs/>
          <w:noProof/>
          <w:sz w:val="24"/>
        </w:rPr>
        <w:t xml:space="preserve">OBJECT AND </w:t>
      </w:r>
      <w:r w:rsidR="00667D18">
        <w:rPr>
          <w:rFonts w:ascii="Times New Roman" w:hAnsi="Times New Roman" w:cs="Times New Roman"/>
          <w:b/>
          <w:bCs/>
          <w:noProof/>
          <w:sz w:val="24"/>
        </w:rPr>
        <w:t xml:space="preserve">METHODOLOGY </w:t>
      </w:r>
      <w:r w:rsidR="005559B1">
        <w:rPr>
          <w:rFonts w:ascii="Times New Roman" w:hAnsi="Times New Roman" w:cs="Times New Roman"/>
          <w:b/>
          <w:bCs/>
          <w:noProof/>
          <w:sz w:val="24"/>
        </w:rPr>
        <w:t>OF THE REVIEW</w:t>
      </w:r>
      <w:r w:rsidR="008F37F2">
        <w:rPr>
          <w:rFonts w:ascii="Times New Roman" w:hAnsi="Times New Roman" w:cs="Times New Roman"/>
          <w:b/>
          <w:bCs/>
          <w:noProof/>
          <w:sz w:val="24"/>
        </w:rPr>
        <w:t xml:space="preserve"> </w:t>
      </w:r>
    </w:p>
    <w:p w14:paraId="0828E3F2" w14:textId="394BF645" w:rsidR="000732B7" w:rsidRDefault="00BB2FD4" w:rsidP="00386EAC">
      <w:pPr>
        <w:jc w:val="both"/>
        <w:rPr>
          <w:rFonts w:ascii="Times New Roman" w:hAnsi="Times New Roman" w:cs="Times New Roman"/>
          <w:bCs/>
          <w:noProof/>
          <w:sz w:val="24"/>
        </w:rPr>
      </w:pPr>
      <w:r w:rsidRPr="001F0CEF">
        <w:rPr>
          <w:rFonts w:ascii="Times New Roman" w:hAnsi="Times New Roman" w:cs="Times New Roman"/>
          <w:bCs/>
          <w:noProof/>
          <w:sz w:val="24"/>
        </w:rPr>
        <w:t>T</w:t>
      </w:r>
      <w:r w:rsidR="00E52B99" w:rsidRPr="001F0CEF">
        <w:rPr>
          <w:rFonts w:ascii="Times New Roman" w:hAnsi="Times New Roman" w:cs="Times New Roman"/>
          <w:bCs/>
          <w:noProof/>
          <w:sz w:val="24"/>
        </w:rPr>
        <w:t xml:space="preserve">he adequacy decisions that are </w:t>
      </w:r>
      <w:r w:rsidR="000732B7" w:rsidRPr="001F0CEF">
        <w:rPr>
          <w:rFonts w:ascii="Times New Roman" w:hAnsi="Times New Roman" w:cs="Times New Roman"/>
          <w:bCs/>
          <w:noProof/>
          <w:sz w:val="24"/>
        </w:rPr>
        <w:t>subject to th</w:t>
      </w:r>
      <w:r w:rsidR="003214F7">
        <w:rPr>
          <w:rFonts w:ascii="Times New Roman" w:hAnsi="Times New Roman" w:cs="Times New Roman"/>
          <w:bCs/>
          <w:noProof/>
          <w:sz w:val="24"/>
        </w:rPr>
        <w:t>is</w:t>
      </w:r>
      <w:r w:rsidR="000732B7" w:rsidRPr="001F0CEF">
        <w:rPr>
          <w:rFonts w:ascii="Times New Roman" w:hAnsi="Times New Roman" w:cs="Times New Roman"/>
          <w:bCs/>
          <w:noProof/>
          <w:sz w:val="24"/>
        </w:rPr>
        <w:t xml:space="preserve"> review</w:t>
      </w:r>
      <w:r w:rsidR="00E52B99" w:rsidRPr="001F0CEF">
        <w:rPr>
          <w:rFonts w:ascii="Times New Roman" w:hAnsi="Times New Roman" w:cs="Times New Roman"/>
          <w:bCs/>
          <w:noProof/>
          <w:sz w:val="24"/>
        </w:rPr>
        <w:t xml:space="preserve"> </w:t>
      </w:r>
      <w:r w:rsidR="00DC2976" w:rsidRPr="001F0CEF">
        <w:rPr>
          <w:rFonts w:ascii="Times New Roman" w:hAnsi="Times New Roman" w:cs="Times New Roman"/>
          <w:bCs/>
          <w:noProof/>
          <w:sz w:val="24"/>
        </w:rPr>
        <w:t>have been adopted</w:t>
      </w:r>
      <w:r w:rsidR="004F28C3">
        <w:rPr>
          <w:rFonts w:ascii="Times New Roman" w:hAnsi="Times New Roman" w:cs="Times New Roman"/>
          <w:bCs/>
          <w:noProof/>
          <w:sz w:val="24"/>
        </w:rPr>
        <w:t xml:space="preserve"> </w:t>
      </w:r>
      <w:r w:rsidR="00293053">
        <w:rPr>
          <w:rFonts w:ascii="Times New Roman" w:hAnsi="Times New Roman" w:cs="Times New Roman"/>
          <w:bCs/>
          <w:noProof/>
          <w:sz w:val="24"/>
        </w:rPr>
        <w:t>under the EU data protection framework that preceded the GDPR</w:t>
      </w:r>
      <w:r w:rsidR="00DC2976" w:rsidRPr="001F0CEF">
        <w:rPr>
          <w:rFonts w:ascii="Times New Roman" w:hAnsi="Times New Roman" w:cs="Times New Roman"/>
          <w:bCs/>
          <w:noProof/>
          <w:sz w:val="24"/>
        </w:rPr>
        <w:t>.</w:t>
      </w:r>
      <w:r w:rsidR="00DC2976" w:rsidRPr="00814046">
        <w:rPr>
          <w:rFonts w:ascii="Times New Roman" w:hAnsi="Times New Roman" w:cs="Times New Roman"/>
          <w:bCs/>
          <w:noProof/>
          <w:sz w:val="24"/>
        </w:rPr>
        <w:t xml:space="preserve"> While the most recent</w:t>
      </w:r>
      <w:r w:rsidR="00D828AB" w:rsidRPr="00814046">
        <w:rPr>
          <w:rFonts w:ascii="Times New Roman" w:hAnsi="Times New Roman" w:cs="Times New Roman"/>
          <w:bCs/>
          <w:noProof/>
          <w:sz w:val="24"/>
        </w:rPr>
        <w:t xml:space="preserve"> </w:t>
      </w:r>
      <w:r w:rsidR="00DC2976" w:rsidRPr="00814046">
        <w:rPr>
          <w:rFonts w:ascii="Times New Roman" w:hAnsi="Times New Roman" w:cs="Times New Roman"/>
          <w:bCs/>
          <w:noProof/>
          <w:sz w:val="24"/>
        </w:rPr>
        <w:t xml:space="preserve">decisions </w:t>
      </w:r>
      <w:r w:rsidR="009E4EE0">
        <w:rPr>
          <w:rFonts w:ascii="Times New Roman" w:hAnsi="Times New Roman" w:cs="Times New Roman"/>
          <w:bCs/>
          <w:noProof/>
          <w:sz w:val="24"/>
        </w:rPr>
        <w:t xml:space="preserve">date back </w:t>
      </w:r>
      <w:r w:rsidR="004115CE">
        <w:rPr>
          <w:rFonts w:ascii="Times New Roman" w:hAnsi="Times New Roman" w:cs="Times New Roman"/>
          <w:bCs/>
          <w:noProof/>
          <w:sz w:val="24"/>
        </w:rPr>
        <w:t>about a</w:t>
      </w:r>
      <w:r w:rsidR="00DC2976" w:rsidRPr="00814046">
        <w:rPr>
          <w:rFonts w:ascii="Times New Roman" w:hAnsi="Times New Roman" w:cs="Times New Roman"/>
          <w:bCs/>
          <w:noProof/>
          <w:sz w:val="24"/>
        </w:rPr>
        <w:t xml:space="preserve"> decade (</w:t>
      </w:r>
      <w:r w:rsidR="00794AD7">
        <w:rPr>
          <w:rFonts w:ascii="Times New Roman" w:hAnsi="Times New Roman" w:cs="Times New Roman"/>
          <w:bCs/>
          <w:noProof/>
          <w:sz w:val="24"/>
        </w:rPr>
        <w:t>e.g.,</w:t>
      </w:r>
      <w:r w:rsidR="009E4EE0">
        <w:rPr>
          <w:rFonts w:ascii="Times New Roman" w:hAnsi="Times New Roman" w:cs="Times New Roman"/>
          <w:bCs/>
          <w:noProof/>
          <w:sz w:val="24"/>
        </w:rPr>
        <w:t xml:space="preserve"> </w:t>
      </w:r>
      <w:r w:rsidR="00DC2976" w:rsidRPr="00814046">
        <w:rPr>
          <w:rFonts w:ascii="Times New Roman" w:hAnsi="Times New Roman" w:cs="Times New Roman"/>
          <w:bCs/>
          <w:noProof/>
          <w:sz w:val="24"/>
        </w:rPr>
        <w:t xml:space="preserve">the decisions on New Zealand and Uruguay, both adopted in 2012), </w:t>
      </w:r>
      <w:r w:rsidR="009E4EE0">
        <w:rPr>
          <w:rFonts w:ascii="Times New Roman" w:hAnsi="Times New Roman" w:cs="Times New Roman"/>
          <w:bCs/>
          <w:noProof/>
          <w:sz w:val="24"/>
        </w:rPr>
        <w:t>others</w:t>
      </w:r>
      <w:r w:rsidR="00DC2976" w:rsidRPr="00814046">
        <w:rPr>
          <w:rFonts w:ascii="Times New Roman" w:hAnsi="Times New Roman" w:cs="Times New Roman"/>
          <w:bCs/>
          <w:noProof/>
          <w:sz w:val="24"/>
        </w:rPr>
        <w:t xml:space="preserve"> have been in force for</w:t>
      </w:r>
      <w:r w:rsidR="009E4EE0">
        <w:rPr>
          <w:rFonts w:ascii="Times New Roman" w:hAnsi="Times New Roman" w:cs="Times New Roman"/>
          <w:bCs/>
          <w:noProof/>
          <w:sz w:val="24"/>
        </w:rPr>
        <w:t xml:space="preserve"> </w:t>
      </w:r>
      <w:r w:rsidR="004115CE">
        <w:rPr>
          <w:rFonts w:ascii="Times New Roman" w:hAnsi="Times New Roman" w:cs="Times New Roman"/>
          <w:bCs/>
          <w:noProof/>
          <w:sz w:val="24"/>
        </w:rPr>
        <w:t>more than</w:t>
      </w:r>
      <w:r w:rsidR="00DC2976" w:rsidRPr="00814046">
        <w:rPr>
          <w:rFonts w:ascii="Times New Roman" w:hAnsi="Times New Roman" w:cs="Times New Roman"/>
          <w:bCs/>
          <w:noProof/>
          <w:sz w:val="24"/>
        </w:rPr>
        <w:t xml:space="preserve"> twenty years (</w:t>
      </w:r>
      <w:r w:rsidR="00794AD7">
        <w:rPr>
          <w:rFonts w:ascii="Times New Roman" w:hAnsi="Times New Roman" w:cs="Times New Roman"/>
          <w:bCs/>
          <w:noProof/>
          <w:sz w:val="24"/>
        </w:rPr>
        <w:t>e.g.,</w:t>
      </w:r>
      <w:r w:rsidR="009E4EE0">
        <w:rPr>
          <w:rFonts w:ascii="Times New Roman" w:hAnsi="Times New Roman" w:cs="Times New Roman"/>
          <w:bCs/>
          <w:noProof/>
          <w:sz w:val="24"/>
        </w:rPr>
        <w:t xml:space="preserve"> </w:t>
      </w:r>
      <w:r w:rsidR="00DC2976" w:rsidRPr="00814046">
        <w:rPr>
          <w:rFonts w:ascii="Times New Roman" w:hAnsi="Times New Roman" w:cs="Times New Roman"/>
          <w:bCs/>
          <w:noProof/>
          <w:sz w:val="24"/>
        </w:rPr>
        <w:t>Canada, adopted in 2001</w:t>
      </w:r>
      <w:r w:rsidR="009E4EE0">
        <w:rPr>
          <w:rFonts w:ascii="Times New Roman" w:hAnsi="Times New Roman" w:cs="Times New Roman"/>
          <w:bCs/>
          <w:noProof/>
          <w:sz w:val="24"/>
        </w:rPr>
        <w:t>,</w:t>
      </w:r>
      <w:r w:rsidR="00DC2976" w:rsidRPr="00814046">
        <w:rPr>
          <w:rFonts w:ascii="Times New Roman" w:hAnsi="Times New Roman" w:cs="Times New Roman"/>
          <w:bCs/>
          <w:noProof/>
          <w:sz w:val="24"/>
        </w:rPr>
        <w:t xml:space="preserve"> </w:t>
      </w:r>
      <w:r w:rsidR="009E4EE0">
        <w:rPr>
          <w:rFonts w:ascii="Times New Roman" w:hAnsi="Times New Roman" w:cs="Times New Roman"/>
          <w:bCs/>
          <w:noProof/>
          <w:sz w:val="24"/>
        </w:rPr>
        <w:t xml:space="preserve">and </w:t>
      </w:r>
      <w:r w:rsidR="00DC2976" w:rsidRPr="00814046">
        <w:rPr>
          <w:rFonts w:ascii="Times New Roman" w:hAnsi="Times New Roman" w:cs="Times New Roman"/>
          <w:bCs/>
          <w:noProof/>
          <w:sz w:val="24"/>
        </w:rPr>
        <w:t xml:space="preserve">Switzerland, adopted in 2000). </w:t>
      </w:r>
      <w:r w:rsidR="009E4EE0">
        <w:rPr>
          <w:rFonts w:ascii="Times New Roman" w:hAnsi="Times New Roman" w:cs="Times New Roman"/>
          <w:bCs/>
          <w:noProof/>
          <w:sz w:val="24"/>
        </w:rPr>
        <w:t>Since then,</w:t>
      </w:r>
      <w:r w:rsidR="00095044" w:rsidRPr="00814046">
        <w:rPr>
          <w:rFonts w:ascii="Times New Roman" w:hAnsi="Times New Roman" w:cs="Times New Roman"/>
          <w:bCs/>
          <w:noProof/>
          <w:sz w:val="24"/>
        </w:rPr>
        <w:t xml:space="preserve"> the data protection frameworks </w:t>
      </w:r>
      <w:r w:rsidR="009E4EE0">
        <w:rPr>
          <w:rFonts w:ascii="Times New Roman" w:hAnsi="Times New Roman" w:cs="Times New Roman"/>
          <w:bCs/>
          <w:noProof/>
          <w:sz w:val="24"/>
        </w:rPr>
        <w:t xml:space="preserve">in all eleven countries </w:t>
      </w:r>
      <w:r w:rsidR="001F0CEF">
        <w:rPr>
          <w:rFonts w:ascii="Times New Roman" w:hAnsi="Times New Roman" w:cs="Times New Roman"/>
          <w:bCs/>
          <w:noProof/>
          <w:sz w:val="24"/>
        </w:rPr>
        <w:t xml:space="preserve">and territories </w:t>
      </w:r>
      <w:r w:rsidR="009E4EE0">
        <w:rPr>
          <w:rFonts w:ascii="Times New Roman" w:hAnsi="Times New Roman" w:cs="Times New Roman"/>
          <w:bCs/>
          <w:noProof/>
          <w:sz w:val="24"/>
        </w:rPr>
        <w:t>have</w:t>
      </w:r>
      <w:r w:rsidR="000732B7">
        <w:rPr>
          <w:rFonts w:ascii="Times New Roman" w:hAnsi="Times New Roman" w:cs="Times New Roman"/>
          <w:bCs/>
          <w:noProof/>
          <w:sz w:val="24"/>
        </w:rPr>
        <w:t xml:space="preserve"> evolved</w:t>
      </w:r>
      <w:r w:rsidR="00095044" w:rsidRPr="00814046">
        <w:rPr>
          <w:rFonts w:ascii="Times New Roman" w:hAnsi="Times New Roman" w:cs="Times New Roman"/>
          <w:bCs/>
          <w:noProof/>
          <w:sz w:val="24"/>
        </w:rPr>
        <w:t xml:space="preserve">, </w:t>
      </w:r>
      <w:r w:rsidR="001F0CEF">
        <w:rPr>
          <w:rFonts w:ascii="Times New Roman" w:hAnsi="Times New Roman" w:cs="Times New Roman"/>
          <w:bCs/>
          <w:noProof/>
          <w:sz w:val="24"/>
        </w:rPr>
        <w:t xml:space="preserve">for instance </w:t>
      </w:r>
      <w:r w:rsidR="00095044" w:rsidRPr="00814046">
        <w:rPr>
          <w:rFonts w:ascii="Times New Roman" w:hAnsi="Times New Roman" w:cs="Times New Roman"/>
          <w:bCs/>
          <w:noProof/>
          <w:sz w:val="24"/>
        </w:rPr>
        <w:t xml:space="preserve">through legislative </w:t>
      </w:r>
      <w:r w:rsidR="001B2CE0">
        <w:rPr>
          <w:rFonts w:ascii="Times New Roman" w:hAnsi="Times New Roman" w:cs="Times New Roman"/>
          <w:bCs/>
          <w:noProof/>
          <w:sz w:val="24"/>
        </w:rPr>
        <w:t>or</w:t>
      </w:r>
      <w:r w:rsidR="00095044" w:rsidRPr="00814046">
        <w:rPr>
          <w:rFonts w:ascii="Times New Roman" w:hAnsi="Times New Roman" w:cs="Times New Roman"/>
          <w:bCs/>
          <w:noProof/>
          <w:sz w:val="24"/>
        </w:rPr>
        <w:t xml:space="preserve"> </w:t>
      </w:r>
      <w:r w:rsidR="001B2CE0">
        <w:rPr>
          <w:rFonts w:ascii="Times New Roman" w:hAnsi="Times New Roman" w:cs="Times New Roman"/>
          <w:bCs/>
          <w:noProof/>
          <w:sz w:val="24"/>
        </w:rPr>
        <w:t xml:space="preserve">regulatory </w:t>
      </w:r>
      <w:r w:rsidR="005B589B">
        <w:rPr>
          <w:rFonts w:ascii="Times New Roman" w:hAnsi="Times New Roman" w:cs="Times New Roman"/>
          <w:bCs/>
          <w:noProof/>
          <w:sz w:val="24"/>
        </w:rPr>
        <w:t>reforms</w:t>
      </w:r>
      <w:r w:rsidR="00095044" w:rsidRPr="00814046">
        <w:rPr>
          <w:rFonts w:ascii="Times New Roman" w:hAnsi="Times New Roman" w:cs="Times New Roman"/>
          <w:bCs/>
          <w:noProof/>
          <w:sz w:val="24"/>
        </w:rPr>
        <w:t xml:space="preserve">, developments in the </w:t>
      </w:r>
      <w:r w:rsidR="000732B7">
        <w:rPr>
          <w:rFonts w:ascii="Times New Roman" w:hAnsi="Times New Roman" w:cs="Times New Roman"/>
          <w:bCs/>
          <w:noProof/>
          <w:sz w:val="24"/>
        </w:rPr>
        <w:t xml:space="preserve">enforcement practice </w:t>
      </w:r>
      <w:r w:rsidR="001F0CEF">
        <w:rPr>
          <w:rFonts w:ascii="Times New Roman" w:hAnsi="Times New Roman" w:cs="Times New Roman"/>
          <w:bCs/>
          <w:noProof/>
          <w:sz w:val="24"/>
        </w:rPr>
        <w:t xml:space="preserve">of data protection authorities </w:t>
      </w:r>
      <w:r w:rsidR="000732B7">
        <w:rPr>
          <w:rFonts w:ascii="Times New Roman" w:hAnsi="Times New Roman" w:cs="Times New Roman"/>
          <w:bCs/>
          <w:noProof/>
          <w:sz w:val="24"/>
        </w:rPr>
        <w:t xml:space="preserve">or </w:t>
      </w:r>
      <w:r w:rsidR="00095044" w:rsidRPr="00814046">
        <w:rPr>
          <w:rFonts w:ascii="Times New Roman" w:hAnsi="Times New Roman" w:cs="Times New Roman"/>
          <w:bCs/>
          <w:noProof/>
          <w:sz w:val="24"/>
        </w:rPr>
        <w:t xml:space="preserve">case law. </w:t>
      </w:r>
    </w:p>
    <w:p w14:paraId="23BD803A" w14:textId="097B24ED" w:rsidR="001C2E03" w:rsidRPr="00814046" w:rsidRDefault="001F0CEF" w:rsidP="00386EAC">
      <w:pPr>
        <w:jc w:val="both"/>
        <w:rPr>
          <w:rFonts w:ascii="Times New Roman" w:hAnsi="Times New Roman" w:cs="Times New Roman"/>
          <w:bCs/>
          <w:noProof/>
          <w:sz w:val="24"/>
        </w:rPr>
      </w:pPr>
      <w:r>
        <w:rPr>
          <w:rFonts w:ascii="Times New Roman" w:hAnsi="Times New Roman" w:cs="Times New Roman"/>
          <w:bCs/>
          <w:noProof/>
          <w:sz w:val="24"/>
        </w:rPr>
        <w:t>I</w:t>
      </w:r>
      <w:r w:rsidR="003F0A4B" w:rsidRPr="00814046">
        <w:rPr>
          <w:rFonts w:ascii="Times New Roman" w:hAnsi="Times New Roman" w:cs="Times New Roman"/>
          <w:bCs/>
          <w:noProof/>
          <w:sz w:val="24"/>
        </w:rPr>
        <w:t xml:space="preserve">n carrying out its evaluation, the Commission has </w:t>
      </w:r>
      <w:r>
        <w:rPr>
          <w:rFonts w:ascii="Times New Roman" w:hAnsi="Times New Roman" w:cs="Times New Roman"/>
          <w:bCs/>
          <w:noProof/>
          <w:sz w:val="24"/>
        </w:rPr>
        <w:t xml:space="preserve">therefore </w:t>
      </w:r>
      <w:r w:rsidR="003F0A4B" w:rsidRPr="00814046">
        <w:rPr>
          <w:rFonts w:ascii="Times New Roman" w:hAnsi="Times New Roman" w:cs="Times New Roman"/>
          <w:bCs/>
          <w:noProof/>
          <w:sz w:val="24"/>
        </w:rPr>
        <w:t>focussed</w:t>
      </w:r>
      <w:r w:rsidR="00A7280C">
        <w:rPr>
          <w:rFonts w:ascii="Times New Roman" w:hAnsi="Times New Roman" w:cs="Times New Roman"/>
          <w:bCs/>
          <w:noProof/>
          <w:sz w:val="24"/>
        </w:rPr>
        <w:t xml:space="preserve"> </w:t>
      </w:r>
      <w:r w:rsidR="003F0A4B" w:rsidRPr="00814046">
        <w:rPr>
          <w:rFonts w:ascii="Times New Roman" w:hAnsi="Times New Roman" w:cs="Times New Roman"/>
          <w:bCs/>
          <w:noProof/>
          <w:sz w:val="24"/>
        </w:rPr>
        <w:t>on developments in the</w:t>
      </w:r>
      <w:r w:rsidR="000732B7">
        <w:rPr>
          <w:rFonts w:ascii="Times New Roman" w:hAnsi="Times New Roman" w:cs="Times New Roman"/>
          <w:bCs/>
          <w:noProof/>
          <w:sz w:val="24"/>
        </w:rPr>
        <w:t xml:space="preserve"> </w:t>
      </w:r>
      <w:r w:rsidR="003F0A4B" w:rsidRPr="00814046">
        <w:rPr>
          <w:rFonts w:ascii="Times New Roman" w:hAnsi="Times New Roman" w:cs="Times New Roman"/>
          <w:bCs/>
          <w:noProof/>
          <w:sz w:val="24"/>
        </w:rPr>
        <w:t>data protection frameworks</w:t>
      </w:r>
      <w:r w:rsidR="000732B7">
        <w:rPr>
          <w:rFonts w:ascii="Times New Roman" w:hAnsi="Times New Roman" w:cs="Times New Roman"/>
          <w:bCs/>
          <w:noProof/>
          <w:sz w:val="24"/>
        </w:rPr>
        <w:t xml:space="preserve"> of the relevant countries and territories</w:t>
      </w:r>
      <w:r w:rsidR="00220C1C">
        <w:rPr>
          <w:rFonts w:ascii="Times New Roman" w:hAnsi="Times New Roman" w:cs="Times New Roman"/>
          <w:bCs/>
          <w:noProof/>
          <w:sz w:val="24"/>
        </w:rPr>
        <w:t xml:space="preserve"> that took place since the adoption of the adequacy decision</w:t>
      </w:r>
      <w:r w:rsidR="003F0A4B" w:rsidRPr="00814046">
        <w:rPr>
          <w:rFonts w:ascii="Times New Roman" w:hAnsi="Times New Roman" w:cs="Times New Roman"/>
          <w:bCs/>
          <w:noProof/>
          <w:sz w:val="24"/>
        </w:rPr>
        <w:t xml:space="preserve">. </w:t>
      </w:r>
      <w:r w:rsidR="00B20841" w:rsidRPr="00814046">
        <w:rPr>
          <w:rFonts w:ascii="Times New Roman" w:hAnsi="Times New Roman" w:cs="Times New Roman"/>
          <w:bCs/>
          <w:noProof/>
          <w:sz w:val="24"/>
        </w:rPr>
        <w:t xml:space="preserve">It has assessed how these developments </w:t>
      </w:r>
      <w:r w:rsidR="00233E5C" w:rsidRPr="00814046">
        <w:rPr>
          <w:rFonts w:ascii="Times New Roman" w:hAnsi="Times New Roman" w:cs="Times New Roman"/>
          <w:bCs/>
          <w:noProof/>
          <w:sz w:val="24"/>
        </w:rPr>
        <w:t xml:space="preserve">have </w:t>
      </w:r>
      <w:r w:rsidR="00A7280C">
        <w:rPr>
          <w:rFonts w:ascii="Times New Roman" w:hAnsi="Times New Roman" w:cs="Times New Roman"/>
          <w:bCs/>
          <w:noProof/>
          <w:sz w:val="24"/>
        </w:rPr>
        <w:t xml:space="preserve">further </w:t>
      </w:r>
      <w:r w:rsidR="00233E5C" w:rsidRPr="00814046">
        <w:rPr>
          <w:rFonts w:ascii="Times New Roman" w:hAnsi="Times New Roman" w:cs="Times New Roman"/>
          <w:bCs/>
          <w:noProof/>
          <w:sz w:val="24"/>
        </w:rPr>
        <w:t xml:space="preserve">shaped </w:t>
      </w:r>
      <w:r w:rsidR="00B20841" w:rsidRPr="00814046">
        <w:rPr>
          <w:rFonts w:ascii="Times New Roman" w:hAnsi="Times New Roman" w:cs="Times New Roman"/>
          <w:bCs/>
          <w:noProof/>
          <w:sz w:val="24"/>
        </w:rPr>
        <w:t xml:space="preserve">the data protection </w:t>
      </w:r>
      <w:r w:rsidR="000732B7">
        <w:rPr>
          <w:rFonts w:ascii="Times New Roman" w:hAnsi="Times New Roman" w:cs="Times New Roman"/>
          <w:bCs/>
          <w:noProof/>
          <w:sz w:val="24"/>
        </w:rPr>
        <w:t>landscape</w:t>
      </w:r>
      <w:r w:rsidR="000732B7" w:rsidRPr="00814046">
        <w:rPr>
          <w:rFonts w:ascii="Times New Roman" w:hAnsi="Times New Roman" w:cs="Times New Roman"/>
          <w:bCs/>
          <w:noProof/>
          <w:sz w:val="24"/>
        </w:rPr>
        <w:t xml:space="preserve"> </w:t>
      </w:r>
      <w:r w:rsidR="00220C1C">
        <w:rPr>
          <w:rFonts w:ascii="Times New Roman" w:hAnsi="Times New Roman" w:cs="Times New Roman"/>
          <w:bCs/>
          <w:noProof/>
          <w:sz w:val="24"/>
        </w:rPr>
        <w:t xml:space="preserve">of the relevant country or territory, </w:t>
      </w:r>
      <w:r w:rsidR="00B20841" w:rsidRPr="00814046">
        <w:rPr>
          <w:rFonts w:ascii="Times New Roman" w:hAnsi="Times New Roman" w:cs="Times New Roman"/>
          <w:bCs/>
          <w:noProof/>
          <w:sz w:val="24"/>
        </w:rPr>
        <w:t>and whether</w:t>
      </w:r>
      <w:r w:rsidR="00220C1C">
        <w:rPr>
          <w:rFonts w:ascii="Times New Roman" w:hAnsi="Times New Roman" w:cs="Times New Roman"/>
          <w:bCs/>
          <w:noProof/>
          <w:sz w:val="24"/>
        </w:rPr>
        <w:t xml:space="preserve">, </w:t>
      </w:r>
      <w:r w:rsidR="00BB2FD4">
        <w:rPr>
          <w:rFonts w:ascii="Times New Roman" w:hAnsi="Times New Roman" w:cs="Times New Roman"/>
          <w:bCs/>
          <w:noProof/>
          <w:sz w:val="24"/>
        </w:rPr>
        <w:t>considering these developments</w:t>
      </w:r>
      <w:r w:rsidR="00220C1C">
        <w:rPr>
          <w:rFonts w:ascii="Times New Roman" w:hAnsi="Times New Roman" w:cs="Times New Roman"/>
          <w:bCs/>
          <w:noProof/>
          <w:sz w:val="24"/>
        </w:rPr>
        <w:t>, the various regimes</w:t>
      </w:r>
      <w:r w:rsidR="003C6E57" w:rsidRPr="00814046">
        <w:rPr>
          <w:rFonts w:ascii="Times New Roman" w:hAnsi="Times New Roman" w:cs="Times New Roman"/>
          <w:bCs/>
          <w:noProof/>
          <w:sz w:val="24"/>
        </w:rPr>
        <w:t xml:space="preserve"> </w:t>
      </w:r>
      <w:r w:rsidR="00B20841" w:rsidRPr="00814046">
        <w:rPr>
          <w:rFonts w:ascii="Times New Roman" w:hAnsi="Times New Roman" w:cs="Times New Roman"/>
          <w:bCs/>
          <w:noProof/>
          <w:sz w:val="24"/>
        </w:rPr>
        <w:t>continue to ensure an adequate level</w:t>
      </w:r>
      <w:r w:rsidR="00AA0975">
        <w:rPr>
          <w:rFonts w:ascii="Times New Roman" w:hAnsi="Times New Roman" w:cs="Times New Roman"/>
          <w:bCs/>
          <w:noProof/>
          <w:sz w:val="24"/>
        </w:rPr>
        <w:t xml:space="preserve"> of protection.</w:t>
      </w:r>
      <w:r w:rsidR="00B20841" w:rsidRPr="00814046">
        <w:rPr>
          <w:rFonts w:ascii="Times New Roman" w:hAnsi="Times New Roman" w:cs="Times New Roman"/>
          <w:bCs/>
          <w:noProof/>
          <w:sz w:val="24"/>
        </w:rPr>
        <w:t xml:space="preserve"> </w:t>
      </w:r>
    </w:p>
    <w:p w14:paraId="37ECE539" w14:textId="37D8A195" w:rsidR="00FD1C06" w:rsidRDefault="00AA0975" w:rsidP="00386EAC">
      <w:pPr>
        <w:jc w:val="both"/>
        <w:rPr>
          <w:rFonts w:ascii="Times New Roman" w:hAnsi="Times New Roman" w:cs="Times New Roman"/>
          <w:bCs/>
          <w:noProof/>
          <w:sz w:val="24"/>
        </w:rPr>
      </w:pPr>
      <w:r>
        <w:rPr>
          <w:rFonts w:ascii="Times New Roman" w:hAnsi="Times New Roman" w:cs="Times New Roman"/>
          <w:bCs/>
          <w:noProof/>
          <w:sz w:val="24"/>
        </w:rPr>
        <w:t xml:space="preserve">To that end, the evolution of the </w:t>
      </w:r>
      <w:r w:rsidR="00FD1C06" w:rsidRPr="009C008A">
        <w:rPr>
          <w:rFonts w:ascii="Times New Roman" w:hAnsi="Times New Roman" w:cs="Times New Roman"/>
          <w:bCs/>
          <w:noProof/>
          <w:sz w:val="24"/>
        </w:rPr>
        <w:t xml:space="preserve">EU’s </w:t>
      </w:r>
      <w:r w:rsidR="00BD7A98">
        <w:rPr>
          <w:rFonts w:ascii="Times New Roman" w:hAnsi="Times New Roman" w:cs="Times New Roman"/>
          <w:bCs/>
          <w:noProof/>
          <w:sz w:val="24"/>
        </w:rPr>
        <w:t xml:space="preserve">own </w:t>
      </w:r>
      <w:r w:rsidR="00FD1C06" w:rsidRPr="009C008A">
        <w:rPr>
          <w:rFonts w:ascii="Times New Roman" w:hAnsi="Times New Roman" w:cs="Times New Roman"/>
          <w:bCs/>
          <w:noProof/>
          <w:sz w:val="24"/>
        </w:rPr>
        <w:t>data protection regime, in particular with the entry into application of the GDPR</w:t>
      </w:r>
      <w:r>
        <w:rPr>
          <w:rFonts w:ascii="Times New Roman" w:hAnsi="Times New Roman" w:cs="Times New Roman"/>
          <w:bCs/>
          <w:noProof/>
          <w:sz w:val="24"/>
        </w:rPr>
        <w:t>, was fully taken into account</w:t>
      </w:r>
      <w:r w:rsidR="00FD1C06" w:rsidRPr="009C008A">
        <w:rPr>
          <w:rFonts w:ascii="Times New Roman" w:hAnsi="Times New Roman" w:cs="Times New Roman"/>
          <w:bCs/>
          <w:noProof/>
          <w:sz w:val="24"/>
        </w:rPr>
        <w:t xml:space="preserve">. </w:t>
      </w:r>
      <w:r>
        <w:rPr>
          <w:rFonts w:ascii="Times New Roman" w:hAnsi="Times New Roman" w:cs="Times New Roman"/>
          <w:bCs/>
          <w:noProof/>
          <w:sz w:val="24"/>
        </w:rPr>
        <w:t>In particular</w:t>
      </w:r>
      <w:r w:rsidR="000706FB">
        <w:rPr>
          <w:rFonts w:ascii="Times New Roman" w:hAnsi="Times New Roman" w:cs="Times New Roman"/>
          <w:bCs/>
          <w:noProof/>
          <w:sz w:val="24"/>
        </w:rPr>
        <w:t xml:space="preserve">, since the adoption of these adequacy decisions, </w:t>
      </w:r>
      <w:r w:rsidR="00FD1C06">
        <w:rPr>
          <w:rFonts w:ascii="Times New Roman" w:hAnsi="Times New Roman" w:cs="Times New Roman"/>
          <w:bCs/>
          <w:noProof/>
          <w:sz w:val="24"/>
        </w:rPr>
        <w:t>the</w:t>
      </w:r>
      <w:r w:rsidR="00BB2FD4">
        <w:rPr>
          <w:rFonts w:ascii="Times New Roman" w:hAnsi="Times New Roman" w:cs="Times New Roman"/>
          <w:bCs/>
          <w:noProof/>
          <w:sz w:val="24"/>
        </w:rPr>
        <w:t xml:space="preserve"> </w:t>
      </w:r>
      <w:r w:rsidR="00293053">
        <w:rPr>
          <w:rFonts w:ascii="Times New Roman" w:hAnsi="Times New Roman" w:cs="Times New Roman"/>
          <w:bCs/>
          <w:noProof/>
          <w:sz w:val="24"/>
        </w:rPr>
        <w:t xml:space="preserve">legal </w:t>
      </w:r>
      <w:r w:rsidR="00BB2FD4">
        <w:rPr>
          <w:rFonts w:ascii="Times New Roman" w:hAnsi="Times New Roman" w:cs="Times New Roman"/>
          <w:bCs/>
          <w:noProof/>
          <w:sz w:val="24"/>
        </w:rPr>
        <w:t>standard</w:t>
      </w:r>
      <w:r>
        <w:rPr>
          <w:rFonts w:ascii="Times New Roman" w:hAnsi="Times New Roman" w:cs="Times New Roman"/>
          <w:bCs/>
          <w:noProof/>
          <w:sz w:val="24"/>
        </w:rPr>
        <w:t xml:space="preserve"> </w:t>
      </w:r>
      <w:r w:rsidR="00293053">
        <w:rPr>
          <w:rFonts w:ascii="Times New Roman" w:hAnsi="Times New Roman" w:cs="Times New Roman"/>
          <w:bCs/>
          <w:noProof/>
          <w:sz w:val="24"/>
        </w:rPr>
        <w:t>applicable to such decisions</w:t>
      </w:r>
      <w:r w:rsidR="005D773E">
        <w:rPr>
          <w:rFonts w:ascii="Times New Roman" w:hAnsi="Times New Roman" w:cs="Times New Roman"/>
          <w:bCs/>
          <w:noProof/>
          <w:sz w:val="24"/>
        </w:rPr>
        <w:t xml:space="preserve">, as well as the elements </w:t>
      </w:r>
      <w:r>
        <w:rPr>
          <w:rFonts w:ascii="Times New Roman" w:hAnsi="Times New Roman" w:cs="Times New Roman"/>
          <w:bCs/>
          <w:noProof/>
          <w:sz w:val="24"/>
        </w:rPr>
        <w:t>relevant for assessing</w:t>
      </w:r>
      <w:r w:rsidR="005D773E">
        <w:rPr>
          <w:rFonts w:ascii="Times New Roman" w:hAnsi="Times New Roman" w:cs="Times New Roman"/>
          <w:bCs/>
          <w:noProof/>
          <w:sz w:val="24"/>
        </w:rPr>
        <w:t xml:space="preserve"> </w:t>
      </w:r>
      <w:r>
        <w:rPr>
          <w:rFonts w:ascii="Times New Roman" w:hAnsi="Times New Roman" w:cs="Times New Roman"/>
          <w:bCs/>
          <w:noProof/>
          <w:sz w:val="24"/>
        </w:rPr>
        <w:t xml:space="preserve">whether a foreign system ensures an adequate </w:t>
      </w:r>
      <w:r w:rsidR="005D773E">
        <w:rPr>
          <w:rFonts w:ascii="Times New Roman" w:hAnsi="Times New Roman" w:cs="Times New Roman"/>
          <w:bCs/>
          <w:noProof/>
          <w:sz w:val="24"/>
        </w:rPr>
        <w:t>level of protection,</w:t>
      </w:r>
      <w:r w:rsidR="00BB2FD4">
        <w:rPr>
          <w:rFonts w:ascii="Times New Roman" w:hAnsi="Times New Roman" w:cs="Times New Roman"/>
          <w:bCs/>
          <w:noProof/>
          <w:sz w:val="24"/>
        </w:rPr>
        <w:t xml:space="preserve"> </w:t>
      </w:r>
      <w:r w:rsidR="005D773E" w:rsidRPr="00814046">
        <w:rPr>
          <w:rFonts w:ascii="Times New Roman" w:hAnsi="Times New Roman" w:cs="Times New Roman"/>
          <w:bCs/>
          <w:noProof/>
          <w:sz w:val="24"/>
        </w:rPr>
        <w:t>ha</w:t>
      </w:r>
      <w:r w:rsidR="005D773E">
        <w:rPr>
          <w:rFonts w:ascii="Times New Roman" w:hAnsi="Times New Roman" w:cs="Times New Roman"/>
          <w:bCs/>
          <w:noProof/>
          <w:sz w:val="24"/>
        </w:rPr>
        <w:t>ve</w:t>
      </w:r>
      <w:r w:rsidR="005D773E" w:rsidRPr="00814046">
        <w:rPr>
          <w:rFonts w:ascii="Times New Roman" w:hAnsi="Times New Roman" w:cs="Times New Roman"/>
          <w:bCs/>
          <w:noProof/>
          <w:sz w:val="24"/>
        </w:rPr>
        <w:t xml:space="preserve"> </w:t>
      </w:r>
      <w:r w:rsidR="00BB2FD4">
        <w:rPr>
          <w:rFonts w:ascii="Times New Roman" w:hAnsi="Times New Roman" w:cs="Times New Roman"/>
          <w:bCs/>
          <w:noProof/>
          <w:sz w:val="24"/>
        </w:rPr>
        <w:t xml:space="preserve">been </w:t>
      </w:r>
      <w:r w:rsidR="000706FB">
        <w:rPr>
          <w:rFonts w:ascii="Times New Roman" w:hAnsi="Times New Roman" w:cs="Times New Roman"/>
          <w:bCs/>
          <w:noProof/>
          <w:sz w:val="24"/>
        </w:rPr>
        <w:t xml:space="preserve">further </w:t>
      </w:r>
      <w:r w:rsidR="00BB2FD4">
        <w:rPr>
          <w:rFonts w:ascii="Times New Roman" w:hAnsi="Times New Roman" w:cs="Times New Roman"/>
          <w:bCs/>
          <w:noProof/>
          <w:sz w:val="24"/>
        </w:rPr>
        <w:t>clarified</w:t>
      </w:r>
      <w:r w:rsidR="005D773E">
        <w:rPr>
          <w:rFonts w:ascii="Times New Roman" w:hAnsi="Times New Roman" w:cs="Times New Roman"/>
          <w:bCs/>
          <w:noProof/>
          <w:sz w:val="24"/>
        </w:rPr>
        <w:t xml:space="preserve"> </w:t>
      </w:r>
      <w:r w:rsidR="005D773E" w:rsidRPr="00814046">
        <w:rPr>
          <w:rFonts w:ascii="Times New Roman" w:hAnsi="Times New Roman" w:cs="Times New Roman"/>
          <w:bCs/>
          <w:noProof/>
          <w:sz w:val="24"/>
        </w:rPr>
        <w:t>through the case law of the Court of Justice</w:t>
      </w:r>
      <w:r w:rsidR="005D773E">
        <w:rPr>
          <w:rFonts w:ascii="Times New Roman" w:hAnsi="Times New Roman" w:cs="Times New Roman"/>
          <w:bCs/>
          <w:noProof/>
          <w:sz w:val="24"/>
        </w:rPr>
        <w:t xml:space="preserve"> and</w:t>
      </w:r>
      <w:r w:rsidR="00B20841" w:rsidRPr="00814046">
        <w:rPr>
          <w:rFonts w:ascii="Times New Roman" w:hAnsi="Times New Roman" w:cs="Times New Roman"/>
          <w:bCs/>
          <w:noProof/>
          <w:sz w:val="24"/>
        </w:rPr>
        <w:t xml:space="preserve"> the </w:t>
      </w:r>
      <w:r w:rsidR="00764772" w:rsidRPr="00814046">
        <w:rPr>
          <w:rFonts w:ascii="Times New Roman" w:hAnsi="Times New Roman" w:cs="Times New Roman"/>
          <w:bCs/>
          <w:noProof/>
          <w:sz w:val="24"/>
        </w:rPr>
        <w:t xml:space="preserve">guidance </w:t>
      </w:r>
      <w:r w:rsidR="002B261B" w:rsidRPr="00814046">
        <w:rPr>
          <w:rFonts w:ascii="Times New Roman" w:hAnsi="Times New Roman" w:cs="Times New Roman"/>
          <w:bCs/>
          <w:noProof/>
          <w:sz w:val="24"/>
        </w:rPr>
        <w:t>adopted</w:t>
      </w:r>
      <w:r w:rsidR="00764772" w:rsidRPr="00814046">
        <w:rPr>
          <w:rFonts w:ascii="Times New Roman" w:hAnsi="Times New Roman" w:cs="Times New Roman"/>
          <w:bCs/>
          <w:noProof/>
          <w:sz w:val="24"/>
        </w:rPr>
        <w:t xml:space="preserve"> by the </w:t>
      </w:r>
      <w:r w:rsidR="00B20841" w:rsidRPr="00814046">
        <w:rPr>
          <w:rFonts w:ascii="Times New Roman" w:hAnsi="Times New Roman" w:cs="Times New Roman"/>
          <w:bCs/>
          <w:noProof/>
          <w:sz w:val="24"/>
        </w:rPr>
        <w:t>Article 29 Working Party and its successor, the European Data Protection Board</w:t>
      </w:r>
      <w:r w:rsidR="00C97B01">
        <w:rPr>
          <w:rStyle w:val="FootnoteReference"/>
          <w:rFonts w:ascii="Times New Roman" w:hAnsi="Times New Roman" w:cs="Times New Roman"/>
          <w:bCs/>
          <w:noProof/>
          <w:sz w:val="24"/>
        </w:rPr>
        <w:footnoteReference w:id="21"/>
      </w:r>
      <w:r w:rsidR="00B20841" w:rsidRPr="00814046">
        <w:rPr>
          <w:rFonts w:ascii="Times New Roman" w:hAnsi="Times New Roman" w:cs="Times New Roman"/>
          <w:bCs/>
          <w:noProof/>
          <w:sz w:val="24"/>
        </w:rPr>
        <w:t xml:space="preserve"> (EDPB).</w:t>
      </w:r>
      <w:r w:rsidR="005D773E">
        <w:rPr>
          <w:rFonts w:ascii="Times New Roman" w:hAnsi="Times New Roman" w:cs="Times New Roman"/>
          <w:bCs/>
          <w:noProof/>
          <w:sz w:val="24"/>
        </w:rPr>
        <w:t xml:space="preserve"> </w:t>
      </w:r>
    </w:p>
    <w:p w14:paraId="16227F5F" w14:textId="1FB32470" w:rsidR="006D6B63" w:rsidRDefault="0083381A" w:rsidP="00386EAC">
      <w:pPr>
        <w:jc w:val="both"/>
        <w:rPr>
          <w:rFonts w:ascii="Times New Roman" w:hAnsi="Times New Roman" w:cs="Times New Roman"/>
          <w:bCs/>
          <w:noProof/>
          <w:sz w:val="24"/>
        </w:rPr>
      </w:pPr>
      <w:r>
        <w:rPr>
          <w:rFonts w:ascii="Times New Roman" w:hAnsi="Times New Roman" w:cs="Times New Roman"/>
          <w:bCs/>
          <w:noProof/>
          <w:sz w:val="24"/>
        </w:rPr>
        <w:t>Notably, the</w:t>
      </w:r>
      <w:r w:rsidRPr="00814046">
        <w:rPr>
          <w:rFonts w:ascii="Times New Roman" w:hAnsi="Times New Roman" w:cs="Times New Roman"/>
          <w:bCs/>
          <w:noProof/>
          <w:sz w:val="24"/>
        </w:rPr>
        <w:t xml:space="preserve"> Court of Justice in </w:t>
      </w:r>
      <w:r>
        <w:rPr>
          <w:rFonts w:ascii="Times New Roman" w:hAnsi="Times New Roman" w:cs="Times New Roman"/>
          <w:bCs/>
          <w:noProof/>
          <w:sz w:val="24"/>
        </w:rPr>
        <w:t xml:space="preserve">its ruling of 6 October 2015 in </w:t>
      </w:r>
      <w:r w:rsidRPr="006433F2">
        <w:rPr>
          <w:rFonts w:ascii="Times New Roman" w:hAnsi="Times New Roman" w:cs="Times New Roman"/>
          <w:bCs/>
          <w:i/>
          <w:noProof/>
          <w:sz w:val="24"/>
        </w:rPr>
        <w:t>Schrems I</w:t>
      </w:r>
      <w:r>
        <w:rPr>
          <w:rFonts w:ascii="Times New Roman" w:hAnsi="Times New Roman" w:cs="Times New Roman"/>
          <w:bCs/>
          <w:noProof/>
          <w:sz w:val="24"/>
        </w:rPr>
        <w:t xml:space="preserve"> </w:t>
      </w:r>
      <w:r w:rsidRPr="00814046">
        <w:rPr>
          <w:rFonts w:ascii="Times New Roman" w:hAnsi="Times New Roman" w:cs="Times New Roman"/>
          <w:bCs/>
          <w:noProof/>
          <w:sz w:val="24"/>
        </w:rPr>
        <w:t>established that</w:t>
      </w:r>
      <w:r w:rsidR="00AA0975">
        <w:rPr>
          <w:rFonts w:ascii="Times New Roman" w:hAnsi="Times New Roman" w:cs="Times New Roman"/>
          <w:bCs/>
          <w:noProof/>
          <w:sz w:val="24"/>
        </w:rPr>
        <w:t xml:space="preserve">, while </w:t>
      </w:r>
      <w:r w:rsidR="004D59D8">
        <w:rPr>
          <w:rFonts w:ascii="Times New Roman" w:hAnsi="Times New Roman" w:cs="Times New Roman"/>
          <w:bCs/>
          <w:noProof/>
          <w:sz w:val="24"/>
        </w:rPr>
        <w:t xml:space="preserve">a third country cannot be required to ensure a level of protection that is identical to the one guaranteed in the EU, </w:t>
      </w:r>
      <w:r w:rsidRPr="00814046">
        <w:rPr>
          <w:rFonts w:ascii="Times New Roman" w:hAnsi="Times New Roman" w:cs="Times New Roman"/>
          <w:bCs/>
          <w:noProof/>
          <w:sz w:val="24"/>
        </w:rPr>
        <w:t xml:space="preserve">the adequacy </w:t>
      </w:r>
      <w:r w:rsidR="004D59D8">
        <w:rPr>
          <w:rFonts w:ascii="Times New Roman" w:hAnsi="Times New Roman" w:cs="Times New Roman"/>
          <w:bCs/>
          <w:noProof/>
          <w:sz w:val="24"/>
        </w:rPr>
        <w:t>test must be understood as</w:t>
      </w:r>
      <w:r w:rsidRPr="00814046">
        <w:rPr>
          <w:rFonts w:ascii="Times New Roman" w:hAnsi="Times New Roman" w:cs="Times New Roman"/>
          <w:bCs/>
          <w:noProof/>
          <w:sz w:val="24"/>
        </w:rPr>
        <w:t xml:space="preserve"> requir</w:t>
      </w:r>
      <w:r w:rsidR="004D59D8">
        <w:rPr>
          <w:rFonts w:ascii="Times New Roman" w:hAnsi="Times New Roman" w:cs="Times New Roman"/>
          <w:bCs/>
          <w:noProof/>
          <w:sz w:val="24"/>
        </w:rPr>
        <w:t>ing</w:t>
      </w:r>
      <w:r w:rsidRPr="00814046">
        <w:rPr>
          <w:rFonts w:ascii="Times New Roman" w:hAnsi="Times New Roman" w:cs="Times New Roman"/>
          <w:bCs/>
          <w:noProof/>
          <w:sz w:val="24"/>
        </w:rPr>
        <w:t xml:space="preserve"> </w:t>
      </w:r>
      <w:r w:rsidR="004D59D8">
        <w:rPr>
          <w:rFonts w:ascii="Times New Roman" w:hAnsi="Times New Roman" w:cs="Times New Roman"/>
          <w:bCs/>
          <w:noProof/>
          <w:sz w:val="24"/>
        </w:rPr>
        <w:t xml:space="preserve">an </w:t>
      </w:r>
      <w:r w:rsidR="00293053">
        <w:rPr>
          <w:rFonts w:ascii="Times New Roman" w:hAnsi="Times New Roman" w:cs="Times New Roman"/>
          <w:bCs/>
          <w:noProof/>
          <w:sz w:val="24"/>
        </w:rPr>
        <w:t>‘</w:t>
      </w:r>
      <w:r w:rsidR="004D59D8">
        <w:rPr>
          <w:rFonts w:ascii="Times New Roman" w:hAnsi="Times New Roman" w:cs="Times New Roman"/>
          <w:bCs/>
          <w:noProof/>
          <w:sz w:val="24"/>
        </w:rPr>
        <w:t>essentially equivalent</w:t>
      </w:r>
      <w:r w:rsidR="00293053">
        <w:rPr>
          <w:rFonts w:ascii="Times New Roman" w:hAnsi="Times New Roman" w:cs="Times New Roman"/>
          <w:bCs/>
          <w:noProof/>
          <w:sz w:val="24"/>
        </w:rPr>
        <w:t>’</w:t>
      </w:r>
      <w:r w:rsidR="004D59D8">
        <w:rPr>
          <w:rFonts w:ascii="Times New Roman" w:hAnsi="Times New Roman" w:cs="Times New Roman"/>
          <w:bCs/>
          <w:noProof/>
          <w:sz w:val="24"/>
        </w:rPr>
        <w:t xml:space="preserve"> level of protection</w:t>
      </w:r>
      <w:r>
        <w:rPr>
          <w:rStyle w:val="FootnoteReference"/>
          <w:rFonts w:ascii="Times New Roman" w:hAnsi="Times New Roman" w:cs="Times New Roman"/>
          <w:bCs/>
          <w:noProof/>
          <w:sz w:val="24"/>
        </w:rPr>
        <w:footnoteReference w:id="22"/>
      </w:r>
      <w:r w:rsidRPr="00814046">
        <w:rPr>
          <w:rFonts w:ascii="Times New Roman" w:hAnsi="Times New Roman" w:cs="Times New Roman"/>
          <w:bCs/>
          <w:noProof/>
          <w:sz w:val="24"/>
        </w:rPr>
        <w:t xml:space="preserve">. </w:t>
      </w:r>
      <w:r w:rsidR="00FD1C06">
        <w:rPr>
          <w:rFonts w:ascii="Times New Roman" w:hAnsi="Times New Roman" w:cs="Times New Roman"/>
          <w:bCs/>
          <w:noProof/>
          <w:sz w:val="24"/>
        </w:rPr>
        <w:t xml:space="preserve">In particular, </w:t>
      </w:r>
      <w:r w:rsidR="00AA0975">
        <w:rPr>
          <w:rFonts w:ascii="Times New Roman" w:hAnsi="Times New Roman" w:cs="Times New Roman"/>
          <w:bCs/>
          <w:noProof/>
          <w:sz w:val="24"/>
        </w:rPr>
        <w:t xml:space="preserve">the Court clarified </w:t>
      </w:r>
      <w:r w:rsidR="00FD1C06">
        <w:rPr>
          <w:rFonts w:ascii="Times New Roman" w:hAnsi="Times New Roman" w:cs="Times New Roman"/>
          <w:bCs/>
          <w:noProof/>
          <w:sz w:val="24"/>
        </w:rPr>
        <w:t>t</w:t>
      </w:r>
      <w:r w:rsidR="000706FB">
        <w:rPr>
          <w:rFonts w:ascii="Times New Roman" w:hAnsi="Times New Roman" w:cs="Times New Roman"/>
          <w:bCs/>
          <w:noProof/>
          <w:sz w:val="24"/>
        </w:rPr>
        <w:t xml:space="preserve">he means to which the third </w:t>
      </w:r>
      <w:r w:rsidR="000706FB" w:rsidRPr="000706FB">
        <w:rPr>
          <w:rFonts w:ascii="Times New Roman" w:hAnsi="Times New Roman" w:cs="Times New Roman"/>
          <w:bCs/>
          <w:noProof/>
          <w:sz w:val="24"/>
        </w:rPr>
        <w:t>country in question has recourse for protecting persona</w:t>
      </w:r>
      <w:r w:rsidR="000706FB">
        <w:rPr>
          <w:rFonts w:ascii="Times New Roman" w:hAnsi="Times New Roman" w:cs="Times New Roman"/>
          <w:bCs/>
          <w:noProof/>
          <w:sz w:val="24"/>
        </w:rPr>
        <w:t xml:space="preserve">l data may differ from the ones </w:t>
      </w:r>
      <w:r w:rsidR="000706FB" w:rsidRPr="000706FB">
        <w:rPr>
          <w:rFonts w:ascii="Times New Roman" w:hAnsi="Times New Roman" w:cs="Times New Roman"/>
          <w:bCs/>
          <w:noProof/>
          <w:sz w:val="24"/>
        </w:rPr>
        <w:t>employed in the Union, as long as they prove, in prac</w:t>
      </w:r>
      <w:r w:rsidR="000706FB">
        <w:rPr>
          <w:rFonts w:ascii="Times New Roman" w:hAnsi="Times New Roman" w:cs="Times New Roman"/>
          <w:bCs/>
          <w:noProof/>
          <w:sz w:val="24"/>
        </w:rPr>
        <w:t xml:space="preserve">tice, effective for ensuring an </w:t>
      </w:r>
      <w:r w:rsidR="000706FB" w:rsidRPr="000706FB">
        <w:rPr>
          <w:rFonts w:ascii="Times New Roman" w:hAnsi="Times New Roman" w:cs="Times New Roman"/>
          <w:bCs/>
          <w:noProof/>
          <w:sz w:val="24"/>
        </w:rPr>
        <w:t>adequate level of protection</w:t>
      </w:r>
      <w:r w:rsidR="000706FB">
        <w:rPr>
          <w:rStyle w:val="FootnoteReference"/>
          <w:rFonts w:ascii="Times New Roman" w:hAnsi="Times New Roman" w:cs="Times New Roman"/>
          <w:bCs/>
          <w:noProof/>
          <w:sz w:val="24"/>
        </w:rPr>
        <w:footnoteReference w:id="23"/>
      </w:r>
      <w:r w:rsidR="000706FB">
        <w:rPr>
          <w:rFonts w:ascii="Times New Roman" w:hAnsi="Times New Roman" w:cs="Times New Roman"/>
          <w:bCs/>
          <w:noProof/>
          <w:sz w:val="24"/>
        </w:rPr>
        <w:t xml:space="preserve">. </w:t>
      </w:r>
      <w:r w:rsidRPr="00814046">
        <w:rPr>
          <w:rFonts w:ascii="Times New Roman" w:hAnsi="Times New Roman" w:cs="Times New Roman"/>
          <w:bCs/>
          <w:noProof/>
          <w:sz w:val="24"/>
        </w:rPr>
        <w:t>Th</w:t>
      </w:r>
      <w:r w:rsidR="0092652A">
        <w:rPr>
          <w:rFonts w:ascii="Times New Roman" w:hAnsi="Times New Roman" w:cs="Times New Roman"/>
          <w:bCs/>
          <w:noProof/>
          <w:sz w:val="24"/>
        </w:rPr>
        <w:t xml:space="preserve">e adequacy test therefore requires </w:t>
      </w:r>
      <w:r w:rsidRPr="00814046">
        <w:rPr>
          <w:rFonts w:ascii="Times New Roman" w:hAnsi="Times New Roman" w:cs="Times New Roman"/>
          <w:bCs/>
          <w:noProof/>
          <w:sz w:val="24"/>
        </w:rPr>
        <w:t xml:space="preserve">a comprehensive assessment of the third country’s system as a whole, including the substance of privacy protections, their effective implementation and enforcement. </w:t>
      </w:r>
    </w:p>
    <w:p w14:paraId="447D13D0" w14:textId="216140B6" w:rsidR="0083381A" w:rsidRDefault="0083381A" w:rsidP="00386EAC">
      <w:pPr>
        <w:jc w:val="both"/>
        <w:rPr>
          <w:rFonts w:ascii="Times New Roman" w:hAnsi="Times New Roman" w:cs="Times New Roman"/>
          <w:bCs/>
          <w:noProof/>
          <w:sz w:val="24"/>
        </w:rPr>
      </w:pPr>
      <w:r w:rsidRPr="00814046">
        <w:rPr>
          <w:rFonts w:ascii="Times New Roman" w:hAnsi="Times New Roman" w:cs="Times New Roman"/>
          <w:bCs/>
          <w:noProof/>
          <w:sz w:val="24"/>
        </w:rPr>
        <w:t xml:space="preserve">Moreover, </w:t>
      </w:r>
      <w:r w:rsidR="006D6B63">
        <w:rPr>
          <w:rFonts w:ascii="Times New Roman" w:hAnsi="Times New Roman" w:cs="Times New Roman"/>
          <w:bCs/>
          <w:noProof/>
          <w:sz w:val="24"/>
        </w:rPr>
        <w:t>the Court</w:t>
      </w:r>
      <w:r w:rsidRPr="00814046">
        <w:rPr>
          <w:rFonts w:ascii="Times New Roman" w:hAnsi="Times New Roman" w:cs="Times New Roman"/>
          <w:bCs/>
          <w:noProof/>
          <w:sz w:val="24"/>
        </w:rPr>
        <w:t xml:space="preserve"> clarified that the </w:t>
      </w:r>
      <w:r w:rsidR="001F0CEF">
        <w:rPr>
          <w:rFonts w:ascii="Times New Roman" w:hAnsi="Times New Roman" w:cs="Times New Roman"/>
          <w:bCs/>
          <w:noProof/>
          <w:sz w:val="24"/>
        </w:rPr>
        <w:t xml:space="preserve">Commission’s </w:t>
      </w:r>
      <w:r w:rsidRPr="00814046">
        <w:rPr>
          <w:rFonts w:ascii="Times New Roman" w:hAnsi="Times New Roman" w:cs="Times New Roman"/>
          <w:bCs/>
          <w:noProof/>
          <w:sz w:val="24"/>
        </w:rPr>
        <w:t xml:space="preserve">assessment should not be limited to the general data protection framework of the third </w:t>
      </w:r>
      <w:r w:rsidR="00794AD7" w:rsidRPr="00814046">
        <w:rPr>
          <w:rFonts w:ascii="Times New Roman" w:hAnsi="Times New Roman" w:cs="Times New Roman"/>
          <w:bCs/>
          <w:noProof/>
          <w:sz w:val="24"/>
        </w:rPr>
        <w:t>country but</w:t>
      </w:r>
      <w:r w:rsidRPr="00814046">
        <w:rPr>
          <w:rFonts w:ascii="Times New Roman" w:hAnsi="Times New Roman" w:cs="Times New Roman"/>
          <w:bCs/>
          <w:noProof/>
          <w:sz w:val="24"/>
        </w:rPr>
        <w:t xml:space="preserve"> should also include the </w:t>
      </w:r>
      <w:r w:rsidR="00A20C4C">
        <w:rPr>
          <w:rFonts w:ascii="Times New Roman" w:hAnsi="Times New Roman" w:cs="Times New Roman"/>
          <w:bCs/>
          <w:noProof/>
          <w:sz w:val="24"/>
        </w:rPr>
        <w:t xml:space="preserve">rules governing </w:t>
      </w:r>
      <w:r w:rsidRPr="00814046">
        <w:rPr>
          <w:rFonts w:ascii="Times New Roman" w:hAnsi="Times New Roman" w:cs="Times New Roman"/>
          <w:bCs/>
          <w:noProof/>
          <w:sz w:val="24"/>
        </w:rPr>
        <w:t>access to personal data by public authorities, in particular for law enforcement</w:t>
      </w:r>
      <w:r>
        <w:rPr>
          <w:rFonts w:ascii="Times New Roman" w:hAnsi="Times New Roman" w:cs="Times New Roman"/>
          <w:bCs/>
          <w:noProof/>
          <w:sz w:val="24"/>
        </w:rPr>
        <w:t xml:space="preserve"> and national security purposes</w:t>
      </w:r>
      <w:r>
        <w:rPr>
          <w:rStyle w:val="FootnoteReference"/>
          <w:rFonts w:ascii="Times New Roman" w:hAnsi="Times New Roman" w:cs="Times New Roman"/>
          <w:bCs/>
          <w:noProof/>
          <w:sz w:val="24"/>
        </w:rPr>
        <w:footnoteReference w:id="24"/>
      </w:r>
      <w:r>
        <w:rPr>
          <w:rFonts w:ascii="Times New Roman" w:hAnsi="Times New Roman" w:cs="Times New Roman"/>
          <w:bCs/>
          <w:noProof/>
          <w:sz w:val="24"/>
        </w:rPr>
        <w:t>.</w:t>
      </w:r>
      <w:r w:rsidRPr="00814046">
        <w:rPr>
          <w:rFonts w:ascii="Times New Roman" w:hAnsi="Times New Roman" w:cs="Times New Roman"/>
          <w:bCs/>
          <w:noProof/>
          <w:sz w:val="24"/>
        </w:rPr>
        <w:t xml:space="preserve"> Using the Charter of Fundamental Rights as a benchmark, the Court identified several requirements these rules should comply with to meet the ‘essential equivalence’ standard. For example, legislation in this area should lay down clear and precise rules governing the scope and application of a measure and imposing minimum safeguards, so that the persons whose personal data is concerned have sufficient guarantees enabling their data to be effectively protected against the risk of abuse and against any unlaw</w:t>
      </w:r>
      <w:r>
        <w:rPr>
          <w:rFonts w:ascii="Times New Roman" w:hAnsi="Times New Roman" w:cs="Times New Roman"/>
          <w:bCs/>
          <w:noProof/>
          <w:sz w:val="24"/>
        </w:rPr>
        <w:t>ful access and use of that data</w:t>
      </w:r>
      <w:r>
        <w:rPr>
          <w:rStyle w:val="FootnoteReference"/>
          <w:rFonts w:ascii="Times New Roman" w:hAnsi="Times New Roman" w:cs="Times New Roman"/>
          <w:bCs/>
          <w:noProof/>
          <w:sz w:val="24"/>
        </w:rPr>
        <w:footnoteReference w:id="25"/>
      </w:r>
      <w:r>
        <w:rPr>
          <w:rFonts w:ascii="Times New Roman" w:hAnsi="Times New Roman" w:cs="Times New Roman"/>
          <w:bCs/>
          <w:noProof/>
          <w:sz w:val="24"/>
        </w:rPr>
        <w:t>.</w:t>
      </w:r>
      <w:r w:rsidRPr="00814046">
        <w:rPr>
          <w:rFonts w:ascii="Times New Roman" w:hAnsi="Times New Roman" w:cs="Times New Roman"/>
          <w:bCs/>
          <w:noProof/>
          <w:sz w:val="24"/>
        </w:rPr>
        <w:t xml:space="preserve"> It should also provide individuals with the possibility to pursue legal remedies in order to have access to personal data relating to them, or to obtain the rectification or erasure of such data</w:t>
      </w:r>
      <w:r>
        <w:rPr>
          <w:rStyle w:val="FootnoteReference"/>
          <w:rFonts w:ascii="Times New Roman" w:hAnsi="Times New Roman" w:cs="Times New Roman"/>
          <w:bCs/>
          <w:noProof/>
          <w:sz w:val="24"/>
        </w:rPr>
        <w:footnoteReference w:id="26"/>
      </w:r>
      <w:r>
        <w:rPr>
          <w:rFonts w:ascii="Times New Roman" w:hAnsi="Times New Roman" w:cs="Times New Roman"/>
          <w:bCs/>
          <w:noProof/>
          <w:sz w:val="24"/>
        </w:rPr>
        <w:t>.</w:t>
      </w:r>
    </w:p>
    <w:p w14:paraId="0D6DE42A" w14:textId="0CBB995D" w:rsidR="00F3187D" w:rsidRDefault="00FD1C06" w:rsidP="00386EAC">
      <w:pPr>
        <w:jc w:val="both"/>
        <w:rPr>
          <w:rFonts w:ascii="Times New Roman" w:hAnsi="Times New Roman" w:cs="Times New Roman"/>
          <w:bCs/>
          <w:noProof/>
          <w:sz w:val="24"/>
        </w:rPr>
      </w:pPr>
      <w:r>
        <w:rPr>
          <w:rFonts w:ascii="Times New Roman" w:hAnsi="Times New Roman" w:cs="Times New Roman"/>
          <w:bCs/>
          <w:noProof/>
          <w:sz w:val="24"/>
        </w:rPr>
        <w:t>The</w:t>
      </w:r>
      <w:r w:rsidR="00524C31">
        <w:rPr>
          <w:rFonts w:ascii="Times New Roman" w:hAnsi="Times New Roman" w:cs="Times New Roman"/>
          <w:bCs/>
          <w:noProof/>
          <w:sz w:val="24"/>
        </w:rPr>
        <w:t xml:space="preserve"> GDPR</w:t>
      </w:r>
      <w:r>
        <w:rPr>
          <w:rFonts w:ascii="Times New Roman" w:hAnsi="Times New Roman" w:cs="Times New Roman"/>
          <w:bCs/>
          <w:noProof/>
          <w:sz w:val="24"/>
        </w:rPr>
        <w:t xml:space="preserve"> has </w:t>
      </w:r>
      <w:r w:rsidRPr="00814046">
        <w:rPr>
          <w:rFonts w:ascii="Times New Roman" w:hAnsi="Times New Roman" w:cs="Times New Roman"/>
          <w:bCs/>
          <w:noProof/>
          <w:sz w:val="24"/>
        </w:rPr>
        <w:t>built</w:t>
      </w:r>
      <w:r w:rsidR="00D105E9" w:rsidRPr="00814046">
        <w:rPr>
          <w:rFonts w:ascii="Times New Roman" w:hAnsi="Times New Roman" w:cs="Times New Roman"/>
          <w:bCs/>
          <w:noProof/>
          <w:sz w:val="24"/>
        </w:rPr>
        <w:t xml:space="preserve"> upon </w:t>
      </w:r>
      <w:r w:rsidR="0083381A">
        <w:rPr>
          <w:rFonts w:ascii="Times New Roman" w:hAnsi="Times New Roman" w:cs="Times New Roman"/>
          <w:bCs/>
          <w:noProof/>
          <w:sz w:val="24"/>
        </w:rPr>
        <w:t>the</w:t>
      </w:r>
      <w:r w:rsidR="00D105E9" w:rsidRPr="00814046">
        <w:rPr>
          <w:rFonts w:ascii="Times New Roman" w:hAnsi="Times New Roman" w:cs="Times New Roman"/>
          <w:bCs/>
          <w:noProof/>
          <w:sz w:val="24"/>
        </w:rPr>
        <w:t xml:space="preserve"> clarifications provided by the Court of Justice by setting out a detailed catalogue of elements that the Commission must take into account in </w:t>
      </w:r>
      <w:r>
        <w:rPr>
          <w:rFonts w:ascii="Times New Roman" w:hAnsi="Times New Roman" w:cs="Times New Roman"/>
          <w:bCs/>
          <w:noProof/>
          <w:sz w:val="24"/>
        </w:rPr>
        <w:t>an adequacy</w:t>
      </w:r>
      <w:r w:rsidR="00D105E9" w:rsidRPr="00814046">
        <w:rPr>
          <w:rFonts w:ascii="Times New Roman" w:hAnsi="Times New Roman" w:cs="Times New Roman"/>
          <w:bCs/>
          <w:noProof/>
          <w:sz w:val="24"/>
        </w:rPr>
        <w:t xml:space="preserve"> assessment</w:t>
      </w:r>
      <w:r w:rsidR="0094031C">
        <w:rPr>
          <w:rStyle w:val="FootnoteReference"/>
          <w:rFonts w:ascii="Times New Roman" w:hAnsi="Times New Roman" w:cs="Times New Roman"/>
          <w:bCs/>
          <w:noProof/>
          <w:sz w:val="24"/>
        </w:rPr>
        <w:footnoteReference w:id="27"/>
      </w:r>
      <w:r w:rsidR="00524C31">
        <w:rPr>
          <w:rFonts w:ascii="Times New Roman" w:hAnsi="Times New Roman" w:cs="Times New Roman"/>
          <w:bCs/>
          <w:noProof/>
          <w:sz w:val="24"/>
        </w:rPr>
        <w:t>.</w:t>
      </w:r>
      <w:r w:rsidR="00D105E9" w:rsidRPr="00814046">
        <w:rPr>
          <w:rFonts w:ascii="Times New Roman" w:hAnsi="Times New Roman" w:cs="Times New Roman"/>
          <w:bCs/>
          <w:noProof/>
          <w:sz w:val="24"/>
        </w:rPr>
        <w:t xml:space="preserve"> </w:t>
      </w:r>
      <w:r>
        <w:rPr>
          <w:rFonts w:ascii="Times New Roman" w:hAnsi="Times New Roman" w:cs="Times New Roman"/>
          <w:bCs/>
          <w:noProof/>
          <w:sz w:val="24"/>
        </w:rPr>
        <w:t>Moreover, i</w:t>
      </w:r>
      <w:r w:rsidR="001F0CEF" w:rsidRPr="00BF7E64">
        <w:rPr>
          <w:rFonts w:ascii="Times New Roman" w:hAnsi="Times New Roman" w:cs="Times New Roman"/>
          <w:bCs/>
          <w:noProof/>
          <w:sz w:val="24"/>
        </w:rPr>
        <w:t xml:space="preserve">n its </w:t>
      </w:r>
      <w:r w:rsidR="001F0CEF" w:rsidRPr="00BF7E64">
        <w:rPr>
          <w:rFonts w:ascii="Times New Roman" w:hAnsi="Times New Roman" w:cs="Times New Roman"/>
          <w:bCs/>
          <w:i/>
          <w:noProof/>
          <w:sz w:val="24"/>
        </w:rPr>
        <w:t>Schrems II</w:t>
      </w:r>
      <w:r w:rsidR="001F0CEF" w:rsidRPr="00BF7E64">
        <w:rPr>
          <w:rFonts w:ascii="Times New Roman" w:hAnsi="Times New Roman" w:cs="Times New Roman"/>
          <w:bCs/>
          <w:noProof/>
          <w:sz w:val="24"/>
        </w:rPr>
        <w:t xml:space="preserve"> </w:t>
      </w:r>
      <w:r w:rsidR="00AA0975">
        <w:rPr>
          <w:rFonts w:ascii="Times New Roman" w:hAnsi="Times New Roman" w:cs="Times New Roman"/>
          <w:bCs/>
          <w:noProof/>
          <w:sz w:val="24"/>
        </w:rPr>
        <w:t xml:space="preserve">ruling </w:t>
      </w:r>
      <w:r w:rsidR="001F0CEF" w:rsidRPr="00BF7E64">
        <w:rPr>
          <w:rFonts w:ascii="Times New Roman" w:hAnsi="Times New Roman" w:cs="Times New Roman"/>
          <w:bCs/>
          <w:noProof/>
          <w:sz w:val="24"/>
        </w:rPr>
        <w:t xml:space="preserve">of 16 July 2020, the Court of Justice has further elaborated on the standard of ‘essential equivalence’, in particular with respect to the rules on access to personal data by public authorities for law enforcement and national security purposes. </w:t>
      </w:r>
      <w:r w:rsidR="00A20C4C">
        <w:rPr>
          <w:rFonts w:ascii="Times New Roman" w:hAnsi="Times New Roman" w:cs="Times New Roman"/>
          <w:bCs/>
          <w:noProof/>
          <w:sz w:val="24"/>
        </w:rPr>
        <w:t>In particular</w:t>
      </w:r>
      <w:r w:rsidR="001F0CEF" w:rsidRPr="00BF7E64">
        <w:rPr>
          <w:rFonts w:ascii="Times New Roman" w:hAnsi="Times New Roman" w:cs="Times New Roman"/>
          <w:bCs/>
          <w:noProof/>
          <w:sz w:val="24"/>
        </w:rPr>
        <w:t xml:space="preserve">, it has clarified that </w:t>
      </w:r>
      <w:r w:rsidR="008F37F2">
        <w:rPr>
          <w:rFonts w:ascii="Times New Roman" w:hAnsi="Times New Roman" w:cs="Times New Roman"/>
          <w:bCs/>
          <w:noProof/>
          <w:sz w:val="24"/>
        </w:rPr>
        <w:t xml:space="preserve">the ‘essential equivalence’ standard requires that relevant </w:t>
      </w:r>
      <w:r w:rsidR="001F0CEF" w:rsidRPr="00BF7E64">
        <w:rPr>
          <w:rFonts w:ascii="Times New Roman" w:hAnsi="Times New Roman" w:cs="Times New Roman"/>
          <w:bCs/>
          <w:noProof/>
          <w:sz w:val="24"/>
        </w:rPr>
        <w:t xml:space="preserve">legal </w:t>
      </w:r>
      <w:r w:rsidR="008F37F2">
        <w:rPr>
          <w:rFonts w:ascii="Times New Roman" w:hAnsi="Times New Roman" w:cs="Times New Roman"/>
          <w:bCs/>
          <w:noProof/>
          <w:sz w:val="24"/>
        </w:rPr>
        <w:t>frameworks</w:t>
      </w:r>
      <w:r w:rsidR="001F0CEF" w:rsidRPr="00BF7E64">
        <w:rPr>
          <w:rFonts w:ascii="Times New Roman" w:hAnsi="Times New Roman" w:cs="Times New Roman"/>
          <w:bCs/>
          <w:noProof/>
          <w:sz w:val="24"/>
        </w:rPr>
        <w:t xml:space="preserve"> binding public authorities </w:t>
      </w:r>
      <w:r w:rsidR="008F37F2">
        <w:rPr>
          <w:rFonts w:ascii="Times New Roman" w:hAnsi="Times New Roman" w:cs="Times New Roman"/>
          <w:bCs/>
          <w:noProof/>
          <w:sz w:val="24"/>
        </w:rPr>
        <w:t>in the third countries</w:t>
      </w:r>
      <w:r w:rsidR="00BD7A98">
        <w:rPr>
          <w:rFonts w:ascii="Times New Roman" w:hAnsi="Times New Roman" w:cs="Times New Roman"/>
          <w:bCs/>
          <w:noProof/>
          <w:sz w:val="24"/>
        </w:rPr>
        <w:t xml:space="preserve"> and territories concerned</w:t>
      </w:r>
      <w:r w:rsidR="00A20C4C">
        <w:rPr>
          <w:rFonts w:ascii="Times New Roman" w:hAnsi="Times New Roman" w:cs="Times New Roman"/>
          <w:bCs/>
          <w:noProof/>
          <w:sz w:val="24"/>
        </w:rPr>
        <w:t xml:space="preserve"> include minimum safeguards ensuring that such authorities cannot access data beyond what is necessary and proportionate to pursue legitimate objectives, </w:t>
      </w:r>
      <w:r w:rsidR="001F0CEF" w:rsidRPr="00BF7E64">
        <w:rPr>
          <w:rFonts w:ascii="Times New Roman" w:hAnsi="Times New Roman" w:cs="Times New Roman"/>
          <w:bCs/>
          <w:noProof/>
          <w:sz w:val="24"/>
        </w:rPr>
        <w:t>a</w:t>
      </w:r>
      <w:r w:rsidR="008F37F2">
        <w:rPr>
          <w:rFonts w:ascii="Times New Roman" w:hAnsi="Times New Roman" w:cs="Times New Roman"/>
          <w:bCs/>
          <w:noProof/>
          <w:sz w:val="24"/>
        </w:rPr>
        <w:t>nd</w:t>
      </w:r>
      <w:r w:rsidR="001F0CEF" w:rsidRPr="00BF7E64">
        <w:rPr>
          <w:rFonts w:ascii="Times New Roman" w:hAnsi="Times New Roman" w:cs="Times New Roman"/>
          <w:bCs/>
          <w:noProof/>
          <w:sz w:val="24"/>
        </w:rPr>
        <w:t xml:space="preserve"> data subjects </w:t>
      </w:r>
      <w:r w:rsidR="008F37F2">
        <w:rPr>
          <w:rFonts w:ascii="Times New Roman" w:hAnsi="Times New Roman" w:cs="Times New Roman"/>
          <w:bCs/>
          <w:noProof/>
          <w:sz w:val="24"/>
        </w:rPr>
        <w:t xml:space="preserve">enjoy </w:t>
      </w:r>
      <w:r w:rsidR="001F0CEF" w:rsidRPr="00BF7E64">
        <w:rPr>
          <w:rFonts w:ascii="Times New Roman" w:hAnsi="Times New Roman" w:cs="Times New Roman"/>
          <w:bCs/>
          <w:noProof/>
          <w:sz w:val="24"/>
        </w:rPr>
        <w:t xml:space="preserve">effective and enforceable rights </w:t>
      </w:r>
      <w:r w:rsidR="008F37F2">
        <w:rPr>
          <w:rFonts w:ascii="Times New Roman" w:hAnsi="Times New Roman" w:cs="Times New Roman"/>
          <w:bCs/>
          <w:noProof/>
          <w:sz w:val="24"/>
        </w:rPr>
        <w:t>against such authorities</w:t>
      </w:r>
      <w:r w:rsidR="001F0CEF" w:rsidRPr="0085566B">
        <w:rPr>
          <w:rStyle w:val="FootnoteReference"/>
          <w:rFonts w:ascii="Times New Roman" w:hAnsi="Times New Roman" w:cs="Times New Roman"/>
          <w:bCs/>
          <w:noProof/>
          <w:sz w:val="24"/>
        </w:rPr>
        <w:footnoteReference w:id="28"/>
      </w:r>
      <w:r w:rsidR="001F0CEF" w:rsidRPr="00BF7E64">
        <w:rPr>
          <w:rFonts w:ascii="Times New Roman" w:hAnsi="Times New Roman" w:cs="Times New Roman"/>
          <w:bCs/>
          <w:noProof/>
          <w:sz w:val="24"/>
        </w:rPr>
        <w:t>.</w:t>
      </w:r>
    </w:p>
    <w:p w14:paraId="4BD6CB51" w14:textId="77777777" w:rsidR="00F3187D" w:rsidRPr="00B55065" w:rsidRDefault="00907B5E" w:rsidP="00386EAC">
      <w:pPr>
        <w:jc w:val="both"/>
        <w:rPr>
          <w:rFonts w:ascii="Times New Roman" w:hAnsi="Times New Roman" w:cs="Times New Roman"/>
          <w:bCs/>
          <w:noProof/>
          <w:sz w:val="24"/>
        </w:rPr>
      </w:pPr>
      <w:r w:rsidRPr="00814046">
        <w:rPr>
          <w:rFonts w:ascii="Times New Roman" w:hAnsi="Times New Roman" w:cs="Times New Roman"/>
          <w:bCs/>
          <w:noProof/>
          <w:sz w:val="24"/>
        </w:rPr>
        <w:t xml:space="preserve">The evolution of the adequacy standard is also reflected in </w:t>
      </w:r>
      <w:r w:rsidR="001F0CEF">
        <w:rPr>
          <w:rFonts w:ascii="Times New Roman" w:hAnsi="Times New Roman" w:cs="Times New Roman"/>
          <w:bCs/>
          <w:noProof/>
          <w:sz w:val="24"/>
        </w:rPr>
        <w:t>the guidance</w:t>
      </w:r>
      <w:r w:rsidR="00213AF6">
        <w:rPr>
          <w:rFonts w:ascii="Times New Roman" w:hAnsi="Times New Roman" w:cs="Times New Roman"/>
          <w:bCs/>
          <w:noProof/>
          <w:sz w:val="24"/>
        </w:rPr>
        <w:t xml:space="preserve"> that was originally adopted by the Article 29 Working Party and then</w:t>
      </w:r>
      <w:r w:rsidRPr="00814046">
        <w:rPr>
          <w:rFonts w:ascii="Times New Roman" w:hAnsi="Times New Roman" w:cs="Times New Roman"/>
          <w:bCs/>
          <w:noProof/>
          <w:sz w:val="24"/>
        </w:rPr>
        <w:t xml:space="preserve"> endorsed by the EDPB</w:t>
      </w:r>
      <w:r w:rsidR="004D59D8">
        <w:rPr>
          <w:rStyle w:val="FootnoteReference"/>
          <w:rFonts w:ascii="Times New Roman" w:hAnsi="Times New Roman" w:cs="Times New Roman"/>
          <w:bCs/>
          <w:noProof/>
          <w:sz w:val="24"/>
        </w:rPr>
        <w:footnoteReference w:id="29"/>
      </w:r>
      <w:r w:rsidR="00213AF6">
        <w:rPr>
          <w:rFonts w:ascii="Times New Roman" w:hAnsi="Times New Roman" w:cs="Times New Roman"/>
          <w:bCs/>
          <w:noProof/>
          <w:sz w:val="24"/>
        </w:rPr>
        <w:t xml:space="preserve">. </w:t>
      </w:r>
      <w:r w:rsidR="001F0CEF">
        <w:rPr>
          <w:rFonts w:ascii="Times New Roman" w:hAnsi="Times New Roman" w:cs="Times New Roman"/>
          <w:bCs/>
          <w:noProof/>
          <w:sz w:val="24"/>
        </w:rPr>
        <w:t xml:space="preserve">This guidance, and in particular the so-called “adequacy referential”, </w:t>
      </w:r>
      <w:r w:rsidR="002B261B" w:rsidRPr="00814046">
        <w:rPr>
          <w:rFonts w:ascii="Times New Roman" w:hAnsi="Times New Roman" w:cs="Times New Roman"/>
          <w:bCs/>
          <w:noProof/>
          <w:sz w:val="24"/>
        </w:rPr>
        <w:t>further clarifies the elements the Commission must take into account when carrying out an adequacy assessment, including by providing an overview of ‘essential guarantees’ for access to personal data by public authorities</w:t>
      </w:r>
      <w:r w:rsidR="00524C31">
        <w:rPr>
          <w:rFonts w:ascii="Times New Roman" w:hAnsi="Times New Roman" w:cs="Times New Roman"/>
          <w:bCs/>
          <w:noProof/>
          <w:sz w:val="24"/>
        </w:rPr>
        <w:t xml:space="preserve">. </w:t>
      </w:r>
      <w:r w:rsidR="002B261B" w:rsidRPr="00814046">
        <w:rPr>
          <w:rFonts w:ascii="Times New Roman" w:hAnsi="Times New Roman" w:cs="Times New Roman"/>
          <w:bCs/>
          <w:noProof/>
          <w:sz w:val="24"/>
        </w:rPr>
        <w:t>The latter builds in particular on the case law of the European Court of Human Rights</w:t>
      </w:r>
      <w:r w:rsidR="00CB3EC2">
        <w:rPr>
          <w:rFonts w:ascii="Times New Roman" w:hAnsi="Times New Roman" w:cs="Times New Roman"/>
          <w:bCs/>
          <w:noProof/>
          <w:sz w:val="24"/>
        </w:rPr>
        <w:t xml:space="preserve"> and was updated by the EDPB to take into account the clarifications provided by the Court of Justice in the </w:t>
      </w:r>
      <w:r w:rsidR="00CB3EC2" w:rsidRPr="00CB3EC2">
        <w:rPr>
          <w:rFonts w:ascii="Times New Roman" w:hAnsi="Times New Roman" w:cs="Times New Roman"/>
          <w:bCs/>
          <w:i/>
          <w:iCs/>
          <w:noProof/>
          <w:sz w:val="24"/>
        </w:rPr>
        <w:t>Schrems II</w:t>
      </w:r>
      <w:r w:rsidR="00CB3EC2">
        <w:rPr>
          <w:rFonts w:ascii="Times New Roman" w:hAnsi="Times New Roman" w:cs="Times New Roman"/>
          <w:bCs/>
          <w:noProof/>
          <w:sz w:val="24"/>
        </w:rPr>
        <w:t xml:space="preserve"> judgment</w:t>
      </w:r>
      <w:r w:rsidR="00CB3EC2">
        <w:rPr>
          <w:rStyle w:val="FootnoteReference"/>
          <w:rFonts w:ascii="Times New Roman" w:hAnsi="Times New Roman" w:cs="Times New Roman"/>
          <w:bCs/>
          <w:noProof/>
          <w:sz w:val="24"/>
        </w:rPr>
        <w:footnoteReference w:id="30"/>
      </w:r>
      <w:r w:rsidR="002B261B" w:rsidRPr="00814046">
        <w:rPr>
          <w:rFonts w:ascii="Times New Roman" w:hAnsi="Times New Roman" w:cs="Times New Roman"/>
          <w:bCs/>
          <w:noProof/>
          <w:sz w:val="24"/>
        </w:rPr>
        <w:t xml:space="preserve">. </w:t>
      </w:r>
      <w:r w:rsidR="008F37F2">
        <w:rPr>
          <w:rFonts w:ascii="Times New Roman" w:hAnsi="Times New Roman" w:cs="Times New Roman"/>
          <w:bCs/>
          <w:noProof/>
          <w:sz w:val="24"/>
        </w:rPr>
        <w:t>Importantly, t</w:t>
      </w:r>
      <w:r w:rsidR="004D59D8">
        <w:rPr>
          <w:rFonts w:ascii="Times New Roman" w:hAnsi="Times New Roman" w:cs="Times New Roman"/>
          <w:bCs/>
          <w:noProof/>
          <w:sz w:val="24"/>
        </w:rPr>
        <w:t xml:space="preserve">he adequacy referential also acknowledges that </w:t>
      </w:r>
      <w:r w:rsidR="002B261B" w:rsidRPr="00814046">
        <w:rPr>
          <w:rFonts w:ascii="Times New Roman" w:hAnsi="Times New Roman" w:cs="Times New Roman"/>
          <w:bCs/>
          <w:noProof/>
          <w:sz w:val="24"/>
        </w:rPr>
        <w:t>the standard of ‘essential equivalence’ does not involve a point-to-point replication (‘photocopy’) of EU rules, given that the means of ensuring a comparable level of protection may vary between different privacy systems, often reflecting different legal traditions</w:t>
      </w:r>
      <w:r w:rsidR="004D59D8">
        <w:rPr>
          <w:rFonts w:ascii="Times New Roman" w:hAnsi="Times New Roman" w:cs="Times New Roman"/>
          <w:bCs/>
          <w:noProof/>
          <w:sz w:val="24"/>
        </w:rPr>
        <w:t>.</w:t>
      </w:r>
    </w:p>
    <w:p w14:paraId="0A42B4C7" w14:textId="0ECBAD4A" w:rsidR="006D6B63" w:rsidRDefault="00AD3D6A" w:rsidP="00386EAC">
      <w:pPr>
        <w:jc w:val="both"/>
        <w:rPr>
          <w:rFonts w:ascii="Times New Roman" w:hAnsi="Times New Roman" w:cs="Times New Roman"/>
          <w:bCs/>
          <w:noProof/>
          <w:sz w:val="24"/>
        </w:rPr>
      </w:pPr>
      <w:r w:rsidRPr="00BF7E64">
        <w:rPr>
          <w:rFonts w:ascii="Times New Roman" w:hAnsi="Times New Roman" w:cs="Times New Roman"/>
          <w:bCs/>
          <w:noProof/>
          <w:sz w:val="24"/>
        </w:rPr>
        <w:t xml:space="preserve">Therefore, </w:t>
      </w:r>
      <w:r w:rsidR="009C008A">
        <w:rPr>
          <w:rFonts w:ascii="Times New Roman" w:hAnsi="Times New Roman" w:cs="Times New Roman"/>
          <w:bCs/>
          <w:noProof/>
          <w:sz w:val="24"/>
        </w:rPr>
        <w:t xml:space="preserve">to determine whether </w:t>
      </w:r>
      <w:r w:rsidRPr="00BF7E64">
        <w:rPr>
          <w:rFonts w:ascii="Times New Roman" w:hAnsi="Times New Roman" w:cs="Times New Roman"/>
          <w:bCs/>
          <w:noProof/>
          <w:sz w:val="24"/>
        </w:rPr>
        <w:t>the eleven adequacy decisions adopted under the former rules</w:t>
      </w:r>
      <w:r w:rsidR="009C008A">
        <w:rPr>
          <w:rFonts w:ascii="Times New Roman" w:hAnsi="Times New Roman" w:cs="Times New Roman"/>
          <w:bCs/>
          <w:noProof/>
          <w:sz w:val="24"/>
        </w:rPr>
        <w:t xml:space="preserve"> continue to meet the standard set by the GDPR</w:t>
      </w:r>
      <w:r w:rsidRPr="00BF7E64">
        <w:rPr>
          <w:rFonts w:ascii="Times New Roman" w:hAnsi="Times New Roman" w:cs="Times New Roman"/>
          <w:bCs/>
          <w:noProof/>
          <w:sz w:val="24"/>
        </w:rPr>
        <w:t>, the Commission has not only taken into account the evolution of the data protection frameworks in the countries</w:t>
      </w:r>
      <w:r w:rsidR="00BD7A98">
        <w:rPr>
          <w:rFonts w:ascii="Times New Roman" w:hAnsi="Times New Roman" w:cs="Times New Roman"/>
          <w:bCs/>
          <w:noProof/>
          <w:sz w:val="24"/>
        </w:rPr>
        <w:t xml:space="preserve"> and territories concerned</w:t>
      </w:r>
      <w:r w:rsidRPr="00BF7E64">
        <w:rPr>
          <w:rFonts w:ascii="Times New Roman" w:hAnsi="Times New Roman" w:cs="Times New Roman"/>
          <w:bCs/>
          <w:noProof/>
          <w:sz w:val="24"/>
        </w:rPr>
        <w:t xml:space="preserve">, but also the evolution in the interpretation </w:t>
      </w:r>
      <w:r w:rsidR="00AA0975">
        <w:rPr>
          <w:rFonts w:ascii="Times New Roman" w:hAnsi="Times New Roman" w:cs="Times New Roman"/>
          <w:bCs/>
          <w:noProof/>
          <w:sz w:val="24"/>
        </w:rPr>
        <w:t xml:space="preserve">under EU law </w:t>
      </w:r>
      <w:r w:rsidRPr="00BF7E64">
        <w:rPr>
          <w:rFonts w:ascii="Times New Roman" w:hAnsi="Times New Roman" w:cs="Times New Roman"/>
          <w:bCs/>
          <w:noProof/>
          <w:sz w:val="24"/>
        </w:rPr>
        <w:t>of the adequacy standard itself.</w:t>
      </w:r>
      <w:r w:rsidR="009C008A">
        <w:rPr>
          <w:rFonts w:ascii="Times New Roman" w:hAnsi="Times New Roman" w:cs="Times New Roman"/>
          <w:bCs/>
          <w:noProof/>
          <w:sz w:val="24"/>
        </w:rPr>
        <w:t xml:space="preserve"> </w:t>
      </w:r>
      <w:r w:rsidR="006D6B63">
        <w:rPr>
          <w:rFonts w:ascii="Times New Roman" w:hAnsi="Times New Roman" w:cs="Times New Roman"/>
          <w:bCs/>
          <w:noProof/>
          <w:sz w:val="24"/>
        </w:rPr>
        <w:t>T</w:t>
      </w:r>
      <w:r w:rsidRPr="00BF7E64">
        <w:rPr>
          <w:rFonts w:ascii="Times New Roman" w:hAnsi="Times New Roman" w:cs="Times New Roman"/>
          <w:bCs/>
          <w:noProof/>
          <w:sz w:val="24"/>
        </w:rPr>
        <w:t>h</w:t>
      </w:r>
      <w:r w:rsidR="009C008A">
        <w:rPr>
          <w:rFonts w:ascii="Times New Roman" w:hAnsi="Times New Roman" w:cs="Times New Roman"/>
          <w:bCs/>
          <w:noProof/>
          <w:sz w:val="24"/>
        </w:rPr>
        <w:t>is</w:t>
      </w:r>
      <w:r w:rsidRPr="00BF7E64">
        <w:rPr>
          <w:rFonts w:ascii="Times New Roman" w:hAnsi="Times New Roman" w:cs="Times New Roman"/>
          <w:bCs/>
          <w:noProof/>
          <w:sz w:val="24"/>
        </w:rPr>
        <w:t xml:space="preserve"> </w:t>
      </w:r>
      <w:r w:rsidR="009C008A">
        <w:rPr>
          <w:rFonts w:ascii="Times New Roman" w:hAnsi="Times New Roman" w:cs="Times New Roman"/>
          <w:bCs/>
          <w:noProof/>
          <w:sz w:val="24"/>
        </w:rPr>
        <w:t>also includes an assessment</w:t>
      </w:r>
      <w:r w:rsidR="008F37F2">
        <w:rPr>
          <w:rFonts w:ascii="Times New Roman" w:hAnsi="Times New Roman" w:cs="Times New Roman"/>
          <w:bCs/>
          <w:noProof/>
          <w:sz w:val="24"/>
        </w:rPr>
        <w:t xml:space="preserve"> </w:t>
      </w:r>
      <w:r w:rsidR="009C008A">
        <w:rPr>
          <w:rFonts w:ascii="Times New Roman" w:hAnsi="Times New Roman" w:cs="Times New Roman"/>
          <w:bCs/>
          <w:noProof/>
          <w:sz w:val="24"/>
        </w:rPr>
        <w:t xml:space="preserve">of </w:t>
      </w:r>
      <w:r w:rsidRPr="00BF7E64" w:rsidDel="00F3187D">
        <w:rPr>
          <w:rFonts w:ascii="Times New Roman" w:hAnsi="Times New Roman" w:cs="Times New Roman"/>
          <w:bCs/>
          <w:noProof/>
          <w:sz w:val="24"/>
        </w:rPr>
        <w:t xml:space="preserve">the legal framework governing the access </w:t>
      </w:r>
      <w:r w:rsidR="000001CE">
        <w:rPr>
          <w:rFonts w:ascii="Times New Roman" w:hAnsi="Times New Roman" w:cs="Times New Roman"/>
          <w:bCs/>
          <w:noProof/>
          <w:sz w:val="24"/>
        </w:rPr>
        <w:t xml:space="preserve">to </w:t>
      </w:r>
      <w:r w:rsidRPr="00BF7E64" w:rsidDel="00F3187D">
        <w:rPr>
          <w:rFonts w:ascii="Times New Roman" w:hAnsi="Times New Roman" w:cs="Times New Roman"/>
          <w:bCs/>
          <w:noProof/>
          <w:sz w:val="24"/>
        </w:rPr>
        <w:t xml:space="preserve">and use of personal data transferred from the </w:t>
      </w:r>
      <w:r w:rsidR="00BD7A98">
        <w:rPr>
          <w:rFonts w:ascii="Times New Roman" w:hAnsi="Times New Roman" w:cs="Times New Roman"/>
          <w:bCs/>
          <w:noProof/>
          <w:sz w:val="24"/>
        </w:rPr>
        <w:t>EU</w:t>
      </w:r>
      <w:r w:rsidRPr="00BF7E64" w:rsidDel="00F3187D">
        <w:rPr>
          <w:rFonts w:ascii="Times New Roman" w:hAnsi="Times New Roman" w:cs="Times New Roman"/>
          <w:bCs/>
          <w:noProof/>
          <w:sz w:val="24"/>
        </w:rPr>
        <w:t xml:space="preserve"> by public authorities of </w:t>
      </w:r>
      <w:r w:rsidR="006D6B63" w:rsidDel="00F3187D">
        <w:rPr>
          <w:rFonts w:ascii="Times New Roman" w:hAnsi="Times New Roman" w:cs="Times New Roman"/>
          <w:bCs/>
          <w:noProof/>
          <w:sz w:val="24"/>
        </w:rPr>
        <w:t xml:space="preserve">the </w:t>
      </w:r>
      <w:r w:rsidRPr="00BF7E64" w:rsidDel="00F3187D">
        <w:rPr>
          <w:rFonts w:ascii="Times New Roman" w:hAnsi="Times New Roman" w:cs="Times New Roman"/>
          <w:bCs/>
          <w:noProof/>
          <w:sz w:val="24"/>
        </w:rPr>
        <w:t>countries or territories</w:t>
      </w:r>
      <w:r w:rsidR="006D6B63" w:rsidDel="00F3187D">
        <w:rPr>
          <w:rFonts w:ascii="Times New Roman" w:hAnsi="Times New Roman" w:cs="Times New Roman"/>
          <w:bCs/>
          <w:noProof/>
          <w:sz w:val="24"/>
        </w:rPr>
        <w:t xml:space="preserve"> that were found to provide an adequate level of protection on the basis of Article 25(6) of the Data Protection Directive</w:t>
      </w:r>
      <w:r w:rsidRPr="00BF7E64" w:rsidDel="00F3187D">
        <w:rPr>
          <w:rFonts w:ascii="Times New Roman" w:hAnsi="Times New Roman" w:cs="Times New Roman"/>
          <w:bCs/>
          <w:noProof/>
          <w:sz w:val="24"/>
        </w:rPr>
        <w:t>.</w:t>
      </w:r>
      <w:r w:rsidRPr="00BF7E64">
        <w:rPr>
          <w:rFonts w:ascii="Times New Roman" w:hAnsi="Times New Roman" w:cs="Times New Roman"/>
          <w:bCs/>
          <w:noProof/>
          <w:sz w:val="24"/>
        </w:rPr>
        <w:t xml:space="preserve"> </w:t>
      </w:r>
    </w:p>
    <w:p w14:paraId="3C1DDB4F" w14:textId="77777777" w:rsidR="00FC6A83" w:rsidRPr="00BF7E64" w:rsidRDefault="005559B1" w:rsidP="00386EAC">
      <w:pPr>
        <w:pStyle w:val="ListParagraph"/>
        <w:numPr>
          <w:ilvl w:val="0"/>
          <w:numId w:val="3"/>
        </w:numPr>
        <w:ind w:left="357" w:hanging="357"/>
        <w:contextualSpacing w:val="0"/>
        <w:jc w:val="both"/>
        <w:rPr>
          <w:rFonts w:ascii="Times New Roman" w:hAnsi="Times New Roman" w:cs="Times New Roman"/>
          <w:b/>
          <w:bCs/>
          <w:noProof/>
          <w:sz w:val="24"/>
        </w:rPr>
      </w:pPr>
      <w:r>
        <w:rPr>
          <w:rFonts w:ascii="Times New Roman" w:hAnsi="Times New Roman" w:cs="Times New Roman"/>
          <w:b/>
          <w:bCs/>
          <w:noProof/>
          <w:sz w:val="24"/>
        </w:rPr>
        <w:t xml:space="preserve">REVIEW </w:t>
      </w:r>
      <w:r w:rsidR="0059492F">
        <w:rPr>
          <w:rFonts w:ascii="Times New Roman" w:hAnsi="Times New Roman" w:cs="Times New Roman"/>
          <w:b/>
          <w:bCs/>
          <w:noProof/>
          <w:sz w:val="24"/>
        </w:rPr>
        <w:t>PROCESS</w:t>
      </w:r>
    </w:p>
    <w:p w14:paraId="60733532" w14:textId="36C3B2CB" w:rsidR="005559B1" w:rsidRPr="005559B1" w:rsidRDefault="002A6A97" w:rsidP="00386EAC">
      <w:pPr>
        <w:jc w:val="both"/>
        <w:rPr>
          <w:rFonts w:ascii="Times New Roman" w:hAnsi="Times New Roman" w:cs="Times New Roman"/>
          <w:bCs/>
          <w:noProof/>
          <w:sz w:val="24"/>
        </w:rPr>
      </w:pPr>
      <w:r w:rsidRPr="002A6A97">
        <w:rPr>
          <w:rFonts w:ascii="Times New Roman" w:hAnsi="Times New Roman" w:cs="Times New Roman"/>
          <w:bCs/>
          <w:noProof/>
          <w:sz w:val="24"/>
        </w:rPr>
        <w:t xml:space="preserve">As described </w:t>
      </w:r>
      <w:r w:rsidR="005E7108">
        <w:rPr>
          <w:rFonts w:ascii="Times New Roman" w:hAnsi="Times New Roman" w:cs="Times New Roman"/>
          <w:bCs/>
          <w:noProof/>
          <w:sz w:val="24"/>
        </w:rPr>
        <w:t>above</w:t>
      </w:r>
      <w:r w:rsidRPr="002A6A97">
        <w:rPr>
          <w:rFonts w:ascii="Times New Roman" w:hAnsi="Times New Roman" w:cs="Times New Roman"/>
          <w:bCs/>
          <w:noProof/>
          <w:sz w:val="24"/>
        </w:rPr>
        <w:t xml:space="preserve">, </w:t>
      </w:r>
      <w:r w:rsidR="00A33C0B">
        <w:rPr>
          <w:rFonts w:ascii="Times New Roman" w:hAnsi="Times New Roman" w:cs="Times New Roman"/>
          <w:bCs/>
          <w:noProof/>
          <w:sz w:val="24"/>
        </w:rPr>
        <w:t>for each of the countries or territories</w:t>
      </w:r>
      <w:r w:rsidR="00BD7A98">
        <w:rPr>
          <w:rFonts w:ascii="Times New Roman" w:hAnsi="Times New Roman" w:cs="Times New Roman"/>
          <w:bCs/>
          <w:noProof/>
          <w:sz w:val="24"/>
        </w:rPr>
        <w:t xml:space="preserve"> concerned</w:t>
      </w:r>
      <w:r w:rsidR="00A33C0B">
        <w:rPr>
          <w:rFonts w:ascii="Times New Roman" w:hAnsi="Times New Roman" w:cs="Times New Roman"/>
          <w:bCs/>
          <w:noProof/>
          <w:sz w:val="24"/>
        </w:rPr>
        <w:t xml:space="preserve">, </w:t>
      </w:r>
      <w:r>
        <w:rPr>
          <w:rFonts w:ascii="Times New Roman" w:hAnsi="Times New Roman" w:cs="Times New Roman"/>
          <w:bCs/>
          <w:noProof/>
          <w:sz w:val="24"/>
        </w:rPr>
        <w:t xml:space="preserve">the evaluation </w:t>
      </w:r>
      <w:r w:rsidR="00492CFF">
        <w:rPr>
          <w:rFonts w:ascii="Times New Roman" w:hAnsi="Times New Roman" w:cs="Times New Roman"/>
          <w:bCs/>
          <w:noProof/>
          <w:sz w:val="24"/>
        </w:rPr>
        <w:t>of the existing adequacy decisions covers</w:t>
      </w:r>
      <w:r w:rsidRPr="002A6A97">
        <w:rPr>
          <w:rFonts w:ascii="Times New Roman" w:hAnsi="Times New Roman" w:cs="Times New Roman"/>
          <w:bCs/>
          <w:noProof/>
          <w:sz w:val="24"/>
        </w:rPr>
        <w:t xml:space="preserve"> the data protection framework and any developments with respect to that legal framework since the adequacy finding was adopted, as well as the rules governing government access </w:t>
      </w:r>
      <w:r w:rsidR="004A120D">
        <w:rPr>
          <w:rFonts w:ascii="Times New Roman" w:hAnsi="Times New Roman" w:cs="Times New Roman"/>
          <w:bCs/>
          <w:noProof/>
          <w:sz w:val="24"/>
        </w:rPr>
        <w:t xml:space="preserve">to data – in particular, </w:t>
      </w:r>
      <w:r w:rsidRPr="002A6A97">
        <w:rPr>
          <w:rFonts w:ascii="Times New Roman" w:hAnsi="Times New Roman" w:cs="Times New Roman"/>
          <w:bCs/>
          <w:noProof/>
          <w:sz w:val="24"/>
        </w:rPr>
        <w:t>for law enforcement and national security purposes.</w:t>
      </w:r>
      <w:r>
        <w:rPr>
          <w:rFonts w:ascii="Times New Roman" w:hAnsi="Times New Roman" w:cs="Times New Roman"/>
          <w:bCs/>
          <w:noProof/>
          <w:sz w:val="24"/>
        </w:rPr>
        <w:t xml:space="preserve"> </w:t>
      </w:r>
      <w:r w:rsidR="005559B1" w:rsidRPr="005559B1">
        <w:rPr>
          <w:rFonts w:ascii="Times New Roman" w:hAnsi="Times New Roman" w:cs="Times New Roman"/>
          <w:bCs/>
          <w:noProof/>
          <w:sz w:val="24"/>
        </w:rPr>
        <w:t xml:space="preserve">In the past years, the Commission services have taken several steps to conduct this assessment, in close cooperation with </w:t>
      </w:r>
      <w:r w:rsidR="00A33C0B">
        <w:rPr>
          <w:rFonts w:ascii="Times New Roman" w:hAnsi="Times New Roman" w:cs="Times New Roman"/>
          <w:bCs/>
          <w:noProof/>
          <w:sz w:val="24"/>
        </w:rPr>
        <w:t>each of the</w:t>
      </w:r>
      <w:r w:rsidR="005559B1" w:rsidRPr="005559B1">
        <w:rPr>
          <w:rFonts w:ascii="Times New Roman" w:hAnsi="Times New Roman" w:cs="Times New Roman"/>
          <w:bCs/>
          <w:noProof/>
          <w:sz w:val="24"/>
        </w:rPr>
        <w:t xml:space="preserve"> relevant countries or territories.</w:t>
      </w:r>
    </w:p>
    <w:p w14:paraId="1BF6B1E5" w14:textId="0CAEF775" w:rsidR="000D03BD" w:rsidRPr="00CE7BC2" w:rsidRDefault="00B753ED" w:rsidP="00386EAC">
      <w:pPr>
        <w:jc w:val="both"/>
        <w:rPr>
          <w:rFonts w:ascii="Times New Roman" w:hAnsi="Times New Roman" w:cs="Times New Roman"/>
          <w:bCs/>
          <w:noProof/>
          <w:sz w:val="24"/>
        </w:rPr>
      </w:pPr>
      <w:r>
        <w:rPr>
          <w:rFonts w:ascii="Times New Roman" w:hAnsi="Times New Roman" w:cs="Times New Roman"/>
          <w:bCs/>
          <w:noProof/>
          <w:sz w:val="24"/>
        </w:rPr>
        <w:t>T</w:t>
      </w:r>
      <w:r w:rsidR="002A6A97" w:rsidRPr="002A6A97">
        <w:rPr>
          <w:rFonts w:ascii="Times New Roman" w:hAnsi="Times New Roman" w:cs="Times New Roman"/>
          <w:bCs/>
          <w:noProof/>
          <w:sz w:val="24"/>
        </w:rPr>
        <w:t xml:space="preserve">o assist the Commission with its monitoring obligations, </w:t>
      </w:r>
      <w:r w:rsidR="00BB4AB3" w:rsidRPr="0017452C">
        <w:rPr>
          <w:rFonts w:ascii="Times New Roman" w:hAnsi="Times New Roman" w:cs="Times New Roman"/>
          <w:bCs/>
          <w:noProof/>
          <w:sz w:val="24"/>
        </w:rPr>
        <w:t xml:space="preserve">each of the eleven countries </w:t>
      </w:r>
      <w:r>
        <w:rPr>
          <w:rFonts w:ascii="Times New Roman" w:hAnsi="Times New Roman" w:cs="Times New Roman"/>
          <w:bCs/>
          <w:noProof/>
          <w:sz w:val="24"/>
        </w:rPr>
        <w:t>or</w:t>
      </w:r>
      <w:r w:rsidR="00BB4AB3" w:rsidRPr="0017452C">
        <w:rPr>
          <w:rFonts w:ascii="Times New Roman" w:hAnsi="Times New Roman" w:cs="Times New Roman"/>
          <w:bCs/>
          <w:noProof/>
          <w:sz w:val="24"/>
        </w:rPr>
        <w:t xml:space="preserve"> territories </w:t>
      </w:r>
      <w:r w:rsidR="00492CFF">
        <w:rPr>
          <w:rFonts w:ascii="Times New Roman" w:hAnsi="Times New Roman" w:cs="Times New Roman"/>
          <w:bCs/>
          <w:noProof/>
          <w:sz w:val="24"/>
        </w:rPr>
        <w:t>provide</w:t>
      </w:r>
      <w:r w:rsidR="004115CE">
        <w:rPr>
          <w:rFonts w:ascii="Times New Roman" w:hAnsi="Times New Roman" w:cs="Times New Roman"/>
          <w:bCs/>
          <w:noProof/>
          <w:sz w:val="24"/>
        </w:rPr>
        <w:t>d</w:t>
      </w:r>
      <w:r w:rsidR="00492CFF">
        <w:rPr>
          <w:rFonts w:ascii="Times New Roman" w:hAnsi="Times New Roman" w:cs="Times New Roman"/>
          <w:bCs/>
          <w:noProof/>
          <w:sz w:val="24"/>
        </w:rPr>
        <w:t xml:space="preserve"> the Commission with </w:t>
      </w:r>
      <w:r w:rsidR="00F23709">
        <w:rPr>
          <w:rFonts w:ascii="Times New Roman" w:hAnsi="Times New Roman" w:cs="Times New Roman"/>
          <w:bCs/>
          <w:noProof/>
          <w:sz w:val="24"/>
        </w:rPr>
        <w:t>comprehensive</w:t>
      </w:r>
      <w:r w:rsidR="005559B1">
        <w:rPr>
          <w:rFonts w:ascii="Times New Roman" w:hAnsi="Times New Roman" w:cs="Times New Roman"/>
          <w:bCs/>
          <w:noProof/>
          <w:sz w:val="24"/>
        </w:rPr>
        <w:t xml:space="preserve"> information</w:t>
      </w:r>
      <w:r w:rsidR="00492CFF">
        <w:rPr>
          <w:rFonts w:ascii="Times New Roman" w:hAnsi="Times New Roman" w:cs="Times New Roman"/>
          <w:bCs/>
          <w:noProof/>
          <w:sz w:val="24"/>
        </w:rPr>
        <w:t xml:space="preserve"> on developments in </w:t>
      </w:r>
      <w:r w:rsidR="00F23709">
        <w:rPr>
          <w:rFonts w:ascii="Times New Roman" w:hAnsi="Times New Roman" w:cs="Times New Roman"/>
          <w:bCs/>
          <w:noProof/>
          <w:sz w:val="24"/>
        </w:rPr>
        <w:t>its</w:t>
      </w:r>
      <w:r w:rsidR="00492CFF">
        <w:rPr>
          <w:rFonts w:ascii="Times New Roman" w:hAnsi="Times New Roman" w:cs="Times New Roman"/>
          <w:bCs/>
          <w:noProof/>
          <w:sz w:val="24"/>
        </w:rPr>
        <w:t xml:space="preserve"> data protection </w:t>
      </w:r>
      <w:r w:rsidR="00B55065">
        <w:rPr>
          <w:rFonts w:ascii="Times New Roman" w:hAnsi="Times New Roman" w:cs="Times New Roman"/>
          <w:bCs/>
          <w:noProof/>
          <w:sz w:val="24"/>
        </w:rPr>
        <w:t>regime</w:t>
      </w:r>
      <w:r w:rsidR="00F23709">
        <w:rPr>
          <w:rFonts w:ascii="Times New Roman" w:hAnsi="Times New Roman" w:cs="Times New Roman"/>
          <w:bCs/>
          <w:noProof/>
          <w:sz w:val="24"/>
        </w:rPr>
        <w:t xml:space="preserve"> since the adoption of the adequacy decision</w:t>
      </w:r>
      <w:r w:rsidR="00492CFF">
        <w:rPr>
          <w:rFonts w:ascii="Times New Roman" w:hAnsi="Times New Roman" w:cs="Times New Roman"/>
          <w:bCs/>
          <w:noProof/>
          <w:sz w:val="24"/>
        </w:rPr>
        <w:t xml:space="preserve">. In addition, </w:t>
      </w:r>
      <w:r w:rsidR="00A33C0B">
        <w:rPr>
          <w:rFonts w:ascii="Times New Roman" w:hAnsi="Times New Roman" w:cs="Times New Roman"/>
          <w:bCs/>
          <w:noProof/>
          <w:sz w:val="24"/>
        </w:rPr>
        <w:t>from each of the eleven countries or territories t</w:t>
      </w:r>
      <w:r w:rsidR="00BB4AB3">
        <w:rPr>
          <w:rFonts w:ascii="Times New Roman" w:hAnsi="Times New Roman" w:cs="Times New Roman"/>
          <w:bCs/>
          <w:noProof/>
          <w:sz w:val="24"/>
        </w:rPr>
        <w:t>he Commission</w:t>
      </w:r>
      <w:r w:rsidR="00492CFF">
        <w:rPr>
          <w:rFonts w:ascii="Times New Roman" w:hAnsi="Times New Roman" w:cs="Times New Roman"/>
          <w:bCs/>
          <w:noProof/>
          <w:sz w:val="24"/>
        </w:rPr>
        <w:t xml:space="preserve"> </w:t>
      </w:r>
      <w:r w:rsidR="00AA0975">
        <w:rPr>
          <w:rFonts w:ascii="Times New Roman" w:hAnsi="Times New Roman" w:cs="Times New Roman"/>
          <w:bCs/>
          <w:noProof/>
          <w:sz w:val="24"/>
        </w:rPr>
        <w:t>sought</w:t>
      </w:r>
      <w:r w:rsidR="005559B1">
        <w:rPr>
          <w:rFonts w:ascii="Times New Roman" w:hAnsi="Times New Roman" w:cs="Times New Roman"/>
          <w:bCs/>
          <w:noProof/>
          <w:sz w:val="24"/>
        </w:rPr>
        <w:t xml:space="preserve"> </w:t>
      </w:r>
      <w:r w:rsidR="00AA0975">
        <w:rPr>
          <w:rFonts w:ascii="Times New Roman" w:hAnsi="Times New Roman" w:cs="Times New Roman"/>
          <w:bCs/>
          <w:noProof/>
          <w:sz w:val="24"/>
        </w:rPr>
        <w:t xml:space="preserve">detailed </w:t>
      </w:r>
      <w:r w:rsidR="00145747">
        <w:rPr>
          <w:rFonts w:ascii="Times New Roman" w:hAnsi="Times New Roman" w:cs="Times New Roman"/>
          <w:bCs/>
          <w:noProof/>
          <w:sz w:val="24"/>
        </w:rPr>
        <w:t xml:space="preserve">information </w:t>
      </w:r>
      <w:r w:rsidR="005559B1">
        <w:rPr>
          <w:rFonts w:ascii="Times New Roman" w:hAnsi="Times New Roman" w:cs="Times New Roman"/>
          <w:bCs/>
          <w:noProof/>
          <w:sz w:val="24"/>
        </w:rPr>
        <w:t>concerning the rules on government access to personal data</w:t>
      </w:r>
      <w:r w:rsidR="004A120D">
        <w:rPr>
          <w:rFonts w:ascii="Times New Roman" w:hAnsi="Times New Roman" w:cs="Times New Roman"/>
          <w:bCs/>
          <w:noProof/>
          <w:sz w:val="24"/>
        </w:rPr>
        <w:t>, in particular</w:t>
      </w:r>
      <w:r w:rsidR="005559B1">
        <w:rPr>
          <w:rFonts w:ascii="Times New Roman" w:hAnsi="Times New Roman" w:cs="Times New Roman"/>
          <w:bCs/>
          <w:noProof/>
          <w:sz w:val="24"/>
        </w:rPr>
        <w:t xml:space="preserve"> for law enforcement and national security purposes that apply </w:t>
      </w:r>
      <w:r w:rsidR="00F23709">
        <w:rPr>
          <w:rFonts w:ascii="Times New Roman" w:hAnsi="Times New Roman" w:cs="Times New Roman"/>
          <w:bCs/>
          <w:noProof/>
          <w:sz w:val="24"/>
        </w:rPr>
        <w:t>in the relevant</w:t>
      </w:r>
      <w:r w:rsidR="00492CFF">
        <w:rPr>
          <w:rFonts w:ascii="Times New Roman" w:hAnsi="Times New Roman" w:cs="Times New Roman"/>
          <w:bCs/>
          <w:noProof/>
          <w:sz w:val="24"/>
        </w:rPr>
        <w:t xml:space="preserve"> </w:t>
      </w:r>
      <w:r w:rsidR="005559B1">
        <w:rPr>
          <w:rFonts w:ascii="Times New Roman" w:hAnsi="Times New Roman" w:cs="Times New Roman"/>
          <w:bCs/>
          <w:noProof/>
          <w:sz w:val="24"/>
        </w:rPr>
        <w:t>country or territory</w:t>
      </w:r>
      <w:r w:rsidR="00E21E27">
        <w:rPr>
          <w:rFonts w:ascii="Times New Roman" w:hAnsi="Times New Roman" w:cs="Times New Roman"/>
          <w:bCs/>
          <w:noProof/>
          <w:sz w:val="24"/>
        </w:rPr>
        <w:t>.</w:t>
      </w:r>
      <w:r w:rsidR="00E21E27" w:rsidRPr="00E21E27">
        <w:rPr>
          <w:rFonts w:ascii="Times New Roman" w:hAnsi="Times New Roman" w:cs="Times New Roman"/>
          <w:bCs/>
          <w:noProof/>
          <w:sz w:val="24"/>
          <w:lang w:val="en-IE"/>
        </w:rPr>
        <w:t xml:space="preserve"> </w:t>
      </w:r>
      <w:r w:rsidR="00CE7BC2" w:rsidRPr="00E21E27">
        <w:rPr>
          <w:rFonts w:ascii="Times New Roman" w:hAnsi="Times New Roman" w:cs="Times New Roman"/>
          <w:bCs/>
          <w:noProof/>
          <w:sz w:val="24"/>
          <w:lang w:val="en-IE"/>
        </w:rPr>
        <w:t>The Commission also sought information from public sources</w:t>
      </w:r>
      <w:r w:rsidR="00CE7BC2">
        <w:rPr>
          <w:rFonts w:ascii="Times New Roman" w:hAnsi="Times New Roman" w:cs="Times New Roman"/>
          <w:bCs/>
          <w:noProof/>
          <w:sz w:val="24"/>
          <w:lang w:val="en-IE"/>
        </w:rPr>
        <w:t>, oversight and enforcement authorities as well</w:t>
      </w:r>
      <w:r w:rsidR="00CE7BC2" w:rsidRPr="00E21E27">
        <w:rPr>
          <w:rFonts w:ascii="Times New Roman" w:hAnsi="Times New Roman" w:cs="Times New Roman"/>
          <w:bCs/>
          <w:noProof/>
          <w:sz w:val="24"/>
          <w:lang w:val="en-IE"/>
        </w:rPr>
        <w:t xml:space="preserve"> </w:t>
      </w:r>
      <w:r w:rsidR="00A33C0B">
        <w:rPr>
          <w:rFonts w:ascii="Times New Roman" w:hAnsi="Times New Roman" w:cs="Times New Roman"/>
          <w:bCs/>
          <w:noProof/>
          <w:sz w:val="24"/>
          <w:lang w:val="en-IE"/>
        </w:rPr>
        <w:t xml:space="preserve">from </w:t>
      </w:r>
      <w:r w:rsidR="00CE7BC2" w:rsidRPr="00E21E27">
        <w:rPr>
          <w:rFonts w:ascii="Times New Roman" w:hAnsi="Times New Roman" w:cs="Times New Roman"/>
          <w:bCs/>
          <w:noProof/>
          <w:sz w:val="24"/>
          <w:lang w:val="en-IE"/>
        </w:rPr>
        <w:t>local experts on the functioning of the decision</w:t>
      </w:r>
      <w:r w:rsidR="00CE7BC2">
        <w:rPr>
          <w:rFonts w:ascii="Times New Roman" w:hAnsi="Times New Roman" w:cs="Times New Roman"/>
          <w:bCs/>
          <w:noProof/>
          <w:sz w:val="24"/>
          <w:lang w:val="en-IE"/>
        </w:rPr>
        <w:t>s</w:t>
      </w:r>
      <w:r w:rsidR="00CE7BC2" w:rsidRPr="00E21E27">
        <w:rPr>
          <w:rFonts w:ascii="Times New Roman" w:hAnsi="Times New Roman" w:cs="Times New Roman"/>
          <w:bCs/>
          <w:noProof/>
          <w:sz w:val="24"/>
          <w:lang w:val="en-IE"/>
        </w:rPr>
        <w:t xml:space="preserve"> and </w:t>
      </w:r>
      <w:r w:rsidR="00CE7BC2">
        <w:rPr>
          <w:rFonts w:ascii="Times New Roman" w:hAnsi="Times New Roman" w:cs="Times New Roman"/>
          <w:bCs/>
          <w:noProof/>
          <w:sz w:val="24"/>
          <w:lang w:val="en-IE"/>
        </w:rPr>
        <w:t xml:space="preserve">on </w:t>
      </w:r>
      <w:r w:rsidR="00CE7BC2" w:rsidRPr="00E21E27">
        <w:rPr>
          <w:rFonts w:ascii="Times New Roman" w:hAnsi="Times New Roman" w:cs="Times New Roman"/>
          <w:bCs/>
          <w:noProof/>
          <w:sz w:val="24"/>
          <w:lang w:val="en-IE"/>
        </w:rPr>
        <w:t xml:space="preserve">relevant developments in </w:t>
      </w:r>
      <w:r w:rsidR="00CE7BC2">
        <w:rPr>
          <w:rFonts w:ascii="Times New Roman" w:hAnsi="Times New Roman" w:cs="Times New Roman"/>
          <w:bCs/>
          <w:noProof/>
          <w:sz w:val="24"/>
          <w:lang w:val="en-IE"/>
        </w:rPr>
        <w:t xml:space="preserve">the </w:t>
      </w:r>
      <w:r w:rsidR="00CE7BC2" w:rsidRPr="00E21E27">
        <w:rPr>
          <w:rFonts w:ascii="Times New Roman" w:hAnsi="Times New Roman" w:cs="Times New Roman"/>
          <w:bCs/>
          <w:noProof/>
          <w:sz w:val="24"/>
          <w:lang w:val="en-IE"/>
        </w:rPr>
        <w:t>law and practice</w:t>
      </w:r>
      <w:r w:rsidR="00CE7BC2">
        <w:rPr>
          <w:rFonts w:ascii="Times New Roman" w:hAnsi="Times New Roman" w:cs="Times New Roman"/>
          <w:bCs/>
          <w:noProof/>
          <w:sz w:val="24"/>
          <w:lang w:val="en-IE"/>
        </w:rPr>
        <w:t xml:space="preserve"> of </w:t>
      </w:r>
      <w:r w:rsidR="00A33C0B">
        <w:rPr>
          <w:rFonts w:ascii="Times New Roman" w:hAnsi="Times New Roman" w:cs="Times New Roman"/>
          <w:bCs/>
          <w:noProof/>
          <w:sz w:val="24"/>
          <w:lang w:val="en-IE"/>
        </w:rPr>
        <w:t xml:space="preserve">each of </w:t>
      </w:r>
      <w:r w:rsidR="00CE7BC2">
        <w:rPr>
          <w:rFonts w:ascii="Times New Roman" w:hAnsi="Times New Roman" w:cs="Times New Roman"/>
          <w:bCs/>
          <w:noProof/>
          <w:sz w:val="24"/>
          <w:lang w:val="en-IE"/>
        </w:rPr>
        <w:t>the countries and territories concerned</w:t>
      </w:r>
      <w:r w:rsidR="00CE7BC2" w:rsidRPr="00E21E27">
        <w:rPr>
          <w:rFonts w:ascii="Times New Roman" w:hAnsi="Times New Roman" w:cs="Times New Roman"/>
          <w:bCs/>
          <w:noProof/>
          <w:sz w:val="24"/>
          <w:lang w:val="en-IE"/>
        </w:rPr>
        <w:t>, both as regards the data protection rules applicable to private operators and with respect to government access.</w:t>
      </w:r>
      <w:r w:rsidR="00CE7BC2">
        <w:rPr>
          <w:rFonts w:ascii="Times New Roman" w:hAnsi="Times New Roman" w:cs="Times New Roman"/>
          <w:bCs/>
          <w:noProof/>
          <w:sz w:val="24"/>
          <w:lang w:val="en-IE"/>
        </w:rPr>
        <w:t xml:space="preserve"> </w:t>
      </w:r>
      <w:r w:rsidR="005B3097">
        <w:rPr>
          <w:rFonts w:ascii="Times New Roman" w:hAnsi="Times New Roman" w:cs="Times New Roman"/>
          <w:noProof/>
          <w:sz w:val="24"/>
          <w:szCs w:val="24"/>
        </w:rPr>
        <w:t>Finally, where relevant, due account has been taken of the international commitments subscribed by these countries/territories under regional or universal instruments.</w:t>
      </w:r>
    </w:p>
    <w:p w14:paraId="25F24941" w14:textId="634397E7" w:rsidR="004F437F" w:rsidRDefault="00BB4AB3" w:rsidP="00386EAC">
      <w:pPr>
        <w:jc w:val="both"/>
        <w:rPr>
          <w:rFonts w:ascii="Times New Roman" w:hAnsi="Times New Roman" w:cs="Times New Roman"/>
          <w:noProof/>
          <w:sz w:val="24"/>
          <w:szCs w:val="24"/>
        </w:rPr>
      </w:pPr>
      <w:r>
        <w:rPr>
          <w:rFonts w:ascii="Times New Roman" w:hAnsi="Times New Roman" w:cs="Times New Roman"/>
          <w:bCs/>
          <w:noProof/>
          <w:sz w:val="24"/>
        </w:rPr>
        <w:t>On th</w:t>
      </w:r>
      <w:r w:rsidR="00B55065">
        <w:rPr>
          <w:rFonts w:ascii="Times New Roman" w:hAnsi="Times New Roman" w:cs="Times New Roman"/>
          <w:bCs/>
          <w:noProof/>
          <w:sz w:val="24"/>
        </w:rPr>
        <w:t>at</w:t>
      </w:r>
      <w:r>
        <w:rPr>
          <w:rFonts w:ascii="Times New Roman" w:hAnsi="Times New Roman" w:cs="Times New Roman"/>
          <w:bCs/>
          <w:noProof/>
          <w:sz w:val="24"/>
        </w:rPr>
        <w:t xml:space="preserve"> basis, t</w:t>
      </w:r>
      <w:r w:rsidR="000123B4" w:rsidRPr="0017452C">
        <w:rPr>
          <w:rFonts w:ascii="Times New Roman" w:hAnsi="Times New Roman" w:cs="Times New Roman"/>
          <w:bCs/>
          <w:noProof/>
          <w:sz w:val="24"/>
        </w:rPr>
        <w:t xml:space="preserve">he Commission </w:t>
      </w:r>
      <w:r w:rsidR="005E7108">
        <w:rPr>
          <w:rFonts w:ascii="Times New Roman" w:hAnsi="Times New Roman" w:cs="Times New Roman"/>
          <w:bCs/>
          <w:noProof/>
          <w:sz w:val="24"/>
        </w:rPr>
        <w:t xml:space="preserve">has </w:t>
      </w:r>
      <w:r w:rsidR="000123B4" w:rsidRPr="0017452C">
        <w:rPr>
          <w:rFonts w:ascii="Times New Roman" w:hAnsi="Times New Roman" w:cs="Times New Roman"/>
          <w:bCs/>
          <w:noProof/>
          <w:sz w:val="24"/>
        </w:rPr>
        <w:t xml:space="preserve">engaged in an intense dialogue with </w:t>
      </w:r>
      <w:r>
        <w:rPr>
          <w:rFonts w:ascii="Times New Roman" w:hAnsi="Times New Roman" w:cs="Times New Roman"/>
          <w:bCs/>
          <w:noProof/>
          <w:sz w:val="24"/>
        </w:rPr>
        <w:t>each of the countries</w:t>
      </w:r>
      <w:r w:rsidR="00F23709">
        <w:rPr>
          <w:rFonts w:ascii="Times New Roman" w:hAnsi="Times New Roman" w:cs="Times New Roman"/>
          <w:bCs/>
          <w:noProof/>
          <w:sz w:val="24"/>
        </w:rPr>
        <w:t xml:space="preserve"> and territories</w:t>
      </w:r>
      <w:r w:rsidR="00BD7A98">
        <w:rPr>
          <w:rFonts w:ascii="Times New Roman" w:hAnsi="Times New Roman" w:cs="Times New Roman"/>
          <w:bCs/>
          <w:noProof/>
          <w:sz w:val="24"/>
        </w:rPr>
        <w:t xml:space="preserve"> concerned</w:t>
      </w:r>
      <w:r w:rsidR="000123B4" w:rsidRPr="0017452C">
        <w:rPr>
          <w:rFonts w:ascii="Times New Roman" w:hAnsi="Times New Roman" w:cs="Times New Roman"/>
          <w:bCs/>
          <w:noProof/>
          <w:sz w:val="24"/>
        </w:rPr>
        <w:t xml:space="preserve">. </w:t>
      </w:r>
      <w:r w:rsidR="005E7108">
        <w:rPr>
          <w:rFonts w:ascii="Times New Roman" w:hAnsi="Times New Roman" w:cs="Times New Roman"/>
          <w:bCs/>
          <w:noProof/>
          <w:sz w:val="24"/>
        </w:rPr>
        <w:t xml:space="preserve">In the context of this dialogue, </w:t>
      </w:r>
      <w:r w:rsidR="005B6B7D">
        <w:rPr>
          <w:rFonts w:ascii="Times New Roman" w:hAnsi="Times New Roman" w:cs="Times New Roman"/>
          <w:bCs/>
          <w:noProof/>
          <w:sz w:val="24"/>
        </w:rPr>
        <w:t>m</w:t>
      </w:r>
      <w:r w:rsidR="00F9431B">
        <w:rPr>
          <w:rFonts w:ascii="Times New Roman" w:hAnsi="Times New Roman" w:cs="Times New Roman"/>
          <w:bCs/>
          <w:noProof/>
          <w:sz w:val="24"/>
        </w:rPr>
        <w:t xml:space="preserve">any </w:t>
      </w:r>
      <w:r w:rsidR="00BD7A98">
        <w:rPr>
          <w:rFonts w:ascii="Times New Roman" w:hAnsi="Times New Roman" w:cs="Times New Roman"/>
          <w:bCs/>
          <w:noProof/>
          <w:sz w:val="24"/>
        </w:rPr>
        <w:t xml:space="preserve">of said </w:t>
      </w:r>
      <w:r w:rsidR="000123B4" w:rsidRPr="0017452C">
        <w:rPr>
          <w:rFonts w:ascii="Times New Roman" w:hAnsi="Times New Roman" w:cs="Times New Roman"/>
          <w:bCs/>
          <w:noProof/>
          <w:sz w:val="24"/>
        </w:rPr>
        <w:t xml:space="preserve">countries and territories </w:t>
      </w:r>
      <w:r w:rsidR="005E7108">
        <w:rPr>
          <w:rFonts w:ascii="Times New Roman" w:hAnsi="Times New Roman" w:cs="Times New Roman"/>
          <w:bCs/>
          <w:noProof/>
          <w:sz w:val="24"/>
        </w:rPr>
        <w:t>have</w:t>
      </w:r>
      <w:r w:rsidR="000123B4" w:rsidRPr="0017452C">
        <w:rPr>
          <w:rFonts w:ascii="Times New Roman" w:hAnsi="Times New Roman" w:cs="Times New Roman"/>
          <w:bCs/>
          <w:noProof/>
          <w:sz w:val="24"/>
        </w:rPr>
        <w:t xml:space="preserve"> modernise</w:t>
      </w:r>
      <w:r w:rsidR="005E7108">
        <w:rPr>
          <w:rFonts w:ascii="Times New Roman" w:hAnsi="Times New Roman" w:cs="Times New Roman"/>
          <w:bCs/>
          <w:noProof/>
          <w:sz w:val="24"/>
        </w:rPr>
        <w:t>d</w:t>
      </w:r>
      <w:r w:rsidR="000123B4" w:rsidRPr="0017452C">
        <w:rPr>
          <w:rFonts w:ascii="Times New Roman" w:hAnsi="Times New Roman" w:cs="Times New Roman"/>
          <w:bCs/>
          <w:noProof/>
          <w:sz w:val="24"/>
        </w:rPr>
        <w:t xml:space="preserve"> </w:t>
      </w:r>
      <w:r>
        <w:rPr>
          <w:rFonts w:ascii="Times New Roman" w:hAnsi="Times New Roman" w:cs="Times New Roman"/>
          <w:bCs/>
          <w:noProof/>
          <w:sz w:val="24"/>
        </w:rPr>
        <w:t>a</w:t>
      </w:r>
      <w:r w:rsidR="000123B4" w:rsidRPr="0017452C">
        <w:rPr>
          <w:rFonts w:ascii="Times New Roman" w:hAnsi="Times New Roman" w:cs="Times New Roman"/>
          <w:bCs/>
          <w:noProof/>
          <w:sz w:val="24"/>
        </w:rPr>
        <w:t>nd</w:t>
      </w:r>
      <w:r>
        <w:rPr>
          <w:rFonts w:ascii="Times New Roman" w:hAnsi="Times New Roman" w:cs="Times New Roman"/>
          <w:bCs/>
          <w:noProof/>
          <w:sz w:val="24"/>
        </w:rPr>
        <w:t xml:space="preserve"> </w:t>
      </w:r>
      <w:r w:rsidR="000123B4" w:rsidRPr="0017452C">
        <w:rPr>
          <w:rFonts w:ascii="Times New Roman" w:hAnsi="Times New Roman" w:cs="Times New Roman"/>
          <w:bCs/>
          <w:noProof/>
          <w:sz w:val="24"/>
        </w:rPr>
        <w:t>strengthen</w:t>
      </w:r>
      <w:r w:rsidR="005E7108">
        <w:rPr>
          <w:rFonts w:ascii="Times New Roman" w:hAnsi="Times New Roman" w:cs="Times New Roman"/>
          <w:bCs/>
          <w:noProof/>
          <w:sz w:val="24"/>
        </w:rPr>
        <w:t xml:space="preserve">ed their privacy </w:t>
      </w:r>
      <w:r w:rsidR="005B6B7D">
        <w:rPr>
          <w:rFonts w:ascii="Times New Roman" w:hAnsi="Times New Roman" w:cs="Times New Roman"/>
          <w:bCs/>
          <w:noProof/>
          <w:sz w:val="24"/>
        </w:rPr>
        <w:t>legislation</w:t>
      </w:r>
      <w:r w:rsidR="00672088">
        <w:rPr>
          <w:rFonts w:ascii="Times New Roman" w:hAnsi="Times New Roman" w:cs="Times New Roman"/>
          <w:bCs/>
          <w:noProof/>
          <w:sz w:val="24"/>
        </w:rPr>
        <w:t xml:space="preserve"> through comprehensive or partial reforms</w:t>
      </w:r>
      <w:r w:rsidR="005B6B7D">
        <w:rPr>
          <w:rFonts w:ascii="Times New Roman" w:hAnsi="Times New Roman" w:cs="Times New Roman"/>
          <w:bCs/>
          <w:noProof/>
          <w:sz w:val="24"/>
        </w:rPr>
        <w:t xml:space="preserve"> (</w:t>
      </w:r>
      <w:r w:rsidR="00794AD7">
        <w:rPr>
          <w:rFonts w:ascii="Times New Roman" w:hAnsi="Times New Roman" w:cs="Times New Roman"/>
          <w:bCs/>
          <w:noProof/>
          <w:sz w:val="24"/>
        </w:rPr>
        <w:t>e.g.,</w:t>
      </w:r>
      <w:r w:rsidR="005B6B7D">
        <w:rPr>
          <w:rFonts w:ascii="Times New Roman" w:hAnsi="Times New Roman" w:cs="Times New Roman"/>
          <w:bCs/>
          <w:noProof/>
          <w:sz w:val="24"/>
        </w:rPr>
        <w:t xml:space="preserve"> </w:t>
      </w:r>
      <w:r w:rsidR="00F9431B">
        <w:rPr>
          <w:rFonts w:ascii="Times New Roman" w:hAnsi="Times New Roman" w:cs="Times New Roman"/>
          <w:bCs/>
          <w:noProof/>
          <w:sz w:val="24"/>
        </w:rPr>
        <w:t>Andorra,</w:t>
      </w:r>
      <w:r w:rsidR="00672088">
        <w:rPr>
          <w:rFonts w:ascii="Times New Roman" w:hAnsi="Times New Roman" w:cs="Times New Roman"/>
          <w:bCs/>
          <w:noProof/>
          <w:sz w:val="24"/>
        </w:rPr>
        <w:t xml:space="preserve"> Canada,</w:t>
      </w:r>
      <w:r w:rsidR="00F9431B">
        <w:rPr>
          <w:rFonts w:ascii="Times New Roman" w:hAnsi="Times New Roman" w:cs="Times New Roman"/>
          <w:bCs/>
          <w:noProof/>
          <w:sz w:val="24"/>
        </w:rPr>
        <w:t xml:space="preserve"> </w:t>
      </w:r>
      <w:r w:rsidR="005B6B7D">
        <w:rPr>
          <w:rFonts w:ascii="Times New Roman" w:hAnsi="Times New Roman" w:cs="Times New Roman"/>
          <w:bCs/>
          <w:noProof/>
          <w:sz w:val="24"/>
        </w:rPr>
        <w:t>Faroe Island</w:t>
      </w:r>
      <w:r w:rsidR="00F9431B">
        <w:rPr>
          <w:rFonts w:ascii="Times New Roman" w:hAnsi="Times New Roman" w:cs="Times New Roman"/>
          <w:bCs/>
          <w:noProof/>
          <w:sz w:val="24"/>
        </w:rPr>
        <w:t>,</w:t>
      </w:r>
      <w:r w:rsidR="00F9431B" w:rsidRPr="00F9431B">
        <w:rPr>
          <w:rFonts w:ascii="Times New Roman" w:hAnsi="Times New Roman" w:cs="Times New Roman"/>
          <w:bCs/>
          <w:noProof/>
          <w:sz w:val="24"/>
        </w:rPr>
        <w:t xml:space="preserve"> </w:t>
      </w:r>
      <w:r w:rsidR="00F9431B">
        <w:rPr>
          <w:rFonts w:ascii="Times New Roman" w:hAnsi="Times New Roman" w:cs="Times New Roman"/>
          <w:bCs/>
          <w:noProof/>
          <w:sz w:val="24"/>
        </w:rPr>
        <w:t>Switzerland, New Zealand</w:t>
      </w:r>
      <w:r w:rsidR="005B6B7D">
        <w:rPr>
          <w:rFonts w:ascii="Times New Roman" w:hAnsi="Times New Roman" w:cs="Times New Roman"/>
          <w:bCs/>
          <w:noProof/>
          <w:sz w:val="24"/>
        </w:rPr>
        <w:t>)</w:t>
      </w:r>
      <w:r w:rsidR="005E7108">
        <w:rPr>
          <w:rFonts w:ascii="Times New Roman" w:hAnsi="Times New Roman" w:cs="Times New Roman"/>
          <w:bCs/>
          <w:noProof/>
          <w:sz w:val="24"/>
        </w:rPr>
        <w:t>, prompted amongst other by t</w:t>
      </w:r>
      <w:r w:rsidR="005E7108" w:rsidRPr="0017452C">
        <w:rPr>
          <w:rFonts w:ascii="Times New Roman" w:hAnsi="Times New Roman" w:cs="Times New Roman"/>
          <w:bCs/>
          <w:noProof/>
          <w:sz w:val="24"/>
        </w:rPr>
        <w:t xml:space="preserve">he need to ensure the continuity of </w:t>
      </w:r>
      <w:r w:rsidR="005E7108">
        <w:rPr>
          <w:rFonts w:ascii="Times New Roman" w:hAnsi="Times New Roman" w:cs="Times New Roman"/>
          <w:bCs/>
          <w:noProof/>
          <w:sz w:val="24"/>
        </w:rPr>
        <w:t xml:space="preserve">the adequacy </w:t>
      </w:r>
      <w:r w:rsidR="005E7108" w:rsidRPr="0017452C">
        <w:rPr>
          <w:rFonts w:ascii="Times New Roman" w:hAnsi="Times New Roman" w:cs="Times New Roman"/>
          <w:bCs/>
          <w:noProof/>
          <w:sz w:val="24"/>
        </w:rPr>
        <w:t>decisions</w:t>
      </w:r>
      <w:r w:rsidR="005E7108">
        <w:rPr>
          <w:rFonts w:ascii="Times New Roman" w:hAnsi="Times New Roman" w:cs="Times New Roman"/>
          <w:bCs/>
          <w:noProof/>
          <w:sz w:val="24"/>
        </w:rPr>
        <w:t xml:space="preserve">. </w:t>
      </w:r>
      <w:r w:rsidR="00F9431B">
        <w:rPr>
          <w:rFonts w:ascii="Times New Roman" w:hAnsi="Times New Roman" w:cs="Times New Roman"/>
          <w:bCs/>
          <w:noProof/>
          <w:sz w:val="24"/>
        </w:rPr>
        <w:t>Some of these countries have adopted regulations and/or guidance by their data protection authority to introduce new data protection requirements (</w:t>
      </w:r>
      <w:r w:rsidR="00794AD7">
        <w:rPr>
          <w:rFonts w:ascii="Times New Roman" w:hAnsi="Times New Roman" w:cs="Times New Roman"/>
          <w:bCs/>
          <w:noProof/>
          <w:sz w:val="24"/>
        </w:rPr>
        <w:t>e.g.,</w:t>
      </w:r>
      <w:r w:rsidR="00F9431B">
        <w:rPr>
          <w:rFonts w:ascii="Times New Roman" w:hAnsi="Times New Roman" w:cs="Times New Roman"/>
          <w:bCs/>
          <w:noProof/>
          <w:sz w:val="24"/>
        </w:rPr>
        <w:t xml:space="preserve"> Israel, Uruguay) or clarifying certain privacy rules (</w:t>
      </w:r>
      <w:r w:rsidR="00794AD7">
        <w:rPr>
          <w:rFonts w:ascii="Times New Roman" w:hAnsi="Times New Roman" w:cs="Times New Roman"/>
          <w:bCs/>
          <w:noProof/>
          <w:sz w:val="24"/>
        </w:rPr>
        <w:t>e.g.,</w:t>
      </w:r>
      <w:r w:rsidR="00F9431B">
        <w:rPr>
          <w:rFonts w:ascii="Times New Roman" w:hAnsi="Times New Roman" w:cs="Times New Roman"/>
          <w:bCs/>
          <w:noProof/>
          <w:sz w:val="24"/>
        </w:rPr>
        <w:t xml:space="preserve"> Argentina, </w:t>
      </w:r>
      <w:r w:rsidR="005B3097">
        <w:rPr>
          <w:rFonts w:ascii="Times New Roman" w:hAnsi="Times New Roman" w:cs="Times New Roman"/>
          <w:bCs/>
          <w:noProof/>
          <w:sz w:val="24"/>
        </w:rPr>
        <w:t xml:space="preserve">Canada, </w:t>
      </w:r>
      <w:r w:rsidR="00145747">
        <w:rPr>
          <w:rFonts w:ascii="Times New Roman" w:hAnsi="Times New Roman" w:cs="Times New Roman"/>
          <w:bCs/>
          <w:noProof/>
          <w:sz w:val="24"/>
        </w:rPr>
        <w:t>Guernsey, Jersey, Isle of Man</w:t>
      </w:r>
      <w:r w:rsidR="00F9431B">
        <w:rPr>
          <w:rFonts w:ascii="Times New Roman" w:hAnsi="Times New Roman" w:cs="Times New Roman"/>
          <w:bCs/>
          <w:noProof/>
          <w:sz w:val="24"/>
        </w:rPr>
        <w:t xml:space="preserve">, Israel, New Zealand), building on enforcement practice or case law. </w:t>
      </w:r>
      <w:r w:rsidR="005E7108" w:rsidRPr="00F23709">
        <w:rPr>
          <w:rFonts w:ascii="Times New Roman" w:hAnsi="Times New Roman" w:cs="Times New Roman"/>
          <w:bCs/>
          <w:noProof/>
          <w:sz w:val="24"/>
        </w:rPr>
        <w:t>Moreover, in order to address relevant differences in the level of protection, a</w:t>
      </w:r>
      <w:r w:rsidR="000123B4" w:rsidRPr="00F23709">
        <w:rPr>
          <w:rFonts w:ascii="Times New Roman" w:hAnsi="Times New Roman" w:cs="Times New Roman"/>
          <w:bCs/>
          <w:noProof/>
          <w:sz w:val="24"/>
        </w:rPr>
        <w:t xml:space="preserve">dditional safeguards </w:t>
      </w:r>
      <w:r w:rsidR="005E7108" w:rsidRPr="00F23709">
        <w:rPr>
          <w:rFonts w:ascii="Times New Roman" w:hAnsi="Times New Roman" w:cs="Times New Roman"/>
          <w:bCs/>
          <w:noProof/>
          <w:sz w:val="24"/>
        </w:rPr>
        <w:t xml:space="preserve">for personal data transferred from Europe </w:t>
      </w:r>
      <w:r w:rsidR="002A6A97" w:rsidRPr="00F23709">
        <w:rPr>
          <w:rFonts w:ascii="Times New Roman" w:hAnsi="Times New Roman" w:cs="Times New Roman"/>
          <w:bCs/>
          <w:noProof/>
          <w:sz w:val="24"/>
        </w:rPr>
        <w:t>have been</w:t>
      </w:r>
      <w:r w:rsidR="001737AE">
        <w:rPr>
          <w:rFonts w:ascii="Times New Roman" w:hAnsi="Times New Roman" w:cs="Times New Roman"/>
          <w:bCs/>
          <w:noProof/>
          <w:sz w:val="24"/>
        </w:rPr>
        <w:t xml:space="preserve"> – when needed </w:t>
      </w:r>
      <w:r w:rsidR="009038F4">
        <w:rPr>
          <w:rFonts w:ascii="Times New Roman" w:hAnsi="Times New Roman" w:cs="Times New Roman"/>
          <w:bCs/>
          <w:noProof/>
          <w:sz w:val="24"/>
        </w:rPr>
        <w:t>to ensure the continuity of the adequacy decision</w:t>
      </w:r>
      <w:r w:rsidR="001737AE">
        <w:rPr>
          <w:rFonts w:ascii="Times New Roman" w:hAnsi="Times New Roman" w:cs="Times New Roman"/>
          <w:bCs/>
          <w:noProof/>
          <w:sz w:val="24"/>
        </w:rPr>
        <w:t xml:space="preserve">– negotiated </w:t>
      </w:r>
      <w:r w:rsidRPr="00F23709">
        <w:rPr>
          <w:rFonts w:ascii="Times New Roman" w:hAnsi="Times New Roman" w:cs="Times New Roman"/>
          <w:bCs/>
          <w:noProof/>
          <w:sz w:val="24"/>
        </w:rPr>
        <w:t xml:space="preserve">and agreed </w:t>
      </w:r>
      <w:r w:rsidR="000123B4" w:rsidRPr="00F23709">
        <w:rPr>
          <w:rFonts w:ascii="Times New Roman" w:hAnsi="Times New Roman" w:cs="Times New Roman"/>
          <w:bCs/>
          <w:noProof/>
          <w:sz w:val="24"/>
        </w:rPr>
        <w:t xml:space="preserve">with </w:t>
      </w:r>
      <w:r w:rsidRPr="00F23709">
        <w:rPr>
          <w:rFonts w:ascii="Times New Roman" w:hAnsi="Times New Roman" w:cs="Times New Roman"/>
          <w:bCs/>
          <w:noProof/>
          <w:sz w:val="24"/>
        </w:rPr>
        <w:t xml:space="preserve">some </w:t>
      </w:r>
      <w:r w:rsidR="005E7108" w:rsidRPr="00F23709">
        <w:rPr>
          <w:rFonts w:ascii="Times New Roman" w:hAnsi="Times New Roman" w:cs="Times New Roman"/>
          <w:bCs/>
          <w:noProof/>
          <w:sz w:val="24"/>
        </w:rPr>
        <w:t xml:space="preserve">of the </w:t>
      </w:r>
      <w:r w:rsidR="000123B4" w:rsidRPr="00F23709">
        <w:rPr>
          <w:rFonts w:ascii="Times New Roman" w:hAnsi="Times New Roman" w:cs="Times New Roman"/>
          <w:bCs/>
          <w:noProof/>
          <w:sz w:val="24"/>
        </w:rPr>
        <w:t>countries and territories</w:t>
      </w:r>
      <w:r w:rsidR="00BD7A98">
        <w:rPr>
          <w:rFonts w:ascii="Times New Roman" w:hAnsi="Times New Roman" w:cs="Times New Roman"/>
          <w:bCs/>
          <w:noProof/>
          <w:sz w:val="24"/>
        </w:rPr>
        <w:t xml:space="preserve"> concerned</w:t>
      </w:r>
      <w:r w:rsidR="005E7108" w:rsidRPr="00F23709">
        <w:rPr>
          <w:rFonts w:ascii="Times New Roman" w:hAnsi="Times New Roman" w:cs="Times New Roman"/>
          <w:bCs/>
          <w:noProof/>
          <w:sz w:val="24"/>
        </w:rPr>
        <w:t>.</w:t>
      </w:r>
      <w:r w:rsidR="001737AE">
        <w:rPr>
          <w:rFonts w:ascii="Times New Roman" w:hAnsi="Times New Roman" w:cs="Times New Roman"/>
          <w:bCs/>
          <w:noProof/>
          <w:sz w:val="24"/>
        </w:rPr>
        <w:t xml:space="preserve"> </w:t>
      </w:r>
      <w:r w:rsidR="004F437F">
        <w:rPr>
          <w:rFonts w:ascii="Times New Roman" w:hAnsi="Times New Roman" w:cs="Times New Roman"/>
          <w:bCs/>
          <w:noProof/>
          <w:sz w:val="24"/>
        </w:rPr>
        <w:t xml:space="preserve">For example, the Canadian government extended the rights of access and correction with respect to personal data processed by the public sector to all individuals, regardless of their nationality or place of residence (whereas these </w:t>
      </w:r>
      <w:r w:rsidR="004F437F" w:rsidRPr="00746814">
        <w:rPr>
          <w:rFonts w:ascii="Times New Roman" w:hAnsi="Times New Roman" w:cs="Times New Roman"/>
          <w:noProof/>
          <w:sz w:val="24"/>
          <w:szCs w:val="24"/>
        </w:rPr>
        <w:t>rights were in the past only available to Canadian citizens, permanent residents or individuals present in Canada</w:t>
      </w:r>
      <w:r w:rsidR="007003A4">
        <w:rPr>
          <w:rFonts w:ascii="Times New Roman" w:hAnsi="Times New Roman" w:cs="Times New Roman"/>
          <w:noProof/>
          <w:sz w:val="24"/>
          <w:szCs w:val="24"/>
        </w:rPr>
        <w:t>)</w:t>
      </w:r>
      <w:r w:rsidR="004F437F">
        <w:rPr>
          <w:rStyle w:val="FootnoteReference"/>
          <w:rFonts w:ascii="Times New Roman" w:hAnsi="Times New Roman" w:cs="Times New Roman"/>
          <w:noProof/>
          <w:sz w:val="24"/>
          <w:szCs w:val="24"/>
        </w:rPr>
        <w:footnoteReference w:id="31"/>
      </w:r>
      <w:r w:rsidR="004F437F" w:rsidRPr="00746814">
        <w:rPr>
          <w:rFonts w:ascii="Times New Roman" w:hAnsi="Times New Roman" w:cs="Times New Roman"/>
          <w:noProof/>
          <w:sz w:val="24"/>
          <w:szCs w:val="24"/>
        </w:rPr>
        <w:t>.</w:t>
      </w:r>
      <w:r w:rsidR="007003A4">
        <w:rPr>
          <w:rFonts w:ascii="Times New Roman" w:hAnsi="Times New Roman" w:cs="Times New Roman"/>
          <w:noProof/>
          <w:sz w:val="24"/>
          <w:szCs w:val="24"/>
        </w:rPr>
        <w:t xml:space="preserve"> </w:t>
      </w:r>
      <w:r w:rsidR="007003A4" w:rsidRPr="005E6FA3">
        <w:rPr>
          <w:rFonts w:ascii="Times New Roman" w:hAnsi="Times New Roman" w:cs="Times New Roman"/>
          <w:noProof/>
          <w:sz w:val="24"/>
          <w:szCs w:val="24"/>
        </w:rPr>
        <w:t xml:space="preserve">As another example, the Israeli government </w:t>
      </w:r>
      <w:r w:rsidR="005E6FA3" w:rsidRPr="005E6FA3">
        <w:rPr>
          <w:rFonts w:ascii="Times New Roman" w:hAnsi="Times New Roman" w:cs="Times New Roman"/>
          <w:bCs/>
          <w:noProof/>
          <w:sz w:val="24"/>
          <w:lang w:val="en-IE"/>
        </w:rPr>
        <w:t>introduced</w:t>
      </w:r>
      <w:r w:rsidR="005E6FA3" w:rsidRPr="00774B9F">
        <w:rPr>
          <w:rFonts w:ascii="Times New Roman" w:hAnsi="Times New Roman" w:cs="Times New Roman"/>
          <w:bCs/>
          <w:noProof/>
          <w:sz w:val="24"/>
          <w:lang w:val="en-IE"/>
        </w:rPr>
        <w:t xml:space="preserve"> specific safeguards to reinforce the protection of personal data transferred from the European Economic Area</w:t>
      </w:r>
      <w:r w:rsidR="0068063B">
        <w:rPr>
          <w:rFonts w:ascii="Times New Roman" w:hAnsi="Times New Roman" w:cs="Times New Roman"/>
          <w:bCs/>
          <w:noProof/>
          <w:sz w:val="24"/>
          <w:lang w:val="en-IE"/>
        </w:rPr>
        <w:t xml:space="preserve"> which notably</w:t>
      </w:r>
      <w:r w:rsidR="005E6FA3">
        <w:rPr>
          <w:rFonts w:ascii="Times New Roman" w:hAnsi="Times New Roman" w:cs="Times New Roman"/>
          <w:bCs/>
          <w:noProof/>
          <w:sz w:val="24"/>
          <w:lang w:val="en-IE"/>
        </w:rPr>
        <w:t xml:space="preserve"> creat</w:t>
      </w:r>
      <w:r w:rsidR="0068063B">
        <w:rPr>
          <w:rFonts w:ascii="Times New Roman" w:hAnsi="Times New Roman" w:cs="Times New Roman"/>
          <w:bCs/>
          <w:noProof/>
          <w:sz w:val="24"/>
          <w:lang w:val="en-IE"/>
        </w:rPr>
        <w:t>e</w:t>
      </w:r>
      <w:r w:rsidR="005E6FA3">
        <w:rPr>
          <w:rFonts w:ascii="Times New Roman" w:hAnsi="Times New Roman" w:cs="Times New Roman"/>
          <w:bCs/>
          <w:noProof/>
          <w:sz w:val="24"/>
          <w:lang w:val="en-IE"/>
        </w:rPr>
        <w:t xml:space="preserve"> new obligations in the area of data accuracy and data retention, </w:t>
      </w:r>
      <w:r w:rsidR="0068063B">
        <w:rPr>
          <w:rFonts w:ascii="Times New Roman" w:hAnsi="Times New Roman" w:cs="Times New Roman"/>
          <w:bCs/>
          <w:noProof/>
          <w:sz w:val="24"/>
          <w:lang w:val="en-IE"/>
        </w:rPr>
        <w:t>strengthen</w:t>
      </w:r>
      <w:r w:rsidR="005E6FA3">
        <w:rPr>
          <w:rFonts w:ascii="Times New Roman" w:hAnsi="Times New Roman" w:cs="Times New Roman"/>
          <w:bCs/>
          <w:noProof/>
          <w:sz w:val="24"/>
          <w:lang w:val="en-IE"/>
        </w:rPr>
        <w:t xml:space="preserve"> the rights to information and deletion and introduc</w:t>
      </w:r>
      <w:r w:rsidR="0068063B">
        <w:rPr>
          <w:rFonts w:ascii="Times New Roman" w:hAnsi="Times New Roman" w:cs="Times New Roman"/>
          <w:bCs/>
          <w:noProof/>
          <w:sz w:val="24"/>
          <w:lang w:val="en-IE"/>
        </w:rPr>
        <w:t>e</w:t>
      </w:r>
      <w:r w:rsidR="005E6FA3">
        <w:rPr>
          <w:rFonts w:ascii="Times New Roman" w:hAnsi="Times New Roman" w:cs="Times New Roman"/>
          <w:bCs/>
          <w:noProof/>
          <w:sz w:val="24"/>
          <w:lang w:val="en-IE"/>
        </w:rPr>
        <w:t xml:space="preserve"> </w:t>
      </w:r>
      <w:r w:rsidR="0068063B">
        <w:rPr>
          <w:rFonts w:ascii="Times New Roman" w:hAnsi="Times New Roman" w:cs="Times New Roman"/>
          <w:bCs/>
          <w:noProof/>
          <w:sz w:val="24"/>
          <w:lang w:val="en-IE"/>
        </w:rPr>
        <w:t xml:space="preserve">additional </w:t>
      </w:r>
      <w:r w:rsidR="005E6FA3">
        <w:rPr>
          <w:rFonts w:ascii="Times New Roman" w:hAnsi="Times New Roman" w:cs="Times New Roman"/>
          <w:bCs/>
          <w:noProof/>
          <w:sz w:val="24"/>
          <w:lang w:val="en-IE"/>
        </w:rPr>
        <w:t>categories of sensitive data</w:t>
      </w:r>
      <w:r w:rsidR="005E6FA3">
        <w:rPr>
          <w:rStyle w:val="FootnoteReference"/>
          <w:rFonts w:ascii="Times New Roman" w:hAnsi="Times New Roman" w:cs="Times New Roman"/>
          <w:bCs/>
          <w:noProof/>
          <w:sz w:val="24"/>
          <w:lang w:val="en-IE"/>
        </w:rPr>
        <w:footnoteReference w:id="32"/>
      </w:r>
      <w:r w:rsidR="005B3097">
        <w:rPr>
          <w:rFonts w:ascii="Times New Roman" w:hAnsi="Times New Roman" w:cs="Times New Roman"/>
          <w:noProof/>
          <w:sz w:val="24"/>
          <w:szCs w:val="24"/>
        </w:rPr>
        <w:t xml:space="preserve">. </w:t>
      </w:r>
    </w:p>
    <w:p w14:paraId="55E6DE35" w14:textId="2CEE7315" w:rsidR="005B6B7D" w:rsidRPr="00CE7BC2" w:rsidRDefault="005B6B7D" w:rsidP="00386EAC">
      <w:pPr>
        <w:jc w:val="both"/>
        <w:rPr>
          <w:rFonts w:ascii="Times New Roman" w:hAnsi="Times New Roman" w:cs="Times New Roman"/>
          <w:bCs/>
          <w:noProof/>
          <w:sz w:val="24"/>
        </w:rPr>
      </w:pPr>
      <w:r w:rsidRPr="00D03416">
        <w:rPr>
          <w:rFonts w:ascii="Times New Roman" w:hAnsi="Times New Roman" w:cs="Times New Roman"/>
          <w:bCs/>
          <w:noProof/>
          <w:sz w:val="24"/>
        </w:rPr>
        <w:t>In parallel,</w:t>
      </w:r>
      <w:r>
        <w:rPr>
          <w:rFonts w:ascii="Times New Roman" w:hAnsi="Times New Roman" w:cs="Times New Roman"/>
          <w:bCs/>
          <w:noProof/>
          <w:sz w:val="24"/>
        </w:rPr>
        <w:t xml:space="preserve"> the Commission services gathered the views of</w:t>
      </w:r>
      <w:r w:rsidR="00917A4A">
        <w:rPr>
          <w:rFonts w:ascii="Times New Roman" w:hAnsi="Times New Roman" w:cs="Times New Roman"/>
          <w:bCs/>
          <w:noProof/>
          <w:sz w:val="24"/>
        </w:rPr>
        <w:t xml:space="preserve"> and regularly informed</w:t>
      </w:r>
      <w:r>
        <w:rPr>
          <w:rFonts w:ascii="Times New Roman" w:hAnsi="Times New Roman" w:cs="Times New Roman"/>
          <w:bCs/>
          <w:noProof/>
          <w:sz w:val="24"/>
        </w:rPr>
        <w:t xml:space="preserve"> the European Parliament (committee</w:t>
      </w:r>
      <w:r w:rsidR="009767AF">
        <w:rPr>
          <w:rFonts w:ascii="Times New Roman" w:hAnsi="Times New Roman" w:cs="Times New Roman"/>
          <w:bCs/>
          <w:noProof/>
          <w:sz w:val="24"/>
        </w:rPr>
        <w:t xml:space="preserve"> </w:t>
      </w:r>
      <w:r w:rsidR="009767AF" w:rsidRPr="009767AF">
        <w:rPr>
          <w:rFonts w:ascii="Times New Roman" w:hAnsi="Times New Roman" w:cs="Times New Roman"/>
          <w:bCs/>
          <w:noProof/>
          <w:sz w:val="24"/>
        </w:rPr>
        <w:t>on Civil Liberties, Justice and Home Affairs</w:t>
      </w:r>
      <w:r>
        <w:rPr>
          <w:rFonts w:ascii="Times New Roman" w:hAnsi="Times New Roman" w:cs="Times New Roman"/>
          <w:bCs/>
          <w:noProof/>
          <w:sz w:val="24"/>
        </w:rPr>
        <w:t>)</w:t>
      </w:r>
      <w:r>
        <w:rPr>
          <w:rStyle w:val="FootnoteReference"/>
          <w:rFonts w:ascii="Times New Roman" w:hAnsi="Times New Roman" w:cs="Times New Roman"/>
          <w:bCs/>
          <w:noProof/>
          <w:sz w:val="24"/>
        </w:rPr>
        <w:footnoteReference w:id="33"/>
      </w:r>
      <w:r>
        <w:rPr>
          <w:rFonts w:ascii="Times New Roman" w:hAnsi="Times New Roman" w:cs="Times New Roman"/>
          <w:bCs/>
          <w:noProof/>
          <w:sz w:val="24"/>
        </w:rPr>
        <w:t xml:space="preserve"> the Council (through the Data Protection Working Party)</w:t>
      </w:r>
      <w:r>
        <w:rPr>
          <w:rStyle w:val="FootnoteReference"/>
          <w:rFonts w:ascii="Times New Roman" w:hAnsi="Times New Roman" w:cs="Times New Roman"/>
          <w:bCs/>
          <w:noProof/>
          <w:sz w:val="24"/>
        </w:rPr>
        <w:footnoteReference w:id="34"/>
      </w:r>
      <w:r>
        <w:rPr>
          <w:rFonts w:ascii="Times New Roman" w:hAnsi="Times New Roman" w:cs="Times New Roman"/>
          <w:bCs/>
          <w:noProof/>
          <w:sz w:val="24"/>
        </w:rPr>
        <w:t>, the EDPB</w:t>
      </w:r>
      <w:r>
        <w:rPr>
          <w:rStyle w:val="FootnoteReference"/>
          <w:rFonts w:ascii="Times New Roman" w:hAnsi="Times New Roman" w:cs="Times New Roman"/>
          <w:bCs/>
          <w:noProof/>
          <w:sz w:val="24"/>
        </w:rPr>
        <w:footnoteReference w:id="35"/>
      </w:r>
      <w:r>
        <w:rPr>
          <w:rFonts w:ascii="Times New Roman" w:hAnsi="Times New Roman" w:cs="Times New Roman"/>
          <w:bCs/>
          <w:noProof/>
          <w:sz w:val="24"/>
        </w:rPr>
        <w:t>, and the GDPR Multi-Stakeholder Expert Group</w:t>
      </w:r>
      <w:r w:rsidR="008515FD">
        <w:rPr>
          <w:rStyle w:val="FootnoteReference"/>
          <w:rFonts w:ascii="Times New Roman" w:hAnsi="Times New Roman" w:cs="Times New Roman"/>
          <w:bCs/>
          <w:noProof/>
          <w:sz w:val="24"/>
        </w:rPr>
        <w:footnoteReference w:id="36"/>
      </w:r>
      <w:r>
        <w:rPr>
          <w:rFonts w:ascii="Times New Roman" w:hAnsi="Times New Roman" w:cs="Times New Roman"/>
          <w:bCs/>
          <w:noProof/>
          <w:sz w:val="24"/>
        </w:rPr>
        <w:t xml:space="preserve"> (which includes representatives of civil society, industry, academia and legal practitioners) </w:t>
      </w:r>
      <w:r w:rsidR="00794AD7">
        <w:rPr>
          <w:rFonts w:ascii="Times New Roman" w:hAnsi="Times New Roman" w:cs="Times New Roman"/>
          <w:bCs/>
          <w:noProof/>
          <w:sz w:val="24"/>
        </w:rPr>
        <w:t xml:space="preserve">on </w:t>
      </w:r>
      <w:r>
        <w:rPr>
          <w:rFonts w:ascii="Times New Roman" w:hAnsi="Times New Roman" w:cs="Times New Roman"/>
          <w:bCs/>
          <w:noProof/>
          <w:sz w:val="24"/>
        </w:rPr>
        <w:t xml:space="preserve">the </w:t>
      </w:r>
      <w:r w:rsidR="00917A4A">
        <w:rPr>
          <w:rFonts w:ascii="Times New Roman" w:hAnsi="Times New Roman" w:cs="Times New Roman"/>
          <w:bCs/>
          <w:noProof/>
          <w:sz w:val="24"/>
        </w:rPr>
        <w:t>progress of the evaluation</w:t>
      </w:r>
      <w:r>
        <w:rPr>
          <w:rFonts w:ascii="Times New Roman" w:hAnsi="Times New Roman" w:cs="Times New Roman"/>
          <w:bCs/>
          <w:noProof/>
          <w:sz w:val="24"/>
        </w:rPr>
        <w:t xml:space="preserve">. </w:t>
      </w:r>
    </w:p>
    <w:p w14:paraId="35339EEC" w14:textId="52C1B037" w:rsidR="00E70112" w:rsidRPr="00CE7BC2" w:rsidRDefault="00E70112" w:rsidP="00386EAC">
      <w:pPr>
        <w:jc w:val="both"/>
        <w:rPr>
          <w:rFonts w:ascii="Times New Roman" w:hAnsi="Times New Roman" w:cs="Times New Roman"/>
          <w:bCs/>
          <w:noProof/>
          <w:sz w:val="24"/>
          <w:lang w:val="en-IE"/>
        </w:rPr>
      </w:pPr>
      <w:r>
        <w:rPr>
          <w:rFonts w:ascii="Times New Roman" w:hAnsi="Times New Roman" w:cs="Times New Roman"/>
          <w:bCs/>
          <w:noProof/>
          <w:sz w:val="24"/>
        </w:rPr>
        <w:t xml:space="preserve">This report and the accompanying </w:t>
      </w:r>
      <w:r w:rsidR="009767AF">
        <w:rPr>
          <w:rFonts w:ascii="Times New Roman" w:hAnsi="Times New Roman" w:cs="Times New Roman"/>
          <w:bCs/>
          <w:noProof/>
          <w:sz w:val="24"/>
        </w:rPr>
        <w:t>Staff Working Document (</w:t>
      </w:r>
      <w:r>
        <w:rPr>
          <w:rFonts w:ascii="Times New Roman" w:hAnsi="Times New Roman" w:cs="Times New Roman"/>
          <w:bCs/>
          <w:noProof/>
          <w:sz w:val="24"/>
        </w:rPr>
        <w:t>SWD</w:t>
      </w:r>
      <w:r w:rsidR="009767AF">
        <w:rPr>
          <w:rFonts w:ascii="Times New Roman" w:hAnsi="Times New Roman" w:cs="Times New Roman"/>
          <w:bCs/>
          <w:noProof/>
          <w:sz w:val="24"/>
        </w:rPr>
        <w:t>)</w:t>
      </w:r>
      <w:r>
        <w:rPr>
          <w:rFonts w:ascii="Times New Roman" w:hAnsi="Times New Roman" w:cs="Times New Roman"/>
          <w:bCs/>
          <w:noProof/>
          <w:sz w:val="24"/>
        </w:rPr>
        <w:t xml:space="preserve"> are therefore the result of close cooperation with </w:t>
      </w:r>
      <w:r w:rsidR="00A33C0B">
        <w:rPr>
          <w:rFonts w:ascii="Times New Roman" w:hAnsi="Times New Roman" w:cs="Times New Roman"/>
          <w:bCs/>
          <w:noProof/>
          <w:sz w:val="24"/>
        </w:rPr>
        <w:t xml:space="preserve">each of </w:t>
      </w:r>
      <w:r>
        <w:rPr>
          <w:rFonts w:ascii="Times New Roman" w:hAnsi="Times New Roman" w:cs="Times New Roman"/>
          <w:bCs/>
          <w:noProof/>
          <w:sz w:val="24"/>
        </w:rPr>
        <w:t>the countries and territories</w:t>
      </w:r>
      <w:r w:rsidR="00BD7A98">
        <w:rPr>
          <w:rFonts w:ascii="Times New Roman" w:hAnsi="Times New Roman" w:cs="Times New Roman"/>
          <w:bCs/>
          <w:noProof/>
          <w:sz w:val="24"/>
        </w:rPr>
        <w:t xml:space="preserve"> concerned</w:t>
      </w:r>
      <w:r w:rsidR="00F9431B">
        <w:rPr>
          <w:rFonts w:ascii="Times New Roman" w:hAnsi="Times New Roman" w:cs="Times New Roman"/>
          <w:bCs/>
          <w:noProof/>
          <w:sz w:val="24"/>
        </w:rPr>
        <w:t>, as well as consultation with and feedback from relevant EU institutions and bodies</w:t>
      </w:r>
      <w:r>
        <w:rPr>
          <w:rFonts w:ascii="Times New Roman" w:hAnsi="Times New Roman" w:cs="Times New Roman"/>
          <w:bCs/>
          <w:noProof/>
          <w:sz w:val="24"/>
        </w:rPr>
        <w:t xml:space="preserve">. They rely on a variety of sources, including legislation, regulatory acts, case law, decisions and guidance from data </w:t>
      </w:r>
      <w:r w:rsidRPr="00E70112">
        <w:rPr>
          <w:rFonts w:ascii="Times New Roman" w:hAnsi="Times New Roman" w:cs="Times New Roman"/>
          <w:bCs/>
          <w:noProof/>
          <w:sz w:val="24"/>
        </w:rPr>
        <w:t>protection authorities, reports from (independent) oversight bodies</w:t>
      </w:r>
      <w:r w:rsidR="00AA5E04">
        <w:rPr>
          <w:rFonts w:ascii="Times New Roman" w:hAnsi="Times New Roman" w:cs="Times New Roman"/>
          <w:bCs/>
          <w:noProof/>
          <w:sz w:val="24"/>
        </w:rPr>
        <w:t xml:space="preserve"> and input from stakeholders</w:t>
      </w:r>
      <w:r w:rsidRPr="00E70112">
        <w:rPr>
          <w:rFonts w:ascii="Times New Roman" w:hAnsi="Times New Roman" w:cs="Times New Roman"/>
          <w:bCs/>
          <w:noProof/>
          <w:sz w:val="24"/>
        </w:rPr>
        <w:t>.</w:t>
      </w:r>
      <w:r w:rsidRPr="00E70112">
        <w:rPr>
          <w:rFonts w:ascii="Times New Roman" w:hAnsi="Times New Roman" w:cs="Times New Roman"/>
          <w:noProof/>
        </w:rPr>
        <w:t xml:space="preserve"> </w:t>
      </w:r>
      <w:r w:rsidRPr="00E70112">
        <w:rPr>
          <w:rFonts w:ascii="Times New Roman" w:hAnsi="Times New Roman" w:cs="Times New Roman"/>
          <w:noProof/>
          <w:sz w:val="24"/>
          <w:szCs w:val="24"/>
        </w:rPr>
        <w:t xml:space="preserve">Prior to the adoption of this </w:t>
      </w:r>
      <w:r>
        <w:rPr>
          <w:rFonts w:ascii="Times New Roman" w:hAnsi="Times New Roman" w:cs="Times New Roman"/>
          <w:noProof/>
          <w:sz w:val="24"/>
          <w:szCs w:val="24"/>
        </w:rPr>
        <w:t>r</w:t>
      </w:r>
      <w:r w:rsidRPr="00E70112">
        <w:rPr>
          <w:rFonts w:ascii="Times New Roman" w:hAnsi="Times New Roman" w:cs="Times New Roman"/>
          <w:noProof/>
          <w:sz w:val="24"/>
          <w:szCs w:val="24"/>
        </w:rPr>
        <w:t xml:space="preserve">eport, </w:t>
      </w:r>
      <w:r>
        <w:rPr>
          <w:rFonts w:ascii="Times New Roman" w:hAnsi="Times New Roman" w:cs="Times New Roman"/>
          <w:noProof/>
          <w:sz w:val="24"/>
          <w:szCs w:val="24"/>
        </w:rPr>
        <w:t>all</w:t>
      </w:r>
      <w:r w:rsidR="00BD7A98">
        <w:rPr>
          <w:rFonts w:ascii="Times New Roman" w:hAnsi="Times New Roman" w:cs="Times New Roman"/>
          <w:noProof/>
          <w:sz w:val="24"/>
          <w:szCs w:val="24"/>
        </w:rPr>
        <w:t xml:space="preserve"> of the afforementioned</w:t>
      </w:r>
      <w:r>
        <w:rPr>
          <w:rFonts w:ascii="Times New Roman" w:hAnsi="Times New Roman" w:cs="Times New Roman"/>
          <w:noProof/>
          <w:sz w:val="24"/>
          <w:szCs w:val="24"/>
        </w:rPr>
        <w:t xml:space="preserve"> </w:t>
      </w:r>
      <w:r w:rsidR="00AA5E04">
        <w:rPr>
          <w:rFonts w:ascii="Times New Roman" w:hAnsi="Times New Roman" w:cs="Times New Roman"/>
          <w:noProof/>
          <w:sz w:val="24"/>
          <w:szCs w:val="24"/>
        </w:rPr>
        <w:t>countries and territories</w:t>
      </w:r>
      <w:r w:rsidRPr="00E70112">
        <w:rPr>
          <w:rFonts w:ascii="Times New Roman" w:hAnsi="Times New Roman" w:cs="Times New Roman"/>
          <w:noProof/>
          <w:sz w:val="24"/>
          <w:szCs w:val="24"/>
        </w:rPr>
        <w:t xml:space="preserve"> have been given the opportunity to </w:t>
      </w:r>
      <w:r w:rsidR="00AA5E04">
        <w:rPr>
          <w:rFonts w:ascii="Times New Roman" w:hAnsi="Times New Roman" w:cs="Times New Roman"/>
          <w:noProof/>
          <w:sz w:val="24"/>
          <w:szCs w:val="24"/>
        </w:rPr>
        <w:t>verify the factual accuracy of the information provided on their system in the SWD</w:t>
      </w:r>
      <w:r w:rsidRPr="00E70112">
        <w:rPr>
          <w:rFonts w:ascii="Times New Roman" w:hAnsi="Times New Roman" w:cs="Times New Roman"/>
          <w:noProof/>
          <w:sz w:val="24"/>
          <w:szCs w:val="24"/>
        </w:rPr>
        <w:t>.</w:t>
      </w:r>
    </w:p>
    <w:p w14:paraId="3C8CC26A" w14:textId="77777777" w:rsidR="00667D18" w:rsidRPr="00F966C9" w:rsidRDefault="00026B70" w:rsidP="00386EAC">
      <w:pPr>
        <w:pStyle w:val="ListParagraph"/>
        <w:numPr>
          <w:ilvl w:val="0"/>
          <w:numId w:val="3"/>
        </w:numPr>
        <w:ind w:left="357" w:hanging="357"/>
        <w:contextualSpacing w:val="0"/>
        <w:jc w:val="both"/>
        <w:rPr>
          <w:rFonts w:ascii="Times New Roman" w:hAnsi="Times New Roman" w:cs="Times New Roman"/>
          <w:b/>
          <w:bCs/>
          <w:noProof/>
          <w:sz w:val="24"/>
        </w:rPr>
      </w:pPr>
      <w:r>
        <w:rPr>
          <w:rFonts w:ascii="Times New Roman" w:hAnsi="Times New Roman" w:cs="Times New Roman"/>
          <w:b/>
          <w:bCs/>
          <w:noProof/>
          <w:sz w:val="24"/>
        </w:rPr>
        <w:t>MAIN</w:t>
      </w:r>
      <w:r w:rsidR="00667D18">
        <w:rPr>
          <w:rFonts w:ascii="Times New Roman" w:hAnsi="Times New Roman" w:cs="Times New Roman"/>
          <w:b/>
          <w:bCs/>
          <w:noProof/>
          <w:sz w:val="24"/>
        </w:rPr>
        <w:t xml:space="preserve"> FINDINGS</w:t>
      </w:r>
      <w:r>
        <w:rPr>
          <w:rFonts w:ascii="Times New Roman" w:hAnsi="Times New Roman" w:cs="Times New Roman"/>
          <w:b/>
          <w:bCs/>
          <w:noProof/>
          <w:sz w:val="24"/>
        </w:rPr>
        <w:t xml:space="preserve"> AND CONCLUSIONS</w:t>
      </w:r>
      <w:r w:rsidR="00046353">
        <w:rPr>
          <w:rFonts w:ascii="Times New Roman" w:hAnsi="Times New Roman" w:cs="Times New Roman"/>
          <w:b/>
          <w:bCs/>
          <w:noProof/>
          <w:sz w:val="24"/>
        </w:rPr>
        <w:t xml:space="preserve"> </w:t>
      </w:r>
    </w:p>
    <w:p w14:paraId="7F0B29FB" w14:textId="4BD9E25B" w:rsidR="00E648FB" w:rsidRDefault="00B91C72" w:rsidP="00386EAC">
      <w:pPr>
        <w:jc w:val="both"/>
        <w:rPr>
          <w:rFonts w:ascii="Times New Roman" w:hAnsi="Times New Roman" w:cs="Times New Roman"/>
          <w:bCs/>
          <w:noProof/>
          <w:sz w:val="24"/>
        </w:rPr>
      </w:pPr>
      <w:r w:rsidRPr="005559B1">
        <w:rPr>
          <w:rFonts w:ascii="Times New Roman" w:hAnsi="Times New Roman" w:cs="Times New Roman"/>
          <w:bCs/>
          <w:noProof/>
          <w:sz w:val="24"/>
        </w:rPr>
        <w:t xml:space="preserve">The </w:t>
      </w:r>
      <w:r w:rsidR="00FA5628" w:rsidRPr="005559B1">
        <w:rPr>
          <w:rFonts w:ascii="Times New Roman" w:hAnsi="Times New Roman" w:cs="Times New Roman"/>
          <w:bCs/>
          <w:noProof/>
          <w:sz w:val="24"/>
        </w:rPr>
        <w:t>first review has demonstrated that since the adoption of the adequacy decisions</w:t>
      </w:r>
      <w:r w:rsidRPr="005559B1">
        <w:rPr>
          <w:rFonts w:ascii="Times New Roman" w:hAnsi="Times New Roman" w:cs="Times New Roman"/>
          <w:bCs/>
          <w:noProof/>
          <w:sz w:val="24"/>
        </w:rPr>
        <w:t xml:space="preserve">, the data protection frameworks </w:t>
      </w:r>
      <w:r w:rsidR="005559B1">
        <w:rPr>
          <w:rFonts w:ascii="Times New Roman" w:hAnsi="Times New Roman" w:cs="Times New Roman"/>
          <w:bCs/>
          <w:noProof/>
          <w:sz w:val="24"/>
        </w:rPr>
        <w:t xml:space="preserve">in place </w:t>
      </w:r>
      <w:r w:rsidRPr="005559B1">
        <w:rPr>
          <w:rFonts w:ascii="Times New Roman" w:hAnsi="Times New Roman" w:cs="Times New Roman"/>
          <w:bCs/>
          <w:noProof/>
          <w:sz w:val="24"/>
        </w:rPr>
        <w:t xml:space="preserve">in each of the eleven countries </w:t>
      </w:r>
      <w:r w:rsidR="00B753ED">
        <w:rPr>
          <w:rFonts w:ascii="Times New Roman" w:hAnsi="Times New Roman" w:cs="Times New Roman"/>
          <w:bCs/>
          <w:noProof/>
          <w:sz w:val="24"/>
        </w:rPr>
        <w:t>or</w:t>
      </w:r>
      <w:r w:rsidRPr="005559B1">
        <w:rPr>
          <w:rFonts w:ascii="Times New Roman" w:hAnsi="Times New Roman" w:cs="Times New Roman"/>
          <w:bCs/>
          <w:noProof/>
          <w:sz w:val="24"/>
        </w:rPr>
        <w:t xml:space="preserve"> territories have further converged with the framework of the EU.</w:t>
      </w:r>
      <w:r w:rsidR="005559B1">
        <w:rPr>
          <w:rFonts w:ascii="Times New Roman" w:hAnsi="Times New Roman" w:cs="Times New Roman"/>
          <w:bCs/>
          <w:noProof/>
          <w:sz w:val="24"/>
        </w:rPr>
        <w:t xml:space="preserve"> </w:t>
      </w:r>
      <w:r w:rsidR="008C008E">
        <w:rPr>
          <w:rFonts w:ascii="Times New Roman" w:hAnsi="Times New Roman" w:cs="Times New Roman"/>
          <w:bCs/>
          <w:noProof/>
          <w:sz w:val="24"/>
        </w:rPr>
        <w:t>Moreover, i</w:t>
      </w:r>
      <w:r w:rsidR="00E648FB">
        <w:rPr>
          <w:rFonts w:ascii="Times New Roman" w:hAnsi="Times New Roman" w:cs="Times New Roman"/>
          <w:bCs/>
          <w:noProof/>
          <w:sz w:val="24"/>
        </w:rPr>
        <w:t xml:space="preserve">n the area of government access to personal data, the </w:t>
      </w:r>
      <w:r w:rsidR="008C008E">
        <w:rPr>
          <w:rFonts w:ascii="Times New Roman" w:hAnsi="Times New Roman" w:cs="Times New Roman"/>
          <w:bCs/>
          <w:noProof/>
          <w:sz w:val="24"/>
        </w:rPr>
        <w:t xml:space="preserve">first review has shown that the </w:t>
      </w:r>
      <w:r w:rsidR="00E648FB">
        <w:rPr>
          <w:rFonts w:ascii="Times New Roman" w:hAnsi="Times New Roman" w:cs="Times New Roman"/>
          <w:bCs/>
          <w:noProof/>
          <w:sz w:val="24"/>
        </w:rPr>
        <w:t>law of the</w:t>
      </w:r>
      <w:r w:rsidR="001737AE">
        <w:rPr>
          <w:rFonts w:ascii="Times New Roman" w:hAnsi="Times New Roman" w:cs="Times New Roman"/>
          <w:bCs/>
          <w:noProof/>
          <w:sz w:val="24"/>
        </w:rPr>
        <w:t>se</w:t>
      </w:r>
      <w:r w:rsidR="00E648FB">
        <w:rPr>
          <w:rFonts w:ascii="Times New Roman" w:hAnsi="Times New Roman" w:cs="Times New Roman"/>
          <w:bCs/>
          <w:noProof/>
          <w:sz w:val="24"/>
        </w:rPr>
        <w:t xml:space="preserve"> countries </w:t>
      </w:r>
      <w:r w:rsidR="00B753ED">
        <w:rPr>
          <w:rFonts w:ascii="Times New Roman" w:hAnsi="Times New Roman" w:cs="Times New Roman"/>
          <w:bCs/>
          <w:noProof/>
          <w:sz w:val="24"/>
        </w:rPr>
        <w:t>or</w:t>
      </w:r>
      <w:r w:rsidR="00E648FB">
        <w:rPr>
          <w:rFonts w:ascii="Times New Roman" w:hAnsi="Times New Roman" w:cs="Times New Roman"/>
          <w:bCs/>
          <w:noProof/>
          <w:sz w:val="24"/>
        </w:rPr>
        <w:t xml:space="preserve"> territories imposes</w:t>
      </w:r>
      <w:r w:rsidR="00672088">
        <w:rPr>
          <w:rFonts w:ascii="Times New Roman" w:hAnsi="Times New Roman" w:cs="Times New Roman"/>
          <w:bCs/>
          <w:noProof/>
          <w:sz w:val="24"/>
        </w:rPr>
        <w:t xml:space="preserve"> appropriate </w:t>
      </w:r>
      <w:r w:rsidR="00E648FB">
        <w:rPr>
          <w:rFonts w:ascii="Times New Roman" w:hAnsi="Times New Roman" w:cs="Times New Roman"/>
          <w:bCs/>
          <w:noProof/>
          <w:sz w:val="24"/>
        </w:rPr>
        <w:t>safeguards and</w:t>
      </w:r>
      <w:r w:rsidR="00E648FB" w:rsidRPr="00E648FB">
        <w:rPr>
          <w:rFonts w:ascii="Times New Roman" w:hAnsi="Times New Roman" w:cs="Times New Roman"/>
          <w:bCs/>
          <w:noProof/>
          <w:sz w:val="24"/>
        </w:rPr>
        <w:t xml:space="preserve"> limitations and provides oversight and redress mechanisms in this area.</w:t>
      </w:r>
    </w:p>
    <w:p w14:paraId="1C330B09" w14:textId="0F03A60C" w:rsidR="00C41ADD" w:rsidRPr="00C41ADD" w:rsidRDefault="00AA5E04" w:rsidP="00386EAC">
      <w:pPr>
        <w:jc w:val="both"/>
        <w:rPr>
          <w:rFonts w:ascii="Times New Roman" w:hAnsi="Times New Roman" w:cs="Times New Roman"/>
          <w:bCs/>
          <w:noProof/>
          <w:sz w:val="24"/>
        </w:rPr>
      </w:pPr>
      <w:r w:rsidRPr="00AA5E04">
        <w:rPr>
          <w:rFonts w:ascii="Times New Roman" w:hAnsi="Times New Roman" w:cs="Times New Roman"/>
          <w:bCs/>
          <w:noProof/>
          <w:sz w:val="24"/>
        </w:rPr>
        <w:t xml:space="preserve">The detailed findings concerning each of the eleven countries or territories </w:t>
      </w:r>
      <w:r>
        <w:rPr>
          <w:rFonts w:ascii="Times New Roman" w:hAnsi="Times New Roman" w:cs="Times New Roman"/>
          <w:bCs/>
          <w:noProof/>
          <w:sz w:val="24"/>
        </w:rPr>
        <w:t xml:space="preserve">are </w:t>
      </w:r>
      <w:r w:rsidRPr="00AA5E04">
        <w:rPr>
          <w:rFonts w:ascii="Times New Roman" w:hAnsi="Times New Roman" w:cs="Times New Roman"/>
          <w:bCs/>
          <w:noProof/>
          <w:sz w:val="24"/>
        </w:rPr>
        <w:t xml:space="preserve">presented in the Commission </w:t>
      </w:r>
      <w:r w:rsidR="00BD7A98">
        <w:rPr>
          <w:rFonts w:ascii="Times New Roman" w:hAnsi="Times New Roman" w:cs="Times New Roman"/>
          <w:bCs/>
          <w:noProof/>
          <w:sz w:val="24"/>
        </w:rPr>
        <w:t>SWD</w:t>
      </w:r>
      <w:r w:rsidRPr="00AA5E04">
        <w:rPr>
          <w:rFonts w:ascii="Times New Roman" w:hAnsi="Times New Roman" w:cs="Times New Roman"/>
          <w:bCs/>
          <w:noProof/>
          <w:sz w:val="24"/>
        </w:rPr>
        <w:t xml:space="preserve"> which accompanies the present repor</w:t>
      </w:r>
      <w:r>
        <w:rPr>
          <w:rFonts w:ascii="Times New Roman" w:hAnsi="Times New Roman" w:cs="Times New Roman"/>
          <w:bCs/>
          <w:noProof/>
          <w:sz w:val="24"/>
        </w:rPr>
        <w:t>t. Based on these findings,</w:t>
      </w:r>
      <w:r w:rsidRPr="00AA5E04">
        <w:rPr>
          <w:rFonts w:ascii="Times New Roman" w:hAnsi="Times New Roman" w:cs="Times New Roman"/>
          <w:bCs/>
          <w:noProof/>
          <w:sz w:val="24"/>
        </w:rPr>
        <w:t xml:space="preserve"> the Commission concludes </w:t>
      </w:r>
      <w:r w:rsidR="00C41ADD">
        <w:rPr>
          <w:rFonts w:ascii="Times New Roman" w:hAnsi="Times New Roman" w:cs="Times New Roman"/>
          <w:bCs/>
          <w:noProof/>
          <w:sz w:val="24"/>
        </w:rPr>
        <w:t>that each of the eleven countries and territories</w:t>
      </w:r>
      <w:r w:rsidR="00C41ADD" w:rsidRPr="00C41ADD">
        <w:rPr>
          <w:rFonts w:ascii="Times New Roman" w:hAnsi="Times New Roman" w:cs="Times New Roman"/>
          <w:bCs/>
          <w:noProof/>
          <w:sz w:val="24"/>
        </w:rPr>
        <w:t xml:space="preserve"> continue</w:t>
      </w:r>
      <w:r w:rsidR="00145747">
        <w:rPr>
          <w:rFonts w:ascii="Times New Roman" w:hAnsi="Times New Roman" w:cs="Times New Roman"/>
          <w:bCs/>
          <w:noProof/>
          <w:sz w:val="24"/>
        </w:rPr>
        <w:t>s</w:t>
      </w:r>
      <w:r w:rsidR="00C41ADD" w:rsidRPr="00C41ADD">
        <w:rPr>
          <w:rFonts w:ascii="Times New Roman" w:hAnsi="Times New Roman" w:cs="Times New Roman"/>
          <w:bCs/>
          <w:noProof/>
          <w:sz w:val="24"/>
        </w:rPr>
        <w:t xml:space="preserve"> to ensure an adequate level of protection for personal data </w:t>
      </w:r>
      <w:r w:rsidR="00C41ADD">
        <w:rPr>
          <w:rFonts w:ascii="Times New Roman" w:hAnsi="Times New Roman" w:cs="Times New Roman"/>
          <w:bCs/>
          <w:noProof/>
          <w:sz w:val="24"/>
        </w:rPr>
        <w:t xml:space="preserve">transferred </w:t>
      </w:r>
      <w:r w:rsidR="00C41ADD" w:rsidRPr="00C41ADD">
        <w:rPr>
          <w:rFonts w:ascii="Times New Roman" w:hAnsi="Times New Roman" w:cs="Times New Roman"/>
          <w:bCs/>
          <w:noProof/>
          <w:sz w:val="24"/>
        </w:rPr>
        <w:t xml:space="preserve">from the </w:t>
      </w:r>
      <w:r w:rsidR="00C41ADD">
        <w:rPr>
          <w:rFonts w:ascii="Times New Roman" w:hAnsi="Times New Roman" w:cs="Times New Roman"/>
          <w:bCs/>
          <w:noProof/>
          <w:sz w:val="24"/>
        </w:rPr>
        <w:t>European Union</w:t>
      </w:r>
      <w:r w:rsidR="00672088">
        <w:rPr>
          <w:rFonts w:ascii="Times New Roman" w:hAnsi="Times New Roman" w:cs="Times New Roman"/>
          <w:bCs/>
          <w:noProof/>
          <w:sz w:val="24"/>
        </w:rPr>
        <w:t xml:space="preserve"> within the meaning of the GDPR, as interpreted by the Court of Justice</w:t>
      </w:r>
      <w:r w:rsidR="00C41ADD">
        <w:rPr>
          <w:rFonts w:ascii="Times New Roman" w:hAnsi="Times New Roman" w:cs="Times New Roman"/>
          <w:bCs/>
          <w:noProof/>
          <w:sz w:val="24"/>
        </w:rPr>
        <w:t>. The findings for each of the adequate countries and territories are summari</w:t>
      </w:r>
      <w:r w:rsidR="00BD7A98">
        <w:rPr>
          <w:rFonts w:ascii="Times New Roman" w:hAnsi="Times New Roman" w:cs="Times New Roman"/>
          <w:bCs/>
          <w:noProof/>
          <w:sz w:val="24"/>
        </w:rPr>
        <w:t>s</w:t>
      </w:r>
      <w:r w:rsidR="00C41ADD">
        <w:rPr>
          <w:rFonts w:ascii="Times New Roman" w:hAnsi="Times New Roman" w:cs="Times New Roman"/>
          <w:bCs/>
          <w:noProof/>
          <w:sz w:val="24"/>
        </w:rPr>
        <w:t>ed below.</w:t>
      </w:r>
    </w:p>
    <w:p w14:paraId="12C6ADDF" w14:textId="77777777" w:rsidR="005D773E" w:rsidRDefault="00026B70" w:rsidP="00386EAC">
      <w:pPr>
        <w:pStyle w:val="ListParagraph"/>
        <w:numPr>
          <w:ilvl w:val="1"/>
          <w:numId w:val="3"/>
        </w:numPr>
        <w:ind w:left="1134" w:hanging="708"/>
        <w:contextualSpacing w:val="0"/>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t>Andorra</w:t>
      </w:r>
    </w:p>
    <w:p w14:paraId="6B0901C0" w14:textId="619713FC" w:rsidR="006E3FFE" w:rsidRDefault="001552F0" w:rsidP="00386EAC">
      <w:pPr>
        <w:jc w:val="both"/>
        <w:rPr>
          <w:rFonts w:ascii="Times New Roman" w:hAnsi="Times New Roman" w:cs="Times New Roman"/>
          <w:bCs/>
          <w:noProof/>
          <w:sz w:val="24"/>
          <w:lang w:val="en-IE"/>
        </w:rPr>
      </w:pPr>
      <w:r w:rsidRPr="001552F0">
        <w:rPr>
          <w:rFonts w:ascii="Times New Roman" w:hAnsi="Times New Roman" w:cs="Times New Roman"/>
          <w:bCs/>
          <w:noProof/>
          <w:sz w:val="24"/>
          <w:lang w:val="en-IE"/>
        </w:rPr>
        <w:t xml:space="preserve">The Commission welcomes the developments in the </w:t>
      </w:r>
      <w:r>
        <w:rPr>
          <w:rFonts w:ascii="Times New Roman" w:hAnsi="Times New Roman" w:cs="Times New Roman"/>
          <w:bCs/>
          <w:noProof/>
          <w:sz w:val="24"/>
          <w:lang w:val="en-IE"/>
        </w:rPr>
        <w:t xml:space="preserve">Andorran </w:t>
      </w:r>
      <w:r w:rsidRPr="001552F0">
        <w:rPr>
          <w:rFonts w:ascii="Times New Roman" w:hAnsi="Times New Roman" w:cs="Times New Roman"/>
          <w:bCs/>
          <w:noProof/>
          <w:sz w:val="24"/>
          <w:lang w:val="en-IE"/>
        </w:rPr>
        <w:t xml:space="preserve">legal framework since the adoption of the adequacy decision, including legislative amendments and activities of </w:t>
      </w:r>
      <w:r w:rsidR="00672088">
        <w:rPr>
          <w:rFonts w:ascii="Times New Roman" w:hAnsi="Times New Roman" w:cs="Times New Roman"/>
          <w:bCs/>
          <w:noProof/>
          <w:sz w:val="24"/>
          <w:lang w:val="en-IE"/>
        </w:rPr>
        <w:t xml:space="preserve">supervisory </w:t>
      </w:r>
      <w:r w:rsidRPr="001552F0">
        <w:rPr>
          <w:rFonts w:ascii="Times New Roman" w:hAnsi="Times New Roman" w:cs="Times New Roman"/>
          <w:bCs/>
          <w:noProof/>
          <w:sz w:val="24"/>
          <w:lang w:val="en-IE"/>
        </w:rPr>
        <w:t>bodies</w:t>
      </w:r>
      <w:r w:rsidR="001078AC">
        <w:rPr>
          <w:rFonts w:ascii="Times New Roman" w:hAnsi="Times New Roman" w:cs="Times New Roman"/>
          <w:bCs/>
          <w:noProof/>
          <w:sz w:val="24"/>
          <w:lang w:val="en-IE"/>
        </w:rPr>
        <w:t xml:space="preserve">. In particular, the </w:t>
      </w:r>
      <w:r w:rsidR="001078AC" w:rsidRPr="001078AC">
        <w:rPr>
          <w:rFonts w:ascii="Times New Roman" w:hAnsi="Times New Roman" w:cs="Times New Roman"/>
          <w:bCs/>
          <w:noProof/>
          <w:sz w:val="24"/>
          <w:lang w:val="en-IE"/>
        </w:rPr>
        <w:t xml:space="preserve">adoption of Qualified Law 29/2021 on the protection of personal data that entered into force in May 2022 </w:t>
      </w:r>
      <w:r w:rsidR="001078AC">
        <w:rPr>
          <w:rFonts w:ascii="Times New Roman" w:hAnsi="Times New Roman" w:cs="Times New Roman"/>
          <w:bCs/>
          <w:noProof/>
          <w:sz w:val="24"/>
          <w:lang w:val="en-IE"/>
        </w:rPr>
        <w:t>has</w:t>
      </w:r>
      <w:r w:rsidR="001078AC" w:rsidRPr="001078AC">
        <w:rPr>
          <w:rFonts w:ascii="Times New Roman" w:hAnsi="Times New Roman" w:cs="Times New Roman"/>
          <w:bCs/>
          <w:noProof/>
          <w:sz w:val="24"/>
          <w:lang w:val="en-IE"/>
        </w:rPr>
        <w:t xml:space="preserve"> contributed to an increased level of data protection</w:t>
      </w:r>
      <w:r w:rsidR="001078AC">
        <w:rPr>
          <w:rFonts w:ascii="Times New Roman" w:hAnsi="Times New Roman" w:cs="Times New Roman"/>
          <w:bCs/>
          <w:noProof/>
          <w:sz w:val="24"/>
          <w:lang w:val="en-IE"/>
        </w:rPr>
        <w:t xml:space="preserve">, as the Law </w:t>
      </w:r>
      <w:r w:rsidR="001078AC" w:rsidRPr="001078AC">
        <w:rPr>
          <w:rFonts w:ascii="Times New Roman" w:hAnsi="Times New Roman" w:cs="Times New Roman"/>
          <w:bCs/>
          <w:noProof/>
          <w:sz w:val="24"/>
          <w:lang w:val="en-IE"/>
        </w:rPr>
        <w:t>is closely aligned with the GDPR in its structure and main components</w:t>
      </w:r>
      <w:r w:rsidR="001078AC">
        <w:rPr>
          <w:rFonts w:ascii="Times New Roman" w:hAnsi="Times New Roman" w:cs="Times New Roman"/>
          <w:bCs/>
          <w:noProof/>
          <w:sz w:val="24"/>
          <w:lang w:val="en-IE"/>
        </w:rPr>
        <w:t>.</w:t>
      </w:r>
      <w:r w:rsidRPr="001552F0">
        <w:rPr>
          <w:rFonts w:ascii="Times New Roman" w:hAnsi="Times New Roman" w:cs="Times New Roman"/>
          <w:bCs/>
          <w:noProof/>
          <w:sz w:val="24"/>
          <w:lang w:val="en-IE"/>
        </w:rPr>
        <w:t xml:space="preserve"> </w:t>
      </w:r>
    </w:p>
    <w:p w14:paraId="5395165D" w14:textId="3D4F3BF0" w:rsidR="001078AC" w:rsidRDefault="006E3FFE" w:rsidP="00386EAC">
      <w:pPr>
        <w:jc w:val="both"/>
        <w:rPr>
          <w:rFonts w:ascii="Times New Roman" w:hAnsi="Times New Roman" w:cs="Times New Roman"/>
          <w:noProof/>
          <w:sz w:val="24"/>
          <w:szCs w:val="24"/>
        </w:rPr>
      </w:pPr>
      <w:r>
        <w:rPr>
          <w:rFonts w:ascii="Times New Roman" w:hAnsi="Times New Roman" w:cs="Times New Roman"/>
          <w:bCs/>
          <w:noProof/>
          <w:sz w:val="24"/>
        </w:rPr>
        <w:t xml:space="preserve">In the area of government access to personal data, </w:t>
      </w:r>
      <w:r w:rsidR="00441ED2" w:rsidRPr="00441ED2">
        <w:rPr>
          <w:rFonts w:ascii="Times New Roman" w:hAnsi="Times New Roman" w:cs="Times New Roman"/>
          <w:bCs/>
          <w:noProof/>
          <w:sz w:val="24"/>
        </w:rPr>
        <w:t xml:space="preserve">public authorities </w:t>
      </w:r>
      <w:r w:rsidR="00441ED2">
        <w:rPr>
          <w:rFonts w:ascii="Times New Roman" w:hAnsi="Times New Roman" w:cs="Times New Roman"/>
          <w:bCs/>
          <w:noProof/>
          <w:sz w:val="24"/>
        </w:rPr>
        <w:t xml:space="preserve">in Andorra </w:t>
      </w:r>
      <w:r w:rsidR="00441ED2" w:rsidRPr="00441ED2">
        <w:rPr>
          <w:rFonts w:ascii="Times New Roman" w:hAnsi="Times New Roman" w:cs="Times New Roman"/>
          <w:bCs/>
          <w:noProof/>
          <w:sz w:val="24"/>
        </w:rPr>
        <w:t xml:space="preserve">are subject to clear, precise and accessible rules </w:t>
      </w:r>
      <w:r w:rsidR="00EB4FA0">
        <w:rPr>
          <w:rFonts w:ascii="Times New Roman" w:hAnsi="Times New Roman" w:cs="Times New Roman"/>
          <w:bCs/>
          <w:noProof/>
          <w:sz w:val="24"/>
        </w:rPr>
        <w:t>under which such authorities can access and subsequently use for public interest objectives, in particular for criminal law enforcement and national security purposes, data transferred from the</w:t>
      </w:r>
      <w:r w:rsidR="009767AF">
        <w:rPr>
          <w:rFonts w:ascii="Times New Roman" w:hAnsi="Times New Roman" w:cs="Times New Roman"/>
          <w:bCs/>
          <w:noProof/>
          <w:sz w:val="24"/>
        </w:rPr>
        <w:t xml:space="preserve"> </w:t>
      </w:r>
      <w:r w:rsidR="007F26DB">
        <w:rPr>
          <w:rFonts w:ascii="Times New Roman" w:hAnsi="Times New Roman" w:cs="Times New Roman"/>
          <w:bCs/>
          <w:noProof/>
          <w:sz w:val="24"/>
        </w:rPr>
        <w:t>EU</w:t>
      </w:r>
      <w:r w:rsidR="00441ED2" w:rsidRPr="00441ED2">
        <w:rPr>
          <w:rFonts w:ascii="Times New Roman" w:hAnsi="Times New Roman" w:cs="Times New Roman"/>
          <w:bCs/>
          <w:noProof/>
          <w:sz w:val="24"/>
        </w:rPr>
        <w:t xml:space="preserve">. These limitations and safeguards follow from the overarching </w:t>
      </w:r>
      <w:r w:rsidR="00441ED2">
        <w:rPr>
          <w:rFonts w:ascii="Times New Roman" w:hAnsi="Times New Roman" w:cs="Times New Roman"/>
          <w:bCs/>
          <w:noProof/>
          <w:sz w:val="24"/>
        </w:rPr>
        <w:t>legal</w:t>
      </w:r>
      <w:r w:rsidR="00441ED2" w:rsidRPr="00441ED2">
        <w:rPr>
          <w:rFonts w:ascii="Times New Roman" w:hAnsi="Times New Roman" w:cs="Times New Roman"/>
          <w:bCs/>
          <w:noProof/>
          <w:sz w:val="24"/>
        </w:rPr>
        <w:t xml:space="preserve"> framework </w:t>
      </w:r>
      <w:r w:rsidR="00441ED2">
        <w:rPr>
          <w:rFonts w:ascii="Times New Roman" w:hAnsi="Times New Roman" w:cs="Times New Roman"/>
          <w:bCs/>
          <w:noProof/>
          <w:sz w:val="24"/>
        </w:rPr>
        <w:t xml:space="preserve">and international commitments, notably the Andorran Constitution, the European Convention </w:t>
      </w:r>
      <w:r w:rsidR="00441ED2" w:rsidRPr="00441ED2">
        <w:rPr>
          <w:rFonts w:ascii="Times New Roman" w:hAnsi="Times New Roman" w:cs="Times New Roman"/>
          <w:bCs/>
          <w:noProof/>
          <w:sz w:val="24"/>
        </w:rPr>
        <w:t xml:space="preserve">on Human Rights </w:t>
      </w:r>
      <w:r w:rsidR="009F17CB">
        <w:rPr>
          <w:rFonts w:ascii="Times New Roman" w:hAnsi="Times New Roman" w:cs="Times New Roman"/>
          <w:bCs/>
          <w:noProof/>
          <w:sz w:val="24"/>
        </w:rPr>
        <w:t xml:space="preserve">(ECHR) </w:t>
      </w:r>
      <w:r w:rsidR="00441ED2" w:rsidRPr="00441ED2">
        <w:rPr>
          <w:rFonts w:ascii="Times New Roman" w:hAnsi="Times New Roman" w:cs="Times New Roman"/>
          <w:bCs/>
          <w:noProof/>
          <w:sz w:val="24"/>
        </w:rPr>
        <w:t>and the Council of Europe Convention for the Protection of Individuals with regard to Automatic Processing of Personal Data (Convention 108</w:t>
      </w:r>
      <w:r w:rsidR="00441ED2">
        <w:rPr>
          <w:rFonts w:ascii="Times New Roman" w:hAnsi="Times New Roman" w:cs="Times New Roman"/>
          <w:bCs/>
          <w:noProof/>
          <w:sz w:val="24"/>
        </w:rPr>
        <w:t xml:space="preserve"> and the amending Protocol, creating the moderni</w:t>
      </w:r>
      <w:r w:rsidR="00BD7A98">
        <w:rPr>
          <w:rFonts w:ascii="Times New Roman" w:hAnsi="Times New Roman" w:cs="Times New Roman"/>
          <w:bCs/>
          <w:noProof/>
          <w:sz w:val="24"/>
        </w:rPr>
        <w:t>s</w:t>
      </w:r>
      <w:r w:rsidR="00441ED2">
        <w:rPr>
          <w:rFonts w:ascii="Times New Roman" w:hAnsi="Times New Roman" w:cs="Times New Roman"/>
          <w:bCs/>
          <w:noProof/>
          <w:sz w:val="24"/>
        </w:rPr>
        <w:t>ed Convention 108</w:t>
      </w:r>
      <w:r w:rsidR="00441ED2" w:rsidRPr="00441ED2">
        <w:rPr>
          <w:rFonts w:ascii="Times New Roman" w:hAnsi="Times New Roman" w:cs="Times New Roman"/>
          <w:bCs/>
          <w:noProof/>
          <w:sz w:val="24"/>
        </w:rPr>
        <w:t>+</w:t>
      </w:r>
      <w:r w:rsidR="00441ED2">
        <w:rPr>
          <w:rFonts w:ascii="Times New Roman" w:hAnsi="Times New Roman" w:cs="Times New Roman"/>
          <w:bCs/>
          <w:noProof/>
          <w:sz w:val="24"/>
        </w:rPr>
        <w:t xml:space="preserve">), as well as from specific data protection rules </w:t>
      </w:r>
      <w:r w:rsidR="005146CA">
        <w:rPr>
          <w:rFonts w:ascii="Times New Roman" w:hAnsi="Times New Roman" w:cs="Times New Roman"/>
          <w:bCs/>
          <w:noProof/>
          <w:sz w:val="24"/>
        </w:rPr>
        <w:t xml:space="preserve">applying to the processing of personal data in the law enforcement context </w:t>
      </w:r>
      <w:r w:rsidR="00441ED2">
        <w:rPr>
          <w:rFonts w:ascii="Times New Roman" w:hAnsi="Times New Roman" w:cs="Times New Roman"/>
          <w:bCs/>
          <w:noProof/>
          <w:sz w:val="24"/>
        </w:rPr>
        <w:t xml:space="preserve">that </w:t>
      </w:r>
      <w:r w:rsidR="00441ED2">
        <w:rPr>
          <w:rFonts w:ascii="Times New Roman" w:hAnsi="Times New Roman" w:cs="Times New Roman"/>
          <w:noProof/>
          <w:sz w:val="24"/>
          <w:szCs w:val="24"/>
        </w:rPr>
        <w:t xml:space="preserve">essentially replicate the core elements of the </w:t>
      </w:r>
      <w:r w:rsidR="00441ED2" w:rsidRPr="00441ED2">
        <w:rPr>
          <w:rFonts w:ascii="Times New Roman" w:hAnsi="Times New Roman" w:cs="Times New Roman"/>
          <w:noProof/>
          <w:sz w:val="24"/>
          <w:szCs w:val="24"/>
        </w:rPr>
        <w:t>Directive (EU) 2016/680</w:t>
      </w:r>
      <w:r w:rsidR="00441ED2">
        <w:rPr>
          <w:rStyle w:val="FootnoteReference"/>
          <w:rFonts w:ascii="Times New Roman" w:hAnsi="Times New Roman" w:cs="Times New Roman"/>
          <w:noProof/>
          <w:sz w:val="24"/>
          <w:szCs w:val="24"/>
        </w:rPr>
        <w:footnoteReference w:id="37"/>
      </w:r>
      <w:r w:rsidR="00FC79B2">
        <w:rPr>
          <w:rFonts w:ascii="Times New Roman" w:hAnsi="Times New Roman" w:cs="Times New Roman"/>
          <w:noProof/>
          <w:sz w:val="24"/>
          <w:szCs w:val="24"/>
        </w:rPr>
        <w:t>. In addition, Andorran law</w:t>
      </w:r>
      <w:r w:rsidR="00FC79B2" w:rsidRPr="00FC79B2">
        <w:rPr>
          <w:rFonts w:ascii="Times New Roman" w:hAnsi="Times New Roman" w:cs="Times New Roman"/>
          <w:noProof/>
          <w:sz w:val="24"/>
          <w:szCs w:val="24"/>
        </w:rPr>
        <w:t xml:space="preserve"> imposes a number of </w:t>
      </w:r>
      <w:r w:rsidR="00FC79B2">
        <w:rPr>
          <w:rFonts w:ascii="Times New Roman" w:hAnsi="Times New Roman" w:cs="Times New Roman"/>
          <w:noProof/>
          <w:sz w:val="24"/>
          <w:szCs w:val="24"/>
        </w:rPr>
        <w:t xml:space="preserve">specific </w:t>
      </w:r>
      <w:r w:rsidR="00BC7933">
        <w:rPr>
          <w:rFonts w:ascii="Times New Roman" w:hAnsi="Times New Roman" w:cs="Times New Roman"/>
          <w:noProof/>
          <w:sz w:val="24"/>
          <w:szCs w:val="24"/>
        </w:rPr>
        <w:t xml:space="preserve">conditions and </w:t>
      </w:r>
      <w:r w:rsidR="00FC79B2" w:rsidRPr="00FC79B2">
        <w:rPr>
          <w:rFonts w:ascii="Times New Roman" w:hAnsi="Times New Roman" w:cs="Times New Roman"/>
          <w:noProof/>
          <w:sz w:val="24"/>
          <w:szCs w:val="24"/>
        </w:rPr>
        <w:t xml:space="preserve">limitations on the access to and use of personal data </w:t>
      </w:r>
      <w:r w:rsidR="00EB4FA0">
        <w:rPr>
          <w:rFonts w:ascii="Times New Roman" w:hAnsi="Times New Roman" w:cs="Times New Roman"/>
          <w:noProof/>
          <w:sz w:val="24"/>
          <w:szCs w:val="24"/>
        </w:rPr>
        <w:t>by public authorities</w:t>
      </w:r>
      <w:r w:rsidR="00FC79B2" w:rsidRPr="00FC79B2">
        <w:rPr>
          <w:rFonts w:ascii="Times New Roman" w:hAnsi="Times New Roman" w:cs="Times New Roman"/>
          <w:noProof/>
          <w:sz w:val="24"/>
          <w:szCs w:val="24"/>
        </w:rPr>
        <w:t>, and it provides oversight and redress mechanisms in this area.</w:t>
      </w:r>
    </w:p>
    <w:p w14:paraId="1987D21E" w14:textId="77777777" w:rsidR="002A192C" w:rsidRPr="00FA5628" w:rsidRDefault="002A192C" w:rsidP="00386EAC">
      <w:pPr>
        <w:jc w:val="both"/>
        <w:rPr>
          <w:rFonts w:ascii="Times New Roman" w:hAnsi="Times New Roman" w:cs="Times New Roman"/>
          <w:bCs/>
          <w:noProof/>
          <w:sz w:val="24"/>
          <w:lang w:val="en-IE"/>
        </w:rPr>
      </w:pPr>
      <w:r w:rsidRPr="00FA5628">
        <w:rPr>
          <w:rFonts w:ascii="Times New Roman" w:hAnsi="Times New Roman" w:cs="Times New Roman"/>
          <w:bCs/>
          <w:noProof/>
          <w:sz w:val="24"/>
          <w:lang w:val="en-IE"/>
        </w:rPr>
        <w:t xml:space="preserve">Based on the overall findings </w:t>
      </w:r>
      <w:r>
        <w:rPr>
          <w:rFonts w:ascii="Times New Roman" w:hAnsi="Times New Roman" w:cs="Times New Roman"/>
          <w:bCs/>
          <w:noProof/>
          <w:sz w:val="24"/>
          <w:lang w:val="en-IE"/>
        </w:rPr>
        <w:t>set out in the SWD</w:t>
      </w:r>
      <w:r w:rsidRPr="00FA5628">
        <w:rPr>
          <w:rFonts w:ascii="Times New Roman" w:hAnsi="Times New Roman" w:cs="Times New Roman"/>
          <w:bCs/>
          <w:noProof/>
          <w:sz w:val="24"/>
          <w:lang w:val="en-IE"/>
        </w:rPr>
        <w:t>, the Commission concludes that Andorra continues to provide an adequate level of protection for personal data transferred from the EU.</w:t>
      </w:r>
    </w:p>
    <w:p w14:paraId="0A9484B2" w14:textId="51A85159" w:rsidR="006E3FFE" w:rsidRDefault="00441ED2" w:rsidP="00386EAC">
      <w:pPr>
        <w:jc w:val="both"/>
        <w:rPr>
          <w:rFonts w:ascii="Times New Roman" w:hAnsi="Times New Roman" w:cs="Times New Roman"/>
          <w:bCs/>
          <w:noProof/>
          <w:sz w:val="24"/>
        </w:rPr>
      </w:pPr>
      <w:r>
        <w:rPr>
          <w:rFonts w:ascii="Times New Roman" w:hAnsi="Times New Roman" w:cs="Times New Roman"/>
          <w:bCs/>
          <w:noProof/>
          <w:sz w:val="24"/>
        </w:rPr>
        <w:t xml:space="preserve">With respect to the </w:t>
      </w:r>
      <w:r w:rsidR="006E3FFE" w:rsidRPr="006E3FFE">
        <w:rPr>
          <w:rFonts w:ascii="Times New Roman" w:hAnsi="Times New Roman" w:cs="Times New Roman"/>
          <w:bCs/>
          <w:noProof/>
          <w:sz w:val="24"/>
        </w:rPr>
        <w:t xml:space="preserve">specific </w:t>
      </w:r>
      <w:r w:rsidR="006E3FFE">
        <w:rPr>
          <w:rFonts w:ascii="Times New Roman" w:hAnsi="Times New Roman" w:cs="Times New Roman"/>
          <w:bCs/>
          <w:noProof/>
          <w:sz w:val="24"/>
        </w:rPr>
        <w:t xml:space="preserve">data protection </w:t>
      </w:r>
      <w:r w:rsidR="006E3FFE" w:rsidRPr="006E3FFE">
        <w:rPr>
          <w:rFonts w:ascii="Times New Roman" w:hAnsi="Times New Roman" w:cs="Times New Roman"/>
          <w:bCs/>
          <w:noProof/>
          <w:sz w:val="24"/>
        </w:rPr>
        <w:t xml:space="preserve">rules </w:t>
      </w:r>
      <w:r w:rsidR="001078AC">
        <w:rPr>
          <w:rFonts w:ascii="Times New Roman" w:hAnsi="Times New Roman" w:cs="Times New Roman"/>
          <w:bCs/>
          <w:noProof/>
          <w:sz w:val="24"/>
        </w:rPr>
        <w:t>that currently apply to data processing by law enforcement authorities</w:t>
      </w:r>
      <w:r>
        <w:rPr>
          <w:rFonts w:ascii="Times New Roman" w:hAnsi="Times New Roman" w:cs="Times New Roman"/>
          <w:bCs/>
          <w:noProof/>
          <w:sz w:val="24"/>
        </w:rPr>
        <w:t xml:space="preserve">, the Commission </w:t>
      </w:r>
      <w:r w:rsidRPr="006E3FFE">
        <w:rPr>
          <w:rFonts w:ascii="Times New Roman" w:hAnsi="Times New Roman" w:cs="Times New Roman"/>
          <w:bCs/>
          <w:noProof/>
          <w:sz w:val="24"/>
        </w:rPr>
        <w:t>welcome</w:t>
      </w:r>
      <w:r>
        <w:rPr>
          <w:rFonts w:ascii="Times New Roman" w:hAnsi="Times New Roman" w:cs="Times New Roman"/>
          <w:bCs/>
          <w:noProof/>
          <w:sz w:val="24"/>
        </w:rPr>
        <w:t>s</w:t>
      </w:r>
      <w:r w:rsidRPr="006E3FFE">
        <w:rPr>
          <w:rFonts w:ascii="Times New Roman" w:hAnsi="Times New Roman" w:cs="Times New Roman"/>
          <w:bCs/>
          <w:noProof/>
          <w:sz w:val="24"/>
        </w:rPr>
        <w:t xml:space="preserve"> the Andorran legislator’s intention to replace</w:t>
      </w:r>
      <w:r w:rsidR="001078AC">
        <w:rPr>
          <w:rFonts w:ascii="Times New Roman" w:hAnsi="Times New Roman" w:cs="Times New Roman"/>
          <w:bCs/>
          <w:noProof/>
          <w:sz w:val="24"/>
        </w:rPr>
        <w:t xml:space="preserve"> </w:t>
      </w:r>
      <w:r>
        <w:rPr>
          <w:rFonts w:ascii="Times New Roman" w:hAnsi="Times New Roman" w:cs="Times New Roman"/>
          <w:bCs/>
          <w:noProof/>
          <w:sz w:val="24"/>
        </w:rPr>
        <w:t xml:space="preserve">these rules </w:t>
      </w:r>
      <w:r w:rsidR="001078AC">
        <w:rPr>
          <w:rFonts w:ascii="Times New Roman" w:hAnsi="Times New Roman" w:cs="Times New Roman"/>
          <w:bCs/>
          <w:noProof/>
          <w:sz w:val="24"/>
        </w:rPr>
        <w:t xml:space="preserve">with </w:t>
      </w:r>
      <w:r w:rsidR="006E3FFE" w:rsidRPr="006E3FFE">
        <w:rPr>
          <w:rFonts w:ascii="Times New Roman" w:hAnsi="Times New Roman" w:cs="Times New Roman"/>
          <w:bCs/>
          <w:noProof/>
          <w:sz w:val="24"/>
        </w:rPr>
        <w:t xml:space="preserve">a more </w:t>
      </w:r>
      <w:r w:rsidR="00BC7933">
        <w:rPr>
          <w:rFonts w:ascii="Times New Roman" w:hAnsi="Times New Roman" w:cs="Times New Roman"/>
          <w:bCs/>
          <w:noProof/>
          <w:sz w:val="24"/>
        </w:rPr>
        <w:t xml:space="preserve">comprehensive </w:t>
      </w:r>
      <w:r w:rsidR="006E3FFE" w:rsidRPr="006E3FFE">
        <w:rPr>
          <w:rFonts w:ascii="Times New Roman" w:hAnsi="Times New Roman" w:cs="Times New Roman"/>
          <w:bCs/>
          <w:noProof/>
          <w:sz w:val="24"/>
        </w:rPr>
        <w:t xml:space="preserve">regime that </w:t>
      </w:r>
      <w:r w:rsidR="00BC7933">
        <w:rPr>
          <w:rFonts w:ascii="Times New Roman" w:hAnsi="Times New Roman" w:cs="Times New Roman"/>
          <w:bCs/>
          <w:noProof/>
          <w:sz w:val="24"/>
        </w:rPr>
        <w:t xml:space="preserve">will </w:t>
      </w:r>
      <w:r w:rsidR="004839A6">
        <w:rPr>
          <w:rFonts w:ascii="Times New Roman" w:hAnsi="Times New Roman" w:cs="Times New Roman"/>
          <w:bCs/>
          <w:noProof/>
          <w:sz w:val="24"/>
        </w:rPr>
        <w:t xml:space="preserve">be </w:t>
      </w:r>
      <w:r w:rsidR="006E3FFE" w:rsidRPr="006E3FFE">
        <w:rPr>
          <w:rFonts w:ascii="Times New Roman" w:hAnsi="Times New Roman" w:cs="Times New Roman"/>
          <w:bCs/>
          <w:noProof/>
          <w:sz w:val="24"/>
        </w:rPr>
        <w:t xml:space="preserve">even further aligned with the rules that apply in the EU. </w:t>
      </w:r>
      <w:r w:rsidR="006B4E33">
        <w:rPr>
          <w:rFonts w:ascii="Times New Roman" w:hAnsi="Times New Roman" w:cs="Times New Roman"/>
          <w:bCs/>
          <w:noProof/>
          <w:sz w:val="24"/>
        </w:rPr>
        <w:t>The Commission</w:t>
      </w:r>
      <w:r w:rsidR="006E3FFE" w:rsidRPr="006E3FFE">
        <w:rPr>
          <w:rFonts w:ascii="Times New Roman" w:hAnsi="Times New Roman" w:cs="Times New Roman"/>
          <w:bCs/>
          <w:noProof/>
          <w:sz w:val="24"/>
        </w:rPr>
        <w:t xml:space="preserve"> will closely monitor future developments in this area. </w:t>
      </w:r>
    </w:p>
    <w:p w14:paraId="7EB35230" w14:textId="77777777" w:rsidR="0059492F" w:rsidRDefault="00026B70" w:rsidP="00386EAC">
      <w:pPr>
        <w:pStyle w:val="ListParagraph"/>
        <w:numPr>
          <w:ilvl w:val="1"/>
          <w:numId w:val="3"/>
        </w:numPr>
        <w:ind w:left="1134" w:hanging="708"/>
        <w:contextualSpacing w:val="0"/>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t>Argentina</w:t>
      </w:r>
    </w:p>
    <w:p w14:paraId="4064FE1D" w14:textId="23BB4413" w:rsidR="001552F0" w:rsidRDefault="001552F0" w:rsidP="00386EAC">
      <w:pPr>
        <w:jc w:val="both"/>
        <w:rPr>
          <w:rFonts w:ascii="Times New Roman" w:hAnsi="Times New Roman" w:cs="Times New Roman"/>
          <w:bCs/>
          <w:noProof/>
          <w:sz w:val="24"/>
          <w:lang w:val="en-IE"/>
        </w:rPr>
      </w:pPr>
      <w:bookmarkStart w:id="2" w:name="_Hlk147705548"/>
      <w:r w:rsidRPr="001552F0">
        <w:rPr>
          <w:rFonts w:ascii="Times New Roman" w:hAnsi="Times New Roman" w:cs="Times New Roman"/>
          <w:bCs/>
          <w:noProof/>
          <w:sz w:val="24"/>
          <w:lang w:val="en-IE"/>
        </w:rPr>
        <w:t xml:space="preserve">The Commission welcomes the developments in the </w:t>
      </w:r>
      <w:r>
        <w:rPr>
          <w:rFonts w:ascii="Times New Roman" w:hAnsi="Times New Roman" w:cs="Times New Roman"/>
          <w:bCs/>
          <w:noProof/>
          <w:sz w:val="24"/>
          <w:lang w:val="en-IE"/>
        </w:rPr>
        <w:t>Argentinian</w:t>
      </w:r>
      <w:r w:rsidRPr="001552F0">
        <w:rPr>
          <w:rFonts w:ascii="Times New Roman" w:hAnsi="Times New Roman" w:cs="Times New Roman"/>
          <w:bCs/>
          <w:noProof/>
          <w:sz w:val="24"/>
          <w:lang w:val="en-IE"/>
        </w:rPr>
        <w:t xml:space="preserve"> legal framework since the adoption of the adequacy decision, including legislative </w:t>
      </w:r>
      <w:r w:rsidR="00794AD7" w:rsidRPr="001552F0">
        <w:rPr>
          <w:rFonts w:ascii="Times New Roman" w:hAnsi="Times New Roman" w:cs="Times New Roman"/>
          <w:bCs/>
          <w:noProof/>
          <w:sz w:val="24"/>
          <w:lang w:val="en-IE"/>
        </w:rPr>
        <w:t>amendments</w:t>
      </w:r>
      <w:r w:rsidR="00794AD7">
        <w:rPr>
          <w:rFonts w:ascii="Times New Roman" w:hAnsi="Times New Roman" w:cs="Times New Roman"/>
          <w:bCs/>
          <w:noProof/>
          <w:sz w:val="24"/>
          <w:lang w:val="en-IE"/>
        </w:rPr>
        <w:t>,</w:t>
      </w:r>
      <w:r w:rsidRPr="001552F0">
        <w:rPr>
          <w:rFonts w:ascii="Times New Roman" w:hAnsi="Times New Roman" w:cs="Times New Roman"/>
          <w:bCs/>
          <w:noProof/>
          <w:sz w:val="24"/>
          <w:lang w:val="en-IE"/>
        </w:rPr>
        <w:t xml:space="preserve"> case law and activities of oversight bodies, which have contributed to an increased level of data protection</w:t>
      </w:r>
      <w:bookmarkEnd w:id="2"/>
      <w:r w:rsidRPr="001552F0">
        <w:rPr>
          <w:rFonts w:ascii="Times New Roman" w:hAnsi="Times New Roman" w:cs="Times New Roman"/>
          <w:bCs/>
          <w:noProof/>
          <w:sz w:val="24"/>
          <w:lang w:val="en-IE"/>
        </w:rPr>
        <w:t>.</w:t>
      </w:r>
      <w:r w:rsidR="002A192C">
        <w:rPr>
          <w:rFonts w:ascii="Times New Roman" w:hAnsi="Times New Roman" w:cs="Times New Roman"/>
          <w:bCs/>
          <w:noProof/>
          <w:sz w:val="24"/>
          <w:lang w:val="en-IE"/>
        </w:rPr>
        <w:t xml:space="preserve"> </w:t>
      </w:r>
      <w:bookmarkStart w:id="3" w:name="_Hlk147705610"/>
      <w:r w:rsidR="002A192C" w:rsidRPr="002A192C">
        <w:rPr>
          <w:rFonts w:ascii="Times New Roman" w:hAnsi="Times New Roman" w:cs="Times New Roman"/>
          <w:bCs/>
          <w:noProof/>
          <w:sz w:val="24"/>
          <w:lang w:val="en-IE"/>
        </w:rPr>
        <w:t xml:space="preserve">In particular, the independence of the Argentinian data protection supervisory authority, </w:t>
      </w:r>
      <w:r w:rsidR="00BC7933">
        <w:rPr>
          <w:rFonts w:ascii="Times New Roman" w:hAnsi="Times New Roman" w:cs="Times New Roman"/>
          <w:bCs/>
          <w:noProof/>
          <w:sz w:val="24"/>
          <w:lang w:val="en-IE"/>
        </w:rPr>
        <w:t>was significantly strengthened</w:t>
      </w:r>
      <w:r w:rsidR="00A30010">
        <w:rPr>
          <w:rFonts w:ascii="Times New Roman" w:hAnsi="Times New Roman" w:cs="Times New Roman"/>
          <w:bCs/>
          <w:noProof/>
          <w:sz w:val="24"/>
          <w:lang w:val="en-IE"/>
        </w:rPr>
        <w:t xml:space="preserve"> </w:t>
      </w:r>
      <w:r w:rsidR="00A30010">
        <w:rPr>
          <w:rFonts w:ascii="Times New Roman" w:hAnsi="Times New Roman" w:cs="Times New Roman"/>
          <w:noProof/>
          <w:sz w:val="24"/>
          <w:szCs w:val="24"/>
        </w:rPr>
        <w:t xml:space="preserve">through </w:t>
      </w:r>
      <w:r w:rsidR="00A30010" w:rsidRPr="00772672">
        <w:rPr>
          <w:rFonts w:ascii="Times New Roman" w:hAnsi="Times New Roman" w:cs="Times New Roman"/>
          <w:noProof/>
          <w:sz w:val="24"/>
          <w:szCs w:val="24"/>
        </w:rPr>
        <w:t>Decree</w:t>
      </w:r>
      <w:r w:rsidR="00A30010">
        <w:rPr>
          <w:rFonts w:ascii="Times New Roman" w:hAnsi="Times New Roman" w:cs="Times New Roman"/>
          <w:noProof/>
          <w:sz w:val="24"/>
          <w:szCs w:val="24"/>
        </w:rPr>
        <w:t xml:space="preserve"> No.</w:t>
      </w:r>
      <w:r w:rsidR="00A30010" w:rsidRPr="00772672">
        <w:rPr>
          <w:rFonts w:ascii="Times New Roman" w:hAnsi="Times New Roman" w:cs="Times New Roman"/>
          <w:noProof/>
          <w:sz w:val="24"/>
          <w:szCs w:val="24"/>
        </w:rPr>
        <w:t xml:space="preserve"> 746/</w:t>
      </w:r>
      <w:r w:rsidR="00A30010">
        <w:rPr>
          <w:rFonts w:ascii="Times New Roman" w:hAnsi="Times New Roman" w:cs="Times New Roman"/>
          <w:noProof/>
          <w:sz w:val="24"/>
          <w:szCs w:val="24"/>
        </w:rPr>
        <w:t xml:space="preserve">17, which entrusted </w:t>
      </w:r>
      <w:r w:rsidR="00A30010" w:rsidRPr="002A192C">
        <w:rPr>
          <w:rFonts w:ascii="Times New Roman" w:hAnsi="Times New Roman" w:cs="Times New Roman"/>
          <w:bCs/>
          <w:noProof/>
          <w:sz w:val="24"/>
          <w:lang w:val="en-IE"/>
        </w:rPr>
        <w:t xml:space="preserve">the </w:t>
      </w:r>
      <w:r w:rsidR="00A30010" w:rsidRPr="00794AD7">
        <w:rPr>
          <w:rFonts w:ascii="Times New Roman" w:hAnsi="Times New Roman" w:cs="Times New Roman"/>
          <w:bCs/>
          <w:i/>
          <w:iCs/>
          <w:noProof/>
          <w:sz w:val="24"/>
          <w:lang w:val="en-IE"/>
        </w:rPr>
        <w:t>Agencia de Acceso a la Información Pública</w:t>
      </w:r>
      <w:r w:rsidR="00A30010" w:rsidRPr="002A192C">
        <w:rPr>
          <w:rFonts w:ascii="Times New Roman" w:hAnsi="Times New Roman" w:cs="Times New Roman"/>
          <w:bCs/>
          <w:noProof/>
          <w:sz w:val="24"/>
          <w:lang w:val="en-IE"/>
        </w:rPr>
        <w:t xml:space="preserve"> (AAIP)</w:t>
      </w:r>
      <w:r w:rsidR="00A30010">
        <w:rPr>
          <w:rFonts w:ascii="Times New Roman" w:hAnsi="Times New Roman" w:cs="Times New Roman"/>
          <w:bCs/>
          <w:noProof/>
          <w:sz w:val="24"/>
          <w:lang w:val="en-IE"/>
        </w:rPr>
        <w:t xml:space="preserve"> with the</w:t>
      </w:r>
      <w:r w:rsidR="00A30010">
        <w:rPr>
          <w:rFonts w:ascii="Times New Roman" w:hAnsi="Times New Roman" w:cs="Times New Roman"/>
          <w:noProof/>
          <w:sz w:val="24"/>
          <w:szCs w:val="24"/>
        </w:rPr>
        <w:t xml:space="preserve"> responsibility for overseeing compliance with the</w:t>
      </w:r>
      <w:r w:rsidR="00A30010" w:rsidRPr="00772672">
        <w:rPr>
          <w:rFonts w:ascii="Times New Roman" w:hAnsi="Times New Roman" w:cs="Times New Roman"/>
          <w:noProof/>
          <w:sz w:val="24"/>
          <w:szCs w:val="24"/>
        </w:rPr>
        <w:t xml:space="preserve"> </w:t>
      </w:r>
      <w:r w:rsidR="00A30010">
        <w:rPr>
          <w:rFonts w:ascii="Times New Roman" w:hAnsi="Times New Roman" w:cs="Times New Roman"/>
          <w:noProof/>
          <w:sz w:val="24"/>
          <w:szCs w:val="24"/>
        </w:rPr>
        <w:t>data protection law</w:t>
      </w:r>
      <w:r w:rsidR="002A192C" w:rsidRPr="002A192C">
        <w:rPr>
          <w:rFonts w:ascii="Times New Roman" w:hAnsi="Times New Roman" w:cs="Times New Roman"/>
          <w:bCs/>
          <w:noProof/>
          <w:sz w:val="24"/>
          <w:lang w:val="en-IE"/>
        </w:rPr>
        <w:t>.</w:t>
      </w:r>
      <w:bookmarkEnd w:id="3"/>
      <w:r w:rsidR="002A192C" w:rsidRPr="002A192C">
        <w:rPr>
          <w:rFonts w:ascii="Times New Roman" w:hAnsi="Times New Roman" w:cs="Times New Roman"/>
          <w:bCs/>
          <w:noProof/>
          <w:sz w:val="24"/>
          <w:lang w:val="en-IE"/>
        </w:rPr>
        <w:t xml:space="preserve"> </w:t>
      </w:r>
      <w:r w:rsidR="00752B41">
        <w:rPr>
          <w:rFonts w:ascii="Times New Roman" w:hAnsi="Times New Roman" w:cs="Times New Roman"/>
          <w:bCs/>
          <w:noProof/>
          <w:sz w:val="24"/>
          <w:lang w:val="en-IE"/>
        </w:rPr>
        <w:t>In addition</w:t>
      </w:r>
      <w:r w:rsidR="002A192C" w:rsidRPr="002A192C">
        <w:rPr>
          <w:rFonts w:ascii="Times New Roman" w:hAnsi="Times New Roman" w:cs="Times New Roman"/>
          <w:bCs/>
          <w:noProof/>
          <w:sz w:val="24"/>
          <w:lang w:val="en-IE"/>
        </w:rPr>
        <w:t xml:space="preserve">, the AAIP issued a number of binding regulations and opinions which clarify how the data protection framework is to be interpreted and applied in practice, thus helping to keep </w:t>
      </w:r>
      <w:r w:rsidR="004839A6">
        <w:rPr>
          <w:rFonts w:ascii="Times New Roman" w:hAnsi="Times New Roman" w:cs="Times New Roman"/>
          <w:bCs/>
          <w:noProof/>
          <w:sz w:val="24"/>
          <w:lang w:val="en-IE"/>
        </w:rPr>
        <w:t xml:space="preserve">the </w:t>
      </w:r>
      <w:r w:rsidR="00752B41">
        <w:rPr>
          <w:rFonts w:ascii="Times New Roman" w:hAnsi="Times New Roman" w:cs="Times New Roman"/>
          <w:bCs/>
          <w:noProof/>
          <w:sz w:val="24"/>
          <w:lang w:val="en-IE"/>
        </w:rPr>
        <w:t>data protection law</w:t>
      </w:r>
      <w:r w:rsidR="002A192C" w:rsidRPr="002A192C">
        <w:rPr>
          <w:rFonts w:ascii="Times New Roman" w:hAnsi="Times New Roman" w:cs="Times New Roman"/>
          <w:bCs/>
          <w:noProof/>
          <w:sz w:val="24"/>
          <w:lang w:val="en-IE"/>
        </w:rPr>
        <w:t xml:space="preserve"> up to date.</w:t>
      </w:r>
      <w:r w:rsidR="002A192C" w:rsidRPr="002A192C">
        <w:rPr>
          <w:noProof/>
        </w:rPr>
        <w:t xml:space="preserve"> </w:t>
      </w:r>
      <w:r w:rsidR="002A192C" w:rsidRPr="002A192C">
        <w:rPr>
          <w:rFonts w:ascii="Times New Roman" w:hAnsi="Times New Roman" w:cs="Times New Roman"/>
          <w:bCs/>
          <w:noProof/>
          <w:sz w:val="24"/>
          <w:lang w:val="en-IE"/>
        </w:rPr>
        <w:t>Argentina also strengthened its international commitments in the field of data protection</w:t>
      </w:r>
      <w:r w:rsidR="00752B41">
        <w:rPr>
          <w:rFonts w:ascii="Times New Roman" w:hAnsi="Times New Roman" w:cs="Times New Roman"/>
          <w:bCs/>
          <w:noProof/>
          <w:sz w:val="24"/>
          <w:lang w:val="en-IE"/>
        </w:rPr>
        <w:t xml:space="preserve"> by joining </w:t>
      </w:r>
      <w:r w:rsidR="002A192C" w:rsidRPr="002A192C">
        <w:rPr>
          <w:rFonts w:ascii="Times New Roman" w:hAnsi="Times New Roman" w:cs="Times New Roman"/>
          <w:bCs/>
          <w:noProof/>
          <w:sz w:val="24"/>
          <w:lang w:val="en-IE"/>
        </w:rPr>
        <w:t>the Council of Europe Convention for the protection of individuals with regard to the automatic processing of personal data and its additional Protocol</w:t>
      </w:r>
      <w:r w:rsidR="00752B41">
        <w:rPr>
          <w:rFonts w:ascii="Times New Roman" w:hAnsi="Times New Roman" w:cs="Times New Roman"/>
          <w:bCs/>
          <w:noProof/>
          <w:sz w:val="24"/>
          <w:lang w:val="en-IE"/>
        </w:rPr>
        <w:t xml:space="preserve"> </w:t>
      </w:r>
      <w:r w:rsidR="00752B41" w:rsidRPr="00752B41">
        <w:rPr>
          <w:rFonts w:ascii="Times New Roman" w:hAnsi="Times New Roman" w:cs="Times New Roman"/>
          <w:bCs/>
          <w:noProof/>
          <w:sz w:val="24"/>
          <w:lang w:val="en-IE"/>
        </w:rPr>
        <w:t xml:space="preserve">in 2019, </w:t>
      </w:r>
      <w:r w:rsidR="00752B41">
        <w:rPr>
          <w:rFonts w:ascii="Times New Roman" w:hAnsi="Times New Roman" w:cs="Times New Roman"/>
          <w:bCs/>
          <w:noProof/>
          <w:sz w:val="24"/>
          <w:lang w:val="en-IE"/>
        </w:rPr>
        <w:t xml:space="preserve">and by ratifying </w:t>
      </w:r>
      <w:r w:rsidR="002A192C" w:rsidRPr="002A192C">
        <w:rPr>
          <w:rFonts w:ascii="Times New Roman" w:hAnsi="Times New Roman" w:cs="Times New Roman"/>
          <w:bCs/>
          <w:noProof/>
          <w:sz w:val="24"/>
          <w:lang w:val="en-IE"/>
        </w:rPr>
        <w:t>the amending Protocol creating the moderni</w:t>
      </w:r>
      <w:r w:rsidR="00BD7A98">
        <w:rPr>
          <w:rFonts w:ascii="Times New Roman" w:hAnsi="Times New Roman" w:cs="Times New Roman"/>
          <w:bCs/>
          <w:noProof/>
          <w:sz w:val="24"/>
          <w:lang w:val="en-IE"/>
        </w:rPr>
        <w:t>s</w:t>
      </w:r>
      <w:r w:rsidR="002A192C" w:rsidRPr="002A192C">
        <w:rPr>
          <w:rFonts w:ascii="Times New Roman" w:hAnsi="Times New Roman" w:cs="Times New Roman"/>
          <w:bCs/>
          <w:noProof/>
          <w:sz w:val="24"/>
          <w:lang w:val="en-IE"/>
        </w:rPr>
        <w:t>ed Convention 108+</w:t>
      </w:r>
      <w:r w:rsidR="00752B41" w:rsidRPr="00752B41">
        <w:rPr>
          <w:rFonts w:ascii="Times New Roman" w:hAnsi="Times New Roman" w:cs="Times New Roman"/>
          <w:bCs/>
          <w:noProof/>
          <w:sz w:val="24"/>
          <w:lang w:val="en-IE"/>
        </w:rPr>
        <w:t xml:space="preserve"> in 2023</w:t>
      </w:r>
      <w:r w:rsidR="002A192C" w:rsidRPr="002A192C">
        <w:rPr>
          <w:rFonts w:ascii="Times New Roman" w:hAnsi="Times New Roman" w:cs="Times New Roman"/>
          <w:bCs/>
          <w:noProof/>
          <w:sz w:val="24"/>
          <w:lang w:val="en-IE"/>
        </w:rPr>
        <w:t>.</w:t>
      </w:r>
    </w:p>
    <w:p w14:paraId="7D756FFB" w14:textId="622F573B" w:rsidR="00752B41" w:rsidRDefault="00802EF9" w:rsidP="00386EAC">
      <w:pPr>
        <w:jc w:val="both"/>
        <w:rPr>
          <w:rFonts w:ascii="Times New Roman" w:hAnsi="Times New Roman" w:cs="Times New Roman"/>
          <w:bCs/>
          <w:noProof/>
          <w:sz w:val="24"/>
          <w:lang w:val="en-IE"/>
        </w:rPr>
      </w:pPr>
      <w:r>
        <w:rPr>
          <w:rFonts w:ascii="Times New Roman" w:hAnsi="Times New Roman" w:cs="Times New Roman"/>
          <w:bCs/>
          <w:noProof/>
          <w:sz w:val="24"/>
        </w:rPr>
        <w:t xml:space="preserve">In the area of government access to personal data, </w:t>
      </w:r>
      <w:r w:rsidRPr="00441ED2">
        <w:rPr>
          <w:rFonts w:ascii="Times New Roman" w:hAnsi="Times New Roman" w:cs="Times New Roman"/>
          <w:bCs/>
          <w:noProof/>
          <w:sz w:val="24"/>
        </w:rPr>
        <w:t xml:space="preserve">public authorities </w:t>
      </w:r>
      <w:r>
        <w:rPr>
          <w:rFonts w:ascii="Times New Roman" w:hAnsi="Times New Roman" w:cs="Times New Roman"/>
          <w:bCs/>
          <w:noProof/>
          <w:sz w:val="24"/>
        </w:rPr>
        <w:t xml:space="preserve">in Argentina </w:t>
      </w:r>
      <w:r w:rsidRPr="00441ED2">
        <w:rPr>
          <w:rFonts w:ascii="Times New Roman" w:hAnsi="Times New Roman" w:cs="Times New Roman"/>
          <w:bCs/>
          <w:noProof/>
          <w:sz w:val="24"/>
        </w:rPr>
        <w:t xml:space="preserve">are subject to clear, precise and accessible rules </w:t>
      </w:r>
      <w:r>
        <w:rPr>
          <w:rFonts w:ascii="Times New Roman" w:hAnsi="Times New Roman" w:cs="Times New Roman"/>
          <w:bCs/>
          <w:noProof/>
          <w:sz w:val="24"/>
        </w:rPr>
        <w:t xml:space="preserve">under which such authorities can access and subsequently use for public interest objectives, in particular for criminal law enforcement and national security purposes, data transferred from the </w:t>
      </w:r>
      <w:r w:rsidR="007F26DB">
        <w:rPr>
          <w:rFonts w:ascii="Times New Roman" w:hAnsi="Times New Roman" w:cs="Times New Roman"/>
          <w:bCs/>
          <w:noProof/>
          <w:sz w:val="24"/>
        </w:rPr>
        <w:t>EU</w:t>
      </w:r>
      <w:r w:rsidRPr="00441ED2">
        <w:rPr>
          <w:rFonts w:ascii="Times New Roman" w:hAnsi="Times New Roman" w:cs="Times New Roman"/>
          <w:bCs/>
          <w:noProof/>
          <w:sz w:val="24"/>
        </w:rPr>
        <w:t xml:space="preserve">. </w:t>
      </w:r>
      <w:r w:rsidR="00752B41" w:rsidRPr="00752B41">
        <w:rPr>
          <w:rFonts w:ascii="Times New Roman" w:hAnsi="Times New Roman" w:cs="Times New Roman"/>
          <w:bCs/>
          <w:noProof/>
          <w:sz w:val="24"/>
          <w:lang w:val="en-IE"/>
        </w:rPr>
        <w:t xml:space="preserve">These limitations and safeguards follow from the overarching legal framework and international commitments, notably the </w:t>
      </w:r>
      <w:r w:rsidR="00F5036F">
        <w:rPr>
          <w:rFonts w:ascii="Times New Roman" w:hAnsi="Times New Roman" w:cs="Times New Roman"/>
          <w:bCs/>
          <w:noProof/>
          <w:sz w:val="24"/>
          <w:lang w:val="en-IE"/>
        </w:rPr>
        <w:t>Argentinian</w:t>
      </w:r>
      <w:r w:rsidR="00752B41" w:rsidRPr="00752B41">
        <w:rPr>
          <w:rFonts w:ascii="Times New Roman" w:hAnsi="Times New Roman" w:cs="Times New Roman"/>
          <w:bCs/>
          <w:noProof/>
          <w:sz w:val="24"/>
          <w:lang w:val="en-IE"/>
        </w:rPr>
        <w:t xml:space="preserve"> Constitution, </w:t>
      </w:r>
      <w:r w:rsidR="00F5036F">
        <w:rPr>
          <w:rFonts w:ascii="Times New Roman" w:hAnsi="Times New Roman" w:cs="Times New Roman"/>
          <w:bCs/>
          <w:noProof/>
          <w:sz w:val="24"/>
          <w:lang w:val="en-IE"/>
        </w:rPr>
        <w:t xml:space="preserve">the </w:t>
      </w:r>
      <w:r w:rsidR="00F5036F" w:rsidRPr="00F5036F">
        <w:rPr>
          <w:rFonts w:ascii="Times New Roman" w:hAnsi="Times New Roman" w:cs="Times New Roman"/>
          <w:bCs/>
          <w:noProof/>
          <w:sz w:val="24"/>
          <w:lang w:val="en-IE"/>
        </w:rPr>
        <w:t>American Convention on Human Rights</w:t>
      </w:r>
      <w:r w:rsidR="00F5036F">
        <w:rPr>
          <w:rFonts w:ascii="Times New Roman" w:hAnsi="Times New Roman" w:cs="Times New Roman"/>
          <w:bCs/>
          <w:noProof/>
          <w:sz w:val="24"/>
          <w:lang w:val="en-IE"/>
        </w:rPr>
        <w:t xml:space="preserve">, </w:t>
      </w:r>
      <w:r w:rsidR="00752B41" w:rsidRPr="00752B41">
        <w:rPr>
          <w:rFonts w:ascii="Times New Roman" w:hAnsi="Times New Roman" w:cs="Times New Roman"/>
          <w:bCs/>
          <w:noProof/>
          <w:sz w:val="24"/>
          <w:lang w:val="en-IE"/>
        </w:rPr>
        <w:t xml:space="preserve">Convention 108 </w:t>
      </w:r>
      <w:r w:rsidR="009D534C">
        <w:rPr>
          <w:rFonts w:ascii="Times New Roman" w:hAnsi="Times New Roman" w:cs="Times New Roman"/>
          <w:bCs/>
          <w:noProof/>
          <w:sz w:val="24"/>
          <w:lang w:val="en-IE"/>
        </w:rPr>
        <w:t>and</w:t>
      </w:r>
      <w:r w:rsidR="00752B41" w:rsidRPr="00752B41">
        <w:rPr>
          <w:rFonts w:ascii="Times New Roman" w:hAnsi="Times New Roman" w:cs="Times New Roman"/>
          <w:bCs/>
          <w:noProof/>
          <w:sz w:val="24"/>
          <w:lang w:val="en-IE"/>
        </w:rPr>
        <w:t xml:space="preserve"> Convention 108+, as well as from </w:t>
      </w:r>
      <w:r w:rsidR="00F5036F">
        <w:rPr>
          <w:rFonts w:ascii="Times New Roman" w:hAnsi="Times New Roman" w:cs="Times New Roman"/>
          <w:bCs/>
          <w:noProof/>
          <w:sz w:val="24"/>
          <w:lang w:val="en-IE"/>
        </w:rPr>
        <w:t xml:space="preserve">the Argentinian data protection </w:t>
      </w:r>
      <w:r w:rsidR="009D534C">
        <w:rPr>
          <w:rFonts w:ascii="Times New Roman" w:hAnsi="Times New Roman" w:cs="Times New Roman"/>
          <w:bCs/>
          <w:noProof/>
          <w:sz w:val="24"/>
          <w:lang w:val="en-IE"/>
        </w:rPr>
        <w:t>rules</w:t>
      </w:r>
      <w:r w:rsidR="00752B41" w:rsidRPr="00752B41">
        <w:rPr>
          <w:rFonts w:ascii="Times New Roman" w:hAnsi="Times New Roman" w:cs="Times New Roman"/>
          <w:bCs/>
          <w:noProof/>
          <w:sz w:val="24"/>
          <w:lang w:val="en-IE"/>
        </w:rPr>
        <w:t xml:space="preserve"> </w:t>
      </w:r>
      <w:r w:rsidR="006D3EC3">
        <w:rPr>
          <w:rFonts w:ascii="Times New Roman" w:hAnsi="Times New Roman" w:cs="Times New Roman"/>
          <w:bCs/>
          <w:noProof/>
          <w:sz w:val="24"/>
          <w:lang w:val="en-IE"/>
        </w:rPr>
        <w:t>(</w:t>
      </w:r>
      <w:r w:rsidR="006D3EC3">
        <w:rPr>
          <w:rFonts w:ascii="Times New Roman" w:hAnsi="Times New Roman" w:cs="Times New Roman"/>
          <w:noProof/>
          <w:sz w:val="24"/>
          <w:szCs w:val="24"/>
        </w:rPr>
        <w:t xml:space="preserve">Law 25.326 on Personal Data Protection of 4 October 2000) </w:t>
      </w:r>
      <w:r w:rsidR="00F5036F">
        <w:rPr>
          <w:rFonts w:ascii="Times New Roman" w:hAnsi="Times New Roman" w:cs="Times New Roman"/>
          <w:bCs/>
          <w:noProof/>
          <w:sz w:val="24"/>
          <w:lang w:val="en-IE"/>
        </w:rPr>
        <w:t>that</w:t>
      </w:r>
      <w:r w:rsidR="00BC7933">
        <w:rPr>
          <w:rFonts w:ascii="Times New Roman" w:hAnsi="Times New Roman" w:cs="Times New Roman"/>
          <w:bCs/>
          <w:noProof/>
          <w:sz w:val="24"/>
          <w:lang w:val="en-IE"/>
        </w:rPr>
        <w:t xml:space="preserve"> </w:t>
      </w:r>
      <w:r w:rsidR="00755447">
        <w:rPr>
          <w:rFonts w:ascii="Times New Roman" w:hAnsi="Times New Roman" w:cs="Times New Roman"/>
          <w:bCs/>
          <w:noProof/>
          <w:sz w:val="24"/>
          <w:lang w:val="en-IE"/>
        </w:rPr>
        <w:t>are</w:t>
      </w:r>
      <w:r w:rsidR="00BC7933">
        <w:rPr>
          <w:rFonts w:ascii="Times New Roman" w:hAnsi="Times New Roman" w:cs="Times New Roman"/>
          <w:bCs/>
          <w:noProof/>
          <w:sz w:val="24"/>
          <w:lang w:val="en-IE"/>
        </w:rPr>
        <w:t xml:space="preserve"> also applicable </w:t>
      </w:r>
      <w:r w:rsidR="00F5036F">
        <w:rPr>
          <w:rFonts w:ascii="Times New Roman" w:hAnsi="Times New Roman" w:cs="Times New Roman"/>
          <w:bCs/>
          <w:noProof/>
          <w:sz w:val="24"/>
          <w:lang w:val="en-IE"/>
        </w:rPr>
        <w:t xml:space="preserve">to </w:t>
      </w:r>
      <w:r w:rsidR="009D534C" w:rsidRPr="009D534C">
        <w:rPr>
          <w:rFonts w:ascii="Times New Roman" w:hAnsi="Times New Roman" w:cs="Times New Roman"/>
          <w:bCs/>
          <w:noProof/>
          <w:sz w:val="24"/>
          <w:lang w:val="en-IE"/>
        </w:rPr>
        <w:t>the processing of personal data by Argentinian public authorities, including for law enforcement and national security purposes</w:t>
      </w:r>
      <w:r w:rsidR="00752B41" w:rsidRPr="00752B41">
        <w:rPr>
          <w:rFonts w:ascii="Times New Roman" w:hAnsi="Times New Roman" w:cs="Times New Roman"/>
          <w:bCs/>
          <w:noProof/>
          <w:sz w:val="24"/>
          <w:lang w:val="en-IE"/>
        </w:rPr>
        <w:t>. In addition, A</w:t>
      </w:r>
      <w:r w:rsidR="009D534C">
        <w:rPr>
          <w:rFonts w:ascii="Times New Roman" w:hAnsi="Times New Roman" w:cs="Times New Roman"/>
          <w:bCs/>
          <w:noProof/>
          <w:sz w:val="24"/>
          <w:lang w:val="en-IE"/>
        </w:rPr>
        <w:t>rgentinian</w:t>
      </w:r>
      <w:r w:rsidR="00752B41" w:rsidRPr="00752B41">
        <w:rPr>
          <w:rFonts w:ascii="Times New Roman" w:hAnsi="Times New Roman" w:cs="Times New Roman"/>
          <w:bCs/>
          <w:noProof/>
          <w:sz w:val="24"/>
          <w:lang w:val="en-IE"/>
        </w:rPr>
        <w:t xml:space="preserve"> law imposes a number of specific </w:t>
      </w:r>
      <w:r w:rsidR="00BC7933">
        <w:rPr>
          <w:rFonts w:ascii="Times New Roman" w:hAnsi="Times New Roman" w:cs="Times New Roman"/>
          <w:bCs/>
          <w:noProof/>
          <w:sz w:val="24"/>
          <w:lang w:val="en-IE"/>
        </w:rPr>
        <w:t xml:space="preserve">conditions and </w:t>
      </w:r>
      <w:r w:rsidR="00752B41" w:rsidRPr="00752B41">
        <w:rPr>
          <w:rFonts w:ascii="Times New Roman" w:hAnsi="Times New Roman" w:cs="Times New Roman"/>
          <w:bCs/>
          <w:noProof/>
          <w:sz w:val="24"/>
          <w:lang w:val="en-IE"/>
        </w:rPr>
        <w:t>limitations on the access to and use of personal data for criminal law enforcement</w:t>
      </w:r>
      <w:r w:rsidR="00F5036F">
        <w:rPr>
          <w:rFonts w:ascii="Times New Roman" w:hAnsi="Times New Roman" w:cs="Times New Roman"/>
          <w:bCs/>
          <w:noProof/>
          <w:sz w:val="24"/>
          <w:lang w:val="en-IE"/>
        </w:rPr>
        <w:t xml:space="preserve"> and national security</w:t>
      </w:r>
      <w:r w:rsidR="00752B41" w:rsidRPr="00752B41">
        <w:rPr>
          <w:rFonts w:ascii="Times New Roman" w:hAnsi="Times New Roman" w:cs="Times New Roman"/>
          <w:bCs/>
          <w:noProof/>
          <w:sz w:val="24"/>
          <w:lang w:val="en-IE"/>
        </w:rPr>
        <w:t xml:space="preserve"> purposes, and it provides oversight and redress mechanisms in this area.</w:t>
      </w:r>
    </w:p>
    <w:p w14:paraId="1D55DB09" w14:textId="77777777" w:rsidR="00752B41" w:rsidRDefault="00752B41" w:rsidP="00386EAC">
      <w:pPr>
        <w:jc w:val="both"/>
        <w:rPr>
          <w:rFonts w:ascii="Times New Roman" w:hAnsi="Times New Roman" w:cs="Times New Roman"/>
          <w:bCs/>
          <w:noProof/>
          <w:sz w:val="24"/>
          <w:lang w:val="en-IE"/>
        </w:rPr>
      </w:pPr>
      <w:r w:rsidRPr="00752B41">
        <w:rPr>
          <w:rFonts w:ascii="Times New Roman" w:hAnsi="Times New Roman" w:cs="Times New Roman"/>
          <w:bCs/>
          <w:noProof/>
          <w:sz w:val="24"/>
          <w:lang w:val="en-IE"/>
        </w:rPr>
        <w:t xml:space="preserve">Based on the overall findings set out in the SWD, the Commission concludes that </w:t>
      </w:r>
      <w:r>
        <w:rPr>
          <w:rFonts w:ascii="Times New Roman" w:hAnsi="Times New Roman" w:cs="Times New Roman"/>
          <w:bCs/>
          <w:noProof/>
          <w:sz w:val="24"/>
          <w:lang w:val="en-IE"/>
        </w:rPr>
        <w:t xml:space="preserve">Argentina </w:t>
      </w:r>
      <w:r w:rsidRPr="00752B41">
        <w:rPr>
          <w:rFonts w:ascii="Times New Roman" w:hAnsi="Times New Roman" w:cs="Times New Roman"/>
          <w:bCs/>
          <w:noProof/>
          <w:sz w:val="24"/>
          <w:lang w:val="en-IE"/>
        </w:rPr>
        <w:t>continues to provide an adequate level of protection for personal data transferred from the EU.</w:t>
      </w:r>
    </w:p>
    <w:p w14:paraId="780F4FE0" w14:textId="6FC4B08D" w:rsidR="006B4461" w:rsidRPr="003834E5" w:rsidRDefault="003834E5" w:rsidP="00386EAC">
      <w:pPr>
        <w:jc w:val="both"/>
        <w:rPr>
          <w:rFonts w:ascii="Times New Roman" w:hAnsi="Times New Roman" w:cs="Times New Roman"/>
          <w:bCs/>
          <w:noProof/>
          <w:sz w:val="24"/>
          <w:lang w:val="en-IE"/>
        </w:rPr>
      </w:pPr>
      <w:r w:rsidRPr="003834E5">
        <w:rPr>
          <w:rFonts w:ascii="Times New Roman" w:hAnsi="Times New Roman" w:cs="Times New Roman"/>
          <w:bCs/>
          <w:noProof/>
          <w:sz w:val="24"/>
          <w:lang w:val="en-IE"/>
        </w:rPr>
        <w:t xml:space="preserve">At the same time, the Commission recommends </w:t>
      </w:r>
      <w:r w:rsidR="00794AD7" w:rsidRPr="003834E5">
        <w:rPr>
          <w:rFonts w:ascii="Times New Roman" w:hAnsi="Times New Roman" w:cs="Times New Roman"/>
          <w:bCs/>
          <w:noProof/>
          <w:sz w:val="24"/>
          <w:lang w:val="en-IE"/>
        </w:rPr>
        <w:t>enshrining</w:t>
      </w:r>
      <w:r w:rsidRPr="003834E5">
        <w:rPr>
          <w:rFonts w:ascii="Times New Roman" w:hAnsi="Times New Roman" w:cs="Times New Roman"/>
          <w:bCs/>
          <w:noProof/>
          <w:sz w:val="24"/>
          <w:lang w:val="en-IE"/>
        </w:rPr>
        <w:t xml:space="preserve"> the protections that have been developed at sub-legislative level in legislation to enhance legal certainty and </w:t>
      </w:r>
      <w:r w:rsidR="00BC7933">
        <w:rPr>
          <w:rFonts w:ascii="Times New Roman" w:hAnsi="Times New Roman" w:cs="Times New Roman"/>
          <w:bCs/>
          <w:noProof/>
          <w:sz w:val="24"/>
          <w:lang w:val="en-IE"/>
        </w:rPr>
        <w:t>consolidate</w:t>
      </w:r>
      <w:r w:rsidRPr="003834E5">
        <w:rPr>
          <w:rFonts w:ascii="Times New Roman" w:hAnsi="Times New Roman" w:cs="Times New Roman"/>
          <w:bCs/>
          <w:noProof/>
          <w:sz w:val="24"/>
          <w:lang w:val="en-IE"/>
        </w:rPr>
        <w:t xml:space="preserve"> these requirements. The </w:t>
      </w:r>
      <w:r w:rsidR="00752B41">
        <w:rPr>
          <w:rFonts w:ascii="Times New Roman" w:hAnsi="Times New Roman" w:cs="Times New Roman"/>
          <w:bCs/>
          <w:noProof/>
          <w:sz w:val="24"/>
          <w:lang w:val="en-IE"/>
        </w:rPr>
        <w:t>draft Data Protection Bill</w:t>
      </w:r>
      <w:r w:rsidRPr="003834E5">
        <w:rPr>
          <w:rFonts w:ascii="Times New Roman" w:hAnsi="Times New Roman" w:cs="Times New Roman"/>
          <w:bCs/>
          <w:noProof/>
          <w:sz w:val="24"/>
          <w:lang w:val="en-IE"/>
        </w:rPr>
        <w:t xml:space="preserve"> </w:t>
      </w:r>
      <w:r w:rsidR="00752B41">
        <w:rPr>
          <w:rFonts w:ascii="Times New Roman" w:hAnsi="Times New Roman" w:cs="Times New Roman"/>
          <w:bCs/>
          <w:noProof/>
          <w:sz w:val="24"/>
          <w:lang w:val="en-IE"/>
        </w:rPr>
        <w:t xml:space="preserve">that was recently introduced in the Argentinian Congress </w:t>
      </w:r>
      <w:r w:rsidR="00FB37E8">
        <w:rPr>
          <w:rFonts w:ascii="Times New Roman" w:hAnsi="Times New Roman" w:cs="Times New Roman"/>
          <w:bCs/>
          <w:noProof/>
          <w:sz w:val="24"/>
          <w:lang w:val="en-IE"/>
        </w:rPr>
        <w:t xml:space="preserve">could </w:t>
      </w:r>
      <w:r w:rsidRPr="003834E5">
        <w:rPr>
          <w:rFonts w:ascii="Times New Roman" w:hAnsi="Times New Roman" w:cs="Times New Roman"/>
          <w:bCs/>
          <w:noProof/>
          <w:sz w:val="24"/>
          <w:lang w:val="en-IE"/>
        </w:rPr>
        <w:t xml:space="preserve">offer an opportunity to codify such developments, and thereby further strengthen the </w:t>
      </w:r>
      <w:r w:rsidR="0034284A">
        <w:rPr>
          <w:rFonts w:ascii="Times New Roman" w:hAnsi="Times New Roman" w:cs="Times New Roman"/>
          <w:bCs/>
          <w:noProof/>
          <w:sz w:val="24"/>
          <w:lang w:val="en-IE"/>
        </w:rPr>
        <w:t>Argentinian</w:t>
      </w:r>
      <w:r w:rsidRPr="003834E5">
        <w:rPr>
          <w:rFonts w:ascii="Times New Roman" w:hAnsi="Times New Roman" w:cs="Times New Roman"/>
          <w:bCs/>
          <w:noProof/>
          <w:sz w:val="24"/>
          <w:lang w:val="en-IE"/>
        </w:rPr>
        <w:t xml:space="preserve"> privacy framework.</w:t>
      </w:r>
      <w:r w:rsidR="00752B41">
        <w:rPr>
          <w:rFonts w:ascii="Times New Roman" w:hAnsi="Times New Roman" w:cs="Times New Roman"/>
          <w:bCs/>
          <w:noProof/>
          <w:sz w:val="24"/>
          <w:lang w:val="en-IE"/>
        </w:rPr>
        <w:t xml:space="preserve"> </w:t>
      </w:r>
      <w:bookmarkStart w:id="4" w:name="_Hlk146884917"/>
      <w:r w:rsidR="00752B41" w:rsidRPr="00752B41">
        <w:rPr>
          <w:rFonts w:ascii="Times New Roman" w:hAnsi="Times New Roman" w:cs="Times New Roman"/>
          <w:bCs/>
          <w:noProof/>
          <w:sz w:val="24"/>
          <w:lang w:val="en-IE"/>
        </w:rPr>
        <w:t>The Commission will closely monitor future developments in this area.</w:t>
      </w:r>
    </w:p>
    <w:bookmarkEnd w:id="4"/>
    <w:p w14:paraId="55463E81" w14:textId="77777777" w:rsidR="0059492F" w:rsidRDefault="00026B70" w:rsidP="00386EAC">
      <w:pPr>
        <w:pStyle w:val="ListParagraph"/>
        <w:numPr>
          <w:ilvl w:val="1"/>
          <w:numId w:val="3"/>
        </w:numPr>
        <w:ind w:left="1134" w:hanging="774"/>
        <w:contextualSpacing w:val="0"/>
        <w:rPr>
          <w:rFonts w:ascii="Times New Roman" w:hAnsi="Times New Roman" w:cs="Times New Roman"/>
          <w:b/>
          <w:i/>
          <w:noProof/>
          <w:sz w:val="24"/>
          <w:szCs w:val="24"/>
        </w:rPr>
      </w:pPr>
      <w:r>
        <w:rPr>
          <w:rFonts w:ascii="Times New Roman" w:hAnsi="Times New Roman" w:cs="Times New Roman"/>
          <w:b/>
          <w:i/>
          <w:noProof/>
          <w:sz w:val="24"/>
          <w:szCs w:val="24"/>
        </w:rPr>
        <w:t>Canada</w:t>
      </w:r>
    </w:p>
    <w:p w14:paraId="02D8CF88" w14:textId="6FFA57A3" w:rsidR="00CB3EC2" w:rsidRDefault="00F93FBE" w:rsidP="00386EAC">
      <w:pPr>
        <w:jc w:val="both"/>
        <w:rPr>
          <w:rFonts w:ascii="Times New Roman" w:hAnsi="Times New Roman" w:cs="Times New Roman"/>
          <w:bCs/>
          <w:noProof/>
          <w:sz w:val="24"/>
          <w:lang w:val="en-IE"/>
        </w:rPr>
      </w:pPr>
      <w:bookmarkStart w:id="5" w:name="_Hlk145415849"/>
      <w:r w:rsidRPr="00BC3E2C">
        <w:rPr>
          <w:rFonts w:ascii="Times New Roman" w:hAnsi="Times New Roman" w:cs="Times New Roman"/>
          <w:bCs/>
          <w:noProof/>
          <w:sz w:val="24"/>
          <w:lang w:val="en-IE"/>
        </w:rPr>
        <w:t xml:space="preserve">The Commission welcomes the developments in the Canadian legal framework since the adoption of the adequacy decision, including </w:t>
      </w:r>
      <w:r w:rsidR="00C474AB" w:rsidRPr="00BC3E2C">
        <w:rPr>
          <w:rFonts w:ascii="Times New Roman" w:hAnsi="Times New Roman" w:cs="Times New Roman"/>
          <w:bCs/>
          <w:noProof/>
          <w:sz w:val="24"/>
          <w:lang w:val="en-IE"/>
        </w:rPr>
        <w:t xml:space="preserve">several </w:t>
      </w:r>
      <w:r w:rsidRPr="00BC3E2C">
        <w:rPr>
          <w:rFonts w:ascii="Times New Roman" w:hAnsi="Times New Roman" w:cs="Times New Roman"/>
          <w:bCs/>
          <w:noProof/>
          <w:sz w:val="24"/>
          <w:lang w:val="en-IE"/>
        </w:rPr>
        <w:t xml:space="preserve">legislative amendments, case law and activities of oversight bodies, which have contributed to an increased level of data protection. </w:t>
      </w:r>
      <w:bookmarkEnd w:id="5"/>
      <w:r w:rsidR="00C474AB" w:rsidRPr="00BC3E2C">
        <w:rPr>
          <w:rFonts w:ascii="Times New Roman" w:hAnsi="Times New Roman" w:cs="Times New Roman"/>
          <w:bCs/>
          <w:noProof/>
          <w:sz w:val="24"/>
          <w:lang w:val="en-IE"/>
        </w:rPr>
        <w:t xml:space="preserve">In particular, the Personal Information Protection and Electronic Documents Act (PIPEDA) has been further strengthened through </w:t>
      </w:r>
      <w:r w:rsidR="00BC3E2C" w:rsidRPr="00BC3E2C">
        <w:rPr>
          <w:rFonts w:ascii="Times New Roman" w:hAnsi="Times New Roman" w:cs="Times New Roman"/>
          <w:bCs/>
          <w:noProof/>
          <w:sz w:val="24"/>
          <w:lang w:val="en-IE"/>
        </w:rPr>
        <w:t>different amendments (</w:t>
      </w:r>
      <w:r w:rsidR="00794AD7" w:rsidRPr="00BC3E2C">
        <w:rPr>
          <w:rFonts w:ascii="Times New Roman" w:hAnsi="Times New Roman" w:cs="Times New Roman"/>
          <w:bCs/>
          <w:noProof/>
          <w:sz w:val="24"/>
          <w:lang w:val="en-IE"/>
        </w:rPr>
        <w:t>e.g.,</w:t>
      </w:r>
      <w:r w:rsidR="00BC3E2C" w:rsidRPr="00BC3E2C">
        <w:rPr>
          <w:rFonts w:ascii="Times New Roman" w:hAnsi="Times New Roman" w:cs="Times New Roman"/>
          <w:bCs/>
          <w:noProof/>
          <w:sz w:val="24"/>
          <w:lang w:val="en-IE"/>
        </w:rPr>
        <w:t xml:space="preserve"> on the conditions for valid consent and data breach notifications)</w:t>
      </w:r>
      <w:r w:rsidR="00FB37E8">
        <w:rPr>
          <w:rFonts w:ascii="Times New Roman" w:hAnsi="Times New Roman" w:cs="Times New Roman"/>
          <w:bCs/>
          <w:noProof/>
          <w:sz w:val="24"/>
          <w:lang w:val="en-IE"/>
        </w:rPr>
        <w:t xml:space="preserve">, while </w:t>
      </w:r>
      <w:r w:rsidR="00BC3E2C" w:rsidRPr="00BC3E2C">
        <w:rPr>
          <w:rFonts w:ascii="Times New Roman" w:hAnsi="Times New Roman" w:cs="Times New Roman"/>
          <w:bCs/>
          <w:noProof/>
          <w:sz w:val="24"/>
          <w:lang w:val="en-IE"/>
        </w:rPr>
        <w:t>key data protection requirements (</w:t>
      </w:r>
      <w:r w:rsidR="00794AD7" w:rsidRPr="00BC3E2C">
        <w:rPr>
          <w:rFonts w:ascii="Times New Roman" w:hAnsi="Times New Roman" w:cs="Times New Roman"/>
          <w:bCs/>
          <w:noProof/>
          <w:sz w:val="24"/>
          <w:lang w:val="en-IE"/>
        </w:rPr>
        <w:t>e.g.,</w:t>
      </w:r>
      <w:r w:rsidR="00BC3E2C" w:rsidRPr="00BC3E2C">
        <w:rPr>
          <w:rFonts w:ascii="Times New Roman" w:hAnsi="Times New Roman" w:cs="Times New Roman"/>
          <w:bCs/>
          <w:noProof/>
          <w:sz w:val="24"/>
          <w:lang w:val="en-IE"/>
        </w:rPr>
        <w:t xml:space="preserve"> on the processing of sensitive data) have been further clarified through case law </w:t>
      </w:r>
      <w:r w:rsidR="00FB37E8">
        <w:rPr>
          <w:rFonts w:ascii="Times New Roman" w:hAnsi="Times New Roman" w:cs="Times New Roman"/>
          <w:bCs/>
          <w:noProof/>
          <w:sz w:val="24"/>
          <w:lang w:val="en-IE"/>
        </w:rPr>
        <w:t>as well as</w:t>
      </w:r>
      <w:r w:rsidR="00BC3E2C" w:rsidRPr="00BC3E2C">
        <w:rPr>
          <w:rFonts w:ascii="Times New Roman" w:hAnsi="Times New Roman" w:cs="Times New Roman"/>
          <w:bCs/>
          <w:noProof/>
          <w:sz w:val="24"/>
          <w:lang w:val="en-IE"/>
        </w:rPr>
        <w:t xml:space="preserve"> guidance issued by t</w:t>
      </w:r>
      <w:r w:rsidR="00C474AB" w:rsidRPr="00BC3E2C">
        <w:rPr>
          <w:rFonts w:ascii="Times New Roman" w:hAnsi="Times New Roman" w:cs="Times New Roman"/>
          <w:bCs/>
          <w:noProof/>
          <w:sz w:val="24"/>
          <w:lang w:val="en-IE"/>
        </w:rPr>
        <w:t>he Canadian federal data protection authority, the Office of the Privacy Commissioner</w:t>
      </w:r>
      <w:r w:rsidR="00BC3E2C" w:rsidRPr="00BC3E2C">
        <w:rPr>
          <w:rFonts w:ascii="Times New Roman" w:hAnsi="Times New Roman" w:cs="Times New Roman"/>
          <w:bCs/>
          <w:noProof/>
          <w:sz w:val="24"/>
          <w:lang w:val="en-IE"/>
        </w:rPr>
        <w:t xml:space="preserve">. </w:t>
      </w:r>
      <w:r w:rsidR="00CB3EC2" w:rsidRPr="00BC3E2C">
        <w:rPr>
          <w:rFonts w:ascii="Times New Roman" w:hAnsi="Times New Roman" w:cs="Times New Roman"/>
          <w:bCs/>
          <w:noProof/>
          <w:sz w:val="24"/>
          <w:lang w:val="en-IE"/>
        </w:rPr>
        <w:t xml:space="preserve">At the same time, the Commission recommends </w:t>
      </w:r>
      <w:r w:rsidR="00794AD7" w:rsidRPr="00BC3E2C">
        <w:rPr>
          <w:rFonts w:ascii="Times New Roman" w:hAnsi="Times New Roman" w:cs="Times New Roman"/>
          <w:bCs/>
          <w:noProof/>
          <w:sz w:val="24"/>
          <w:lang w:val="en-IE"/>
        </w:rPr>
        <w:t>enshrining</w:t>
      </w:r>
      <w:r w:rsidR="00CB3EC2" w:rsidRPr="00BC3E2C">
        <w:rPr>
          <w:rFonts w:ascii="Times New Roman" w:hAnsi="Times New Roman" w:cs="Times New Roman"/>
          <w:bCs/>
          <w:noProof/>
          <w:sz w:val="24"/>
          <w:lang w:val="en-IE"/>
        </w:rPr>
        <w:t xml:space="preserve"> </w:t>
      </w:r>
      <w:r w:rsidR="00BC3E2C" w:rsidRPr="00BC3E2C">
        <w:rPr>
          <w:rFonts w:ascii="Times New Roman" w:hAnsi="Times New Roman" w:cs="Times New Roman"/>
          <w:bCs/>
          <w:noProof/>
          <w:sz w:val="24"/>
          <w:lang w:val="en-IE"/>
        </w:rPr>
        <w:t xml:space="preserve">some of </w:t>
      </w:r>
      <w:r w:rsidR="00CB3EC2" w:rsidRPr="00BC3E2C">
        <w:rPr>
          <w:rFonts w:ascii="Times New Roman" w:hAnsi="Times New Roman" w:cs="Times New Roman"/>
          <w:bCs/>
          <w:noProof/>
          <w:sz w:val="24"/>
          <w:lang w:val="en-IE"/>
        </w:rPr>
        <w:t xml:space="preserve">the protections that have been developed at sub-legislative level in legislation to enhance legal certainty and </w:t>
      </w:r>
      <w:r w:rsidR="00FB37E8">
        <w:rPr>
          <w:rFonts w:ascii="Times New Roman" w:hAnsi="Times New Roman" w:cs="Times New Roman"/>
          <w:bCs/>
          <w:noProof/>
          <w:sz w:val="24"/>
          <w:lang w:val="en-IE"/>
        </w:rPr>
        <w:t>consolidate</w:t>
      </w:r>
      <w:r w:rsidR="00CB3EC2" w:rsidRPr="00BC3E2C">
        <w:rPr>
          <w:rFonts w:ascii="Times New Roman" w:hAnsi="Times New Roman" w:cs="Times New Roman"/>
          <w:bCs/>
          <w:noProof/>
          <w:sz w:val="24"/>
          <w:lang w:val="en-IE"/>
        </w:rPr>
        <w:t xml:space="preserve"> these requirements. The </w:t>
      </w:r>
      <w:r w:rsidR="00C474AB" w:rsidRPr="00BC3E2C">
        <w:rPr>
          <w:rFonts w:ascii="Times New Roman" w:hAnsi="Times New Roman" w:cs="Times New Roman"/>
          <w:bCs/>
          <w:noProof/>
          <w:sz w:val="24"/>
          <w:lang w:val="en-IE"/>
        </w:rPr>
        <w:t>ongoing</w:t>
      </w:r>
      <w:r w:rsidR="00CB3EC2" w:rsidRPr="00BC3E2C">
        <w:rPr>
          <w:rFonts w:ascii="Times New Roman" w:hAnsi="Times New Roman" w:cs="Times New Roman"/>
          <w:bCs/>
          <w:noProof/>
          <w:sz w:val="24"/>
          <w:lang w:val="en-IE"/>
        </w:rPr>
        <w:t xml:space="preserve"> </w:t>
      </w:r>
      <w:r w:rsidR="00C474AB" w:rsidRPr="00BC3E2C">
        <w:rPr>
          <w:rFonts w:ascii="Times New Roman" w:hAnsi="Times New Roman" w:cs="Times New Roman"/>
          <w:bCs/>
          <w:noProof/>
          <w:sz w:val="24"/>
          <w:lang w:val="en-IE"/>
        </w:rPr>
        <w:t>legislative reform of PIPEDA</w:t>
      </w:r>
      <w:r w:rsidR="00CB3EC2" w:rsidRPr="00BC3E2C">
        <w:rPr>
          <w:rFonts w:ascii="Times New Roman" w:hAnsi="Times New Roman" w:cs="Times New Roman"/>
          <w:bCs/>
          <w:noProof/>
          <w:sz w:val="24"/>
          <w:lang w:val="en-IE"/>
        </w:rPr>
        <w:t xml:space="preserve"> </w:t>
      </w:r>
      <w:r w:rsidR="00FB37E8">
        <w:rPr>
          <w:rFonts w:ascii="Times New Roman" w:hAnsi="Times New Roman" w:cs="Times New Roman"/>
          <w:bCs/>
          <w:noProof/>
          <w:sz w:val="24"/>
          <w:lang w:val="en-IE"/>
        </w:rPr>
        <w:t xml:space="preserve">could notably </w:t>
      </w:r>
      <w:r w:rsidR="00CB3EC2" w:rsidRPr="00BC3E2C">
        <w:rPr>
          <w:rFonts w:ascii="Times New Roman" w:hAnsi="Times New Roman" w:cs="Times New Roman"/>
          <w:bCs/>
          <w:noProof/>
          <w:sz w:val="24"/>
          <w:lang w:val="en-IE"/>
        </w:rPr>
        <w:t>offer an opportunity to codify such developments, and thereby further strengthen the Canadian privacy framework. The Commission will closely monitor future developments in this area.</w:t>
      </w:r>
    </w:p>
    <w:p w14:paraId="529E57C4" w14:textId="4D325377" w:rsidR="00CB3EC2" w:rsidRDefault="00802EF9" w:rsidP="00386EAC">
      <w:pPr>
        <w:jc w:val="both"/>
        <w:rPr>
          <w:rFonts w:ascii="Times New Roman" w:hAnsi="Times New Roman" w:cs="Times New Roman"/>
          <w:bCs/>
          <w:noProof/>
          <w:sz w:val="24"/>
          <w:lang w:val="en-IE"/>
        </w:rPr>
      </w:pPr>
      <w:r>
        <w:rPr>
          <w:rFonts w:ascii="Times New Roman" w:hAnsi="Times New Roman" w:cs="Times New Roman"/>
          <w:bCs/>
          <w:noProof/>
          <w:sz w:val="24"/>
        </w:rPr>
        <w:t xml:space="preserve">In the area of government access to personal data, </w:t>
      </w:r>
      <w:r w:rsidRPr="00441ED2">
        <w:rPr>
          <w:rFonts w:ascii="Times New Roman" w:hAnsi="Times New Roman" w:cs="Times New Roman"/>
          <w:bCs/>
          <w:noProof/>
          <w:sz w:val="24"/>
        </w:rPr>
        <w:t xml:space="preserve">public authorities </w:t>
      </w:r>
      <w:r>
        <w:rPr>
          <w:rFonts w:ascii="Times New Roman" w:hAnsi="Times New Roman" w:cs="Times New Roman"/>
          <w:bCs/>
          <w:noProof/>
          <w:sz w:val="24"/>
        </w:rPr>
        <w:t xml:space="preserve">in Canada </w:t>
      </w:r>
      <w:r w:rsidRPr="00441ED2">
        <w:rPr>
          <w:rFonts w:ascii="Times New Roman" w:hAnsi="Times New Roman" w:cs="Times New Roman"/>
          <w:bCs/>
          <w:noProof/>
          <w:sz w:val="24"/>
        </w:rPr>
        <w:t xml:space="preserve">are subject to clear, precise and accessible rules </w:t>
      </w:r>
      <w:r>
        <w:rPr>
          <w:rFonts w:ascii="Times New Roman" w:hAnsi="Times New Roman" w:cs="Times New Roman"/>
          <w:bCs/>
          <w:noProof/>
          <w:sz w:val="24"/>
        </w:rPr>
        <w:t xml:space="preserve">under which such authorities can access and subsequently use for public interest objectives, in particular for criminal law enforcement and national security purposes, data transferred from the </w:t>
      </w:r>
      <w:r w:rsidR="007F26DB">
        <w:rPr>
          <w:rFonts w:ascii="Times New Roman" w:hAnsi="Times New Roman" w:cs="Times New Roman"/>
          <w:bCs/>
          <w:noProof/>
          <w:sz w:val="24"/>
        </w:rPr>
        <w:t>EU</w:t>
      </w:r>
      <w:r w:rsidRPr="00441ED2">
        <w:rPr>
          <w:rFonts w:ascii="Times New Roman" w:hAnsi="Times New Roman" w:cs="Times New Roman"/>
          <w:bCs/>
          <w:noProof/>
          <w:sz w:val="24"/>
        </w:rPr>
        <w:t xml:space="preserve">. </w:t>
      </w:r>
      <w:r w:rsidR="00BC3E2C">
        <w:rPr>
          <w:rFonts w:ascii="Times New Roman" w:hAnsi="Times New Roman" w:cs="Times New Roman"/>
          <w:bCs/>
          <w:noProof/>
          <w:sz w:val="24"/>
          <w:lang w:val="en-IE"/>
        </w:rPr>
        <w:t xml:space="preserve">These limitations and safeguards follow from the overarching </w:t>
      </w:r>
      <w:r w:rsidR="00003830">
        <w:rPr>
          <w:rFonts w:ascii="Times New Roman" w:hAnsi="Times New Roman" w:cs="Times New Roman"/>
          <w:bCs/>
          <w:noProof/>
          <w:sz w:val="24"/>
          <w:lang w:val="en-IE"/>
        </w:rPr>
        <w:t>c</w:t>
      </w:r>
      <w:r w:rsidR="00BC3E2C">
        <w:rPr>
          <w:rFonts w:ascii="Times New Roman" w:hAnsi="Times New Roman" w:cs="Times New Roman"/>
          <w:bCs/>
          <w:noProof/>
          <w:sz w:val="24"/>
          <w:lang w:val="en-IE"/>
        </w:rPr>
        <w:t xml:space="preserve">onstitutional </w:t>
      </w:r>
      <w:r w:rsidR="00BC3E2C" w:rsidRPr="00003830">
        <w:rPr>
          <w:rFonts w:ascii="Times New Roman" w:hAnsi="Times New Roman" w:cs="Times New Roman"/>
          <w:bCs/>
          <w:noProof/>
          <w:sz w:val="24"/>
          <w:lang w:val="en-IE"/>
        </w:rPr>
        <w:t>framework</w:t>
      </w:r>
      <w:r w:rsidR="00003830" w:rsidRPr="00003830">
        <w:rPr>
          <w:rFonts w:ascii="Times New Roman" w:hAnsi="Times New Roman" w:cs="Times New Roman"/>
          <w:bCs/>
          <w:noProof/>
          <w:sz w:val="24"/>
          <w:lang w:val="en-IE"/>
        </w:rPr>
        <w:t xml:space="preserve"> (the </w:t>
      </w:r>
      <w:r w:rsidR="00003830" w:rsidRPr="00003830">
        <w:rPr>
          <w:rFonts w:ascii="Times New Roman" w:hAnsi="Times New Roman" w:cs="Times New Roman"/>
          <w:noProof/>
          <w:sz w:val="24"/>
          <w:szCs w:val="24"/>
        </w:rPr>
        <w:t>Canadian Charter of Rights and Freedoms)</w:t>
      </w:r>
      <w:r w:rsidR="00BC3E2C" w:rsidRPr="00003830">
        <w:rPr>
          <w:rFonts w:ascii="Times New Roman" w:hAnsi="Times New Roman" w:cs="Times New Roman"/>
          <w:bCs/>
          <w:noProof/>
          <w:sz w:val="24"/>
          <w:lang w:val="en-IE"/>
        </w:rPr>
        <w:t>, case law, specific legislation regulating access to data, as well as data protection rules</w:t>
      </w:r>
      <w:r w:rsidR="00003830">
        <w:rPr>
          <w:rFonts w:ascii="Times New Roman" w:hAnsi="Times New Roman" w:cs="Times New Roman"/>
          <w:bCs/>
          <w:noProof/>
          <w:sz w:val="24"/>
          <w:lang w:val="en-IE"/>
        </w:rPr>
        <w:t xml:space="preserve"> (</w:t>
      </w:r>
      <w:r w:rsidR="00794AD7">
        <w:rPr>
          <w:rFonts w:ascii="Times New Roman" w:hAnsi="Times New Roman" w:cs="Times New Roman"/>
          <w:bCs/>
          <w:noProof/>
          <w:sz w:val="24"/>
          <w:lang w:val="en-IE"/>
        </w:rPr>
        <w:t>i.e.,</w:t>
      </w:r>
      <w:r w:rsidR="00003830">
        <w:rPr>
          <w:rFonts w:ascii="Times New Roman" w:hAnsi="Times New Roman" w:cs="Times New Roman"/>
          <w:bCs/>
          <w:noProof/>
          <w:sz w:val="24"/>
          <w:lang w:val="en-IE"/>
        </w:rPr>
        <w:t xml:space="preserve"> the Privacy Act and similar laws at provincial level)</w:t>
      </w:r>
      <w:r w:rsidR="00BC3E2C" w:rsidRPr="00003830">
        <w:rPr>
          <w:rFonts w:ascii="Times New Roman" w:hAnsi="Times New Roman" w:cs="Times New Roman"/>
          <w:bCs/>
          <w:noProof/>
          <w:sz w:val="24"/>
          <w:lang w:val="en-IE"/>
        </w:rPr>
        <w:t xml:space="preserve"> that </w:t>
      </w:r>
      <w:r w:rsidR="00FB37E8">
        <w:rPr>
          <w:rFonts w:ascii="Times New Roman" w:hAnsi="Times New Roman" w:cs="Times New Roman"/>
          <w:bCs/>
          <w:noProof/>
          <w:sz w:val="24"/>
          <w:lang w:val="en-IE"/>
        </w:rPr>
        <w:t>also</w:t>
      </w:r>
      <w:r w:rsidR="00BC3E2C" w:rsidRPr="00003830">
        <w:rPr>
          <w:rFonts w:ascii="Times New Roman" w:hAnsi="Times New Roman" w:cs="Times New Roman"/>
          <w:bCs/>
          <w:noProof/>
          <w:sz w:val="24"/>
          <w:lang w:val="en-IE"/>
        </w:rPr>
        <w:t xml:space="preserve"> apply to the processing of person</w:t>
      </w:r>
      <w:r w:rsidR="00BC3E2C">
        <w:rPr>
          <w:rFonts w:ascii="Times New Roman" w:hAnsi="Times New Roman" w:cs="Times New Roman"/>
          <w:bCs/>
          <w:noProof/>
          <w:sz w:val="24"/>
          <w:lang w:val="en-IE"/>
        </w:rPr>
        <w:t xml:space="preserve">al data by Canadian public authorities, including </w:t>
      </w:r>
      <w:r w:rsidR="00BC3E2C" w:rsidRPr="009D534C">
        <w:rPr>
          <w:rFonts w:ascii="Times New Roman" w:hAnsi="Times New Roman" w:cs="Times New Roman"/>
          <w:bCs/>
          <w:noProof/>
          <w:sz w:val="24"/>
          <w:lang w:val="en-IE"/>
        </w:rPr>
        <w:t>for law enforcement and national security purposes</w:t>
      </w:r>
      <w:r w:rsidR="00BC3E2C" w:rsidRPr="00752B41">
        <w:rPr>
          <w:rFonts w:ascii="Times New Roman" w:hAnsi="Times New Roman" w:cs="Times New Roman"/>
          <w:bCs/>
          <w:noProof/>
          <w:sz w:val="24"/>
          <w:lang w:val="en-IE"/>
        </w:rPr>
        <w:t>.</w:t>
      </w:r>
      <w:r w:rsidR="00BC3E2C">
        <w:rPr>
          <w:rFonts w:ascii="Times New Roman" w:hAnsi="Times New Roman" w:cs="Times New Roman"/>
          <w:bCs/>
          <w:noProof/>
          <w:sz w:val="24"/>
          <w:lang w:val="en-IE"/>
        </w:rPr>
        <w:t xml:space="preserve"> In addition, the Canadian legal system provides effective oversight and redress mechanisms in this area</w:t>
      </w:r>
      <w:r w:rsidR="009C71A6">
        <w:rPr>
          <w:rFonts w:ascii="Times New Roman" w:hAnsi="Times New Roman" w:cs="Times New Roman"/>
          <w:bCs/>
          <w:noProof/>
          <w:sz w:val="24"/>
          <w:lang w:val="en-IE"/>
        </w:rPr>
        <w:t>, including through a recent extension of data subject rights and redress possibilities for non-Canadian nationals or residents</w:t>
      </w:r>
      <w:r w:rsidR="00BC3E2C">
        <w:rPr>
          <w:rFonts w:ascii="Times New Roman" w:hAnsi="Times New Roman" w:cs="Times New Roman"/>
          <w:bCs/>
          <w:noProof/>
          <w:sz w:val="24"/>
          <w:lang w:val="en-IE"/>
        </w:rPr>
        <w:t>.</w:t>
      </w:r>
    </w:p>
    <w:p w14:paraId="1F99DF5C" w14:textId="77777777" w:rsidR="00CB3EC2" w:rsidRPr="00F93FBE" w:rsidRDefault="00CB3EC2" w:rsidP="00386EAC">
      <w:pPr>
        <w:jc w:val="both"/>
        <w:rPr>
          <w:rFonts w:ascii="Times New Roman" w:hAnsi="Times New Roman" w:cs="Times New Roman"/>
          <w:bCs/>
          <w:noProof/>
          <w:sz w:val="24"/>
          <w:lang w:val="en-IE"/>
        </w:rPr>
      </w:pPr>
      <w:r w:rsidRPr="00752B41">
        <w:rPr>
          <w:rFonts w:ascii="Times New Roman" w:hAnsi="Times New Roman" w:cs="Times New Roman"/>
          <w:bCs/>
          <w:noProof/>
          <w:sz w:val="24"/>
          <w:lang w:val="en-IE"/>
        </w:rPr>
        <w:t xml:space="preserve">Based on the overall findings set out in the SWD, the Commission concludes that </w:t>
      </w:r>
      <w:r>
        <w:rPr>
          <w:rFonts w:ascii="Times New Roman" w:hAnsi="Times New Roman" w:cs="Times New Roman"/>
          <w:bCs/>
          <w:noProof/>
          <w:sz w:val="24"/>
          <w:lang w:val="en-IE"/>
        </w:rPr>
        <w:t xml:space="preserve">Canada </w:t>
      </w:r>
      <w:r w:rsidRPr="00752B41">
        <w:rPr>
          <w:rFonts w:ascii="Times New Roman" w:hAnsi="Times New Roman" w:cs="Times New Roman"/>
          <w:bCs/>
          <w:noProof/>
          <w:sz w:val="24"/>
          <w:lang w:val="en-IE"/>
        </w:rPr>
        <w:t>continues to provide an adequate level of protection for personal data transferred from the EU</w:t>
      </w:r>
      <w:r w:rsidR="00BC3E2C" w:rsidRPr="00BC3E2C">
        <w:rPr>
          <w:rFonts w:ascii="Times New Roman" w:hAnsi="Times New Roman" w:cs="Times New Roman"/>
          <w:bCs/>
          <w:noProof/>
          <w:sz w:val="24"/>
          <w:lang w:val="en-IE"/>
        </w:rPr>
        <w:t xml:space="preserve"> to recipients subject to PIPEDA</w:t>
      </w:r>
      <w:r w:rsidRPr="00752B41">
        <w:rPr>
          <w:rFonts w:ascii="Times New Roman" w:hAnsi="Times New Roman" w:cs="Times New Roman"/>
          <w:bCs/>
          <w:noProof/>
          <w:sz w:val="24"/>
          <w:lang w:val="en-IE"/>
        </w:rPr>
        <w:t>.</w:t>
      </w:r>
      <w:r w:rsidR="00FB37E8">
        <w:rPr>
          <w:rFonts w:ascii="Times New Roman" w:hAnsi="Times New Roman" w:cs="Times New Roman"/>
          <w:bCs/>
          <w:noProof/>
          <w:sz w:val="24"/>
          <w:lang w:val="en-IE"/>
        </w:rPr>
        <w:t xml:space="preserve"> As noted above, PIPEDA is currently subject to a legislative reform which could further strengthen privacy protections, including in areas that are relevant for the adequacy finding. </w:t>
      </w:r>
    </w:p>
    <w:p w14:paraId="6D1A9F24" w14:textId="77777777" w:rsidR="002A532D" w:rsidRDefault="00026B70" w:rsidP="00386EAC">
      <w:pPr>
        <w:pStyle w:val="ListParagraph"/>
        <w:numPr>
          <w:ilvl w:val="1"/>
          <w:numId w:val="3"/>
        </w:numPr>
        <w:ind w:left="1134" w:hanging="850"/>
        <w:contextualSpacing w:val="0"/>
        <w:rPr>
          <w:rFonts w:ascii="Times New Roman" w:hAnsi="Times New Roman" w:cs="Times New Roman"/>
          <w:b/>
          <w:i/>
          <w:noProof/>
          <w:sz w:val="24"/>
          <w:szCs w:val="24"/>
        </w:rPr>
      </w:pPr>
      <w:r>
        <w:rPr>
          <w:rFonts w:ascii="Times New Roman" w:hAnsi="Times New Roman" w:cs="Times New Roman"/>
          <w:b/>
          <w:i/>
          <w:noProof/>
          <w:sz w:val="24"/>
          <w:szCs w:val="24"/>
        </w:rPr>
        <w:t>Faroe Islands</w:t>
      </w:r>
    </w:p>
    <w:p w14:paraId="3158164D" w14:textId="77777777" w:rsidR="001552F0" w:rsidRPr="00003830" w:rsidRDefault="001552F0" w:rsidP="00386EAC">
      <w:pPr>
        <w:jc w:val="both"/>
        <w:rPr>
          <w:rFonts w:ascii="Times New Roman" w:hAnsi="Times New Roman" w:cs="Times New Roman"/>
          <w:bCs/>
          <w:noProof/>
          <w:sz w:val="24"/>
          <w:lang w:val="en-IE"/>
        </w:rPr>
      </w:pPr>
      <w:r w:rsidRPr="00003830">
        <w:rPr>
          <w:rFonts w:ascii="Times New Roman" w:hAnsi="Times New Roman" w:cs="Times New Roman"/>
          <w:bCs/>
          <w:noProof/>
          <w:sz w:val="24"/>
          <w:lang w:val="en-IE"/>
        </w:rPr>
        <w:t>The Commission welcomes the developments in the legal framework of the Faroe Islands since the adoption of the adequacy decision, including legislative amendments, case law and activities of oversight bodies, which have contributed to an increased level of data protection.</w:t>
      </w:r>
      <w:r w:rsidR="00003830" w:rsidRPr="00003830">
        <w:rPr>
          <w:rFonts w:ascii="Times New Roman" w:hAnsi="Times New Roman" w:cs="Times New Roman"/>
          <w:bCs/>
          <w:noProof/>
          <w:sz w:val="24"/>
          <w:lang w:val="en-IE"/>
        </w:rPr>
        <w:t xml:space="preserve"> In particular, the Faroe Islands have significantly modernised their data protection framework by adopting the Data Protection Act, which entered into force in 2021 and closely aligned the Faroese regime with the GDPR.</w:t>
      </w:r>
    </w:p>
    <w:p w14:paraId="1B5C42F2" w14:textId="1EB8DEB0" w:rsidR="00003830" w:rsidRPr="00003830" w:rsidRDefault="00802EF9" w:rsidP="00386EAC">
      <w:pPr>
        <w:jc w:val="both"/>
        <w:rPr>
          <w:rFonts w:ascii="Times New Roman" w:eastAsia="Calibri" w:hAnsi="Times New Roman" w:cs="Times New Roman"/>
          <w:noProof/>
          <w:sz w:val="24"/>
          <w:szCs w:val="24"/>
        </w:rPr>
      </w:pPr>
      <w:r>
        <w:rPr>
          <w:rFonts w:ascii="Times New Roman" w:hAnsi="Times New Roman" w:cs="Times New Roman"/>
          <w:bCs/>
          <w:noProof/>
          <w:sz w:val="24"/>
        </w:rPr>
        <w:t xml:space="preserve">In the area of government access to personal data, </w:t>
      </w:r>
      <w:r w:rsidRPr="00441ED2">
        <w:rPr>
          <w:rFonts w:ascii="Times New Roman" w:hAnsi="Times New Roman" w:cs="Times New Roman"/>
          <w:bCs/>
          <w:noProof/>
          <w:sz w:val="24"/>
        </w:rPr>
        <w:t xml:space="preserve">public authorities </w:t>
      </w:r>
      <w:r>
        <w:rPr>
          <w:rFonts w:ascii="Times New Roman" w:hAnsi="Times New Roman" w:cs="Times New Roman"/>
          <w:bCs/>
          <w:noProof/>
          <w:sz w:val="24"/>
        </w:rPr>
        <w:t xml:space="preserve">in the Faroe Islands </w:t>
      </w:r>
      <w:r w:rsidRPr="00441ED2">
        <w:rPr>
          <w:rFonts w:ascii="Times New Roman" w:hAnsi="Times New Roman" w:cs="Times New Roman"/>
          <w:bCs/>
          <w:noProof/>
          <w:sz w:val="24"/>
        </w:rPr>
        <w:t xml:space="preserve">are subject to clear, precise and accessible rules </w:t>
      </w:r>
      <w:r>
        <w:rPr>
          <w:rFonts w:ascii="Times New Roman" w:hAnsi="Times New Roman" w:cs="Times New Roman"/>
          <w:bCs/>
          <w:noProof/>
          <w:sz w:val="24"/>
        </w:rPr>
        <w:t xml:space="preserve">under which such authorities can access and subsequently use for public interest objectives, in particular for criminal law enforcement and national security purposes, data transferred from the </w:t>
      </w:r>
      <w:r w:rsidR="007F26DB">
        <w:rPr>
          <w:rFonts w:ascii="Times New Roman" w:hAnsi="Times New Roman" w:cs="Times New Roman"/>
          <w:bCs/>
          <w:noProof/>
          <w:sz w:val="24"/>
        </w:rPr>
        <w:t>EU</w:t>
      </w:r>
      <w:r w:rsidRPr="00441ED2">
        <w:rPr>
          <w:rFonts w:ascii="Times New Roman" w:hAnsi="Times New Roman" w:cs="Times New Roman"/>
          <w:bCs/>
          <w:noProof/>
          <w:sz w:val="24"/>
        </w:rPr>
        <w:t xml:space="preserve">. </w:t>
      </w:r>
      <w:r w:rsidR="00003830" w:rsidRPr="009D534C">
        <w:rPr>
          <w:rFonts w:ascii="Times New Roman" w:hAnsi="Times New Roman" w:cs="Times New Roman"/>
          <w:bCs/>
          <w:noProof/>
          <w:sz w:val="24"/>
          <w:lang w:val="en-IE"/>
        </w:rPr>
        <w:t xml:space="preserve">These limitations and safeguards follow from the overarching legal framework and international commitments, notably </w:t>
      </w:r>
      <w:r w:rsidR="00003830">
        <w:rPr>
          <w:rFonts w:ascii="Times New Roman" w:hAnsi="Times New Roman" w:cs="Times New Roman"/>
          <w:bCs/>
          <w:noProof/>
          <w:sz w:val="24"/>
          <w:lang w:val="en-IE"/>
        </w:rPr>
        <w:t xml:space="preserve">the constitutional framework and </w:t>
      </w:r>
      <w:r w:rsidR="00003830" w:rsidRPr="009D534C">
        <w:rPr>
          <w:rFonts w:ascii="Times New Roman" w:hAnsi="Times New Roman" w:cs="Times New Roman"/>
          <w:bCs/>
          <w:noProof/>
          <w:sz w:val="24"/>
          <w:lang w:val="en-IE"/>
        </w:rPr>
        <w:t>the E</w:t>
      </w:r>
      <w:r w:rsidR="009F17CB">
        <w:rPr>
          <w:rFonts w:ascii="Times New Roman" w:hAnsi="Times New Roman" w:cs="Times New Roman"/>
          <w:bCs/>
          <w:noProof/>
          <w:sz w:val="24"/>
          <w:lang w:val="en-IE"/>
        </w:rPr>
        <w:t xml:space="preserve">CHR </w:t>
      </w:r>
      <w:r w:rsidR="00003830" w:rsidRPr="009D534C">
        <w:rPr>
          <w:rFonts w:ascii="Times New Roman" w:hAnsi="Times New Roman" w:cs="Times New Roman"/>
          <w:bCs/>
          <w:noProof/>
          <w:sz w:val="24"/>
          <w:lang w:val="en-IE"/>
        </w:rPr>
        <w:t xml:space="preserve">, as well as from </w:t>
      </w:r>
      <w:r w:rsidR="00003830">
        <w:rPr>
          <w:rFonts w:ascii="Times New Roman" w:hAnsi="Times New Roman" w:cs="Times New Roman"/>
          <w:bCs/>
          <w:noProof/>
          <w:sz w:val="24"/>
          <w:lang w:val="en-IE"/>
        </w:rPr>
        <w:t xml:space="preserve">specific laws regulating government access to data and data protection rules that apply to the processing of personal data </w:t>
      </w:r>
      <w:r w:rsidR="00FB37E8">
        <w:rPr>
          <w:rFonts w:ascii="Times New Roman" w:hAnsi="Times New Roman" w:cs="Times New Roman"/>
          <w:bCs/>
          <w:noProof/>
          <w:sz w:val="24"/>
          <w:lang w:val="en-IE"/>
        </w:rPr>
        <w:t>for</w:t>
      </w:r>
      <w:r w:rsidR="00003830">
        <w:rPr>
          <w:rFonts w:ascii="Times New Roman" w:hAnsi="Times New Roman" w:cs="Times New Roman"/>
          <w:bCs/>
          <w:noProof/>
          <w:sz w:val="24"/>
          <w:lang w:val="en-IE"/>
        </w:rPr>
        <w:t xml:space="preserve"> criminal law enforcement </w:t>
      </w:r>
      <w:r w:rsidR="00FB37E8">
        <w:rPr>
          <w:rFonts w:ascii="Times New Roman" w:hAnsi="Times New Roman" w:cs="Times New Roman"/>
          <w:bCs/>
          <w:noProof/>
          <w:sz w:val="24"/>
          <w:lang w:val="en-IE"/>
        </w:rPr>
        <w:t>(</w:t>
      </w:r>
      <w:r w:rsidR="00003830">
        <w:rPr>
          <w:rFonts w:ascii="Times New Roman" w:hAnsi="Times New Roman" w:cs="Times New Roman"/>
          <w:bCs/>
          <w:noProof/>
          <w:sz w:val="24"/>
          <w:lang w:val="en-IE"/>
        </w:rPr>
        <w:t xml:space="preserve">the </w:t>
      </w:r>
      <w:r w:rsidR="00003830" w:rsidRPr="00D41909">
        <w:rPr>
          <w:rFonts w:ascii="Times New Roman" w:eastAsia="Calibri" w:hAnsi="Times New Roman" w:cs="Times New Roman"/>
          <w:noProof/>
          <w:sz w:val="24"/>
          <w:szCs w:val="24"/>
        </w:rPr>
        <w:t xml:space="preserve">Act on the Processing of Personal Data by Law Enforcement Authorities that was set into force in the Faroe Islands </w:t>
      </w:r>
      <w:r w:rsidR="00003830">
        <w:rPr>
          <w:rFonts w:ascii="Times New Roman" w:eastAsia="Calibri" w:hAnsi="Times New Roman" w:cs="Times New Roman"/>
          <w:noProof/>
          <w:sz w:val="24"/>
          <w:szCs w:val="24"/>
        </w:rPr>
        <w:t>in</w:t>
      </w:r>
      <w:r w:rsidR="00003830" w:rsidRPr="00D41909">
        <w:rPr>
          <w:rFonts w:ascii="Times New Roman" w:eastAsia="Calibri" w:hAnsi="Times New Roman" w:cs="Times New Roman"/>
          <w:noProof/>
          <w:sz w:val="24"/>
          <w:szCs w:val="24"/>
        </w:rPr>
        <w:t xml:space="preserve"> 2022</w:t>
      </w:r>
      <w:r w:rsidR="00003830">
        <w:rPr>
          <w:rFonts w:ascii="Times New Roman" w:eastAsia="Calibri" w:hAnsi="Times New Roman" w:cs="Times New Roman"/>
          <w:noProof/>
          <w:sz w:val="24"/>
          <w:szCs w:val="24"/>
        </w:rPr>
        <w:t xml:space="preserve"> and transposes </w:t>
      </w:r>
      <w:r w:rsidR="00003830" w:rsidRPr="00D41909">
        <w:rPr>
          <w:rFonts w:ascii="Times New Roman" w:eastAsia="Calibri" w:hAnsi="Times New Roman" w:cs="Times New Roman"/>
          <w:noProof/>
          <w:sz w:val="24"/>
          <w:szCs w:val="24"/>
        </w:rPr>
        <w:t>the legislation that was adopted by Denmark to implement Directive (EU) 2016/680</w:t>
      </w:r>
      <w:r w:rsidR="00003830">
        <w:rPr>
          <w:rFonts w:ascii="Times New Roman" w:eastAsia="Calibri" w:hAnsi="Times New Roman" w:cs="Times New Roman"/>
          <w:noProof/>
          <w:sz w:val="24"/>
          <w:szCs w:val="24"/>
        </w:rPr>
        <w:t xml:space="preserve"> in the Faroe Islands) </w:t>
      </w:r>
      <w:r w:rsidR="00003830">
        <w:rPr>
          <w:rFonts w:ascii="Times New Roman" w:hAnsi="Times New Roman" w:cs="Times New Roman"/>
          <w:bCs/>
          <w:noProof/>
          <w:sz w:val="24"/>
          <w:lang w:val="en-IE"/>
        </w:rPr>
        <w:t xml:space="preserve">and national security purposes (contained in the </w:t>
      </w:r>
      <w:r w:rsidR="00003830" w:rsidRPr="00D41909">
        <w:rPr>
          <w:rFonts w:ascii="Times New Roman" w:eastAsia="Calibri" w:hAnsi="Times New Roman" w:cs="Times New Roman"/>
          <w:noProof/>
          <w:sz w:val="24"/>
          <w:szCs w:val="24"/>
        </w:rPr>
        <w:t>Act on the Security and Intelligence Service</w:t>
      </w:r>
      <w:r w:rsidR="00003830">
        <w:rPr>
          <w:rFonts w:ascii="Times New Roman" w:eastAsia="Calibri" w:hAnsi="Times New Roman" w:cs="Times New Roman"/>
          <w:noProof/>
          <w:sz w:val="24"/>
          <w:szCs w:val="24"/>
        </w:rPr>
        <w:t>)</w:t>
      </w:r>
      <w:r w:rsidR="00003830">
        <w:rPr>
          <w:rFonts w:ascii="Times New Roman" w:hAnsi="Times New Roman" w:cs="Times New Roman"/>
          <w:bCs/>
          <w:noProof/>
          <w:sz w:val="24"/>
          <w:lang w:val="en-IE"/>
        </w:rPr>
        <w:t>. In addition, effective oversight and redress mechanisms are available in this area.</w:t>
      </w:r>
    </w:p>
    <w:p w14:paraId="3D80EF84" w14:textId="77777777" w:rsidR="00FA5628" w:rsidRPr="00FA5628" w:rsidRDefault="00FA5628" w:rsidP="00386EAC">
      <w:pPr>
        <w:jc w:val="both"/>
        <w:rPr>
          <w:rFonts w:ascii="Times New Roman" w:hAnsi="Times New Roman" w:cs="Times New Roman"/>
          <w:bCs/>
          <w:noProof/>
          <w:sz w:val="24"/>
          <w:lang w:val="en-IE"/>
        </w:rPr>
      </w:pPr>
      <w:r w:rsidRPr="00003830">
        <w:rPr>
          <w:rFonts w:ascii="Times New Roman" w:hAnsi="Times New Roman" w:cs="Times New Roman"/>
          <w:bCs/>
          <w:noProof/>
          <w:sz w:val="24"/>
          <w:lang w:val="en-IE"/>
        </w:rPr>
        <w:t xml:space="preserve">Based on the overall findings </w:t>
      </w:r>
      <w:r w:rsidR="003834E5" w:rsidRPr="00003830">
        <w:rPr>
          <w:rFonts w:ascii="Times New Roman" w:hAnsi="Times New Roman" w:cs="Times New Roman"/>
          <w:bCs/>
          <w:noProof/>
          <w:sz w:val="24"/>
          <w:lang w:val="en-IE"/>
        </w:rPr>
        <w:t>set out in the SWD</w:t>
      </w:r>
      <w:r w:rsidRPr="00003830">
        <w:rPr>
          <w:rFonts w:ascii="Times New Roman" w:hAnsi="Times New Roman" w:cs="Times New Roman"/>
          <w:bCs/>
          <w:noProof/>
          <w:sz w:val="24"/>
          <w:lang w:val="en-IE"/>
        </w:rPr>
        <w:t>, the Commission concludes that the Faroe Islands continue to provide an adequate level of protection for personal data transferred from the EU.</w:t>
      </w:r>
    </w:p>
    <w:p w14:paraId="16717E3C" w14:textId="77777777" w:rsidR="002A532D" w:rsidRDefault="00026B70" w:rsidP="00386EAC">
      <w:pPr>
        <w:pStyle w:val="ListParagraph"/>
        <w:numPr>
          <w:ilvl w:val="1"/>
          <w:numId w:val="3"/>
        </w:numPr>
        <w:ind w:left="1134" w:hanging="850"/>
        <w:contextualSpacing w:val="0"/>
        <w:rPr>
          <w:rFonts w:ascii="Times New Roman" w:hAnsi="Times New Roman" w:cs="Times New Roman"/>
          <w:b/>
          <w:i/>
          <w:noProof/>
          <w:sz w:val="24"/>
          <w:szCs w:val="24"/>
        </w:rPr>
      </w:pPr>
      <w:r>
        <w:rPr>
          <w:rFonts w:ascii="Times New Roman" w:hAnsi="Times New Roman" w:cs="Times New Roman"/>
          <w:b/>
          <w:i/>
          <w:noProof/>
          <w:sz w:val="24"/>
          <w:szCs w:val="24"/>
        </w:rPr>
        <w:t>Guernsey</w:t>
      </w:r>
    </w:p>
    <w:p w14:paraId="1B049120" w14:textId="77777777" w:rsidR="009D534C" w:rsidRDefault="001552F0" w:rsidP="00386EAC">
      <w:pPr>
        <w:jc w:val="both"/>
        <w:rPr>
          <w:rFonts w:ascii="Times New Roman" w:hAnsi="Times New Roman" w:cs="Times New Roman"/>
          <w:bCs/>
          <w:noProof/>
          <w:sz w:val="24"/>
          <w:lang w:val="en-IE"/>
        </w:rPr>
      </w:pPr>
      <w:r w:rsidRPr="001552F0">
        <w:rPr>
          <w:rFonts w:ascii="Times New Roman" w:hAnsi="Times New Roman" w:cs="Times New Roman"/>
          <w:bCs/>
          <w:noProof/>
          <w:sz w:val="24"/>
          <w:lang w:val="en-IE"/>
        </w:rPr>
        <w:t xml:space="preserve">The Commission welcomes the developments in the </w:t>
      </w:r>
      <w:r>
        <w:rPr>
          <w:rFonts w:ascii="Times New Roman" w:hAnsi="Times New Roman" w:cs="Times New Roman"/>
          <w:bCs/>
          <w:noProof/>
          <w:sz w:val="24"/>
          <w:lang w:val="en-IE"/>
        </w:rPr>
        <w:t>Guernsey</w:t>
      </w:r>
      <w:r w:rsidRPr="001552F0">
        <w:rPr>
          <w:rFonts w:ascii="Times New Roman" w:hAnsi="Times New Roman" w:cs="Times New Roman"/>
          <w:bCs/>
          <w:noProof/>
          <w:sz w:val="24"/>
          <w:lang w:val="en-IE"/>
        </w:rPr>
        <w:t xml:space="preserve"> legal framework since the adoption of the adequacy decision, including legislative amendments and activities of oversight bodies</w:t>
      </w:r>
      <w:r w:rsidR="009D534C">
        <w:rPr>
          <w:rFonts w:ascii="Times New Roman" w:hAnsi="Times New Roman" w:cs="Times New Roman"/>
          <w:bCs/>
          <w:noProof/>
          <w:sz w:val="24"/>
          <w:lang w:val="en-IE"/>
        </w:rPr>
        <w:t>,</w:t>
      </w:r>
      <w:r w:rsidR="009D534C" w:rsidRPr="009D534C">
        <w:rPr>
          <w:noProof/>
        </w:rPr>
        <w:t xml:space="preserve"> </w:t>
      </w:r>
      <w:r w:rsidR="009D534C" w:rsidRPr="009D534C">
        <w:rPr>
          <w:rFonts w:ascii="Times New Roman" w:hAnsi="Times New Roman" w:cs="Times New Roman"/>
          <w:bCs/>
          <w:noProof/>
          <w:sz w:val="24"/>
          <w:lang w:val="en-IE"/>
        </w:rPr>
        <w:t>which have contributed to an increased level of data protection.</w:t>
      </w:r>
      <w:r w:rsidR="009D534C">
        <w:rPr>
          <w:rFonts w:ascii="Times New Roman" w:hAnsi="Times New Roman" w:cs="Times New Roman"/>
          <w:bCs/>
          <w:noProof/>
          <w:sz w:val="24"/>
          <w:lang w:val="en-IE"/>
        </w:rPr>
        <w:t xml:space="preserve"> In particular, </w:t>
      </w:r>
      <w:r w:rsidR="00856455">
        <w:rPr>
          <w:rFonts w:ascii="Times New Roman" w:hAnsi="Times New Roman" w:cs="Times New Roman"/>
          <w:bCs/>
          <w:noProof/>
          <w:sz w:val="24"/>
          <w:lang w:val="en-IE"/>
        </w:rPr>
        <w:t xml:space="preserve">Guernsey has </w:t>
      </w:r>
      <w:r w:rsidR="00856455" w:rsidRPr="00856455">
        <w:rPr>
          <w:rFonts w:ascii="Times New Roman" w:hAnsi="Times New Roman" w:cs="Times New Roman"/>
          <w:bCs/>
          <w:noProof/>
          <w:sz w:val="24"/>
          <w:lang w:val="en-IE"/>
        </w:rPr>
        <w:t>significantly modernised its data protection framework</w:t>
      </w:r>
      <w:r w:rsidR="00856455">
        <w:rPr>
          <w:rFonts w:ascii="Times New Roman" w:hAnsi="Times New Roman" w:cs="Times New Roman"/>
          <w:bCs/>
          <w:noProof/>
          <w:sz w:val="24"/>
          <w:lang w:val="en-IE"/>
        </w:rPr>
        <w:t xml:space="preserve"> by </w:t>
      </w:r>
      <w:r w:rsidR="00856455" w:rsidRPr="00856455">
        <w:rPr>
          <w:rFonts w:ascii="Times New Roman" w:hAnsi="Times New Roman" w:cs="Times New Roman"/>
          <w:bCs/>
          <w:noProof/>
          <w:sz w:val="24"/>
          <w:lang w:val="en-IE"/>
        </w:rPr>
        <w:t xml:space="preserve">adopting the Data Protection (Bailiwick of Guernsey) Law 2017 </w:t>
      </w:r>
      <w:r w:rsidR="00856455">
        <w:rPr>
          <w:rFonts w:ascii="Times New Roman" w:hAnsi="Times New Roman" w:cs="Times New Roman"/>
          <w:bCs/>
          <w:noProof/>
          <w:sz w:val="24"/>
          <w:lang w:val="en-IE"/>
        </w:rPr>
        <w:t>which applies since 2019 and aligns the</w:t>
      </w:r>
      <w:r w:rsidR="00856455" w:rsidRPr="00856455">
        <w:rPr>
          <w:rFonts w:ascii="Times New Roman" w:hAnsi="Times New Roman" w:cs="Times New Roman"/>
          <w:bCs/>
          <w:noProof/>
          <w:sz w:val="24"/>
          <w:lang w:val="en-IE"/>
        </w:rPr>
        <w:t xml:space="preserve"> Guernsey regime </w:t>
      </w:r>
      <w:r w:rsidR="00856455">
        <w:rPr>
          <w:rFonts w:ascii="Times New Roman" w:hAnsi="Times New Roman" w:cs="Times New Roman"/>
          <w:bCs/>
          <w:noProof/>
          <w:sz w:val="24"/>
          <w:lang w:val="en-IE"/>
        </w:rPr>
        <w:t>closely with the</w:t>
      </w:r>
      <w:r w:rsidR="00856455" w:rsidRPr="00856455">
        <w:rPr>
          <w:rFonts w:ascii="Times New Roman" w:hAnsi="Times New Roman" w:cs="Times New Roman"/>
          <w:bCs/>
          <w:noProof/>
          <w:sz w:val="24"/>
          <w:lang w:val="en-IE"/>
        </w:rPr>
        <w:t xml:space="preserve"> GDPR</w:t>
      </w:r>
      <w:r w:rsidR="00856455">
        <w:rPr>
          <w:rFonts w:ascii="Times New Roman" w:hAnsi="Times New Roman" w:cs="Times New Roman"/>
          <w:bCs/>
          <w:noProof/>
          <w:sz w:val="24"/>
          <w:lang w:val="en-IE"/>
        </w:rPr>
        <w:t>.</w:t>
      </w:r>
    </w:p>
    <w:p w14:paraId="19403D7D" w14:textId="3543D357" w:rsidR="009D534C" w:rsidRDefault="00802EF9" w:rsidP="00386EAC">
      <w:pPr>
        <w:jc w:val="both"/>
        <w:rPr>
          <w:rFonts w:ascii="Times New Roman" w:hAnsi="Times New Roman" w:cs="Times New Roman"/>
          <w:bCs/>
          <w:noProof/>
          <w:sz w:val="24"/>
          <w:lang w:val="en-IE"/>
        </w:rPr>
      </w:pPr>
      <w:r>
        <w:rPr>
          <w:rFonts w:ascii="Times New Roman" w:hAnsi="Times New Roman" w:cs="Times New Roman"/>
          <w:bCs/>
          <w:noProof/>
          <w:sz w:val="24"/>
        </w:rPr>
        <w:t xml:space="preserve">In the area of government access to personal data, </w:t>
      </w:r>
      <w:r w:rsidRPr="00441ED2">
        <w:rPr>
          <w:rFonts w:ascii="Times New Roman" w:hAnsi="Times New Roman" w:cs="Times New Roman"/>
          <w:bCs/>
          <w:noProof/>
          <w:sz w:val="24"/>
        </w:rPr>
        <w:t xml:space="preserve">public authorities </w:t>
      </w:r>
      <w:r>
        <w:rPr>
          <w:rFonts w:ascii="Times New Roman" w:hAnsi="Times New Roman" w:cs="Times New Roman"/>
          <w:bCs/>
          <w:noProof/>
          <w:sz w:val="24"/>
        </w:rPr>
        <w:t xml:space="preserve">in Guernsey </w:t>
      </w:r>
      <w:r w:rsidRPr="00441ED2">
        <w:rPr>
          <w:rFonts w:ascii="Times New Roman" w:hAnsi="Times New Roman" w:cs="Times New Roman"/>
          <w:bCs/>
          <w:noProof/>
          <w:sz w:val="24"/>
        </w:rPr>
        <w:t xml:space="preserve">are subject to clear, precise and accessible rules </w:t>
      </w:r>
      <w:r>
        <w:rPr>
          <w:rFonts w:ascii="Times New Roman" w:hAnsi="Times New Roman" w:cs="Times New Roman"/>
          <w:bCs/>
          <w:noProof/>
          <w:sz w:val="24"/>
        </w:rPr>
        <w:t xml:space="preserve">under which such authorities can access and subsequently use for public interest objectives, in particular for criminal law enforcement and national security purposes, data transferred from the </w:t>
      </w:r>
      <w:r w:rsidR="007F26DB">
        <w:rPr>
          <w:rFonts w:ascii="Times New Roman" w:hAnsi="Times New Roman" w:cs="Times New Roman"/>
          <w:bCs/>
          <w:noProof/>
          <w:sz w:val="24"/>
        </w:rPr>
        <w:t>EU</w:t>
      </w:r>
      <w:r w:rsidRPr="00441ED2">
        <w:rPr>
          <w:rFonts w:ascii="Times New Roman" w:hAnsi="Times New Roman" w:cs="Times New Roman"/>
          <w:bCs/>
          <w:noProof/>
          <w:sz w:val="24"/>
        </w:rPr>
        <w:t xml:space="preserve">. </w:t>
      </w:r>
      <w:r w:rsidR="009D534C" w:rsidRPr="009D534C">
        <w:rPr>
          <w:rFonts w:ascii="Times New Roman" w:hAnsi="Times New Roman" w:cs="Times New Roman"/>
          <w:bCs/>
          <w:noProof/>
          <w:sz w:val="24"/>
          <w:lang w:val="en-IE"/>
        </w:rPr>
        <w:t>These limitations and safeguards follow from the overarching legal framework and international commitments, notably the E</w:t>
      </w:r>
      <w:r w:rsidR="009F17CB">
        <w:rPr>
          <w:rFonts w:ascii="Times New Roman" w:hAnsi="Times New Roman" w:cs="Times New Roman"/>
          <w:bCs/>
          <w:noProof/>
          <w:sz w:val="24"/>
          <w:lang w:val="en-IE"/>
        </w:rPr>
        <w:t>CHR</w:t>
      </w:r>
      <w:r w:rsidR="009D534C" w:rsidRPr="009D534C">
        <w:rPr>
          <w:rFonts w:ascii="Times New Roman" w:hAnsi="Times New Roman" w:cs="Times New Roman"/>
          <w:bCs/>
          <w:noProof/>
          <w:sz w:val="24"/>
          <w:lang w:val="en-IE"/>
        </w:rPr>
        <w:t xml:space="preserve"> and Convention 108, as well as from </w:t>
      </w:r>
      <w:r w:rsidR="00856455">
        <w:rPr>
          <w:rFonts w:ascii="Times New Roman" w:hAnsi="Times New Roman" w:cs="Times New Roman"/>
          <w:bCs/>
          <w:noProof/>
          <w:sz w:val="24"/>
          <w:lang w:val="en-IE"/>
        </w:rPr>
        <w:t xml:space="preserve">Guernsey data protection rules, </w:t>
      </w:r>
      <w:r w:rsidR="006622E2">
        <w:rPr>
          <w:rFonts w:ascii="Times New Roman" w:hAnsi="Times New Roman" w:cs="Times New Roman"/>
          <w:bCs/>
          <w:noProof/>
          <w:sz w:val="24"/>
          <w:lang w:val="en-IE"/>
        </w:rPr>
        <w:t>including</w:t>
      </w:r>
      <w:r w:rsidR="00856455">
        <w:rPr>
          <w:rFonts w:ascii="Times New Roman" w:hAnsi="Times New Roman" w:cs="Times New Roman"/>
          <w:bCs/>
          <w:noProof/>
          <w:sz w:val="24"/>
          <w:lang w:val="en-IE"/>
        </w:rPr>
        <w:t xml:space="preserve"> </w:t>
      </w:r>
      <w:r w:rsidR="006622E2">
        <w:rPr>
          <w:rFonts w:ascii="Times New Roman" w:hAnsi="Times New Roman" w:cs="Times New Roman"/>
          <w:bCs/>
          <w:noProof/>
          <w:sz w:val="24"/>
          <w:lang w:val="en-IE"/>
        </w:rPr>
        <w:t>the s</w:t>
      </w:r>
      <w:r w:rsidR="00856455" w:rsidRPr="00856455">
        <w:rPr>
          <w:rFonts w:ascii="Times New Roman" w:hAnsi="Times New Roman" w:cs="Times New Roman"/>
          <w:bCs/>
          <w:noProof/>
          <w:sz w:val="24"/>
          <w:lang w:val="en-IE"/>
        </w:rPr>
        <w:t xml:space="preserve">pecific provisions for the processing of personal data </w:t>
      </w:r>
      <w:r w:rsidR="005146CA">
        <w:rPr>
          <w:rFonts w:ascii="Times New Roman" w:hAnsi="Times New Roman" w:cs="Times New Roman"/>
          <w:bCs/>
          <w:noProof/>
          <w:sz w:val="24"/>
          <w:lang w:val="en-IE"/>
        </w:rPr>
        <w:t>in the law enforcement context</w:t>
      </w:r>
      <w:r w:rsidR="006622E2">
        <w:rPr>
          <w:rFonts w:ascii="Times New Roman" w:hAnsi="Times New Roman" w:cs="Times New Roman"/>
          <w:bCs/>
          <w:noProof/>
          <w:sz w:val="24"/>
          <w:lang w:val="en-IE"/>
        </w:rPr>
        <w:t xml:space="preserve"> set out in</w:t>
      </w:r>
      <w:r w:rsidR="00856455" w:rsidRPr="00856455">
        <w:rPr>
          <w:rFonts w:ascii="Times New Roman" w:hAnsi="Times New Roman" w:cs="Times New Roman"/>
          <w:bCs/>
          <w:noProof/>
          <w:sz w:val="24"/>
          <w:lang w:val="en-IE"/>
        </w:rPr>
        <w:t xml:space="preserve"> the Data Protection (Law Enforcement and Related Matters) (Bailiwick of Guernsey) Ordinance, 2018. </w:t>
      </w:r>
      <w:r w:rsidR="009D534C" w:rsidRPr="009D534C">
        <w:rPr>
          <w:rFonts w:ascii="Times New Roman" w:hAnsi="Times New Roman" w:cs="Times New Roman"/>
          <w:bCs/>
          <w:noProof/>
          <w:sz w:val="24"/>
          <w:lang w:val="en-IE"/>
        </w:rPr>
        <w:t xml:space="preserve">In addition, </w:t>
      </w:r>
      <w:r w:rsidR="006622E2">
        <w:rPr>
          <w:rFonts w:ascii="Times New Roman" w:hAnsi="Times New Roman" w:cs="Times New Roman"/>
          <w:bCs/>
          <w:noProof/>
          <w:sz w:val="24"/>
          <w:lang w:val="en-IE"/>
        </w:rPr>
        <w:t>Guernsey</w:t>
      </w:r>
      <w:r w:rsidR="009D534C" w:rsidRPr="009D534C">
        <w:rPr>
          <w:rFonts w:ascii="Times New Roman" w:hAnsi="Times New Roman" w:cs="Times New Roman"/>
          <w:bCs/>
          <w:noProof/>
          <w:sz w:val="24"/>
          <w:lang w:val="en-IE"/>
        </w:rPr>
        <w:t xml:space="preserve"> law imposes a number of specific </w:t>
      </w:r>
      <w:r w:rsidR="009F17CB">
        <w:rPr>
          <w:rFonts w:ascii="Times New Roman" w:hAnsi="Times New Roman" w:cs="Times New Roman"/>
          <w:bCs/>
          <w:noProof/>
          <w:sz w:val="24"/>
          <w:lang w:val="en-IE"/>
        </w:rPr>
        <w:t xml:space="preserve">conditions and </w:t>
      </w:r>
      <w:r w:rsidR="009D534C" w:rsidRPr="009D534C">
        <w:rPr>
          <w:rFonts w:ascii="Times New Roman" w:hAnsi="Times New Roman" w:cs="Times New Roman"/>
          <w:bCs/>
          <w:noProof/>
          <w:sz w:val="24"/>
          <w:lang w:val="en-IE"/>
        </w:rPr>
        <w:t>limitations on the access to and use of personal data for criminal law enforcement and national security purposes, and it provides oversight and redress mechanisms in this area.</w:t>
      </w:r>
    </w:p>
    <w:p w14:paraId="5083951D" w14:textId="77777777" w:rsidR="00FA5628" w:rsidRPr="00FA5628" w:rsidRDefault="00FA5628" w:rsidP="00386EAC">
      <w:pPr>
        <w:jc w:val="both"/>
        <w:rPr>
          <w:rFonts w:ascii="Times New Roman" w:hAnsi="Times New Roman" w:cs="Times New Roman"/>
          <w:bCs/>
          <w:noProof/>
          <w:sz w:val="24"/>
          <w:lang w:val="en-IE"/>
        </w:rPr>
      </w:pPr>
      <w:r w:rsidRPr="00FA5628">
        <w:rPr>
          <w:rFonts w:ascii="Times New Roman" w:hAnsi="Times New Roman" w:cs="Times New Roman"/>
          <w:bCs/>
          <w:noProof/>
          <w:sz w:val="24"/>
          <w:lang w:val="en-IE"/>
        </w:rPr>
        <w:t xml:space="preserve">Based on the overall findings </w:t>
      </w:r>
      <w:r w:rsidR="003834E5">
        <w:rPr>
          <w:rFonts w:ascii="Times New Roman" w:hAnsi="Times New Roman" w:cs="Times New Roman"/>
          <w:bCs/>
          <w:noProof/>
          <w:sz w:val="24"/>
          <w:lang w:val="en-IE"/>
        </w:rPr>
        <w:t>set out in the SWD</w:t>
      </w:r>
      <w:r w:rsidRPr="00FA5628">
        <w:rPr>
          <w:rFonts w:ascii="Times New Roman" w:hAnsi="Times New Roman" w:cs="Times New Roman"/>
          <w:bCs/>
          <w:noProof/>
          <w:sz w:val="24"/>
          <w:lang w:val="en-IE"/>
        </w:rPr>
        <w:t>, the Commission concludes that Guernsey continues to provide an adequate level of protection for personal data transferred from the EU.</w:t>
      </w:r>
    </w:p>
    <w:p w14:paraId="62FC55EC" w14:textId="77777777" w:rsidR="002A532D" w:rsidRDefault="00026B70" w:rsidP="00386EAC">
      <w:pPr>
        <w:pStyle w:val="ListParagraph"/>
        <w:numPr>
          <w:ilvl w:val="1"/>
          <w:numId w:val="3"/>
        </w:numPr>
        <w:ind w:left="1134" w:hanging="850"/>
        <w:contextualSpacing w:val="0"/>
        <w:rPr>
          <w:rFonts w:ascii="Times New Roman" w:hAnsi="Times New Roman" w:cs="Times New Roman"/>
          <w:b/>
          <w:i/>
          <w:noProof/>
          <w:sz w:val="24"/>
          <w:szCs w:val="24"/>
        </w:rPr>
      </w:pPr>
      <w:r>
        <w:rPr>
          <w:rFonts w:ascii="Times New Roman" w:hAnsi="Times New Roman" w:cs="Times New Roman"/>
          <w:b/>
          <w:i/>
          <w:noProof/>
          <w:sz w:val="24"/>
          <w:szCs w:val="24"/>
        </w:rPr>
        <w:t>Isle of Man</w:t>
      </w:r>
    </w:p>
    <w:p w14:paraId="05791727" w14:textId="35321AAC" w:rsidR="006622E2" w:rsidRDefault="001552F0" w:rsidP="00386EAC">
      <w:pPr>
        <w:jc w:val="both"/>
        <w:rPr>
          <w:rFonts w:ascii="Times New Roman" w:hAnsi="Times New Roman" w:cs="Times New Roman"/>
          <w:bCs/>
          <w:noProof/>
          <w:sz w:val="24"/>
          <w:lang w:val="en-IE"/>
        </w:rPr>
      </w:pPr>
      <w:r w:rsidRPr="001552F0">
        <w:rPr>
          <w:rFonts w:ascii="Times New Roman" w:hAnsi="Times New Roman" w:cs="Times New Roman"/>
          <w:bCs/>
          <w:noProof/>
          <w:sz w:val="24"/>
          <w:lang w:val="en-IE"/>
        </w:rPr>
        <w:t xml:space="preserve">The Commission welcomes the developments in the </w:t>
      </w:r>
      <w:r>
        <w:rPr>
          <w:rFonts w:ascii="Times New Roman" w:hAnsi="Times New Roman" w:cs="Times New Roman"/>
          <w:bCs/>
          <w:noProof/>
          <w:sz w:val="24"/>
          <w:lang w:val="en-IE"/>
        </w:rPr>
        <w:t>Manx</w:t>
      </w:r>
      <w:r w:rsidRPr="001552F0">
        <w:rPr>
          <w:rFonts w:ascii="Times New Roman" w:hAnsi="Times New Roman" w:cs="Times New Roman"/>
          <w:bCs/>
          <w:noProof/>
          <w:sz w:val="24"/>
          <w:lang w:val="en-IE"/>
        </w:rPr>
        <w:t xml:space="preserve"> legal framework since the adoption of the adequacy decision, including legislative amendments and activities of oversight bodies, which have contributed to an increased level of data protection. </w:t>
      </w:r>
      <w:r w:rsidR="006622E2" w:rsidRPr="006622E2">
        <w:rPr>
          <w:rFonts w:ascii="Times New Roman" w:hAnsi="Times New Roman" w:cs="Times New Roman"/>
          <w:bCs/>
          <w:noProof/>
          <w:sz w:val="24"/>
          <w:lang w:val="en-IE"/>
        </w:rPr>
        <w:t xml:space="preserve">In particular, </w:t>
      </w:r>
      <w:r w:rsidR="006622E2">
        <w:rPr>
          <w:rFonts w:ascii="Times New Roman" w:hAnsi="Times New Roman" w:cs="Times New Roman"/>
          <w:bCs/>
          <w:noProof/>
          <w:sz w:val="24"/>
          <w:lang w:val="en-IE"/>
        </w:rPr>
        <w:t xml:space="preserve">the Isle of Man adopted </w:t>
      </w:r>
      <w:r w:rsidR="006622E2" w:rsidRPr="006622E2">
        <w:rPr>
          <w:rFonts w:ascii="Times New Roman" w:hAnsi="Times New Roman" w:cs="Times New Roman"/>
          <w:bCs/>
          <w:noProof/>
          <w:sz w:val="24"/>
          <w:lang w:val="en-IE"/>
        </w:rPr>
        <w:t>new legislation</w:t>
      </w:r>
      <w:r w:rsidR="006622E2">
        <w:rPr>
          <w:rFonts w:ascii="Times New Roman" w:hAnsi="Times New Roman" w:cs="Times New Roman"/>
          <w:bCs/>
          <w:noProof/>
          <w:sz w:val="24"/>
          <w:lang w:val="en-IE"/>
        </w:rPr>
        <w:t xml:space="preserve"> in 2018</w:t>
      </w:r>
      <w:r w:rsidR="006622E2" w:rsidRPr="006622E2">
        <w:rPr>
          <w:rFonts w:ascii="Times New Roman" w:hAnsi="Times New Roman" w:cs="Times New Roman"/>
          <w:bCs/>
          <w:noProof/>
          <w:sz w:val="24"/>
          <w:lang w:val="en-IE"/>
        </w:rPr>
        <w:t xml:space="preserve"> </w:t>
      </w:r>
      <w:r w:rsidR="009C71A6">
        <w:rPr>
          <w:rFonts w:ascii="Times New Roman" w:hAnsi="Times New Roman" w:cs="Times New Roman"/>
          <w:bCs/>
          <w:noProof/>
          <w:sz w:val="24"/>
          <w:lang w:val="en-IE"/>
        </w:rPr>
        <w:t xml:space="preserve">(the Data Protection Act 2018, complemented by the </w:t>
      </w:r>
      <w:r w:rsidR="009C71A6" w:rsidRPr="005E430D">
        <w:rPr>
          <w:rFonts w:ascii="Times New Roman" w:hAnsi="Times New Roman" w:cs="Times New Roman"/>
          <w:noProof/>
          <w:sz w:val="24"/>
          <w:szCs w:val="24"/>
        </w:rPr>
        <w:t>Data Protection (Application of GDPR) Order 2018</w:t>
      </w:r>
      <w:r w:rsidR="009C71A6">
        <w:rPr>
          <w:rFonts w:ascii="Times New Roman" w:hAnsi="Times New Roman" w:cs="Times New Roman"/>
          <w:bCs/>
          <w:noProof/>
          <w:sz w:val="24"/>
          <w:lang w:val="en-IE"/>
        </w:rPr>
        <w:t xml:space="preserve">) </w:t>
      </w:r>
      <w:r w:rsidR="006622E2">
        <w:rPr>
          <w:rFonts w:ascii="Times New Roman" w:hAnsi="Times New Roman" w:cs="Times New Roman"/>
          <w:bCs/>
          <w:noProof/>
          <w:sz w:val="24"/>
          <w:lang w:val="en-IE"/>
        </w:rPr>
        <w:t>that</w:t>
      </w:r>
      <w:r w:rsidR="006622E2" w:rsidRPr="006622E2">
        <w:rPr>
          <w:rFonts w:ascii="Times New Roman" w:hAnsi="Times New Roman" w:cs="Times New Roman"/>
          <w:bCs/>
          <w:noProof/>
          <w:sz w:val="24"/>
          <w:lang w:val="en-IE"/>
        </w:rPr>
        <w:t xml:space="preserve"> incorporate</w:t>
      </w:r>
      <w:r w:rsidR="006622E2">
        <w:rPr>
          <w:rFonts w:ascii="Times New Roman" w:hAnsi="Times New Roman" w:cs="Times New Roman"/>
          <w:bCs/>
          <w:noProof/>
          <w:sz w:val="24"/>
          <w:lang w:val="en-IE"/>
        </w:rPr>
        <w:t>s</w:t>
      </w:r>
      <w:r w:rsidR="006622E2" w:rsidRPr="006622E2">
        <w:rPr>
          <w:rFonts w:ascii="Times New Roman" w:hAnsi="Times New Roman" w:cs="Times New Roman"/>
          <w:bCs/>
          <w:noProof/>
          <w:sz w:val="24"/>
          <w:lang w:val="en-IE"/>
        </w:rPr>
        <w:t xml:space="preserve"> most of the provisions of the </w:t>
      </w:r>
      <w:r w:rsidR="00AF1EC1">
        <w:rPr>
          <w:rFonts w:ascii="Times New Roman" w:hAnsi="Times New Roman" w:cs="Times New Roman"/>
          <w:bCs/>
          <w:noProof/>
          <w:sz w:val="24"/>
          <w:lang w:val="en-IE"/>
        </w:rPr>
        <w:t>EU’s data protection framework</w:t>
      </w:r>
      <w:r w:rsidR="006622E2" w:rsidRPr="006622E2">
        <w:rPr>
          <w:rFonts w:ascii="Times New Roman" w:hAnsi="Times New Roman" w:cs="Times New Roman"/>
          <w:bCs/>
          <w:noProof/>
          <w:sz w:val="24"/>
          <w:lang w:val="en-IE"/>
        </w:rPr>
        <w:t xml:space="preserve"> into </w:t>
      </w:r>
      <w:r w:rsidR="006622E2">
        <w:rPr>
          <w:rFonts w:ascii="Times New Roman" w:hAnsi="Times New Roman" w:cs="Times New Roman"/>
          <w:bCs/>
          <w:noProof/>
          <w:sz w:val="24"/>
          <w:lang w:val="en-IE"/>
        </w:rPr>
        <w:t>the Manx</w:t>
      </w:r>
      <w:r w:rsidR="006622E2" w:rsidRPr="006622E2">
        <w:rPr>
          <w:rFonts w:ascii="Times New Roman" w:hAnsi="Times New Roman" w:cs="Times New Roman"/>
          <w:bCs/>
          <w:noProof/>
          <w:sz w:val="24"/>
          <w:lang w:val="en-IE"/>
        </w:rPr>
        <w:t xml:space="preserve"> legal order while making only minor adjustments on specific aspects, in particular to adapt the framework to the local context. </w:t>
      </w:r>
    </w:p>
    <w:p w14:paraId="1179F389" w14:textId="060F7C70" w:rsidR="006622E2" w:rsidRDefault="00802EF9" w:rsidP="00386EAC">
      <w:pPr>
        <w:jc w:val="both"/>
        <w:rPr>
          <w:rFonts w:ascii="Times New Roman" w:hAnsi="Times New Roman" w:cs="Times New Roman"/>
          <w:bCs/>
          <w:noProof/>
          <w:sz w:val="24"/>
          <w:lang w:val="en-IE"/>
        </w:rPr>
      </w:pPr>
      <w:r>
        <w:rPr>
          <w:rFonts w:ascii="Times New Roman" w:hAnsi="Times New Roman" w:cs="Times New Roman"/>
          <w:bCs/>
          <w:noProof/>
          <w:sz w:val="24"/>
        </w:rPr>
        <w:t xml:space="preserve">In the area of government access to personal data, </w:t>
      </w:r>
      <w:r w:rsidRPr="00441ED2">
        <w:rPr>
          <w:rFonts w:ascii="Times New Roman" w:hAnsi="Times New Roman" w:cs="Times New Roman"/>
          <w:bCs/>
          <w:noProof/>
          <w:sz w:val="24"/>
        </w:rPr>
        <w:t xml:space="preserve">public authorities </w:t>
      </w:r>
      <w:r>
        <w:rPr>
          <w:rFonts w:ascii="Times New Roman" w:hAnsi="Times New Roman" w:cs="Times New Roman"/>
          <w:bCs/>
          <w:noProof/>
          <w:sz w:val="24"/>
        </w:rPr>
        <w:t xml:space="preserve">in the Isle of Man </w:t>
      </w:r>
      <w:r w:rsidRPr="00441ED2">
        <w:rPr>
          <w:rFonts w:ascii="Times New Roman" w:hAnsi="Times New Roman" w:cs="Times New Roman"/>
          <w:bCs/>
          <w:noProof/>
          <w:sz w:val="24"/>
        </w:rPr>
        <w:t xml:space="preserve">are subject to clear, precise and accessible rules </w:t>
      </w:r>
      <w:r>
        <w:rPr>
          <w:rFonts w:ascii="Times New Roman" w:hAnsi="Times New Roman" w:cs="Times New Roman"/>
          <w:bCs/>
          <w:noProof/>
          <w:sz w:val="24"/>
        </w:rPr>
        <w:t xml:space="preserve">under which such authorities can access and subsequently use for public interest objectives, in particular for criminal law enforcement and national security purposes, data transferred from the </w:t>
      </w:r>
      <w:r w:rsidR="007F26DB">
        <w:rPr>
          <w:rFonts w:ascii="Times New Roman" w:hAnsi="Times New Roman" w:cs="Times New Roman"/>
          <w:bCs/>
          <w:noProof/>
          <w:sz w:val="24"/>
        </w:rPr>
        <w:t>EU</w:t>
      </w:r>
      <w:r w:rsidRPr="00441ED2">
        <w:rPr>
          <w:rFonts w:ascii="Times New Roman" w:hAnsi="Times New Roman" w:cs="Times New Roman"/>
          <w:bCs/>
          <w:noProof/>
          <w:sz w:val="24"/>
        </w:rPr>
        <w:t xml:space="preserve">. </w:t>
      </w:r>
      <w:r w:rsidR="006622E2" w:rsidRPr="006622E2">
        <w:rPr>
          <w:rFonts w:ascii="Times New Roman" w:hAnsi="Times New Roman" w:cs="Times New Roman"/>
          <w:bCs/>
          <w:noProof/>
          <w:sz w:val="24"/>
          <w:lang w:val="en-IE"/>
        </w:rPr>
        <w:t xml:space="preserve">These limitations and safeguards follow from the overarching legal framework and international commitments, notably the </w:t>
      </w:r>
      <w:r w:rsidR="009F17CB">
        <w:rPr>
          <w:rFonts w:ascii="Times New Roman" w:hAnsi="Times New Roman" w:cs="Times New Roman"/>
          <w:bCs/>
          <w:noProof/>
          <w:sz w:val="24"/>
          <w:lang w:val="en-IE"/>
        </w:rPr>
        <w:t xml:space="preserve">ECHR and </w:t>
      </w:r>
      <w:r w:rsidR="006622E2" w:rsidRPr="006622E2">
        <w:rPr>
          <w:rFonts w:ascii="Times New Roman" w:hAnsi="Times New Roman" w:cs="Times New Roman"/>
          <w:bCs/>
          <w:noProof/>
          <w:sz w:val="24"/>
          <w:lang w:val="en-IE"/>
        </w:rPr>
        <w:t xml:space="preserve">Convention 108, as well as from </w:t>
      </w:r>
      <w:r w:rsidR="006622E2">
        <w:rPr>
          <w:rFonts w:ascii="Times New Roman" w:hAnsi="Times New Roman" w:cs="Times New Roman"/>
          <w:bCs/>
          <w:noProof/>
          <w:sz w:val="24"/>
          <w:lang w:val="en-IE"/>
        </w:rPr>
        <w:t>Manx</w:t>
      </w:r>
      <w:r w:rsidR="006622E2" w:rsidRPr="006622E2">
        <w:rPr>
          <w:rFonts w:ascii="Times New Roman" w:hAnsi="Times New Roman" w:cs="Times New Roman"/>
          <w:bCs/>
          <w:noProof/>
          <w:sz w:val="24"/>
          <w:lang w:val="en-IE"/>
        </w:rPr>
        <w:t xml:space="preserve"> data protection rules, including the specific provisions for the processing of personal data </w:t>
      </w:r>
      <w:r w:rsidR="005146CA">
        <w:rPr>
          <w:rFonts w:ascii="Times New Roman" w:hAnsi="Times New Roman" w:cs="Times New Roman"/>
          <w:bCs/>
          <w:noProof/>
          <w:sz w:val="24"/>
          <w:lang w:val="en-IE"/>
        </w:rPr>
        <w:t>in the law enforcement context</w:t>
      </w:r>
      <w:r w:rsidR="006622E2" w:rsidRPr="006622E2">
        <w:rPr>
          <w:rFonts w:ascii="Times New Roman" w:hAnsi="Times New Roman" w:cs="Times New Roman"/>
          <w:bCs/>
          <w:noProof/>
          <w:sz w:val="24"/>
          <w:lang w:val="en-IE"/>
        </w:rPr>
        <w:t xml:space="preserve"> set out in the </w:t>
      </w:r>
      <w:r w:rsidR="00AF1EC1" w:rsidRPr="00AF1EC1">
        <w:rPr>
          <w:rFonts w:ascii="Times New Roman" w:hAnsi="Times New Roman" w:cs="Times New Roman"/>
          <w:bCs/>
          <w:noProof/>
          <w:sz w:val="24"/>
          <w:lang w:val="en-IE"/>
        </w:rPr>
        <w:t>Data Protection (Application of LED) Order 201</w:t>
      </w:r>
      <w:r w:rsidR="00AF1EC1">
        <w:rPr>
          <w:rFonts w:ascii="Times New Roman" w:hAnsi="Times New Roman" w:cs="Times New Roman"/>
          <w:bCs/>
          <w:noProof/>
          <w:sz w:val="24"/>
          <w:lang w:val="en-IE"/>
        </w:rPr>
        <w:t xml:space="preserve">8 and the </w:t>
      </w:r>
      <w:r w:rsidR="00AF1EC1" w:rsidRPr="00AF1EC1">
        <w:rPr>
          <w:rFonts w:ascii="Times New Roman" w:hAnsi="Times New Roman" w:cs="Times New Roman"/>
          <w:bCs/>
          <w:noProof/>
          <w:sz w:val="24"/>
          <w:lang w:val="en-IE"/>
        </w:rPr>
        <w:t>LED Implementing Regulations 2018</w:t>
      </w:r>
      <w:r w:rsidR="006622E2" w:rsidRPr="006622E2">
        <w:rPr>
          <w:rFonts w:ascii="Times New Roman" w:hAnsi="Times New Roman" w:cs="Times New Roman"/>
          <w:bCs/>
          <w:noProof/>
          <w:sz w:val="24"/>
          <w:lang w:val="en-IE"/>
        </w:rPr>
        <w:t xml:space="preserve">. In addition, </w:t>
      </w:r>
      <w:r w:rsidR="006622E2">
        <w:rPr>
          <w:rFonts w:ascii="Times New Roman" w:hAnsi="Times New Roman" w:cs="Times New Roman"/>
          <w:bCs/>
          <w:noProof/>
          <w:sz w:val="24"/>
          <w:lang w:val="en-IE"/>
        </w:rPr>
        <w:t>Manx</w:t>
      </w:r>
      <w:r w:rsidR="006622E2" w:rsidRPr="006622E2">
        <w:rPr>
          <w:rFonts w:ascii="Times New Roman" w:hAnsi="Times New Roman" w:cs="Times New Roman"/>
          <w:bCs/>
          <w:noProof/>
          <w:sz w:val="24"/>
          <w:lang w:val="en-IE"/>
        </w:rPr>
        <w:t xml:space="preserve"> law imposes a number of specific limitations on the access to and use of personal data for criminal law enforcement and national security purposes, and it provides oversight and redress mechanisms in this area.</w:t>
      </w:r>
    </w:p>
    <w:p w14:paraId="0E80835F" w14:textId="77777777" w:rsidR="002A532D" w:rsidRDefault="00FA5628" w:rsidP="00386EAC">
      <w:pPr>
        <w:jc w:val="both"/>
        <w:rPr>
          <w:rFonts w:ascii="Times New Roman" w:hAnsi="Times New Roman" w:cs="Times New Roman"/>
          <w:b/>
          <w:i/>
          <w:noProof/>
          <w:sz w:val="24"/>
          <w:szCs w:val="24"/>
        </w:rPr>
      </w:pPr>
      <w:r w:rsidRPr="00FA5628">
        <w:rPr>
          <w:rFonts w:ascii="Times New Roman" w:hAnsi="Times New Roman" w:cs="Times New Roman"/>
          <w:bCs/>
          <w:noProof/>
          <w:sz w:val="24"/>
          <w:lang w:val="en-IE"/>
        </w:rPr>
        <w:t xml:space="preserve">Based on the overall findings </w:t>
      </w:r>
      <w:r w:rsidR="003834E5">
        <w:rPr>
          <w:rFonts w:ascii="Times New Roman" w:hAnsi="Times New Roman" w:cs="Times New Roman"/>
          <w:bCs/>
          <w:noProof/>
          <w:sz w:val="24"/>
          <w:lang w:val="en-IE"/>
        </w:rPr>
        <w:t>set out in the SWD</w:t>
      </w:r>
      <w:r w:rsidRPr="00FA5628">
        <w:rPr>
          <w:rFonts w:ascii="Times New Roman" w:hAnsi="Times New Roman" w:cs="Times New Roman"/>
          <w:bCs/>
          <w:noProof/>
          <w:sz w:val="24"/>
          <w:lang w:val="en-IE"/>
        </w:rPr>
        <w:t>, the Commission concludes that the Isle of Man continues to provide an adequate level of protection for personal data transferred from the EU.</w:t>
      </w:r>
    </w:p>
    <w:p w14:paraId="733C9A9E" w14:textId="77777777" w:rsidR="002A532D" w:rsidRDefault="00026B70" w:rsidP="00386EAC">
      <w:pPr>
        <w:pStyle w:val="ListParagraph"/>
        <w:numPr>
          <w:ilvl w:val="1"/>
          <w:numId w:val="3"/>
        </w:numPr>
        <w:ind w:left="1134" w:hanging="850"/>
        <w:contextualSpacing w:val="0"/>
        <w:rPr>
          <w:rFonts w:ascii="Times New Roman" w:hAnsi="Times New Roman" w:cs="Times New Roman"/>
          <w:b/>
          <w:i/>
          <w:noProof/>
          <w:sz w:val="24"/>
          <w:szCs w:val="24"/>
        </w:rPr>
      </w:pPr>
      <w:r>
        <w:rPr>
          <w:rFonts w:ascii="Times New Roman" w:hAnsi="Times New Roman" w:cs="Times New Roman"/>
          <w:b/>
          <w:i/>
          <w:noProof/>
          <w:sz w:val="24"/>
          <w:szCs w:val="24"/>
        </w:rPr>
        <w:t>Israel</w:t>
      </w:r>
    </w:p>
    <w:p w14:paraId="770487B2" w14:textId="4D3A1B70" w:rsidR="00026B70" w:rsidRDefault="001552F0" w:rsidP="00386EAC">
      <w:pPr>
        <w:jc w:val="both"/>
        <w:rPr>
          <w:rFonts w:ascii="Times New Roman" w:hAnsi="Times New Roman" w:cs="Times New Roman"/>
          <w:bCs/>
          <w:noProof/>
          <w:sz w:val="24"/>
          <w:lang w:val="en-IE"/>
        </w:rPr>
      </w:pPr>
      <w:r w:rsidRPr="001552F0">
        <w:rPr>
          <w:rFonts w:ascii="Times New Roman" w:hAnsi="Times New Roman" w:cs="Times New Roman"/>
          <w:bCs/>
          <w:noProof/>
          <w:sz w:val="24"/>
          <w:lang w:val="en-IE"/>
        </w:rPr>
        <w:t>The Commission welcomes the developments in the</w:t>
      </w:r>
      <w:r>
        <w:rPr>
          <w:rFonts w:ascii="Times New Roman" w:hAnsi="Times New Roman" w:cs="Times New Roman"/>
          <w:bCs/>
          <w:noProof/>
          <w:sz w:val="24"/>
          <w:lang w:val="en-IE"/>
        </w:rPr>
        <w:t xml:space="preserve"> Israeli</w:t>
      </w:r>
      <w:r w:rsidRPr="001552F0">
        <w:rPr>
          <w:rFonts w:ascii="Times New Roman" w:hAnsi="Times New Roman" w:cs="Times New Roman"/>
          <w:bCs/>
          <w:noProof/>
          <w:sz w:val="24"/>
          <w:lang w:val="en-IE"/>
        </w:rPr>
        <w:t xml:space="preserve"> legal framework since the adoption of the adequacy decision, including legislative amendments, case law and activities of oversight bodies, which have contributed to an increased level of data protection.</w:t>
      </w:r>
      <w:r w:rsidR="009D534C">
        <w:rPr>
          <w:rFonts w:ascii="Times New Roman" w:hAnsi="Times New Roman" w:cs="Times New Roman"/>
          <w:bCs/>
          <w:noProof/>
          <w:sz w:val="24"/>
          <w:lang w:val="en-IE"/>
        </w:rPr>
        <w:t xml:space="preserve"> In particular, </w:t>
      </w:r>
      <w:bookmarkStart w:id="6" w:name="_Hlk147482838"/>
      <w:r w:rsidR="00774B9F" w:rsidRPr="00774B9F">
        <w:rPr>
          <w:rFonts w:ascii="Times New Roman" w:hAnsi="Times New Roman" w:cs="Times New Roman"/>
          <w:bCs/>
          <w:noProof/>
          <w:sz w:val="24"/>
          <w:lang w:val="en-IE"/>
        </w:rPr>
        <w:t>Israel introduced specific safeguards to reinforce the protection of personal data transferred from the European Economic Area by adopting Privacy Protection Regulations (Instructions for Data that was Transferred to Israel from the European Economic Area), 5783-202</w:t>
      </w:r>
      <w:r w:rsidR="00DC0AC5">
        <w:rPr>
          <w:rFonts w:ascii="Times New Roman" w:hAnsi="Times New Roman" w:cs="Times New Roman"/>
          <w:bCs/>
          <w:noProof/>
          <w:sz w:val="24"/>
          <w:lang w:val="en-IE"/>
        </w:rPr>
        <w:t>3</w:t>
      </w:r>
      <w:bookmarkEnd w:id="6"/>
      <w:r w:rsidR="00DC0AC5">
        <w:rPr>
          <w:rFonts w:ascii="Times New Roman" w:hAnsi="Times New Roman" w:cs="Times New Roman"/>
          <w:bCs/>
          <w:noProof/>
          <w:sz w:val="24"/>
          <w:lang w:val="en-IE"/>
        </w:rPr>
        <w:t xml:space="preserve">. Israel also </w:t>
      </w:r>
      <w:r w:rsidR="00774B9F">
        <w:rPr>
          <w:rFonts w:ascii="Times New Roman" w:hAnsi="Times New Roman" w:cs="Times New Roman"/>
          <w:bCs/>
          <w:noProof/>
          <w:sz w:val="24"/>
          <w:lang w:val="en-IE"/>
        </w:rPr>
        <w:t xml:space="preserve">strengthened the requirements for data security by adopting </w:t>
      </w:r>
      <w:r w:rsidR="00774B9F" w:rsidRPr="00774B9F">
        <w:rPr>
          <w:rFonts w:ascii="Times New Roman" w:hAnsi="Times New Roman" w:cs="Times New Roman"/>
          <w:bCs/>
          <w:noProof/>
          <w:sz w:val="24"/>
          <w:lang w:val="en-IE"/>
        </w:rPr>
        <w:t>Privacy Protection (Data Security) Regulations, 5777-2017</w:t>
      </w:r>
      <w:r w:rsidR="00DC0AC5">
        <w:rPr>
          <w:rFonts w:ascii="Times New Roman" w:hAnsi="Times New Roman" w:cs="Times New Roman"/>
          <w:bCs/>
          <w:noProof/>
          <w:sz w:val="24"/>
          <w:lang w:val="en-IE"/>
        </w:rPr>
        <w:t xml:space="preserve"> and co</w:t>
      </w:r>
      <w:r w:rsidR="009F17CB">
        <w:rPr>
          <w:rFonts w:ascii="Times New Roman" w:hAnsi="Times New Roman" w:cs="Times New Roman"/>
          <w:bCs/>
          <w:noProof/>
          <w:sz w:val="24"/>
          <w:lang w:val="en-IE"/>
        </w:rPr>
        <w:t>nsolidated</w:t>
      </w:r>
      <w:r w:rsidR="00DC0AC5">
        <w:rPr>
          <w:rFonts w:ascii="Times New Roman" w:hAnsi="Times New Roman" w:cs="Times New Roman"/>
          <w:bCs/>
          <w:noProof/>
          <w:sz w:val="24"/>
          <w:lang w:val="en-IE"/>
        </w:rPr>
        <w:t xml:space="preserve"> the independence of its data protection supervisory authority in a binding government resolution.</w:t>
      </w:r>
    </w:p>
    <w:p w14:paraId="03D6B1E0" w14:textId="1B258146" w:rsidR="0093064C" w:rsidRDefault="00802EF9" w:rsidP="00386EAC">
      <w:pPr>
        <w:jc w:val="both"/>
        <w:rPr>
          <w:rFonts w:ascii="Times New Roman" w:hAnsi="Times New Roman" w:cs="Times New Roman"/>
          <w:bCs/>
          <w:noProof/>
          <w:sz w:val="24"/>
          <w:lang w:val="en-IE"/>
        </w:rPr>
      </w:pPr>
      <w:r>
        <w:rPr>
          <w:rFonts w:ascii="Times New Roman" w:hAnsi="Times New Roman" w:cs="Times New Roman"/>
          <w:bCs/>
          <w:noProof/>
          <w:sz w:val="24"/>
        </w:rPr>
        <w:t xml:space="preserve">In the area of government access to personal data, </w:t>
      </w:r>
      <w:r w:rsidRPr="00441ED2">
        <w:rPr>
          <w:rFonts w:ascii="Times New Roman" w:hAnsi="Times New Roman" w:cs="Times New Roman"/>
          <w:bCs/>
          <w:noProof/>
          <w:sz w:val="24"/>
        </w:rPr>
        <w:t xml:space="preserve">public authorities </w:t>
      </w:r>
      <w:r>
        <w:rPr>
          <w:rFonts w:ascii="Times New Roman" w:hAnsi="Times New Roman" w:cs="Times New Roman"/>
          <w:bCs/>
          <w:noProof/>
          <w:sz w:val="24"/>
        </w:rPr>
        <w:t xml:space="preserve">in Israel </w:t>
      </w:r>
      <w:r w:rsidRPr="00441ED2">
        <w:rPr>
          <w:rFonts w:ascii="Times New Roman" w:hAnsi="Times New Roman" w:cs="Times New Roman"/>
          <w:bCs/>
          <w:noProof/>
          <w:sz w:val="24"/>
        </w:rPr>
        <w:t xml:space="preserve">are subject to clear, precise and accessible rules </w:t>
      </w:r>
      <w:r>
        <w:rPr>
          <w:rFonts w:ascii="Times New Roman" w:hAnsi="Times New Roman" w:cs="Times New Roman"/>
          <w:bCs/>
          <w:noProof/>
          <w:sz w:val="24"/>
        </w:rPr>
        <w:t xml:space="preserve">under which such authorities can access and subsequently use for public interest objectives, in particular for criminal law enforcement and national security purposes, data transferred from the </w:t>
      </w:r>
      <w:r w:rsidR="007F26DB">
        <w:rPr>
          <w:rFonts w:ascii="Times New Roman" w:hAnsi="Times New Roman" w:cs="Times New Roman"/>
          <w:bCs/>
          <w:noProof/>
          <w:sz w:val="24"/>
        </w:rPr>
        <w:t>EU</w:t>
      </w:r>
      <w:r w:rsidRPr="00441ED2">
        <w:rPr>
          <w:rFonts w:ascii="Times New Roman" w:hAnsi="Times New Roman" w:cs="Times New Roman"/>
          <w:bCs/>
          <w:noProof/>
          <w:sz w:val="24"/>
        </w:rPr>
        <w:t xml:space="preserve">. </w:t>
      </w:r>
      <w:r w:rsidR="0093064C" w:rsidRPr="0093064C">
        <w:rPr>
          <w:rFonts w:ascii="Times New Roman" w:hAnsi="Times New Roman" w:cs="Times New Roman"/>
          <w:bCs/>
          <w:noProof/>
          <w:sz w:val="24"/>
          <w:lang w:val="en-IE"/>
        </w:rPr>
        <w:t xml:space="preserve">These limitations and safeguards follow from the overarching legal framework, notably the </w:t>
      </w:r>
      <w:r w:rsidR="0093064C">
        <w:rPr>
          <w:rFonts w:ascii="Times New Roman" w:hAnsi="Times New Roman" w:cs="Times New Roman"/>
          <w:bCs/>
          <w:noProof/>
          <w:sz w:val="24"/>
          <w:lang w:val="en-IE"/>
        </w:rPr>
        <w:t>Israeli Basic Law,</w:t>
      </w:r>
      <w:r w:rsidR="0093064C" w:rsidRPr="0093064C">
        <w:rPr>
          <w:rFonts w:ascii="Times New Roman" w:hAnsi="Times New Roman" w:cs="Times New Roman"/>
          <w:bCs/>
          <w:noProof/>
          <w:sz w:val="24"/>
          <w:lang w:val="en-IE"/>
        </w:rPr>
        <w:t xml:space="preserve"> as well as from </w:t>
      </w:r>
      <w:r w:rsidR="00A30010">
        <w:rPr>
          <w:rFonts w:ascii="Times New Roman" w:hAnsi="Times New Roman" w:cs="Times New Roman"/>
          <w:bCs/>
          <w:noProof/>
          <w:sz w:val="24"/>
          <w:lang w:val="en-IE"/>
        </w:rPr>
        <w:t xml:space="preserve">the </w:t>
      </w:r>
      <w:r w:rsidR="00A30010" w:rsidRPr="00A30010">
        <w:rPr>
          <w:rFonts w:ascii="Times New Roman" w:hAnsi="Times New Roman" w:cs="Times New Roman"/>
          <w:bCs/>
          <w:noProof/>
          <w:sz w:val="24"/>
          <w:lang w:val="en-IE"/>
        </w:rPr>
        <w:t>Protection of Privacy Law, 5741-1981</w:t>
      </w:r>
      <w:r w:rsidR="00A30010" w:rsidRPr="00A30010" w:rsidDel="00A30010">
        <w:rPr>
          <w:rFonts w:ascii="Times New Roman" w:hAnsi="Times New Roman" w:cs="Times New Roman"/>
          <w:bCs/>
          <w:noProof/>
          <w:sz w:val="24"/>
          <w:lang w:val="en-IE"/>
        </w:rPr>
        <w:t xml:space="preserve"> </w:t>
      </w:r>
      <w:r w:rsidR="001F0143">
        <w:rPr>
          <w:rFonts w:ascii="Times New Roman" w:hAnsi="Times New Roman" w:cs="Times New Roman"/>
          <w:bCs/>
          <w:noProof/>
          <w:sz w:val="24"/>
          <w:lang w:val="en-IE"/>
        </w:rPr>
        <w:t>and the Regulations adopted thereunder, which</w:t>
      </w:r>
      <w:r w:rsidR="001F0143" w:rsidRPr="0093064C">
        <w:rPr>
          <w:rFonts w:ascii="Times New Roman" w:hAnsi="Times New Roman" w:cs="Times New Roman"/>
          <w:bCs/>
          <w:noProof/>
          <w:sz w:val="24"/>
          <w:lang w:val="en-IE"/>
        </w:rPr>
        <w:t xml:space="preserve"> </w:t>
      </w:r>
      <w:r w:rsidR="0093064C" w:rsidRPr="0093064C">
        <w:rPr>
          <w:rFonts w:ascii="Times New Roman" w:hAnsi="Times New Roman" w:cs="Times New Roman"/>
          <w:bCs/>
          <w:noProof/>
          <w:sz w:val="24"/>
          <w:lang w:val="en-IE"/>
        </w:rPr>
        <w:t>appl</w:t>
      </w:r>
      <w:r w:rsidR="001F0143">
        <w:rPr>
          <w:rFonts w:ascii="Times New Roman" w:hAnsi="Times New Roman" w:cs="Times New Roman"/>
          <w:bCs/>
          <w:noProof/>
          <w:sz w:val="24"/>
          <w:lang w:val="en-IE"/>
        </w:rPr>
        <w:t>y</w:t>
      </w:r>
      <w:r w:rsidR="0093064C" w:rsidRPr="0093064C">
        <w:rPr>
          <w:rFonts w:ascii="Times New Roman" w:hAnsi="Times New Roman" w:cs="Times New Roman"/>
          <w:bCs/>
          <w:noProof/>
          <w:sz w:val="24"/>
          <w:lang w:val="en-IE"/>
        </w:rPr>
        <w:t xml:space="preserve"> to the processing of personal data by </w:t>
      </w:r>
      <w:r w:rsidR="00774B9F">
        <w:rPr>
          <w:rFonts w:ascii="Times New Roman" w:hAnsi="Times New Roman" w:cs="Times New Roman"/>
          <w:bCs/>
          <w:noProof/>
          <w:sz w:val="24"/>
          <w:lang w:val="en-IE"/>
        </w:rPr>
        <w:t>Israeli</w:t>
      </w:r>
      <w:r w:rsidR="0093064C" w:rsidRPr="0093064C">
        <w:rPr>
          <w:rFonts w:ascii="Times New Roman" w:hAnsi="Times New Roman" w:cs="Times New Roman"/>
          <w:bCs/>
          <w:noProof/>
          <w:sz w:val="24"/>
          <w:lang w:val="en-IE"/>
        </w:rPr>
        <w:t xml:space="preserve"> public authorities, including for law enforcement and national security purposes. In addition, </w:t>
      </w:r>
      <w:r w:rsidR="0093064C">
        <w:rPr>
          <w:rFonts w:ascii="Times New Roman" w:hAnsi="Times New Roman" w:cs="Times New Roman"/>
          <w:bCs/>
          <w:noProof/>
          <w:sz w:val="24"/>
          <w:lang w:val="en-IE"/>
        </w:rPr>
        <w:t xml:space="preserve">Israeli </w:t>
      </w:r>
      <w:r w:rsidR="0093064C" w:rsidRPr="0093064C">
        <w:rPr>
          <w:rFonts w:ascii="Times New Roman" w:hAnsi="Times New Roman" w:cs="Times New Roman"/>
          <w:bCs/>
          <w:noProof/>
          <w:sz w:val="24"/>
          <w:lang w:val="en-IE"/>
        </w:rPr>
        <w:t>law imposes a number of specific limitations on the access to and use of personal data for criminal law enforcement and national security purposes, and it provides oversight and redress mechanisms in this area.</w:t>
      </w:r>
    </w:p>
    <w:p w14:paraId="5E729BBD" w14:textId="77777777" w:rsidR="001552F0" w:rsidRDefault="001552F0" w:rsidP="00386EAC">
      <w:pPr>
        <w:jc w:val="both"/>
        <w:rPr>
          <w:rFonts w:ascii="Times New Roman" w:hAnsi="Times New Roman" w:cs="Times New Roman"/>
          <w:bCs/>
          <w:noProof/>
          <w:sz w:val="24"/>
          <w:lang w:val="en-IE"/>
        </w:rPr>
      </w:pPr>
      <w:r w:rsidRPr="001552F0">
        <w:rPr>
          <w:rFonts w:ascii="Times New Roman" w:hAnsi="Times New Roman" w:cs="Times New Roman"/>
          <w:bCs/>
          <w:noProof/>
          <w:sz w:val="24"/>
          <w:lang w:val="en-IE"/>
        </w:rPr>
        <w:t xml:space="preserve">Based on the overall findings set out in the SWD, the Commission concludes that </w:t>
      </w:r>
      <w:r>
        <w:rPr>
          <w:rFonts w:ascii="Times New Roman" w:hAnsi="Times New Roman" w:cs="Times New Roman"/>
          <w:bCs/>
          <w:noProof/>
          <w:sz w:val="24"/>
          <w:lang w:val="en-IE"/>
        </w:rPr>
        <w:t>Israel</w:t>
      </w:r>
      <w:r w:rsidRPr="001552F0">
        <w:rPr>
          <w:rFonts w:ascii="Times New Roman" w:hAnsi="Times New Roman" w:cs="Times New Roman"/>
          <w:bCs/>
          <w:noProof/>
          <w:sz w:val="24"/>
          <w:lang w:val="en-IE"/>
        </w:rPr>
        <w:t xml:space="preserve"> continues to provide an adequate level of protection for personal data transferred from the EU.</w:t>
      </w:r>
    </w:p>
    <w:p w14:paraId="6DCD98CB" w14:textId="7E0B9BFA" w:rsidR="009D534C" w:rsidRPr="001552F0" w:rsidRDefault="009D534C" w:rsidP="00386EAC">
      <w:pPr>
        <w:jc w:val="both"/>
        <w:rPr>
          <w:rFonts w:ascii="Times New Roman" w:hAnsi="Times New Roman" w:cs="Times New Roman"/>
          <w:bCs/>
          <w:noProof/>
          <w:sz w:val="24"/>
          <w:lang w:val="en-IE"/>
        </w:rPr>
      </w:pPr>
      <w:r w:rsidRPr="009D534C">
        <w:rPr>
          <w:rFonts w:ascii="Times New Roman" w:hAnsi="Times New Roman" w:cs="Times New Roman"/>
          <w:bCs/>
          <w:noProof/>
          <w:sz w:val="24"/>
          <w:lang w:val="en-IE"/>
        </w:rPr>
        <w:t xml:space="preserve">At the same time, the Commission recommends </w:t>
      </w:r>
      <w:r w:rsidR="00794AD7" w:rsidRPr="009D534C">
        <w:rPr>
          <w:rFonts w:ascii="Times New Roman" w:hAnsi="Times New Roman" w:cs="Times New Roman"/>
          <w:bCs/>
          <w:noProof/>
          <w:sz w:val="24"/>
          <w:lang w:val="en-IE"/>
        </w:rPr>
        <w:t>enshrining</w:t>
      </w:r>
      <w:r w:rsidRPr="009D534C">
        <w:rPr>
          <w:rFonts w:ascii="Times New Roman" w:hAnsi="Times New Roman" w:cs="Times New Roman"/>
          <w:bCs/>
          <w:noProof/>
          <w:sz w:val="24"/>
          <w:lang w:val="en-IE"/>
        </w:rPr>
        <w:t xml:space="preserve"> </w:t>
      </w:r>
      <w:r w:rsidR="009F17CB">
        <w:rPr>
          <w:rFonts w:ascii="Times New Roman" w:hAnsi="Times New Roman" w:cs="Times New Roman"/>
          <w:bCs/>
          <w:noProof/>
          <w:sz w:val="24"/>
          <w:lang w:val="en-IE"/>
        </w:rPr>
        <w:t xml:space="preserve">in legislation </w:t>
      </w:r>
      <w:r w:rsidRPr="009D534C">
        <w:rPr>
          <w:rFonts w:ascii="Times New Roman" w:hAnsi="Times New Roman" w:cs="Times New Roman"/>
          <w:bCs/>
          <w:noProof/>
          <w:sz w:val="24"/>
          <w:lang w:val="en-IE"/>
        </w:rPr>
        <w:t>the protections that have been developed at sub-legislative level</w:t>
      </w:r>
      <w:r w:rsidR="009F17CB">
        <w:rPr>
          <w:rFonts w:ascii="Times New Roman" w:hAnsi="Times New Roman" w:cs="Times New Roman"/>
          <w:bCs/>
          <w:noProof/>
          <w:sz w:val="24"/>
          <w:lang w:val="en-IE"/>
        </w:rPr>
        <w:t xml:space="preserve"> and by case law, in order </w:t>
      </w:r>
      <w:r w:rsidRPr="009D534C">
        <w:rPr>
          <w:rFonts w:ascii="Times New Roman" w:hAnsi="Times New Roman" w:cs="Times New Roman"/>
          <w:bCs/>
          <w:noProof/>
          <w:sz w:val="24"/>
          <w:lang w:val="en-IE"/>
        </w:rPr>
        <w:t xml:space="preserve">to enhance legal certainty and solidify these requirements. The </w:t>
      </w:r>
      <w:r w:rsidR="00774B9F" w:rsidRPr="00774B9F">
        <w:rPr>
          <w:rFonts w:ascii="Times New Roman" w:hAnsi="Times New Roman" w:cs="Times New Roman"/>
          <w:bCs/>
          <w:noProof/>
          <w:sz w:val="24"/>
          <w:lang w:val="en-IE"/>
        </w:rPr>
        <w:t>Privacy Protection Bill (Amendment No. 14), 5722-2022</w:t>
      </w:r>
      <w:r w:rsidR="00774B9F">
        <w:rPr>
          <w:rFonts w:ascii="Times New Roman" w:hAnsi="Times New Roman" w:cs="Times New Roman"/>
          <w:bCs/>
          <w:noProof/>
          <w:sz w:val="24"/>
          <w:lang w:val="en-IE"/>
        </w:rPr>
        <w:t xml:space="preserve"> that has recently been introduced into the Israeli Parliament </w:t>
      </w:r>
      <w:r w:rsidRPr="009D534C">
        <w:rPr>
          <w:rFonts w:ascii="Times New Roman" w:hAnsi="Times New Roman" w:cs="Times New Roman"/>
          <w:bCs/>
          <w:noProof/>
          <w:sz w:val="24"/>
          <w:lang w:val="en-IE"/>
        </w:rPr>
        <w:t>offer</w:t>
      </w:r>
      <w:r w:rsidR="009F17CB">
        <w:rPr>
          <w:rFonts w:ascii="Times New Roman" w:hAnsi="Times New Roman" w:cs="Times New Roman"/>
          <w:bCs/>
          <w:noProof/>
          <w:sz w:val="24"/>
          <w:lang w:val="en-IE"/>
        </w:rPr>
        <w:t>s</w:t>
      </w:r>
      <w:r w:rsidRPr="009D534C">
        <w:rPr>
          <w:rFonts w:ascii="Times New Roman" w:hAnsi="Times New Roman" w:cs="Times New Roman"/>
          <w:bCs/>
          <w:noProof/>
          <w:sz w:val="24"/>
          <w:lang w:val="en-IE"/>
        </w:rPr>
        <w:t xml:space="preserve"> an </w:t>
      </w:r>
      <w:r w:rsidR="009F17CB">
        <w:rPr>
          <w:rFonts w:ascii="Times New Roman" w:hAnsi="Times New Roman" w:cs="Times New Roman"/>
          <w:bCs/>
          <w:noProof/>
          <w:sz w:val="24"/>
          <w:lang w:val="en-IE"/>
        </w:rPr>
        <w:t xml:space="preserve">important </w:t>
      </w:r>
      <w:r w:rsidRPr="009D534C">
        <w:rPr>
          <w:rFonts w:ascii="Times New Roman" w:hAnsi="Times New Roman" w:cs="Times New Roman"/>
          <w:bCs/>
          <w:noProof/>
          <w:sz w:val="24"/>
          <w:lang w:val="en-IE"/>
        </w:rPr>
        <w:t xml:space="preserve">opportunity to consolidate and codify such developments, and thereby further strengthen the </w:t>
      </w:r>
      <w:r w:rsidR="00856455">
        <w:rPr>
          <w:rFonts w:ascii="Times New Roman" w:hAnsi="Times New Roman" w:cs="Times New Roman"/>
          <w:bCs/>
          <w:noProof/>
          <w:sz w:val="24"/>
          <w:lang w:val="en-IE"/>
        </w:rPr>
        <w:t>Israeli</w:t>
      </w:r>
      <w:r w:rsidRPr="009D534C">
        <w:rPr>
          <w:rFonts w:ascii="Times New Roman" w:hAnsi="Times New Roman" w:cs="Times New Roman"/>
          <w:bCs/>
          <w:noProof/>
          <w:sz w:val="24"/>
          <w:lang w:val="en-IE"/>
        </w:rPr>
        <w:t xml:space="preserve"> privacy framework.</w:t>
      </w:r>
      <w:r w:rsidR="00856455">
        <w:rPr>
          <w:rFonts w:ascii="Times New Roman" w:hAnsi="Times New Roman" w:cs="Times New Roman"/>
          <w:bCs/>
          <w:noProof/>
          <w:sz w:val="24"/>
          <w:lang w:val="en-IE"/>
        </w:rPr>
        <w:t xml:space="preserve"> </w:t>
      </w:r>
      <w:r w:rsidR="00856455" w:rsidRPr="00856455">
        <w:rPr>
          <w:rFonts w:ascii="Times New Roman" w:hAnsi="Times New Roman" w:cs="Times New Roman"/>
          <w:bCs/>
          <w:noProof/>
          <w:sz w:val="24"/>
          <w:lang w:val="en-IE"/>
        </w:rPr>
        <w:t>The Commission will closely monitor future developments in this area.</w:t>
      </w:r>
    </w:p>
    <w:p w14:paraId="036B9C9C" w14:textId="77777777" w:rsidR="002A532D" w:rsidRDefault="00026B70" w:rsidP="00386EAC">
      <w:pPr>
        <w:pStyle w:val="ListParagraph"/>
        <w:numPr>
          <w:ilvl w:val="1"/>
          <w:numId w:val="3"/>
        </w:numPr>
        <w:ind w:left="1276" w:hanging="992"/>
        <w:contextualSpacing w:val="0"/>
        <w:rPr>
          <w:rFonts w:ascii="Times New Roman" w:hAnsi="Times New Roman" w:cs="Times New Roman"/>
          <w:b/>
          <w:i/>
          <w:noProof/>
          <w:sz w:val="24"/>
          <w:szCs w:val="24"/>
        </w:rPr>
      </w:pPr>
      <w:r>
        <w:rPr>
          <w:rFonts w:ascii="Times New Roman" w:hAnsi="Times New Roman" w:cs="Times New Roman"/>
          <w:b/>
          <w:i/>
          <w:noProof/>
          <w:sz w:val="24"/>
          <w:szCs w:val="24"/>
        </w:rPr>
        <w:t>Jersey</w:t>
      </w:r>
    </w:p>
    <w:p w14:paraId="5263BFB2" w14:textId="2E50BCFD" w:rsidR="005146CA" w:rsidRDefault="001552F0" w:rsidP="00386EAC">
      <w:pPr>
        <w:jc w:val="both"/>
        <w:rPr>
          <w:rFonts w:ascii="Times New Roman" w:hAnsi="Times New Roman" w:cs="Times New Roman"/>
          <w:bCs/>
          <w:noProof/>
          <w:sz w:val="24"/>
          <w:lang w:val="en-IE"/>
        </w:rPr>
      </w:pPr>
      <w:r w:rsidRPr="001552F0">
        <w:rPr>
          <w:rFonts w:ascii="Times New Roman" w:hAnsi="Times New Roman" w:cs="Times New Roman"/>
          <w:bCs/>
          <w:noProof/>
          <w:sz w:val="24"/>
          <w:lang w:val="en-IE"/>
        </w:rPr>
        <w:t xml:space="preserve">The Commission welcomes the developments in the </w:t>
      </w:r>
      <w:r>
        <w:rPr>
          <w:rFonts w:ascii="Times New Roman" w:hAnsi="Times New Roman" w:cs="Times New Roman"/>
          <w:bCs/>
          <w:noProof/>
          <w:sz w:val="24"/>
          <w:lang w:val="en-IE"/>
        </w:rPr>
        <w:t>Jersey</w:t>
      </w:r>
      <w:r w:rsidRPr="001552F0">
        <w:rPr>
          <w:rFonts w:ascii="Times New Roman" w:hAnsi="Times New Roman" w:cs="Times New Roman"/>
          <w:bCs/>
          <w:noProof/>
          <w:sz w:val="24"/>
          <w:lang w:val="en-IE"/>
        </w:rPr>
        <w:t xml:space="preserve"> legal framework since the adoption of the adequacy decision, including legislative amendments, case law and activities of oversight bodies, which have contributed to an increased level of data protection.</w:t>
      </w:r>
      <w:r w:rsidR="00AF1EC1" w:rsidRPr="00AF1EC1">
        <w:rPr>
          <w:noProof/>
        </w:rPr>
        <w:t xml:space="preserve"> </w:t>
      </w:r>
      <w:r w:rsidR="00AF1EC1" w:rsidRPr="00AF1EC1">
        <w:rPr>
          <w:rFonts w:ascii="Times New Roman" w:hAnsi="Times New Roman" w:cs="Times New Roman"/>
          <w:bCs/>
          <w:noProof/>
          <w:sz w:val="24"/>
          <w:lang w:val="en-IE"/>
        </w:rPr>
        <w:t xml:space="preserve">In particular, </w:t>
      </w:r>
      <w:r w:rsidR="00AF1EC1">
        <w:rPr>
          <w:rFonts w:ascii="Times New Roman" w:hAnsi="Times New Roman" w:cs="Times New Roman"/>
          <w:bCs/>
          <w:noProof/>
          <w:sz w:val="24"/>
          <w:lang w:val="en-IE"/>
        </w:rPr>
        <w:t xml:space="preserve">Jersey </w:t>
      </w:r>
      <w:r w:rsidR="00AF1EC1" w:rsidRPr="00AF1EC1">
        <w:rPr>
          <w:rFonts w:ascii="Times New Roman" w:hAnsi="Times New Roman" w:cs="Times New Roman"/>
          <w:bCs/>
          <w:noProof/>
          <w:sz w:val="24"/>
          <w:lang w:val="en-IE"/>
        </w:rPr>
        <w:t xml:space="preserve">has significantly modernised its data protection framework by adopting the Data Protection (Jersey) Law 2018 </w:t>
      </w:r>
      <w:r w:rsidR="00AF1EC1">
        <w:rPr>
          <w:rFonts w:ascii="Times New Roman" w:hAnsi="Times New Roman" w:cs="Times New Roman"/>
          <w:bCs/>
          <w:noProof/>
          <w:sz w:val="24"/>
          <w:lang w:val="en-IE"/>
        </w:rPr>
        <w:t>and</w:t>
      </w:r>
      <w:r w:rsidR="00AF1EC1" w:rsidRPr="00AF1EC1">
        <w:rPr>
          <w:rFonts w:ascii="Times New Roman" w:hAnsi="Times New Roman" w:cs="Times New Roman"/>
          <w:bCs/>
          <w:noProof/>
          <w:sz w:val="24"/>
          <w:lang w:val="en-IE"/>
        </w:rPr>
        <w:t xml:space="preserve"> the Data Protection Authority (Jersey) Law 201</w:t>
      </w:r>
      <w:r w:rsidR="005146CA">
        <w:rPr>
          <w:rFonts w:ascii="Times New Roman" w:hAnsi="Times New Roman" w:cs="Times New Roman"/>
          <w:bCs/>
          <w:noProof/>
          <w:sz w:val="24"/>
          <w:lang w:val="en-IE"/>
        </w:rPr>
        <w:t xml:space="preserve">8 which entered into force in 2018 and </w:t>
      </w:r>
      <w:r w:rsidR="004839A6">
        <w:rPr>
          <w:rFonts w:ascii="Times New Roman" w:hAnsi="Times New Roman" w:cs="Times New Roman"/>
          <w:bCs/>
          <w:noProof/>
          <w:sz w:val="24"/>
          <w:lang w:val="en-IE"/>
        </w:rPr>
        <w:t xml:space="preserve">align </w:t>
      </w:r>
      <w:r w:rsidR="005146CA" w:rsidRPr="005146CA">
        <w:rPr>
          <w:rFonts w:ascii="Times New Roman" w:hAnsi="Times New Roman" w:cs="Times New Roman"/>
          <w:bCs/>
          <w:noProof/>
          <w:sz w:val="24"/>
          <w:lang w:val="en-IE"/>
        </w:rPr>
        <w:t xml:space="preserve">the </w:t>
      </w:r>
      <w:r w:rsidR="004839A6">
        <w:rPr>
          <w:rFonts w:ascii="Times New Roman" w:hAnsi="Times New Roman" w:cs="Times New Roman"/>
          <w:bCs/>
          <w:noProof/>
          <w:sz w:val="24"/>
          <w:lang w:val="en-IE"/>
        </w:rPr>
        <w:t>Jersey</w:t>
      </w:r>
      <w:r w:rsidR="005146CA" w:rsidRPr="005146CA">
        <w:rPr>
          <w:rFonts w:ascii="Times New Roman" w:hAnsi="Times New Roman" w:cs="Times New Roman"/>
          <w:bCs/>
          <w:noProof/>
          <w:sz w:val="24"/>
          <w:lang w:val="en-IE"/>
        </w:rPr>
        <w:t xml:space="preserve"> regime closely with the GDPR.</w:t>
      </w:r>
    </w:p>
    <w:p w14:paraId="57BE0440" w14:textId="08DD10D5" w:rsidR="001552F0" w:rsidRDefault="00802EF9" w:rsidP="00386EAC">
      <w:pPr>
        <w:jc w:val="both"/>
        <w:rPr>
          <w:rFonts w:ascii="Times New Roman" w:hAnsi="Times New Roman" w:cs="Times New Roman"/>
          <w:bCs/>
          <w:noProof/>
          <w:sz w:val="24"/>
          <w:lang w:val="en-IE"/>
        </w:rPr>
      </w:pPr>
      <w:r>
        <w:rPr>
          <w:rFonts w:ascii="Times New Roman" w:hAnsi="Times New Roman" w:cs="Times New Roman"/>
          <w:bCs/>
          <w:noProof/>
          <w:sz w:val="24"/>
        </w:rPr>
        <w:t xml:space="preserve">In the area of government access to personal data, </w:t>
      </w:r>
      <w:r w:rsidRPr="00441ED2">
        <w:rPr>
          <w:rFonts w:ascii="Times New Roman" w:hAnsi="Times New Roman" w:cs="Times New Roman"/>
          <w:bCs/>
          <w:noProof/>
          <w:sz w:val="24"/>
        </w:rPr>
        <w:t xml:space="preserve">public authorities </w:t>
      </w:r>
      <w:r>
        <w:rPr>
          <w:rFonts w:ascii="Times New Roman" w:hAnsi="Times New Roman" w:cs="Times New Roman"/>
          <w:bCs/>
          <w:noProof/>
          <w:sz w:val="24"/>
        </w:rPr>
        <w:t xml:space="preserve">in Jersey </w:t>
      </w:r>
      <w:r w:rsidRPr="00441ED2">
        <w:rPr>
          <w:rFonts w:ascii="Times New Roman" w:hAnsi="Times New Roman" w:cs="Times New Roman"/>
          <w:bCs/>
          <w:noProof/>
          <w:sz w:val="24"/>
        </w:rPr>
        <w:t xml:space="preserve">are subject to clear, precise and accessible rules </w:t>
      </w:r>
      <w:r>
        <w:rPr>
          <w:rFonts w:ascii="Times New Roman" w:hAnsi="Times New Roman" w:cs="Times New Roman"/>
          <w:bCs/>
          <w:noProof/>
          <w:sz w:val="24"/>
        </w:rPr>
        <w:t xml:space="preserve">under which such authorities can access and subsequently use for public interest objectives, in particular for criminal law enforcement and national security purposes, data transferred from the </w:t>
      </w:r>
      <w:r w:rsidR="007F26DB">
        <w:rPr>
          <w:rFonts w:ascii="Times New Roman" w:hAnsi="Times New Roman" w:cs="Times New Roman"/>
          <w:bCs/>
          <w:noProof/>
          <w:sz w:val="24"/>
        </w:rPr>
        <w:t>EU</w:t>
      </w:r>
      <w:r w:rsidRPr="00441ED2">
        <w:rPr>
          <w:rFonts w:ascii="Times New Roman" w:hAnsi="Times New Roman" w:cs="Times New Roman"/>
          <w:bCs/>
          <w:noProof/>
          <w:sz w:val="24"/>
        </w:rPr>
        <w:t xml:space="preserve">. </w:t>
      </w:r>
      <w:r w:rsidR="00AF1EC1" w:rsidRPr="00AF1EC1">
        <w:rPr>
          <w:rFonts w:ascii="Times New Roman" w:hAnsi="Times New Roman" w:cs="Times New Roman"/>
          <w:bCs/>
          <w:noProof/>
          <w:sz w:val="24"/>
          <w:lang w:val="en-IE"/>
        </w:rPr>
        <w:t xml:space="preserve">These limitations and safeguards follow from the overarching legal framework and international commitments, notably the </w:t>
      </w:r>
      <w:r w:rsidR="009F17CB">
        <w:rPr>
          <w:rFonts w:ascii="Times New Roman" w:hAnsi="Times New Roman" w:cs="Times New Roman"/>
          <w:bCs/>
          <w:noProof/>
          <w:sz w:val="24"/>
          <w:lang w:val="en-IE"/>
        </w:rPr>
        <w:t xml:space="preserve">ECHR and </w:t>
      </w:r>
      <w:r w:rsidR="00AF1EC1" w:rsidRPr="00AF1EC1">
        <w:rPr>
          <w:rFonts w:ascii="Times New Roman" w:hAnsi="Times New Roman" w:cs="Times New Roman"/>
          <w:bCs/>
          <w:noProof/>
          <w:sz w:val="24"/>
          <w:lang w:val="en-IE"/>
        </w:rPr>
        <w:t xml:space="preserve">Convention 108, as well as from </w:t>
      </w:r>
      <w:r w:rsidR="00AF1EC1">
        <w:rPr>
          <w:rFonts w:ascii="Times New Roman" w:hAnsi="Times New Roman" w:cs="Times New Roman"/>
          <w:bCs/>
          <w:noProof/>
          <w:sz w:val="24"/>
          <w:lang w:val="en-IE"/>
        </w:rPr>
        <w:t>Jersey</w:t>
      </w:r>
      <w:r w:rsidR="00AF1EC1" w:rsidRPr="00AF1EC1">
        <w:rPr>
          <w:rFonts w:ascii="Times New Roman" w:hAnsi="Times New Roman" w:cs="Times New Roman"/>
          <w:bCs/>
          <w:noProof/>
          <w:sz w:val="24"/>
          <w:lang w:val="en-IE"/>
        </w:rPr>
        <w:t xml:space="preserve"> data protection rules, including the specific provisions for the processing of personal data </w:t>
      </w:r>
      <w:r w:rsidR="005146CA">
        <w:rPr>
          <w:rFonts w:ascii="Times New Roman" w:hAnsi="Times New Roman" w:cs="Times New Roman"/>
          <w:bCs/>
          <w:noProof/>
          <w:sz w:val="24"/>
          <w:lang w:val="en-IE"/>
        </w:rPr>
        <w:t>in the</w:t>
      </w:r>
      <w:r w:rsidR="00AF1EC1" w:rsidRPr="00AF1EC1">
        <w:rPr>
          <w:rFonts w:ascii="Times New Roman" w:hAnsi="Times New Roman" w:cs="Times New Roman"/>
          <w:bCs/>
          <w:noProof/>
          <w:sz w:val="24"/>
          <w:lang w:val="en-IE"/>
        </w:rPr>
        <w:t xml:space="preserve"> law enforcement </w:t>
      </w:r>
      <w:r w:rsidR="005146CA">
        <w:rPr>
          <w:rFonts w:ascii="Times New Roman" w:hAnsi="Times New Roman" w:cs="Times New Roman"/>
          <w:bCs/>
          <w:noProof/>
          <w:sz w:val="24"/>
          <w:lang w:val="en-IE"/>
        </w:rPr>
        <w:t>context</w:t>
      </w:r>
      <w:r w:rsidR="00AF1EC1" w:rsidRPr="00AF1EC1">
        <w:rPr>
          <w:rFonts w:ascii="Times New Roman" w:hAnsi="Times New Roman" w:cs="Times New Roman"/>
          <w:bCs/>
          <w:noProof/>
          <w:sz w:val="24"/>
          <w:lang w:val="en-IE"/>
        </w:rPr>
        <w:t xml:space="preserve"> set out in the </w:t>
      </w:r>
      <w:r w:rsidR="005146CA" w:rsidRPr="005146CA">
        <w:rPr>
          <w:rFonts w:ascii="Times New Roman" w:hAnsi="Times New Roman" w:cs="Times New Roman"/>
          <w:bCs/>
          <w:noProof/>
          <w:sz w:val="24"/>
          <w:lang w:val="en-IE"/>
        </w:rPr>
        <w:t>Data Protection (Jersey) Law 2018, as modified by Schedule 1 to th</w:t>
      </w:r>
      <w:r w:rsidR="005146CA">
        <w:rPr>
          <w:rFonts w:ascii="Times New Roman" w:hAnsi="Times New Roman" w:cs="Times New Roman"/>
          <w:bCs/>
          <w:noProof/>
          <w:sz w:val="24"/>
          <w:lang w:val="en-IE"/>
        </w:rPr>
        <w:t xml:space="preserve">at </w:t>
      </w:r>
      <w:r w:rsidR="005146CA" w:rsidRPr="005146CA">
        <w:rPr>
          <w:rFonts w:ascii="Times New Roman" w:hAnsi="Times New Roman" w:cs="Times New Roman"/>
          <w:bCs/>
          <w:noProof/>
          <w:sz w:val="24"/>
          <w:lang w:val="en-IE"/>
        </w:rPr>
        <w:t>Law</w:t>
      </w:r>
      <w:r w:rsidR="00AF1EC1" w:rsidRPr="00AF1EC1">
        <w:rPr>
          <w:rFonts w:ascii="Times New Roman" w:hAnsi="Times New Roman" w:cs="Times New Roman"/>
          <w:bCs/>
          <w:noProof/>
          <w:sz w:val="24"/>
          <w:lang w:val="en-IE"/>
        </w:rPr>
        <w:t xml:space="preserve">. In addition, </w:t>
      </w:r>
      <w:r w:rsidR="00AF1EC1">
        <w:rPr>
          <w:rFonts w:ascii="Times New Roman" w:hAnsi="Times New Roman" w:cs="Times New Roman"/>
          <w:bCs/>
          <w:noProof/>
          <w:sz w:val="24"/>
          <w:lang w:val="en-IE"/>
        </w:rPr>
        <w:t>Jersey</w:t>
      </w:r>
      <w:r w:rsidR="00AF1EC1" w:rsidRPr="00AF1EC1">
        <w:rPr>
          <w:rFonts w:ascii="Times New Roman" w:hAnsi="Times New Roman" w:cs="Times New Roman"/>
          <w:bCs/>
          <w:noProof/>
          <w:sz w:val="24"/>
          <w:lang w:val="en-IE"/>
        </w:rPr>
        <w:t xml:space="preserve"> law imposes a number of specific limitations on the access to and use of personal data for criminal law enforcement and national security purposes, and it provides oversight and redress mechanisms in this area.</w:t>
      </w:r>
    </w:p>
    <w:p w14:paraId="2FB5FD5E" w14:textId="77777777" w:rsidR="00FA5628" w:rsidRPr="00FA5628" w:rsidRDefault="00FA5628" w:rsidP="00386EAC">
      <w:pPr>
        <w:jc w:val="both"/>
        <w:rPr>
          <w:rFonts w:ascii="Times New Roman" w:hAnsi="Times New Roman" w:cs="Times New Roman"/>
          <w:bCs/>
          <w:noProof/>
          <w:sz w:val="24"/>
          <w:lang w:val="en-IE"/>
        </w:rPr>
      </w:pPr>
      <w:r w:rsidRPr="00FA5628">
        <w:rPr>
          <w:rFonts w:ascii="Times New Roman" w:hAnsi="Times New Roman" w:cs="Times New Roman"/>
          <w:bCs/>
          <w:noProof/>
          <w:sz w:val="24"/>
          <w:lang w:val="en-IE"/>
        </w:rPr>
        <w:t xml:space="preserve">Based on the overall findings </w:t>
      </w:r>
      <w:r w:rsidR="003834E5">
        <w:rPr>
          <w:rFonts w:ascii="Times New Roman" w:hAnsi="Times New Roman" w:cs="Times New Roman"/>
          <w:bCs/>
          <w:noProof/>
          <w:sz w:val="24"/>
          <w:lang w:val="en-IE"/>
        </w:rPr>
        <w:t>set out in the SWD</w:t>
      </w:r>
      <w:r w:rsidRPr="00FA5628">
        <w:rPr>
          <w:rFonts w:ascii="Times New Roman" w:hAnsi="Times New Roman" w:cs="Times New Roman"/>
          <w:bCs/>
          <w:noProof/>
          <w:sz w:val="24"/>
          <w:lang w:val="en-IE"/>
        </w:rPr>
        <w:t>, the Commission concludes that Jersey continues to provide an adequate level of protection for personal data transferred from the EU.</w:t>
      </w:r>
    </w:p>
    <w:p w14:paraId="73C5CB1F" w14:textId="77777777" w:rsidR="002A532D" w:rsidRDefault="00026B70" w:rsidP="00386EAC">
      <w:pPr>
        <w:pStyle w:val="ListParagraph"/>
        <w:numPr>
          <w:ilvl w:val="1"/>
          <w:numId w:val="3"/>
        </w:numPr>
        <w:ind w:left="1276" w:hanging="992"/>
        <w:contextualSpacing w:val="0"/>
        <w:rPr>
          <w:rFonts w:ascii="Times New Roman" w:hAnsi="Times New Roman" w:cs="Times New Roman"/>
          <w:b/>
          <w:i/>
          <w:noProof/>
          <w:sz w:val="24"/>
          <w:szCs w:val="24"/>
        </w:rPr>
      </w:pPr>
      <w:r>
        <w:rPr>
          <w:rFonts w:ascii="Times New Roman" w:hAnsi="Times New Roman" w:cs="Times New Roman"/>
          <w:b/>
          <w:i/>
          <w:noProof/>
          <w:sz w:val="24"/>
          <w:szCs w:val="24"/>
        </w:rPr>
        <w:t>New Zealand</w:t>
      </w:r>
    </w:p>
    <w:p w14:paraId="060E6B83" w14:textId="2A2E7188" w:rsidR="00ED1ADA" w:rsidRDefault="00F93FBE" w:rsidP="00386EAC">
      <w:pPr>
        <w:tabs>
          <w:tab w:val="left" w:pos="1276"/>
        </w:tabs>
        <w:jc w:val="both"/>
        <w:rPr>
          <w:rFonts w:ascii="Times New Roman" w:hAnsi="Times New Roman" w:cs="Times New Roman"/>
          <w:bCs/>
          <w:noProof/>
          <w:sz w:val="24"/>
          <w:lang w:val="en-IE"/>
        </w:rPr>
      </w:pPr>
      <w:r w:rsidRPr="00ED1ADA">
        <w:rPr>
          <w:rFonts w:ascii="Times New Roman" w:hAnsi="Times New Roman" w:cs="Times New Roman"/>
          <w:bCs/>
          <w:noProof/>
          <w:sz w:val="24"/>
          <w:lang w:val="en-IE"/>
        </w:rPr>
        <w:t xml:space="preserve">The Commission welcomes the developments in the New Zealand legal framework since the adoption of the adequacy decision, including legislative amendments, case law and activities of oversight bodies, which have contributed to an increased level of data protection. </w:t>
      </w:r>
      <w:r w:rsidR="00003830" w:rsidRPr="00ED1ADA">
        <w:rPr>
          <w:rFonts w:ascii="Times New Roman" w:hAnsi="Times New Roman" w:cs="Times New Roman"/>
          <w:bCs/>
          <w:noProof/>
          <w:sz w:val="24"/>
          <w:lang w:val="en-IE"/>
        </w:rPr>
        <w:t>In particular, the data protection regime underwent a comprehensive reform with the adoption of the Privacy Act 2020</w:t>
      </w:r>
      <w:r w:rsidR="00ED1ADA" w:rsidRPr="00ED1ADA">
        <w:rPr>
          <w:rFonts w:ascii="Times New Roman" w:hAnsi="Times New Roman" w:cs="Times New Roman"/>
          <w:bCs/>
          <w:noProof/>
          <w:sz w:val="24"/>
          <w:lang w:val="en-IE"/>
        </w:rPr>
        <w:t xml:space="preserve"> that further increased the convergence with the EU’s data protection framework, </w:t>
      </w:r>
      <w:r w:rsidR="009F17CB">
        <w:rPr>
          <w:rFonts w:ascii="Times New Roman" w:hAnsi="Times New Roman" w:cs="Times New Roman"/>
          <w:bCs/>
          <w:noProof/>
          <w:sz w:val="24"/>
          <w:lang w:val="en-IE"/>
        </w:rPr>
        <w:t xml:space="preserve">notably </w:t>
      </w:r>
      <w:r w:rsidR="00ED1ADA" w:rsidRPr="00ED1ADA">
        <w:rPr>
          <w:rFonts w:ascii="Times New Roman" w:hAnsi="Times New Roman" w:cs="Times New Roman"/>
          <w:bCs/>
          <w:noProof/>
          <w:sz w:val="24"/>
          <w:lang w:val="en-IE"/>
        </w:rPr>
        <w:t>as regards the rules for international tran</w:t>
      </w:r>
      <w:r w:rsidR="009F17CB">
        <w:rPr>
          <w:rFonts w:ascii="Times New Roman" w:hAnsi="Times New Roman" w:cs="Times New Roman"/>
          <w:bCs/>
          <w:noProof/>
          <w:sz w:val="24"/>
          <w:lang w:val="en-IE"/>
        </w:rPr>
        <w:t>sfers</w:t>
      </w:r>
      <w:r w:rsidR="00ED1ADA" w:rsidRPr="00ED1ADA">
        <w:rPr>
          <w:rFonts w:ascii="Times New Roman" w:hAnsi="Times New Roman" w:cs="Times New Roman"/>
          <w:bCs/>
          <w:noProof/>
          <w:sz w:val="24"/>
          <w:lang w:val="en-IE"/>
        </w:rPr>
        <w:t xml:space="preserve"> of personal data and the powers of the data protection authority (the Office of the Privacy Commissioner)</w:t>
      </w:r>
      <w:r w:rsidR="00003830" w:rsidRPr="00ED1ADA">
        <w:rPr>
          <w:rFonts w:ascii="Times New Roman" w:hAnsi="Times New Roman" w:cs="Times New Roman"/>
          <w:bCs/>
          <w:noProof/>
          <w:sz w:val="24"/>
          <w:lang w:val="en-IE"/>
        </w:rPr>
        <w:t>.</w:t>
      </w:r>
    </w:p>
    <w:p w14:paraId="723F2ED1" w14:textId="23DB69E9" w:rsidR="00ED1ADA" w:rsidRPr="00ED1ADA" w:rsidRDefault="00802EF9" w:rsidP="00386EAC">
      <w:pPr>
        <w:tabs>
          <w:tab w:val="left" w:pos="1276"/>
        </w:tabs>
        <w:jc w:val="both"/>
        <w:rPr>
          <w:rFonts w:ascii="Times New Roman" w:hAnsi="Times New Roman" w:cs="Times New Roman"/>
          <w:bCs/>
          <w:noProof/>
          <w:sz w:val="24"/>
          <w:lang w:val="en-IE"/>
        </w:rPr>
      </w:pPr>
      <w:r>
        <w:rPr>
          <w:rFonts w:ascii="Times New Roman" w:hAnsi="Times New Roman" w:cs="Times New Roman"/>
          <w:bCs/>
          <w:noProof/>
          <w:sz w:val="24"/>
        </w:rPr>
        <w:t xml:space="preserve">In the area of government access to personal data, </w:t>
      </w:r>
      <w:r w:rsidRPr="00441ED2">
        <w:rPr>
          <w:rFonts w:ascii="Times New Roman" w:hAnsi="Times New Roman" w:cs="Times New Roman"/>
          <w:bCs/>
          <w:noProof/>
          <w:sz w:val="24"/>
        </w:rPr>
        <w:t xml:space="preserve">public authorities </w:t>
      </w:r>
      <w:r>
        <w:rPr>
          <w:rFonts w:ascii="Times New Roman" w:hAnsi="Times New Roman" w:cs="Times New Roman"/>
          <w:bCs/>
          <w:noProof/>
          <w:sz w:val="24"/>
        </w:rPr>
        <w:t xml:space="preserve">in New Zealand </w:t>
      </w:r>
      <w:r w:rsidRPr="00441ED2">
        <w:rPr>
          <w:rFonts w:ascii="Times New Roman" w:hAnsi="Times New Roman" w:cs="Times New Roman"/>
          <w:bCs/>
          <w:noProof/>
          <w:sz w:val="24"/>
        </w:rPr>
        <w:t xml:space="preserve">are subject to clear, precise and accessible rules </w:t>
      </w:r>
      <w:r>
        <w:rPr>
          <w:rFonts w:ascii="Times New Roman" w:hAnsi="Times New Roman" w:cs="Times New Roman"/>
          <w:bCs/>
          <w:noProof/>
          <w:sz w:val="24"/>
        </w:rPr>
        <w:t xml:space="preserve">under which such authorities can access and subsequently use for public interest objectives, in particular for criminal law enforcement and national security purposes, data transferred from the </w:t>
      </w:r>
      <w:r w:rsidR="007F26DB">
        <w:rPr>
          <w:rFonts w:ascii="Times New Roman" w:hAnsi="Times New Roman" w:cs="Times New Roman"/>
          <w:bCs/>
          <w:noProof/>
          <w:sz w:val="24"/>
        </w:rPr>
        <w:t>EU</w:t>
      </w:r>
      <w:r w:rsidRPr="00441ED2">
        <w:rPr>
          <w:rFonts w:ascii="Times New Roman" w:hAnsi="Times New Roman" w:cs="Times New Roman"/>
          <w:bCs/>
          <w:noProof/>
          <w:sz w:val="24"/>
        </w:rPr>
        <w:t xml:space="preserve">. </w:t>
      </w:r>
      <w:r w:rsidR="00ED1ADA">
        <w:rPr>
          <w:rFonts w:ascii="Times New Roman" w:hAnsi="Times New Roman" w:cs="Times New Roman"/>
          <w:bCs/>
          <w:noProof/>
          <w:sz w:val="24"/>
          <w:lang w:val="en-IE"/>
        </w:rPr>
        <w:t>These limitations and safeguards follow from the overarching constitutional framework (</w:t>
      </w:r>
      <w:r w:rsidR="00794AD7">
        <w:rPr>
          <w:rFonts w:ascii="Times New Roman" w:hAnsi="Times New Roman" w:cs="Times New Roman"/>
          <w:bCs/>
          <w:noProof/>
          <w:sz w:val="24"/>
          <w:lang w:val="en-IE"/>
        </w:rPr>
        <w:t>e.g.,</w:t>
      </w:r>
      <w:r w:rsidR="00ED1ADA">
        <w:rPr>
          <w:rFonts w:ascii="Times New Roman" w:hAnsi="Times New Roman" w:cs="Times New Roman"/>
          <w:bCs/>
          <w:noProof/>
          <w:sz w:val="24"/>
          <w:lang w:val="en-IE"/>
        </w:rPr>
        <w:t xml:space="preserve"> the </w:t>
      </w:r>
      <w:r w:rsidR="00ED1ADA" w:rsidRPr="00613CF7">
        <w:rPr>
          <w:rFonts w:ascii="Times New Roman" w:hAnsi="Times New Roman" w:cs="Times New Roman"/>
          <w:noProof/>
          <w:sz w:val="24"/>
          <w:szCs w:val="24"/>
        </w:rPr>
        <w:t>Bill of Rights Act</w:t>
      </w:r>
      <w:r w:rsidR="00ED1ADA">
        <w:rPr>
          <w:rFonts w:ascii="Times New Roman" w:hAnsi="Times New Roman" w:cs="Times New Roman"/>
          <w:noProof/>
          <w:sz w:val="24"/>
          <w:szCs w:val="24"/>
        </w:rPr>
        <w:t xml:space="preserve">) and case law, as well as specific laws regulating government access to data and </w:t>
      </w:r>
      <w:r w:rsidR="00ED1ADA">
        <w:rPr>
          <w:rFonts w:ascii="Times New Roman" w:hAnsi="Times New Roman" w:cs="Times New Roman"/>
          <w:bCs/>
          <w:noProof/>
          <w:sz w:val="24"/>
          <w:lang w:val="en-IE"/>
        </w:rPr>
        <w:t xml:space="preserve">provisions of the Privacy Act that also apply to the processing of personal data by criminal law enforcement and national security authorities. In addition, the New Zealand </w:t>
      </w:r>
      <w:r w:rsidR="00BD7A98">
        <w:rPr>
          <w:rFonts w:ascii="Times New Roman" w:hAnsi="Times New Roman" w:cs="Times New Roman"/>
          <w:bCs/>
          <w:noProof/>
          <w:sz w:val="24"/>
          <w:lang w:val="en-IE"/>
        </w:rPr>
        <w:t xml:space="preserve">legal </w:t>
      </w:r>
      <w:r w:rsidR="00ED1ADA">
        <w:rPr>
          <w:rFonts w:ascii="Times New Roman" w:hAnsi="Times New Roman" w:cs="Times New Roman"/>
          <w:bCs/>
          <w:noProof/>
          <w:sz w:val="24"/>
          <w:lang w:val="en-IE"/>
        </w:rPr>
        <w:t xml:space="preserve">system provides for different </w:t>
      </w:r>
      <w:r w:rsidR="00ED1ADA" w:rsidRPr="00ED1ADA">
        <w:rPr>
          <w:rFonts w:ascii="Times New Roman" w:hAnsi="Times New Roman" w:cs="Times New Roman"/>
          <w:bCs/>
          <w:noProof/>
          <w:sz w:val="24"/>
          <w:lang w:val="en-IE"/>
        </w:rPr>
        <w:t>oversight and redress mechanisms in this area.</w:t>
      </w:r>
    </w:p>
    <w:p w14:paraId="22853C33" w14:textId="5F6E7B10" w:rsidR="006576AD" w:rsidRPr="00ED1ADA" w:rsidRDefault="003834E5" w:rsidP="00386EAC">
      <w:pPr>
        <w:tabs>
          <w:tab w:val="left" w:pos="1276"/>
        </w:tabs>
        <w:jc w:val="both"/>
        <w:rPr>
          <w:rFonts w:ascii="Times New Roman" w:hAnsi="Times New Roman" w:cs="Times New Roman"/>
          <w:bCs/>
          <w:noProof/>
          <w:sz w:val="24"/>
          <w:lang w:val="en-IE"/>
        </w:rPr>
      </w:pPr>
      <w:r w:rsidRPr="00ED1ADA">
        <w:rPr>
          <w:rFonts w:ascii="Times New Roman" w:hAnsi="Times New Roman" w:cs="Times New Roman"/>
          <w:bCs/>
          <w:noProof/>
          <w:sz w:val="24"/>
          <w:lang w:val="en-IE"/>
        </w:rPr>
        <w:t>Based on the overall findings set out</w:t>
      </w:r>
      <w:r w:rsidR="00F93FBE" w:rsidRPr="00ED1ADA">
        <w:rPr>
          <w:rFonts w:ascii="Times New Roman" w:hAnsi="Times New Roman" w:cs="Times New Roman"/>
          <w:bCs/>
          <w:noProof/>
          <w:sz w:val="24"/>
          <w:lang w:val="en-IE"/>
        </w:rPr>
        <w:t xml:space="preserve"> in the </w:t>
      </w:r>
      <w:r w:rsidRPr="00ED1ADA">
        <w:rPr>
          <w:rFonts w:ascii="Times New Roman" w:hAnsi="Times New Roman" w:cs="Times New Roman"/>
          <w:bCs/>
          <w:noProof/>
          <w:sz w:val="24"/>
          <w:lang w:val="en-IE"/>
        </w:rPr>
        <w:t>SWD</w:t>
      </w:r>
      <w:r w:rsidR="00F93FBE" w:rsidRPr="00ED1ADA">
        <w:rPr>
          <w:rFonts w:ascii="Times New Roman" w:hAnsi="Times New Roman" w:cs="Times New Roman"/>
          <w:bCs/>
          <w:noProof/>
          <w:sz w:val="24"/>
          <w:lang w:val="en-IE"/>
        </w:rPr>
        <w:t xml:space="preserve">, the Commission concludes that New Zealand continues to provide an adequate level of protection for personal data transferred </w:t>
      </w:r>
      <w:r w:rsidR="001552F0" w:rsidRPr="00ED1ADA">
        <w:rPr>
          <w:rFonts w:ascii="Times New Roman" w:hAnsi="Times New Roman" w:cs="Times New Roman"/>
          <w:bCs/>
          <w:noProof/>
          <w:sz w:val="24"/>
          <w:lang w:val="en-IE"/>
        </w:rPr>
        <w:t>from the EU</w:t>
      </w:r>
      <w:r w:rsidR="00F93FBE" w:rsidRPr="00ED1ADA">
        <w:rPr>
          <w:rFonts w:ascii="Times New Roman" w:hAnsi="Times New Roman" w:cs="Times New Roman"/>
          <w:bCs/>
          <w:noProof/>
          <w:sz w:val="24"/>
          <w:lang w:val="en-IE"/>
        </w:rPr>
        <w:t xml:space="preserve">. </w:t>
      </w:r>
      <w:r w:rsidR="006576AD">
        <w:rPr>
          <w:rFonts w:ascii="Times New Roman" w:hAnsi="Times New Roman" w:cs="Times New Roman"/>
          <w:bCs/>
          <w:noProof/>
          <w:sz w:val="24"/>
          <w:lang w:val="en-IE"/>
        </w:rPr>
        <w:t>T</w:t>
      </w:r>
      <w:r w:rsidR="006576AD" w:rsidRPr="00ED1ADA">
        <w:rPr>
          <w:rFonts w:ascii="Times New Roman" w:hAnsi="Times New Roman" w:cs="Times New Roman"/>
          <w:bCs/>
          <w:noProof/>
          <w:sz w:val="24"/>
          <w:lang w:val="en-IE"/>
        </w:rPr>
        <w:t xml:space="preserve">he Commission also welcomes the recent introduction of a bill </w:t>
      </w:r>
      <w:r w:rsidR="006576AD" w:rsidRPr="00ED1ADA">
        <w:rPr>
          <w:rFonts w:ascii="Times New Roman" w:hAnsi="Times New Roman" w:cs="Times New Roman"/>
          <w:noProof/>
          <w:sz w:val="24"/>
          <w:szCs w:val="24"/>
        </w:rPr>
        <w:t xml:space="preserve">before the Parliament by the New Zealand government to amend the Privacy Act 2020 to further strengthen the existing transparency requirements. </w:t>
      </w:r>
      <w:r w:rsidR="006576AD" w:rsidRPr="00ED1ADA">
        <w:rPr>
          <w:rFonts w:ascii="Times New Roman" w:hAnsi="Times New Roman" w:cs="Times New Roman"/>
          <w:bCs/>
          <w:noProof/>
          <w:sz w:val="24"/>
          <w:lang w:val="en-IE"/>
        </w:rPr>
        <w:t>The Commission will closely monitor future developments in this area</w:t>
      </w:r>
      <w:r w:rsidR="006576AD">
        <w:rPr>
          <w:rFonts w:ascii="Times New Roman" w:hAnsi="Times New Roman" w:cs="Times New Roman"/>
          <w:bCs/>
          <w:noProof/>
          <w:sz w:val="24"/>
          <w:lang w:val="en-IE"/>
        </w:rPr>
        <w:t>.</w:t>
      </w:r>
    </w:p>
    <w:p w14:paraId="395306E0" w14:textId="77777777" w:rsidR="002A532D" w:rsidRDefault="00026B70" w:rsidP="00386EAC">
      <w:pPr>
        <w:pStyle w:val="ListParagraph"/>
        <w:numPr>
          <w:ilvl w:val="1"/>
          <w:numId w:val="3"/>
        </w:numPr>
        <w:ind w:left="1276" w:hanging="916"/>
        <w:contextualSpacing w:val="0"/>
        <w:rPr>
          <w:rFonts w:ascii="Times New Roman" w:hAnsi="Times New Roman" w:cs="Times New Roman"/>
          <w:b/>
          <w:i/>
          <w:noProof/>
          <w:sz w:val="24"/>
          <w:szCs w:val="24"/>
        </w:rPr>
      </w:pPr>
      <w:r>
        <w:rPr>
          <w:rFonts w:ascii="Times New Roman" w:hAnsi="Times New Roman" w:cs="Times New Roman"/>
          <w:b/>
          <w:i/>
          <w:noProof/>
          <w:sz w:val="24"/>
          <w:szCs w:val="24"/>
        </w:rPr>
        <w:t>Switzerland</w:t>
      </w:r>
    </w:p>
    <w:p w14:paraId="413B99D0" w14:textId="70A6FC91" w:rsidR="00A25CFF" w:rsidRPr="00A25CFF" w:rsidRDefault="001552F0" w:rsidP="00386EAC">
      <w:pPr>
        <w:tabs>
          <w:tab w:val="left" w:pos="1276"/>
        </w:tabs>
        <w:jc w:val="both"/>
        <w:rPr>
          <w:rFonts w:ascii="Times New Roman" w:hAnsi="Times New Roman" w:cs="Times New Roman"/>
          <w:bCs/>
          <w:noProof/>
          <w:sz w:val="24"/>
          <w:lang w:val="en-IE"/>
        </w:rPr>
      </w:pPr>
      <w:r w:rsidRPr="00A25CFF">
        <w:rPr>
          <w:rFonts w:ascii="Times New Roman" w:hAnsi="Times New Roman" w:cs="Times New Roman"/>
          <w:bCs/>
          <w:noProof/>
          <w:sz w:val="24"/>
          <w:lang w:val="en-IE"/>
        </w:rPr>
        <w:t>The Commission welcomes the developments in the Swiss legal framework since the adoption of the adequacy decision, including legislative amendments, case law and activities of oversight bodies, which have contributed to an increased level of data protection.</w:t>
      </w:r>
      <w:r w:rsidR="00ED1ADA" w:rsidRPr="00A25CFF">
        <w:rPr>
          <w:rFonts w:ascii="Times New Roman" w:hAnsi="Times New Roman" w:cs="Times New Roman"/>
          <w:bCs/>
          <w:noProof/>
          <w:sz w:val="24"/>
          <w:lang w:val="en-IE"/>
        </w:rPr>
        <w:t xml:space="preserve"> In particular, the modernised Federal Act on Data Protection that has further increased the convergence with the EU’s data protection framework, </w:t>
      </w:r>
      <w:r w:rsidR="009D24C0">
        <w:rPr>
          <w:rFonts w:ascii="Times New Roman" w:hAnsi="Times New Roman" w:cs="Times New Roman"/>
          <w:bCs/>
          <w:noProof/>
          <w:sz w:val="24"/>
          <w:lang w:val="en-IE"/>
        </w:rPr>
        <w:t>notably</w:t>
      </w:r>
      <w:r w:rsidR="00ED1ADA" w:rsidRPr="00A25CFF">
        <w:rPr>
          <w:rFonts w:ascii="Times New Roman" w:hAnsi="Times New Roman" w:cs="Times New Roman"/>
          <w:bCs/>
          <w:noProof/>
          <w:sz w:val="24"/>
          <w:lang w:val="en-IE"/>
        </w:rPr>
        <w:t xml:space="preserve"> with respect to the protections for sensitive data and the rules on international data transfers. </w:t>
      </w:r>
      <w:r w:rsidR="00A25CFF">
        <w:rPr>
          <w:rFonts w:ascii="Times New Roman" w:hAnsi="Times New Roman" w:cs="Times New Roman"/>
          <w:bCs/>
          <w:noProof/>
          <w:sz w:val="24"/>
          <w:lang w:val="en-IE"/>
        </w:rPr>
        <w:t xml:space="preserve">Switzerland </w:t>
      </w:r>
      <w:r w:rsidR="00A25CFF" w:rsidRPr="00273098">
        <w:rPr>
          <w:rFonts w:ascii="Times New Roman" w:hAnsi="Times New Roman" w:cs="Times New Roman"/>
          <w:bCs/>
          <w:noProof/>
          <w:sz w:val="24"/>
          <w:lang w:val="en-IE"/>
        </w:rPr>
        <w:t xml:space="preserve">also strengthened its international commitments in the field of data protection by ratifying Convention 108+ in </w:t>
      </w:r>
      <w:r w:rsidR="00A25CFF">
        <w:rPr>
          <w:rFonts w:ascii="Times New Roman" w:hAnsi="Times New Roman" w:cs="Times New Roman"/>
          <w:bCs/>
          <w:noProof/>
          <w:sz w:val="24"/>
          <w:lang w:val="en-IE"/>
        </w:rPr>
        <w:t xml:space="preserve">September </w:t>
      </w:r>
      <w:r w:rsidR="00A25CFF" w:rsidRPr="00273098">
        <w:rPr>
          <w:rFonts w:ascii="Times New Roman" w:hAnsi="Times New Roman" w:cs="Times New Roman"/>
          <w:bCs/>
          <w:noProof/>
          <w:sz w:val="24"/>
          <w:lang w:val="en-IE"/>
        </w:rPr>
        <w:t>202</w:t>
      </w:r>
      <w:r w:rsidR="00A25CFF">
        <w:rPr>
          <w:rFonts w:ascii="Times New Roman" w:hAnsi="Times New Roman" w:cs="Times New Roman"/>
          <w:bCs/>
          <w:noProof/>
          <w:sz w:val="24"/>
          <w:lang w:val="en-IE"/>
        </w:rPr>
        <w:t>3</w:t>
      </w:r>
      <w:r w:rsidR="00A25CFF" w:rsidRPr="00273098">
        <w:rPr>
          <w:rFonts w:ascii="Times New Roman" w:hAnsi="Times New Roman" w:cs="Times New Roman"/>
          <w:bCs/>
          <w:noProof/>
          <w:sz w:val="24"/>
          <w:lang w:val="en-IE"/>
        </w:rPr>
        <w:t>.</w:t>
      </w:r>
    </w:p>
    <w:p w14:paraId="2688A39F" w14:textId="337AE1C4" w:rsidR="00ED1ADA" w:rsidRPr="00A25CFF" w:rsidRDefault="00802EF9" w:rsidP="00386EAC">
      <w:pPr>
        <w:jc w:val="both"/>
        <w:rPr>
          <w:rFonts w:ascii="Times New Roman" w:hAnsi="Times New Roman" w:cs="Times New Roman"/>
          <w:bCs/>
          <w:noProof/>
          <w:sz w:val="24"/>
          <w:lang w:val="en-IE"/>
        </w:rPr>
      </w:pPr>
      <w:r>
        <w:rPr>
          <w:rFonts w:ascii="Times New Roman" w:hAnsi="Times New Roman" w:cs="Times New Roman"/>
          <w:bCs/>
          <w:noProof/>
          <w:sz w:val="24"/>
        </w:rPr>
        <w:t xml:space="preserve">In the area of government access to personal data, </w:t>
      </w:r>
      <w:r w:rsidRPr="00441ED2">
        <w:rPr>
          <w:rFonts w:ascii="Times New Roman" w:hAnsi="Times New Roman" w:cs="Times New Roman"/>
          <w:bCs/>
          <w:noProof/>
          <w:sz w:val="24"/>
        </w:rPr>
        <w:t xml:space="preserve">public authorities </w:t>
      </w:r>
      <w:r>
        <w:rPr>
          <w:rFonts w:ascii="Times New Roman" w:hAnsi="Times New Roman" w:cs="Times New Roman"/>
          <w:bCs/>
          <w:noProof/>
          <w:sz w:val="24"/>
        </w:rPr>
        <w:t xml:space="preserve">in Switzerland </w:t>
      </w:r>
      <w:r w:rsidRPr="00441ED2">
        <w:rPr>
          <w:rFonts w:ascii="Times New Roman" w:hAnsi="Times New Roman" w:cs="Times New Roman"/>
          <w:bCs/>
          <w:noProof/>
          <w:sz w:val="24"/>
        </w:rPr>
        <w:t xml:space="preserve">are subject to clear, precise and accessible rules </w:t>
      </w:r>
      <w:r>
        <w:rPr>
          <w:rFonts w:ascii="Times New Roman" w:hAnsi="Times New Roman" w:cs="Times New Roman"/>
          <w:bCs/>
          <w:noProof/>
          <w:sz w:val="24"/>
        </w:rPr>
        <w:t xml:space="preserve">under which such authorities can access and subsequently use for public interest objectives, in particular for criminal law enforcement and national security purposes, data transferred from the </w:t>
      </w:r>
      <w:r w:rsidR="007F26DB">
        <w:rPr>
          <w:rFonts w:ascii="Times New Roman" w:hAnsi="Times New Roman" w:cs="Times New Roman"/>
          <w:bCs/>
          <w:noProof/>
          <w:sz w:val="24"/>
        </w:rPr>
        <w:t>EU</w:t>
      </w:r>
      <w:r w:rsidRPr="00441ED2">
        <w:rPr>
          <w:rFonts w:ascii="Times New Roman" w:hAnsi="Times New Roman" w:cs="Times New Roman"/>
          <w:bCs/>
          <w:noProof/>
          <w:sz w:val="24"/>
        </w:rPr>
        <w:t xml:space="preserve">. </w:t>
      </w:r>
      <w:r w:rsidR="00ED1ADA" w:rsidRPr="00A25CFF">
        <w:rPr>
          <w:rFonts w:ascii="Times New Roman" w:hAnsi="Times New Roman" w:cs="Times New Roman"/>
          <w:bCs/>
          <w:noProof/>
          <w:sz w:val="24"/>
          <w:lang w:val="en-IE"/>
        </w:rPr>
        <w:t xml:space="preserve">These limitations and safeguards follow from the overarching legal framework and international commitments, notably the Swiss Federal Constitution, the </w:t>
      </w:r>
      <w:r w:rsidR="009D24C0">
        <w:rPr>
          <w:rFonts w:ascii="Times New Roman" w:hAnsi="Times New Roman" w:cs="Times New Roman"/>
          <w:bCs/>
          <w:noProof/>
          <w:sz w:val="24"/>
          <w:lang w:val="en-IE"/>
        </w:rPr>
        <w:t xml:space="preserve">ECHR </w:t>
      </w:r>
      <w:r w:rsidR="00ED1ADA" w:rsidRPr="00A25CFF">
        <w:rPr>
          <w:rFonts w:ascii="Times New Roman" w:hAnsi="Times New Roman" w:cs="Times New Roman"/>
          <w:bCs/>
          <w:noProof/>
          <w:sz w:val="24"/>
          <w:lang w:val="en-IE"/>
        </w:rPr>
        <w:t xml:space="preserve">and Convention 108+, as well as from </w:t>
      </w:r>
      <w:r w:rsidR="00582F71" w:rsidRPr="00A25CFF">
        <w:rPr>
          <w:rFonts w:ascii="Times New Roman" w:hAnsi="Times New Roman" w:cs="Times New Roman"/>
          <w:bCs/>
          <w:noProof/>
          <w:sz w:val="24"/>
          <w:lang w:val="en-IE"/>
        </w:rPr>
        <w:t>Swiss</w:t>
      </w:r>
      <w:r w:rsidR="00ED1ADA" w:rsidRPr="00A25CFF">
        <w:rPr>
          <w:rFonts w:ascii="Times New Roman" w:hAnsi="Times New Roman" w:cs="Times New Roman"/>
          <w:bCs/>
          <w:noProof/>
          <w:sz w:val="24"/>
          <w:lang w:val="en-IE"/>
        </w:rPr>
        <w:t xml:space="preserve"> data protection rules, including the </w:t>
      </w:r>
      <w:r w:rsidR="00582F71" w:rsidRPr="00A25CFF">
        <w:rPr>
          <w:rFonts w:ascii="Times New Roman" w:hAnsi="Times New Roman" w:cs="Times New Roman"/>
          <w:bCs/>
          <w:noProof/>
          <w:sz w:val="24"/>
          <w:lang w:val="en-IE"/>
        </w:rPr>
        <w:t>Federal Act on Data Protection and specific data protection rules that apply to criminal law enforcement (</w:t>
      </w:r>
      <w:r w:rsidR="00794AD7" w:rsidRPr="00A25CFF">
        <w:rPr>
          <w:rFonts w:ascii="Times New Roman" w:hAnsi="Times New Roman" w:cs="Times New Roman"/>
          <w:bCs/>
          <w:noProof/>
          <w:sz w:val="24"/>
          <w:lang w:val="en-IE"/>
        </w:rPr>
        <w:t>e.g.,</w:t>
      </w:r>
      <w:r w:rsidR="00582F71" w:rsidRPr="00A25CFF">
        <w:rPr>
          <w:rFonts w:ascii="Times New Roman" w:hAnsi="Times New Roman" w:cs="Times New Roman"/>
          <w:bCs/>
          <w:noProof/>
          <w:sz w:val="24"/>
          <w:lang w:val="en-IE"/>
        </w:rPr>
        <w:t xml:space="preserve"> the Criminal Procedure Code) and national security authorities (</w:t>
      </w:r>
      <w:r w:rsidR="00794AD7" w:rsidRPr="00A25CFF">
        <w:rPr>
          <w:rFonts w:ascii="Times New Roman" w:hAnsi="Times New Roman" w:cs="Times New Roman"/>
          <w:bCs/>
          <w:noProof/>
          <w:sz w:val="24"/>
          <w:lang w:val="en-IE"/>
        </w:rPr>
        <w:t>e.g.,</w:t>
      </w:r>
      <w:r w:rsidR="00582F71" w:rsidRPr="00A25CFF">
        <w:rPr>
          <w:rFonts w:ascii="Times New Roman" w:hAnsi="Times New Roman" w:cs="Times New Roman"/>
          <w:bCs/>
          <w:noProof/>
          <w:sz w:val="24"/>
          <w:lang w:val="en-IE"/>
        </w:rPr>
        <w:t xml:space="preserve"> the Intelligence Service Act)</w:t>
      </w:r>
      <w:r w:rsidR="00ED1ADA" w:rsidRPr="00A25CFF">
        <w:rPr>
          <w:rFonts w:ascii="Times New Roman" w:hAnsi="Times New Roman" w:cs="Times New Roman"/>
          <w:bCs/>
          <w:noProof/>
          <w:sz w:val="24"/>
          <w:lang w:val="en-IE"/>
        </w:rPr>
        <w:t>.</w:t>
      </w:r>
      <w:r w:rsidR="00A25CFF" w:rsidRPr="00A25CFF">
        <w:rPr>
          <w:rFonts w:ascii="Times New Roman" w:hAnsi="Times New Roman" w:cs="Times New Roman"/>
          <w:bCs/>
          <w:noProof/>
          <w:sz w:val="24"/>
          <w:lang w:val="en-IE"/>
        </w:rPr>
        <w:t xml:space="preserve"> In addition, Swiss law imposes a number of specific limitations on the access to and use of personal data for criminal law enforcement and national security purposes, and it provides oversight and redress mechanisms in this area.</w:t>
      </w:r>
    </w:p>
    <w:p w14:paraId="62F9C32E" w14:textId="77777777" w:rsidR="001552F0" w:rsidRPr="00F93FBE" w:rsidRDefault="001552F0" w:rsidP="00386EAC">
      <w:pPr>
        <w:tabs>
          <w:tab w:val="left" w:pos="1276"/>
        </w:tabs>
        <w:jc w:val="both"/>
        <w:rPr>
          <w:rFonts w:ascii="Times New Roman" w:hAnsi="Times New Roman" w:cs="Times New Roman"/>
          <w:bCs/>
          <w:noProof/>
          <w:sz w:val="24"/>
          <w:lang w:val="en-IE"/>
        </w:rPr>
      </w:pPr>
      <w:r w:rsidRPr="00A25CFF">
        <w:rPr>
          <w:rFonts w:ascii="Times New Roman" w:hAnsi="Times New Roman" w:cs="Times New Roman"/>
          <w:bCs/>
          <w:noProof/>
          <w:sz w:val="24"/>
          <w:lang w:val="en-IE"/>
        </w:rPr>
        <w:t>Based on the overall findings set out in the SWD, the Commission concludes that Switzerland continues to provide an adequate level of protection for personal data transferred from the EU.</w:t>
      </w:r>
      <w:r w:rsidRPr="00F93FBE">
        <w:rPr>
          <w:rFonts w:ascii="Times New Roman" w:hAnsi="Times New Roman" w:cs="Times New Roman"/>
          <w:bCs/>
          <w:noProof/>
          <w:sz w:val="24"/>
          <w:lang w:val="en-IE"/>
        </w:rPr>
        <w:t xml:space="preserve"> </w:t>
      </w:r>
    </w:p>
    <w:p w14:paraId="22C1B34C" w14:textId="77777777" w:rsidR="00026B70" w:rsidRDefault="00026B70" w:rsidP="00386EAC">
      <w:pPr>
        <w:pStyle w:val="ListParagraph"/>
        <w:numPr>
          <w:ilvl w:val="1"/>
          <w:numId w:val="3"/>
        </w:numPr>
        <w:ind w:left="1276" w:hanging="916"/>
        <w:contextualSpacing w:val="0"/>
        <w:rPr>
          <w:rFonts w:ascii="Times New Roman" w:hAnsi="Times New Roman" w:cs="Times New Roman"/>
          <w:b/>
          <w:i/>
          <w:noProof/>
          <w:sz w:val="24"/>
          <w:szCs w:val="24"/>
        </w:rPr>
      </w:pPr>
      <w:r>
        <w:rPr>
          <w:rFonts w:ascii="Times New Roman" w:hAnsi="Times New Roman" w:cs="Times New Roman"/>
          <w:b/>
          <w:i/>
          <w:noProof/>
          <w:sz w:val="24"/>
          <w:szCs w:val="24"/>
        </w:rPr>
        <w:t>Uruguay</w:t>
      </w:r>
    </w:p>
    <w:p w14:paraId="7C08408C" w14:textId="0C33F90B" w:rsidR="001552F0" w:rsidRDefault="001552F0" w:rsidP="00386EAC">
      <w:pPr>
        <w:jc w:val="both"/>
        <w:rPr>
          <w:rFonts w:ascii="Times New Roman" w:hAnsi="Times New Roman" w:cs="Times New Roman"/>
          <w:bCs/>
          <w:noProof/>
          <w:sz w:val="24"/>
          <w:lang w:val="en-IE"/>
        </w:rPr>
      </w:pPr>
      <w:r w:rsidRPr="001552F0">
        <w:rPr>
          <w:rFonts w:ascii="Times New Roman" w:hAnsi="Times New Roman" w:cs="Times New Roman"/>
          <w:bCs/>
          <w:noProof/>
          <w:sz w:val="24"/>
          <w:lang w:val="en-IE"/>
        </w:rPr>
        <w:t xml:space="preserve">The Commission welcomes the developments in </w:t>
      </w:r>
      <w:r>
        <w:rPr>
          <w:rFonts w:ascii="Times New Roman" w:hAnsi="Times New Roman" w:cs="Times New Roman"/>
          <w:bCs/>
          <w:noProof/>
          <w:sz w:val="24"/>
          <w:lang w:val="en-IE"/>
        </w:rPr>
        <w:t>Uruguay’s</w:t>
      </w:r>
      <w:r w:rsidRPr="001552F0">
        <w:rPr>
          <w:rFonts w:ascii="Times New Roman" w:hAnsi="Times New Roman" w:cs="Times New Roman"/>
          <w:bCs/>
          <w:noProof/>
          <w:sz w:val="24"/>
          <w:lang w:val="en-IE"/>
        </w:rPr>
        <w:t xml:space="preserve"> legal framework since the adoption of the adequacy decision, </w:t>
      </w:r>
      <w:r w:rsidR="00AD723C">
        <w:rPr>
          <w:rFonts w:ascii="Times New Roman" w:hAnsi="Times New Roman" w:cs="Times New Roman"/>
          <w:bCs/>
          <w:noProof/>
          <w:sz w:val="24"/>
          <w:lang w:val="en-IE"/>
        </w:rPr>
        <w:t>including several</w:t>
      </w:r>
      <w:r w:rsidRPr="001552F0">
        <w:rPr>
          <w:rFonts w:ascii="Times New Roman" w:hAnsi="Times New Roman" w:cs="Times New Roman"/>
          <w:bCs/>
          <w:noProof/>
          <w:sz w:val="24"/>
          <w:lang w:val="en-IE"/>
        </w:rPr>
        <w:t xml:space="preserve"> legislative amendments, case law and activities of oversight bodies, which have contributed to an increased level of data protection.</w:t>
      </w:r>
      <w:r w:rsidR="00273098">
        <w:rPr>
          <w:rFonts w:ascii="Times New Roman" w:hAnsi="Times New Roman" w:cs="Times New Roman"/>
          <w:bCs/>
          <w:noProof/>
          <w:sz w:val="24"/>
          <w:lang w:val="en-IE"/>
        </w:rPr>
        <w:t xml:space="preserve"> In particular, </w:t>
      </w:r>
      <w:r w:rsidR="00273098" w:rsidRPr="00273098">
        <w:rPr>
          <w:rFonts w:ascii="Times New Roman" w:hAnsi="Times New Roman" w:cs="Times New Roman"/>
          <w:bCs/>
          <w:noProof/>
          <w:sz w:val="24"/>
          <w:lang w:val="en-IE"/>
        </w:rPr>
        <w:t>Uruguay moderni</w:t>
      </w:r>
      <w:r w:rsidR="00BD7A98">
        <w:rPr>
          <w:rFonts w:ascii="Times New Roman" w:hAnsi="Times New Roman" w:cs="Times New Roman"/>
          <w:bCs/>
          <w:noProof/>
          <w:sz w:val="24"/>
          <w:lang w:val="en-IE"/>
        </w:rPr>
        <w:t>s</w:t>
      </w:r>
      <w:r w:rsidR="00273098">
        <w:rPr>
          <w:rFonts w:ascii="Times New Roman" w:hAnsi="Times New Roman" w:cs="Times New Roman"/>
          <w:bCs/>
          <w:noProof/>
          <w:sz w:val="24"/>
          <w:lang w:val="en-IE"/>
        </w:rPr>
        <w:t>ed</w:t>
      </w:r>
      <w:r w:rsidR="00273098" w:rsidRPr="00273098">
        <w:rPr>
          <w:rFonts w:ascii="Times New Roman" w:hAnsi="Times New Roman" w:cs="Times New Roman"/>
          <w:bCs/>
          <w:noProof/>
          <w:sz w:val="24"/>
          <w:lang w:val="en-IE"/>
        </w:rPr>
        <w:t xml:space="preserve"> and strengthen</w:t>
      </w:r>
      <w:r w:rsidR="00273098">
        <w:rPr>
          <w:rFonts w:ascii="Times New Roman" w:hAnsi="Times New Roman" w:cs="Times New Roman"/>
          <w:bCs/>
          <w:noProof/>
          <w:sz w:val="24"/>
          <w:lang w:val="en-IE"/>
        </w:rPr>
        <w:t>ed</w:t>
      </w:r>
      <w:r w:rsidR="00273098" w:rsidRPr="00273098">
        <w:rPr>
          <w:rFonts w:ascii="Times New Roman" w:hAnsi="Times New Roman" w:cs="Times New Roman"/>
          <w:bCs/>
          <w:noProof/>
          <w:sz w:val="24"/>
          <w:lang w:val="en-IE"/>
        </w:rPr>
        <w:t xml:space="preserve"> its </w:t>
      </w:r>
      <w:r w:rsidR="00AD723C" w:rsidRPr="00AD723C">
        <w:rPr>
          <w:rFonts w:ascii="Times New Roman" w:hAnsi="Times New Roman" w:cs="Times New Roman"/>
          <w:bCs/>
          <w:noProof/>
          <w:sz w:val="24"/>
          <w:lang w:val="en-IE"/>
        </w:rPr>
        <w:t xml:space="preserve">Law 18.331 on the Protection of Personal Data and the Habeas Data Action </w:t>
      </w:r>
      <w:r w:rsidR="00AD723C">
        <w:rPr>
          <w:rFonts w:ascii="Times New Roman" w:hAnsi="Times New Roman" w:cs="Times New Roman"/>
          <w:bCs/>
          <w:noProof/>
          <w:sz w:val="24"/>
          <w:lang w:val="en-IE"/>
        </w:rPr>
        <w:t xml:space="preserve">of </w:t>
      </w:r>
      <w:r w:rsidR="00AD723C" w:rsidRPr="00AD723C">
        <w:rPr>
          <w:rFonts w:ascii="Times New Roman" w:hAnsi="Times New Roman" w:cs="Times New Roman"/>
          <w:bCs/>
          <w:noProof/>
          <w:sz w:val="24"/>
          <w:lang w:val="en-IE"/>
        </w:rPr>
        <w:t>2008</w:t>
      </w:r>
      <w:r w:rsidR="00AD723C">
        <w:rPr>
          <w:rFonts w:ascii="Times New Roman" w:hAnsi="Times New Roman" w:cs="Times New Roman"/>
          <w:bCs/>
          <w:noProof/>
          <w:sz w:val="24"/>
          <w:lang w:val="en-IE"/>
        </w:rPr>
        <w:t xml:space="preserve"> </w:t>
      </w:r>
      <w:r w:rsidR="00273098">
        <w:rPr>
          <w:rFonts w:ascii="Times New Roman" w:hAnsi="Times New Roman" w:cs="Times New Roman"/>
          <w:bCs/>
          <w:noProof/>
          <w:sz w:val="24"/>
          <w:lang w:val="en-IE"/>
        </w:rPr>
        <w:t>through legislative amendment</w:t>
      </w:r>
      <w:r w:rsidR="00AD723C">
        <w:rPr>
          <w:rFonts w:ascii="Times New Roman" w:hAnsi="Times New Roman" w:cs="Times New Roman"/>
          <w:bCs/>
          <w:noProof/>
          <w:sz w:val="24"/>
          <w:lang w:val="en-IE"/>
        </w:rPr>
        <w:t>s</w:t>
      </w:r>
      <w:r w:rsidR="00273098">
        <w:rPr>
          <w:rFonts w:ascii="Times New Roman" w:hAnsi="Times New Roman" w:cs="Times New Roman"/>
          <w:bCs/>
          <w:noProof/>
          <w:sz w:val="24"/>
          <w:lang w:val="en-IE"/>
        </w:rPr>
        <w:t xml:space="preserve"> in 2018</w:t>
      </w:r>
      <w:r w:rsidR="00AD723C">
        <w:rPr>
          <w:rFonts w:ascii="Times New Roman" w:hAnsi="Times New Roman" w:cs="Times New Roman"/>
          <w:bCs/>
          <w:noProof/>
          <w:sz w:val="24"/>
          <w:lang w:val="en-IE"/>
        </w:rPr>
        <w:t xml:space="preserve"> and 2020</w:t>
      </w:r>
      <w:r w:rsidR="00273098">
        <w:rPr>
          <w:rFonts w:ascii="Times New Roman" w:hAnsi="Times New Roman" w:cs="Times New Roman"/>
          <w:bCs/>
          <w:noProof/>
          <w:sz w:val="24"/>
          <w:lang w:val="en-IE"/>
        </w:rPr>
        <w:t xml:space="preserve"> which </w:t>
      </w:r>
      <w:r w:rsidR="00AD723C">
        <w:rPr>
          <w:rFonts w:ascii="Times New Roman" w:hAnsi="Times New Roman" w:cs="Times New Roman"/>
          <w:bCs/>
          <w:noProof/>
          <w:sz w:val="24"/>
          <w:lang w:val="en-IE"/>
        </w:rPr>
        <w:t>broadened the</w:t>
      </w:r>
      <w:r w:rsidR="00AD723C" w:rsidRPr="00AD723C">
        <w:rPr>
          <w:noProof/>
        </w:rPr>
        <w:t xml:space="preserve"> </w:t>
      </w:r>
      <w:r w:rsidR="00AD723C" w:rsidRPr="00AD723C">
        <w:rPr>
          <w:rFonts w:ascii="Times New Roman" w:hAnsi="Times New Roman" w:cs="Times New Roman"/>
          <w:bCs/>
          <w:noProof/>
          <w:sz w:val="24"/>
          <w:lang w:val="en-IE"/>
        </w:rPr>
        <w:t>territorial scope of the data protection legislation</w:t>
      </w:r>
      <w:r w:rsidR="00AD723C">
        <w:rPr>
          <w:rFonts w:ascii="Times New Roman" w:hAnsi="Times New Roman" w:cs="Times New Roman"/>
          <w:bCs/>
          <w:noProof/>
          <w:sz w:val="24"/>
          <w:lang w:val="en-IE"/>
        </w:rPr>
        <w:t>, created new</w:t>
      </w:r>
      <w:r w:rsidR="00AD723C" w:rsidRPr="00AD723C">
        <w:rPr>
          <w:rFonts w:ascii="Times New Roman" w:hAnsi="Times New Roman" w:cs="Times New Roman"/>
          <w:bCs/>
          <w:noProof/>
          <w:sz w:val="24"/>
          <w:lang w:val="en-IE"/>
        </w:rPr>
        <w:t xml:space="preserve"> accountability requirements</w:t>
      </w:r>
      <w:r w:rsidR="00AD723C">
        <w:rPr>
          <w:rFonts w:ascii="Times New Roman" w:hAnsi="Times New Roman" w:cs="Times New Roman"/>
          <w:bCs/>
          <w:noProof/>
          <w:sz w:val="24"/>
          <w:lang w:val="en-IE"/>
        </w:rPr>
        <w:t xml:space="preserve"> (such as </w:t>
      </w:r>
      <w:r w:rsidR="00AD723C" w:rsidRPr="00AD723C">
        <w:rPr>
          <w:rFonts w:ascii="Times New Roman" w:hAnsi="Times New Roman" w:cs="Times New Roman"/>
          <w:bCs/>
          <w:noProof/>
          <w:sz w:val="24"/>
          <w:lang w:val="en-IE"/>
        </w:rPr>
        <w:t>impact assessments</w:t>
      </w:r>
      <w:r w:rsidR="00AD723C">
        <w:rPr>
          <w:rFonts w:ascii="Times New Roman" w:hAnsi="Times New Roman" w:cs="Times New Roman"/>
          <w:bCs/>
          <w:noProof/>
          <w:sz w:val="24"/>
          <w:lang w:val="en-IE"/>
        </w:rPr>
        <w:t>,</w:t>
      </w:r>
      <w:r w:rsidR="00AD723C" w:rsidRPr="00AD723C">
        <w:rPr>
          <w:rFonts w:ascii="Times New Roman" w:hAnsi="Times New Roman" w:cs="Times New Roman"/>
          <w:bCs/>
          <w:noProof/>
          <w:sz w:val="24"/>
          <w:lang w:val="en-IE"/>
        </w:rPr>
        <w:t xml:space="preserve"> data protection by design and by default, data breach notification and the appointment of data protection officers</w:t>
      </w:r>
      <w:r w:rsidR="00AD723C">
        <w:rPr>
          <w:rFonts w:ascii="Times New Roman" w:hAnsi="Times New Roman" w:cs="Times New Roman"/>
          <w:bCs/>
          <w:noProof/>
          <w:sz w:val="24"/>
          <w:lang w:val="en-IE"/>
        </w:rPr>
        <w:t>) and introduced additional</w:t>
      </w:r>
      <w:r w:rsidR="00AD723C" w:rsidRPr="00AD723C">
        <w:rPr>
          <w:rFonts w:ascii="Times New Roman" w:hAnsi="Times New Roman" w:cs="Times New Roman"/>
          <w:bCs/>
          <w:noProof/>
          <w:sz w:val="24"/>
          <w:lang w:val="en-IE"/>
        </w:rPr>
        <w:t xml:space="preserve"> protections for biometric data. </w:t>
      </w:r>
      <w:r w:rsidR="00273098">
        <w:rPr>
          <w:rFonts w:ascii="Times New Roman" w:hAnsi="Times New Roman" w:cs="Times New Roman"/>
          <w:bCs/>
          <w:noProof/>
          <w:sz w:val="24"/>
          <w:lang w:val="en-IE"/>
        </w:rPr>
        <w:t>Uruguay</w:t>
      </w:r>
      <w:r w:rsidR="00273098" w:rsidRPr="00273098">
        <w:rPr>
          <w:rFonts w:ascii="Times New Roman" w:hAnsi="Times New Roman" w:cs="Times New Roman"/>
          <w:bCs/>
          <w:noProof/>
          <w:sz w:val="24"/>
          <w:lang w:val="en-IE"/>
        </w:rPr>
        <w:t xml:space="preserve"> also strengthened its international commitments in the field of data protection by joining the </w:t>
      </w:r>
      <w:r w:rsidR="009D24C0">
        <w:rPr>
          <w:rFonts w:ascii="Times New Roman" w:hAnsi="Times New Roman" w:cs="Times New Roman"/>
          <w:bCs/>
          <w:noProof/>
          <w:sz w:val="24"/>
          <w:lang w:val="en-IE"/>
        </w:rPr>
        <w:t>Convention 108</w:t>
      </w:r>
      <w:r w:rsidR="00273098" w:rsidRPr="00273098">
        <w:rPr>
          <w:rFonts w:ascii="Times New Roman" w:hAnsi="Times New Roman" w:cs="Times New Roman"/>
          <w:bCs/>
          <w:noProof/>
          <w:sz w:val="24"/>
          <w:lang w:val="en-IE"/>
        </w:rPr>
        <w:t xml:space="preserve"> in 2019, and by ratifyin</w:t>
      </w:r>
      <w:r w:rsidR="009D24C0">
        <w:rPr>
          <w:rFonts w:ascii="Times New Roman" w:hAnsi="Times New Roman" w:cs="Times New Roman"/>
          <w:bCs/>
          <w:noProof/>
          <w:sz w:val="24"/>
          <w:lang w:val="en-IE"/>
        </w:rPr>
        <w:t>g</w:t>
      </w:r>
      <w:r w:rsidR="00273098" w:rsidRPr="00273098">
        <w:rPr>
          <w:rFonts w:ascii="Times New Roman" w:hAnsi="Times New Roman" w:cs="Times New Roman"/>
          <w:bCs/>
          <w:noProof/>
          <w:sz w:val="24"/>
          <w:lang w:val="en-IE"/>
        </w:rPr>
        <w:t xml:space="preserve"> Convention 108+ in 202</w:t>
      </w:r>
      <w:r w:rsidR="00273098">
        <w:rPr>
          <w:rFonts w:ascii="Times New Roman" w:hAnsi="Times New Roman" w:cs="Times New Roman"/>
          <w:bCs/>
          <w:noProof/>
          <w:sz w:val="24"/>
          <w:lang w:val="en-IE"/>
        </w:rPr>
        <w:t>1</w:t>
      </w:r>
      <w:r w:rsidR="00273098" w:rsidRPr="00273098">
        <w:rPr>
          <w:rFonts w:ascii="Times New Roman" w:hAnsi="Times New Roman" w:cs="Times New Roman"/>
          <w:bCs/>
          <w:noProof/>
          <w:sz w:val="24"/>
          <w:lang w:val="en-IE"/>
        </w:rPr>
        <w:t>.</w:t>
      </w:r>
    </w:p>
    <w:p w14:paraId="63A1482C" w14:textId="40E5D07F" w:rsidR="00273098" w:rsidRDefault="00802EF9" w:rsidP="00386EAC">
      <w:pPr>
        <w:jc w:val="both"/>
        <w:rPr>
          <w:rFonts w:ascii="Times New Roman" w:hAnsi="Times New Roman" w:cs="Times New Roman"/>
          <w:bCs/>
          <w:noProof/>
          <w:sz w:val="24"/>
          <w:lang w:val="en-IE"/>
        </w:rPr>
      </w:pPr>
      <w:r>
        <w:rPr>
          <w:rFonts w:ascii="Times New Roman" w:hAnsi="Times New Roman" w:cs="Times New Roman"/>
          <w:bCs/>
          <w:noProof/>
          <w:sz w:val="24"/>
        </w:rPr>
        <w:t xml:space="preserve">In the area of government access to personal data, </w:t>
      </w:r>
      <w:r w:rsidRPr="00441ED2">
        <w:rPr>
          <w:rFonts w:ascii="Times New Roman" w:hAnsi="Times New Roman" w:cs="Times New Roman"/>
          <w:bCs/>
          <w:noProof/>
          <w:sz w:val="24"/>
        </w:rPr>
        <w:t xml:space="preserve">public authorities </w:t>
      </w:r>
      <w:r>
        <w:rPr>
          <w:rFonts w:ascii="Times New Roman" w:hAnsi="Times New Roman" w:cs="Times New Roman"/>
          <w:bCs/>
          <w:noProof/>
          <w:sz w:val="24"/>
        </w:rPr>
        <w:t xml:space="preserve">in Uruguay </w:t>
      </w:r>
      <w:r w:rsidRPr="00441ED2">
        <w:rPr>
          <w:rFonts w:ascii="Times New Roman" w:hAnsi="Times New Roman" w:cs="Times New Roman"/>
          <w:bCs/>
          <w:noProof/>
          <w:sz w:val="24"/>
        </w:rPr>
        <w:t xml:space="preserve">are subject to clear, precise and accessible rules </w:t>
      </w:r>
      <w:r>
        <w:rPr>
          <w:rFonts w:ascii="Times New Roman" w:hAnsi="Times New Roman" w:cs="Times New Roman"/>
          <w:bCs/>
          <w:noProof/>
          <w:sz w:val="24"/>
        </w:rPr>
        <w:t xml:space="preserve">under which such authorities can access and subsequently use for public interest objectives, in particular for criminal law enforcement and national security purposes, data transferred from the </w:t>
      </w:r>
      <w:r w:rsidR="007F26DB">
        <w:rPr>
          <w:rFonts w:ascii="Times New Roman" w:hAnsi="Times New Roman" w:cs="Times New Roman"/>
          <w:bCs/>
          <w:noProof/>
          <w:sz w:val="24"/>
        </w:rPr>
        <w:t>EU</w:t>
      </w:r>
      <w:r w:rsidRPr="00441ED2">
        <w:rPr>
          <w:rFonts w:ascii="Times New Roman" w:hAnsi="Times New Roman" w:cs="Times New Roman"/>
          <w:bCs/>
          <w:noProof/>
          <w:sz w:val="24"/>
        </w:rPr>
        <w:t xml:space="preserve">. </w:t>
      </w:r>
      <w:r w:rsidR="00273098" w:rsidRPr="00273098">
        <w:rPr>
          <w:rFonts w:ascii="Times New Roman" w:hAnsi="Times New Roman" w:cs="Times New Roman"/>
          <w:bCs/>
          <w:noProof/>
          <w:sz w:val="24"/>
          <w:lang w:val="en-IE"/>
        </w:rPr>
        <w:t xml:space="preserve">These limitations and safeguards follow from the overarching legal framework and international commitments, notably the </w:t>
      </w:r>
      <w:r w:rsidR="00273098">
        <w:rPr>
          <w:rFonts w:ascii="Times New Roman" w:hAnsi="Times New Roman" w:cs="Times New Roman"/>
          <w:bCs/>
          <w:noProof/>
          <w:sz w:val="24"/>
          <w:lang w:val="en-IE"/>
        </w:rPr>
        <w:t>Urug</w:t>
      </w:r>
      <w:r w:rsidR="000F3483">
        <w:rPr>
          <w:rFonts w:ascii="Times New Roman" w:hAnsi="Times New Roman" w:cs="Times New Roman"/>
          <w:bCs/>
          <w:noProof/>
          <w:sz w:val="24"/>
          <w:lang w:val="en-IE"/>
        </w:rPr>
        <w:t>u</w:t>
      </w:r>
      <w:r w:rsidR="00273098">
        <w:rPr>
          <w:rFonts w:ascii="Times New Roman" w:hAnsi="Times New Roman" w:cs="Times New Roman"/>
          <w:bCs/>
          <w:noProof/>
          <w:sz w:val="24"/>
          <w:lang w:val="en-IE"/>
        </w:rPr>
        <w:t>ayan</w:t>
      </w:r>
      <w:r w:rsidR="00273098" w:rsidRPr="00273098">
        <w:rPr>
          <w:rFonts w:ascii="Times New Roman" w:hAnsi="Times New Roman" w:cs="Times New Roman"/>
          <w:bCs/>
          <w:noProof/>
          <w:sz w:val="24"/>
          <w:lang w:val="en-IE"/>
        </w:rPr>
        <w:t xml:space="preserve"> Constitution, the American Convention on Human Rights, Convention 108</w:t>
      </w:r>
      <w:r w:rsidR="009D24C0">
        <w:rPr>
          <w:rFonts w:ascii="Times New Roman" w:hAnsi="Times New Roman" w:cs="Times New Roman"/>
          <w:bCs/>
          <w:noProof/>
          <w:sz w:val="24"/>
          <w:lang w:val="en-IE"/>
        </w:rPr>
        <w:t xml:space="preserve"> </w:t>
      </w:r>
      <w:r w:rsidR="00273098" w:rsidRPr="00273098">
        <w:rPr>
          <w:rFonts w:ascii="Times New Roman" w:hAnsi="Times New Roman" w:cs="Times New Roman"/>
          <w:bCs/>
          <w:noProof/>
          <w:sz w:val="24"/>
          <w:lang w:val="en-IE"/>
        </w:rPr>
        <w:t xml:space="preserve">and Convention 108+, as well as from </w:t>
      </w:r>
      <w:r w:rsidR="00AD723C">
        <w:rPr>
          <w:rFonts w:ascii="Times New Roman" w:hAnsi="Times New Roman" w:cs="Times New Roman"/>
          <w:bCs/>
          <w:noProof/>
          <w:sz w:val="24"/>
          <w:lang w:val="en-IE"/>
        </w:rPr>
        <w:t xml:space="preserve">the </w:t>
      </w:r>
      <w:r w:rsidR="00273098" w:rsidRPr="00273098">
        <w:rPr>
          <w:rFonts w:ascii="Times New Roman" w:hAnsi="Times New Roman" w:cs="Times New Roman"/>
          <w:bCs/>
          <w:noProof/>
          <w:sz w:val="24"/>
          <w:lang w:val="en-IE"/>
        </w:rPr>
        <w:t xml:space="preserve">data protection rules </w:t>
      </w:r>
      <w:r w:rsidR="008B5E9F">
        <w:rPr>
          <w:rFonts w:ascii="Times New Roman" w:hAnsi="Times New Roman" w:cs="Times New Roman"/>
          <w:bCs/>
          <w:noProof/>
          <w:sz w:val="24"/>
          <w:lang w:val="en-IE"/>
        </w:rPr>
        <w:t xml:space="preserve">in </w:t>
      </w:r>
      <w:r w:rsidR="008B5E9F" w:rsidRPr="008B5E9F">
        <w:rPr>
          <w:rFonts w:ascii="Times New Roman" w:hAnsi="Times New Roman" w:cs="Times New Roman"/>
          <w:bCs/>
          <w:noProof/>
          <w:sz w:val="24"/>
          <w:lang w:val="en-IE"/>
        </w:rPr>
        <w:t xml:space="preserve">Law 18.331 on the Protection of Personal Data and the Habeas Data Action </w:t>
      </w:r>
      <w:r w:rsidR="00273098" w:rsidRPr="00273098">
        <w:rPr>
          <w:rFonts w:ascii="Times New Roman" w:hAnsi="Times New Roman" w:cs="Times New Roman"/>
          <w:bCs/>
          <w:noProof/>
          <w:sz w:val="24"/>
          <w:lang w:val="en-IE"/>
        </w:rPr>
        <w:t>that appl</w:t>
      </w:r>
      <w:r w:rsidR="00273098">
        <w:rPr>
          <w:rFonts w:ascii="Times New Roman" w:hAnsi="Times New Roman" w:cs="Times New Roman"/>
          <w:bCs/>
          <w:noProof/>
          <w:sz w:val="24"/>
          <w:lang w:val="en-IE"/>
        </w:rPr>
        <w:t>y</w:t>
      </w:r>
      <w:r w:rsidR="00273098" w:rsidRPr="00273098">
        <w:rPr>
          <w:rFonts w:ascii="Times New Roman" w:hAnsi="Times New Roman" w:cs="Times New Roman"/>
          <w:bCs/>
          <w:noProof/>
          <w:sz w:val="24"/>
          <w:lang w:val="en-IE"/>
        </w:rPr>
        <w:t xml:space="preserve"> to the processing of personal data by public authorities</w:t>
      </w:r>
      <w:r w:rsidR="000F3483">
        <w:rPr>
          <w:rFonts w:ascii="Times New Roman" w:hAnsi="Times New Roman" w:cs="Times New Roman"/>
          <w:bCs/>
          <w:noProof/>
          <w:sz w:val="24"/>
          <w:lang w:val="en-IE"/>
        </w:rPr>
        <w:t xml:space="preserve"> in Uruguay</w:t>
      </w:r>
      <w:r w:rsidR="009D24C0">
        <w:rPr>
          <w:rFonts w:ascii="Times New Roman" w:hAnsi="Times New Roman" w:cs="Times New Roman"/>
          <w:bCs/>
          <w:noProof/>
          <w:sz w:val="24"/>
          <w:lang w:val="en-IE"/>
        </w:rPr>
        <w:t>, notably</w:t>
      </w:r>
      <w:r w:rsidR="00273098" w:rsidRPr="00273098">
        <w:rPr>
          <w:rFonts w:ascii="Times New Roman" w:hAnsi="Times New Roman" w:cs="Times New Roman"/>
          <w:bCs/>
          <w:noProof/>
          <w:sz w:val="24"/>
          <w:lang w:val="en-IE"/>
        </w:rPr>
        <w:t xml:space="preserve"> for law enforcement and national security purposes. In addition, </w:t>
      </w:r>
      <w:r w:rsidR="000F3483">
        <w:rPr>
          <w:rFonts w:ascii="Times New Roman" w:hAnsi="Times New Roman" w:cs="Times New Roman"/>
          <w:bCs/>
          <w:noProof/>
          <w:sz w:val="24"/>
          <w:lang w:val="en-IE"/>
        </w:rPr>
        <w:t>Uruguayan</w:t>
      </w:r>
      <w:r w:rsidR="00273098" w:rsidRPr="00273098">
        <w:rPr>
          <w:rFonts w:ascii="Times New Roman" w:hAnsi="Times New Roman" w:cs="Times New Roman"/>
          <w:bCs/>
          <w:noProof/>
          <w:sz w:val="24"/>
          <w:lang w:val="en-IE"/>
        </w:rPr>
        <w:t xml:space="preserve"> law imposes a number of specific </w:t>
      </w:r>
      <w:r w:rsidR="009D24C0">
        <w:rPr>
          <w:rFonts w:ascii="Times New Roman" w:hAnsi="Times New Roman" w:cs="Times New Roman"/>
          <w:bCs/>
          <w:noProof/>
          <w:sz w:val="24"/>
          <w:lang w:val="en-IE"/>
        </w:rPr>
        <w:t xml:space="preserve">conditions and </w:t>
      </w:r>
      <w:r w:rsidR="00273098" w:rsidRPr="00273098">
        <w:rPr>
          <w:rFonts w:ascii="Times New Roman" w:hAnsi="Times New Roman" w:cs="Times New Roman"/>
          <w:bCs/>
          <w:noProof/>
          <w:sz w:val="24"/>
          <w:lang w:val="en-IE"/>
        </w:rPr>
        <w:t xml:space="preserve">limitations on the access to and use of personal data </w:t>
      </w:r>
      <w:r w:rsidR="009D24C0">
        <w:rPr>
          <w:rFonts w:ascii="Times New Roman" w:hAnsi="Times New Roman" w:cs="Times New Roman"/>
          <w:bCs/>
          <w:noProof/>
          <w:sz w:val="24"/>
          <w:lang w:val="en-IE"/>
        </w:rPr>
        <w:t>by public authorities</w:t>
      </w:r>
      <w:r w:rsidR="00273098" w:rsidRPr="00273098">
        <w:rPr>
          <w:rFonts w:ascii="Times New Roman" w:hAnsi="Times New Roman" w:cs="Times New Roman"/>
          <w:bCs/>
          <w:noProof/>
          <w:sz w:val="24"/>
          <w:lang w:val="en-IE"/>
        </w:rPr>
        <w:t>, and it provides oversight and redress mechanisms in this area.</w:t>
      </w:r>
    </w:p>
    <w:p w14:paraId="3D5AB001" w14:textId="77777777" w:rsidR="00FA5628" w:rsidRDefault="00FA5628" w:rsidP="00386EAC">
      <w:pPr>
        <w:jc w:val="both"/>
        <w:rPr>
          <w:rFonts w:ascii="Times New Roman" w:hAnsi="Times New Roman" w:cs="Times New Roman"/>
          <w:bCs/>
          <w:noProof/>
          <w:sz w:val="24"/>
        </w:rPr>
      </w:pPr>
      <w:r w:rsidRPr="00FA5628">
        <w:rPr>
          <w:rFonts w:ascii="Times New Roman" w:hAnsi="Times New Roman" w:cs="Times New Roman"/>
          <w:bCs/>
          <w:noProof/>
          <w:sz w:val="24"/>
          <w:lang w:val="en-IE"/>
        </w:rPr>
        <w:t xml:space="preserve">Based on the overall findings made as part of this first review, the Commission concludes that </w:t>
      </w:r>
      <w:r>
        <w:rPr>
          <w:rFonts w:ascii="Times New Roman" w:hAnsi="Times New Roman" w:cs="Times New Roman"/>
          <w:bCs/>
          <w:noProof/>
          <w:sz w:val="24"/>
        </w:rPr>
        <w:t>Uruguay continues to provide an adequate level of protection for personal data transferred from the EU</w:t>
      </w:r>
      <w:r w:rsidRPr="00D03416">
        <w:rPr>
          <w:rFonts w:ascii="Times New Roman" w:hAnsi="Times New Roman" w:cs="Times New Roman"/>
          <w:bCs/>
          <w:noProof/>
          <w:sz w:val="24"/>
        </w:rPr>
        <w:t>.</w:t>
      </w:r>
    </w:p>
    <w:p w14:paraId="5B1EDF0B" w14:textId="77777777" w:rsidR="00FA5628" w:rsidRPr="00F966C9" w:rsidRDefault="00FA5628" w:rsidP="00386EAC">
      <w:pPr>
        <w:pStyle w:val="ListParagraph"/>
        <w:numPr>
          <w:ilvl w:val="0"/>
          <w:numId w:val="3"/>
        </w:numPr>
        <w:contextualSpacing w:val="0"/>
        <w:jc w:val="both"/>
        <w:rPr>
          <w:rFonts w:ascii="Times New Roman" w:hAnsi="Times New Roman" w:cs="Times New Roman"/>
          <w:b/>
          <w:bCs/>
          <w:noProof/>
          <w:sz w:val="24"/>
        </w:rPr>
      </w:pPr>
      <w:r>
        <w:rPr>
          <w:rFonts w:ascii="Times New Roman" w:hAnsi="Times New Roman" w:cs="Times New Roman"/>
          <w:b/>
          <w:bCs/>
          <w:noProof/>
          <w:sz w:val="24"/>
        </w:rPr>
        <w:t xml:space="preserve">FUTURE </w:t>
      </w:r>
      <w:r w:rsidR="00B91C72">
        <w:rPr>
          <w:rFonts w:ascii="Times New Roman" w:hAnsi="Times New Roman" w:cs="Times New Roman"/>
          <w:b/>
          <w:bCs/>
          <w:noProof/>
          <w:sz w:val="24"/>
        </w:rPr>
        <w:t xml:space="preserve">MONITORING AND </w:t>
      </w:r>
      <w:r w:rsidR="003834E5">
        <w:rPr>
          <w:rFonts w:ascii="Times New Roman" w:hAnsi="Times New Roman" w:cs="Times New Roman"/>
          <w:b/>
          <w:bCs/>
          <w:noProof/>
          <w:sz w:val="24"/>
        </w:rPr>
        <w:t>COOPERATION</w:t>
      </w:r>
    </w:p>
    <w:p w14:paraId="19A8A8AF" w14:textId="56C04170" w:rsidR="003C0606" w:rsidRDefault="008C008E" w:rsidP="00386EAC">
      <w:pPr>
        <w:jc w:val="both"/>
        <w:rPr>
          <w:rFonts w:ascii="Times New Roman" w:hAnsi="Times New Roman" w:cs="Times New Roman"/>
          <w:noProof/>
          <w:sz w:val="24"/>
          <w:szCs w:val="24"/>
        </w:rPr>
      </w:pPr>
      <w:r>
        <w:rPr>
          <w:rFonts w:ascii="Times New Roman" w:hAnsi="Times New Roman" w:cs="Times New Roman"/>
          <w:noProof/>
          <w:sz w:val="24"/>
          <w:szCs w:val="24"/>
          <w:lang w:val="en-IE"/>
        </w:rPr>
        <w:t>T</w:t>
      </w:r>
      <w:r w:rsidR="003834E5" w:rsidRPr="003834E5">
        <w:rPr>
          <w:rFonts w:ascii="Times New Roman" w:hAnsi="Times New Roman" w:cs="Times New Roman"/>
          <w:noProof/>
          <w:sz w:val="24"/>
          <w:szCs w:val="24"/>
          <w:lang w:val="en-IE"/>
        </w:rPr>
        <w:t>he Commission recognise</w:t>
      </w:r>
      <w:r w:rsidR="00856455">
        <w:rPr>
          <w:rFonts w:ascii="Times New Roman" w:hAnsi="Times New Roman" w:cs="Times New Roman"/>
          <w:noProof/>
          <w:sz w:val="24"/>
          <w:szCs w:val="24"/>
          <w:lang w:val="en-IE"/>
        </w:rPr>
        <w:t>s</w:t>
      </w:r>
      <w:r w:rsidR="003834E5" w:rsidRPr="003834E5">
        <w:rPr>
          <w:rFonts w:ascii="Times New Roman" w:hAnsi="Times New Roman" w:cs="Times New Roman"/>
          <w:noProof/>
          <w:sz w:val="24"/>
          <w:szCs w:val="24"/>
          <w:lang w:val="en-IE"/>
        </w:rPr>
        <w:t xml:space="preserve"> and very much value</w:t>
      </w:r>
      <w:r w:rsidR="00856455">
        <w:rPr>
          <w:rFonts w:ascii="Times New Roman" w:hAnsi="Times New Roman" w:cs="Times New Roman"/>
          <w:noProof/>
          <w:sz w:val="24"/>
          <w:szCs w:val="24"/>
          <w:lang w:val="en-IE"/>
        </w:rPr>
        <w:t>s</w:t>
      </w:r>
      <w:r w:rsidR="003834E5" w:rsidRPr="003834E5">
        <w:rPr>
          <w:rFonts w:ascii="Times New Roman" w:hAnsi="Times New Roman" w:cs="Times New Roman"/>
          <w:noProof/>
          <w:sz w:val="24"/>
          <w:szCs w:val="24"/>
          <w:lang w:val="en-IE"/>
        </w:rPr>
        <w:t xml:space="preserve"> the excellent cooperation </w:t>
      </w:r>
      <w:r>
        <w:rPr>
          <w:rFonts w:ascii="Times New Roman" w:hAnsi="Times New Roman" w:cs="Times New Roman"/>
          <w:noProof/>
          <w:sz w:val="24"/>
          <w:szCs w:val="24"/>
          <w:lang w:val="en-IE"/>
        </w:rPr>
        <w:t xml:space="preserve">with the relevant authorities in the </w:t>
      </w:r>
      <w:r w:rsidR="00A33C0B">
        <w:rPr>
          <w:rFonts w:ascii="Times New Roman" w:hAnsi="Times New Roman" w:cs="Times New Roman"/>
          <w:noProof/>
          <w:sz w:val="24"/>
          <w:szCs w:val="24"/>
          <w:lang w:val="en-IE"/>
        </w:rPr>
        <w:t xml:space="preserve">each of the </w:t>
      </w:r>
      <w:r>
        <w:rPr>
          <w:rFonts w:ascii="Times New Roman" w:hAnsi="Times New Roman" w:cs="Times New Roman"/>
          <w:noProof/>
          <w:sz w:val="24"/>
          <w:szCs w:val="24"/>
          <w:lang w:val="en-IE"/>
        </w:rPr>
        <w:t>countries and territories</w:t>
      </w:r>
      <w:r w:rsidR="00BD7A98">
        <w:rPr>
          <w:rFonts w:ascii="Times New Roman" w:hAnsi="Times New Roman" w:cs="Times New Roman"/>
          <w:noProof/>
          <w:sz w:val="24"/>
          <w:szCs w:val="24"/>
          <w:lang w:val="en-IE"/>
        </w:rPr>
        <w:t xml:space="preserve"> concerned</w:t>
      </w:r>
      <w:r>
        <w:rPr>
          <w:rFonts w:ascii="Times New Roman" w:hAnsi="Times New Roman" w:cs="Times New Roman"/>
          <w:noProof/>
          <w:sz w:val="24"/>
          <w:szCs w:val="24"/>
          <w:lang w:val="en-IE"/>
        </w:rPr>
        <w:t xml:space="preserve"> </w:t>
      </w:r>
      <w:r w:rsidR="003834E5" w:rsidRPr="003834E5">
        <w:rPr>
          <w:rFonts w:ascii="Times New Roman" w:hAnsi="Times New Roman" w:cs="Times New Roman"/>
          <w:noProof/>
          <w:sz w:val="24"/>
          <w:szCs w:val="24"/>
          <w:lang w:val="en-IE"/>
        </w:rPr>
        <w:t>in the conduct of th</w:t>
      </w:r>
      <w:r w:rsidR="00BD7A98">
        <w:rPr>
          <w:rFonts w:ascii="Times New Roman" w:hAnsi="Times New Roman" w:cs="Times New Roman"/>
          <w:noProof/>
          <w:sz w:val="24"/>
          <w:szCs w:val="24"/>
          <w:lang w:val="en-IE"/>
        </w:rPr>
        <w:t>is</w:t>
      </w:r>
      <w:r w:rsidR="003834E5" w:rsidRPr="003834E5">
        <w:rPr>
          <w:rFonts w:ascii="Times New Roman" w:hAnsi="Times New Roman" w:cs="Times New Roman"/>
          <w:noProof/>
          <w:sz w:val="24"/>
          <w:szCs w:val="24"/>
          <w:lang w:val="en-IE"/>
        </w:rPr>
        <w:t xml:space="preserve"> review.</w:t>
      </w:r>
      <w:r w:rsidR="00856455">
        <w:rPr>
          <w:rFonts w:ascii="Times New Roman" w:hAnsi="Times New Roman" w:cs="Times New Roman"/>
          <w:noProof/>
          <w:sz w:val="24"/>
          <w:szCs w:val="24"/>
          <w:lang w:val="en-IE"/>
        </w:rPr>
        <w:t xml:space="preserve"> </w:t>
      </w:r>
      <w:r w:rsidR="003834E5" w:rsidRPr="00A17989">
        <w:rPr>
          <w:rFonts w:ascii="Times New Roman" w:hAnsi="Times New Roman" w:cs="Times New Roman"/>
          <w:noProof/>
          <w:sz w:val="24"/>
          <w:szCs w:val="24"/>
          <w:lang w:val="en-IE"/>
        </w:rPr>
        <w:t xml:space="preserve">The Commission will continue to closely monitor </w:t>
      </w:r>
      <w:r w:rsidR="0034284A">
        <w:rPr>
          <w:rFonts w:ascii="Times New Roman" w:hAnsi="Times New Roman" w:cs="Times New Roman"/>
          <w:noProof/>
          <w:sz w:val="24"/>
          <w:szCs w:val="24"/>
        </w:rPr>
        <w:t xml:space="preserve">developments in the </w:t>
      </w:r>
      <w:r w:rsidR="003834E5" w:rsidRPr="00A17989">
        <w:rPr>
          <w:rFonts w:ascii="Times New Roman" w:hAnsi="Times New Roman" w:cs="Times New Roman"/>
          <w:noProof/>
          <w:sz w:val="24"/>
          <w:szCs w:val="24"/>
        </w:rPr>
        <w:t>protection framework</w:t>
      </w:r>
      <w:r w:rsidR="00856455">
        <w:rPr>
          <w:rFonts w:ascii="Times New Roman" w:hAnsi="Times New Roman" w:cs="Times New Roman"/>
          <w:noProof/>
          <w:sz w:val="24"/>
          <w:szCs w:val="24"/>
        </w:rPr>
        <w:t>s</w:t>
      </w:r>
      <w:r w:rsidR="003834E5" w:rsidRPr="00A17989">
        <w:rPr>
          <w:rFonts w:ascii="Times New Roman" w:hAnsi="Times New Roman" w:cs="Times New Roman"/>
          <w:noProof/>
          <w:sz w:val="24"/>
          <w:szCs w:val="24"/>
        </w:rPr>
        <w:t xml:space="preserve"> and actual practice</w:t>
      </w:r>
      <w:r w:rsidR="0034284A">
        <w:rPr>
          <w:rFonts w:ascii="Times New Roman" w:hAnsi="Times New Roman" w:cs="Times New Roman"/>
          <w:noProof/>
          <w:sz w:val="24"/>
          <w:szCs w:val="24"/>
        </w:rPr>
        <w:t xml:space="preserve"> of the countries and territories</w:t>
      </w:r>
      <w:r w:rsidR="00BD7A98">
        <w:rPr>
          <w:rFonts w:ascii="Times New Roman" w:hAnsi="Times New Roman" w:cs="Times New Roman"/>
          <w:noProof/>
          <w:sz w:val="24"/>
          <w:szCs w:val="24"/>
        </w:rPr>
        <w:t xml:space="preserve"> concerned</w:t>
      </w:r>
      <w:r w:rsidR="003834E5" w:rsidRPr="00A17989">
        <w:rPr>
          <w:rFonts w:ascii="Times New Roman" w:hAnsi="Times New Roman" w:cs="Times New Roman"/>
          <w:noProof/>
          <w:sz w:val="24"/>
          <w:szCs w:val="24"/>
        </w:rPr>
        <w:t xml:space="preserve">. </w:t>
      </w:r>
      <w:r w:rsidR="00AF2A88">
        <w:rPr>
          <w:rFonts w:ascii="Times New Roman" w:hAnsi="Times New Roman" w:cs="Times New Roman"/>
          <w:noProof/>
          <w:sz w:val="24"/>
          <w:szCs w:val="24"/>
        </w:rPr>
        <w:t>In case of developments in an adequate country or territory that would negatively affect the level of data protection</w:t>
      </w:r>
      <w:r w:rsidR="006576AD">
        <w:rPr>
          <w:rFonts w:ascii="Times New Roman" w:hAnsi="Times New Roman" w:cs="Times New Roman"/>
          <w:noProof/>
          <w:sz w:val="24"/>
          <w:szCs w:val="24"/>
        </w:rPr>
        <w:t xml:space="preserve"> found adequate</w:t>
      </w:r>
      <w:r w:rsidR="00AF2A88">
        <w:rPr>
          <w:rFonts w:ascii="Times New Roman" w:hAnsi="Times New Roman" w:cs="Times New Roman"/>
          <w:noProof/>
          <w:sz w:val="24"/>
          <w:szCs w:val="24"/>
        </w:rPr>
        <w:t>, the Commission will, where necessary, make use of its powers under Article 45</w:t>
      </w:r>
      <w:r w:rsidR="00AF2A88" w:rsidRPr="002C73D4">
        <w:rPr>
          <w:rFonts w:ascii="Times New Roman" w:hAnsi="Times New Roman" w:cs="Times New Roman"/>
          <w:noProof/>
          <w:sz w:val="24"/>
          <w:szCs w:val="24"/>
        </w:rPr>
        <w:t>(</w:t>
      </w:r>
      <w:r w:rsidR="002C73D4" w:rsidRPr="002C73D4">
        <w:rPr>
          <w:rFonts w:ascii="Times New Roman" w:hAnsi="Times New Roman" w:cs="Times New Roman"/>
          <w:noProof/>
          <w:sz w:val="24"/>
          <w:szCs w:val="24"/>
        </w:rPr>
        <w:t>5</w:t>
      </w:r>
      <w:r w:rsidR="00AF2A88" w:rsidRPr="002C73D4">
        <w:rPr>
          <w:rFonts w:ascii="Times New Roman" w:hAnsi="Times New Roman" w:cs="Times New Roman"/>
          <w:noProof/>
          <w:sz w:val="24"/>
          <w:szCs w:val="24"/>
        </w:rPr>
        <w:t>)</w:t>
      </w:r>
      <w:r w:rsidR="00AF2A88">
        <w:rPr>
          <w:rFonts w:ascii="Times New Roman" w:hAnsi="Times New Roman" w:cs="Times New Roman"/>
          <w:noProof/>
          <w:sz w:val="24"/>
          <w:szCs w:val="24"/>
        </w:rPr>
        <w:t xml:space="preserve"> GDPR to suspend, amend or withdraw an adequacy decision.</w:t>
      </w:r>
    </w:p>
    <w:p w14:paraId="4E44D0BD" w14:textId="6B76BF55" w:rsidR="002A532D" w:rsidRDefault="00AF2A88" w:rsidP="00386EAC">
      <w:pPr>
        <w:jc w:val="both"/>
        <w:rPr>
          <w:rFonts w:ascii="Times New Roman" w:hAnsi="Times New Roman" w:cs="Times New Roman"/>
          <w:noProof/>
          <w:sz w:val="24"/>
          <w:szCs w:val="24"/>
        </w:rPr>
      </w:pPr>
      <w:r>
        <w:rPr>
          <w:rFonts w:ascii="Times New Roman" w:hAnsi="Times New Roman" w:cs="Times New Roman"/>
          <w:noProof/>
          <w:sz w:val="24"/>
          <w:szCs w:val="24"/>
        </w:rPr>
        <w:t xml:space="preserve">This review </w:t>
      </w:r>
      <w:r w:rsidR="002C73D4">
        <w:rPr>
          <w:rFonts w:ascii="Times New Roman" w:hAnsi="Times New Roman" w:cs="Times New Roman"/>
          <w:noProof/>
          <w:sz w:val="24"/>
          <w:szCs w:val="24"/>
        </w:rPr>
        <w:t>confirms</w:t>
      </w:r>
      <w:r>
        <w:rPr>
          <w:rFonts w:ascii="Times New Roman" w:hAnsi="Times New Roman" w:cs="Times New Roman"/>
          <w:noProof/>
          <w:sz w:val="24"/>
          <w:szCs w:val="24"/>
        </w:rPr>
        <w:t xml:space="preserve"> that the adoption of an adequacy decision is not an ‘end point’ but </w:t>
      </w:r>
      <w:r w:rsidR="002C73D4">
        <w:rPr>
          <w:rFonts w:ascii="Times New Roman" w:hAnsi="Times New Roman" w:cs="Times New Roman"/>
          <w:noProof/>
          <w:sz w:val="24"/>
          <w:szCs w:val="24"/>
        </w:rPr>
        <w:t>provides an opportunity</w:t>
      </w:r>
      <w:r>
        <w:rPr>
          <w:rFonts w:ascii="Times New Roman" w:hAnsi="Times New Roman" w:cs="Times New Roman"/>
          <w:noProof/>
          <w:sz w:val="24"/>
          <w:szCs w:val="24"/>
        </w:rPr>
        <w:t xml:space="preserve"> </w:t>
      </w:r>
      <w:r w:rsidR="002C73D4">
        <w:rPr>
          <w:rFonts w:ascii="Times New Roman" w:hAnsi="Times New Roman" w:cs="Times New Roman"/>
          <w:noProof/>
          <w:sz w:val="24"/>
          <w:szCs w:val="24"/>
        </w:rPr>
        <w:t>to</w:t>
      </w:r>
      <w:r>
        <w:rPr>
          <w:rFonts w:ascii="Times New Roman" w:hAnsi="Times New Roman" w:cs="Times New Roman"/>
          <w:noProof/>
          <w:sz w:val="24"/>
          <w:szCs w:val="24"/>
        </w:rPr>
        <w:t xml:space="preserve"> further </w:t>
      </w:r>
      <w:r w:rsidR="002C73D4">
        <w:rPr>
          <w:rFonts w:ascii="Times New Roman" w:hAnsi="Times New Roman" w:cs="Times New Roman"/>
          <w:noProof/>
          <w:sz w:val="24"/>
          <w:szCs w:val="24"/>
        </w:rPr>
        <w:t xml:space="preserve">intensify the </w:t>
      </w:r>
      <w:r>
        <w:rPr>
          <w:rFonts w:ascii="Times New Roman" w:hAnsi="Times New Roman" w:cs="Times New Roman"/>
          <w:noProof/>
          <w:sz w:val="24"/>
          <w:szCs w:val="24"/>
        </w:rPr>
        <w:t xml:space="preserve">dialogue and cooperation </w:t>
      </w:r>
      <w:r w:rsidR="002C73D4" w:rsidRPr="002C73D4">
        <w:rPr>
          <w:rFonts w:ascii="Times New Roman" w:hAnsi="Times New Roman" w:cs="Times New Roman"/>
          <w:noProof/>
          <w:sz w:val="24"/>
          <w:szCs w:val="24"/>
        </w:rPr>
        <w:t>with like-minded international partners</w:t>
      </w:r>
      <w:r w:rsidR="002C73D4">
        <w:rPr>
          <w:rFonts w:ascii="Times New Roman" w:hAnsi="Times New Roman" w:cs="Times New Roman"/>
          <w:noProof/>
          <w:sz w:val="24"/>
          <w:szCs w:val="24"/>
        </w:rPr>
        <w:t xml:space="preserve"> on data flows and digital matters more generally</w:t>
      </w:r>
      <w:r>
        <w:rPr>
          <w:rFonts w:ascii="Times New Roman" w:hAnsi="Times New Roman" w:cs="Times New Roman"/>
          <w:noProof/>
          <w:sz w:val="24"/>
          <w:szCs w:val="24"/>
        </w:rPr>
        <w:t xml:space="preserve">. </w:t>
      </w:r>
      <w:r w:rsidR="003834E5" w:rsidRPr="00A17989">
        <w:rPr>
          <w:rFonts w:ascii="Times New Roman" w:hAnsi="Times New Roman" w:cs="Times New Roman"/>
          <w:noProof/>
          <w:sz w:val="24"/>
          <w:szCs w:val="24"/>
        </w:rPr>
        <w:t>In this regard,</w:t>
      </w:r>
      <w:r w:rsidR="003834E5">
        <w:rPr>
          <w:rFonts w:ascii="Times New Roman" w:hAnsi="Times New Roman" w:cs="Times New Roman"/>
          <w:noProof/>
          <w:sz w:val="24"/>
          <w:szCs w:val="24"/>
        </w:rPr>
        <w:t xml:space="preserve"> </w:t>
      </w:r>
      <w:r w:rsidR="003C0606">
        <w:rPr>
          <w:rFonts w:ascii="Times New Roman" w:hAnsi="Times New Roman" w:cs="Times New Roman"/>
          <w:noProof/>
          <w:sz w:val="24"/>
          <w:szCs w:val="24"/>
        </w:rPr>
        <w:t>the Commission</w:t>
      </w:r>
      <w:r w:rsidR="003834E5">
        <w:rPr>
          <w:rFonts w:ascii="Times New Roman" w:hAnsi="Times New Roman" w:cs="Times New Roman"/>
          <w:noProof/>
          <w:sz w:val="24"/>
          <w:szCs w:val="24"/>
        </w:rPr>
        <w:t xml:space="preserve"> looks forward to future exchanges with the</w:t>
      </w:r>
      <w:r w:rsidR="003834E5" w:rsidRPr="00A17989">
        <w:rPr>
          <w:rFonts w:ascii="Times New Roman" w:hAnsi="Times New Roman" w:cs="Times New Roman"/>
          <w:noProof/>
          <w:sz w:val="24"/>
          <w:szCs w:val="24"/>
        </w:rPr>
        <w:t xml:space="preserve"> </w:t>
      </w:r>
      <w:r w:rsidR="0034284A">
        <w:rPr>
          <w:rFonts w:ascii="Times New Roman" w:hAnsi="Times New Roman" w:cs="Times New Roman"/>
          <w:noProof/>
          <w:sz w:val="24"/>
          <w:szCs w:val="24"/>
        </w:rPr>
        <w:t>relevant</w:t>
      </w:r>
      <w:r w:rsidR="003834E5" w:rsidRPr="00A17989">
        <w:rPr>
          <w:rFonts w:ascii="Times New Roman" w:hAnsi="Times New Roman" w:cs="Times New Roman"/>
          <w:noProof/>
          <w:sz w:val="24"/>
          <w:szCs w:val="24"/>
        </w:rPr>
        <w:t xml:space="preserve"> authorities</w:t>
      </w:r>
      <w:r w:rsidR="003834E5">
        <w:rPr>
          <w:rFonts w:ascii="Times New Roman" w:hAnsi="Times New Roman" w:cs="Times New Roman"/>
          <w:noProof/>
          <w:sz w:val="24"/>
          <w:szCs w:val="24"/>
        </w:rPr>
        <w:t xml:space="preserve"> to further strengthen</w:t>
      </w:r>
      <w:r w:rsidR="002C73D4">
        <w:rPr>
          <w:rFonts w:ascii="Times New Roman" w:hAnsi="Times New Roman" w:cs="Times New Roman"/>
          <w:noProof/>
          <w:sz w:val="24"/>
          <w:szCs w:val="24"/>
        </w:rPr>
        <w:t xml:space="preserve"> </w:t>
      </w:r>
      <w:r w:rsidR="003834E5">
        <w:rPr>
          <w:rFonts w:ascii="Times New Roman" w:hAnsi="Times New Roman" w:cs="Times New Roman"/>
          <w:noProof/>
          <w:sz w:val="24"/>
          <w:szCs w:val="24"/>
        </w:rPr>
        <w:t xml:space="preserve">cooperation at international level </w:t>
      </w:r>
      <w:r w:rsidR="002C73D4" w:rsidRPr="002C73D4">
        <w:rPr>
          <w:rFonts w:ascii="Times New Roman" w:hAnsi="Times New Roman" w:cs="Times New Roman"/>
          <w:noProof/>
          <w:sz w:val="24"/>
          <w:szCs w:val="24"/>
        </w:rPr>
        <w:t>on promoting safe and free data flows</w:t>
      </w:r>
      <w:r w:rsidR="006576AD">
        <w:rPr>
          <w:rFonts w:ascii="Times New Roman" w:hAnsi="Times New Roman" w:cs="Times New Roman"/>
          <w:noProof/>
          <w:sz w:val="24"/>
          <w:szCs w:val="24"/>
        </w:rPr>
        <w:t>, including through strengthened</w:t>
      </w:r>
      <w:r w:rsidR="002C73D4" w:rsidRPr="002C73D4">
        <w:rPr>
          <w:rFonts w:ascii="Times New Roman" w:hAnsi="Times New Roman" w:cs="Times New Roman"/>
          <w:noProof/>
          <w:sz w:val="24"/>
          <w:szCs w:val="24"/>
        </w:rPr>
        <w:t xml:space="preserve"> enforcemen</w:t>
      </w:r>
      <w:r w:rsidR="002C73D4">
        <w:rPr>
          <w:rFonts w:ascii="Times New Roman" w:hAnsi="Times New Roman" w:cs="Times New Roman"/>
          <w:noProof/>
          <w:sz w:val="24"/>
          <w:szCs w:val="24"/>
        </w:rPr>
        <w:t>t</w:t>
      </w:r>
      <w:r w:rsidR="006576AD">
        <w:rPr>
          <w:rFonts w:ascii="Times New Roman" w:hAnsi="Times New Roman" w:cs="Times New Roman"/>
          <w:noProof/>
          <w:sz w:val="24"/>
          <w:szCs w:val="24"/>
        </w:rPr>
        <w:t xml:space="preserve"> cooperation</w:t>
      </w:r>
      <w:r w:rsidR="0034284A">
        <w:rPr>
          <w:rFonts w:ascii="Times New Roman" w:hAnsi="Times New Roman" w:cs="Times New Roman"/>
          <w:noProof/>
          <w:sz w:val="24"/>
          <w:szCs w:val="24"/>
        </w:rPr>
        <w:t>.</w:t>
      </w:r>
      <w:r w:rsidR="009D24C0">
        <w:rPr>
          <w:rFonts w:ascii="Times New Roman" w:hAnsi="Times New Roman" w:cs="Times New Roman"/>
          <w:noProof/>
          <w:sz w:val="24"/>
          <w:szCs w:val="24"/>
        </w:rPr>
        <w:t xml:space="preserve"> </w:t>
      </w:r>
      <w:r w:rsidR="004A1837">
        <w:rPr>
          <w:rFonts w:ascii="Times New Roman" w:hAnsi="Times New Roman" w:cs="Times New Roman"/>
          <w:noProof/>
          <w:sz w:val="24"/>
          <w:szCs w:val="24"/>
        </w:rPr>
        <w:t xml:space="preserve">To </w:t>
      </w:r>
      <w:r w:rsidR="006576AD">
        <w:rPr>
          <w:rFonts w:ascii="Times New Roman" w:hAnsi="Times New Roman" w:cs="Times New Roman"/>
          <w:noProof/>
          <w:sz w:val="24"/>
          <w:szCs w:val="24"/>
        </w:rPr>
        <w:t>step up this dialogue and promote the exchange of information, and experience</w:t>
      </w:r>
      <w:r w:rsidR="00E072BC">
        <w:rPr>
          <w:rFonts w:ascii="Times New Roman" w:hAnsi="Times New Roman" w:cs="Times New Roman"/>
          <w:noProof/>
          <w:sz w:val="24"/>
          <w:szCs w:val="24"/>
        </w:rPr>
        <w:t>, the Commission intends to organise a high-level meeting in 2024</w:t>
      </w:r>
      <w:r w:rsidR="00AC4884">
        <w:rPr>
          <w:rFonts w:ascii="Times New Roman" w:hAnsi="Times New Roman" w:cs="Times New Roman"/>
          <w:noProof/>
          <w:sz w:val="24"/>
          <w:szCs w:val="24"/>
        </w:rPr>
        <w:t>,</w:t>
      </w:r>
      <w:r w:rsidR="00E072BC">
        <w:rPr>
          <w:rFonts w:ascii="Times New Roman" w:hAnsi="Times New Roman" w:cs="Times New Roman"/>
          <w:noProof/>
          <w:sz w:val="24"/>
          <w:szCs w:val="24"/>
        </w:rPr>
        <w:t xml:space="preserve"> bringing together representatives from the EU and all countries that benefit from an adequacy decision.</w:t>
      </w:r>
    </w:p>
    <w:p w14:paraId="75A640E6" w14:textId="77777777" w:rsidR="00672088" w:rsidRDefault="00672088" w:rsidP="00386EAC">
      <w:pPr>
        <w:jc w:val="both"/>
        <w:rPr>
          <w:rFonts w:ascii="Times New Roman" w:hAnsi="Times New Roman" w:cs="Times New Roman"/>
          <w:noProof/>
          <w:sz w:val="24"/>
          <w:szCs w:val="24"/>
        </w:rPr>
      </w:pPr>
    </w:p>
    <w:p w14:paraId="5DE5CB6A" w14:textId="258BE428" w:rsidR="0068063B" w:rsidRPr="00C453AD" w:rsidRDefault="0068063B" w:rsidP="00386EAC">
      <w:pPr>
        <w:jc w:val="both"/>
        <w:rPr>
          <w:rFonts w:ascii="Times New Roman" w:hAnsi="Times New Roman" w:cs="Times New Roman"/>
          <w:noProof/>
          <w:sz w:val="24"/>
          <w:szCs w:val="24"/>
        </w:rPr>
      </w:pPr>
    </w:p>
    <w:sectPr w:rsidR="0068063B" w:rsidRPr="00C453AD" w:rsidSect="0085566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F6472" w14:textId="77777777" w:rsidR="009F39E9" w:rsidRDefault="009F39E9" w:rsidP="005233A3">
      <w:pPr>
        <w:spacing w:after="0" w:line="240" w:lineRule="auto"/>
      </w:pPr>
      <w:r>
        <w:separator/>
      </w:r>
    </w:p>
  </w:endnote>
  <w:endnote w:type="continuationSeparator" w:id="0">
    <w:p w14:paraId="26B5AC3C" w14:textId="77777777" w:rsidR="009F39E9" w:rsidRDefault="009F39E9" w:rsidP="0052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C6005" w14:textId="77777777" w:rsidR="009C2F4B" w:rsidRPr="009C2F4B" w:rsidRDefault="009C2F4B" w:rsidP="009C2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4616D" w14:textId="0374FD69" w:rsidR="009C2F4B" w:rsidRPr="009C2F4B" w:rsidRDefault="009C2F4B" w:rsidP="009C2F4B">
    <w:pPr>
      <w:pStyle w:val="FooterCoverPage"/>
      <w:rPr>
        <w:rFonts w:ascii="Arial" w:hAnsi="Arial" w:cs="Arial"/>
        <w:b/>
        <w:sz w:val="48"/>
      </w:rPr>
    </w:pPr>
    <w:r w:rsidRPr="009C2F4B">
      <w:rPr>
        <w:rFonts w:ascii="Arial" w:hAnsi="Arial" w:cs="Arial"/>
        <w:b/>
        <w:sz w:val="48"/>
      </w:rPr>
      <w:t>EN</w:t>
    </w:r>
    <w:r w:rsidRPr="009C2F4B">
      <w:rPr>
        <w:rFonts w:ascii="Arial" w:hAnsi="Arial" w:cs="Arial"/>
        <w:b/>
        <w:sz w:val="48"/>
      </w:rPr>
      <w:tab/>
    </w:r>
    <w:r w:rsidRPr="009C2F4B">
      <w:rPr>
        <w:rFonts w:ascii="Arial" w:hAnsi="Arial" w:cs="Arial"/>
        <w:b/>
        <w:sz w:val="48"/>
      </w:rPr>
      <w:tab/>
    </w:r>
    <w:r w:rsidRPr="009C2F4B">
      <w:tab/>
    </w:r>
    <w:r w:rsidRPr="009C2F4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932F9" w14:textId="77777777" w:rsidR="009C2F4B" w:rsidRPr="009C2F4B" w:rsidRDefault="009C2F4B" w:rsidP="009C2F4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6B57" w14:textId="77777777" w:rsidR="00BC7933" w:rsidRDefault="00BC79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131629"/>
      <w:docPartObj>
        <w:docPartGallery w:val="Page Numbers (Bottom of Page)"/>
        <w:docPartUnique/>
      </w:docPartObj>
    </w:sdtPr>
    <w:sdtEndPr>
      <w:rPr>
        <w:rFonts w:ascii="Times New Roman" w:hAnsi="Times New Roman" w:cs="Times New Roman"/>
        <w:noProof/>
      </w:rPr>
    </w:sdtEndPr>
    <w:sdtContent>
      <w:p w14:paraId="63826C77" w14:textId="3A471B58" w:rsidR="00BC7933" w:rsidRPr="00C05627" w:rsidRDefault="00BC7933" w:rsidP="00C05627">
        <w:pPr>
          <w:pStyle w:val="Footer"/>
          <w:jc w:val="center"/>
          <w:rPr>
            <w:rFonts w:ascii="Times New Roman" w:hAnsi="Times New Roman" w:cs="Times New Roman"/>
          </w:rPr>
        </w:pPr>
        <w:r w:rsidRPr="00C05627">
          <w:rPr>
            <w:rFonts w:ascii="Times New Roman" w:hAnsi="Times New Roman" w:cs="Times New Roman"/>
          </w:rPr>
          <w:fldChar w:fldCharType="begin"/>
        </w:r>
        <w:r w:rsidRPr="00C05627">
          <w:rPr>
            <w:rFonts w:ascii="Times New Roman" w:hAnsi="Times New Roman" w:cs="Times New Roman"/>
          </w:rPr>
          <w:instrText xml:space="preserve"> PAGE   \* MERGEFORMAT </w:instrText>
        </w:r>
        <w:r w:rsidRPr="00C05627">
          <w:rPr>
            <w:rFonts w:ascii="Times New Roman" w:hAnsi="Times New Roman" w:cs="Times New Roman"/>
          </w:rPr>
          <w:fldChar w:fldCharType="separate"/>
        </w:r>
        <w:r w:rsidR="009C2F4B">
          <w:rPr>
            <w:rFonts w:ascii="Times New Roman" w:hAnsi="Times New Roman" w:cs="Times New Roman"/>
            <w:noProof/>
          </w:rPr>
          <w:t>1</w:t>
        </w:r>
        <w:r w:rsidRPr="00C05627">
          <w:rPr>
            <w:rFonts w:ascii="Times New Roman" w:hAnsi="Times New Roman" w:cs="Times New Roman"/>
            <w:noProof/>
          </w:rPr>
          <w:fldChar w:fldCharType="end"/>
        </w:r>
      </w:p>
    </w:sdtContent>
  </w:sdt>
  <w:p w14:paraId="1D87FC01" w14:textId="77777777" w:rsidR="00BC7933" w:rsidRDefault="00BC79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97EF" w14:textId="77777777" w:rsidR="00BC7933" w:rsidRDefault="00BC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071A3" w14:textId="77777777" w:rsidR="009F39E9" w:rsidRDefault="009F39E9" w:rsidP="005233A3">
      <w:pPr>
        <w:spacing w:after="0" w:line="240" w:lineRule="auto"/>
      </w:pPr>
      <w:r>
        <w:separator/>
      </w:r>
    </w:p>
  </w:footnote>
  <w:footnote w:type="continuationSeparator" w:id="0">
    <w:p w14:paraId="4FA1B759" w14:textId="77777777" w:rsidR="009F39E9" w:rsidRDefault="009F39E9" w:rsidP="005233A3">
      <w:pPr>
        <w:spacing w:after="0" w:line="240" w:lineRule="auto"/>
      </w:pPr>
      <w:r>
        <w:continuationSeparator/>
      </w:r>
    </w:p>
  </w:footnote>
  <w:footnote w:id="1">
    <w:p w14:paraId="256357CB" w14:textId="77777777" w:rsidR="00BC7933" w:rsidRPr="00E3140F" w:rsidRDefault="00BC7933" w:rsidP="00386EAC">
      <w:pPr>
        <w:pStyle w:val="FootnoteText"/>
        <w:jc w:val="both"/>
        <w:rPr>
          <w:rFonts w:ascii="Times New Roman" w:hAnsi="Times New Roman" w:cs="Times New Roman"/>
        </w:rPr>
      </w:pPr>
      <w:r w:rsidRPr="00381AC0">
        <w:rPr>
          <w:rStyle w:val="FootnoteReference"/>
          <w:rFonts w:ascii="Times New Roman" w:hAnsi="Times New Roman" w:cs="Times New Roman"/>
        </w:rPr>
        <w:footnoteRef/>
      </w:r>
      <w:r w:rsidRPr="00381AC0">
        <w:rPr>
          <w:rFonts w:ascii="Times New Roman" w:hAnsi="Times New Roman" w:cs="Times New Roman"/>
        </w:rPr>
        <w:t xml:space="preserve"> Directive 95/46/EC of the European Parliament and of the Council of 24 October 1995 on the protection of individuals with regard to the </w:t>
      </w:r>
      <w:r w:rsidRPr="00E3140F">
        <w:rPr>
          <w:rFonts w:ascii="Times New Roman" w:hAnsi="Times New Roman" w:cs="Times New Roman"/>
        </w:rPr>
        <w:t xml:space="preserve">processing of personal data and on the free movement of such data, OJ L 281, 23.11.1995, p. 31. </w:t>
      </w:r>
    </w:p>
  </w:footnote>
  <w:footnote w:id="2">
    <w:p w14:paraId="4ABFF603" w14:textId="77777777" w:rsidR="007F26DB" w:rsidRPr="00E3140F" w:rsidRDefault="007F26DB" w:rsidP="00386EAC">
      <w:pPr>
        <w:pStyle w:val="FootnoteText"/>
        <w:jc w:val="both"/>
        <w:rPr>
          <w:rFonts w:ascii="Times New Roman" w:hAnsi="Times New Roman" w:cs="Times New Roman"/>
        </w:rPr>
      </w:pPr>
      <w:r w:rsidRPr="00E3140F">
        <w:rPr>
          <w:rStyle w:val="FootnoteReference"/>
          <w:rFonts w:ascii="Times New Roman" w:hAnsi="Times New Roman" w:cs="Times New Roman"/>
        </w:rPr>
        <w:footnoteRef/>
      </w:r>
      <w:r w:rsidRPr="00E3140F">
        <w:rPr>
          <w:rFonts w:ascii="Times New Roman" w:hAnsi="Times New Roman" w:cs="Times New Roman"/>
        </w:rPr>
        <w:t xml:space="preserve"> </w:t>
      </w:r>
      <w:r w:rsidRPr="00E3140F">
        <w:rPr>
          <w:rFonts w:ascii="Times New Roman" w:hAnsi="Times New Roman" w:cs="Times New Roman"/>
          <w:shd w:val="clear" w:color="auto" w:fill="FFFFFF"/>
        </w:rPr>
        <w:t>Following its incorporation in the European Economic Area (EEA) Agreement, the GDPR also applies to Norway, Iceland and Liechtenstein. References to the EU in this report should be understood as also covering the EEA States.</w:t>
      </w:r>
    </w:p>
  </w:footnote>
  <w:footnote w:id="3">
    <w:p w14:paraId="6F2BD5CB" w14:textId="6EADEFF7" w:rsidR="00BC7933" w:rsidRPr="00381AC0" w:rsidRDefault="00BC7933" w:rsidP="00386EAC">
      <w:pPr>
        <w:pStyle w:val="FootnoteText"/>
        <w:jc w:val="both"/>
        <w:rPr>
          <w:rFonts w:ascii="Times New Roman" w:hAnsi="Times New Roman" w:cs="Times New Roman"/>
        </w:rPr>
      </w:pPr>
      <w:r w:rsidRPr="00E3140F">
        <w:rPr>
          <w:rStyle w:val="FootnoteReference"/>
          <w:rFonts w:ascii="Times New Roman" w:hAnsi="Times New Roman" w:cs="Times New Roman"/>
        </w:rPr>
        <w:footnoteRef/>
      </w:r>
      <w:r w:rsidRPr="00E3140F">
        <w:rPr>
          <w:rFonts w:ascii="Times New Roman" w:hAnsi="Times New Roman" w:cs="Times New Roman"/>
        </w:rPr>
        <w:t xml:space="preserve"> Commission </w:t>
      </w:r>
      <w:r w:rsidR="00E3140F" w:rsidRPr="00E3140F">
        <w:rPr>
          <w:rFonts w:ascii="Times New Roman" w:hAnsi="Times New Roman" w:cs="Times New Roman"/>
        </w:rPr>
        <w:t>D</w:t>
      </w:r>
      <w:r w:rsidRPr="00E3140F">
        <w:rPr>
          <w:rFonts w:ascii="Times New Roman" w:hAnsi="Times New Roman" w:cs="Times New Roman"/>
        </w:rPr>
        <w:t xml:space="preserve">ecision </w:t>
      </w:r>
      <w:r w:rsidR="00E3140F" w:rsidRPr="00E3140F">
        <w:rPr>
          <w:rFonts w:ascii="Times New Roman" w:hAnsi="Times New Roman" w:cs="Times New Roman"/>
        </w:rPr>
        <w:t xml:space="preserve">2010/625/EU </w:t>
      </w:r>
      <w:r w:rsidRPr="00E3140F">
        <w:rPr>
          <w:rFonts w:ascii="Times New Roman" w:hAnsi="Times New Roman" w:cs="Times New Roman"/>
        </w:rPr>
        <w:t>of 19 October 2010 pursuant to Directive 95/46/EC of the European Parliament and of the Council on the</w:t>
      </w:r>
      <w:r w:rsidRPr="00381AC0">
        <w:rPr>
          <w:rFonts w:ascii="Times New Roman" w:hAnsi="Times New Roman" w:cs="Times New Roman"/>
        </w:rPr>
        <w:t xml:space="preserve"> adequate protection of personal data in Andorra, OJ L 277, 21.10.2010, p. 27.</w:t>
      </w:r>
    </w:p>
  </w:footnote>
  <w:footnote w:id="4">
    <w:p w14:paraId="7FB5BEC9" w14:textId="05B6223A" w:rsidR="00BC7933" w:rsidRPr="00381AC0" w:rsidRDefault="00BC7933" w:rsidP="00386EAC">
      <w:pPr>
        <w:pStyle w:val="FootnoteText"/>
        <w:jc w:val="both"/>
        <w:rPr>
          <w:rFonts w:ascii="Times New Roman" w:hAnsi="Times New Roman" w:cs="Times New Roman"/>
        </w:rPr>
      </w:pPr>
      <w:r w:rsidRPr="00381AC0">
        <w:rPr>
          <w:rStyle w:val="FootnoteReference"/>
          <w:rFonts w:ascii="Times New Roman" w:hAnsi="Times New Roman" w:cs="Times New Roman"/>
        </w:rPr>
        <w:footnoteRef/>
      </w:r>
      <w:r w:rsidRPr="00381AC0">
        <w:rPr>
          <w:rFonts w:ascii="Times New Roman" w:hAnsi="Times New Roman" w:cs="Times New Roman"/>
        </w:rPr>
        <w:t xml:space="preserve"> Commission </w:t>
      </w:r>
      <w:r w:rsidR="00E3140F">
        <w:rPr>
          <w:rFonts w:ascii="Times New Roman" w:hAnsi="Times New Roman" w:cs="Times New Roman"/>
        </w:rPr>
        <w:t>D</w:t>
      </w:r>
      <w:r w:rsidRPr="00381AC0">
        <w:rPr>
          <w:rFonts w:ascii="Times New Roman" w:hAnsi="Times New Roman" w:cs="Times New Roman"/>
        </w:rPr>
        <w:t xml:space="preserve">ecision </w:t>
      </w:r>
      <w:r w:rsidR="00E3140F" w:rsidRPr="00E3140F">
        <w:rPr>
          <w:rFonts w:ascii="Times New Roman" w:hAnsi="Times New Roman" w:cs="Times New Roman"/>
        </w:rPr>
        <w:t xml:space="preserve">2003/490/EC </w:t>
      </w:r>
      <w:r w:rsidRPr="00381AC0">
        <w:rPr>
          <w:rFonts w:ascii="Times New Roman" w:hAnsi="Times New Roman" w:cs="Times New Roman"/>
        </w:rPr>
        <w:t>of 30 June 2003 pursuant to Directive 95/46/EC of the European Parliament and of the Council on the adequate protection of personal data in Argentina, OJ L 168, 5.7.2003, p. 19.</w:t>
      </w:r>
    </w:p>
  </w:footnote>
  <w:footnote w:id="5">
    <w:p w14:paraId="7A65108A" w14:textId="4A23F11E" w:rsidR="00BC7933" w:rsidRPr="00381AC0" w:rsidRDefault="00BC7933" w:rsidP="00386EAC">
      <w:pPr>
        <w:pStyle w:val="FootnoteText"/>
        <w:jc w:val="both"/>
        <w:rPr>
          <w:rFonts w:ascii="Times New Roman" w:hAnsi="Times New Roman" w:cs="Times New Roman"/>
        </w:rPr>
      </w:pPr>
      <w:r w:rsidRPr="00381AC0">
        <w:rPr>
          <w:rStyle w:val="FootnoteReference"/>
          <w:rFonts w:ascii="Times New Roman" w:hAnsi="Times New Roman" w:cs="Times New Roman"/>
        </w:rPr>
        <w:footnoteRef/>
      </w:r>
      <w:r w:rsidRPr="00381AC0">
        <w:rPr>
          <w:rFonts w:ascii="Times New Roman" w:hAnsi="Times New Roman" w:cs="Times New Roman"/>
        </w:rPr>
        <w:t xml:space="preserve"> Commission </w:t>
      </w:r>
      <w:r w:rsidR="00E3140F">
        <w:rPr>
          <w:rFonts w:ascii="Times New Roman" w:hAnsi="Times New Roman" w:cs="Times New Roman"/>
        </w:rPr>
        <w:t>D</w:t>
      </w:r>
      <w:r w:rsidRPr="00381AC0">
        <w:rPr>
          <w:rFonts w:ascii="Times New Roman" w:hAnsi="Times New Roman" w:cs="Times New Roman"/>
        </w:rPr>
        <w:t xml:space="preserve">ecision </w:t>
      </w:r>
      <w:r w:rsidR="00E3140F" w:rsidRPr="00E3140F">
        <w:rPr>
          <w:rFonts w:ascii="Times New Roman" w:hAnsi="Times New Roman" w:cs="Times New Roman"/>
        </w:rPr>
        <w:t>2002/2/EC</w:t>
      </w:r>
      <w:r w:rsidR="00E3140F">
        <w:rPr>
          <w:rFonts w:ascii="Times New Roman" w:hAnsi="Times New Roman" w:cs="Times New Roman"/>
        </w:rPr>
        <w:t xml:space="preserve"> </w:t>
      </w:r>
      <w:r w:rsidRPr="00381AC0">
        <w:rPr>
          <w:rFonts w:ascii="Times New Roman" w:hAnsi="Times New Roman" w:cs="Times New Roman"/>
        </w:rPr>
        <w:t>of 20 December 2001 pursuant to Directive 95/46/EC of the European Parliament and of the Council on the adequate protection of personal data provided by the Canadian Personal Information Protection and Electronic Documents Act, OJ L 2, 4.1.2002, p. 13.</w:t>
      </w:r>
    </w:p>
  </w:footnote>
  <w:footnote w:id="6">
    <w:p w14:paraId="12387127" w14:textId="771ECBBF" w:rsidR="00BC7933" w:rsidRPr="00381AC0" w:rsidRDefault="00BC7933" w:rsidP="00386EAC">
      <w:pPr>
        <w:pStyle w:val="FootnoteText"/>
        <w:jc w:val="both"/>
        <w:rPr>
          <w:rFonts w:ascii="Times New Roman" w:hAnsi="Times New Roman" w:cs="Times New Roman"/>
        </w:rPr>
      </w:pPr>
      <w:r w:rsidRPr="00381AC0">
        <w:rPr>
          <w:rStyle w:val="FootnoteReference"/>
          <w:rFonts w:ascii="Times New Roman" w:hAnsi="Times New Roman" w:cs="Times New Roman"/>
        </w:rPr>
        <w:footnoteRef/>
      </w:r>
      <w:r w:rsidRPr="00381AC0">
        <w:rPr>
          <w:rFonts w:ascii="Times New Roman" w:hAnsi="Times New Roman" w:cs="Times New Roman"/>
        </w:rPr>
        <w:t xml:space="preserve"> Commission </w:t>
      </w:r>
      <w:r w:rsidR="00E3140F">
        <w:rPr>
          <w:rFonts w:ascii="Times New Roman" w:hAnsi="Times New Roman" w:cs="Times New Roman"/>
        </w:rPr>
        <w:t>D</w:t>
      </w:r>
      <w:r w:rsidRPr="00381AC0">
        <w:rPr>
          <w:rFonts w:ascii="Times New Roman" w:hAnsi="Times New Roman" w:cs="Times New Roman"/>
        </w:rPr>
        <w:t>ecision</w:t>
      </w:r>
      <w:r w:rsidR="00E3140F">
        <w:rPr>
          <w:rFonts w:ascii="Times New Roman" w:hAnsi="Times New Roman" w:cs="Times New Roman"/>
        </w:rPr>
        <w:t xml:space="preserve"> </w:t>
      </w:r>
      <w:r w:rsidR="00E3140F" w:rsidRPr="00E3140F">
        <w:rPr>
          <w:rFonts w:ascii="Times New Roman" w:hAnsi="Times New Roman" w:cs="Times New Roman"/>
        </w:rPr>
        <w:t>2010/146/EU</w:t>
      </w:r>
      <w:r w:rsidRPr="00381AC0">
        <w:rPr>
          <w:rFonts w:ascii="Times New Roman" w:hAnsi="Times New Roman" w:cs="Times New Roman"/>
        </w:rPr>
        <w:t xml:space="preserve"> of 5 March 2010 pursuant to Directive 95/46/EC of the European Parliament and of the Council on the adequate protection provided by the Faeroese Act on processing of personal data, OJ L 58, 9.3.2010, p. 17.</w:t>
      </w:r>
    </w:p>
  </w:footnote>
  <w:footnote w:id="7">
    <w:p w14:paraId="1A5991C1" w14:textId="5396FB23" w:rsidR="00BC7933" w:rsidRPr="00381AC0" w:rsidRDefault="00BC7933" w:rsidP="00386EAC">
      <w:pPr>
        <w:pStyle w:val="FootnoteText"/>
        <w:jc w:val="both"/>
        <w:rPr>
          <w:rFonts w:ascii="Times New Roman" w:hAnsi="Times New Roman" w:cs="Times New Roman"/>
        </w:rPr>
      </w:pPr>
      <w:r w:rsidRPr="00381AC0">
        <w:rPr>
          <w:rStyle w:val="FootnoteReference"/>
          <w:rFonts w:ascii="Times New Roman" w:hAnsi="Times New Roman" w:cs="Times New Roman"/>
        </w:rPr>
        <w:footnoteRef/>
      </w:r>
      <w:r w:rsidRPr="00381AC0">
        <w:rPr>
          <w:rFonts w:ascii="Times New Roman" w:hAnsi="Times New Roman" w:cs="Times New Roman"/>
        </w:rPr>
        <w:t xml:space="preserve"> Commission </w:t>
      </w:r>
      <w:r w:rsidR="00E3140F">
        <w:rPr>
          <w:rFonts w:ascii="Times New Roman" w:hAnsi="Times New Roman" w:cs="Times New Roman"/>
        </w:rPr>
        <w:t>D</w:t>
      </w:r>
      <w:r w:rsidRPr="00381AC0">
        <w:rPr>
          <w:rFonts w:ascii="Times New Roman" w:hAnsi="Times New Roman" w:cs="Times New Roman"/>
        </w:rPr>
        <w:t xml:space="preserve">ecision </w:t>
      </w:r>
      <w:r w:rsidR="00E3140F" w:rsidRPr="00091C7C">
        <w:rPr>
          <w:rFonts w:ascii="Times New Roman" w:hAnsi="Times New Roman" w:cs="Times New Roman"/>
          <w:lang w:val="en-IE"/>
        </w:rPr>
        <w:t>2003/821/EC</w:t>
      </w:r>
      <w:r w:rsidR="00E3140F" w:rsidRPr="00381AC0">
        <w:rPr>
          <w:rFonts w:ascii="Times New Roman" w:hAnsi="Times New Roman" w:cs="Times New Roman"/>
        </w:rPr>
        <w:t xml:space="preserve"> </w:t>
      </w:r>
      <w:r w:rsidRPr="00381AC0">
        <w:rPr>
          <w:rFonts w:ascii="Times New Roman" w:hAnsi="Times New Roman" w:cs="Times New Roman"/>
        </w:rPr>
        <w:t>of 21 November 2003 on the adequate protection of personal data in Guernsey, OJ L 308, 25.11.200</w:t>
      </w:r>
      <w:r w:rsidR="00E3140F">
        <w:rPr>
          <w:rFonts w:ascii="Times New Roman" w:hAnsi="Times New Roman" w:cs="Times New Roman"/>
        </w:rPr>
        <w:t>3</w:t>
      </w:r>
      <w:r w:rsidRPr="00381AC0">
        <w:rPr>
          <w:rFonts w:ascii="Times New Roman" w:hAnsi="Times New Roman" w:cs="Times New Roman"/>
        </w:rPr>
        <w:t>, p. 27.</w:t>
      </w:r>
    </w:p>
  </w:footnote>
  <w:footnote w:id="8">
    <w:p w14:paraId="79394F82" w14:textId="141D0618" w:rsidR="00BC7933" w:rsidRPr="00381AC0" w:rsidRDefault="00BC7933" w:rsidP="00386EAC">
      <w:pPr>
        <w:pStyle w:val="FootnoteText"/>
        <w:jc w:val="both"/>
        <w:rPr>
          <w:rFonts w:ascii="Times New Roman" w:hAnsi="Times New Roman" w:cs="Times New Roman"/>
        </w:rPr>
      </w:pPr>
      <w:r w:rsidRPr="00381AC0">
        <w:rPr>
          <w:rStyle w:val="FootnoteReference"/>
          <w:rFonts w:ascii="Times New Roman" w:hAnsi="Times New Roman" w:cs="Times New Roman"/>
        </w:rPr>
        <w:footnoteRef/>
      </w:r>
      <w:r w:rsidRPr="00381AC0">
        <w:rPr>
          <w:rFonts w:ascii="Times New Roman" w:hAnsi="Times New Roman" w:cs="Times New Roman"/>
        </w:rPr>
        <w:t xml:space="preserve"> Commission </w:t>
      </w:r>
      <w:r w:rsidR="00E3140F">
        <w:rPr>
          <w:rFonts w:ascii="Times New Roman" w:hAnsi="Times New Roman" w:cs="Times New Roman"/>
        </w:rPr>
        <w:t>D</w:t>
      </w:r>
      <w:r w:rsidRPr="00381AC0">
        <w:rPr>
          <w:rFonts w:ascii="Times New Roman" w:hAnsi="Times New Roman" w:cs="Times New Roman"/>
        </w:rPr>
        <w:t>ecision</w:t>
      </w:r>
      <w:r w:rsidR="00E3140F">
        <w:rPr>
          <w:rFonts w:ascii="Times New Roman" w:hAnsi="Times New Roman" w:cs="Times New Roman"/>
        </w:rPr>
        <w:t xml:space="preserve"> </w:t>
      </w:r>
      <w:r w:rsidR="00E3140F" w:rsidRPr="00091C7C">
        <w:rPr>
          <w:rFonts w:ascii="Times New Roman" w:hAnsi="Times New Roman" w:cs="Times New Roman"/>
          <w:lang w:val="en-IE"/>
        </w:rPr>
        <w:t>2004/411/EC</w:t>
      </w:r>
      <w:r w:rsidRPr="00381AC0">
        <w:rPr>
          <w:rFonts w:ascii="Times New Roman" w:hAnsi="Times New Roman" w:cs="Times New Roman"/>
        </w:rPr>
        <w:t xml:space="preserve"> of 28 April 2004 on the adequate protection of personal data in the Isle of Man, OJ L 151, 30.4.200</w:t>
      </w:r>
      <w:r w:rsidR="00E3140F">
        <w:rPr>
          <w:rFonts w:ascii="Times New Roman" w:hAnsi="Times New Roman" w:cs="Times New Roman"/>
        </w:rPr>
        <w:t>4</w:t>
      </w:r>
      <w:r w:rsidRPr="00381AC0">
        <w:rPr>
          <w:rFonts w:ascii="Times New Roman" w:hAnsi="Times New Roman" w:cs="Times New Roman"/>
        </w:rPr>
        <w:t>, p. 48.</w:t>
      </w:r>
    </w:p>
  </w:footnote>
  <w:footnote w:id="9">
    <w:p w14:paraId="26AC297C" w14:textId="52585EE9" w:rsidR="00BC7933" w:rsidRPr="00381AC0" w:rsidRDefault="00BC7933" w:rsidP="00386EAC">
      <w:pPr>
        <w:pStyle w:val="FootnoteText"/>
        <w:jc w:val="both"/>
        <w:rPr>
          <w:rFonts w:ascii="Times New Roman" w:hAnsi="Times New Roman" w:cs="Times New Roman"/>
        </w:rPr>
      </w:pPr>
      <w:r w:rsidRPr="00381AC0">
        <w:rPr>
          <w:rStyle w:val="FootnoteReference"/>
          <w:rFonts w:ascii="Times New Roman" w:hAnsi="Times New Roman" w:cs="Times New Roman"/>
        </w:rPr>
        <w:footnoteRef/>
      </w:r>
      <w:r w:rsidRPr="00381AC0">
        <w:rPr>
          <w:rFonts w:ascii="Times New Roman" w:hAnsi="Times New Roman" w:cs="Times New Roman"/>
        </w:rPr>
        <w:t xml:space="preserve"> Commission </w:t>
      </w:r>
      <w:r w:rsidR="00E3140F">
        <w:rPr>
          <w:rFonts w:ascii="Times New Roman" w:hAnsi="Times New Roman" w:cs="Times New Roman"/>
        </w:rPr>
        <w:t>D</w:t>
      </w:r>
      <w:r w:rsidRPr="00381AC0">
        <w:rPr>
          <w:rFonts w:ascii="Times New Roman" w:hAnsi="Times New Roman" w:cs="Times New Roman"/>
        </w:rPr>
        <w:t xml:space="preserve">ecision </w:t>
      </w:r>
      <w:r w:rsidR="00E3140F" w:rsidRPr="00E3140F">
        <w:rPr>
          <w:rFonts w:ascii="Times New Roman" w:hAnsi="Times New Roman" w:cs="Times New Roman"/>
        </w:rPr>
        <w:t xml:space="preserve">2011/61/EU </w:t>
      </w:r>
      <w:r w:rsidRPr="00381AC0">
        <w:rPr>
          <w:rFonts w:ascii="Times New Roman" w:hAnsi="Times New Roman" w:cs="Times New Roman"/>
        </w:rPr>
        <w:t>of 31 January 2011 pursuant to Directive 95/46/EC of the European Parliament and of the Council on the adequate protection of personal data by the State of Israel with regard to automated processing of personal data, OJ L 27, 1.2.2011, p. 39.</w:t>
      </w:r>
    </w:p>
  </w:footnote>
  <w:footnote w:id="10">
    <w:p w14:paraId="35C04C3F" w14:textId="29C60727" w:rsidR="00BC7933" w:rsidRPr="00381AC0" w:rsidRDefault="00BC7933" w:rsidP="00386EAC">
      <w:pPr>
        <w:pStyle w:val="FootnoteText"/>
        <w:jc w:val="both"/>
        <w:rPr>
          <w:rFonts w:ascii="Times New Roman" w:hAnsi="Times New Roman" w:cs="Times New Roman"/>
        </w:rPr>
      </w:pPr>
      <w:r w:rsidRPr="00381AC0">
        <w:rPr>
          <w:rStyle w:val="FootnoteReference"/>
          <w:rFonts w:ascii="Times New Roman" w:hAnsi="Times New Roman" w:cs="Times New Roman"/>
        </w:rPr>
        <w:footnoteRef/>
      </w:r>
      <w:r w:rsidRPr="00381AC0">
        <w:rPr>
          <w:rFonts w:ascii="Times New Roman" w:hAnsi="Times New Roman" w:cs="Times New Roman"/>
        </w:rPr>
        <w:t xml:space="preserve"> Commission </w:t>
      </w:r>
      <w:r w:rsidR="00E3140F">
        <w:rPr>
          <w:rFonts w:ascii="Times New Roman" w:hAnsi="Times New Roman" w:cs="Times New Roman"/>
        </w:rPr>
        <w:t>D</w:t>
      </w:r>
      <w:r w:rsidRPr="00381AC0">
        <w:rPr>
          <w:rFonts w:ascii="Times New Roman" w:hAnsi="Times New Roman" w:cs="Times New Roman"/>
        </w:rPr>
        <w:t xml:space="preserve">ecision </w:t>
      </w:r>
      <w:r w:rsidR="00E3140F" w:rsidRPr="00091C7C">
        <w:rPr>
          <w:rFonts w:ascii="Times New Roman" w:hAnsi="Times New Roman" w:cs="Times New Roman"/>
          <w:lang w:val="en-IE"/>
        </w:rPr>
        <w:t>2008/393/EC</w:t>
      </w:r>
      <w:r w:rsidR="00E3140F" w:rsidRPr="00381AC0">
        <w:rPr>
          <w:rFonts w:ascii="Times New Roman" w:hAnsi="Times New Roman" w:cs="Times New Roman"/>
        </w:rPr>
        <w:t xml:space="preserve"> </w:t>
      </w:r>
      <w:r w:rsidRPr="00381AC0">
        <w:rPr>
          <w:rFonts w:ascii="Times New Roman" w:hAnsi="Times New Roman" w:cs="Times New Roman"/>
        </w:rPr>
        <w:t>of 8 May 2008 pursuant to Directive 95/46/EC of the European Parliament and of the Council on the adequate protection of personal data in Jersey, OJ L 138, 28.5.2008, p. 21.</w:t>
      </w:r>
    </w:p>
  </w:footnote>
  <w:footnote w:id="11">
    <w:p w14:paraId="2D39CA54" w14:textId="1B1969E0" w:rsidR="00BC7933" w:rsidRPr="00381AC0" w:rsidRDefault="00BC7933" w:rsidP="00386EAC">
      <w:pPr>
        <w:pStyle w:val="FootnoteText"/>
        <w:jc w:val="both"/>
        <w:rPr>
          <w:rFonts w:ascii="Times New Roman" w:hAnsi="Times New Roman" w:cs="Times New Roman"/>
        </w:rPr>
      </w:pPr>
      <w:r w:rsidRPr="00381AC0">
        <w:rPr>
          <w:rStyle w:val="FootnoteReference"/>
          <w:rFonts w:ascii="Times New Roman" w:hAnsi="Times New Roman" w:cs="Times New Roman"/>
        </w:rPr>
        <w:footnoteRef/>
      </w:r>
      <w:r w:rsidRPr="00381AC0">
        <w:rPr>
          <w:rFonts w:ascii="Times New Roman" w:hAnsi="Times New Roman" w:cs="Times New Roman"/>
        </w:rPr>
        <w:t xml:space="preserve"> Commission </w:t>
      </w:r>
      <w:r w:rsidR="00E3140F">
        <w:rPr>
          <w:rFonts w:ascii="Times New Roman" w:hAnsi="Times New Roman" w:cs="Times New Roman"/>
        </w:rPr>
        <w:t>I</w:t>
      </w:r>
      <w:r w:rsidRPr="00381AC0">
        <w:rPr>
          <w:rFonts w:ascii="Times New Roman" w:hAnsi="Times New Roman" w:cs="Times New Roman"/>
        </w:rPr>
        <w:t xml:space="preserve">mplementing </w:t>
      </w:r>
      <w:r w:rsidR="00E3140F">
        <w:rPr>
          <w:rFonts w:ascii="Times New Roman" w:hAnsi="Times New Roman" w:cs="Times New Roman"/>
        </w:rPr>
        <w:t>D</w:t>
      </w:r>
      <w:r w:rsidRPr="00381AC0">
        <w:rPr>
          <w:rFonts w:ascii="Times New Roman" w:hAnsi="Times New Roman" w:cs="Times New Roman"/>
        </w:rPr>
        <w:t>ecision</w:t>
      </w:r>
      <w:r w:rsidR="00E3140F">
        <w:rPr>
          <w:rFonts w:ascii="Times New Roman" w:hAnsi="Times New Roman" w:cs="Times New Roman"/>
        </w:rPr>
        <w:t xml:space="preserve"> </w:t>
      </w:r>
      <w:r w:rsidR="00E3140F" w:rsidRPr="00091C7C">
        <w:rPr>
          <w:rFonts w:ascii="Times New Roman" w:hAnsi="Times New Roman" w:cs="Times New Roman"/>
          <w:lang w:val="en-IE"/>
        </w:rPr>
        <w:t>2013/65/EU</w:t>
      </w:r>
      <w:r w:rsidRPr="00381AC0">
        <w:rPr>
          <w:rFonts w:ascii="Times New Roman" w:hAnsi="Times New Roman" w:cs="Times New Roman"/>
        </w:rPr>
        <w:t xml:space="preserve"> of 19 December 2012 pursuant to Directive 95/46/EC of the European Parliament and of the Council on the adequate protection of personal data by New Zealand, OJ L 28, 30.1.2013, p. 12. </w:t>
      </w:r>
    </w:p>
  </w:footnote>
  <w:footnote w:id="12">
    <w:p w14:paraId="1D13D042" w14:textId="3CEEDA8D" w:rsidR="00BC7933" w:rsidRPr="00381AC0" w:rsidRDefault="00BC7933" w:rsidP="00386EAC">
      <w:pPr>
        <w:pStyle w:val="FootnoteText"/>
        <w:jc w:val="both"/>
        <w:rPr>
          <w:rFonts w:ascii="Times New Roman" w:hAnsi="Times New Roman" w:cs="Times New Roman"/>
        </w:rPr>
      </w:pPr>
      <w:r w:rsidRPr="00381AC0">
        <w:rPr>
          <w:rStyle w:val="FootnoteReference"/>
          <w:rFonts w:ascii="Times New Roman" w:hAnsi="Times New Roman" w:cs="Times New Roman"/>
        </w:rPr>
        <w:footnoteRef/>
      </w:r>
      <w:r w:rsidRPr="00381AC0">
        <w:rPr>
          <w:rFonts w:ascii="Times New Roman" w:hAnsi="Times New Roman" w:cs="Times New Roman"/>
        </w:rPr>
        <w:t xml:space="preserve"> Commission </w:t>
      </w:r>
      <w:r w:rsidR="00E3140F">
        <w:rPr>
          <w:rFonts w:ascii="Times New Roman" w:hAnsi="Times New Roman" w:cs="Times New Roman"/>
        </w:rPr>
        <w:t>D</w:t>
      </w:r>
      <w:r w:rsidRPr="00381AC0">
        <w:rPr>
          <w:rFonts w:ascii="Times New Roman" w:hAnsi="Times New Roman" w:cs="Times New Roman"/>
        </w:rPr>
        <w:t xml:space="preserve">ecision </w:t>
      </w:r>
      <w:r w:rsidR="00AC0D14" w:rsidRPr="00091C7C">
        <w:rPr>
          <w:rFonts w:ascii="Times New Roman" w:eastAsia="Times New Roman" w:hAnsi="Times New Roman" w:cs="Times New Roman"/>
          <w:lang w:val="en-IE"/>
        </w:rPr>
        <w:t xml:space="preserve">2000/518/EC </w:t>
      </w:r>
      <w:r w:rsidRPr="00381AC0">
        <w:rPr>
          <w:rFonts w:ascii="Times New Roman" w:hAnsi="Times New Roman" w:cs="Times New Roman"/>
        </w:rPr>
        <w:t>of 26 July 2000 pursuant to Directive 95/46/EC of the European Parliament and of the Council on the adequate protection of personal data provided in Switzerland, OJ L 215, 25.08.200</w:t>
      </w:r>
      <w:r w:rsidR="00E3140F">
        <w:rPr>
          <w:rFonts w:ascii="Times New Roman" w:hAnsi="Times New Roman" w:cs="Times New Roman"/>
        </w:rPr>
        <w:t>0</w:t>
      </w:r>
      <w:r w:rsidRPr="00381AC0">
        <w:rPr>
          <w:rFonts w:ascii="Times New Roman" w:hAnsi="Times New Roman" w:cs="Times New Roman"/>
        </w:rPr>
        <w:t>, p. 1.</w:t>
      </w:r>
    </w:p>
  </w:footnote>
  <w:footnote w:id="13">
    <w:p w14:paraId="1C29425B" w14:textId="490F30FE" w:rsidR="00BC7933" w:rsidRPr="00381AC0" w:rsidRDefault="00BC7933" w:rsidP="00386EAC">
      <w:pPr>
        <w:pStyle w:val="FootnoteText"/>
        <w:jc w:val="both"/>
        <w:rPr>
          <w:rFonts w:ascii="Times New Roman" w:hAnsi="Times New Roman" w:cs="Times New Roman"/>
        </w:rPr>
      </w:pPr>
      <w:r w:rsidRPr="00381AC0">
        <w:rPr>
          <w:rStyle w:val="FootnoteReference"/>
          <w:rFonts w:ascii="Times New Roman" w:hAnsi="Times New Roman" w:cs="Times New Roman"/>
        </w:rPr>
        <w:footnoteRef/>
      </w:r>
      <w:r w:rsidRPr="00381AC0">
        <w:rPr>
          <w:rFonts w:ascii="Times New Roman" w:hAnsi="Times New Roman" w:cs="Times New Roman"/>
        </w:rPr>
        <w:t xml:space="preserve"> </w:t>
      </w:r>
      <w:r w:rsidRPr="00381AC0">
        <w:rPr>
          <w:rFonts w:ascii="Times New Roman" w:hAnsi="Times New Roman" w:cs="Times New Roman"/>
          <w:bCs/>
        </w:rPr>
        <w:t xml:space="preserve">Commission </w:t>
      </w:r>
      <w:r w:rsidR="00E3140F">
        <w:rPr>
          <w:rFonts w:ascii="Times New Roman" w:hAnsi="Times New Roman" w:cs="Times New Roman"/>
          <w:bCs/>
        </w:rPr>
        <w:t>I</w:t>
      </w:r>
      <w:r w:rsidRPr="00381AC0">
        <w:rPr>
          <w:rFonts w:ascii="Times New Roman" w:hAnsi="Times New Roman" w:cs="Times New Roman"/>
          <w:bCs/>
        </w:rPr>
        <w:t xml:space="preserve">mplementing </w:t>
      </w:r>
      <w:r w:rsidR="00E3140F">
        <w:rPr>
          <w:rFonts w:ascii="Times New Roman" w:hAnsi="Times New Roman" w:cs="Times New Roman"/>
          <w:bCs/>
        </w:rPr>
        <w:t>D</w:t>
      </w:r>
      <w:r w:rsidRPr="00381AC0">
        <w:rPr>
          <w:rFonts w:ascii="Times New Roman" w:hAnsi="Times New Roman" w:cs="Times New Roman"/>
          <w:bCs/>
        </w:rPr>
        <w:t>ecision</w:t>
      </w:r>
      <w:r w:rsidR="00AC0D14">
        <w:rPr>
          <w:rFonts w:ascii="Times New Roman" w:hAnsi="Times New Roman" w:cs="Times New Roman"/>
          <w:bCs/>
        </w:rPr>
        <w:t xml:space="preserve"> </w:t>
      </w:r>
      <w:r w:rsidR="00AC0D14" w:rsidRPr="00091C7C">
        <w:rPr>
          <w:rFonts w:ascii="Times New Roman" w:hAnsi="Times New Roman" w:cs="Times New Roman"/>
          <w:lang w:val="en-IE"/>
        </w:rPr>
        <w:t>2012/484/EU</w:t>
      </w:r>
      <w:r w:rsidRPr="00381AC0">
        <w:rPr>
          <w:rFonts w:ascii="Times New Roman" w:hAnsi="Times New Roman" w:cs="Times New Roman"/>
          <w:bCs/>
        </w:rPr>
        <w:t xml:space="preserve"> of 21 August 2012 pursuant to Directive 95/46/EC of the European Parliament and of the Council on the adequate protection of personal data by the Eastern Republic of Uruguay with regard to automated processing of personal data, OJ L 227, 23.8.2012, p. 11.</w:t>
      </w:r>
    </w:p>
  </w:footnote>
  <w:footnote w:id="14">
    <w:p w14:paraId="75E35062" w14:textId="086729B1" w:rsidR="00BC7933" w:rsidRPr="004B4F9B" w:rsidRDefault="00BC7933" w:rsidP="00386EAC">
      <w:pPr>
        <w:pStyle w:val="FootnoteText"/>
        <w:jc w:val="both"/>
        <w:rPr>
          <w:rFonts w:ascii="Times New Roman" w:hAnsi="Times New Roman" w:cs="Times New Roman"/>
        </w:rPr>
      </w:pPr>
      <w:r w:rsidRPr="00381AC0">
        <w:rPr>
          <w:rStyle w:val="FootnoteReference"/>
          <w:rFonts w:ascii="Times New Roman" w:hAnsi="Times New Roman" w:cs="Times New Roman"/>
        </w:rPr>
        <w:footnoteRef/>
      </w:r>
      <w:r w:rsidRPr="00381AC0">
        <w:rPr>
          <w:rFonts w:ascii="Times New Roman" w:hAnsi="Times New Roman" w:cs="Times New Roman"/>
        </w:rPr>
        <w:t xml:space="preserve"> Regulation (EU) 2016/679 of the European Parliament and of the Council of 27 April 2016 on the protection of natural persons with regard to the processing of personal data a</w:t>
      </w:r>
      <w:r>
        <w:rPr>
          <w:rFonts w:ascii="Times New Roman" w:hAnsi="Times New Roman" w:cs="Times New Roman"/>
        </w:rPr>
        <w:t xml:space="preserve">nd on the free movement of such </w:t>
      </w:r>
      <w:r w:rsidR="00794AD7" w:rsidRPr="00381AC0">
        <w:rPr>
          <w:rFonts w:ascii="Times New Roman" w:hAnsi="Times New Roman" w:cs="Times New Roman"/>
        </w:rPr>
        <w:t>data and</w:t>
      </w:r>
      <w:r w:rsidRPr="00381AC0">
        <w:rPr>
          <w:rFonts w:ascii="Times New Roman" w:hAnsi="Times New Roman" w:cs="Times New Roman"/>
        </w:rPr>
        <w:t xml:space="preserve"> repealing Directive 95/46/EC</w:t>
      </w:r>
      <w:r>
        <w:rPr>
          <w:rFonts w:ascii="Times New Roman" w:hAnsi="Times New Roman" w:cs="Times New Roman"/>
        </w:rPr>
        <w:t xml:space="preserve"> (General Data Protection Regulation)</w:t>
      </w:r>
      <w:r w:rsidRPr="00381AC0">
        <w:rPr>
          <w:rFonts w:ascii="Times New Roman" w:hAnsi="Times New Roman" w:cs="Times New Roman"/>
        </w:rPr>
        <w:t>, OJ L 119, 4.5.2016, p. 1.</w:t>
      </w:r>
    </w:p>
  </w:footnote>
  <w:footnote w:id="15">
    <w:p w14:paraId="2C8FA9B4" w14:textId="77777777" w:rsidR="00BC7933" w:rsidRPr="008E0E08" w:rsidRDefault="00BC7933" w:rsidP="00386EAC">
      <w:pPr>
        <w:pStyle w:val="FootnoteText"/>
        <w:jc w:val="both"/>
        <w:rPr>
          <w:rFonts w:ascii="Times New Roman" w:hAnsi="Times New Roman" w:cs="Times New Roman"/>
        </w:rPr>
      </w:pPr>
      <w:r w:rsidRPr="008E0E08">
        <w:rPr>
          <w:rStyle w:val="FootnoteReference"/>
          <w:rFonts w:ascii="Times New Roman" w:hAnsi="Times New Roman" w:cs="Times New Roman"/>
        </w:rPr>
        <w:footnoteRef/>
      </w:r>
      <w:r w:rsidRPr="008E0E08">
        <w:rPr>
          <w:rFonts w:ascii="Times New Roman" w:hAnsi="Times New Roman" w:cs="Times New Roman"/>
        </w:rPr>
        <w:t xml:space="preserve"> </w:t>
      </w:r>
      <w:r>
        <w:rPr>
          <w:rFonts w:ascii="Times New Roman" w:hAnsi="Times New Roman" w:cs="Times New Roman"/>
        </w:rPr>
        <w:t>See Article 45(9) GDPR, which provides that decisions adopted by the Commission on the basis of Article 25(6) of Directive 95/46/EC shall remain in force until amended, repealed or replaced by a Commission decision adopted in accordance with paragraph 3 or 5 of Article 45.</w:t>
      </w:r>
    </w:p>
  </w:footnote>
  <w:footnote w:id="16">
    <w:p w14:paraId="1E6E19A9" w14:textId="56F68514" w:rsidR="00BC7933" w:rsidRPr="00381AC0" w:rsidRDefault="00BC7933" w:rsidP="00386EAC">
      <w:pPr>
        <w:pStyle w:val="FootnoteText"/>
        <w:jc w:val="both"/>
        <w:rPr>
          <w:rFonts w:ascii="Times New Roman" w:hAnsi="Times New Roman" w:cs="Times New Roman"/>
        </w:rPr>
      </w:pPr>
      <w:r w:rsidRPr="00381AC0">
        <w:rPr>
          <w:rStyle w:val="FootnoteReference"/>
          <w:rFonts w:ascii="Times New Roman" w:hAnsi="Times New Roman" w:cs="Times New Roman"/>
        </w:rPr>
        <w:footnoteRef/>
      </w:r>
      <w:r w:rsidRPr="00381AC0">
        <w:rPr>
          <w:rFonts w:ascii="Times New Roman" w:hAnsi="Times New Roman" w:cs="Times New Roman"/>
        </w:rPr>
        <w:t xml:space="preserve"> Article 45(4) GDPR. See also </w:t>
      </w:r>
      <w:r w:rsidRPr="00DA65F8">
        <w:rPr>
          <w:rFonts w:ascii="Times New Roman" w:hAnsi="Times New Roman" w:cs="Times New Roman"/>
        </w:rPr>
        <w:t>Judgment of the Court of Justice of the EU of 6 October 2015 in Case C-362/14, Maximillian Schrems v Data Protection Commissioner (</w:t>
      </w:r>
      <w:r w:rsidRPr="00DA65F8">
        <w:rPr>
          <w:rFonts w:ascii="Times New Roman" w:hAnsi="Times New Roman" w:cs="Times New Roman"/>
          <w:i/>
        </w:rPr>
        <w:t>Schrems I</w:t>
      </w:r>
      <w:r w:rsidRPr="00DA65F8">
        <w:rPr>
          <w:rFonts w:ascii="Times New Roman" w:hAnsi="Times New Roman" w:cs="Times New Roman"/>
        </w:rPr>
        <w:t>), ECLI:EU:C:2015:650,</w:t>
      </w:r>
      <w:r w:rsidRPr="00DA65F8">
        <w:rPr>
          <w:rFonts w:ascii="Times New Roman" w:hAnsi="Times New Roman" w:cs="Times New Roman"/>
          <w:i/>
        </w:rPr>
        <w:t xml:space="preserve"> </w:t>
      </w:r>
      <w:r w:rsidRPr="00381AC0">
        <w:rPr>
          <w:rFonts w:ascii="Times New Roman" w:hAnsi="Times New Roman" w:cs="Times New Roman"/>
        </w:rPr>
        <w:t xml:space="preserve">point 76. </w:t>
      </w:r>
    </w:p>
  </w:footnote>
  <w:footnote w:id="17">
    <w:p w14:paraId="546CC538" w14:textId="4B5242C5" w:rsidR="008A5A6E" w:rsidRPr="00381AC0" w:rsidRDefault="008A5A6E" w:rsidP="00386EAC">
      <w:pPr>
        <w:pStyle w:val="FootnoteText"/>
        <w:jc w:val="both"/>
        <w:rPr>
          <w:rFonts w:ascii="Times New Roman" w:hAnsi="Times New Roman" w:cs="Times New Roman"/>
          <w:lang w:val="en-IE"/>
        </w:rPr>
      </w:pPr>
      <w:r w:rsidRPr="00381AC0">
        <w:rPr>
          <w:rStyle w:val="FootnoteReference"/>
          <w:rFonts w:ascii="Times New Roman" w:hAnsi="Times New Roman" w:cs="Times New Roman"/>
        </w:rPr>
        <w:footnoteRef/>
      </w:r>
      <w:r w:rsidRPr="00381AC0">
        <w:rPr>
          <w:rFonts w:ascii="Times New Roman" w:hAnsi="Times New Roman" w:cs="Times New Roman"/>
        </w:rPr>
        <w:t xml:space="preserve"> </w:t>
      </w:r>
      <w:r w:rsidR="00AF4673">
        <w:rPr>
          <w:rFonts w:ascii="Times New Roman" w:hAnsi="Times New Roman" w:cs="Times New Roman"/>
        </w:rPr>
        <w:t>The Communication was published in June 2020 and is a</w:t>
      </w:r>
      <w:r>
        <w:rPr>
          <w:rFonts w:ascii="Times New Roman" w:hAnsi="Times New Roman" w:cs="Times New Roman"/>
        </w:rPr>
        <w:t xml:space="preserve">vailable at the following link: </w:t>
      </w:r>
      <w:hyperlink r:id="rId1" w:history="1">
        <w:r w:rsidRPr="00381AC0">
          <w:rPr>
            <w:rStyle w:val="Hyperlink"/>
            <w:rFonts w:ascii="Times New Roman" w:hAnsi="Times New Roman" w:cs="Times New Roman"/>
          </w:rPr>
          <w:t>https://ec.europa.eu/info/law/law-topic/data-protection/communication-two-years-application-general-data-protection-regulation_en</w:t>
        </w:r>
      </w:hyperlink>
      <w:r>
        <w:rPr>
          <w:rStyle w:val="Hyperlink"/>
          <w:rFonts w:ascii="Times New Roman" w:hAnsi="Times New Roman" w:cs="Times New Roman"/>
        </w:rPr>
        <w:t>.</w:t>
      </w:r>
      <w:r w:rsidRPr="00381AC0">
        <w:rPr>
          <w:rFonts w:ascii="Times New Roman" w:hAnsi="Times New Roman" w:cs="Times New Roman"/>
        </w:rPr>
        <w:t xml:space="preserve"> </w:t>
      </w:r>
    </w:p>
  </w:footnote>
  <w:footnote w:id="18">
    <w:p w14:paraId="6BD6CC7C" w14:textId="5664378F" w:rsidR="008A5A6E" w:rsidRPr="005D773E" w:rsidRDefault="008A5A6E" w:rsidP="00386EAC">
      <w:pPr>
        <w:pStyle w:val="FootnoteText"/>
        <w:jc w:val="both"/>
      </w:pPr>
      <w:r w:rsidRPr="00AD3D6A">
        <w:rPr>
          <w:rStyle w:val="FootnoteReference"/>
          <w:rFonts w:ascii="Times New Roman" w:hAnsi="Times New Roman" w:cs="Times New Roman"/>
        </w:rPr>
        <w:footnoteRef/>
      </w:r>
      <w:r w:rsidRPr="00AD3D6A">
        <w:rPr>
          <w:rFonts w:ascii="Times New Roman" w:hAnsi="Times New Roman" w:cs="Times New Roman"/>
        </w:rPr>
        <w:t xml:space="preserve"> </w:t>
      </w:r>
      <w:r w:rsidRPr="00381AC0">
        <w:rPr>
          <w:rFonts w:ascii="Times New Roman" w:hAnsi="Times New Roman" w:cs="Times New Roman"/>
        </w:rPr>
        <w:t>Judgment of the Court of Justice of the EU of 16 July 2020 in Case C-311/18, Data Protection Commissioner v Facebook Ireland Ltd. and Maximilian Schrems (</w:t>
      </w:r>
      <w:r w:rsidRPr="00381AC0">
        <w:rPr>
          <w:rFonts w:ascii="Times New Roman" w:hAnsi="Times New Roman" w:cs="Times New Roman"/>
          <w:i/>
        </w:rPr>
        <w:t>Schrems II</w:t>
      </w:r>
      <w:r w:rsidRPr="00381AC0">
        <w:rPr>
          <w:rFonts w:ascii="Times New Roman" w:hAnsi="Times New Roman" w:cs="Times New Roman"/>
        </w:rPr>
        <w:t>), ECLI:EU:C:2020:559.</w:t>
      </w:r>
    </w:p>
  </w:footnote>
  <w:footnote w:id="19">
    <w:p w14:paraId="2A6F9467" w14:textId="62BF1BDC" w:rsidR="008A5A6E" w:rsidRPr="00C06E9D" w:rsidRDefault="008A5A6E" w:rsidP="00386EAC">
      <w:pPr>
        <w:pStyle w:val="FootnoteText"/>
        <w:jc w:val="both"/>
        <w:rPr>
          <w:rFonts w:ascii="Times New Roman" w:hAnsi="Times New Roman" w:cs="Times New Roman"/>
        </w:rPr>
      </w:pPr>
      <w:r w:rsidRPr="00C06E9D">
        <w:rPr>
          <w:rStyle w:val="FootnoteReference"/>
          <w:rFonts w:ascii="Times New Roman" w:hAnsi="Times New Roman" w:cs="Times New Roman"/>
        </w:rPr>
        <w:footnoteRef/>
      </w:r>
      <w:r w:rsidRPr="00C06E9D">
        <w:rPr>
          <w:rFonts w:ascii="Times New Roman" w:hAnsi="Times New Roman" w:cs="Times New Roman"/>
        </w:rPr>
        <w:t xml:space="preserve"> The adequacy decision concerning Japan was adopted on the basis of the GDPR and provides for a separate periodic review. The first review was concluded in </w:t>
      </w:r>
      <w:r>
        <w:rPr>
          <w:rFonts w:ascii="Times New Roman" w:hAnsi="Times New Roman" w:cs="Times New Roman"/>
        </w:rPr>
        <w:t>April</w:t>
      </w:r>
      <w:r w:rsidRPr="00C06E9D">
        <w:rPr>
          <w:rFonts w:ascii="Times New Roman" w:hAnsi="Times New Roman" w:cs="Times New Roman"/>
        </w:rPr>
        <w:t xml:space="preserve"> 2023 with the </w:t>
      </w:r>
      <w:r>
        <w:rPr>
          <w:rFonts w:ascii="Times New Roman" w:hAnsi="Times New Roman" w:cs="Times New Roman"/>
        </w:rPr>
        <w:t xml:space="preserve">Commission’s report to the European Parliament and the Council </w:t>
      </w:r>
      <w:r w:rsidRPr="008B5E9F">
        <w:rPr>
          <w:rFonts w:ascii="Times New Roman" w:hAnsi="Times New Roman" w:cs="Times New Roman"/>
        </w:rPr>
        <w:t>on the first review of the functioning of the adequacy decision for Japan</w:t>
      </w:r>
      <w:r>
        <w:rPr>
          <w:rFonts w:ascii="Times New Roman" w:hAnsi="Times New Roman" w:cs="Times New Roman"/>
        </w:rPr>
        <w:t>, C</w:t>
      </w:r>
      <w:r w:rsidRPr="008B5E9F">
        <w:rPr>
          <w:rFonts w:ascii="Times New Roman" w:hAnsi="Times New Roman" w:cs="Times New Roman"/>
        </w:rPr>
        <w:t>OM(2023) 275 final</w:t>
      </w:r>
      <w:r>
        <w:rPr>
          <w:rFonts w:ascii="Times New Roman" w:hAnsi="Times New Roman" w:cs="Times New Roman"/>
        </w:rPr>
        <w:t xml:space="preserve">, available at the following link </w:t>
      </w:r>
      <w:hyperlink r:id="rId2" w:history="1">
        <w:r w:rsidRPr="00767387">
          <w:rPr>
            <w:rStyle w:val="Hyperlink"/>
            <w:rFonts w:ascii="Times New Roman" w:hAnsi="Times New Roman" w:cs="Times New Roman"/>
          </w:rPr>
          <w:t>https://eur-lex.europa.eu/legal-content/EN/TXT/PDF/?uri=COM:2023:275:FIN</w:t>
        </w:r>
      </w:hyperlink>
      <w:r w:rsidRPr="00C06E9D">
        <w:rPr>
          <w:rFonts w:ascii="Times New Roman" w:hAnsi="Times New Roman" w:cs="Times New Roman"/>
        </w:rPr>
        <w:t>.</w:t>
      </w:r>
    </w:p>
  </w:footnote>
  <w:footnote w:id="20">
    <w:p w14:paraId="7CD9AEBF" w14:textId="59E5F36A" w:rsidR="006B4461" w:rsidRPr="00E32DFE" w:rsidRDefault="006B4461" w:rsidP="00386EAC">
      <w:pPr>
        <w:pStyle w:val="FootnoteText"/>
        <w:jc w:val="both"/>
        <w:rPr>
          <w:rFonts w:ascii="Times New Roman" w:hAnsi="Times New Roman" w:cs="Times New Roman"/>
          <w:lang w:val="en-IE"/>
        </w:rPr>
      </w:pPr>
      <w:r w:rsidRPr="000A245B">
        <w:rPr>
          <w:rStyle w:val="FootnoteReference"/>
          <w:rFonts w:ascii="Times New Roman" w:hAnsi="Times New Roman" w:cs="Times New Roman"/>
        </w:rPr>
        <w:footnoteRef/>
      </w:r>
      <w:r w:rsidRPr="000A245B">
        <w:rPr>
          <w:rFonts w:ascii="Times New Roman" w:hAnsi="Times New Roman" w:cs="Times New Roman"/>
          <w:lang w:val="en-IE"/>
        </w:rPr>
        <w:t xml:space="preserve"> Such as </w:t>
      </w:r>
      <w:r w:rsidR="00794AD7" w:rsidRPr="000A245B">
        <w:rPr>
          <w:rFonts w:ascii="Times New Roman" w:hAnsi="Times New Roman" w:cs="Times New Roman"/>
          <w:lang w:val="en-IE"/>
        </w:rPr>
        <w:t>e.g.,</w:t>
      </w:r>
      <w:r w:rsidR="00395BAB" w:rsidRPr="000A245B">
        <w:rPr>
          <w:rFonts w:ascii="Times New Roman" w:hAnsi="Times New Roman" w:cs="Times New Roman"/>
          <w:lang w:val="en-IE"/>
        </w:rPr>
        <w:t xml:space="preserve"> </w:t>
      </w:r>
      <w:r w:rsidRPr="000A245B">
        <w:rPr>
          <w:rFonts w:ascii="Times New Roman" w:hAnsi="Times New Roman" w:cs="Times New Roman"/>
          <w:lang w:val="en-IE"/>
        </w:rPr>
        <w:t>Argentina, Colombia, Israel, Morocco</w:t>
      </w:r>
      <w:r w:rsidR="00E32DFE" w:rsidRPr="000A245B">
        <w:rPr>
          <w:rFonts w:ascii="Times New Roman" w:hAnsi="Times New Roman" w:cs="Times New Roman"/>
          <w:lang w:val="en-IE"/>
        </w:rPr>
        <w:t xml:space="preserve">, </w:t>
      </w:r>
      <w:r w:rsidRPr="000A245B">
        <w:rPr>
          <w:rFonts w:ascii="Times New Roman" w:hAnsi="Times New Roman" w:cs="Times New Roman"/>
          <w:lang w:val="en-IE"/>
        </w:rPr>
        <w:t>Switzerland</w:t>
      </w:r>
      <w:r w:rsidR="00395BAB" w:rsidRPr="000A245B">
        <w:rPr>
          <w:rFonts w:ascii="Times New Roman" w:hAnsi="Times New Roman" w:cs="Times New Roman"/>
          <w:lang w:val="en-IE"/>
        </w:rPr>
        <w:t xml:space="preserve"> and</w:t>
      </w:r>
      <w:r w:rsidR="00E32DFE" w:rsidRPr="000A245B">
        <w:rPr>
          <w:rFonts w:ascii="Times New Roman" w:hAnsi="Times New Roman" w:cs="Times New Roman"/>
          <w:lang w:val="en-IE"/>
        </w:rPr>
        <w:t xml:space="preserve"> Uruguay</w:t>
      </w:r>
      <w:r w:rsidRPr="000A245B">
        <w:rPr>
          <w:rFonts w:ascii="Times New Roman" w:hAnsi="Times New Roman" w:cs="Times New Roman"/>
          <w:lang w:val="en-IE"/>
        </w:rPr>
        <w:t>.</w:t>
      </w:r>
    </w:p>
  </w:footnote>
  <w:footnote w:id="21">
    <w:p w14:paraId="6D78C0DA" w14:textId="77777777" w:rsidR="00BC7933" w:rsidRPr="005D773E" w:rsidRDefault="00BC7933" w:rsidP="00386EAC">
      <w:pPr>
        <w:pStyle w:val="FootnoteText"/>
        <w:jc w:val="both"/>
      </w:pPr>
      <w:r w:rsidRPr="00AD3D6A">
        <w:rPr>
          <w:rStyle w:val="FootnoteReference"/>
          <w:rFonts w:ascii="Times New Roman" w:hAnsi="Times New Roman" w:cs="Times New Roman"/>
        </w:rPr>
        <w:footnoteRef/>
      </w:r>
      <w:r w:rsidRPr="00AD3D6A">
        <w:rPr>
          <w:rFonts w:ascii="Times New Roman" w:hAnsi="Times New Roman" w:cs="Times New Roman"/>
        </w:rPr>
        <w:t xml:space="preserve"> The European Data Protection Board gathers the Data Protection Supervisory Authorities in the Member States and the European Data Protection Supervisor.</w:t>
      </w:r>
    </w:p>
  </w:footnote>
  <w:footnote w:id="22">
    <w:p w14:paraId="4C8B61E2" w14:textId="77777777" w:rsidR="00BC7933" w:rsidRPr="00381AC0" w:rsidRDefault="00BC7933" w:rsidP="00386EAC">
      <w:pPr>
        <w:pStyle w:val="FootnoteText"/>
        <w:jc w:val="both"/>
        <w:rPr>
          <w:rFonts w:ascii="Times New Roman" w:hAnsi="Times New Roman" w:cs="Times New Roman"/>
        </w:rPr>
      </w:pPr>
      <w:r w:rsidRPr="00381AC0">
        <w:rPr>
          <w:rStyle w:val="FootnoteReference"/>
          <w:rFonts w:ascii="Times New Roman" w:hAnsi="Times New Roman" w:cs="Times New Roman"/>
        </w:rPr>
        <w:footnoteRef/>
      </w:r>
      <w:r w:rsidRPr="00381AC0">
        <w:rPr>
          <w:rFonts w:ascii="Times New Roman" w:hAnsi="Times New Roman" w:cs="Times New Roman"/>
        </w:rPr>
        <w:t xml:space="preserve"> </w:t>
      </w:r>
      <w:r w:rsidRPr="00381AC0">
        <w:rPr>
          <w:rFonts w:ascii="Times New Roman" w:hAnsi="Times New Roman" w:cs="Times New Roman"/>
          <w:i/>
        </w:rPr>
        <w:t>Schrems I</w:t>
      </w:r>
      <w:r w:rsidRPr="00381AC0">
        <w:rPr>
          <w:rFonts w:ascii="Times New Roman" w:hAnsi="Times New Roman" w:cs="Times New Roman"/>
        </w:rPr>
        <w:t xml:space="preserve">, points 73, 74 and 96. See also Recital 104 of </w:t>
      </w:r>
      <w:r>
        <w:rPr>
          <w:rFonts w:ascii="Times New Roman" w:hAnsi="Times New Roman" w:cs="Times New Roman"/>
        </w:rPr>
        <w:t>Regulation (EU) 2016/679</w:t>
      </w:r>
      <w:r w:rsidRPr="00381AC0">
        <w:rPr>
          <w:rFonts w:ascii="Times New Roman" w:hAnsi="Times New Roman" w:cs="Times New Roman"/>
        </w:rPr>
        <w:t>, which refers to the standard of essential equivalence.</w:t>
      </w:r>
    </w:p>
  </w:footnote>
  <w:footnote w:id="23">
    <w:p w14:paraId="1A36EA27" w14:textId="77777777" w:rsidR="00BC7933" w:rsidRPr="00043DAA" w:rsidRDefault="00BC7933" w:rsidP="00386EAC">
      <w:pPr>
        <w:pStyle w:val="FootnoteText"/>
        <w:jc w:val="both"/>
        <w:rPr>
          <w:rFonts w:ascii="Times New Roman" w:hAnsi="Times New Roman" w:cs="Times New Roman"/>
          <w:lang w:val="en-US"/>
        </w:rPr>
      </w:pPr>
      <w:r w:rsidRPr="000706FB">
        <w:rPr>
          <w:rStyle w:val="FootnoteReference"/>
          <w:rFonts w:ascii="Times New Roman" w:hAnsi="Times New Roman" w:cs="Times New Roman"/>
        </w:rPr>
        <w:footnoteRef/>
      </w:r>
      <w:r w:rsidRPr="000706FB">
        <w:rPr>
          <w:rFonts w:ascii="Times New Roman" w:hAnsi="Times New Roman" w:cs="Times New Roman"/>
        </w:rPr>
        <w:t xml:space="preserve"> </w:t>
      </w:r>
      <w:r w:rsidRPr="00DA65F8">
        <w:rPr>
          <w:rFonts w:ascii="Times New Roman" w:hAnsi="Times New Roman" w:cs="Times New Roman"/>
          <w:i/>
          <w:lang w:val="en-US"/>
        </w:rPr>
        <w:t>Schrems I</w:t>
      </w:r>
      <w:r w:rsidRPr="00043DAA">
        <w:rPr>
          <w:rFonts w:ascii="Times New Roman" w:hAnsi="Times New Roman" w:cs="Times New Roman"/>
          <w:lang w:val="en-US"/>
        </w:rPr>
        <w:t>, point 74.</w:t>
      </w:r>
    </w:p>
  </w:footnote>
  <w:footnote w:id="24">
    <w:p w14:paraId="47C1A5D8" w14:textId="77777777" w:rsidR="00BC7933" w:rsidRPr="00381AC0" w:rsidRDefault="00BC7933" w:rsidP="00386EAC">
      <w:pPr>
        <w:pStyle w:val="FootnoteText"/>
        <w:jc w:val="both"/>
        <w:rPr>
          <w:rFonts w:ascii="Times New Roman" w:hAnsi="Times New Roman" w:cs="Times New Roman"/>
          <w:lang w:val="en-IE"/>
        </w:rPr>
      </w:pPr>
      <w:r w:rsidRPr="00381AC0">
        <w:rPr>
          <w:rStyle w:val="FootnoteReference"/>
          <w:rFonts w:ascii="Times New Roman" w:hAnsi="Times New Roman" w:cs="Times New Roman"/>
        </w:rPr>
        <w:footnoteRef/>
      </w:r>
      <w:r w:rsidRPr="00381AC0">
        <w:rPr>
          <w:rFonts w:ascii="Times New Roman" w:hAnsi="Times New Roman" w:cs="Times New Roman"/>
        </w:rPr>
        <w:t xml:space="preserve"> </w:t>
      </w:r>
      <w:r w:rsidRPr="00DA65F8">
        <w:rPr>
          <w:rFonts w:ascii="Times New Roman" w:hAnsi="Times New Roman" w:cs="Times New Roman"/>
          <w:i/>
          <w:lang w:val="en-IE"/>
        </w:rPr>
        <w:t>Schrems I</w:t>
      </w:r>
      <w:r w:rsidRPr="00381AC0">
        <w:rPr>
          <w:rFonts w:ascii="Times New Roman" w:hAnsi="Times New Roman" w:cs="Times New Roman"/>
          <w:lang w:val="en-IE"/>
        </w:rPr>
        <w:t xml:space="preserve">, point 90. </w:t>
      </w:r>
    </w:p>
  </w:footnote>
  <w:footnote w:id="25">
    <w:p w14:paraId="6B043AD7" w14:textId="77777777" w:rsidR="00BC7933" w:rsidRPr="00381AC0" w:rsidRDefault="00BC7933" w:rsidP="00386EAC">
      <w:pPr>
        <w:pStyle w:val="FootnoteText"/>
        <w:jc w:val="both"/>
        <w:rPr>
          <w:rFonts w:ascii="Times New Roman" w:hAnsi="Times New Roman" w:cs="Times New Roman"/>
          <w:lang w:val="en-IE"/>
        </w:rPr>
      </w:pPr>
      <w:r w:rsidRPr="00381AC0">
        <w:rPr>
          <w:rStyle w:val="FootnoteReference"/>
          <w:rFonts w:ascii="Times New Roman" w:hAnsi="Times New Roman" w:cs="Times New Roman"/>
        </w:rPr>
        <w:footnoteRef/>
      </w:r>
      <w:r w:rsidRPr="00381AC0">
        <w:rPr>
          <w:rFonts w:ascii="Times New Roman" w:hAnsi="Times New Roman" w:cs="Times New Roman"/>
        </w:rPr>
        <w:t xml:space="preserve"> </w:t>
      </w:r>
      <w:r w:rsidRPr="00DA65F8">
        <w:rPr>
          <w:rFonts w:ascii="Times New Roman" w:hAnsi="Times New Roman" w:cs="Times New Roman"/>
          <w:i/>
          <w:lang w:val="en-IE"/>
        </w:rPr>
        <w:t>Schrems I</w:t>
      </w:r>
      <w:r w:rsidRPr="00381AC0">
        <w:rPr>
          <w:rFonts w:ascii="Times New Roman" w:hAnsi="Times New Roman" w:cs="Times New Roman"/>
          <w:lang w:val="en-IE"/>
        </w:rPr>
        <w:t xml:space="preserve">, point 91. </w:t>
      </w:r>
    </w:p>
  </w:footnote>
  <w:footnote w:id="26">
    <w:p w14:paraId="1C522F1C" w14:textId="77777777" w:rsidR="00BC7933" w:rsidRPr="00381AC0" w:rsidRDefault="00BC7933" w:rsidP="00386EAC">
      <w:pPr>
        <w:pStyle w:val="FootnoteText"/>
        <w:jc w:val="both"/>
        <w:rPr>
          <w:rFonts w:ascii="Times New Roman" w:hAnsi="Times New Roman" w:cs="Times New Roman"/>
          <w:lang w:val="en-IE"/>
        </w:rPr>
      </w:pPr>
      <w:r w:rsidRPr="00381AC0">
        <w:rPr>
          <w:rStyle w:val="FootnoteReference"/>
          <w:rFonts w:ascii="Times New Roman" w:hAnsi="Times New Roman" w:cs="Times New Roman"/>
        </w:rPr>
        <w:footnoteRef/>
      </w:r>
      <w:r w:rsidRPr="00381AC0">
        <w:rPr>
          <w:rFonts w:ascii="Times New Roman" w:hAnsi="Times New Roman" w:cs="Times New Roman"/>
        </w:rPr>
        <w:t xml:space="preserve"> </w:t>
      </w:r>
      <w:r w:rsidRPr="00DA65F8">
        <w:rPr>
          <w:rFonts w:ascii="Times New Roman" w:hAnsi="Times New Roman" w:cs="Times New Roman"/>
          <w:i/>
          <w:lang w:val="en-IE"/>
        </w:rPr>
        <w:t>Schrems I</w:t>
      </w:r>
      <w:r w:rsidRPr="00381AC0">
        <w:rPr>
          <w:rFonts w:ascii="Times New Roman" w:hAnsi="Times New Roman" w:cs="Times New Roman"/>
          <w:lang w:val="en-IE"/>
        </w:rPr>
        <w:t xml:space="preserve">, point 95. </w:t>
      </w:r>
    </w:p>
  </w:footnote>
  <w:footnote w:id="27">
    <w:p w14:paraId="17E61952" w14:textId="77777777" w:rsidR="00BC7933" w:rsidRPr="00043DAA" w:rsidRDefault="00BC7933" w:rsidP="00386EAC">
      <w:pPr>
        <w:pStyle w:val="FootnoteText"/>
        <w:jc w:val="both"/>
        <w:rPr>
          <w:rFonts w:ascii="Times New Roman" w:hAnsi="Times New Roman" w:cs="Times New Roman"/>
          <w:lang w:val="fr-BE"/>
        </w:rPr>
      </w:pPr>
      <w:r w:rsidRPr="00381AC0">
        <w:rPr>
          <w:rStyle w:val="FootnoteReference"/>
          <w:rFonts w:ascii="Times New Roman" w:hAnsi="Times New Roman" w:cs="Times New Roman"/>
        </w:rPr>
        <w:footnoteRef/>
      </w:r>
      <w:r w:rsidRPr="00043DAA">
        <w:rPr>
          <w:rFonts w:ascii="Times New Roman" w:hAnsi="Times New Roman" w:cs="Times New Roman"/>
          <w:lang w:val="fr-BE"/>
        </w:rPr>
        <w:t xml:space="preserve"> Article 45(2) GDPR. </w:t>
      </w:r>
    </w:p>
  </w:footnote>
  <w:footnote w:id="28">
    <w:p w14:paraId="71661196" w14:textId="1AF03DAA" w:rsidR="00BC7933" w:rsidRPr="00043DAA" w:rsidRDefault="00BC7933" w:rsidP="00386EAC">
      <w:pPr>
        <w:pStyle w:val="FootnoteText"/>
        <w:jc w:val="both"/>
        <w:rPr>
          <w:rFonts w:ascii="Times New Roman" w:hAnsi="Times New Roman" w:cs="Times New Roman"/>
          <w:lang w:val="fr-BE"/>
        </w:rPr>
      </w:pPr>
      <w:r w:rsidRPr="00381AC0">
        <w:rPr>
          <w:rStyle w:val="FootnoteReference"/>
          <w:rFonts w:ascii="Times New Roman" w:hAnsi="Times New Roman" w:cs="Times New Roman"/>
        </w:rPr>
        <w:footnoteRef/>
      </w:r>
      <w:r w:rsidRPr="00043DAA">
        <w:rPr>
          <w:rFonts w:ascii="Times New Roman" w:hAnsi="Times New Roman" w:cs="Times New Roman"/>
          <w:lang w:val="fr-BE"/>
        </w:rPr>
        <w:t xml:space="preserve"> </w:t>
      </w:r>
      <w:r w:rsidRPr="00DA65F8">
        <w:rPr>
          <w:rFonts w:ascii="Times New Roman" w:hAnsi="Times New Roman" w:cs="Times New Roman"/>
          <w:i/>
          <w:lang w:val="fr-BE"/>
        </w:rPr>
        <w:t>Schrems II</w:t>
      </w:r>
      <w:r w:rsidRPr="00043DAA">
        <w:rPr>
          <w:rFonts w:ascii="Times New Roman" w:hAnsi="Times New Roman" w:cs="Times New Roman"/>
          <w:lang w:val="fr-BE"/>
        </w:rPr>
        <w:t>, points 18</w:t>
      </w:r>
      <w:r>
        <w:rPr>
          <w:rFonts w:ascii="Times New Roman" w:hAnsi="Times New Roman" w:cs="Times New Roman"/>
          <w:lang w:val="fr-BE"/>
        </w:rPr>
        <w:t>0</w:t>
      </w:r>
      <w:r w:rsidRPr="00043DAA">
        <w:rPr>
          <w:rFonts w:ascii="Times New Roman" w:hAnsi="Times New Roman" w:cs="Times New Roman"/>
          <w:lang w:val="fr-BE"/>
        </w:rPr>
        <w:t xml:space="preserve">-182. </w:t>
      </w:r>
    </w:p>
  </w:footnote>
  <w:footnote w:id="29">
    <w:p w14:paraId="73BDAD89" w14:textId="11172DBB" w:rsidR="00BC7933" w:rsidRPr="00381AC0" w:rsidRDefault="00BC7933" w:rsidP="00386EAC">
      <w:pPr>
        <w:pStyle w:val="FootnoteText"/>
        <w:jc w:val="both"/>
        <w:rPr>
          <w:rFonts w:ascii="Times New Roman" w:hAnsi="Times New Roman" w:cs="Times New Roman"/>
        </w:rPr>
      </w:pPr>
      <w:r w:rsidRPr="00381AC0">
        <w:rPr>
          <w:rStyle w:val="FootnoteReference"/>
          <w:rFonts w:ascii="Times New Roman" w:hAnsi="Times New Roman" w:cs="Times New Roman"/>
        </w:rPr>
        <w:footnoteRef/>
      </w:r>
      <w:r w:rsidRPr="00381AC0">
        <w:rPr>
          <w:rFonts w:ascii="Times New Roman" w:hAnsi="Times New Roman" w:cs="Times New Roman"/>
        </w:rPr>
        <w:t xml:space="preserve"> Adequacy Referential, WP 254 rev. 01, 6 February 2018 (available at: </w:t>
      </w:r>
      <w:hyperlink r:id="rId3" w:history="1">
        <w:r w:rsidRPr="00381AC0">
          <w:rPr>
            <w:rStyle w:val="Hyperlink"/>
            <w:rFonts w:ascii="Times New Roman" w:hAnsi="Times New Roman" w:cs="Times New Roman"/>
          </w:rPr>
          <w:t>https://ec.europa.eu/newsroom/article29/item-detail.cfm?item_id=614108</w:t>
        </w:r>
      </w:hyperlink>
      <w:r w:rsidRPr="00381AC0">
        <w:rPr>
          <w:rFonts w:ascii="Times New Roman" w:hAnsi="Times New Roman" w:cs="Times New Roman"/>
        </w:rPr>
        <w:t>).</w:t>
      </w:r>
    </w:p>
  </w:footnote>
  <w:footnote w:id="30">
    <w:p w14:paraId="4EB75F53" w14:textId="21A8F6B6" w:rsidR="00BC7933" w:rsidRPr="004563B9" w:rsidRDefault="00BC7933" w:rsidP="00386EAC">
      <w:pPr>
        <w:pStyle w:val="FootnoteText"/>
        <w:jc w:val="both"/>
        <w:rPr>
          <w:rFonts w:ascii="Times New Roman" w:hAnsi="Times New Roman" w:cs="Times New Roman"/>
        </w:rPr>
      </w:pPr>
      <w:r w:rsidRPr="004563B9">
        <w:rPr>
          <w:rStyle w:val="FootnoteReference"/>
          <w:rFonts w:ascii="Times New Roman" w:hAnsi="Times New Roman" w:cs="Times New Roman"/>
        </w:rPr>
        <w:footnoteRef/>
      </w:r>
      <w:r w:rsidRPr="004563B9">
        <w:rPr>
          <w:rFonts w:ascii="Times New Roman" w:hAnsi="Times New Roman" w:cs="Times New Roman"/>
        </w:rPr>
        <w:t xml:space="preserve"> Recommendations 02/2020 on the European Essential Guarantees for surveillance measures (available at: </w:t>
      </w:r>
      <w:hyperlink r:id="rId4" w:history="1">
        <w:r w:rsidRPr="004563B9">
          <w:rPr>
            <w:rStyle w:val="Hyperlink"/>
            <w:rFonts w:ascii="Times New Roman" w:hAnsi="Times New Roman" w:cs="Times New Roman"/>
          </w:rPr>
          <w:t>https://edpb.europa.eu/our-work-tools/our-documents/recommendations/recommendations-022020-european-essential-guarantees_en</w:t>
        </w:r>
      </w:hyperlink>
      <w:r w:rsidRPr="004563B9">
        <w:rPr>
          <w:rFonts w:ascii="Times New Roman" w:hAnsi="Times New Roman" w:cs="Times New Roman"/>
        </w:rPr>
        <w:t xml:space="preserve">). </w:t>
      </w:r>
    </w:p>
  </w:footnote>
  <w:footnote w:id="31">
    <w:p w14:paraId="56898E62" w14:textId="77777777" w:rsidR="004F437F" w:rsidRPr="004563B9" w:rsidRDefault="004F437F" w:rsidP="00386EAC">
      <w:pPr>
        <w:pStyle w:val="FootnoteText"/>
        <w:jc w:val="both"/>
        <w:rPr>
          <w:rFonts w:ascii="Times New Roman" w:hAnsi="Times New Roman" w:cs="Times New Roman"/>
        </w:rPr>
      </w:pPr>
      <w:r w:rsidRPr="004563B9">
        <w:rPr>
          <w:rStyle w:val="FootnoteReference"/>
          <w:rFonts w:ascii="Times New Roman" w:hAnsi="Times New Roman" w:cs="Times New Roman"/>
        </w:rPr>
        <w:footnoteRef/>
      </w:r>
      <w:r w:rsidRPr="004563B9">
        <w:rPr>
          <w:rFonts w:ascii="Times New Roman" w:hAnsi="Times New Roman" w:cs="Times New Roman"/>
        </w:rPr>
        <w:t xml:space="preserve"> Section 12 of </w:t>
      </w:r>
      <w:r w:rsidRPr="00794AD7">
        <w:rPr>
          <w:rFonts w:ascii="Times New Roman" w:hAnsi="Times New Roman" w:cs="Times New Roman"/>
        </w:rPr>
        <w:t xml:space="preserve">the Privacy Act, </w:t>
      </w:r>
      <w:r w:rsidRPr="00794AD7">
        <w:rPr>
          <w:rFonts w:ascii="Times New Roman" w:eastAsia="Calibri" w:hAnsi="Times New Roman" w:cs="Times New Roman"/>
        </w:rPr>
        <w:t>Privacy Act Extension Order, No. 1 and Privacy Act Extension</w:t>
      </w:r>
      <w:r w:rsidRPr="004563B9">
        <w:rPr>
          <w:rFonts w:ascii="Times New Roman" w:eastAsia="Calibri" w:hAnsi="Times New Roman" w:cs="Times New Roman"/>
        </w:rPr>
        <w:t xml:space="preserve"> Order, No. 2. </w:t>
      </w:r>
    </w:p>
  </w:footnote>
  <w:footnote w:id="32">
    <w:p w14:paraId="492E5DDA" w14:textId="130968DE" w:rsidR="005E6FA3" w:rsidRPr="005E6FA3" w:rsidRDefault="005E6FA3" w:rsidP="00386EAC">
      <w:pPr>
        <w:pStyle w:val="FootnoteText"/>
        <w:jc w:val="both"/>
      </w:pPr>
      <w:r w:rsidRPr="00683207">
        <w:rPr>
          <w:rStyle w:val="FootnoteReference"/>
          <w:rFonts w:ascii="Times New Roman" w:hAnsi="Times New Roman" w:cs="Times New Roman"/>
        </w:rPr>
        <w:footnoteRef/>
      </w:r>
      <w:r w:rsidRPr="00683207">
        <w:rPr>
          <w:rFonts w:ascii="Times New Roman" w:hAnsi="Times New Roman" w:cs="Times New Roman"/>
        </w:rPr>
        <w:t xml:space="preserve"> </w:t>
      </w:r>
      <w:r w:rsidR="00683207" w:rsidRPr="00194502">
        <w:rPr>
          <w:rFonts w:ascii="Times New Roman" w:hAnsi="Times New Roman" w:cs="Times New Roman"/>
          <w:lang w:val="en-US"/>
        </w:rPr>
        <w:t xml:space="preserve">Privacy Protection Regulations (Instructions for Data that was Transferred to Israel from the European Economic Area), 5783-2023, published in the </w:t>
      </w:r>
      <w:r w:rsidR="00683207">
        <w:rPr>
          <w:rFonts w:ascii="Times New Roman" w:hAnsi="Times New Roman" w:cs="Times New Roman"/>
          <w:lang w:val="en-US"/>
        </w:rPr>
        <w:t>Israeli Official</w:t>
      </w:r>
      <w:r w:rsidR="00683207" w:rsidRPr="00194502">
        <w:rPr>
          <w:rFonts w:ascii="Times New Roman" w:hAnsi="Times New Roman" w:cs="Times New Roman"/>
          <w:lang w:val="en-US"/>
        </w:rPr>
        <w:t xml:space="preserve"> Gazette (</w:t>
      </w:r>
      <w:r w:rsidR="00683207" w:rsidRPr="00794AD7">
        <w:rPr>
          <w:rFonts w:ascii="Times New Roman" w:hAnsi="Times New Roman" w:cs="Times New Roman"/>
          <w:i/>
          <w:iCs/>
          <w:lang w:val="en-US"/>
        </w:rPr>
        <w:t>Reshumut</w:t>
      </w:r>
      <w:r w:rsidR="00683207" w:rsidRPr="00194502">
        <w:rPr>
          <w:rFonts w:ascii="Times New Roman" w:hAnsi="Times New Roman" w:cs="Times New Roman"/>
          <w:lang w:val="en-US"/>
        </w:rPr>
        <w:t>) on 7 May 2023</w:t>
      </w:r>
      <w:r w:rsidR="00683207">
        <w:rPr>
          <w:rFonts w:ascii="Times New Roman" w:hAnsi="Times New Roman" w:cs="Times New Roman"/>
          <w:lang w:val="en-US"/>
        </w:rPr>
        <w:t>.</w:t>
      </w:r>
    </w:p>
  </w:footnote>
  <w:footnote w:id="33">
    <w:p w14:paraId="118DCD7E" w14:textId="289B4586" w:rsidR="005B6B7D" w:rsidRPr="00715516" w:rsidRDefault="005B6B7D" w:rsidP="00386EAC">
      <w:pPr>
        <w:pStyle w:val="FootnoteText"/>
        <w:jc w:val="both"/>
        <w:rPr>
          <w:rFonts w:ascii="Times New Roman" w:hAnsi="Times New Roman" w:cs="Times New Roman"/>
        </w:rPr>
      </w:pPr>
      <w:r w:rsidRPr="00715516">
        <w:rPr>
          <w:rStyle w:val="FootnoteReference"/>
          <w:rFonts w:ascii="Times New Roman" w:hAnsi="Times New Roman" w:cs="Times New Roman"/>
        </w:rPr>
        <w:footnoteRef/>
      </w:r>
      <w:r w:rsidRPr="00715516">
        <w:rPr>
          <w:rFonts w:ascii="Times New Roman" w:hAnsi="Times New Roman" w:cs="Times New Roman"/>
        </w:rPr>
        <w:t xml:space="preserve"> </w:t>
      </w:r>
      <w:r>
        <w:rPr>
          <w:rFonts w:ascii="Times New Roman" w:hAnsi="Times New Roman" w:cs="Times New Roman"/>
        </w:rPr>
        <w:t xml:space="preserve">See, </w:t>
      </w:r>
      <w:r w:rsidR="00543CCA">
        <w:rPr>
          <w:rFonts w:ascii="Times New Roman" w:hAnsi="Times New Roman" w:cs="Times New Roman"/>
        </w:rPr>
        <w:t>e.g.</w:t>
      </w:r>
      <w:r>
        <w:rPr>
          <w:rFonts w:ascii="Times New Roman" w:hAnsi="Times New Roman" w:cs="Times New Roman"/>
        </w:rPr>
        <w:t xml:space="preserve">, </w:t>
      </w:r>
      <w:r w:rsidRPr="00715516">
        <w:rPr>
          <w:rFonts w:ascii="Times New Roman" w:hAnsi="Times New Roman" w:cs="Times New Roman"/>
        </w:rPr>
        <w:t>European Parliament resolution of 25 March 2021 on the Commission evaluation report on the implementation of the General Data Protection Regulation two years after its application (2020/2717(RSP)</w:t>
      </w:r>
      <w:r>
        <w:rPr>
          <w:rFonts w:ascii="Times New Roman" w:hAnsi="Times New Roman" w:cs="Times New Roman"/>
        </w:rPr>
        <w:t xml:space="preserve">, available at the following link: </w:t>
      </w:r>
      <w:hyperlink r:id="rId5" w:history="1">
        <w:r w:rsidRPr="00767387">
          <w:rPr>
            <w:rStyle w:val="Hyperlink"/>
            <w:rFonts w:ascii="Times New Roman" w:hAnsi="Times New Roman" w:cs="Times New Roman"/>
          </w:rPr>
          <w:t>https://www.europarl.europa.eu/doceo/document/TA-9-2021-0111_EN.html</w:t>
        </w:r>
      </w:hyperlink>
      <w:r>
        <w:rPr>
          <w:rFonts w:ascii="Times New Roman" w:hAnsi="Times New Roman" w:cs="Times New Roman"/>
        </w:rPr>
        <w:t xml:space="preserve">. </w:t>
      </w:r>
    </w:p>
  </w:footnote>
  <w:footnote w:id="34">
    <w:p w14:paraId="0811154C" w14:textId="67C6E55E" w:rsidR="005B6B7D" w:rsidRPr="00715516" w:rsidRDefault="005B6B7D" w:rsidP="00386EAC">
      <w:pPr>
        <w:pStyle w:val="FootnoteText"/>
        <w:jc w:val="both"/>
        <w:rPr>
          <w:rFonts w:ascii="Times New Roman" w:hAnsi="Times New Roman" w:cs="Times New Roman"/>
        </w:rPr>
      </w:pPr>
      <w:r w:rsidRPr="00715516">
        <w:rPr>
          <w:rStyle w:val="FootnoteReference"/>
          <w:rFonts w:ascii="Times New Roman" w:hAnsi="Times New Roman" w:cs="Times New Roman"/>
        </w:rPr>
        <w:footnoteRef/>
      </w:r>
      <w:r w:rsidRPr="00715516">
        <w:rPr>
          <w:rFonts w:ascii="Times New Roman" w:hAnsi="Times New Roman" w:cs="Times New Roman"/>
        </w:rPr>
        <w:t xml:space="preserve"> </w:t>
      </w:r>
      <w:r>
        <w:rPr>
          <w:rFonts w:ascii="Times New Roman" w:hAnsi="Times New Roman" w:cs="Times New Roman"/>
        </w:rPr>
        <w:t xml:space="preserve">See, </w:t>
      </w:r>
      <w:r w:rsidR="00543CCA">
        <w:rPr>
          <w:rFonts w:ascii="Times New Roman" w:hAnsi="Times New Roman" w:cs="Times New Roman"/>
        </w:rPr>
        <w:t>e.g.</w:t>
      </w:r>
      <w:r>
        <w:rPr>
          <w:rFonts w:ascii="Times New Roman" w:hAnsi="Times New Roman" w:cs="Times New Roman"/>
        </w:rPr>
        <w:t xml:space="preserve">, </w:t>
      </w:r>
      <w:r w:rsidRPr="00715516">
        <w:rPr>
          <w:rFonts w:ascii="Times New Roman" w:hAnsi="Times New Roman" w:cs="Times New Roman"/>
        </w:rPr>
        <w:t xml:space="preserve">Council position and findings on the application of the General Data Protection Regulation (GDPR), adopted on 19 December 2019, available at the following link: </w:t>
      </w:r>
      <w:hyperlink r:id="rId6" w:history="1">
        <w:r w:rsidRPr="00715516">
          <w:rPr>
            <w:rStyle w:val="Hyperlink"/>
            <w:rFonts w:ascii="Times New Roman" w:hAnsi="Times New Roman" w:cs="Times New Roman"/>
          </w:rPr>
          <w:t>https://data.consilium.europa.eu/doc/document/ST-14994-2019-REV-1/en/pdf</w:t>
        </w:r>
      </w:hyperlink>
      <w:r w:rsidRPr="00715516">
        <w:rPr>
          <w:rFonts w:ascii="Times New Roman" w:hAnsi="Times New Roman" w:cs="Times New Roman"/>
        </w:rPr>
        <w:t xml:space="preserve">. </w:t>
      </w:r>
    </w:p>
  </w:footnote>
  <w:footnote w:id="35">
    <w:p w14:paraId="126AB2C5" w14:textId="2D3CC314" w:rsidR="005B6B7D" w:rsidRPr="00683207" w:rsidRDefault="005B6B7D" w:rsidP="00386EAC">
      <w:pPr>
        <w:pStyle w:val="FootnoteText"/>
        <w:jc w:val="both"/>
        <w:rPr>
          <w:rFonts w:ascii="Times New Roman" w:hAnsi="Times New Roman" w:cs="Times New Roman"/>
        </w:rPr>
      </w:pPr>
      <w:r w:rsidRPr="00683207">
        <w:rPr>
          <w:rStyle w:val="FootnoteReference"/>
          <w:rFonts w:ascii="Times New Roman" w:hAnsi="Times New Roman" w:cs="Times New Roman"/>
        </w:rPr>
        <w:footnoteRef/>
      </w:r>
      <w:r w:rsidRPr="00683207">
        <w:rPr>
          <w:rFonts w:ascii="Times New Roman" w:hAnsi="Times New Roman" w:cs="Times New Roman"/>
        </w:rPr>
        <w:t xml:space="preserve"> </w:t>
      </w:r>
      <w:r>
        <w:rPr>
          <w:rFonts w:ascii="Times New Roman" w:hAnsi="Times New Roman" w:cs="Times New Roman"/>
        </w:rPr>
        <w:t>See e.g. c</w:t>
      </w:r>
      <w:r w:rsidRPr="00683207">
        <w:rPr>
          <w:rFonts w:ascii="Times New Roman" w:hAnsi="Times New Roman" w:cs="Times New Roman"/>
        </w:rPr>
        <w:t xml:space="preserve">ontribution of the EDPB to the evaluation of the GDPR under Article 97, adopted on 18 February 2020, available at the following link: </w:t>
      </w:r>
      <w:hyperlink r:id="rId7" w:history="1">
        <w:r w:rsidRPr="00683207">
          <w:rPr>
            <w:rStyle w:val="Hyperlink"/>
            <w:rFonts w:ascii="Times New Roman" w:hAnsi="Times New Roman" w:cs="Times New Roman"/>
          </w:rPr>
          <w:t>https://edpb.europa.eu/sites/default/files/files/file1/edpb_contributiongdprevaluation_20200218.pdf</w:t>
        </w:r>
      </w:hyperlink>
      <w:r w:rsidRPr="00683207">
        <w:rPr>
          <w:rFonts w:ascii="Times New Roman" w:hAnsi="Times New Roman" w:cs="Times New Roman"/>
        </w:rPr>
        <w:t xml:space="preserve">. </w:t>
      </w:r>
    </w:p>
  </w:footnote>
  <w:footnote w:id="36">
    <w:p w14:paraId="4BAFFCB4" w14:textId="54E34279" w:rsidR="008515FD" w:rsidRPr="008515FD" w:rsidRDefault="008515FD" w:rsidP="00386EAC">
      <w:pPr>
        <w:pStyle w:val="FootnoteText"/>
        <w:jc w:val="both"/>
        <w:rPr>
          <w:rFonts w:ascii="Times New Roman" w:hAnsi="Times New Roman" w:cs="Times New Roman"/>
        </w:rPr>
      </w:pPr>
      <w:r w:rsidRPr="008515FD">
        <w:rPr>
          <w:rStyle w:val="FootnoteReference"/>
          <w:rFonts w:ascii="Times New Roman" w:hAnsi="Times New Roman" w:cs="Times New Roman"/>
        </w:rPr>
        <w:footnoteRef/>
      </w:r>
      <w:r w:rsidRPr="008515FD">
        <w:rPr>
          <w:rFonts w:ascii="Times New Roman" w:hAnsi="Times New Roman" w:cs="Times New Roman"/>
        </w:rPr>
        <w:t xml:space="preserve"> </w:t>
      </w:r>
      <w:r w:rsidRPr="00F511EA">
        <w:rPr>
          <w:rFonts w:ascii="Times New Roman" w:hAnsi="Times New Roman" w:cs="Times New Roman"/>
          <w:lang w:val="en-IE"/>
        </w:rPr>
        <w:t>See</w:t>
      </w:r>
      <w:r w:rsidR="00543CCA" w:rsidRPr="00F511EA">
        <w:rPr>
          <w:rFonts w:ascii="Times New Roman" w:hAnsi="Times New Roman" w:cs="Times New Roman"/>
          <w:lang w:val="en-IE"/>
        </w:rPr>
        <w:t>,</w:t>
      </w:r>
      <w:r w:rsidRPr="00F511EA">
        <w:rPr>
          <w:rFonts w:ascii="Times New Roman" w:hAnsi="Times New Roman" w:cs="Times New Roman"/>
          <w:lang w:val="en-IE"/>
        </w:rPr>
        <w:t xml:space="preserve"> e.g.</w:t>
      </w:r>
      <w:r w:rsidR="00543CCA" w:rsidRPr="00F511EA">
        <w:rPr>
          <w:rFonts w:ascii="Times New Roman" w:hAnsi="Times New Roman" w:cs="Times New Roman"/>
          <w:lang w:val="en-IE"/>
        </w:rPr>
        <w:t>,</w:t>
      </w:r>
      <w:r w:rsidRPr="00F511EA">
        <w:rPr>
          <w:rFonts w:ascii="Times New Roman" w:hAnsi="Times New Roman" w:cs="Times New Roman"/>
          <w:lang w:val="en-IE"/>
        </w:rPr>
        <w:t xml:space="preserve"> the report from the Multistakeholder Expert Group on the GDPR evaluation, available at the following link: https://ec.europa.eu/transparency/expert-groups-register/screen/meetings/consult?lang=en&amp;do=groupDetail.groupMeeting&amp;meetingId=21356.</w:t>
      </w:r>
    </w:p>
  </w:footnote>
  <w:footnote w:id="37">
    <w:p w14:paraId="6BD0C50C" w14:textId="77777777" w:rsidR="00BC7933" w:rsidRPr="00441ED2" w:rsidRDefault="00BC7933" w:rsidP="00386EAC">
      <w:pPr>
        <w:pStyle w:val="FootnoteText"/>
        <w:jc w:val="both"/>
        <w:rPr>
          <w:rFonts w:ascii="Times New Roman" w:hAnsi="Times New Roman" w:cs="Times New Roman"/>
          <w:lang w:val="en-IE"/>
        </w:rPr>
      </w:pPr>
      <w:r w:rsidRPr="00441ED2">
        <w:rPr>
          <w:rStyle w:val="FootnoteReference"/>
          <w:rFonts w:ascii="Times New Roman" w:hAnsi="Times New Roman" w:cs="Times New Roman"/>
        </w:rPr>
        <w:footnoteRef/>
      </w:r>
      <w:r w:rsidRPr="00441ED2">
        <w:rPr>
          <w:rFonts w:ascii="Times New Roman" w:hAnsi="Times New Roman" w:cs="Times New Roman"/>
        </w:rPr>
        <w:t xml:space="preserve">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990BA" w14:textId="77777777" w:rsidR="009C2F4B" w:rsidRPr="009C2F4B" w:rsidRDefault="009C2F4B" w:rsidP="009C2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7480" w14:textId="77777777" w:rsidR="009C2F4B" w:rsidRPr="009C2F4B" w:rsidRDefault="009C2F4B" w:rsidP="009C2F4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71E3" w14:textId="77777777" w:rsidR="009C2F4B" w:rsidRPr="009C2F4B" w:rsidRDefault="009C2F4B" w:rsidP="009C2F4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B8046" w14:textId="77777777" w:rsidR="00BC7933" w:rsidRDefault="00BC79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AE031" w14:textId="53A4B1C7" w:rsidR="00BC7933" w:rsidRDefault="00BC79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E34B" w14:textId="77777777" w:rsidR="00BC7933" w:rsidRDefault="00BC7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A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F91C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3A6AEB"/>
    <w:multiLevelType w:val="hybridMultilevel"/>
    <w:tmpl w:val="22D234B4"/>
    <w:lvl w:ilvl="0" w:tplc="E4C043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C0573"/>
    <w:multiLevelType w:val="hybridMultilevel"/>
    <w:tmpl w:val="90F6A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05E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07076C"/>
    <w:multiLevelType w:val="hybridMultilevel"/>
    <w:tmpl w:val="D800F61A"/>
    <w:lvl w:ilvl="0" w:tplc="0409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5F40B5"/>
    <w:multiLevelType w:val="hybridMultilevel"/>
    <w:tmpl w:val="FC3C167E"/>
    <w:lvl w:ilvl="0" w:tplc="6A98EA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734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9629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19318A"/>
    <w:multiLevelType w:val="hybridMultilevel"/>
    <w:tmpl w:val="0FEE9846"/>
    <w:lvl w:ilvl="0" w:tplc="E4C0433E">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D0563"/>
    <w:multiLevelType w:val="hybridMultilevel"/>
    <w:tmpl w:val="B3EC16B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5E010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217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1211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DA0A4A"/>
    <w:multiLevelType w:val="hybridMultilevel"/>
    <w:tmpl w:val="1D98B5A0"/>
    <w:lvl w:ilvl="0" w:tplc="4816D4C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6E6D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8075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12"/>
  </w:num>
  <w:num w:numId="4">
    <w:abstractNumId w:val="3"/>
  </w:num>
  <w:num w:numId="5">
    <w:abstractNumId w:val="2"/>
  </w:num>
  <w:num w:numId="6">
    <w:abstractNumId w:val="5"/>
  </w:num>
  <w:num w:numId="7">
    <w:abstractNumId w:val="8"/>
  </w:num>
  <w:num w:numId="8">
    <w:abstractNumId w:val="7"/>
  </w:num>
  <w:num w:numId="9">
    <w:abstractNumId w:val="13"/>
  </w:num>
  <w:num w:numId="10">
    <w:abstractNumId w:val="11"/>
  </w:num>
  <w:num w:numId="11">
    <w:abstractNumId w:val="0"/>
  </w:num>
  <w:num w:numId="12">
    <w:abstractNumId w:val="1"/>
  </w:num>
  <w:num w:numId="13">
    <w:abstractNumId w:val="16"/>
  </w:num>
  <w:num w:numId="14">
    <w:abstractNumId w:val="15"/>
  </w:num>
  <w:num w:numId="15">
    <w:abstractNumId w:val="14"/>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6950450-B6F9-47A1-86AB-CC920CE0A2E1"/>
    <w:docVar w:name="LW_COVERPAGE_TYPE" w:val="1"/>
    <w:docVar w:name="LW_CROSSREFERENCE" w:val="{SWD(2024) 3 final}"/>
    <w:docVar w:name="LW_DocType" w:val="NORMAL"/>
    <w:docVar w:name="LW_EMISSION" w:val="15.1.2024"/>
    <w:docVar w:name="LW_EMISSION_ISODATE" w:val="2024-01-1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first review of the functioning of the adequacy decisions adopted pursuant to Article 25(6) of Directive 95/46/EC"/>
    <w:docVar w:name="LW_TYPE.DOC.CP" w:val="REPORT FROM THE COMMISSION TO THE EUROPEAN PARLIAMENT AND THE COUNCIL"/>
    <w:docVar w:name="LwApiVersions" w:val="LW4CoDe 1.23.2.0; LW 8.0, Build 20211117"/>
  </w:docVars>
  <w:rsids>
    <w:rsidRoot w:val="00667D18"/>
    <w:rsid w:val="000001CE"/>
    <w:rsid w:val="0000189D"/>
    <w:rsid w:val="00003830"/>
    <w:rsid w:val="000039C1"/>
    <w:rsid w:val="000123B4"/>
    <w:rsid w:val="0001246E"/>
    <w:rsid w:val="000217F7"/>
    <w:rsid w:val="00026B70"/>
    <w:rsid w:val="00043DAA"/>
    <w:rsid w:val="00046353"/>
    <w:rsid w:val="00050125"/>
    <w:rsid w:val="000706FB"/>
    <w:rsid w:val="000732B7"/>
    <w:rsid w:val="0009204C"/>
    <w:rsid w:val="00095044"/>
    <w:rsid w:val="000A245B"/>
    <w:rsid w:val="000A279A"/>
    <w:rsid w:val="000A2CF4"/>
    <w:rsid w:val="000B4C9D"/>
    <w:rsid w:val="000B5375"/>
    <w:rsid w:val="000D03BD"/>
    <w:rsid w:val="000D6E31"/>
    <w:rsid w:val="000E5CBA"/>
    <w:rsid w:val="000E6C96"/>
    <w:rsid w:val="000F3483"/>
    <w:rsid w:val="000F38F9"/>
    <w:rsid w:val="000F3F8C"/>
    <w:rsid w:val="000F463F"/>
    <w:rsid w:val="000F69AC"/>
    <w:rsid w:val="00105D4E"/>
    <w:rsid w:val="00105E22"/>
    <w:rsid w:val="0010650D"/>
    <w:rsid w:val="001078AC"/>
    <w:rsid w:val="0012492D"/>
    <w:rsid w:val="001378FA"/>
    <w:rsid w:val="0014059C"/>
    <w:rsid w:val="00142EDE"/>
    <w:rsid w:val="00145066"/>
    <w:rsid w:val="00145747"/>
    <w:rsid w:val="001550A9"/>
    <w:rsid w:val="001552F0"/>
    <w:rsid w:val="00155F04"/>
    <w:rsid w:val="001608E9"/>
    <w:rsid w:val="001669DB"/>
    <w:rsid w:val="001737AE"/>
    <w:rsid w:val="0017452C"/>
    <w:rsid w:val="00191DD6"/>
    <w:rsid w:val="00192680"/>
    <w:rsid w:val="001A0194"/>
    <w:rsid w:val="001B2CE0"/>
    <w:rsid w:val="001C2E03"/>
    <w:rsid w:val="001D6878"/>
    <w:rsid w:val="001F0143"/>
    <w:rsid w:val="001F0CEF"/>
    <w:rsid w:val="001F6976"/>
    <w:rsid w:val="001F7CD2"/>
    <w:rsid w:val="00203797"/>
    <w:rsid w:val="00213AF6"/>
    <w:rsid w:val="00220C1C"/>
    <w:rsid w:val="002245C6"/>
    <w:rsid w:val="00232BEA"/>
    <w:rsid w:val="00233E5C"/>
    <w:rsid w:val="00234D8C"/>
    <w:rsid w:val="002461EC"/>
    <w:rsid w:val="002464F9"/>
    <w:rsid w:val="00246CDE"/>
    <w:rsid w:val="00254C5E"/>
    <w:rsid w:val="0025582A"/>
    <w:rsid w:val="00266E26"/>
    <w:rsid w:val="00273098"/>
    <w:rsid w:val="00273D79"/>
    <w:rsid w:val="00275710"/>
    <w:rsid w:val="00293053"/>
    <w:rsid w:val="0029422D"/>
    <w:rsid w:val="002A192C"/>
    <w:rsid w:val="002A532D"/>
    <w:rsid w:val="002A6A97"/>
    <w:rsid w:val="002B18C4"/>
    <w:rsid w:val="002B261B"/>
    <w:rsid w:val="002B79E9"/>
    <w:rsid w:val="002B7A66"/>
    <w:rsid w:val="002C0F97"/>
    <w:rsid w:val="002C73D4"/>
    <w:rsid w:val="002D4796"/>
    <w:rsid w:val="002E06A3"/>
    <w:rsid w:val="002F73FF"/>
    <w:rsid w:val="003137DB"/>
    <w:rsid w:val="00320464"/>
    <w:rsid w:val="003214F7"/>
    <w:rsid w:val="00323C1A"/>
    <w:rsid w:val="0034284A"/>
    <w:rsid w:val="00376450"/>
    <w:rsid w:val="0038080A"/>
    <w:rsid w:val="00381AC0"/>
    <w:rsid w:val="003834E5"/>
    <w:rsid w:val="00386EAC"/>
    <w:rsid w:val="00393317"/>
    <w:rsid w:val="00395BAB"/>
    <w:rsid w:val="003A38A0"/>
    <w:rsid w:val="003C0606"/>
    <w:rsid w:val="003C3969"/>
    <w:rsid w:val="003C6692"/>
    <w:rsid w:val="003C6E57"/>
    <w:rsid w:val="003F0A4B"/>
    <w:rsid w:val="003F3F5B"/>
    <w:rsid w:val="003F54D2"/>
    <w:rsid w:val="004115CE"/>
    <w:rsid w:val="0041725F"/>
    <w:rsid w:val="004331EC"/>
    <w:rsid w:val="0043435C"/>
    <w:rsid w:val="00435285"/>
    <w:rsid w:val="00436EFF"/>
    <w:rsid w:val="00441ED2"/>
    <w:rsid w:val="004428C8"/>
    <w:rsid w:val="004509ED"/>
    <w:rsid w:val="004563B9"/>
    <w:rsid w:val="0047469F"/>
    <w:rsid w:val="004839A6"/>
    <w:rsid w:val="00492CFF"/>
    <w:rsid w:val="004A120D"/>
    <w:rsid w:val="004A1837"/>
    <w:rsid w:val="004B2EE2"/>
    <w:rsid w:val="004B4F9B"/>
    <w:rsid w:val="004C2542"/>
    <w:rsid w:val="004C3533"/>
    <w:rsid w:val="004D3896"/>
    <w:rsid w:val="004D59D8"/>
    <w:rsid w:val="004F086F"/>
    <w:rsid w:val="004F28C3"/>
    <w:rsid w:val="004F437F"/>
    <w:rsid w:val="0050294A"/>
    <w:rsid w:val="00507F09"/>
    <w:rsid w:val="005138A0"/>
    <w:rsid w:val="00513BC1"/>
    <w:rsid w:val="005146B3"/>
    <w:rsid w:val="005146CA"/>
    <w:rsid w:val="005233A3"/>
    <w:rsid w:val="00524C31"/>
    <w:rsid w:val="00526A8C"/>
    <w:rsid w:val="00530526"/>
    <w:rsid w:val="00543CCA"/>
    <w:rsid w:val="00553172"/>
    <w:rsid w:val="005559B1"/>
    <w:rsid w:val="005614C7"/>
    <w:rsid w:val="0056786B"/>
    <w:rsid w:val="00567A3D"/>
    <w:rsid w:val="00571488"/>
    <w:rsid w:val="00575706"/>
    <w:rsid w:val="00582F71"/>
    <w:rsid w:val="005868BE"/>
    <w:rsid w:val="005900CC"/>
    <w:rsid w:val="00592F4A"/>
    <w:rsid w:val="00594648"/>
    <w:rsid w:val="0059492F"/>
    <w:rsid w:val="00595F0C"/>
    <w:rsid w:val="005968CF"/>
    <w:rsid w:val="005B23FA"/>
    <w:rsid w:val="005B3097"/>
    <w:rsid w:val="005B589B"/>
    <w:rsid w:val="005B6B7D"/>
    <w:rsid w:val="005D3176"/>
    <w:rsid w:val="005D773E"/>
    <w:rsid w:val="005E35B0"/>
    <w:rsid w:val="005E6D61"/>
    <w:rsid w:val="005E6FA3"/>
    <w:rsid w:val="005E7108"/>
    <w:rsid w:val="005F7D72"/>
    <w:rsid w:val="00611281"/>
    <w:rsid w:val="006152C2"/>
    <w:rsid w:val="0063465C"/>
    <w:rsid w:val="0063683F"/>
    <w:rsid w:val="00640289"/>
    <w:rsid w:val="006416D7"/>
    <w:rsid w:val="006433F2"/>
    <w:rsid w:val="006576AD"/>
    <w:rsid w:val="00657F5C"/>
    <w:rsid w:val="006622E2"/>
    <w:rsid w:val="00665C85"/>
    <w:rsid w:val="00667D18"/>
    <w:rsid w:val="00672088"/>
    <w:rsid w:val="0068063B"/>
    <w:rsid w:val="00683207"/>
    <w:rsid w:val="0069421B"/>
    <w:rsid w:val="006A1D8E"/>
    <w:rsid w:val="006A65F0"/>
    <w:rsid w:val="006B4461"/>
    <w:rsid w:val="006B4E33"/>
    <w:rsid w:val="006C5D9E"/>
    <w:rsid w:val="006D3EC3"/>
    <w:rsid w:val="006D6B63"/>
    <w:rsid w:val="006E3FFE"/>
    <w:rsid w:val="006F643E"/>
    <w:rsid w:val="007003A4"/>
    <w:rsid w:val="007122CC"/>
    <w:rsid w:val="007139E7"/>
    <w:rsid w:val="00714968"/>
    <w:rsid w:val="00715516"/>
    <w:rsid w:val="007169C1"/>
    <w:rsid w:val="00717F1A"/>
    <w:rsid w:val="00724C86"/>
    <w:rsid w:val="00735E2E"/>
    <w:rsid w:val="00745A00"/>
    <w:rsid w:val="00752B41"/>
    <w:rsid w:val="00755447"/>
    <w:rsid w:val="00756FEB"/>
    <w:rsid w:val="00757A6B"/>
    <w:rsid w:val="00764772"/>
    <w:rsid w:val="00767327"/>
    <w:rsid w:val="00774B9F"/>
    <w:rsid w:val="00791DCE"/>
    <w:rsid w:val="00794AD7"/>
    <w:rsid w:val="00795264"/>
    <w:rsid w:val="007A379C"/>
    <w:rsid w:val="007C3AED"/>
    <w:rsid w:val="007F04BD"/>
    <w:rsid w:val="007F26DB"/>
    <w:rsid w:val="00802EF9"/>
    <w:rsid w:val="008074A0"/>
    <w:rsid w:val="00814046"/>
    <w:rsid w:val="008146C6"/>
    <w:rsid w:val="00832D54"/>
    <w:rsid w:val="0083381A"/>
    <w:rsid w:val="008515FD"/>
    <w:rsid w:val="0085566B"/>
    <w:rsid w:val="00856455"/>
    <w:rsid w:val="00883A32"/>
    <w:rsid w:val="008868C2"/>
    <w:rsid w:val="00891D7A"/>
    <w:rsid w:val="008A5A6E"/>
    <w:rsid w:val="008A7D71"/>
    <w:rsid w:val="008B5E9F"/>
    <w:rsid w:val="008B6F9D"/>
    <w:rsid w:val="008C008E"/>
    <w:rsid w:val="008C25BC"/>
    <w:rsid w:val="008E3CA8"/>
    <w:rsid w:val="008F128F"/>
    <w:rsid w:val="008F37F2"/>
    <w:rsid w:val="009038F4"/>
    <w:rsid w:val="009041FE"/>
    <w:rsid w:val="00907B5E"/>
    <w:rsid w:val="00917A4A"/>
    <w:rsid w:val="0092652A"/>
    <w:rsid w:val="0092779E"/>
    <w:rsid w:val="0093064C"/>
    <w:rsid w:val="0094031C"/>
    <w:rsid w:val="00947E1E"/>
    <w:rsid w:val="009564D0"/>
    <w:rsid w:val="00956C07"/>
    <w:rsid w:val="009767AF"/>
    <w:rsid w:val="00980597"/>
    <w:rsid w:val="00991640"/>
    <w:rsid w:val="009970F2"/>
    <w:rsid w:val="009B1E97"/>
    <w:rsid w:val="009B3FE5"/>
    <w:rsid w:val="009C008A"/>
    <w:rsid w:val="009C1903"/>
    <w:rsid w:val="009C2F4B"/>
    <w:rsid w:val="009C71A6"/>
    <w:rsid w:val="009D24C0"/>
    <w:rsid w:val="009D4C09"/>
    <w:rsid w:val="009D534C"/>
    <w:rsid w:val="009E4EE0"/>
    <w:rsid w:val="009F15B1"/>
    <w:rsid w:val="009F17CB"/>
    <w:rsid w:val="009F39E9"/>
    <w:rsid w:val="00A06156"/>
    <w:rsid w:val="00A1194C"/>
    <w:rsid w:val="00A141D8"/>
    <w:rsid w:val="00A20C4C"/>
    <w:rsid w:val="00A22C4D"/>
    <w:rsid w:val="00A23B96"/>
    <w:rsid w:val="00A25CFF"/>
    <w:rsid w:val="00A30010"/>
    <w:rsid w:val="00A33C0B"/>
    <w:rsid w:val="00A3676F"/>
    <w:rsid w:val="00A4614A"/>
    <w:rsid w:val="00A61B16"/>
    <w:rsid w:val="00A7218B"/>
    <w:rsid w:val="00A7280C"/>
    <w:rsid w:val="00A94921"/>
    <w:rsid w:val="00AA0975"/>
    <w:rsid w:val="00AA24B3"/>
    <w:rsid w:val="00AA24E0"/>
    <w:rsid w:val="00AA2E8A"/>
    <w:rsid w:val="00AA4BFB"/>
    <w:rsid w:val="00AA5E04"/>
    <w:rsid w:val="00AC0D14"/>
    <w:rsid w:val="00AC3A99"/>
    <w:rsid w:val="00AC4884"/>
    <w:rsid w:val="00AD3A2D"/>
    <w:rsid w:val="00AD3D6A"/>
    <w:rsid w:val="00AD723C"/>
    <w:rsid w:val="00AE6E7D"/>
    <w:rsid w:val="00AF0B02"/>
    <w:rsid w:val="00AF1EC1"/>
    <w:rsid w:val="00AF218D"/>
    <w:rsid w:val="00AF2A88"/>
    <w:rsid w:val="00AF4673"/>
    <w:rsid w:val="00B010C9"/>
    <w:rsid w:val="00B0197E"/>
    <w:rsid w:val="00B125BD"/>
    <w:rsid w:val="00B20292"/>
    <w:rsid w:val="00B20841"/>
    <w:rsid w:val="00B219E4"/>
    <w:rsid w:val="00B33406"/>
    <w:rsid w:val="00B35BFC"/>
    <w:rsid w:val="00B54885"/>
    <w:rsid w:val="00B55065"/>
    <w:rsid w:val="00B67F9A"/>
    <w:rsid w:val="00B706AF"/>
    <w:rsid w:val="00B74D79"/>
    <w:rsid w:val="00B753ED"/>
    <w:rsid w:val="00B91C72"/>
    <w:rsid w:val="00B93BDD"/>
    <w:rsid w:val="00B97E17"/>
    <w:rsid w:val="00BA22A2"/>
    <w:rsid w:val="00BA27B6"/>
    <w:rsid w:val="00BB2BE3"/>
    <w:rsid w:val="00BB2FD4"/>
    <w:rsid w:val="00BB4AB3"/>
    <w:rsid w:val="00BC3E2C"/>
    <w:rsid w:val="00BC7933"/>
    <w:rsid w:val="00BD0CF9"/>
    <w:rsid w:val="00BD3755"/>
    <w:rsid w:val="00BD4F09"/>
    <w:rsid w:val="00BD7A98"/>
    <w:rsid w:val="00BE6CFF"/>
    <w:rsid w:val="00BF7E64"/>
    <w:rsid w:val="00C05627"/>
    <w:rsid w:val="00C06E9D"/>
    <w:rsid w:val="00C06F96"/>
    <w:rsid w:val="00C17659"/>
    <w:rsid w:val="00C33EA5"/>
    <w:rsid w:val="00C340E4"/>
    <w:rsid w:val="00C41ADD"/>
    <w:rsid w:val="00C453AD"/>
    <w:rsid w:val="00C474AB"/>
    <w:rsid w:val="00C56FAB"/>
    <w:rsid w:val="00C60B8F"/>
    <w:rsid w:val="00C716FD"/>
    <w:rsid w:val="00C718A2"/>
    <w:rsid w:val="00C72F5C"/>
    <w:rsid w:val="00C846D6"/>
    <w:rsid w:val="00C86F67"/>
    <w:rsid w:val="00C97B01"/>
    <w:rsid w:val="00CB0159"/>
    <w:rsid w:val="00CB3EC2"/>
    <w:rsid w:val="00CB40E8"/>
    <w:rsid w:val="00CC7AFF"/>
    <w:rsid w:val="00CE6F9C"/>
    <w:rsid w:val="00CE7BC2"/>
    <w:rsid w:val="00CF6DD9"/>
    <w:rsid w:val="00D0225B"/>
    <w:rsid w:val="00D03416"/>
    <w:rsid w:val="00D052D1"/>
    <w:rsid w:val="00D105E9"/>
    <w:rsid w:val="00D12DCE"/>
    <w:rsid w:val="00D404A3"/>
    <w:rsid w:val="00D526F1"/>
    <w:rsid w:val="00D53529"/>
    <w:rsid w:val="00D60672"/>
    <w:rsid w:val="00D63480"/>
    <w:rsid w:val="00D64F0E"/>
    <w:rsid w:val="00D828AB"/>
    <w:rsid w:val="00D855DD"/>
    <w:rsid w:val="00D865F4"/>
    <w:rsid w:val="00D93658"/>
    <w:rsid w:val="00D93770"/>
    <w:rsid w:val="00DA65F8"/>
    <w:rsid w:val="00DA73C8"/>
    <w:rsid w:val="00DA7B1F"/>
    <w:rsid w:val="00DB0CF1"/>
    <w:rsid w:val="00DC0AC5"/>
    <w:rsid w:val="00DC0C51"/>
    <w:rsid w:val="00DC2976"/>
    <w:rsid w:val="00DC3C2F"/>
    <w:rsid w:val="00DC5720"/>
    <w:rsid w:val="00DC59CC"/>
    <w:rsid w:val="00DD63B5"/>
    <w:rsid w:val="00DF0190"/>
    <w:rsid w:val="00DF06AF"/>
    <w:rsid w:val="00DF073E"/>
    <w:rsid w:val="00DF1C16"/>
    <w:rsid w:val="00E072BC"/>
    <w:rsid w:val="00E11436"/>
    <w:rsid w:val="00E144D5"/>
    <w:rsid w:val="00E14F52"/>
    <w:rsid w:val="00E21E27"/>
    <w:rsid w:val="00E277E9"/>
    <w:rsid w:val="00E307DE"/>
    <w:rsid w:val="00E3140F"/>
    <w:rsid w:val="00E32DFE"/>
    <w:rsid w:val="00E40A18"/>
    <w:rsid w:val="00E4324E"/>
    <w:rsid w:val="00E44859"/>
    <w:rsid w:val="00E52B99"/>
    <w:rsid w:val="00E648FB"/>
    <w:rsid w:val="00E6541A"/>
    <w:rsid w:val="00E65C47"/>
    <w:rsid w:val="00E70112"/>
    <w:rsid w:val="00E72C2F"/>
    <w:rsid w:val="00E74435"/>
    <w:rsid w:val="00E80626"/>
    <w:rsid w:val="00E82109"/>
    <w:rsid w:val="00E830CA"/>
    <w:rsid w:val="00E849F4"/>
    <w:rsid w:val="00E87C84"/>
    <w:rsid w:val="00E96A88"/>
    <w:rsid w:val="00EA58F8"/>
    <w:rsid w:val="00EB4FA0"/>
    <w:rsid w:val="00ED154F"/>
    <w:rsid w:val="00ED1ADA"/>
    <w:rsid w:val="00ED521B"/>
    <w:rsid w:val="00ED5E42"/>
    <w:rsid w:val="00EE14A3"/>
    <w:rsid w:val="00EF356E"/>
    <w:rsid w:val="00F23709"/>
    <w:rsid w:val="00F3187D"/>
    <w:rsid w:val="00F408FE"/>
    <w:rsid w:val="00F4430F"/>
    <w:rsid w:val="00F5036F"/>
    <w:rsid w:val="00F511EA"/>
    <w:rsid w:val="00F571F0"/>
    <w:rsid w:val="00F663FC"/>
    <w:rsid w:val="00F93FBE"/>
    <w:rsid w:val="00F9431B"/>
    <w:rsid w:val="00F97E52"/>
    <w:rsid w:val="00FA1A91"/>
    <w:rsid w:val="00FA5628"/>
    <w:rsid w:val="00FA7A7B"/>
    <w:rsid w:val="00FB37E8"/>
    <w:rsid w:val="00FC1C3E"/>
    <w:rsid w:val="00FC4B46"/>
    <w:rsid w:val="00FC6A83"/>
    <w:rsid w:val="00FC79B2"/>
    <w:rsid w:val="00FD1C06"/>
    <w:rsid w:val="00FF1BAE"/>
    <w:rsid w:val="00FF2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4011FC"/>
  <w15:chartTrackingRefBased/>
  <w15:docId w15:val="{6D5F10DE-5642-44D4-9FAC-D3476C5D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2F0"/>
  </w:style>
  <w:style w:type="paragraph" w:styleId="Heading1">
    <w:name w:val="heading 1"/>
    <w:basedOn w:val="Normal"/>
    <w:next w:val="Normal"/>
    <w:link w:val="Heading1Char"/>
    <w:uiPriority w:val="9"/>
    <w:qFormat/>
    <w:rsid w:val="00441E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7D18"/>
    <w:pPr>
      <w:ind w:left="720"/>
      <w:contextualSpacing/>
    </w:pPr>
  </w:style>
  <w:style w:type="paragraph" w:styleId="Header">
    <w:name w:val="header"/>
    <w:basedOn w:val="Normal"/>
    <w:link w:val="HeaderChar"/>
    <w:uiPriority w:val="99"/>
    <w:unhideWhenUsed/>
    <w:rsid w:val="00523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3A3"/>
  </w:style>
  <w:style w:type="paragraph" w:styleId="Footer">
    <w:name w:val="footer"/>
    <w:basedOn w:val="Normal"/>
    <w:link w:val="FooterChar"/>
    <w:uiPriority w:val="99"/>
    <w:unhideWhenUsed/>
    <w:rsid w:val="00523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3A3"/>
  </w:style>
  <w:style w:type="paragraph" w:styleId="FootnoteText">
    <w:name w:val="footnote text"/>
    <w:basedOn w:val="Normal"/>
    <w:link w:val="FootnoteTextChar"/>
    <w:uiPriority w:val="99"/>
    <w:unhideWhenUsed/>
    <w:rsid w:val="00DA7B1F"/>
    <w:pPr>
      <w:spacing w:after="0" w:line="240" w:lineRule="auto"/>
    </w:pPr>
    <w:rPr>
      <w:sz w:val="20"/>
      <w:szCs w:val="20"/>
    </w:rPr>
  </w:style>
  <w:style w:type="character" w:customStyle="1" w:styleId="FootnoteTextChar">
    <w:name w:val="Footnote Text Char"/>
    <w:basedOn w:val="DefaultParagraphFont"/>
    <w:link w:val="FootnoteText"/>
    <w:uiPriority w:val="99"/>
    <w:rsid w:val="00DA7B1F"/>
    <w:rPr>
      <w:sz w:val="20"/>
      <w:szCs w:val="20"/>
    </w:rPr>
  </w:style>
  <w:style w:type="character" w:styleId="FootnoteReference">
    <w:name w:val="footnote reference"/>
    <w:basedOn w:val="DefaultParagraphFont"/>
    <w:uiPriority w:val="99"/>
    <w:unhideWhenUsed/>
    <w:rsid w:val="00DA7B1F"/>
    <w:rPr>
      <w:vertAlign w:val="superscript"/>
    </w:rPr>
  </w:style>
  <w:style w:type="character" w:styleId="Hyperlink">
    <w:name w:val="Hyperlink"/>
    <w:basedOn w:val="DefaultParagraphFont"/>
    <w:uiPriority w:val="99"/>
    <w:unhideWhenUsed/>
    <w:rsid w:val="0009204C"/>
    <w:rPr>
      <w:color w:val="0000FF" w:themeColor="hyperlink"/>
      <w:u w:val="single"/>
    </w:rPr>
  </w:style>
  <w:style w:type="character" w:styleId="FollowedHyperlink">
    <w:name w:val="FollowedHyperlink"/>
    <w:basedOn w:val="DefaultParagraphFont"/>
    <w:uiPriority w:val="99"/>
    <w:semiHidden/>
    <w:unhideWhenUsed/>
    <w:rsid w:val="0014059C"/>
    <w:rPr>
      <w:color w:val="800080" w:themeColor="followedHyperlink"/>
      <w:u w:val="single"/>
    </w:rPr>
  </w:style>
  <w:style w:type="paragraph" w:styleId="BalloonText">
    <w:name w:val="Balloon Text"/>
    <w:basedOn w:val="Normal"/>
    <w:link w:val="BalloonTextChar"/>
    <w:uiPriority w:val="99"/>
    <w:semiHidden/>
    <w:unhideWhenUsed/>
    <w:rsid w:val="00C60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B8F"/>
    <w:rPr>
      <w:rFonts w:ascii="Segoe UI" w:hAnsi="Segoe UI" w:cs="Segoe UI"/>
      <w:sz w:val="18"/>
      <w:szCs w:val="18"/>
    </w:rPr>
  </w:style>
  <w:style w:type="character" w:styleId="CommentReference">
    <w:name w:val="annotation reference"/>
    <w:basedOn w:val="DefaultParagraphFont"/>
    <w:uiPriority w:val="99"/>
    <w:semiHidden/>
    <w:unhideWhenUsed/>
    <w:rsid w:val="007F04BD"/>
    <w:rPr>
      <w:sz w:val="16"/>
      <w:szCs w:val="16"/>
    </w:rPr>
  </w:style>
  <w:style w:type="paragraph" w:styleId="CommentText">
    <w:name w:val="annotation text"/>
    <w:basedOn w:val="Normal"/>
    <w:link w:val="CommentTextChar"/>
    <w:uiPriority w:val="99"/>
    <w:unhideWhenUsed/>
    <w:rsid w:val="007F04BD"/>
    <w:pPr>
      <w:spacing w:line="240" w:lineRule="auto"/>
    </w:pPr>
    <w:rPr>
      <w:sz w:val="20"/>
      <w:szCs w:val="20"/>
    </w:rPr>
  </w:style>
  <w:style w:type="character" w:customStyle="1" w:styleId="CommentTextChar">
    <w:name w:val="Comment Text Char"/>
    <w:basedOn w:val="DefaultParagraphFont"/>
    <w:link w:val="CommentText"/>
    <w:uiPriority w:val="99"/>
    <w:rsid w:val="007F04BD"/>
    <w:rPr>
      <w:sz w:val="20"/>
      <w:szCs w:val="20"/>
    </w:rPr>
  </w:style>
  <w:style w:type="paragraph" w:styleId="CommentSubject">
    <w:name w:val="annotation subject"/>
    <w:basedOn w:val="CommentText"/>
    <w:next w:val="CommentText"/>
    <w:link w:val="CommentSubjectChar"/>
    <w:uiPriority w:val="99"/>
    <w:semiHidden/>
    <w:unhideWhenUsed/>
    <w:rsid w:val="007F04BD"/>
    <w:rPr>
      <w:b/>
      <w:bCs/>
    </w:rPr>
  </w:style>
  <w:style w:type="character" w:customStyle="1" w:styleId="CommentSubjectChar">
    <w:name w:val="Comment Subject Char"/>
    <w:basedOn w:val="CommentTextChar"/>
    <w:link w:val="CommentSubject"/>
    <w:uiPriority w:val="99"/>
    <w:semiHidden/>
    <w:rsid w:val="007F04BD"/>
    <w:rPr>
      <w:b/>
      <w:bCs/>
      <w:sz w:val="20"/>
      <w:szCs w:val="20"/>
    </w:rPr>
  </w:style>
  <w:style w:type="paragraph" w:styleId="Revision">
    <w:name w:val="Revision"/>
    <w:hidden/>
    <w:uiPriority w:val="99"/>
    <w:semiHidden/>
    <w:rsid w:val="005D773E"/>
    <w:pPr>
      <w:spacing w:after="0" w:line="240" w:lineRule="auto"/>
    </w:pPr>
  </w:style>
  <w:style w:type="character" w:customStyle="1" w:styleId="Marker">
    <w:name w:val="Marker"/>
    <w:basedOn w:val="DefaultParagraphFont"/>
    <w:rsid w:val="0085566B"/>
    <w:rPr>
      <w:color w:val="0000FF"/>
      <w:shd w:val="clear" w:color="auto" w:fill="auto"/>
    </w:rPr>
  </w:style>
  <w:style w:type="paragraph" w:customStyle="1" w:styleId="Pagedecouverture">
    <w:name w:val="Page de couverture"/>
    <w:basedOn w:val="Normal"/>
    <w:next w:val="Normal"/>
    <w:rsid w:val="0085566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5566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ListParagraphChar">
    <w:name w:val="List Paragraph Char"/>
    <w:basedOn w:val="DefaultParagraphFont"/>
    <w:link w:val="ListParagraph"/>
    <w:uiPriority w:val="34"/>
    <w:rsid w:val="0085566B"/>
  </w:style>
  <w:style w:type="character" w:customStyle="1" w:styleId="FooterCoverPageChar">
    <w:name w:val="Footer Cover Page Char"/>
    <w:basedOn w:val="ListParagraphChar"/>
    <w:link w:val="FooterCoverPage"/>
    <w:rsid w:val="0085566B"/>
    <w:rPr>
      <w:rFonts w:ascii="Times New Roman" w:hAnsi="Times New Roman" w:cs="Times New Roman"/>
      <w:sz w:val="24"/>
    </w:rPr>
  </w:style>
  <w:style w:type="paragraph" w:customStyle="1" w:styleId="FooterSensitivity">
    <w:name w:val="Footer Sensitivity"/>
    <w:basedOn w:val="Normal"/>
    <w:link w:val="FooterSensitivityChar"/>
    <w:rsid w:val="0085566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sid w:val="0085566B"/>
    <w:rPr>
      <w:rFonts w:ascii="Times New Roman" w:hAnsi="Times New Roman" w:cs="Times New Roman"/>
      <w:b/>
      <w:sz w:val="32"/>
    </w:rPr>
  </w:style>
  <w:style w:type="paragraph" w:customStyle="1" w:styleId="HeaderCoverPage">
    <w:name w:val="Header Cover Page"/>
    <w:basedOn w:val="Normal"/>
    <w:link w:val="HeaderCoverPageChar"/>
    <w:rsid w:val="0085566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ListParagraphChar"/>
    <w:link w:val="HeaderCoverPage"/>
    <w:rsid w:val="0085566B"/>
    <w:rPr>
      <w:rFonts w:ascii="Times New Roman" w:hAnsi="Times New Roman" w:cs="Times New Roman"/>
      <w:sz w:val="24"/>
    </w:rPr>
  </w:style>
  <w:style w:type="paragraph" w:customStyle="1" w:styleId="HeaderSensitivity">
    <w:name w:val="Header Sensitivity"/>
    <w:basedOn w:val="Normal"/>
    <w:link w:val="HeaderSensitivityChar"/>
    <w:rsid w:val="0085566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sid w:val="0085566B"/>
    <w:rPr>
      <w:rFonts w:ascii="Times New Roman" w:hAnsi="Times New Roman" w:cs="Times New Roman"/>
      <w:b/>
      <w:sz w:val="32"/>
    </w:rPr>
  </w:style>
  <w:style w:type="paragraph" w:customStyle="1" w:styleId="HeaderSensitivityRight">
    <w:name w:val="Header Sensitivity Right"/>
    <w:basedOn w:val="Normal"/>
    <w:link w:val="HeaderSensitivityRightChar"/>
    <w:rsid w:val="0085566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ListParagraphChar"/>
    <w:link w:val="HeaderSensitivityRight"/>
    <w:rsid w:val="0085566B"/>
    <w:rPr>
      <w:rFonts w:ascii="Times New Roman" w:hAnsi="Times New Roman" w:cs="Times New Roman"/>
      <w:sz w:val="28"/>
    </w:rPr>
  </w:style>
  <w:style w:type="paragraph" w:customStyle="1" w:styleId="Normal1">
    <w:name w:val="Normal1"/>
    <w:basedOn w:val="Normal"/>
    <w:rsid w:val="003214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
    <w:name w:val="Footnote"/>
    <w:basedOn w:val="FootnoteText"/>
    <w:rsid w:val="003834E5"/>
    <w:pPr>
      <w:ind w:left="284" w:hanging="284"/>
    </w:pPr>
    <w:rPr>
      <w:rFonts w:ascii="Times New Roman" w:hAnsi="Times New Roman" w:cs="Times New Roman"/>
      <w:lang w:val="en-US"/>
    </w:rPr>
  </w:style>
  <w:style w:type="character" w:customStyle="1" w:styleId="Heading1Char">
    <w:name w:val="Heading 1 Char"/>
    <w:basedOn w:val="DefaultParagraphFont"/>
    <w:link w:val="Heading1"/>
    <w:uiPriority w:val="9"/>
    <w:rsid w:val="00441ED2"/>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CB3EC2"/>
    <w:rPr>
      <w:color w:val="605E5C"/>
      <w:shd w:val="clear" w:color="auto" w:fill="E1DFDD"/>
    </w:rPr>
  </w:style>
  <w:style w:type="character" w:customStyle="1" w:styleId="num">
    <w:name w:val="num"/>
    <w:basedOn w:val="DefaultParagraphFont"/>
    <w:rsid w:val="0068063B"/>
  </w:style>
  <w:style w:type="paragraph" w:customStyle="1" w:styleId="Typedudocument">
    <w:name w:val="Type du document"/>
    <w:basedOn w:val="Normal"/>
    <w:next w:val="Normal"/>
    <w:rsid w:val="0063683F"/>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63683F"/>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wsroom/article29/item-detail.cfm?item_id=614108" TargetMode="External"/><Relationship Id="rId7" Type="http://schemas.openxmlformats.org/officeDocument/2006/relationships/hyperlink" Target="https://edpb.europa.eu/sites/default/files/files/file1/edpb_contributiongdprevaluation_20200218.pdf" TargetMode="External"/><Relationship Id="rId2" Type="http://schemas.openxmlformats.org/officeDocument/2006/relationships/hyperlink" Target="https://eur-lex.europa.eu/legal-content/EN/TXT/PDF/?uri=COM:2023:275:FIN" TargetMode="External"/><Relationship Id="rId1" Type="http://schemas.openxmlformats.org/officeDocument/2006/relationships/hyperlink" Target="https://ec.europa.eu/info/law/law-topic/data-protection/communication-two-years-application-general-data-protection-regulation_en" TargetMode="External"/><Relationship Id="rId6" Type="http://schemas.openxmlformats.org/officeDocument/2006/relationships/hyperlink" Target="https://data.consilium.europa.eu/doc/document/ST-14994-2019-REV-1/en/pdf" TargetMode="External"/><Relationship Id="rId5" Type="http://schemas.openxmlformats.org/officeDocument/2006/relationships/hyperlink" Target="https://www.europarl.europa.eu/doceo/document/TA-9-2021-0111_EN.html" TargetMode="External"/><Relationship Id="rId4" Type="http://schemas.openxmlformats.org/officeDocument/2006/relationships/hyperlink" Target="https://edpb.europa.eu/our-work-tools/our-documents/recommendations/recommendations-022020-european-essential-guarante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65C10-BCF8-4C5C-87A5-B439F201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6194</Words>
  <Characters>34997</Characters>
  <Application>Microsoft Office Word</Application>
  <DocSecurity>0</DocSecurity>
  <Lines>492</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dcterms:created xsi:type="dcterms:W3CDTF">2023-12-06T16:26:00Z</dcterms:created>
  <dcterms:modified xsi:type="dcterms:W3CDTF">2024-01-08T09:18:00Z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7.0.1, Build 20200226</vt:lpwstr>
  </property>
  <property fmtid="{D5CDD505-2E9C-101B-9397-08002B2CF9AE}" pid="9" name="MSIP_Label_6bd9ddd1-4d20-43f6-abfa-fc3c07406f94_Enabled">
    <vt:lpwstr>true</vt:lpwstr>
  </property>
  <property fmtid="{D5CDD505-2E9C-101B-9397-08002B2CF9AE}" pid="10" name="MSIP_Label_6bd9ddd1-4d20-43f6-abfa-fc3c07406f94_SetDate">
    <vt:lpwstr>2023-09-12T10:53:15Z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3cd8ef42-6fe8-4df3-8e5a-5c8b6042a6ad</vt:lpwstr>
  </property>
  <property fmtid="{D5CDD505-2E9C-101B-9397-08002B2CF9AE}" pid="15" name="MSIP_Label_6bd9ddd1-4d20-43f6-abfa-fc3c07406f94_ContentBits">
    <vt:lpwstr>0</vt:lpwstr>
  </property>
</Properties>
</file>