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FCB52" w14:textId="059B2AC6" w:rsidR="00B57580" w:rsidRPr="000F5848" w:rsidRDefault="0072154A" w:rsidP="0072154A">
      <w:pPr>
        <w:pStyle w:val="Pagedecouverture"/>
        <w:rPr>
          <w:noProof/>
        </w:rPr>
      </w:pPr>
      <w:bookmarkStart w:id="0" w:name="LW_BM_COVERPAGE"/>
      <w:r>
        <w:rPr>
          <w:noProof/>
        </w:rPr>
        <w:pict w14:anchorId="314A58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4DF89BB0-919F-48DC-86ED-D8BBC4D59B42" style="width:455.25pt;height:410.25pt">
            <v:imagedata r:id="rId8" o:title=""/>
          </v:shape>
        </w:pict>
      </w:r>
    </w:p>
    <w:bookmarkEnd w:id="0"/>
    <w:p w14:paraId="60F6053B" w14:textId="69436077" w:rsidR="00B57580" w:rsidRPr="000F5848" w:rsidRDefault="00B57580" w:rsidP="00B57580">
      <w:pPr>
        <w:rPr>
          <w:rFonts w:ascii="Times New Roman" w:hAnsi="Times New Roman" w:cs="Times New Roman"/>
          <w:noProof/>
        </w:rPr>
        <w:sectPr w:rsidR="00B57580" w:rsidRPr="000F5848" w:rsidSect="0072154A">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5D45212D" w14:textId="3EBE361A" w:rsidR="00470552" w:rsidRPr="000F5848" w:rsidRDefault="00470552" w:rsidP="00470552">
      <w:pPr>
        <w:pBdr>
          <w:top w:val="single" w:sz="4" w:space="1" w:color="auto"/>
          <w:left w:val="single" w:sz="4" w:space="4" w:color="auto"/>
          <w:bottom w:val="single" w:sz="4" w:space="1" w:color="auto"/>
          <w:right w:val="single" w:sz="4" w:space="10" w:color="auto"/>
        </w:pBdr>
        <w:jc w:val="center"/>
        <w:rPr>
          <w:rFonts w:ascii="Times New Roman" w:eastAsia="Times New Roman" w:hAnsi="Times New Roman" w:cs="Times New Roman"/>
          <w:b/>
          <w:bCs/>
          <w:noProof/>
        </w:rPr>
      </w:pPr>
      <w:bookmarkStart w:id="1" w:name="_GoBack"/>
      <w:bookmarkEnd w:id="1"/>
      <w:r>
        <w:rPr>
          <w:rFonts w:ascii="Times New Roman" w:hAnsi="Times New Roman"/>
          <w:b/>
          <w:noProof/>
        </w:rPr>
        <w:lastRenderedPageBreak/>
        <w:t>AZ EURÓPAI DEMOKRÁCIÁRÓL SZÓLÓ CSELEKVÉSI TERV (EDAP) VÉGREHAJTÁSA</w:t>
      </w:r>
    </w:p>
    <w:tbl>
      <w:tblPr>
        <w:tblStyle w:val="TableGrid"/>
        <w:tblW w:w="14487" w:type="dxa"/>
        <w:jc w:val="center"/>
        <w:tblLayout w:type="fixed"/>
        <w:tblLook w:val="04E0" w:firstRow="1" w:lastRow="1" w:firstColumn="1" w:lastColumn="0" w:noHBand="0" w:noVBand="1"/>
      </w:tblPr>
      <w:tblGrid>
        <w:gridCol w:w="2122"/>
        <w:gridCol w:w="2409"/>
        <w:gridCol w:w="9956"/>
      </w:tblGrid>
      <w:tr w:rsidR="00470552" w:rsidRPr="000F5848" w14:paraId="778FEC30" w14:textId="77777777" w:rsidTr="00E664BF">
        <w:trPr>
          <w:trHeight w:val="300"/>
          <w:tblHeader/>
          <w:jc w:val="center"/>
        </w:trPr>
        <w:tc>
          <w:tcPr>
            <w:tcW w:w="2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16A166" w14:textId="77777777" w:rsidR="00470552" w:rsidRPr="000F5848" w:rsidRDefault="00470552">
            <w:pPr>
              <w:spacing w:after="0"/>
              <w:rPr>
                <w:b/>
                <w:bCs/>
                <w:noProof/>
              </w:rPr>
            </w:pPr>
            <w:r>
              <w:rPr>
                <w:b/>
                <w:noProof/>
              </w:rPr>
              <w:t>EDAP-terület</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3AAF08" w14:textId="77777777" w:rsidR="00470552" w:rsidRPr="000F5848" w:rsidRDefault="00470552">
            <w:pPr>
              <w:spacing w:after="0"/>
              <w:rPr>
                <w:b/>
                <w:bCs/>
                <w:noProof/>
              </w:rPr>
            </w:pPr>
            <w:r>
              <w:rPr>
                <w:b/>
                <w:noProof/>
              </w:rPr>
              <w:t>Célkitűzések és fellépések</w:t>
            </w:r>
          </w:p>
          <w:p w14:paraId="49598BBD" w14:textId="77777777" w:rsidR="00470552" w:rsidRPr="000F5848" w:rsidRDefault="00470552">
            <w:pPr>
              <w:spacing w:after="0"/>
              <w:rPr>
                <w:b/>
                <w:noProof/>
              </w:rPr>
            </w:pPr>
          </w:p>
        </w:tc>
        <w:tc>
          <w:tcPr>
            <w:tcW w:w="9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52B698" w14:textId="77777777" w:rsidR="00470552" w:rsidRPr="000F5848" w:rsidRDefault="00470552">
            <w:pPr>
              <w:spacing w:after="0"/>
              <w:rPr>
                <w:b/>
                <w:bCs/>
                <w:noProof/>
              </w:rPr>
            </w:pPr>
            <w:r>
              <w:rPr>
                <w:b/>
                <w:noProof/>
              </w:rPr>
              <w:t>Aktuális helyzet/Eredmények</w:t>
            </w:r>
          </w:p>
          <w:p w14:paraId="7F338C07" w14:textId="4E76F5B0" w:rsidR="00470552" w:rsidRPr="000F5848" w:rsidRDefault="00470552">
            <w:pPr>
              <w:spacing w:after="0"/>
              <w:rPr>
                <w:i/>
                <w:iCs/>
                <w:noProof/>
              </w:rPr>
            </w:pPr>
          </w:p>
        </w:tc>
      </w:tr>
      <w:tr w:rsidR="00470552" w:rsidRPr="00CA5190" w14:paraId="674FCD66" w14:textId="77777777" w:rsidTr="00E664BF">
        <w:trPr>
          <w:trHeight w:val="1562"/>
          <w:jc w:val="center"/>
        </w:trPr>
        <w:tc>
          <w:tcPr>
            <w:tcW w:w="2122" w:type="dxa"/>
            <w:vMerge w:val="restart"/>
            <w:tcBorders>
              <w:left w:val="single" w:sz="4" w:space="0" w:color="auto"/>
              <w:right w:val="single" w:sz="4" w:space="0" w:color="auto"/>
            </w:tcBorders>
            <w:shd w:val="clear" w:color="auto" w:fill="70AD47" w:themeFill="accent6"/>
          </w:tcPr>
          <w:p w14:paraId="6764F32F" w14:textId="77777777" w:rsidR="00470552" w:rsidRPr="000F5848" w:rsidRDefault="00470552">
            <w:pPr>
              <w:rPr>
                <w:b/>
                <w:bCs/>
                <w:i/>
                <w:iCs/>
                <w:noProof/>
              </w:rPr>
            </w:pPr>
            <w:r>
              <w:rPr>
                <w:b/>
                <w:i/>
                <w:noProof/>
              </w:rPr>
              <w:t>A választások integritásának védelme és a demokratikus részvétel előmozdítása</w:t>
            </w:r>
          </w:p>
          <w:p w14:paraId="26D234C2" w14:textId="77777777" w:rsidR="00470552" w:rsidRPr="000F5848" w:rsidRDefault="00470552">
            <w:pPr>
              <w:jc w:val="center"/>
              <w:rPr>
                <w:i/>
                <w:iCs/>
                <w:noProof/>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93EB26B" w14:textId="77777777" w:rsidR="00470552" w:rsidRPr="000F5848" w:rsidRDefault="00470552">
            <w:pPr>
              <w:rPr>
                <w:i/>
                <w:iCs/>
                <w:noProof/>
              </w:rPr>
            </w:pPr>
            <w:r>
              <w:rPr>
                <w:i/>
                <w:noProof/>
              </w:rPr>
              <w:t xml:space="preserve">Javaslat egy olyan </w:t>
            </w:r>
            <w:r>
              <w:rPr>
                <w:b/>
                <w:i/>
                <w:noProof/>
              </w:rPr>
              <w:t>jogszabályra, amely átláthatóbbá teszi</w:t>
            </w:r>
            <w:r>
              <w:rPr>
                <w:i/>
                <w:noProof/>
              </w:rPr>
              <w:t xml:space="preserve"> a politikai kontextusban szponzorált tartalmakat („politikai reklám”) </w:t>
            </w:r>
          </w:p>
          <w:p w14:paraId="254F98B3" w14:textId="77777777" w:rsidR="00470552" w:rsidRPr="000F5848" w:rsidRDefault="00470552">
            <w:pPr>
              <w:spacing w:line="254" w:lineRule="auto"/>
              <w:rPr>
                <w:noProof/>
              </w:rPr>
            </w:pPr>
          </w:p>
        </w:tc>
        <w:tc>
          <w:tcPr>
            <w:tcW w:w="9956" w:type="dxa"/>
            <w:tcBorders>
              <w:left w:val="single" w:sz="4" w:space="0" w:color="auto"/>
              <w:right w:val="single" w:sz="4" w:space="0" w:color="auto"/>
            </w:tcBorders>
            <w:shd w:val="clear" w:color="auto" w:fill="auto"/>
          </w:tcPr>
          <w:p w14:paraId="36414A34" w14:textId="12E46223" w:rsidR="00B9798D" w:rsidRPr="000F5848" w:rsidRDefault="00470552">
            <w:pPr>
              <w:pStyle w:val="paragraph"/>
              <w:spacing w:before="0" w:beforeAutospacing="0" w:after="120" w:afterAutospacing="0"/>
              <w:textAlignment w:val="baseline"/>
              <w:rPr>
                <w:noProof/>
                <w:sz w:val="20"/>
                <w:szCs w:val="20"/>
              </w:rPr>
            </w:pPr>
            <w:r>
              <w:rPr>
                <w:noProof/>
                <w:sz w:val="20"/>
              </w:rPr>
              <w:t xml:space="preserve">A </w:t>
            </w:r>
            <w:r>
              <w:rPr>
                <w:b/>
                <w:noProof/>
                <w:sz w:val="20"/>
              </w:rPr>
              <w:t>politikai reklám átláthatóságáról és targetálásáról szóló rendeletjavaslat</w:t>
            </w:r>
            <w:r>
              <w:rPr>
                <w:noProof/>
                <w:sz w:val="20"/>
              </w:rPr>
              <w:t xml:space="preserve"> elfogadására 2021. november 25-én került sor. Az intézményközi tárgyalások 2023. november 6-án zárultak le, és a társjogalkotók várhatóan 2024 elejére fogadják el hivatalosan a megállapodás szerinti álláspontot.</w:t>
            </w:r>
          </w:p>
          <w:p w14:paraId="7A6848AB" w14:textId="4E117AF4" w:rsidR="007B048E" w:rsidRPr="000F5848" w:rsidRDefault="00470552">
            <w:pPr>
              <w:pStyle w:val="paragraph"/>
              <w:spacing w:before="0" w:beforeAutospacing="0" w:after="120" w:afterAutospacing="0"/>
              <w:textAlignment w:val="baseline"/>
              <w:rPr>
                <w:noProof/>
                <w:sz w:val="20"/>
                <w:szCs w:val="20"/>
              </w:rPr>
            </w:pPr>
            <w:r>
              <w:rPr>
                <w:noProof/>
                <w:sz w:val="20"/>
              </w:rPr>
              <w:t>Az elfogadott kompromisszumos szöveg közös, magas szintű átláthatósági normát biztosít a politikaireklám-szolgáltatások számára valamennyi médiaformátum tekintetében, lehetővé téve a polgárok, a civil társadalom és a felelős hatóságok számára, hogy egyértelműen azonosítsák az ilyen reklámok forrását és célját, ezáltal biztosítva a jobb nyilvános ellenőrzést és elszámoltathatóságot. A javasolt intézkedések megerősítik a személyes adatok védelmét is, szigorúbb feltételeket és nagyobb átláthatóságot vezetnek be a politikai reklámok targetálása és megjelenítése tekintetében. Az ideiglenes megállapodás értelmében a személyes adatoknak az online politikai hirdetésekre való felhasználása csak akkor engedélyezhető, ha az adatokat az érintettől gyűjtötték, és ehhez kifejezett hozzájárulását adta; ehhez hozzátartozik a személyes adatok különleges kategóriáinak célzás (például vallás, etnikai származás vagy szexuális irányultság) céljából történő felhasználásának tilalma. Az új szabályok a rendszerint díjazás ellenében nyújtott politikai reklámokra, valamint a házon belül vagy politikai reklámkampány részeként készített politikai reklámokra vonatkoznak, különös tekintettel a szerkesztői felelősség alá tartozó tartalmak vagy a személyes nézetek kifejezésének védelmére, amelyek nem tartoznak a hatály alá. Emellett a politikai megállapodás előirányozza, hogy a Bizottság létrehozza az online politikai reklámok nyilvános európai adattárát. A külföldi beavatkozás kockázatának kezelése érdekében a rendelet megtiltja továbbá, hogy a nem uniós szereplők a választások előtt három hónappal reklámokat szponzoráljanak. Az európai politikai pártoknak és politikai csoportoknak az európai választási folyamatban betöltött szerepe is elismerést nyer egy erre vonatkozó megkülönböztetésmentességi záradék révén.</w:t>
            </w:r>
          </w:p>
          <w:p w14:paraId="1A71880E" w14:textId="3554E12D" w:rsidR="006A1143" w:rsidRPr="000F5848" w:rsidRDefault="006A1143" w:rsidP="001859F6">
            <w:pPr>
              <w:rPr>
                <w:noProof/>
              </w:rPr>
            </w:pPr>
            <w:r>
              <w:rPr>
                <w:noProof/>
              </w:rPr>
              <w:t xml:space="preserve">Az új szabályok a hatálybalépést követő 18 hónap elteltével lesznek alkalmazandók, míg a megkülönböztetésmentességi záradék és a fogalommeghatározások az európai választások előtt azonnal alkalmazandók lesznek. </w:t>
            </w:r>
          </w:p>
          <w:p w14:paraId="485D4BAC" w14:textId="77777777" w:rsidR="00470552" w:rsidRPr="000F5848" w:rsidRDefault="00470552">
            <w:pPr>
              <w:spacing w:after="120"/>
              <w:rPr>
                <w:noProof/>
              </w:rPr>
            </w:pPr>
            <w:r>
              <w:rPr>
                <w:i/>
                <w:noProof/>
                <w:u w:val="single"/>
              </w:rPr>
              <w:t>Hasznos linkek</w:t>
            </w:r>
            <w:r>
              <w:rPr>
                <w:i/>
                <w:noProof/>
              </w:rPr>
              <w:t>:</w:t>
            </w:r>
          </w:p>
          <w:p w14:paraId="3E2CE432" w14:textId="0409C183" w:rsidR="00470552" w:rsidRPr="000F5848" w:rsidRDefault="0072154A" w:rsidP="00021A27">
            <w:pPr>
              <w:spacing w:after="0"/>
              <w:rPr>
                <w:noProof/>
              </w:rPr>
            </w:pPr>
            <w:hyperlink r:id="rId15" w:history="1">
              <w:r w:rsidR="00C34E1C">
                <w:rPr>
                  <w:rStyle w:val="Hyperlink"/>
                  <w:noProof/>
                </w:rPr>
                <w:t>A politikai reklám átláthatóságáról és targetálásáról szóló rendeletre irányuló jogalkotási javaslat</w:t>
              </w:r>
            </w:hyperlink>
            <w:r w:rsidR="00C34E1C">
              <w:rPr>
                <w:noProof/>
              </w:rPr>
              <w:t xml:space="preserve"> </w:t>
            </w:r>
          </w:p>
          <w:p w14:paraId="439A5385" w14:textId="77777777" w:rsidR="00021A27" w:rsidRPr="000F5848" w:rsidRDefault="0072154A" w:rsidP="00021A27">
            <w:pPr>
              <w:spacing w:after="0"/>
              <w:rPr>
                <w:noProof/>
              </w:rPr>
            </w:pPr>
            <w:hyperlink r:id="rId16" w:history="1">
              <w:r w:rsidR="00C34E1C">
                <w:rPr>
                  <w:rStyle w:val="Hyperlink"/>
                  <w:noProof/>
                </w:rPr>
                <w:t>Technology and Democracy:</w:t>
              </w:r>
            </w:hyperlink>
            <w:hyperlink r:id="rId17" w:history="1">
              <w:r w:rsidR="00C34E1C">
                <w:rPr>
                  <w:rStyle w:val="Hyperlink"/>
                  <w:noProof/>
                </w:rPr>
                <w:t xml:space="preserve"> Understanding the influence of online technologies on political behaviour and decision-making (Technológia és demokrácia: az online technológiák politikai magatartásra és döntéshozatalra gyakorolt hatásának megértése)</w:t>
              </w:r>
            </w:hyperlink>
          </w:p>
          <w:p w14:paraId="05BE0EF0" w14:textId="0F2CC550" w:rsidR="00470552" w:rsidRPr="000F5848" w:rsidRDefault="00470552" w:rsidP="00021A27">
            <w:pPr>
              <w:spacing w:after="0"/>
              <w:rPr>
                <w:b/>
                <w:bCs/>
                <w:noProof/>
              </w:rPr>
            </w:pPr>
            <w:r>
              <w:rPr>
                <w:b/>
                <w:noProof/>
              </w:rPr>
              <w:t xml:space="preserve"> </w:t>
            </w:r>
          </w:p>
        </w:tc>
      </w:tr>
      <w:tr w:rsidR="00470552" w:rsidRPr="00CA5190" w14:paraId="5006E416" w14:textId="77777777" w:rsidTr="00E664BF">
        <w:trPr>
          <w:trHeight w:val="1562"/>
          <w:jc w:val="center"/>
        </w:trPr>
        <w:tc>
          <w:tcPr>
            <w:tcW w:w="2122" w:type="dxa"/>
            <w:vMerge/>
          </w:tcPr>
          <w:p w14:paraId="7B87B571" w14:textId="77777777" w:rsidR="00470552" w:rsidRPr="000F5848" w:rsidRDefault="00470552">
            <w:pPr>
              <w:spacing w:line="256" w:lineRule="auto"/>
              <w:rPr>
                <w:i/>
                <w:iCs/>
                <w:noProof/>
              </w:rPr>
            </w:pPr>
          </w:p>
        </w:tc>
        <w:tc>
          <w:tcPr>
            <w:tcW w:w="2409" w:type="dxa"/>
            <w:tcBorders>
              <w:top w:val="single" w:sz="4" w:space="0" w:color="auto"/>
              <w:left w:val="single" w:sz="4" w:space="0" w:color="auto"/>
              <w:bottom w:val="single" w:sz="4" w:space="0" w:color="auto"/>
              <w:right w:val="single" w:sz="4" w:space="0" w:color="auto"/>
            </w:tcBorders>
          </w:tcPr>
          <w:p w14:paraId="2048A5C4" w14:textId="77777777" w:rsidR="00470552" w:rsidRPr="000F5848" w:rsidRDefault="00470552">
            <w:pPr>
              <w:spacing w:line="256" w:lineRule="auto"/>
              <w:rPr>
                <w:noProof/>
                <w:u w:val="single"/>
              </w:rPr>
            </w:pPr>
            <w:r>
              <w:rPr>
                <w:b/>
                <w:i/>
                <w:noProof/>
              </w:rPr>
              <w:t>A politikai pártoknak és a tagállamoknak szóló támogató intézkedések és iránymutatás elfogadása a szponzorált politikai tartalom átláthatóságáról</w:t>
            </w:r>
          </w:p>
        </w:tc>
        <w:tc>
          <w:tcPr>
            <w:tcW w:w="9956" w:type="dxa"/>
            <w:tcBorders>
              <w:left w:val="single" w:sz="4" w:space="0" w:color="auto"/>
              <w:bottom w:val="single" w:sz="4" w:space="0" w:color="auto"/>
              <w:right w:val="single" w:sz="4" w:space="0" w:color="auto"/>
            </w:tcBorders>
          </w:tcPr>
          <w:p w14:paraId="1E0C1178" w14:textId="77777777" w:rsidR="00470552" w:rsidRPr="000F5848" w:rsidRDefault="00470552">
            <w:pPr>
              <w:spacing w:after="120"/>
              <w:rPr>
                <w:noProof/>
              </w:rPr>
            </w:pPr>
            <w:r>
              <w:rPr>
                <w:noProof/>
                <w:color w:val="000000" w:themeColor="text1"/>
              </w:rPr>
              <w:t>A Bizottság az Európai Választási Együttműködési Hálózat keretében folytatta a politikai reklámok átláthatóságával kapcsolatos bevált gyakorlatok cseréjét, ideértve a politikai pártoknak és a tagállamoknak nyújtott támogatást és iránymutatást is.</w:t>
            </w:r>
          </w:p>
        </w:tc>
      </w:tr>
      <w:tr w:rsidR="00470552" w:rsidRPr="00CA5190" w14:paraId="52F70FA7" w14:textId="77777777" w:rsidTr="00E664BF">
        <w:trPr>
          <w:trHeight w:val="416"/>
          <w:jc w:val="center"/>
        </w:trPr>
        <w:tc>
          <w:tcPr>
            <w:tcW w:w="2122" w:type="dxa"/>
            <w:vMerge/>
          </w:tcPr>
          <w:p w14:paraId="33690260" w14:textId="77777777" w:rsidR="00470552" w:rsidRPr="00545A82" w:rsidRDefault="00470552">
            <w:pPr>
              <w:rPr>
                <w:b/>
                <w:bCs/>
                <w:i/>
                <w:iCs/>
                <w:noProof/>
              </w:rPr>
            </w:pPr>
          </w:p>
        </w:tc>
        <w:tc>
          <w:tcPr>
            <w:tcW w:w="2409" w:type="dxa"/>
            <w:tcBorders>
              <w:top w:val="single" w:sz="4" w:space="0" w:color="auto"/>
              <w:left w:val="single" w:sz="4" w:space="0" w:color="auto"/>
              <w:bottom w:val="single" w:sz="4" w:space="0" w:color="auto"/>
              <w:right w:val="single" w:sz="4" w:space="0" w:color="auto"/>
            </w:tcBorders>
          </w:tcPr>
          <w:p w14:paraId="5E8CE34E" w14:textId="77777777" w:rsidR="00470552" w:rsidRPr="000F5848" w:rsidRDefault="00470552">
            <w:pPr>
              <w:rPr>
                <w:i/>
                <w:iCs/>
                <w:noProof/>
              </w:rPr>
            </w:pPr>
            <w:r>
              <w:rPr>
                <w:i/>
                <w:noProof/>
              </w:rPr>
              <w:t xml:space="preserve">Az európai politikai pártok és az európai politikai alapítványok jogállásáról és finanszírozásáról szóló </w:t>
            </w:r>
            <w:r>
              <w:rPr>
                <w:b/>
                <w:i/>
                <w:noProof/>
              </w:rPr>
              <w:t>1141/2014/EK rendelet felülvizsgálata</w:t>
            </w:r>
          </w:p>
        </w:tc>
        <w:tc>
          <w:tcPr>
            <w:tcW w:w="9956" w:type="dxa"/>
            <w:tcBorders>
              <w:left w:val="single" w:sz="4" w:space="0" w:color="auto"/>
              <w:bottom w:val="single" w:sz="4" w:space="0" w:color="auto"/>
              <w:right w:val="single" w:sz="4" w:space="0" w:color="auto"/>
            </w:tcBorders>
          </w:tcPr>
          <w:p w14:paraId="5DF91DA5" w14:textId="17C9485E" w:rsidR="00470552" w:rsidRPr="000F5848" w:rsidRDefault="00470552">
            <w:pPr>
              <w:spacing w:after="120"/>
              <w:rPr>
                <w:noProof/>
              </w:rPr>
            </w:pPr>
            <w:r>
              <w:rPr>
                <w:noProof/>
              </w:rPr>
              <w:t xml:space="preserve">Az </w:t>
            </w:r>
            <w:r>
              <w:rPr>
                <w:b/>
                <w:noProof/>
              </w:rPr>
              <w:t>európai politikai pártok és alapítványok jogállására és finanszírozására vonatkozó szabályok felülvizsgálatára</w:t>
            </w:r>
            <w:r>
              <w:rPr>
                <w:noProof/>
              </w:rPr>
              <w:t xml:space="preserve"> irányuló javaslatot 2021. november 25-én fogadták el. A javasolt rendelet több lehetőséget fog biztosítani a politikai pártok és alapítványok számára ahhoz, hogy betöltsék szerepüket egy valóban európai politikai szféra kiépítésében és fenntartásában, ugyanakkor megvédjék fellépésüket a helytelen beavatkozástól. Ez segítené az európai politikai pártokat abban, hogy interakcióba lépjenek nemzeti tagpártjaikkal és határokon átnyúlóan; hogy növeljék az átláthatóságot, különösen a politikai reklámok és adományok tekintetében; hogy megszüntessék a túlzott adminisztratív terhet; és hogy növeljék pénzügyi életképességüket.</w:t>
            </w:r>
          </w:p>
          <w:p w14:paraId="53DCB40D" w14:textId="2EFA9FF7" w:rsidR="00CA2F1F" w:rsidRPr="000F5848" w:rsidRDefault="4E296415">
            <w:pPr>
              <w:spacing w:after="120"/>
              <w:rPr>
                <w:noProof/>
              </w:rPr>
            </w:pPr>
            <w:r>
              <w:rPr>
                <w:noProof/>
              </w:rPr>
              <w:t>Az intézményközi tárgyalások folyamatban vannak.</w:t>
            </w:r>
          </w:p>
          <w:p w14:paraId="4F15E1BE" w14:textId="3437DA6C" w:rsidR="00CA2F1F" w:rsidRPr="000F5848" w:rsidRDefault="00470552">
            <w:pPr>
              <w:spacing w:after="120"/>
              <w:rPr>
                <w:i/>
                <w:iCs/>
                <w:noProof/>
              </w:rPr>
            </w:pPr>
            <w:r>
              <w:rPr>
                <w:i/>
                <w:noProof/>
                <w:u w:val="single"/>
              </w:rPr>
              <w:t>Hasznos linkek</w:t>
            </w:r>
            <w:r>
              <w:rPr>
                <w:i/>
                <w:noProof/>
              </w:rPr>
              <w:t>:</w:t>
            </w:r>
          </w:p>
          <w:p w14:paraId="17147C70" w14:textId="51690C69" w:rsidR="00470552" w:rsidRPr="000F5848" w:rsidRDefault="0072154A" w:rsidP="00CA2F1F">
            <w:pPr>
              <w:spacing w:after="0"/>
              <w:rPr>
                <w:rStyle w:val="Hyperlink"/>
                <w:noProof/>
              </w:rPr>
            </w:pPr>
            <w:hyperlink r:id="rId18" w:history="1">
              <w:r w:rsidR="00C34E1C">
                <w:rPr>
                  <w:rStyle w:val="Hyperlink"/>
                  <w:noProof/>
                </w:rPr>
                <w:t>Az európai politikai pártok és alapítványok jogállása és finanszírozása</w:t>
              </w:r>
            </w:hyperlink>
          </w:p>
          <w:p w14:paraId="2E537688" w14:textId="6096DFCC" w:rsidR="005E3021" w:rsidRPr="000F5848" w:rsidRDefault="005E3021" w:rsidP="00CA2F1F">
            <w:pPr>
              <w:spacing w:after="0"/>
              <w:rPr>
                <w:b/>
                <w:bCs/>
                <w:noProof/>
              </w:rPr>
            </w:pPr>
          </w:p>
        </w:tc>
      </w:tr>
      <w:tr w:rsidR="00470552" w:rsidRPr="00E25544" w14:paraId="1A9929D5" w14:textId="77777777" w:rsidTr="00E664BF">
        <w:trPr>
          <w:trHeight w:val="693"/>
          <w:jc w:val="center"/>
        </w:trPr>
        <w:tc>
          <w:tcPr>
            <w:tcW w:w="2122" w:type="dxa"/>
            <w:vMerge/>
          </w:tcPr>
          <w:p w14:paraId="6B20681C" w14:textId="77777777" w:rsidR="00470552" w:rsidRPr="000F5848" w:rsidRDefault="00470552">
            <w:pPr>
              <w:rPr>
                <w:i/>
                <w:iCs/>
                <w:noProof/>
              </w:rPr>
            </w:pPr>
          </w:p>
        </w:tc>
        <w:tc>
          <w:tcPr>
            <w:tcW w:w="2409" w:type="dxa"/>
            <w:tcBorders>
              <w:top w:val="single" w:sz="4" w:space="0" w:color="auto"/>
              <w:left w:val="single" w:sz="4" w:space="0" w:color="auto"/>
              <w:bottom w:val="single" w:sz="4" w:space="0" w:color="auto"/>
              <w:right w:val="single" w:sz="4" w:space="0" w:color="auto"/>
            </w:tcBorders>
          </w:tcPr>
          <w:p w14:paraId="5546F055" w14:textId="77777777" w:rsidR="00470552" w:rsidRPr="000F5848" w:rsidRDefault="00470552">
            <w:pPr>
              <w:rPr>
                <w:i/>
                <w:iCs/>
                <w:noProof/>
              </w:rPr>
            </w:pPr>
            <w:r>
              <w:rPr>
                <w:i/>
                <w:noProof/>
              </w:rPr>
              <w:t xml:space="preserve">Az európai választási együttműködési hálózat munkájára építve </w:t>
            </w:r>
            <w:r>
              <w:rPr>
                <w:b/>
                <w:i/>
                <w:noProof/>
              </w:rPr>
              <w:t>új közös operatív mechanizmus</w:t>
            </w:r>
            <w:r>
              <w:rPr>
                <w:i/>
                <w:noProof/>
              </w:rPr>
              <w:t xml:space="preserve"> és további támogató intézkedések a reziliens választási folyamatok előmozdítása érdekében, és további gyakorlati intézkedések a választási infrastruktúra fenyegetésekkel – többek között kibertámadásokkal – szembeni védelme érdekében</w:t>
            </w:r>
          </w:p>
        </w:tc>
        <w:tc>
          <w:tcPr>
            <w:tcW w:w="9956" w:type="dxa"/>
            <w:tcBorders>
              <w:top w:val="single" w:sz="4" w:space="0" w:color="auto"/>
              <w:left w:val="single" w:sz="4" w:space="0" w:color="auto"/>
              <w:bottom w:val="single" w:sz="4" w:space="0" w:color="auto"/>
              <w:right w:val="single" w:sz="4" w:space="0" w:color="auto"/>
            </w:tcBorders>
          </w:tcPr>
          <w:p w14:paraId="262F74C6" w14:textId="13021C7A" w:rsidR="00470552" w:rsidRPr="000F5848" w:rsidRDefault="00470552">
            <w:pPr>
              <w:spacing w:after="120"/>
              <w:rPr>
                <w:noProof/>
              </w:rPr>
            </w:pPr>
            <w:r>
              <w:rPr>
                <w:noProof/>
              </w:rPr>
              <w:t>2022 januárjában a Bizottság megkezdte a „</w:t>
            </w:r>
            <w:r>
              <w:rPr>
                <w:b/>
                <w:noProof/>
              </w:rPr>
              <w:t>választási rezilienciára irányuló közös mechanizmus</w:t>
            </w:r>
            <w:r>
              <w:rPr>
                <w:noProof/>
              </w:rPr>
              <w:t xml:space="preserve">” bevezetését, amely támogatja közös szakértői csoportok kialakítását és a tagállamok közötti szakértői csereprogramokat. E kapacitásépítési eszköz célja, hogy támogassa a választási folyamatok ellenálló képességét a különböző típusú fenyegetésekkel szemben, különösen az online kriminalisztika, a dezinformáció és a választások kiberbiztonsága területén. Eddig Románia, Litvánia és Svédország használta a mechanizmust. </w:t>
            </w:r>
          </w:p>
          <w:p w14:paraId="47F1689F" w14:textId="06CEFD74" w:rsidR="00E57B08" w:rsidRPr="000F5848" w:rsidRDefault="00E57B08" w:rsidP="00E57B08">
            <w:pPr>
              <w:spacing w:after="120"/>
              <w:rPr>
                <w:noProof/>
              </w:rPr>
            </w:pPr>
            <w:r>
              <w:rPr>
                <w:noProof/>
              </w:rPr>
              <w:t xml:space="preserve">A mechanizmus támogatásával a Bizottság az ENISA-val és az Európai Parlamenttel együtt 2023. november 21-én döntéshozatali gyakorlatot szervezett a választási folyamatok kiberbiztonságának támogatására, a 2019. évi rendezvény tanulságaira építve. </w:t>
            </w:r>
          </w:p>
          <w:p w14:paraId="059F8E33" w14:textId="77777777" w:rsidR="00470552" w:rsidRPr="000F5848" w:rsidRDefault="00470552">
            <w:pPr>
              <w:spacing w:after="120"/>
              <w:rPr>
                <w:noProof/>
              </w:rPr>
            </w:pPr>
            <w:r>
              <w:rPr>
                <w:noProof/>
              </w:rPr>
              <w:t>A mechanizmust arra is felhasználták, hogy támogassa a Bizottság és a tagállamok munkáját az e-szavazásról szóló gyűjtemény és a fogyatékossággal élő polgárok választási folyamatban való részvételét célzó helyes választási gyakorlatról szóló útmutató elkészítése terén.</w:t>
            </w:r>
          </w:p>
          <w:p w14:paraId="6CA81229" w14:textId="01F6A3EE" w:rsidR="00317C34" w:rsidRPr="000F5848" w:rsidRDefault="00470552">
            <w:pPr>
              <w:spacing w:after="120"/>
              <w:rPr>
                <w:noProof/>
              </w:rPr>
            </w:pPr>
            <w:r>
              <w:rPr>
                <w:i/>
                <w:noProof/>
                <w:u w:val="single"/>
              </w:rPr>
              <w:t>Hasznos linkek</w:t>
            </w:r>
            <w:r>
              <w:rPr>
                <w:i/>
                <w:noProof/>
              </w:rPr>
              <w:t>:</w:t>
            </w:r>
            <w:r>
              <w:rPr>
                <w:noProof/>
              </w:rPr>
              <w:t xml:space="preserve"> </w:t>
            </w:r>
          </w:p>
          <w:p w14:paraId="749F0855" w14:textId="5472CAFD" w:rsidR="00470552" w:rsidRPr="000F5848" w:rsidRDefault="0072154A" w:rsidP="00A27712">
            <w:pPr>
              <w:spacing w:after="0"/>
              <w:rPr>
                <w:noProof/>
                <w:u w:val="single"/>
              </w:rPr>
            </w:pPr>
            <w:hyperlink r:id="rId19">
              <w:r w:rsidR="00C34E1C">
                <w:rPr>
                  <w:rStyle w:val="Hyperlink"/>
                  <w:noProof/>
                </w:rPr>
                <w:t>Európai választási együttműködési hálózat</w:t>
              </w:r>
            </w:hyperlink>
          </w:p>
          <w:p w14:paraId="3417E796" w14:textId="77777777" w:rsidR="00470552" w:rsidRPr="000F5848" w:rsidRDefault="0072154A" w:rsidP="00A27712">
            <w:pPr>
              <w:spacing w:after="0"/>
              <w:rPr>
                <w:noProof/>
              </w:rPr>
            </w:pPr>
            <w:hyperlink r:id="rId20" w:history="1">
              <w:r w:rsidR="00C34E1C">
                <w:rPr>
                  <w:rStyle w:val="Hyperlink"/>
                  <w:noProof/>
                </w:rPr>
                <w:t>Towards cybersecure EU elections 2019 (A kiberbiztos 2019. évi uniós választások felé)</w:t>
              </w:r>
            </w:hyperlink>
          </w:p>
          <w:p w14:paraId="073147E5" w14:textId="77777777" w:rsidR="006420B4" w:rsidRDefault="0072154A" w:rsidP="00FA50F8">
            <w:pPr>
              <w:spacing w:after="0"/>
              <w:rPr>
                <w:noProof/>
              </w:rPr>
            </w:pPr>
            <w:hyperlink r:id="rId21" w:history="1">
              <w:r w:rsidR="00C34E1C">
                <w:rPr>
                  <w:rStyle w:val="Hyperlink"/>
                  <w:noProof/>
                </w:rPr>
                <w:t>Uniós kiberbiztonsági gyakorlat:</w:t>
              </w:r>
            </w:hyperlink>
            <w:hyperlink r:id="rId22" w:history="1">
              <w:r w:rsidR="00C34E1C">
                <w:rPr>
                  <w:rStyle w:val="Hyperlink"/>
                  <w:noProof/>
                </w:rPr>
                <w:t xml:space="preserve"> szabad és tisztességes választások (europa.eu)</w:t>
              </w:r>
            </w:hyperlink>
          </w:p>
          <w:p w14:paraId="1E4A11CA" w14:textId="2E3A21D9" w:rsidR="00A27712" w:rsidRPr="001859F6" w:rsidRDefault="00193622" w:rsidP="00FA50F8">
            <w:pPr>
              <w:spacing w:after="0"/>
              <w:rPr>
                <w:i/>
                <w:noProof/>
                <w:highlight w:val="yellow"/>
                <w:u w:val="single"/>
              </w:rPr>
            </w:pPr>
            <w:r>
              <w:rPr>
                <w:noProof/>
              </w:rPr>
              <w:t xml:space="preserve"> </w:t>
            </w:r>
          </w:p>
        </w:tc>
      </w:tr>
      <w:tr w:rsidR="00470552" w:rsidRPr="00CA5190" w14:paraId="495AC122" w14:textId="77777777" w:rsidTr="00E664BF">
        <w:trPr>
          <w:trHeight w:val="693"/>
          <w:jc w:val="center"/>
        </w:trPr>
        <w:tc>
          <w:tcPr>
            <w:tcW w:w="2122" w:type="dxa"/>
            <w:vMerge/>
          </w:tcPr>
          <w:p w14:paraId="00E693BE" w14:textId="77777777" w:rsidR="00470552" w:rsidRPr="000F5848" w:rsidRDefault="00470552">
            <w:pPr>
              <w:rPr>
                <w:i/>
                <w:iCs/>
                <w:noProof/>
              </w:rPr>
            </w:pPr>
          </w:p>
        </w:tc>
        <w:tc>
          <w:tcPr>
            <w:tcW w:w="2409" w:type="dxa"/>
            <w:tcBorders>
              <w:top w:val="single" w:sz="4" w:space="0" w:color="auto"/>
              <w:left w:val="single" w:sz="4" w:space="0" w:color="auto"/>
              <w:bottom w:val="single" w:sz="4" w:space="0" w:color="auto"/>
              <w:right w:val="single" w:sz="4" w:space="0" w:color="auto"/>
            </w:tcBorders>
          </w:tcPr>
          <w:p w14:paraId="28BE9ED1" w14:textId="77777777" w:rsidR="00470552" w:rsidRPr="000F5848" w:rsidRDefault="00470552">
            <w:pPr>
              <w:rPr>
                <w:i/>
                <w:iCs/>
                <w:noProof/>
              </w:rPr>
            </w:pPr>
            <w:r>
              <w:rPr>
                <w:i/>
                <w:noProof/>
              </w:rPr>
              <w:t xml:space="preserve">A Bizottság </w:t>
            </w:r>
            <w:r>
              <w:rPr>
                <w:b/>
                <w:i/>
                <w:noProof/>
              </w:rPr>
              <w:t>magas szintű rendezvényt</w:t>
            </w:r>
            <w:r>
              <w:rPr>
                <w:i/>
                <w:noProof/>
              </w:rPr>
              <w:t xml:space="preserve"> fog szervezni a választásokkal foglalkozó különböző hatóságok részvételével az e tervben felvázolt kihívásokra történő válaszadás érdekében</w:t>
            </w:r>
          </w:p>
        </w:tc>
        <w:tc>
          <w:tcPr>
            <w:tcW w:w="9956" w:type="dxa"/>
            <w:tcBorders>
              <w:top w:val="single" w:sz="4" w:space="0" w:color="auto"/>
              <w:left w:val="single" w:sz="4" w:space="0" w:color="auto"/>
              <w:bottom w:val="single" w:sz="4" w:space="0" w:color="auto"/>
              <w:right w:val="single" w:sz="4" w:space="0" w:color="auto"/>
            </w:tcBorders>
          </w:tcPr>
          <w:p w14:paraId="0B5EA7DF" w14:textId="1BDA3ACC" w:rsidR="00470552" w:rsidRPr="000F5848" w:rsidRDefault="00774B11" w:rsidP="00317C34">
            <w:pPr>
              <w:spacing w:after="120"/>
              <w:rPr>
                <w:noProof/>
              </w:rPr>
            </w:pPr>
            <w:r>
              <w:rPr>
                <w:noProof/>
              </w:rPr>
              <w:t xml:space="preserve">A választásokról szóló magas szintű rendezvényre 2023. október 23–24-én került sor Brüsszelben. Az Európai Bizottság által szervezett rendezvényen különböző nemzeti hatóságok és érdekelt felek vettek részt, és a választások demokratikus részvételére és integritására összpontosítottak. A rendezvény lehetőséget kínált a nemzeti politikai döntéshozóknak és gyakorlati szakembereknek arra, hogy vitákban és a bevált gyakorlatok cseréjében vegyenek részt a részvétel támogatása, a polgárok inkluzív módon való részvételének lehetővé tétele, valamint a választási rendszerek rezilienciáját, illetve a választások méltányosságát és átláthatóságát Unió-szerte biztosító egyéb intézkedésekben. </w:t>
            </w:r>
          </w:p>
        </w:tc>
      </w:tr>
      <w:tr w:rsidR="00470552" w:rsidRPr="00CA5190" w14:paraId="0980362B" w14:textId="77777777" w:rsidTr="00E664BF">
        <w:trPr>
          <w:trHeight w:val="693"/>
          <w:jc w:val="center"/>
        </w:trPr>
        <w:tc>
          <w:tcPr>
            <w:tcW w:w="2122" w:type="dxa"/>
            <w:vMerge/>
          </w:tcPr>
          <w:p w14:paraId="39B01081" w14:textId="77777777" w:rsidR="00470552" w:rsidRPr="000F5848" w:rsidRDefault="00470552">
            <w:pPr>
              <w:rPr>
                <w:b/>
                <w:bCs/>
                <w:i/>
                <w:iCs/>
                <w:noProof/>
              </w:rPr>
            </w:pPr>
          </w:p>
        </w:tc>
        <w:tc>
          <w:tcPr>
            <w:tcW w:w="2409" w:type="dxa"/>
            <w:tcBorders>
              <w:top w:val="single" w:sz="4" w:space="0" w:color="auto"/>
              <w:left w:val="single" w:sz="4" w:space="0" w:color="auto"/>
              <w:bottom w:val="single" w:sz="4" w:space="0" w:color="auto"/>
              <w:right w:val="single" w:sz="4" w:space="0" w:color="auto"/>
            </w:tcBorders>
          </w:tcPr>
          <w:p w14:paraId="3275EA3F" w14:textId="77777777" w:rsidR="00470552" w:rsidRPr="000F5848" w:rsidRDefault="00470552">
            <w:pPr>
              <w:rPr>
                <w:i/>
                <w:iCs/>
                <w:noProof/>
              </w:rPr>
            </w:pPr>
            <w:r>
              <w:rPr>
                <w:i/>
                <w:noProof/>
              </w:rPr>
              <w:t xml:space="preserve">Az </w:t>
            </w:r>
            <w:r>
              <w:rPr>
                <w:b/>
                <w:i/>
                <w:noProof/>
              </w:rPr>
              <w:t>egyenlő bánásmódra</w:t>
            </w:r>
            <w:r>
              <w:rPr>
                <w:i/>
                <w:noProof/>
              </w:rPr>
              <w:t xml:space="preserve"> és a kiegyensúlyozott médiabeszámolókra </w:t>
            </w:r>
            <w:r>
              <w:rPr>
                <w:b/>
                <w:i/>
                <w:noProof/>
              </w:rPr>
              <w:t xml:space="preserve">vonatkozó együttműködés megerősítése </w:t>
            </w:r>
            <w:r>
              <w:rPr>
                <w:i/>
                <w:noProof/>
              </w:rPr>
              <w:t>a választások során</w:t>
            </w:r>
          </w:p>
        </w:tc>
        <w:tc>
          <w:tcPr>
            <w:tcW w:w="9956" w:type="dxa"/>
            <w:tcBorders>
              <w:top w:val="single" w:sz="4" w:space="0" w:color="auto"/>
              <w:left w:val="single" w:sz="4" w:space="0" w:color="auto"/>
              <w:bottom w:val="single" w:sz="4" w:space="0" w:color="auto"/>
              <w:right w:val="single" w:sz="4" w:space="0" w:color="auto"/>
            </w:tcBorders>
          </w:tcPr>
          <w:p w14:paraId="70A8545E" w14:textId="77777777" w:rsidR="00470552" w:rsidRPr="000F5848" w:rsidRDefault="00470552">
            <w:pPr>
              <w:spacing w:after="120"/>
              <w:rPr>
                <w:noProof/>
              </w:rPr>
            </w:pPr>
            <w:r>
              <w:rPr>
                <w:noProof/>
              </w:rPr>
              <w:t xml:space="preserve">A médiapolitikáért felelős illetékes hatóságok és a választási ügyekben hatáskörrel rendelkező hatóságok közötti együttműködés megerősítése érdekében 2022 májusában együttes ülést szerveztek az Audiovizuális Médiaszolgáltatásokat Szabályozó Hatóságok Európai Csoportja (ERGA), a sürgősségi riasztórendszer és az Európai Választási Együttműködési Hálózat részvételével, hogy megvitassák a bánásmód egyenlőségét és a választások alatti médiabeszámolókat. </w:t>
            </w:r>
          </w:p>
          <w:p w14:paraId="5B724DC2" w14:textId="77777777" w:rsidR="00470552" w:rsidRPr="000F5848" w:rsidRDefault="00470552">
            <w:pPr>
              <w:spacing w:after="120"/>
              <w:rPr>
                <w:noProof/>
              </w:rPr>
            </w:pPr>
            <w:r>
              <w:rPr>
                <w:noProof/>
              </w:rPr>
              <w:t>2023 márciusában ugyanezen szereplők nyomonkövetési találkozójára került sor, hogy a 2024-es európai parlamenti választások előkészítésével összefüggésben megvitassák különösen a dezinformáció kezelésének legjobb módjait, többek között a dezinformáció visszaszorítását célzó megerősített gyakorlati kódex nyomon követését.</w:t>
            </w:r>
          </w:p>
          <w:p w14:paraId="4B1DFFEA" w14:textId="37B83DE5" w:rsidR="00470552" w:rsidRPr="000F5848" w:rsidRDefault="00470552">
            <w:pPr>
              <w:spacing w:after="120"/>
              <w:rPr>
                <w:i/>
                <w:iCs/>
                <w:noProof/>
              </w:rPr>
            </w:pPr>
            <w:r>
              <w:rPr>
                <w:i/>
                <w:noProof/>
                <w:u w:val="single"/>
              </w:rPr>
              <w:t>Hasznos linkek</w:t>
            </w:r>
            <w:r>
              <w:rPr>
                <w:i/>
                <w:noProof/>
              </w:rPr>
              <w:t>:</w:t>
            </w:r>
          </w:p>
          <w:p w14:paraId="322B44AC" w14:textId="435CD9E2" w:rsidR="00317C34" w:rsidRPr="000F5848" w:rsidRDefault="0072154A" w:rsidP="00021A27">
            <w:pPr>
              <w:spacing w:after="0"/>
              <w:rPr>
                <w:noProof/>
              </w:rPr>
            </w:pPr>
            <w:hyperlink r:id="rId23" w:history="1">
              <w:r w:rsidR="00C34E1C">
                <w:rPr>
                  <w:rStyle w:val="Hyperlink"/>
                  <w:noProof/>
                </w:rPr>
                <w:t>Együttes ülés – A 2022. májusi ülés összefoglalója</w:t>
              </w:r>
            </w:hyperlink>
          </w:p>
          <w:p w14:paraId="002200CB" w14:textId="77777777" w:rsidR="00470552" w:rsidRPr="000F5848" w:rsidRDefault="0072154A" w:rsidP="00021A27">
            <w:pPr>
              <w:spacing w:after="0"/>
              <w:rPr>
                <w:rStyle w:val="Hyperlink"/>
                <w:noProof/>
              </w:rPr>
            </w:pPr>
            <w:hyperlink r:id="rId24" w:history="1">
              <w:r w:rsidR="00C34E1C">
                <w:rPr>
                  <w:rStyle w:val="Hyperlink"/>
                  <w:noProof/>
                </w:rPr>
                <w:t>Együttes ülés – A 2023. márciusi ülés összefoglalója</w:t>
              </w:r>
            </w:hyperlink>
          </w:p>
          <w:p w14:paraId="7AAE3DA7" w14:textId="54C762B1" w:rsidR="00A27712" w:rsidRPr="000F5848" w:rsidRDefault="00A27712" w:rsidP="00021A27">
            <w:pPr>
              <w:spacing w:after="0"/>
              <w:rPr>
                <w:b/>
                <w:bCs/>
                <w:noProof/>
              </w:rPr>
            </w:pPr>
          </w:p>
        </w:tc>
      </w:tr>
      <w:tr w:rsidR="00470552" w:rsidRPr="00CA5190" w14:paraId="6AC52A50" w14:textId="77777777" w:rsidTr="00E664BF">
        <w:trPr>
          <w:trHeight w:val="693"/>
          <w:jc w:val="center"/>
        </w:trPr>
        <w:tc>
          <w:tcPr>
            <w:tcW w:w="2122" w:type="dxa"/>
            <w:vMerge/>
          </w:tcPr>
          <w:p w14:paraId="16AAC4E6" w14:textId="77777777" w:rsidR="00470552" w:rsidRPr="000F5848" w:rsidRDefault="00470552">
            <w:pPr>
              <w:rPr>
                <w:i/>
                <w:iCs/>
                <w:noProof/>
              </w:rPr>
            </w:pPr>
          </w:p>
        </w:tc>
        <w:tc>
          <w:tcPr>
            <w:tcW w:w="2409" w:type="dxa"/>
            <w:tcBorders>
              <w:top w:val="single" w:sz="4" w:space="0" w:color="auto"/>
              <w:left w:val="single" w:sz="4" w:space="0" w:color="auto"/>
              <w:bottom w:val="single" w:sz="4" w:space="0" w:color="auto"/>
              <w:right w:val="single" w:sz="4" w:space="0" w:color="auto"/>
            </w:tcBorders>
          </w:tcPr>
          <w:p w14:paraId="305064A7" w14:textId="77777777" w:rsidR="00470552" w:rsidRPr="000F5848" w:rsidRDefault="00470552">
            <w:pPr>
              <w:rPr>
                <w:i/>
                <w:iCs/>
                <w:noProof/>
              </w:rPr>
            </w:pPr>
            <w:r>
              <w:rPr>
                <w:i/>
                <w:noProof/>
              </w:rPr>
              <w:t xml:space="preserve">Az </w:t>
            </w:r>
            <w:r>
              <w:rPr>
                <w:b/>
                <w:i/>
                <w:noProof/>
              </w:rPr>
              <w:t>e-szavazási gyakorlatokról szóló kézikönyv</w:t>
            </w:r>
            <w:r>
              <w:rPr>
                <w:i/>
                <w:noProof/>
              </w:rPr>
              <w:t xml:space="preserve"> elkészítése</w:t>
            </w:r>
          </w:p>
        </w:tc>
        <w:tc>
          <w:tcPr>
            <w:tcW w:w="9956" w:type="dxa"/>
            <w:tcBorders>
              <w:top w:val="single" w:sz="4" w:space="0" w:color="auto"/>
              <w:left w:val="single" w:sz="4" w:space="0" w:color="auto"/>
              <w:bottom w:val="single" w:sz="4" w:space="0" w:color="auto"/>
              <w:right w:val="single" w:sz="4" w:space="0" w:color="auto"/>
            </w:tcBorders>
          </w:tcPr>
          <w:p w14:paraId="4009516D" w14:textId="63FC5F2C" w:rsidR="00896779" w:rsidRPr="000F5848" w:rsidRDefault="00896779" w:rsidP="00896779">
            <w:pPr>
              <w:spacing w:after="120"/>
              <w:rPr>
                <w:noProof/>
              </w:rPr>
            </w:pPr>
            <w:bookmarkStart w:id="2" w:name="_Hlk152250571"/>
            <w:r>
              <w:rPr>
                <w:noProof/>
              </w:rPr>
              <w:t>A Bizottság közzétette az e-szavazás és más IKT-gyakorlatok gyűjteményét. Az Európa Tanács szakértelmére építve a tagállamokkal közösen, az Európai Választási Együttműködési Hálózat (ECNE) keretében készült.</w:t>
            </w:r>
          </w:p>
          <w:p w14:paraId="40858E5A" w14:textId="7E556314" w:rsidR="00896779" w:rsidRDefault="00896779" w:rsidP="00896779">
            <w:pPr>
              <w:spacing w:after="120"/>
              <w:rPr>
                <w:noProof/>
              </w:rPr>
            </w:pPr>
            <w:r>
              <w:rPr>
                <w:noProof/>
              </w:rPr>
              <w:t>A gyűjtemény az ECNE e-szavazással foglalkozó informális szakértői alcsoportja tagjainak hozzászólásaiból, valamint az állampolgársággal foglalkozó akadémiák hálózata által készített, az e-szavazásról és a választási folyamatokban alkalmazott IKT-gyakorlatokról szóló rövid tanulmányból áll.</w:t>
            </w:r>
          </w:p>
          <w:p w14:paraId="72F64943" w14:textId="5770E28C" w:rsidR="00470552" w:rsidRPr="000F5848" w:rsidRDefault="00470552">
            <w:pPr>
              <w:spacing w:after="120"/>
              <w:rPr>
                <w:i/>
                <w:iCs/>
                <w:noProof/>
              </w:rPr>
            </w:pPr>
            <w:r>
              <w:rPr>
                <w:i/>
                <w:noProof/>
                <w:u w:val="single"/>
              </w:rPr>
              <w:t>Hasznos linkek</w:t>
            </w:r>
            <w:r>
              <w:rPr>
                <w:i/>
                <w:noProof/>
              </w:rPr>
              <w:t>:</w:t>
            </w:r>
          </w:p>
          <w:p w14:paraId="096E8DC6" w14:textId="0653B7F4" w:rsidR="00470552" w:rsidRDefault="0072154A" w:rsidP="00A27712">
            <w:pPr>
              <w:spacing w:after="0"/>
              <w:rPr>
                <w:rStyle w:val="Hyperlink"/>
                <w:noProof/>
              </w:rPr>
            </w:pPr>
            <w:hyperlink r:id="rId25" w:anchor="european-cooperation-network-on-elections" w:history="1">
              <w:r w:rsidR="00C34E1C">
                <w:rPr>
                  <w:rStyle w:val="Hyperlink"/>
                  <w:noProof/>
                </w:rPr>
                <w:t>Demokrácia és választói jogok – A Bizottság tevékenységei</w:t>
              </w:r>
            </w:hyperlink>
          </w:p>
          <w:p w14:paraId="455ECE9D" w14:textId="2C2AF72C" w:rsidR="00DC4E03" w:rsidRDefault="0072154A" w:rsidP="00A27712">
            <w:pPr>
              <w:spacing w:after="0"/>
              <w:rPr>
                <w:noProof/>
              </w:rPr>
            </w:pPr>
            <w:hyperlink r:id="rId26" w:history="1">
              <w:r w:rsidR="00C34E1C">
                <w:rPr>
                  <w:rStyle w:val="Hyperlink"/>
                  <w:noProof/>
                </w:rPr>
                <w:t>Az e-szavazásról és más IKT-gyakorlatokról szóló gyűjtemény</w:t>
              </w:r>
            </w:hyperlink>
          </w:p>
          <w:p w14:paraId="07592DBA" w14:textId="60D5177A" w:rsidR="00DC4E03" w:rsidRPr="00DC4E03" w:rsidRDefault="0072154A" w:rsidP="00A27712">
            <w:pPr>
              <w:spacing w:after="0"/>
              <w:rPr>
                <w:noProof/>
              </w:rPr>
            </w:pPr>
            <w:hyperlink r:id="rId27" w:history="1">
              <w:r w:rsidR="00C34E1C">
                <w:rPr>
                  <w:rStyle w:val="Hyperlink"/>
                  <w:noProof/>
                </w:rPr>
                <w:t>Study on E-Voting practices in the EU (Tanulmány az e-szavazási gyakorlatokról az EU-ban)</w:t>
              </w:r>
            </w:hyperlink>
          </w:p>
          <w:bookmarkEnd w:id="2"/>
          <w:p w14:paraId="6D6585A6" w14:textId="24930402" w:rsidR="00DC4E03" w:rsidRPr="000F5848" w:rsidRDefault="00DC4E03" w:rsidP="00E72455">
            <w:pPr>
              <w:spacing w:after="0"/>
              <w:rPr>
                <w:noProof/>
              </w:rPr>
            </w:pPr>
          </w:p>
        </w:tc>
      </w:tr>
      <w:tr w:rsidR="00470552" w:rsidRPr="000F5848" w14:paraId="5A85D607" w14:textId="77777777" w:rsidTr="00E664BF">
        <w:trPr>
          <w:trHeight w:val="693"/>
          <w:jc w:val="center"/>
        </w:trPr>
        <w:tc>
          <w:tcPr>
            <w:tcW w:w="2122" w:type="dxa"/>
            <w:vMerge/>
          </w:tcPr>
          <w:p w14:paraId="28F52664" w14:textId="77777777" w:rsidR="00470552" w:rsidRPr="000F5848" w:rsidRDefault="00470552">
            <w:pPr>
              <w:rPr>
                <w:i/>
                <w:iCs/>
                <w:noProof/>
              </w:rPr>
            </w:pPr>
          </w:p>
        </w:tc>
        <w:tc>
          <w:tcPr>
            <w:tcW w:w="2409" w:type="dxa"/>
            <w:tcBorders>
              <w:top w:val="single" w:sz="4" w:space="0" w:color="auto"/>
              <w:left w:val="single" w:sz="4" w:space="0" w:color="auto"/>
              <w:bottom w:val="single" w:sz="4" w:space="0" w:color="auto"/>
              <w:right w:val="single" w:sz="4" w:space="0" w:color="auto"/>
            </w:tcBorders>
          </w:tcPr>
          <w:p w14:paraId="5FCE9062" w14:textId="77777777" w:rsidR="00470552" w:rsidRPr="000F5848" w:rsidRDefault="00470552">
            <w:pPr>
              <w:rPr>
                <w:i/>
                <w:iCs/>
                <w:noProof/>
              </w:rPr>
            </w:pPr>
            <w:r>
              <w:rPr>
                <w:i/>
                <w:noProof/>
              </w:rPr>
              <w:t xml:space="preserve">Az </w:t>
            </w:r>
            <w:r>
              <w:rPr>
                <w:b/>
                <w:i/>
                <w:noProof/>
              </w:rPr>
              <w:t>uniós hálózatok, a partnerországok és a nemzetközi szervezetek közötti együttműködés</w:t>
            </w:r>
            <w:r>
              <w:rPr>
                <w:i/>
                <w:noProof/>
              </w:rPr>
              <w:t xml:space="preserve"> elősegítése a kapacitásépítés és a </w:t>
            </w:r>
            <w:r>
              <w:rPr>
                <w:b/>
                <w:i/>
                <w:noProof/>
              </w:rPr>
              <w:t>választási fenyegetésekkel szembeni fellépés</w:t>
            </w:r>
            <w:r>
              <w:rPr>
                <w:i/>
                <w:noProof/>
              </w:rPr>
              <w:t xml:space="preserve"> legjobb gyakorlatainak cseréje érdekében, valamint a </w:t>
            </w:r>
            <w:r>
              <w:rPr>
                <w:b/>
                <w:i/>
                <w:noProof/>
              </w:rPr>
              <w:t>magas szintű nemzetközi szabványok előmozdítása</w:t>
            </w:r>
            <w:r>
              <w:rPr>
                <w:i/>
                <w:noProof/>
              </w:rPr>
              <w:t xml:space="preserve"> az új technológiák használata terén</w:t>
            </w:r>
          </w:p>
        </w:tc>
        <w:tc>
          <w:tcPr>
            <w:tcW w:w="9956" w:type="dxa"/>
            <w:tcBorders>
              <w:top w:val="single" w:sz="4" w:space="0" w:color="auto"/>
              <w:left w:val="single" w:sz="4" w:space="0" w:color="auto"/>
              <w:bottom w:val="single" w:sz="4" w:space="0" w:color="auto"/>
              <w:right w:val="single" w:sz="4" w:space="0" w:color="auto"/>
            </w:tcBorders>
          </w:tcPr>
          <w:p w14:paraId="1285F970" w14:textId="77777777" w:rsidR="00470552" w:rsidRPr="000F5848" w:rsidRDefault="00470552">
            <w:pPr>
              <w:spacing w:after="120"/>
              <w:rPr>
                <w:noProof/>
              </w:rPr>
            </w:pPr>
            <w:r>
              <w:rPr>
                <w:noProof/>
              </w:rPr>
              <w:t>A Bizottság és az EKSZ fokozta arra irányuló erőfeszítéseit, hogy megkönnyítse az EU, a nemzetközi szervezetek és a partnerországok közötti együttműködést a választási fenyegetések elleni küzdelem és a demokratikus folyamatok védelme terén a kapacitásépítés és a bevált gyakorlatok cseréje érdekében.</w:t>
            </w:r>
          </w:p>
          <w:p w14:paraId="38BEFE80" w14:textId="3ADAA3D5" w:rsidR="00470552" w:rsidRPr="000F5848" w:rsidRDefault="00470552">
            <w:pPr>
              <w:spacing w:after="120"/>
              <w:rPr>
                <w:noProof/>
              </w:rPr>
            </w:pPr>
            <w:r>
              <w:rPr>
                <w:noProof/>
              </w:rPr>
              <w:t>A</w:t>
            </w:r>
            <w:r>
              <w:rPr>
                <w:b/>
                <w:noProof/>
              </w:rPr>
              <w:t xml:space="preserve"> demokráciára irányuló globális „Európa együtt” kezdeményezést (TED)</w:t>
            </w:r>
            <w:r>
              <w:rPr>
                <w:noProof/>
                <w:color w:val="000000" w:themeColor="text1"/>
              </w:rPr>
              <w:t xml:space="preserve"> </w:t>
            </w:r>
            <w:r>
              <w:rPr>
                <w:noProof/>
              </w:rPr>
              <w:t>2021 decemberében indították el. Ez az EU és 14 tagállam közötti innovatív koordinációs mechanizmus hozzájárul a szakpolitikai koherenciához ezen a területen. Az emberi jogokra és a demokráciára vonatkozó, a 2020–2024-es időszakra szóló cselekvési tervben meghatározott prioritásokkal összhangban közös célkitűzéseket határoz meg három kulcsfontosságú területen: „elszámoltathatóság és jogállamiság”; „politikai és polgári részvétel”; „média és digitalizáció”. Magában foglalja a civil társadalom és a szakosodott nemzetközi szereplők előtt nyitva álló Demokrácia Hálózatot is, amelyet 2023 júniusában indítottak el.</w:t>
            </w:r>
          </w:p>
          <w:p w14:paraId="3CCBF940" w14:textId="21340714" w:rsidR="00132185" w:rsidRDefault="4EDDE3F5">
            <w:pPr>
              <w:spacing w:after="120"/>
              <w:rPr>
                <w:noProof/>
              </w:rPr>
            </w:pPr>
            <w:r>
              <w:rPr>
                <w:noProof/>
              </w:rPr>
              <w:t xml:space="preserve">E célból </w:t>
            </w:r>
            <w:r>
              <w:rPr>
                <w:b/>
                <w:noProof/>
              </w:rPr>
              <w:t>számos</w:t>
            </w:r>
            <w:r>
              <w:rPr>
                <w:noProof/>
              </w:rPr>
              <w:t xml:space="preserve"> </w:t>
            </w:r>
            <w:r>
              <w:rPr>
                <w:b/>
                <w:noProof/>
              </w:rPr>
              <w:t>fejlesztési együttműködési programot</w:t>
            </w:r>
            <w:r>
              <w:rPr>
                <w:rStyle w:val="s2"/>
                <w:noProof/>
              </w:rPr>
              <w:t xml:space="preserve"> dolgoztak ki és indítottak el a </w:t>
            </w:r>
            <w:r>
              <w:rPr>
                <w:rStyle w:val="s2"/>
                <w:b/>
                <w:noProof/>
              </w:rPr>
              <w:t>demokráciatámogatás</w:t>
            </w:r>
            <w:r>
              <w:rPr>
                <w:rStyle w:val="s2"/>
                <w:noProof/>
              </w:rPr>
              <w:t xml:space="preserve"> területén</w:t>
            </w:r>
            <w:r>
              <w:rPr>
                <w:noProof/>
                <w:color w:val="000000" w:themeColor="text1"/>
              </w:rPr>
              <w:t>.</w:t>
            </w:r>
            <w:r>
              <w:rPr>
                <w:noProof/>
              </w:rPr>
              <w:t xml:space="preserve"> Példaként említhető a</w:t>
            </w:r>
            <w:r>
              <w:rPr>
                <w:rStyle w:val="s2"/>
                <w:noProof/>
              </w:rPr>
              <w:t xml:space="preserve"> 42 millió EUR-s WYDE („Nők és fiatalok a demokráciában” kezdeményezés) program. Az első komponens, a </w:t>
            </w:r>
            <w:r>
              <w:rPr>
                <w:rStyle w:val="s2"/>
                <w:b/>
                <w:noProof/>
              </w:rPr>
              <w:t>WYDE|Civic engagement</w:t>
            </w:r>
            <w:r>
              <w:rPr>
                <w:rStyle w:val="s2"/>
                <w:noProof/>
              </w:rPr>
              <w:t xml:space="preserve"> (polgári szerepvállalás), amelyet az </w:t>
            </w:r>
            <w:r>
              <w:rPr>
                <w:noProof/>
              </w:rPr>
              <w:t>„Európai partnerség a demokráciáért” (EPD) hajtott végre, 2022-ben kezdődött. Emellett segíti az uniós küldöttséget az emberi jogokra és a demokráciára vonatkozó országstratégiájuk végrehajtásában azáltal, hogy finanszírozást nyújt a demokratikus reformok érdekképviseletében, elszámoltathatósági tevékenységeiben és belföldi választási megfigyelésében részt vevő, alulról szerveződő ifjúsági szervezetek számára.</w:t>
            </w:r>
            <w:r>
              <w:rPr>
                <w:rStyle w:val="s2"/>
                <w:noProof/>
              </w:rPr>
              <w:t xml:space="preserve"> A </w:t>
            </w:r>
            <w:r>
              <w:rPr>
                <w:rStyle w:val="s2"/>
                <w:b/>
                <w:noProof/>
              </w:rPr>
              <w:t>WYDE|inter pares</w:t>
            </w:r>
            <w:r>
              <w:rPr>
                <w:rStyle w:val="s2"/>
                <w:noProof/>
              </w:rPr>
              <w:t xml:space="preserve"> segíti a parlamentközi együttműködés fokozását, különös tekintettel a fiatalok és a nők politikai életbe való bevonására.</w:t>
            </w:r>
          </w:p>
          <w:p w14:paraId="123652EA" w14:textId="65366311" w:rsidR="00470552" w:rsidRPr="000F5848" w:rsidRDefault="00470552">
            <w:pPr>
              <w:spacing w:after="120"/>
              <w:rPr>
                <w:noProof/>
              </w:rPr>
            </w:pPr>
            <w:r>
              <w:rPr>
                <w:noProof/>
              </w:rPr>
              <w:t>2023. március 28-án a csúcstalálkozó kísérő rendezvényén Dánia és az Európai Bizottság elindította a Digitális Demokrácia Kezdeményezést (DDI), amely egy olyan többadományozós program, amelynek célja a helyi civil társadalom megerősítése az inkluzív demokrácia védelme és előmozdítása érdekében a digitális korban, különös tekintettel a digitális technológiákhoz való egyenlő hozzáférésre, a fiatalok befogadására, az éghajlati igazságosságra és a mesterséges intelligenciával kapcsolatos kockázatok kezelésére (uniós hozzájárulás: 11 millió EUR). Az EU támogatja továbbá az UNESCO mesterséges intelligencia etikájáról szóló ajánlásainak, valamint a digitális platformok irányítására vonatkozó UNESCO-iránymutatásoknak a végrehajtását. E két fellépés célja az emberi jogok védelme a mesterséges intelligencia fejlesztésével és a digitális platformok szabályozási folyamatainak fejlesztésével összefüggésben világszerte.</w:t>
            </w:r>
          </w:p>
          <w:p w14:paraId="49178963" w14:textId="6D8F9AD5" w:rsidR="00470552" w:rsidRPr="000F5848" w:rsidRDefault="5178F2C8" w:rsidP="6B686193">
            <w:pPr>
              <w:spacing w:after="120"/>
              <w:rPr>
                <w:noProof/>
              </w:rPr>
            </w:pPr>
            <w:r>
              <w:rPr>
                <w:noProof/>
              </w:rPr>
              <w:t xml:space="preserve">Az </w:t>
            </w:r>
            <w:r>
              <w:rPr>
                <w:b/>
                <w:noProof/>
              </w:rPr>
              <w:t>EU bővítésével összefüggésben</w:t>
            </w:r>
            <w:r>
              <w:rPr>
                <w:noProof/>
              </w:rPr>
              <w:t xml:space="preserve"> a Bizottság 2017 óta finanszírozza az ODIHR azon támogató intézkedéseit, amelyek célja a választási ajánlások nyomon követése és a nyugat-balkáni választási reform támogatása. A jelenlegi szakasz (1,7 millió EUR-s költségvetés) 2024 közepéig tart. Kétoldalú szinten számos további kezdeményezést finanszíroznak a civil társadalom választási folyamatokban és demokratikus vitákban való részvételének támogatására. </w:t>
            </w:r>
          </w:p>
          <w:p w14:paraId="26FE8584" w14:textId="1D5B4DB9" w:rsidR="00470552" w:rsidRPr="000F5848" w:rsidRDefault="5178F2C8" w:rsidP="6B686193">
            <w:pPr>
              <w:spacing w:after="120"/>
              <w:rPr>
                <w:rStyle w:val="s2"/>
                <w:noProof/>
              </w:rPr>
            </w:pPr>
            <w:r>
              <w:rPr>
                <w:noProof/>
              </w:rPr>
              <w:t xml:space="preserve">Az EU részvétele a </w:t>
            </w:r>
            <w:r>
              <w:rPr>
                <w:b/>
                <w:noProof/>
              </w:rPr>
              <w:t>demokráciáról szóló</w:t>
            </w:r>
            <w:r>
              <w:rPr>
                <w:noProof/>
              </w:rPr>
              <w:t xml:space="preserve"> első (2021-es) és második (2023-as) </w:t>
            </w:r>
            <w:r>
              <w:rPr>
                <w:b/>
                <w:noProof/>
              </w:rPr>
              <w:t>csúcstalálkozón</w:t>
            </w:r>
            <w:r>
              <w:rPr>
                <w:noProof/>
              </w:rPr>
              <w:t xml:space="preserve"> lehetőséget adott a demokráciával foglalkozó szövetségek megerősítésére és az EU által a globális demokráciatámogatás terén végzett munka bemutatására</w:t>
            </w:r>
            <w:r>
              <w:rPr>
                <w:noProof/>
                <w:color w:val="1F497D"/>
              </w:rPr>
              <w:t xml:space="preserve">. </w:t>
            </w:r>
            <w:r>
              <w:rPr>
                <w:noProof/>
              </w:rPr>
              <w:t>Az EU részt vett a második csúcstalálkozót megelőző „cselekvési évben” azáltal, hogy részt vett a több érdekelt felet tömörítő koalíciókban,</w:t>
            </w:r>
            <w:r>
              <w:rPr>
                <w:rStyle w:val="s2"/>
                <w:noProof/>
              </w:rPr>
              <w:t xml:space="preserve"> az úgynevezett „demokráciai kohorszokban”, különös tekintettel az „</w:t>
            </w:r>
            <w:r>
              <w:rPr>
                <w:noProof/>
              </w:rPr>
              <w:t>ifjúsági politikai és polgári szerepvállalásra</w:t>
            </w:r>
            <w:r>
              <w:rPr>
                <w:rStyle w:val="s2"/>
                <w:noProof/>
              </w:rPr>
              <w:t>”, valamint a „Deliberatív demokráciára”.</w:t>
            </w:r>
          </w:p>
          <w:p w14:paraId="0D54D7AC" w14:textId="77777777" w:rsidR="00470552" w:rsidRPr="000F5848" w:rsidRDefault="00470552">
            <w:pPr>
              <w:spacing w:after="120"/>
              <w:rPr>
                <w:i/>
                <w:iCs/>
                <w:noProof/>
              </w:rPr>
            </w:pPr>
            <w:r>
              <w:rPr>
                <w:i/>
                <w:noProof/>
                <w:u w:val="single"/>
              </w:rPr>
              <w:t>Hasznos linkek</w:t>
            </w:r>
            <w:r>
              <w:rPr>
                <w:i/>
                <w:noProof/>
              </w:rPr>
              <w:t>:</w:t>
            </w:r>
          </w:p>
          <w:p w14:paraId="0AE2963D" w14:textId="77777777" w:rsidR="00470552" w:rsidRPr="000F5848" w:rsidRDefault="0072154A" w:rsidP="00021A27">
            <w:pPr>
              <w:spacing w:after="0"/>
              <w:rPr>
                <w:rStyle w:val="Hyperlink"/>
                <w:rFonts w:eastAsia="Calibri"/>
                <w:noProof/>
              </w:rPr>
            </w:pPr>
            <w:hyperlink r:id="rId28" w:history="1">
              <w:r w:rsidR="00C34E1C">
                <w:rPr>
                  <w:rStyle w:val="Hyperlink"/>
                  <w:noProof/>
                </w:rPr>
                <w:t>Team Europe Democracy (TED) |</w:t>
              </w:r>
            </w:hyperlink>
            <w:hyperlink r:id="rId29" w:history="1">
              <w:r w:rsidR="00C34E1C">
                <w:rPr>
                  <w:rStyle w:val="Hyperlink"/>
                  <w:noProof/>
                </w:rPr>
                <w:t xml:space="preserve"> Team Europe Initiative and Joint Programming tracker (Európa együtt kezdeményezés és közös programozási nyomkövető) (europa.eu)</w:t>
              </w:r>
            </w:hyperlink>
          </w:p>
          <w:p w14:paraId="31AA50D7" w14:textId="77777777" w:rsidR="00470552" w:rsidRPr="000F5848" w:rsidRDefault="0072154A" w:rsidP="00021A27">
            <w:pPr>
              <w:spacing w:after="0"/>
              <w:rPr>
                <w:rStyle w:val="Hyperlink"/>
                <w:rFonts w:eastAsia="Calibri"/>
                <w:noProof/>
              </w:rPr>
            </w:pPr>
            <w:hyperlink r:id="rId30" w:anchor=":~:text=Launched%20together%20with%20Denmark%20in%20a%20Team%20Europe,Action%20Plan%20on%20Human%20Rights%20and%20Democracy%202020%E2%80%932024.%E2%80%9D" w:history="1">
              <w:r w:rsidR="00C34E1C">
                <w:rPr>
                  <w:rStyle w:val="Hyperlink"/>
                  <w:noProof/>
                </w:rPr>
                <w:t>Promoting inclusive democracy in the digital age:</w:t>
              </w:r>
            </w:hyperlink>
            <w:hyperlink r:id="rId31" w:anchor=":~:text=Launched%20together%20with%20Denmark%20in%20a%20Team%20Europe,Action%20Plan%20on%20Human%20Rights%20and%20Democracy%202020%E2%80%932024.%E2%80%9D" w:history="1">
              <w:r w:rsidR="00C34E1C">
                <w:rPr>
                  <w:rStyle w:val="Hyperlink"/>
                  <w:noProof/>
                </w:rPr>
                <w:t xml:space="preserve"> EU and Denmark launch the Digital Democracy Initiative (A befogadó demokrácia előmozdítása a digitális korban: Az EU és Dánia elindítja a digitális demokráciára irányuló kezdeményezést) (europa.eu)</w:t>
              </w:r>
            </w:hyperlink>
          </w:p>
          <w:p w14:paraId="6DEC2829" w14:textId="38094A4A" w:rsidR="00470552" w:rsidRPr="000F5848" w:rsidRDefault="0072154A" w:rsidP="00021A27">
            <w:pPr>
              <w:spacing w:after="0"/>
              <w:rPr>
                <w:rStyle w:val="Hyperlink"/>
                <w:rFonts w:eastAsia="Calibri"/>
                <w:noProof/>
              </w:rPr>
            </w:pPr>
            <w:hyperlink r:id="rId32" w:history="1">
              <w:r w:rsidR="00C34E1C">
                <w:rPr>
                  <w:rStyle w:val="Hyperlink"/>
                  <w:noProof/>
                </w:rPr>
                <w:t>Csúcstalálkozó a demokráciáért:</w:t>
              </w:r>
            </w:hyperlink>
            <w:hyperlink r:id="rId33" w:history="1">
              <w:r w:rsidR="00C34E1C">
                <w:rPr>
                  <w:rStyle w:val="Hyperlink"/>
                  <w:noProof/>
                </w:rPr>
                <w:t xml:space="preserve"> az EU mérföldkőnek számító programokat indít a fiatalok mint a demokrácia kulcsszereplői helyzetének megerősítése érdekében (europa.eu)</w:t>
              </w:r>
            </w:hyperlink>
          </w:p>
          <w:p w14:paraId="5773BB6B" w14:textId="712A6A8E" w:rsidR="002D71E3" w:rsidRPr="000F5848" w:rsidRDefault="0072154A" w:rsidP="00021A27">
            <w:pPr>
              <w:spacing w:after="0"/>
              <w:rPr>
                <w:rStyle w:val="Hyperlink"/>
                <w:rFonts w:eastAsia="Calibri"/>
                <w:noProof/>
              </w:rPr>
            </w:pPr>
            <w:hyperlink r:id="rId34" w:anchor="March29" w:history="1">
              <w:r w:rsidR="00C34E1C">
                <w:rPr>
                  <w:rStyle w:val="Hyperlink"/>
                  <w:noProof/>
                </w:rPr>
                <w:t>Összefoglaló a demokráciáért:</w:t>
              </w:r>
            </w:hyperlink>
            <w:hyperlink r:id="rId35" w:anchor="March29" w:history="1">
              <w:r w:rsidR="00C34E1C">
                <w:rPr>
                  <w:rStyle w:val="Hyperlink"/>
                  <w:noProof/>
                </w:rPr>
                <w:t xml:space="preserve"> 2023. márciusi csúcstalálkozó</w:t>
              </w:r>
            </w:hyperlink>
          </w:p>
          <w:p w14:paraId="06EBAC5A" w14:textId="5F1FCDF3" w:rsidR="00470552" w:rsidRPr="000F5848" w:rsidRDefault="0072154A" w:rsidP="00021A27">
            <w:pPr>
              <w:spacing w:after="0"/>
              <w:rPr>
                <w:rStyle w:val="Hyperlink"/>
                <w:rFonts w:eastAsia="Calibri"/>
                <w:noProof/>
              </w:rPr>
            </w:pPr>
            <w:hyperlink r:id="rId36">
              <w:r w:rsidR="00C34E1C">
                <w:rPr>
                  <w:rStyle w:val="Hyperlink"/>
                  <w:noProof/>
                </w:rPr>
                <w:t>A választási reformok támogatása a Nyugat-Balkánon |</w:t>
              </w:r>
            </w:hyperlink>
            <w:hyperlink r:id="rId37">
              <w:r w:rsidR="00C34E1C">
                <w:rPr>
                  <w:rStyle w:val="Hyperlink"/>
                  <w:noProof/>
                </w:rPr>
                <w:t xml:space="preserve"> EBESZ</w:t>
              </w:r>
            </w:hyperlink>
          </w:p>
          <w:p w14:paraId="3F90246F" w14:textId="77777777" w:rsidR="00D9505B" w:rsidRPr="000F5848" w:rsidRDefault="0072154A" w:rsidP="00021A27">
            <w:pPr>
              <w:spacing w:after="0"/>
              <w:rPr>
                <w:rFonts w:eastAsia="Calibri"/>
                <w:noProof/>
                <w:color w:val="0563C1"/>
                <w:u w:val="single"/>
              </w:rPr>
            </w:pPr>
            <w:hyperlink r:id="rId38" w:history="1">
              <w:r w:rsidR="00C34E1C">
                <w:rPr>
                  <w:rStyle w:val="Hyperlink"/>
                  <w:noProof/>
                </w:rPr>
                <w:t>Az ifjúsági demokrácia kohorsza</w:t>
              </w:r>
            </w:hyperlink>
            <w:r w:rsidR="00C34E1C">
              <w:rPr>
                <w:noProof/>
                <w:color w:val="0563C1"/>
                <w:u w:val="single"/>
              </w:rPr>
              <w:t xml:space="preserve"> </w:t>
            </w:r>
          </w:p>
          <w:p w14:paraId="47AD32E2" w14:textId="2FEA035F" w:rsidR="00A27712" w:rsidRPr="000F5848" w:rsidRDefault="00A27712" w:rsidP="00021A27">
            <w:pPr>
              <w:spacing w:after="0"/>
              <w:rPr>
                <w:rFonts w:eastAsia="Calibri"/>
                <w:noProof/>
                <w:color w:val="0563C1"/>
                <w:u w:val="single"/>
              </w:rPr>
            </w:pPr>
          </w:p>
        </w:tc>
      </w:tr>
      <w:tr w:rsidR="00470552" w:rsidRPr="00CA5190" w14:paraId="6D3BBFC2" w14:textId="77777777" w:rsidTr="00E664BF">
        <w:trPr>
          <w:trHeight w:val="693"/>
          <w:jc w:val="center"/>
        </w:trPr>
        <w:tc>
          <w:tcPr>
            <w:tcW w:w="2122" w:type="dxa"/>
            <w:vMerge/>
          </w:tcPr>
          <w:p w14:paraId="5B70A0C9" w14:textId="77777777" w:rsidR="00470552" w:rsidRPr="000F5848" w:rsidRDefault="00470552">
            <w:pPr>
              <w:rPr>
                <w:i/>
                <w:iCs/>
                <w:noProof/>
              </w:rPr>
            </w:pPr>
          </w:p>
        </w:tc>
        <w:tc>
          <w:tcPr>
            <w:tcW w:w="2409" w:type="dxa"/>
            <w:tcBorders>
              <w:top w:val="single" w:sz="4" w:space="0" w:color="auto"/>
              <w:left w:val="single" w:sz="4" w:space="0" w:color="auto"/>
              <w:bottom w:val="single" w:sz="4" w:space="0" w:color="auto"/>
              <w:right w:val="single" w:sz="4" w:space="0" w:color="auto"/>
            </w:tcBorders>
          </w:tcPr>
          <w:p w14:paraId="0AD51B7C" w14:textId="77777777" w:rsidR="00470552" w:rsidRPr="000F5848" w:rsidRDefault="00470552">
            <w:pPr>
              <w:rPr>
                <w:i/>
                <w:iCs/>
                <w:noProof/>
              </w:rPr>
            </w:pPr>
            <w:r>
              <w:rPr>
                <w:i/>
                <w:noProof/>
              </w:rPr>
              <w:t xml:space="preserve">A harmadik országokban működő uniós </w:t>
            </w:r>
            <w:r>
              <w:rPr>
                <w:b/>
                <w:i/>
                <w:noProof/>
              </w:rPr>
              <w:t>választási megfigyelő missziók</w:t>
            </w:r>
            <w:r>
              <w:rPr>
                <w:i/>
                <w:noProof/>
              </w:rPr>
              <w:t xml:space="preserve"> kapacitásának megszilárdítása, hogy képesek legyenek az online választási kampányok megfigyelésére és értékelésére, valamint ajánlásaik nyomon követése</w:t>
            </w:r>
          </w:p>
        </w:tc>
        <w:tc>
          <w:tcPr>
            <w:tcW w:w="9956" w:type="dxa"/>
            <w:tcBorders>
              <w:top w:val="single" w:sz="4" w:space="0" w:color="auto"/>
              <w:left w:val="single" w:sz="4" w:space="0" w:color="auto"/>
              <w:bottom w:val="single" w:sz="4" w:space="0" w:color="auto"/>
              <w:right w:val="single" w:sz="4" w:space="0" w:color="auto"/>
            </w:tcBorders>
          </w:tcPr>
          <w:p w14:paraId="36CB597A" w14:textId="685CD401" w:rsidR="00F9762F" w:rsidRPr="001859F6" w:rsidRDefault="459D655D" w:rsidP="001859F6">
            <w:pPr>
              <w:spacing w:after="120" w:line="257" w:lineRule="auto"/>
              <w:rPr>
                <w:rFonts w:eastAsiaTheme="minorEastAsia"/>
                <w:noProof/>
              </w:rPr>
            </w:pPr>
            <w:r>
              <w:rPr>
                <w:noProof/>
              </w:rPr>
              <w:t>Az EU 2021-ben és 2022-ben 35 választási megfigyelő missziót (EOM), szakértői missziót (EEM) és nyomonkövetési missziót (EFM) küldött ki. A közösségi média megfigyelésére szolgáló megbízható módszertant és kísérő eszközöket minden uniós választási megfigyelő misszió következetesen alkalmazza, amelynek ajánlásait kiterjesztették erre a területre is. A közösségi médiával kapcsolatos megfigyelések alapértelmezés szerint beépülnek az egyes választási megfigyelő missziók fő szakértői csoportjába.</w:t>
            </w:r>
          </w:p>
          <w:p w14:paraId="4BBF3D06" w14:textId="762C0CC4" w:rsidR="00470552" w:rsidRPr="000F5848" w:rsidRDefault="001859F6" w:rsidP="00A27712">
            <w:pPr>
              <w:spacing w:after="120" w:line="257" w:lineRule="auto"/>
              <w:rPr>
                <w:rFonts w:eastAsiaTheme="minorEastAsia"/>
                <w:noProof/>
              </w:rPr>
            </w:pPr>
            <w:r>
              <w:rPr>
                <w:noProof/>
              </w:rPr>
              <w:t>A nemzetközi választási megfigyelés alapelveiről szóló nyilatkozatot (DoP) jóváhagyó szervezetekkel folytatott munka részeként az Európai Külügyi Szolgálat vezeti az adatvédelem választási integritásra gyakorolt hatásával foglalkozó munkacsoportot. A cél annak felvázolása, hogy melyek azok a vezérelvek és bevált gyakorlatok, amelyeket követni kell annak biztosítása érdekében, hogy az adatok védelemben részesüljenek a választási folyamat során, ezáltal erősítve a választások integritását, valamint védve a szavazók magánélethez és a nyilvános dokumentumokhoz való hozzáféréshez való jogát.</w:t>
            </w:r>
          </w:p>
          <w:p w14:paraId="4E7BDBC6" w14:textId="386A05C7" w:rsidR="00470552" w:rsidRPr="000F5848" w:rsidRDefault="646202DE" w:rsidP="001859F6">
            <w:pPr>
              <w:spacing w:after="120" w:line="257" w:lineRule="auto"/>
              <w:rPr>
                <w:rFonts w:eastAsiaTheme="minorEastAsia"/>
                <w:noProof/>
              </w:rPr>
            </w:pPr>
            <w:r>
              <w:rPr>
                <w:noProof/>
              </w:rPr>
              <w:t>Ezt megelőzően közös (nem kötelező erejű) iránymutatásokat fogadtak el az online kampány megfigyelésére és a választási információs és kommunikációs technológiák alapelveire vonatkozóan az EKSZ és az Európai Parlament által közösen szervezett 2022. decemberi plenáris ülésen, amelyet jelenleg alkalmaznak.</w:t>
            </w:r>
          </w:p>
          <w:p w14:paraId="0A68AE68" w14:textId="6CA722DC" w:rsidR="00470552" w:rsidRPr="000F5848" w:rsidRDefault="5178F2C8" w:rsidP="001859F6">
            <w:pPr>
              <w:spacing w:after="120" w:line="257" w:lineRule="auto"/>
              <w:rPr>
                <w:noProof/>
              </w:rPr>
            </w:pPr>
            <w:r>
              <w:rPr>
                <w:i/>
                <w:noProof/>
                <w:u w:val="single"/>
              </w:rPr>
              <w:t>Hasznos linkek</w:t>
            </w:r>
            <w:r>
              <w:rPr>
                <w:i/>
                <w:noProof/>
              </w:rPr>
              <w:t>:</w:t>
            </w:r>
            <w:r>
              <w:rPr>
                <w:noProof/>
              </w:rPr>
              <w:t xml:space="preserve"> </w:t>
            </w:r>
          </w:p>
          <w:p w14:paraId="3CF82E61" w14:textId="77777777" w:rsidR="001859F6" w:rsidRDefault="0072154A" w:rsidP="00021A27">
            <w:pPr>
              <w:spacing w:after="0"/>
              <w:rPr>
                <w:rStyle w:val="Hyperlink"/>
                <w:noProof/>
              </w:rPr>
            </w:pPr>
            <w:hyperlink r:id="rId39">
              <w:r w:rsidR="00C34E1C">
                <w:rPr>
                  <w:rStyle w:val="Hyperlink"/>
                  <w:noProof/>
                </w:rPr>
                <w:t>Uniós választási megfigyelő missziók</w:t>
              </w:r>
            </w:hyperlink>
          </w:p>
          <w:p w14:paraId="579E5FD3" w14:textId="74D79244" w:rsidR="001859F6" w:rsidRPr="001859F6" w:rsidRDefault="0072154A" w:rsidP="00021A27">
            <w:pPr>
              <w:spacing w:after="0"/>
              <w:rPr>
                <w:noProof/>
                <w:color w:val="0563C1" w:themeColor="hyperlink"/>
                <w:u w:val="single"/>
              </w:rPr>
            </w:pPr>
            <w:hyperlink r:id="rId40" w:history="1">
              <w:r w:rsidR="00C34E1C">
                <w:rPr>
                  <w:rStyle w:val="Hyperlink"/>
                  <w:noProof/>
                </w:rPr>
                <w:t>Nyilatkozat a nemzetközi választási megfigyelés alapelveiről</w:t>
              </w:r>
            </w:hyperlink>
            <w:r w:rsidR="00C34E1C">
              <w:rPr>
                <w:noProof/>
              </w:rPr>
              <w:t xml:space="preserve"> </w:t>
            </w:r>
          </w:p>
          <w:p w14:paraId="59E761DE" w14:textId="77777777" w:rsidR="00B10F13" w:rsidRPr="000F5848" w:rsidRDefault="0072154A" w:rsidP="00021A27">
            <w:pPr>
              <w:spacing w:after="0"/>
              <w:rPr>
                <w:rStyle w:val="Hyperlink"/>
                <w:noProof/>
              </w:rPr>
            </w:pPr>
            <w:hyperlink r:id="rId41" w:history="1">
              <w:r w:rsidR="00C34E1C">
                <w:rPr>
                  <w:rStyle w:val="Hyperlink"/>
                  <w:noProof/>
                </w:rPr>
                <w:t>Iránymutatás a közösségi oldalakon végzett választási kampányok megfigyeléséhez</w:t>
              </w:r>
            </w:hyperlink>
          </w:p>
          <w:p w14:paraId="6CF77B22" w14:textId="500138A8" w:rsidR="00D66D7E" w:rsidRPr="000F5848" w:rsidRDefault="00D66D7E" w:rsidP="00021A27">
            <w:pPr>
              <w:spacing w:after="0"/>
              <w:rPr>
                <w:noProof/>
              </w:rPr>
            </w:pPr>
          </w:p>
        </w:tc>
      </w:tr>
      <w:tr w:rsidR="00470552" w:rsidRPr="00CA5190" w14:paraId="75EB3AFE" w14:textId="77777777" w:rsidTr="00E664BF">
        <w:trPr>
          <w:trHeight w:val="693"/>
          <w:jc w:val="center"/>
        </w:trPr>
        <w:tc>
          <w:tcPr>
            <w:tcW w:w="2122" w:type="dxa"/>
            <w:vMerge/>
          </w:tcPr>
          <w:p w14:paraId="283871C9" w14:textId="77777777" w:rsidR="00470552" w:rsidRPr="000F5848" w:rsidRDefault="00470552">
            <w:pPr>
              <w:spacing w:after="0"/>
              <w:rPr>
                <w:b/>
                <w:bCs/>
                <w:i/>
                <w:iCs/>
                <w:noProof/>
              </w:rPr>
            </w:pPr>
          </w:p>
        </w:tc>
        <w:tc>
          <w:tcPr>
            <w:tcW w:w="2409" w:type="dxa"/>
            <w:tcBorders>
              <w:top w:val="single" w:sz="4" w:space="0" w:color="auto"/>
              <w:left w:val="single" w:sz="4" w:space="0" w:color="auto"/>
              <w:bottom w:val="single" w:sz="4" w:space="0" w:color="auto"/>
              <w:right w:val="single" w:sz="4" w:space="0" w:color="auto"/>
            </w:tcBorders>
          </w:tcPr>
          <w:p w14:paraId="1871ECAF" w14:textId="77777777" w:rsidR="00470552" w:rsidRPr="000F5848" w:rsidRDefault="00470552">
            <w:pPr>
              <w:spacing w:after="0"/>
              <w:rPr>
                <w:b/>
                <w:bCs/>
                <w:i/>
                <w:iCs/>
                <w:noProof/>
              </w:rPr>
            </w:pPr>
            <w:r>
              <w:rPr>
                <w:b/>
                <w:i/>
                <w:noProof/>
              </w:rPr>
              <w:t>Az uniós strukturális alapok felhasználásának ösztönzése a civil társadalom finanszírozására</w:t>
            </w:r>
            <w:r>
              <w:rPr>
                <w:i/>
                <w:noProof/>
              </w:rPr>
              <w:t xml:space="preserve">, valamint a </w:t>
            </w:r>
            <w:r>
              <w:rPr>
                <w:b/>
                <w:i/>
                <w:noProof/>
              </w:rPr>
              <w:t>deliberatív polgári szerepvállalást és politikai részvételt</w:t>
            </w:r>
            <w:r>
              <w:rPr>
                <w:i/>
                <w:noProof/>
              </w:rPr>
              <w:t xml:space="preserve"> szolgáló kapacitásépítésre és intézményi/adminisztratív infrastruktúra kiépítésére</w:t>
            </w:r>
          </w:p>
          <w:p w14:paraId="6591C60C" w14:textId="77777777" w:rsidR="00470552" w:rsidRPr="000F5848" w:rsidRDefault="00470552">
            <w:pPr>
              <w:spacing w:after="0"/>
              <w:rPr>
                <w:i/>
                <w:noProof/>
              </w:rPr>
            </w:pPr>
          </w:p>
        </w:tc>
        <w:tc>
          <w:tcPr>
            <w:tcW w:w="9956" w:type="dxa"/>
            <w:tcBorders>
              <w:top w:val="single" w:sz="4" w:space="0" w:color="auto"/>
              <w:left w:val="single" w:sz="4" w:space="0" w:color="auto"/>
              <w:bottom w:val="single" w:sz="4" w:space="0" w:color="auto"/>
              <w:right w:val="single" w:sz="4" w:space="0" w:color="auto"/>
            </w:tcBorders>
          </w:tcPr>
          <w:p w14:paraId="3E6BE229" w14:textId="7161895E" w:rsidR="00470552" w:rsidRPr="00086469" w:rsidRDefault="00470552" w:rsidP="00095A5B">
            <w:pPr>
              <w:spacing w:after="120"/>
              <w:rPr>
                <w:noProof/>
              </w:rPr>
            </w:pPr>
            <w:r>
              <w:rPr>
                <w:noProof/>
              </w:rPr>
              <w:t>A Bizottság egy sor rendezvényt és projektet koordinált annak érdekében, hogy figyelemfelhívással és kapacitásépítéssel segítse elő a polgári szerepvállalásta kohéziós politika tervezésében és végrehajtásában, valamint a szélesebb körű és stratégiai uniós szakpolitikákkal összefüggésben.</w:t>
            </w:r>
          </w:p>
          <w:p w14:paraId="24088A1D" w14:textId="3DB3897C" w:rsidR="630D248E" w:rsidRPr="000F5848" w:rsidRDefault="630D248E" w:rsidP="00095A5B">
            <w:pPr>
              <w:spacing w:after="120"/>
              <w:rPr>
                <w:noProof/>
              </w:rPr>
            </w:pPr>
            <w:r>
              <w:rPr>
                <w:noProof/>
              </w:rPr>
              <w:t xml:space="preserve">A </w:t>
            </w:r>
            <w:r>
              <w:rPr>
                <w:b/>
                <w:noProof/>
              </w:rPr>
              <w:t>partnerség elve</w:t>
            </w:r>
            <w:r>
              <w:rPr>
                <w:noProof/>
              </w:rPr>
              <w:t xml:space="preserve"> az EU kohéziós politikájának központi eleme. Fontos szerepet játszik az uniós politikai döntéshozatal legitimitásának, valamint az EU és a nemzeti hatóságok általi beruházások demokratikus elszámoltathatóságának megerősítésében, hogy az érdekelt felek – és rajtuk keresztül a polgárok is – hallathassák hangjukat az őket közvetlenül érintő döntésekben. A partnerségi magatartási kódex biztosítja, hogy a regionális, helyi és városi hatóságokat, valamint a civil társadalmat, a környezetvédelmi és szociális partnereket és a nem kormányzati szervezeteket bevonják a helyi beruházási projektek tervezésébe és végrehajtásába. </w:t>
            </w:r>
          </w:p>
          <w:p w14:paraId="434C76EB" w14:textId="71AEF02E" w:rsidR="630D248E" w:rsidRPr="000F5848" w:rsidRDefault="630D248E" w:rsidP="00095A5B">
            <w:pPr>
              <w:spacing w:after="120"/>
              <w:rPr>
                <w:noProof/>
              </w:rPr>
            </w:pPr>
            <w:r>
              <w:rPr>
                <w:noProof/>
              </w:rPr>
              <w:t xml:space="preserve">2022-ben a Bizottság elindította a </w:t>
            </w:r>
            <w:r>
              <w:rPr>
                <w:b/>
                <w:noProof/>
              </w:rPr>
              <w:t>Partnerségi Gyakorlatok Európai Közösségét</w:t>
            </w:r>
            <w:r>
              <w:rPr>
                <w:noProof/>
              </w:rPr>
              <w:t xml:space="preserve"> (ECoPP), amely a civil társadalom, a hatóságok, valamint a regionális és helyi szintű érdekelt felek 159 képviselőjét tömöríti, hogy előmozdítsa a partnerséget az uniós alapok végrehajtása során. A hálózat konkrét iránymutatásokat dolgozott ki a partnerség szakpolitikai keretére vonatkozóan, valamint eszközöket biztosított a partnerség Unió-szerte történő megerősítéséhez. Emellett</w:t>
            </w:r>
            <w:r>
              <w:rPr>
                <w:noProof/>
                <w:color w:val="00B050"/>
              </w:rPr>
              <w:t xml:space="preserve"> </w:t>
            </w:r>
            <w:r>
              <w:rPr>
                <w:noProof/>
              </w:rPr>
              <w:t xml:space="preserve">a kohéziós politika 26,9 milliárd EUR-t kíván befektetni a polgárokhoz közelebb álló Európára irányuló szakpolitikai célkitűzés keretében, lehetővé téve a helyi önkormányzatok számára, hogy Európa-szerte integrált, helyi alapú beruházásokat hajtsanak végre, a helyi lakosság és más érdekelt felek szoros bevonásával. </w:t>
            </w:r>
          </w:p>
          <w:p w14:paraId="38DFD03F" w14:textId="089D6F6C" w:rsidR="1B2B379C" w:rsidRPr="000F5848" w:rsidRDefault="1B2B379C" w:rsidP="00095A5B">
            <w:pPr>
              <w:spacing w:after="120"/>
              <w:rPr>
                <w:noProof/>
              </w:rPr>
            </w:pPr>
            <w:r>
              <w:rPr>
                <w:noProof/>
              </w:rPr>
              <w:t xml:space="preserve">2020 júliusában a Bizottság és az OECD megkezdte az együttműködést annak érdekében, hogy </w:t>
            </w:r>
            <w:r>
              <w:rPr>
                <w:b/>
                <w:noProof/>
              </w:rPr>
              <w:t>technikai támogatást nyújtson azoknak a hatóságoknak és civil társadalmi szervezeteknek</w:t>
            </w:r>
            <w:r>
              <w:rPr>
                <w:noProof/>
              </w:rPr>
              <w:t xml:space="preserve">, </w:t>
            </w:r>
            <w:r>
              <w:rPr>
                <w:b/>
                <w:noProof/>
              </w:rPr>
              <w:t>amelyek deliberatív folyamatokat kívánnak végrehajtani</w:t>
            </w:r>
            <w:r>
              <w:rPr>
                <w:noProof/>
              </w:rPr>
              <w:t xml:space="preserve"> (pl. polgári zsűri, szavazás, költségvetés-tervezés) az ERFA, a MÁTA és a Kohéziós Alap által finanszírozott beruházások tervezésével, végrehajtásával és nyomon követésével összefüggésben. Az első szakaszt követően „</w:t>
            </w:r>
            <w:hyperlink r:id="rId42" w:history="1">
              <w:r>
                <w:rPr>
                  <w:rStyle w:val="Hyperlink"/>
                  <w:noProof/>
                </w:rPr>
                <w:t>A polgárok bevonása a kohéziós politikába</w:t>
              </w:r>
            </w:hyperlink>
            <w:r>
              <w:rPr>
                <w:noProof/>
              </w:rPr>
              <w:t xml:space="preserve">” című zárójelentés közzétételével a 2. szakasz 2022 júliusában kezdődött. Jelenleg nyolc tanácskozási folyamat van folyamatban vagy előkészítés alatt Belgiumban, Olaszországban, Lengyelországban, Romániában és Spanyolországban. </w:t>
            </w:r>
          </w:p>
          <w:p w14:paraId="0C89211E" w14:textId="0A046D33" w:rsidR="00470552" w:rsidRPr="000F5848" w:rsidRDefault="00470552" w:rsidP="00095A5B">
            <w:pPr>
              <w:spacing w:after="120"/>
              <w:rPr>
                <w:noProof/>
              </w:rPr>
            </w:pPr>
            <w:r>
              <w:rPr>
                <w:noProof/>
              </w:rPr>
              <w:t xml:space="preserve">Egy másik példa egy 2022-ben indított kísérleti projekt, amelynek célja </w:t>
            </w:r>
            <w:r>
              <w:rPr>
                <w:b/>
                <w:noProof/>
              </w:rPr>
              <w:t>a polgárok bevonása a városi területek zöld infrastruktúrájába</w:t>
            </w:r>
            <w:r>
              <w:rPr>
                <w:noProof/>
              </w:rPr>
              <w:t xml:space="preserve">, 10 európai városban. E munka kiadványa </w:t>
            </w:r>
            <w:hyperlink r:id="rId43" w:history="1">
              <w:hyperlink w:history="1">
                <w:r>
                  <w:rPr>
                    <w:noProof/>
                  </w:rPr>
                  <w:t>online atlasz</w:t>
                </w:r>
              </w:hyperlink>
            </w:hyperlink>
            <w:r>
              <w:rPr>
                <w:noProof/>
              </w:rPr>
              <w:t xml:space="preserve"> formájában érhető el, amely többek között indokolást és iránymutatást nyújt a polgárok városi szintű szerepvállalásához.</w:t>
            </w:r>
          </w:p>
          <w:p w14:paraId="03C826D6" w14:textId="7AB66BE8" w:rsidR="00470552" w:rsidRPr="000F5848" w:rsidRDefault="00470552" w:rsidP="00095A5B">
            <w:pPr>
              <w:spacing w:after="120"/>
              <w:rPr>
                <w:noProof/>
              </w:rPr>
            </w:pPr>
            <w:r>
              <w:rPr>
                <w:noProof/>
              </w:rPr>
              <w:t xml:space="preserve">A Bizottság </w:t>
            </w:r>
            <w:r>
              <w:rPr>
                <w:b/>
                <w:noProof/>
              </w:rPr>
              <w:t>képzési csomagot dolgoz ki a közös alkotásról és a tanácskozási gyakorlatokról</w:t>
            </w:r>
            <w:r>
              <w:rPr>
                <w:noProof/>
              </w:rPr>
              <w:t xml:space="preserve">, amely az irányítás valamennyi szintjén a közigazgatást célozza meg. Ez a csomag </w:t>
            </w:r>
            <w:bookmarkStart w:id="3" w:name="_Int_meynTSXl"/>
            <w:r>
              <w:rPr>
                <w:noProof/>
              </w:rPr>
              <w:t xml:space="preserve">az </w:t>
            </w:r>
            <w:bookmarkEnd w:id="3"/>
            <w:r>
              <w:rPr>
                <w:noProof/>
              </w:rPr>
              <w:t xml:space="preserve">oktatók képzését is magában foglalja. A teljes csomagot várhatóan 2024 első negyedévében teszik közzé az EU Akadémián keresztül. </w:t>
            </w:r>
          </w:p>
          <w:p w14:paraId="4A505145" w14:textId="6A13C657" w:rsidR="20519E47" w:rsidRPr="000F5848" w:rsidRDefault="15B49CAA" w:rsidP="00095A5B">
            <w:pPr>
              <w:spacing w:after="120"/>
              <w:rPr>
                <w:noProof/>
              </w:rPr>
            </w:pPr>
            <w:r>
              <w:rPr>
                <w:noProof/>
              </w:rPr>
              <w:t xml:space="preserve">A Bizottság emellett tanulmányt készít a </w:t>
            </w:r>
            <w:r>
              <w:rPr>
                <w:b/>
                <w:noProof/>
              </w:rPr>
              <w:t>nyilvános terek szerepéről a demokratikus gyakorlatok lehetővé tétele érdekében</w:t>
            </w:r>
            <w:r>
              <w:rPr>
                <w:noProof/>
              </w:rPr>
              <w:t>. Ez egy tágabb elképzelés része, amely figyelembe veszi a demokrácia infrastruktúrája újradefiniálásának szükségességét. A tudományos szakpolitikai jelentést, amely a világ szakértőinek észrevételein alapul, a tervek szerint 2024 őszén teszik közzé.</w:t>
            </w:r>
          </w:p>
          <w:p w14:paraId="3086964B" w14:textId="7E4F71BB" w:rsidR="00470552" w:rsidRPr="000F5848" w:rsidRDefault="00470552" w:rsidP="00095A5B">
            <w:pPr>
              <w:spacing w:after="120"/>
              <w:rPr>
                <w:noProof/>
              </w:rPr>
            </w:pPr>
            <w:r>
              <w:rPr>
                <w:noProof/>
              </w:rPr>
              <w:t xml:space="preserve">2021 szeptemberében a Bizottság elindította a </w:t>
            </w:r>
            <w:r>
              <w:rPr>
                <w:b/>
                <w:noProof/>
              </w:rPr>
              <w:t>részvételi és deliberatív demokráciával foglalkozó kompetenciaközpontot</w:t>
            </w:r>
            <w:r>
              <w:rPr>
                <w:noProof/>
              </w:rPr>
              <w:t>, hogy kapacitást építsen és bevált gyakorlatokat alakítson ki a részvételen alapuló és deliberatív polgári szerepvállalási gyakorlatok terén, amelyek valamennyi kormányzati szintre irányulnak. A kompetenciaközpont a részvételi és deliberatív demokráciáról szóló legfrissebb anyagok alapján támogatja a Bizottság szolgálatait és a tagállamokat.</w:t>
            </w:r>
          </w:p>
          <w:p w14:paraId="364077B7" w14:textId="262FB991" w:rsidR="00470552" w:rsidRPr="000F5848" w:rsidRDefault="00470552" w:rsidP="00095A5B">
            <w:pPr>
              <w:spacing w:after="120"/>
              <w:rPr>
                <w:noProof/>
              </w:rPr>
            </w:pPr>
            <w:r>
              <w:rPr>
                <w:noProof/>
              </w:rPr>
              <w:t xml:space="preserve">Külső szinten a </w:t>
            </w:r>
            <w:r>
              <w:rPr>
                <w:b/>
                <w:noProof/>
              </w:rPr>
              <w:t>Globális Európa Eszköz</w:t>
            </w:r>
            <w:r>
              <w:rPr>
                <w:noProof/>
              </w:rPr>
              <w:t xml:space="preserve"> (NDICI – Globális Európa) (NDICI) civil társadalmi programja (1,5 milliárd EUR) előmozdítja a civil társadalmat mint a kormányzás szereplőit, míg az Emberi Jogok és Demokrácia program (1,5 milliárd EUR) célzott intézkedéseket tartalmaz az emberi jogok és a demokrácia civil társadalmának és az emberijog-védőknek a védelmére és kapacitásépítésére. Az EU például támogatja a </w:t>
            </w:r>
            <w:r>
              <w:rPr>
                <w:i/>
                <w:noProof/>
              </w:rPr>
              <w:t>Protect.Defenders.eu</w:t>
            </w:r>
            <w:r>
              <w:rPr>
                <w:noProof/>
              </w:rPr>
              <w:t xml:space="preserve"> elnevezésű programot (30 millió EUR), amely létfontosságú támogatást nyújt az emberijog-védőknek világszerte. Az EU emellett finanszírozott egy, a civil társadalmat támogató környezetre irányuló uniós rendszert (50 millió EUR), amely nyomon követi a civil társadalom számára kedvező környezetet, és korai előrejelzést nyújt a változások idején, valamint hosszú távú kapacitásépítést és rugalmas pénzügyi támogatást biztosít.</w:t>
            </w:r>
          </w:p>
          <w:p w14:paraId="37ED8712" w14:textId="288D7F64" w:rsidR="00E638F9" w:rsidRPr="000F5848" w:rsidRDefault="00E638F9" w:rsidP="001859F6">
            <w:pPr>
              <w:spacing w:after="120"/>
              <w:textAlignment w:val="baseline"/>
              <w:rPr>
                <w:noProof/>
              </w:rPr>
            </w:pPr>
            <w:r>
              <w:rPr>
                <w:noProof/>
              </w:rPr>
              <w:t xml:space="preserve">Az </w:t>
            </w:r>
            <w:r>
              <w:rPr>
                <w:b/>
                <w:noProof/>
              </w:rPr>
              <w:t>EU fejlesztési nevelési és tudatosságnövelő programja</w:t>
            </w:r>
            <w:r>
              <w:rPr>
                <w:noProof/>
              </w:rPr>
              <w:t xml:space="preserve"> (186 millió EUR) együttműködik az európai civil társadalmi szervezetekkel és helyi hatóságokkal annak érdekében, hogy képessé tegye az uniós polgárokat a globális kihívások és válságok kezelésére; és előmozdítsa az európai értékeket, az igazságosságot, az emberi jogokat és a demokráciát, a közös felelősséget, a méltányosságot és a fenntartható fejlődést helyi és globális szinten. </w:t>
            </w:r>
          </w:p>
          <w:p w14:paraId="60F9F94F" w14:textId="0A8C3C72" w:rsidR="001D5632" w:rsidRPr="000F5848" w:rsidRDefault="214B4EF9" w:rsidP="00095A5B">
            <w:pPr>
              <w:spacing w:after="120"/>
              <w:rPr>
                <w:noProof/>
              </w:rPr>
            </w:pPr>
            <w:r>
              <w:rPr>
                <w:noProof/>
              </w:rPr>
              <w:t xml:space="preserve">A Bizottság emellett jelentős pénzügyi támogatást nyújt a nyugat-balkáni és törökországi civil társadalomnak. Az IPA II (2014–2020) keretében az EU mintegy 333 millió EUR-t biztosított a civil társadalomnak és a médiának a régióban a </w:t>
            </w:r>
            <w:r>
              <w:rPr>
                <w:b/>
                <w:noProof/>
              </w:rPr>
              <w:t>Civil Társadalmi Eszközön és a Médiaprogramon</w:t>
            </w:r>
            <w:r>
              <w:rPr>
                <w:noProof/>
              </w:rPr>
              <w:t xml:space="preserve"> keresztül. A 2021–2023-as időszakra már 218,5 millió EUR-t, a 2024–2027-es időszakra pedig szintén hasonló összegeket különítettek el. </w:t>
            </w:r>
          </w:p>
          <w:p w14:paraId="304E8968" w14:textId="7BCD4C2A" w:rsidR="001E03C5" w:rsidRDefault="001E03C5" w:rsidP="00051FB5">
            <w:pPr>
              <w:spacing w:after="120"/>
              <w:rPr>
                <w:noProof/>
              </w:rPr>
            </w:pPr>
            <w:r>
              <w:rPr>
                <w:noProof/>
              </w:rPr>
              <w:t xml:space="preserve">A támogatást többféle csatornán és módon nyújtják, beleértve a civil társadalmi szervezeteknek különböző témákban nyújtott támogatásokat és a kapacitásuk kiépítéséhez szükséges technikai segítségnyújtást. Többek között az </w:t>
            </w:r>
            <w:r>
              <w:rPr>
                <w:b/>
                <w:noProof/>
              </w:rPr>
              <w:t>Európai Demokrácia Alapítvány</w:t>
            </w:r>
            <w:r>
              <w:rPr>
                <w:noProof/>
              </w:rPr>
              <w:t xml:space="preserve"> rugalmas újratámogatási programot hajt végre a demokráciapárti támogatás érdekében a gyorsan változó környezetben (pl. induló vállalkozások finanszírozása, alap- és áthidaló finanszírozás, kis léptékű kezdeményezések támogatása).  A demokrácia és az emberi jogok uniós eszköze keretében további támogatást nyújtanak.</w:t>
            </w:r>
          </w:p>
          <w:p w14:paraId="623D715C" w14:textId="77777777" w:rsidR="00470552" w:rsidRPr="000F5848" w:rsidRDefault="00470552">
            <w:pPr>
              <w:spacing w:after="120"/>
              <w:rPr>
                <w:i/>
                <w:iCs/>
                <w:noProof/>
              </w:rPr>
            </w:pPr>
            <w:r>
              <w:rPr>
                <w:i/>
                <w:noProof/>
                <w:u w:val="single"/>
              </w:rPr>
              <w:t>Hasznos linkek</w:t>
            </w:r>
            <w:r>
              <w:rPr>
                <w:i/>
                <w:noProof/>
              </w:rPr>
              <w:t>:</w:t>
            </w:r>
          </w:p>
          <w:p w14:paraId="6A32B401" w14:textId="1ED71FD7" w:rsidR="00470552" w:rsidRDefault="0072154A" w:rsidP="00021A27">
            <w:pPr>
              <w:spacing w:after="0"/>
              <w:rPr>
                <w:noProof/>
              </w:rPr>
            </w:pPr>
            <w:hyperlink r:id="rId44" w:history="1">
              <w:r w:rsidR="00C34E1C">
                <w:rPr>
                  <w:rStyle w:val="Hyperlink"/>
                  <w:noProof/>
                </w:rPr>
                <w:t>A polgárok bevonása a kohéziós politikába:</w:t>
              </w:r>
            </w:hyperlink>
            <w:hyperlink r:id="rId45" w:history="1">
              <w:r w:rsidR="00C34E1C">
                <w:rPr>
                  <w:rStyle w:val="Hyperlink"/>
                  <w:noProof/>
                </w:rPr>
                <w:t xml:space="preserve"> a kísérleti projekt zárójelentése |</w:t>
              </w:r>
            </w:hyperlink>
            <w:hyperlink r:id="rId46" w:history="1">
              <w:r w:rsidR="00C34E1C">
                <w:rPr>
                  <w:rStyle w:val="Hyperlink"/>
                  <w:noProof/>
                </w:rPr>
                <w:t xml:space="preserve"> en |</w:t>
              </w:r>
            </w:hyperlink>
            <w:hyperlink r:id="rId47" w:history="1">
              <w:r w:rsidR="00C34E1C">
                <w:rPr>
                  <w:rStyle w:val="Hyperlink"/>
                  <w:noProof/>
                </w:rPr>
                <w:t xml:space="preserve"> OECD </w:t>
              </w:r>
            </w:hyperlink>
            <w:r w:rsidR="00C34E1C">
              <w:rPr>
                <w:noProof/>
              </w:rPr>
              <w:t xml:space="preserve"> </w:t>
            </w:r>
          </w:p>
          <w:p w14:paraId="667E1251" w14:textId="7DD8B5DA" w:rsidR="001859F6" w:rsidRDefault="0072154A" w:rsidP="00021A27">
            <w:pPr>
              <w:spacing w:after="0"/>
              <w:rPr>
                <w:noProof/>
              </w:rPr>
            </w:pPr>
            <w:hyperlink r:id="rId48" w:history="1">
              <w:r w:rsidR="00C34E1C">
                <w:rPr>
                  <w:rStyle w:val="Hyperlink"/>
                  <w:noProof/>
                </w:rPr>
                <w:t>A részvételi és deliberatív demokráciával foglalkozó kompetenciaközpont</w:t>
              </w:r>
            </w:hyperlink>
          </w:p>
          <w:p w14:paraId="6A37C4C4" w14:textId="74B7E9F9" w:rsidR="00E67C42" w:rsidRPr="000F5848" w:rsidRDefault="0072154A" w:rsidP="00021A27">
            <w:pPr>
              <w:spacing w:after="0"/>
              <w:rPr>
                <w:rFonts w:eastAsia="Calibri"/>
                <w:noProof/>
              </w:rPr>
            </w:pPr>
            <w:hyperlink r:id="rId49" w:history="1">
              <w:r w:rsidR="00C34E1C">
                <w:rPr>
                  <w:rStyle w:val="Hyperlink"/>
                  <w:noProof/>
                </w:rPr>
                <w:t>Csúcstalálkozó a demokráciáért:</w:t>
              </w:r>
            </w:hyperlink>
            <w:hyperlink r:id="rId50" w:history="1">
              <w:r w:rsidR="00C34E1C">
                <w:rPr>
                  <w:rStyle w:val="Hyperlink"/>
                  <w:noProof/>
                </w:rPr>
                <w:t xml:space="preserve"> az EU mérföldkőnek számító programokat indít a fiatalok mint a demokrácia kulcsszereplői helyzetének megerősítése érdekében (europa.eu)</w:t>
              </w:r>
            </w:hyperlink>
          </w:p>
          <w:p w14:paraId="2E58C361" w14:textId="55C1A441" w:rsidR="00B27956" w:rsidRPr="000F5848" w:rsidRDefault="0072154A" w:rsidP="00021A27">
            <w:pPr>
              <w:spacing w:after="0"/>
              <w:rPr>
                <w:rStyle w:val="Hyperlink"/>
                <w:rFonts w:eastAsia="Calibri"/>
                <w:noProof/>
              </w:rPr>
            </w:pPr>
            <w:hyperlink r:id="rId51" w:history="1">
              <w:r w:rsidR="00C34E1C">
                <w:rPr>
                  <w:rStyle w:val="Hyperlink"/>
                  <w:noProof/>
                </w:rPr>
                <w:t>Európai Demokrácia Alapítvány – kezdőlap (democracyendowment.eu)</w:t>
              </w:r>
            </w:hyperlink>
          </w:p>
          <w:p w14:paraId="76817A82" w14:textId="77777777" w:rsidR="00470552" w:rsidRPr="000F5848" w:rsidRDefault="004E1A9D" w:rsidP="00021A27">
            <w:pPr>
              <w:spacing w:after="0"/>
              <w:rPr>
                <w:rStyle w:val="eop"/>
                <w:noProof/>
                <w:color w:val="000000"/>
                <w:shd w:val="clear" w:color="auto" w:fill="FFFFFF"/>
              </w:rPr>
            </w:pPr>
            <w:r>
              <w:rPr>
                <w:rStyle w:val="normaltextrun"/>
                <w:noProof/>
                <w:color w:val="0078D4"/>
                <w:u w:val="single"/>
                <w:shd w:val="clear" w:color="auto" w:fill="FFFFFF"/>
              </w:rPr>
              <w:t>DEAR: Fejlesztési oktatási és tudatosságnövelő program (europa.eu)</w:t>
            </w:r>
            <w:r>
              <w:rPr>
                <w:rStyle w:val="eop"/>
                <w:noProof/>
                <w:color w:val="000000"/>
                <w:shd w:val="clear" w:color="auto" w:fill="FFFFFF"/>
              </w:rPr>
              <w:t> </w:t>
            </w:r>
          </w:p>
          <w:p w14:paraId="3FB44124" w14:textId="77777777" w:rsidR="00E32DA3" w:rsidRPr="000F5848" w:rsidRDefault="0072154A" w:rsidP="00021A27">
            <w:pPr>
              <w:spacing w:after="0"/>
              <w:rPr>
                <w:rFonts w:eastAsia="Calibri"/>
                <w:noProof/>
              </w:rPr>
            </w:pPr>
            <w:hyperlink r:id="rId52" w:anchor=":~:text=The%20European%20Instrument%20for%20Democracy%20and%20Human%20Rights,rights%2C%20fundamental%20freedoms%20and%20democracy%20in%20non-EU%20countries." w:history="1">
              <w:r w:rsidR="00C34E1C">
                <w:rPr>
                  <w:rStyle w:val="Hyperlink"/>
                  <w:noProof/>
                </w:rPr>
                <w:t>A demokrácia és az emberi jogok európai eszköze – EIDHR</w:t>
              </w:r>
            </w:hyperlink>
          </w:p>
          <w:p w14:paraId="12FFAF0D" w14:textId="438E287E" w:rsidR="00021A27" w:rsidRPr="000F5848" w:rsidRDefault="00021A27" w:rsidP="00021A27">
            <w:pPr>
              <w:spacing w:after="0"/>
              <w:rPr>
                <w:rFonts w:eastAsia="Calibri"/>
                <w:noProof/>
              </w:rPr>
            </w:pPr>
          </w:p>
        </w:tc>
      </w:tr>
      <w:tr w:rsidR="00470552" w:rsidRPr="00400E7B" w14:paraId="3475DE81" w14:textId="77777777" w:rsidTr="00E664BF">
        <w:trPr>
          <w:trHeight w:val="693"/>
          <w:jc w:val="center"/>
        </w:trPr>
        <w:tc>
          <w:tcPr>
            <w:tcW w:w="2122" w:type="dxa"/>
            <w:vMerge/>
          </w:tcPr>
          <w:p w14:paraId="5C432818" w14:textId="77777777" w:rsidR="00470552" w:rsidRPr="00545A82" w:rsidRDefault="00470552">
            <w:pPr>
              <w:tabs>
                <w:tab w:val="left" w:pos="1547"/>
              </w:tabs>
              <w:spacing w:after="0"/>
              <w:rPr>
                <w:i/>
                <w:iCs/>
                <w:noProof/>
              </w:rPr>
            </w:pPr>
          </w:p>
        </w:tc>
        <w:tc>
          <w:tcPr>
            <w:tcW w:w="2409" w:type="dxa"/>
            <w:tcBorders>
              <w:top w:val="single" w:sz="4" w:space="0" w:color="auto"/>
              <w:left w:val="single" w:sz="4" w:space="0" w:color="auto"/>
              <w:bottom w:val="single" w:sz="4" w:space="0" w:color="auto"/>
              <w:right w:val="single" w:sz="4" w:space="0" w:color="auto"/>
            </w:tcBorders>
          </w:tcPr>
          <w:p w14:paraId="17660A72" w14:textId="0D9EA91A" w:rsidR="00470552" w:rsidRPr="000F5848" w:rsidRDefault="00470552">
            <w:pPr>
              <w:tabs>
                <w:tab w:val="left" w:pos="1547"/>
              </w:tabs>
              <w:spacing w:after="0"/>
              <w:rPr>
                <w:i/>
                <w:iCs/>
                <w:noProof/>
              </w:rPr>
            </w:pPr>
            <w:r>
              <w:rPr>
                <w:i/>
                <w:noProof/>
              </w:rPr>
              <w:t xml:space="preserve">Az </w:t>
            </w:r>
            <w:r>
              <w:rPr>
                <w:b/>
                <w:i/>
                <w:noProof/>
              </w:rPr>
              <w:t>uniós ifjúsági stratégia, az állampolgári nevelés, a Kreatív Európa program és az egyenlőségi program</w:t>
            </w:r>
            <w:r>
              <w:rPr>
                <w:i/>
                <w:noProof/>
              </w:rPr>
              <w:t xml:space="preserve"> keretében rendelkezésre álló uniós </w:t>
            </w:r>
            <w:r>
              <w:rPr>
                <w:b/>
                <w:i/>
                <w:noProof/>
              </w:rPr>
              <w:t>források</w:t>
            </w:r>
            <w:r>
              <w:rPr>
                <w:i/>
                <w:noProof/>
              </w:rPr>
              <w:t xml:space="preserve"> és </w:t>
            </w:r>
            <w:r>
              <w:rPr>
                <w:b/>
                <w:i/>
                <w:noProof/>
              </w:rPr>
              <w:t>lehetőségek</w:t>
            </w:r>
            <w:r>
              <w:rPr>
                <w:i/>
                <w:noProof/>
              </w:rPr>
              <w:t xml:space="preserve"> felhasználása a demokratikus részvételhez való hozzáférés és a demokráciába vetett bizalom erősítése érdekében</w:t>
            </w:r>
            <w:r>
              <w:rPr>
                <w:i/>
                <w:noProof/>
              </w:rPr>
              <w:tab/>
            </w:r>
          </w:p>
          <w:p w14:paraId="40AB7634" w14:textId="77777777" w:rsidR="00470552" w:rsidRPr="000F5848" w:rsidRDefault="00470552">
            <w:pPr>
              <w:tabs>
                <w:tab w:val="left" w:pos="1547"/>
              </w:tabs>
              <w:spacing w:after="0"/>
              <w:rPr>
                <w:i/>
                <w:noProof/>
              </w:rPr>
            </w:pPr>
          </w:p>
        </w:tc>
        <w:tc>
          <w:tcPr>
            <w:tcW w:w="9956" w:type="dxa"/>
            <w:tcBorders>
              <w:top w:val="single" w:sz="4" w:space="0" w:color="auto"/>
              <w:left w:val="single" w:sz="4" w:space="0" w:color="auto"/>
              <w:bottom w:val="single" w:sz="4" w:space="0" w:color="auto"/>
              <w:right w:val="single" w:sz="4" w:space="0" w:color="auto"/>
            </w:tcBorders>
          </w:tcPr>
          <w:p w14:paraId="2E53ED79" w14:textId="20139AD1" w:rsidR="00256568" w:rsidRPr="000F5848" w:rsidRDefault="00256568" w:rsidP="006164EE">
            <w:pPr>
              <w:spacing w:after="120"/>
              <w:rPr>
                <w:noProof/>
                <w:color w:val="000000"/>
              </w:rPr>
            </w:pPr>
            <w:bookmarkStart w:id="4" w:name="_Hlk150785582"/>
            <w:r>
              <w:rPr>
                <w:noProof/>
                <w:color w:val="000000"/>
              </w:rPr>
              <w:t xml:space="preserve">Az </w:t>
            </w:r>
            <w:r>
              <w:rPr>
                <w:b/>
                <w:noProof/>
                <w:color w:val="000000"/>
              </w:rPr>
              <w:t>Európa jövőjéről szóló konferencia</w:t>
            </w:r>
            <w:r>
              <w:rPr>
                <w:noProof/>
                <w:color w:val="000000"/>
              </w:rPr>
              <w:t xml:space="preserve"> fontos katalizátorként szolgált a polgári részvétel új formái és a tanácskozási folyamatok tekintetében</w:t>
            </w:r>
            <w:r>
              <w:rPr>
                <w:noProof/>
                <w:color w:val="000000" w:themeColor="text1"/>
              </w:rPr>
              <w:t xml:space="preserve">. Ez a polgári szerepvállalás új szakaszához vezetett az </w:t>
            </w:r>
            <w:r>
              <w:rPr>
                <w:b/>
                <w:noProof/>
                <w:color w:val="000000" w:themeColor="text1"/>
              </w:rPr>
              <w:t>európai polgári vitacsoportoknak</w:t>
            </w:r>
            <w:r>
              <w:rPr>
                <w:noProof/>
                <w:color w:val="000000" w:themeColor="text1"/>
              </w:rPr>
              <w:t xml:space="preserve"> az Európai Bizottság szakpolitikai döntéshozatali folyamatába ágyazott új generációjával. Ennek támogatására készül egy új útmutató, amely meghatározza a polgárok részvételének és a tanácskozási folyamatoknak az elveit és formátumait. Ezt kiegészíti a </w:t>
            </w:r>
            <w:r>
              <w:rPr>
                <w:b/>
                <w:noProof/>
                <w:color w:val="000000" w:themeColor="text1"/>
              </w:rPr>
              <w:t>polgárok szerepvállalásával foglalkozó új online egyablakos rendszer</w:t>
            </w:r>
            <w:r>
              <w:rPr>
                <w:noProof/>
                <w:color w:val="000000" w:themeColor="text1"/>
              </w:rPr>
              <w:t xml:space="preserve">, amely összekapcsolja a meglévő eszközöket, nevezetesen a nyilvános konzultációs portált, az európai polgári kezdeményezést és az Európa jövőjéről szóló konferencia platformja által ihletett új interaktív teret. </w:t>
            </w:r>
          </w:p>
          <w:bookmarkEnd w:id="4"/>
          <w:p w14:paraId="0CE28AFA" w14:textId="583FF43A" w:rsidR="00470552" w:rsidRPr="000F5848" w:rsidRDefault="002915F2" w:rsidP="006164EE">
            <w:pPr>
              <w:spacing w:after="120"/>
              <w:rPr>
                <w:noProof/>
              </w:rPr>
            </w:pPr>
            <w:r>
              <w:rPr>
                <w:noProof/>
              </w:rPr>
              <w:t xml:space="preserve">Emellett a </w:t>
            </w:r>
            <w:r>
              <w:rPr>
                <w:b/>
                <w:noProof/>
              </w:rPr>
              <w:t>finanszírozási lehetőségek széles köre</w:t>
            </w:r>
            <w:r>
              <w:rPr>
                <w:noProof/>
              </w:rPr>
              <w:t xml:space="preserve"> áll rendelkezésre a demokratikus részvételhez, a polgári szerepvállaláshoz, a demokráciába vetett bizalomhoz és a kapcsolódó kérdések kutatásához való hozzáférés előmozdítása érdekében, különösen a Kreatív Európa program, az Erasmus+ és a Horizont Európa keretében. Ez teljes mértékben </w:t>
            </w:r>
            <w:r>
              <w:rPr>
                <w:b/>
                <w:noProof/>
              </w:rPr>
              <w:t>összhangban van a vonatkozó uniós szakpolitikai menetrenddel</w:t>
            </w:r>
            <w:r>
              <w:rPr>
                <w:noProof/>
              </w:rPr>
              <w:t xml:space="preserve">, különösen a kultúra és a média, az ifjúság, az oktatás és a kutatás területén.   </w:t>
            </w:r>
          </w:p>
          <w:p w14:paraId="35D52DD6" w14:textId="03F36E05" w:rsidR="00415AA3" w:rsidRPr="001859F6" w:rsidRDefault="00EA26E2" w:rsidP="006164EE">
            <w:pPr>
              <w:spacing w:after="120"/>
              <w:rPr>
                <w:noProof/>
                <w:color w:val="262626" w:themeColor="text1" w:themeTint="D9"/>
                <w:spacing w:val="-2"/>
              </w:rPr>
            </w:pPr>
            <w:r>
              <w:rPr>
                <w:noProof/>
                <w:color w:val="262626" w:themeColor="text1" w:themeTint="D9"/>
              </w:rPr>
              <w:t xml:space="preserve">A kultúra területén a </w:t>
            </w:r>
            <w:r>
              <w:rPr>
                <w:noProof/>
              </w:rPr>
              <w:t>Bizottság 2023 júniusában jelentést tett közzé „</w:t>
            </w:r>
            <w:r>
              <w:rPr>
                <w:b/>
                <w:i/>
                <w:noProof/>
                <w:color w:val="000000"/>
              </w:rPr>
              <w:t>Kultúra és demokrácia – a bizonyítékok. Hogyan erősíti a polgárok kulturális tevékenységekben való részvétele a polgári szerepvállalást, a demokráciát és a társadalmi kohéziót?</w:t>
            </w:r>
            <w:r>
              <w:rPr>
                <w:noProof/>
              </w:rPr>
              <w:t xml:space="preserve">” címmel. Az </w:t>
            </w:r>
            <w:r>
              <w:rPr>
                <w:b/>
                <w:noProof/>
              </w:rPr>
              <w:t>EU kulturális munkaterve (2023–2026)</w:t>
            </w:r>
            <w:r>
              <w:rPr>
                <w:noProof/>
              </w:rPr>
              <w:t xml:space="preserve"> továbbra is a </w:t>
            </w:r>
            <w:r>
              <w:rPr>
                <w:noProof/>
                <w:color w:val="000000"/>
                <w:shd w:val="clear" w:color="auto" w:fill="FFFFFF"/>
              </w:rPr>
              <w:t>kulturális részvétel fokozására és a kultúra társadalomban betöltött szerepére</w:t>
            </w:r>
            <w:r>
              <w:rPr>
                <w:noProof/>
              </w:rPr>
              <w:t xml:space="preserve"> összpontosít (ezt a négy prioritás egyikeként határozzák meg, nevezetesen „Kultúra és a demokrácia előmozdítása: az európai kulturális polgárság felé”), a demokrácia és a polgári szerepvállalás kulturális részvétel révén történő megerősítésére irányuló célzott tevékenységekkel. </w:t>
            </w:r>
            <w:r>
              <w:rPr>
                <w:noProof/>
                <w:color w:val="262626" w:themeColor="text1" w:themeTint="D9"/>
              </w:rPr>
              <w:t>Ezzel összefüggésben a Bizottság konkrét példákat fog gyűjteni, amelyeket meg kell osztani a tagállamokkal és az érdekelt felekkel</w:t>
            </w:r>
            <w:r>
              <w:rPr>
                <w:noProof/>
              </w:rPr>
              <w:t xml:space="preserve"> arra vonatkozóan, hogy miként lehet hatékony szinergiákat kiépíteni az iskolák és a kulturális szereplők között, amelyek célja a tanulók polgári szerepvállalásának, demokratikus hozzáállásának és ellenálló képességének fokozása a „Kultúra és demokrácia tanulmányozás és szakértői tanulás” elnevezésű kétéves projekt révén.</w:t>
            </w:r>
          </w:p>
          <w:p w14:paraId="40F7C0AC" w14:textId="1283B578" w:rsidR="00470552" w:rsidRPr="001859F6" w:rsidRDefault="00470552" w:rsidP="006164EE">
            <w:pPr>
              <w:spacing w:after="120"/>
              <w:rPr>
                <w:noProof/>
              </w:rPr>
            </w:pPr>
            <w:r>
              <w:rPr>
                <w:noProof/>
              </w:rPr>
              <w:t xml:space="preserve">A </w:t>
            </w:r>
            <w:r>
              <w:rPr>
                <w:b/>
                <w:noProof/>
              </w:rPr>
              <w:t>Kreatív Európa</w:t>
            </w:r>
            <w:r>
              <w:rPr>
                <w:noProof/>
              </w:rPr>
              <w:t xml:space="preserve"> program keretében számos pályázati felhívás olyan projekteket finanszíroz, amelyek kifejezetten a demokratikus részvétel különböző aspektusaival foglalkoznak, beleértve a demokrácia jövőjével, az egyenlőtlenségek hatásával, a kultúrának a demokráciaépítésben betöltött szerepével, a befogadással és a kultúrák közötti párbeszéddel kapcsolatos projekteket. </w:t>
            </w:r>
            <w:r>
              <w:rPr>
                <w:noProof/>
                <w:color w:val="000000"/>
              </w:rPr>
              <w:t xml:space="preserve">2023-ban és 2024-ben 10 millió EUR összegű fellépést hoztak létre elsősorban a helyi, regionális vagy oknyomozó média és a demokrácia szempontjából releváns egyéb média támogatására. </w:t>
            </w:r>
            <w:r>
              <w:rPr>
                <w:noProof/>
              </w:rPr>
              <w:t xml:space="preserve">Folyamatos pénzügyi támogatásban részesülnek az újságírói partnerségek is, hogy támogassák a média ellenálló képességét, és ezáltal a piaci ajánlatok sokféleségét. </w:t>
            </w:r>
          </w:p>
          <w:p w14:paraId="5E23B941" w14:textId="53238096" w:rsidR="003925DC" w:rsidRPr="001859F6" w:rsidRDefault="003925DC" w:rsidP="006164EE">
            <w:pPr>
              <w:spacing w:after="120" w:line="257" w:lineRule="auto"/>
              <w:rPr>
                <w:noProof/>
                <w:color w:val="000000"/>
              </w:rPr>
            </w:pPr>
            <w:r>
              <w:rPr>
                <w:noProof/>
                <w:color w:val="000000"/>
              </w:rPr>
              <w:t xml:space="preserve">A Bizottság támogatja továbbá az egymástól való tanulást, többek között az állampolgári ismeretek oktatásával, az uniós értékekkel és az oktatás európai dimenziójával kapcsolatos kérdésekben, </w:t>
            </w:r>
            <w:r>
              <w:rPr>
                <w:b/>
                <w:noProof/>
                <w:color w:val="000000"/>
              </w:rPr>
              <w:t>az oktatásban és képzésben való egyenlőséggel és értékekkel foglalkozó munkacsoport</w:t>
            </w:r>
            <w:r>
              <w:rPr>
                <w:noProof/>
                <w:color w:val="000000"/>
              </w:rPr>
              <w:t xml:space="preserve"> keretében, amely a tagállamok és más részt vevő országok által kinevezett oktatási szakértőket, az érdekelt feleket tömörítő szervezeteket és a szociális partnereket tömöríti. 2023-ban a munkacsoport közzétette az </w:t>
            </w:r>
            <w:hyperlink r:id="rId53" w:history="1">
              <w:r>
                <w:rPr>
                  <w:noProof/>
                  <w:color w:val="000000"/>
                </w:rPr>
                <w:t>állampolgári ismeretek oktatásáról szóló vitaanyagot</w:t>
              </w:r>
            </w:hyperlink>
            <w:r>
              <w:rPr>
                <w:noProof/>
                <w:color w:val="000000"/>
              </w:rPr>
              <w:t xml:space="preserve">.  </w:t>
            </w:r>
          </w:p>
          <w:p w14:paraId="151B0FE9" w14:textId="3866BF98" w:rsidR="00470552" w:rsidRPr="000F5848" w:rsidRDefault="00470552" w:rsidP="006164EE">
            <w:pPr>
              <w:spacing w:after="120"/>
              <w:rPr>
                <w:noProof/>
              </w:rPr>
            </w:pPr>
            <w:r>
              <w:rPr>
                <w:noProof/>
              </w:rPr>
              <w:t xml:space="preserve">A Bizottság számos tevékenységet végzett kifejezetten a </w:t>
            </w:r>
            <w:r>
              <w:rPr>
                <w:b/>
                <w:noProof/>
              </w:rPr>
              <w:t>fiatalok részvételének támogatása</w:t>
            </w:r>
            <w:r>
              <w:rPr>
                <w:noProof/>
              </w:rPr>
              <w:t xml:space="preserve"> érdekében, többek között az ifjúság európai éve (2022), az uniós ifjúsági párbeszéd és a fiatal európai nagykövetek programja révén. Az </w:t>
            </w:r>
            <w:r>
              <w:rPr>
                <w:b/>
                <w:noProof/>
              </w:rPr>
              <w:t xml:space="preserve">Erasmus+ (2021–2027) </w:t>
            </w:r>
            <w:r>
              <w:rPr>
                <w:noProof/>
              </w:rPr>
              <w:t xml:space="preserve">számos finanszírozási csatornán keresztül előmozdítja a részvételt és a polgári szerepvállalást Európa demokratikus életében, beleértve a kifejezetten a fiatalokat célzó intézkedéseket is, nemzetközi szinten is (például a Nyugat-Balkánon vagy a dél-mediterrán térségben működő ifjúsági szervezetek támogatása).  </w:t>
            </w:r>
          </w:p>
          <w:p w14:paraId="4A3E2D5E" w14:textId="5D0D3A22" w:rsidR="00470552" w:rsidRPr="000F5848" w:rsidRDefault="00470552" w:rsidP="006164EE">
            <w:pPr>
              <w:spacing w:after="120"/>
              <w:rPr>
                <w:noProof/>
              </w:rPr>
            </w:pPr>
            <w:r>
              <w:rPr>
                <w:noProof/>
              </w:rPr>
              <w:t xml:space="preserve">A </w:t>
            </w:r>
            <w:r>
              <w:rPr>
                <w:b/>
                <w:noProof/>
              </w:rPr>
              <w:t>Polgárok, egyenlőség, jogok és értékek program</w:t>
            </w:r>
            <w:r>
              <w:rPr>
                <w:noProof/>
              </w:rPr>
              <w:t xml:space="preserve"> keretében is rendelkezésre állnak vissza nem térítendő támogatások, különös tekintettel a 2022 végén közzétett, a polgárok szerepvállalására és részvételére vonatkozó pályázati felhívás,</w:t>
            </w:r>
            <w:r>
              <w:rPr>
                <w:noProof/>
                <w:color w:val="000000" w:themeColor="text1"/>
              </w:rPr>
              <w:t xml:space="preserve"> amely a 2024-es európai parlamenti választásokra és a polgárok választásokon való részvételének előmozdításához, valamint az uniós polgárság szerepvállalásának előmozdításához szükséges erőfeszítésekre összpontosít</w:t>
            </w:r>
            <w:r>
              <w:rPr>
                <w:noProof/>
              </w:rPr>
              <w:t>.</w:t>
            </w:r>
          </w:p>
          <w:p w14:paraId="3A06D1FF" w14:textId="6EC9A9CD" w:rsidR="00470552" w:rsidRDefault="4A60B54B" w:rsidP="006164EE">
            <w:pPr>
              <w:spacing w:after="120"/>
              <w:rPr>
                <w:noProof/>
              </w:rPr>
            </w:pPr>
            <w:r>
              <w:rPr>
                <w:noProof/>
              </w:rPr>
              <w:t xml:space="preserve">A </w:t>
            </w:r>
            <w:r>
              <w:rPr>
                <w:b/>
                <w:noProof/>
              </w:rPr>
              <w:t>Horizont Európa</w:t>
            </w:r>
            <w:r>
              <w:rPr>
                <w:noProof/>
              </w:rPr>
              <w:t xml:space="preserve"> program keretében számos pályázati felhívás olyan projekteket finanszíroz, amelyek kifejezetten a demokratikus részvétel különböző aspektusaival foglalkoznak, beleértve többek között a demokrácia jövőjével, az egyenlőtlenségek hatásával, az oktatás szerepével, valamint az online közösségi hálózatok és az új média hatásával kapcsolatos projekteket. A 2023–2024-es munkaprogram két éves pályázati felhívást irányoz elő a demokráciára és a kormányzásra vonatkozóan (a teljes keret 170 millió EUR), a 2021–2022-es program keretében 47 folyamatban lévő kutatási projekt támogatására előirányzott 125 millió EUR-n felül.</w:t>
            </w:r>
          </w:p>
          <w:p w14:paraId="43201B10" w14:textId="0299334D" w:rsidR="00C75BA4" w:rsidRPr="000F5848" w:rsidRDefault="00C75BA4" w:rsidP="006164EE">
            <w:pPr>
              <w:spacing w:after="120"/>
              <w:rPr>
                <w:noProof/>
              </w:rPr>
            </w:pPr>
            <w:r>
              <w:rPr>
                <w:noProof/>
              </w:rPr>
              <w:t xml:space="preserve">A </w:t>
            </w:r>
            <w:r>
              <w:rPr>
                <w:b/>
                <w:noProof/>
              </w:rPr>
              <w:t>technikai támogatási eszköz</w:t>
            </w:r>
            <w:r>
              <w:rPr>
                <w:noProof/>
              </w:rPr>
              <w:t xml:space="preserve"> keretében a tagállamok kérésre támogatást kaphatnak az oktatással, az egyenlőséggel, a szociális védelemmel, a demokráciával, a jogállamisággal vagy a közigazgatás minőségével kapcsolatos számos kérdés kezeléséhez.</w:t>
            </w:r>
          </w:p>
          <w:p w14:paraId="32B2E5A6" w14:textId="2471F39F" w:rsidR="00470552" w:rsidRPr="000F5848" w:rsidRDefault="00470552" w:rsidP="00CE0728">
            <w:pPr>
              <w:spacing w:after="0"/>
              <w:rPr>
                <w:i/>
                <w:iCs/>
                <w:noProof/>
              </w:rPr>
            </w:pPr>
            <w:r>
              <w:rPr>
                <w:i/>
                <w:noProof/>
                <w:u w:val="single"/>
              </w:rPr>
              <w:t>Hasznos linkek</w:t>
            </w:r>
            <w:r>
              <w:rPr>
                <w:i/>
                <w:noProof/>
              </w:rPr>
              <w:t>:</w:t>
            </w:r>
          </w:p>
          <w:p w14:paraId="684C3DD7" w14:textId="4A86DF48" w:rsidR="008D0D3F" w:rsidRPr="000F5848" w:rsidRDefault="0072154A" w:rsidP="00CE0728">
            <w:pPr>
              <w:spacing w:after="0"/>
              <w:rPr>
                <w:noProof/>
              </w:rPr>
            </w:pPr>
            <w:hyperlink r:id="rId54" w:history="1">
              <w:r w:rsidR="00C34E1C">
                <w:rPr>
                  <w:rStyle w:val="Hyperlink"/>
                  <w:noProof/>
                  <w:color w:val="0563C1"/>
                </w:rPr>
                <w:t>Közlemény: „Az Európa jövőjéről szóló konferencia – A jövőkép konkrét intézkedésekre váltása”</w:t>
              </w:r>
            </w:hyperlink>
          </w:p>
          <w:p w14:paraId="429BF32D" w14:textId="4BCB540F" w:rsidR="007E3D7B" w:rsidRPr="001859F6" w:rsidRDefault="0072154A" w:rsidP="00CE0728">
            <w:pPr>
              <w:spacing w:after="0"/>
              <w:rPr>
                <w:rStyle w:val="Hyperlink"/>
                <w:noProof/>
              </w:rPr>
            </w:pPr>
            <w:hyperlink r:id="rId55" w:history="1">
              <w:r w:rsidR="00C34E1C">
                <w:rPr>
                  <w:rStyle w:val="Hyperlink"/>
                  <w:noProof/>
                </w:rPr>
                <w:t>Az uniós költségvetésből és a Next Generation EU eszköz forrásaiból finanszírozott uniós programok és alapok</w:t>
              </w:r>
            </w:hyperlink>
          </w:p>
          <w:p w14:paraId="314B0132" w14:textId="500A5955" w:rsidR="00B61B06" w:rsidRPr="000F5848" w:rsidRDefault="0072154A" w:rsidP="00CE0728">
            <w:pPr>
              <w:spacing w:after="0"/>
              <w:rPr>
                <w:rStyle w:val="Hyperlink"/>
                <w:noProof/>
                <w:color w:val="0563C1"/>
              </w:rPr>
            </w:pPr>
            <w:hyperlink r:id="rId56" w:history="1">
              <w:r w:rsidR="00C34E1C">
                <w:rPr>
                  <w:rStyle w:val="Hyperlink"/>
                  <w:noProof/>
                </w:rPr>
                <w:t>Culture and democracy, the evidence.</w:t>
              </w:r>
            </w:hyperlink>
            <w:hyperlink r:id="rId57" w:history="1">
              <w:r w:rsidR="00C34E1C">
                <w:rPr>
                  <w:rStyle w:val="Hyperlink"/>
                  <w:noProof/>
                </w:rPr>
                <w:t xml:space="preserve"> How citizens’ participation in cultural activities enhances civic engagement, democracy and social cohesion:</w:t>
              </w:r>
            </w:hyperlink>
            <w:hyperlink r:id="rId58" w:history="1">
              <w:r w:rsidR="00C34E1C">
                <w:rPr>
                  <w:rStyle w:val="Hyperlink"/>
                  <w:noProof/>
                </w:rPr>
                <w:t xml:space="preserve"> lessons from international research (A kultúra és a demokrácia, a bizonyíték. Hogyan erősíti a polgárok kulturális tevékenységekben való részvétele a polgári szerepvállalást, a demokráciát és a társadalmi kohéziót? Nemzetközi kutatások tapasztalatai)</w:t>
              </w:r>
            </w:hyperlink>
          </w:p>
          <w:p w14:paraId="4B269812" w14:textId="7DF9F9B7" w:rsidR="00921BC6" w:rsidRPr="000F5848" w:rsidRDefault="0072154A" w:rsidP="00CE0728">
            <w:pPr>
              <w:spacing w:after="0"/>
              <w:rPr>
                <w:rStyle w:val="Hyperlink"/>
                <w:noProof/>
              </w:rPr>
            </w:pPr>
            <w:hyperlink r:id="rId59" w:history="1">
              <w:r w:rsidR="00C34E1C">
                <w:rPr>
                  <w:rStyle w:val="Hyperlink"/>
                  <w:noProof/>
                </w:rPr>
                <w:t>Az Erasmus+ projekt eredményeit bemutató platform</w:t>
              </w:r>
            </w:hyperlink>
          </w:p>
          <w:p w14:paraId="79EDD444" w14:textId="7D7D1D4F" w:rsidR="00A23BBD" w:rsidRPr="000F5848" w:rsidRDefault="0072154A" w:rsidP="00CE0728">
            <w:pPr>
              <w:spacing w:after="0"/>
              <w:rPr>
                <w:rStyle w:val="Hyperlink"/>
                <w:noProof/>
              </w:rPr>
            </w:pPr>
            <w:hyperlink r:id="rId60" w:history="1">
              <w:r w:rsidR="00C34E1C">
                <w:rPr>
                  <w:rStyle w:val="Hyperlink"/>
                  <w:noProof/>
                </w:rPr>
                <w:t>Az EU által támogatott európai médiaplatformok</w:t>
              </w:r>
            </w:hyperlink>
          </w:p>
          <w:p w14:paraId="722F82CB" w14:textId="00636DC3" w:rsidR="00F079C1" w:rsidRDefault="0072154A" w:rsidP="00CE0728">
            <w:pPr>
              <w:spacing w:after="0"/>
              <w:rPr>
                <w:rStyle w:val="Hyperlink"/>
                <w:noProof/>
              </w:rPr>
            </w:pPr>
            <w:hyperlink r:id="rId61">
              <w:r w:rsidR="00C34E1C">
                <w:rPr>
                  <w:rStyle w:val="Hyperlink"/>
                  <w:noProof/>
                </w:rPr>
                <w:t>Horizont Európa:</w:t>
              </w:r>
            </w:hyperlink>
            <w:hyperlink r:id="rId62">
              <w:r w:rsidR="00C34E1C">
                <w:rPr>
                  <w:rStyle w:val="Hyperlink"/>
                  <w:noProof/>
                </w:rPr>
                <w:t xml:space="preserve"> Munkaprogramok</w:t>
              </w:r>
            </w:hyperlink>
            <w:r w:rsidR="00C34E1C">
              <w:rPr>
                <w:noProof/>
              </w:rPr>
              <w:t xml:space="preserve">, valamint </w:t>
            </w:r>
            <w:hyperlink r:id="rId63" w:history="1">
              <w:r w:rsidR="00C34E1C">
                <w:rPr>
                  <w:rStyle w:val="Hyperlink"/>
                  <w:noProof/>
                </w:rPr>
                <w:t>A demokráciával és a kormányzással kapcsolatos kutatás- és innovációfinanszírozása (europa.eu)</w:t>
              </w:r>
            </w:hyperlink>
          </w:p>
          <w:p w14:paraId="4D2E56B6" w14:textId="27A81AD0" w:rsidR="00400E7B" w:rsidRPr="003F3966" w:rsidRDefault="0072154A" w:rsidP="00CE0728">
            <w:pPr>
              <w:spacing w:after="0"/>
              <w:rPr>
                <w:noProof/>
              </w:rPr>
            </w:pPr>
            <w:hyperlink r:id="rId64" w:history="1">
              <w:r w:rsidR="00C34E1C">
                <w:rPr>
                  <w:rStyle w:val="Hyperlink"/>
                  <w:noProof/>
                </w:rPr>
                <w:t>Technikai Támogatási Eszköz (TSI) (europa.eu)</w:t>
              </w:r>
            </w:hyperlink>
          </w:p>
          <w:p w14:paraId="4E0F1A6E" w14:textId="16DB3290" w:rsidR="00B23A3E" w:rsidRPr="003F3966" w:rsidRDefault="00B23A3E" w:rsidP="00CE0728">
            <w:pPr>
              <w:spacing w:after="0"/>
              <w:rPr>
                <w:noProof/>
                <w:lang w:val="fr-BE"/>
              </w:rPr>
            </w:pPr>
          </w:p>
        </w:tc>
      </w:tr>
      <w:tr w:rsidR="00470552" w:rsidRPr="00CA5190" w14:paraId="54BA8A11" w14:textId="77777777" w:rsidTr="00E664BF">
        <w:trPr>
          <w:trHeight w:val="693"/>
          <w:jc w:val="center"/>
        </w:trPr>
        <w:tc>
          <w:tcPr>
            <w:tcW w:w="2122" w:type="dxa"/>
            <w:vMerge/>
          </w:tcPr>
          <w:p w14:paraId="28E5CDF6" w14:textId="77777777" w:rsidR="00470552" w:rsidRPr="00752416" w:rsidRDefault="00470552">
            <w:pPr>
              <w:spacing w:after="0"/>
              <w:rPr>
                <w:b/>
                <w:bCs/>
                <w:i/>
                <w:iCs/>
                <w:noProof/>
                <w:lang w:val="fr-BE"/>
              </w:rPr>
            </w:pPr>
          </w:p>
        </w:tc>
        <w:tc>
          <w:tcPr>
            <w:tcW w:w="2409" w:type="dxa"/>
            <w:tcBorders>
              <w:top w:val="single" w:sz="4" w:space="0" w:color="auto"/>
              <w:left w:val="single" w:sz="4" w:space="0" w:color="auto"/>
              <w:bottom w:val="single" w:sz="4" w:space="0" w:color="auto"/>
              <w:right w:val="single" w:sz="4" w:space="0" w:color="auto"/>
            </w:tcBorders>
          </w:tcPr>
          <w:p w14:paraId="131B1AB4" w14:textId="77777777" w:rsidR="00470552" w:rsidRPr="000F5848" w:rsidRDefault="00470552">
            <w:pPr>
              <w:spacing w:after="0"/>
              <w:rPr>
                <w:i/>
                <w:iCs/>
                <w:noProof/>
              </w:rPr>
            </w:pPr>
            <w:r>
              <w:rPr>
                <w:i/>
                <w:noProof/>
              </w:rPr>
              <w:t xml:space="preserve">A </w:t>
            </w:r>
            <w:r>
              <w:rPr>
                <w:b/>
                <w:i/>
                <w:noProof/>
              </w:rPr>
              <w:t>gyűlöletbeszéd elleni küzdelem</w:t>
            </w:r>
            <w:r>
              <w:rPr>
                <w:i/>
                <w:noProof/>
              </w:rPr>
              <w:t xml:space="preserve"> és a tisztelet előmozdítása a nyilvános vitákban az uniós bűncselekmények listájának a gyűlölet-bűncselekményekre és gyűlöletbeszédre való kiterjesztésével</w:t>
            </w:r>
          </w:p>
        </w:tc>
        <w:tc>
          <w:tcPr>
            <w:tcW w:w="9956" w:type="dxa"/>
            <w:tcBorders>
              <w:top w:val="single" w:sz="4" w:space="0" w:color="auto"/>
              <w:left w:val="single" w:sz="4" w:space="0" w:color="auto"/>
              <w:bottom w:val="single" w:sz="4" w:space="0" w:color="auto"/>
              <w:right w:val="single" w:sz="4" w:space="0" w:color="auto"/>
            </w:tcBorders>
          </w:tcPr>
          <w:p w14:paraId="180B54E9" w14:textId="6527BDE9" w:rsidR="00470552" w:rsidRPr="000F5848" w:rsidRDefault="00470552">
            <w:pPr>
              <w:spacing w:after="120"/>
              <w:rPr>
                <w:noProof/>
              </w:rPr>
            </w:pPr>
            <w:r>
              <w:rPr>
                <w:noProof/>
              </w:rPr>
              <w:t>2021-ben a Bizottság</w:t>
            </w:r>
            <w:r>
              <w:rPr>
                <w:b/>
                <w:noProof/>
              </w:rPr>
              <w:t xml:space="preserve"> az inkluzívabb és védelmezőbb Európáról szóló közleményt fogadott el, amely kibővíti az uniós bűncselekmények listáját a gyűlöletbeszéddel és a gyűlölet-bűncselekményekkel</w:t>
            </w:r>
            <w:r>
              <w:rPr>
                <w:noProof/>
              </w:rPr>
              <w:t>, többek között a nyilvános vitához szükséges tiszteletteljes, támogató és biztonságosabb környezet előmozdítása céljából. Ez kikövezi az utat az Európai Unió működéséről szóló szerződés 83. cikkének (1) bekezdése szerinti uniós bűncselekmények listájának kiterjesztéséről szóló jövőbeli tanácsi határozat előtt, hogy a listán szerepeljen a gyűlölet-bűncselekmény és a gyűlöletbeszéd, többek között az online gyűlöletbeszéd is.</w:t>
            </w:r>
          </w:p>
          <w:p w14:paraId="40AD865C" w14:textId="7053D54D" w:rsidR="00F54ED1" w:rsidRPr="000F5848" w:rsidRDefault="00F54ED1">
            <w:pPr>
              <w:spacing w:after="120"/>
              <w:rPr>
                <w:noProof/>
              </w:rPr>
            </w:pPr>
            <w:r>
              <w:rPr>
                <w:noProof/>
              </w:rPr>
              <w:t>A Tanácsban még folynak a megbeszélések az uniós bűncselekmények listájának a gyűlöletbeszédre és a gyűlölet-bűncselekményekre való kiterjesztéséről szóló határozatról.</w:t>
            </w:r>
          </w:p>
          <w:p w14:paraId="0C48A24C" w14:textId="7438970F" w:rsidR="00BB46DB" w:rsidRDefault="00BB46DB" w:rsidP="00051FB5">
            <w:pPr>
              <w:spacing w:after="120"/>
              <w:rPr>
                <w:noProof/>
              </w:rPr>
            </w:pPr>
            <w:r>
              <w:rPr>
                <w:noProof/>
              </w:rPr>
              <w:t>Az IPA II keretében a Bizottság finanszírozza a „</w:t>
            </w:r>
            <w:r>
              <w:rPr>
                <w:b/>
                <w:noProof/>
              </w:rPr>
              <w:t>Reporting Diversity Network 2.0.</w:t>
            </w:r>
            <w:r>
              <w:rPr>
                <w:noProof/>
              </w:rPr>
              <w:t>”  (1 millió EUR; 2020. augusztus – 2024. augusztus) programot, amely felhatalmazza a civil társadalmi szervezetek regionális hálózatát arra, hogy együttműködjön azzal a céllal, hogy befolyásolja az etnikai, vallási és nemi felfogást befolyásoló médiaüzenetek minőségét mint a Nyugat-Balkán általános megértési és toleranciaszintje szempontjából releváns sürgető tematikus területeket. A projekt eszközöket, erőforrásokat és bizonyítékokat biztosít a civil társadalom egésze számára a befogadóbb média és a toleranciát előmozdító hatékony szakpolitikai döntéshozatal előmozdítása érdekében.</w:t>
            </w:r>
          </w:p>
          <w:p w14:paraId="4254B038" w14:textId="4A51CDBD" w:rsidR="0027195C" w:rsidRPr="000F5848" w:rsidRDefault="00845AE6" w:rsidP="00051FB5">
            <w:pPr>
              <w:spacing w:after="120"/>
              <w:rPr>
                <w:noProof/>
              </w:rPr>
            </w:pPr>
            <w:r>
              <w:rPr>
                <w:noProof/>
              </w:rPr>
              <w:t xml:space="preserve">Az IPA II és III keretében a Bizottság támogatja az Európa Tanács munkáját </w:t>
            </w:r>
            <w:r>
              <w:rPr>
                <w:b/>
                <w:noProof/>
              </w:rPr>
              <w:t>a megkülönböztetés és a gyűlöletbeszéd elleni küzdelem</w:t>
            </w:r>
            <w:r>
              <w:rPr>
                <w:noProof/>
              </w:rPr>
              <w:t xml:space="preserve"> terén a Nyugat-Balkánon, az EU és az Európa Tanács közötti horizontális segítségnyújtás egyik külön komponense révén (12 millió EUR). Alapos regionális és országspecifikus technikai segítségnyújtás támogatja az európai normákkal és a Bizottság országjelentésének ajánlásaival való összehangolást az alapvető jogok területén.</w:t>
            </w:r>
          </w:p>
          <w:p w14:paraId="485ED0DE" w14:textId="77777777" w:rsidR="00470552" w:rsidRPr="000F5848" w:rsidRDefault="00470552">
            <w:pPr>
              <w:spacing w:after="120"/>
              <w:rPr>
                <w:i/>
                <w:iCs/>
                <w:noProof/>
              </w:rPr>
            </w:pPr>
            <w:r>
              <w:rPr>
                <w:i/>
                <w:noProof/>
                <w:u w:val="single"/>
              </w:rPr>
              <w:t>Hasznos linkek</w:t>
            </w:r>
            <w:r>
              <w:rPr>
                <w:i/>
                <w:noProof/>
              </w:rPr>
              <w:t>:</w:t>
            </w:r>
          </w:p>
          <w:p w14:paraId="1C35CAC6" w14:textId="7651723C" w:rsidR="00A23BBD" w:rsidRPr="000F5848" w:rsidRDefault="0072154A" w:rsidP="00021A27">
            <w:pPr>
              <w:spacing w:after="0"/>
              <w:rPr>
                <w:noProof/>
              </w:rPr>
            </w:pPr>
            <w:hyperlink r:id="rId65" w:history="1">
              <w:r w:rsidR="00C34E1C">
                <w:rPr>
                  <w:rStyle w:val="Hyperlink"/>
                  <w:noProof/>
                </w:rPr>
                <w:t>Közlemény – Egy befogadóbb és védelmet nyújtó Európa</w:t>
              </w:r>
            </w:hyperlink>
          </w:p>
          <w:p w14:paraId="3E8F94F2" w14:textId="77777777" w:rsidR="00470552" w:rsidRPr="000F5848" w:rsidRDefault="0072154A" w:rsidP="00021A27">
            <w:pPr>
              <w:spacing w:after="0"/>
              <w:rPr>
                <w:rStyle w:val="Hyperlink"/>
                <w:noProof/>
              </w:rPr>
            </w:pPr>
            <w:hyperlink r:id="rId66" w:history="1">
              <w:r w:rsidR="00C34E1C">
                <w:rPr>
                  <w:rStyle w:val="Hyperlink"/>
                  <w:noProof/>
                </w:rPr>
                <w:t>Reporting Diversity Network – Reporting Diversity Network</w:t>
              </w:r>
            </w:hyperlink>
          </w:p>
          <w:p w14:paraId="787FAA70" w14:textId="071EAAEA" w:rsidR="00F660D5" w:rsidRPr="000F5848" w:rsidRDefault="00F660D5" w:rsidP="00021A27">
            <w:pPr>
              <w:spacing w:after="0"/>
              <w:rPr>
                <w:noProof/>
                <w:lang w:val="en-IE"/>
              </w:rPr>
            </w:pPr>
          </w:p>
        </w:tc>
      </w:tr>
      <w:tr w:rsidR="00470552" w:rsidRPr="00CA5190" w14:paraId="7AA3F9FB" w14:textId="77777777" w:rsidTr="00E664BF">
        <w:trPr>
          <w:trHeight w:val="49"/>
          <w:jc w:val="center"/>
        </w:trPr>
        <w:tc>
          <w:tcPr>
            <w:tcW w:w="2122" w:type="dxa"/>
            <w:vMerge w:val="restart"/>
            <w:tcBorders>
              <w:top w:val="single" w:sz="4" w:space="0" w:color="auto"/>
              <w:left w:val="single" w:sz="4" w:space="0" w:color="auto"/>
              <w:right w:val="single" w:sz="4" w:space="0" w:color="auto"/>
            </w:tcBorders>
            <w:shd w:val="clear" w:color="auto" w:fill="E2EFD9" w:themeFill="accent6" w:themeFillTint="33"/>
          </w:tcPr>
          <w:p w14:paraId="134F7FED" w14:textId="77777777" w:rsidR="00470552" w:rsidRPr="000F5848" w:rsidRDefault="00470552">
            <w:pPr>
              <w:spacing w:after="0"/>
              <w:rPr>
                <w:b/>
                <w:bCs/>
                <w:i/>
                <w:iCs/>
                <w:noProof/>
              </w:rPr>
            </w:pPr>
            <w:r>
              <w:rPr>
                <w:b/>
                <w:i/>
                <w:noProof/>
                <w:color w:val="000000" w:themeColor="text1"/>
              </w:rPr>
              <w:t>A szabad tömegtájékoztatás és a médiapluralizmus megerősítése</w:t>
            </w:r>
          </w:p>
        </w:tc>
        <w:tc>
          <w:tcPr>
            <w:tcW w:w="2409" w:type="dxa"/>
            <w:tcBorders>
              <w:top w:val="single" w:sz="4" w:space="0" w:color="auto"/>
              <w:left w:val="single" w:sz="4" w:space="0" w:color="auto"/>
              <w:bottom w:val="single" w:sz="4" w:space="0" w:color="auto"/>
              <w:right w:val="single" w:sz="4" w:space="0" w:color="auto"/>
            </w:tcBorders>
          </w:tcPr>
          <w:p w14:paraId="6BEB6117" w14:textId="77777777" w:rsidR="00470552" w:rsidRPr="000F5848" w:rsidRDefault="00470552">
            <w:pPr>
              <w:spacing w:after="0"/>
              <w:rPr>
                <w:i/>
                <w:iCs/>
                <w:noProof/>
              </w:rPr>
            </w:pPr>
            <w:r>
              <w:rPr>
                <w:b/>
                <w:i/>
                <w:noProof/>
              </w:rPr>
              <w:t>Ajánlás az újságírók és más médiaszakemberek védelmének, biztonságának és szerepvállalásának biztosításáról az Európai Unióban</w:t>
            </w:r>
            <w:r>
              <w:rPr>
                <w:i/>
                <w:noProof/>
              </w:rPr>
              <w:t>, figyelembe véve különösen a női újságírókat érintő új online fenyegetéseket</w:t>
            </w:r>
          </w:p>
        </w:tc>
        <w:tc>
          <w:tcPr>
            <w:tcW w:w="9956" w:type="dxa"/>
            <w:tcBorders>
              <w:top w:val="single" w:sz="4" w:space="0" w:color="auto"/>
              <w:left w:val="single" w:sz="4" w:space="0" w:color="auto"/>
              <w:bottom w:val="single" w:sz="4" w:space="0" w:color="auto"/>
              <w:right w:val="single" w:sz="4" w:space="0" w:color="auto"/>
            </w:tcBorders>
          </w:tcPr>
          <w:p w14:paraId="3FF89FD3" w14:textId="0913CB17" w:rsidR="00470552" w:rsidRPr="000F5848" w:rsidRDefault="00470552" w:rsidP="00E77F70">
            <w:pPr>
              <w:spacing w:after="120"/>
              <w:rPr>
                <w:noProof/>
              </w:rPr>
            </w:pPr>
            <w:r>
              <w:rPr>
                <w:noProof/>
              </w:rPr>
              <w:t xml:space="preserve">Az </w:t>
            </w:r>
            <w:r>
              <w:rPr>
                <w:b/>
                <w:noProof/>
              </w:rPr>
              <w:t>újságírók biztonságáról szóló</w:t>
            </w:r>
            <w:r>
              <w:rPr>
                <w:noProof/>
              </w:rPr>
              <w:t xml:space="preserve">, 2021 szeptemberében elfogadott 2021. évi </w:t>
            </w:r>
            <w:r>
              <w:rPr>
                <w:b/>
                <w:noProof/>
              </w:rPr>
              <w:t>ajánlás</w:t>
            </w:r>
            <w:r>
              <w:rPr>
                <w:noProof/>
              </w:rPr>
              <w:t xml:space="preserve"> intézkedéseket javasolt a tagállamok számára az újságírók biztonságának javítása érdekében. Az ajánlás tartalmazza a bűncselekmények hatékony és pártatlan kivizsgálásával és büntetőeljárás alá vonásával, a független reagálási és támogatási mechanizmusokkal, a helyszínekhez és információkhoz való hozzáféréssel, a tüntetések alatti biztonsággal, a képzéssel, az online biztonsággal és a digitális önrendelkezéssel kapcsolatos gyakorlati intézkedések jegyzékét. Fokozott intézkedések javasoltak a fenyegetéseknek és támadásoknak különösen kiszolgáltatott személyek – köztük a női újságírók, a kisebbségi csoportokhoz tartozó újságírók és az egyenlőséggel kapcsolatos kérdésekről tudósító újságírók – védelme érdekében. 2023 júliusában a Bizottság független külső tanulmányt indított azzal a céllal, hogy információkat gyűjtsön az ajánlás végrehajtását célzó tagállami tevékenységekről. A tanulmány országismertetőket fog készíteni, értékelni fogja az országok gyakorlatait, valamint fő mutatókat, illetve nyomonkövetési és értékelési módszertant fog kidolgozni. Ezt a módszertant a jövőbeli jelentéstételi gyakorlatok során fogják alkalmazni, és várhatóan javítani fogja az ajánlás szerinti jelentéstétel teljességét és következetességét. A tanulmány előzetes megállapításait a 2023. december 4-én Brüsszelben tartott negyedik hírmédiafórum tárgyalja. A Bizottság továbbra is finanszíroz olyan intézkedéseket, amelyek arra összpontosítanak, hogy jogi és gyakorlati segítséget nyújtsanak az újságíróknak az EU-ban és azon kívül. </w:t>
            </w:r>
          </w:p>
          <w:p w14:paraId="55CD724E" w14:textId="0F44ACA0" w:rsidR="00FF1E0A" w:rsidRPr="000F5848" w:rsidRDefault="7540B8FB" w:rsidP="6B686193">
            <w:pPr>
              <w:spacing w:after="120"/>
              <w:rPr>
                <w:noProof/>
              </w:rPr>
            </w:pPr>
            <w:r>
              <w:rPr>
                <w:noProof/>
              </w:rPr>
              <w:t>Az IPA III keretében a Bizottság finanszírozza a „</w:t>
            </w:r>
            <w:r>
              <w:rPr>
                <w:b/>
                <w:noProof/>
              </w:rPr>
              <w:t>SafeJournalists Network</w:t>
            </w:r>
            <w:r>
              <w:rPr>
                <w:noProof/>
              </w:rPr>
              <w:t>” programot (1,44 millió EUR, 2023. április – 2026. július), amelyet a Szerb Független Újságírók Szövetsége által vezetett konzorcium hajtott végre azzal a céllal, hogy hozzájáruljon egy támogató környezet megteremtéséhez az újságírók elleni támadásokat és fenyegetéseket bejelentő regionális korai előrejelző platform támogatása, valamint a bűnüldöző hatóságokkal és az igazságügyi hatóságokkal való további együttműködés, illetve az ilyen esetek megfelelő és gyors nyomon követése révén.</w:t>
            </w:r>
          </w:p>
          <w:p w14:paraId="3DD27A91" w14:textId="7C252F06" w:rsidR="27E70EA6" w:rsidRPr="000F5848" w:rsidRDefault="27E70EA6" w:rsidP="008C5277">
            <w:pPr>
              <w:spacing w:after="120"/>
              <w:rPr>
                <w:noProof/>
              </w:rPr>
            </w:pPr>
            <w:r>
              <w:rPr>
                <w:noProof/>
              </w:rPr>
              <w:t xml:space="preserve">Az </w:t>
            </w:r>
            <w:r>
              <w:rPr>
                <w:b/>
                <w:noProof/>
              </w:rPr>
              <w:t>Európa Tanáccsal közös horizontális eszköz</w:t>
            </w:r>
            <w:r>
              <w:rPr>
                <w:noProof/>
              </w:rPr>
              <w:t xml:space="preserve"> keretében a Nyugat-Balkánra vonatkozó regionális és országspecifikus allokációk egyaránt támogatják a médiaszereplők jogainak és kötelezettségeinek az európai normákkal összhangban történő alkalmazását, valamint a jogi keret javítását (4 millió EUR, 2023. január – 2026. december).</w:t>
            </w:r>
          </w:p>
          <w:p w14:paraId="4571A516" w14:textId="44CD2323" w:rsidR="00FF1E0A" w:rsidRPr="000F5848" w:rsidRDefault="00470552" w:rsidP="00051FB5">
            <w:pPr>
              <w:spacing w:after="120"/>
              <w:rPr>
                <w:noProof/>
              </w:rPr>
            </w:pPr>
            <w:r>
              <w:rPr>
                <w:i/>
                <w:noProof/>
                <w:u w:val="single"/>
              </w:rPr>
              <w:t>Hasznos linkek</w:t>
            </w:r>
            <w:r>
              <w:rPr>
                <w:i/>
                <w:noProof/>
              </w:rPr>
              <w:t>:</w:t>
            </w:r>
            <w:r>
              <w:rPr>
                <w:noProof/>
              </w:rPr>
              <w:t xml:space="preserve"> </w:t>
            </w:r>
          </w:p>
          <w:p w14:paraId="0CC9C4B1" w14:textId="0B71344A" w:rsidR="002105FC" w:rsidRPr="000F5848" w:rsidRDefault="0072154A" w:rsidP="00021A27">
            <w:pPr>
              <w:spacing w:after="0"/>
              <w:rPr>
                <w:noProof/>
              </w:rPr>
            </w:pPr>
            <w:hyperlink r:id="rId67" w:history="1">
              <w:r w:rsidR="00C34E1C">
                <w:rPr>
                  <w:rStyle w:val="Hyperlink"/>
                  <w:noProof/>
                </w:rPr>
                <w:t>Ajánlás az újságírók és más médiaszakemberek védelmének, biztonságának és szerepvállalásának az Európai Unióban történő biztosításáról</w:t>
              </w:r>
            </w:hyperlink>
            <w:r w:rsidR="00C34E1C">
              <w:rPr>
                <w:noProof/>
              </w:rPr>
              <w:t xml:space="preserve"> </w:t>
            </w:r>
          </w:p>
          <w:p w14:paraId="51CA0187" w14:textId="77777777" w:rsidR="00470552" w:rsidRPr="000F5848" w:rsidRDefault="0072154A" w:rsidP="00021A27">
            <w:pPr>
              <w:spacing w:after="0"/>
              <w:rPr>
                <w:rStyle w:val="Hyperlink"/>
                <w:noProof/>
              </w:rPr>
            </w:pPr>
            <w:hyperlink r:id="rId68">
              <w:r w:rsidR="00C34E1C">
                <w:rPr>
                  <w:rStyle w:val="Hyperlink"/>
                  <w:noProof/>
                </w:rPr>
                <w:t>Kezdőlap – SafeJournalists</w:t>
              </w:r>
            </w:hyperlink>
          </w:p>
          <w:p w14:paraId="787A123C" w14:textId="4435ED8E" w:rsidR="6F5E54B9" w:rsidRPr="000F5848" w:rsidRDefault="0072154A" w:rsidP="6B686193">
            <w:pPr>
              <w:spacing w:after="0"/>
              <w:rPr>
                <w:noProof/>
              </w:rPr>
            </w:pPr>
            <w:hyperlink r:id="rId69" w:history="1">
              <w:r w:rsidR="00C34E1C">
                <w:rPr>
                  <w:rStyle w:val="Hyperlink"/>
                  <w:noProof/>
                </w:rPr>
                <w:t>A véleménynyilvánítás és a média szabadságának előmozdítása és védelme – Horizontális eszköz (coe.int)</w:t>
              </w:r>
            </w:hyperlink>
          </w:p>
          <w:p w14:paraId="40182DDB" w14:textId="2CA1AF2C" w:rsidR="00C04575" w:rsidRPr="000F5848" w:rsidRDefault="00C04575" w:rsidP="00021A27">
            <w:pPr>
              <w:spacing w:after="0"/>
              <w:rPr>
                <w:noProof/>
              </w:rPr>
            </w:pPr>
          </w:p>
        </w:tc>
      </w:tr>
      <w:tr w:rsidR="00470552" w:rsidRPr="00CA5190" w14:paraId="3016E80D" w14:textId="77777777" w:rsidTr="00E664BF">
        <w:trPr>
          <w:trHeight w:val="693"/>
          <w:jc w:val="center"/>
        </w:trPr>
        <w:tc>
          <w:tcPr>
            <w:tcW w:w="2122" w:type="dxa"/>
            <w:vMerge/>
          </w:tcPr>
          <w:p w14:paraId="7FBA00B3" w14:textId="77777777" w:rsidR="00470552" w:rsidRPr="000F5848" w:rsidRDefault="00470552">
            <w:pPr>
              <w:spacing w:after="0"/>
              <w:rPr>
                <w:b/>
                <w:bCs/>
                <w:i/>
                <w:iCs/>
                <w:noProof/>
              </w:rPr>
            </w:pPr>
          </w:p>
        </w:tc>
        <w:tc>
          <w:tcPr>
            <w:tcW w:w="2409" w:type="dxa"/>
            <w:tcBorders>
              <w:top w:val="single" w:sz="4" w:space="0" w:color="auto"/>
              <w:left w:val="single" w:sz="4" w:space="0" w:color="auto"/>
              <w:bottom w:val="single" w:sz="4" w:space="0" w:color="auto"/>
              <w:right w:val="single" w:sz="4" w:space="0" w:color="auto"/>
            </w:tcBorders>
          </w:tcPr>
          <w:p w14:paraId="1DB9D03C" w14:textId="77777777" w:rsidR="00470552" w:rsidRPr="000F5848" w:rsidRDefault="00470552">
            <w:pPr>
              <w:spacing w:after="0"/>
              <w:rPr>
                <w:i/>
                <w:iCs/>
                <w:noProof/>
              </w:rPr>
            </w:pPr>
            <w:r>
              <w:rPr>
                <w:b/>
                <w:i/>
                <w:noProof/>
              </w:rPr>
              <w:t>Strukturált párbeszéd</w:t>
            </w:r>
            <w:r>
              <w:rPr>
                <w:i/>
                <w:noProof/>
              </w:rPr>
              <w:t xml:space="preserve"> az </w:t>
            </w:r>
            <w:r>
              <w:rPr>
                <w:b/>
                <w:i/>
                <w:noProof/>
              </w:rPr>
              <w:t>Európai Hírmédiafórum</w:t>
            </w:r>
            <w:r>
              <w:rPr>
                <w:i/>
                <w:noProof/>
              </w:rPr>
              <w:t xml:space="preserve"> keretében a tagállamokkal, az érdekelt felekkel és a nemzetközi szervezetekkel az ajánlás előkészítése és végrehajtása érdekében</w:t>
            </w:r>
          </w:p>
          <w:p w14:paraId="7C76555A" w14:textId="77777777" w:rsidR="00470552" w:rsidRPr="000F5848" w:rsidRDefault="00470552">
            <w:pPr>
              <w:spacing w:after="0"/>
              <w:rPr>
                <w:i/>
                <w:noProof/>
              </w:rPr>
            </w:pPr>
          </w:p>
        </w:tc>
        <w:tc>
          <w:tcPr>
            <w:tcW w:w="9956" w:type="dxa"/>
            <w:tcBorders>
              <w:top w:val="single" w:sz="4" w:space="0" w:color="auto"/>
              <w:left w:val="single" w:sz="4" w:space="0" w:color="auto"/>
              <w:bottom w:val="single" w:sz="4" w:space="0" w:color="auto"/>
              <w:right w:val="single" w:sz="4" w:space="0" w:color="auto"/>
            </w:tcBorders>
          </w:tcPr>
          <w:p w14:paraId="62B54971" w14:textId="3BF9D103" w:rsidR="00470552" w:rsidRPr="000F5848" w:rsidRDefault="00470552">
            <w:pPr>
              <w:spacing w:after="120"/>
              <w:rPr>
                <w:noProof/>
              </w:rPr>
            </w:pPr>
            <w:r>
              <w:rPr>
                <w:noProof/>
              </w:rPr>
              <w:t xml:space="preserve">Az Európai Hírmédiafórum első ülésén (2021. március 23–25.) az ajánlás előkészítése céljából strukturált párbeszédre került sor az újságírók biztonságáról. Az érdekelt felek képviselői részt vettek a fórumon, többek között nemzetközi, nemzeti és uniós intézmények, újságírók és kiadói szövetségek, kutatók, nem kormányzati szervezetek és online platformok. Miután annak második és harmadik ülésén megvitatták a médiaátalakítást és az innovációt, 2023. december 4-én Brüsszelben sor került a fórum új kiadására, hogy megvitassák a tagállamok által az ajánlás végrehajtása érdekében végzett tevékenységekről szóló független külső tanulmány előzetes megállapításait. </w:t>
            </w:r>
          </w:p>
          <w:p w14:paraId="00415F76" w14:textId="2253F89F" w:rsidR="00D93BDC" w:rsidRPr="000F5848" w:rsidRDefault="00470552">
            <w:pPr>
              <w:spacing w:after="120"/>
              <w:rPr>
                <w:noProof/>
              </w:rPr>
            </w:pPr>
            <w:r>
              <w:rPr>
                <w:i/>
                <w:noProof/>
                <w:u w:val="single"/>
              </w:rPr>
              <w:t>Hasznos linkek</w:t>
            </w:r>
            <w:r>
              <w:rPr>
                <w:i/>
                <w:noProof/>
              </w:rPr>
              <w:t>:</w:t>
            </w:r>
            <w:r>
              <w:rPr>
                <w:noProof/>
              </w:rPr>
              <w:t xml:space="preserve"> </w:t>
            </w:r>
          </w:p>
          <w:p w14:paraId="740FBF78" w14:textId="5AB0FE10" w:rsidR="00470552" w:rsidRPr="000F5848" w:rsidRDefault="0072154A" w:rsidP="00322AB3">
            <w:pPr>
              <w:spacing w:after="0"/>
              <w:rPr>
                <w:noProof/>
              </w:rPr>
            </w:pPr>
            <w:hyperlink r:id="rId70" w:history="1">
              <w:r w:rsidR="00C34E1C">
                <w:rPr>
                  <w:rStyle w:val="Hyperlink"/>
                  <w:noProof/>
                </w:rPr>
                <w:t>Beszámoló az újságírók biztonságáról folytatott strukturált párbeszédről</w:t>
              </w:r>
            </w:hyperlink>
            <w:r w:rsidR="00C34E1C">
              <w:rPr>
                <w:noProof/>
              </w:rPr>
              <w:t xml:space="preserve"> </w:t>
            </w:r>
          </w:p>
          <w:p w14:paraId="4C0FC593" w14:textId="77777777" w:rsidR="00ED3754" w:rsidRPr="000F5848" w:rsidRDefault="0072154A" w:rsidP="00322AB3">
            <w:pPr>
              <w:spacing w:after="0"/>
              <w:rPr>
                <w:noProof/>
              </w:rPr>
            </w:pPr>
            <w:hyperlink r:id="rId71" w:history="1">
              <w:r w:rsidR="00C34E1C">
                <w:rPr>
                  <w:rStyle w:val="Hyperlink"/>
                  <w:noProof/>
                </w:rPr>
                <w:t>Az újságírók biztonságával foglalkozó európai hírmédiafórum</w:t>
              </w:r>
            </w:hyperlink>
            <w:r w:rsidR="00C34E1C">
              <w:rPr>
                <w:noProof/>
              </w:rPr>
              <w:t xml:space="preserve"> </w:t>
            </w:r>
          </w:p>
          <w:p w14:paraId="5FCF55AE" w14:textId="31E57D97" w:rsidR="00901668" w:rsidRPr="000F5848" w:rsidRDefault="00901668" w:rsidP="001859F6">
            <w:pPr>
              <w:spacing w:after="0"/>
              <w:rPr>
                <w:noProof/>
              </w:rPr>
            </w:pPr>
          </w:p>
        </w:tc>
      </w:tr>
      <w:tr w:rsidR="00470552" w:rsidRPr="00CA5190" w14:paraId="77904EA2" w14:textId="77777777" w:rsidTr="00E664BF">
        <w:trPr>
          <w:trHeight w:val="522"/>
          <w:jc w:val="center"/>
        </w:trPr>
        <w:tc>
          <w:tcPr>
            <w:tcW w:w="2122" w:type="dxa"/>
            <w:vMerge/>
          </w:tcPr>
          <w:p w14:paraId="79D10D84" w14:textId="77777777" w:rsidR="00470552" w:rsidRPr="000F5848" w:rsidRDefault="00470552">
            <w:pPr>
              <w:spacing w:after="0"/>
              <w:rPr>
                <w:b/>
                <w:bCs/>
                <w:i/>
                <w:iCs/>
                <w:noProof/>
              </w:rPr>
            </w:pPr>
          </w:p>
        </w:tc>
        <w:tc>
          <w:tcPr>
            <w:tcW w:w="2409" w:type="dxa"/>
            <w:tcBorders>
              <w:top w:val="single" w:sz="4" w:space="0" w:color="auto"/>
              <w:left w:val="single" w:sz="4" w:space="0" w:color="auto"/>
              <w:bottom w:val="single" w:sz="4" w:space="0" w:color="auto"/>
              <w:right w:val="single" w:sz="4" w:space="0" w:color="auto"/>
            </w:tcBorders>
          </w:tcPr>
          <w:p w14:paraId="64007624" w14:textId="77777777" w:rsidR="00470552" w:rsidRPr="000F5848" w:rsidRDefault="00470552">
            <w:pPr>
              <w:spacing w:after="0"/>
              <w:rPr>
                <w:i/>
                <w:iCs/>
                <w:noProof/>
              </w:rPr>
            </w:pPr>
            <w:r>
              <w:rPr>
                <w:b/>
                <w:i/>
                <w:noProof/>
              </w:rPr>
              <w:t>Fenntartható finanszírozás az újságíróknak az EU-ban és máshol nyújtott jogi és gyakorlati segítségnyújtásra összpontosító projektekre</w:t>
            </w:r>
            <w:r>
              <w:rPr>
                <w:i/>
                <w:noProof/>
              </w:rPr>
              <w:t>, többek között újságírók biztonsági és kiberbiztonsági képzésére és diplomáciai támogatásra</w:t>
            </w:r>
          </w:p>
        </w:tc>
        <w:tc>
          <w:tcPr>
            <w:tcW w:w="9956" w:type="dxa"/>
            <w:tcBorders>
              <w:top w:val="single" w:sz="4" w:space="0" w:color="auto"/>
              <w:left w:val="single" w:sz="4" w:space="0" w:color="auto"/>
              <w:bottom w:val="single" w:sz="4" w:space="0" w:color="auto"/>
              <w:right w:val="single" w:sz="4" w:space="0" w:color="auto"/>
            </w:tcBorders>
          </w:tcPr>
          <w:p w14:paraId="00C12038" w14:textId="6B626807" w:rsidR="00470552" w:rsidRPr="000F5848" w:rsidRDefault="00470552">
            <w:pPr>
              <w:spacing w:after="120"/>
              <w:rPr>
                <w:noProof/>
              </w:rPr>
            </w:pPr>
            <w:r>
              <w:rPr>
                <w:noProof/>
              </w:rPr>
              <w:t>A Bizottság az újságíróknak nyújtott jogi és gyakorlati segítségnyújtással kapcsolatos projekteket finanszíroz mind a tagállamokban, mind világszerte. Az intézkedések a sajtó és a média szabadságának megsértésével kapcsolatos szükséghelyzeti támogatásra és gyors reagálásra, valamint az újságírók kapacitásépítésére és szakmai fejlődésére összpontosítanak.</w:t>
            </w:r>
          </w:p>
          <w:p w14:paraId="716039E0" w14:textId="77777777" w:rsidR="00ED3754" w:rsidRPr="001859F6" w:rsidRDefault="00470552">
            <w:pPr>
              <w:spacing w:after="120"/>
              <w:rPr>
                <w:noProof/>
              </w:rPr>
            </w:pPr>
            <w:r>
              <w:rPr>
                <w:noProof/>
              </w:rPr>
              <w:t>„</w:t>
            </w:r>
            <w:r>
              <w:rPr>
                <w:b/>
                <w:noProof/>
              </w:rPr>
              <w:t>A média szabadságával kapcsolatos gyorsreagálás</w:t>
            </w:r>
            <w:r>
              <w:rPr>
                <w:noProof/>
              </w:rPr>
              <w:t xml:space="preserve">” (MFRR-II) 2023 októberéig tartó második kiadása 669 riasztást dokumentált, 1 121 megtámadott személlyel vagy szervezettel. Pénzügyi támogatást nyújtott 11 országban 22, jogi fenyegetéssel szembesülő médiaorgánumokat és újságírókat érintő jogi ügynek. Ami a gyakorlati támogatást nyújtó szükséghelyzeti alapot illeti, a projekthez 457 gyakorlati támogatás iránti kérelem érkezett, és ezek közül 44 esetben nyújtott vissza nem térítendő támogatást, támogatásonként átlagosan 1 600 EUR értékben. Ami a tömegtájékoztatás szabadságával és az újságírók biztonságával kapcsolatos érdekérvényesítést és figyelemfelhívást illeti, az MFRR 27 országban 94 nyilatkozatot és nyílt levelet tett közzé a sajtó- és médiaszabadsággal kapcsolatos legfontosabb kérdésekről.  A tömegtájékoztatás szabadságával kapcsolatos negyedik gyorsreagálás 2023 novemberében kezdődött és 2025. október végéig tart. </w:t>
            </w:r>
          </w:p>
          <w:p w14:paraId="0BFDAF5B" w14:textId="41B80557" w:rsidR="00470552" w:rsidRPr="000F5848" w:rsidRDefault="00ED3754">
            <w:pPr>
              <w:spacing w:after="120"/>
              <w:rPr>
                <w:noProof/>
                <w:highlight w:val="yellow"/>
              </w:rPr>
            </w:pPr>
            <w:r>
              <w:rPr>
                <w:noProof/>
              </w:rPr>
              <w:t xml:space="preserve">A 2023 júliusában elindított </w:t>
            </w:r>
            <w:r>
              <w:rPr>
                <w:b/>
                <w:noProof/>
              </w:rPr>
              <w:t>Free Media Hub EAST projekt</w:t>
            </w:r>
            <w:r>
              <w:rPr>
                <w:noProof/>
              </w:rPr>
              <w:t xml:space="preserve"> támogatni fogja az EU-ban működő, független orosz és belarusz médiát. Több mint 2,2 millió EUR összegű vissza nem térítendő támogatást ítél oda, segítséget és pszichológiai támogatást nyújt, beruház a technológiai megoldásokba, és megerősíti az együttműködést a helyi központok között, ahol ezek a száműzött médiumok találhatók az EU-ban (főként Csehország, Lengyelország, Lettország, Litvánia, Németország).</w:t>
            </w:r>
          </w:p>
          <w:p w14:paraId="1E3CF394" w14:textId="1498480E" w:rsidR="00470552" w:rsidRPr="000F5848" w:rsidRDefault="00470552">
            <w:pPr>
              <w:spacing w:after="120"/>
              <w:rPr>
                <w:noProof/>
                <w:highlight w:val="yellow"/>
              </w:rPr>
            </w:pPr>
            <w:r>
              <w:rPr>
                <w:noProof/>
              </w:rPr>
              <w:t>A „</w:t>
            </w:r>
            <w:r>
              <w:rPr>
                <w:b/>
                <w:noProof/>
              </w:rPr>
              <w:t>Határokon átnyúló oknyomozó újságírási alap</w:t>
            </w:r>
            <w:r>
              <w:rPr>
                <w:noProof/>
              </w:rPr>
              <w:t xml:space="preserve">” (IJ4EU) Unió-szerte közel 300 újságíró számára tette lehetővé, hogy a közérdeket szolgáló, transznacionális témákban nyomozási együttműködést folytassanak. Az IJ4EU alap 1 110 868,65 EUR-t különített el 43 projektre. Az IJ4EU Hatásdíj három újságírói csapatának további 15 000 EUR-t ítélt oda. Emellett szakmai képzésben és mentorálásban részesítette a szabadúszókat, gyakorlati, jogi és szerkesztői segítséget nyújtott valamennyi kedvezményezettnek, valamint érdekérvényesítési támogatást biztosított a sajtószabadság megsértése esetén. 2023 júliusa és 2025 júniusa között folytatódik az oknyomozó újságírás támogatása a „kollaboratív oknyomozó újságírási kezdeményezés” keretében.  </w:t>
            </w:r>
          </w:p>
          <w:p w14:paraId="30DDB7F0" w14:textId="4BA77EEC" w:rsidR="00470552" w:rsidRPr="000F5848" w:rsidRDefault="00470552" w:rsidP="60CA2B06">
            <w:pPr>
              <w:spacing w:after="120"/>
              <w:rPr>
                <w:noProof/>
                <w:highlight w:val="yellow"/>
              </w:rPr>
            </w:pPr>
            <w:r>
              <w:rPr>
                <w:noProof/>
              </w:rPr>
              <w:t xml:space="preserve">Az EU-n kívül a küldöttségek az </w:t>
            </w:r>
            <w:r>
              <w:rPr>
                <w:b/>
                <w:noProof/>
              </w:rPr>
              <w:t>újságírók biztonságáról szóló kézikönyvvel</w:t>
            </w:r>
            <w:r>
              <w:rPr>
                <w:noProof/>
              </w:rPr>
              <w:t xml:space="preserve"> összhangban folytatják az intézkedések végrehajtását. Képzési és tudásanyagot dolgoztak ki az uniós küldöttségek számára az újságírókkal szembeni visszaélések kezelésére. Az EU támogatja továbbá a civil társadalom és a médiaszervezetek által a jogi segítségnyújtás, a kapacitásépítés, a pénzügyi támogatás, valamint a biztonsági és kiberbiztonsági képzés biztosítása érdekében végrehajtott tevékenységi támogatásokat. Az EU folytatja </w:t>
            </w:r>
            <w:r>
              <w:rPr>
                <w:b/>
                <w:noProof/>
              </w:rPr>
              <w:t>pénzügyi és technikai segítségnyújtását</w:t>
            </w:r>
            <w:r>
              <w:rPr>
                <w:noProof/>
              </w:rPr>
              <w:t xml:space="preserve">, és együttműködik a médiaágazatbeli partnerekkel és más megbízható szereplőkkel, például az Európai Demokrácia Alapítvánnyal. A legtöbb uniós küldöttség a </w:t>
            </w:r>
            <w:r>
              <w:rPr>
                <w:b/>
                <w:noProof/>
              </w:rPr>
              <w:t>2021–2024-es időszakra</w:t>
            </w:r>
            <w:r>
              <w:rPr>
                <w:noProof/>
              </w:rPr>
              <w:t xml:space="preserve"> </w:t>
            </w:r>
            <w:r>
              <w:rPr>
                <w:b/>
                <w:noProof/>
              </w:rPr>
              <w:t>szóló emberi jogi országstratégiáiban kulcsfontosságú prioritásként</w:t>
            </w:r>
            <w:r>
              <w:rPr>
                <w:noProof/>
              </w:rPr>
              <w:t xml:space="preserve"> határozta meg a véleménynyilvánítás szabadságát/a tömegtájékoztatás szabadságát és az újságírók biztonságát. Példaként említhető az NDICI – Emberi jogok és demokrácia program, amely többek között támogatja az újságírók, bloggerek és médiamunkások szakmai készségeinek, képességeinek és kapacitásainak fejlesztésére irányuló projekteket.  Támogatja továbbá a média által kidolgozott önszabályozási és szabványosítási kezdeményezéseket. E program keretében az EU a 2022–2023-as időszakra (az uniós küldöttségek által kezelt) országspecifikus finanszírozást különített el, amely lehetővé teszi az e célkitűzéseket támogató helyi intézkedéseket. Az NDICI program a média támogatására és az új technológiák kiaknázására irányuló globális fellépést is tartalmaz, amelynek célja a demokrácia előmozdítása és védelme, a demokráciát és a választási folyamatokat fenyegető veszélyek elleni küzdelem, a média függetlenségének megőrzése és az új technológiák jelentette kihívások leküzdése. </w:t>
            </w:r>
          </w:p>
          <w:p w14:paraId="407DA078" w14:textId="407BFFCA" w:rsidR="00A031BA" w:rsidRPr="000F5848" w:rsidRDefault="00A031BA" w:rsidP="00A031BA">
            <w:pPr>
              <w:spacing w:after="120"/>
              <w:rPr>
                <w:noProof/>
              </w:rPr>
            </w:pPr>
            <w:r>
              <w:rPr>
                <w:noProof/>
              </w:rPr>
              <w:t xml:space="preserve">Az </w:t>
            </w:r>
            <w:r>
              <w:rPr>
                <w:b/>
                <w:noProof/>
              </w:rPr>
              <w:t>IPA eszköz (Civil társadalmi eszköz és médiaprogram)</w:t>
            </w:r>
            <w:r>
              <w:rPr>
                <w:noProof/>
              </w:rPr>
              <w:t xml:space="preserve"> keretében a Bizottság több mint 42 millió EUR összértékű (2023. október), átfogó és szakosodott regionális programmal támogatta a független médiát és a médiapluralizmust a Nyugat-Balkánon és Törökországban. A programok a tömegtájékoztatás szabadságának különböző rendszerszintű aspektusaira irányulnak, de főként a média számára kedvező környezet (többek között az újságírók biztonsága, a dezinformáció elleni küzdelem stb.), a finanszírozáshoz való hozzáférés és a gazdasági fenntarthatóság, a média szakmai normái és a minőségi tartalom tágabb szempontjaira. Példaként említhetők a következők:</w:t>
            </w:r>
          </w:p>
          <w:p w14:paraId="2E81FD9A" w14:textId="4244DB09" w:rsidR="00A031BA" w:rsidRPr="000F5848" w:rsidRDefault="531E6FC2" w:rsidP="001859F6">
            <w:pPr>
              <w:pStyle w:val="ListParagraph"/>
              <w:numPr>
                <w:ilvl w:val="0"/>
                <w:numId w:val="32"/>
              </w:numPr>
              <w:ind w:left="1066" w:hanging="357"/>
              <w:rPr>
                <w:rFonts w:ascii="Times New Roman" w:hAnsi="Times New Roman"/>
                <w:noProof/>
              </w:rPr>
            </w:pPr>
            <w:r>
              <w:rPr>
                <w:rFonts w:ascii="Times New Roman" w:hAnsi="Times New Roman"/>
                <w:noProof/>
              </w:rPr>
              <w:t xml:space="preserve">„A tömegtájékoztatás szabadságának és sokszínűségének támogatása a Nyugat-Balkánon” (10 millió EUR, 2023. március – 2025. augusztus) célja a független médiaorgánumok gazdasági fenntarthatóságának javítása és a minőségi jelentéstételi kapacitásuk javítása, valamint a médiaorgánumok és más médiapiaci szereplők közötti regionális cserék és hálózatépítés megkönnyítése. </w:t>
            </w:r>
          </w:p>
          <w:p w14:paraId="2B20BF74" w14:textId="5CFC01B5" w:rsidR="00A031BA" w:rsidRPr="000F5848" w:rsidRDefault="00A031BA" w:rsidP="001F1CB1">
            <w:pPr>
              <w:pStyle w:val="ListParagraph"/>
              <w:numPr>
                <w:ilvl w:val="0"/>
                <w:numId w:val="32"/>
              </w:numPr>
              <w:spacing w:after="120"/>
              <w:rPr>
                <w:rFonts w:ascii="Times New Roman" w:hAnsi="Times New Roman"/>
                <w:noProof/>
              </w:rPr>
            </w:pPr>
            <w:r>
              <w:rPr>
                <w:rFonts w:ascii="Times New Roman" w:hAnsi="Times New Roman"/>
                <w:noProof/>
              </w:rPr>
              <w:t xml:space="preserve">Három közvetlen tevékenységi támogatás az Európai Demokrácia Alapítvány számára a médiaorgánumok és a civil szereplők célzott támogatására (37,6 millió EUR a médiára) és éves működési támogatás (2 millió EUR évente): rugalmas újratámogatási rendszer a demokráciapárti támogatásra a gyorsan változó környezetben.  </w:t>
            </w:r>
          </w:p>
          <w:p w14:paraId="5217E91D" w14:textId="4B3E28F9" w:rsidR="00470552" w:rsidRPr="000F5848" w:rsidRDefault="00470552">
            <w:pPr>
              <w:spacing w:after="120"/>
              <w:rPr>
                <w:noProof/>
              </w:rPr>
            </w:pPr>
            <w:r>
              <w:rPr>
                <w:noProof/>
              </w:rPr>
              <w:t xml:space="preserve">Az elmúlt </w:t>
            </w:r>
            <w:r>
              <w:rPr>
                <w:b/>
                <w:noProof/>
              </w:rPr>
              <w:t>öt évben</w:t>
            </w:r>
            <w:r>
              <w:rPr>
                <w:noProof/>
              </w:rPr>
              <w:t xml:space="preserve"> az EU több mint 120 millió EUR értékben finanszírozott projekteket az EU-n kívüli országokban </w:t>
            </w:r>
            <w:r>
              <w:rPr>
                <w:b/>
                <w:noProof/>
              </w:rPr>
              <w:t>a véleménynyilvánítás szabadságának és a független tömegtájékoztatásnak a támogatására</w:t>
            </w:r>
            <w:r>
              <w:rPr>
                <w:noProof/>
              </w:rPr>
              <w:t>. A fellépések közé tartoznak például a következők:</w:t>
            </w:r>
          </w:p>
          <w:p w14:paraId="514F4802" w14:textId="7DD8D2BE" w:rsidR="00BB6B85" w:rsidRPr="000F5848" w:rsidRDefault="00BB6B85" w:rsidP="001859F6">
            <w:pPr>
              <w:pStyle w:val="ListParagraph"/>
              <w:numPr>
                <w:ilvl w:val="0"/>
                <w:numId w:val="33"/>
              </w:numPr>
              <w:ind w:left="1066" w:hanging="357"/>
              <w:rPr>
                <w:rFonts w:ascii="Times New Roman" w:hAnsi="Times New Roman"/>
                <w:noProof/>
              </w:rPr>
            </w:pPr>
            <w:r>
              <w:rPr>
                <w:rFonts w:ascii="Times New Roman" w:hAnsi="Times New Roman"/>
                <w:noProof/>
              </w:rPr>
              <w:t xml:space="preserve">Az újságíróknak és a médiának nyújtott egyedi támogatás Ukrajnában (30 millió EUR) </w:t>
            </w:r>
          </w:p>
          <w:p w14:paraId="7C1FA689" w14:textId="3F4EB16A" w:rsidR="00B317D4" w:rsidRPr="000F5848" w:rsidRDefault="00B317D4" w:rsidP="001859F6">
            <w:pPr>
              <w:pStyle w:val="ListParagraph"/>
              <w:numPr>
                <w:ilvl w:val="0"/>
                <w:numId w:val="33"/>
              </w:numPr>
              <w:ind w:left="1066" w:hanging="357"/>
              <w:rPr>
                <w:rFonts w:ascii="Times New Roman" w:hAnsi="Times New Roman"/>
                <w:noProof/>
              </w:rPr>
            </w:pPr>
            <w:r>
              <w:rPr>
                <w:rFonts w:ascii="Times New Roman" w:hAnsi="Times New Roman"/>
                <w:noProof/>
              </w:rPr>
              <w:t>A független újságírás támogatása a déli szomszédságban 2021-ben 15 millió EUR-t tett ki. A támogatásokat az Európai Demokrácia Alapítványon keresztül hajtották végre</w:t>
            </w:r>
          </w:p>
          <w:p w14:paraId="2987574F" w14:textId="7EC8C790" w:rsidR="000F0A51" w:rsidRPr="000F5848" w:rsidRDefault="000F0A51" w:rsidP="001859F6">
            <w:pPr>
              <w:pStyle w:val="ListParagraph"/>
              <w:numPr>
                <w:ilvl w:val="0"/>
                <w:numId w:val="33"/>
              </w:numPr>
              <w:ind w:left="1066" w:hanging="357"/>
              <w:jc w:val="left"/>
              <w:rPr>
                <w:rFonts w:ascii="Times New Roman" w:hAnsi="Times New Roman"/>
                <w:noProof/>
              </w:rPr>
            </w:pPr>
            <w:r>
              <w:rPr>
                <w:rFonts w:ascii="Times New Roman" w:hAnsi="Times New Roman"/>
                <w:noProof/>
              </w:rPr>
              <w:t>2022 februárjában jelentős program lépett hatályba az orosz független média támogatására, amely szükséghelyzeti támogatást, valamint hosszabb távú kapacitásépítést és egyéb támogatási intézkedéseket biztosít</w:t>
            </w:r>
          </w:p>
          <w:p w14:paraId="73E14965" w14:textId="77777777" w:rsidR="00470552" w:rsidRPr="000F5848" w:rsidRDefault="00470552" w:rsidP="001859F6">
            <w:pPr>
              <w:pStyle w:val="ListParagraph"/>
              <w:numPr>
                <w:ilvl w:val="0"/>
                <w:numId w:val="33"/>
              </w:numPr>
              <w:ind w:left="1066" w:hanging="357"/>
              <w:rPr>
                <w:rFonts w:ascii="Times New Roman" w:hAnsi="Times New Roman"/>
                <w:noProof/>
              </w:rPr>
            </w:pPr>
            <w:r>
              <w:rPr>
                <w:rFonts w:ascii="Times New Roman" w:hAnsi="Times New Roman"/>
                <w:noProof/>
              </w:rPr>
              <w:t xml:space="preserve">Az emberi jogokra és a demokráciára vonatkozó tematikus keretpartnerségek keretében a </w:t>
            </w:r>
            <w:r>
              <w:rPr>
                <w:rFonts w:ascii="Times New Roman" w:hAnsi="Times New Roman"/>
                <w:b/>
                <w:noProof/>
              </w:rPr>
              <w:t>független média védelmére</w:t>
            </w:r>
            <w:r>
              <w:rPr>
                <w:rFonts w:ascii="Times New Roman" w:hAnsi="Times New Roman"/>
                <w:noProof/>
              </w:rPr>
              <w:t xml:space="preserve"> irányuló tevékenységek végrehajtása céljából az érintett szervezetek kiválasztására irányuló eljárások megkezdése</w:t>
            </w:r>
          </w:p>
          <w:p w14:paraId="24C98D12" w14:textId="307B115B" w:rsidR="00470552" w:rsidRPr="000F5848" w:rsidRDefault="00470552" w:rsidP="001859F6">
            <w:pPr>
              <w:pStyle w:val="ListParagraph"/>
              <w:numPr>
                <w:ilvl w:val="0"/>
                <w:numId w:val="33"/>
              </w:numPr>
              <w:ind w:left="1066" w:hanging="357"/>
              <w:rPr>
                <w:rFonts w:ascii="Times New Roman" w:hAnsi="Times New Roman"/>
                <w:noProof/>
              </w:rPr>
            </w:pPr>
            <w:r>
              <w:rPr>
                <w:rFonts w:ascii="Times New Roman" w:hAnsi="Times New Roman"/>
                <w:noProof/>
              </w:rPr>
              <w:t>A ProtectDefenders intenzívebbé teszi a válság sújtotta országok újságíróinak védelmére irányuló munkáját 2021-ben a mechanizmus világszerte mintegy 550 újságírót támogatott.</w:t>
            </w:r>
          </w:p>
          <w:p w14:paraId="1347BF8F" w14:textId="3EE74F57" w:rsidR="00D52CA3" w:rsidRPr="000F5848" w:rsidRDefault="00D52CA3" w:rsidP="001859F6">
            <w:pPr>
              <w:pStyle w:val="ListParagraph"/>
              <w:numPr>
                <w:ilvl w:val="0"/>
                <w:numId w:val="33"/>
              </w:numPr>
              <w:ind w:left="1066" w:hanging="357"/>
              <w:rPr>
                <w:rFonts w:ascii="Times New Roman" w:hAnsi="Times New Roman"/>
                <w:noProof/>
              </w:rPr>
            </w:pPr>
            <w:r>
              <w:rPr>
                <w:rFonts w:ascii="Times New Roman" w:hAnsi="Times New Roman"/>
                <w:noProof/>
              </w:rPr>
              <w:t xml:space="preserve">Afganisztánban az UNESCO-val és az Internews-szal két, az országon belüli médiaprogramról és a külföldről történő munkavégzésről állapodtak meg  </w:t>
            </w:r>
          </w:p>
          <w:p w14:paraId="5C9D92C6" w14:textId="670B456C" w:rsidR="00CE4DAE" w:rsidRPr="00D31FB0" w:rsidRDefault="00CE4DAE" w:rsidP="00CE4DAE">
            <w:pPr>
              <w:pStyle w:val="ListParagraph"/>
              <w:numPr>
                <w:ilvl w:val="0"/>
                <w:numId w:val="33"/>
              </w:numPr>
              <w:contextualSpacing/>
              <w:rPr>
                <w:rFonts w:ascii="Times New Roman" w:hAnsi="Times New Roman"/>
                <w:noProof/>
              </w:rPr>
            </w:pPr>
            <w:r>
              <w:rPr>
                <w:rFonts w:ascii="Times New Roman" w:hAnsi="Times New Roman"/>
                <w:noProof/>
              </w:rPr>
              <w:t>„MEDIA Support” és „Assises de Journalism”</w:t>
            </w:r>
          </w:p>
          <w:p w14:paraId="1F833BB1" w14:textId="7AFDE294" w:rsidR="00470552" w:rsidRPr="00D31FB0" w:rsidRDefault="00470552" w:rsidP="003C3D52">
            <w:pPr>
              <w:pStyle w:val="ListParagraph"/>
              <w:spacing w:after="120"/>
              <w:ind w:left="1068"/>
              <w:rPr>
                <w:rFonts w:ascii="Times New Roman" w:hAnsi="Times New Roman"/>
                <w:noProof/>
                <w:lang w:val="fr-BE"/>
              </w:rPr>
            </w:pPr>
          </w:p>
          <w:p w14:paraId="56CB75F6" w14:textId="79B6C5A1" w:rsidR="2FE0E599" w:rsidRPr="000F5848" w:rsidRDefault="2FE0E599" w:rsidP="64A05F36">
            <w:pPr>
              <w:spacing w:after="120"/>
              <w:rPr>
                <w:noProof/>
              </w:rPr>
            </w:pPr>
            <w:r>
              <w:rPr>
                <w:noProof/>
              </w:rPr>
              <w:t xml:space="preserve">A </w:t>
            </w:r>
            <w:r>
              <w:rPr>
                <w:b/>
                <w:noProof/>
              </w:rPr>
              <w:t>2021 és 2027 közötti időszakra szóló Globális Európa program</w:t>
            </w:r>
            <w:r>
              <w:rPr>
                <w:noProof/>
              </w:rPr>
              <w:t xml:space="preserve"> keretében a becslések szerint 185 millió EUR-t különítenek el a független média támogatására és a digitalizációban rejlő lehetőségek kiaknázására világszerte. A független média védelméről szóló új pénzügyikeret-partnerségi megállapodás nagyobb stratégiai együttműködést tesz lehetővé olyan kiválasztott nem kormányzati szervezetekkel, amelyek világszerte a tömegtájékoztatás szabadságának védelmén dolgoznak. A megállapodást négy évre (2023–2027) írják alá három vezető konzorciummal. Legfeljebb 20 millió EUR áll majd rendelkezésre. A cél a veszélyeztetett újságírók és médiaorgánumok rezilienciájának megerősítése; a gyűlöletbeszéd, a szélsőségesség és a dezinformáció elleni küzdelem; a nehéz körülmények között dolgozó fiatal újságírók számára hozzáférés biztosítása a szakmai fejlődéshez és a tanulási lehetőségekhez; médiafejlesztési szervezetek és civil társadalmi szervezetek határokon átnyúló hálózatainak kialakítása és megerősítése.</w:t>
            </w:r>
          </w:p>
          <w:p w14:paraId="0895AC60" w14:textId="420F7967" w:rsidR="00470552" w:rsidRPr="000F5848" w:rsidRDefault="00470552">
            <w:pPr>
              <w:spacing w:after="120"/>
              <w:rPr>
                <w:i/>
                <w:iCs/>
                <w:noProof/>
              </w:rPr>
            </w:pPr>
            <w:r>
              <w:rPr>
                <w:i/>
                <w:noProof/>
                <w:u w:val="single"/>
              </w:rPr>
              <w:t>Hasznos linkek</w:t>
            </w:r>
            <w:r>
              <w:rPr>
                <w:i/>
                <w:noProof/>
              </w:rPr>
              <w:t xml:space="preserve">: </w:t>
            </w:r>
          </w:p>
          <w:p w14:paraId="66B12EAB" w14:textId="4484FE9A" w:rsidR="004E4522" w:rsidRDefault="0072154A" w:rsidP="00021A27">
            <w:pPr>
              <w:spacing w:after="0"/>
              <w:rPr>
                <w:rStyle w:val="Hyperlink"/>
                <w:noProof/>
              </w:rPr>
            </w:pPr>
            <w:hyperlink r:id="rId72" w:history="1">
              <w:r w:rsidR="00C34E1C">
                <w:rPr>
                  <w:rStyle w:val="Hyperlink"/>
                  <w:noProof/>
                </w:rPr>
                <w:t>A média szabadságával kapcsolatos gyorsreagálás</w:t>
              </w:r>
            </w:hyperlink>
          </w:p>
          <w:p w14:paraId="037D5832" w14:textId="7A17451C" w:rsidR="00B8118C" w:rsidRPr="00C34E1C" w:rsidRDefault="0072154A" w:rsidP="00021A27">
            <w:pPr>
              <w:spacing w:after="0"/>
              <w:rPr>
                <w:noProof/>
              </w:rPr>
            </w:pPr>
            <w:hyperlink r:id="rId73" w:history="1">
              <w:r w:rsidR="000E003A">
                <w:rPr>
                  <w:rStyle w:val="Hyperlink"/>
                  <w:noProof/>
                </w:rPr>
                <w:t>IJ4 EU – Oknyomozó újságírás Európáért</w:t>
              </w:r>
            </w:hyperlink>
          </w:p>
          <w:p w14:paraId="604C8605" w14:textId="2894D0F5" w:rsidR="004E4522" w:rsidRPr="000F5848" w:rsidRDefault="0072154A" w:rsidP="00021A27">
            <w:pPr>
              <w:spacing w:after="0"/>
              <w:rPr>
                <w:noProof/>
              </w:rPr>
            </w:pPr>
            <w:hyperlink r:id="rId74" w:history="1">
              <w:r w:rsidR="00C34E1C">
                <w:rPr>
                  <w:rStyle w:val="Hyperlink"/>
                  <w:noProof/>
                </w:rPr>
                <w:t>Kézikönyv az újságírók biztonságáról</w:t>
              </w:r>
            </w:hyperlink>
          </w:p>
          <w:p w14:paraId="6A015934" w14:textId="501520EB" w:rsidR="004E4522" w:rsidRPr="000F5848" w:rsidRDefault="0072154A" w:rsidP="00021A27">
            <w:pPr>
              <w:spacing w:after="0"/>
              <w:rPr>
                <w:noProof/>
              </w:rPr>
            </w:pPr>
            <w:hyperlink r:id="rId75" w:history="1">
              <w:r w:rsidR="00C34E1C">
                <w:rPr>
                  <w:rStyle w:val="Hyperlink"/>
                  <w:noProof/>
                </w:rPr>
                <w:t>Nemzetközi együttműködés és fejlesztés – Pályázati felhívás</w:t>
              </w:r>
            </w:hyperlink>
          </w:p>
          <w:p w14:paraId="1ED7C5B4" w14:textId="77777777" w:rsidR="008610D1" w:rsidRPr="000F5848" w:rsidRDefault="0072154A" w:rsidP="00021A27">
            <w:pPr>
              <w:spacing w:after="0"/>
              <w:rPr>
                <w:rStyle w:val="Hyperlink"/>
                <w:rFonts w:eastAsia="Calibri"/>
                <w:noProof/>
              </w:rPr>
            </w:pPr>
            <w:hyperlink r:id="rId76">
              <w:r w:rsidR="00C34E1C">
                <w:rPr>
                  <w:rStyle w:val="Hyperlink"/>
                  <w:noProof/>
                </w:rPr>
                <w:t>Kezdőlap – SafeJournalists</w:t>
              </w:r>
            </w:hyperlink>
          </w:p>
          <w:p w14:paraId="5AFF1570" w14:textId="77777777" w:rsidR="003C3D52" w:rsidRPr="000F5848" w:rsidRDefault="0072154A" w:rsidP="00CE1A5F">
            <w:pPr>
              <w:spacing w:after="0"/>
              <w:rPr>
                <w:rStyle w:val="Hyperlink"/>
                <w:rFonts w:eastAsia="Calibri"/>
                <w:noProof/>
              </w:rPr>
            </w:pPr>
            <w:hyperlink r:id="rId77" w:history="1">
              <w:r w:rsidR="00C34E1C">
                <w:rPr>
                  <w:rStyle w:val="Hyperlink"/>
                  <w:noProof/>
                </w:rPr>
                <w:t>Európai Demokrácia Alapítvány (EED) (democracyendowment.eu)</w:t>
              </w:r>
            </w:hyperlink>
          </w:p>
          <w:p w14:paraId="7B836815" w14:textId="005BC0C6" w:rsidR="0014F7D0" w:rsidRPr="000F5848" w:rsidRDefault="0072154A" w:rsidP="00CE1A5F">
            <w:pPr>
              <w:spacing w:after="0"/>
              <w:rPr>
                <w:rStyle w:val="Hyperlink"/>
                <w:noProof/>
              </w:rPr>
            </w:pPr>
            <w:hyperlink r:id="rId78" w:history="1">
              <w:r w:rsidR="00C34E1C">
                <w:rPr>
                  <w:rStyle w:val="Hyperlink"/>
                  <w:noProof/>
                </w:rPr>
                <w:t>WB6 MEDIA |</w:t>
              </w:r>
            </w:hyperlink>
            <w:hyperlink r:id="rId79" w:history="1">
              <w:r w:rsidR="00C34E1C">
                <w:rPr>
                  <w:rStyle w:val="Hyperlink"/>
                  <w:noProof/>
                </w:rPr>
                <w:t xml:space="preserve"> A nyugat-balkáni médiaszabadság és -pluralizmus támogatása</w:t>
              </w:r>
            </w:hyperlink>
          </w:p>
          <w:p w14:paraId="3BF66BBF" w14:textId="7087A527" w:rsidR="00021A27" w:rsidRPr="00545A82" w:rsidRDefault="00021A27" w:rsidP="00CE0728">
            <w:pPr>
              <w:spacing w:after="0"/>
              <w:rPr>
                <w:rFonts w:eastAsia="Calibri"/>
                <w:noProof/>
                <w:color w:val="0563C1" w:themeColor="hyperlink"/>
                <w:u w:val="single"/>
              </w:rPr>
            </w:pPr>
          </w:p>
        </w:tc>
      </w:tr>
      <w:tr w:rsidR="00470552" w:rsidRPr="00CA5190" w14:paraId="34EAB128" w14:textId="77777777" w:rsidTr="00E664BF">
        <w:trPr>
          <w:trHeight w:val="693"/>
          <w:jc w:val="center"/>
        </w:trPr>
        <w:tc>
          <w:tcPr>
            <w:tcW w:w="2122" w:type="dxa"/>
            <w:vMerge/>
          </w:tcPr>
          <w:p w14:paraId="76258B4B" w14:textId="77777777" w:rsidR="00470552" w:rsidRPr="000F5848" w:rsidRDefault="00470552">
            <w:pPr>
              <w:spacing w:after="0"/>
              <w:rPr>
                <w:i/>
                <w:iCs/>
                <w:noProof/>
              </w:rPr>
            </w:pPr>
          </w:p>
        </w:tc>
        <w:tc>
          <w:tcPr>
            <w:tcW w:w="2409" w:type="dxa"/>
            <w:tcBorders>
              <w:top w:val="single" w:sz="4" w:space="0" w:color="auto"/>
              <w:left w:val="single" w:sz="4" w:space="0" w:color="auto"/>
              <w:bottom w:val="single" w:sz="4" w:space="0" w:color="auto"/>
              <w:right w:val="single" w:sz="4" w:space="0" w:color="auto"/>
            </w:tcBorders>
          </w:tcPr>
          <w:p w14:paraId="195DB290" w14:textId="77777777" w:rsidR="00470552" w:rsidRPr="000F5848" w:rsidRDefault="00470552">
            <w:pPr>
              <w:spacing w:after="0"/>
              <w:rPr>
                <w:i/>
                <w:iCs/>
                <w:noProof/>
              </w:rPr>
            </w:pPr>
            <w:r>
              <w:rPr>
                <w:i/>
                <w:noProof/>
              </w:rPr>
              <w:t xml:space="preserve">A </w:t>
            </w:r>
            <w:r>
              <w:rPr>
                <w:b/>
                <w:i/>
                <w:noProof/>
              </w:rPr>
              <w:t>közéleti részvételt akadályozó stratégiai perekkel foglalkozó szakértői csoport</w:t>
            </w:r>
            <w:r>
              <w:rPr>
                <w:i/>
                <w:noProof/>
              </w:rPr>
              <w:t xml:space="preserve"> létrehozása az újságírók jogi támogatásával és más intézkedésekkel kapcsolatos bevált gyakorlatok összegyűjtése és cseréje céljából </w:t>
            </w:r>
          </w:p>
        </w:tc>
        <w:tc>
          <w:tcPr>
            <w:tcW w:w="9956" w:type="dxa"/>
            <w:tcBorders>
              <w:top w:val="single" w:sz="4" w:space="0" w:color="auto"/>
              <w:left w:val="single" w:sz="4" w:space="0" w:color="auto"/>
              <w:bottom w:val="single" w:sz="4" w:space="0" w:color="auto"/>
              <w:right w:val="single" w:sz="4" w:space="0" w:color="auto"/>
            </w:tcBorders>
          </w:tcPr>
          <w:p w14:paraId="3A97EA99" w14:textId="5680603C" w:rsidR="00470552" w:rsidRPr="000F5848" w:rsidRDefault="00470552">
            <w:pPr>
              <w:spacing w:after="120"/>
              <w:rPr>
                <w:noProof/>
              </w:rPr>
            </w:pPr>
            <w:r>
              <w:rPr>
                <w:noProof/>
              </w:rPr>
              <w:t xml:space="preserve">A </w:t>
            </w:r>
            <w:r>
              <w:rPr>
                <w:b/>
                <w:noProof/>
              </w:rPr>
              <w:t>közéleti részvételt akadályozó stratégiai perekkel foglalkozó szakértői csoportot</w:t>
            </w:r>
            <w:r>
              <w:rPr>
                <w:noProof/>
              </w:rPr>
              <w:t xml:space="preserve"> 2021-ben hozták létre, és a közéleti részvételt akadályozó stratégiai perek elleni csomag előkészítésében segítette a Bizottságot. A jogi szakemberekből és a választói szövetségekből álló csoport 8 alkalommal ülésezett. A csoport továbbra is támogatja a tagállamokat az ajánlás végrehajtásában. </w:t>
            </w:r>
          </w:p>
          <w:p w14:paraId="710FB078" w14:textId="7EB1BCFF" w:rsidR="00470552" w:rsidRPr="000F5848" w:rsidRDefault="00470552">
            <w:pPr>
              <w:spacing w:after="120"/>
              <w:rPr>
                <w:i/>
                <w:iCs/>
                <w:noProof/>
              </w:rPr>
            </w:pPr>
            <w:r>
              <w:rPr>
                <w:i/>
                <w:noProof/>
                <w:u w:val="single"/>
              </w:rPr>
              <w:t>Hasznos linkek</w:t>
            </w:r>
            <w:r>
              <w:rPr>
                <w:i/>
                <w:noProof/>
              </w:rPr>
              <w:t>:</w:t>
            </w:r>
          </w:p>
          <w:p w14:paraId="52522E66" w14:textId="77777777" w:rsidR="00470552" w:rsidRDefault="0072154A" w:rsidP="00CE0728">
            <w:pPr>
              <w:spacing w:after="0"/>
              <w:rPr>
                <w:rStyle w:val="Hyperlink"/>
                <w:noProof/>
              </w:rPr>
            </w:pPr>
            <w:hyperlink r:id="rId80" w:history="1">
              <w:r w:rsidR="00C34E1C">
                <w:rPr>
                  <w:rStyle w:val="Hyperlink"/>
                  <w:noProof/>
                </w:rPr>
                <w:t>Szakértői csoport a közéleti részvételt akadályozó stratégiai perek ellen</w:t>
              </w:r>
            </w:hyperlink>
          </w:p>
          <w:p w14:paraId="01F1D0FA" w14:textId="300531BF" w:rsidR="00CE0728" w:rsidRPr="000F5848" w:rsidRDefault="00CE0728" w:rsidP="00CE0728">
            <w:pPr>
              <w:spacing w:after="0"/>
              <w:rPr>
                <w:noProof/>
              </w:rPr>
            </w:pPr>
          </w:p>
        </w:tc>
      </w:tr>
      <w:tr w:rsidR="00470552" w:rsidRPr="00CA5190" w14:paraId="3297AD1B" w14:textId="77777777" w:rsidTr="00E664BF">
        <w:trPr>
          <w:trHeight w:val="693"/>
          <w:jc w:val="center"/>
        </w:trPr>
        <w:tc>
          <w:tcPr>
            <w:tcW w:w="2122" w:type="dxa"/>
            <w:vMerge/>
          </w:tcPr>
          <w:p w14:paraId="2A9B1710" w14:textId="77777777" w:rsidR="00470552" w:rsidRPr="000F5848" w:rsidRDefault="00470552">
            <w:pPr>
              <w:spacing w:after="0"/>
              <w:rPr>
                <w:i/>
                <w:iCs/>
                <w:noProof/>
              </w:rPr>
            </w:pPr>
          </w:p>
        </w:tc>
        <w:tc>
          <w:tcPr>
            <w:tcW w:w="2409" w:type="dxa"/>
            <w:tcBorders>
              <w:top w:val="single" w:sz="4" w:space="0" w:color="auto"/>
              <w:left w:val="single" w:sz="4" w:space="0" w:color="auto"/>
              <w:bottom w:val="single" w:sz="4" w:space="0" w:color="auto"/>
              <w:right w:val="single" w:sz="4" w:space="0" w:color="auto"/>
            </w:tcBorders>
          </w:tcPr>
          <w:p w14:paraId="1AD08EE4" w14:textId="77777777" w:rsidR="00470552" w:rsidRPr="000F5848" w:rsidRDefault="00470552">
            <w:pPr>
              <w:spacing w:after="0"/>
              <w:rPr>
                <w:i/>
                <w:iCs/>
                <w:noProof/>
              </w:rPr>
            </w:pPr>
            <w:r>
              <w:rPr>
                <w:b/>
                <w:i/>
                <w:noProof/>
              </w:rPr>
              <w:t>Az újságírók és a civil társadalom stratégiai perekkel szembeni védelmére irányuló kezdeményezés</w:t>
            </w:r>
            <w:r>
              <w:rPr>
                <w:i/>
                <w:noProof/>
              </w:rPr>
              <w:t xml:space="preserve"> előterjesztése</w:t>
            </w:r>
            <w:r>
              <w:rPr>
                <w:b/>
                <w:i/>
                <w:noProof/>
              </w:rPr>
              <w:t xml:space="preserve"> </w:t>
            </w:r>
          </w:p>
        </w:tc>
        <w:tc>
          <w:tcPr>
            <w:tcW w:w="9956" w:type="dxa"/>
            <w:tcBorders>
              <w:top w:val="single" w:sz="4" w:space="0" w:color="auto"/>
              <w:left w:val="single" w:sz="4" w:space="0" w:color="auto"/>
              <w:bottom w:val="single" w:sz="4" w:space="0" w:color="auto"/>
              <w:right w:val="single" w:sz="4" w:space="0" w:color="auto"/>
            </w:tcBorders>
          </w:tcPr>
          <w:p w14:paraId="6E0BA804" w14:textId="53D6D873" w:rsidR="005415B5" w:rsidRPr="005415B5" w:rsidRDefault="00B56C9F" w:rsidP="005415B5">
            <w:pPr>
              <w:spacing w:after="120"/>
              <w:rPr>
                <w:noProof/>
              </w:rPr>
            </w:pPr>
            <w:r>
              <w:rPr>
                <w:noProof/>
              </w:rPr>
              <w:t xml:space="preserve">2022 áprilisában a Bizottság </w:t>
            </w:r>
            <w:r>
              <w:rPr>
                <w:b/>
                <w:noProof/>
              </w:rPr>
              <w:t>intézkedéscsomagot terjesztett elő a közéleti részvételt akadályozó stratégiai perekkel szemben</w:t>
            </w:r>
            <w:r>
              <w:rPr>
                <w:noProof/>
              </w:rPr>
              <w:t xml:space="preserve">, jogalkotási biztosítékokat javasolva az újságírókkal és az emberijog-védőkkel szembeni visszaélésszerű pereskedés visszaszorítására, valamint számos nem jogalkotási intézkedést terjesztett elő a közéleti részvételt akadályozó stratégiai perek egyes kiváltó okainak kezelésére irányuló nemzeti szintű fellépés támogatása érdekében, például a rágalmazási szabályok tekintetében. November 30-án az Európai Parlament és a Tanács ideiglenes politikai megállapodásra jutott a közéleti részvételt akadályozó stratégiai perek elleni irányelvről. </w:t>
            </w:r>
          </w:p>
          <w:p w14:paraId="2E7BF392" w14:textId="5C68E1BC" w:rsidR="00B56C9F" w:rsidRPr="000F5848" w:rsidDel="00BB2DD1" w:rsidRDefault="00D23C7A" w:rsidP="377959D7">
            <w:pPr>
              <w:spacing w:after="120"/>
              <w:rPr>
                <w:noProof/>
              </w:rPr>
            </w:pPr>
            <w:r>
              <w:rPr>
                <w:noProof/>
              </w:rPr>
              <w:t>Az ajánlás tekintetében a tagállamoknak 2023 végétől kezdődően évente jelentést kell tenniük a Bizottságnak a nemzeti szinten gyűjtött összesített adatokról, az adatvédelmi követelmények teljes körű tiszteletben tartása mellett. A Bizottság évente összefoglalót tesz közzé a kapott hozzájárulásokról.</w:t>
            </w:r>
          </w:p>
          <w:p w14:paraId="70E4D7DF" w14:textId="4CAEE9F3" w:rsidR="00470552" w:rsidRPr="000F5848" w:rsidRDefault="00470552" w:rsidP="00051FB5">
            <w:pPr>
              <w:spacing w:after="120"/>
              <w:rPr>
                <w:i/>
                <w:iCs/>
                <w:noProof/>
              </w:rPr>
            </w:pPr>
            <w:r>
              <w:rPr>
                <w:i/>
                <w:noProof/>
                <w:u w:val="single"/>
              </w:rPr>
              <w:t>Hasznos linkek</w:t>
            </w:r>
            <w:r>
              <w:rPr>
                <w:i/>
                <w:noProof/>
              </w:rPr>
              <w:t>:</w:t>
            </w:r>
          </w:p>
          <w:p w14:paraId="7F4D8186" w14:textId="10B081CE" w:rsidR="00470552" w:rsidRPr="000F5848" w:rsidRDefault="0072154A" w:rsidP="00435F58">
            <w:pPr>
              <w:spacing w:after="0"/>
              <w:rPr>
                <w:noProof/>
              </w:rPr>
            </w:pPr>
            <w:hyperlink r:id="rId81">
              <w:r w:rsidR="00C34E1C">
                <w:rPr>
                  <w:rStyle w:val="Hyperlink"/>
                  <w:noProof/>
                </w:rPr>
                <w:t>Javaslat – Irányelv a közéletben részt vevő személyeknek a nyilvánvalóan megalapozatlan vagy visszaélésszerű bírósági eljárásokkal (közéleti részvételt akadályozó stratégiai perekkel) szembeni védelméről</w:t>
              </w:r>
            </w:hyperlink>
          </w:p>
          <w:p w14:paraId="1AEA8908" w14:textId="504EF696" w:rsidR="00435F58" w:rsidRPr="00545A82" w:rsidRDefault="00435F58" w:rsidP="001859F6">
            <w:pPr>
              <w:spacing w:after="0"/>
              <w:rPr>
                <w:noProof/>
                <w:sz w:val="22"/>
              </w:rPr>
            </w:pPr>
          </w:p>
        </w:tc>
      </w:tr>
      <w:tr w:rsidR="00470552" w:rsidRPr="00CA5190" w14:paraId="27DFFBDC" w14:textId="77777777" w:rsidTr="00E664BF">
        <w:trPr>
          <w:trHeight w:val="43"/>
          <w:jc w:val="center"/>
        </w:trPr>
        <w:tc>
          <w:tcPr>
            <w:tcW w:w="2122" w:type="dxa"/>
            <w:vMerge/>
          </w:tcPr>
          <w:p w14:paraId="7FD8BD4C" w14:textId="77777777" w:rsidR="00470552" w:rsidRPr="000F5848" w:rsidRDefault="00470552">
            <w:pPr>
              <w:spacing w:after="0"/>
              <w:rPr>
                <w:b/>
                <w:bCs/>
                <w:i/>
                <w:iCs/>
                <w:noProof/>
              </w:rPr>
            </w:pPr>
          </w:p>
        </w:tc>
        <w:tc>
          <w:tcPr>
            <w:tcW w:w="2409" w:type="dxa"/>
            <w:tcBorders>
              <w:top w:val="single" w:sz="4" w:space="0" w:color="auto"/>
              <w:left w:val="single" w:sz="4" w:space="0" w:color="auto"/>
              <w:bottom w:val="single" w:sz="4" w:space="0" w:color="auto"/>
              <w:right w:val="single" w:sz="4" w:space="0" w:color="auto"/>
            </w:tcBorders>
          </w:tcPr>
          <w:p w14:paraId="38E2FA4E" w14:textId="77777777" w:rsidR="00470552" w:rsidRPr="000F5848" w:rsidRDefault="00470552">
            <w:pPr>
              <w:spacing w:after="0"/>
              <w:rPr>
                <w:i/>
                <w:iCs/>
                <w:noProof/>
              </w:rPr>
            </w:pPr>
            <w:r>
              <w:rPr>
                <w:b/>
                <w:i/>
                <w:noProof/>
              </w:rPr>
              <w:t>Nemzeti médiatanácsok</w:t>
            </w:r>
            <w:r>
              <w:rPr>
                <w:i/>
                <w:noProof/>
              </w:rPr>
              <w:t xml:space="preserve">, a média egyéb önszabályozó testületei, a média független szabályozói és újságírói hálózatok </w:t>
            </w:r>
            <w:r>
              <w:rPr>
                <w:b/>
                <w:i/>
                <w:noProof/>
              </w:rPr>
              <w:t>közötti uniós együttműködés</w:t>
            </w:r>
            <w:r>
              <w:rPr>
                <w:i/>
                <w:noProof/>
              </w:rPr>
              <w:t xml:space="preserve">, valamint </w:t>
            </w:r>
            <w:r>
              <w:rPr>
                <w:b/>
                <w:i/>
                <w:noProof/>
              </w:rPr>
              <w:t>az újságírói partnerségeket és standardokat előmozdító kezdeményezések támogatása</w:t>
            </w:r>
          </w:p>
          <w:p w14:paraId="76A9592D" w14:textId="77777777" w:rsidR="00470552" w:rsidRPr="000F5848" w:rsidRDefault="00470552">
            <w:pPr>
              <w:spacing w:after="0"/>
              <w:rPr>
                <w:i/>
                <w:noProof/>
              </w:rPr>
            </w:pPr>
          </w:p>
        </w:tc>
        <w:tc>
          <w:tcPr>
            <w:tcW w:w="9956" w:type="dxa"/>
            <w:tcBorders>
              <w:top w:val="single" w:sz="4" w:space="0" w:color="auto"/>
              <w:left w:val="single" w:sz="4" w:space="0" w:color="auto"/>
              <w:bottom w:val="single" w:sz="4" w:space="0" w:color="auto"/>
              <w:right w:val="single" w:sz="4" w:space="0" w:color="auto"/>
            </w:tcBorders>
          </w:tcPr>
          <w:p w14:paraId="59CF0131" w14:textId="41775C32" w:rsidR="00470552" w:rsidRPr="000F5848" w:rsidRDefault="4A60B54B">
            <w:pPr>
              <w:spacing w:after="120"/>
              <w:rPr>
                <w:noProof/>
              </w:rPr>
            </w:pPr>
            <w:r>
              <w:rPr>
                <w:noProof/>
              </w:rPr>
              <w:t xml:space="preserve">A Bizottság támogatja a </w:t>
            </w:r>
            <w:r>
              <w:rPr>
                <w:b/>
                <w:noProof/>
              </w:rPr>
              <w:t>nemzeti médiatanácsok</w:t>
            </w:r>
            <w:r>
              <w:rPr>
                <w:noProof/>
              </w:rPr>
              <w:t>, más önszabályozó médiatestületek, független médiaszabályozó testületek és újságírói hálózatok közötti együttműködést,</w:t>
            </w:r>
            <w:r>
              <w:rPr>
                <w:i/>
                <w:noProof/>
              </w:rPr>
              <w:t xml:space="preserve"> </w:t>
            </w:r>
            <w:r>
              <w:rPr>
                <w:noProof/>
              </w:rPr>
              <w:t xml:space="preserve">valamint az </w:t>
            </w:r>
            <w:r>
              <w:rPr>
                <w:b/>
                <w:noProof/>
              </w:rPr>
              <w:t>újságírói partnerségeket és normákat előmozdító</w:t>
            </w:r>
            <w:r>
              <w:rPr>
                <w:noProof/>
              </w:rPr>
              <w:t xml:space="preserve"> kezdeményezéseket, különösen a különböző programok (pl. Horizont 2020 és Horizont Európa, Kreatív Európa) projektjeinek pénzügyi támogatása révén.  </w:t>
            </w:r>
          </w:p>
          <w:p w14:paraId="6211428D" w14:textId="37A2F526" w:rsidR="00470552" w:rsidRPr="000F5848" w:rsidRDefault="00470552" w:rsidP="00257C3A">
            <w:pPr>
              <w:spacing w:after="120"/>
              <w:rPr>
                <w:noProof/>
              </w:rPr>
            </w:pPr>
            <w:r>
              <w:rPr>
                <w:noProof/>
              </w:rPr>
              <w:t>Erre példa a „</w:t>
            </w:r>
            <w:r>
              <w:rPr>
                <w:b/>
                <w:noProof/>
              </w:rPr>
              <w:t>Médiatanácsok a digitális korban</w:t>
            </w:r>
            <w:r>
              <w:rPr>
                <w:noProof/>
              </w:rPr>
              <w:t>” elnevezésű kísérleti projekt, amely a sajtó- és médiatanácsok fontos szerepére összpontosít az újságírókba és médiaorgánumokba vetett bizalom csökkenése és az új médiával kapcsolatos dezinformáció fokozódása idején. Négy fő elem révén vizsgálja a digitális kihívásokat: tudományos munka a meglévő sajtótanácsokkal kapcsolatos adatok és elemzések biztosítása érdekében, figyelemfelhívó kampány a média önszabályozásának előmozdítása érdekében, a médiatanácsok munkájának láthatósága és cseréje a nemzetközi színtéren, valamint a meglévő szervezetek megerősítése vagy a jövőbeli szervezetek támogatása. Ezt a projektet a „Media Councils in the Digital Age 4” projekt folytatja, amely 2023 júliusától 2025 júniusáig tart. Az egyéb projektek közé tartoznak a Horizont Európa „Média a demokráciáért – demokratikus média” keretében megvalósuló projektek vagy az „Európai kiválósági csereprogram az újságírásért” (a Kreatív Európa programból finanszírozott) projekt, amelyek kölcsönös bizalmon és közös szabályokon alapuló tudásközpontot biztosítanak az újságírók számára a kapcsolatteremtéshez.</w:t>
            </w:r>
          </w:p>
          <w:p w14:paraId="625AE939" w14:textId="45E85466" w:rsidR="00FE25E8" w:rsidRPr="000F5848" w:rsidRDefault="005E158F" w:rsidP="00FE25E8">
            <w:pPr>
              <w:spacing w:after="120"/>
              <w:rPr>
                <w:noProof/>
              </w:rPr>
            </w:pPr>
            <w:r>
              <w:rPr>
                <w:noProof/>
              </w:rPr>
              <w:t>Egy másik példa „</w:t>
            </w:r>
            <w:r>
              <w:rPr>
                <w:b/>
                <w:noProof/>
              </w:rPr>
              <w:t>A minőségi hírek és a független újságírás megerősítése a Nyugat-Balkánon és Törökországban II</w:t>
            </w:r>
            <w:r>
              <w:rPr>
                <w:noProof/>
              </w:rPr>
              <w:t>” elnevezésű program (2,2 millió EUR, 2023. január – 2025. december), amelynek célja a polgárok és a média bizalmon alapuló szerepvállalásának megerősítése, valamint erőforrások biztosítása és feltételek megteremtése a média és az újságírók számára ahhoz, hogy az oktatás, képzés, mentorálás és szerkesztői támogatás, technikai és pénzügyi támogatás, valamint a minőségi és oknyomozó újságírás terén elért kiemelkedő eredmények közzététele és előmozdítása révén magas színvonalú tartalmakat tudjanak előállítani.</w:t>
            </w:r>
          </w:p>
          <w:p w14:paraId="7DA89417" w14:textId="3BBCAF4A" w:rsidR="00086469" w:rsidRDefault="3A4C3491" w:rsidP="006C558C">
            <w:pPr>
              <w:spacing w:after="120"/>
              <w:rPr>
                <w:noProof/>
              </w:rPr>
            </w:pPr>
            <w:r>
              <w:rPr>
                <w:noProof/>
              </w:rPr>
              <w:t xml:space="preserve">Az </w:t>
            </w:r>
            <w:r>
              <w:rPr>
                <w:b/>
                <w:noProof/>
              </w:rPr>
              <w:t>EU és az Európa Tanács közötti</w:t>
            </w:r>
            <w:r>
              <w:rPr>
                <w:noProof/>
              </w:rPr>
              <w:t xml:space="preserve"> </w:t>
            </w:r>
            <w:r>
              <w:rPr>
                <w:b/>
                <w:noProof/>
              </w:rPr>
              <w:t>horizontális eszköz</w:t>
            </w:r>
            <w:r>
              <w:rPr>
                <w:noProof/>
              </w:rPr>
              <w:t xml:space="preserve"> keretében a Nyugat-Balkánra vonatkozó regionális és országspecifikus allokációk célja, hogy biztosítsák az újságírók, az újságírói szövetségek, az önszabályozó testületek és más médiaszervezetek jogainak és következményeinek tiszteletben tartását, összhangban az Emberi Jogok Európai Bíróságának ítélkezési gyakorlatával és az Európa Tanács normáival, többek között a médiaszabályozó hatóságokkal és az igazságügyi ágazattal való együttműködés révén (4 millió EUR, 2023. január – december 2026. január).  </w:t>
            </w:r>
          </w:p>
          <w:p w14:paraId="4B3314FB" w14:textId="46F48A6D" w:rsidR="00470552" w:rsidRPr="000F5848" w:rsidRDefault="00470552">
            <w:pPr>
              <w:spacing w:after="120"/>
              <w:rPr>
                <w:i/>
                <w:iCs/>
                <w:noProof/>
              </w:rPr>
            </w:pPr>
            <w:r>
              <w:rPr>
                <w:i/>
                <w:noProof/>
                <w:u w:val="single"/>
              </w:rPr>
              <w:t>Hasznos linkek</w:t>
            </w:r>
            <w:r>
              <w:rPr>
                <w:i/>
                <w:noProof/>
              </w:rPr>
              <w:t>:</w:t>
            </w:r>
          </w:p>
          <w:p w14:paraId="2E6F47C6" w14:textId="6CA9D6A4" w:rsidR="00FE25E8" w:rsidRPr="000F5848" w:rsidRDefault="0072154A" w:rsidP="00021A27">
            <w:pPr>
              <w:spacing w:after="0"/>
              <w:rPr>
                <w:noProof/>
              </w:rPr>
            </w:pPr>
            <w:hyperlink r:id="rId82">
              <w:r w:rsidR="00C34E1C">
                <w:rPr>
                  <w:rStyle w:val="Hyperlink"/>
                  <w:noProof/>
                </w:rPr>
                <w:t>Médiatanácsok a digitális korban</w:t>
              </w:r>
            </w:hyperlink>
            <w:r w:rsidR="00C34E1C">
              <w:rPr>
                <w:noProof/>
              </w:rPr>
              <w:t xml:space="preserve"> </w:t>
            </w:r>
          </w:p>
          <w:p w14:paraId="47EA6768" w14:textId="4B2C6D4D" w:rsidR="045689C6" w:rsidRPr="000F5848" w:rsidRDefault="0072154A" w:rsidP="6B686193">
            <w:pPr>
              <w:spacing w:after="0"/>
              <w:rPr>
                <w:noProof/>
              </w:rPr>
            </w:pPr>
            <w:hyperlink r:id="rId83" w:history="1">
              <w:r w:rsidR="00C34E1C">
                <w:rPr>
                  <w:rStyle w:val="Hyperlink"/>
                  <w:noProof/>
                </w:rPr>
                <w:t>A véleménynyilvánítás és a média szabadságának előmozdítása és védelme – Horizontális eszköz (coe.int)</w:t>
              </w:r>
            </w:hyperlink>
          </w:p>
          <w:p w14:paraId="549B4713" w14:textId="10EF4126" w:rsidR="00021A27" w:rsidRPr="005E158F" w:rsidRDefault="00C34E1C" w:rsidP="377959D7">
            <w:pPr>
              <w:spacing w:after="0"/>
              <w:rPr>
                <w:rStyle w:val="Hyperlink"/>
                <w:noProof/>
              </w:rPr>
            </w:pPr>
            <w:r>
              <w:rPr>
                <w:rStyle w:val="Hyperlink"/>
                <w:noProof/>
              </w:rPr>
              <w:t>A liberális demokrácia jövőjével kapcsolatos</w:t>
            </w:r>
            <w:hyperlink r:id="rId84">
              <w:r>
                <w:rPr>
                  <w:rStyle w:val="Hyperlink"/>
                  <w:noProof/>
                </w:rPr>
                <w:t xml:space="preserve"> Horizont Európa projektek</w:t>
              </w:r>
            </w:hyperlink>
          </w:p>
          <w:p w14:paraId="01B8C165" w14:textId="73612331" w:rsidR="00021A27" w:rsidRPr="000F5848" w:rsidRDefault="00021A27" w:rsidP="005E158F">
            <w:pPr>
              <w:spacing w:after="0"/>
              <w:rPr>
                <w:rFonts w:eastAsia="Calibri"/>
                <w:noProof/>
              </w:rPr>
            </w:pPr>
          </w:p>
        </w:tc>
      </w:tr>
      <w:tr w:rsidR="00470552" w:rsidRPr="00CA5190" w14:paraId="0995FC4B" w14:textId="77777777" w:rsidTr="00E664BF">
        <w:trPr>
          <w:trHeight w:val="693"/>
          <w:jc w:val="center"/>
        </w:trPr>
        <w:tc>
          <w:tcPr>
            <w:tcW w:w="2122" w:type="dxa"/>
            <w:vMerge/>
          </w:tcPr>
          <w:p w14:paraId="56CDFB4B" w14:textId="77777777" w:rsidR="00470552" w:rsidRPr="000F5848" w:rsidRDefault="00470552">
            <w:pPr>
              <w:spacing w:after="0"/>
              <w:rPr>
                <w:i/>
                <w:iCs/>
                <w:noProof/>
              </w:rPr>
            </w:pPr>
          </w:p>
        </w:tc>
        <w:tc>
          <w:tcPr>
            <w:tcW w:w="2409" w:type="dxa"/>
            <w:tcBorders>
              <w:top w:val="single" w:sz="4" w:space="0" w:color="auto"/>
              <w:left w:val="single" w:sz="4" w:space="0" w:color="auto"/>
              <w:bottom w:val="single" w:sz="4" w:space="0" w:color="auto"/>
              <w:right w:val="single" w:sz="4" w:space="0" w:color="auto"/>
            </w:tcBorders>
          </w:tcPr>
          <w:p w14:paraId="372E4AF5" w14:textId="77777777" w:rsidR="00470552" w:rsidRPr="000F5848" w:rsidRDefault="00470552">
            <w:pPr>
              <w:spacing w:after="0"/>
              <w:rPr>
                <w:i/>
                <w:iCs/>
                <w:noProof/>
              </w:rPr>
            </w:pPr>
            <w:r>
              <w:rPr>
                <w:i/>
                <w:noProof/>
              </w:rPr>
              <w:t xml:space="preserve">A </w:t>
            </w:r>
            <w:r>
              <w:rPr>
                <w:b/>
                <w:i/>
                <w:noProof/>
              </w:rPr>
              <w:t>médiatulajdon-figyelő (Media Ownership Monitor)</w:t>
            </w:r>
            <w:r>
              <w:rPr>
                <w:i/>
                <w:noProof/>
              </w:rPr>
              <w:t xml:space="preserve"> létrehozása és a média tulajdonviszonyainak átláthatóságára vonatkozó további lehetséges iránymutatás kidolgozása  </w:t>
            </w:r>
          </w:p>
        </w:tc>
        <w:tc>
          <w:tcPr>
            <w:tcW w:w="9956" w:type="dxa"/>
            <w:tcBorders>
              <w:top w:val="single" w:sz="4" w:space="0" w:color="auto"/>
              <w:left w:val="single" w:sz="4" w:space="0" w:color="auto"/>
              <w:bottom w:val="single" w:sz="4" w:space="0" w:color="auto"/>
              <w:right w:val="single" w:sz="4" w:space="0" w:color="auto"/>
            </w:tcBorders>
          </w:tcPr>
          <w:p w14:paraId="05FE6343" w14:textId="4A166A42" w:rsidR="00470552" w:rsidRPr="000F5848" w:rsidRDefault="00470552">
            <w:pPr>
              <w:spacing w:after="120"/>
              <w:rPr>
                <w:noProof/>
              </w:rPr>
            </w:pPr>
            <w:r>
              <w:rPr>
                <w:noProof/>
              </w:rPr>
              <w:t xml:space="preserve">A </w:t>
            </w:r>
            <w:r>
              <w:rPr>
                <w:b/>
                <w:noProof/>
              </w:rPr>
              <w:t>Médiatulajdon-figyelővel kapcsolatos kísérleti projekt</w:t>
            </w:r>
            <w:r>
              <w:rPr>
                <w:noProof/>
              </w:rPr>
              <w:t xml:space="preserve"> 2021 szeptemberében kezdődött, második szakasza pedig 2023 szeptemberében zárult le. A projekt adatbázist biztosít a 27 tagállam legrelevánsabb hírmédiumainak tulajdonjogáról és irányításáról. A kereslet (piaci részesedés) és/vagy a referencia (más hírszolgáltatások általi idézése és/vagy ajánlása) szempontjából legrelevánsabb médiumokat fedi le. A minták nemzeti és regionális médiumokat egyaránt magukban foglalnak. Minden adatot nyilvánosan hozzáférhető forrásokból gyűjtöttek. </w:t>
            </w:r>
          </w:p>
          <w:p w14:paraId="0B32B50B" w14:textId="48F9139D" w:rsidR="00470552" w:rsidRPr="000F5848" w:rsidRDefault="00470552">
            <w:pPr>
              <w:spacing w:after="120"/>
              <w:rPr>
                <w:noProof/>
              </w:rPr>
            </w:pPr>
            <w:r>
              <w:rPr>
                <w:noProof/>
              </w:rPr>
              <w:t>2023 szeptemberében a Bizottság elfogadta az</w:t>
            </w:r>
            <w:r>
              <w:rPr>
                <w:b/>
                <w:noProof/>
              </w:rPr>
              <w:t xml:space="preserve"> európai tömegtájékoztatás szabadságáról szóló jogszabályra </w:t>
            </w:r>
            <w:r>
              <w:rPr>
                <w:noProof/>
              </w:rPr>
              <w:t xml:space="preserve">irányuló rendeletjavaslatot, valamint az azt kísérő </w:t>
            </w:r>
            <w:r>
              <w:rPr>
                <w:b/>
                <w:noProof/>
              </w:rPr>
              <w:t>ajánlást a médiaágazatban a szerkesztői függetlenségre és a tulajdonviszonyok átláthatóságára vonatkozó belső biztosítékokról</w:t>
            </w:r>
            <w:r>
              <w:rPr>
                <w:noProof/>
              </w:rPr>
              <w:t>. A rendelet számos tájékoztatási követelményt határoz meg a médiaszolgáltatók számára: hivatalos név, elérhetőségek, közvetlen, közvetett és tényleges tulajdonosok neve. Az ajánlás arra ösztönzi a tagállamokat, hogy bízzák meg a szabályozó hatóságokat egy külön online médiatulajdon-adatbázis kidolgozásával és fenntartásával, amely a különböző médiatípusokra vonatkozó lebontott adatokat tartalmaz. Az intézményközi tárgyalások folyamatban vannak.</w:t>
            </w:r>
          </w:p>
          <w:p w14:paraId="33582736" w14:textId="25C5790B" w:rsidR="00470552" w:rsidRPr="000F5848" w:rsidRDefault="00470552">
            <w:pPr>
              <w:spacing w:after="120"/>
              <w:rPr>
                <w:noProof/>
              </w:rPr>
            </w:pPr>
            <w:r>
              <w:rPr>
                <w:i/>
                <w:noProof/>
                <w:u w:val="single"/>
              </w:rPr>
              <w:t>Hasznos linkek</w:t>
            </w:r>
            <w:r>
              <w:rPr>
                <w:noProof/>
              </w:rPr>
              <w:t xml:space="preserve">: </w:t>
            </w:r>
          </w:p>
          <w:p w14:paraId="66CA4BD1" w14:textId="77777777" w:rsidR="00470552" w:rsidRPr="000F5848" w:rsidRDefault="0072154A" w:rsidP="00021A27">
            <w:pPr>
              <w:spacing w:after="0"/>
              <w:rPr>
                <w:noProof/>
              </w:rPr>
            </w:pPr>
            <w:hyperlink r:id="rId85" w:history="1">
              <w:r w:rsidR="00C34E1C">
                <w:rPr>
                  <w:rStyle w:val="Hyperlink"/>
                  <w:noProof/>
                </w:rPr>
                <w:t>Médiatulajdon-figyelő</w:t>
              </w:r>
            </w:hyperlink>
          </w:p>
          <w:p w14:paraId="29D4317E" w14:textId="77777777" w:rsidR="00FE25E8" w:rsidRPr="000F5848" w:rsidRDefault="0072154A" w:rsidP="00021A27">
            <w:pPr>
              <w:spacing w:after="0"/>
              <w:rPr>
                <w:noProof/>
              </w:rPr>
            </w:pPr>
            <w:hyperlink r:id="rId86" w:history="1">
              <w:r w:rsidR="00C34E1C">
                <w:rPr>
                  <w:rStyle w:val="Hyperlink"/>
                  <w:noProof/>
                </w:rPr>
                <w:t>Az európai tömegtájékoztatás szabadságáról szóló rendelet</w:t>
              </w:r>
            </w:hyperlink>
          </w:p>
          <w:p w14:paraId="42AA1D44" w14:textId="77777777" w:rsidR="00FE25E8" w:rsidRPr="000F5848" w:rsidRDefault="0072154A" w:rsidP="00021A27">
            <w:pPr>
              <w:spacing w:after="0"/>
              <w:rPr>
                <w:noProof/>
              </w:rPr>
            </w:pPr>
            <w:hyperlink r:id="rId87" w:history="1">
              <w:r w:rsidR="00C34E1C">
                <w:rPr>
                  <w:rStyle w:val="Hyperlink"/>
                  <w:noProof/>
                </w:rPr>
                <w:t>Ajánlás a médiaágazatban a szerkesztői függetlenséget és a tulajdonviszonyok átláthatóságát szavatoló belső biztosítékokról</w:t>
              </w:r>
            </w:hyperlink>
          </w:p>
          <w:p w14:paraId="57E50FA4" w14:textId="3C6325B3" w:rsidR="00021A27" w:rsidRPr="000F5848" w:rsidRDefault="00021A27" w:rsidP="00021A27">
            <w:pPr>
              <w:spacing w:after="0"/>
              <w:rPr>
                <w:noProof/>
              </w:rPr>
            </w:pPr>
          </w:p>
        </w:tc>
      </w:tr>
      <w:tr w:rsidR="00470552" w:rsidRPr="00CA5190" w14:paraId="178B1C28" w14:textId="77777777" w:rsidTr="00E664BF">
        <w:trPr>
          <w:trHeight w:val="693"/>
          <w:jc w:val="center"/>
        </w:trPr>
        <w:tc>
          <w:tcPr>
            <w:tcW w:w="2122" w:type="dxa"/>
            <w:vMerge/>
          </w:tcPr>
          <w:p w14:paraId="59FC8A6F" w14:textId="77777777" w:rsidR="00470552" w:rsidRPr="000F5848" w:rsidRDefault="00470552">
            <w:pPr>
              <w:spacing w:after="0"/>
              <w:rPr>
                <w:i/>
                <w:iCs/>
                <w:noProof/>
              </w:rPr>
            </w:pPr>
          </w:p>
        </w:tc>
        <w:tc>
          <w:tcPr>
            <w:tcW w:w="2409" w:type="dxa"/>
            <w:tcBorders>
              <w:top w:val="single" w:sz="4" w:space="0" w:color="auto"/>
              <w:left w:val="single" w:sz="4" w:space="0" w:color="auto"/>
              <w:bottom w:val="single" w:sz="4" w:space="0" w:color="auto"/>
              <w:right w:val="single" w:sz="4" w:space="0" w:color="auto"/>
            </w:tcBorders>
          </w:tcPr>
          <w:p w14:paraId="48579F36" w14:textId="3FF1F2DB" w:rsidR="00470552" w:rsidRPr="000F5848" w:rsidRDefault="00470552">
            <w:pPr>
              <w:spacing w:after="0"/>
              <w:rPr>
                <w:i/>
                <w:iCs/>
                <w:noProof/>
              </w:rPr>
            </w:pPr>
            <w:r>
              <w:rPr>
                <w:i/>
                <w:noProof/>
              </w:rPr>
              <w:t xml:space="preserve">Az </w:t>
            </w:r>
            <w:r>
              <w:rPr>
                <w:b/>
                <w:i/>
                <w:noProof/>
              </w:rPr>
              <w:t>állami hirdetések átlátható és méltányos elosztását célzó intézkedések</w:t>
            </w:r>
            <w:r>
              <w:rPr>
                <w:i/>
                <w:noProof/>
              </w:rPr>
              <w:t xml:space="preserve"> támogatása</w:t>
            </w:r>
          </w:p>
        </w:tc>
        <w:tc>
          <w:tcPr>
            <w:tcW w:w="9956" w:type="dxa"/>
            <w:tcBorders>
              <w:top w:val="single" w:sz="4" w:space="0" w:color="auto"/>
              <w:left w:val="single" w:sz="4" w:space="0" w:color="auto"/>
              <w:bottom w:val="single" w:sz="4" w:space="0" w:color="auto"/>
              <w:right w:val="single" w:sz="4" w:space="0" w:color="auto"/>
            </w:tcBorders>
          </w:tcPr>
          <w:p w14:paraId="4106B82D" w14:textId="6C1A6927" w:rsidR="377959D7" w:rsidRPr="000F5848" w:rsidRDefault="00470552" w:rsidP="377959D7">
            <w:pPr>
              <w:spacing w:after="120"/>
              <w:rPr>
                <w:noProof/>
              </w:rPr>
            </w:pPr>
            <w:r>
              <w:rPr>
                <w:noProof/>
              </w:rPr>
              <w:t xml:space="preserve">A </w:t>
            </w:r>
            <w:r>
              <w:rPr>
                <w:b/>
                <w:noProof/>
              </w:rPr>
              <w:t>tömegtájékoztatás szabadságáról szóló európai jogszabályra</w:t>
            </w:r>
            <w:r>
              <w:rPr>
                <w:noProof/>
              </w:rPr>
              <w:t xml:space="preserve"> irányuló, a Bizottság által 2022 szeptemberében elfogadott javaslat követelményeket ír elő az állami hirdetések médiaszolgáltatók közötti elosztására vonatkozóan annak érdekében, hogy azokat átlátható, objektív, arányos és megkülönböztetésmentes kritériumok alapján, nyílt, arányos és megkülönböztetésmentes eljárások révén osszák el. A tagállamoknak nyilvánosságra kellene hozniuk az elköltött összegeket és az állami hirdetések kedvezményezettjeit.  A javaslattal kapcsolatban folyamatban vannak az intézményközi tárgyalások.</w:t>
            </w:r>
          </w:p>
          <w:p w14:paraId="2D948852" w14:textId="77777777" w:rsidR="00470552" w:rsidRPr="000F5848" w:rsidRDefault="00470552">
            <w:pPr>
              <w:spacing w:after="120"/>
              <w:rPr>
                <w:noProof/>
              </w:rPr>
            </w:pPr>
            <w:r>
              <w:rPr>
                <w:i/>
                <w:noProof/>
                <w:u w:val="single"/>
              </w:rPr>
              <w:t>Hasznos linkek</w:t>
            </w:r>
            <w:r>
              <w:rPr>
                <w:noProof/>
              </w:rPr>
              <w:t xml:space="preserve">: </w:t>
            </w:r>
          </w:p>
          <w:p w14:paraId="0A3EFC29" w14:textId="77777777" w:rsidR="00806597" w:rsidRPr="000F5848" w:rsidRDefault="0072154A" w:rsidP="00021A27">
            <w:pPr>
              <w:spacing w:after="0"/>
              <w:rPr>
                <w:noProof/>
              </w:rPr>
            </w:pPr>
            <w:hyperlink r:id="rId88" w:history="1">
              <w:r w:rsidR="00C34E1C">
                <w:rPr>
                  <w:rStyle w:val="Hyperlink"/>
                  <w:noProof/>
                </w:rPr>
                <w:t>Az európai tömegtájékoztatás szabadságáról szóló rendelet</w:t>
              </w:r>
            </w:hyperlink>
          </w:p>
          <w:p w14:paraId="1E1B6BCB" w14:textId="77777777" w:rsidR="00470552" w:rsidRPr="000F5848" w:rsidRDefault="0072154A" w:rsidP="00021A27">
            <w:pPr>
              <w:spacing w:after="0"/>
              <w:rPr>
                <w:noProof/>
              </w:rPr>
            </w:pPr>
            <w:hyperlink r:id="rId89" w:history="1">
              <w:r w:rsidR="00C34E1C">
                <w:rPr>
                  <w:rStyle w:val="Hyperlink"/>
                  <w:noProof/>
                </w:rPr>
                <w:t>Ajánlás a médiaágazatban a szerkesztői függetlenséget és a tulajdonviszonyok átláthatóságát szavatoló belső biztosítékokról</w:t>
              </w:r>
            </w:hyperlink>
          </w:p>
          <w:p w14:paraId="363E8543" w14:textId="674A07D5" w:rsidR="00021A27" w:rsidRPr="000F5848" w:rsidRDefault="00021A27" w:rsidP="00021A27">
            <w:pPr>
              <w:spacing w:after="0"/>
              <w:rPr>
                <w:noProof/>
              </w:rPr>
            </w:pPr>
          </w:p>
        </w:tc>
      </w:tr>
      <w:tr w:rsidR="00470552" w:rsidRPr="00B41BB2" w14:paraId="7888A4A6" w14:textId="77777777" w:rsidTr="00E664BF">
        <w:trPr>
          <w:trHeight w:val="693"/>
          <w:jc w:val="center"/>
        </w:trPr>
        <w:tc>
          <w:tcPr>
            <w:tcW w:w="2122" w:type="dxa"/>
            <w:vMerge/>
          </w:tcPr>
          <w:p w14:paraId="4EC3E294" w14:textId="77777777" w:rsidR="00470552" w:rsidRPr="000F5848" w:rsidRDefault="00470552">
            <w:pPr>
              <w:spacing w:after="0"/>
              <w:rPr>
                <w:b/>
                <w:bCs/>
                <w:i/>
                <w:iCs/>
                <w:noProof/>
              </w:rPr>
            </w:pPr>
            <w:bookmarkStart w:id="5" w:name="_Hlk132391505"/>
          </w:p>
        </w:tc>
        <w:tc>
          <w:tcPr>
            <w:tcW w:w="2409" w:type="dxa"/>
            <w:tcBorders>
              <w:top w:val="single" w:sz="4" w:space="0" w:color="auto"/>
              <w:left w:val="single" w:sz="4" w:space="0" w:color="auto"/>
              <w:bottom w:val="single" w:sz="4" w:space="0" w:color="auto"/>
              <w:right w:val="single" w:sz="4" w:space="0" w:color="auto"/>
            </w:tcBorders>
          </w:tcPr>
          <w:p w14:paraId="4BD81C82" w14:textId="77777777" w:rsidR="00470552" w:rsidRPr="000F5848" w:rsidRDefault="00470552">
            <w:pPr>
              <w:spacing w:after="0"/>
              <w:rPr>
                <w:i/>
                <w:iCs/>
                <w:noProof/>
              </w:rPr>
            </w:pPr>
            <w:r>
              <w:rPr>
                <w:b/>
                <w:i/>
                <w:noProof/>
              </w:rPr>
              <w:t>A média sokszínűségének további támogatására vonatkozó lehetőségek feltérképezése</w:t>
            </w:r>
            <w:r>
              <w:rPr>
                <w:i/>
                <w:noProof/>
              </w:rPr>
              <w:t xml:space="preserve"> és az általános érdekű audiovizuális médiaszolgáltatások előtérbe helyezésével kapcsolatos európai megközelítés előmozdítása</w:t>
            </w:r>
          </w:p>
        </w:tc>
        <w:tc>
          <w:tcPr>
            <w:tcW w:w="9956" w:type="dxa"/>
            <w:tcBorders>
              <w:top w:val="single" w:sz="4" w:space="0" w:color="auto"/>
              <w:left w:val="single" w:sz="4" w:space="0" w:color="auto"/>
              <w:bottom w:val="single" w:sz="4" w:space="0" w:color="auto"/>
              <w:right w:val="single" w:sz="4" w:space="0" w:color="auto"/>
            </w:tcBorders>
          </w:tcPr>
          <w:p w14:paraId="3CCA91C6" w14:textId="77777777" w:rsidR="00470552" w:rsidRPr="000F5848" w:rsidRDefault="00470552">
            <w:pPr>
              <w:spacing w:after="120"/>
              <w:rPr>
                <w:noProof/>
              </w:rPr>
            </w:pPr>
            <w:r>
              <w:rPr>
                <w:noProof/>
              </w:rPr>
              <w:t xml:space="preserve">2022. szeptember 16-án </w:t>
            </w:r>
            <w:r>
              <w:rPr>
                <w:b/>
                <w:noProof/>
              </w:rPr>
              <w:t>független tanulmányt tettek közzé a médiapluralizmusról és az online sokféleségről</w:t>
            </w:r>
            <w:r>
              <w:rPr>
                <w:noProof/>
              </w:rPr>
              <w:t>. A tanulmány hatékonyságuk értékelése mellett feltérképezi a közérdekű tartalmak és szolgáltatások előtérbe helyezésével és fellelhetőségével kapcsolatos jogalkotási intézkedéseket és ágazati gyakorlatokat. A tanulmány megállapította, hogy a nagyobb hangsúlyú tartalmak és szolgáltatások hatással lehetnek a médiákban való megjelenések sokszínűségére és a médiapluralizmusra. Kihívást jelent azonban annak értékelése, hogy a tartalom rangsorolására vonatkozó jelenlegi ágazati intézkedések milyen valós hatást gyakorolhatnak a médiapluralizmusra és a felhasználók számára megjelenő média sokszínűségére. Az okok az algoritmusok által vezérelt tartalomajánlások használatához és az adatokhoz való hozzáférés puszta hiányához kapcsolódnak. A tanulmány ezt követően szakpolitikai lehetőségeket és ajánlásokat javasol és vitat meg arra vonatkozóan, hogy miként lehet átlátható és elszámoltatható előtérbe helyezési rendszereket kialakítani.</w:t>
            </w:r>
          </w:p>
          <w:p w14:paraId="42473E02" w14:textId="1404792E" w:rsidR="00470552" w:rsidRPr="000F5848" w:rsidRDefault="00470552">
            <w:pPr>
              <w:spacing w:after="120"/>
              <w:rPr>
                <w:noProof/>
              </w:rPr>
            </w:pPr>
            <w:r>
              <w:rPr>
                <w:noProof/>
              </w:rPr>
              <w:t xml:space="preserve">Az </w:t>
            </w:r>
            <w:r>
              <w:rPr>
                <w:b/>
                <w:noProof/>
              </w:rPr>
              <w:t xml:space="preserve">Audiovizuális Médiaszolgáltatásokat Szabályozó Hatóságok Európai Csoportjában (ERGA) </w:t>
            </w:r>
            <w:r>
              <w:rPr>
                <w:noProof/>
              </w:rPr>
              <w:t xml:space="preserve">2021 folyamán sor került a bevált gyakorlatok cseréjére és az általános érdekű tartalmak előtérbe helyezésével kapcsolatos munkaértekezletre, amelynek eredményeként jelentés készült. Szeptemberben munkaértekezletet szerveztek, amelynek megállapításai beépültek a végleges eredménybe. Az ERGA munkája 2022-ben is folytatódott az algoritmusok és az ajánlási rendszerek hatékonyságára vonatkozó további iránymutatással/elemzéssel az általános érdekű audiovizuális médiaszolgáltatások megfelelő előtérbe helyezésének, valamint az európai munkák előtérbe helyezésének biztosításában. Az audiovizuális médiaszolgáltatásoknak az audiovizuális médiaszolgáltatásokról szóló felülvizsgált irányelv 7a. cikke szerinti megfelelő előtérbe helyezése egyike azon területeknek, amelyeken az új Médiaszolgáltatásokat Felügyelő Európai Testület a tömegtájékoztatás szabadságáról szóló jövőbeli jogszabály alapján iránymutatást ad ki. </w:t>
            </w:r>
          </w:p>
          <w:p w14:paraId="53D635DD" w14:textId="0961BD5D" w:rsidR="00E57027" w:rsidRPr="001859F6" w:rsidRDefault="00E57027" w:rsidP="001859F6">
            <w:pPr>
              <w:spacing w:after="120"/>
              <w:rPr>
                <w:noProof/>
              </w:rPr>
            </w:pPr>
            <w:r>
              <w:rPr>
                <w:noProof/>
              </w:rPr>
              <w:t>A Bizottság egy teljes költségvetési sort („</w:t>
            </w:r>
            <w:r>
              <w:rPr>
                <w:b/>
                <w:noProof/>
              </w:rPr>
              <w:t>multimédia-tevékenységek</w:t>
            </w:r>
            <w:r>
              <w:rPr>
                <w:noProof/>
              </w:rPr>
              <w:t>”) is elkülönít az uniós ügyekkel kapcsolatos független hírek előállításának támogatására. A kedvezményezettek közé tartozik az Euronews, a rádióhálózatok, az adatújságírási kezdeményezések vagy a vezető európai hírügynökségeket összefogó European Newsroom. Ezt számos</w:t>
            </w:r>
            <w:r>
              <w:rPr>
                <w:b/>
                <w:noProof/>
              </w:rPr>
              <w:t xml:space="preserve"> kísérleti média- és polgári szerepvállalási projekt</w:t>
            </w:r>
            <w:r>
              <w:rPr>
                <w:noProof/>
              </w:rPr>
              <w:t xml:space="preserve"> egészíti ki, például az európai médiaplatformok, amelyek célja az uniós polgárok megbízható információkhoz való hozzáférésének javítása, vagy egy olyan felhívás, amely arra irányul, hogy a fiatalok Európa-szerte híreket kapjanak a releváns és fontos kérdésekről, ezáltal növelve demokratikus szerepvállalásukat. Más támogatások is rendelkezésre állnak a kis méretű online média támogatására a dezinformáció elleni küzdelmet támogató kutatási és médiaműveltségi tevékenységek végzésében, valamint a hírmédia támogatásában a „hírsivatagokkal” szemben. </w:t>
            </w:r>
          </w:p>
          <w:p w14:paraId="4773E626" w14:textId="5B8B00C7" w:rsidR="00470552" w:rsidRPr="000F5848" w:rsidRDefault="00470552">
            <w:pPr>
              <w:spacing w:after="120"/>
              <w:rPr>
                <w:noProof/>
              </w:rPr>
            </w:pPr>
            <w:r>
              <w:rPr>
                <w:i/>
                <w:noProof/>
                <w:u w:val="single"/>
              </w:rPr>
              <w:t>Hasznos linkek</w:t>
            </w:r>
            <w:r>
              <w:rPr>
                <w:noProof/>
              </w:rPr>
              <w:t xml:space="preserve">: </w:t>
            </w:r>
          </w:p>
          <w:p w14:paraId="7EA9A9A8" w14:textId="47099C65" w:rsidR="00806597" w:rsidRPr="000F5848" w:rsidRDefault="0072154A" w:rsidP="00021A27">
            <w:pPr>
              <w:spacing w:after="0"/>
              <w:rPr>
                <w:noProof/>
              </w:rPr>
            </w:pPr>
            <w:hyperlink r:id="rId90" w:history="1">
              <w:r w:rsidR="00C34E1C">
                <w:rPr>
                  <w:rStyle w:val="Hyperlink"/>
                  <w:noProof/>
                </w:rPr>
                <w:t>Tanulmány az online médiapluralitásról és sokszínűségről</w:t>
              </w:r>
            </w:hyperlink>
          </w:p>
          <w:p w14:paraId="56C1B69E" w14:textId="750086B1" w:rsidR="00806597" w:rsidRPr="000F5848" w:rsidRDefault="0072154A" w:rsidP="00021A27">
            <w:pPr>
              <w:spacing w:after="0"/>
              <w:rPr>
                <w:noProof/>
              </w:rPr>
            </w:pPr>
            <w:hyperlink r:id="rId91" w:history="1">
              <w:r w:rsidR="00C34E1C">
                <w:rPr>
                  <w:rStyle w:val="Hyperlink"/>
                  <w:noProof/>
                </w:rPr>
                <w:t>Európai médiaplatformok</w:t>
              </w:r>
            </w:hyperlink>
          </w:p>
          <w:p w14:paraId="3CBD85D9" w14:textId="77777777" w:rsidR="00021A27" w:rsidRDefault="0072154A" w:rsidP="00C41872">
            <w:pPr>
              <w:spacing w:after="0"/>
              <w:rPr>
                <w:rStyle w:val="Hyperlink"/>
                <w:noProof/>
              </w:rPr>
            </w:pPr>
            <w:hyperlink r:id="rId92" w:history="1">
              <w:r w:rsidR="00C34E1C">
                <w:rPr>
                  <w:rStyle w:val="Hyperlink"/>
                  <w:noProof/>
                </w:rPr>
                <w:t>ERGA – Az Audiovizuális Médiaszolgáltatásokat Szabályozó Hatóságok Európai Csoportjának jelentése</w:t>
              </w:r>
            </w:hyperlink>
          </w:p>
          <w:p w14:paraId="6C04F931" w14:textId="77777777" w:rsidR="00974E28" w:rsidRDefault="0072154A" w:rsidP="00974E28">
            <w:pPr>
              <w:spacing w:after="0"/>
              <w:rPr>
                <w:noProof/>
              </w:rPr>
            </w:pPr>
            <w:hyperlink r:id="rId93" w:history="1">
              <w:r w:rsidR="00C34E1C">
                <w:rPr>
                  <w:rStyle w:val="Hyperlink"/>
                  <w:noProof/>
                </w:rPr>
                <w:t>Fellépések a multimédia területén |</w:t>
              </w:r>
            </w:hyperlink>
            <w:hyperlink r:id="rId94" w:history="1">
              <w:r w:rsidR="00C34E1C">
                <w:rPr>
                  <w:rStyle w:val="Hyperlink"/>
                  <w:noProof/>
                </w:rPr>
                <w:t xml:space="preserve"> Európa digitális jövőjének alakítása (europa.eu)</w:t>
              </w:r>
            </w:hyperlink>
          </w:p>
          <w:p w14:paraId="755FD559" w14:textId="749CC1A3" w:rsidR="00BA3BDE" w:rsidRPr="00545A82" w:rsidRDefault="00BA3BDE" w:rsidP="00C41872">
            <w:pPr>
              <w:spacing w:after="0"/>
              <w:rPr>
                <w:noProof/>
              </w:rPr>
            </w:pPr>
          </w:p>
        </w:tc>
      </w:tr>
      <w:bookmarkEnd w:id="5"/>
      <w:tr w:rsidR="00470552" w:rsidRPr="00CA5190" w14:paraId="02A8FDCE" w14:textId="77777777" w:rsidTr="00E664BF">
        <w:trPr>
          <w:gridAfter w:val="2"/>
          <w:wAfter w:w="12365" w:type="dxa"/>
          <w:trHeight w:val="491"/>
          <w:jc w:val="center"/>
        </w:trPr>
        <w:tc>
          <w:tcPr>
            <w:tcW w:w="2122" w:type="dxa"/>
            <w:vMerge w:val="restart"/>
            <w:tcBorders>
              <w:top w:val="single" w:sz="4" w:space="0" w:color="auto"/>
              <w:left w:val="single" w:sz="4" w:space="0" w:color="auto"/>
              <w:right w:val="single" w:sz="4" w:space="0" w:color="auto"/>
            </w:tcBorders>
            <w:shd w:val="clear" w:color="auto" w:fill="70AD47" w:themeFill="accent6"/>
          </w:tcPr>
          <w:p w14:paraId="2D21751C" w14:textId="77777777" w:rsidR="00470552" w:rsidRPr="00545A82" w:rsidRDefault="00470552">
            <w:pPr>
              <w:rPr>
                <w:b/>
                <w:bCs/>
                <w:noProof/>
                <w:u w:val="single"/>
              </w:rPr>
            </w:pPr>
          </w:p>
          <w:p w14:paraId="77966FF0" w14:textId="77777777" w:rsidR="00470552" w:rsidRPr="000F5848" w:rsidRDefault="00470552">
            <w:pPr>
              <w:tabs>
                <w:tab w:val="left" w:pos="820"/>
              </w:tabs>
              <w:jc w:val="center"/>
              <w:rPr>
                <w:b/>
                <w:bCs/>
                <w:i/>
                <w:iCs/>
                <w:noProof/>
              </w:rPr>
            </w:pPr>
            <w:r>
              <w:rPr>
                <w:b/>
                <w:i/>
                <w:noProof/>
              </w:rPr>
              <w:t>A dezinformáció és az információmanipuláció elleni küzdelem</w:t>
            </w:r>
          </w:p>
          <w:p w14:paraId="61512FF0" w14:textId="77777777" w:rsidR="00470552" w:rsidRPr="000F5848" w:rsidRDefault="00470552">
            <w:pPr>
              <w:tabs>
                <w:tab w:val="left" w:pos="820"/>
              </w:tabs>
              <w:rPr>
                <w:noProof/>
              </w:rPr>
            </w:pPr>
          </w:p>
        </w:tc>
      </w:tr>
      <w:tr w:rsidR="00470552" w:rsidRPr="00CA5190" w14:paraId="2EB3B2F7" w14:textId="77777777" w:rsidTr="00E664BF">
        <w:trPr>
          <w:trHeight w:val="693"/>
          <w:jc w:val="center"/>
        </w:trPr>
        <w:tc>
          <w:tcPr>
            <w:tcW w:w="2122" w:type="dxa"/>
            <w:vMerge/>
          </w:tcPr>
          <w:p w14:paraId="281D85BA" w14:textId="77777777" w:rsidR="00470552" w:rsidRPr="000F5848" w:rsidRDefault="00470552">
            <w:pPr>
              <w:spacing w:after="0"/>
              <w:rPr>
                <w:i/>
                <w:iCs/>
                <w:noProof/>
              </w:rPr>
            </w:pPr>
          </w:p>
        </w:tc>
        <w:tc>
          <w:tcPr>
            <w:tcW w:w="2409" w:type="dxa"/>
            <w:tcBorders>
              <w:top w:val="single" w:sz="4" w:space="0" w:color="auto"/>
              <w:left w:val="single" w:sz="4" w:space="0" w:color="auto"/>
              <w:bottom w:val="single" w:sz="4" w:space="0" w:color="auto"/>
              <w:right w:val="single" w:sz="4" w:space="0" w:color="auto"/>
            </w:tcBorders>
          </w:tcPr>
          <w:p w14:paraId="0FA00BC3" w14:textId="77777777" w:rsidR="00470552" w:rsidRPr="000F5848" w:rsidRDefault="00470552">
            <w:pPr>
              <w:spacing w:after="0"/>
              <w:rPr>
                <w:i/>
                <w:iCs/>
                <w:noProof/>
              </w:rPr>
            </w:pPr>
            <w:r>
              <w:rPr>
                <w:i/>
                <w:noProof/>
              </w:rPr>
              <w:t xml:space="preserve">Ezzel összefüggésben a Bizottság szolgálatai és az EKSZ együtt fognak működni a tagállamokkal, a civil társadalommal és az ágazattal a </w:t>
            </w:r>
            <w:r>
              <w:rPr>
                <w:b/>
                <w:i/>
                <w:noProof/>
              </w:rPr>
              <w:t>közös fogalommeghatározások és módszertanok finomítása</w:t>
            </w:r>
            <w:r>
              <w:rPr>
                <w:i/>
                <w:noProof/>
              </w:rPr>
              <w:t xml:space="preserve"> érdekében a dezinformáció és a befolyásoló tevékenységek különböző kategóriáinak kezeléséért</w:t>
            </w:r>
          </w:p>
          <w:p w14:paraId="09F0047F" w14:textId="77777777" w:rsidR="00470552" w:rsidRPr="000F5848" w:rsidRDefault="00470552">
            <w:pPr>
              <w:spacing w:after="0"/>
              <w:rPr>
                <w:b/>
                <w:bCs/>
                <w:i/>
                <w:iCs/>
                <w:noProof/>
              </w:rPr>
            </w:pPr>
          </w:p>
        </w:tc>
        <w:tc>
          <w:tcPr>
            <w:tcW w:w="9956" w:type="dxa"/>
            <w:tcBorders>
              <w:top w:val="single" w:sz="4" w:space="0" w:color="auto"/>
              <w:left w:val="single" w:sz="4" w:space="0" w:color="auto"/>
              <w:bottom w:val="single" w:sz="4" w:space="0" w:color="auto"/>
              <w:right w:val="single" w:sz="4" w:space="0" w:color="auto"/>
            </w:tcBorders>
          </w:tcPr>
          <w:p w14:paraId="26C917BC" w14:textId="47BD8D62" w:rsidR="00470552" w:rsidRPr="000F5848" w:rsidRDefault="00470552">
            <w:pPr>
              <w:pStyle w:val="BodyText"/>
              <w:spacing w:after="120" w:line="240" w:lineRule="auto"/>
              <w:rPr>
                <w:noProof/>
              </w:rPr>
            </w:pPr>
            <w:r>
              <w:rPr>
                <w:noProof/>
                <w:sz w:val="20"/>
              </w:rPr>
              <w:t xml:space="preserve">Az EKSZ a Bizottsággal, a tagállamokkal, a nemzetközi partnerekkel és más érdekelt felekkel együttműködve előmozdította a közös értelmezésre és terminológiára irányuló munkát, 2021 júniusában pedig informális dokumentumot terjesztett elő, amely </w:t>
            </w:r>
            <w:r>
              <w:rPr>
                <w:b/>
                <w:noProof/>
                <w:sz w:val="20"/>
              </w:rPr>
              <w:t>javaslatot tartalmaz a külföldi információmanipuláció és beavatkozás (FIMI) fogalmi meghatározására</w:t>
            </w:r>
            <w:r>
              <w:rPr>
                <w:noProof/>
                <w:sz w:val="20"/>
              </w:rPr>
              <w:t xml:space="preserve">, amely jobban jellemzi az információs környezetben jelentkező fenyegetést. A terminológiát azóta az Európai Unió több dokumentumában és azon kívül is használják, többek között szerepel a G7-ek külügyminisztereinek 2022. évi közleményében és az EU–NATO együttműködésről szóló 2023. évi együttes nyilatkozatban is. </w:t>
            </w:r>
          </w:p>
          <w:p w14:paraId="271E50A7" w14:textId="6B02C71E" w:rsidR="00470552" w:rsidRPr="00086469" w:rsidRDefault="00470552">
            <w:pPr>
              <w:pStyle w:val="BodyText"/>
              <w:spacing w:after="120" w:line="240" w:lineRule="auto"/>
              <w:rPr>
                <w:noProof/>
                <w:sz w:val="20"/>
              </w:rPr>
            </w:pPr>
            <w:r>
              <w:rPr>
                <w:noProof/>
                <w:sz w:val="20"/>
              </w:rPr>
              <w:t>2021 és 2022 során külön szakértői kerekasztal-sorozat keretében konzultáltak a civil társadalommal, a tudományos körökkel, az iparral és más érdekelt felekkel a közös értelmezés előmozdítása és annak biztosítása érdekében, hogy rendelkezésre álljanak a külföldi információmanipuláció és beavatkozás kritériumainak megfelelő elemzési képességek. Folytatódni fog az arra irányuló munka – többek között célzott projektek révén –, hogy tovább pontosítsák a külföldi információmanipuláció és beavatkozás fogalommeghatározása különböző építőelemeinek megértését. A civil társadalom tudomásul vette a fogalommeghatározást is, amint azt az EU DisinfoLab 2023-as jelentése is példázza.</w:t>
            </w:r>
          </w:p>
          <w:p w14:paraId="41F62CBA" w14:textId="173B4D6D" w:rsidR="00BA3BDE" w:rsidRDefault="026343C1" w:rsidP="004F4050">
            <w:pPr>
              <w:spacing w:after="120"/>
              <w:rPr>
                <w:i/>
                <w:iCs/>
                <w:noProof/>
              </w:rPr>
            </w:pPr>
            <w:r>
              <w:rPr>
                <w:i/>
                <w:noProof/>
                <w:u w:val="single"/>
              </w:rPr>
              <w:t>Hasznos linkek</w:t>
            </w:r>
            <w:r>
              <w:rPr>
                <w:i/>
                <w:noProof/>
              </w:rPr>
              <w:t>:</w:t>
            </w:r>
          </w:p>
          <w:p w14:paraId="02007693" w14:textId="6F4B18E6" w:rsidR="00060F53" w:rsidRPr="00CE0728" w:rsidRDefault="0072154A" w:rsidP="00CE0728">
            <w:pPr>
              <w:spacing w:after="0" w:line="259" w:lineRule="auto"/>
              <w:rPr>
                <w:rStyle w:val="Hyperlink"/>
                <w:noProof/>
                <w:color w:val="auto"/>
                <w:u w:val="none"/>
              </w:rPr>
            </w:pPr>
            <w:hyperlink r:id="rId95" w:history="1">
              <w:r w:rsidR="00C34E1C">
                <w:rPr>
                  <w:rStyle w:val="Hyperlink"/>
                  <w:noProof/>
                </w:rPr>
                <w:t>Az EU biztonságra és védelemre vonatkozó stratégiai iránytűje</w:t>
              </w:r>
            </w:hyperlink>
            <w:r w:rsidR="00C34E1C">
              <w:rPr>
                <w:noProof/>
              </w:rPr>
              <w:t xml:space="preserve"> </w:t>
            </w:r>
          </w:p>
          <w:p w14:paraId="3E9C3FB7" w14:textId="77777777" w:rsidR="00806597" w:rsidRPr="000F5848" w:rsidRDefault="0072154A" w:rsidP="5041383E">
            <w:pPr>
              <w:spacing w:after="0" w:line="259" w:lineRule="auto"/>
              <w:rPr>
                <w:rStyle w:val="Hyperlink"/>
                <w:noProof/>
              </w:rPr>
            </w:pPr>
            <w:hyperlink r:id="rId96" w:history="1">
              <w:r w:rsidR="00C34E1C">
                <w:rPr>
                  <w:rStyle w:val="Hyperlink"/>
                  <w:noProof/>
                </w:rPr>
                <w:t>A külföldi információmanipulációval és beavatkozással kapcsolatos következtetések (2022. július)</w:t>
              </w:r>
            </w:hyperlink>
          </w:p>
          <w:p w14:paraId="3A9D2967" w14:textId="74EDDA8C" w:rsidR="00470552" w:rsidRPr="000F5848" w:rsidRDefault="0072154A" w:rsidP="5041383E">
            <w:pPr>
              <w:spacing w:after="0" w:line="259" w:lineRule="auto"/>
              <w:rPr>
                <w:noProof/>
                <w:color w:val="000000" w:themeColor="text1"/>
              </w:rPr>
            </w:pPr>
            <w:hyperlink r:id="rId97" w:history="1">
              <w:r w:rsidR="00C34E1C">
                <w:rPr>
                  <w:rStyle w:val="Hyperlink"/>
                  <w:noProof/>
                </w:rPr>
                <w:t>EUvsDisinfo</w:t>
              </w:r>
            </w:hyperlink>
            <w:r w:rsidR="00C34E1C">
              <w:rPr>
                <w:rStyle w:val="Hyperlink"/>
                <w:noProof/>
              </w:rPr>
              <w:t xml:space="preserve"> </w:t>
            </w:r>
          </w:p>
          <w:p w14:paraId="00307B52" w14:textId="26CBFFD6" w:rsidR="00470552" w:rsidRPr="000F5848" w:rsidRDefault="0072154A" w:rsidP="5041383E">
            <w:pPr>
              <w:spacing w:after="0" w:line="259" w:lineRule="auto"/>
              <w:rPr>
                <w:noProof/>
                <w:color w:val="000000" w:themeColor="text1"/>
              </w:rPr>
            </w:pPr>
            <w:hyperlink r:id="rId98" w:history="1">
              <w:r w:rsidR="00C34E1C">
                <w:rPr>
                  <w:rStyle w:val="Hyperlink"/>
                  <w:noProof/>
                </w:rPr>
                <w:t>Az EKSZ stratégiai kommunikációról szóló 2021. évi tevékenységi jelentése</w:t>
              </w:r>
            </w:hyperlink>
            <w:r w:rsidR="00C34E1C">
              <w:rPr>
                <w:noProof/>
                <w:color w:val="000000" w:themeColor="text1"/>
              </w:rPr>
              <w:t xml:space="preserve">; </w:t>
            </w:r>
            <w:hyperlink r:id="rId99" w:history="1">
              <w:r w:rsidR="00C34E1C">
                <w:rPr>
                  <w:rStyle w:val="Hyperlink"/>
                  <w:noProof/>
                </w:rPr>
                <w:t>Az EKSZ stratégiai kommunikációról szóló 2022. évi tevékenységi jelentése</w:t>
              </w:r>
            </w:hyperlink>
          </w:p>
          <w:p w14:paraId="590DCD27" w14:textId="731868B5" w:rsidR="00470552" w:rsidRPr="000F5848" w:rsidRDefault="0072154A" w:rsidP="5041383E">
            <w:pPr>
              <w:spacing w:after="0" w:line="259" w:lineRule="auto"/>
              <w:rPr>
                <w:noProof/>
                <w:color w:val="000000" w:themeColor="text1"/>
              </w:rPr>
            </w:pPr>
            <w:hyperlink r:id="rId100" w:history="1">
              <w:r w:rsidR="00C34E1C">
                <w:rPr>
                  <w:rStyle w:val="Hyperlink"/>
                  <w:noProof/>
                </w:rPr>
                <w:t>A G7-ek gyorsreagálási mechanizmusának 2021. évi éves jelentése</w:t>
              </w:r>
            </w:hyperlink>
          </w:p>
          <w:p w14:paraId="7393F91F" w14:textId="0150C07B" w:rsidR="00470552" w:rsidRPr="000F5848" w:rsidRDefault="0072154A" w:rsidP="5041383E">
            <w:pPr>
              <w:spacing w:after="0" w:line="259" w:lineRule="auto"/>
              <w:rPr>
                <w:noProof/>
                <w:color w:val="000000" w:themeColor="text1"/>
              </w:rPr>
            </w:pPr>
            <w:hyperlink r:id="rId101" w:history="1">
              <w:r w:rsidR="00C34E1C">
                <w:rPr>
                  <w:rStyle w:val="Hyperlink"/>
                  <w:noProof/>
                </w:rPr>
                <w:t>A G7-ek külügyminisztereinek 2022. évi nyilatkozata</w:t>
              </w:r>
            </w:hyperlink>
          </w:p>
          <w:p w14:paraId="116B4DCA" w14:textId="67CE8E70" w:rsidR="00470552" w:rsidRPr="000F5848" w:rsidRDefault="0072154A" w:rsidP="5041383E">
            <w:pPr>
              <w:spacing w:after="0" w:line="259" w:lineRule="auto"/>
              <w:rPr>
                <w:noProof/>
                <w:color w:val="000000" w:themeColor="text1"/>
              </w:rPr>
            </w:pPr>
            <w:hyperlink r:id="rId102">
              <w:r w:rsidR="00C34E1C">
                <w:rPr>
                  <w:rStyle w:val="Hyperlink"/>
                  <w:noProof/>
                </w:rPr>
                <w:t>Együttes nyilatkozat az EU–NATO együttműködésről</w:t>
              </w:r>
            </w:hyperlink>
          </w:p>
          <w:p w14:paraId="363D6B27" w14:textId="31DF996B" w:rsidR="5BB341D7" w:rsidRPr="000F5848" w:rsidRDefault="0072154A" w:rsidP="004973E4">
            <w:pPr>
              <w:spacing w:after="0"/>
              <w:rPr>
                <w:rFonts w:eastAsia="Segoe UI"/>
                <w:noProof/>
              </w:rPr>
            </w:pPr>
            <w:hyperlink r:id="rId103" w:history="1">
              <w:r w:rsidR="00C34E1C">
                <w:rPr>
                  <w:rStyle w:val="Hyperlink"/>
                  <w:noProof/>
                </w:rPr>
                <w:t>EU DisinfoLab – Külföldi információmanipuláció és beavatkozás:</w:t>
              </w:r>
            </w:hyperlink>
            <w:hyperlink r:id="rId104" w:history="1">
              <w:r w:rsidR="00C34E1C">
                <w:rPr>
                  <w:rStyle w:val="Hyperlink"/>
                  <w:noProof/>
                </w:rPr>
                <w:t xml:space="preserve"> a külföldi beavatkozás európai újradefiniálása felé</w:t>
              </w:r>
            </w:hyperlink>
          </w:p>
          <w:p w14:paraId="3490B670" w14:textId="377F94B1" w:rsidR="00470552" w:rsidRPr="00545A82" w:rsidRDefault="00470552" w:rsidP="00086469">
            <w:pPr>
              <w:spacing w:after="0"/>
              <w:rPr>
                <w:noProof/>
                <w:color w:val="000000" w:themeColor="text1"/>
              </w:rPr>
            </w:pPr>
          </w:p>
        </w:tc>
      </w:tr>
      <w:tr w:rsidR="00470552" w:rsidRPr="000F5848" w14:paraId="367A5138" w14:textId="77777777" w:rsidTr="00E664BF">
        <w:trPr>
          <w:trHeight w:val="693"/>
          <w:jc w:val="center"/>
        </w:trPr>
        <w:tc>
          <w:tcPr>
            <w:tcW w:w="2122" w:type="dxa"/>
            <w:vMerge/>
          </w:tcPr>
          <w:p w14:paraId="3EE58420" w14:textId="77777777" w:rsidR="00470552" w:rsidRPr="000F5848" w:rsidRDefault="00470552">
            <w:pPr>
              <w:spacing w:after="0"/>
              <w:rPr>
                <w:b/>
                <w:bCs/>
                <w:i/>
                <w:iCs/>
                <w:noProof/>
              </w:rPr>
            </w:pPr>
            <w:bookmarkStart w:id="6" w:name="_Hlk150854790"/>
          </w:p>
        </w:tc>
        <w:tc>
          <w:tcPr>
            <w:tcW w:w="2409" w:type="dxa"/>
            <w:tcBorders>
              <w:top w:val="single" w:sz="4" w:space="0" w:color="auto"/>
              <w:left w:val="single" w:sz="4" w:space="0" w:color="auto"/>
              <w:bottom w:val="single" w:sz="4" w:space="0" w:color="auto"/>
              <w:right w:val="single" w:sz="4" w:space="0" w:color="auto"/>
            </w:tcBorders>
          </w:tcPr>
          <w:p w14:paraId="060A83AA" w14:textId="77777777" w:rsidR="00470552" w:rsidRPr="000F5848" w:rsidRDefault="2704AE57" w:rsidP="60CA2B06">
            <w:pPr>
              <w:spacing w:after="0"/>
              <w:rPr>
                <w:i/>
                <w:iCs/>
                <w:noProof/>
              </w:rPr>
            </w:pPr>
            <w:r>
              <w:rPr>
                <w:b/>
                <w:i/>
                <w:noProof/>
              </w:rPr>
              <w:t>A külföldi beavatkozás és befolyásoló műveletek elleni küzdelmet szolgáló uniós eszköztár kidolgozása</w:t>
            </w:r>
            <w:r>
              <w:rPr>
                <w:i/>
                <w:noProof/>
              </w:rPr>
              <w:t xml:space="preserve">, beleértve az elkövetőket </w:t>
            </w:r>
            <w:r>
              <w:rPr>
                <w:b/>
                <w:i/>
                <w:noProof/>
              </w:rPr>
              <w:t>szankcionáló új eszközöket</w:t>
            </w:r>
            <w:r>
              <w:rPr>
                <w:i/>
                <w:noProof/>
              </w:rPr>
              <w:t>, valamint az EKSZ stratégiai kommunikációs</w:t>
            </w:r>
            <w:r>
              <w:rPr>
                <w:b/>
                <w:i/>
                <w:noProof/>
              </w:rPr>
              <w:t xml:space="preserve"> </w:t>
            </w:r>
            <w:r>
              <w:rPr>
                <w:i/>
                <w:noProof/>
              </w:rPr>
              <w:t>tevékenységeinek és munkacsoportjainak megerősítését</w:t>
            </w:r>
          </w:p>
          <w:p w14:paraId="5C69C189" w14:textId="77777777" w:rsidR="00470552" w:rsidRPr="000F5848" w:rsidRDefault="00470552">
            <w:pPr>
              <w:spacing w:after="0"/>
              <w:rPr>
                <w:i/>
                <w:noProof/>
              </w:rPr>
            </w:pPr>
          </w:p>
        </w:tc>
        <w:tc>
          <w:tcPr>
            <w:tcW w:w="9956" w:type="dxa"/>
            <w:tcBorders>
              <w:top w:val="single" w:sz="4" w:space="0" w:color="auto"/>
              <w:left w:val="single" w:sz="4" w:space="0" w:color="auto"/>
              <w:bottom w:val="single" w:sz="4" w:space="0" w:color="auto"/>
              <w:right w:val="single" w:sz="4" w:space="0" w:color="auto"/>
            </w:tcBorders>
          </w:tcPr>
          <w:p w14:paraId="05CEAC35" w14:textId="72461532" w:rsidR="001C4CF5" w:rsidRPr="000F5848" w:rsidRDefault="001C4CF5" w:rsidP="003B14FD">
            <w:pPr>
              <w:spacing w:after="120"/>
              <w:rPr>
                <w:noProof/>
              </w:rPr>
            </w:pPr>
            <w:r>
              <w:rPr>
                <w:noProof/>
              </w:rPr>
              <w:t xml:space="preserve">Az EKSZ </w:t>
            </w:r>
            <w:r>
              <w:rPr>
                <w:b/>
                <w:noProof/>
              </w:rPr>
              <w:t>2021 áprilisában közös EKSZ–EB stratégiai dokumentumot</w:t>
            </w:r>
            <w:r>
              <w:rPr>
                <w:noProof/>
              </w:rPr>
              <w:t xml:space="preserve"> nyújtott be </w:t>
            </w:r>
            <w:r>
              <w:rPr>
                <w:b/>
                <w:noProof/>
              </w:rPr>
              <w:t>a külföldi információmanipuláció és beavatkozás eszköztáráról</w:t>
            </w:r>
            <w:r>
              <w:rPr>
                <w:noProof/>
              </w:rPr>
              <w:t xml:space="preserve">, amely a külföldi információmanipuláció és beavatkozás eszköztárának négy dimenzióját azonosította: helyzetismeret, rezilienciaépítés, zavar/szabályozás, valamint az EU külső tevékenységéhez kapcsolódó intézkedések, beleértve a KKBP-t és a diplomáciai válaszlépéseket is. Az egyes területek különböző típusú eszközöket foglalnak magukban, amelyek megakadályozhatják vagy csökkenthetik a külföldi információmanipuláció és beavatkozás hatását, visszatarthatják őket e tevékenységek folytatásától, vagy reagálhatnak azokra. </w:t>
            </w:r>
            <w:r>
              <w:rPr>
                <w:b/>
                <w:noProof/>
              </w:rPr>
              <w:t>2023 márciusában a reziliencia megerősítésével és a hibrid fenyegetésekkel szembeni fellépéssel foglalkozó horizontális munkacsoport elismerte a külföldi információmanipulációról és beavatkozásról szóló aktualizált stratégiai dokumentumot és az eszköztár meglétét</w:t>
            </w:r>
            <w:r>
              <w:rPr>
                <w:noProof/>
              </w:rPr>
              <w:t xml:space="preserve">. </w:t>
            </w:r>
          </w:p>
          <w:p w14:paraId="64B11A5C" w14:textId="0334C32B" w:rsidR="001C4CF5" w:rsidRPr="000F5848" w:rsidRDefault="00825A36" w:rsidP="00086469">
            <w:pPr>
              <w:spacing w:after="120"/>
              <w:rPr>
                <w:noProof/>
              </w:rPr>
            </w:pPr>
            <w:r>
              <w:rPr>
                <w:noProof/>
              </w:rPr>
              <w:t xml:space="preserve">A Tanács 2022 júliusában elfogadta a külföldi információmanipulációról és beavatkozásról szóló tanácsi következtetéseket. Az EKSZ és a Bizottság szolgálatai folytatták a megbeszéléseket a tagállamokkal azokról az eszközökről, amelyek lehetővé teszik az elkövetőkre kivetett szankciók szigorítását. </w:t>
            </w:r>
          </w:p>
          <w:p w14:paraId="1F3525FE" w14:textId="77777777" w:rsidR="001C4CF5" w:rsidRPr="000F5848" w:rsidRDefault="001C4CF5" w:rsidP="00086469">
            <w:pPr>
              <w:spacing w:after="120"/>
              <w:rPr>
                <w:noProof/>
                <w:color w:val="000000"/>
              </w:rPr>
            </w:pPr>
            <w:r>
              <w:rPr>
                <w:noProof/>
                <w:color w:val="000000"/>
              </w:rPr>
              <w:t xml:space="preserve">Folyamatban vannak az </w:t>
            </w:r>
            <w:r>
              <w:rPr>
                <w:b/>
                <w:noProof/>
                <w:color w:val="000000"/>
              </w:rPr>
              <w:t>EKSZ stratégiai kommunikációs csoportjai és munkacsoportjai belső kapacitásainak és képességeinek további megerősítésére irányuló erőfeszítések</w:t>
            </w:r>
            <w:r>
              <w:rPr>
                <w:noProof/>
                <w:color w:val="000000"/>
              </w:rPr>
              <w:t xml:space="preserve">, beleértve a 27 stratégiai kommunikációs tisztviselőből álló hálózatot is, amely a helyszíni stratégiai kommunikációs erőfeszítéseket irányítja. </w:t>
            </w:r>
          </w:p>
          <w:p w14:paraId="6293C200" w14:textId="462BDAA0" w:rsidR="001C4CF5" w:rsidRPr="000F5848" w:rsidRDefault="001C4CF5" w:rsidP="00086469">
            <w:pPr>
              <w:pStyle w:val="ListParagraph"/>
              <w:spacing w:after="120"/>
              <w:ind w:left="0"/>
              <w:rPr>
                <w:rFonts w:ascii="Times New Roman" w:hAnsi="Times New Roman"/>
                <w:b/>
                <w:bCs/>
                <w:noProof/>
              </w:rPr>
            </w:pPr>
            <w:r>
              <w:rPr>
                <w:rFonts w:ascii="Times New Roman" w:hAnsi="Times New Roman"/>
                <w:noProof/>
              </w:rPr>
              <w:t xml:space="preserve">Az EU </w:t>
            </w:r>
            <w:r>
              <w:rPr>
                <w:rFonts w:ascii="Times New Roman" w:hAnsi="Times New Roman"/>
                <w:b/>
                <w:noProof/>
              </w:rPr>
              <w:t>diplomáciai eszközeit</w:t>
            </w:r>
            <w:r>
              <w:rPr>
                <w:rFonts w:ascii="Times New Roman" w:hAnsi="Times New Roman"/>
                <w:noProof/>
              </w:rPr>
              <w:t xml:space="preserve"> is igénybe vette annak érdekében, hogy az állami szereplők </w:t>
            </w:r>
            <w:r>
              <w:rPr>
                <w:rFonts w:ascii="Times New Roman" w:hAnsi="Times New Roman"/>
                <w:b/>
                <w:noProof/>
              </w:rPr>
              <w:t>kezelni tudják a külföldi információmanipulációt és beavatkozást</w:t>
            </w:r>
            <w:r>
              <w:rPr>
                <w:rFonts w:ascii="Times New Roman" w:hAnsi="Times New Roman"/>
                <w:noProof/>
              </w:rPr>
              <w:t xml:space="preserve">. Az EU 2022 márciusától </w:t>
            </w:r>
            <w:r>
              <w:rPr>
                <w:rFonts w:ascii="Times New Roman" w:hAnsi="Times New Roman"/>
                <w:b/>
                <w:noProof/>
              </w:rPr>
              <w:t>szankciókat vezetett be a Russia Today (RT), a Szputnyik és más értékesítési csatornák ellen az Ukrajna elleni agresszióval kapcsolatos információmanipulációban és beavatkozásban játszott kulcsfontosságú szerepük miatt</w:t>
            </w:r>
            <w:r>
              <w:rPr>
                <w:rFonts w:ascii="Times New Roman" w:hAnsi="Times New Roman"/>
                <w:noProof/>
              </w:rPr>
              <w:t xml:space="preserve"> (a teljes lista a 833/2014/EU rendelet XV. mellékletében található). Emellett a nyilvános csatornák – például az EUvsDisinfo – továbbra is felhívják a figyelmet a Kreml-párti információmanipulációra és beavatkozásra, és feltárják annak összehangolt jellegét. 2022-ben az EUvsDisinfo projekt több mint 2,7 millió embert ért el a honlapján keresztül, és további 19,3 millió embert közösségimédia-csatornáin keresztül.</w:t>
            </w:r>
          </w:p>
          <w:p w14:paraId="12FA5D62" w14:textId="32160518" w:rsidR="001C4CF5" w:rsidRPr="000F5848" w:rsidRDefault="001C4CF5" w:rsidP="00945A18">
            <w:pPr>
              <w:spacing w:after="120"/>
              <w:rPr>
                <w:i/>
                <w:iCs/>
                <w:noProof/>
                <w:u w:val="single"/>
              </w:rPr>
            </w:pPr>
            <w:r>
              <w:rPr>
                <w:i/>
                <w:noProof/>
                <w:u w:val="single"/>
              </w:rPr>
              <w:t>Hasznos linkek</w:t>
            </w:r>
            <w:r>
              <w:rPr>
                <w:i/>
                <w:noProof/>
              </w:rPr>
              <w:t>:</w:t>
            </w:r>
          </w:p>
          <w:p w14:paraId="29DD2749" w14:textId="5A72B2E9" w:rsidR="001C4CF5" w:rsidRPr="000F5848" w:rsidRDefault="0072154A" w:rsidP="001C4CF5">
            <w:pPr>
              <w:spacing w:after="0"/>
              <w:rPr>
                <w:noProof/>
              </w:rPr>
            </w:pPr>
            <w:hyperlink r:id="rId105" w:history="1">
              <w:r w:rsidR="00C34E1C">
                <w:rPr>
                  <w:rStyle w:val="Hyperlink"/>
                  <w:noProof/>
                </w:rPr>
                <w:t>Stratégiai iránytű</w:t>
              </w:r>
            </w:hyperlink>
            <w:r w:rsidR="00C34E1C">
              <w:rPr>
                <w:noProof/>
              </w:rPr>
              <w:t xml:space="preserve"> </w:t>
            </w:r>
          </w:p>
          <w:p w14:paraId="2438D537" w14:textId="4D2322A9" w:rsidR="001C4CF5" w:rsidRPr="000F5848" w:rsidRDefault="0072154A" w:rsidP="001C4CF5">
            <w:pPr>
              <w:spacing w:after="0"/>
              <w:rPr>
                <w:noProof/>
              </w:rPr>
            </w:pPr>
            <w:hyperlink r:id="rId106" w:history="1">
              <w:r w:rsidR="00C34E1C">
                <w:rPr>
                  <w:rStyle w:val="Hyperlink"/>
                  <w:noProof/>
                </w:rPr>
                <w:t>A külföldi információmanipulációval és beavatkozással kapcsolatos következtetések (2022. július)</w:t>
              </w:r>
            </w:hyperlink>
            <w:r w:rsidR="00C34E1C">
              <w:rPr>
                <w:noProof/>
              </w:rPr>
              <w:t xml:space="preserve"> </w:t>
            </w:r>
          </w:p>
          <w:p w14:paraId="61A28C77" w14:textId="77777777" w:rsidR="00945A18" w:rsidRPr="000F5848" w:rsidRDefault="0072154A" w:rsidP="00945A18">
            <w:pPr>
              <w:spacing w:after="0" w:line="259" w:lineRule="auto"/>
              <w:rPr>
                <w:noProof/>
                <w:color w:val="000000" w:themeColor="text1"/>
              </w:rPr>
            </w:pPr>
            <w:hyperlink r:id="rId107" w:history="1">
              <w:r w:rsidR="00C34E1C">
                <w:rPr>
                  <w:rStyle w:val="Hyperlink"/>
                  <w:noProof/>
                </w:rPr>
                <w:t>EUvsDisinfo</w:t>
              </w:r>
            </w:hyperlink>
            <w:r w:rsidR="00C34E1C">
              <w:rPr>
                <w:rStyle w:val="Hyperlink"/>
                <w:noProof/>
              </w:rPr>
              <w:t xml:space="preserve"> </w:t>
            </w:r>
          </w:p>
          <w:p w14:paraId="747B337B" w14:textId="07112CD1" w:rsidR="00945A18" w:rsidRPr="000F5848" w:rsidRDefault="0072154A" w:rsidP="00945A18">
            <w:pPr>
              <w:spacing w:after="0" w:line="259" w:lineRule="auto"/>
              <w:rPr>
                <w:noProof/>
                <w:color w:val="000000" w:themeColor="text1"/>
              </w:rPr>
            </w:pPr>
            <w:hyperlink r:id="rId108">
              <w:r w:rsidR="00C34E1C">
                <w:rPr>
                  <w:rStyle w:val="Hyperlink"/>
                  <w:noProof/>
                </w:rPr>
                <w:t>Az EKSZ stratégiai kommunikációról szóló 2021. évi tevékenységi jelentése</w:t>
              </w:r>
            </w:hyperlink>
            <w:r w:rsidR="00C34E1C">
              <w:rPr>
                <w:noProof/>
                <w:color w:val="000000" w:themeColor="text1"/>
              </w:rPr>
              <w:t xml:space="preserve">; </w:t>
            </w:r>
            <w:hyperlink r:id="rId109">
              <w:r w:rsidR="00C34E1C">
                <w:rPr>
                  <w:rStyle w:val="Hyperlink"/>
                  <w:noProof/>
                </w:rPr>
                <w:t>Az EKSZ stratégiai kommunikációról szóló 2022. évi tevékenységi jelentése</w:t>
              </w:r>
            </w:hyperlink>
          </w:p>
          <w:p w14:paraId="27A3D943" w14:textId="65A1C8A2" w:rsidR="0F7825A1" w:rsidRPr="000F5848" w:rsidRDefault="00BA3BDE" w:rsidP="0F7825A1">
            <w:pPr>
              <w:spacing w:after="0" w:line="259" w:lineRule="auto"/>
              <w:rPr>
                <w:noProof/>
              </w:rPr>
            </w:pPr>
            <w:r>
              <w:rPr>
                <w:rStyle w:val="Hyperlink"/>
                <w:noProof/>
              </w:rPr>
              <w:t>U</w:t>
            </w:r>
            <w:hyperlink r:id="rId110" w:anchor="/main" w:history="1">
              <w:r>
                <w:rPr>
                  <w:rStyle w:val="Hyperlink"/>
                  <w:noProof/>
                </w:rPr>
                <w:t>niós szankciók térképe</w:t>
              </w:r>
            </w:hyperlink>
          </w:p>
          <w:p w14:paraId="3DFD38D6" w14:textId="79965C2E" w:rsidR="00470552" w:rsidRPr="000F5848" w:rsidRDefault="00470552" w:rsidP="00945A18">
            <w:pPr>
              <w:spacing w:after="0"/>
              <w:rPr>
                <w:noProof/>
                <w:highlight w:val="yellow"/>
              </w:rPr>
            </w:pPr>
          </w:p>
        </w:tc>
      </w:tr>
      <w:bookmarkEnd w:id="6"/>
      <w:tr w:rsidR="00470552" w:rsidRPr="00086469" w14:paraId="7FBE0D85" w14:textId="77777777" w:rsidTr="00E664BF">
        <w:trPr>
          <w:trHeight w:val="693"/>
          <w:jc w:val="center"/>
        </w:trPr>
        <w:tc>
          <w:tcPr>
            <w:tcW w:w="2122" w:type="dxa"/>
            <w:vMerge/>
          </w:tcPr>
          <w:p w14:paraId="0D8AA544" w14:textId="77777777" w:rsidR="00470552" w:rsidRPr="000F5848" w:rsidRDefault="00470552">
            <w:pPr>
              <w:spacing w:after="0"/>
              <w:rPr>
                <w:i/>
                <w:iCs/>
                <w:noProof/>
              </w:rPr>
            </w:pPr>
          </w:p>
        </w:tc>
        <w:tc>
          <w:tcPr>
            <w:tcW w:w="2409" w:type="dxa"/>
            <w:tcBorders>
              <w:top w:val="single" w:sz="4" w:space="0" w:color="auto"/>
              <w:left w:val="single" w:sz="4" w:space="0" w:color="auto"/>
              <w:bottom w:val="single" w:sz="4" w:space="0" w:color="auto"/>
              <w:right w:val="single" w:sz="4" w:space="0" w:color="auto"/>
            </w:tcBorders>
          </w:tcPr>
          <w:p w14:paraId="1AF2E5F7" w14:textId="77777777" w:rsidR="00470552" w:rsidRPr="000F5848" w:rsidRDefault="00470552">
            <w:pPr>
              <w:spacing w:after="0"/>
              <w:rPr>
                <w:i/>
                <w:iCs/>
                <w:noProof/>
              </w:rPr>
            </w:pPr>
            <w:r>
              <w:rPr>
                <w:i/>
                <w:noProof/>
              </w:rPr>
              <w:t xml:space="preserve">Új </w:t>
            </w:r>
            <w:r>
              <w:rPr>
                <w:b/>
                <w:i/>
                <w:noProof/>
              </w:rPr>
              <w:t>eljárásrend életbe léptetése a dezinformáció elleni küzdelem meglévő együttműködési struktúráinak megerősítése</w:t>
            </w:r>
            <w:r>
              <w:rPr>
                <w:i/>
                <w:noProof/>
              </w:rPr>
              <w:t xml:space="preserve"> érdekében, mind az EU-ban, mind nemzetközileg</w:t>
            </w:r>
          </w:p>
        </w:tc>
        <w:tc>
          <w:tcPr>
            <w:tcW w:w="9956" w:type="dxa"/>
            <w:tcBorders>
              <w:top w:val="single" w:sz="4" w:space="0" w:color="auto"/>
              <w:left w:val="single" w:sz="4" w:space="0" w:color="auto"/>
              <w:bottom w:val="single" w:sz="4" w:space="0" w:color="auto"/>
              <w:right w:val="single" w:sz="4" w:space="0" w:color="auto"/>
            </w:tcBorders>
          </w:tcPr>
          <w:p w14:paraId="1B789136" w14:textId="77D21B68" w:rsidR="00830887" w:rsidRPr="000F5848" w:rsidRDefault="00830887">
            <w:pPr>
              <w:spacing w:after="120"/>
              <w:rPr>
                <w:noProof/>
              </w:rPr>
            </w:pPr>
            <w:r>
              <w:rPr>
                <w:noProof/>
              </w:rPr>
              <w:t>A jelenlegi geopolitikai környezetben a külföldi információmanipuláció, beavatkozás és dezinformáció példátlan hullámaira válaszul hozott uniós fellépés megmutatta, hogy a különböző uniós intézmények közötti együttműködés jól működik. A meglévő együttműködési struktúrák rugalmasnak és a változó igényeknek megfelelőnek bizonyultak, anélkül, hogy új hivatalos megállapodásokat kellett volna bevezetniük. Az érintett hálózatokban, például a gyorsriasztási rendszerben és a dezinformáció elleni hálózatban való részvétel rendkívül hasznosnak bizonyult az elemzések, ismeretek és termékek, valamint a kommunikációs tervek és stratégiák időben történő megosztásának biztosításához.</w:t>
            </w:r>
          </w:p>
          <w:p w14:paraId="736CFA69" w14:textId="37650AAB" w:rsidR="00470552" w:rsidRPr="000F5848" w:rsidRDefault="00470552">
            <w:pPr>
              <w:spacing w:after="120"/>
              <w:rPr>
                <w:noProof/>
              </w:rPr>
            </w:pPr>
            <w:r>
              <w:rPr>
                <w:noProof/>
              </w:rPr>
              <w:t xml:space="preserve">Az EKSZ az EKSZ stratégiai kommunikációján és az EKSZ által kezelt sürgősségi riasztórendszeren (RAS) keresztül dolgozik a külföldi információmanipuláció és beavatkozás (FIMI) – többek között a dezinformáció – elleni fellépésen, hogy megkönnyítse az uniós tagállamokkal és a nemzetközi partnerekkel folytatott napi információcserét. </w:t>
            </w:r>
          </w:p>
          <w:p w14:paraId="36CF8B80" w14:textId="17A602B5" w:rsidR="00470552" w:rsidRPr="00086469" w:rsidRDefault="00470552" w:rsidP="00CE0728">
            <w:pPr>
              <w:pStyle w:val="BodyText"/>
              <w:spacing w:after="120" w:line="240" w:lineRule="auto"/>
              <w:rPr>
                <w:noProof/>
                <w:sz w:val="20"/>
                <w:szCs w:val="20"/>
              </w:rPr>
            </w:pPr>
            <w:r>
              <w:rPr>
                <w:noProof/>
                <w:sz w:val="20"/>
              </w:rPr>
              <w:t xml:space="preserve">A Bizottság szolgálatai az EU-n belüli dezinformáció különböző aspektusaival foglalkoznak (pl. a választásokkal, a kiberbiztonsággal, a média szabadságával, az online platformokkal kapcsolatban). 2018 óta a Bizottság fokozta belső koordinációját a </w:t>
            </w:r>
            <w:r>
              <w:rPr>
                <w:b/>
                <w:noProof/>
                <w:sz w:val="20"/>
              </w:rPr>
              <w:t>dezinformáció elleni hálózat (NaD)</w:t>
            </w:r>
            <w:r>
              <w:rPr>
                <w:noProof/>
                <w:sz w:val="20"/>
              </w:rPr>
              <w:t xml:space="preserve"> révén, amely a Bizottság szolgálataiból és az uniós tagállamokban működő képviseletekből áll, az EKSZ és az Európai Parlament pedig megfigyelőként vesz részt. A hálózat révén a Bizottság egyesíti és mozgósítja a kapacitásokat, hogy összehangolt fellépés révén hatékony választ tudjon adni a dezinformációra. Közvetlenül az Ukrajna elleni inváziót követően a Bizottság fokozta együttműködését az online platformokkal az orosz médiaorgánumokkal szembeni szankciók végrehajtásának nyomon követése és a konfliktussal kapcsolatos dezinformáció elleni küzdelemre irányuló erőfeszítéseik összehangolása érdekében.</w:t>
            </w:r>
          </w:p>
          <w:p w14:paraId="532782FE" w14:textId="56C2A92D" w:rsidR="00470552" w:rsidRPr="000F5848" w:rsidRDefault="00470552" w:rsidP="003F3966">
            <w:pPr>
              <w:spacing w:after="120"/>
              <w:rPr>
                <w:noProof/>
              </w:rPr>
            </w:pPr>
            <w:r>
              <w:rPr>
                <w:noProof/>
              </w:rPr>
              <w:t xml:space="preserve">A Bizottság és a tagállamok az </w:t>
            </w:r>
            <w:r>
              <w:rPr>
                <w:b/>
                <w:noProof/>
              </w:rPr>
              <w:t>Európai Választási Együttműködési Hálózat</w:t>
            </w:r>
            <w:r>
              <w:rPr>
                <w:noProof/>
              </w:rPr>
              <w:t xml:space="preserve"> keretében is együttműködnek a választási folyamatokba való beavatkozás eseteinek megvitatása és a bevált gyakorlatok cseréje érdekében. </w:t>
            </w:r>
            <w:r>
              <w:rPr>
                <w:rStyle w:val="cf01"/>
                <w:rFonts w:ascii="Times New Roman" w:hAnsi="Times New Roman"/>
                <w:noProof/>
                <w:sz w:val="20"/>
              </w:rPr>
              <w:t xml:space="preserve"> Az érintett hálózatok közötti együttműködés alapvető fontosságú. Ezért a gyorsriasztási rendszer 2023 decemberében együttes ülést tartott a reziliencia megerősítésével és a hibrid fenyegetésekkel szembeni fellépéssel foglalkozó horizontális munkacsoporttal, valamint az Európai Választási Együttműködési Hálózattal. </w:t>
            </w:r>
          </w:p>
          <w:p w14:paraId="4D3B0672" w14:textId="197223BB" w:rsidR="00EB6350" w:rsidRDefault="00EB6350" w:rsidP="00CE0728">
            <w:pPr>
              <w:spacing w:after="120"/>
              <w:rPr>
                <w:rStyle w:val="cf01"/>
                <w:rFonts w:ascii="Times New Roman" w:hAnsi="Times New Roman" w:cs="Times New Roman"/>
                <w:noProof/>
                <w:sz w:val="20"/>
                <w:szCs w:val="20"/>
              </w:rPr>
            </w:pPr>
            <w:r>
              <w:rPr>
                <w:rStyle w:val="cf01"/>
                <w:rFonts w:ascii="Times New Roman" w:hAnsi="Times New Roman"/>
                <w:noProof/>
                <w:sz w:val="20"/>
              </w:rPr>
              <w:t>Külső tevékenysége keretében az EU olyan független regionális szervezeteket is finanszírozott, amelyek a „Civic Tech for Democracy” népszerűsítésében és a választási folyamatokkal kapcsolatos megbízható információkhoz való hozzáférés előmozdításában vesznek részt.</w:t>
            </w:r>
          </w:p>
          <w:p w14:paraId="0589C7AC" w14:textId="77777777" w:rsidR="002236E7" w:rsidRPr="000F5848" w:rsidRDefault="002236E7" w:rsidP="002236E7">
            <w:pPr>
              <w:spacing w:after="120"/>
              <w:rPr>
                <w:i/>
                <w:iCs/>
                <w:noProof/>
                <w:u w:val="single"/>
              </w:rPr>
            </w:pPr>
            <w:r>
              <w:rPr>
                <w:i/>
                <w:noProof/>
                <w:u w:val="single"/>
              </w:rPr>
              <w:t>Hasznos linkek</w:t>
            </w:r>
            <w:r>
              <w:rPr>
                <w:i/>
                <w:noProof/>
              </w:rPr>
              <w:t>:</w:t>
            </w:r>
          </w:p>
          <w:p w14:paraId="4FDBAB32" w14:textId="0B8E6AD7" w:rsidR="002236E7" w:rsidRPr="000F5848" w:rsidRDefault="0072154A" w:rsidP="004F4050">
            <w:pPr>
              <w:spacing w:after="0"/>
              <w:rPr>
                <w:rStyle w:val="Hyperlink"/>
                <w:noProof/>
              </w:rPr>
            </w:pPr>
            <w:hyperlink r:id="rId111" w:history="1">
              <w:r w:rsidR="00C34E1C">
                <w:rPr>
                  <w:rStyle w:val="Hyperlink"/>
                  <w:noProof/>
                </w:rPr>
                <w:t>2021. évi tevékenységi jelentés</w:t>
              </w:r>
            </w:hyperlink>
            <w:r w:rsidR="00C34E1C">
              <w:rPr>
                <w:rStyle w:val="Hyperlink"/>
                <w:noProof/>
              </w:rPr>
              <w:t xml:space="preserve"> </w:t>
            </w:r>
          </w:p>
          <w:p w14:paraId="6B19BFF7" w14:textId="691653D3" w:rsidR="002236E7" w:rsidRPr="000F5848" w:rsidRDefault="0072154A" w:rsidP="004F4050">
            <w:pPr>
              <w:spacing w:after="0"/>
              <w:rPr>
                <w:rStyle w:val="Hyperlink"/>
                <w:noProof/>
              </w:rPr>
            </w:pPr>
            <w:hyperlink r:id="rId112" w:history="1">
              <w:r w:rsidR="00C34E1C">
                <w:rPr>
                  <w:rStyle w:val="Hyperlink"/>
                  <w:noProof/>
                </w:rPr>
                <w:t>2022. évi tevékenységi jelentés</w:t>
              </w:r>
            </w:hyperlink>
          </w:p>
          <w:p w14:paraId="017B026C" w14:textId="04A1BD94" w:rsidR="002236E7" w:rsidRPr="000F5848" w:rsidRDefault="0072154A" w:rsidP="004F4050">
            <w:pPr>
              <w:spacing w:after="0"/>
              <w:rPr>
                <w:rStyle w:val="Hyperlink"/>
                <w:noProof/>
              </w:rPr>
            </w:pPr>
            <w:hyperlink r:id="rId113" w:history="1">
              <w:r w:rsidR="00C34E1C">
                <w:rPr>
                  <w:rStyle w:val="Hyperlink"/>
                  <w:noProof/>
                </w:rPr>
                <w:t>EKSZ Stratcom</w:t>
              </w:r>
            </w:hyperlink>
          </w:p>
          <w:p w14:paraId="3638242E" w14:textId="37259EEB" w:rsidR="002236E7" w:rsidRPr="000F5848" w:rsidRDefault="0072154A" w:rsidP="004F4050">
            <w:pPr>
              <w:spacing w:after="0"/>
              <w:rPr>
                <w:rStyle w:val="Hyperlink"/>
                <w:noProof/>
              </w:rPr>
            </w:pPr>
            <w:hyperlink r:id="rId114" w:history="1">
              <w:r w:rsidR="00C34E1C">
                <w:rPr>
                  <w:rStyle w:val="Hyperlink"/>
                  <w:noProof/>
                </w:rPr>
                <w:t>Jelentés a külföldi információmanipuláció és beavatkozás veszélyeiről</w:t>
              </w:r>
            </w:hyperlink>
          </w:p>
          <w:p w14:paraId="6021E53F" w14:textId="3E68946F" w:rsidR="002236E7" w:rsidRPr="000F5848" w:rsidRDefault="0072154A" w:rsidP="002236E7">
            <w:pPr>
              <w:spacing w:after="0"/>
              <w:rPr>
                <w:rStyle w:val="Hyperlink"/>
                <w:noProof/>
              </w:rPr>
            </w:pPr>
            <w:hyperlink r:id="rId115" w:history="1">
              <w:r w:rsidR="00C34E1C">
                <w:rPr>
                  <w:rStyle w:val="Hyperlink"/>
                  <w:noProof/>
                </w:rPr>
                <w:t>2022. évi irányítási terv, Kommunikációs Főigazgatóság</w:t>
              </w:r>
            </w:hyperlink>
          </w:p>
          <w:p w14:paraId="2DD92DC8" w14:textId="5EE3B19E" w:rsidR="002236E7" w:rsidRPr="00086469" w:rsidRDefault="002236E7" w:rsidP="00086469">
            <w:pPr>
              <w:spacing w:after="0"/>
              <w:rPr>
                <w:noProof/>
                <w:color w:val="0563C1" w:themeColor="hyperlink"/>
                <w:u w:val="single"/>
                <w:lang w:val="en-IE"/>
              </w:rPr>
            </w:pPr>
          </w:p>
        </w:tc>
      </w:tr>
      <w:tr w:rsidR="00470552" w:rsidRPr="00CA5190" w14:paraId="39783F43" w14:textId="77777777" w:rsidTr="00E664BF">
        <w:trPr>
          <w:trHeight w:val="693"/>
          <w:jc w:val="center"/>
        </w:trPr>
        <w:tc>
          <w:tcPr>
            <w:tcW w:w="2122" w:type="dxa"/>
            <w:vMerge/>
          </w:tcPr>
          <w:p w14:paraId="3919AC8A" w14:textId="77777777" w:rsidR="00470552" w:rsidRPr="002F7DE4" w:rsidRDefault="00470552">
            <w:pPr>
              <w:spacing w:after="0"/>
              <w:rPr>
                <w:i/>
                <w:noProof/>
                <w:lang w:val="en-IE"/>
              </w:rPr>
            </w:pPr>
          </w:p>
        </w:tc>
        <w:tc>
          <w:tcPr>
            <w:tcW w:w="2409" w:type="dxa"/>
            <w:tcBorders>
              <w:top w:val="single" w:sz="4" w:space="0" w:color="auto"/>
              <w:left w:val="single" w:sz="4" w:space="0" w:color="auto"/>
              <w:bottom w:val="single" w:sz="4" w:space="0" w:color="auto"/>
              <w:right w:val="single" w:sz="4" w:space="0" w:color="auto"/>
            </w:tcBorders>
          </w:tcPr>
          <w:p w14:paraId="28FD027A" w14:textId="77777777" w:rsidR="00470552" w:rsidRPr="000F5848" w:rsidRDefault="00470552">
            <w:pPr>
              <w:spacing w:after="0"/>
              <w:rPr>
                <w:i/>
                <w:iCs/>
                <w:noProof/>
              </w:rPr>
            </w:pPr>
            <w:r>
              <w:rPr>
                <w:b/>
                <w:i/>
                <w:noProof/>
              </w:rPr>
              <w:t>Közös keret és módszertan kidolgozása a külföldi beavatkozással kapcsolatos szisztematikus bizonyítékok gyűjtésére</w:t>
            </w:r>
            <w:r>
              <w:rPr>
                <w:i/>
                <w:noProof/>
              </w:rPr>
              <w:t xml:space="preserve">, valamint </w:t>
            </w:r>
            <w:r>
              <w:rPr>
                <w:b/>
                <w:i/>
                <w:noProof/>
              </w:rPr>
              <w:t>strukturális</w:t>
            </w:r>
            <w:r>
              <w:rPr>
                <w:i/>
                <w:noProof/>
              </w:rPr>
              <w:t xml:space="preserve"> </w:t>
            </w:r>
            <w:r>
              <w:rPr>
                <w:b/>
                <w:i/>
                <w:noProof/>
              </w:rPr>
              <w:t>párbeszéd kialakítása a civil társadalommal</w:t>
            </w:r>
            <w:r>
              <w:rPr>
                <w:i/>
                <w:noProof/>
              </w:rPr>
              <w:t>, a magánszektor szereplőivel és más érdekelt felekkel a fenyegetettségi helyzet rendszeres áttekintése érdekében</w:t>
            </w:r>
          </w:p>
          <w:p w14:paraId="0D54BBB8" w14:textId="77777777" w:rsidR="00470552" w:rsidRPr="000F5848" w:rsidRDefault="00470552">
            <w:pPr>
              <w:spacing w:after="0"/>
              <w:rPr>
                <w:i/>
                <w:noProof/>
              </w:rPr>
            </w:pPr>
          </w:p>
        </w:tc>
        <w:tc>
          <w:tcPr>
            <w:tcW w:w="9956" w:type="dxa"/>
            <w:tcBorders>
              <w:top w:val="single" w:sz="4" w:space="0" w:color="auto"/>
              <w:left w:val="single" w:sz="4" w:space="0" w:color="auto"/>
              <w:bottom w:val="single" w:sz="4" w:space="0" w:color="auto"/>
              <w:right w:val="single" w:sz="4" w:space="0" w:color="auto"/>
            </w:tcBorders>
          </w:tcPr>
          <w:p w14:paraId="14505B06" w14:textId="4421225A" w:rsidR="0032067C" w:rsidRPr="000F5848" w:rsidRDefault="67DFEAB9" w:rsidP="009001AC">
            <w:pPr>
              <w:spacing w:after="120" w:line="259" w:lineRule="auto"/>
              <w:rPr>
                <w:noProof/>
              </w:rPr>
            </w:pPr>
            <w:r>
              <w:rPr>
                <w:noProof/>
              </w:rPr>
              <w:t xml:space="preserve">Az EKSZ közös elemzési keretet és </w:t>
            </w:r>
            <w:r>
              <w:rPr>
                <w:b/>
                <w:noProof/>
              </w:rPr>
              <w:t>módszertant javasolt a külföldi információmanipuláció és beavatkozás tevékenységére vonatkozó szisztematikus bizonyítékok összegyűjtésére</w:t>
            </w:r>
            <w:r>
              <w:rPr>
                <w:noProof/>
              </w:rPr>
              <w:t>.</w:t>
            </w:r>
            <w:r>
              <w:rPr>
                <w:b/>
                <w:noProof/>
              </w:rPr>
              <w:t xml:space="preserve"> Ez a módszertan még hatékonyabb és együttműködésen alapuló információmegosztást és -elemzést fog támogatni mind az EU-n belül, mind nemzetközi szinten</w:t>
            </w:r>
            <w:r>
              <w:rPr>
                <w:noProof/>
              </w:rPr>
              <w:t xml:space="preserve">. A </w:t>
            </w:r>
            <w:r>
              <w:rPr>
                <w:b/>
                <w:noProof/>
              </w:rPr>
              <w:t>külföldi információmanipulációval és beavatkozással kapcsolatos fenyegetésekről szóló első EKSZ-jelentést</w:t>
            </w:r>
            <w:r>
              <w:rPr>
                <w:noProof/>
              </w:rPr>
              <w:t xml:space="preserve"> 2023 februárjában tették közzé, amelynek célja, hogy a közös kerethez olyan koncepciót biztosítson, amely lehetővé teszi az összetett ismeretek időben történő, interoperábilis és széles körű kölcsönös megosztását. Ennek szellemében az EKSZ elősegíti az információmegosztás közösségi megközelítését egy </w:t>
            </w:r>
            <w:r>
              <w:rPr>
                <w:b/>
                <w:noProof/>
              </w:rPr>
              <w:t xml:space="preserve">információmegosztási és -elemzési központ (ISAC) </w:t>
            </w:r>
            <w:r>
              <w:rPr>
                <w:noProof/>
              </w:rPr>
              <w:t>formájában, amelynek célja, hogy megkönnyítse a külföldi információmanipulációval és beavatkozással</w:t>
            </w:r>
            <w:r>
              <w:rPr>
                <w:b/>
                <w:noProof/>
              </w:rPr>
              <w:t xml:space="preserve"> </w:t>
            </w:r>
            <w:r>
              <w:rPr>
                <w:noProof/>
              </w:rPr>
              <w:t>kapcsolatos eseményekre vonatkozó adatok gyűjtését és megosztását a megbízható partnerek között.</w:t>
            </w:r>
          </w:p>
          <w:p w14:paraId="297891EE" w14:textId="7CEBE8D1" w:rsidR="001C4CF5" w:rsidRPr="000F5848" w:rsidRDefault="47FBDE3D" w:rsidP="5BDBDC3C">
            <w:pPr>
              <w:spacing w:after="120" w:line="259" w:lineRule="auto"/>
              <w:rPr>
                <w:noProof/>
              </w:rPr>
            </w:pPr>
            <w:bookmarkStart w:id="7" w:name="_Hlk150855557"/>
            <w:r>
              <w:rPr>
                <w:noProof/>
              </w:rPr>
              <w:t xml:space="preserve">Az EU és az Egyesült Államok által az </w:t>
            </w:r>
            <w:r>
              <w:rPr>
                <w:b/>
                <w:noProof/>
              </w:rPr>
              <w:t>EU–USA Kereskedelmi és Technológiai Tanácsban (TTC)</w:t>
            </w:r>
            <w:r>
              <w:rPr>
                <w:noProof/>
              </w:rPr>
              <w:t xml:space="preserve"> tett kötelezettségvállalás magában foglalja a külföldi információmanipulációra és beavatkozásra vonatkozó strukturált információcsere közös szabványát, valamint a külföldi információmanipuláció és beavatkozás azonosításának, elemzésének és leküzdésének alapjául szolgáló közös módszertant. Az Európai Unió és az Egyesült Államok azt tervezi, hogy világszerte támogatni fogja e szabvány érdekelt felek általi használatát. </w:t>
            </w:r>
            <w:r>
              <w:rPr>
                <w:b/>
                <w:noProof/>
              </w:rPr>
              <w:t>2023 októberében az EU–USA csúcstalálkozón mindkét fél megállapodott abban</w:t>
            </w:r>
            <w:r>
              <w:rPr>
                <w:noProof/>
              </w:rPr>
              <w:t xml:space="preserve">, hogy közös elvek – például célzott stratégiák, belső szervezeti struktúrák, kapacitás, civil társadalom és többoldalú szerepvállalás – alapján </w:t>
            </w:r>
            <w:r>
              <w:rPr>
                <w:b/>
                <w:noProof/>
              </w:rPr>
              <w:t>kiterjesztik a külföldi információmanipuláció és beavatkozás elleni küzdelemre irányuló együttműködést</w:t>
            </w:r>
            <w:r>
              <w:rPr>
                <w:noProof/>
              </w:rPr>
              <w:t>. Ennek az együttműködésnek arra kell irányulnia, hogy támogassa a hasonlóan gondolkodó partnereket a külföldi információmanipuláció és beavatkozás elleni küzdelemben, többek között az Egyesült Államok és az EU által koordinált tevékenységek révén, a véleménynyilvánítás szabadságának megőrzése mellett, a partnerországokkal együtt.</w:t>
            </w:r>
            <w:bookmarkEnd w:id="7"/>
            <w:r>
              <w:rPr>
                <w:b/>
                <w:noProof/>
              </w:rPr>
              <w:t xml:space="preserve"> Folyamatos párbeszéd jött létre a civil társadalommal, a magánszektorral és más érdekelt felekkel</w:t>
            </w:r>
            <w:r>
              <w:rPr>
                <w:noProof/>
              </w:rPr>
              <w:t>. A szakértőkkel folytatott célzott eszmecseréket – többek között a fenyegetésértékeléssel foglalkozó szakértői kerekasztalokat – hoztak létre annak biztosítása érdekében, hogy a külső érdekelt felek adalékokkal szolgálhassanak a külföldi információmanipulációval és beavatkozással kapcsolatos helyzetismerethez, és információk álljanak rendelkezésre a megközelítések kialakításához.</w:t>
            </w:r>
          </w:p>
          <w:p w14:paraId="5E3E65C8" w14:textId="626C47ED" w:rsidR="48F51BC8" w:rsidRPr="000F5848" w:rsidRDefault="48F51BC8" w:rsidP="3EFD1128">
            <w:pPr>
              <w:spacing w:after="120" w:line="259" w:lineRule="auto"/>
              <w:rPr>
                <w:noProof/>
              </w:rPr>
            </w:pPr>
            <w:r>
              <w:rPr>
                <w:noProof/>
              </w:rPr>
              <w:t>Az EU Biztonságpolitikai Kutatóintézete (EUISS) új uniós projektet indított (3 millió EUR) azzal a céllal, hogy olyan gyakorlati támogatási eszközöket dolgozzon ki, amelyek megkönnyítik a külföldi információmanipulációval és beavatkozással kapcsolatos információk, meglátások és bizonyítékok különböző szereplők közötti megosztását.</w:t>
            </w:r>
          </w:p>
          <w:p w14:paraId="02565CC6" w14:textId="77777777" w:rsidR="009C0CE3" w:rsidRPr="000F5848" w:rsidRDefault="009C0CE3" w:rsidP="009C0CE3">
            <w:pPr>
              <w:spacing w:after="120"/>
              <w:rPr>
                <w:i/>
                <w:iCs/>
                <w:noProof/>
                <w:u w:val="single"/>
              </w:rPr>
            </w:pPr>
            <w:r>
              <w:rPr>
                <w:i/>
                <w:noProof/>
                <w:u w:val="single"/>
              </w:rPr>
              <w:t>Hasznos linkek</w:t>
            </w:r>
            <w:r>
              <w:rPr>
                <w:i/>
                <w:noProof/>
              </w:rPr>
              <w:t>:</w:t>
            </w:r>
          </w:p>
          <w:p w14:paraId="0F44901D" w14:textId="76C654E4" w:rsidR="001C4CF5" w:rsidRPr="00086469" w:rsidRDefault="0072154A" w:rsidP="5BDBDC3C">
            <w:pPr>
              <w:spacing w:after="0" w:line="259" w:lineRule="auto"/>
              <w:rPr>
                <w:rStyle w:val="Hyperlink"/>
                <w:noProof/>
              </w:rPr>
            </w:pPr>
            <w:hyperlink r:id="rId116" w:history="1">
              <w:r w:rsidR="00C34E1C">
                <w:rPr>
                  <w:rStyle w:val="Hyperlink"/>
                  <w:noProof/>
                </w:rPr>
                <w:t>Az első EKSZ-jelentés a külföldi információmanipulációval és beavatkozással kapcsolatos fenyegetésekről</w:t>
              </w:r>
            </w:hyperlink>
          </w:p>
          <w:p w14:paraId="31B3933C" w14:textId="74A81EE6" w:rsidR="00830887" w:rsidRPr="000F5848" w:rsidRDefault="0072154A" w:rsidP="5BDBDC3C">
            <w:pPr>
              <w:spacing w:after="0" w:line="259" w:lineRule="auto"/>
              <w:rPr>
                <w:noProof/>
                <w:color w:val="000000" w:themeColor="text1"/>
              </w:rPr>
            </w:pPr>
            <w:hyperlink r:id="rId117" w:history="1">
              <w:r w:rsidR="00C34E1C">
                <w:rPr>
                  <w:rStyle w:val="Hyperlink"/>
                  <w:noProof/>
                </w:rPr>
                <w:t>Az FPI projektje a külföldi beavatkozás elleni fellépésről</w:t>
              </w:r>
            </w:hyperlink>
          </w:p>
          <w:p w14:paraId="1E839859" w14:textId="3206097B" w:rsidR="00470552" w:rsidRPr="00545A82" w:rsidRDefault="00470552" w:rsidP="009C0CE3">
            <w:pPr>
              <w:spacing w:after="0"/>
              <w:rPr>
                <w:noProof/>
              </w:rPr>
            </w:pPr>
          </w:p>
        </w:tc>
      </w:tr>
      <w:tr w:rsidR="00470552" w:rsidRPr="00CA5190" w14:paraId="0EC18975" w14:textId="77777777" w:rsidTr="00E664BF">
        <w:trPr>
          <w:trHeight w:val="693"/>
          <w:jc w:val="center"/>
        </w:trPr>
        <w:tc>
          <w:tcPr>
            <w:tcW w:w="2122" w:type="dxa"/>
            <w:vMerge/>
          </w:tcPr>
          <w:p w14:paraId="551FB844" w14:textId="77777777" w:rsidR="00470552" w:rsidRPr="00545A82" w:rsidRDefault="00470552">
            <w:pPr>
              <w:spacing w:after="0"/>
              <w:rPr>
                <w:b/>
                <w:i/>
                <w:noProof/>
              </w:rPr>
            </w:pPr>
          </w:p>
        </w:tc>
        <w:tc>
          <w:tcPr>
            <w:tcW w:w="2409" w:type="dxa"/>
            <w:tcBorders>
              <w:top w:val="single" w:sz="4" w:space="0" w:color="auto"/>
              <w:left w:val="single" w:sz="4" w:space="0" w:color="auto"/>
              <w:bottom w:val="single" w:sz="4" w:space="0" w:color="auto"/>
              <w:right w:val="single" w:sz="4" w:space="0" w:color="auto"/>
            </w:tcBorders>
          </w:tcPr>
          <w:p w14:paraId="3CECFB1E" w14:textId="77777777" w:rsidR="00470552" w:rsidRPr="000F5848" w:rsidRDefault="00470552">
            <w:pPr>
              <w:spacing w:after="0"/>
              <w:rPr>
                <w:i/>
                <w:iCs/>
                <w:noProof/>
              </w:rPr>
            </w:pPr>
            <w:r>
              <w:rPr>
                <w:i/>
                <w:noProof/>
              </w:rPr>
              <w:t xml:space="preserve">A harmadik országokban </w:t>
            </w:r>
            <w:r>
              <w:rPr>
                <w:b/>
                <w:i/>
                <w:noProof/>
              </w:rPr>
              <w:t>a nemzeti hatóságok, a független média és a civil társadalom kapacitásépítéséhez nyújtott támogatás növelése</w:t>
            </w:r>
            <w:r>
              <w:rPr>
                <w:i/>
                <w:noProof/>
              </w:rPr>
              <w:t xml:space="preserve"> a dezinformáció és a külföldi befolyásoló műveletek felderítése és az azokra való reagálás érdekében</w:t>
            </w:r>
          </w:p>
          <w:p w14:paraId="6A6A95BF" w14:textId="77777777" w:rsidR="00470552" w:rsidRPr="000F5848" w:rsidRDefault="00470552">
            <w:pPr>
              <w:spacing w:after="0"/>
              <w:rPr>
                <w:noProof/>
              </w:rPr>
            </w:pPr>
          </w:p>
        </w:tc>
        <w:tc>
          <w:tcPr>
            <w:tcW w:w="9956" w:type="dxa"/>
            <w:tcBorders>
              <w:top w:val="single" w:sz="4" w:space="0" w:color="auto"/>
              <w:left w:val="single" w:sz="4" w:space="0" w:color="auto"/>
              <w:bottom w:val="single" w:sz="4" w:space="0" w:color="auto"/>
              <w:right w:val="single" w:sz="4" w:space="0" w:color="auto"/>
            </w:tcBorders>
            <w:shd w:val="clear" w:color="auto" w:fill="auto"/>
          </w:tcPr>
          <w:p w14:paraId="505D7503" w14:textId="6CE2FE82" w:rsidR="0DEBF4F7" w:rsidRPr="000F5848" w:rsidRDefault="00BD282E" w:rsidP="384FBF15">
            <w:pPr>
              <w:spacing w:after="120" w:line="259" w:lineRule="auto"/>
              <w:rPr>
                <w:noProof/>
              </w:rPr>
            </w:pPr>
            <w:r>
              <w:rPr>
                <w:noProof/>
              </w:rPr>
              <w:t xml:space="preserve">2022 októberében a globális média- és információműveltség hete alkalmából az EUvsDisinfo elindította a </w:t>
            </w:r>
            <w:r>
              <w:rPr>
                <w:b/>
                <w:noProof/>
              </w:rPr>
              <w:t>„LEARN” szekciót</w:t>
            </w:r>
            <w:r>
              <w:rPr>
                <w:noProof/>
              </w:rPr>
              <w:t>, egy külön weboldalt,</w:t>
            </w:r>
            <w:r>
              <w:rPr>
                <w:b/>
                <w:noProof/>
              </w:rPr>
              <w:t xml:space="preserve"> </w:t>
            </w:r>
            <w:r>
              <w:rPr>
                <w:noProof/>
              </w:rPr>
              <w:t>amely ismerteti a külföldi információmanipuláció és beavatkozás, valamint a dezinformáció és az információmanipuláció mögött meghúzódó mechanizmusokat, taktikákat, közös narratívákat és szereplőket.</w:t>
            </w:r>
          </w:p>
          <w:p w14:paraId="0242A616" w14:textId="5380B745" w:rsidR="00064A32" w:rsidRPr="000F5848" w:rsidRDefault="71C25DFE" w:rsidP="00064A32">
            <w:pPr>
              <w:spacing w:line="259" w:lineRule="auto"/>
              <w:rPr>
                <w:noProof/>
                <w:color w:val="0078D4"/>
                <w:u w:val="single"/>
              </w:rPr>
            </w:pPr>
            <w:r>
              <w:rPr>
                <w:noProof/>
              </w:rPr>
              <w:t xml:space="preserve">A </w:t>
            </w:r>
            <w:r>
              <w:rPr>
                <w:b/>
                <w:noProof/>
              </w:rPr>
              <w:t>nyugat-balkáni régióban</w:t>
            </w:r>
            <w:r>
              <w:rPr>
                <w:noProof/>
              </w:rPr>
              <w:t xml:space="preserve"> az EU proaktív és tényszerű kommunikációban és az intézmények kapacitásépítésében vett részt a külföldi információmanipuláció és beavatkozás jelentette fenyegetések kezelése érdekében. 2022-ben az EU több mint 250 újságírót támogatott, akik megvitatták a hivatásos újságírás előmozdításának hatékony módjait a régióban. 2021-ben támogatást nyújtottak az EU-Nyugat-Balkán médiaműveltségi konferencia megszervezéséhez, hogy megvitassák a dezinformációt, a professzionális újságírás kihívásait, a médiaműveltség fontosságát az új médiakörnyezetben és a rezilienciára vonatkozó stratégiákban. Támogatást nyújtottak új tanulmányokhoz is, például az „Evolution of Propaganda Narratives on Ukraine” (A propagandanarratívák alakulása Ukrajnával kapcsolatban) címűhöz, valamint a „</w:t>
            </w:r>
            <w:hyperlink r:id="rId118" w:history="1">
              <w:r>
                <w:rPr>
                  <w:noProof/>
                </w:rPr>
                <w:t>Connecting media community in the age of disinformation</w:t>
              </w:r>
            </w:hyperlink>
            <w:r>
              <w:rPr>
                <w:noProof/>
              </w:rPr>
              <w:t>” (A médiaközösség összekapcsolása a dezinformáció korában) című kapacitásépítési kezdeményezéshez (Szarajevó, 2023. február 24.).</w:t>
            </w:r>
            <w:r>
              <w:rPr>
                <w:noProof/>
                <w:color w:val="0078D4"/>
                <w:u w:val="single"/>
              </w:rPr>
              <w:t xml:space="preserve"> </w:t>
            </w:r>
          </w:p>
          <w:p w14:paraId="19EF39B9" w14:textId="796B17ED" w:rsidR="00BD282E" w:rsidRPr="000F5848" w:rsidRDefault="00BD282E" w:rsidP="00BD282E">
            <w:pPr>
              <w:spacing w:after="120"/>
              <w:rPr>
                <w:noProof/>
              </w:rPr>
            </w:pPr>
            <w:r>
              <w:rPr>
                <w:noProof/>
              </w:rPr>
              <w:t xml:space="preserve">A </w:t>
            </w:r>
            <w:r>
              <w:rPr>
                <w:b/>
                <w:noProof/>
              </w:rPr>
              <w:t>Nyugat-Balkánt és Törökországot</w:t>
            </w:r>
            <w:r>
              <w:rPr>
                <w:noProof/>
              </w:rPr>
              <w:t xml:space="preserve"> támogató </w:t>
            </w:r>
            <w:r>
              <w:rPr>
                <w:b/>
                <w:noProof/>
              </w:rPr>
              <w:t>civil társadalmi eszköz és médiaprogram</w:t>
            </w:r>
            <w:r>
              <w:rPr>
                <w:noProof/>
              </w:rPr>
              <w:t xml:space="preserve"> számos olyan intézkedést is tartalmaz, amelyek célja az IPA III kedvezményezettjei körében a dezinformáció elleni küzdelem. Idetartozik többek között:</w:t>
            </w:r>
          </w:p>
          <w:p w14:paraId="7A56C1C7" w14:textId="0DD294F8" w:rsidR="00BD282E" w:rsidRPr="000F5848" w:rsidRDefault="47076B42" w:rsidP="001F1CB1">
            <w:pPr>
              <w:pStyle w:val="ListParagraph"/>
              <w:numPr>
                <w:ilvl w:val="0"/>
                <w:numId w:val="30"/>
              </w:numPr>
              <w:spacing w:after="120"/>
              <w:rPr>
                <w:rFonts w:ascii="Times New Roman" w:hAnsi="Times New Roman"/>
                <w:noProof/>
              </w:rPr>
            </w:pPr>
            <w:r>
              <w:rPr>
                <w:rFonts w:ascii="Times New Roman" w:hAnsi="Times New Roman"/>
                <w:noProof/>
              </w:rPr>
              <w:t xml:space="preserve"> „A médiába vetett bizalom kiépítése Délkelet-Európában: Az újságírás mint közjó támogatása” (3 millió EUR 2023. július – 2026. július) „A mi médiánk: Civil társadalmi fellépés a médiaműveltség és -aktivizmus kialakítása, a polarizáció elleni küzdelem és a párbeszéd előmozdítása érdekében” (1,3 millió EUR; 2023. február – 2025. január) </w:t>
            </w:r>
          </w:p>
          <w:p w14:paraId="6D54E0CF" w14:textId="2AD416BF" w:rsidR="00BD282E" w:rsidRPr="000F5848" w:rsidRDefault="00BD282E" w:rsidP="001F1CB1">
            <w:pPr>
              <w:pStyle w:val="ListParagraph"/>
              <w:numPr>
                <w:ilvl w:val="0"/>
                <w:numId w:val="30"/>
              </w:numPr>
              <w:spacing w:after="120"/>
              <w:rPr>
                <w:rFonts w:ascii="Times New Roman" w:hAnsi="Times New Roman"/>
                <w:noProof/>
              </w:rPr>
            </w:pPr>
            <w:r>
              <w:rPr>
                <w:rFonts w:ascii="Times New Roman" w:hAnsi="Times New Roman"/>
                <w:noProof/>
              </w:rPr>
              <w:t xml:space="preserve"> „A digitális jogok és szabadságok jelentése” (1,3 millió EUR; 2023. január – 2025. december) a médiának és a civil társadalomnak a digitális jogok megsértése és a dezinformáció közötti kapcsolatra vonatkozó ismereteinek és készségeinek bővítése érdekében </w:t>
            </w:r>
          </w:p>
          <w:p w14:paraId="29E80882" w14:textId="3F343483" w:rsidR="00BD282E" w:rsidRPr="000F5848" w:rsidRDefault="00BD282E" w:rsidP="001F1CB1">
            <w:pPr>
              <w:pStyle w:val="ListParagraph"/>
              <w:numPr>
                <w:ilvl w:val="0"/>
                <w:numId w:val="30"/>
              </w:numPr>
              <w:spacing w:after="120"/>
              <w:rPr>
                <w:rFonts w:ascii="Times New Roman" w:hAnsi="Times New Roman"/>
                <w:noProof/>
              </w:rPr>
            </w:pPr>
            <w:r>
              <w:rPr>
                <w:rFonts w:ascii="Times New Roman" w:hAnsi="Times New Roman"/>
                <w:noProof/>
              </w:rPr>
              <w:t>„SEECheck-hálózat – a dezinformáció és a félretájékoztatás elleni küzdelem tényellenőrzők hálózatán keresztül” (1,24 millió EUR; 2023. január – 2026. június) célja a szakmai hálózatok, a független média és a civil társadalmi szervezetek megerősítése</w:t>
            </w:r>
          </w:p>
          <w:p w14:paraId="1E6A6555" w14:textId="7BDC369A" w:rsidR="00021A27" w:rsidRPr="000F5848" w:rsidRDefault="009772A0" w:rsidP="00924A2C">
            <w:pPr>
              <w:spacing w:after="120" w:line="259" w:lineRule="auto"/>
              <w:rPr>
                <w:noProof/>
              </w:rPr>
            </w:pPr>
            <w:r>
              <w:rPr>
                <w:noProof/>
              </w:rPr>
              <w:t xml:space="preserve">A </w:t>
            </w:r>
            <w:r>
              <w:rPr>
                <w:b/>
                <w:noProof/>
              </w:rPr>
              <w:t>keleti partnerség</w:t>
            </w:r>
            <w:r>
              <w:rPr>
                <w:noProof/>
              </w:rPr>
              <w:t xml:space="preserve"> keretében a 2020-ban elfogadott </w:t>
            </w:r>
            <w:r>
              <w:rPr>
                <w:b/>
                <w:noProof/>
              </w:rPr>
              <w:t>uniós Covid19-szolidaritási program</w:t>
            </w:r>
            <w:r>
              <w:rPr>
                <w:noProof/>
              </w:rPr>
              <w:t xml:space="preserve"> 10 millió EUR-s komponenst tartalmazott, amely lehetővé teszi a helyi civil társadalmi szervezetek számára a legkiszolgáltatottabb csoportokra és az aránytalanul érintett csoportokra gyakorolt hatások enyhítését. Ez a komponens magában foglalja a helyi civil társadalmi szervezetek Covid19-cel kapcsolatos dezinformáció elleni küzdelemre irányuló megfigyelő és érdekképviseleti tevékenységeinek támogatását, a polgári szabadságokat korlátozó intézkedések nyomon követését, az azokról való jelentéstételt és azok hatályon kívül helyezését. </w:t>
            </w:r>
          </w:p>
          <w:p w14:paraId="67185D0E" w14:textId="59ABDB54" w:rsidR="00924A2C" w:rsidRPr="000F5848" w:rsidRDefault="004C7F67" w:rsidP="00924A2C">
            <w:pPr>
              <w:spacing w:after="120" w:line="259" w:lineRule="auto"/>
              <w:rPr>
                <w:noProof/>
              </w:rPr>
            </w:pPr>
            <w:r>
              <w:rPr>
                <w:noProof/>
              </w:rPr>
              <w:t xml:space="preserve">A </w:t>
            </w:r>
            <w:r>
              <w:rPr>
                <w:b/>
                <w:noProof/>
              </w:rPr>
              <w:t>keleti partnerség civil társadalmi eszköze</w:t>
            </w:r>
            <w:r>
              <w:rPr>
                <w:noProof/>
              </w:rPr>
              <w:t xml:space="preserve"> 2019-ben támogatta a dél-kaukázusi regionális digitális kriminalisztikai kutatólaboratórium létrehozását, amely a Kreml által befolyásolt dezinformációval foglalkozó kutatási szakemberekből álló hálózatot hozott létre. Emellett az EU 8 millió EUR összegű független médiaprogramján keresztül is támogatást nyújt, amely segíti a régió független médiaorgánumait azonnali és hosszú távú pénzügyi életképességük javításával. Összességében az EU jelenleg több mint 30 millió EUR-val támogatja a független médiakörnyezetet a keleti partnerországokban. </w:t>
            </w:r>
          </w:p>
          <w:p w14:paraId="46B59B22" w14:textId="1BF6C562" w:rsidR="00924A2C" w:rsidRPr="000F5848" w:rsidRDefault="00924A2C" w:rsidP="00924A2C">
            <w:pPr>
              <w:spacing w:after="120" w:line="259" w:lineRule="auto"/>
              <w:rPr>
                <w:noProof/>
                <w:color w:val="000000" w:themeColor="text1"/>
              </w:rPr>
            </w:pPr>
            <w:r>
              <w:rPr>
                <w:noProof/>
              </w:rPr>
              <w:t xml:space="preserve">Támogatást nyújtott továbbá a </w:t>
            </w:r>
            <w:r>
              <w:rPr>
                <w:b/>
                <w:noProof/>
              </w:rPr>
              <w:t>külföldi információmanipuláció és dezinformáció elleni független média és civil társadalmi szervezetek számára Ukrajnában és Moldovában</w:t>
            </w:r>
            <w:r>
              <w:rPr>
                <w:noProof/>
              </w:rPr>
              <w:t>. A keleti partnerség regionális EU4Independent projektje révén a régió újságíróit felkérték, hogy hívják fel a figyelmet az EU-ra, és mozdítsák elő a regionális kapcsolatokat. 2022 júniusában a keleti szomszédságból és Közép-Ázsiából származó tényellenőrzők, újságírók és civil társadalmi szervezetek 80 képviselője kapott meghívást Brüsszelbe.</w:t>
            </w:r>
          </w:p>
          <w:p w14:paraId="6C83F387" w14:textId="014F86CD" w:rsidR="00470552" w:rsidRPr="000F5848" w:rsidRDefault="00924A2C" w:rsidP="00924A2C">
            <w:pPr>
              <w:spacing w:after="120" w:line="259" w:lineRule="auto"/>
              <w:rPr>
                <w:noProof/>
              </w:rPr>
            </w:pPr>
            <w:r>
              <w:rPr>
                <w:noProof/>
              </w:rPr>
              <w:t xml:space="preserve">Az EU emellett </w:t>
            </w:r>
            <w:r>
              <w:rPr>
                <w:b/>
                <w:noProof/>
              </w:rPr>
              <w:t>támogatást nyújtott az orosz rezsim elől menekülni kényszerült független orosz médiának</w:t>
            </w:r>
            <w:r>
              <w:rPr>
                <w:noProof/>
              </w:rPr>
              <w:t xml:space="preserve">, és a </w:t>
            </w:r>
            <w:r>
              <w:rPr>
                <w:b/>
                <w:noProof/>
              </w:rPr>
              <w:t>Kreml információmanipulációja és dezinformációja elleni küzdelem</w:t>
            </w:r>
            <w:r>
              <w:rPr>
                <w:noProof/>
              </w:rPr>
              <w:t xml:space="preserve"> érdekében is munkálkodott.</w:t>
            </w:r>
          </w:p>
          <w:p w14:paraId="7AE958AD" w14:textId="310A06D9" w:rsidR="00FE289A" w:rsidRPr="000F5848" w:rsidRDefault="000910F9">
            <w:pPr>
              <w:spacing w:after="120"/>
              <w:rPr>
                <w:noProof/>
              </w:rPr>
            </w:pPr>
            <w:r>
              <w:rPr>
                <w:noProof/>
              </w:rPr>
              <w:t xml:space="preserve">A </w:t>
            </w:r>
            <w:r>
              <w:rPr>
                <w:b/>
                <w:noProof/>
              </w:rPr>
              <w:t>déli szomszédságban</w:t>
            </w:r>
            <w:r>
              <w:rPr>
                <w:noProof/>
              </w:rPr>
              <w:t xml:space="preserve"> 2021-től a délre vonatkozó médiacsomag (15 millió EUR, 2022–2026) átfogó támogatást nyújt a független médiaágazatnak annak biztosítása érdekében, hogy az továbbra is független, plurális és reziliens maradjon, és képes legyen védekezni a jelenlegi fenyegetésekkel szemben és előmozdítani a kritikus polgári gondolkodást. Előmozdítja továbbá a médiatámogató szervezetek közötti együttműködést és koordinációt a dezinformáció elleni küzdelem érdekében, valamint az Európai Demokrácia Alapítvány támogatása révén együttműködik a legkiszolgáltatottabb és független médiával.</w:t>
            </w:r>
          </w:p>
          <w:p w14:paraId="43DE9D1C" w14:textId="45DFD6C8" w:rsidR="00924A2C" w:rsidRPr="000F5848" w:rsidRDefault="00924A2C" w:rsidP="00BB0718">
            <w:pPr>
              <w:spacing w:after="120" w:line="259" w:lineRule="auto"/>
              <w:rPr>
                <w:noProof/>
                <w:color w:val="0078D4"/>
                <w:u w:val="single"/>
              </w:rPr>
            </w:pPr>
            <w:r>
              <w:rPr>
                <w:noProof/>
              </w:rPr>
              <w:t>A</w:t>
            </w:r>
            <w:r>
              <w:rPr>
                <w:b/>
                <w:noProof/>
              </w:rPr>
              <w:t xml:space="preserve"> közel-keleti és észak-afrikai régióban</w:t>
            </w:r>
            <w:r>
              <w:rPr>
                <w:noProof/>
              </w:rPr>
              <w:t xml:space="preserve"> az uniós regionális média-tisztviselő (RMO) munkája további eszközt biztosított az EU számára az arab nyelvű közönséggel való kapcsolattartáshoz. Együttműködésre került sor a civil társadalom, a tudományos világ és a média helyi szakértőivel a régióban tapasztalható sokrétű külföldi információmanipuláció és beavatkozás jelentette veszély alakulásának nyomon követése és a tudatosság növelése érdekében. 2022 februárja óta a RMO több mint 150 interjút végzett pánarab csatornákkal az Ukrajna elleni orosz invázióról a Kreml által vezetett külföldi információmanipuláció és beavatkozás elleni fellépés érdekében.</w:t>
            </w:r>
            <w:r>
              <w:rPr>
                <w:noProof/>
                <w:color w:val="0078D4"/>
                <w:u w:val="single"/>
              </w:rPr>
              <w:t xml:space="preserve"> </w:t>
            </w:r>
          </w:p>
          <w:p w14:paraId="3124C580" w14:textId="75DE147D" w:rsidR="00FE289A" w:rsidRPr="000F5848" w:rsidRDefault="00FE289A" w:rsidP="00E93E8C">
            <w:pPr>
              <w:shd w:val="clear" w:color="auto" w:fill="FFFFFF" w:themeFill="background1"/>
              <w:spacing w:after="120" w:line="259" w:lineRule="auto"/>
              <w:rPr>
                <w:noProof/>
              </w:rPr>
            </w:pPr>
            <w:r>
              <w:rPr>
                <w:noProof/>
              </w:rPr>
              <w:t xml:space="preserve">Az </w:t>
            </w:r>
            <w:r>
              <w:rPr>
                <w:b/>
                <w:noProof/>
              </w:rPr>
              <w:t>indiai-csendes-óceáni térségben</w:t>
            </w:r>
            <w:r>
              <w:rPr>
                <w:noProof/>
              </w:rPr>
              <w:t xml:space="preserve"> megkezdődött a civil társadalmi szervezetekkel való együttműködés és a független média támogatása az EU közvetlen szomszédságán kívül. </w:t>
            </w:r>
          </w:p>
          <w:p w14:paraId="04813CFD" w14:textId="7E901ECE" w:rsidR="4E7724C3" w:rsidRPr="000F5848" w:rsidRDefault="4E7724C3" w:rsidP="00371194">
            <w:pPr>
              <w:spacing w:after="120"/>
              <w:rPr>
                <w:noProof/>
              </w:rPr>
            </w:pPr>
            <w:r>
              <w:rPr>
                <w:noProof/>
              </w:rPr>
              <w:t xml:space="preserve">A </w:t>
            </w:r>
            <w:r>
              <w:rPr>
                <w:b/>
                <w:noProof/>
              </w:rPr>
              <w:t>Szubszaharai-Afrikával foglalkozó munkacsoportot</w:t>
            </w:r>
            <w:r>
              <w:rPr>
                <w:noProof/>
              </w:rPr>
              <w:t xml:space="preserve"> azért hozták létre, mert Oroszország Ukrajna elleni agressziós háborújával, valamint a külföldi információmanipulációval és beavatkozással összefüggésben sürgősen meg kell erősíteni az EU stratégiai kommunikációs képességeit.</w:t>
            </w:r>
          </w:p>
          <w:p w14:paraId="3FAC4086" w14:textId="57A8F794" w:rsidR="00FE289A" w:rsidRPr="000F5848" w:rsidRDefault="67A6CCFD" w:rsidP="00CE0728">
            <w:pPr>
              <w:shd w:val="clear" w:color="auto" w:fill="FFFFFF" w:themeFill="background1"/>
              <w:spacing w:after="120" w:line="259" w:lineRule="auto"/>
              <w:rPr>
                <w:noProof/>
              </w:rPr>
            </w:pPr>
            <w:r>
              <w:rPr>
                <w:noProof/>
              </w:rPr>
              <w:t xml:space="preserve">A </w:t>
            </w:r>
            <w:r>
              <w:rPr>
                <w:b/>
                <w:noProof/>
              </w:rPr>
              <w:t>külföldi információmanipuláció és beavatkozás kezelésére irányuló szélesebb körű erőfeszítések részeként</w:t>
            </w:r>
            <w:r>
              <w:rPr>
                <w:noProof/>
              </w:rPr>
              <w:t>, valamint a biztonsági és védelmi stratégiai iránytű elfogadásával együtt 2022 óta kísérleti támogatásra került sor egyes – polgári és katonai – KBVP-missziók és -műveletek számára a külföldi információmanipulációval és beavatkozással szembeni reziliencia kiépítése érdekében.</w:t>
            </w:r>
          </w:p>
          <w:p w14:paraId="45671E53" w14:textId="77777777" w:rsidR="00705BED" w:rsidRDefault="00705BED" w:rsidP="00CE0728">
            <w:pPr>
              <w:spacing w:after="120"/>
              <w:rPr>
                <w:noProof/>
              </w:rPr>
            </w:pPr>
            <w:bookmarkStart w:id="8" w:name="_Hlk150855332"/>
            <w:r>
              <w:rPr>
                <w:noProof/>
              </w:rPr>
              <w:t xml:space="preserve">Emellett a </w:t>
            </w:r>
            <w:r>
              <w:rPr>
                <w:b/>
                <w:noProof/>
              </w:rPr>
              <w:t>TAIEX aktívan támogatja a bővítési és a szomszédos országokat a dezinformáció elleni küzdelemben</w:t>
            </w:r>
            <w:r>
              <w:rPr>
                <w:noProof/>
              </w:rPr>
              <w:t xml:space="preserve">. A Nyugat-Balkánon 2022-ben online </w:t>
            </w:r>
            <w:hyperlink r:id="rId119" w:anchor="/library/detail/81893?hasBackBtn=false" w:history="1">
              <w:r>
                <w:rPr>
                  <w:noProof/>
                </w:rPr>
                <w:t>TAIEX regionális munkaértekezletet</w:t>
              </w:r>
            </w:hyperlink>
            <w:r>
              <w:rPr>
                <w:noProof/>
              </w:rPr>
              <w:t xml:space="preserve"> szerveztek, amelyet országspecifikus rendezvények követtek Montenegró, Albánia és Koszovó számára. 2023-ban több TAIEX munkaértekezletre is sor került, nevezetesen a </w:t>
            </w:r>
            <w:hyperlink r:id="rId120" w:anchor="/library/detail/83360?hasBackBtn=false" w:history="1">
              <w:r>
                <w:rPr>
                  <w:noProof/>
                </w:rPr>
                <w:t>dezinformáció terjedésének szankcionálását célzó kihívásokról és a meglévő mechanizmusok módosításairól szóló munkaértekezletre</w:t>
              </w:r>
            </w:hyperlink>
            <w:r>
              <w:rPr>
                <w:noProof/>
              </w:rPr>
              <w:t xml:space="preserve">, valamint a </w:t>
            </w:r>
            <w:hyperlink r:id="rId121" w:anchor="/library/detail/83609?hasBackBtn=false" w:history="1">
              <w:r>
                <w:rPr>
                  <w:noProof/>
                </w:rPr>
                <w:t>TAIEX tanulmányútjára a dezinformáció és a gyűlöletbeszéd elleni küzdelemmel foglalkozó ellenőrző szerv létrehozására irányuló együttműködési mechanizmusok modelljeiről</w:t>
              </w:r>
            </w:hyperlink>
            <w:r>
              <w:rPr>
                <w:noProof/>
              </w:rPr>
              <w:t>. A szomszédságban 2023 februárjában kétnapos, több országra kiterjedő TAIEX-munkaértekezletet szerveztek a dezinformáció elleni stratégiákról, hogy támogatást nyújtsanak Ukrajnának, Moldovának és Grúziának a dezinformáció felderítésében, elemzésében és az arra adott megfelelő válaszok kidolgozásában. Nyomon követésként 2024-re tervezik a TAIEX-munkaértekezleteket a Moldova és Ukrajna által benyújtott kérelmek alapján, a választások és a külföldi információmanipuláció témájával, valamint az afrikai partnerekkel a dezinformáció elleni küzdelem terén folytatott együttműködéssel kapcsolatban.</w:t>
            </w:r>
          </w:p>
          <w:p w14:paraId="79CECB50" w14:textId="04E911C1" w:rsidR="006B5C42" w:rsidRPr="000F5848" w:rsidRDefault="006B5C42" w:rsidP="00CE0728">
            <w:pPr>
              <w:spacing w:after="120"/>
              <w:rPr>
                <w:noProof/>
              </w:rPr>
            </w:pPr>
            <w:r>
              <w:rPr>
                <w:noProof/>
              </w:rPr>
              <w:t xml:space="preserve">A </w:t>
            </w:r>
            <w:r>
              <w:rPr>
                <w:b/>
                <w:noProof/>
              </w:rPr>
              <w:t>független média védelméről szóló új pénzügyikeret-partnerségi megállapodás</w:t>
            </w:r>
            <w:r>
              <w:rPr>
                <w:noProof/>
              </w:rPr>
              <w:t xml:space="preserve"> célja többek között a médiaszereplők dezinformációval szembeni küzdelemre irányuló kapacitásának kiépítése. 2023–2027-ben legfeljebb 20 millió EUR áll majd rendelkezésre. Az NDICI – Globális Európa keretében olyan intézkedés van érvényben, amely a mesterséges intelligencia korában javítja a dezinformációval szembeni tudatosságot és ellenálló képességet. Ez a fellépés magában foglalja az európai szereplők, valamint néhány afrikai és latin-amerikai és karibi ország közötti kapcsolatok fejlesztését, valamint a déli együttműködés megerősítését. </w:t>
            </w:r>
          </w:p>
          <w:bookmarkEnd w:id="8"/>
          <w:p w14:paraId="64B8CCE3" w14:textId="5ACB8FC5" w:rsidR="00470552" w:rsidRPr="000F5848" w:rsidRDefault="11862E2F" w:rsidP="377959D7">
            <w:pPr>
              <w:spacing w:after="120"/>
              <w:rPr>
                <w:i/>
                <w:iCs/>
                <w:noProof/>
              </w:rPr>
            </w:pPr>
            <w:r>
              <w:rPr>
                <w:i/>
                <w:noProof/>
              </w:rPr>
              <w:t>Hasznos linkek:</w:t>
            </w:r>
          </w:p>
          <w:p w14:paraId="06A8B83E" w14:textId="77777777" w:rsidR="00470552" w:rsidRPr="000F5848" w:rsidRDefault="11862E2F" w:rsidP="00EE5DC0">
            <w:pPr>
              <w:spacing w:after="0"/>
              <w:rPr>
                <w:noProof/>
              </w:rPr>
            </w:pPr>
            <w:r>
              <w:rPr>
                <w:noProof/>
              </w:rPr>
              <w:t>Újonnan finanszírozott Horizont Európa projektek (2021-es és 2022-es pályázati felhívások keretében) a demokratikus politikával és a jogállamisággal az EU szomszédságában (kelet és délen) és az uniós tagjelölt országokban</w:t>
            </w:r>
          </w:p>
          <w:p w14:paraId="5232ACB4" w14:textId="101AE2F8" w:rsidR="00260F04" w:rsidRPr="000F5848" w:rsidRDefault="0072154A" w:rsidP="00A301C9">
            <w:pPr>
              <w:spacing w:after="0"/>
              <w:rPr>
                <w:noProof/>
              </w:rPr>
            </w:pPr>
            <w:hyperlink r:id="rId122" w:anchor="/library/detail/81893?hasBackBtn=false" w:history="1">
              <w:r w:rsidR="00C34E1C">
                <w:rPr>
                  <w:rStyle w:val="Hyperlink"/>
                  <w:noProof/>
                </w:rPr>
                <w:t>TAIEX online munkaértekezlet a dezinformáció új geopolitikai következményeiről a Nyugat-Balkánon</w:t>
              </w:r>
            </w:hyperlink>
          </w:p>
          <w:p w14:paraId="2696596F" w14:textId="12E5DEE4" w:rsidR="00A301C9" w:rsidRPr="000F5848" w:rsidRDefault="009F17AA" w:rsidP="00A301C9">
            <w:pPr>
              <w:spacing w:after="0"/>
              <w:rPr>
                <w:rStyle w:val="Hyperlink"/>
                <w:rFonts w:eastAsiaTheme="minorHAnsi"/>
                <w:noProof/>
              </w:rPr>
            </w:pPr>
            <w:r>
              <w:rPr>
                <w:rStyle w:val="Hyperlink"/>
                <w:noProof/>
              </w:rPr>
              <w:t xml:space="preserve">TAIEX </w:t>
            </w:r>
            <w:hyperlink r:id="rId123" w:anchor="/library/detail/83360?hasBackBtn=false" w:history="1">
              <w:r>
                <w:rPr>
                  <w:rStyle w:val="Hyperlink"/>
                  <w:noProof/>
                </w:rPr>
                <w:t>munkaértekezlet a dezinformáció terjedésének szankcionálását célzó meglévő mechanizmusok kihívásairól és módosításairól</w:t>
              </w:r>
            </w:hyperlink>
          </w:p>
          <w:p w14:paraId="4D18A2EC" w14:textId="4E1BA13F" w:rsidR="009F17AA" w:rsidRPr="000F5848" w:rsidRDefault="00964770" w:rsidP="00EE5DC0">
            <w:pPr>
              <w:spacing w:after="0"/>
              <w:rPr>
                <w:rStyle w:val="Hyperlink"/>
                <w:rFonts w:eastAsiaTheme="minorHAnsi"/>
                <w:noProof/>
              </w:rPr>
            </w:pPr>
            <w:r>
              <w:rPr>
                <w:rStyle w:val="Hyperlink"/>
                <w:noProof/>
              </w:rPr>
              <w:t xml:space="preserve">TAIEX </w:t>
            </w:r>
            <w:hyperlink r:id="rId124" w:anchor="/library/detail/83360?hasBackBtn=false" w:history="1">
              <w:r>
                <w:rPr>
                  <w:rStyle w:val="Hyperlink"/>
                  <w:noProof/>
                </w:rPr>
                <w:t>munkaértekezlet a dezinformáció terjedésének szankcionálását célzó meglévő mechanizmusok kihívásairól és módosításairól</w:t>
              </w:r>
            </w:hyperlink>
          </w:p>
          <w:p w14:paraId="70191EDA" w14:textId="7D3368F0" w:rsidR="003A14CB" w:rsidRPr="00086469" w:rsidRDefault="003A14CB" w:rsidP="00086469">
            <w:pPr>
              <w:spacing w:after="0"/>
              <w:rPr>
                <w:noProof/>
              </w:rPr>
            </w:pPr>
          </w:p>
        </w:tc>
      </w:tr>
      <w:tr w:rsidR="00470552" w:rsidRPr="00CA5190" w14:paraId="06A9CDBF" w14:textId="77777777" w:rsidTr="00E664BF">
        <w:trPr>
          <w:trHeight w:val="693"/>
          <w:jc w:val="center"/>
        </w:trPr>
        <w:tc>
          <w:tcPr>
            <w:tcW w:w="2122" w:type="dxa"/>
            <w:vMerge/>
          </w:tcPr>
          <w:p w14:paraId="31C31583" w14:textId="77777777" w:rsidR="00470552" w:rsidRPr="00545A82" w:rsidRDefault="00470552">
            <w:pPr>
              <w:spacing w:after="0"/>
              <w:rPr>
                <w:i/>
                <w:iCs/>
                <w:noProof/>
              </w:rPr>
            </w:pPr>
          </w:p>
        </w:tc>
        <w:tc>
          <w:tcPr>
            <w:tcW w:w="2409" w:type="dxa"/>
            <w:tcBorders>
              <w:top w:val="single" w:sz="4" w:space="0" w:color="auto"/>
              <w:left w:val="single" w:sz="4" w:space="0" w:color="auto"/>
              <w:bottom w:val="single" w:sz="4" w:space="0" w:color="auto"/>
              <w:right w:val="single" w:sz="4" w:space="0" w:color="auto"/>
            </w:tcBorders>
          </w:tcPr>
          <w:p w14:paraId="241D0B6C" w14:textId="77777777" w:rsidR="00470552" w:rsidRPr="000F5848" w:rsidRDefault="00470552">
            <w:pPr>
              <w:spacing w:after="0"/>
              <w:rPr>
                <w:i/>
                <w:iCs/>
                <w:noProof/>
              </w:rPr>
            </w:pPr>
            <w:r>
              <w:rPr>
                <w:b/>
                <w:i/>
                <w:noProof/>
              </w:rPr>
              <w:t>Útmutató kiadása a dezinformáció visszaszorítását célzó gyakorlati kódex megerősítéséhez</w:t>
            </w:r>
            <w:r>
              <w:rPr>
                <w:i/>
                <w:noProof/>
              </w:rPr>
              <w:t xml:space="preserve"> </w:t>
            </w:r>
          </w:p>
        </w:tc>
        <w:tc>
          <w:tcPr>
            <w:tcW w:w="9956" w:type="dxa"/>
            <w:tcBorders>
              <w:top w:val="single" w:sz="4" w:space="0" w:color="auto"/>
              <w:left w:val="single" w:sz="4" w:space="0" w:color="auto"/>
              <w:bottom w:val="single" w:sz="4" w:space="0" w:color="auto"/>
              <w:right w:val="single" w:sz="4" w:space="0" w:color="auto"/>
            </w:tcBorders>
          </w:tcPr>
          <w:p w14:paraId="094BF6FE" w14:textId="77777777" w:rsidR="00470552" w:rsidRPr="000F5848" w:rsidRDefault="00470552">
            <w:pPr>
              <w:spacing w:after="120"/>
              <w:rPr>
                <w:noProof/>
              </w:rPr>
            </w:pPr>
            <w:r>
              <w:rPr>
                <w:noProof/>
              </w:rPr>
              <w:t xml:space="preserve">A Bizottság 2021. május 26-án </w:t>
            </w:r>
            <w:r>
              <w:rPr>
                <w:b/>
                <w:noProof/>
              </w:rPr>
              <w:t>iránymutatást tett közzé arról, hogy miként lehetne megerősíteni a dezinformáció visszaszorítását célzó gyakorlati kódexet</w:t>
            </w:r>
            <w:r>
              <w:rPr>
                <w:noProof/>
              </w:rPr>
              <w:t xml:space="preserve">, miután értékelte annak működését a 2018-as létrehozása óta. </w:t>
            </w:r>
          </w:p>
          <w:p w14:paraId="424F3010" w14:textId="77777777" w:rsidR="00470552" w:rsidRPr="000F5848" w:rsidRDefault="00470552">
            <w:pPr>
              <w:spacing w:after="120"/>
              <w:rPr>
                <w:noProof/>
              </w:rPr>
            </w:pPr>
            <w:r>
              <w:rPr>
                <w:i/>
                <w:noProof/>
                <w:u w:val="single"/>
              </w:rPr>
              <w:t>Hasznos linkek</w:t>
            </w:r>
            <w:r>
              <w:rPr>
                <w:noProof/>
              </w:rPr>
              <w:t>:</w:t>
            </w:r>
          </w:p>
          <w:p w14:paraId="72F39BB8" w14:textId="51F5DDB1" w:rsidR="00470552" w:rsidRPr="000F5848" w:rsidRDefault="0072154A">
            <w:pPr>
              <w:spacing w:after="120"/>
              <w:rPr>
                <w:noProof/>
                <w:highlight w:val="yellow"/>
              </w:rPr>
            </w:pPr>
            <w:hyperlink r:id="rId125" w:history="1">
              <w:r w:rsidR="00C34E1C">
                <w:rPr>
                  <w:rStyle w:val="Hyperlink"/>
                  <w:noProof/>
                </w:rPr>
                <w:t>COM(2021) 262 final bizottsági iránymutatás</w:t>
              </w:r>
            </w:hyperlink>
            <w:r w:rsidR="00C34E1C">
              <w:rPr>
                <w:noProof/>
              </w:rPr>
              <w:t xml:space="preserve"> </w:t>
            </w:r>
          </w:p>
        </w:tc>
      </w:tr>
      <w:tr w:rsidR="00470552" w:rsidRPr="006F0EDE" w14:paraId="70E4BA39" w14:textId="77777777" w:rsidTr="00E664BF">
        <w:trPr>
          <w:trHeight w:val="693"/>
          <w:jc w:val="center"/>
        </w:trPr>
        <w:tc>
          <w:tcPr>
            <w:tcW w:w="2122" w:type="dxa"/>
            <w:vMerge/>
          </w:tcPr>
          <w:p w14:paraId="3B46BB14" w14:textId="77777777" w:rsidR="00470552" w:rsidRPr="000F5848" w:rsidRDefault="00470552">
            <w:pPr>
              <w:spacing w:after="0"/>
              <w:rPr>
                <w:i/>
                <w:iCs/>
                <w:noProof/>
              </w:rPr>
            </w:pPr>
          </w:p>
        </w:tc>
        <w:tc>
          <w:tcPr>
            <w:tcW w:w="2409" w:type="dxa"/>
            <w:tcBorders>
              <w:top w:val="single" w:sz="4" w:space="0" w:color="auto"/>
              <w:left w:val="single" w:sz="4" w:space="0" w:color="auto"/>
              <w:bottom w:val="single" w:sz="4" w:space="0" w:color="auto"/>
              <w:right w:val="single" w:sz="4" w:space="0" w:color="auto"/>
            </w:tcBorders>
          </w:tcPr>
          <w:p w14:paraId="2383CBEE" w14:textId="77777777" w:rsidR="00470552" w:rsidRPr="000F5848" w:rsidRDefault="00470552">
            <w:pPr>
              <w:spacing w:after="0"/>
              <w:rPr>
                <w:i/>
                <w:iCs/>
                <w:noProof/>
              </w:rPr>
            </w:pPr>
            <w:r>
              <w:rPr>
                <w:i/>
                <w:noProof/>
              </w:rPr>
              <w:t xml:space="preserve">A gyakorlati kódex aláíróinak és az érdekelt felek érintett csoportjainak összehívása, hogy az iránymutatásnak megfelelően </w:t>
            </w:r>
            <w:r>
              <w:rPr>
                <w:b/>
                <w:i/>
                <w:noProof/>
              </w:rPr>
              <w:t>megerősítsék a kódexet</w:t>
            </w:r>
            <w:r>
              <w:rPr>
                <w:i/>
                <w:noProof/>
              </w:rPr>
              <w:t xml:space="preserve">  </w:t>
            </w:r>
          </w:p>
          <w:p w14:paraId="12331EE3" w14:textId="77777777" w:rsidR="00470552" w:rsidRPr="000F5848" w:rsidRDefault="00470552">
            <w:pPr>
              <w:spacing w:after="0"/>
              <w:rPr>
                <w:i/>
                <w:noProof/>
              </w:rPr>
            </w:pPr>
          </w:p>
        </w:tc>
        <w:tc>
          <w:tcPr>
            <w:tcW w:w="9956" w:type="dxa"/>
            <w:tcBorders>
              <w:top w:val="single" w:sz="4" w:space="0" w:color="auto"/>
              <w:left w:val="single" w:sz="4" w:space="0" w:color="auto"/>
              <w:bottom w:val="single" w:sz="4" w:space="0" w:color="auto"/>
              <w:right w:val="single" w:sz="4" w:space="0" w:color="auto"/>
            </w:tcBorders>
          </w:tcPr>
          <w:p w14:paraId="4E34B17F" w14:textId="53875030" w:rsidR="00470552" w:rsidRPr="000F5848" w:rsidRDefault="00470552" w:rsidP="00CD34EC">
            <w:pPr>
              <w:spacing w:after="120"/>
              <w:rPr>
                <w:noProof/>
              </w:rPr>
            </w:pPr>
            <w:r>
              <w:rPr>
                <w:noProof/>
              </w:rPr>
              <w:t xml:space="preserve">2022. június 16-án 34 aláíró írta alá és mutatta be a </w:t>
            </w:r>
            <w:r>
              <w:rPr>
                <w:b/>
                <w:noProof/>
              </w:rPr>
              <w:t>dezinformáció visszaszorítását célzó megerősített gyakorlati kódexet</w:t>
            </w:r>
            <w:r>
              <w:rPr>
                <w:noProof/>
              </w:rPr>
              <w:t>, beleértve a főbb online platformokat, az online hirdetési ágazatot alkotó szereplőket, a kisebb vagy szakosodott platformokat, a kutatási és civil társadalmi szervezeteket, a tényellenőrzőket és a dezinformáció elleni küzdelmet szolgáló technikai megoldásokat nyújtó szolgáltatókat.</w:t>
            </w:r>
          </w:p>
          <w:p w14:paraId="568A3678" w14:textId="0103AF03" w:rsidR="00470552" w:rsidRPr="000F5848" w:rsidRDefault="00470552" w:rsidP="00086469">
            <w:pPr>
              <w:pStyle w:val="NormalWeb"/>
              <w:spacing w:before="0" w:beforeAutospacing="0" w:after="120" w:afterAutospacing="0"/>
              <w:rPr>
                <w:noProof/>
                <w:sz w:val="20"/>
                <w:szCs w:val="20"/>
              </w:rPr>
            </w:pPr>
            <w:r>
              <w:rPr>
                <w:noProof/>
                <w:sz w:val="20"/>
              </w:rPr>
              <w:t>Az új kódex célja a 2021 májusában előterjesztett bizottsági iránymutatás célkitűzéseinek elérése azáltal, hogy szélesebb körű kötelezettségvállalásokat és intézkedéseket határoz meg az online félretájékoztatás elleni küzdelem érdekében. Ezek közé tartozik a dezinformáció terjesztésének demonetizálása; a politikai reklám átláthatóságának biztosítása; a felhasználók szerepvállalásának növelése; a tényellenőrzőkkel való együttműködés fokozása; a kutatók adatokhoz való hozzáférésének megkönnyítése; valamint a platformok szolgáltatásai integritásának biztosítása a szolgáltatásaik során nem engedélyezett manipulatív magatartás és gyakorlatok jegyzékével szembeni biztosítékok bevezetése és előmozdítása révén. A lista olyan manipulatív magatartásformákat tartalmaz, amelyek dezinformációt terjeszthetnek, mint például nem hiteles fiókok vagy botnetek létrehozása, megtévesztő manipulált média (például „deep fake”, „cheap fake”) alkalmazása, valamint a tartalom létrehozásának vagy felerősítésének nem hiteles koordinációja, beleértve a platformok algoritmusainak megtévesztésére/manipulálására irányuló kísérleteket (például a tartalmak népszerűségével kapcsolatos félrevezetési módok). Ennek alapján az aláíró felek elkötelezettek aziránt, hogy olyan egyértelmű szabályzatokat fogadjanak el, szilárdítsanak meg és hajtsanak végre, amelyek lefedik az azonosított magatartásformák és gyakorlatok körét. Tekintettel a rosszindulatú szereplők által alkalmazott ilyen taktikák, technikák és eljárások változó jellegére, ezt a listát rendszeresen felül kell vizsgálni.</w:t>
            </w:r>
          </w:p>
          <w:p w14:paraId="0F587190" w14:textId="62F31719" w:rsidR="00470552" w:rsidRPr="000F5848" w:rsidRDefault="00086469">
            <w:pPr>
              <w:spacing w:after="120"/>
              <w:rPr>
                <w:noProof/>
              </w:rPr>
            </w:pPr>
            <w:r>
              <w:rPr>
                <w:noProof/>
              </w:rPr>
              <w:t xml:space="preserve">A Bizottság szolgálatai és az EKSZ is </w:t>
            </w:r>
            <w:r>
              <w:rPr>
                <w:b/>
                <w:noProof/>
              </w:rPr>
              <w:t>fokozták együttműködésüket az online platformokkal a külföldi információmanipuláció és beavatkozás, valamint a jelentős geopolitikai válságokkal kapcsolatos dezinformáció elleni küzdelemre irányuló erőfeszítések összehangolása érdekében</w:t>
            </w:r>
            <w:r>
              <w:rPr>
                <w:noProof/>
              </w:rPr>
              <w:t>.</w:t>
            </w:r>
            <w:r>
              <w:rPr>
                <w:noProof/>
                <w:sz w:val="24"/>
              </w:rPr>
              <w:t xml:space="preserve"> </w:t>
            </w:r>
            <w:r>
              <w:rPr>
                <w:noProof/>
              </w:rPr>
              <w:t>A Bizottság a kódex keretében szorosan figyelemmel kíséri az RT-re, a Szputnyikra és más szankcionált orgánumokra vonatkozó uniós szankciók platformok általi végrehajtását. A kódex aláírói az állandó munkacsoport és annak válságreagálási alcsoportja keretében rendszeres találkozókat tartanak az információcsere és a konkrét válsághelyzetekkel kapcsolatos dezinformáció visszaszorítására irányuló intézkedéseik összehangolása céljából.</w:t>
            </w:r>
          </w:p>
          <w:p w14:paraId="4F095E3B" w14:textId="13063038" w:rsidR="00470552" w:rsidRDefault="00470552">
            <w:pPr>
              <w:spacing w:after="120"/>
              <w:rPr>
                <w:noProof/>
              </w:rPr>
            </w:pPr>
            <w:r>
              <w:rPr>
                <w:noProof/>
              </w:rPr>
              <w:t xml:space="preserve">A </w:t>
            </w:r>
            <w:r>
              <w:rPr>
                <w:b/>
                <w:noProof/>
              </w:rPr>
              <w:t>Digitális Média Európai Megfigyelőközpontja (EDMO) külön munkacsoportot hozott létre</w:t>
            </w:r>
            <w:r>
              <w:rPr>
                <w:noProof/>
              </w:rPr>
              <w:t xml:space="preserve">, amely nyomon követi az ukrajnai háborúhoz kapcsolódó dezinformációs kampányok helyzetét. 2022. március 24. óta az EDMO tényellenőrző hálózata 2023 októberéig több mint 2500 tényellenőrzést végzett a háborúval kapcsolatban, valamint több kapcsolódó vizsgálatot, jelentést és célzott időszakos betekintést készített. </w:t>
            </w:r>
          </w:p>
          <w:p w14:paraId="19DE8373" w14:textId="19CFB71F" w:rsidR="00EA6BA6" w:rsidRPr="000F5848" w:rsidRDefault="00EA6BA6">
            <w:pPr>
              <w:spacing w:after="120"/>
              <w:rPr>
                <w:noProof/>
              </w:rPr>
            </w:pPr>
            <w:r>
              <w:rPr>
                <w:noProof/>
              </w:rPr>
              <w:t>Emellett a tagállamok a technikai támogatási eszköz keretében támogatást kérhetnek a dezinformáció kezeléséhez és a külföldi beavatkozási kampányok hatékony kezeléséhez szükséges kapacitás fejlesztéséhez.</w:t>
            </w:r>
          </w:p>
          <w:p w14:paraId="3570CAC3" w14:textId="46D4F21F" w:rsidR="00470552" w:rsidRPr="000F5848" w:rsidRDefault="00470552">
            <w:pPr>
              <w:spacing w:after="120"/>
              <w:rPr>
                <w:noProof/>
              </w:rPr>
            </w:pPr>
            <w:r>
              <w:rPr>
                <w:i/>
                <w:noProof/>
                <w:u w:val="single"/>
              </w:rPr>
              <w:t>Hasznos linkek</w:t>
            </w:r>
            <w:r>
              <w:rPr>
                <w:noProof/>
              </w:rPr>
              <w:t>:</w:t>
            </w:r>
          </w:p>
          <w:p w14:paraId="72596B1F" w14:textId="0228256C" w:rsidR="00A53E1D" w:rsidRPr="000F5848" w:rsidRDefault="0072154A" w:rsidP="00D9117A">
            <w:pPr>
              <w:spacing w:after="0"/>
              <w:rPr>
                <w:noProof/>
              </w:rPr>
            </w:pPr>
            <w:hyperlink r:id="rId126" w:history="1">
              <w:r w:rsidR="00C34E1C">
                <w:rPr>
                  <w:rStyle w:val="Hyperlink"/>
                  <w:noProof/>
                </w:rPr>
                <w:t>A dezinformáció visszaszorítását célzó, 2022. évi gyakorlati kódex</w:t>
              </w:r>
            </w:hyperlink>
          </w:p>
          <w:p w14:paraId="041FC3A8" w14:textId="0B23D1EB" w:rsidR="007D348D" w:rsidRPr="00086469" w:rsidRDefault="0072154A" w:rsidP="00D9117A">
            <w:pPr>
              <w:spacing w:after="0"/>
              <w:rPr>
                <w:noProof/>
              </w:rPr>
            </w:pPr>
            <w:hyperlink r:id="rId127" w:history="1">
              <w:r w:rsidR="00C34E1C">
                <w:rPr>
                  <w:rStyle w:val="Hyperlink"/>
                  <w:noProof/>
                </w:rPr>
                <w:t>A Digitális Média Európai Megfigyelőközpontja</w:t>
              </w:r>
            </w:hyperlink>
            <w:r w:rsidR="00C34E1C">
              <w:rPr>
                <w:noProof/>
              </w:rPr>
              <w:t xml:space="preserve"> </w:t>
            </w:r>
          </w:p>
          <w:p w14:paraId="5066D96C" w14:textId="523AD18C" w:rsidR="006F0EDE" w:rsidRDefault="0072154A" w:rsidP="00D9117A">
            <w:pPr>
              <w:spacing w:after="0"/>
              <w:rPr>
                <w:rStyle w:val="Hyperlink"/>
                <w:noProof/>
              </w:rPr>
            </w:pPr>
            <w:hyperlink r:id="rId128" w:history="1">
              <w:r w:rsidR="00C34E1C">
                <w:rPr>
                  <w:rStyle w:val="Hyperlink"/>
                  <w:noProof/>
                </w:rPr>
                <w:t>Az EDMO ukrajnai háborúval kapcsolatos dezinformációval foglalkozó munkacsoportja</w:t>
              </w:r>
            </w:hyperlink>
          </w:p>
          <w:p w14:paraId="09C0D9F2" w14:textId="77777777" w:rsidR="006F0EDE" w:rsidRPr="00D9117A" w:rsidRDefault="0072154A" w:rsidP="00D9117A">
            <w:pPr>
              <w:spacing w:after="0"/>
              <w:rPr>
                <w:rStyle w:val="Hyperlink"/>
                <w:noProof/>
              </w:rPr>
            </w:pPr>
            <w:hyperlink r:id="rId129" w:history="1">
              <w:r w:rsidR="00C34E1C">
                <w:rPr>
                  <w:rStyle w:val="Hyperlink"/>
                  <w:noProof/>
                </w:rPr>
                <w:t>Technikai Támogatási Eszköz (TSI) (europa.eu)</w:t>
              </w:r>
            </w:hyperlink>
          </w:p>
          <w:p w14:paraId="1979CE1C" w14:textId="26C5B516" w:rsidR="00D9117A" w:rsidRPr="003F3966" w:rsidRDefault="00D9117A" w:rsidP="00D9117A">
            <w:pPr>
              <w:spacing w:after="0"/>
              <w:rPr>
                <w:noProof/>
                <w:color w:val="0563C1" w:themeColor="hyperlink"/>
                <w:u w:val="single"/>
                <w:lang w:val="es-ES"/>
              </w:rPr>
            </w:pPr>
          </w:p>
        </w:tc>
      </w:tr>
      <w:tr w:rsidR="00470552" w:rsidRPr="00CA5190" w14:paraId="083ADBFE" w14:textId="77777777" w:rsidTr="00E664BF">
        <w:trPr>
          <w:trHeight w:val="693"/>
          <w:jc w:val="center"/>
        </w:trPr>
        <w:tc>
          <w:tcPr>
            <w:tcW w:w="2122" w:type="dxa"/>
            <w:vMerge/>
          </w:tcPr>
          <w:p w14:paraId="11C90370" w14:textId="77777777" w:rsidR="00470552" w:rsidRPr="002F7DE4" w:rsidRDefault="00470552">
            <w:pPr>
              <w:spacing w:after="0"/>
              <w:rPr>
                <w:i/>
                <w:noProof/>
                <w:lang w:val="es-ES"/>
              </w:rPr>
            </w:pPr>
          </w:p>
        </w:tc>
        <w:tc>
          <w:tcPr>
            <w:tcW w:w="2409" w:type="dxa"/>
            <w:tcBorders>
              <w:top w:val="single" w:sz="4" w:space="0" w:color="auto"/>
              <w:left w:val="single" w:sz="4" w:space="0" w:color="auto"/>
              <w:bottom w:val="single" w:sz="4" w:space="0" w:color="auto"/>
              <w:right w:val="single" w:sz="4" w:space="0" w:color="auto"/>
            </w:tcBorders>
          </w:tcPr>
          <w:p w14:paraId="6795945C" w14:textId="77777777" w:rsidR="00470552" w:rsidRPr="000F5848" w:rsidRDefault="00470552">
            <w:pPr>
              <w:spacing w:after="0"/>
              <w:rPr>
                <w:i/>
                <w:iCs/>
                <w:noProof/>
              </w:rPr>
            </w:pPr>
            <w:r>
              <w:rPr>
                <w:b/>
                <w:i/>
                <w:noProof/>
              </w:rPr>
              <w:t>Állandó keret létrehozása a kódex nyomon követésére</w:t>
            </w:r>
          </w:p>
        </w:tc>
        <w:tc>
          <w:tcPr>
            <w:tcW w:w="9956" w:type="dxa"/>
            <w:tcBorders>
              <w:top w:val="single" w:sz="4" w:space="0" w:color="auto"/>
              <w:left w:val="single" w:sz="4" w:space="0" w:color="auto"/>
              <w:bottom w:val="single" w:sz="4" w:space="0" w:color="auto"/>
              <w:right w:val="single" w:sz="4" w:space="0" w:color="auto"/>
            </w:tcBorders>
          </w:tcPr>
          <w:p w14:paraId="706981DC" w14:textId="77777777" w:rsidR="00470552" w:rsidRPr="00502E87" w:rsidRDefault="00470552" w:rsidP="008A1AAB">
            <w:pPr>
              <w:spacing w:after="120"/>
              <w:rPr>
                <w:noProof/>
              </w:rPr>
            </w:pPr>
            <w:r>
              <w:rPr>
                <w:noProof/>
              </w:rPr>
              <w:t xml:space="preserve">A </w:t>
            </w:r>
            <w:r>
              <w:rPr>
                <w:b/>
                <w:noProof/>
              </w:rPr>
              <w:t>dezinformáció visszaszorítását célzó 2022. évi gyakorlati kódex</w:t>
            </w:r>
            <w:r>
              <w:rPr>
                <w:noProof/>
              </w:rPr>
              <w:t xml:space="preserve"> a minőségi jelentéstételi elemeken és a végrehajtás hatékonyságát mérő szolgáltatási szintű mutatókon alapuló </w:t>
            </w:r>
            <w:r>
              <w:rPr>
                <w:b/>
                <w:noProof/>
              </w:rPr>
              <w:t>megerősített nyomonkövetési kerettel egészül ki</w:t>
            </w:r>
            <w:r>
              <w:rPr>
                <w:noProof/>
              </w:rPr>
              <w:t>. Az aláírók megállapodtak abban, hogy létrehoznak egy átláthatósági központot, amely világos áttekintést nyújt a nyilvánosság számára a kötelezettségvállalásaik végrehajtása érdekében bevezetett politikákról, és azt rendszeresen frissítik a vonatkozó adatokkal.</w:t>
            </w:r>
          </w:p>
          <w:p w14:paraId="08EB47AB" w14:textId="30762849" w:rsidR="00401952" w:rsidRPr="001859F6" w:rsidRDefault="00470552" w:rsidP="008A1AAB">
            <w:pPr>
              <w:pStyle w:val="ecl-page-header-standardiseddescription"/>
              <w:spacing w:before="0" w:beforeAutospacing="0" w:after="120" w:afterAutospacing="0"/>
              <w:rPr>
                <w:noProof/>
              </w:rPr>
            </w:pPr>
            <w:r>
              <w:rPr>
                <w:noProof/>
                <w:sz w:val="20"/>
              </w:rPr>
              <w:t>2023. január végén a gyakorlati kódex aláírói benyújtották első alapjelentéseiket, amelyekben bemutatták a kötelezettségvállalások és intézkedések végrehajtása érdekében tett lépések kezdeti állását, valamint a végrehajtás első hónapjára vonatkozó minőségi és mennyiségi jelentések első csoportját. Azok az aláírók, akiket a digitális szolgáltatásokról szóló jogszabályban meghatározottak szerint online óriásplatformnak jelöltek ki, hathavonta jelentést tesznek a kódex alapján tett intézkedéseikről, míg más aláírók évente egyszer tesznek jelentést. A kódexet aláíró valamennyi jelentős online platform (Google, Meta, Microsoft és TikTok) 2023 szeptemberében benyújtotta a jelentések második csoportját, amely egy teljes hat hónapos végrehajtási időszakot fed le. A jelentéstétel első alkalommal terjed ki a strukturális mutatók kezdeti körének közzétételére is, amelyek betekintést nyújtanak a platformok szolgáltatásaival kapcsolatos dezinformációba.</w:t>
            </w:r>
          </w:p>
          <w:p w14:paraId="2080207D" w14:textId="62FB1C49" w:rsidR="00F5620C" w:rsidRPr="00502E87" w:rsidRDefault="00F5620C" w:rsidP="00BA3BDE">
            <w:pPr>
              <w:pStyle w:val="ecl-page-header-standardiseddescription"/>
              <w:spacing w:before="0" w:beforeAutospacing="0" w:after="120" w:afterAutospacing="0"/>
              <w:rPr>
                <w:noProof/>
                <w:sz w:val="20"/>
                <w:szCs w:val="20"/>
              </w:rPr>
            </w:pPr>
            <w:r>
              <w:rPr>
                <w:noProof/>
                <w:sz w:val="20"/>
              </w:rPr>
              <w:t>Valamennyi jelentés nyilvánosan elérhető a 2023 februárjában elindított Átláthatósági Központban.</w:t>
            </w:r>
          </w:p>
          <w:p w14:paraId="2F74EEBE" w14:textId="77777777" w:rsidR="00470552" w:rsidRPr="00502E87" w:rsidRDefault="00470552" w:rsidP="008A1AAB">
            <w:pPr>
              <w:spacing w:after="120"/>
              <w:rPr>
                <w:noProof/>
              </w:rPr>
            </w:pPr>
            <w:r>
              <w:rPr>
                <w:noProof/>
              </w:rPr>
              <w:t>Az aláírók megállapodtak abban is, hogy egy állandó munkacsoporton és több alcsoporton keresztül létrehozzák a további együttműködés keretét, konkrét munkaágakkal és eredményekkel. Az aláírók továbbra is rendszeresen találkoznak annak biztosítása érdekében, hogy a kódex továbbra is megfeleljen a célnak, beleértve az ukrajnai háborúval kapcsolatos dezinformáció visszaszorítását is.</w:t>
            </w:r>
          </w:p>
          <w:p w14:paraId="33F7AFC3" w14:textId="77777777" w:rsidR="00470552" w:rsidRPr="00502E87" w:rsidRDefault="00470552" w:rsidP="008A1AAB">
            <w:pPr>
              <w:spacing w:after="120"/>
              <w:rPr>
                <w:noProof/>
              </w:rPr>
            </w:pPr>
            <w:r>
              <w:rPr>
                <w:i/>
                <w:noProof/>
                <w:u w:val="single"/>
              </w:rPr>
              <w:t>Hasznos linkek</w:t>
            </w:r>
            <w:r>
              <w:rPr>
                <w:noProof/>
              </w:rPr>
              <w:t>:</w:t>
            </w:r>
          </w:p>
          <w:p w14:paraId="11F5F699" w14:textId="3FF43510" w:rsidR="00BA3BDE" w:rsidRPr="00502E87" w:rsidRDefault="0072154A" w:rsidP="00BA3BDE">
            <w:pPr>
              <w:spacing w:after="0"/>
              <w:rPr>
                <w:rStyle w:val="Hyperlink"/>
                <w:noProof/>
              </w:rPr>
            </w:pPr>
            <w:hyperlink r:id="rId130" w:history="1">
              <w:r w:rsidR="00C34E1C">
                <w:rPr>
                  <w:rStyle w:val="Hyperlink"/>
                  <w:noProof/>
                </w:rPr>
                <w:t>A dezinformáció visszaszorítását célzó, 2022. évi gyakorlati kódex</w:t>
              </w:r>
            </w:hyperlink>
            <w:r w:rsidR="00C34E1C">
              <w:rPr>
                <w:noProof/>
              </w:rPr>
              <w:t xml:space="preserve">; </w:t>
            </w:r>
            <w:hyperlink r:id="rId131" w:history="1">
              <w:r w:rsidR="00C34E1C">
                <w:rPr>
                  <w:rStyle w:val="Hyperlink"/>
                  <w:noProof/>
                </w:rPr>
                <w:t>https://disinfocode.eu/</w:t>
              </w:r>
            </w:hyperlink>
          </w:p>
          <w:p w14:paraId="726ADA05" w14:textId="07E25C27" w:rsidR="00BA3BDE" w:rsidRPr="00502E87" w:rsidRDefault="00BA3BDE" w:rsidP="008A1AAB">
            <w:pPr>
              <w:spacing w:after="0"/>
              <w:rPr>
                <w:noProof/>
              </w:rPr>
            </w:pPr>
          </w:p>
        </w:tc>
      </w:tr>
      <w:tr w:rsidR="00470552" w:rsidRPr="00CA5190" w14:paraId="2D0508AF" w14:textId="77777777" w:rsidTr="00E664BF">
        <w:trPr>
          <w:trHeight w:val="1266"/>
          <w:jc w:val="center"/>
        </w:trPr>
        <w:tc>
          <w:tcPr>
            <w:tcW w:w="2122" w:type="dxa"/>
            <w:vMerge/>
          </w:tcPr>
          <w:p w14:paraId="55166196" w14:textId="77777777" w:rsidR="00470552" w:rsidRPr="000F5848" w:rsidRDefault="00470552">
            <w:pPr>
              <w:spacing w:after="0"/>
              <w:rPr>
                <w:i/>
                <w:iCs/>
                <w:noProof/>
              </w:rPr>
            </w:pPr>
          </w:p>
        </w:tc>
        <w:tc>
          <w:tcPr>
            <w:tcW w:w="2409" w:type="dxa"/>
            <w:tcBorders>
              <w:top w:val="single" w:sz="4" w:space="0" w:color="auto"/>
              <w:left w:val="single" w:sz="4" w:space="0" w:color="auto"/>
              <w:bottom w:val="single" w:sz="4" w:space="0" w:color="auto"/>
              <w:right w:val="single" w:sz="4" w:space="0" w:color="auto"/>
            </w:tcBorders>
          </w:tcPr>
          <w:p w14:paraId="56AA87D0" w14:textId="77777777" w:rsidR="00470552" w:rsidRPr="000F5848" w:rsidRDefault="00470552">
            <w:pPr>
              <w:spacing w:after="0"/>
              <w:rPr>
                <w:i/>
                <w:noProof/>
              </w:rPr>
            </w:pPr>
            <w:r>
              <w:rPr>
                <w:i/>
                <w:noProof/>
              </w:rPr>
              <w:t xml:space="preserve">A </w:t>
            </w:r>
            <w:r>
              <w:rPr>
                <w:b/>
                <w:i/>
                <w:noProof/>
              </w:rPr>
              <w:t>dezinformáció elleni új innovatív projektek támogatása különböző uniós programok keretében</w:t>
            </w:r>
            <w:r>
              <w:rPr>
                <w:i/>
                <w:noProof/>
              </w:rPr>
              <w:t>, különösen a civil szervezetek és a felsőoktatási intézmények részéről, újságírók bevonásával</w:t>
            </w:r>
          </w:p>
        </w:tc>
        <w:tc>
          <w:tcPr>
            <w:tcW w:w="9956" w:type="dxa"/>
            <w:tcBorders>
              <w:top w:val="single" w:sz="4" w:space="0" w:color="auto"/>
              <w:left w:val="single" w:sz="4" w:space="0" w:color="auto"/>
              <w:bottom w:val="single" w:sz="4" w:space="0" w:color="auto"/>
              <w:right w:val="single" w:sz="4" w:space="0" w:color="auto"/>
            </w:tcBorders>
          </w:tcPr>
          <w:p w14:paraId="67292BF9" w14:textId="77777777" w:rsidR="00470552" w:rsidRPr="000F5848" w:rsidRDefault="00470552">
            <w:pPr>
              <w:spacing w:after="120"/>
              <w:rPr>
                <w:noProof/>
              </w:rPr>
            </w:pPr>
            <w:r>
              <w:rPr>
                <w:noProof/>
              </w:rPr>
              <w:t xml:space="preserve">Az EU évente forrásokat különít el </w:t>
            </w:r>
            <w:r>
              <w:rPr>
                <w:b/>
                <w:noProof/>
              </w:rPr>
              <w:t>a külföldi információmanipuláció és beavatkozás – többek között a dezinformáció és a hibrid fenyegetések – elleni küzdelemre irányuló projektek</w:t>
            </w:r>
            <w:r>
              <w:rPr>
                <w:noProof/>
              </w:rPr>
              <w:t xml:space="preserve"> támogatására, például a Horizont Európa vagy a Polgárok, egyenlőség, jogok és értékek (CERV), az Erasmus+ uniós programok, valamint a Szomszédsági, Fejlesztési és Nemzetközi Együttműködési Eszköz (NDICI) keretében finanszírozott projektek révén. </w:t>
            </w:r>
          </w:p>
          <w:p w14:paraId="3188E180" w14:textId="77777777" w:rsidR="00470552" w:rsidRPr="000F5848" w:rsidRDefault="00470552">
            <w:pPr>
              <w:spacing w:after="120"/>
              <w:rPr>
                <w:noProof/>
              </w:rPr>
            </w:pPr>
            <w:r>
              <w:rPr>
                <w:noProof/>
              </w:rPr>
              <w:t xml:space="preserve">Az Erasmus+ program keretében támogatás áll rendelkezésre a </w:t>
            </w:r>
            <w:r>
              <w:rPr>
                <w:b/>
                <w:noProof/>
              </w:rPr>
              <w:t>fiatalok digitális kompetenciáinak és médiaműveltségének fejlesztéséhez</w:t>
            </w:r>
            <w:r>
              <w:rPr>
                <w:noProof/>
              </w:rPr>
              <w:t xml:space="preserve"> azzal a céllal, hogy növeljék a fiatalok dezinformációval, álhírekkel és propagandával szembeni ellenálló képességét. A 2021. évi eTwinning-tevékenységek a médiaműveltségre és a dezinformációra összpontosítottak, és 2021 októberében külön konferenciát tartottak a tanárok számára, amelynek címe „A dezinformáció feltárása és leküzdése”, valamint számos eTwinning együttműködésre került sor, például a „Lie Detectors”, a „Better Internet for Kids” és az „Anne Frank House”.</w:t>
            </w:r>
          </w:p>
          <w:p w14:paraId="6B3FB082" w14:textId="77777777" w:rsidR="00470552" w:rsidRPr="000F5848" w:rsidRDefault="00470552">
            <w:pPr>
              <w:spacing w:after="120"/>
              <w:rPr>
                <w:noProof/>
              </w:rPr>
            </w:pPr>
            <w:r>
              <w:rPr>
                <w:noProof/>
              </w:rPr>
              <w:t xml:space="preserve">2022 márciusában a Bizottság elindította a </w:t>
            </w:r>
            <w:r>
              <w:rPr>
                <w:b/>
                <w:noProof/>
              </w:rPr>
              <w:t>2.2. aktualizált digitális kompetenciakeretet (DigComp)</w:t>
            </w:r>
            <w:r>
              <w:rPr>
                <w:noProof/>
              </w:rPr>
              <w:t xml:space="preserve">, amely közös értelmezést javasol arra vonatkozóan, hogy mit jelent a 21. században digitálisan kompetensnek lenni, különös tekintettel az online tájékoztatással, a dezinformációval, a félretájékoztatással és másokkal való kritikus kapcsolat szükségességére. </w:t>
            </w:r>
          </w:p>
          <w:p w14:paraId="3AA9C866" w14:textId="4BF0A256" w:rsidR="009E20D8" w:rsidRPr="000F5848" w:rsidRDefault="009E20D8" w:rsidP="009E20D8">
            <w:pPr>
              <w:spacing w:after="120"/>
              <w:rPr>
                <w:noProof/>
              </w:rPr>
            </w:pPr>
            <w:r>
              <w:rPr>
                <w:b/>
                <w:noProof/>
              </w:rPr>
              <w:t xml:space="preserve">A kutatási projektek finanszírozása a Horizont Európa keretében is folytatódott. </w:t>
            </w:r>
            <w:r>
              <w:rPr>
                <w:noProof/>
              </w:rPr>
              <w:t>A 2021–2022-es munkaprogram keretében olyan projektek kezdődtek meg, amelyek a világjárvány utáni világ összefüggésében a dezinformációval (9 millió EUR), a politikával, valamint az online közösségi hálózatok és az új média hatásával (9 millió EUR), a dezinformáció elleni küzdelemmel és a digitális világba vetett bizalom helyreállításával (8 millió EUR), továbbá a mesterséges intelligencián alapuló dezinformáció elleni küzdelmet szolgáló eszközökkel (18 millió EUR) kapcsolatos kutatásra irányulnak mind</w:t>
            </w:r>
            <w:r>
              <w:rPr>
                <w:b/>
                <w:noProof/>
              </w:rPr>
              <w:t xml:space="preserve"> </w:t>
            </w:r>
            <w:r>
              <w:rPr>
                <w:noProof/>
              </w:rPr>
              <w:t>a médiaszakemberek, mind a polgárok számára. A Horizont Európa 2023–2024-es munkaprogramjai további 30 millió EUR-t különítettek el a külföldi információmanipulációval és beavatkozással, valamint a mesterséges intelligencián alapuló megoldásokkal kapcsolatos kutatások finanszírozására annak érdekében, hogy biztosítsák a médiaszakemberek és a polgárok számára az érdemi információkhoz, a minőségi tartalmakhoz és a megbízható online interakcióhoz való plurális hozzáférést.</w:t>
            </w:r>
          </w:p>
          <w:p w14:paraId="4E09BB94" w14:textId="78A5C3F3" w:rsidR="00470552" w:rsidRPr="000F5848" w:rsidRDefault="5B6A2988">
            <w:pPr>
              <w:spacing w:after="120"/>
              <w:rPr>
                <w:noProof/>
              </w:rPr>
            </w:pPr>
            <w:r>
              <w:rPr>
                <w:noProof/>
              </w:rPr>
              <w:t>Emellett az Európai Bizottság 2022 októberében a digitális oktatási cselekvési terv részeként iránymutatásokat tett közzé a tanárok és az oktatási személyzet számára a digitális jártasság</w:t>
            </w:r>
            <w:r>
              <w:rPr>
                <w:b/>
                <w:noProof/>
              </w:rPr>
              <w:t xml:space="preserve"> oktatás és képzés révén </w:t>
            </w:r>
            <w:r>
              <w:rPr>
                <w:noProof/>
              </w:rPr>
              <w:t xml:space="preserve">történő előmozdítása és a dezinformáció kezelése érdekében. Az EU valamennyi hivatalos nyelvén elérhető iránymutatásokat az oktatási és képzési közösség, a tudományos élet, a nem kormányzati szervezetek, a műsorszolgáltatók és a magánszektor támogatásával dolgozták ki. </w:t>
            </w:r>
          </w:p>
          <w:p w14:paraId="666DF5EE" w14:textId="25A3E1D3" w:rsidR="00470552" w:rsidRPr="000F5848" w:rsidRDefault="00470552" w:rsidP="00BB0718">
            <w:pPr>
              <w:spacing w:after="120"/>
              <w:rPr>
                <w:noProof/>
              </w:rPr>
            </w:pPr>
            <w:r>
              <w:rPr>
                <w:noProof/>
              </w:rPr>
              <w:t xml:space="preserve">Az EU támogatta a </w:t>
            </w:r>
            <w:r>
              <w:rPr>
                <w:b/>
                <w:noProof/>
              </w:rPr>
              <w:t>Digitális Média Európai Megfigyelőközpontjának (EDMO)</w:t>
            </w:r>
            <w:r>
              <w:rPr>
                <w:noProof/>
              </w:rPr>
              <w:t xml:space="preserve"> létrehozását. 2020 óta az EDMO külön közösséget hozott létre, amely vezető szerepet tölt be a dezinformáció nyomon követésében, feltárásában és leküzdésében. Az EDMO egy központi digitális platformot, valamint nemzeti és regionális központokat foglal magában, amelyek hasznosítják a helyi információs környezetekkel kapcsolatos ismereteiket az európai dezinformációs kampányok felderítésére, elemzésére és leleplezésére. Mivel jelenleg 14 EDMO-központ működik, az EDMO hálózata mind a 27 uniós tagállamra és Norvégiára kiterjed az EGT-ben.</w:t>
            </w:r>
          </w:p>
          <w:p w14:paraId="23808B25" w14:textId="77777777" w:rsidR="00470552" w:rsidRPr="000F5848" w:rsidRDefault="00470552" w:rsidP="00BB0718">
            <w:pPr>
              <w:spacing w:after="120"/>
              <w:rPr>
                <w:rFonts w:eastAsia="Calibri"/>
                <w:noProof/>
              </w:rPr>
            </w:pPr>
            <w:r>
              <w:rPr>
                <w:noProof/>
              </w:rPr>
              <w:t xml:space="preserve">Az EDMO és központjainak munkája fontos szerepet játszott az ukrajnai háborúval és az orosz propagandával összefüggésben, mivel tényellenőrzések révén több ezer, a háborúhoz kapcsolódó dezinformációs esetet azonosított, valamint jelentéseket és vizsgálatokat adott ki a kialakulóban lévő és aktuális narratívákról. Erre alapozva az </w:t>
            </w:r>
            <w:r>
              <w:rPr>
                <w:b/>
                <w:noProof/>
              </w:rPr>
              <w:t>EDMO külön európai választási munkacsoportot hozott létre, amelynek feladata, hogy feltárja az EU-ban esetlegesen terjedő potenciálisan veszélyes dezinformációs kampányok korai jeleit, és koordinálja a médiaműveltséggel kapcsolatos célzott tevékenységeket</w:t>
            </w:r>
            <w:r>
              <w:rPr>
                <w:noProof/>
              </w:rPr>
              <w:t>. A munkacsoport az európai választások előkészítésének keretében az európai intézmények számára is biztosítani fogja szakértelmét.</w:t>
            </w:r>
          </w:p>
          <w:p w14:paraId="1566E28F" w14:textId="56D93B14" w:rsidR="00470552" w:rsidRPr="000F5848" w:rsidRDefault="00470552" w:rsidP="00BB0718">
            <w:pPr>
              <w:spacing w:after="120"/>
              <w:rPr>
                <w:noProof/>
              </w:rPr>
            </w:pPr>
            <w:r>
              <w:rPr>
                <w:noProof/>
              </w:rPr>
              <w:t xml:space="preserve">A Bizottság támogatta továbbá az </w:t>
            </w:r>
            <w:r>
              <w:rPr>
                <w:b/>
                <w:noProof/>
              </w:rPr>
              <w:t>európai tényellenőrzők szakmai integritására vonatkozó kódex</w:t>
            </w:r>
            <w:r>
              <w:rPr>
                <w:noProof/>
              </w:rPr>
              <w:t xml:space="preserve"> kidolgozását, amelyet 2022. szeptember 15-én tettek közzé</w:t>
            </w:r>
            <w:r w:rsidRPr="000F5848">
              <w:rPr>
                <w:rFonts w:eastAsiaTheme="minorEastAsia"/>
                <w:noProof/>
                <w:vertAlign w:val="superscript"/>
                <w:lang w:val="en-IE"/>
              </w:rPr>
              <w:footnoteReference w:id="2"/>
            </w:r>
            <w:r>
              <w:rPr>
                <w:noProof/>
              </w:rPr>
              <w:t>. A tényellenőrző szervezeteknek be kell tartaniuk a kódex előírásait, amelyek a felhasznált információforrások minőségétől a pártatlanságon át a pénzügyi átláthatóságig terjednek; csak így lehetnek igazolt tagok a közös standardokat követő európai tényellenőrző szervezetek hálózatában (EFCSN), amely a független, etikusan működő és a közérdek szolgálatában elkötelezett tényellenőrző szervezeteket tömöríti.</w:t>
            </w:r>
          </w:p>
          <w:p w14:paraId="270E52CE" w14:textId="77777777" w:rsidR="00470552" w:rsidRPr="000F5848" w:rsidRDefault="00470552">
            <w:pPr>
              <w:spacing w:after="120"/>
              <w:rPr>
                <w:noProof/>
              </w:rPr>
            </w:pPr>
            <w:r>
              <w:rPr>
                <w:i/>
                <w:noProof/>
                <w:u w:val="single"/>
              </w:rPr>
              <w:t>Hasznos linkek</w:t>
            </w:r>
            <w:r>
              <w:rPr>
                <w:noProof/>
              </w:rPr>
              <w:t>:</w:t>
            </w:r>
          </w:p>
          <w:p w14:paraId="7F0CA9E1" w14:textId="77777777" w:rsidR="00A53E1D" w:rsidRPr="000F5848" w:rsidRDefault="0072154A" w:rsidP="008A1AAB">
            <w:pPr>
              <w:spacing w:after="0"/>
              <w:rPr>
                <w:noProof/>
              </w:rPr>
            </w:pPr>
            <w:hyperlink r:id="rId132" w:history="1">
              <w:r w:rsidR="00C34E1C">
                <w:rPr>
                  <w:rStyle w:val="Hyperlink"/>
                  <w:noProof/>
                </w:rPr>
                <w:t>A Digitális Média Európai Megfigyelőközpontja</w:t>
              </w:r>
            </w:hyperlink>
          </w:p>
          <w:p w14:paraId="5F04BC57" w14:textId="0FD87BA9" w:rsidR="00470552" w:rsidRPr="000F5848" w:rsidRDefault="0072154A" w:rsidP="008A1AAB">
            <w:pPr>
              <w:spacing w:after="0"/>
              <w:rPr>
                <w:rStyle w:val="Hyperlink"/>
                <w:rFonts w:asciiTheme="minorHAnsi" w:eastAsiaTheme="minorHAnsi" w:hAnsiTheme="minorHAnsi" w:cstheme="minorBidi"/>
                <w:noProof/>
                <w:sz w:val="22"/>
                <w:szCs w:val="22"/>
              </w:rPr>
            </w:pPr>
            <w:hyperlink r:id="rId133" w:history="1">
              <w:r w:rsidR="00C34E1C">
                <w:rPr>
                  <w:rStyle w:val="Hyperlink"/>
                  <w:noProof/>
                </w:rPr>
                <w:t>Iránymutatások tanárok és oktatók számára a dezinformáció kezeléséről és a digitális jártasság oktatás és képzés révén történő előmozdításáról – az Európai Unió Kiadóhivatala (europa.eu)</w:t>
              </w:r>
            </w:hyperlink>
          </w:p>
          <w:p w14:paraId="5EC6C00A" w14:textId="16A477AA" w:rsidR="00470552" w:rsidRPr="000F5848" w:rsidRDefault="0072154A" w:rsidP="00AD64BB">
            <w:pPr>
              <w:spacing w:after="0"/>
              <w:rPr>
                <w:noProof/>
              </w:rPr>
            </w:pPr>
            <w:hyperlink r:id="rId134">
              <w:r w:rsidR="00C34E1C">
                <w:rPr>
                  <w:rStyle w:val="Hyperlink"/>
                  <w:noProof/>
                </w:rPr>
                <w:t>Európai Tényellenőrző Szabványügyi Hálózat (EFCSN)</w:t>
              </w:r>
            </w:hyperlink>
          </w:p>
          <w:p w14:paraId="1E90381E" w14:textId="77777777" w:rsidR="008A1AAB" w:rsidRPr="00545A82" w:rsidRDefault="008A1AAB" w:rsidP="007E044D">
            <w:pPr>
              <w:spacing w:after="0"/>
              <w:rPr>
                <w:rFonts w:eastAsia="Calibri"/>
                <w:noProof/>
              </w:rPr>
            </w:pPr>
          </w:p>
          <w:p w14:paraId="466A497F" w14:textId="3E8F67DC" w:rsidR="00470552" w:rsidRPr="00EF1047" w:rsidRDefault="51465F03" w:rsidP="007E044D">
            <w:pPr>
              <w:spacing w:after="0"/>
              <w:rPr>
                <w:noProof/>
              </w:rPr>
            </w:pPr>
            <w:r>
              <w:rPr>
                <w:noProof/>
              </w:rPr>
              <w:t>A Horizont Európa újonnan finanszírozott projektjei (2021-es és 2022-es pályázati felhívások keretében) a következőkre irányulnak:</w:t>
            </w:r>
          </w:p>
          <w:p w14:paraId="71D6644B" w14:textId="239CCCC1" w:rsidR="00470552" w:rsidRPr="000F5848" w:rsidRDefault="0072154A" w:rsidP="000544E8">
            <w:pPr>
              <w:pStyle w:val="ListParagraph"/>
              <w:numPr>
                <w:ilvl w:val="0"/>
                <w:numId w:val="4"/>
              </w:numPr>
              <w:ind w:left="714" w:hanging="357"/>
              <w:rPr>
                <w:rFonts w:ascii="Times New Roman" w:hAnsi="Times New Roman"/>
                <w:noProof/>
                <w:color w:val="0563C1"/>
                <w:u w:val="single"/>
              </w:rPr>
            </w:pPr>
            <w:hyperlink r:id="rId135" w:history="1">
              <w:r w:rsidR="00C34E1C">
                <w:rPr>
                  <w:rStyle w:val="Hyperlink"/>
                  <w:rFonts w:ascii="Times New Roman" w:hAnsi="Times New Roman"/>
                  <w:noProof/>
                </w:rPr>
                <w:t>A mesterséges intelligencián alapuló dezinformáció elleni küzdelem eszközei mind a médiaszakemberek, mind a polgárok számára</w:t>
              </w:r>
            </w:hyperlink>
          </w:p>
          <w:p w14:paraId="6B747A62" w14:textId="1A5B0EF8" w:rsidR="00470552" w:rsidRPr="000F5848" w:rsidRDefault="0072154A" w:rsidP="005F62F7">
            <w:pPr>
              <w:pStyle w:val="ListParagraph"/>
              <w:numPr>
                <w:ilvl w:val="0"/>
                <w:numId w:val="4"/>
              </w:numPr>
              <w:spacing w:after="120"/>
              <w:ind w:left="714" w:hanging="357"/>
              <w:rPr>
                <w:rFonts w:ascii="Times New Roman" w:hAnsi="Times New Roman"/>
                <w:noProof/>
                <w:color w:val="0563C1"/>
                <w:u w:val="single"/>
              </w:rPr>
            </w:pPr>
            <w:hyperlink r:id="rId136" w:history="1">
              <w:r w:rsidR="00C34E1C">
                <w:rPr>
                  <w:rStyle w:val="Hyperlink"/>
                  <w:rFonts w:ascii="Times New Roman" w:hAnsi="Times New Roman"/>
                  <w:noProof/>
                </w:rPr>
                <w:t>Mesterséges intelligencián alapuló megoldások az érdemi információhoz, minőségi tartalomhoz és megbízható online interakcióhoz való, médiaszakemberek és polgárok általi pluralista hozzáférés biztosítására</w:t>
              </w:r>
            </w:hyperlink>
          </w:p>
          <w:p w14:paraId="7E6C5663" w14:textId="10933719" w:rsidR="00492E8C" w:rsidRPr="000F5848" w:rsidRDefault="00492E8C" w:rsidP="00492E8C">
            <w:pPr>
              <w:spacing w:after="0"/>
              <w:rPr>
                <w:noProof/>
              </w:rPr>
            </w:pPr>
            <w:r>
              <w:rPr>
                <w:noProof/>
              </w:rPr>
              <w:t xml:space="preserve">A Horizont 2020 keretében az álhírek leleplezésére és az újságíróknak a dezinformáció és a félretájékoztatás elleni küzdelmet szolgáló eszközökkel való ellátására irányuló (már véglegesített) projektek közé tartoznak a következők: </w:t>
            </w:r>
          </w:p>
          <w:p w14:paraId="2BDC8861" w14:textId="77777777" w:rsidR="005F62F7" w:rsidRPr="000F5848" w:rsidRDefault="0072154A" w:rsidP="007E044D">
            <w:pPr>
              <w:pStyle w:val="ListParagraph"/>
              <w:numPr>
                <w:ilvl w:val="0"/>
                <w:numId w:val="4"/>
              </w:numPr>
              <w:ind w:left="714" w:hanging="357"/>
              <w:rPr>
                <w:rStyle w:val="Hyperlink"/>
                <w:rFonts w:ascii="Times New Roman" w:hAnsi="Times New Roman"/>
                <w:noProof/>
              </w:rPr>
            </w:pPr>
            <w:hyperlink r:id="rId137" w:history="1">
              <w:r w:rsidR="00C34E1C">
                <w:rPr>
                  <w:rStyle w:val="Hyperlink"/>
                  <w:rFonts w:ascii="Times New Roman" w:hAnsi="Times New Roman"/>
                  <w:noProof/>
                </w:rPr>
                <w:t>FANDANGO</w:t>
              </w:r>
            </w:hyperlink>
            <w:r w:rsidR="00C34E1C">
              <w:rPr>
                <w:rStyle w:val="Hyperlink"/>
                <w:rFonts w:ascii="Times New Roman" w:hAnsi="Times New Roman"/>
                <w:noProof/>
              </w:rPr>
              <w:t xml:space="preserve"> – FAke News discovery and propagation from big Data ANalysis and artificial intelliGence Operations (Álhírek feltárása és terjesztése nagy adathalmazok elemzéséből és mesterséges intelligencia által végzett műveletekből) </w:t>
            </w:r>
          </w:p>
          <w:p w14:paraId="4668CC0D" w14:textId="77777777" w:rsidR="005F62F7" w:rsidRPr="000F5848" w:rsidRDefault="0072154A" w:rsidP="007E044D">
            <w:pPr>
              <w:pStyle w:val="ListParagraph"/>
              <w:numPr>
                <w:ilvl w:val="0"/>
                <w:numId w:val="4"/>
              </w:numPr>
              <w:ind w:left="714" w:hanging="357"/>
              <w:rPr>
                <w:rStyle w:val="Hyperlink"/>
                <w:rFonts w:ascii="Times New Roman" w:hAnsi="Times New Roman"/>
                <w:noProof/>
              </w:rPr>
            </w:pPr>
            <w:hyperlink r:id="rId138" w:history="1">
              <w:r w:rsidR="00C34E1C">
                <w:rPr>
                  <w:rStyle w:val="Hyperlink"/>
                  <w:rFonts w:ascii="Times New Roman" w:hAnsi="Times New Roman"/>
                  <w:noProof/>
                </w:rPr>
                <w:t>WeVerify</w:t>
              </w:r>
            </w:hyperlink>
            <w:r w:rsidR="00C34E1C">
              <w:rPr>
                <w:rStyle w:val="Hyperlink"/>
                <w:rFonts w:ascii="Times New Roman" w:hAnsi="Times New Roman"/>
                <w:noProof/>
              </w:rPr>
              <w:t xml:space="preserve"> – WIDER AND ENHANCED VERIFICATION FOR YOU (Szélesebb körű és hatékonyabb ellenőrzés Önnek) </w:t>
            </w:r>
          </w:p>
          <w:p w14:paraId="3D68EE42" w14:textId="77777777" w:rsidR="005F62F7" w:rsidRPr="000F5848" w:rsidRDefault="0072154A" w:rsidP="007E044D">
            <w:pPr>
              <w:pStyle w:val="ListParagraph"/>
              <w:numPr>
                <w:ilvl w:val="0"/>
                <w:numId w:val="4"/>
              </w:numPr>
              <w:ind w:left="714" w:hanging="357"/>
              <w:rPr>
                <w:rStyle w:val="Hyperlink"/>
                <w:rFonts w:ascii="Times New Roman" w:hAnsi="Times New Roman"/>
                <w:noProof/>
              </w:rPr>
            </w:pPr>
            <w:hyperlink r:id="rId139" w:history="1">
              <w:r w:rsidR="00C34E1C">
                <w:rPr>
                  <w:rStyle w:val="Hyperlink"/>
                  <w:rFonts w:ascii="Times New Roman" w:hAnsi="Times New Roman"/>
                  <w:noProof/>
                </w:rPr>
                <w:t>TRUTHCHECK</w:t>
              </w:r>
            </w:hyperlink>
            <w:r w:rsidR="00C34E1C">
              <w:rPr>
                <w:rStyle w:val="Hyperlink"/>
                <w:rFonts w:ascii="Times New Roman" w:hAnsi="Times New Roman"/>
                <w:noProof/>
              </w:rPr>
              <w:t xml:space="preserve"> – Fake News Recognition applying Service-based Cross-Media Analytics (Álhírek felismerése szolgáltatási alapú, médiaorgánumokon átívelő elemzés alkalmazásával) </w:t>
            </w:r>
          </w:p>
          <w:p w14:paraId="7D892427" w14:textId="77777777" w:rsidR="005F62F7" w:rsidRPr="000F5848" w:rsidRDefault="0072154A" w:rsidP="007E044D">
            <w:pPr>
              <w:pStyle w:val="ListParagraph"/>
              <w:numPr>
                <w:ilvl w:val="0"/>
                <w:numId w:val="4"/>
              </w:numPr>
              <w:ind w:left="714" w:hanging="357"/>
              <w:rPr>
                <w:rStyle w:val="Hyperlink"/>
                <w:rFonts w:ascii="Times New Roman" w:hAnsi="Times New Roman"/>
                <w:noProof/>
              </w:rPr>
            </w:pPr>
            <w:hyperlink r:id="rId140" w:history="1">
              <w:r w:rsidR="00C34E1C">
                <w:rPr>
                  <w:rStyle w:val="Hyperlink"/>
                  <w:rFonts w:ascii="Times New Roman" w:hAnsi="Times New Roman"/>
                  <w:noProof/>
                </w:rPr>
                <w:t>NEWTRAL</w:t>
              </w:r>
            </w:hyperlink>
            <w:r w:rsidR="00C34E1C">
              <w:rPr>
                <w:rStyle w:val="Hyperlink"/>
                <w:rFonts w:ascii="Times New Roman" w:hAnsi="Times New Roman"/>
                <w:noProof/>
              </w:rPr>
              <w:t xml:space="preserve"> – First real-time fact-checking tool to fight against the fake news and disinformation (Az első valós idejű tényellenőrző eszköz az álhírek és dezinformáció elleni küzdelemhez)</w:t>
            </w:r>
          </w:p>
          <w:p w14:paraId="113CE5A1" w14:textId="77777777" w:rsidR="005F62F7" w:rsidRPr="000F5848" w:rsidRDefault="0072154A" w:rsidP="007E044D">
            <w:pPr>
              <w:pStyle w:val="ListParagraph"/>
              <w:numPr>
                <w:ilvl w:val="0"/>
                <w:numId w:val="4"/>
              </w:numPr>
              <w:ind w:left="714" w:hanging="357"/>
              <w:rPr>
                <w:rStyle w:val="Hyperlink"/>
                <w:rFonts w:ascii="Times New Roman" w:hAnsi="Times New Roman"/>
                <w:noProof/>
              </w:rPr>
            </w:pPr>
            <w:hyperlink r:id="rId141" w:history="1">
              <w:r w:rsidR="00C34E1C">
                <w:rPr>
                  <w:rStyle w:val="Hyperlink"/>
                  <w:rFonts w:ascii="Times New Roman" w:hAnsi="Times New Roman"/>
                  <w:noProof/>
                </w:rPr>
                <w:t>Factmata</w:t>
              </w:r>
            </w:hyperlink>
            <w:r w:rsidR="00C34E1C">
              <w:rPr>
                <w:rStyle w:val="Hyperlink"/>
                <w:rFonts w:ascii="Times New Roman" w:hAnsi="Times New Roman"/>
                <w:noProof/>
              </w:rPr>
              <w:t xml:space="preserve"> – A SCORING SYSTEM FOR ONLINE CONTENT (Az online tartalmak pontozási rendszere)</w:t>
            </w:r>
          </w:p>
          <w:p w14:paraId="684215E5" w14:textId="77777777" w:rsidR="005F62F7" w:rsidRPr="000F5848" w:rsidRDefault="0072154A" w:rsidP="007E044D">
            <w:pPr>
              <w:pStyle w:val="ListParagraph"/>
              <w:numPr>
                <w:ilvl w:val="0"/>
                <w:numId w:val="4"/>
              </w:numPr>
              <w:ind w:left="714" w:hanging="357"/>
              <w:rPr>
                <w:rStyle w:val="Hyperlink"/>
                <w:rFonts w:ascii="Times New Roman" w:hAnsi="Times New Roman"/>
                <w:noProof/>
              </w:rPr>
            </w:pPr>
            <w:hyperlink r:id="rId142" w:history="1">
              <w:r w:rsidR="00C34E1C">
                <w:rPr>
                  <w:rStyle w:val="Hyperlink"/>
                  <w:rFonts w:ascii="Times New Roman" w:hAnsi="Times New Roman"/>
                  <w:noProof/>
                </w:rPr>
                <w:t>DYNNET</w:t>
              </w:r>
            </w:hyperlink>
            <w:r w:rsidR="00C34E1C">
              <w:rPr>
                <w:rStyle w:val="Hyperlink"/>
                <w:rFonts w:ascii="Times New Roman" w:hAnsi="Times New Roman"/>
                <w:noProof/>
              </w:rPr>
              <w:t xml:space="preserve"> – Opinion Dynamics (Véleménydinamika) </w:t>
            </w:r>
          </w:p>
          <w:p w14:paraId="4A4EEC2D" w14:textId="77777777" w:rsidR="005F62F7" w:rsidRPr="000F5848" w:rsidRDefault="0072154A" w:rsidP="007E044D">
            <w:pPr>
              <w:pStyle w:val="ListParagraph"/>
              <w:numPr>
                <w:ilvl w:val="0"/>
                <w:numId w:val="4"/>
              </w:numPr>
              <w:ind w:left="714" w:hanging="357"/>
              <w:rPr>
                <w:rStyle w:val="Hyperlink"/>
                <w:rFonts w:ascii="Times New Roman" w:hAnsi="Times New Roman"/>
                <w:noProof/>
              </w:rPr>
            </w:pPr>
            <w:hyperlink r:id="rId143" w:history="1">
              <w:r w:rsidR="00C34E1C">
                <w:rPr>
                  <w:rStyle w:val="Hyperlink"/>
                  <w:rFonts w:ascii="Times New Roman" w:hAnsi="Times New Roman"/>
                  <w:noProof/>
                </w:rPr>
                <w:t>GoodNews</w:t>
              </w:r>
            </w:hyperlink>
            <w:r w:rsidR="00C34E1C">
              <w:rPr>
                <w:rStyle w:val="Hyperlink"/>
                <w:rFonts w:ascii="Times New Roman" w:hAnsi="Times New Roman"/>
                <w:noProof/>
              </w:rPr>
              <w:t xml:space="preserve"> – Fake news detection in social networks using geometric deep learning (Álhírek felismerése a közösségi oldalakon geometrikus deep learning alkalmazásával)</w:t>
            </w:r>
          </w:p>
          <w:p w14:paraId="50C74919" w14:textId="3789804E" w:rsidR="005F62F7" w:rsidRPr="000F5848" w:rsidRDefault="0072154A" w:rsidP="007E044D">
            <w:pPr>
              <w:pStyle w:val="ListParagraph"/>
              <w:numPr>
                <w:ilvl w:val="0"/>
                <w:numId w:val="4"/>
              </w:numPr>
              <w:ind w:left="714" w:hanging="357"/>
              <w:rPr>
                <w:rStyle w:val="Hyperlink"/>
                <w:rFonts w:ascii="Times New Roman" w:hAnsi="Times New Roman"/>
                <w:noProof/>
              </w:rPr>
            </w:pPr>
            <w:hyperlink r:id="rId144" w:history="1">
              <w:r w:rsidR="00C34E1C">
                <w:rPr>
                  <w:rStyle w:val="Hyperlink"/>
                  <w:rFonts w:ascii="Times New Roman" w:hAnsi="Times New Roman"/>
                  <w:noProof/>
                </w:rPr>
                <w:t>AI4Dignity</w:t>
              </w:r>
            </w:hyperlink>
            <w:r w:rsidR="00C34E1C">
              <w:rPr>
                <w:rStyle w:val="Hyperlink"/>
                <w:rFonts w:ascii="Times New Roman" w:hAnsi="Times New Roman"/>
                <w:noProof/>
              </w:rPr>
              <w:t xml:space="preserve"> – Collaborative AI Counters Hate (Kollaboratív mesterséges intelligencia a gyűlölet ellen)</w:t>
            </w:r>
          </w:p>
          <w:p w14:paraId="415F93C2" w14:textId="77777777" w:rsidR="008A1AAB" w:rsidRDefault="008A1AAB" w:rsidP="005F62F7">
            <w:pPr>
              <w:spacing w:after="0"/>
              <w:rPr>
                <w:noProof/>
              </w:rPr>
            </w:pPr>
          </w:p>
          <w:p w14:paraId="76B4E977" w14:textId="7A94793E" w:rsidR="005F62F7" w:rsidRPr="000F5848" w:rsidRDefault="005F62F7" w:rsidP="005F62F7">
            <w:pPr>
              <w:spacing w:after="0"/>
              <w:rPr>
                <w:noProof/>
              </w:rPr>
            </w:pPr>
            <w:r>
              <w:rPr>
                <w:noProof/>
              </w:rPr>
              <w:t xml:space="preserve">A civil társadalom, a médiaipar és más szakemberek számára kapacitásépítési tevékenységeket biztosító Horizont 2020 projektek közé tartoznak a következők: </w:t>
            </w:r>
          </w:p>
          <w:p w14:paraId="24A17618" w14:textId="38AD9835" w:rsidR="005F62F7" w:rsidRPr="000F5848" w:rsidRDefault="0072154A" w:rsidP="007D348D">
            <w:pPr>
              <w:pStyle w:val="ListParagraph"/>
              <w:numPr>
                <w:ilvl w:val="0"/>
                <w:numId w:val="38"/>
              </w:numPr>
              <w:rPr>
                <w:rStyle w:val="Hyperlink"/>
                <w:rFonts w:ascii="Times New Roman" w:hAnsi="Times New Roman"/>
                <w:noProof/>
              </w:rPr>
            </w:pPr>
            <w:hyperlink r:id="rId145">
              <w:r w:rsidR="00C34E1C">
                <w:rPr>
                  <w:rStyle w:val="Hyperlink"/>
                  <w:rFonts w:ascii="Times New Roman" w:hAnsi="Times New Roman"/>
                  <w:noProof/>
                </w:rPr>
                <w:t>EU-HYBNET – A hibrid típusú fenyegetésekkel szembeni páneurópai hálózat megerősítése (euhybnet.eu)</w:t>
              </w:r>
            </w:hyperlink>
            <w:r w:rsidR="00C34E1C">
              <w:rPr>
                <w:rStyle w:val="Hyperlink"/>
                <w:rFonts w:ascii="Times New Roman" w:hAnsi="Times New Roman"/>
                <w:noProof/>
              </w:rPr>
              <w:t>, a Horizont 2020 által finanszírozott hálózat</w:t>
            </w:r>
          </w:p>
          <w:p w14:paraId="41D210DE" w14:textId="77777777" w:rsidR="005F62F7" w:rsidRPr="000F5848" w:rsidRDefault="005F62F7" w:rsidP="007D348D">
            <w:pPr>
              <w:pStyle w:val="ListParagraph"/>
              <w:numPr>
                <w:ilvl w:val="0"/>
                <w:numId w:val="38"/>
              </w:numPr>
              <w:rPr>
                <w:rStyle w:val="Hyperlink"/>
                <w:rFonts w:ascii="Times New Roman" w:hAnsi="Times New Roman"/>
                <w:noProof/>
              </w:rPr>
            </w:pPr>
            <w:r>
              <w:rPr>
                <w:rStyle w:val="Hyperlink"/>
                <w:rFonts w:ascii="Times New Roman" w:hAnsi="Times New Roman"/>
                <w:noProof/>
              </w:rPr>
              <w:t xml:space="preserve">Horizont Európa: </w:t>
            </w:r>
            <w:hyperlink r:id="rId146" w:history="1">
              <w:r>
                <w:rPr>
                  <w:rStyle w:val="Hyperlink"/>
                  <w:rFonts w:ascii="Times New Roman" w:hAnsi="Times New Roman"/>
                  <w:noProof/>
                </w:rPr>
                <w:t>A külföldi információmanipuláció és beavatkozás észlelése, elemzése és leküzdése (europa.eu)</w:t>
              </w:r>
            </w:hyperlink>
            <w:r>
              <w:rPr>
                <w:rStyle w:val="Hyperlink"/>
                <w:rFonts w:ascii="Times New Roman" w:hAnsi="Times New Roman"/>
                <w:noProof/>
              </w:rPr>
              <w:t xml:space="preserve"> (ATHENA, ADAC.io, SAUFEX) és </w:t>
            </w:r>
          </w:p>
          <w:p w14:paraId="64FC3724" w14:textId="0E4BD00A" w:rsidR="005F62F7" w:rsidRPr="000F5848" w:rsidRDefault="0072154A" w:rsidP="007D348D">
            <w:pPr>
              <w:pStyle w:val="ListParagraph"/>
              <w:numPr>
                <w:ilvl w:val="0"/>
                <w:numId w:val="38"/>
              </w:numPr>
              <w:rPr>
                <w:rFonts w:ascii="Times New Roman" w:hAnsi="Times New Roman"/>
                <w:noProof/>
              </w:rPr>
            </w:pPr>
            <w:hyperlink r:id="rId147" w:history="1">
              <w:r w:rsidR="00C34E1C">
                <w:rPr>
                  <w:rStyle w:val="Hyperlink"/>
                  <w:rFonts w:ascii="Times New Roman" w:hAnsi="Times New Roman"/>
                  <w:noProof/>
                </w:rPr>
                <w:t xml:space="preserve">A külföldi információmanipuláció és beavatkozás példájaként az állami hatóságok általi információelnyomás jobb megértésének fejlesztése (europa.eu) </w:t>
              </w:r>
            </w:hyperlink>
            <w:r w:rsidR="00C34E1C">
              <w:rPr>
                <w:rFonts w:ascii="Times New Roman" w:hAnsi="Times New Roman"/>
                <w:noProof/>
              </w:rPr>
              <w:t>(RESONANT, ARM, DE-CONSPIRATOR)</w:t>
            </w:r>
          </w:p>
          <w:p w14:paraId="53BA4C11" w14:textId="6FC48326" w:rsidR="00470552" w:rsidRPr="008A1AAB" w:rsidRDefault="00470552" w:rsidP="008A1AAB">
            <w:pPr>
              <w:pStyle w:val="ListParagraph"/>
              <w:rPr>
                <w:noProof/>
              </w:rPr>
            </w:pPr>
          </w:p>
        </w:tc>
      </w:tr>
      <w:tr w:rsidR="00470552" w:rsidRPr="00CA5190" w14:paraId="2B65A837" w14:textId="77777777" w:rsidTr="00E664BF">
        <w:trPr>
          <w:trHeight w:val="693"/>
          <w:jc w:val="center"/>
        </w:trPr>
        <w:tc>
          <w:tcPr>
            <w:tcW w:w="2122" w:type="dxa"/>
            <w:vMerge/>
          </w:tcPr>
          <w:p w14:paraId="352AF99E" w14:textId="77777777" w:rsidR="00470552" w:rsidRPr="000F5848" w:rsidRDefault="00470552">
            <w:pPr>
              <w:spacing w:after="0"/>
              <w:rPr>
                <w:b/>
                <w:bCs/>
                <w:i/>
                <w:iCs/>
                <w:noProof/>
              </w:rPr>
            </w:pPr>
          </w:p>
        </w:tc>
        <w:tc>
          <w:tcPr>
            <w:tcW w:w="2409" w:type="dxa"/>
            <w:tcBorders>
              <w:top w:val="single" w:sz="4" w:space="0" w:color="auto"/>
              <w:left w:val="single" w:sz="4" w:space="0" w:color="auto"/>
              <w:bottom w:val="single" w:sz="4" w:space="0" w:color="auto"/>
              <w:right w:val="single" w:sz="4" w:space="0" w:color="auto"/>
            </w:tcBorders>
          </w:tcPr>
          <w:p w14:paraId="4CB6E648" w14:textId="77777777" w:rsidR="00470552" w:rsidRPr="000F5848" w:rsidRDefault="00470552">
            <w:pPr>
              <w:spacing w:after="0"/>
              <w:rPr>
                <w:i/>
                <w:iCs/>
                <w:noProof/>
              </w:rPr>
            </w:pPr>
            <w:r>
              <w:rPr>
                <w:i/>
                <w:noProof/>
              </w:rPr>
              <w:t xml:space="preserve">A – többek között civil szervezetek által indított – </w:t>
            </w:r>
            <w:r>
              <w:rPr>
                <w:b/>
                <w:i/>
                <w:noProof/>
              </w:rPr>
              <w:t>médiatudatosság előmozdítását</w:t>
            </w:r>
            <w:r>
              <w:rPr>
                <w:i/>
                <w:noProof/>
              </w:rPr>
              <w:t xml:space="preserve"> </w:t>
            </w:r>
            <w:r>
              <w:rPr>
                <w:b/>
                <w:i/>
                <w:noProof/>
              </w:rPr>
              <w:t>és a polgároknak szóló, dezinformáció felismerését segítő kezdeményezések támogatásának és finanszírozásának növelése és</w:t>
            </w:r>
            <w:r>
              <w:rPr>
                <w:i/>
                <w:noProof/>
              </w:rPr>
              <w:t xml:space="preserve"> </w:t>
            </w:r>
            <w:r>
              <w:rPr>
                <w:b/>
                <w:i/>
                <w:noProof/>
              </w:rPr>
              <w:t>diverzifikálása</w:t>
            </w:r>
            <w:r>
              <w:rPr>
                <w:i/>
                <w:noProof/>
              </w:rPr>
              <w:t xml:space="preserve"> az EU-n belül és kívül</w:t>
            </w:r>
          </w:p>
          <w:p w14:paraId="1FAD47BA" w14:textId="77777777" w:rsidR="00470552" w:rsidRPr="000F5848" w:rsidRDefault="00470552">
            <w:pPr>
              <w:spacing w:after="0"/>
              <w:rPr>
                <w:i/>
                <w:noProof/>
              </w:rPr>
            </w:pPr>
          </w:p>
        </w:tc>
        <w:tc>
          <w:tcPr>
            <w:tcW w:w="9956" w:type="dxa"/>
            <w:tcBorders>
              <w:top w:val="single" w:sz="4" w:space="0" w:color="auto"/>
              <w:left w:val="single" w:sz="4" w:space="0" w:color="auto"/>
              <w:bottom w:val="single" w:sz="4" w:space="0" w:color="auto"/>
              <w:right w:val="single" w:sz="4" w:space="0" w:color="auto"/>
            </w:tcBorders>
          </w:tcPr>
          <w:p w14:paraId="55A56FCE" w14:textId="5C493555" w:rsidR="00470552" w:rsidRPr="000F5848" w:rsidRDefault="00470552">
            <w:pPr>
              <w:spacing w:after="120"/>
              <w:rPr>
                <w:noProof/>
              </w:rPr>
            </w:pPr>
            <w:r>
              <w:rPr>
                <w:b/>
                <w:noProof/>
              </w:rPr>
              <w:t>A Kreatív Európa program</w:t>
            </w:r>
            <w:r>
              <w:rPr>
                <w:noProof/>
              </w:rPr>
              <w:t xml:space="preserve"> elsősorban az ÁGAZATKÖZI ág keretében </w:t>
            </w:r>
            <w:r>
              <w:rPr>
                <w:b/>
                <w:noProof/>
              </w:rPr>
              <w:t>támogatja a médiaműveltség előmozdítását</w:t>
            </w:r>
            <w:r>
              <w:rPr>
                <w:noProof/>
              </w:rPr>
              <w:t xml:space="preserve">. </w:t>
            </w:r>
          </w:p>
          <w:p w14:paraId="46BF0562" w14:textId="0F52EAB3" w:rsidR="00470552" w:rsidRPr="000F5848" w:rsidRDefault="00470552">
            <w:pPr>
              <w:spacing w:after="120"/>
              <w:rPr>
                <w:noProof/>
              </w:rPr>
            </w:pPr>
            <w:r>
              <w:rPr>
                <w:noProof/>
              </w:rPr>
              <w:t xml:space="preserve">A </w:t>
            </w:r>
            <w:r>
              <w:rPr>
                <w:b/>
                <w:noProof/>
              </w:rPr>
              <w:t>Kreatív Európa program keretében megvalósuló médiaműveltségi program</w:t>
            </w:r>
            <w:r>
              <w:rPr>
                <w:noProof/>
              </w:rPr>
              <w:t xml:space="preserve"> célja, hogy lehetővé tegye a polgárok számára a média kritikai megértését és használatát. E célból a médiaműveltséggel kapcsolatos intézkedések ösztönzik a médiaműveltséggel kapcsolatos szakpolitikákkal és gyakorlatokkal kapcsolatos tudásmegosztást és -cserét. A támogatás célja innovatív, határokon átnyúló médiatudatossági kezdeményezések és közösségek kialakítása Európa-szerte, a digitális média folyamatosan változó környezetében és figyelembe véve a különböző korcsoportok jelenlegi felhasználói magatartását. Ez párhuzamosan zajlik a hírmédia számára az ágazatot érintő strukturális és technológiai változásokhoz való alkalmazkodáshoz nyújtott támogatással.</w:t>
            </w:r>
          </w:p>
          <w:p w14:paraId="293E4862" w14:textId="77777777" w:rsidR="00470552" w:rsidRPr="000F5848" w:rsidRDefault="00470552">
            <w:pPr>
              <w:spacing w:after="120"/>
              <w:rPr>
                <w:noProof/>
              </w:rPr>
            </w:pPr>
            <w:r>
              <w:rPr>
                <w:noProof/>
              </w:rPr>
              <w:t>2022. december 19-én a Bizottság 990,500 EUR összegű pályázati felhívást tett közzé az</w:t>
            </w:r>
            <w:r>
              <w:rPr>
                <w:b/>
                <w:noProof/>
              </w:rPr>
              <w:t xml:space="preserve"> Európai Újságírói és Médiainformációs Fesztiválra </w:t>
            </w:r>
            <w:r>
              <w:rPr>
                <w:noProof/>
              </w:rPr>
              <w:t>vonatkozóan, amelynek célja az újságírók, a médiaorgánumok, köztük a közszolgálati média, a civil társadalmi szervezetek és a médiaműveltséggel foglalkozó szakemberek közötti párbeszéd, együttműködés és partnerség megerősítése az EU-ban. Különös figyelmet fordítanak majd a fiatalokra, köztük az újságíró diákokra, az emberekre és a közösségi médiára.</w:t>
            </w:r>
          </w:p>
          <w:p w14:paraId="556BB1E4" w14:textId="77777777" w:rsidR="00470552" w:rsidRPr="000F5848" w:rsidRDefault="00470552">
            <w:pPr>
              <w:spacing w:after="120"/>
              <w:rPr>
                <w:noProof/>
              </w:rPr>
            </w:pPr>
            <w:r>
              <w:rPr>
                <w:noProof/>
              </w:rPr>
              <w:t xml:space="preserve">A </w:t>
            </w:r>
            <w:r>
              <w:rPr>
                <w:b/>
                <w:noProof/>
              </w:rPr>
              <w:t>médiaműveltséggel foglalkozó szakértői csoport</w:t>
            </w:r>
            <w:r>
              <w:rPr>
                <w:noProof/>
              </w:rPr>
              <w:t xml:space="preserve"> Európa-szerte folytatja a médiaműveltséggel kapcsolatos kezdeményezések megvitatását, tudatosítását és terjesztését. A csoport hivatalosan évente kétszer találkozik. </w:t>
            </w:r>
          </w:p>
          <w:p w14:paraId="1F944CF3" w14:textId="77777777" w:rsidR="00470552" w:rsidRPr="000F5848" w:rsidRDefault="00470552">
            <w:pPr>
              <w:spacing w:after="120"/>
              <w:rPr>
                <w:noProof/>
              </w:rPr>
            </w:pPr>
            <w:r>
              <w:rPr>
                <w:noProof/>
              </w:rPr>
              <w:t xml:space="preserve">További finanszírozás áll rendelkezésre az </w:t>
            </w:r>
            <w:r>
              <w:rPr>
                <w:b/>
                <w:noProof/>
              </w:rPr>
              <w:t>Erasmus+</w:t>
            </w:r>
            <w:r>
              <w:rPr>
                <w:noProof/>
              </w:rPr>
              <w:t xml:space="preserve"> programon (azaz 2021-ben 387, a médiaműveltséggel és a dezinformáció kezelésével foglalkozó projektet választottak ki finanszírozásra), valamint az </w:t>
            </w:r>
            <w:r>
              <w:rPr>
                <w:b/>
                <w:noProof/>
              </w:rPr>
              <w:t>Európai Szolidaritási Testületen</w:t>
            </w:r>
            <w:r>
              <w:rPr>
                <w:noProof/>
              </w:rPr>
              <w:t xml:space="preserve"> keresztül is (azaz 46, a médiaműveltséggel és a dezinformáció kezelésével foglalkozó projektet és további 39 digitális biztonsággal foglalkozó projektet finanszíroztak 2021–2022-ben).</w:t>
            </w:r>
          </w:p>
          <w:p w14:paraId="1758C6F1" w14:textId="77777777" w:rsidR="00470552" w:rsidRPr="000F5848" w:rsidRDefault="00470552">
            <w:pPr>
              <w:spacing w:after="120"/>
              <w:rPr>
                <w:noProof/>
                <w:color w:val="333333"/>
              </w:rPr>
            </w:pPr>
            <w:r>
              <w:rPr>
                <w:noProof/>
                <w:color w:val="333333"/>
              </w:rPr>
              <w:t xml:space="preserve">Az AKCS-országok kulturális és kreatív ágazatait támogató </w:t>
            </w:r>
            <w:r>
              <w:rPr>
                <w:b/>
                <w:noProof/>
                <w:color w:val="333333"/>
              </w:rPr>
              <w:t>AKCS–EU Kultúra program</w:t>
            </w:r>
            <w:r>
              <w:rPr>
                <w:noProof/>
                <w:color w:val="333333"/>
              </w:rPr>
              <w:t xml:space="preserve"> (40 millió EUR) célja többek között számos olyan átfogó társadalmi kérdés előmozdítása, mint a vizuális jártasság és az oktatás kulturális alapú megközelítése. Azáltal, hogy lépcsőzetes ösztöndíjakat nyújt, hozzájárul a fiatalok kritikus gondolkodásra való neveléséhez és ösztönzéséhez, a valóság és a hamis dolgok közötti különbségtételhez, a polgárság értékeinek előmozdításához, a sztereotípiák megkérdőjelezéséhez és a megkülönböztetés egyéb formáihoz.</w:t>
            </w:r>
          </w:p>
          <w:p w14:paraId="43D4DC06" w14:textId="77777777" w:rsidR="00470552" w:rsidRPr="000F5848" w:rsidRDefault="00470552">
            <w:pPr>
              <w:spacing w:after="120"/>
              <w:rPr>
                <w:noProof/>
              </w:rPr>
            </w:pPr>
            <w:r>
              <w:rPr>
                <w:noProof/>
              </w:rPr>
              <w:t xml:space="preserve">Az </w:t>
            </w:r>
            <w:r>
              <w:rPr>
                <w:b/>
                <w:noProof/>
              </w:rPr>
              <w:t>EU–UNESCO szakértői eszköz</w:t>
            </w:r>
            <w:r>
              <w:rPr>
                <w:noProof/>
              </w:rPr>
              <w:t xml:space="preserve"> szintén a plurális médiát támogatja (pl. az őslakosok hangját a mexikói médiában és rádiókban). Az EU–UNESCO szakértői eszköz új fordulója a kezdeti szakaszban van. </w:t>
            </w:r>
          </w:p>
          <w:p w14:paraId="5FB2CA90" w14:textId="4D39752B" w:rsidR="00470552" w:rsidRPr="000F5848" w:rsidRDefault="4E296415" w:rsidP="4EEDDA6B">
            <w:pPr>
              <w:spacing w:after="120"/>
              <w:rPr>
                <w:noProof/>
              </w:rPr>
            </w:pPr>
            <w:r>
              <w:rPr>
                <w:noProof/>
              </w:rPr>
              <w:t xml:space="preserve">A </w:t>
            </w:r>
            <w:r>
              <w:rPr>
                <w:b/>
                <w:noProof/>
              </w:rPr>
              <w:t>Civil Társadalmi Eszköz és a Médiaprogram</w:t>
            </w:r>
            <w:r>
              <w:rPr>
                <w:noProof/>
              </w:rPr>
              <w:t xml:space="preserve"> számos olyan intézkedést tartalmaz, amelyek célja a médiaműveltség növelése az IPA III kedvezményezettjei körében (példákért lásd fent, például „A délkelet-európai média iránti bizalom kiépítése” projekt). A nemrégiben indított „A mi médiánk: Civil társadalmi fellépés a médiaműveltség és -aktivizmus kialakítása, a polarizáció elleni küzdelem és a párbeszéd előmozdítása érdekében” (1,3 millió EUR; 2023. február – 2025. január) projekt a médiaszakemberek és az önszabályozók, valamint a fiatalok médiaszabadsággal kapcsolatos aktivizmusba való bevonása révén továbbra segíti a média- és információműveltség fokozását.</w:t>
            </w:r>
          </w:p>
          <w:p w14:paraId="0634B41B" w14:textId="3DB5A749" w:rsidR="1C9EB304" w:rsidRPr="000F5848" w:rsidRDefault="00DD20CD" w:rsidP="00137BE3">
            <w:pPr>
              <w:spacing w:after="120"/>
              <w:rPr>
                <w:noProof/>
              </w:rPr>
            </w:pPr>
            <w:r>
              <w:rPr>
                <w:noProof/>
              </w:rPr>
              <w:t xml:space="preserve">A </w:t>
            </w:r>
            <w:r>
              <w:rPr>
                <w:b/>
                <w:noProof/>
              </w:rPr>
              <w:t>déli szomszédságban</w:t>
            </w:r>
            <w:r>
              <w:rPr>
                <w:noProof/>
              </w:rPr>
              <w:t xml:space="preserve"> 2021-től a délre vonatkozó médiacsomag (15 millió EUR, 2022–2026) átfogó támogatást nyújt a független médiaágazatnak annak biztosítása érdekében, hogy az továbbra is független, plurális és reziliens maradjon, és képes legyen védekezni a jelenlegi fenyegetésekkel szemben és előmozdítani a kritikus polgári gondolkodást. </w:t>
            </w:r>
          </w:p>
          <w:p w14:paraId="666CE32C" w14:textId="4C75761B" w:rsidR="002857DB" w:rsidRPr="000F5848" w:rsidRDefault="6DA32B9F" w:rsidP="002857DB">
            <w:pPr>
              <w:spacing w:after="120"/>
              <w:rPr>
                <w:noProof/>
              </w:rPr>
            </w:pPr>
            <w:r>
              <w:rPr>
                <w:noProof/>
              </w:rPr>
              <w:t>Regionális és várospolitikáján keresztül a Bizottság arra is törekszik, hogy képzési és figyelemfelhívó tevékenységek révén előmozdítsa az újságírást és a médiaműveltséget. Ez a következőket foglalja magában: 1. az újságírást oktató felsőoktatási intézményeknek szóló nyílt online oktatási modul, amely az EU-ra és annak kohéziós politikájára összpontosít; 2. az úgynevezett „</w:t>
            </w:r>
            <w:hyperlink r:id="rId148" w:history="1">
              <w:r>
                <w:rPr>
                  <w:rStyle w:val="Hyperlink"/>
                  <w:noProof/>
                </w:rPr>
                <w:t>EUinMyRegion Media Trips</w:t>
              </w:r>
            </w:hyperlink>
            <w:r>
              <w:rPr>
                <w:noProof/>
              </w:rPr>
              <w:t>” a helyi és regionális újságírók számára, amelyet mintegy 150 újságíró követ; 3. az újságíró hallgatók és fiatal újságírók számára képzést, mentorálást és gyakorlati képzést kínáló program („</w:t>
            </w:r>
            <w:hyperlink r:id="rId149" w:history="1">
              <w:r>
                <w:rPr>
                  <w:rStyle w:val="Hyperlink"/>
                  <w:noProof/>
                </w:rPr>
                <w:t>Youth4Regions</w:t>
              </w:r>
            </w:hyperlink>
            <w:r>
              <w:rPr>
                <w:noProof/>
              </w:rPr>
              <w:t>”); valamint 4. egy 7 millió EUR-s külön költségvetési sor az uniós kohéziós politikára vonatkozó tájékoztatási intézkedések keretében, amely 12 hónapos tájékoztatási és kommunikációs tevékenységeket finanszíroz az uniós kohéziós politika által a polgárok életében képviselt hozzáadott értékről. Eddig több mint 150 szervezet kapott támogatást ahhoz, hogy kommunikációs tevékenységeik több millió embert érjenek el sajtón, televízión és rádión, rendezvényeken és online platformokon keresztül 25 tagállamban.</w:t>
            </w:r>
          </w:p>
          <w:p w14:paraId="13D0FC2D" w14:textId="31B04A24" w:rsidR="00470552" w:rsidRPr="000F5848" w:rsidRDefault="0765E352" w:rsidP="00DC04B8">
            <w:pPr>
              <w:spacing w:after="120"/>
              <w:rPr>
                <w:noProof/>
              </w:rPr>
            </w:pPr>
            <w:r>
              <w:rPr>
                <w:noProof/>
              </w:rPr>
              <w:t>Az NDICI gyorsreagálási pillére több mint 50 millió EUR-t mozgósított a civil társadalom és a média támogatására világszerte, többek között a Nyugat-Balkánon, a keleti és déli szomszédságban, Közép-Ázsiában és Afrikában, az információs környezet és általában véve a társadalmak dezinformációval szembeni rezilienciájának megerősítése érdekében (tényellenőrzés, a független és oknyomozó újságírás támogatása révén).</w:t>
            </w:r>
          </w:p>
          <w:p w14:paraId="21B4AD36" w14:textId="1F9CB423" w:rsidR="00470552" w:rsidRPr="008A1AAB" w:rsidRDefault="0765E352" w:rsidP="4EEDDA6B">
            <w:pPr>
              <w:spacing w:after="120"/>
              <w:rPr>
                <w:noProof/>
              </w:rPr>
            </w:pPr>
            <w:r>
              <w:rPr>
                <w:noProof/>
              </w:rPr>
              <w:t>Az előző többéves pénzügyi keret/a stabilitáshoz hozzájáruló eszköz keretében létrehozott sikeres kezdeményezés még folyamatban van. Az UNESCO-val létrehozott partnerség (Social Media for Peace) innovatív megoldásként a több érdekelt felet tömörítő nemzeti szereplőkre összpontosít a tartalommoderálási problémák globális, regionális és nemzeti szintű kezelésére, valamint a szabályozók, a platformok és a civil társadalmak közötti szakadék áthidalására.</w:t>
            </w:r>
          </w:p>
        </w:tc>
      </w:tr>
    </w:tbl>
    <w:p w14:paraId="7F46AB32" w14:textId="55018CC0" w:rsidR="00C5064B" w:rsidRPr="00545A82" w:rsidRDefault="00C5064B">
      <w:pPr>
        <w:rPr>
          <w:rFonts w:ascii="Times New Roman" w:hAnsi="Times New Roman" w:cs="Times New Roman"/>
          <w:noProof/>
        </w:rPr>
      </w:pPr>
    </w:p>
    <w:sectPr w:rsidR="00C5064B" w:rsidRPr="00545A82" w:rsidSect="00C8391B">
      <w:headerReference w:type="even" r:id="rId150"/>
      <w:headerReference w:type="default" r:id="rId151"/>
      <w:footerReference w:type="even" r:id="rId152"/>
      <w:footerReference w:type="default" r:id="rId153"/>
      <w:headerReference w:type="first" r:id="rId154"/>
      <w:footerReference w:type="first" r:id="rId155"/>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05C14" w14:textId="77777777" w:rsidR="00971A7C" w:rsidRDefault="00971A7C" w:rsidP="00B57580">
      <w:pPr>
        <w:spacing w:after="0" w:line="240" w:lineRule="auto"/>
      </w:pPr>
      <w:r>
        <w:separator/>
      </w:r>
    </w:p>
  </w:endnote>
  <w:endnote w:type="continuationSeparator" w:id="0">
    <w:p w14:paraId="4D1AC0E7" w14:textId="77777777" w:rsidR="00971A7C" w:rsidRDefault="00971A7C" w:rsidP="00B57580">
      <w:pPr>
        <w:spacing w:after="0" w:line="240" w:lineRule="auto"/>
      </w:pPr>
      <w:r>
        <w:continuationSeparator/>
      </w:r>
    </w:p>
  </w:endnote>
  <w:endnote w:type="continuationNotice" w:id="1">
    <w:p w14:paraId="0F26926C" w14:textId="77777777" w:rsidR="00971A7C" w:rsidRDefault="00971A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6110D" w14:textId="52291895" w:rsidR="0072154A" w:rsidRPr="0072154A" w:rsidRDefault="0072154A" w:rsidP="0072154A">
    <w:pPr>
      <w:pStyle w:val="FooterCoverPage"/>
      <w:rPr>
        <w:rFonts w:ascii="Arial" w:hAnsi="Arial" w:cs="Arial"/>
        <w:b/>
        <w:sz w:val="48"/>
      </w:rPr>
    </w:pPr>
    <w:r w:rsidRPr="0072154A">
      <w:rPr>
        <w:rFonts w:ascii="Arial" w:hAnsi="Arial" w:cs="Arial"/>
        <w:b/>
        <w:sz w:val="48"/>
      </w:rPr>
      <w:t>HU</w:t>
    </w:r>
    <w:r w:rsidRPr="0072154A">
      <w:rPr>
        <w:rFonts w:ascii="Arial" w:hAnsi="Arial" w:cs="Arial"/>
        <w:b/>
        <w:sz w:val="48"/>
      </w:rPr>
      <w:tab/>
    </w:r>
    <w:r w:rsidRPr="0072154A">
      <w:rPr>
        <w:rFonts w:ascii="Arial" w:hAnsi="Arial" w:cs="Arial"/>
        <w:b/>
        <w:sz w:val="48"/>
      </w:rPr>
      <w:tab/>
    </w:r>
    <w:r w:rsidRPr="0072154A">
      <w:tab/>
    </w:r>
    <w:r w:rsidRPr="0072154A">
      <w:rPr>
        <w:rFonts w:ascii="Arial" w:hAnsi="Arial" w:cs="Arial"/>
        <w:b/>
        <w:sz w:val="48"/>
      </w:rPr>
      <w:t>HU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B7252" w14:textId="2B546A99" w:rsidR="0072154A" w:rsidRPr="0072154A" w:rsidRDefault="0072154A" w:rsidP="0072154A">
    <w:pPr>
      <w:pStyle w:val="FooterCoverPage"/>
      <w:rPr>
        <w:rFonts w:ascii="Arial" w:hAnsi="Arial" w:cs="Arial"/>
        <w:b/>
        <w:sz w:val="48"/>
      </w:rPr>
    </w:pPr>
    <w:r w:rsidRPr="0072154A">
      <w:rPr>
        <w:rFonts w:ascii="Arial" w:hAnsi="Arial" w:cs="Arial"/>
        <w:b/>
        <w:sz w:val="48"/>
      </w:rPr>
      <w:t>HU</w:t>
    </w:r>
    <w:r w:rsidRPr="0072154A">
      <w:rPr>
        <w:rFonts w:ascii="Arial" w:hAnsi="Arial" w:cs="Arial"/>
        <w:b/>
        <w:sz w:val="48"/>
      </w:rPr>
      <w:tab/>
    </w:r>
    <w:r w:rsidRPr="0072154A">
      <w:rPr>
        <w:rFonts w:ascii="Arial" w:hAnsi="Arial" w:cs="Arial"/>
        <w:b/>
        <w:sz w:val="48"/>
      </w:rPr>
      <w:tab/>
    </w:r>
    <w:r w:rsidRPr="0072154A">
      <w:tab/>
    </w:r>
    <w:r w:rsidRPr="0072154A">
      <w:rPr>
        <w:rFonts w:ascii="Arial" w:hAnsi="Arial" w:cs="Arial"/>
        <w:b/>
        <w:sz w:val="48"/>
      </w:rPr>
      <w:t>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4420C" w14:textId="77777777" w:rsidR="0072154A" w:rsidRPr="0072154A" w:rsidRDefault="0072154A" w:rsidP="0072154A">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3688C" w14:textId="77777777" w:rsidR="00B55FE4" w:rsidRPr="00C838A1" w:rsidRDefault="00B55FE4" w:rsidP="00C838A1">
    <w:pPr>
      <w:pStyle w:val="FooterCoverPage"/>
      <w:rPr>
        <w:rFonts w:ascii="Arial" w:hAnsi="Arial" w:cs="Arial"/>
        <w:b/>
        <w:sz w:val="48"/>
      </w:rPr>
    </w:pPr>
    <w:r>
      <w:rPr>
        <w:rFonts w:ascii="Arial" w:hAnsi="Arial"/>
        <w:b/>
        <w:sz w:val="48"/>
      </w:rPr>
      <w:t>HU</w:t>
    </w:r>
    <w:r>
      <w:rPr>
        <w:rFonts w:ascii="Arial" w:hAnsi="Arial"/>
        <w:b/>
        <w:sz w:val="48"/>
      </w:rPr>
      <w:tab/>
    </w:r>
    <w:r>
      <w:rPr>
        <w:rFonts w:ascii="Arial" w:hAnsi="Arial"/>
        <w:b/>
        <w:sz w:val="48"/>
      </w:rPr>
      <w:tab/>
    </w:r>
    <w:r>
      <w:tab/>
    </w:r>
    <w:r>
      <w:rPr>
        <w:rFonts w:ascii="Arial" w:hAnsi="Arial"/>
        <w:b/>
        <w:sz w:val="48"/>
      </w:rPr>
      <w:t>HU</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116575"/>
      <w:docPartObj>
        <w:docPartGallery w:val="Page Numbers (Bottom of Page)"/>
        <w:docPartUnique/>
      </w:docPartObj>
    </w:sdtPr>
    <w:sdtEndPr>
      <w:rPr>
        <w:noProof/>
      </w:rPr>
    </w:sdtEndPr>
    <w:sdtContent>
      <w:p w14:paraId="2C896B39" w14:textId="43112069" w:rsidR="00CB29BB" w:rsidRDefault="00A02B81">
        <w:pPr>
          <w:pStyle w:val="Footer"/>
          <w:jc w:val="center"/>
        </w:pPr>
        <w:r>
          <w:fldChar w:fldCharType="begin"/>
        </w:r>
        <w:r>
          <w:instrText xml:space="preserve"> PAGE   \* MERGEFORMAT </w:instrText>
        </w:r>
        <w:r>
          <w:fldChar w:fldCharType="separate"/>
        </w:r>
        <w:r w:rsidR="0072154A">
          <w:rPr>
            <w:noProof/>
          </w:rPr>
          <w:t>2</w:t>
        </w:r>
        <w:r>
          <w:fldChar w:fldCharType="end"/>
        </w:r>
      </w:p>
    </w:sdtContent>
  </w:sdt>
  <w:p w14:paraId="2EE33396" w14:textId="77777777" w:rsidR="00CB29BB" w:rsidRDefault="00CB29B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4216D" w14:textId="77777777" w:rsidR="00B55FE4" w:rsidRDefault="00B55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B5869" w14:textId="77777777" w:rsidR="00971A7C" w:rsidRDefault="00971A7C" w:rsidP="00B57580">
      <w:pPr>
        <w:spacing w:after="0" w:line="240" w:lineRule="auto"/>
      </w:pPr>
      <w:r>
        <w:separator/>
      </w:r>
    </w:p>
  </w:footnote>
  <w:footnote w:type="continuationSeparator" w:id="0">
    <w:p w14:paraId="6CE6309E" w14:textId="77777777" w:rsidR="00971A7C" w:rsidRDefault="00971A7C" w:rsidP="00B57580">
      <w:pPr>
        <w:spacing w:after="0" w:line="240" w:lineRule="auto"/>
      </w:pPr>
      <w:r>
        <w:continuationSeparator/>
      </w:r>
    </w:p>
  </w:footnote>
  <w:footnote w:type="continuationNotice" w:id="1">
    <w:p w14:paraId="28CC8BAA" w14:textId="77777777" w:rsidR="00971A7C" w:rsidRDefault="00971A7C">
      <w:pPr>
        <w:spacing w:after="0" w:line="240" w:lineRule="auto"/>
      </w:pPr>
    </w:p>
  </w:footnote>
  <w:footnote w:id="2">
    <w:p w14:paraId="09D0DBB5" w14:textId="77777777" w:rsidR="00470552" w:rsidRPr="00BB0718" w:rsidRDefault="00470552" w:rsidP="00470552">
      <w:pPr>
        <w:spacing w:after="0" w:line="240" w:lineRule="auto"/>
        <w:ind w:left="284" w:hanging="284"/>
        <w:jc w:val="both"/>
        <w:rPr>
          <w:rFonts w:ascii="Times New Roman" w:eastAsiaTheme="minorEastAsia"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sz w:val="20"/>
          <w:vertAlign w:val="superscript"/>
        </w:rPr>
        <w:t xml:space="preserve"> </w:t>
      </w:r>
      <w:r>
        <w:rPr>
          <w:rFonts w:ascii="Times New Roman" w:hAnsi="Times New Roman"/>
          <w:sz w:val="20"/>
          <w:vertAlign w:val="superscript"/>
        </w:rPr>
        <w:tab/>
      </w:r>
      <w:r>
        <w:rPr>
          <w:rFonts w:ascii="Times New Roman" w:hAnsi="Times New Roman"/>
          <w:sz w:val="20"/>
        </w:rPr>
        <w:t>A kódexet egy olyan projekt keretében dolgozták ki, amelyben Európa-szerte több mint 30 ország tényellenőrző szervezetei vesznek részt. A kódex végleges változatát a részt vevő 45 szervezet közül 44 hagyta jóvá.</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24F31" w14:textId="77777777" w:rsidR="0072154A" w:rsidRPr="0072154A" w:rsidRDefault="0072154A" w:rsidP="0072154A">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7A1CE" w14:textId="77777777" w:rsidR="0072154A" w:rsidRPr="0072154A" w:rsidRDefault="0072154A" w:rsidP="0072154A">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B98FF" w14:textId="77777777" w:rsidR="0072154A" w:rsidRPr="0072154A" w:rsidRDefault="0072154A" w:rsidP="0072154A">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057DE" w14:textId="77777777" w:rsidR="00B55FE4" w:rsidRDefault="00B55FE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E06B4" w14:textId="77777777" w:rsidR="00B55FE4" w:rsidRDefault="00B55F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E1139" w14:textId="77777777" w:rsidR="00B55FE4" w:rsidRDefault="00B55F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1E6694A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36829AE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71F8B97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A2D4373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2A10353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D08E9F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DFEEA2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ED0EEB2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5A714C8"/>
    <w:multiLevelType w:val="hybridMultilevel"/>
    <w:tmpl w:val="91C8266C"/>
    <w:lvl w:ilvl="0" w:tplc="18090001">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hint="default"/>
      </w:rPr>
    </w:lvl>
    <w:lvl w:ilvl="8" w:tplc="FFFFFFFF">
      <w:start w:val="1"/>
      <w:numFmt w:val="bullet"/>
      <w:lvlText w:val=""/>
      <w:lvlJc w:val="left"/>
      <w:pPr>
        <w:ind w:left="6828" w:hanging="360"/>
      </w:pPr>
      <w:rPr>
        <w:rFonts w:ascii="Wingdings" w:hAnsi="Wingdings" w:hint="default"/>
      </w:rPr>
    </w:lvl>
  </w:abstractNum>
  <w:abstractNum w:abstractNumId="9" w15:restartNumberingAfterBreak="0">
    <w:nsid w:val="067F6E37"/>
    <w:multiLevelType w:val="hybridMultilevel"/>
    <w:tmpl w:val="ED22D7AC"/>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0" w15:restartNumberingAfterBreak="0">
    <w:nsid w:val="09D60372"/>
    <w:multiLevelType w:val="hybridMultilevel"/>
    <w:tmpl w:val="244AA96A"/>
    <w:lvl w:ilvl="0" w:tplc="FFFFFFFF">
      <w:start w:val="1"/>
      <w:numFmt w:val="bullet"/>
      <w:lvlText w:val="-"/>
      <w:lvlJc w:val="left"/>
      <w:pPr>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4996626"/>
    <w:multiLevelType w:val="hybridMultilevel"/>
    <w:tmpl w:val="15884746"/>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3C78B8"/>
    <w:multiLevelType w:val="multilevel"/>
    <w:tmpl w:val="2ED4F4D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15:restartNumberingAfterBreak="0">
    <w:nsid w:val="32AF21DF"/>
    <w:multiLevelType w:val="hybridMultilevel"/>
    <w:tmpl w:val="419EB7B4"/>
    <w:lvl w:ilvl="0" w:tplc="A6661440">
      <w:numFmt w:val="bullet"/>
      <w:lvlText w:val="-"/>
      <w:lvlJc w:val="left"/>
      <w:pPr>
        <w:ind w:left="1113" w:hanging="360"/>
      </w:pPr>
      <w:rPr>
        <w:rFonts w:ascii="Times New Roman" w:eastAsia="Times New Roman" w:hAnsi="Times New Roman" w:cs="Times New Roman" w:hint="default"/>
      </w:rPr>
    </w:lvl>
    <w:lvl w:ilvl="1" w:tplc="18090003" w:tentative="1">
      <w:start w:val="1"/>
      <w:numFmt w:val="bullet"/>
      <w:lvlText w:val="o"/>
      <w:lvlJc w:val="left"/>
      <w:pPr>
        <w:ind w:left="1833" w:hanging="360"/>
      </w:pPr>
      <w:rPr>
        <w:rFonts w:ascii="Courier New" w:hAnsi="Courier New" w:cs="Courier New" w:hint="default"/>
      </w:rPr>
    </w:lvl>
    <w:lvl w:ilvl="2" w:tplc="18090005" w:tentative="1">
      <w:start w:val="1"/>
      <w:numFmt w:val="bullet"/>
      <w:lvlText w:val=""/>
      <w:lvlJc w:val="left"/>
      <w:pPr>
        <w:ind w:left="2553" w:hanging="360"/>
      </w:pPr>
      <w:rPr>
        <w:rFonts w:ascii="Wingdings" w:hAnsi="Wingdings" w:hint="default"/>
      </w:rPr>
    </w:lvl>
    <w:lvl w:ilvl="3" w:tplc="18090001" w:tentative="1">
      <w:start w:val="1"/>
      <w:numFmt w:val="bullet"/>
      <w:lvlText w:val=""/>
      <w:lvlJc w:val="left"/>
      <w:pPr>
        <w:ind w:left="3273" w:hanging="360"/>
      </w:pPr>
      <w:rPr>
        <w:rFonts w:ascii="Symbol" w:hAnsi="Symbol" w:hint="default"/>
      </w:rPr>
    </w:lvl>
    <w:lvl w:ilvl="4" w:tplc="18090003" w:tentative="1">
      <w:start w:val="1"/>
      <w:numFmt w:val="bullet"/>
      <w:lvlText w:val="o"/>
      <w:lvlJc w:val="left"/>
      <w:pPr>
        <w:ind w:left="3993" w:hanging="360"/>
      </w:pPr>
      <w:rPr>
        <w:rFonts w:ascii="Courier New" w:hAnsi="Courier New" w:cs="Courier New" w:hint="default"/>
      </w:rPr>
    </w:lvl>
    <w:lvl w:ilvl="5" w:tplc="18090005" w:tentative="1">
      <w:start w:val="1"/>
      <w:numFmt w:val="bullet"/>
      <w:lvlText w:val=""/>
      <w:lvlJc w:val="left"/>
      <w:pPr>
        <w:ind w:left="4713" w:hanging="360"/>
      </w:pPr>
      <w:rPr>
        <w:rFonts w:ascii="Wingdings" w:hAnsi="Wingdings" w:hint="default"/>
      </w:rPr>
    </w:lvl>
    <w:lvl w:ilvl="6" w:tplc="18090001" w:tentative="1">
      <w:start w:val="1"/>
      <w:numFmt w:val="bullet"/>
      <w:lvlText w:val=""/>
      <w:lvlJc w:val="left"/>
      <w:pPr>
        <w:ind w:left="5433" w:hanging="360"/>
      </w:pPr>
      <w:rPr>
        <w:rFonts w:ascii="Symbol" w:hAnsi="Symbol" w:hint="default"/>
      </w:rPr>
    </w:lvl>
    <w:lvl w:ilvl="7" w:tplc="18090003" w:tentative="1">
      <w:start w:val="1"/>
      <w:numFmt w:val="bullet"/>
      <w:lvlText w:val="o"/>
      <w:lvlJc w:val="left"/>
      <w:pPr>
        <w:ind w:left="6153" w:hanging="360"/>
      </w:pPr>
      <w:rPr>
        <w:rFonts w:ascii="Courier New" w:hAnsi="Courier New" w:cs="Courier New" w:hint="default"/>
      </w:rPr>
    </w:lvl>
    <w:lvl w:ilvl="8" w:tplc="18090005" w:tentative="1">
      <w:start w:val="1"/>
      <w:numFmt w:val="bullet"/>
      <w:lvlText w:val=""/>
      <w:lvlJc w:val="left"/>
      <w:pPr>
        <w:ind w:left="6873" w:hanging="360"/>
      </w:pPr>
      <w:rPr>
        <w:rFonts w:ascii="Wingdings" w:hAnsi="Wingdings" w:hint="default"/>
      </w:rPr>
    </w:lvl>
  </w:abstractNum>
  <w:abstractNum w:abstractNumId="17" w15:restartNumberingAfterBreak="0">
    <w:nsid w:val="42667A20"/>
    <w:multiLevelType w:val="hybridMultilevel"/>
    <w:tmpl w:val="F59893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56B39D68"/>
    <w:multiLevelType w:val="hybridMultilevel"/>
    <w:tmpl w:val="ED020886"/>
    <w:lvl w:ilvl="0" w:tplc="77CEB2B6">
      <w:start w:val="1"/>
      <w:numFmt w:val="bullet"/>
      <w:lvlText w:val=""/>
      <w:lvlJc w:val="left"/>
      <w:pPr>
        <w:ind w:left="720" w:hanging="360"/>
      </w:pPr>
      <w:rPr>
        <w:rFonts w:ascii="Symbol" w:hAnsi="Symbol" w:hint="default"/>
      </w:rPr>
    </w:lvl>
    <w:lvl w:ilvl="1" w:tplc="5DA0316E">
      <w:start w:val="1"/>
      <w:numFmt w:val="bullet"/>
      <w:lvlText w:val="o"/>
      <w:lvlJc w:val="left"/>
      <w:pPr>
        <w:ind w:left="1440" w:hanging="360"/>
      </w:pPr>
      <w:rPr>
        <w:rFonts w:ascii="Courier New" w:hAnsi="Courier New" w:hint="default"/>
      </w:rPr>
    </w:lvl>
    <w:lvl w:ilvl="2" w:tplc="BF7A3FAA">
      <w:start w:val="1"/>
      <w:numFmt w:val="bullet"/>
      <w:lvlText w:val=""/>
      <w:lvlJc w:val="left"/>
      <w:pPr>
        <w:ind w:left="2160" w:hanging="360"/>
      </w:pPr>
      <w:rPr>
        <w:rFonts w:ascii="Wingdings" w:hAnsi="Wingdings" w:hint="default"/>
      </w:rPr>
    </w:lvl>
    <w:lvl w:ilvl="3" w:tplc="C598FADE">
      <w:start w:val="1"/>
      <w:numFmt w:val="bullet"/>
      <w:lvlText w:val=""/>
      <w:lvlJc w:val="left"/>
      <w:pPr>
        <w:ind w:left="2880" w:hanging="360"/>
      </w:pPr>
      <w:rPr>
        <w:rFonts w:ascii="Symbol" w:hAnsi="Symbol" w:hint="default"/>
      </w:rPr>
    </w:lvl>
    <w:lvl w:ilvl="4" w:tplc="B10C8932">
      <w:start w:val="1"/>
      <w:numFmt w:val="bullet"/>
      <w:lvlText w:val="o"/>
      <w:lvlJc w:val="left"/>
      <w:pPr>
        <w:ind w:left="3600" w:hanging="360"/>
      </w:pPr>
      <w:rPr>
        <w:rFonts w:ascii="Courier New" w:hAnsi="Courier New" w:hint="default"/>
      </w:rPr>
    </w:lvl>
    <w:lvl w:ilvl="5" w:tplc="EB4C40FE">
      <w:start w:val="1"/>
      <w:numFmt w:val="bullet"/>
      <w:lvlText w:val=""/>
      <w:lvlJc w:val="left"/>
      <w:pPr>
        <w:ind w:left="4320" w:hanging="360"/>
      </w:pPr>
      <w:rPr>
        <w:rFonts w:ascii="Wingdings" w:hAnsi="Wingdings" w:hint="default"/>
      </w:rPr>
    </w:lvl>
    <w:lvl w:ilvl="6" w:tplc="D1DEEE78">
      <w:start w:val="1"/>
      <w:numFmt w:val="bullet"/>
      <w:lvlText w:val=""/>
      <w:lvlJc w:val="left"/>
      <w:pPr>
        <w:ind w:left="5040" w:hanging="360"/>
      </w:pPr>
      <w:rPr>
        <w:rFonts w:ascii="Symbol" w:hAnsi="Symbol" w:hint="default"/>
      </w:rPr>
    </w:lvl>
    <w:lvl w:ilvl="7" w:tplc="1DCC8C1C">
      <w:start w:val="1"/>
      <w:numFmt w:val="bullet"/>
      <w:lvlText w:val="o"/>
      <w:lvlJc w:val="left"/>
      <w:pPr>
        <w:ind w:left="5760" w:hanging="360"/>
      </w:pPr>
      <w:rPr>
        <w:rFonts w:ascii="Courier New" w:hAnsi="Courier New" w:hint="default"/>
      </w:rPr>
    </w:lvl>
    <w:lvl w:ilvl="8" w:tplc="B0F8BABE">
      <w:start w:val="1"/>
      <w:numFmt w:val="bullet"/>
      <w:lvlText w:val=""/>
      <w:lvlJc w:val="left"/>
      <w:pPr>
        <w:ind w:left="6480" w:hanging="360"/>
      </w:pPr>
      <w:rPr>
        <w:rFonts w:ascii="Wingdings" w:hAnsi="Wingdings" w:hint="default"/>
      </w:rPr>
    </w:lvl>
  </w:abstractNum>
  <w:abstractNum w:abstractNumId="2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15:restartNumberingAfterBreak="0">
    <w:nsid w:val="5EC57CBF"/>
    <w:multiLevelType w:val="hybridMultilevel"/>
    <w:tmpl w:val="87F06F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15:restartNumberingAfterBreak="0">
    <w:nsid w:val="723A2493"/>
    <w:multiLevelType w:val="hybridMultilevel"/>
    <w:tmpl w:val="9FFE5D28"/>
    <w:lvl w:ilvl="0" w:tplc="45BA59DC">
      <w:start w:val="1"/>
      <w:numFmt w:val="bullet"/>
      <w:lvlText w:val="·"/>
      <w:lvlJc w:val="left"/>
      <w:pPr>
        <w:ind w:left="720" w:hanging="360"/>
      </w:pPr>
      <w:rPr>
        <w:rFonts w:ascii="Symbol" w:hAnsi="Symbol" w:hint="default"/>
      </w:rPr>
    </w:lvl>
    <w:lvl w:ilvl="1" w:tplc="C458072A">
      <w:start w:val="1"/>
      <w:numFmt w:val="bullet"/>
      <w:lvlText w:val="o"/>
      <w:lvlJc w:val="left"/>
      <w:pPr>
        <w:ind w:left="1440" w:hanging="360"/>
      </w:pPr>
      <w:rPr>
        <w:rFonts w:ascii="Courier New" w:hAnsi="Courier New" w:hint="default"/>
      </w:rPr>
    </w:lvl>
    <w:lvl w:ilvl="2" w:tplc="44E42B60">
      <w:start w:val="1"/>
      <w:numFmt w:val="bullet"/>
      <w:lvlText w:val=""/>
      <w:lvlJc w:val="left"/>
      <w:pPr>
        <w:ind w:left="2160" w:hanging="360"/>
      </w:pPr>
      <w:rPr>
        <w:rFonts w:ascii="Wingdings" w:hAnsi="Wingdings" w:hint="default"/>
      </w:rPr>
    </w:lvl>
    <w:lvl w:ilvl="3" w:tplc="45D8F388">
      <w:start w:val="1"/>
      <w:numFmt w:val="bullet"/>
      <w:lvlText w:val=""/>
      <w:lvlJc w:val="left"/>
      <w:pPr>
        <w:ind w:left="2880" w:hanging="360"/>
      </w:pPr>
      <w:rPr>
        <w:rFonts w:ascii="Symbol" w:hAnsi="Symbol" w:hint="default"/>
      </w:rPr>
    </w:lvl>
    <w:lvl w:ilvl="4" w:tplc="457C1C84">
      <w:start w:val="1"/>
      <w:numFmt w:val="bullet"/>
      <w:lvlText w:val="o"/>
      <w:lvlJc w:val="left"/>
      <w:pPr>
        <w:ind w:left="3600" w:hanging="360"/>
      </w:pPr>
      <w:rPr>
        <w:rFonts w:ascii="Courier New" w:hAnsi="Courier New" w:hint="default"/>
      </w:rPr>
    </w:lvl>
    <w:lvl w:ilvl="5" w:tplc="5F6AE37E">
      <w:start w:val="1"/>
      <w:numFmt w:val="bullet"/>
      <w:lvlText w:val=""/>
      <w:lvlJc w:val="left"/>
      <w:pPr>
        <w:ind w:left="4320" w:hanging="360"/>
      </w:pPr>
      <w:rPr>
        <w:rFonts w:ascii="Wingdings" w:hAnsi="Wingdings" w:hint="default"/>
      </w:rPr>
    </w:lvl>
    <w:lvl w:ilvl="6" w:tplc="E12ABB4E">
      <w:start w:val="1"/>
      <w:numFmt w:val="bullet"/>
      <w:lvlText w:val=""/>
      <w:lvlJc w:val="left"/>
      <w:pPr>
        <w:ind w:left="5040" w:hanging="360"/>
      </w:pPr>
      <w:rPr>
        <w:rFonts w:ascii="Symbol" w:hAnsi="Symbol" w:hint="default"/>
      </w:rPr>
    </w:lvl>
    <w:lvl w:ilvl="7" w:tplc="36BEA00E">
      <w:start w:val="1"/>
      <w:numFmt w:val="bullet"/>
      <w:lvlText w:val="o"/>
      <w:lvlJc w:val="left"/>
      <w:pPr>
        <w:ind w:left="5760" w:hanging="360"/>
      </w:pPr>
      <w:rPr>
        <w:rFonts w:ascii="Courier New" w:hAnsi="Courier New" w:hint="default"/>
      </w:rPr>
    </w:lvl>
    <w:lvl w:ilvl="8" w:tplc="E062A5AE">
      <w:start w:val="1"/>
      <w:numFmt w:val="bullet"/>
      <w:lvlText w:val=""/>
      <w:lvlJc w:val="left"/>
      <w:pPr>
        <w:ind w:left="6480" w:hanging="360"/>
      </w:pPr>
      <w:rPr>
        <w:rFonts w:ascii="Wingdings" w:hAnsi="Wingdings" w:hint="default"/>
      </w:rPr>
    </w:lvl>
  </w:abstractNum>
  <w:abstractNum w:abstractNumId="30" w15:restartNumberingAfterBreak="0">
    <w:nsid w:val="78801999"/>
    <w:multiLevelType w:val="hybridMultilevel"/>
    <w:tmpl w:val="CFD6DB0A"/>
    <w:lvl w:ilvl="0" w:tplc="ABC066CE">
      <w:start w:val="1"/>
      <w:numFmt w:val="bullet"/>
      <w:lvlText w:val="·"/>
      <w:lvlJc w:val="left"/>
      <w:pPr>
        <w:ind w:left="720" w:hanging="360"/>
      </w:pPr>
      <w:rPr>
        <w:rFonts w:ascii="Symbol" w:hAnsi="Symbol" w:hint="default"/>
      </w:rPr>
    </w:lvl>
    <w:lvl w:ilvl="1" w:tplc="6A4C85A8">
      <w:start w:val="1"/>
      <w:numFmt w:val="bullet"/>
      <w:lvlText w:val="o"/>
      <w:lvlJc w:val="left"/>
      <w:pPr>
        <w:ind w:left="1440" w:hanging="360"/>
      </w:pPr>
      <w:rPr>
        <w:rFonts w:ascii="Courier New" w:hAnsi="Courier New" w:hint="default"/>
      </w:rPr>
    </w:lvl>
    <w:lvl w:ilvl="2" w:tplc="098A6066">
      <w:start w:val="1"/>
      <w:numFmt w:val="bullet"/>
      <w:lvlText w:val=""/>
      <w:lvlJc w:val="left"/>
      <w:pPr>
        <w:ind w:left="2160" w:hanging="360"/>
      </w:pPr>
      <w:rPr>
        <w:rFonts w:ascii="Wingdings" w:hAnsi="Wingdings" w:hint="default"/>
      </w:rPr>
    </w:lvl>
    <w:lvl w:ilvl="3" w:tplc="92403436">
      <w:start w:val="1"/>
      <w:numFmt w:val="bullet"/>
      <w:lvlText w:val=""/>
      <w:lvlJc w:val="left"/>
      <w:pPr>
        <w:ind w:left="2880" w:hanging="360"/>
      </w:pPr>
      <w:rPr>
        <w:rFonts w:ascii="Symbol" w:hAnsi="Symbol" w:hint="default"/>
      </w:rPr>
    </w:lvl>
    <w:lvl w:ilvl="4" w:tplc="892270BE">
      <w:start w:val="1"/>
      <w:numFmt w:val="bullet"/>
      <w:lvlText w:val="o"/>
      <w:lvlJc w:val="left"/>
      <w:pPr>
        <w:ind w:left="3600" w:hanging="360"/>
      </w:pPr>
      <w:rPr>
        <w:rFonts w:ascii="Courier New" w:hAnsi="Courier New" w:hint="default"/>
      </w:rPr>
    </w:lvl>
    <w:lvl w:ilvl="5" w:tplc="96F23154">
      <w:start w:val="1"/>
      <w:numFmt w:val="bullet"/>
      <w:lvlText w:val=""/>
      <w:lvlJc w:val="left"/>
      <w:pPr>
        <w:ind w:left="4320" w:hanging="360"/>
      </w:pPr>
      <w:rPr>
        <w:rFonts w:ascii="Wingdings" w:hAnsi="Wingdings" w:hint="default"/>
      </w:rPr>
    </w:lvl>
    <w:lvl w:ilvl="6" w:tplc="A9E0A6DE">
      <w:start w:val="1"/>
      <w:numFmt w:val="bullet"/>
      <w:lvlText w:val=""/>
      <w:lvlJc w:val="left"/>
      <w:pPr>
        <w:ind w:left="5040" w:hanging="360"/>
      </w:pPr>
      <w:rPr>
        <w:rFonts w:ascii="Symbol" w:hAnsi="Symbol" w:hint="default"/>
      </w:rPr>
    </w:lvl>
    <w:lvl w:ilvl="7" w:tplc="10BC5CA8">
      <w:start w:val="1"/>
      <w:numFmt w:val="bullet"/>
      <w:lvlText w:val="o"/>
      <w:lvlJc w:val="left"/>
      <w:pPr>
        <w:ind w:left="5760" w:hanging="360"/>
      </w:pPr>
      <w:rPr>
        <w:rFonts w:ascii="Courier New" w:hAnsi="Courier New" w:hint="default"/>
      </w:rPr>
    </w:lvl>
    <w:lvl w:ilvl="8" w:tplc="1944B822">
      <w:start w:val="1"/>
      <w:numFmt w:val="bullet"/>
      <w:lvlText w:val=""/>
      <w:lvlJc w:val="left"/>
      <w:pPr>
        <w:ind w:left="6480" w:hanging="360"/>
      </w:pPr>
      <w:rPr>
        <w:rFonts w:ascii="Wingdings" w:hAnsi="Wingdings" w:hint="default"/>
      </w:rPr>
    </w:lvl>
  </w:abstractNum>
  <w:abstractNum w:abstractNumId="31" w15:restartNumberingAfterBreak="0">
    <w:nsid w:val="78B93120"/>
    <w:multiLevelType w:val="hybridMultilevel"/>
    <w:tmpl w:val="CA3CE000"/>
    <w:lvl w:ilvl="0" w:tplc="18090001">
      <w:start w:val="1"/>
      <w:numFmt w:val="bullet"/>
      <w:lvlText w:val=""/>
      <w:lvlJc w:val="left"/>
      <w:pPr>
        <w:ind w:left="1068" w:hanging="360"/>
      </w:pPr>
      <w:rPr>
        <w:rFonts w:ascii="Symbol" w:hAnsi="Symbol" w:hint="default"/>
      </w:rPr>
    </w:lvl>
    <w:lvl w:ilvl="1" w:tplc="18090003" w:tentative="1">
      <w:start w:val="1"/>
      <w:numFmt w:val="bullet"/>
      <w:lvlText w:val="o"/>
      <w:lvlJc w:val="left"/>
      <w:pPr>
        <w:ind w:left="1788" w:hanging="360"/>
      </w:pPr>
      <w:rPr>
        <w:rFonts w:ascii="Courier New" w:hAnsi="Courier New" w:cs="Courier New" w:hint="default"/>
      </w:rPr>
    </w:lvl>
    <w:lvl w:ilvl="2" w:tplc="18090005" w:tentative="1">
      <w:start w:val="1"/>
      <w:numFmt w:val="bullet"/>
      <w:lvlText w:val=""/>
      <w:lvlJc w:val="left"/>
      <w:pPr>
        <w:ind w:left="2508" w:hanging="360"/>
      </w:pPr>
      <w:rPr>
        <w:rFonts w:ascii="Wingdings" w:hAnsi="Wingdings" w:hint="default"/>
      </w:rPr>
    </w:lvl>
    <w:lvl w:ilvl="3" w:tplc="18090001" w:tentative="1">
      <w:start w:val="1"/>
      <w:numFmt w:val="bullet"/>
      <w:lvlText w:val=""/>
      <w:lvlJc w:val="left"/>
      <w:pPr>
        <w:ind w:left="3228" w:hanging="360"/>
      </w:pPr>
      <w:rPr>
        <w:rFonts w:ascii="Symbol" w:hAnsi="Symbol" w:hint="default"/>
      </w:rPr>
    </w:lvl>
    <w:lvl w:ilvl="4" w:tplc="18090003" w:tentative="1">
      <w:start w:val="1"/>
      <w:numFmt w:val="bullet"/>
      <w:lvlText w:val="o"/>
      <w:lvlJc w:val="left"/>
      <w:pPr>
        <w:ind w:left="3948" w:hanging="360"/>
      </w:pPr>
      <w:rPr>
        <w:rFonts w:ascii="Courier New" w:hAnsi="Courier New" w:cs="Courier New" w:hint="default"/>
      </w:rPr>
    </w:lvl>
    <w:lvl w:ilvl="5" w:tplc="18090005" w:tentative="1">
      <w:start w:val="1"/>
      <w:numFmt w:val="bullet"/>
      <w:lvlText w:val=""/>
      <w:lvlJc w:val="left"/>
      <w:pPr>
        <w:ind w:left="4668" w:hanging="360"/>
      </w:pPr>
      <w:rPr>
        <w:rFonts w:ascii="Wingdings" w:hAnsi="Wingdings" w:hint="default"/>
      </w:rPr>
    </w:lvl>
    <w:lvl w:ilvl="6" w:tplc="18090001" w:tentative="1">
      <w:start w:val="1"/>
      <w:numFmt w:val="bullet"/>
      <w:lvlText w:val=""/>
      <w:lvlJc w:val="left"/>
      <w:pPr>
        <w:ind w:left="5388" w:hanging="360"/>
      </w:pPr>
      <w:rPr>
        <w:rFonts w:ascii="Symbol" w:hAnsi="Symbol" w:hint="default"/>
      </w:rPr>
    </w:lvl>
    <w:lvl w:ilvl="7" w:tplc="18090003" w:tentative="1">
      <w:start w:val="1"/>
      <w:numFmt w:val="bullet"/>
      <w:lvlText w:val="o"/>
      <w:lvlJc w:val="left"/>
      <w:pPr>
        <w:ind w:left="6108" w:hanging="360"/>
      </w:pPr>
      <w:rPr>
        <w:rFonts w:ascii="Courier New" w:hAnsi="Courier New" w:cs="Courier New" w:hint="default"/>
      </w:rPr>
    </w:lvl>
    <w:lvl w:ilvl="8" w:tplc="18090005" w:tentative="1">
      <w:start w:val="1"/>
      <w:numFmt w:val="bullet"/>
      <w:lvlText w:val=""/>
      <w:lvlJc w:val="left"/>
      <w:pPr>
        <w:ind w:left="6828" w:hanging="360"/>
      </w:pPr>
      <w:rPr>
        <w:rFonts w:ascii="Wingdings" w:hAnsi="Wingdings" w:hint="default"/>
      </w:rPr>
    </w:lvl>
  </w:abstractNum>
  <w:abstractNum w:abstractNumId="3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3" w15:restartNumberingAfterBreak="0">
    <w:nsid w:val="7D31540C"/>
    <w:multiLevelType w:val="hybridMultilevel"/>
    <w:tmpl w:val="15A482C0"/>
    <w:lvl w:ilvl="0" w:tplc="8AEE6E86">
      <w:start w:val="1"/>
      <w:numFmt w:val="bullet"/>
      <w:lvlText w:val=""/>
      <w:lvlJc w:val="left"/>
      <w:pPr>
        <w:ind w:left="720" w:hanging="360"/>
      </w:pPr>
      <w:rPr>
        <w:rFonts w:ascii="Symbol" w:hAnsi="Symbol" w:hint="default"/>
      </w:rPr>
    </w:lvl>
    <w:lvl w:ilvl="1" w:tplc="9E62A9E6">
      <w:start w:val="1"/>
      <w:numFmt w:val="bullet"/>
      <w:lvlText w:val="o"/>
      <w:lvlJc w:val="left"/>
      <w:pPr>
        <w:ind w:left="1440" w:hanging="360"/>
      </w:pPr>
      <w:rPr>
        <w:rFonts w:ascii="Courier New" w:hAnsi="Courier New" w:hint="default"/>
      </w:rPr>
    </w:lvl>
    <w:lvl w:ilvl="2" w:tplc="702A8C2C">
      <w:start w:val="1"/>
      <w:numFmt w:val="bullet"/>
      <w:lvlText w:val=""/>
      <w:lvlJc w:val="left"/>
      <w:pPr>
        <w:ind w:left="2160" w:hanging="360"/>
      </w:pPr>
      <w:rPr>
        <w:rFonts w:ascii="Wingdings" w:hAnsi="Wingdings" w:hint="default"/>
      </w:rPr>
    </w:lvl>
    <w:lvl w:ilvl="3" w:tplc="E4285C04">
      <w:start w:val="1"/>
      <w:numFmt w:val="bullet"/>
      <w:lvlText w:val=""/>
      <w:lvlJc w:val="left"/>
      <w:pPr>
        <w:ind w:left="2880" w:hanging="360"/>
      </w:pPr>
      <w:rPr>
        <w:rFonts w:ascii="Symbol" w:hAnsi="Symbol" w:hint="default"/>
      </w:rPr>
    </w:lvl>
    <w:lvl w:ilvl="4" w:tplc="7812DCFC">
      <w:start w:val="1"/>
      <w:numFmt w:val="bullet"/>
      <w:lvlText w:val="o"/>
      <w:lvlJc w:val="left"/>
      <w:pPr>
        <w:ind w:left="3600" w:hanging="360"/>
      </w:pPr>
      <w:rPr>
        <w:rFonts w:ascii="Courier New" w:hAnsi="Courier New" w:hint="default"/>
      </w:rPr>
    </w:lvl>
    <w:lvl w:ilvl="5" w:tplc="30823784">
      <w:start w:val="1"/>
      <w:numFmt w:val="bullet"/>
      <w:lvlText w:val=""/>
      <w:lvlJc w:val="left"/>
      <w:pPr>
        <w:ind w:left="4320" w:hanging="360"/>
      </w:pPr>
      <w:rPr>
        <w:rFonts w:ascii="Wingdings" w:hAnsi="Wingdings" w:hint="default"/>
      </w:rPr>
    </w:lvl>
    <w:lvl w:ilvl="6" w:tplc="15F81EC8">
      <w:start w:val="1"/>
      <w:numFmt w:val="bullet"/>
      <w:lvlText w:val=""/>
      <w:lvlJc w:val="left"/>
      <w:pPr>
        <w:ind w:left="5040" w:hanging="360"/>
      </w:pPr>
      <w:rPr>
        <w:rFonts w:ascii="Symbol" w:hAnsi="Symbol" w:hint="default"/>
      </w:rPr>
    </w:lvl>
    <w:lvl w:ilvl="7" w:tplc="5AD87BA6">
      <w:start w:val="1"/>
      <w:numFmt w:val="bullet"/>
      <w:lvlText w:val="o"/>
      <w:lvlJc w:val="left"/>
      <w:pPr>
        <w:ind w:left="5760" w:hanging="360"/>
      </w:pPr>
      <w:rPr>
        <w:rFonts w:ascii="Courier New" w:hAnsi="Courier New" w:hint="default"/>
      </w:rPr>
    </w:lvl>
    <w:lvl w:ilvl="8" w:tplc="1CD80C08">
      <w:start w:val="1"/>
      <w:numFmt w:val="bullet"/>
      <w:lvlText w:val=""/>
      <w:lvlJc w:val="left"/>
      <w:pPr>
        <w:ind w:left="6480" w:hanging="360"/>
      </w:pPr>
      <w:rPr>
        <w:rFonts w:ascii="Wingdings" w:hAnsi="Wingdings" w:hint="default"/>
      </w:rPr>
    </w:lvl>
  </w:abstractNum>
  <w:abstractNum w:abstractNumId="34" w15:restartNumberingAfterBreak="0">
    <w:nsid w:val="7E5B8A09"/>
    <w:multiLevelType w:val="hybridMultilevel"/>
    <w:tmpl w:val="293688C4"/>
    <w:lvl w:ilvl="0" w:tplc="3BE64082">
      <w:start w:val="1"/>
      <w:numFmt w:val="bullet"/>
      <w:lvlText w:val="-"/>
      <w:lvlJc w:val="left"/>
      <w:pPr>
        <w:ind w:left="720" w:hanging="360"/>
      </w:pPr>
      <w:rPr>
        <w:rFonts w:ascii="&quot;Times New Roman&quot;,serif" w:hAnsi="&quot;Times New Roman&quot;,serif" w:hint="default"/>
      </w:rPr>
    </w:lvl>
    <w:lvl w:ilvl="1" w:tplc="21CC1624">
      <w:start w:val="1"/>
      <w:numFmt w:val="bullet"/>
      <w:lvlText w:val="o"/>
      <w:lvlJc w:val="left"/>
      <w:pPr>
        <w:ind w:left="1440" w:hanging="360"/>
      </w:pPr>
      <w:rPr>
        <w:rFonts w:ascii="Courier New" w:hAnsi="Courier New" w:hint="default"/>
      </w:rPr>
    </w:lvl>
    <w:lvl w:ilvl="2" w:tplc="E362BB4C">
      <w:start w:val="1"/>
      <w:numFmt w:val="bullet"/>
      <w:lvlText w:val=""/>
      <w:lvlJc w:val="left"/>
      <w:pPr>
        <w:ind w:left="2160" w:hanging="360"/>
      </w:pPr>
      <w:rPr>
        <w:rFonts w:ascii="Wingdings" w:hAnsi="Wingdings" w:hint="default"/>
      </w:rPr>
    </w:lvl>
    <w:lvl w:ilvl="3" w:tplc="D3FE48F2">
      <w:start w:val="1"/>
      <w:numFmt w:val="bullet"/>
      <w:lvlText w:val=""/>
      <w:lvlJc w:val="left"/>
      <w:pPr>
        <w:ind w:left="2880" w:hanging="360"/>
      </w:pPr>
      <w:rPr>
        <w:rFonts w:ascii="Symbol" w:hAnsi="Symbol" w:hint="default"/>
      </w:rPr>
    </w:lvl>
    <w:lvl w:ilvl="4" w:tplc="BDC85BDE">
      <w:start w:val="1"/>
      <w:numFmt w:val="bullet"/>
      <w:lvlText w:val="o"/>
      <w:lvlJc w:val="left"/>
      <w:pPr>
        <w:ind w:left="3600" w:hanging="360"/>
      </w:pPr>
      <w:rPr>
        <w:rFonts w:ascii="Courier New" w:hAnsi="Courier New" w:hint="default"/>
      </w:rPr>
    </w:lvl>
    <w:lvl w:ilvl="5" w:tplc="BFB8ADD0">
      <w:start w:val="1"/>
      <w:numFmt w:val="bullet"/>
      <w:lvlText w:val=""/>
      <w:lvlJc w:val="left"/>
      <w:pPr>
        <w:ind w:left="4320" w:hanging="360"/>
      </w:pPr>
      <w:rPr>
        <w:rFonts w:ascii="Wingdings" w:hAnsi="Wingdings" w:hint="default"/>
      </w:rPr>
    </w:lvl>
    <w:lvl w:ilvl="6" w:tplc="AEF0CED8">
      <w:start w:val="1"/>
      <w:numFmt w:val="bullet"/>
      <w:lvlText w:val=""/>
      <w:lvlJc w:val="left"/>
      <w:pPr>
        <w:ind w:left="5040" w:hanging="360"/>
      </w:pPr>
      <w:rPr>
        <w:rFonts w:ascii="Symbol" w:hAnsi="Symbol" w:hint="default"/>
      </w:rPr>
    </w:lvl>
    <w:lvl w:ilvl="7" w:tplc="B3D479F8">
      <w:start w:val="1"/>
      <w:numFmt w:val="bullet"/>
      <w:lvlText w:val="o"/>
      <w:lvlJc w:val="left"/>
      <w:pPr>
        <w:ind w:left="5760" w:hanging="360"/>
      </w:pPr>
      <w:rPr>
        <w:rFonts w:ascii="Courier New" w:hAnsi="Courier New" w:hint="default"/>
      </w:rPr>
    </w:lvl>
    <w:lvl w:ilvl="8" w:tplc="8F646D1E">
      <w:start w:val="1"/>
      <w:numFmt w:val="bullet"/>
      <w:lvlText w:val=""/>
      <w:lvlJc w:val="left"/>
      <w:pPr>
        <w:ind w:left="6480" w:hanging="360"/>
      </w:pPr>
      <w:rPr>
        <w:rFonts w:ascii="Wingdings" w:hAnsi="Wingdings" w:hint="default"/>
      </w:rPr>
    </w:lvl>
  </w:abstractNum>
  <w:num w:numId="1">
    <w:abstractNumId w:val="29"/>
  </w:num>
  <w:num w:numId="2">
    <w:abstractNumId w:val="30"/>
  </w:num>
  <w:num w:numId="3">
    <w:abstractNumId w:val="22"/>
  </w:num>
  <w:num w:numId="4">
    <w:abstractNumId w:val="33"/>
  </w:num>
  <w:num w:numId="5">
    <w:abstractNumId w:val="20"/>
  </w:num>
  <w:num w:numId="6">
    <w:abstractNumId w:val="23"/>
  </w:num>
  <w:num w:numId="7">
    <w:abstractNumId w:val="24"/>
  </w:num>
  <w:num w:numId="8">
    <w:abstractNumId w:val="14"/>
  </w:num>
  <w:num w:numId="9">
    <w:abstractNumId w:val="21"/>
  </w:num>
  <w:num w:numId="10">
    <w:abstractNumId w:val="32"/>
  </w:num>
  <w:num w:numId="11">
    <w:abstractNumId w:val="27"/>
  </w:num>
  <w:num w:numId="12">
    <w:abstractNumId w:val="27"/>
  </w:num>
  <w:num w:numId="13">
    <w:abstractNumId w:val="7"/>
  </w:num>
  <w:num w:numId="14">
    <w:abstractNumId w:val="5"/>
  </w:num>
  <w:num w:numId="15">
    <w:abstractNumId w:val="4"/>
  </w:num>
  <w:num w:numId="16">
    <w:abstractNumId w:val="3"/>
  </w:num>
  <w:num w:numId="17">
    <w:abstractNumId w:val="6"/>
  </w:num>
  <w:num w:numId="18">
    <w:abstractNumId w:val="2"/>
  </w:num>
  <w:num w:numId="19">
    <w:abstractNumId w:val="1"/>
  </w:num>
  <w:num w:numId="20">
    <w:abstractNumId w:val="0"/>
  </w:num>
  <w:num w:numId="21">
    <w:abstractNumId w:val="13"/>
  </w:num>
  <w:num w:numId="22">
    <w:abstractNumId w:val="13"/>
  </w:num>
  <w:num w:numId="23">
    <w:abstractNumId w:val="12"/>
  </w:num>
  <w:num w:numId="24">
    <w:abstractNumId w:val="12"/>
  </w:num>
  <w:num w:numId="25">
    <w:abstractNumId w:val="25"/>
  </w:num>
  <w:num w:numId="26">
    <w:abstractNumId w:val="18"/>
  </w:num>
  <w:num w:numId="27">
    <w:abstractNumId w:val="28"/>
  </w:num>
  <w:num w:numId="28">
    <w:abstractNumId w:val="15"/>
  </w:num>
  <w:num w:numId="29">
    <w:abstractNumId w:val="19"/>
  </w:num>
  <w:num w:numId="30">
    <w:abstractNumId w:val="10"/>
  </w:num>
  <w:num w:numId="31">
    <w:abstractNumId w:val="11"/>
  </w:num>
  <w:num w:numId="32">
    <w:abstractNumId w:val="31"/>
  </w:num>
  <w:num w:numId="33">
    <w:abstractNumId w:val="8"/>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16"/>
  </w:num>
  <w:num w:numId="37">
    <w:abstractNumId w:val="33"/>
  </w:num>
  <w:num w:numId="38">
    <w:abstractNumId w:val="17"/>
  </w:num>
  <w:num w:numId="39">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markup="0"/>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a következ\u337?höz"/>
    <w:docVar w:name="LW_ANNEX_NBR_FIRST" w:val="1"/>
    <w:docVar w:name="LW_ANNEX_NBR_LAST" w:val="1"/>
    <w:docVar w:name="LW_ANNEX_UNIQUE" w:val="1"/>
    <w:docVar w:name="LW_CORRIGENDUM" w:val="&lt;UNUSED&gt;"/>
    <w:docVar w:name="LW_COVERPAGE_EXISTS" w:val="True"/>
    <w:docVar w:name="LW_COVERPAGE_GUID" w:val="4DF89BB0-919F-48DC-86ED-D8BBC4D59B42"/>
    <w:docVar w:name="LW_COVERPAGE_TYPE" w:val="1"/>
    <w:docVar w:name="LW_CROSSREFERENCE" w:val="&lt;UNUSED&gt;"/>
    <w:docVar w:name="LW_DocType" w:val="NORMAL"/>
    <w:docVar w:name="LW_EMISSION" w:val="2023.12.12."/>
    <w:docVar w:name="LW_EMISSION_ISODATE" w:val="2023-12-12"/>
    <w:docVar w:name="LW_EMISSION_LOCATION" w:val="STR"/>
    <w:docVar w:name="LW_EMISSION_PREFIX" w:val="Strasbourg, "/>
    <w:docVar w:name="LW_EMISSION_SUFFIX" w:val=" "/>
    <w:docVar w:name="LW_ID_DOCTYPE_NONLW" w:val="CP-039"/>
    <w:docVar w:name="LW_LANGUE" w:val="HU"/>
    <w:docVar w:name="LW_LEVEL_OF_SENSITIVITY" w:val="Standard treatment"/>
    <w:docVar w:name="LW_NOM.INST" w:val="EURÓPAI BIZOTTSÁG"/>
    <w:docVar w:name="LW_NOM.INST_JOINTDOC" w:val="&lt;EMPTY&gt;"/>
    <w:docVar w:name="LW_OBJETACTEPRINCIPAL.CP" w:val="a demokrácia védelmér\u337?l"/>
    <w:docVar w:name="LW_PART_NBR" w:val="1"/>
    <w:docVar w:name="LW_PART_NBR_TOTAL" w:val="1"/>
    <w:docVar w:name="LW_REF.INST.NEW" w:val="COM"/>
    <w:docVar w:name="LW_REF.INST.NEW_ADOPTED" w:val="final"/>
    <w:docVar w:name="LW_REF.INST.NEW_TEXT" w:val="(2023) 6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MELLÉKLET_x000b_"/>
    <w:docVar w:name="LW_TYPEACTEPRINCIPAL.CP" w:val="A BIZOTTSÁG KÖZLEMÉNYE AZ EURÓPAI PARLAMENTNEK, A TANÁCSNAK, AZ EURÓPAI GAZDASÁGI ÉS SZOCIÁLIS BIZOTTSÁGNAK ÉS A RÉGIÓK BIZOTTSÁGÁNAK_x000b_"/>
    <w:docVar w:name="LwApiVersions" w:val="LW4CoDe 1.24.4.0; LW 9.0, Build 20240109"/>
  </w:docVars>
  <w:rsids>
    <w:rsidRoot w:val="00B57580"/>
    <w:rsid w:val="00002CAA"/>
    <w:rsid w:val="0000610B"/>
    <w:rsid w:val="0000654B"/>
    <w:rsid w:val="00006819"/>
    <w:rsid w:val="00007879"/>
    <w:rsid w:val="00007AE0"/>
    <w:rsid w:val="00013573"/>
    <w:rsid w:val="00014567"/>
    <w:rsid w:val="00015053"/>
    <w:rsid w:val="00021A27"/>
    <w:rsid w:val="00022311"/>
    <w:rsid w:val="0002267E"/>
    <w:rsid w:val="00023D5C"/>
    <w:rsid w:val="00024098"/>
    <w:rsid w:val="00026A03"/>
    <w:rsid w:val="00030B55"/>
    <w:rsid w:val="00030CD2"/>
    <w:rsid w:val="00032108"/>
    <w:rsid w:val="00032AC5"/>
    <w:rsid w:val="000351ED"/>
    <w:rsid w:val="0003715E"/>
    <w:rsid w:val="000372FC"/>
    <w:rsid w:val="00040D5B"/>
    <w:rsid w:val="000466F1"/>
    <w:rsid w:val="00050A8C"/>
    <w:rsid w:val="00051FB5"/>
    <w:rsid w:val="00053073"/>
    <w:rsid w:val="000544E8"/>
    <w:rsid w:val="0005548C"/>
    <w:rsid w:val="00055693"/>
    <w:rsid w:val="0006018F"/>
    <w:rsid w:val="00060F53"/>
    <w:rsid w:val="00061F31"/>
    <w:rsid w:val="00064A32"/>
    <w:rsid w:val="00067890"/>
    <w:rsid w:val="00067B9A"/>
    <w:rsid w:val="000713BE"/>
    <w:rsid w:val="000731B1"/>
    <w:rsid w:val="00076564"/>
    <w:rsid w:val="00076EDF"/>
    <w:rsid w:val="00083546"/>
    <w:rsid w:val="00084929"/>
    <w:rsid w:val="00085209"/>
    <w:rsid w:val="00086469"/>
    <w:rsid w:val="000867B5"/>
    <w:rsid w:val="000868E6"/>
    <w:rsid w:val="0009094C"/>
    <w:rsid w:val="00090A43"/>
    <w:rsid w:val="000910F9"/>
    <w:rsid w:val="000926CF"/>
    <w:rsid w:val="000944ED"/>
    <w:rsid w:val="000949D4"/>
    <w:rsid w:val="00095A5B"/>
    <w:rsid w:val="0009669A"/>
    <w:rsid w:val="000A2609"/>
    <w:rsid w:val="000A2E47"/>
    <w:rsid w:val="000A2EE7"/>
    <w:rsid w:val="000A2F93"/>
    <w:rsid w:val="000A46CD"/>
    <w:rsid w:val="000A78CC"/>
    <w:rsid w:val="000A78DA"/>
    <w:rsid w:val="000D05D9"/>
    <w:rsid w:val="000D08A7"/>
    <w:rsid w:val="000D29A8"/>
    <w:rsid w:val="000D4612"/>
    <w:rsid w:val="000E003A"/>
    <w:rsid w:val="000E72E5"/>
    <w:rsid w:val="000F0A51"/>
    <w:rsid w:val="000F1927"/>
    <w:rsid w:val="000F205A"/>
    <w:rsid w:val="000F28BB"/>
    <w:rsid w:val="000F2F71"/>
    <w:rsid w:val="000F478D"/>
    <w:rsid w:val="000F5848"/>
    <w:rsid w:val="000F7C87"/>
    <w:rsid w:val="00105435"/>
    <w:rsid w:val="00107228"/>
    <w:rsid w:val="001116F1"/>
    <w:rsid w:val="00114A35"/>
    <w:rsid w:val="0012556A"/>
    <w:rsid w:val="0012637B"/>
    <w:rsid w:val="00126625"/>
    <w:rsid w:val="001274DA"/>
    <w:rsid w:val="00131CE3"/>
    <w:rsid w:val="00132185"/>
    <w:rsid w:val="0013396E"/>
    <w:rsid w:val="00134C55"/>
    <w:rsid w:val="00135368"/>
    <w:rsid w:val="00137B79"/>
    <w:rsid w:val="00137BE3"/>
    <w:rsid w:val="00140457"/>
    <w:rsid w:val="00147A8D"/>
    <w:rsid w:val="0014F7D0"/>
    <w:rsid w:val="001509A1"/>
    <w:rsid w:val="00155762"/>
    <w:rsid w:val="0015717F"/>
    <w:rsid w:val="00163D59"/>
    <w:rsid w:val="001649D7"/>
    <w:rsid w:val="00174E0C"/>
    <w:rsid w:val="0017637D"/>
    <w:rsid w:val="00177277"/>
    <w:rsid w:val="00180D43"/>
    <w:rsid w:val="001842F4"/>
    <w:rsid w:val="0018479A"/>
    <w:rsid w:val="001859F6"/>
    <w:rsid w:val="00191564"/>
    <w:rsid w:val="00192420"/>
    <w:rsid w:val="00193622"/>
    <w:rsid w:val="001948C7"/>
    <w:rsid w:val="00195049"/>
    <w:rsid w:val="00196FBF"/>
    <w:rsid w:val="001A1911"/>
    <w:rsid w:val="001A2562"/>
    <w:rsid w:val="001A6C0F"/>
    <w:rsid w:val="001A7A87"/>
    <w:rsid w:val="001B1069"/>
    <w:rsid w:val="001B1E3D"/>
    <w:rsid w:val="001C0875"/>
    <w:rsid w:val="001C0CC4"/>
    <w:rsid w:val="001C13E5"/>
    <w:rsid w:val="001C2A34"/>
    <w:rsid w:val="001C2EC5"/>
    <w:rsid w:val="001C4CF5"/>
    <w:rsid w:val="001C7F89"/>
    <w:rsid w:val="001D22A0"/>
    <w:rsid w:val="001D5632"/>
    <w:rsid w:val="001D5D84"/>
    <w:rsid w:val="001E03C5"/>
    <w:rsid w:val="001E1388"/>
    <w:rsid w:val="001E1FD1"/>
    <w:rsid w:val="001E3E94"/>
    <w:rsid w:val="001E4A45"/>
    <w:rsid w:val="001E4C0C"/>
    <w:rsid w:val="001F070B"/>
    <w:rsid w:val="001F1CB1"/>
    <w:rsid w:val="002029C2"/>
    <w:rsid w:val="00205AAA"/>
    <w:rsid w:val="00207822"/>
    <w:rsid w:val="00210405"/>
    <w:rsid w:val="002105FC"/>
    <w:rsid w:val="0021131F"/>
    <w:rsid w:val="00213428"/>
    <w:rsid w:val="00216479"/>
    <w:rsid w:val="00216690"/>
    <w:rsid w:val="0021719A"/>
    <w:rsid w:val="00217BD4"/>
    <w:rsid w:val="002236E7"/>
    <w:rsid w:val="00224392"/>
    <w:rsid w:val="002245DE"/>
    <w:rsid w:val="0023473C"/>
    <w:rsid w:val="00235A12"/>
    <w:rsid w:val="00235F67"/>
    <w:rsid w:val="00236C7B"/>
    <w:rsid w:val="00237BF9"/>
    <w:rsid w:val="00241819"/>
    <w:rsid w:val="00247DD1"/>
    <w:rsid w:val="0025058C"/>
    <w:rsid w:val="002505E4"/>
    <w:rsid w:val="002508F9"/>
    <w:rsid w:val="00256568"/>
    <w:rsid w:val="00257C3A"/>
    <w:rsid w:val="002603E1"/>
    <w:rsid w:val="00260F04"/>
    <w:rsid w:val="00261DDD"/>
    <w:rsid w:val="00263555"/>
    <w:rsid w:val="0027195C"/>
    <w:rsid w:val="002736E5"/>
    <w:rsid w:val="00275B67"/>
    <w:rsid w:val="00281413"/>
    <w:rsid w:val="002818C1"/>
    <w:rsid w:val="002829B3"/>
    <w:rsid w:val="00283008"/>
    <w:rsid w:val="00283E00"/>
    <w:rsid w:val="00285116"/>
    <w:rsid w:val="002857DB"/>
    <w:rsid w:val="00285A7E"/>
    <w:rsid w:val="00290A47"/>
    <w:rsid w:val="002915F2"/>
    <w:rsid w:val="00296AD0"/>
    <w:rsid w:val="002A1681"/>
    <w:rsid w:val="002A41C7"/>
    <w:rsid w:val="002B0ABD"/>
    <w:rsid w:val="002B37E0"/>
    <w:rsid w:val="002B52BC"/>
    <w:rsid w:val="002B70FE"/>
    <w:rsid w:val="002B74DD"/>
    <w:rsid w:val="002B7C1C"/>
    <w:rsid w:val="002C2557"/>
    <w:rsid w:val="002C5E65"/>
    <w:rsid w:val="002C5EA2"/>
    <w:rsid w:val="002D23E6"/>
    <w:rsid w:val="002D71E3"/>
    <w:rsid w:val="002E11AF"/>
    <w:rsid w:val="002E3266"/>
    <w:rsid w:val="002E4157"/>
    <w:rsid w:val="002F0AAA"/>
    <w:rsid w:val="002F0C27"/>
    <w:rsid w:val="002F0DCC"/>
    <w:rsid w:val="002F1B12"/>
    <w:rsid w:val="002F347A"/>
    <w:rsid w:val="002F7DE4"/>
    <w:rsid w:val="00300AF3"/>
    <w:rsid w:val="00301285"/>
    <w:rsid w:val="00304452"/>
    <w:rsid w:val="00304D39"/>
    <w:rsid w:val="00305B43"/>
    <w:rsid w:val="00307B06"/>
    <w:rsid w:val="003122C6"/>
    <w:rsid w:val="00316F51"/>
    <w:rsid w:val="00317C34"/>
    <w:rsid w:val="00317EBE"/>
    <w:rsid w:val="00320130"/>
    <w:rsid w:val="0032067C"/>
    <w:rsid w:val="00322AB3"/>
    <w:rsid w:val="00322E31"/>
    <w:rsid w:val="00324FE0"/>
    <w:rsid w:val="00325A59"/>
    <w:rsid w:val="00327C02"/>
    <w:rsid w:val="003422C8"/>
    <w:rsid w:val="00343DF4"/>
    <w:rsid w:val="0034488E"/>
    <w:rsid w:val="003461E1"/>
    <w:rsid w:val="003465F7"/>
    <w:rsid w:val="003500E9"/>
    <w:rsid w:val="003568C4"/>
    <w:rsid w:val="00357C34"/>
    <w:rsid w:val="003608EA"/>
    <w:rsid w:val="003619B7"/>
    <w:rsid w:val="00363C50"/>
    <w:rsid w:val="00364360"/>
    <w:rsid w:val="003676CB"/>
    <w:rsid w:val="00371194"/>
    <w:rsid w:val="003753B6"/>
    <w:rsid w:val="00381B2A"/>
    <w:rsid w:val="00381F59"/>
    <w:rsid w:val="003820AF"/>
    <w:rsid w:val="00382786"/>
    <w:rsid w:val="00383E25"/>
    <w:rsid w:val="0038488C"/>
    <w:rsid w:val="00385902"/>
    <w:rsid w:val="003869AB"/>
    <w:rsid w:val="00386A0A"/>
    <w:rsid w:val="00391693"/>
    <w:rsid w:val="00391707"/>
    <w:rsid w:val="003925DC"/>
    <w:rsid w:val="00393F13"/>
    <w:rsid w:val="003A14CB"/>
    <w:rsid w:val="003A335B"/>
    <w:rsid w:val="003A3892"/>
    <w:rsid w:val="003A6B52"/>
    <w:rsid w:val="003B1058"/>
    <w:rsid w:val="003B14FD"/>
    <w:rsid w:val="003B6176"/>
    <w:rsid w:val="003C115D"/>
    <w:rsid w:val="003C2689"/>
    <w:rsid w:val="003C2E4A"/>
    <w:rsid w:val="003C3D52"/>
    <w:rsid w:val="003C4315"/>
    <w:rsid w:val="003C5B8A"/>
    <w:rsid w:val="003C6171"/>
    <w:rsid w:val="003C67B8"/>
    <w:rsid w:val="003C6C46"/>
    <w:rsid w:val="003D314E"/>
    <w:rsid w:val="003D34A3"/>
    <w:rsid w:val="003D3D41"/>
    <w:rsid w:val="003D4020"/>
    <w:rsid w:val="003D7EE5"/>
    <w:rsid w:val="003E07DD"/>
    <w:rsid w:val="003E10BF"/>
    <w:rsid w:val="003E1E1E"/>
    <w:rsid w:val="003E1E8D"/>
    <w:rsid w:val="003E21A2"/>
    <w:rsid w:val="003E25D6"/>
    <w:rsid w:val="003E4911"/>
    <w:rsid w:val="003F1149"/>
    <w:rsid w:val="003F33F0"/>
    <w:rsid w:val="003F3966"/>
    <w:rsid w:val="00400931"/>
    <w:rsid w:val="00400E7B"/>
    <w:rsid w:val="00400ED7"/>
    <w:rsid w:val="00401952"/>
    <w:rsid w:val="00401C64"/>
    <w:rsid w:val="004022A7"/>
    <w:rsid w:val="00404EC6"/>
    <w:rsid w:val="0040523D"/>
    <w:rsid w:val="00405520"/>
    <w:rsid w:val="0041086A"/>
    <w:rsid w:val="004114D7"/>
    <w:rsid w:val="00414158"/>
    <w:rsid w:val="0041427B"/>
    <w:rsid w:val="00414CEA"/>
    <w:rsid w:val="00415487"/>
    <w:rsid w:val="00415AA3"/>
    <w:rsid w:val="00415B8C"/>
    <w:rsid w:val="00417C8D"/>
    <w:rsid w:val="004200BB"/>
    <w:rsid w:val="00420249"/>
    <w:rsid w:val="00423B66"/>
    <w:rsid w:val="00424DD7"/>
    <w:rsid w:val="004262B0"/>
    <w:rsid w:val="00430569"/>
    <w:rsid w:val="00434DBF"/>
    <w:rsid w:val="00435F58"/>
    <w:rsid w:val="00437226"/>
    <w:rsid w:val="00444F22"/>
    <w:rsid w:val="00445F88"/>
    <w:rsid w:val="004504B3"/>
    <w:rsid w:val="00450E5D"/>
    <w:rsid w:val="00451D68"/>
    <w:rsid w:val="00456298"/>
    <w:rsid w:val="0045798B"/>
    <w:rsid w:val="00457FAE"/>
    <w:rsid w:val="00463A39"/>
    <w:rsid w:val="00466B79"/>
    <w:rsid w:val="00470412"/>
    <w:rsid w:val="00470552"/>
    <w:rsid w:val="00472259"/>
    <w:rsid w:val="0047497E"/>
    <w:rsid w:val="004769B2"/>
    <w:rsid w:val="00480154"/>
    <w:rsid w:val="00480C3D"/>
    <w:rsid w:val="00482C52"/>
    <w:rsid w:val="00484420"/>
    <w:rsid w:val="00484E1B"/>
    <w:rsid w:val="00487E6F"/>
    <w:rsid w:val="00492E8C"/>
    <w:rsid w:val="00495B77"/>
    <w:rsid w:val="004973E4"/>
    <w:rsid w:val="004A12EC"/>
    <w:rsid w:val="004A51C7"/>
    <w:rsid w:val="004B5797"/>
    <w:rsid w:val="004B60DD"/>
    <w:rsid w:val="004C0D55"/>
    <w:rsid w:val="004C1759"/>
    <w:rsid w:val="004C2230"/>
    <w:rsid w:val="004C37AB"/>
    <w:rsid w:val="004C7F67"/>
    <w:rsid w:val="004D65FA"/>
    <w:rsid w:val="004D7C83"/>
    <w:rsid w:val="004E051E"/>
    <w:rsid w:val="004E1A9D"/>
    <w:rsid w:val="004E2B9A"/>
    <w:rsid w:val="004E4522"/>
    <w:rsid w:val="004E59AF"/>
    <w:rsid w:val="004E696D"/>
    <w:rsid w:val="004F4050"/>
    <w:rsid w:val="004F4E40"/>
    <w:rsid w:val="004F503D"/>
    <w:rsid w:val="00502E87"/>
    <w:rsid w:val="00505496"/>
    <w:rsid w:val="005109E0"/>
    <w:rsid w:val="005126F3"/>
    <w:rsid w:val="005133EC"/>
    <w:rsid w:val="005147C9"/>
    <w:rsid w:val="00514AF6"/>
    <w:rsid w:val="00517A97"/>
    <w:rsid w:val="00520221"/>
    <w:rsid w:val="00520F99"/>
    <w:rsid w:val="00521075"/>
    <w:rsid w:val="00521165"/>
    <w:rsid w:val="00522578"/>
    <w:rsid w:val="005318B1"/>
    <w:rsid w:val="005319C0"/>
    <w:rsid w:val="00536342"/>
    <w:rsid w:val="0054011B"/>
    <w:rsid w:val="00540BEE"/>
    <w:rsid w:val="005415B5"/>
    <w:rsid w:val="005440A7"/>
    <w:rsid w:val="00545A82"/>
    <w:rsid w:val="005474A2"/>
    <w:rsid w:val="0055023A"/>
    <w:rsid w:val="00551593"/>
    <w:rsid w:val="00557868"/>
    <w:rsid w:val="005607ED"/>
    <w:rsid w:val="00563AC4"/>
    <w:rsid w:val="005713C7"/>
    <w:rsid w:val="005746DB"/>
    <w:rsid w:val="005846CB"/>
    <w:rsid w:val="0058766F"/>
    <w:rsid w:val="00590356"/>
    <w:rsid w:val="00590998"/>
    <w:rsid w:val="005918C4"/>
    <w:rsid w:val="00591CB2"/>
    <w:rsid w:val="005A172A"/>
    <w:rsid w:val="005A32F7"/>
    <w:rsid w:val="005A558F"/>
    <w:rsid w:val="005A677A"/>
    <w:rsid w:val="005B12C7"/>
    <w:rsid w:val="005B1490"/>
    <w:rsid w:val="005B255A"/>
    <w:rsid w:val="005B5402"/>
    <w:rsid w:val="005C1397"/>
    <w:rsid w:val="005C33E1"/>
    <w:rsid w:val="005C48EA"/>
    <w:rsid w:val="005D1D04"/>
    <w:rsid w:val="005D21A5"/>
    <w:rsid w:val="005D2EA6"/>
    <w:rsid w:val="005E0078"/>
    <w:rsid w:val="005E08DD"/>
    <w:rsid w:val="005E1262"/>
    <w:rsid w:val="005E158F"/>
    <w:rsid w:val="005E247D"/>
    <w:rsid w:val="005E266F"/>
    <w:rsid w:val="005E3021"/>
    <w:rsid w:val="005E39AB"/>
    <w:rsid w:val="005E417B"/>
    <w:rsid w:val="005E469E"/>
    <w:rsid w:val="005F23FA"/>
    <w:rsid w:val="005F5F9F"/>
    <w:rsid w:val="005F62F7"/>
    <w:rsid w:val="006006F7"/>
    <w:rsid w:val="00604234"/>
    <w:rsid w:val="00610732"/>
    <w:rsid w:val="006164EE"/>
    <w:rsid w:val="0061688D"/>
    <w:rsid w:val="00620E83"/>
    <w:rsid w:val="0062157A"/>
    <w:rsid w:val="0062235A"/>
    <w:rsid w:val="00624374"/>
    <w:rsid w:val="00627B84"/>
    <w:rsid w:val="0064209D"/>
    <w:rsid w:val="006420B4"/>
    <w:rsid w:val="006421E4"/>
    <w:rsid w:val="00644CA9"/>
    <w:rsid w:val="00645C0E"/>
    <w:rsid w:val="0064744C"/>
    <w:rsid w:val="00650685"/>
    <w:rsid w:val="00657049"/>
    <w:rsid w:val="00660C24"/>
    <w:rsid w:val="0066238C"/>
    <w:rsid w:val="00663700"/>
    <w:rsid w:val="00666634"/>
    <w:rsid w:val="00671766"/>
    <w:rsid w:val="00672047"/>
    <w:rsid w:val="00673382"/>
    <w:rsid w:val="00680F97"/>
    <w:rsid w:val="00683F3B"/>
    <w:rsid w:val="00683F53"/>
    <w:rsid w:val="00684520"/>
    <w:rsid w:val="0069083A"/>
    <w:rsid w:val="00690920"/>
    <w:rsid w:val="00690AE5"/>
    <w:rsid w:val="00691000"/>
    <w:rsid w:val="006929C5"/>
    <w:rsid w:val="00697C67"/>
    <w:rsid w:val="006A1143"/>
    <w:rsid w:val="006A2C70"/>
    <w:rsid w:val="006A7080"/>
    <w:rsid w:val="006A7934"/>
    <w:rsid w:val="006B17C4"/>
    <w:rsid w:val="006B397C"/>
    <w:rsid w:val="006B5C42"/>
    <w:rsid w:val="006C0339"/>
    <w:rsid w:val="006C558C"/>
    <w:rsid w:val="006C6DC3"/>
    <w:rsid w:val="006C7191"/>
    <w:rsid w:val="006D239E"/>
    <w:rsid w:val="006D5A3B"/>
    <w:rsid w:val="006D65D0"/>
    <w:rsid w:val="006E429D"/>
    <w:rsid w:val="006E66FB"/>
    <w:rsid w:val="006F0EDE"/>
    <w:rsid w:val="006F4353"/>
    <w:rsid w:val="006F5349"/>
    <w:rsid w:val="006F61A7"/>
    <w:rsid w:val="006F75C5"/>
    <w:rsid w:val="006F7CB3"/>
    <w:rsid w:val="00700210"/>
    <w:rsid w:val="00703204"/>
    <w:rsid w:val="00704F32"/>
    <w:rsid w:val="00705B1E"/>
    <w:rsid w:val="00705BED"/>
    <w:rsid w:val="00707B8B"/>
    <w:rsid w:val="00707FD9"/>
    <w:rsid w:val="007100A6"/>
    <w:rsid w:val="00710345"/>
    <w:rsid w:val="007119C4"/>
    <w:rsid w:val="00714307"/>
    <w:rsid w:val="007162D9"/>
    <w:rsid w:val="00717320"/>
    <w:rsid w:val="0071755D"/>
    <w:rsid w:val="0072154A"/>
    <w:rsid w:val="00721D73"/>
    <w:rsid w:val="00722A1A"/>
    <w:rsid w:val="00727D61"/>
    <w:rsid w:val="00727D9C"/>
    <w:rsid w:val="007379A2"/>
    <w:rsid w:val="00737A22"/>
    <w:rsid w:val="0074127D"/>
    <w:rsid w:val="007415CD"/>
    <w:rsid w:val="007443BC"/>
    <w:rsid w:val="0074538D"/>
    <w:rsid w:val="00745831"/>
    <w:rsid w:val="00752416"/>
    <w:rsid w:val="00756005"/>
    <w:rsid w:val="00756051"/>
    <w:rsid w:val="00756EE0"/>
    <w:rsid w:val="00764871"/>
    <w:rsid w:val="007719D8"/>
    <w:rsid w:val="00774B11"/>
    <w:rsid w:val="00775EA2"/>
    <w:rsid w:val="0077740C"/>
    <w:rsid w:val="00780BB1"/>
    <w:rsid w:val="0078244A"/>
    <w:rsid w:val="00782846"/>
    <w:rsid w:val="00783FBA"/>
    <w:rsid w:val="007845F9"/>
    <w:rsid w:val="00786AF6"/>
    <w:rsid w:val="00787D04"/>
    <w:rsid w:val="00792F67"/>
    <w:rsid w:val="0079661C"/>
    <w:rsid w:val="0079756A"/>
    <w:rsid w:val="007A4C23"/>
    <w:rsid w:val="007A5A93"/>
    <w:rsid w:val="007A632D"/>
    <w:rsid w:val="007A6FD0"/>
    <w:rsid w:val="007B048E"/>
    <w:rsid w:val="007B2A0C"/>
    <w:rsid w:val="007B4F33"/>
    <w:rsid w:val="007B7C32"/>
    <w:rsid w:val="007C0DBB"/>
    <w:rsid w:val="007C1D7E"/>
    <w:rsid w:val="007C48FB"/>
    <w:rsid w:val="007C7253"/>
    <w:rsid w:val="007C7E94"/>
    <w:rsid w:val="007D2B94"/>
    <w:rsid w:val="007D348D"/>
    <w:rsid w:val="007D714E"/>
    <w:rsid w:val="007E044D"/>
    <w:rsid w:val="007E0A2B"/>
    <w:rsid w:val="007E1BCD"/>
    <w:rsid w:val="007E3D7B"/>
    <w:rsid w:val="007E626F"/>
    <w:rsid w:val="007F1277"/>
    <w:rsid w:val="007F267A"/>
    <w:rsid w:val="007F2CD3"/>
    <w:rsid w:val="007F376B"/>
    <w:rsid w:val="007F5678"/>
    <w:rsid w:val="00801BB7"/>
    <w:rsid w:val="00802BCD"/>
    <w:rsid w:val="00804ACB"/>
    <w:rsid w:val="00805AD1"/>
    <w:rsid w:val="00806597"/>
    <w:rsid w:val="00806E33"/>
    <w:rsid w:val="008106B7"/>
    <w:rsid w:val="008108F4"/>
    <w:rsid w:val="00814F55"/>
    <w:rsid w:val="00814F65"/>
    <w:rsid w:val="00820A04"/>
    <w:rsid w:val="00820B93"/>
    <w:rsid w:val="00823A9A"/>
    <w:rsid w:val="00825171"/>
    <w:rsid w:val="00825A36"/>
    <w:rsid w:val="008300CD"/>
    <w:rsid w:val="00830887"/>
    <w:rsid w:val="008331CC"/>
    <w:rsid w:val="0083469E"/>
    <w:rsid w:val="00837386"/>
    <w:rsid w:val="00837791"/>
    <w:rsid w:val="00840C8C"/>
    <w:rsid w:val="008449CE"/>
    <w:rsid w:val="00844F9B"/>
    <w:rsid w:val="00845AE6"/>
    <w:rsid w:val="00847458"/>
    <w:rsid w:val="00847CDF"/>
    <w:rsid w:val="0085044A"/>
    <w:rsid w:val="008534A5"/>
    <w:rsid w:val="00853914"/>
    <w:rsid w:val="00853C81"/>
    <w:rsid w:val="0085686F"/>
    <w:rsid w:val="008610D1"/>
    <w:rsid w:val="00862C3C"/>
    <w:rsid w:val="00865AD7"/>
    <w:rsid w:val="00872742"/>
    <w:rsid w:val="00882767"/>
    <w:rsid w:val="00884E0C"/>
    <w:rsid w:val="00885316"/>
    <w:rsid w:val="0088619D"/>
    <w:rsid w:val="008865CE"/>
    <w:rsid w:val="008906AB"/>
    <w:rsid w:val="00891AFD"/>
    <w:rsid w:val="00892880"/>
    <w:rsid w:val="00896779"/>
    <w:rsid w:val="008A1AAB"/>
    <w:rsid w:val="008A3905"/>
    <w:rsid w:val="008B0BE9"/>
    <w:rsid w:val="008B0D1A"/>
    <w:rsid w:val="008B557E"/>
    <w:rsid w:val="008B693B"/>
    <w:rsid w:val="008C0CED"/>
    <w:rsid w:val="008C17A0"/>
    <w:rsid w:val="008C3869"/>
    <w:rsid w:val="008C5277"/>
    <w:rsid w:val="008C5E0F"/>
    <w:rsid w:val="008C62BD"/>
    <w:rsid w:val="008C6E3F"/>
    <w:rsid w:val="008D0902"/>
    <w:rsid w:val="008D0D3F"/>
    <w:rsid w:val="008D3FD1"/>
    <w:rsid w:val="008D4D43"/>
    <w:rsid w:val="008E1B06"/>
    <w:rsid w:val="008E2C69"/>
    <w:rsid w:val="008E60DD"/>
    <w:rsid w:val="008F335A"/>
    <w:rsid w:val="008F5B77"/>
    <w:rsid w:val="008F7F07"/>
    <w:rsid w:val="009001AC"/>
    <w:rsid w:val="00900718"/>
    <w:rsid w:val="00901668"/>
    <w:rsid w:val="0090396F"/>
    <w:rsid w:val="00903D76"/>
    <w:rsid w:val="0090401A"/>
    <w:rsid w:val="00904060"/>
    <w:rsid w:val="0090511A"/>
    <w:rsid w:val="009062C1"/>
    <w:rsid w:val="00906539"/>
    <w:rsid w:val="00907213"/>
    <w:rsid w:val="00911597"/>
    <w:rsid w:val="0091373D"/>
    <w:rsid w:val="00921BC6"/>
    <w:rsid w:val="009234A0"/>
    <w:rsid w:val="00923747"/>
    <w:rsid w:val="00923AC0"/>
    <w:rsid w:val="00923EF2"/>
    <w:rsid w:val="00924A2C"/>
    <w:rsid w:val="00924BB0"/>
    <w:rsid w:val="009256BC"/>
    <w:rsid w:val="009267B0"/>
    <w:rsid w:val="00926964"/>
    <w:rsid w:val="00930DF0"/>
    <w:rsid w:val="00931DAA"/>
    <w:rsid w:val="009325EE"/>
    <w:rsid w:val="00935188"/>
    <w:rsid w:val="0094385B"/>
    <w:rsid w:val="009456B8"/>
    <w:rsid w:val="00945A18"/>
    <w:rsid w:val="00947EEF"/>
    <w:rsid w:val="00950271"/>
    <w:rsid w:val="00957336"/>
    <w:rsid w:val="0096271E"/>
    <w:rsid w:val="00963BBB"/>
    <w:rsid w:val="00964770"/>
    <w:rsid w:val="00966218"/>
    <w:rsid w:val="00966FB8"/>
    <w:rsid w:val="00967637"/>
    <w:rsid w:val="00970199"/>
    <w:rsid w:val="009707DB"/>
    <w:rsid w:val="00970C35"/>
    <w:rsid w:val="00971A7C"/>
    <w:rsid w:val="00971B3A"/>
    <w:rsid w:val="00974E28"/>
    <w:rsid w:val="009772A0"/>
    <w:rsid w:val="00977CF9"/>
    <w:rsid w:val="00977DB2"/>
    <w:rsid w:val="0098028B"/>
    <w:rsid w:val="00980C44"/>
    <w:rsid w:val="00984C6E"/>
    <w:rsid w:val="009857C6"/>
    <w:rsid w:val="009864EB"/>
    <w:rsid w:val="00986CD2"/>
    <w:rsid w:val="0099087F"/>
    <w:rsid w:val="00990E8A"/>
    <w:rsid w:val="009922FC"/>
    <w:rsid w:val="00992A89"/>
    <w:rsid w:val="00993478"/>
    <w:rsid w:val="0099454C"/>
    <w:rsid w:val="009977A8"/>
    <w:rsid w:val="009A0CDC"/>
    <w:rsid w:val="009A1479"/>
    <w:rsid w:val="009A21D7"/>
    <w:rsid w:val="009A2720"/>
    <w:rsid w:val="009A4A7D"/>
    <w:rsid w:val="009B23F2"/>
    <w:rsid w:val="009B28A0"/>
    <w:rsid w:val="009B2B4F"/>
    <w:rsid w:val="009B467C"/>
    <w:rsid w:val="009B61E0"/>
    <w:rsid w:val="009C03D0"/>
    <w:rsid w:val="009C0CE3"/>
    <w:rsid w:val="009C7525"/>
    <w:rsid w:val="009D0D1B"/>
    <w:rsid w:val="009D30EE"/>
    <w:rsid w:val="009D4A19"/>
    <w:rsid w:val="009D7BA6"/>
    <w:rsid w:val="009E20D8"/>
    <w:rsid w:val="009E246F"/>
    <w:rsid w:val="009E3B00"/>
    <w:rsid w:val="009E5FAD"/>
    <w:rsid w:val="009F17AA"/>
    <w:rsid w:val="009F4EB3"/>
    <w:rsid w:val="009F50E0"/>
    <w:rsid w:val="009F668F"/>
    <w:rsid w:val="009F73C3"/>
    <w:rsid w:val="00A021D2"/>
    <w:rsid w:val="00A02B81"/>
    <w:rsid w:val="00A02B8C"/>
    <w:rsid w:val="00A031BA"/>
    <w:rsid w:val="00A03465"/>
    <w:rsid w:val="00A04294"/>
    <w:rsid w:val="00A05259"/>
    <w:rsid w:val="00A0609D"/>
    <w:rsid w:val="00A101FF"/>
    <w:rsid w:val="00A148EF"/>
    <w:rsid w:val="00A205B1"/>
    <w:rsid w:val="00A2066C"/>
    <w:rsid w:val="00A23BBD"/>
    <w:rsid w:val="00A25CC4"/>
    <w:rsid w:val="00A25EF3"/>
    <w:rsid w:val="00A26EBC"/>
    <w:rsid w:val="00A27712"/>
    <w:rsid w:val="00A27F98"/>
    <w:rsid w:val="00A301C9"/>
    <w:rsid w:val="00A3395C"/>
    <w:rsid w:val="00A33A83"/>
    <w:rsid w:val="00A35BEA"/>
    <w:rsid w:val="00A40251"/>
    <w:rsid w:val="00A41104"/>
    <w:rsid w:val="00A41AB4"/>
    <w:rsid w:val="00A43EEA"/>
    <w:rsid w:val="00A45D89"/>
    <w:rsid w:val="00A47186"/>
    <w:rsid w:val="00A50FD5"/>
    <w:rsid w:val="00A50FD8"/>
    <w:rsid w:val="00A522B0"/>
    <w:rsid w:val="00A525B0"/>
    <w:rsid w:val="00A53E1D"/>
    <w:rsid w:val="00A54929"/>
    <w:rsid w:val="00A56ED0"/>
    <w:rsid w:val="00A572B2"/>
    <w:rsid w:val="00A60D71"/>
    <w:rsid w:val="00A62166"/>
    <w:rsid w:val="00A624B5"/>
    <w:rsid w:val="00A648A7"/>
    <w:rsid w:val="00A66B12"/>
    <w:rsid w:val="00A76904"/>
    <w:rsid w:val="00A82AD9"/>
    <w:rsid w:val="00A848C3"/>
    <w:rsid w:val="00A850C3"/>
    <w:rsid w:val="00A9314F"/>
    <w:rsid w:val="00A9415C"/>
    <w:rsid w:val="00A94A07"/>
    <w:rsid w:val="00AA0C5F"/>
    <w:rsid w:val="00AA1BF7"/>
    <w:rsid w:val="00AA3271"/>
    <w:rsid w:val="00AA3C21"/>
    <w:rsid w:val="00AA796F"/>
    <w:rsid w:val="00AB0C23"/>
    <w:rsid w:val="00AB1100"/>
    <w:rsid w:val="00AB2629"/>
    <w:rsid w:val="00AB2E25"/>
    <w:rsid w:val="00AB3912"/>
    <w:rsid w:val="00AC028B"/>
    <w:rsid w:val="00AC09BC"/>
    <w:rsid w:val="00AC0FB2"/>
    <w:rsid w:val="00AC3291"/>
    <w:rsid w:val="00AD10D7"/>
    <w:rsid w:val="00AD5236"/>
    <w:rsid w:val="00AD64BB"/>
    <w:rsid w:val="00AE3B77"/>
    <w:rsid w:val="00AE5221"/>
    <w:rsid w:val="00AF13A4"/>
    <w:rsid w:val="00AF1415"/>
    <w:rsid w:val="00AF1E46"/>
    <w:rsid w:val="00AF27E4"/>
    <w:rsid w:val="00AF6C9F"/>
    <w:rsid w:val="00AF7485"/>
    <w:rsid w:val="00AF7BE2"/>
    <w:rsid w:val="00B00463"/>
    <w:rsid w:val="00B03D2F"/>
    <w:rsid w:val="00B03DDD"/>
    <w:rsid w:val="00B057FD"/>
    <w:rsid w:val="00B0606D"/>
    <w:rsid w:val="00B07419"/>
    <w:rsid w:val="00B100CB"/>
    <w:rsid w:val="00B10E8E"/>
    <w:rsid w:val="00B10F13"/>
    <w:rsid w:val="00B11CD2"/>
    <w:rsid w:val="00B15A70"/>
    <w:rsid w:val="00B16DD7"/>
    <w:rsid w:val="00B1760E"/>
    <w:rsid w:val="00B23A3E"/>
    <w:rsid w:val="00B24A76"/>
    <w:rsid w:val="00B25075"/>
    <w:rsid w:val="00B26699"/>
    <w:rsid w:val="00B26B4D"/>
    <w:rsid w:val="00B27619"/>
    <w:rsid w:val="00B27956"/>
    <w:rsid w:val="00B317D4"/>
    <w:rsid w:val="00B41BB2"/>
    <w:rsid w:val="00B42D48"/>
    <w:rsid w:val="00B43325"/>
    <w:rsid w:val="00B44EFF"/>
    <w:rsid w:val="00B51CA3"/>
    <w:rsid w:val="00B5323B"/>
    <w:rsid w:val="00B54A98"/>
    <w:rsid w:val="00B55FB6"/>
    <w:rsid w:val="00B55FE4"/>
    <w:rsid w:val="00B560F2"/>
    <w:rsid w:val="00B564AA"/>
    <w:rsid w:val="00B56C9F"/>
    <w:rsid w:val="00B57580"/>
    <w:rsid w:val="00B61B06"/>
    <w:rsid w:val="00B634E2"/>
    <w:rsid w:val="00B63EE2"/>
    <w:rsid w:val="00B6505F"/>
    <w:rsid w:val="00B654C1"/>
    <w:rsid w:val="00B70398"/>
    <w:rsid w:val="00B7047C"/>
    <w:rsid w:val="00B7421A"/>
    <w:rsid w:val="00B775C9"/>
    <w:rsid w:val="00B8118C"/>
    <w:rsid w:val="00B83FAB"/>
    <w:rsid w:val="00B854CA"/>
    <w:rsid w:val="00B917D5"/>
    <w:rsid w:val="00B9222D"/>
    <w:rsid w:val="00B94002"/>
    <w:rsid w:val="00B9798D"/>
    <w:rsid w:val="00BA30CC"/>
    <w:rsid w:val="00BA3BDE"/>
    <w:rsid w:val="00BB0718"/>
    <w:rsid w:val="00BB1196"/>
    <w:rsid w:val="00BB4474"/>
    <w:rsid w:val="00BB46DB"/>
    <w:rsid w:val="00BB5C37"/>
    <w:rsid w:val="00BB67E5"/>
    <w:rsid w:val="00BB6B85"/>
    <w:rsid w:val="00BC388E"/>
    <w:rsid w:val="00BC411F"/>
    <w:rsid w:val="00BC643B"/>
    <w:rsid w:val="00BC73C9"/>
    <w:rsid w:val="00BC750E"/>
    <w:rsid w:val="00BD282E"/>
    <w:rsid w:val="00BD68C9"/>
    <w:rsid w:val="00BD7330"/>
    <w:rsid w:val="00BD7CED"/>
    <w:rsid w:val="00BE007E"/>
    <w:rsid w:val="00BE2DC0"/>
    <w:rsid w:val="00BE7A14"/>
    <w:rsid w:val="00BF3E0C"/>
    <w:rsid w:val="00C04575"/>
    <w:rsid w:val="00C07DA3"/>
    <w:rsid w:val="00C11990"/>
    <w:rsid w:val="00C122AE"/>
    <w:rsid w:val="00C1261A"/>
    <w:rsid w:val="00C1265F"/>
    <w:rsid w:val="00C229F4"/>
    <w:rsid w:val="00C22B90"/>
    <w:rsid w:val="00C257AC"/>
    <w:rsid w:val="00C260D3"/>
    <w:rsid w:val="00C27BE1"/>
    <w:rsid w:val="00C33530"/>
    <w:rsid w:val="00C34E1C"/>
    <w:rsid w:val="00C34EDE"/>
    <w:rsid w:val="00C35917"/>
    <w:rsid w:val="00C368FE"/>
    <w:rsid w:val="00C37174"/>
    <w:rsid w:val="00C40157"/>
    <w:rsid w:val="00C401BB"/>
    <w:rsid w:val="00C41872"/>
    <w:rsid w:val="00C42D9C"/>
    <w:rsid w:val="00C5064B"/>
    <w:rsid w:val="00C51C6E"/>
    <w:rsid w:val="00C53A0A"/>
    <w:rsid w:val="00C54D13"/>
    <w:rsid w:val="00C5770E"/>
    <w:rsid w:val="00C61D50"/>
    <w:rsid w:val="00C6281E"/>
    <w:rsid w:val="00C65823"/>
    <w:rsid w:val="00C73AF5"/>
    <w:rsid w:val="00C75789"/>
    <w:rsid w:val="00C75BA4"/>
    <w:rsid w:val="00C76088"/>
    <w:rsid w:val="00C76FE8"/>
    <w:rsid w:val="00C80F9B"/>
    <w:rsid w:val="00C8284A"/>
    <w:rsid w:val="00C838A1"/>
    <w:rsid w:val="00C8391B"/>
    <w:rsid w:val="00C861ED"/>
    <w:rsid w:val="00C87D2E"/>
    <w:rsid w:val="00CA2357"/>
    <w:rsid w:val="00CA2C63"/>
    <w:rsid w:val="00CA2F1F"/>
    <w:rsid w:val="00CA3360"/>
    <w:rsid w:val="00CA5190"/>
    <w:rsid w:val="00CB29BB"/>
    <w:rsid w:val="00CB315C"/>
    <w:rsid w:val="00CB41EB"/>
    <w:rsid w:val="00CB67D9"/>
    <w:rsid w:val="00CC589A"/>
    <w:rsid w:val="00CC699D"/>
    <w:rsid w:val="00CD1AD8"/>
    <w:rsid w:val="00CD34EC"/>
    <w:rsid w:val="00CD6236"/>
    <w:rsid w:val="00CD6DFF"/>
    <w:rsid w:val="00CE0728"/>
    <w:rsid w:val="00CE1A5F"/>
    <w:rsid w:val="00CE2451"/>
    <w:rsid w:val="00CE3D33"/>
    <w:rsid w:val="00CE4AE7"/>
    <w:rsid w:val="00CE4DAE"/>
    <w:rsid w:val="00CF1425"/>
    <w:rsid w:val="00CF1B41"/>
    <w:rsid w:val="00CF26B5"/>
    <w:rsid w:val="00CF6C93"/>
    <w:rsid w:val="00CF750A"/>
    <w:rsid w:val="00D0106F"/>
    <w:rsid w:val="00D041E1"/>
    <w:rsid w:val="00D04230"/>
    <w:rsid w:val="00D04B59"/>
    <w:rsid w:val="00D07252"/>
    <w:rsid w:val="00D103CB"/>
    <w:rsid w:val="00D11FC9"/>
    <w:rsid w:val="00D127E4"/>
    <w:rsid w:val="00D12EA7"/>
    <w:rsid w:val="00D17BFC"/>
    <w:rsid w:val="00D227B6"/>
    <w:rsid w:val="00D23C7A"/>
    <w:rsid w:val="00D279CC"/>
    <w:rsid w:val="00D31FB0"/>
    <w:rsid w:val="00D32DC8"/>
    <w:rsid w:val="00D337F9"/>
    <w:rsid w:val="00D342E2"/>
    <w:rsid w:val="00D42412"/>
    <w:rsid w:val="00D448B6"/>
    <w:rsid w:val="00D50397"/>
    <w:rsid w:val="00D51867"/>
    <w:rsid w:val="00D52550"/>
    <w:rsid w:val="00D52CA3"/>
    <w:rsid w:val="00D55E44"/>
    <w:rsid w:val="00D57F07"/>
    <w:rsid w:val="00D61307"/>
    <w:rsid w:val="00D6149E"/>
    <w:rsid w:val="00D61663"/>
    <w:rsid w:val="00D661FD"/>
    <w:rsid w:val="00D667DC"/>
    <w:rsid w:val="00D66D7E"/>
    <w:rsid w:val="00D708E4"/>
    <w:rsid w:val="00D7509B"/>
    <w:rsid w:val="00D753B0"/>
    <w:rsid w:val="00D77B9B"/>
    <w:rsid w:val="00D810B9"/>
    <w:rsid w:val="00D81CB5"/>
    <w:rsid w:val="00D82AC6"/>
    <w:rsid w:val="00D83EC5"/>
    <w:rsid w:val="00D85E6B"/>
    <w:rsid w:val="00D86137"/>
    <w:rsid w:val="00D9117A"/>
    <w:rsid w:val="00D92B39"/>
    <w:rsid w:val="00D93BDC"/>
    <w:rsid w:val="00D94E87"/>
    <w:rsid w:val="00D9505B"/>
    <w:rsid w:val="00D95DFA"/>
    <w:rsid w:val="00DA352F"/>
    <w:rsid w:val="00DB076E"/>
    <w:rsid w:val="00DB1346"/>
    <w:rsid w:val="00DB2E98"/>
    <w:rsid w:val="00DB4B9A"/>
    <w:rsid w:val="00DB4E4F"/>
    <w:rsid w:val="00DB54FE"/>
    <w:rsid w:val="00DB598B"/>
    <w:rsid w:val="00DB5FDB"/>
    <w:rsid w:val="00DB65A3"/>
    <w:rsid w:val="00DC04B8"/>
    <w:rsid w:val="00DC0B2F"/>
    <w:rsid w:val="00DC2694"/>
    <w:rsid w:val="00DC3934"/>
    <w:rsid w:val="00DC4E03"/>
    <w:rsid w:val="00DC745E"/>
    <w:rsid w:val="00DD0AB4"/>
    <w:rsid w:val="00DD0E97"/>
    <w:rsid w:val="00DD1449"/>
    <w:rsid w:val="00DD20CD"/>
    <w:rsid w:val="00DD4458"/>
    <w:rsid w:val="00DD46E9"/>
    <w:rsid w:val="00DD4984"/>
    <w:rsid w:val="00DD7D03"/>
    <w:rsid w:val="00DE1781"/>
    <w:rsid w:val="00DE2DC6"/>
    <w:rsid w:val="00DE3163"/>
    <w:rsid w:val="00DE5EFA"/>
    <w:rsid w:val="00DF1468"/>
    <w:rsid w:val="00DF1C25"/>
    <w:rsid w:val="00DF3669"/>
    <w:rsid w:val="00DF463B"/>
    <w:rsid w:val="00E00127"/>
    <w:rsid w:val="00E00A81"/>
    <w:rsid w:val="00E12E22"/>
    <w:rsid w:val="00E13017"/>
    <w:rsid w:val="00E157D4"/>
    <w:rsid w:val="00E17662"/>
    <w:rsid w:val="00E21AED"/>
    <w:rsid w:val="00E23446"/>
    <w:rsid w:val="00E2351E"/>
    <w:rsid w:val="00E23F53"/>
    <w:rsid w:val="00E25544"/>
    <w:rsid w:val="00E25C8A"/>
    <w:rsid w:val="00E2695D"/>
    <w:rsid w:val="00E32443"/>
    <w:rsid w:val="00E32A11"/>
    <w:rsid w:val="00E32DA3"/>
    <w:rsid w:val="00E3590C"/>
    <w:rsid w:val="00E363A7"/>
    <w:rsid w:val="00E3673B"/>
    <w:rsid w:val="00E37409"/>
    <w:rsid w:val="00E418F7"/>
    <w:rsid w:val="00E436A2"/>
    <w:rsid w:val="00E43C12"/>
    <w:rsid w:val="00E45B28"/>
    <w:rsid w:val="00E5032E"/>
    <w:rsid w:val="00E50B91"/>
    <w:rsid w:val="00E554B9"/>
    <w:rsid w:val="00E56C06"/>
    <w:rsid w:val="00E57027"/>
    <w:rsid w:val="00E57129"/>
    <w:rsid w:val="00E578A3"/>
    <w:rsid w:val="00E57B08"/>
    <w:rsid w:val="00E60E4A"/>
    <w:rsid w:val="00E6141B"/>
    <w:rsid w:val="00E638F9"/>
    <w:rsid w:val="00E63B75"/>
    <w:rsid w:val="00E664BF"/>
    <w:rsid w:val="00E667DC"/>
    <w:rsid w:val="00E67C42"/>
    <w:rsid w:val="00E72455"/>
    <w:rsid w:val="00E76485"/>
    <w:rsid w:val="00E77F70"/>
    <w:rsid w:val="00E86B64"/>
    <w:rsid w:val="00E87247"/>
    <w:rsid w:val="00E9096F"/>
    <w:rsid w:val="00E91BC2"/>
    <w:rsid w:val="00E9234F"/>
    <w:rsid w:val="00E93E8C"/>
    <w:rsid w:val="00E94137"/>
    <w:rsid w:val="00E94E3B"/>
    <w:rsid w:val="00E96935"/>
    <w:rsid w:val="00E96A34"/>
    <w:rsid w:val="00EA1405"/>
    <w:rsid w:val="00EA26E2"/>
    <w:rsid w:val="00EA6BA6"/>
    <w:rsid w:val="00EA7CD6"/>
    <w:rsid w:val="00EB2732"/>
    <w:rsid w:val="00EB2999"/>
    <w:rsid w:val="00EB2B45"/>
    <w:rsid w:val="00EB6350"/>
    <w:rsid w:val="00EB7208"/>
    <w:rsid w:val="00EC443E"/>
    <w:rsid w:val="00EC656B"/>
    <w:rsid w:val="00ED182B"/>
    <w:rsid w:val="00ED3754"/>
    <w:rsid w:val="00ED4370"/>
    <w:rsid w:val="00ED6876"/>
    <w:rsid w:val="00EE17CC"/>
    <w:rsid w:val="00EE3FE2"/>
    <w:rsid w:val="00EE495F"/>
    <w:rsid w:val="00EE4E44"/>
    <w:rsid w:val="00EE5DC0"/>
    <w:rsid w:val="00EF0F64"/>
    <w:rsid w:val="00EF1047"/>
    <w:rsid w:val="00EF3A07"/>
    <w:rsid w:val="00EF4A70"/>
    <w:rsid w:val="00F03491"/>
    <w:rsid w:val="00F057AD"/>
    <w:rsid w:val="00F079C1"/>
    <w:rsid w:val="00F146BF"/>
    <w:rsid w:val="00F14B37"/>
    <w:rsid w:val="00F17A38"/>
    <w:rsid w:val="00F2354E"/>
    <w:rsid w:val="00F27FFA"/>
    <w:rsid w:val="00F31315"/>
    <w:rsid w:val="00F3138B"/>
    <w:rsid w:val="00F32CB0"/>
    <w:rsid w:val="00F33C59"/>
    <w:rsid w:val="00F35611"/>
    <w:rsid w:val="00F412F9"/>
    <w:rsid w:val="00F41F35"/>
    <w:rsid w:val="00F4728D"/>
    <w:rsid w:val="00F502BD"/>
    <w:rsid w:val="00F54ED1"/>
    <w:rsid w:val="00F5620C"/>
    <w:rsid w:val="00F61937"/>
    <w:rsid w:val="00F64C7F"/>
    <w:rsid w:val="00F660D5"/>
    <w:rsid w:val="00F70601"/>
    <w:rsid w:val="00F70A85"/>
    <w:rsid w:val="00F71324"/>
    <w:rsid w:val="00F75837"/>
    <w:rsid w:val="00F779E1"/>
    <w:rsid w:val="00F82121"/>
    <w:rsid w:val="00F8746E"/>
    <w:rsid w:val="00F9486B"/>
    <w:rsid w:val="00F95905"/>
    <w:rsid w:val="00F9762F"/>
    <w:rsid w:val="00FA2233"/>
    <w:rsid w:val="00FA36C8"/>
    <w:rsid w:val="00FA50F8"/>
    <w:rsid w:val="00FA56A7"/>
    <w:rsid w:val="00FA779A"/>
    <w:rsid w:val="00FA79BF"/>
    <w:rsid w:val="00FAA1E1"/>
    <w:rsid w:val="00FB099D"/>
    <w:rsid w:val="00FB205A"/>
    <w:rsid w:val="00FB2C8F"/>
    <w:rsid w:val="00FB382C"/>
    <w:rsid w:val="00FB48F1"/>
    <w:rsid w:val="00FB54BA"/>
    <w:rsid w:val="00FC22D0"/>
    <w:rsid w:val="00FC622C"/>
    <w:rsid w:val="00FD2A67"/>
    <w:rsid w:val="00FD79D4"/>
    <w:rsid w:val="00FE1F2C"/>
    <w:rsid w:val="00FE25E8"/>
    <w:rsid w:val="00FE289A"/>
    <w:rsid w:val="00FE3466"/>
    <w:rsid w:val="00FE69B4"/>
    <w:rsid w:val="00FF0DB0"/>
    <w:rsid w:val="00FF1E0A"/>
    <w:rsid w:val="00FF4475"/>
    <w:rsid w:val="00FF4A62"/>
    <w:rsid w:val="00FF4D76"/>
    <w:rsid w:val="00FF7143"/>
    <w:rsid w:val="0220B14F"/>
    <w:rsid w:val="02602883"/>
    <w:rsid w:val="026343C1"/>
    <w:rsid w:val="02692C78"/>
    <w:rsid w:val="02834DEF"/>
    <w:rsid w:val="02F5C000"/>
    <w:rsid w:val="02FCF6F4"/>
    <w:rsid w:val="03372FC6"/>
    <w:rsid w:val="037508E9"/>
    <w:rsid w:val="03AB7EF2"/>
    <w:rsid w:val="03ABFAEF"/>
    <w:rsid w:val="045689C6"/>
    <w:rsid w:val="04759733"/>
    <w:rsid w:val="0497B3AF"/>
    <w:rsid w:val="0502A306"/>
    <w:rsid w:val="05A6DBC7"/>
    <w:rsid w:val="05B29583"/>
    <w:rsid w:val="05B32C91"/>
    <w:rsid w:val="05B4C315"/>
    <w:rsid w:val="05C3D05A"/>
    <w:rsid w:val="060B8B7D"/>
    <w:rsid w:val="060DABBD"/>
    <w:rsid w:val="061B3B78"/>
    <w:rsid w:val="068724AD"/>
    <w:rsid w:val="068D90B9"/>
    <w:rsid w:val="06A4A723"/>
    <w:rsid w:val="06C8CC1F"/>
    <w:rsid w:val="072121D7"/>
    <w:rsid w:val="074D2CC9"/>
    <w:rsid w:val="07506F65"/>
    <w:rsid w:val="075BE1E5"/>
    <w:rsid w:val="0765E352"/>
    <w:rsid w:val="076CD749"/>
    <w:rsid w:val="07935410"/>
    <w:rsid w:val="082A7539"/>
    <w:rsid w:val="08831EDD"/>
    <w:rsid w:val="088AF812"/>
    <w:rsid w:val="08EDA21D"/>
    <w:rsid w:val="09197D38"/>
    <w:rsid w:val="09454C7F"/>
    <w:rsid w:val="09A3DD06"/>
    <w:rsid w:val="0A68DF85"/>
    <w:rsid w:val="0A96112A"/>
    <w:rsid w:val="0AB5C48E"/>
    <w:rsid w:val="0ADD1D95"/>
    <w:rsid w:val="0AF1350A"/>
    <w:rsid w:val="0C6BB26A"/>
    <w:rsid w:val="0CA4F321"/>
    <w:rsid w:val="0D801BE3"/>
    <w:rsid w:val="0DEBF4F7"/>
    <w:rsid w:val="0EB67197"/>
    <w:rsid w:val="0F1C61D8"/>
    <w:rsid w:val="0F2047AB"/>
    <w:rsid w:val="0F2AB8AF"/>
    <w:rsid w:val="0F6BA480"/>
    <w:rsid w:val="0F7825A1"/>
    <w:rsid w:val="0FEA18A7"/>
    <w:rsid w:val="10031106"/>
    <w:rsid w:val="1118AEE8"/>
    <w:rsid w:val="11763246"/>
    <w:rsid w:val="11862E2F"/>
    <w:rsid w:val="11948B0A"/>
    <w:rsid w:val="11F760A5"/>
    <w:rsid w:val="1286A305"/>
    <w:rsid w:val="128FF9F5"/>
    <w:rsid w:val="12AA40E8"/>
    <w:rsid w:val="12C1E708"/>
    <w:rsid w:val="13394EA8"/>
    <w:rsid w:val="13493016"/>
    <w:rsid w:val="137B149A"/>
    <w:rsid w:val="13CBC440"/>
    <w:rsid w:val="1402F4E3"/>
    <w:rsid w:val="1423B9B7"/>
    <w:rsid w:val="14879A10"/>
    <w:rsid w:val="14BA1539"/>
    <w:rsid w:val="15228771"/>
    <w:rsid w:val="15B49CAA"/>
    <w:rsid w:val="15DB5B7B"/>
    <w:rsid w:val="15E1E1AA"/>
    <w:rsid w:val="160E8DE7"/>
    <w:rsid w:val="163D70B2"/>
    <w:rsid w:val="17A8961D"/>
    <w:rsid w:val="17C7B802"/>
    <w:rsid w:val="17CAA39D"/>
    <w:rsid w:val="17CE1838"/>
    <w:rsid w:val="17E5B75C"/>
    <w:rsid w:val="17E99904"/>
    <w:rsid w:val="17FB798A"/>
    <w:rsid w:val="1929570F"/>
    <w:rsid w:val="1948DE3B"/>
    <w:rsid w:val="19AFD081"/>
    <w:rsid w:val="19F940FD"/>
    <w:rsid w:val="1A2B321E"/>
    <w:rsid w:val="1A3DA67D"/>
    <w:rsid w:val="1A68A1B6"/>
    <w:rsid w:val="1A8EEB1C"/>
    <w:rsid w:val="1AC44DD2"/>
    <w:rsid w:val="1B2311C5"/>
    <w:rsid w:val="1B2B379C"/>
    <w:rsid w:val="1B4C2FF9"/>
    <w:rsid w:val="1B6457E3"/>
    <w:rsid w:val="1B9E718B"/>
    <w:rsid w:val="1C51232E"/>
    <w:rsid w:val="1C5F9BEB"/>
    <w:rsid w:val="1C9EB304"/>
    <w:rsid w:val="1CE01409"/>
    <w:rsid w:val="1D1F731A"/>
    <w:rsid w:val="1D23D03E"/>
    <w:rsid w:val="1D635228"/>
    <w:rsid w:val="1D7BAA11"/>
    <w:rsid w:val="1E0C4F9A"/>
    <w:rsid w:val="1E10754F"/>
    <w:rsid w:val="1EAA9669"/>
    <w:rsid w:val="1F184AE6"/>
    <w:rsid w:val="1F88C3F0"/>
    <w:rsid w:val="20209313"/>
    <w:rsid w:val="203044ED"/>
    <w:rsid w:val="204E7943"/>
    <w:rsid w:val="20519E47"/>
    <w:rsid w:val="20C62E92"/>
    <w:rsid w:val="214B4EF9"/>
    <w:rsid w:val="2195B21B"/>
    <w:rsid w:val="219D0996"/>
    <w:rsid w:val="21ADDC45"/>
    <w:rsid w:val="22131D7D"/>
    <w:rsid w:val="2314429A"/>
    <w:rsid w:val="23C36C6A"/>
    <w:rsid w:val="240995CC"/>
    <w:rsid w:val="24A593D3"/>
    <w:rsid w:val="2500F945"/>
    <w:rsid w:val="25744BD1"/>
    <w:rsid w:val="258A10B8"/>
    <w:rsid w:val="261F3DB1"/>
    <w:rsid w:val="2653581C"/>
    <w:rsid w:val="2659DE6F"/>
    <w:rsid w:val="26DA9C9C"/>
    <w:rsid w:val="2704AE57"/>
    <w:rsid w:val="2764B7D9"/>
    <w:rsid w:val="27A58382"/>
    <w:rsid w:val="27C47BFC"/>
    <w:rsid w:val="27E70EA6"/>
    <w:rsid w:val="27FDF761"/>
    <w:rsid w:val="2805F399"/>
    <w:rsid w:val="287BEC6C"/>
    <w:rsid w:val="2885F0C2"/>
    <w:rsid w:val="29F5C856"/>
    <w:rsid w:val="29FE3DFE"/>
    <w:rsid w:val="2A24CA5C"/>
    <w:rsid w:val="2A541C2F"/>
    <w:rsid w:val="2AB3C9CB"/>
    <w:rsid w:val="2AD331B9"/>
    <w:rsid w:val="2CA44D10"/>
    <w:rsid w:val="2D80E430"/>
    <w:rsid w:val="2DA41B05"/>
    <w:rsid w:val="2E0CA134"/>
    <w:rsid w:val="2E301153"/>
    <w:rsid w:val="2E7BF1A4"/>
    <w:rsid w:val="2EB17DC8"/>
    <w:rsid w:val="2EF24DAD"/>
    <w:rsid w:val="2FAA0095"/>
    <w:rsid w:val="2FE0E599"/>
    <w:rsid w:val="3058B337"/>
    <w:rsid w:val="3062DBE4"/>
    <w:rsid w:val="306DD5F4"/>
    <w:rsid w:val="30BF1FC5"/>
    <w:rsid w:val="3111798B"/>
    <w:rsid w:val="316DF035"/>
    <w:rsid w:val="32232C12"/>
    <w:rsid w:val="3229EE6F"/>
    <w:rsid w:val="32309C76"/>
    <w:rsid w:val="324CE715"/>
    <w:rsid w:val="32CA3BA8"/>
    <w:rsid w:val="32F047C3"/>
    <w:rsid w:val="32FC79BD"/>
    <w:rsid w:val="3314B527"/>
    <w:rsid w:val="33176960"/>
    <w:rsid w:val="3376ADE1"/>
    <w:rsid w:val="34C2D2C4"/>
    <w:rsid w:val="35ABD761"/>
    <w:rsid w:val="35E41C5D"/>
    <w:rsid w:val="364EBD41"/>
    <w:rsid w:val="36B29D12"/>
    <w:rsid w:val="36E75317"/>
    <w:rsid w:val="37205838"/>
    <w:rsid w:val="375536B7"/>
    <w:rsid w:val="3766320D"/>
    <w:rsid w:val="377959D7"/>
    <w:rsid w:val="3779D126"/>
    <w:rsid w:val="37940B4E"/>
    <w:rsid w:val="37FAF2CE"/>
    <w:rsid w:val="384FBF15"/>
    <w:rsid w:val="3995B7E0"/>
    <w:rsid w:val="3996C32F"/>
    <w:rsid w:val="39A07622"/>
    <w:rsid w:val="39A11CA8"/>
    <w:rsid w:val="39E66D20"/>
    <w:rsid w:val="3A25147D"/>
    <w:rsid w:val="3A4C3491"/>
    <w:rsid w:val="3A79BF49"/>
    <w:rsid w:val="3AB584A3"/>
    <w:rsid w:val="3AD05060"/>
    <w:rsid w:val="3AD804CE"/>
    <w:rsid w:val="3AE1820E"/>
    <w:rsid w:val="3B329390"/>
    <w:rsid w:val="3B72F5BF"/>
    <w:rsid w:val="3C12E5F2"/>
    <w:rsid w:val="3C1D7D30"/>
    <w:rsid w:val="3C825717"/>
    <w:rsid w:val="3CA3971B"/>
    <w:rsid w:val="3D11DA57"/>
    <w:rsid w:val="3D1B5468"/>
    <w:rsid w:val="3D4B4FA7"/>
    <w:rsid w:val="3D4B5410"/>
    <w:rsid w:val="3D57098E"/>
    <w:rsid w:val="3D9FDCA1"/>
    <w:rsid w:val="3DFB7A88"/>
    <w:rsid w:val="3E437EBA"/>
    <w:rsid w:val="3EFD1128"/>
    <w:rsid w:val="3F5DF745"/>
    <w:rsid w:val="3FD656BD"/>
    <w:rsid w:val="3FE078C0"/>
    <w:rsid w:val="4015FE40"/>
    <w:rsid w:val="4025953A"/>
    <w:rsid w:val="408BE744"/>
    <w:rsid w:val="4097F8B4"/>
    <w:rsid w:val="40A2C29E"/>
    <w:rsid w:val="40A6D115"/>
    <w:rsid w:val="41E1DFE0"/>
    <w:rsid w:val="42111DCB"/>
    <w:rsid w:val="42F2BF96"/>
    <w:rsid w:val="42F568DA"/>
    <w:rsid w:val="430D18CD"/>
    <w:rsid w:val="4346F1E7"/>
    <w:rsid w:val="43E218BA"/>
    <w:rsid w:val="442B5A53"/>
    <w:rsid w:val="445044EB"/>
    <w:rsid w:val="448E7F9C"/>
    <w:rsid w:val="44FB99C4"/>
    <w:rsid w:val="45269622"/>
    <w:rsid w:val="459D655D"/>
    <w:rsid w:val="45A8D8E2"/>
    <w:rsid w:val="465989C9"/>
    <w:rsid w:val="467F6733"/>
    <w:rsid w:val="46FB28C8"/>
    <w:rsid w:val="47076B42"/>
    <w:rsid w:val="473C65F1"/>
    <w:rsid w:val="4782A53C"/>
    <w:rsid w:val="47FBDE3D"/>
    <w:rsid w:val="480A353A"/>
    <w:rsid w:val="483E9259"/>
    <w:rsid w:val="487DD0CC"/>
    <w:rsid w:val="48830D29"/>
    <w:rsid w:val="48C557A1"/>
    <w:rsid w:val="48F51BC8"/>
    <w:rsid w:val="48F9949F"/>
    <w:rsid w:val="49A6F2AC"/>
    <w:rsid w:val="4A19A12D"/>
    <w:rsid w:val="4A1D850F"/>
    <w:rsid w:val="4A60B54B"/>
    <w:rsid w:val="4B5AFE59"/>
    <w:rsid w:val="4B618155"/>
    <w:rsid w:val="4BB8535C"/>
    <w:rsid w:val="4BBD3374"/>
    <w:rsid w:val="4BDB580B"/>
    <w:rsid w:val="4BDDA10A"/>
    <w:rsid w:val="4BEEC459"/>
    <w:rsid w:val="4C59092C"/>
    <w:rsid w:val="4CE4133A"/>
    <w:rsid w:val="4CFD1DA2"/>
    <w:rsid w:val="4D0DEB8B"/>
    <w:rsid w:val="4D5CEE4B"/>
    <w:rsid w:val="4E296415"/>
    <w:rsid w:val="4E7724C3"/>
    <w:rsid w:val="4ED9D10A"/>
    <w:rsid w:val="4EDDE3F5"/>
    <w:rsid w:val="4EEDDA6B"/>
    <w:rsid w:val="4F247364"/>
    <w:rsid w:val="4F30FFEA"/>
    <w:rsid w:val="4FA68466"/>
    <w:rsid w:val="4FC9D605"/>
    <w:rsid w:val="5041383E"/>
    <w:rsid w:val="504C3A6F"/>
    <w:rsid w:val="505140E3"/>
    <w:rsid w:val="50A9A138"/>
    <w:rsid w:val="51465F03"/>
    <w:rsid w:val="51466D04"/>
    <w:rsid w:val="5178F2C8"/>
    <w:rsid w:val="5185967A"/>
    <w:rsid w:val="51C2F901"/>
    <w:rsid w:val="51CA3FDD"/>
    <w:rsid w:val="52398D7D"/>
    <w:rsid w:val="530EE7B2"/>
    <w:rsid w:val="531E6FC2"/>
    <w:rsid w:val="53A139BB"/>
    <w:rsid w:val="53AF541C"/>
    <w:rsid w:val="53CD3B0D"/>
    <w:rsid w:val="54076C83"/>
    <w:rsid w:val="549BF0CD"/>
    <w:rsid w:val="549BF790"/>
    <w:rsid w:val="54AA1813"/>
    <w:rsid w:val="55E3C7C1"/>
    <w:rsid w:val="55F74746"/>
    <w:rsid w:val="5619DE27"/>
    <w:rsid w:val="56516E8D"/>
    <w:rsid w:val="56BD77E1"/>
    <w:rsid w:val="56F8D224"/>
    <w:rsid w:val="5707A2CC"/>
    <w:rsid w:val="571FB74D"/>
    <w:rsid w:val="57D2378C"/>
    <w:rsid w:val="57F24802"/>
    <w:rsid w:val="581C7C3F"/>
    <w:rsid w:val="583A198F"/>
    <w:rsid w:val="587886CE"/>
    <w:rsid w:val="58839346"/>
    <w:rsid w:val="58A038D7"/>
    <w:rsid w:val="58B761DC"/>
    <w:rsid w:val="58DAC5DB"/>
    <w:rsid w:val="58F364E6"/>
    <w:rsid w:val="591DC0E1"/>
    <w:rsid w:val="5944AFD8"/>
    <w:rsid w:val="598A6065"/>
    <w:rsid w:val="59A6C9CC"/>
    <w:rsid w:val="59C48CEE"/>
    <w:rsid w:val="5A237E74"/>
    <w:rsid w:val="5A291EC1"/>
    <w:rsid w:val="5B1ABBD0"/>
    <w:rsid w:val="5B398714"/>
    <w:rsid w:val="5B6A2988"/>
    <w:rsid w:val="5B7BC85F"/>
    <w:rsid w:val="5BB341D7"/>
    <w:rsid w:val="5BC1C198"/>
    <w:rsid w:val="5BDBDC3C"/>
    <w:rsid w:val="5BE68B6A"/>
    <w:rsid w:val="5C5C8472"/>
    <w:rsid w:val="5C6B32EC"/>
    <w:rsid w:val="5C73C802"/>
    <w:rsid w:val="5CAA0501"/>
    <w:rsid w:val="5D02990B"/>
    <w:rsid w:val="5DAA7798"/>
    <w:rsid w:val="5DB424E0"/>
    <w:rsid w:val="5DC8021B"/>
    <w:rsid w:val="5DF07408"/>
    <w:rsid w:val="5E323677"/>
    <w:rsid w:val="5E4626E2"/>
    <w:rsid w:val="5E85E13C"/>
    <w:rsid w:val="5FA59935"/>
    <w:rsid w:val="5FDDD0B0"/>
    <w:rsid w:val="606D9591"/>
    <w:rsid w:val="60CA2B06"/>
    <w:rsid w:val="611F9216"/>
    <w:rsid w:val="61CF28D0"/>
    <w:rsid w:val="62033986"/>
    <w:rsid w:val="6228090D"/>
    <w:rsid w:val="6274311F"/>
    <w:rsid w:val="62B0DFA5"/>
    <w:rsid w:val="62F55DEE"/>
    <w:rsid w:val="630D248E"/>
    <w:rsid w:val="6375723A"/>
    <w:rsid w:val="63849E0D"/>
    <w:rsid w:val="63A32C3E"/>
    <w:rsid w:val="63CCE165"/>
    <w:rsid w:val="63FBB864"/>
    <w:rsid w:val="646202DE"/>
    <w:rsid w:val="64A05F36"/>
    <w:rsid w:val="65816B06"/>
    <w:rsid w:val="65826390"/>
    <w:rsid w:val="65DCD72B"/>
    <w:rsid w:val="666D5A4E"/>
    <w:rsid w:val="66CB41A0"/>
    <w:rsid w:val="66FF8712"/>
    <w:rsid w:val="671EEC89"/>
    <w:rsid w:val="6729E676"/>
    <w:rsid w:val="679F1C03"/>
    <w:rsid w:val="67A6CCFD"/>
    <w:rsid w:val="67D777E9"/>
    <w:rsid w:val="67DFEAB9"/>
    <w:rsid w:val="68A6AC88"/>
    <w:rsid w:val="68ABFC6A"/>
    <w:rsid w:val="68C972A0"/>
    <w:rsid w:val="69905F52"/>
    <w:rsid w:val="69A4FB10"/>
    <w:rsid w:val="69C11258"/>
    <w:rsid w:val="69C93B43"/>
    <w:rsid w:val="69FDFA8C"/>
    <w:rsid w:val="6A2ECC05"/>
    <w:rsid w:val="6B05C802"/>
    <w:rsid w:val="6B686193"/>
    <w:rsid w:val="6BAF7EAF"/>
    <w:rsid w:val="6BD9D2B3"/>
    <w:rsid w:val="6C040831"/>
    <w:rsid w:val="6C33316F"/>
    <w:rsid w:val="6CB99057"/>
    <w:rsid w:val="6D435C77"/>
    <w:rsid w:val="6D649C13"/>
    <w:rsid w:val="6D79E9DE"/>
    <w:rsid w:val="6D823AFC"/>
    <w:rsid w:val="6DA32B9F"/>
    <w:rsid w:val="6DBE44F8"/>
    <w:rsid w:val="6DF3576B"/>
    <w:rsid w:val="6E1700C5"/>
    <w:rsid w:val="6E2BFC96"/>
    <w:rsid w:val="6E99BC90"/>
    <w:rsid w:val="6F583FCD"/>
    <w:rsid w:val="6F5E54B9"/>
    <w:rsid w:val="6FD44DC1"/>
    <w:rsid w:val="6FEBF0E7"/>
    <w:rsid w:val="70039142"/>
    <w:rsid w:val="701FEFEC"/>
    <w:rsid w:val="7091956A"/>
    <w:rsid w:val="70B5BF56"/>
    <w:rsid w:val="710029AA"/>
    <w:rsid w:val="7197B261"/>
    <w:rsid w:val="71C25DFE"/>
    <w:rsid w:val="72770394"/>
    <w:rsid w:val="730018AF"/>
    <w:rsid w:val="733382C2"/>
    <w:rsid w:val="73ED2E9A"/>
    <w:rsid w:val="73EE63D6"/>
    <w:rsid w:val="747C7B8C"/>
    <w:rsid w:val="74B275CD"/>
    <w:rsid w:val="74D53A3A"/>
    <w:rsid w:val="74DC1FAF"/>
    <w:rsid w:val="75324699"/>
    <w:rsid w:val="7540B8FB"/>
    <w:rsid w:val="756ED024"/>
    <w:rsid w:val="7578FBF8"/>
    <w:rsid w:val="7797AE71"/>
    <w:rsid w:val="77A96311"/>
    <w:rsid w:val="77B89ABC"/>
    <w:rsid w:val="77C56C21"/>
    <w:rsid w:val="7856C45A"/>
    <w:rsid w:val="7877D45D"/>
    <w:rsid w:val="7AEFD298"/>
    <w:rsid w:val="7BAC7509"/>
    <w:rsid w:val="7BCF5CB0"/>
    <w:rsid w:val="7BD77F79"/>
    <w:rsid w:val="7BF41698"/>
    <w:rsid w:val="7CBFA9B3"/>
    <w:rsid w:val="7CC522FF"/>
    <w:rsid w:val="7D2028D5"/>
    <w:rsid w:val="7D34B494"/>
    <w:rsid w:val="7DA6E458"/>
    <w:rsid w:val="7DEF619B"/>
    <w:rsid w:val="7DF20074"/>
    <w:rsid w:val="7E192C02"/>
    <w:rsid w:val="7E5B7A14"/>
    <w:rsid w:val="7EBAE371"/>
    <w:rsid w:val="7F13CF84"/>
    <w:rsid w:val="7F207D3E"/>
    <w:rsid w:val="7F4022A5"/>
    <w:rsid w:val="7F8FFAFB"/>
    <w:rsid w:val="7FC9D410"/>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5ED20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C750E"/>
    <w:pPr>
      <w:keepNext/>
      <w:numPr>
        <w:numId w:val="11"/>
      </w:numPr>
      <w:spacing w:before="360" w:after="120" w:line="240" w:lineRule="auto"/>
      <w:jc w:val="both"/>
      <w:outlineLvl w:val="0"/>
    </w:pPr>
    <w:rPr>
      <w:rFonts w:ascii="Times New Roman" w:eastAsiaTheme="majorEastAsia" w:hAnsi="Times New Roman" w:cs="Times New Roman"/>
      <w:b/>
      <w:bCs/>
      <w:smallCaps/>
      <w:sz w:val="24"/>
      <w:szCs w:val="28"/>
    </w:rPr>
  </w:style>
  <w:style w:type="paragraph" w:styleId="Heading2">
    <w:name w:val="heading 2"/>
    <w:basedOn w:val="Normal"/>
    <w:next w:val="Normal"/>
    <w:link w:val="Heading2Char"/>
    <w:uiPriority w:val="9"/>
    <w:semiHidden/>
    <w:unhideWhenUsed/>
    <w:qFormat/>
    <w:rsid w:val="00BC750E"/>
    <w:pPr>
      <w:keepNext/>
      <w:numPr>
        <w:ilvl w:val="1"/>
        <w:numId w:val="12"/>
      </w:numPr>
      <w:spacing w:before="120" w:after="120" w:line="240" w:lineRule="auto"/>
      <w:jc w:val="both"/>
      <w:outlineLvl w:val="1"/>
    </w:pPr>
    <w:rPr>
      <w:rFonts w:ascii="Times New Roman" w:eastAsiaTheme="majorEastAsia" w:hAnsi="Times New Roman" w:cs="Times New Roman"/>
      <w:b/>
      <w:bCs/>
      <w:sz w:val="24"/>
      <w:szCs w:val="26"/>
    </w:rPr>
  </w:style>
  <w:style w:type="paragraph" w:styleId="Heading3">
    <w:name w:val="heading 3"/>
    <w:basedOn w:val="Normal"/>
    <w:next w:val="Normal"/>
    <w:link w:val="Heading3Char"/>
    <w:uiPriority w:val="9"/>
    <w:semiHidden/>
    <w:unhideWhenUsed/>
    <w:qFormat/>
    <w:rsid w:val="00BC750E"/>
    <w:pPr>
      <w:keepNext/>
      <w:numPr>
        <w:ilvl w:val="2"/>
        <w:numId w:val="12"/>
      </w:numPr>
      <w:tabs>
        <w:tab w:val="clear" w:pos="850"/>
        <w:tab w:val="num" w:pos="926"/>
      </w:tabs>
      <w:spacing w:before="120" w:after="120" w:line="240" w:lineRule="auto"/>
      <w:ind w:left="926" w:hanging="360"/>
      <w:jc w:val="both"/>
      <w:outlineLvl w:val="2"/>
    </w:pPr>
    <w:rPr>
      <w:rFonts w:ascii="Times New Roman" w:eastAsiaTheme="majorEastAsia" w:hAnsi="Times New Roman" w:cs="Times New Roman"/>
      <w:bCs/>
      <w:i/>
      <w:sz w:val="24"/>
    </w:rPr>
  </w:style>
  <w:style w:type="paragraph" w:styleId="Heading4">
    <w:name w:val="heading 4"/>
    <w:basedOn w:val="Normal"/>
    <w:next w:val="Normal"/>
    <w:link w:val="Heading4Char"/>
    <w:uiPriority w:val="9"/>
    <w:semiHidden/>
    <w:unhideWhenUsed/>
    <w:qFormat/>
    <w:rsid w:val="00BC750E"/>
    <w:pPr>
      <w:keepNext/>
      <w:numPr>
        <w:ilvl w:val="3"/>
        <w:numId w:val="12"/>
      </w:numPr>
      <w:tabs>
        <w:tab w:val="clear" w:pos="850"/>
        <w:tab w:val="num" w:pos="926"/>
      </w:tabs>
      <w:spacing w:before="120" w:after="120" w:line="240" w:lineRule="auto"/>
      <w:ind w:left="926" w:hanging="360"/>
      <w:jc w:val="both"/>
      <w:outlineLvl w:val="3"/>
    </w:pPr>
    <w:rPr>
      <w:rFonts w:ascii="Times New Roman" w:eastAsiaTheme="majorEastAsia"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rsid w:val="00BC750E"/>
    <w:pPr>
      <w:spacing w:after="240" w:line="240" w:lineRule="auto"/>
      <w:jc w:val="center"/>
    </w:pPr>
    <w:rPr>
      <w:rFonts w:ascii="Times New Roman" w:hAnsi="Times New Roman" w:cs="Times New Roman"/>
      <w:b/>
      <w:i/>
      <w:sz w:val="24"/>
    </w:rPr>
  </w:style>
  <w:style w:type="paragraph" w:customStyle="1" w:styleId="AccompagnantPagedecouverture">
    <w:name w:val="Accompagnant (Page de couverture)"/>
    <w:basedOn w:val="Accompagnant"/>
    <w:next w:val="Normal"/>
    <w:rsid w:val="00BC750E"/>
  </w:style>
  <w:style w:type="character" w:customStyle="1" w:styleId="Added">
    <w:name w:val="Added"/>
    <w:basedOn w:val="DefaultParagraphFont"/>
    <w:rsid w:val="00BC750E"/>
    <w:rPr>
      <w:b/>
      <w:u w:val="single"/>
      <w:shd w:val="clear" w:color="auto" w:fill="auto"/>
    </w:rPr>
  </w:style>
  <w:style w:type="paragraph" w:customStyle="1" w:styleId="Address">
    <w:name w:val="Address"/>
    <w:basedOn w:val="Normal"/>
    <w:next w:val="Normal"/>
    <w:rsid w:val="00BC750E"/>
    <w:pPr>
      <w:keepLines/>
      <w:spacing w:before="120" w:after="120" w:line="360" w:lineRule="auto"/>
      <w:ind w:left="3402"/>
    </w:pPr>
    <w:rPr>
      <w:rFonts w:ascii="Times New Roman" w:hAnsi="Times New Roman" w:cs="Times New Roman"/>
      <w:sz w:val="24"/>
    </w:rPr>
  </w:style>
  <w:style w:type="paragraph" w:customStyle="1" w:styleId="Annexetitre">
    <w:name w:val="Annexe titre"/>
    <w:basedOn w:val="Normal"/>
    <w:next w:val="Normal"/>
    <w:rsid w:val="00BC750E"/>
    <w:pPr>
      <w:spacing w:before="120" w:after="120" w:line="240" w:lineRule="auto"/>
      <w:jc w:val="center"/>
    </w:pPr>
    <w:rPr>
      <w:rFonts w:ascii="Times New Roman" w:hAnsi="Times New Roman" w:cs="Times New Roman"/>
      <w:b/>
      <w:sz w:val="24"/>
      <w:u w:val="single"/>
    </w:rPr>
  </w:style>
  <w:style w:type="paragraph" w:customStyle="1" w:styleId="Annexetitreexpos">
    <w:name w:val="Annexe titre (exposé)"/>
    <w:basedOn w:val="Normal"/>
    <w:next w:val="Normal"/>
    <w:rsid w:val="00BC750E"/>
    <w:pPr>
      <w:spacing w:before="120" w:after="120" w:line="240" w:lineRule="auto"/>
      <w:jc w:val="center"/>
    </w:pPr>
    <w:rPr>
      <w:rFonts w:ascii="Times New Roman" w:hAnsi="Times New Roman" w:cs="Times New Roman"/>
      <w:b/>
      <w:sz w:val="24"/>
      <w:u w:val="single"/>
    </w:rPr>
  </w:style>
  <w:style w:type="paragraph" w:customStyle="1" w:styleId="Annexetitrefichefinancire">
    <w:name w:val="Annexe titre (fiche financière)"/>
    <w:basedOn w:val="Normal"/>
    <w:next w:val="Normal"/>
    <w:rsid w:val="00BC750E"/>
    <w:pPr>
      <w:spacing w:before="120" w:after="120" w:line="240" w:lineRule="auto"/>
      <w:jc w:val="center"/>
    </w:pPr>
    <w:rPr>
      <w:rFonts w:ascii="Times New Roman" w:hAnsi="Times New Roman" w:cs="Times New Roman"/>
      <w:b/>
      <w:sz w:val="24"/>
      <w:u w:val="single"/>
    </w:rPr>
  </w:style>
  <w:style w:type="paragraph" w:customStyle="1" w:styleId="Applicationdirecte">
    <w:name w:val="Application directe"/>
    <w:basedOn w:val="Normal"/>
    <w:next w:val="Normal"/>
    <w:rsid w:val="00BC750E"/>
    <w:pPr>
      <w:spacing w:before="480" w:after="120" w:line="240" w:lineRule="auto"/>
      <w:jc w:val="both"/>
    </w:pPr>
    <w:rPr>
      <w:rFonts w:ascii="Times New Roman" w:hAnsi="Times New Roman" w:cs="Times New Roman"/>
      <w:sz w:val="24"/>
    </w:rPr>
  </w:style>
  <w:style w:type="paragraph" w:customStyle="1" w:styleId="Avertissementtitre">
    <w:name w:val="Avertissement titre"/>
    <w:basedOn w:val="Normal"/>
    <w:next w:val="Normal"/>
    <w:rsid w:val="00BC750E"/>
    <w:pPr>
      <w:keepNext/>
      <w:spacing w:before="480" w:after="120" w:line="240" w:lineRule="auto"/>
      <w:jc w:val="both"/>
    </w:pPr>
    <w:rPr>
      <w:rFonts w:ascii="Times New Roman" w:hAnsi="Times New Roman" w:cs="Times New Roman"/>
      <w:sz w:val="24"/>
      <w:u w:val="single"/>
    </w:rPr>
  </w:style>
  <w:style w:type="paragraph" w:styleId="BalloonText">
    <w:name w:val="Balloon Text"/>
    <w:basedOn w:val="Normal"/>
    <w:link w:val="BalloonTextChar"/>
    <w:uiPriority w:val="99"/>
    <w:semiHidden/>
    <w:unhideWhenUsed/>
    <w:rsid w:val="00BC750E"/>
    <w:pPr>
      <w:spacing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50E"/>
    <w:rPr>
      <w:rFonts w:ascii="Tahoma" w:hAnsi="Tahoma" w:cs="Tahoma"/>
      <w:sz w:val="16"/>
      <w:szCs w:val="16"/>
      <w:lang w:val="hu-HU"/>
    </w:rPr>
  </w:style>
  <w:style w:type="paragraph" w:customStyle="1" w:styleId="Bullet0">
    <w:name w:val="Bullet 0"/>
    <w:basedOn w:val="Normal"/>
    <w:rsid w:val="00BC750E"/>
    <w:pPr>
      <w:numPr>
        <w:numId w:val="5"/>
      </w:numPr>
      <w:spacing w:before="120" w:after="120" w:line="240" w:lineRule="auto"/>
      <w:jc w:val="both"/>
    </w:pPr>
    <w:rPr>
      <w:rFonts w:ascii="Times New Roman" w:hAnsi="Times New Roman" w:cs="Times New Roman"/>
      <w:sz w:val="24"/>
    </w:rPr>
  </w:style>
  <w:style w:type="paragraph" w:customStyle="1" w:styleId="Bullet1">
    <w:name w:val="Bullet 1"/>
    <w:basedOn w:val="Normal"/>
    <w:rsid w:val="00BC750E"/>
    <w:pPr>
      <w:numPr>
        <w:numId w:val="6"/>
      </w:numPr>
      <w:spacing w:before="120" w:after="120" w:line="240" w:lineRule="auto"/>
      <w:jc w:val="both"/>
    </w:pPr>
    <w:rPr>
      <w:rFonts w:ascii="Times New Roman" w:hAnsi="Times New Roman" w:cs="Times New Roman"/>
      <w:sz w:val="24"/>
    </w:rPr>
  </w:style>
  <w:style w:type="paragraph" w:customStyle="1" w:styleId="Bullet2">
    <w:name w:val="Bullet 2"/>
    <w:basedOn w:val="Normal"/>
    <w:rsid w:val="00BC750E"/>
    <w:pPr>
      <w:numPr>
        <w:numId w:val="7"/>
      </w:numPr>
      <w:spacing w:before="120" w:after="120" w:line="240" w:lineRule="auto"/>
      <w:jc w:val="both"/>
    </w:pPr>
    <w:rPr>
      <w:rFonts w:ascii="Times New Roman" w:hAnsi="Times New Roman" w:cs="Times New Roman"/>
      <w:sz w:val="24"/>
    </w:rPr>
  </w:style>
  <w:style w:type="paragraph" w:customStyle="1" w:styleId="Bullet3">
    <w:name w:val="Bullet 3"/>
    <w:basedOn w:val="Normal"/>
    <w:rsid w:val="00BC750E"/>
    <w:pPr>
      <w:numPr>
        <w:numId w:val="8"/>
      </w:numPr>
      <w:spacing w:before="120" w:after="120" w:line="240" w:lineRule="auto"/>
      <w:jc w:val="both"/>
    </w:pPr>
    <w:rPr>
      <w:rFonts w:ascii="Times New Roman" w:hAnsi="Times New Roman" w:cs="Times New Roman"/>
      <w:sz w:val="24"/>
    </w:rPr>
  </w:style>
  <w:style w:type="paragraph" w:customStyle="1" w:styleId="Bullet4">
    <w:name w:val="Bullet 4"/>
    <w:basedOn w:val="Normal"/>
    <w:rsid w:val="00BC750E"/>
    <w:pPr>
      <w:numPr>
        <w:numId w:val="9"/>
      </w:numPr>
      <w:spacing w:before="120" w:after="120" w:line="240" w:lineRule="auto"/>
      <w:jc w:val="both"/>
    </w:pPr>
    <w:rPr>
      <w:rFonts w:ascii="Times New Roman" w:hAnsi="Times New Roman" w:cs="Times New Roman"/>
      <w:sz w:val="24"/>
    </w:rPr>
  </w:style>
  <w:style w:type="paragraph" w:styleId="Caption">
    <w:name w:val="caption"/>
    <w:basedOn w:val="Normal"/>
    <w:next w:val="Normal"/>
    <w:uiPriority w:val="35"/>
    <w:semiHidden/>
    <w:unhideWhenUsed/>
    <w:qFormat/>
    <w:rsid w:val="00BC750E"/>
    <w:pPr>
      <w:spacing w:after="200" w:line="240" w:lineRule="auto"/>
      <w:jc w:val="both"/>
    </w:pPr>
    <w:rPr>
      <w:rFonts w:ascii="Times New Roman" w:hAnsi="Times New Roman" w:cs="Times New Roman"/>
      <w:i/>
      <w:iCs/>
      <w:color w:val="44546A" w:themeColor="text2"/>
      <w:sz w:val="18"/>
      <w:szCs w:val="18"/>
    </w:rPr>
  </w:style>
  <w:style w:type="paragraph" w:customStyle="1" w:styleId="ChapterTitle">
    <w:name w:val="ChapterTitle"/>
    <w:basedOn w:val="Normal"/>
    <w:next w:val="Normal"/>
    <w:rsid w:val="00BC750E"/>
    <w:pPr>
      <w:keepNext/>
      <w:spacing w:before="120" w:after="360" w:line="240" w:lineRule="auto"/>
      <w:jc w:val="center"/>
    </w:pPr>
    <w:rPr>
      <w:rFonts w:ascii="Times New Roman" w:hAnsi="Times New Roman" w:cs="Times New Roman"/>
      <w:b/>
      <w:sz w:val="32"/>
    </w:rPr>
  </w:style>
  <w:style w:type="character" w:styleId="CommentReference">
    <w:name w:val="annotation reference"/>
    <w:basedOn w:val="DefaultParagraphFont"/>
    <w:uiPriority w:val="99"/>
    <w:unhideWhenUsed/>
    <w:rsid w:val="00BC750E"/>
    <w:rPr>
      <w:sz w:val="16"/>
      <w:szCs w:val="16"/>
    </w:rPr>
  </w:style>
  <w:style w:type="paragraph" w:styleId="CommentText">
    <w:name w:val="annotation text"/>
    <w:aliases w:val="Char2"/>
    <w:basedOn w:val="Normal"/>
    <w:link w:val="CommentTextChar"/>
    <w:uiPriority w:val="99"/>
    <w:unhideWhenUsed/>
    <w:rsid w:val="00BC750E"/>
    <w:pPr>
      <w:spacing w:before="120" w:after="120" w:line="240" w:lineRule="auto"/>
      <w:jc w:val="both"/>
    </w:pPr>
    <w:rPr>
      <w:rFonts w:ascii="Times New Roman" w:hAnsi="Times New Roman" w:cs="Times New Roman"/>
      <w:sz w:val="20"/>
      <w:szCs w:val="20"/>
    </w:rPr>
  </w:style>
  <w:style w:type="character" w:customStyle="1" w:styleId="CommentTextChar">
    <w:name w:val="Comment Text Char"/>
    <w:aliases w:val="Char2 Char"/>
    <w:basedOn w:val="DefaultParagraphFont"/>
    <w:link w:val="CommentText"/>
    <w:uiPriority w:val="99"/>
    <w:rsid w:val="00BC750E"/>
    <w:rPr>
      <w:rFonts w:ascii="Times New Roman" w:hAnsi="Times New Roman" w:cs="Times New Roman"/>
      <w:sz w:val="20"/>
      <w:szCs w:val="20"/>
      <w:lang w:val="hu-HU"/>
    </w:rPr>
  </w:style>
  <w:style w:type="paragraph" w:styleId="CommentSubject">
    <w:name w:val="annotation subject"/>
    <w:basedOn w:val="CommentText"/>
    <w:next w:val="CommentText"/>
    <w:link w:val="CommentSubjectChar"/>
    <w:uiPriority w:val="99"/>
    <w:semiHidden/>
    <w:unhideWhenUsed/>
    <w:rsid w:val="00BC750E"/>
    <w:rPr>
      <w:b/>
      <w:bCs/>
    </w:rPr>
  </w:style>
  <w:style w:type="character" w:customStyle="1" w:styleId="CommentSubjectChar">
    <w:name w:val="Comment Subject Char"/>
    <w:basedOn w:val="CommentTextChar"/>
    <w:link w:val="CommentSubject"/>
    <w:uiPriority w:val="99"/>
    <w:semiHidden/>
    <w:rsid w:val="00BC750E"/>
    <w:rPr>
      <w:rFonts w:ascii="Times New Roman" w:hAnsi="Times New Roman" w:cs="Times New Roman"/>
      <w:b/>
      <w:bCs/>
      <w:sz w:val="20"/>
      <w:szCs w:val="20"/>
      <w:lang w:val="hu-HU"/>
    </w:rPr>
  </w:style>
  <w:style w:type="paragraph" w:customStyle="1" w:styleId="Confidence">
    <w:name w:val="Confidence"/>
    <w:basedOn w:val="Normal"/>
    <w:next w:val="Normal"/>
    <w:rsid w:val="00BC750E"/>
    <w:pPr>
      <w:spacing w:before="360" w:after="120" w:line="240" w:lineRule="auto"/>
      <w:jc w:val="center"/>
    </w:pPr>
    <w:rPr>
      <w:rFonts w:ascii="Times New Roman" w:hAnsi="Times New Roman" w:cs="Times New Roman"/>
      <w:sz w:val="24"/>
    </w:rPr>
  </w:style>
  <w:style w:type="paragraph" w:customStyle="1" w:styleId="Confidentialit">
    <w:name w:val="Confidentialité"/>
    <w:basedOn w:val="Normal"/>
    <w:next w:val="Normal"/>
    <w:rsid w:val="00BC750E"/>
    <w:pPr>
      <w:spacing w:before="240" w:after="240" w:line="240" w:lineRule="auto"/>
      <w:ind w:left="5103"/>
    </w:pPr>
    <w:rPr>
      <w:rFonts w:ascii="Times New Roman" w:hAnsi="Times New Roman" w:cs="Times New Roman"/>
      <w:i/>
      <w:sz w:val="32"/>
    </w:rPr>
  </w:style>
  <w:style w:type="paragraph" w:customStyle="1" w:styleId="Considrant">
    <w:name w:val="Considérant"/>
    <w:basedOn w:val="Normal"/>
    <w:rsid w:val="00BC750E"/>
    <w:pPr>
      <w:numPr>
        <w:numId w:val="10"/>
      </w:numPr>
      <w:spacing w:before="120" w:after="120" w:line="240" w:lineRule="auto"/>
      <w:jc w:val="both"/>
    </w:pPr>
    <w:rPr>
      <w:rFonts w:ascii="Times New Roman" w:hAnsi="Times New Roman" w:cs="Times New Roman"/>
      <w:sz w:val="24"/>
    </w:rPr>
  </w:style>
  <w:style w:type="paragraph" w:customStyle="1" w:styleId="Corrigendum">
    <w:name w:val="Corrigendum"/>
    <w:basedOn w:val="Normal"/>
    <w:next w:val="Normal"/>
    <w:rsid w:val="00BC750E"/>
    <w:pPr>
      <w:spacing w:after="240" w:line="240" w:lineRule="auto"/>
    </w:pPr>
    <w:rPr>
      <w:rFonts w:ascii="Times New Roman" w:hAnsi="Times New Roman" w:cs="Times New Roman"/>
      <w:sz w:val="24"/>
    </w:rPr>
  </w:style>
  <w:style w:type="paragraph" w:customStyle="1" w:styleId="Datedadoption">
    <w:name w:val="Date d'adoption"/>
    <w:basedOn w:val="Normal"/>
    <w:next w:val="Normal"/>
    <w:rsid w:val="00BC750E"/>
    <w:pPr>
      <w:spacing w:before="360" w:after="0" w:line="240" w:lineRule="auto"/>
      <w:jc w:val="center"/>
    </w:pPr>
    <w:rPr>
      <w:rFonts w:ascii="Times New Roman" w:hAnsi="Times New Roman" w:cs="Times New Roman"/>
      <w:b/>
      <w:sz w:val="24"/>
    </w:rPr>
  </w:style>
  <w:style w:type="paragraph" w:customStyle="1" w:styleId="DatedadoptionPagedecouverture">
    <w:name w:val="Date d'adoption (Page de couverture)"/>
    <w:basedOn w:val="Datedadoption"/>
    <w:next w:val="Normal"/>
    <w:rsid w:val="00BC750E"/>
  </w:style>
  <w:style w:type="paragraph" w:customStyle="1" w:styleId="DateMarking">
    <w:name w:val="DateMarking"/>
    <w:basedOn w:val="Normal"/>
    <w:rsid w:val="00304452"/>
    <w:pPr>
      <w:spacing w:after="0" w:line="276" w:lineRule="auto"/>
      <w:ind w:left="5103"/>
    </w:pPr>
    <w:rPr>
      <w:rFonts w:ascii="Times New Roman" w:hAnsi="Times New Roman" w:cs="Times New Roman"/>
      <w:i/>
      <w:sz w:val="28"/>
    </w:rPr>
  </w:style>
  <w:style w:type="paragraph" w:customStyle="1" w:styleId="Declassification">
    <w:name w:val="Declassification"/>
    <w:basedOn w:val="Normal"/>
    <w:next w:val="Normal"/>
    <w:rsid w:val="00BC750E"/>
    <w:pPr>
      <w:spacing w:after="0" w:line="240" w:lineRule="auto"/>
      <w:jc w:val="both"/>
    </w:pPr>
    <w:rPr>
      <w:rFonts w:ascii="Times New Roman" w:hAnsi="Times New Roman" w:cs="Times New Roman"/>
      <w:sz w:val="24"/>
    </w:rPr>
  </w:style>
  <w:style w:type="paragraph" w:customStyle="1" w:styleId="Default">
    <w:name w:val="Default"/>
    <w:rsid w:val="00BC75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leted">
    <w:name w:val="Deleted"/>
    <w:basedOn w:val="DefaultParagraphFont"/>
    <w:rsid w:val="00BC750E"/>
    <w:rPr>
      <w:strike/>
      <w:dstrike w:val="0"/>
      <w:shd w:val="clear" w:color="auto" w:fill="auto"/>
    </w:rPr>
  </w:style>
  <w:style w:type="paragraph" w:customStyle="1" w:styleId="Disclaimer">
    <w:name w:val="Disclaimer"/>
    <w:basedOn w:val="Normal"/>
    <w:rsid w:val="00BC750E"/>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Emission">
    <w:name w:val="Emission"/>
    <w:basedOn w:val="Normal"/>
    <w:next w:val="Normal"/>
    <w:rsid w:val="00BC750E"/>
    <w:pPr>
      <w:spacing w:after="0" w:line="240" w:lineRule="auto"/>
      <w:ind w:left="5103"/>
    </w:pPr>
    <w:rPr>
      <w:rFonts w:ascii="Times New Roman" w:hAnsi="Times New Roman" w:cs="Times New Roman"/>
      <w:sz w:val="24"/>
    </w:rPr>
  </w:style>
  <w:style w:type="character" w:styleId="Emphasis">
    <w:name w:val="Emphasis"/>
    <w:basedOn w:val="DefaultParagraphFont"/>
    <w:uiPriority w:val="20"/>
    <w:qFormat/>
    <w:rsid w:val="00BC750E"/>
    <w:rPr>
      <w:i/>
      <w:iCs/>
    </w:rPr>
  </w:style>
  <w:style w:type="paragraph" w:customStyle="1" w:styleId="Exposdesmotifstitre">
    <w:name w:val="Exposé des motifs titre"/>
    <w:basedOn w:val="Normal"/>
    <w:next w:val="Normal"/>
    <w:rsid w:val="00BC750E"/>
    <w:pPr>
      <w:spacing w:before="120" w:after="120" w:line="240" w:lineRule="auto"/>
      <w:jc w:val="center"/>
    </w:pPr>
    <w:rPr>
      <w:rFonts w:ascii="Times New Roman" w:hAnsi="Times New Roman" w:cs="Times New Roman"/>
      <w:b/>
      <w:sz w:val="24"/>
      <w:u w:val="single"/>
    </w:rPr>
  </w:style>
  <w:style w:type="paragraph" w:customStyle="1" w:styleId="Fait">
    <w:name w:val="Fait à"/>
    <w:basedOn w:val="Normal"/>
    <w:next w:val="Normal"/>
    <w:rsid w:val="00BC750E"/>
    <w:pPr>
      <w:keepNext/>
      <w:spacing w:before="120" w:after="0" w:line="240" w:lineRule="auto"/>
      <w:jc w:val="both"/>
    </w:pPr>
    <w:rPr>
      <w:rFonts w:ascii="Times New Roman" w:hAnsi="Times New Roman" w:cs="Times New Roman"/>
      <w:sz w:val="24"/>
    </w:rPr>
  </w:style>
  <w:style w:type="paragraph" w:customStyle="1" w:styleId="Fichefinanciretitre">
    <w:name w:val="Fiche financière titre"/>
    <w:basedOn w:val="Normal"/>
    <w:next w:val="Normal"/>
    <w:rsid w:val="00BC750E"/>
    <w:pPr>
      <w:spacing w:before="120" w:after="120" w:line="240" w:lineRule="auto"/>
      <w:jc w:val="center"/>
    </w:pPr>
    <w:rPr>
      <w:rFonts w:ascii="Times New Roman" w:hAnsi="Times New Roman" w:cs="Times New Roman"/>
      <w:b/>
      <w:sz w:val="24"/>
      <w:u w:val="single"/>
    </w:rPr>
  </w:style>
  <w:style w:type="character" w:styleId="FollowedHyperlink">
    <w:name w:val="FollowedHyperlink"/>
    <w:basedOn w:val="DefaultParagraphFont"/>
    <w:uiPriority w:val="99"/>
    <w:semiHidden/>
    <w:unhideWhenUsed/>
    <w:rsid w:val="00BC750E"/>
    <w:rPr>
      <w:color w:val="954F72" w:themeColor="followedHyperlink"/>
      <w:u w:val="single"/>
    </w:rPr>
  </w:style>
  <w:style w:type="paragraph" w:styleId="Footer">
    <w:name w:val="footer"/>
    <w:basedOn w:val="Normal"/>
    <w:link w:val="FooterChar"/>
    <w:uiPriority w:val="99"/>
    <w:unhideWhenUsed/>
    <w:rsid w:val="00BC750E"/>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sid w:val="00BC750E"/>
    <w:rPr>
      <w:rFonts w:ascii="Times New Roman" w:hAnsi="Times New Roman" w:cs="Times New Roman"/>
      <w:sz w:val="24"/>
      <w:lang w:val="hu-HU"/>
    </w:rPr>
  </w:style>
  <w:style w:type="paragraph" w:customStyle="1" w:styleId="FooterSensitivity">
    <w:name w:val="Footer Sensitivity"/>
    <w:basedOn w:val="Normal"/>
    <w:rsid w:val="00BC750E"/>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FooterLandscape">
    <w:name w:val="FooterLandscape"/>
    <w:basedOn w:val="Normal"/>
    <w:rsid w:val="00BC750E"/>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BVI fnr,(Footnote Reference),Footnote Reference/,number,Footnote Reference Superscript,Footnote symbol,Footnote symboFußnotenzeichen,Footnote sign,Footnote Reference text,Voetnootverwijzing,Odwołanie przypisu,FR,Nota Char,Char1 Char"/>
    <w:basedOn w:val="DefaultParagraphFont"/>
    <w:link w:val="Nota"/>
    <w:uiPriority w:val="99"/>
    <w:unhideWhenUsed/>
    <w:qFormat/>
    <w:rsid w:val="00BC750E"/>
    <w:rPr>
      <w:shd w:val="clear" w:color="auto" w:fill="auto"/>
      <w:vertAlign w:val="superscript"/>
    </w:rPr>
  </w:style>
  <w:style w:type="paragraph" w:styleId="FootnoteText">
    <w:name w:val="footnote text"/>
    <w:aliases w:val="Fußnotentextf,Fußnote,Fuﬂnotentextf,Footnote Text Blue,Geneva 9,Font: Geneva 9,Boston 10,f,Footnote Text Char Char Char Char Char Char,Tekst przypisu,Schriftart: 9 pt,Schriftart: 10 pt,Schriftart: 8 pt,WB-Fußnotentext,fn,Fotnotstext1,Char"/>
    <w:basedOn w:val="Normal"/>
    <w:link w:val="FootnoteTextChar"/>
    <w:uiPriority w:val="99"/>
    <w:unhideWhenUsed/>
    <w:qFormat/>
    <w:rsid w:val="00903D76"/>
    <w:pPr>
      <w:spacing w:after="0" w:line="240" w:lineRule="auto"/>
      <w:ind w:left="720" w:hanging="720"/>
      <w:jc w:val="both"/>
    </w:pPr>
    <w:rPr>
      <w:rFonts w:ascii="Times New Roman" w:hAnsi="Times New Roman" w:cs="Times New Roman"/>
      <w:sz w:val="20"/>
      <w:szCs w:val="20"/>
    </w:rPr>
  </w:style>
  <w:style w:type="character" w:customStyle="1" w:styleId="FootnoteTextChar">
    <w:name w:val="Footnote Text Char"/>
    <w:aliases w:val="Fußnotentextf Char,Fußnote Char,Fuﬂnotentextf Char,Footnote Text Blue Char,Geneva 9 Char,Font: Geneva 9 Char,Boston 10 Char,f Char,Footnote Text Char Char Char Char Char Char Char,Tekst przypisu Char,Schriftart: 9 pt Char,fn Char"/>
    <w:basedOn w:val="DefaultParagraphFont"/>
    <w:link w:val="FootnoteText"/>
    <w:uiPriority w:val="99"/>
    <w:qFormat/>
    <w:rsid w:val="00BC750E"/>
    <w:rPr>
      <w:rFonts w:ascii="Times New Roman" w:hAnsi="Times New Roman" w:cs="Times New Roman"/>
      <w:sz w:val="20"/>
      <w:szCs w:val="20"/>
      <w:lang w:val="hu-HU"/>
    </w:rPr>
  </w:style>
  <w:style w:type="paragraph" w:customStyle="1" w:styleId="Formuledadoption">
    <w:name w:val="Formule d'adoption"/>
    <w:basedOn w:val="Normal"/>
    <w:next w:val="Normal"/>
    <w:rsid w:val="00BC750E"/>
    <w:pPr>
      <w:keepNext/>
      <w:spacing w:before="120" w:after="12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BC750E"/>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sid w:val="00BC750E"/>
    <w:rPr>
      <w:rFonts w:ascii="Times New Roman" w:hAnsi="Times New Roman" w:cs="Times New Roman"/>
      <w:sz w:val="24"/>
      <w:lang w:val="hu-HU"/>
    </w:rPr>
  </w:style>
  <w:style w:type="paragraph" w:customStyle="1" w:styleId="HeaderSensitivity">
    <w:name w:val="Header Sensitivity"/>
    <w:basedOn w:val="Normal"/>
    <w:rsid w:val="00BC750E"/>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rsid w:val="00304452"/>
    <w:pPr>
      <w:spacing w:after="120" w:line="240" w:lineRule="auto"/>
      <w:jc w:val="right"/>
    </w:pPr>
    <w:rPr>
      <w:rFonts w:ascii="Times New Roman" w:hAnsi="Times New Roman" w:cs="Times New Roman"/>
      <w:sz w:val="28"/>
    </w:rPr>
  </w:style>
  <w:style w:type="paragraph" w:customStyle="1" w:styleId="HeaderLandscape">
    <w:name w:val="HeaderLandscape"/>
    <w:basedOn w:val="Normal"/>
    <w:rsid w:val="00BC750E"/>
    <w:pPr>
      <w:tabs>
        <w:tab w:val="center" w:pos="7285"/>
        <w:tab w:val="right" w:pos="14003"/>
      </w:tabs>
      <w:spacing w:after="120" w:line="240" w:lineRule="auto"/>
      <w:jc w:val="both"/>
    </w:pPr>
    <w:rPr>
      <w:rFonts w:ascii="Times New Roman" w:hAnsi="Times New Roman" w:cs="Times New Roman"/>
      <w:sz w:val="24"/>
    </w:rPr>
  </w:style>
  <w:style w:type="character" w:customStyle="1" w:styleId="Heading1Char">
    <w:name w:val="Heading 1 Char"/>
    <w:basedOn w:val="DefaultParagraphFont"/>
    <w:link w:val="Heading1"/>
    <w:uiPriority w:val="9"/>
    <w:rsid w:val="00BC750E"/>
    <w:rPr>
      <w:rFonts w:ascii="Times New Roman" w:eastAsiaTheme="majorEastAsia" w:hAnsi="Times New Roman" w:cs="Times New Roman"/>
      <w:b/>
      <w:bCs/>
      <w:smallCaps/>
      <w:sz w:val="24"/>
      <w:szCs w:val="28"/>
      <w:lang w:val="hu-HU"/>
    </w:rPr>
  </w:style>
  <w:style w:type="character" w:customStyle="1" w:styleId="Heading2Char">
    <w:name w:val="Heading 2 Char"/>
    <w:basedOn w:val="DefaultParagraphFont"/>
    <w:link w:val="Heading2"/>
    <w:uiPriority w:val="9"/>
    <w:semiHidden/>
    <w:rsid w:val="00BC750E"/>
    <w:rPr>
      <w:rFonts w:ascii="Times New Roman" w:eastAsiaTheme="majorEastAsia" w:hAnsi="Times New Roman" w:cs="Times New Roman"/>
      <w:b/>
      <w:bCs/>
      <w:sz w:val="24"/>
      <w:szCs w:val="26"/>
      <w:lang w:val="hu-HU"/>
    </w:rPr>
  </w:style>
  <w:style w:type="character" w:customStyle="1" w:styleId="Heading3Char">
    <w:name w:val="Heading 3 Char"/>
    <w:basedOn w:val="DefaultParagraphFont"/>
    <w:link w:val="Heading3"/>
    <w:uiPriority w:val="9"/>
    <w:semiHidden/>
    <w:rsid w:val="00BC750E"/>
    <w:rPr>
      <w:rFonts w:ascii="Times New Roman" w:eastAsiaTheme="majorEastAsia" w:hAnsi="Times New Roman" w:cs="Times New Roman"/>
      <w:bCs/>
      <w:i/>
      <w:sz w:val="24"/>
      <w:lang w:val="hu-HU"/>
    </w:rPr>
  </w:style>
  <w:style w:type="character" w:customStyle="1" w:styleId="Heading4Char">
    <w:name w:val="Heading 4 Char"/>
    <w:basedOn w:val="DefaultParagraphFont"/>
    <w:link w:val="Heading4"/>
    <w:uiPriority w:val="9"/>
    <w:semiHidden/>
    <w:rsid w:val="00BC750E"/>
    <w:rPr>
      <w:rFonts w:ascii="Times New Roman" w:eastAsiaTheme="majorEastAsia" w:hAnsi="Times New Roman" w:cs="Times New Roman"/>
      <w:bCs/>
      <w:iCs/>
      <w:sz w:val="24"/>
      <w:lang w:val="hu-HU"/>
    </w:rPr>
  </w:style>
  <w:style w:type="character" w:styleId="Hyperlink">
    <w:name w:val="Hyperlink"/>
    <w:basedOn w:val="DefaultParagraphFont"/>
    <w:uiPriority w:val="99"/>
    <w:unhideWhenUsed/>
    <w:rsid w:val="00BC750E"/>
    <w:rPr>
      <w:color w:val="0563C1" w:themeColor="hyperlink"/>
      <w:u w:val="single"/>
    </w:rPr>
  </w:style>
  <w:style w:type="paragraph" w:customStyle="1" w:styleId="Institutionquiagit">
    <w:name w:val="Institution qui agit"/>
    <w:basedOn w:val="Normal"/>
    <w:next w:val="Normal"/>
    <w:rsid w:val="00BC750E"/>
    <w:pPr>
      <w:keepNext/>
      <w:spacing w:before="600" w:after="120" w:line="240" w:lineRule="auto"/>
      <w:jc w:val="both"/>
    </w:pPr>
    <w:rPr>
      <w:rFonts w:ascii="Times New Roman" w:hAnsi="Times New Roman" w:cs="Times New Roman"/>
      <w:sz w:val="24"/>
    </w:rPr>
  </w:style>
  <w:style w:type="paragraph" w:customStyle="1" w:styleId="Institutionquisigne">
    <w:name w:val="Institution qui signe"/>
    <w:basedOn w:val="Normal"/>
    <w:next w:val="Normal"/>
    <w:rsid w:val="00BC750E"/>
    <w:pPr>
      <w:keepNext/>
      <w:tabs>
        <w:tab w:val="left" w:pos="4252"/>
      </w:tabs>
      <w:spacing w:before="720" w:after="0" w:line="240" w:lineRule="auto"/>
      <w:jc w:val="both"/>
    </w:pPr>
    <w:rPr>
      <w:rFonts w:ascii="Times New Roman" w:hAnsi="Times New Roman" w:cs="Times New Roman"/>
      <w:i/>
      <w:sz w:val="24"/>
    </w:rPr>
  </w:style>
  <w:style w:type="paragraph" w:customStyle="1" w:styleId="Languesfaisantfoi">
    <w:name w:val="Langues faisant foi"/>
    <w:basedOn w:val="Normal"/>
    <w:next w:val="Normal"/>
    <w:rsid w:val="00BC750E"/>
    <w:pPr>
      <w:spacing w:before="360" w:after="0" w:line="240" w:lineRule="auto"/>
      <w:jc w:val="center"/>
    </w:pPr>
    <w:rPr>
      <w:rFonts w:ascii="Times New Roman" w:hAnsi="Times New Roman" w:cs="Times New Roman"/>
      <w:sz w:val="24"/>
    </w:rPr>
  </w:style>
  <w:style w:type="paragraph" w:customStyle="1" w:styleId="IntrtEEE">
    <w:name w:val="Intérêt EEE"/>
    <w:basedOn w:val="Languesfaisantfoi"/>
    <w:next w:val="Normal"/>
    <w:rsid w:val="00BC750E"/>
    <w:pPr>
      <w:spacing w:after="240"/>
    </w:pPr>
  </w:style>
  <w:style w:type="paragraph" w:customStyle="1" w:styleId="IntrtEEEPagedecouverture">
    <w:name w:val="Intérêt EEE (Page de couverture)"/>
    <w:basedOn w:val="IntrtEEE"/>
    <w:next w:val="Normal"/>
    <w:rsid w:val="00BC750E"/>
  </w:style>
  <w:style w:type="paragraph" w:customStyle="1" w:styleId="Langue">
    <w:name w:val="Langue"/>
    <w:basedOn w:val="Normal"/>
    <w:next w:val="Normal"/>
    <w:rsid w:val="00BC750E"/>
    <w:pPr>
      <w:framePr w:wrap="around" w:vAnchor="page" w:hAnchor="text" w:xAlign="center" w:y="14741"/>
      <w:spacing w:after="600" w:line="240" w:lineRule="auto"/>
      <w:jc w:val="center"/>
    </w:pPr>
    <w:rPr>
      <w:rFonts w:ascii="Times New Roman" w:hAnsi="Times New Roman" w:cs="Times New Roman"/>
      <w:b/>
      <w:caps/>
      <w:sz w:val="24"/>
    </w:rPr>
  </w:style>
  <w:style w:type="paragraph" w:customStyle="1" w:styleId="LanguesfaisantfoiPagedecouverture">
    <w:name w:val="Langues faisant foi (Page de couverture)"/>
    <w:basedOn w:val="Normal"/>
    <w:next w:val="Normal"/>
    <w:rsid w:val="00BC750E"/>
    <w:pPr>
      <w:spacing w:before="360" w:after="0" w:line="240" w:lineRule="auto"/>
      <w:jc w:val="center"/>
    </w:pPr>
    <w:rPr>
      <w:rFonts w:ascii="Times New Roman" w:hAnsi="Times New Roman" w:cs="Times New Roman"/>
      <w:sz w:val="24"/>
    </w:rPr>
  </w:style>
  <w:style w:type="paragraph" w:styleId="ListBullet">
    <w:name w:val="List Bullet"/>
    <w:basedOn w:val="Normal"/>
    <w:uiPriority w:val="99"/>
    <w:semiHidden/>
    <w:unhideWhenUsed/>
    <w:rsid w:val="00BC750E"/>
    <w:pPr>
      <w:numPr>
        <w:numId w:val="13"/>
      </w:numPr>
      <w:spacing w:before="120" w:after="120" w:line="240" w:lineRule="auto"/>
      <w:contextualSpacing/>
      <w:jc w:val="both"/>
    </w:pPr>
    <w:rPr>
      <w:rFonts w:ascii="Times New Roman" w:hAnsi="Times New Roman" w:cs="Times New Roman"/>
      <w:sz w:val="24"/>
    </w:rPr>
  </w:style>
  <w:style w:type="paragraph" w:styleId="ListBullet2">
    <w:name w:val="List Bullet 2"/>
    <w:basedOn w:val="Normal"/>
    <w:uiPriority w:val="99"/>
    <w:semiHidden/>
    <w:unhideWhenUsed/>
    <w:rsid w:val="00BC750E"/>
    <w:pPr>
      <w:numPr>
        <w:numId w:val="14"/>
      </w:numPr>
      <w:spacing w:before="120" w:after="120" w:line="240" w:lineRule="auto"/>
      <w:contextualSpacing/>
      <w:jc w:val="both"/>
    </w:pPr>
    <w:rPr>
      <w:rFonts w:ascii="Times New Roman" w:hAnsi="Times New Roman" w:cs="Times New Roman"/>
      <w:sz w:val="24"/>
    </w:rPr>
  </w:style>
  <w:style w:type="paragraph" w:styleId="ListBullet3">
    <w:name w:val="List Bullet 3"/>
    <w:basedOn w:val="Normal"/>
    <w:uiPriority w:val="99"/>
    <w:semiHidden/>
    <w:unhideWhenUsed/>
    <w:rsid w:val="00BC750E"/>
    <w:pPr>
      <w:numPr>
        <w:numId w:val="15"/>
      </w:numPr>
      <w:spacing w:before="120" w:after="120" w:line="240" w:lineRule="auto"/>
      <w:contextualSpacing/>
      <w:jc w:val="both"/>
    </w:pPr>
    <w:rPr>
      <w:rFonts w:ascii="Times New Roman" w:hAnsi="Times New Roman" w:cs="Times New Roman"/>
      <w:sz w:val="24"/>
    </w:rPr>
  </w:style>
  <w:style w:type="paragraph" w:styleId="ListBullet4">
    <w:name w:val="List Bullet 4"/>
    <w:basedOn w:val="Normal"/>
    <w:uiPriority w:val="99"/>
    <w:semiHidden/>
    <w:unhideWhenUsed/>
    <w:rsid w:val="00BC750E"/>
    <w:pPr>
      <w:numPr>
        <w:numId w:val="16"/>
      </w:numPr>
      <w:spacing w:before="120" w:after="120" w:line="240" w:lineRule="auto"/>
      <w:contextualSpacing/>
      <w:jc w:val="both"/>
    </w:pPr>
    <w:rPr>
      <w:rFonts w:ascii="Times New Roman" w:hAnsi="Times New Roman" w:cs="Times New Roman"/>
      <w:sz w:val="24"/>
    </w:rPr>
  </w:style>
  <w:style w:type="paragraph" w:styleId="ListNumber">
    <w:name w:val="List Number"/>
    <w:basedOn w:val="Normal"/>
    <w:uiPriority w:val="99"/>
    <w:semiHidden/>
    <w:unhideWhenUsed/>
    <w:rsid w:val="00BC750E"/>
    <w:pPr>
      <w:numPr>
        <w:numId w:val="17"/>
      </w:numPr>
      <w:spacing w:before="120" w:after="120" w:line="240" w:lineRule="auto"/>
      <w:contextualSpacing/>
      <w:jc w:val="both"/>
    </w:pPr>
    <w:rPr>
      <w:rFonts w:ascii="Times New Roman" w:hAnsi="Times New Roman" w:cs="Times New Roman"/>
      <w:sz w:val="24"/>
    </w:rPr>
  </w:style>
  <w:style w:type="paragraph" w:styleId="ListNumber2">
    <w:name w:val="List Number 2"/>
    <w:basedOn w:val="Normal"/>
    <w:uiPriority w:val="99"/>
    <w:semiHidden/>
    <w:unhideWhenUsed/>
    <w:rsid w:val="00BC750E"/>
    <w:pPr>
      <w:numPr>
        <w:numId w:val="18"/>
      </w:numPr>
      <w:spacing w:before="120" w:after="120" w:line="240" w:lineRule="auto"/>
      <w:contextualSpacing/>
      <w:jc w:val="both"/>
    </w:pPr>
    <w:rPr>
      <w:rFonts w:ascii="Times New Roman" w:hAnsi="Times New Roman" w:cs="Times New Roman"/>
      <w:sz w:val="24"/>
    </w:rPr>
  </w:style>
  <w:style w:type="paragraph" w:styleId="ListNumber3">
    <w:name w:val="List Number 3"/>
    <w:basedOn w:val="Normal"/>
    <w:uiPriority w:val="99"/>
    <w:semiHidden/>
    <w:unhideWhenUsed/>
    <w:rsid w:val="00BC750E"/>
    <w:pPr>
      <w:numPr>
        <w:numId w:val="19"/>
      </w:numPr>
      <w:spacing w:before="120" w:after="120" w:line="240" w:lineRule="auto"/>
      <w:contextualSpacing/>
      <w:jc w:val="both"/>
    </w:pPr>
    <w:rPr>
      <w:rFonts w:ascii="Times New Roman" w:hAnsi="Times New Roman" w:cs="Times New Roman"/>
      <w:sz w:val="24"/>
    </w:rPr>
  </w:style>
  <w:style w:type="paragraph" w:styleId="ListNumber4">
    <w:name w:val="List Number 4"/>
    <w:basedOn w:val="Normal"/>
    <w:uiPriority w:val="99"/>
    <w:semiHidden/>
    <w:unhideWhenUsed/>
    <w:rsid w:val="00BC750E"/>
    <w:pPr>
      <w:numPr>
        <w:numId w:val="20"/>
      </w:numPr>
      <w:spacing w:before="120" w:after="120" w:line="240" w:lineRule="auto"/>
      <w:contextualSpacing/>
      <w:jc w:val="both"/>
    </w:pPr>
    <w:rPr>
      <w:rFonts w:ascii="Times New Roman" w:hAnsi="Times New Roman" w:cs="Times New Roman"/>
      <w:sz w:val="24"/>
    </w:rPr>
  </w:style>
  <w:style w:type="paragraph" w:styleId="ListParagraph">
    <w:name w:val="List Paragraph"/>
    <w:aliases w:val="Dot pt,F5 List Paragraph,List Paragraph1,No Spacing1,List Paragraph Char Char Char,Indicator Text,Numbered Para 1,Bullet Points,MAIN CONTENT,List Paragraph11,List Paragraph12,List Paragraph2,OBC Bullet,L,Table/Figure Heading,3,2"/>
    <w:basedOn w:val="Normal"/>
    <w:link w:val="ListParagraphChar"/>
    <w:uiPriority w:val="34"/>
    <w:qFormat/>
    <w:rsid w:val="00BC750E"/>
    <w:pPr>
      <w:spacing w:after="0" w:line="240" w:lineRule="auto"/>
      <w:ind w:left="720"/>
    </w:pPr>
    <w:rPr>
      <w:rFonts w:ascii="Calibri" w:hAnsi="Calibri" w:cs="Times New Roman"/>
    </w:rPr>
  </w:style>
  <w:style w:type="paragraph" w:customStyle="1" w:styleId="ManualConsidrant">
    <w:name w:val="Manual Considérant"/>
    <w:basedOn w:val="Normal"/>
    <w:rsid w:val="00BC750E"/>
    <w:pPr>
      <w:spacing w:before="120" w:after="120" w:line="240" w:lineRule="auto"/>
      <w:ind w:left="709" w:hanging="709"/>
      <w:jc w:val="both"/>
    </w:pPr>
    <w:rPr>
      <w:rFonts w:ascii="Times New Roman" w:hAnsi="Times New Roman" w:cs="Times New Roman"/>
      <w:sz w:val="24"/>
    </w:rPr>
  </w:style>
  <w:style w:type="paragraph" w:customStyle="1" w:styleId="ManualHeading1">
    <w:name w:val="Manual Heading 1"/>
    <w:basedOn w:val="Normal"/>
    <w:next w:val="Normal"/>
    <w:rsid w:val="00BC750E"/>
    <w:pPr>
      <w:keepNext/>
      <w:tabs>
        <w:tab w:val="left" w:pos="850"/>
      </w:tabs>
      <w:spacing w:before="360" w:after="120" w:line="240" w:lineRule="auto"/>
      <w:ind w:left="850" w:hanging="850"/>
      <w:jc w:val="both"/>
      <w:outlineLvl w:val="0"/>
    </w:pPr>
    <w:rPr>
      <w:rFonts w:ascii="Times New Roman" w:hAnsi="Times New Roman" w:cs="Times New Roman"/>
      <w:b/>
      <w:smallCaps/>
      <w:sz w:val="24"/>
    </w:rPr>
  </w:style>
  <w:style w:type="paragraph" w:customStyle="1" w:styleId="ManualHeading2">
    <w:name w:val="Manual Heading 2"/>
    <w:basedOn w:val="Normal"/>
    <w:next w:val="Normal"/>
    <w:rsid w:val="00BC750E"/>
    <w:pPr>
      <w:keepNext/>
      <w:tabs>
        <w:tab w:val="left" w:pos="850"/>
      </w:tabs>
      <w:spacing w:before="120" w:after="120" w:line="240" w:lineRule="auto"/>
      <w:ind w:left="850" w:hanging="850"/>
      <w:jc w:val="both"/>
      <w:outlineLvl w:val="1"/>
    </w:pPr>
    <w:rPr>
      <w:rFonts w:ascii="Times New Roman" w:hAnsi="Times New Roman" w:cs="Times New Roman"/>
      <w:b/>
      <w:sz w:val="24"/>
    </w:rPr>
  </w:style>
  <w:style w:type="paragraph" w:customStyle="1" w:styleId="ManualHeading3">
    <w:name w:val="Manual Heading 3"/>
    <w:basedOn w:val="Normal"/>
    <w:next w:val="Normal"/>
    <w:rsid w:val="00BC750E"/>
    <w:pPr>
      <w:keepNext/>
      <w:tabs>
        <w:tab w:val="left" w:pos="850"/>
      </w:tabs>
      <w:spacing w:before="120" w:after="120" w:line="240" w:lineRule="auto"/>
      <w:ind w:left="850" w:hanging="850"/>
      <w:jc w:val="both"/>
      <w:outlineLvl w:val="2"/>
    </w:pPr>
    <w:rPr>
      <w:rFonts w:ascii="Times New Roman" w:hAnsi="Times New Roman" w:cs="Times New Roman"/>
      <w:i/>
      <w:sz w:val="24"/>
    </w:rPr>
  </w:style>
  <w:style w:type="paragraph" w:customStyle="1" w:styleId="ManualHeading4">
    <w:name w:val="Manual Heading 4"/>
    <w:basedOn w:val="Normal"/>
    <w:next w:val="Normal"/>
    <w:rsid w:val="00BC750E"/>
    <w:pPr>
      <w:keepNext/>
      <w:tabs>
        <w:tab w:val="left" w:pos="850"/>
      </w:tabs>
      <w:spacing w:before="120" w:after="120" w:line="240" w:lineRule="auto"/>
      <w:ind w:left="850" w:hanging="850"/>
      <w:jc w:val="both"/>
      <w:outlineLvl w:val="3"/>
    </w:pPr>
    <w:rPr>
      <w:rFonts w:ascii="Times New Roman" w:hAnsi="Times New Roman" w:cs="Times New Roman"/>
      <w:sz w:val="24"/>
    </w:rPr>
  </w:style>
  <w:style w:type="paragraph" w:customStyle="1" w:styleId="ManualNumPar1">
    <w:name w:val="Manual NumPar 1"/>
    <w:basedOn w:val="Normal"/>
    <w:next w:val="Normal"/>
    <w:rsid w:val="00BC750E"/>
    <w:pPr>
      <w:spacing w:before="120" w:after="120" w:line="240" w:lineRule="auto"/>
      <w:ind w:left="850" w:hanging="850"/>
      <w:jc w:val="both"/>
    </w:pPr>
    <w:rPr>
      <w:rFonts w:ascii="Times New Roman" w:hAnsi="Times New Roman" w:cs="Times New Roman"/>
      <w:sz w:val="24"/>
    </w:rPr>
  </w:style>
  <w:style w:type="paragraph" w:customStyle="1" w:styleId="ManualNumPar2">
    <w:name w:val="Manual NumPar 2"/>
    <w:basedOn w:val="Normal"/>
    <w:next w:val="Normal"/>
    <w:rsid w:val="00BC750E"/>
    <w:pPr>
      <w:spacing w:before="120" w:after="120" w:line="240" w:lineRule="auto"/>
      <w:ind w:left="850" w:hanging="850"/>
      <w:jc w:val="both"/>
    </w:pPr>
    <w:rPr>
      <w:rFonts w:ascii="Times New Roman" w:hAnsi="Times New Roman" w:cs="Times New Roman"/>
      <w:sz w:val="24"/>
    </w:rPr>
  </w:style>
  <w:style w:type="paragraph" w:customStyle="1" w:styleId="ManualNumPar3">
    <w:name w:val="Manual NumPar 3"/>
    <w:basedOn w:val="Normal"/>
    <w:next w:val="Normal"/>
    <w:rsid w:val="00BC750E"/>
    <w:pPr>
      <w:spacing w:before="120" w:after="120" w:line="240" w:lineRule="auto"/>
      <w:ind w:left="850" w:hanging="850"/>
      <w:jc w:val="both"/>
    </w:pPr>
    <w:rPr>
      <w:rFonts w:ascii="Times New Roman" w:hAnsi="Times New Roman" w:cs="Times New Roman"/>
      <w:sz w:val="24"/>
    </w:rPr>
  </w:style>
  <w:style w:type="paragraph" w:customStyle="1" w:styleId="ManualNumPar4">
    <w:name w:val="Manual NumPar 4"/>
    <w:basedOn w:val="Normal"/>
    <w:next w:val="Normal"/>
    <w:rsid w:val="00BC750E"/>
    <w:pPr>
      <w:spacing w:before="120" w:after="120" w:line="240" w:lineRule="auto"/>
      <w:ind w:left="850" w:hanging="850"/>
      <w:jc w:val="both"/>
    </w:pPr>
    <w:rPr>
      <w:rFonts w:ascii="Times New Roman" w:hAnsi="Times New Roman" w:cs="Times New Roman"/>
      <w:sz w:val="24"/>
    </w:rPr>
  </w:style>
  <w:style w:type="character" w:customStyle="1" w:styleId="Marker">
    <w:name w:val="Marker"/>
    <w:basedOn w:val="DefaultParagraphFont"/>
    <w:rsid w:val="00BC750E"/>
    <w:rPr>
      <w:color w:val="0000FF"/>
      <w:shd w:val="clear" w:color="auto" w:fill="auto"/>
    </w:rPr>
  </w:style>
  <w:style w:type="character" w:customStyle="1" w:styleId="Marker1">
    <w:name w:val="Marker1"/>
    <w:basedOn w:val="DefaultParagraphFont"/>
    <w:rsid w:val="00BC750E"/>
    <w:rPr>
      <w:color w:val="008000"/>
      <w:shd w:val="clear" w:color="auto" w:fill="auto"/>
    </w:rPr>
  </w:style>
  <w:style w:type="character" w:customStyle="1" w:styleId="Marker2">
    <w:name w:val="Marker2"/>
    <w:basedOn w:val="DefaultParagraphFont"/>
    <w:rsid w:val="00BC750E"/>
    <w:rPr>
      <w:color w:val="FF0000"/>
      <w:shd w:val="clear" w:color="auto" w:fill="auto"/>
    </w:rPr>
  </w:style>
  <w:style w:type="paragraph" w:customStyle="1" w:styleId="Nomdelinstitution">
    <w:name w:val="Nom de l'institution"/>
    <w:basedOn w:val="Normal"/>
    <w:next w:val="Emission"/>
    <w:rsid w:val="00BC750E"/>
    <w:pPr>
      <w:spacing w:after="0" w:line="240" w:lineRule="auto"/>
    </w:pPr>
    <w:rPr>
      <w:rFonts w:ascii="Arial" w:hAnsi="Arial" w:cs="Arial"/>
      <w:sz w:val="24"/>
    </w:rPr>
  </w:style>
  <w:style w:type="paragraph" w:styleId="NormalWeb">
    <w:name w:val="Normal (Web)"/>
    <w:basedOn w:val="Normal"/>
    <w:uiPriority w:val="99"/>
    <w:semiHidden/>
    <w:unhideWhenUsed/>
    <w:rsid w:val="00BC750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Centered">
    <w:name w:val="Normal Centered"/>
    <w:basedOn w:val="Normal"/>
    <w:rsid w:val="00BC750E"/>
    <w:pPr>
      <w:spacing w:before="120" w:after="120" w:line="240" w:lineRule="auto"/>
      <w:jc w:val="center"/>
    </w:pPr>
    <w:rPr>
      <w:rFonts w:ascii="Times New Roman" w:hAnsi="Times New Roman" w:cs="Times New Roman"/>
      <w:sz w:val="24"/>
    </w:rPr>
  </w:style>
  <w:style w:type="paragraph" w:customStyle="1" w:styleId="NormalLeft">
    <w:name w:val="Normal Left"/>
    <w:basedOn w:val="Normal"/>
    <w:rsid w:val="00BC750E"/>
    <w:pPr>
      <w:spacing w:before="120" w:after="120" w:line="240" w:lineRule="auto"/>
    </w:pPr>
    <w:rPr>
      <w:rFonts w:ascii="Times New Roman" w:hAnsi="Times New Roman" w:cs="Times New Roman"/>
      <w:sz w:val="24"/>
    </w:rPr>
  </w:style>
  <w:style w:type="paragraph" w:customStyle="1" w:styleId="NormalRight">
    <w:name w:val="Normal Right"/>
    <w:basedOn w:val="Normal"/>
    <w:rsid w:val="00BC750E"/>
    <w:pPr>
      <w:spacing w:before="120" w:after="120" w:line="240" w:lineRule="auto"/>
      <w:jc w:val="right"/>
    </w:pPr>
    <w:rPr>
      <w:rFonts w:ascii="Times New Roman" w:hAnsi="Times New Roman" w:cs="Times New Roman"/>
      <w:sz w:val="24"/>
    </w:rPr>
  </w:style>
  <w:style w:type="paragraph" w:customStyle="1" w:styleId="NumPar1">
    <w:name w:val="NumPar 1"/>
    <w:basedOn w:val="Normal"/>
    <w:next w:val="Normal"/>
    <w:rsid w:val="00BC750E"/>
    <w:pPr>
      <w:numPr>
        <w:numId w:val="21"/>
      </w:numPr>
      <w:spacing w:before="120" w:after="120" w:line="240" w:lineRule="auto"/>
      <w:jc w:val="both"/>
    </w:pPr>
    <w:rPr>
      <w:rFonts w:ascii="Times New Roman" w:hAnsi="Times New Roman" w:cs="Times New Roman"/>
      <w:sz w:val="24"/>
    </w:rPr>
  </w:style>
  <w:style w:type="paragraph" w:customStyle="1" w:styleId="NumPar2">
    <w:name w:val="NumPar 2"/>
    <w:basedOn w:val="Normal"/>
    <w:next w:val="Normal"/>
    <w:rsid w:val="00BC750E"/>
    <w:pPr>
      <w:numPr>
        <w:ilvl w:val="1"/>
        <w:numId w:val="22"/>
      </w:numPr>
      <w:spacing w:before="120" w:after="120" w:line="240" w:lineRule="auto"/>
      <w:jc w:val="both"/>
    </w:pPr>
    <w:rPr>
      <w:rFonts w:ascii="Times New Roman" w:hAnsi="Times New Roman" w:cs="Times New Roman"/>
      <w:sz w:val="24"/>
    </w:rPr>
  </w:style>
  <w:style w:type="paragraph" w:customStyle="1" w:styleId="NumPar3">
    <w:name w:val="NumPar 3"/>
    <w:basedOn w:val="Normal"/>
    <w:next w:val="Normal"/>
    <w:rsid w:val="00BC750E"/>
    <w:pPr>
      <w:numPr>
        <w:ilvl w:val="2"/>
        <w:numId w:val="22"/>
      </w:numPr>
      <w:spacing w:before="120" w:after="120" w:line="240" w:lineRule="auto"/>
      <w:jc w:val="both"/>
    </w:pPr>
    <w:rPr>
      <w:rFonts w:ascii="Times New Roman" w:hAnsi="Times New Roman" w:cs="Times New Roman"/>
      <w:sz w:val="24"/>
    </w:rPr>
  </w:style>
  <w:style w:type="paragraph" w:customStyle="1" w:styleId="NumPar4">
    <w:name w:val="NumPar 4"/>
    <w:basedOn w:val="Normal"/>
    <w:next w:val="Normal"/>
    <w:rsid w:val="00BC750E"/>
    <w:pPr>
      <w:numPr>
        <w:ilvl w:val="3"/>
        <w:numId w:val="22"/>
      </w:numPr>
      <w:spacing w:before="120" w:after="120" w:line="240" w:lineRule="auto"/>
      <w:jc w:val="both"/>
    </w:pPr>
    <w:rPr>
      <w:rFonts w:ascii="Times New Roman" w:hAnsi="Times New Roman" w:cs="Times New Roman"/>
      <w:sz w:val="24"/>
    </w:rPr>
  </w:style>
  <w:style w:type="paragraph" w:customStyle="1" w:styleId="Objetacteprincipal">
    <w:name w:val="Objet acte principal"/>
    <w:basedOn w:val="Normal"/>
    <w:next w:val="Normal"/>
    <w:rsid w:val="00BC750E"/>
    <w:pPr>
      <w:spacing w:after="360" w:line="240" w:lineRule="auto"/>
      <w:jc w:val="center"/>
    </w:pPr>
    <w:rPr>
      <w:rFonts w:ascii="Times New Roman" w:hAnsi="Times New Roman" w:cs="Times New Roman"/>
      <w:b/>
      <w:sz w:val="24"/>
    </w:rPr>
  </w:style>
  <w:style w:type="paragraph" w:customStyle="1" w:styleId="ObjetacteprincipalPagedecouverture">
    <w:name w:val="Objet acte principal (Page de couverture)"/>
    <w:basedOn w:val="Objetacteprincipal"/>
    <w:next w:val="Normal"/>
    <w:rsid w:val="00BC750E"/>
  </w:style>
  <w:style w:type="paragraph" w:customStyle="1" w:styleId="Objetexterne">
    <w:name w:val="Objet externe"/>
    <w:basedOn w:val="Normal"/>
    <w:next w:val="Normal"/>
    <w:rsid w:val="00BC750E"/>
    <w:pPr>
      <w:spacing w:before="120" w:after="120" w:line="240" w:lineRule="auto"/>
      <w:jc w:val="both"/>
    </w:pPr>
    <w:rPr>
      <w:rFonts w:ascii="Times New Roman" w:hAnsi="Times New Roman" w:cs="Times New Roman"/>
      <w:i/>
      <w:caps/>
      <w:sz w:val="24"/>
    </w:rPr>
  </w:style>
  <w:style w:type="character" w:customStyle="1" w:styleId="outreachitemdesc">
    <w:name w:val="outreach__item__desc"/>
    <w:basedOn w:val="DefaultParagraphFont"/>
    <w:rsid w:val="00BC750E"/>
  </w:style>
  <w:style w:type="paragraph" w:customStyle="1" w:styleId="Pagedecouverture">
    <w:name w:val="Page de couverture"/>
    <w:basedOn w:val="Normal"/>
    <w:next w:val="Normal"/>
    <w:rsid w:val="00BC750E"/>
    <w:pPr>
      <w:spacing w:after="0" w:line="240" w:lineRule="auto"/>
      <w:jc w:val="both"/>
    </w:pPr>
    <w:rPr>
      <w:rFonts w:ascii="Times New Roman" w:hAnsi="Times New Roman" w:cs="Times New Roman"/>
      <w:sz w:val="24"/>
    </w:rPr>
  </w:style>
  <w:style w:type="paragraph" w:customStyle="1" w:styleId="PartTitle">
    <w:name w:val="PartTitle"/>
    <w:basedOn w:val="Normal"/>
    <w:next w:val="ChapterTitle"/>
    <w:rsid w:val="00BC750E"/>
    <w:pPr>
      <w:keepNext/>
      <w:pageBreakBefore/>
      <w:spacing w:before="120" w:after="360" w:line="240" w:lineRule="auto"/>
      <w:jc w:val="center"/>
    </w:pPr>
    <w:rPr>
      <w:rFonts w:ascii="Times New Roman" w:hAnsi="Times New Roman" w:cs="Times New Roman"/>
      <w:b/>
      <w:sz w:val="36"/>
    </w:rPr>
  </w:style>
  <w:style w:type="paragraph" w:customStyle="1" w:styleId="Personnequisigne">
    <w:name w:val="Personne qui signe"/>
    <w:basedOn w:val="Normal"/>
    <w:next w:val="Institutionquisigne"/>
    <w:rsid w:val="00BC750E"/>
    <w:pPr>
      <w:tabs>
        <w:tab w:val="left" w:pos="4252"/>
      </w:tabs>
      <w:spacing w:after="0" w:line="240" w:lineRule="auto"/>
    </w:pPr>
    <w:rPr>
      <w:rFonts w:ascii="Times New Roman" w:hAnsi="Times New Roman" w:cs="Times New Roman"/>
      <w:i/>
      <w:sz w:val="24"/>
    </w:rPr>
  </w:style>
  <w:style w:type="paragraph" w:customStyle="1" w:styleId="Point0">
    <w:name w:val="Point 0"/>
    <w:basedOn w:val="Normal"/>
    <w:rsid w:val="00BC750E"/>
    <w:pPr>
      <w:spacing w:before="120" w:after="120" w:line="240" w:lineRule="auto"/>
      <w:ind w:left="850" w:hanging="850"/>
      <w:jc w:val="both"/>
    </w:pPr>
    <w:rPr>
      <w:rFonts w:ascii="Times New Roman" w:hAnsi="Times New Roman" w:cs="Times New Roman"/>
      <w:sz w:val="24"/>
    </w:rPr>
  </w:style>
  <w:style w:type="paragraph" w:customStyle="1" w:styleId="Point0letter">
    <w:name w:val="Point 0 (letter)"/>
    <w:basedOn w:val="Normal"/>
    <w:rsid w:val="00BC750E"/>
    <w:pPr>
      <w:numPr>
        <w:ilvl w:val="1"/>
        <w:numId w:val="24"/>
      </w:numPr>
      <w:spacing w:before="120" w:after="120" w:line="240" w:lineRule="auto"/>
      <w:jc w:val="both"/>
    </w:pPr>
    <w:rPr>
      <w:rFonts w:ascii="Times New Roman" w:hAnsi="Times New Roman" w:cs="Times New Roman"/>
      <w:sz w:val="24"/>
    </w:rPr>
  </w:style>
  <w:style w:type="paragraph" w:customStyle="1" w:styleId="Point0number">
    <w:name w:val="Point 0 (number)"/>
    <w:basedOn w:val="Normal"/>
    <w:rsid w:val="00BC750E"/>
    <w:pPr>
      <w:numPr>
        <w:numId w:val="23"/>
      </w:numPr>
      <w:spacing w:before="120" w:after="120" w:line="240" w:lineRule="auto"/>
      <w:jc w:val="both"/>
    </w:pPr>
    <w:rPr>
      <w:rFonts w:ascii="Times New Roman" w:hAnsi="Times New Roman" w:cs="Times New Roman"/>
      <w:sz w:val="24"/>
    </w:rPr>
  </w:style>
  <w:style w:type="paragraph" w:customStyle="1" w:styleId="Point1">
    <w:name w:val="Point 1"/>
    <w:basedOn w:val="Normal"/>
    <w:rsid w:val="00BC750E"/>
    <w:pPr>
      <w:spacing w:before="120" w:after="120" w:line="240" w:lineRule="auto"/>
      <w:ind w:left="1417" w:hanging="567"/>
      <w:jc w:val="both"/>
    </w:pPr>
    <w:rPr>
      <w:rFonts w:ascii="Times New Roman" w:hAnsi="Times New Roman" w:cs="Times New Roman"/>
      <w:sz w:val="24"/>
    </w:rPr>
  </w:style>
  <w:style w:type="paragraph" w:customStyle="1" w:styleId="Point1letter">
    <w:name w:val="Point 1 (letter)"/>
    <w:basedOn w:val="Normal"/>
    <w:rsid w:val="00BC750E"/>
    <w:pPr>
      <w:numPr>
        <w:ilvl w:val="3"/>
        <w:numId w:val="24"/>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rsid w:val="00BC750E"/>
    <w:pPr>
      <w:numPr>
        <w:ilvl w:val="2"/>
        <w:numId w:val="24"/>
      </w:numPr>
      <w:spacing w:before="120" w:after="120" w:line="240" w:lineRule="auto"/>
      <w:jc w:val="both"/>
    </w:pPr>
    <w:rPr>
      <w:rFonts w:ascii="Times New Roman" w:hAnsi="Times New Roman" w:cs="Times New Roman"/>
      <w:sz w:val="24"/>
    </w:rPr>
  </w:style>
  <w:style w:type="paragraph" w:customStyle="1" w:styleId="Point2">
    <w:name w:val="Point 2"/>
    <w:basedOn w:val="Normal"/>
    <w:rsid w:val="00BC750E"/>
    <w:pPr>
      <w:spacing w:before="120" w:after="120" w:line="240" w:lineRule="auto"/>
      <w:ind w:left="1984" w:hanging="567"/>
      <w:jc w:val="both"/>
    </w:pPr>
    <w:rPr>
      <w:rFonts w:ascii="Times New Roman" w:hAnsi="Times New Roman" w:cs="Times New Roman"/>
      <w:sz w:val="24"/>
    </w:rPr>
  </w:style>
  <w:style w:type="paragraph" w:customStyle="1" w:styleId="Point2letter">
    <w:name w:val="Point 2 (letter)"/>
    <w:basedOn w:val="Normal"/>
    <w:rsid w:val="00BC750E"/>
    <w:pPr>
      <w:numPr>
        <w:ilvl w:val="5"/>
        <w:numId w:val="24"/>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rsid w:val="00BC750E"/>
    <w:pPr>
      <w:numPr>
        <w:ilvl w:val="4"/>
        <w:numId w:val="24"/>
      </w:numPr>
      <w:spacing w:before="120" w:after="120" w:line="240" w:lineRule="auto"/>
      <w:jc w:val="both"/>
    </w:pPr>
    <w:rPr>
      <w:rFonts w:ascii="Times New Roman" w:hAnsi="Times New Roman" w:cs="Times New Roman"/>
      <w:sz w:val="24"/>
    </w:rPr>
  </w:style>
  <w:style w:type="paragraph" w:customStyle="1" w:styleId="Point3">
    <w:name w:val="Point 3"/>
    <w:basedOn w:val="Normal"/>
    <w:rsid w:val="00BC750E"/>
    <w:pPr>
      <w:spacing w:before="120" w:after="120" w:line="240" w:lineRule="auto"/>
      <w:ind w:left="2551" w:hanging="567"/>
      <w:jc w:val="both"/>
    </w:pPr>
    <w:rPr>
      <w:rFonts w:ascii="Times New Roman" w:hAnsi="Times New Roman" w:cs="Times New Roman"/>
      <w:sz w:val="24"/>
    </w:rPr>
  </w:style>
  <w:style w:type="paragraph" w:customStyle="1" w:styleId="Point3letter">
    <w:name w:val="Point 3 (letter)"/>
    <w:basedOn w:val="Normal"/>
    <w:rsid w:val="00BC750E"/>
    <w:pPr>
      <w:numPr>
        <w:ilvl w:val="7"/>
        <w:numId w:val="24"/>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rsid w:val="00BC750E"/>
    <w:pPr>
      <w:numPr>
        <w:ilvl w:val="6"/>
        <w:numId w:val="24"/>
      </w:numPr>
      <w:spacing w:before="120" w:after="120" w:line="240" w:lineRule="auto"/>
      <w:jc w:val="both"/>
    </w:pPr>
    <w:rPr>
      <w:rFonts w:ascii="Times New Roman" w:hAnsi="Times New Roman" w:cs="Times New Roman"/>
      <w:sz w:val="24"/>
    </w:rPr>
  </w:style>
  <w:style w:type="paragraph" w:customStyle="1" w:styleId="Point4">
    <w:name w:val="Point 4"/>
    <w:basedOn w:val="Normal"/>
    <w:rsid w:val="00BC750E"/>
    <w:pPr>
      <w:spacing w:before="120" w:after="120" w:line="240" w:lineRule="auto"/>
      <w:ind w:left="3118" w:hanging="567"/>
      <w:jc w:val="both"/>
    </w:pPr>
    <w:rPr>
      <w:rFonts w:ascii="Times New Roman" w:hAnsi="Times New Roman" w:cs="Times New Roman"/>
      <w:sz w:val="24"/>
    </w:rPr>
  </w:style>
  <w:style w:type="paragraph" w:customStyle="1" w:styleId="Point4letter">
    <w:name w:val="Point 4 (letter)"/>
    <w:basedOn w:val="Normal"/>
    <w:rsid w:val="00BC750E"/>
    <w:pPr>
      <w:numPr>
        <w:ilvl w:val="8"/>
        <w:numId w:val="24"/>
      </w:numPr>
      <w:spacing w:before="120" w:after="120" w:line="240" w:lineRule="auto"/>
      <w:jc w:val="both"/>
    </w:pPr>
    <w:rPr>
      <w:rFonts w:ascii="Times New Roman" w:hAnsi="Times New Roman" w:cs="Times New Roman"/>
      <w:sz w:val="24"/>
    </w:rPr>
  </w:style>
  <w:style w:type="paragraph" w:customStyle="1" w:styleId="PointDouble0">
    <w:name w:val="PointDouble 0"/>
    <w:basedOn w:val="Normal"/>
    <w:rsid w:val="00BC750E"/>
    <w:pPr>
      <w:tabs>
        <w:tab w:val="left" w:pos="850"/>
      </w:tabs>
      <w:spacing w:before="120" w:after="120" w:line="240" w:lineRule="auto"/>
      <w:ind w:left="1417" w:hanging="1417"/>
      <w:jc w:val="both"/>
    </w:pPr>
    <w:rPr>
      <w:rFonts w:ascii="Times New Roman" w:hAnsi="Times New Roman" w:cs="Times New Roman"/>
      <w:sz w:val="24"/>
    </w:rPr>
  </w:style>
  <w:style w:type="paragraph" w:customStyle="1" w:styleId="PointDouble1">
    <w:name w:val="PointDouble 1"/>
    <w:basedOn w:val="Normal"/>
    <w:rsid w:val="00BC750E"/>
    <w:pPr>
      <w:tabs>
        <w:tab w:val="left" w:pos="1417"/>
      </w:tabs>
      <w:spacing w:before="120" w:after="120" w:line="240" w:lineRule="auto"/>
      <w:ind w:left="1984" w:hanging="1134"/>
      <w:jc w:val="both"/>
    </w:pPr>
    <w:rPr>
      <w:rFonts w:ascii="Times New Roman" w:hAnsi="Times New Roman" w:cs="Times New Roman"/>
      <w:sz w:val="24"/>
    </w:rPr>
  </w:style>
  <w:style w:type="paragraph" w:customStyle="1" w:styleId="PointDouble2">
    <w:name w:val="PointDouble 2"/>
    <w:basedOn w:val="Normal"/>
    <w:rsid w:val="00BC750E"/>
    <w:pPr>
      <w:tabs>
        <w:tab w:val="left" w:pos="1984"/>
      </w:tabs>
      <w:spacing w:before="120" w:after="120" w:line="240" w:lineRule="auto"/>
      <w:ind w:left="2551" w:hanging="1134"/>
      <w:jc w:val="both"/>
    </w:pPr>
    <w:rPr>
      <w:rFonts w:ascii="Times New Roman" w:hAnsi="Times New Roman" w:cs="Times New Roman"/>
      <w:sz w:val="24"/>
    </w:rPr>
  </w:style>
  <w:style w:type="paragraph" w:customStyle="1" w:styleId="PointDouble3">
    <w:name w:val="PointDouble 3"/>
    <w:basedOn w:val="Normal"/>
    <w:rsid w:val="00BC750E"/>
    <w:pPr>
      <w:tabs>
        <w:tab w:val="left" w:pos="2551"/>
      </w:tabs>
      <w:spacing w:before="120" w:after="120" w:line="240" w:lineRule="auto"/>
      <w:ind w:left="3118" w:hanging="1134"/>
      <w:jc w:val="both"/>
    </w:pPr>
    <w:rPr>
      <w:rFonts w:ascii="Times New Roman" w:hAnsi="Times New Roman" w:cs="Times New Roman"/>
      <w:sz w:val="24"/>
    </w:rPr>
  </w:style>
  <w:style w:type="paragraph" w:customStyle="1" w:styleId="PointDouble4">
    <w:name w:val="PointDouble 4"/>
    <w:basedOn w:val="Normal"/>
    <w:rsid w:val="00BC750E"/>
    <w:pPr>
      <w:tabs>
        <w:tab w:val="left" w:pos="3118"/>
      </w:tabs>
      <w:spacing w:before="120" w:after="120" w:line="240" w:lineRule="auto"/>
      <w:ind w:left="3685" w:hanging="1134"/>
      <w:jc w:val="both"/>
    </w:pPr>
    <w:rPr>
      <w:rFonts w:ascii="Times New Roman" w:hAnsi="Times New Roman" w:cs="Times New Roman"/>
      <w:sz w:val="24"/>
    </w:rPr>
  </w:style>
  <w:style w:type="paragraph" w:customStyle="1" w:styleId="PointTriple0">
    <w:name w:val="PointTriple 0"/>
    <w:basedOn w:val="Normal"/>
    <w:rsid w:val="00BC750E"/>
    <w:pPr>
      <w:tabs>
        <w:tab w:val="left" w:pos="850"/>
        <w:tab w:val="left" w:pos="1417"/>
      </w:tabs>
      <w:spacing w:before="120" w:after="120" w:line="240" w:lineRule="auto"/>
      <w:ind w:left="1984" w:hanging="1984"/>
      <w:jc w:val="both"/>
    </w:pPr>
    <w:rPr>
      <w:rFonts w:ascii="Times New Roman" w:hAnsi="Times New Roman" w:cs="Times New Roman"/>
      <w:sz w:val="24"/>
    </w:rPr>
  </w:style>
  <w:style w:type="paragraph" w:customStyle="1" w:styleId="PointTriple1">
    <w:name w:val="PointTriple 1"/>
    <w:basedOn w:val="Normal"/>
    <w:rsid w:val="00BC750E"/>
    <w:pPr>
      <w:tabs>
        <w:tab w:val="left" w:pos="1417"/>
        <w:tab w:val="left" w:pos="1984"/>
      </w:tabs>
      <w:spacing w:before="120" w:after="120" w:line="240" w:lineRule="auto"/>
      <w:ind w:left="2551" w:hanging="1701"/>
      <w:jc w:val="both"/>
    </w:pPr>
    <w:rPr>
      <w:rFonts w:ascii="Times New Roman" w:hAnsi="Times New Roman" w:cs="Times New Roman"/>
      <w:sz w:val="24"/>
    </w:rPr>
  </w:style>
  <w:style w:type="paragraph" w:customStyle="1" w:styleId="PointTriple2">
    <w:name w:val="PointTriple 2"/>
    <w:basedOn w:val="Normal"/>
    <w:rsid w:val="00BC750E"/>
    <w:pPr>
      <w:tabs>
        <w:tab w:val="left" w:pos="1984"/>
        <w:tab w:val="left" w:pos="2551"/>
      </w:tabs>
      <w:spacing w:before="120" w:after="120" w:line="240" w:lineRule="auto"/>
      <w:ind w:left="3118" w:hanging="1701"/>
      <w:jc w:val="both"/>
    </w:pPr>
    <w:rPr>
      <w:rFonts w:ascii="Times New Roman" w:hAnsi="Times New Roman" w:cs="Times New Roman"/>
      <w:sz w:val="24"/>
    </w:rPr>
  </w:style>
  <w:style w:type="paragraph" w:customStyle="1" w:styleId="PointTriple3">
    <w:name w:val="PointTriple 3"/>
    <w:basedOn w:val="Normal"/>
    <w:rsid w:val="00BC750E"/>
    <w:pPr>
      <w:tabs>
        <w:tab w:val="left" w:pos="2551"/>
        <w:tab w:val="left" w:pos="3118"/>
      </w:tabs>
      <w:spacing w:before="120" w:after="120" w:line="240" w:lineRule="auto"/>
      <w:ind w:left="3685" w:hanging="1701"/>
      <w:jc w:val="both"/>
    </w:pPr>
    <w:rPr>
      <w:rFonts w:ascii="Times New Roman" w:hAnsi="Times New Roman" w:cs="Times New Roman"/>
      <w:sz w:val="24"/>
    </w:rPr>
  </w:style>
  <w:style w:type="paragraph" w:customStyle="1" w:styleId="PointTriple4">
    <w:name w:val="PointTriple 4"/>
    <w:basedOn w:val="Normal"/>
    <w:rsid w:val="00BC750E"/>
    <w:pPr>
      <w:tabs>
        <w:tab w:val="left" w:pos="3118"/>
        <w:tab w:val="left" w:pos="3685"/>
      </w:tabs>
      <w:spacing w:before="120" w:after="120" w:line="240" w:lineRule="auto"/>
      <w:ind w:left="4252" w:hanging="1701"/>
      <w:jc w:val="both"/>
    </w:pPr>
    <w:rPr>
      <w:rFonts w:ascii="Times New Roman" w:hAnsi="Times New Roman" w:cs="Times New Roman"/>
      <w:sz w:val="24"/>
    </w:rPr>
  </w:style>
  <w:style w:type="paragraph" w:customStyle="1" w:styleId="QuotedNumPar">
    <w:name w:val="Quoted NumPar"/>
    <w:basedOn w:val="Normal"/>
    <w:rsid w:val="00BC750E"/>
    <w:pPr>
      <w:spacing w:before="120" w:after="120" w:line="240" w:lineRule="auto"/>
      <w:ind w:left="1417" w:hanging="567"/>
      <w:jc w:val="both"/>
    </w:pPr>
    <w:rPr>
      <w:rFonts w:ascii="Times New Roman" w:hAnsi="Times New Roman" w:cs="Times New Roman"/>
      <w:sz w:val="24"/>
    </w:rPr>
  </w:style>
  <w:style w:type="paragraph" w:customStyle="1" w:styleId="QuotedText">
    <w:name w:val="Quoted Text"/>
    <w:basedOn w:val="Normal"/>
    <w:rsid w:val="00BC750E"/>
    <w:pPr>
      <w:spacing w:before="120" w:after="120" w:line="240" w:lineRule="auto"/>
      <w:ind w:left="1417"/>
      <w:jc w:val="both"/>
    </w:pPr>
    <w:rPr>
      <w:rFonts w:ascii="Times New Roman" w:hAnsi="Times New Roman" w:cs="Times New Roman"/>
      <w:sz w:val="24"/>
    </w:rPr>
  </w:style>
  <w:style w:type="paragraph" w:customStyle="1" w:styleId="Rfrencecroise">
    <w:name w:val="Référence croisée"/>
    <w:basedOn w:val="Normal"/>
    <w:rsid w:val="00BC750E"/>
    <w:pPr>
      <w:spacing w:after="0" w:line="240" w:lineRule="auto"/>
      <w:jc w:val="center"/>
    </w:pPr>
    <w:rPr>
      <w:rFonts w:ascii="Times New Roman" w:hAnsi="Times New Roman" w:cs="Times New Roman"/>
      <w:sz w:val="24"/>
    </w:rPr>
  </w:style>
  <w:style w:type="paragraph" w:customStyle="1" w:styleId="Rfrenceinstitutionnelle">
    <w:name w:val="Référence institutionnelle"/>
    <w:basedOn w:val="Normal"/>
    <w:next w:val="Confidentialit"/>
    <w:rsid w:val="00BC750E"/>
    <w:pPr>
      <w:spacing w:after="240" w:line="240" w:lineRule="auto"/>
      <w:ind w:left="5103"/>
    </w:pPr>
    <w:rPr>
      <w:rFonts w:ascii="Times New Roman" w:hAnsi="Times New Roman" w:cs="Times New Roman"/>
      <w:sz w:val="24"/>
    </w:rPr>
  </w:style>
  <w:style w:type="paragraph" w:customStyle="1" w:styleId="Rfrenceinterinstitutionnelle">
    <w:name w:val="Référence interinstitutionnelle"/>
    <w:basedOn w:val="Normal"/>
    <w:next w:val="Normal"/>
    <w:rsid w:val="00BC750E"/>
    <w:pPr>
      <w:spacing w:after="0" w:line="240" w:lineRule="auto"/>
      <w:ind w:left="5103"/>
    </w:pPr>
    <w:rPr>
      <w:rFonts w:ascii="Times New Roman" w:hAnsi="Times New Roman" w:cs="Times New Roman"/>
      <w:sz w:val="24"/>
    </w:rPr>
  </w:style>
  <w:style w:type="paragraph" w:customStyle="1" w:styleId="RfrenceinterinstitutionnellePagedecouverture">
    <w:name w:val="Référence interinstitutionnelle (Page de couverture)"/>
    <w:basedOn w:val="Rfrenceinterinstitutionnelle"/>
    <w:next w:val="Confidentialit"/>
    <w:rsid w:val="00BC750E"/>
  </w:style>
  <w:style w:type="paragraph" w:customStyle="1" w:styleId="Rfrenceinterne">
    <w:name w:val="Référence interne"/>
    <w:basedOn w:val="Normal"/>
    <w:next w:val="Rfrenceinterinstitutionnelle"/>
    <w:rsid w:val="00BC750E"/>
    <w:pPr>
      <w:spacing w:after="0" w:line="240" w:lineRule="auto"/>
      <w:ind w:left="5103"/>
    </w:pPr>
    <w:rPr>
      <w:rFonts w:ascii="Times New Roman" w:hAnsi="Times New Roman" w:cs="Times New Roman"/>
      <w:sz w:val="24"/>
    </w:rPr>
  </w:style>
  <w:style w:type="paragraph" w:customStyle="1" w:styleId="ReleasableTo">
    <w:name w:val="ReleasableTo"/>
    <w:basedOn w:val="Normal"/>
    <w:rsid w:val="00304452"/>
    <w:pPr>
      <w:spacing w:after="0" w:line="276" w:lineRule="auto"/>
      <w:ind w:left="5103"/>
    </w:pPr>
    <w:rPr>
      <w:rFonts w:ascii="Times New Roman" w:hAnsi="Times New Roman" w:cs="Times New Roman"/>
      <w:i/>
      <w:sz w:val="28"/>
    </w:rPr>
  </w:style>
  <w:style w:type="paragraph" w:customStyle="1" w:styleId="SectionTitle">
    <w:name w:val="SectionTitle"/>
    <w:basedOn w:val="Normal"/>
    <w:next w:val="Heading1"/>
    <w:rsid w:val="00BC750E"/>
    <w:pPr>
      <w:keepNext/>
      <w:spacing w:before="120" w:after="360" w:line="240" w:lineRule="auto"/>
      <w:jc w:val="center"/>
    </w:pPr>
    <w:rPr>
      <w:rFonts w:ascii="Times New Roman" w:hAnsi="Times New Roman" w:cs="Times New Roman"/>
      <w:b/>
      <w:smallCaps/>
      <w:sz w:val="28"/>
    </w:rPr>
  </w:style>
  <w:style w:type="paragraph" w:customStyle="1" w:styleId="SecurityMarking">
    <w:name w:val="SecurityMarking"/>
    <w:basedOn w:val="Normal"/>
    <w:rsid w:val="00304452"/>
    <w:pPr>
      <w:spacing w:after="0" w:line="276" w:lineRule="auto"/>
      <w:ind w:left="5103"/>
    </w:pPr>
    <w:rPr>
      <w:rFonts w:ascii="Times New Roman" w:hAnsi="Times New Roman" w:cs="Times New Roman"/>
      <w:sz w:val="28"/>
    </w:rPr>
  </w:style>
  <w:style w:type="paragraph" w:customStyle="1" w:styleId="Sous-titreobjet">
    <w:name w:val="Sous-titre objet"/>
    <w:basedOn w:val="Normal"/>
    <w:rsid w:val="00BC750E"/>
    <w:pPr>
      <w:spacing w:after="0" w:line="240" w:lineRule="auto"/>
      <w:jc w:val="center"/>
    </w:pPr>
    <w:rPr>
      <w:rFonts w:ascii="Times New Roman" w:hAnsi="Times New Roman" w:cs="Times New Roman"/>
      <w:b/>
      <w:sz w:val="24"/>
    </w:rPr>
  </w:style>
  <w:style w:type="paragraph" w:customStyle="1" w:styleId="Sous-titreobjetPagedecouverture">
    <w:name w:val="Sous-titre objet (Page de couverture)"/>
    <w:basedOn w:val="Sous-titreobjet"/>
    <w:rsid w:val="00BC750E"/>
  </w:style>
  <w:style w:type="paragraph" w:customStyle="1" w:styleId="statut">
    <w:name w:val="statut"/>
    <w:basedOn w:val="Normal"/>
    <w:rsid w:val="00BC750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tut0">
    <w:name w:val="Statut"/>
    <w:basedOn w:val="Normal"/>
    <w:next w:val="Normal"/>
    <w:rsid w:val="00BC750E"/>
    <w:pPr>
      <w:spacing w:before="360" w:after="0" w:line="240" w:lineRule="auto"/>
      <w:jc w:val="center"/>
    </w:pPr>
    <w:rPr>
      <w:rFonts w:ascii="Times New Roman" w:hAnsi="Times New Roman" w:cs="Times New Roman"/>
      <w:sz w:val="24"/>
    </w:rPr>
  </w:style>
  <w:style w:type="paragraph" w:customStyle="1" w:styleId="StatutPagedecouverture">
    <w:name w:val="Statut (Page de couverture)"/>
    <w:basedOn w:val="Statut0"/>
    <w:next w:val="Normal"/>
    <w:rsid w:val="00BC750E"/>
  </w:style>
  <w:style w:type="character" w:styleId="Strong">
    <w:name w:val="Strong"/>
    <w:basedOn w:val="DefaultParagraphFont"/>
    <w:uiPriority w:val="22"/>
    <w:qFormat/>
    <w:rsid w:val="00BC750E"/>
    <w:rPr>
      <w:b/>
      <w:bCs/>
    </w:rPr>
  </w:style>
  <w:style w:type="paragraph" w:customStyle="1" w:styleId="Supertitre">
    <w:name w:val="Supertitre"/>
    <w:basedOn w:val="Normal"/>
    <w:next w:val="Normal"/>
    <w:rsid w:val="00BC750E"/>
    <w:pPr>
      <w:spacing w:after="600" w:line="240" w:lineRule="auto"/>
      <w:jc w:val="center"/>
    </w:pPr>
    <w:rPr>
      <w:rFonts w:ascii="Times New Roman" w:hAnsi="Times New Roman" w:cs="Times New Roman"/>
      <w:b/>
      <w:sz w:val="24"/>
    </w:rPr>
  </w:style>
  <w:style w:type="table" w:styleId="TableGrid">
    <w:name w:val="Table Grid"/>
    <w:basedOn w:val="TableNormal"/>
    <w:uiPriority w:val="59"/>
    <w:rsid w:val="00BC750E"/>
    <w:pPr>
      <w:spacing w:after="24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BC750E"/>
    <w:pPr>
      <w:spacing w:before="120" w:after="0" w:line="240" w:lineRule="auto"/>
      <w:jc w:val="both"/>
    </w:pPr>
    <w:rPr>
      <w:rFonts w:ascii="Times New Roman" w:hAnsi="Times New Roman" w:cs="Times New Roman"/>
      <w:sz w:val="24"/>
    </w:rPr>
  </w:style>
  <w:style w:type="paragraph" w:customStyle="1" w:styleId="TableTitle">
    <w:name w:val="Table Title"/>
    <w:basedOn w:val="Normal"/>
    <w:next w:val="Normal"/>
    <w:rsid w:val="00BC750E"/>
    <w:pPr>
      <w:spacing w:before="120" w:after="120" w:line="240" w:lineRule="auto"/>
      <w:jc w:val="center"/>
    </w:pPr>
    <w:rPr>
      <w:rFonts w:ascii="Times New Roman" w:hAnsi="Times New Roman" w:cs="Times New Roman"/>
      <w:b/>
      <w:sz w:val="24"/>
    </w:rPr>
  </w:style>
  <w:style w:type="paragraph" w:customStyle="1" w:styleId="Text1">
    <w:name w:val="Text 1"/>
    <w:basedOn w:val="Normal"/>
    <w:rsid w:val="00BC750E"/>
    <w:pPr>
      <w:spacing w:before="120" w:after="120" w:line="240" w:lineRule="auto"/>
      <w:ind w:left="850"/>
      <w:jc w:val="both"/>
    </w:pPr>
    <w:rPr>
      <w:rFonts w:ascii="Times New Roman" w:hAnsi="Times New Roman" w:cs="Times New Roman"/>
      <w:sz w:val="24"/>
    </w:rPr>
  </w:style>
  <w:style w:type="paragraph" w:customStyle="1" w:styleId="Text2">
    <w:name w:val="Text 2"/>
    <w:basedOn w:val="Normal"/>
    <w:rsid w:val="00BC750E"/>
    <w:pPr>
      <w:spacing w:before="120" w:after="120" w:line="240" w:lineRule="auto"/>
      <w:ind w:left="1417"/>
      <w:jc w:val="both"/>
    </w:pPr>
    <w:rPr>
      <w:rFonts w:ascii="Times New Roman" w:hAnsi="Times New Roman" w:cs="Times New Roman"/>
      <w:sz w:val="24"/>
    </w:rPr>
  </w:style>
  <w:style w:type="paragraph" w:customStyle="1" w:styleId="Text3">
    <w:name w:val="Text 3"/>
    <w:basedOn w:val="Normal"/>
    <w:rsid w:val="00BC750E"/>
    <w:pPr>
      <w:spacing w:before="120" w:after="120" w:line="240" w:lineRule="auto"/>
      <w:ind w:left="1984"/>
      <w:jc w:val="both"/>
    </w:pPr>
    <w:rPr>
      <w:rFonts w:ascii="Times New Roman" w:hAnsi="Times New Roman" w:cs="Times New Roman"/>
      <w:sz w:val="24"/>
    </w:rPr>
  </w:style>
  <w:style w:type="paragraph" w:customStyle="1" w:styleId="Text4">
    <w:name w:val="Text 4"/>
    <w:basedOn w:val="Normal"/>
    <w:rsid w:val="00BC750E"/>
    <w:pPr>
      <w:spacing w:before="120" w:after="120" w:line="240" w:lineRule="auto"/>
      <w:ind w:left="2551"/>
      <w:jc w:val="both"/>
    </w:pPr>
    <w:rPr>
      <w:rFonts w:ascii="Times New Roman" w:hAnsi="Times New Roman" w:cs="Times New Roman"/>
      <w:sz w:val="24"/>
    </w:rPr>
  </w:style>
  <w:style w:type="paragraph" w:customStyle="1" w:styleId="Tiret0">
    <w:name w:val="Tiret 0"/>
    <w:basedOn w:val="Point0"/>
    <w:rsid w:val="00BC750E"/>
    <w:pPr>
      <w:numPr>
        <w:numId w:val="25"/>
      </w:numPr>
    </w:pPr>
  </w:style>
  <w:style w:type="paragraph" w:customStyle="1" w:styleId="Tiret1">
    <w:name w:val="Tiret 1"/>
    <w:basedOn w:val="Point1"/>
    <w:rsid w:val="00BC750E"/>
    <w:pPr>
      <w:numPr>
        <w:numId w:val="26"/>
      </w:numPr>
    </w:pPr>
  </w:style>
  <w:style w:type="paragraph" w:customStyle="1" w:styleId="Tiret2">
    <w:name w:val="Tiret 2"/>
    <w:basedOn w:val="Point2"/>
    <w:rsid w:val="00BC750E"/>
    <w:pPr>
      <w:numPr>
        <w:numId w:val="27"/>
      </w:numPr>
    </w:pPr>
  </w:style>
  <w:style w:type="paragraph" w:customStyle="1" w:styleId="Tiret3">
    <w:name w:val="Tiret 3"/>
    <w:basedOn w:val="Point3"/>
    <w:rsid w:val="00BC750E"/>
    <w:pPr>
      <w:numPr>
        <w:numId w:val="28"/>
      </w:numPr>
    </w:pPr>
  </w:style>
  <w:style w:type="paragraph" w:customStyle="1" w:styleId="Tiret4">
    <w:name w:val="Tiret 4"/>
    <w:basedOn w:val="Point4"/>
    <w:rsid w:val="00BC750E"/>
    <w:pPr>
      <w:numPr>
        <w:numId w:val="29"/>
      </w:numPr>
    </w:pPr>
  </w:style>
  <w:style w:type="paragraph" w:customStyle="1" w:styleId="Titrearticle">
    <w:name w:val="Titre article"/>
    <w:basedOn w:val="Normal"/>
    <w:next w:val="Normal"/>
    <w:rsid w:val="00BC750E"/>
    <w:pPr>
      <w:keepNext/>
      <w:spacing w:before="360" w:after="120" w:line="240" w:lineRule="auto"/>
      <w:jc w:val="center"/>
    </w:pPr>
    <w:rPr>
      <w:rFonts w:ascii="Times New Roman" w:hAnsi="Times New Roman" w:cs="Times New Roman"/>
      <w:i/>
      <w:sz w:val="24"/>
    </w:rPr>
  </w:style>
  <w:style w:type="paragraph" w:customStyle="1" w:styleId="Titreobjet">
    <w:name w:val="Titre objet"/>
    <w:basedOn w:val="Normal"/>
    <w:next w:val="IntrtEEE"/>
    <w:rsid w:val="00BC750E"/>
    <w:pPr>
      <w:spacing w:before="360" w:after="360" w:line="240" w:lineRule="auto"/>
      <w:jc w:val="center"/>
    </w:pPr>
    <w:rPr>
      <w:rFonts w:ascii="Times New Roman" w:hAnsi="Times New Roman" w:cs="Times New Roman"/>
      <w:b/>
      <w:sz w:val="24"/>
    </w:rPr>
  </w:style>
  <w:style w:type="paragraph" w:customStyle="1" w:styleId="TitreobjetPagedecouverture">
    <w:name w:val="Titre objet (Page de couverture)"/>
    <w:basedOn w:val="Titreobjet"/>
    <w:next w:val="IntrtEEEPagedecouverture"/>
    <w:rsid w:val="00BC750E"/>
  </w:style>
  <w:style w:type="paragraph" w:styleId="TOC1">
    <w:name w:val="toc 1"/>
    <w:basedOn w:val="Normal"/>
    <w:next w:val="Normal"/>
    <w:uiPriority w:val="39"/>
    <w:semiHidden/>
    <w:unhideWhenUsed/>
    <w:rsid w:val="00BC750E"/>
    <w:pPr>
      <w:tabs>
        <w:tab w:val="right" w:leader="dot" w:pos="9071"/>
      </w:tabs>
      <w:spacing w:before="60" w:after="120" w:line="240" w:lineRule="auto"/>
      <w:ind w:left="850" w:hanging="850"/>
    </w:pPr>
    <w:rPr>
      <w:rFonts w:ascii="Times New Roman" w:hAnsi="Times New Roman" w:cs="Times New Roman"/>
      <w:sz w:val="24"/>
    </w:rPr>
  </w:style>
  <w:style w:type="paragraph" w:styleId="TOC2">
    <w:name w:val="toc 2"/>
    <w:basedOn w:val="Normal"/>
    <w:next w:val="Normal"/>
    <w:uiPriority w:val="39"/>
    <w:semiHidden/>
    <w:unhideWhenUsed/>
    <w:rsid w:val="00BC750E"/>
    <w:pPr>
      <w:tabs>
        <w:tab w:val="right" w:leader="dot" w:pos="9071"/>
      </w:tabs>
      <w:spacing w:before="60" w:after="120" w:line="240" w:lineRule="auto"/>
      <w:ind w:left="850" w:hanging="850"/>
    </w:pPr>
    <w:rPr>
      <w:rFonts w:ascii="Times New Roman" w:hAnsi="Times New Roman" w:cs="Times New Roman"/>
      <w:sz w:val="24"/>
    </w:rPr>
  </w:style>
  <w:style w:type="paragraph" w:styleId="TOC3">
    <w:name w:val="toc 3"/>
    <w:basedOn w:val="Normal"/>
    <w:next w:val="Normal"/>
    <w:uiPriority w:val="39"/>
    <w:semiHidden/>
    <w:unhideWhenUsed/>
    <w:rsid w:val="00BC750E"/>
    <w:pPr>
      <w:tabs>
        <w:tab w:val="right" w:leader="dot" w:pos="9071"/>
      </w:tabs>
      <w:spacing w:before="60" w:after="120" w:line="240" w:lineRule="auto"/>
      <w:ind w:left="850" w:hanging="850"/>
    </w:pPr>
    <w:rPr>
      <w:rFonts w:ascii="Times New Roman" w:hAnsi="Times New Roman" w:cs="Times New Roman"/>
      <w:sz w:val="24"/>
    </w:rPr>
  </w:style>
  <w:style w:type="paragraph" w:styleId="TOC4">
    <w:name w:val="toc 4"/>
    <w:basedOn w:val="Normal"/>
    <w:next w:val="Normal"/>
    <w:uiPriority w:val="39"/>
    <w:semiHidden/>
    <w:unhideWhenUsed/>
    <w:rsid w:val="00BC750E"/>
    <w:pPr>
      <w:tabs>
        <w:tab w:val="right" w:leader="dot" w:pos="9071"/>
      </w:tabs>
      <w:spacing w:before="60" w:after="120" w:line="240" w:lineRule="auto"/>
      <w:ind w:left="850" w:hanging="850"/>
    </w:pPr>
    <w:rPr>
      <w:rFonts w:ascii="Times New Roman" w:hAnsi="Times New Roman" w:cs="Times New Roman"/>
      <w:sz w:val="24"/>
    </w:rPr>
  </w:style>
  <w:style w:type="paragraph" w:styleId="TOC5">
    <w:name w:val="toc 5"/>
    <w:basedOn w:val="Normal"/>
    <w:next w:val="Normal"/>
    <w:uiPriority w:val="39"/>
    <w:semiHidden/>
    <w:unhideWhenUsed/>
    <w:rsid w:val="00BC750E"/>
    <w:pPr>
      <w:tabs>
        <w:tab w:val="right" w:leader="dot" w:pos="9071"/>
      </w:tabs>
      <w:spacing w:before="300" w:after="120" w:line="240" w:lineRule="auto"/>
    </w:pPr>
    <w:rPr>
      <w:rFonts w:ascii="Times New Roman" w:hAnsi="Times New Roman" w:cs="Times New Roman"/>
      <w:sz w:val="24"/>
    </w:rPr>
  </w:style>
  <w:style w:type="paragraph" w:styleId="TOC6">
    <w:name w:val="toc 6"/>
    <w:basedOn w:val="Normal"/>
    <w:next w:val="Normal"/>
    <w:uiPriority w:val="39"/>
    <w:semiHidden/>
    <w:unhideWhenUsed/>
    <w:rsid w:val="00BC750E"/>
    <w:pPr>
      <w:tabs>
        <w:tab w:val="right" w:leader="dot" w:pos="9071"/>
      </w:tabs>
      <w:spacing w:before="240" w:after="120" w:line="240" w:lineRule="auto"/>
    </w:pPr>
    <w:rPr>
      <w:rFonts w:ascii="Times New Roman" w:hAnsi="Times New Roman" w:cs="Times New Roman"/>
      <w:sz w:val="24"/>
    </w:rPr>
  </w:style>
  <w:style w:type="paragraph" w:styleId="TOC7">
    <w:name w:val="toc 7"/>
    <w:basedOn w:val="Normal"/>
    <w:next w:val="Normal"/>
    <w:uiPriority w:val="39"/>
    <w:semiHidden/>
    <w:unhideWhenUsed/>
    <w:rsid w:val="00BC750E"/>
    <w:pPr>
      <w:tabs>
        <w:tab w:val="right" w:leader="dot" w:pos="9071"/>
      </w:tabs>
      <w:spacing w:before="180" w:after="120" w:line="240" w:lineRule="auto"/>
    </w:pPr>
    <w:rPr>
      <w:rFonts w:ascii="Times New Roman" w:hAnsi="Times New Roman" w:cs="Times New Roman"/>
      <w:sz w:val="24"/>
    </w:rPr>
  </w:style>
  <w:style w:type="paragraph" w:styleId="TOC8">
    <w:name w:val="toc 8"/>
    <w:basedOn w:val="Normal"/>
    <w:next w:val="Normal"/>
    <w:uiPriority w:val="39"/>
    <w:semiHidden/>
    <w:unhideWhenUsed/>
    <w:rsid w:val="00BC750E"/>
    <w:pPr>
      <w:tabs>
        <w:tab w:val="right" w:leader="dot" w:pos="9071"/>
      </w:tabs>
      <w:spacing w:before="120" w:after="120" w:line="240" w:lineRule="auto"/>
    </w:pPr>
    <w:rPr>
      <w:rFonts w:ascii="Times New Roman" w:hAnsi="Times New Roman" w:cs="Times New Roman"/>
      <w:sz w:val="24"/>
    </w:rPr>
  </w:style>
  <w:style w:type="paragraph" w:styleId="TOC9">
    <w:name w:val="toc 9"/>
    <w:basedOn w:val="Normal"/>
    <w:next w:val="Normal"/>
    <w:uiPriority w:val="39"/>
    <w:semiHidden/>
    <w:unhideWhenUsed/>
    <w:rsid w:val="00BC750E"/>
    <w:pPr>
      <w:tabs>
        <w:tab w:val="right" w:leader="dot" w:pos="9071"/>
      </w:tabs>
      <w:spacing w:before="120" w:after="120" w:line="240" w:lineRule="auto"/>
      <w:jc w:val="both"/>
    </w:pPr>
    <w:rPr>
      <w:rFonts w:ascii="Times New Roman" w:hAnsi="Times New Roman" w:cs="Times New Roman"/>
      <w:sz w:val="24"/>
    </w:rPr>
  </w:style>
  <w:style w:type="paragraph" w:styleId="TOCHeading">
    <w:name w:val="TOC Heading"/>
    <w:basedOn w:val="Normal"/>
    <w:next w:val="Normal"/>
    <w:uiPriority w:val="39"/>
    <w:semiHidden/>
    <w:unhideWhenUsed/>
    <w:qFormat/>
    <w:rsid w:val="00BC750E"/>
    <w:pPr>
      <w:spacing w:before="120" w:after="240" w:line="240" w:lineRule="auto"/>
      <w:jc w:val="center"/>
    </w:pPr>
    <w:rPr>
      <w:rFonts w:ascii="Times New Roman" w:hAnsi="Times New Roman" w:cs="Times New Roman"/>
      <w:b/>
      <w:sz w:val="28"/>
    </w:rPr>
  </w:style>
  <w:style w:type="paragraph" w:customStyle="1" w:styleId="Typeacteprincipal">
    <w:name w:val="Type acte principal"/>
    <w:basedOn w:val="Normal"/>
    <w:next w:val="Objetacteprincipal"/>
    <w:rsid w:val="00BC750E"/>
    <w:pPr>
      <w:spacing w:after="240" w:line="240" w:lineRule="auto"/>
      <w:jc w:val="center"/>
    </w:pPr>
    <w:rPr>
      <w:rFonts w:ascii="Times New Roman" w:hAnsi="Times New Roman" w:cs="Times New Roman"/>
      <w:b/>
      <w:sz w:val="24"/>
    </w:rPr>
  </w:style>
  <w:style w:type="paragraph" w:customStyle="1" w:styleId="TypeacteprincipalPagedecouverture">
    <w:name w:val="Type acte principal (Page de couverture)"/>
    <w:basedOn w:val="Typeacteprincipal"/>
    <w:next w:val="ObjetacteprincipalPagedecouverture"/>
    <w:rsid w:val="00BC750E"/>
  </w:style>
  <w:style w:type="paragraph" w:customStyle="1" w:styleId="Typedudocument">
    <w:name w:val="Type du document"/>
    <w:basedOn w:val="Normal"/>
    <w:next w:val="Titreobjet"/>
    <w:rsid w:val="00BC750E"/>
    <w:pPr>
      <w:spacing w:before="360" w:after="0" w:line="240" w:lineRule="auto"/>
      <w:jc w:val="center"/>
    </w:pPr>
    <w:rPr>
      <w:rFonts w:ascii="Times New Roman" w:hAnsi="Times New Roman" w:cs="Times New Roman"/>
      <w:b/>
      <w:sz w:val="24"/>
    </w:rPr>
  </w:style>
  <w:style w:type="paragraph" w:customStyle="1" w:styleId="TypedudocumentPagedecouverture">
    <w:name w:val="Type du document (Page de couverture)"/>
    <w:basedOn w:val="Typedudocument"/>
    <w:next w:val="TitreobjetPagedecouverture"/>
    <w:rsid w:val="00BC750E"/>
  </w:style>
  <w:style w:type="paragraph" w:customStyle="1" w:styleId="Volume">
    <w:name w:val="Volume"/>
    <w:basedOn w:val="Normal"/>
    <w:next w:val="Confidentialit"/>
    <w:rsid w:val="00BC750E"/>
    <w:pPr>
      <w:spacing w:after="240" w:line="240" w:lineRule="auto"/>
      <w:ind w:left="5103"/>
    </w:pPr>
    <w:rPr>
      <w:rFonts w:ascii="Times New Roman" w:hAnsi="Times New Roman" w:cs="Times New Roman"/>
      <w:sz w:val="24"/>
    </w:rPr>
  </w:style>
  <w:style w:type="paragraph" w:customStyle="1" w:styleId="FooterCoverPage">
    <w:name w:val="Footer Cover Page"/>
    <w:basedOn w:val="Normal"/>
    <w:link w:val="FooterCoverPageChar"/>
    <w:rsid w:val="00B57580"/>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B57580"/>
    <w:rPr>
      <w:rFonts w:ascii="Times New Roman" w:hAnsi="Times New Roman" w:cs="Times New Roman"/>
      <w:sz w:val="24"/>
    </w:rPr>
  </w:style>
  <w:style w:type="paragraph" w:customStyle="1" w:styleId="HeaderCoverPage">
    <w:name w:val="Header Cover Page"/>
    <w:basedOn w:val="Normal"/>
    <w:link w:val="HeaderCoverPageChar"/>
    <w:rsid w:val="00B57580"/>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B57580"/>
    <w:rPr>
      <w:rFonts w:ascii="Times New Roman" w:hAnsi="Times New Roman" w:cs="Times New Roman"/>
      <w:sz w:val="24"/>
    </w:rPr>
  </w:style>
  <w:style w:type="character" w:customStyle="1" w:styleId="ListParagraphChar">
    <w:name w:val="List Paragraph Char"/>
    <w:aliases w:val="Dot pt Char,F5 List Paragraph Char,List Paragraph1 Char,No Spacing1 Char,List Paragraph Char Char Char Char,Indicator Text Char,Numbered Para 1 Char,Bullet Points Char,MAIN CONTENT Char,List Paragraph11 Char,List Paragraph12 Char"/>
    <w:basedOn w:val="DefaultParagraphFont"/>
    <w:link w:val="ListParagraph"/>
    <w:uiPriority w:val="34"/>
    <w:qFormat/>
    <w:locked/>
    <w:rsid w:val="00470552"/>
    <w:rPr>
      <w:rFonts w:ascii="Calibri" w:hAnsi="Calibri" w:cs="Times New Roman"/>
      <w:lang w:val="hu-HU"/>
    </w:rPr>
  </w:style>
  <w:style w:type="paragraph" w:styleId="BodyText">
    <w:name w:val="Body Text"/>
    <w:basedOn w:val="Normal"/>
    <w:link w:val="BodyTextChar"/>
    <w:uiPriority w:val="99"/>
    <w:unhideWhenUsed/>
    <w:rsid w:val="00470552"/>
    <w:pPr>
      <w:spacing w:after="200" w:line="276" w:lineRule="auto"/>
      <w:jc w:val="both"/>
    </w:pPr>
    <w:rPr>
      <w:rFonts w:ascii="Times New Roman" w:hAnsi="Times New Roman"/>
      <w:sz w:val="24"/>
      <w:szCs w:val="24"/>
    </w:rPr>
  </w:style>
  <w:style w:type="character" w:customStyle="1" w:styleId="BodyTextChar">
    <w:name w:val="Body Text Char"/>
    <w:basedOn w:val="DefaultParagraphFont"/>
    <w:link w:val="BodyText"/>
    <w:uiPriority w:val="99"/>
    <w:rsid w:val="00470552"/>
    <w:rPr>
      <w:rFonts w:ascii="Times New Roman" w:hAnsi="Times New Roman"/>
      <w:sz w:val="24"/>
      <w:szCs w:val="24"/>
      <w:lang w:val="hu-HU"/>
    </w:rPr>
  </w:style>
  <w:style w:type="paragraph" w:customStyle="1" w:styleId="paragraph">
    <w:name w:val="paragraph"/>
    <w:basedOn w:val="Normal"/>
    <w:rsid w:val="004705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DefaultParagraphFont"/>
    <w:rsid w:val="00470552"/>
  </w:style>
  <w:style w:type="character" w:customStyle="1" w:styleId="Briefinglist1Char">
    <w:name w:val="Briefing list 1 Char"/>
    <w:basedOn w:val="DefaultParagraphFont"/>
    <w:link w:val="Briefinglist1"/>
    <w:qFormat/>
    <w:locked/>
    <w:rsid w:val="00470552"/>
    <w:rPr>
      <w:rFonts w:ascii="Arial" w:eastAsia="Times New Roman" w:hAnsi="Arial" w:cs="Times New Roman"/>
      <w:szCs w:val="24"/>
      <w:lang w:eastAsia="en-GB"/>
    </w:rPr>
  </w:style>
  <w:style w:type="paragraph" w:customStyle="1" w:styleId="Briefinglist1">
    <w:name w:val="Briefing list 1"/>
    <w:basedOn w:val="Normal"/>
    <w:link w:val="Briefinglist1Char"/>
    <w:qFormat/>
    <w:rsid w:val="00470552"/>
    <w:pPr>
      <w:keepLines/>
      <w:numPr>
        <w:numId w:val="31"/>
      </w:numPr>
      <w:spacing w:after="120" w:line="240" w:lineRule="auto"/>
      <w:jc w:val="both"/>
    </w:pPr>
    <w:rPr>
      <w:rFonts w:ascii="Arial" w:eastAsia="Times New Roman" w:hAnsi="Arial" w:cs="Times New Roman"/>
      <w:szCs w:val="24"/>
      <w:lang w:eastAsia="en-GB"/>
    </w:rPr>
  </w:style>
  <w:style w:type="paragraph" w:styleId="Revision">
    <w:name w:val="Revision"/>
    <w:hidden/>
    <w:uiPriority w:val="99"/>
    <w:semiHidden/>
    <w:rsid w:val="002A1681"/>
    <w:pPr>
      <w:spacing w:after="0" w:line="240" w:lineRule="auto"/>
    </w:pPr>
  </w:style>
  <w:style w:type="character" w:customStyle="1" w:styleId="UnresolvedMention1">
    <w:name w:val="Unresolved Mention1"/>
    <w:basedOn w:val="DefaultParagraphFont"/>
    <w:uiPriority w:val="99"/>
    <w:semiHidden/>
    <w:unhideWhenUsed/>
    <w:rsid w:val="002C2557"/>
    <w:rPr>
      <w:color w:val="605E5C"/>
      <w:shd w:val="clear" w:color="auto" w:fill="E1DFDD"/>
    </w:rPr>
  </w:style>
  <w:style w:type="character" w:customStyle="1" w:styleId="normaltextrun">
    <w:name w:val="normaltextrun"/>
    <w:basedOn w:val="DefaultParagraphFont"/>
    <w:rsid w:val="002C2557"/>
  </w:style>
  <w:style w:type="character" w:customStyle="1" w:styleId="eop">
    <w:name w:val="eop"/>
    <w:basedOn w:val="DefaultParagraphFont"/>
    <w:rsid w:val="002C2557"/>
  </w:style>
  <w:style w:type="character" w:customStyle="1" w:styleId="epname">
    <w:name w:val="ep_name"/>
    <w:basedOn w:val="DefaultParagraphFont"/>
    <w:rsid w:val="00CA2F1F"/>
  </w:style>
  <w:style w:type="character" w:customStyle="1" w:styleId="epicon">
    <w:name w:val="ep_icon"/>
    <w:basedOn w:val="DefaultParagraphFont"/>
    <w:rsid w:val="00CA2F1F"/>
  </w:style>
  <w:style w:type="paragraph" w:customStyle="1" w:styleId="Nota">
    <w:name w:val="Nota"/>
    <w:aliases w:val="Char1,(NECG) Footnote Reference,fr,Appel note de bas de p,o,Style 6,Signature Ch"/>
    <w:basedOn w:val="Normal"/>
    <w:link w:val="FootnoteReference"/>
    <w:rsid w:val="00207822"/>
    <w:pPr>
      <w:spacing w:line="240" w:lineRule="exact"/>
      <w:jc w:val="both"/>
    </w:pPr>
    <w:rPr>
      <w:vertAlign w:val="superscript"/>
    </w:rPr>
  </w:style>
  <w:style w:type="paragraph" w:customStyle="1" w:styleId="ecl-page-header-standardiseddescription">
    <w:name w:val="ecl-page-header-standardised__description"/>
    <w:basedOn w:val="Normal"/>
    <w:rsid w:val="00F5620C"/>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UnresolvedMention2">
    <w:name w:val="Unresolved Mention2"/>
    <w:basedOn w:val="DefaultParagraphFont"/>
    <w:uiPriority w:val="99"/>
    <w:semiHidden/>
    <w:unhideWhenUsed/>
    <w:rsid w:val="00320130"/>
    <w:rPr>
      <w:color w:val="605E5C"/>
      <w:shd w:val="clear" w:color="auto" w:fill="E1DFDD"/>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l"/>
    <w:rsid w:val="004C37AB"/>
    <w:pPr>
      <w:spacing w:line="240" w:lineRule="exact"/>
    </w:pPr>
    <w:rPr>
      <w:vertAlign w:val="superscript"/>
    </w:rPr>
  </w:style>
  <w:style w:type="character" w:customStyle="1" w:styleId="cf01">
    <w:name w:val="cf01"/>
    <w:basedOn w:val="DefaultParagraphFont"/>
    <w:rsid w:val="000F28BB"/>
    <w:rPr>
      <w:rFonts w:ascii="Segoe UI" w:hAnsi="Segoe UI" w:cs="Segoe UI" w:hint="default"/>
      <w:sz w:val="18"/>
      <w:szCs w:val="18"/>
    </w:rPr>
  </w:style>
  <w:style w:type="character" w:customStyle="1" w:styleId="CommentTextChar1">
    <w:name w:val="Comment Text Char1"/>
    <w:aliases w:val="Char2 Char1"/>
    <w:basedOn w:val="DefaultParagraphFont"/>
    <w:uiPriority w:val="99"/>
    <w:rsid w:val="00086469"/>
    <w:rPr>
      <w:sz w:val="20"/>
      <w:szCs w:val="20"/>
    </w:rPr>
  </w:style>
  <w:style w:type="character" w:customStyle="1" w:styleId="UnresolvedMention3">
    <w:name w:val="Unresolved Mention3"/>
    <w:basedOn w:val="DefaultParagraphFont"/>
    <w:uiPriority w:val="99"/>
    <w:semiHidden/>
    <w:unhideWhenUsed/>
    <w:rsid w:val="00E66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615518">
      <w:bodyDiv w:val="1"/>
      <w:marLeft w:val="0"/>
      <w:marRight w:val="0"/>
      <w:marTop w:val="0"/>
      <w:marBottom w:val="0"/>
      <w:divBdr>
        <w:top w:val="none" w:sz="0" w:space="0" w:color="auto"/>
        <w:left w:val="none" w:sz="0" w:space="0" w:color="auto"/>
        <w:bottom w:val="none" w:sz="0" w:space="0" w:color="auto"/>
        <w:right w:val="none" w:sz="0" w:space="0" w:color="auto"/>
      </w:divBdr>
    </w:div>
    <w:div w:id="340276841">
      <w:bodyDiv w:val="1"/>
      <w:marLeft w:val="0"/>
      <w:marRight w:val="0"/>
      <w:marTop w:val="0"/>
      <w:marBottom w:val="0"/>
      <w:divBdr>
        <w:top w:val="none" w:sz="0" w:space="0" w:color="auto"/>
        <w:left w:val="none" w:sz="0" w:space="0" w:color="auto"/>
        <w:bottom w:val="none" w:sz="0" w:space="0" w:color="auto"/>
        <w:right w:val="none" w:sz="0" w:space="0" w:color="auto"/>
      </w:divBdr>
    </w:div>
    <w:div w:id="343017433">
      <w:bodyDiv w:val="1"/>
      <w:marLeft w:val="0"/>
      <w:marRight w:val="0"/>
      <w:marTop w:val="0"/>
      <w:marBottom w:val="0"/>
      <w:divBdr>
        <w:top w:val="none" w:sz="0" w:space="0" w:color="auto"/>
        <w:left w:val="none" w:sz="0" w:space="0" w:color="auto"/>
        <w:bottom w:val="none" w:sz="0" w:space="0" w:color="auto"/>
        <w:right w:val="none" w:sz="0" w:space="0" w:color="auto"/>
      </w:divBdr>
    </w:div>
    <w:div w:id="380177006">
      <w:bodyDiv w:val="1"/>
      <w:marLeft w:val="0"/>
      <w:marRight w:val="0"/>
      <w:marTop w:val="0"/>
      <w:marBottom w:val="0"/>
      <w:divBdr>
        <w:top w:val="none" w:sz="0" w:space="0" w:color="auto"/>
        <w:left w:val="none" w:sz="0" w:space="0" w:color="auto"/>
        <w:bottom w:val="none" w:sz="0" w:space="0" w:color="auto"/>
        <w:right w:val="none" w:sz="0" w:space="0" w:color="auto"/>
      </w:divBdr>
    </w:div>
    <w:div w:id="426929162">
      <w:bodyDiv w:val="1"/>
      <w:marLeft w:val="0"/>
      <w:marRight w:val="0"/>
      <w:marTop w:val="0"/>
      <w:marBottom w:val="0"/>
      <w:divBdr>
        <w:top w:val="none" w:sz="0" w:space="0" w:color="auto"/>
        <w:left w:val="none" w:sz="0" w:space="0" w:color="auto"/>
        <w:bottom w:val="none" w:sz="0" w:space="0" w:color="auto"/>
        <w:right w:val="none" w:sz="0" w:space="0" w:color="auto"/>
      </w:divBdr>
      <w:divsChild>
        <w:div w:id="1488403621">
          <w:marLeft w:val="0"/>
          <w:marRight w:val="0"/>
          <w:marTop w:val="0"/>
          <w:marBottom w:val="0"/>
          <w:divBdr>
            <w:top w:val="none" w:sz="0" w:space="0" w:color="auto"/>
            <w:left w:val="none" w:sz="0" w:space="0" w:color="auto"/>
            <w:bottom w:val="none" w:sz="0" w:space="0" w:color="auto"/>
            <w:right w:val="none" w:sz="0" w:space="0" w:color="auto"/>
          </w:divBdr>
          <w:divsChild>
            <w:div w:id="927735068">
              <w:marLeft w:val="0"/>
              <w:marRight w:val="0"/>
              <w:marTop w:val="0"/>
              <w:marBottom w:val="0"/>
              <w:divBdr>
                <w:top w:val="none" w:sz="0" w:space="0" w:color="auto"/>
                <w:left w:val="none" w:sz="0" w:space="0" w:color="auto"/>
                <w:bottom w:val="none" w:sz="0" w:space="0" w:color="auto"/>
                <w:right w:val="none" w:sz="0" w:space="0" w:color="auto"/>
              </w:divBdr>
            </w:div>
          </w:divsChild>
        </w:div>
        <w:div w:id="1504013074">
          <w:marLeft w:val="0"/>
          <w:marRight w:val="0"/>
          <w:marTop w:val="0"/>
          <w:marBottom w:val="0"/>
          <w:divBdr>
            <w:top w:val="none" w:sz="0" w:space="0" w:color="auto"/>
            <w:left w:val="none" w:sz="0" w:space="0" w:color="auto"/>
            <w:bottom w:val="none" w:sz="0" w:space="0" w:color="auto"/>
            <w:right w:val="none" w:sz="0" w:space="0" w:color="auto"/>
          </w:divBdr>
        </w:div>
      </w:divsChild>
    </w:div>
    <w:div w:id="442040649">
      <w:bodyDiv w:val="1"/>
      <w:marLeft w:val="0"/>
      <w:marRight w:val="0"/>
      <w:marTop w:val="0"/>
      <w:marBottom w:val="0"/>
      <w:divBdr>
        <w:top w:val="none" w:sz="0" w:space="0" w:color="auto"/>
        <w:left w:val="none" w:sz="0" w:space="0" w:color="auto"/>
        <w:bottom w:val="none" w:sz="0" w:space="0" w:color="auto"/>
        <w:right w:val="none" w:sz="0" w:space="0" w:color="auto"/>
      </w:divBdr>
    </w:div>
    <w:div w:id="548809100">
      <w:bodyDiv w:val="1"/>
      <w:marLeft w:val="0"/>
      <w:marRight w:val="0"/>
      <w:marTop w:val="0"/>
      <w:marBottom w:val="0"/>
      <w:divBdr>
        <w:top w:val="none" w:sz="0" w:space="0" w:color="auto"/>
        <w:left w:val="none" w:sz="0" w:space="0" w:color="auto"/>
        <w:bottom w:val="none" w:sz="0" w:space="0" w:color="auto"/>
        <w:right w:val="none" w:sz="0" w:space="0" w:color="auto"/>
      </w:divBdr>
    </w:div>
    <w:div w:id="652949703">
      <w:bodyDiv w:val="1"/>
      <w:marLeft w:val="0"/>
      <w:marRight w:val="0"/>
      <w:marTop w:val="0"/>
      <w:marBottom w:val="0"/>
      <w:divBdr>
        <w:top w:val="none" w:sz="0" w:space="0" w:color="auto"/>
        <w:left w:val="none" w:sz="0" w:space="0" w:color="auto"/>
        <w:bottom w:val="none" w:sz="0" w:space="0" w:color="auto"/>
        <w:right w:val="none" w:sz="0" w:space="0" w:color="auto"/>
      </w:divBdr>
    </w:div>
    <w:div w:id="708337830">
      <w:bodyDiv w:val="1"/>
      <w:marLeft w:val="0"/>
      <w:marRight w:val="0"/>
      <w:marTop w:val="0"/>
      <w:marBottom w:val="0"/>
      <w:divBdr>
        <w:top w:val="none" w:sz="0" w:space="0" w:color="auto"/>
        <w:left w:val="none" w:sz="0" w:space="0" w:color="auto"/>
        <w:bottom w:val="none" w:sz="0" w:space="0" w:color="auto"/>
        <w:right w:val="none" w:sz="0" w:space="0" w:color="auto"/>
      </w:divBdr>
      <w:divsChild>
        <w:div w:id="673799152">
          <w:marLeft w:val="0"/>
          <w:marRight w:val="0"/>
          <w:marTop w:val="0"/>
          <w:marBottom w:val="0"/>
          <w:divBdr>
            <w:top w:val="none" w:sz="0" w:space="0" w:color="auto"/>
            <w:left w:val="none" w:sz="0" w:space="0" w:color="auto"/>
            <w:bottom w:val="none" w:sz="0" w:space="0" w:color="auto"/>
            <w:right w:val="none" w:sz="0" w:space="0" w:color="auto"/>
          </w:divBdr>
        </w:div>
        <w:div w:id="1232349828">
          <w:marLeft w:val="0"/>
          <w:marRight w:val="0"/>
          <w:marTop w:val="0"/>
          <w:marBottom w:val="0"/>
          <w:divBdr>
            <w:top w:val="none" w:sz="0" w:space="0" w:color="auto"/>
            <w:left w:val="none" w:sz="0" w:space="0" w:color="auto"/>
            <w:bottom w:val="none" w:sz="0" w:space="0" w:color="auto"/>
            <w:right w:val="none" w:sz="0" w:space="0" w:color="auto"/>
          </w:divBdr>
        </w:div>
      </w:divsChild>
    </w:div>
    <w:div w:id="912932642">
      <w:bodyDiv w:val="1"/>
      <w:marLeft w:val="0"/>
      <w:marRight w:val="0"/>
      <w:marTop w:val="0"/>
      <w:marBottom w:val="0"/>
      <w:divBdr>
        <w:top w:val="none" w:sz="0" w:space="0" w:color="auto"/>
        <w:left w:val="none" w:sz="0" w:space="0" w:color="auto"/>
        <w:bottom w:val="none" w:sz="0" w:space="0" w:color="auto"/>
        <w:right w:val="none" w:sz="0" w:space="0" w:color="auto"/>
      </w:divBdr>
    </w:div>
    <w:div w:id="947857204">
      <w:bodyDiv w:val="1"/>
      <w:marLeft w:val="0"/>
      <w:marRight w:val="0"/>
      <w:marTop w:val="0"/>
      <w:marBottom w:val="0"/>
      <w:divBdr>
        <w:top w:val="none" w:sz="0" w:space="0" w:color="auto"/>
        <w:left w:val="none" w:sz="0" w:space="0" w:color="auto"/>
        <w:bottom w:val="none" w:sz="0" w:space="0" w:color="auto"/>
        <w:right w:val="none" w:sz="0" w:space="0" w:color="auto"/>
      </w:divBdr>
      <w:divsChild>
        <w:div w:id="1019813481">
          <w:marLeft w:val="0"/>
          <w:marRight w:val="0"/>
          <w:marTop w:val="0"/>
          <w:marBottom w:val="0"/>
          <w:divBdr>
            <w:top w:val="none" w:sz="0" w:space="0" w:color="auto"/>
            <w:left w:val="none" w:sz="0" w:space="0" w:color="auto"/>
            <w:bottom w:val="none" w:sz="0" w:space="0" w:color="auto"/>
            <w:right w:val="none" w:sz="0" w:space="0" w:color="auto"/>
          </w:divBdr>
        </w:div>
        <w:div w:id="1438675047">
          <w:marLeft w:val="0"/>
          <w:marRight w:val="0"/>
          <w:marTop w:val="0"/>
          <w:marBottom w:val="0"/>
          <w:divBdr>
            <w:top w:val="none" w:sz="0" w:space="0" w:color="auto"/>
            <w:left w:val="none" w:sz="0" w:space="0" w:color="auto"/>
            <w:bottom w:val="none" w:sz="0" w:space="0" w:color="auto"/>
            <w:right w:val="none" w:sz="0" w:space="0" w:color="auto"/>
          </w:divBdr>
        </w:div>
      </w:divsChild>
    </w:div>
    <w:div w:id="988091003">
      <w:bodyDiv w:val="1"/>
      <w:marLeft w:val="0"/>
      <w:marRight w:val="0"/>
      <w:marTop w:val="0"/>
      <w:marBottom w:val="0"/>
      <w:divBdr>
        <w:top w:val="none" w:sz="0" w:space="0" w:color="auto"/>
        <w:left w:val="none" w:sz="0" w:space="0" w:color="auto"/>
        <w:bottom w:val="none" w:sz="0" w:space="0" w:color="auto"/>
        <w:right w:val="none" w:sz="0" w:space="0" w:color="auto"/>
      </w:divBdr>
      <w:divsChild>
        <w:div w:id="31469562">
          <w:marLeft w:val="0"/>
          <w:marRight w:val="0"/>
          <w:marTop w:val="0"/>
          <w:marBottom w:val="0"/>
          <w:divBdr>
            <w:top w:val="none" w:sz="0" w:space="0" w:color="auto"/>
            <w:left w:val="none" w:sz="0" w:space="0" w:color="auto"/>
            <w:bottom w:val="none" w:sz="0" w:space="0" w:color="auto"/>
            <w:right w:val="none" w:sz="0" w:space="0" w:color="auto"/>
          </w:divBdr>
        </w:div>
        <w:div w:id="89937170">
          <w:marLeft w:val="0"/>
          <w:marRight w:val="0"/>
          <w:marTop w:val="0"/>
          <w:marBottom w:val="0"/>
          <w:divBdr>
            <w:top w:val="none" w:sz="0" w:space="0" w:color="auto"/>
            <w:left w:val="none" w:sz="0" w:space="0" w:color="auto"/>
            <w:bottom w:val="none" w:sz="0" w:space="0" w:color="auto"/>
            <w:right w:val="none" w:sz="0" w:space="0" w:color="auto"/>
          </w:divBdr>
        </w:div>
        <w:div w:id="231624198">
          <w:marLeft w:val="0"/>
          <w:marRight w:val="0"/>
          <w:marTop w:val="0"/>
          <w:marBottom w:val="0"/>
          <w:divBdr>
            <w:top w:val="none" w:sz="0" w:space="0" w:color="auto"/>
            <w:left w:val="none" w:sz="0" w:space="0" w:color="auto"/>
            <w:bottom w:val="none" w:sz="0" w:space="0" w:color="auto"/>
            <w:right w:val="none" w:sz="0" w:space="0" w:color="auto"/>
          </w:divBdr>
        </w:div>
        <w:div w:id="274799910">
          <w:marLeft w:val="0"/>
          <w:marRight w:val="0"/>
          <w:marTop w:val="0"/>
          <w:marBottom w:val="0"/>
          <w:divBdr>
            <w:top w:val="none" w:sz="0" w:space="0" w:color="auto"/>
            <w:left w:val="none" w:sz="0" w:space="0" w:color="auto"/>
            <w:bottom w:val="none" w:sz="0" w:space="0" w:color="auto"/>
            <w:right w:val="none" w:sz="0" w:space="0" w:color="auto"/>
          </w:divBdr>
        </w:div>
        <w:div w:id="326370113">
          <w:marLeft w:val="0"/>
          <w:marRight w:val="0"/>
          <w:marTop w:val="0"/>
          <w:marBottom w:val="0"/>
          <w:divBdr>
            <w:top w:val="none" w:sz="0" w:space="0" w:color="auto"/>
            <w:left w:val="none" w:sz="0" w:space="0" w:color="auto"/>
            <w:bottom w:val="none" w:sz="0" w:space="0" w:color="auto"/>
            <w:right w:val="none" w:sz="0" w:space="0" w:color="auto"/>
          </w:divBdr>
        </w:div>
        <w:div w:id="582758196">
          <w:marLeft w:val="0"/>
          <w:marRight w:val="0"/>
          <w:marTop w:val="0"/>
          <w:marBottom w:val="0"/>
          <w:divBdr>
            <w:top w:val="none" w:sz="0" w:space="0" w:color="auto"/>
            <w:left w:val="none" w:sz="0" w:space="0" w:color="auto"/>
            <w:bottom w:val="none" w:sz="0" w:space="0" w:color="auto"/>
            <w:right w:val="none" w:sz="0" w:space="0" w:color="auto"/>
          </w:divBdr>
        </w:div>
        <w:div w:id="690885192">
          <w:marLeft w:val="0"/>
          <w:marRight w:val="0"/>
          <w:marTop w:val="0"/>
          <w:marBottom w:val="0"/>
          <w:divBdr>
            <w:top w:val="none" w:sz="0" w:space="0" w:color="auto"/>
            <w:left w:val="none" w:sz="0" w:space="0" w:color="auto"/>
            <w:bottom w:val="none" w:sz="0" w:space="0" w:color="auto"/>
            <w:right w:val="none" w:sz="0" w:space="0" w:color="auto"/>
          </w:divBdr>
        </w:div>
        <w:div w:id="772556862">
          <w:marLeft w:val="0"/>
          <w:marRight w:val="0"/>
          <w:marTop w:val="0"/>
          <w:marBottom w:val="0"/>
          <w:divBdr>
            <w:top w:val="none" w:sz="0" w:space="0" w:color="auto"/>
            <w:left w:val="none" w:sz="0" w:space="0" w:color="auto"/>
            <w:bottom w:val="none" w:sz="0" w:space="0" w:color="auto"/>
            <w:right w:val="none" w:sz="0" w:space="0" w:color="auto"/>
          </w:divBdr>
        </w:div>
        <w:div w:id="943851030">
          <w:marLeft w:val="0"/>
          <w:marRight w:val="0"/>
          <w:marTop w:val="0"/>
          <w:marBottom w:val="0"/>
          <w:divBdr>
            <w:top w:val="none" w:sz="0" w:space="0" w:color="auto"/>
            <w:left w:val="none" w:sz="0" w:space="0" w:color="auto"/>
            <w:bottom w:val="none" w:sz="0" w:space="0" w:color="auto"/>
            <w:right w:val="none" w:sz="0" w:space="0" w:color="auto"/>
          </w:divBdr>
        </w:div>
        <w:div w:id="1045369308">
          <w:marLeft w:val="0"/>
          <w:marRight w:val="0"/>
          <w:marTop w:val="0"/>
          <w:marBottom w:val="0"/>
          <w:divBdr>
            <w:top w:val="none" w:sz="0" w:space="0" w:color="auto"/>
            <w:left w:val="none" w:sz="0" w:space="0" w:color="auto"/>
            <w:bottom w:val="none" w:sz="0" w:space="0" w:color="auto"/>
            <w:right w:val="none" w:sz="0" w:space="0" w:color="auto"/>
          </w:divBdr>
        </w:div>
        <w:div w:id="1139373318">
          <w:marLeft w:val="0"/>
          <w:marRight w:val="0"/>
          <w:marTop w:val="0"/>
          <w:marBottom w:val="0"/>
          <w:divBdr>
            <w:top w:val="none" w:sz="0" w:space="0" w:color="auto"/>
            <w:left w:val="none" w:sz="0" w:space="0" w:color="auto"/>
            <w:bottom w:val="none" w:sz="0" w:space="0" w:color="auto"/>
            <w:right w:val="none" w:sz="0" w:space="0" w:color="auto"/>
          </w:divBdr>
        </w:div>
        <w:div w:id="1359424912">
          <w:marLeft w:val="0"/>
          <w:marRight w:val="0"/>
          <w:marTop w:val="0"/>
          <w:marBottom w:val="0"/>
          <w:divBdr>
            <w:top w:val="none" w:sz="0" w:space="0" w:color="auto"/>
            <w:left w:val="none" w:sz="0" w:space="0" w:color="auto"/>
            <w:bottom w:val="none" w:sz="0" w:space="0" w:color="auto"/>
            <w:right w:val="none" w:sz="0" w:space="0" w:color="auto"/>
          </w:divBdr>
        </w:div>
        <w:div w:id="1369725173">
          <w:marLeft w:val="0"/>
          <w:marRight w:val="0"/>
          <w:marTop w:val="0"/>
          <w:marBottom w:val="0"/>
          <w:divBdr>
            <w:top w:val="none" w:sz="0" w:space="0" w:color="auto"/>
            <w:left w:val="none" w:sz="0" w:space="0" w:color="auto"/>
            <w:bottom w:val="none" w:sz="0" w:space="0" w:color="auto"/>
            <w:right w:val="none" w:sz="0" w:space="0" w:color="auto"/>
          </w:divBdr>
        </w:div>
        <w:div w:id="1389567451">
          <w:marLeft w:val="0"/>
          <w:marRight w:val="0"/>
          <w:marTop w:val="0"/>
          <w:marBottom w:val="0"/>
          <w:divBdr>
            <w:top w:val="none" w:sz="0" w:space="0" w:color="auto"/>
            <w:left w:val="none" w:sz="0" w:space="0" w:color="auto"/>
            <w:bottom w:val="none" w:sz="0" w:space="0" w:color="auto"/>
            <w:right w:val="none" w:sz="0" w:space="0" w:color="auto"/>
          </w:divBdr>
        </w:div>
        <w:div w:id="1445537303">
          <w:marLeft w:val="0"/>
          <w:marRight w:val="0"/>
          <w:marTop w:val="0"/>
          <w:marBottom w:val="0"/>
          <w:divBdr>
            <w:top w:val="none" w:sz="0" w:space="0" w:color="auto"/>
            <w:left w:val="none" w:sz="0" w:space="0" w:color="auto"/>
            <w:bottom w:val="none" w:sz="0" w:space="0" w:color="auto"/>
            <w:right w:val="none" w:sz="0" w:space="0" w:color="auto"/>
          </w:divBdr>
        </w:div>
        <w:div w:id="1528445547">
          <w:marLeft w:val="0"/>
          <w:marRight w:val="0"/>
          <w:marTop w:val="0"/>
          <w:marBottom w:val="0"/>
          <w:divBdr>
            <w:top w:val="none" w:sz="0" w:space="0" w:color="auto"/>
            <w:left w:val="none" w:sz="0" w:space="0" w:color="auto"/>
            <w:bottom w:val="none" w:sz="0" w:space="0" w:color="auto"/>
            <w:right w:val="none" w:sz="0" w:space="0" w:color="auto"/>
          </w:divBdr>
        </w:div>
        <w:div w:id="1539858562">
          <w:marLeft w:val="0"/>
          <w:marRight w:val="0"/>
          <w:marTop w:val="0"/>
          <w:marBottom w:val="0"/>
          <w:divBdr>
            <w:top w:val="none" w:sz="0" w:space="0" w:color="auto"/>
            <w:left w:val="none" w:sz="0" w:space="0" w:color="auto"/>
            <w:bottom w:val="none" w:sz="0" w:space="0" w:color="auto"/>
            <w:right w:val="none" w:sz="0" w:space="0" w:color="auto"/>
          </w:divBdr>
        </w:div>
        <w:div w:id="2118989222">
          <w:marLeft w:val="0"/>
          <w:marRight w:val="0"/>
          <w:marTop w:val="0"/>
          <w:marBottom w:val="0"/>
          <w:divBdr>
            <w:top w:val="none" w:sz="0" w:space="0" w:color="auto"/>
            <w:left w:val="none" w:sz="0" w:space="0" w:color="auto"/>
            <w:bottom w:val="none" w:sz="0" w:space="0" w:color="auto"/>
            <w:right w:val="none" w:sz="0" w:space="0" w:color="auto"/>
          </w:divBdr>
        </w:div>
      </w:divsChild>
    </w:div>
    <w:div w:id="1166483498">
      <w:bodyDiv w:val="1"/>
      <w:marLeft w:val="0"/>
      <w:marRight w:val="0"/>
      <w:marTop w:val="0"/>
      <w:marBottom w:val="0"/>
      <w:divBdr>
        <w:top w:val="none" w:sz="0" w:space="0" w:color="auto"/>
        <w:left w:val="none" w:sz="0" w:space="0" w:color="auto"/>
        <w:bottom w:val="none" w:sz="0" w:space="0" w:color="auto"/>
        <w:right w:val="none" w:sz="0" w:space="0" w:color="auto"/>
      </w:divBdr>
    </w:div>
    <w:div w:id="1431008184">
      <w:bodyDiv w:val="1"/>
      <w:marLeft w:val="0"/>
      <w:marRight w:val="0"/>
      <w:marTop w:val="0"/>
      <w:marBottom w:val="0"/>
      <w:divBdr>
        <w:top w:val="none" w:sz="0" w:space="0" w:color="auto"/>
        <w:left w:val="none" w:sz="0" w:space="0" w:color="auto"/>
        <w:bottom w:val="none" w:sz="0" w:space="0" w:color="auto"/>
        <w:right w:val="none" w:sz="0" w:space="0" w:color="auto"/>
      </w:divBdr>
    </w:div>
    <w:div w:id="1724676344">
      <w:bodyDiv w:val="1"/>
      <w:marLeft w:val="0"/>
      <w:marRight w:val="0"/>
      <w:marTop w:val="0"/>
      <w:marBottom w:val="0"/>
      <w:divBdr>
        <w:top w:val="none" w:sz="0" w:space="0" w:color="auto"/>
        <w:left w:val="none" w:sz="0" w:space="0" w:color="auto"/>
        <w:bottom w:val="none" w:sz="0" w:space="0" w:color="auto"/>
        <w:right w:val="none" w:sz="0" w:space="0" w:color="auto"/>
      </w:divBdr>
    </w:div>
    <w:div w:id="2081050075">
      <w:bodyDiv w:val="1"/>
      <w:marLeft w:val="0"/>
      <w:marRight w:val="0"/>
      <w:marTop w:val="0"/>
      <w:marBottom w:val="0"/>
      <w:divBdr>
        <w:top w:val="none" w:sz="0" w:space="0" w:color="auto"/>
        <w:left w:val="none" w:sz="0" w:space="0" w:color="auto"/>
        <w:bottom w:val="none" w:sz="0" w:space="0" w:color="auto"/>
        <w:right w:val="none" w:sz="0" w:space="0" w:color="auto"/>
      </w:divBdr>
      <w:divsChild>
        <w:div w:id="55132111">
          <w:marLeft w:val="0"/>
          <w:marRight w:val="0"/>
          <w:marTop w:val="0"/>
          <w:marBottom w:val="0"/>
          <w:divBdr>
            <w:top w:val="none" w:sz="0" w:space="0" w:color="auto"/>
            <w:left w:val="none" w:sz="0" w:space="0" w:color="auto"/>
            <w:bottom w:val="none" w:sz="0" w:space="0" w:color="auto"/>
            <w:right w:val="none" w:sz="0" w:space="0" w:color="auto"/>
          </w:divBdr>
        </w:div>
        <w:div w:id="2004892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commission.europa.eu/document/b0898ba3-c7ad-4af5-8467-5e23a0469a78_en" TargetMode="External"/><Relationship Id="rId117" Type="http://schemas.openxmlformats.org/officeDocument/2006/relationships/hyperlink" Target="https://www.iss.europa.eu/projects/countering-foreign-interference" TargetMode="External"/><Relationship Id="rId21" Type="http://schemas.openxmlformats.org/officeDocument/2006/relationships/hyperlink" Target="https://ec.europa.eu/commission/presscorner/detail/hu/ip_23_5853" TargetMode="External"/><Relationship Id="rId42" Type="http://schemas.openxmlformats.org/officeDocument/2006/relationships/hyperlink" Target="https://www.oecd.org/italy/engaging-citizens-in-cohesion-policy-486e5a88-en.htm" TargetMode="External"/><Relationship Id="rId47" Type="http://schemas.openxmlformats.org/officeDocument/2006/relationships/hyperlink" Target="https://www.oecd.org/belgium/engaging-citizens-in-cohesion-policy-486e5a88-en.htm" TargetMode="External"/><Relationship Id="rId63" Type="http://schemas.openxmlformats.org/officeDocument/2006/relationships/hyperlink" Target="https://research-and-innovation.ec.europa.eu/research-area/social-sciences-and-humanities/research-and-innovation-funding-democracy-and-governance_en" TargetMode="External"/><Relationship Id="rId68" Type="http://schemas.openxmlformats.org/officeDocument/2006/relationships/hyperlink" Target="https://safejournalists.net/?fbclid=IwAR1vNuMKmtoXYRchnIJnXi_0moBPyLE4JvSZfmXiAUlcj3KhqXY3MJh4Tl4" TargetMode="External"/><Relationship Id="rId84" Type="http://schemas.openxmlformats.org/officeDocument/2006/relationships/hyperlink" Target="https://cordis.europa.eu/search?q=contenttype%3D%27project%27%20AND%20programme%2Fcode%3D%27HORIZON-CL2-2022-DEMOCRACY-01-06%27&amp;p=1&amp;num=10&amp;srt=/project/contentUpdateDate:decreasing" TargetMode="External"/><Relationship Id="rId89" Type="http://schemas.openxmlformats.org/officeDocument/2006/relationships/hyperlink" Target="https://eur-lex.europa.eu/legal-content/HU/TXT/PDF/?uri=CELEX:32022H1634" TargetMode="External"/><Relationship Id="rId112" Type="http://schemas.openxmlformats.org/officeDocument/2006/relationships/hyperlink" Target="https://www.eeas.europa.eu/sites/default/files/documents/EEAS-AnnualReport-WEB_v3.4.pdf" TargetMode="External"/><Relationship Id="rId133" Type="http://schemas.openxmlformats.org/officeDocument/2006/relationships/hyperlink" Target="https://op.europa.eu/hu/publication-detail/-/publication/a224c235-4843-11ed-92ed-01aa75ed71a1/language-hu" TargetMode="External"/><Relationship Id="rId138" Type="http://schemas.openxmlformats.org/officeDocument/2006/relationships/hyperlink" Target="https://cordis.europa.eu/project/id/825297" TargetMode="External"/><Relationship Id="rId154" Type="http://schemas.openxmlformats.org/officeDocument/2006/relationships/header" Target="header6.xml"/><Relationship Id="rId16" Type="http://schemas.openxmlformats.org/officeDocument/2006/relationships/hyperlink" Target="https://publications.jrc.ec.europa.eu/repository/handle/JRC122023" TargetMode="External"/><Relationship Id="rId107" Type="http://schemas.openxmlformats.org/officeDocument/2006/relationships/hyperlink" Target="https://euvsdisinfo.eu/" TargetMode="External"/><Relationship Id="rId11" Type="http://schemas.openxmlformats.org/officeDocument/2006/relationships/footer" Target="footer1.xml"/><Relationship Id="rId32" Type="http://schemas.openxmlformats.org/officeDocument/2006/relationships/hyperlink" Target="https://international-partnerships.ec.europa.eu/news-and-events/news/summit-democracy-eu-launches-milestone-programmes-empower-youth-key-actors-democracy-2023-03-31_en" TargetMode="External"/><Relationship Id="rId37" Type="http://schemas.openxmlformats.org/officeDocument/2006/relationships/hyperlink" Target="https://www.osce.org/odihr/support-to-electoral-reforms-in-western-balkans" TargetMode="External"/><Relationship Id="rId53" Type="http://schemas.openxmlformats.org/officeDocument/2006/relationships/hyperlink" Target="https://op.europa.eu/en/publication-detail/-/publication/03af1d4e-582b-11ee-9220-01aa75ed71a1" TargetMode="External"/><Relationship Id="rId58" Type="http://schemas.openxmlformats.org/officeDocument/2006/relationships/hyperlink" Target="https://op.europa.eu/en/publication-detail/-/publication/07370fba-110d-11ee-b12e-01aa75ed71a1" TargetMode="External"/><Relationship Id="rId74" Type="http://schemas.openxmlformats.org/officeDocument/2006/relationships/hyperlink" Target="https://unesdoc.unesco.org/ark:/48223/pf0000243986" TargetMode="External"/><Relationship Id="rId79" Type="http://schemas.openxmlformats.org/officeDocument/2006/relationships/hyperlink" Target="https://www.wb6media.eu/" TargetMode="External"/><Relationship Id="rId102" Type="http://schemas.openxmlformats.org/officeDocument/2006/relationships/hyperlink" Target="https://www.nato.int/cps/en/natohq/official_texts_210549.htm" TargetMode="External"/><Relationship Id="rId123" Type="http://schemas.openxmlformats.org/officeDocument/2006/relationships/hyperlink" Target="https://webgate.ec.europa.eu/TMSWebRestrict/resources/js/app/" TargetMode="External"/><Relationship Id="rId128" Type="http://schemas.openxmlformats.org/officeDocument/2006/relationships/hyperlink" Target="https://edmo.eu/war-in-ukraine-the-fact-checked-disinformation-detected-in-the-eu/" TargetMode="External"/><Relationship Id="rId144" Type="http://schemas.openxmlformats.org/officeDocument/2006/relationships/hyperlink" Target="https://cordis.europa.eu/project/id/957442" TargetMode="External"/><Relationship Id="rId149" Type="http://schemas.openxmlformats.org/officeDocument/2006/relationships/hyperlink" Target="https://ec.europa.eu/regional_policy/policy/communication/partnership-with-media/youth4regions_en" TargetMode="External"/><Relationship Id="rId5" Type="http://schemas.openxmlformats.org/officeDocument/2006/relationships/webSettings" Target="webSettings.xml"/><Relationship Id="rId90" Type="http://schemas.openxmlformats.org/officeDocument/2006/relationships/hyperlink" Target="https://digital-strategy.ec.europa.eu/en/library/study-media-plurality-and-diversity-online" TargetMode="External"/><Relationship Id="rId95" Type="http://schemas.openxmlformats.org/officeDocument/2006/relationships/hyperlink" Target="https://www.eeas.europa.eu/sites/default/files/documents/strategic_compass_en3_web.pdf" TargetMode="External"/><Relationship Id="rId22" Type="http://schemas.openxmlformats.org/officeDocument/2006/relationships/hyperlink" Target="https://ec.europa.eu/commission/presscorner/detail/hu/ip_23_5853" TargetMode="External"/><Relationship Id="rId27" Type="http://schemas.openxmlformats.org/officeDocument/2006/relationships/hyperlink" Target="https://commission.europa.eu/document/23076478-987e-4dea-b9ef-df5e0dfd6cd2_en" TargetMode="External"/><Relationship Id="rId43" Type="http://schemas.openxmlformats.org/officeDocument/2006/relationships/hyperlink" Target="https://publications.jrc.ec.europa.eu/repository/handle/JRC133253" TargetMode="External"/><Relationship Id="rId48" Type="http://schemas.openxmlformats.org/officeDocument/2006/relationships/hyperlink" Target="https://knowledge4policy.ec.europa.eu/participatory-democracy/about_en" TargetMode="External"/><Relationship Id="rId64" Type="http://schemas.openxmlformats.org/officeDocument/2006/relationships/hyperlink" Target="https://commission.europa.eu/funding-tenders/find-funding/eu-funding-programmes/technical-support-instrument/technical-support-instrument-tsi_hu" TargetMode="External"/><Relationship Id="rId69" Type="http://schemas.openxmlformats.org/officeDocument/2006/relationships/hyperlink" Target="https://pjp-eu.coe.int/en/web/horizontal-facility/freedom-of-expression" TargetMode="External"/><Relationship Id="rId113" Type="http://schemas.openxmlformats.org/officeDocument/2006/relationships/hyperlink" Target="https://www.eeas.europa.eu/countering-disinformation/tackling-disinformation-information-work-eeas-strategic-communication_en" TargetMode="External"/><Relationship Id="rId118" Type="http://schemas.openxmlformats.org/officeDocument/2006/relationships/hyperlink" Target="https://www.eeas.europa.eu/eeas/worldwide-media-communities-gathered-sarajevo-tackle-disinformation_en" TargetMode="External"/><Relationship Id="rId134" Type="http://schemas.openxmlformats.org/officeDocument/2006/relationships/hyperlink" Target="https://eufactcheckingproject.com/" TargetMode="External"/><Relationship Id="rId139" Type="http://schemas.openxmlformats.org/officeDocument/2006/relationships/hyperlink" Target="https://cordis.europa.eu/project/id/854497" TargetMode="External"/><Relationship Id="rId80" Type="http://schemas.openxmlformats.org/officeDocument/2006/relationships/hyperlink" Target="https://ec.europa.eu/transparency/expert-groups-register/screen/expert-groups/consult?lang=hu&amp;do=groupDetail.groupDetail&amp;groupID=3746" TargetMode="External"/><Relationship Id="rId85" Type="http://schemas.openxmlformats.org/officeDocument/2006/relationships/hyperlink" Target="https://media-ownership.eu/" TargetMode="External"/><Relationship Id="rId150" Type="http://schemas.openxmlformats.org/officeDocument/2006/relationships/header" Target="header4.xml"/><Relationship Id="rId155" Type="http://schemas.openxmlformats.org/officeDocument/2006/relationships/footer" Target="footer6.xml"/><Relationship Id="rId12" Type="http://schemas.openxmlformats.org/officeDocument/2006/relationships/footer" Target="footer2.xml"/><Relationship Id="rId17" Type="http://schemas.openxmlformats.org/officeDocument/2006/relationships/hyperlink" Target="https://publications.jrc.ec.europa.eu/repository/handle/JRC122023" TargetMode="External"/><Relationship Id="rId33" Type="http://schemas.openxmlformats.org/officeDocument/2006/relationships/hyperlink" Target="https://international-partnerships.ec.europa.eu/news-and-events/news/summit-democracy-eu-launches-milestone-programmes-empower-youth-key-actors-democracy-2023-03-31_en" TargetMode="External"/><Relationship Id="rId38" Type="http://schemas.openxmlformats.org/officeDocument/2006/relationships/hyperlink" Target="https://youthdemocracycohort.com/" TargetMode="External"/><Relationship Id="rId59" Type="http://schemas.openxmlformats.org/officeDocument/2006/relationships/hyperlink" Target="https://erasmus-plus.ec.europa.eu/projects/search/details/612574-EPP-1-2019-1-NL-EPPKA2-EUR-UNIV" TargetMode="External"/><Relationship Id="rId103" Type="http://schemas.openxmlformats.org/officeDocument/2006/relationships/hyperlink" Target="https://www.disinfo.eu/publications/fimi-towards-a-european-redefinition-of-foreign-interference/" TargetMode="External"/><Relationship Id="rId108" Type="http://schemas.openxmlformats.org/officeDocument/2006/relationships/hyperlink" Target="https://www.eeas.europa.eu/sites/default/files/documents/Report%20Stratcom%20activities%202021.pdf" TargetMode="External"/><Relationship Id="rId124" Type="http://schemas.openxmlformats.org/officeDocument/2006/relationships/hyperlink" Target="https://webgate.ec.europa.eu/TMSWebRestrict/resources/js/app/" TargetMode="External"/><Relationship Id="rId129" Type="http://schemas.openxmlformats.org/officeDocument/2006/relationships/hyperlink" Target="https://commission.europa.eu/funding-tenders/find-funding/eu-funding-programmes/technical-support-instrument/technical-support-instrument-tsi_hu" TargetMode="External"/><Relationship Id="rId20" Type="http://schemas.openxmlformats.org/officeDocument/2006/relationships/hyperlink" Target="https://www.europarl.europa.eu/news/en/press-room/20190404IPR35103/eu-member-states-test-cybersecurity-preparedness-for-free-and-fair-eu-elections" TargetMode="External"/><Relationship Id="rId41" Type="http://schemas.openxmlformats.org/officeDocument/2006/relationships/hyperlink" Target="https://www.osce.org/Observing_elections_on_Social_Networks" TargetMode="External"/><Relationship Id="rId54" Type="http://schemas.openxmlformats.org/officeDocument/2006/relationships/hyperlink" Target="https://ec.europa.eu/info/files/communication-conference-future-europe_en" TargetMode="External"/><Relationship Id="rId62" Type="http://schemas.openxmlformats.org/officeDocument/2006/relationships/hyperlink" Target="https://research-and-innovation.ec.europa.eu/funding/funding-opportunities/funding-programmes-and-open-calls/horizon-europe/horizon-europe-work-programmes_en" TargetMode="External"/><Relationship Id="rId70" Type="http://schemas.openxmlformats.org/officeDocument/2006/relationships/hyperlink" Target="https://digital-strategy.ec.europa.eu/en/library/watch-structured-dialogue-safety-journalists" TargetMode="External"/><Relationship Id="rId75" Type="http://schemas.openxmlformats.org/officeDocument/2006/relationships/hyperlink" Target="https://webgate.ec.europa.eu/europeaid/online-services/index.cfm?ADSSChck=1684354771811&amp;do=publi.welcome&amp;aofr=175569&amp;nbPubliList=15&amp;orderbyad=Desc&amp;searchtype=RS&amp;orderby=upd&amp;userlanguage=en" TargetMode="External"/><Relationship Id="rId83" Type="http://schemas.openxmlformats.org/officeDocument/2006/relationships/hyperlink" Target="https://pjp-eu.coe.int/en/web/horizontal-facility/freedom-of-expression" TargetMode="External"/><Relationship Id="rId88" Type="http://schemas.openxmlformats.org/officeDocument/2006/relationships/hyperlink" Target="https://eur-lex.europa.eu/legal-content/HU/TXT/?uri=CELEX:52022PC0457" TargetMode="External"/><Relationship Id="rId91" Type="http://schemas.openxmlformats.org/officeDocument/2006/relationships/hyperlink" Target="https://digital-strategy.ec.europa.eu/en/funding/european-media-platforms-0" TargetMode="External"/><Relationship Id="rId96" Type="http://schemas.openxmlformats.org/officeDocument/2006/relationships/hyperlink" Target="https://www.consilium.europa.eu/hu/press/press-releases/2022/07/18/foreign-information-manipulation-and-interference-council-approves-conclusions-stepping-up-eu-s-engagement-and-ability-to-respond/" TargetMode="External"/><Relationship Id="rId111" Type="http://schemas.openxmlformats.org/officeDocument/2006/relationships/hyperlink" Target="https://eceuropaeu.sharepoint.com/teams/GRP-EDAPSGteam/Shared%20Documents/a_Chapeau%20and%20EDAP%20review/:https:/www.eeas.europa.eu/eeas/2021-stratcom-activity-report-strategic-communication-task-forces-and-information-analysis_en;" TargetMode="External"/><Relationship Id="rId132" Type="http://schemas.openxmlformats.org/officeDocument/2006/relationships/hyperlink" Target="https://edmo.eu/edmo-task-force-on-disinformation-on-the-war-in-ukraine/" TargetMode="External"/><Relationship Id="rId140" Type="http://schemas.openxmlformats.org/officeDocument/2006/relationships/hyperlink" Target="https://cordis.europa.eu/project/id/855556" TargetMode="External"/><Relationship Id="rId145" Type="http://schemas.openxmlformats.org/officeDocument/2006/relationships/hyperlink" Target="https://euhybnet.eu/" TargetMode="External"/><Relationship Id="rId153"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ur-lex.europa.eu/legal-content/HU/TXT/?uri=CELEX%3A52021PC0731&amp;qid=1704814187141" TargetMode="External"/><Relationship Id="rId23" Type="http://schemas.openxmlformats.org/officeDocument/2006/relationships/hyperlink" Target="https://commission.europa.eu/strategy-and-policy/policies/justice-and-fundamental-rights/eu-citizenship/democracy-and-electoral-rights/european-cooperation-network-elections_en" TargetMode="External"/><Relationship Id="rId28" Type="http://schemas.openxmlformats.org/officeDocument/2006/relationships/hyperlink" Target="https://europa.eu/capacity4dev/tei-jp-tracker/tei/team-europe-democracy-ted" TargetMode="External"/><Relationship Id="rId36" Type="http://schemas.openxmlformats.org/officeDocument/2006/relationships/hyperlink" Target="https://www.osce.org/odihr/support-to-electoral-reforms-in-western-balkans" TargetMode="External"/><Relationship Id="rId49" Type="http://schemas.openxmlformats.org/officeDocument/2006/relationships/hyperlink" Target="https://international-partnerships.ec.europa.eu/news-and-events/news/summit-democracy-eu-launches-milestone-programmes-empower-youth-key-actors-democracy-2023-03-31_en" TargetMode="External"/><Relationship Id="rId57" Type="http://schemas.openxmlformats.org/officeDocument/2006/relationships/hyperlink" Target="https://op.europa.eu/en/publication-detail/-/publication/07370fba-110d-11ee-b12e-01aa75ed71a1" TargetMode="External"/><Relationship Id="rId106" Type="http://schemas.openxmlformats.org/officeDocument/2006/relationships/hyperlink" Target="https://www.consilium.europa.eu/hu/press/press-releases/2022/07/18/foreign-information-manipulation-and-interference-council-approves-conclusions-stepping-up-eu-s-engagement-and-ability-to-respond/" TargetMode="External"/><Relationship Id="rId114" Type="http://schemas.openxmlformats.org/officeDocument/2006/relationships/hyperlink" Target="https://www.eeas.europa.eu/sites/default/files/documents/2023/EEAS-DataTeam-ThreatReport-2023..pdf" TargetMode="External"/><Relationship Id="rId119" Type="http://schemas.openxmlformats.org/officeDocument/2006/relationships/hyperlink" Target="https://webgate.ec.europa.eu/TMSWebRestrict/resources/js/app/" TargetMode="External"/><Relationship Id="rId127" Type="http://schemas.openxmlformats.org/officeDocument/2006/relationships/hyperlink" Target="https://edmo.eu/edmo-task-force-on-disinformation-on-the-war-in-ukraine/" TargetMode="External"/><Relationship Id="rId10" Type="http://schemas.openxmlformats.org/officeDocument/2006/relationships/header" Target="header2.xml"/><Relationship Id="rId31" Type="http://schemas.openxmlformats.org/officeDocument/2006/relationships/hyperlink" Target="https://international-partnerships.ec.europa.eu/news-and-events/news/promoting-inclusive-democracy-digital-age-eu-and-denmark-launch-digital-democracy-initiative-2023-03-29_en" TargetMode="External"/><Relationship Id="rId44" Type="http://schemas.openxmlformats.org/officeDocument/2006/relationships/hyperlink" Target="https://www.oecd.org/belgium/engaging-citizens-in-cohesion-policy-486e5a88-en.htm" TargetMode="External"/><Relationship Id="rId52" Type="http://schemas.openxmlformats.org/officeDocument/2006/relationships/hyperlink" Target="https://international-partnerships.ec.europa.eu/policies/peace-and-governance/democracy_en" TargetMode="External"/><Relationship Id="rId60" Type="http://schemas.openxmlformats.org/officeDocument/2006/relationships/hyperlink" Target="https://digital-strategy.ec.europa.eu/en/news/spotlight-eu-supported-european-media-platforms" TargetMode="External"/><Relationship Id="rId65" Type="http://schemas.openxmlformats.org/officeDocument/2006/relationships/hyperlink" Target="https://eur-lex.europa.eu/legal-content/HU/TXT/?uri=CELEX%3A52021DC0777%20" TargetMode="External"/><Relationship Id="rId73" Type="http://schemas.openxmlformats.org/officeDocument/2006/relationships/hyperlink" Target="https://www.investigativejournalismforeu.net/" TargetMode="External"/><Relationship Id="rId78" Type="http://schemas.openxmlformats.org/officeDocument/2006/relationships/hyperlink" Target="https://www.wb6media.eu/" TargetMode="External"/><Relationship Id="rId81" Type="http://schemas.openxmlformats.org/officeDocument/2006/relationships/hyperlink" Target="https://eur-lex.europa.eu/legal-content/HU/TXT/?uri=CELEX:52022PC0177" TargetMode="External"/><Relationship Id="rId86" Type="http://schemas.openxmlformats.org/officeDocument/2006/relationships/hyperlink" Target="https://eur-lex.europa.eu/legal-content/HU/TXT/?uri=CELEX:52022PC0457" TargetMode="External"/><Relationship Id="rId94" Type="http://schemas.openxmlformats.org/officeDocument/2006/relationships/hyperlink" Target="https://digital-strategy.ec.europa.eu/en/policies/multimedia-actions" TargetMode="External"/><Relationship Id="rId99" Type="http://schemas.openxmlformats.org/officeDocument/2006/relationships/hyperlink" Target="https://www.eeas.europa.eu/eeas/2022-report-eeas-activities-counter-fimi_en" TargetMode="External"/><Relationship Id="rId101" Type="http://schemas.openxmlformats.org/officeDocument/2006/relationships/hyperlink" Target="https://www.gov.uk/government/publications/g7-foreign-ministers-meeting-in-germany-2022-communique/g7-foreign-ministers-meeting-in-germany-2022-communique" TargetMode="External"/><Relationship Id="rId122" Type="http://schemas.openxmlformats.org/officeDocument/2006/relationships/hyperlink" Target="https://webgate.ec.europa.eu/TMSWebRestrict/resources/js/app/" TargetMode="External"/><Relationship Id="rId130" Type="http://schemas.openxmlformats.org/officeDocument/2006/relationships/hyperlink" Target="https://digital-strategy.ec.europa.eu/en/policies/code-practice-disinformation" TargetMode="External"/><Relationship Id="rId135" Type="http://schemas.openxmlformats.org/officeDocument/2006/relationships/hyperlink" Target="https://cordis.europa.eu/programme/id/HORIZON_HORIZON-CL2-2023-DEMOCRACY-01-01" TargetMode="External"/><Relationship Id="rId143" Type="http://schemas.openxmlformats.org/officeDocument/2006/relationships/hyperlink" Target="https://cordis.europa.eu/project/id/812672" TargetMode="External"/><Relationship Id="rId148" Type="http://schemas.openxmlformats.org/officeDocument/2006/relationships/hyperlink" Target="https://ec.europa.eu/regional_policy/policy/communication/partnership-with-media/euinmyregion-media-trips_en" TargetMode="External"/><Relationship Id="rId151" Type="http://schemas.openxmlformats.org/officeDocument/2006/relationships/header" Target="header5.xml"/><Relationship Id="rId15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oeil.secure.europarl.europa.eu/oeil/popups/ficheprocedure.do?reference=2021/0375(COD)&amp;l=en" TargetMode="External"/><Relationship Id="rId39" Type="http://schemas.openxmlformats.org/officeDocument/2006/relationships/hyperlink" Target="https://www.eeas.europa.eu/eeas/eu-election-observation-missions-2_en" TargetMode="External"/><Relationship Id="rId109" Type="http://schemas.openxmlformats.org/officeDocument/2006/relationships/hyperlink" Target="https://www.eeas.europa.eu/eeas/2022-report-eeas-activities-counter-fimi_en" TargetMode="External"/><Relationship Id="rId34" Type="http://schemas.openxmlformats.org/officeDocument/2006/relationships/hyperlink" Target="https://www.state.gov/summit-for-democracy-2023/" TargetMode="External"/><Relationship Id="rId50" Type="http://schemas.openxmlformats.org/officeDocument/2006/relationships/hyperlink" Target="https://international-partnerships.ec.europa.eu/news-and-events/news/summit-democracy-eu-launches-milestone-programmes-empower-youth-key-actors-democracy-2023-03-31_en" TargetMode="External"/><Relationship Id="rId55" Type="http://schemas.openxmlformats.org/officeDocument/2006/relationships/hyperlink" Target="https://commission.europa.eu/funding-tenders/find-funding/eu-funding-programmes_hu" TargetMode="External"/><Relationship Id="rId76" Type="http://schemas.openxmlformats.org/officeDocument/2006/relationships/hyperlink" Target="https://safejournalists.net/" TargetMode="External"/><Relationship Id="rId97" Type="http://schemas.openxmlformats.org/officeDocument/2006/relationships/hyperlink" Target="https://euvsdisinfo.eu/" TargetMode="External"/><Relationship Id="rId104" Type="http://schemas.openxmlformats.org/officeDocument/2006/relationships/hyperlink" Target="https://www.disinfo.eu/publications/fimi-towards-a-european-redefinition-of-foreign-interference/" TargetMode="External"/><Relationship Id="rId120" Type="http://schemas.openxmlformats.org/officeDocument/2006/relationships/hyperlink" Target="https://webgate.ec.europa.eu/TMSWebRestrict/resources/js/app/" TargetMode="External"/><Relationship Id="rId125" Type="http://schemas.openxmlformats.org/officeDocument/2006/relationships/hyperlink" Target="https://ec.europa.eu/newsroom/dae/redirection/document/76495" TargetMode="External"/><Relationship Id="rId141" Type="http://schemas.openxmlformats.org/officeDocument/2006/relationships/hyperlink" Target="https://cordis.europa.eu/project/id/876599" TargetMode="External"/><Relationship Id="rId146" Type="http://schemas.openxmlformats.org/officeDocument/2006/relationships/hyperlink" Target="https://cordis.europa.eu/programme/id/HORIZON_HORIZON-CL2-2023-DEMOCRACY-01-01" TargetMode="External"/><Relationship Id="rId7" Type="http://schemas.openxmlformats.org/officeDocument/2006/relationships/endnotes" Target="endnotes.xml"/><Relationship Id="rId71" Type="http://schemas.openxmlformats.org/officeDocument/2006/relationships/hyperlink" Target="https://digital-strategy.ec.europa.eu/hu/events/european-news-media-forum-safety-journalists-0" TargetMode="External"/><Relationship Id="rId92" Type="http://schemas.openxmlformats.org/officeDocument/2006/relationships/hyperlink" Target="https://erga-online.eu/wp-content/uploads/2022/12/2022-12-ERGA-SG1-Report-Prominence_Art.7a-and-Art.-13.pdf" TargetMode="External"/><Relationship Id="rId2" Type="http://schemas.openxmlformats.org/officeDocument/2006/relationships/numbering" Target="numbering.xml"/><Relationship Id="rId29" Type="http://schemas.openxmlformats.org/officeDocument/2006/relationships/hyperlink" Target="https://europa.eu/capacity4dev/tei-jp-tracker/tei/team-europe-democracy-ted" TargetMode="External"/><Relationship Id="rId24" Type="http://schemas.openxmlformats.org/officeDocument/2006/relationships/hyperlink" Target="https://commission.europa.eu/document/6bc9ce23-545a-4dd6-a69c-c8de38727b71_en" TargetMode="External"/><Relationship Id="rId40" Type="http://schemas.openxmlformats.org/officeDocument/2006/relationships/hyperlink" Target="https://multimedia.europarl.europa.eu/en/webstreaming/declaration-of-principles-for-international-election-observation-implementation-meeting_20221207-1400-SPECIAL-OTHER" TargetMode="External"/><Relationship Id="rId45" Type="http://schemas.openxmlformats.org/officeDocument/2006/relationships/hyperlink" Target="https://www.oecd.org/belgium/engaging-citizens-in-cohesion-policy-486e5a88-en.htm" TargetMode="External"/><Relationship Id="rId66" Type="http://schemas.openxmlformats.org/officeDocument/2006/relationships/hyperlink" Target="https://www.reportingdiversity.org/" TargetMode="External"/><Relationship Id="rId87" Type="http://schemas.openxmlformats.org/officeDocument/2006/relationships/hyperlink" Target="https://eur-lex.europa.eu/legal-content/HU/TXT/PDF/?uri=CELEX:32022H1634" TargetMode="External"/><Relationship Id="rId110" Type="http://schemas.openxmlformats.org/officeDocument/2006/relationships/hyperlink" Target="https://www.sanctionsmap.eu/" TargetMode="External"/><Relationship Id="rId115" Type="http://schemas.openxmlformats.org/officeDocument/2006/relationships/hyperlink" Target="https://commission.europa.eu/system/files/2022-03/comm_mp_2022_en.pdf" TargetMode="External"/><Relationship Id="rId131" Type="http://schemas.openxmlformats.org/officeDocument/2006/relationships/hyperlink" Target="https://disinfocode.eu/" TargetMode="External"/><Relationship Id="rId136" Type="http://schemas.openxmlformats.org/officeDocument/2006/relationships/hyperlink" Target="https://cordis.europa.eu/programme/id/HORIZON_HORIZON-CL2-2022-DEMOCRACY-01-01" TargetMode="External"/><Relationship Id="rId157" Type="http://schemas.openxmlformats.org/officeDocument/2006/relationships/theme" Target="theme/theme1.xml"/><Relationship Id="rId61" Type="http://schemas.openxmlformats.org/officeDocument/2006/relationships/hyperlink" Target="https://research-and-innovation.ec.europa.eu/funding/funding-opportunities/funding-programmes-and-open-calls/horizon-europe/horizon-europe-work-programmes_en" TargetMode="External"/><Relationship Id="rId82" Type="http://schemas.openxmlformats.org/officeDocument/2006/relationships/hyperlink" Target="https://www.presscouncils.eu/" TargetMode="External"/><Relationship Id="rId152" Type="http://schemas.openxmlformats.org/officeDocument/2006/relationships/footer" Target="footer4.xml"/><Relationship Id="rId19" Type="http://schemas.openxmlformats.org/officeDocument/2006/relationships/hyperlink" Target="https://commission.europa.eu/strategy-and-policy/policies/justice-and-fundamental-rights/eu-citizenship/democracy-and-electoral-rights/european-cooperation-network-elections_en" TargetMode="External"/><Relationship Id="rId14" Type="http://schemas.openxmlformats.org/officeDocument/2006/relationships/footer" Target="footer3.xml"/><Relationship Id="rId30" Type="http://schemas.openxmlformats.org/officeDocument/2006/relationships/hyperlink" Target="https://international-partnerships.ec.europa.eu/news-and-events/news/promoting-inclusive-democracy-digital-age-eu-and-denmark-launch-digital-democracy-initiative-2023-03-29_en" TargetMode="External"/><Relationship Id="rId35" Type="http://schemas.openxmlformats.org/officeDocument/2006/relationships/hyperlink" Target="https://www.state.gov/summit-for-democracy-2023/" TargetMode="External"/><Relationship Id="rId56" Type="http://schemas.openxmlformats.org/officeDocument/2006/relationships/hyperlink" Target="https://op.europa.eu/en/publication-detail/-/publication/07370fba-110d-11ee-b12e-01aa75ed71a1" TargetMode="External"/><Relationship Id="rId77" Type="http://schemas.openxmlformats.org/officeDocument/2006/relationships/hyperlink" Target="https://www.democracyendowment.eu/" TargetMode="External"/><Relationship Id="rId100" Type="http://schemas.openxmlformats.org/officeDocument/2006/relationships/hyperlink" Target="https://www.international.gc.ca/transparency-transparence/rapid-response-mechanism-mecanisme-reponse-rapide/2021-annual-report-rapport-annuel.aspx?lang=eng" TargetMode="External"/><Relationship Id="rId105" Type="http://schemas.openxmlformats.org/officeDocument/2006/relationships/hyperlink" Target="https://www.eeas.europa.eu/sites/default/files/documents/strategic_compass_en3_web.pdf" TargetMode="External"/><Relationship Id="rId126" Type="http://schemas.openxmlformats.org/officeDocument/2006/relationships/hyperlink" Target="https://digital-strategy.ec.europa.eu/en/policies/code-practice-disinformation" TargetMode="External"/><Relationship Id="rId147" Type="http://schemas.openxmlformats.org/officeDocument/2006/relationships/hyperlink" Target="https://cordis.europa.eu/programme/id/HORIZON_HORIZON-CL2-2023-DEMOCRACY-01-02" TargetMode="External"/><Relationship Id="rId8" Type="http://schemas.openxmlformats.org/officeDocument/2006/relationships/image" Target="media/image1.emf"/><Relationship Id="rId51" Type="http://schemas.openxmlformats.org/officeDocument/2006/relationships/hyperlink" Target="https://www.democracyendowment.eu/en/" TargetMode="External"/><Relationship Id="rId72" Type="http://schemas.openxmlformats.org/officeDocument/2006/relationships/hyperlink" Target="https://www.mfrr.eu/" TargetMode="External"/><Relationship Id="rId93" Type="http://schemas.openxmlformats.org/officeDocument/2006/relationships/hyperlink" Target="https://digital-strategy.ec.europa.eu/en/policies/multimedia-actions" TargetMode="External"/><Relationship Id="rId98" Type="http://schemas.openxmlformats.org/officeDocument/2006/relationships/hyperlink" Target="https://www.eeas.europa.eu/sites/default/files/documents/Report%20Stratcom%20activities%202021.pdf" TargetMode="External"/><Relationship Id="rId121" Type="http://schemas.openxmlformats.org/officeDocument/2006/relationships/hyperlink" Target="https://webgate.ec.europa.eu/TMSWebRestrict/resources/js/app/" TargetMode="External"/><Relationship Id="rId142" Type="http://schemas.openxmlformats.org/officeDocument/2006/relationships/hyperlink" Target="https://cordis.europa.eu/project/id/805017" TargetMode="External"/><Relationship Id="rId3" Type="http://schemas.openxmlformats.org/officeDocument/2006/relationships/styles" Target="styles.xml"/><Relationship Id="rId25" Type="http://schemas.openxmlformats.org/officeDocument/2006/relationships/hyperlink" Target="https://commission.europa.eu/strategy-and-policy/policies/justice-and-fundamental-rights/eu-citizenship/democracy-and-electoral-rights_en" TargetMode="External"/><Relationship Id="rId46" Type="http://schemas.openxmlformats.org/officeDocument/2006/relationships/hyperlink" Target="https://www.oecd.org/belgium/engaging-citizens-in-cohesion-policy-486e5a88-en.htm" TargetMode="External"/><Relationship Id="rId67" Type="http://schemas.openxmlformats.org/officeDocument/2006/relationships/hyperlink" Target="https://ec.europa.eu/newsroom/dae/redirection/document/79357" TargetMode="External"/><Relationship Id="rId116" Type="http://schemas.openxmlformats.org/officeDocument/2006/relationships/hyperlink" Target="https://www.eeas.europa.eu/eeas/1st-eeas-report-foreign-information-manipulation-and-interference-threats_en" TargetMode="External"/><Relationship Id="rId137" Type="http://schemas.openxmlformats.org/officeDocument/2006/relationships/hyperlink" Target="https://cordis.europa.eu/project/id/7803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A6105-AB20-46E8-80AB-16C872DBB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16474</Words>
  <Characters>93903</Characters>
  <Application>Microsoft Office Word</Application>
  <DocSecurity>0</DocSecurity>
  <Lines>782</Lines>
  <Paragraphs>220</Paragraphs>
  <ScaleCrop>false</ScaleCrop>
  <Company/>
  <LinksUpToDate>false</LinksUpToDate>
  <CharactersWithSpaces>110157</CharactersWithSpaces>
  <SharedDoc>false</SharedDoc>
  <HLinks>
    <vt:vector size="678" baseType="variant">
      <vt:variant>
        <vt:i4>1310727</vt:i4>
      </vt:variant>
      <vt:variant>
        <vt:i4>339</vt:i4>
      </vt:variant>
      <vt:variant>
        <vt:i4>0</vt:i4>
      </vt:variant>
      <vt:variant>
        <vt:i4>5</vt:i4>
      </vt:variant>
      <vt:variant>
        <vt:lpwstr>https://ec.europa.eu/regional_policy/policy/communication/partnership-with-media/euinmyregion-media-trips_en</vt:lpwstr>
      </vt:variant>
      <vt:variant>
        <vt:lpwstr/>
      </vt:variant>
      <vt:variant>
        <vt:i4>1769534</vt:i4>
      </vt:variant>
      <vt:variant>
        <vt:i4>336</vt:i4>
      </vt:variant>
      <vt:variant>
        <vt:i4>0</vt:i4>
      </vt:variant>
      <vt:variant>
        <vt:i4>5</vt:i4>
      </vt:variant>
      <vt:variant>
        <vt:lpwstr>https://cordis.europa.eu/programme/id/HORIZON_HORIZON-CL2-2023-DEMOCRACY-01-02</vt:lpwstr>
      </vt:variant>
      <vt:variant>
        <vt:lpwstr/>
      </vt:variant>
      <vt:variant>
        <vt:i4>1572926</vt:i4>
      </vt:variant>
      <vt:variant>
        <vt:i4>333</vt:i4>
      </vt:variant>
      <vt:variant>
        <vt:i4>0</vt:i4>
      </vt:variant>
      <vt:variant>
        <vt:i4>5</vt:i4>
      </vt:variant>
      <vt:variant>
        <vt:lpwstr>https://cordis.europa.eu/programme/id/HORIZON_HORIZON-CL2-2023-DEMOCRACY-01-01</vt:lpwstr>
      </vt:variant>
      <vt:variant>
        <vt:lpwstr/>
      </vt:variant>
      <vt:variant>
        <vt:i4>5046289</vt:i4>
      </vt:variant>
      <vt:variant>
        <vt:i4>330</vt:i4>
      </vt:variant>
      <vt:variant>
        <vt:i4>0</vt:i4>
      </vt:variant>
      <vt:variant>
        <vt:i4>5</vt:i4>
      </vt:variant>
      <vt:variant>
        <vt:lpwstr>https://euhybnet.eu/</vt:lpwstr>
      </vt:variant>
      <vt:variant>
        <vt:lpwstr/>
      </vt:variant>
      <vt:variant>
        <vt:i4>3014701</vt:i4>
      </vt:variant>
      <vt:variant>
        <vt:i4>327</vt:i4>
      </vt:variant>
      <vt:variant>
        <vt:i4>0</vt:i4>
      </vt:variant>
      <vt:variant>
        <vt:i4>5</vt:i4>
      </vt:variant>
      <vt:variant>
        <vt:lpwstr>https://cordis.europa.eu/project/id/957442</vt:lpwstr>
      </vt:variant>
      <vt:variant>
        <vt:lpwstr/>
      </vt:variant>
      <vt:variant>
        <vt:i4>2621482</vt:i4>
      </vt:variant>
      <vt:variant>
        <vt:i4>324</vt:i4>
      </vt:variant>
      <vt:variant>
        <vt:i4>0</vt:i4>
      </vt:variant>
      <vt:variant>
        <vt:i4>5</vt:i4>
      </vt:variant>
      <vt:variant>
        <vt:lpwstr>https://cordis.europa.eu/project/id/812672</vt:lpwstr>
      </vt:variant>
      <vt:variant>
        <vt:lpwstr/>
      </vt:variant>
      <vt:variant>
        <vt:i4>2752555</vt:i4>
      </vt:variant>
      <vt:variant>
        <vt:i4>321</vt:i4>
      </vt:variant>
      <vt:variant>
        <vt:i4>0</vt:i4>
      </vt:variant>
      <vt:variant>
        <vt:i4>5</vt:i4>
      </vt:variant>
      <vt:variant>
        <vt:lpwstr>https://cordis.europa.eu/project/id/805017</vt:lpwstr>
      </vt:variant>
      <vt:variant>
        <vt:lpwstr/>
      </vt:variant>
      <vt:variant>
        <vt:i4>2490400</vt:i4>
      </vt:variant>
      <vt:variant>
        <vt:i4>318</vt:i4>
      </vt:variant>
      <vt:variant>
        <vt:i4>0</vt:i4>
      </vt:variant>
      <vt:variant>
        <vt:i4>5</vt:i4>
      </vt:variant>
      <vt:variant>
        <vt:lpwstr>https://cordis.europa.eu/project/id/876599</vt:lpwstr>
      </vt:variant>
      <vt:variant>
        <vt:lpwstr/>
      </vt:variant>
      <vt:variant>
        <vt:i4>2818095</vt:i4>
      </vt:variant>
      <vt:variant>
        <vt:i4>315</vt:i4>
      </vt:variant>
      <vt:variant>
        <vt:i4>0</vt:i4>
      </vt:variant>
      <vt:variant>
        <vt:i4>5</vt:i4>
      </vt:variant>
      <vt:variant>
        <vt:lpwstr>https://cordis.europa.eu/project/id/855556</vt:lpwstr>
      </vt:variant>
      <vt:variant>
        <vt:lpwstr/>
      </vt:variant>
      <vt:variant>
        <vt:i4>2818082</vt:i4>
      </vt:variant>
      <vt:variant>
        <vt:i4>312</vt:i4>
      </vt:variant>
      <vt:variant>
        <vt:i4>0</vt:i4>
      </vt:variant>
      <vt:variant>
        <vt:i4>5</vt:i4>
      </vt:variant>
      <vt:variant>
        <vt:lpwstr>https://cordis.europa.eu/project/id/854497</vt:lpwstr>
      </vt:variant>
      <vt:variant>
        <vt:lpwstr/>
      </vt:variant>
      <vt:variant>
        <vt:i4>2752547</vt:i4>
      </vt:variant>
      <vt:variant>
        <vt:i4>309</vt:i4>
      </vt:variant>
      <vt:variant>
        <vt:i4>0</vt:i4>
      </vt:variant>
      <vt:variant>
        <vt:i4>5</vt:i4>
      </vt:variant>
      <vt:variant>
        <vt:lpwstr>https://cordis.europa.eu/project/id/825297</vt:lpwstr>
      </vt:variant>
      <vt:variant>
        <vt:lpwstr/>
      </vt:variant>
      <vt:variant>
        <vt:i4>2293797</vt:i4>
      </vt:variant>
      <vt:variant>
        <vt:i4>306</vt:i4>
      </vt:variant>
      <vt:variant>
        <vt:i4>0</vt:i4>
      </vt:variant>
      <vt:variant>
        <vt:i4>5</vt:i4>
      </vt:variant>
      <vt:variant>
        <vt:lpwstr>https://cordis.europa.eu/project/id/780355</vt:lpwstr>
      </vt:variant>
      <vt:variant>
        <vt:lpwstr/>
      </vt:variant>
      <vt:variant>
        <vt:i4>1638462</vt:i4>
      </vt:variant>
      <vt:variant>
        <vt:i4>303</vt:i4>
      </vt:variant>
      <vt:variant>
        <vt:i4>0</vt:i4>
      </vt:variant>
      <vt:variant>
        <vt:i4>5</vt:i4>
      </vt:variant>
      <vt:variant>
        <vt:lpwstr>https://cordis.europa.eu/programme/id/HORIZON_HORIZON-CL2-2022-DEMOCRACY-01-01</vt:lpwstr>
      </vt:variant>
      <vt:variant>
        <vt:lpwstr/>
      </vt:variant>
      <vt:variant>
        <vt:i4>1572926</vt:i4>
      </vt:variant>
      <vt:variant>
        <vt:i4>300</vt:i4>
      </vt:variant>
      <vt:variant>
        <vt:i4>0</vt:i4>
      </vt:variant>
      <vt:variant>
        <vt:i4>5</vt:i4>
      </vt:variant>
      <vt:variant>
        <vt:lpwstr>https://cordis.europa.eu/programme/id/HORIZON_HORIZON-CL2-2023-DEMOCRACY-01-01</vt:lpwstr>
      </vt:variant>
      <vt:variant>
        <vt:lpwstr/>
      </vt:variant>
      <vt:variant>
        <vt:i4>6357027</vt:i4>
      </vt:variant>
      <vt:variant>
        <vt:i4>297</vt:i4>
      </vt:variant>
      <vt:variant>
        <vt:i4>0</vt:i4>
      </vt:variant>
      <vt:variant>
        <vt:i4>5</vt:i4>
      </vt:variant>
      <vt:variant>
        <vt:lpwstr>https://eufactcheckingproject.com/</vt:lpwstr>
      </vt:variant>
      <vt:variant>
        <vt:lpwstr/>
      </vt:variant>
      <vt:variant>
        <vt:i4>1310784</vt:i4>
      </vt:variant>
      <vt:variant>
        <vt:i4>294</vt:i4>
      </vt:variant>
      <vt:variant>
        <vt:i4>0</vt:i4>
      </vt:variant>
      <vt:variant>
        <vt:i4>5</vt:i4>
      </vt:variant>
      <vt:variant>
        <vt:lpwstr>https://op.europa.eu/en/publication-detail/-/publication/a224c235-4843-11ed-92ed-01aa75ed71a1/language-en</vt:lpwstr>
      </vt:variant>
      <vt:variant>
        <vt:lpwstr/>
      </vt:variant>
      <vt:variant>
        <vt:i4>393299</vt:i4>
      </vt:variant>
      <vt:variant>
        <vt:i4>291</vt:i4>
      </vt:variant>
      <vt:variant>
        <vt:i4>0</vt:i4>
      </vt:variant>
      <vt:variant>
        <vt:i4>5</vt:i4>
      </vt:variant>
      <vt:variant>
        <vt:lpwstr>https://edmo.eu/edmo-task-force-on-disinformation-on-the-war-in-ukraine/</vt:lpwstr>
      </vt:variant>
      <vt:variant>
        <vt:lpwstr/>
      </vt:variant>
      <vt:variant>
        <vt:i4>2818105</vt:i4>
      </vt:variant>
      <vt:variant>
        <vt:i4>288</vt:i4>
      </vt:variant>
      <vt:variant>
        <vt:i4>0</vt:i4>
      </vt:variant>
      <vt:variant>
        <vt:i4>5</vt:i4>
      </vt:variant>
      <vt:variant>
        <vt:lpwstr>https://disinfocode.eu/</vt:lpwstr>
      </vt:variant>
      <vt:variant>
        <vt:lpwstr/>
      </vt:variant>
      <vt:variant>
        <vt:i4>2490425</vt:i4>
      </vt:variant>
      <vt:variant>
        <vt:i4>285</vt:i4>
      </vt:variant>
      <vt:variant>
        <vt:i4>0</vt:i4>
      </vt:variant>
      <vt:variant>
        <vt:i4>5</vt:i4>
      </vt:variant>
      <vt:variant>
        <vt:lpwstr>https://digital-strategy.ec.europa.eu/en/policies/code-practice-disinformation</vt:lpwstr>
      </vt:variant>
      <vt:variant>
        <vt:lpwstr/>
      </vt:variant>
      <vt:variant>
        <vt:i4>8323179</vt:i4>
      </vt:variant>
      <vt:variant>
        <vt:i4>282</vt:i4>
      </vt:variant>
      <vt:variant>
        <vt:i4>0</vt:i4>
      </vt:variant>
      <vt:variant>
        <vt:i4>5</vt:i4>
      </vt:variant>
      <vt:variant>
        <vt:lpwstr>https://edmo.eu/war-in-ukraine-the-fact-checked-disinformation-detected-in-the-eu/</vt:lpwstr>
      </vt:variant>
      <vt:variant>
        <vt:lpwstr/>
      </vt:variant>
      <vt:variant>
        <vt:i4>393299</vt:i4>
      </vt:variant>
      <vt:variant>
        <vt:i4>279</vt:i4>
      </vt:variant>
      <vt:variant>
        <vt:i4>0</vt:i4>
      </vt:variant>
      <vt:variant>
        <vt:i4>5</vt:i4>
      </vt:variant>
      <vt:variant>
        <vt:lpwstr>https://edmo.eu/edmo-task-force-on-disinformation-on-the-war-in-ukraine/</vt:lpwstr>
      </vt:variant>
      <vt:variant>
        <vt:lpwstr/>
      </vt:variant>
      <vt:variant>
        <vt:i4>2490425</vt:i4>
      </vt:variant>
      <vt:variant>
        <vt:i4>276</vt:i4>
      </vt:variant>
      <vt:variant>
        <vt:i4>0</vt:i4>
      </vt:variant>
      <vt:variant>
        <vt:i4>5</vt:i4>
      </vt:variant>
      <vt:variant>
        <vt:lpwstr>https://digital-strategy.ec.europa.eu/en/policies/code-practice-disinformation</vt:lpwstr>
      </vt:variant>
      <vt:variant>
        <vt:lpwstr/>
      </vt:variant>
      <vt:variant>
        <vt:i4>4915211</vt:i4>
      </vt:variant>
      <vt:variant>
        <vt:i4>273</vt:i4>
      </vt:variant>
      <vt:variant>
        <vt:i4>0</vt:i4>
      </vt:variant>
      <vt:variant>
        <vt:i4>5</vt:i4>
      </vt:variant>
      <vt:variant>
        <vt:lpwstr>https://ec.europa.eu/newsroom/dae/redirection/document/76495</vt:lpwstr>
      </vt:variant>
      <vt:variant>
        <vt:lpwstr/>
      </vt:variant>
      <vt:variant>
        <vt:i4>6422654</vt:i4>
      </vt:variant>
      <vt:variant>
        <vt:i4>270</vt:i4>
      </vt:variant>
      <vt:variant>
        <vt:i4>0</vt:i4>
      </vt:variant>
      <vt:variant>
        <vt:i4>5</vt:i4>
      </vt:variant>
      <vt:variant>
        <vt:lpwstr>https://webgate.ec.europa.eu/TMSWebRestrict/resources/js/app/</vt:lpwstr>
      </vt:variant>
      <vt:variant>
        <vt:lpwstr>/library/detail/83360?hasBackBtn=false</vt:lpwstr>
      </vt:variant>
      <vt:variant>
        <vt:i4>6422654</vt:i4>
      </vt:variant>
      <vt:variant>
        <vt:i4>267</vt:i4>
      </vt:variant>
      <vt:variant>
        <vt:i4>0</vt:i4>
      </vt:variant>
      <vt:variant>
        <vt:i4>5</vt:i4>
      </vt:variant>
      <vt:variant>
        <vt:lpwstr>https://webgate.ec.europa.eu/TMSWebRestrict/resources/js/app/</vt:lpwstr>
      </vt:variant>
      <vt:variant>
        <vt:lpwstr>/library/detail/83360?hasBackBtn=false</vt:lpwstr>
      </vt:variant>
      <vt:variant>
        <vt:i4>7274614</vt:i4>
      </vt:variant>
      <vt:variant>
        <vt:i4>264</vt:i4>
      </vt:variant>
      <vt:variant>
        <vt:i4>0</vt:i4>
      </vt:variant>
      <vt:variant>
        <vt:i4>5</vt:i4>
      </vt:variant>
      <vt:variant>
        <vt:lpwstr>https://webgate.ec.europa.eu/TMSWebRestrict/resources/js/app/</vt:lpwstr>
      </vt:variant>
      <vt:variant>
        <vt:lpwstr>/library/detail/81893?hasBackBtn=false</vt:lpwstr>
      </vt:variant>
      <vt:variant>
        <vt:i4>6553714</vt:i4>
      </vt:variant>
      <vt:variant>
        <vt:i4>261</vt:i4>
      </vt:variant>
      <vt:variant>
        <vt:i4>0</vt:i4>
      </vt:variant>
      <vt:variant>
        <vt:i4>5</vt:i4>
      </vt:variant>
      <vt:variant>
        <vt:lpwstr>https://webgate.ec.europa.eu/TMSWebRestrict/resources/js/app/</vt:lpwstr>
      </vt:variant>
      <vt:variant>
        <vt:lpwstr>/library/detail/83609?hasBackBtn=false</vt:lpwstr>
      </vt:variant>
      <vt:variant>
        <vt:i4>6422654</vt:i4>
      </vt:variant>
      <vt:variant>
        <vt:i4>258</vt:i4>
      </vt:variant>
      <vt:variant>
        <vt:i4>0</vt:i4>
      </vt:variant>
      <vt:variant>
        <vt:i4>5</vt:i4>
      </vt:variant>
      <vt:variant>
        <vt:lpwstr>https://webgate.ec.europa.eu/TMSWebRestrict/resources/js/app/</vt:lpwstr>
      </vt:variant>
      <vt:variant>
        <vt:lpwstr>/library/detail/83360?hasBackBtn=false</vt:lpwstr>
      </vt:variant>
      <vt:variant>
        <vt:i4>7274614</vt:i4>
      </vt:variant>
      <vt:variant>
        <vt:i4>255</vt:i4>
      </vt:variant>
      <vt:variant>
        <vt:i4>0</vt:i4>
      </vt:variant>
      <vt:variant>
        <vt:i4>5</vt:i4>
      </vt:variant>
      <vt:variant>
        <vt:lpwstr>https://webgate.ec.europa.eu/TMSWebRestrict/resources/js/app/</vt:lpwstr>
      </vt:variant>
      <vt:variant>
        <vt:lpwstr>/library/detail/81893?hasBackBtn=false</vt:lpwstr>
      </vt:variant>
      <vt:variant>
        <vt:i4>1310773</vt:i4>
      </vt:variant>
      <vt:variant>
        <vt:i4>252</vt:i4>
      </vt:variant>
      <vt:variant>
        <vt:i4>0</vt:i4>
      </vt:variant>
      <vt:variant>
        <vt:i4>5</vt:i4>
      </vt:variant>
      <vt:variant>
        <vt:lpwstr>https://www.eeas.europa.eu/eeas/worldwide-media-communities-gathered-sarajevo-tackle-disinformation_en</vt:lpwstr>
      </vt:variant>
      <vt:variant>
        <vt:lpwstr/>
      </vt:variant>
      <vt:variant>
        <vt:i4>2818098</vt:i4>
      </vt:variant>
      <vt:variant>
        <vt:i4>249</vt:i4>
      </vt:variant>
      <vt:variant>
        <vt:i4>0</vt:i4>
      </vt:variant>
      <vt:variant>
        <vt:i4>5</vt:i4>
      </vt:variant>
      <vt:variant>
        <vt:lpwstr>https://www.iss.europa.eu/projects/countering-foreign-interference</vt:lpwstr>
      </vt:variant>
      <vt:variant>
        <vt:lpwstr/>
      </vt:variant>
      <vt:variant>
        <vt:i4>3211352</vt:i4>
      </vt:variant>
      <vt:variant>
        <vt:i4>246</vt:i4>
      </vt:variant>
      <vt:variant>
        <vt:i4>0</vt:i4>
      </vt:variant>
      <vt:variant>
        <vt:i4>5</vt:i4>
      </vt:variant>
      <vt:variant>
        <vt:lpwstr>https://www.eeas.europa.eu/eeas/1st-eeas-report-foreign-information-manipulation-and-interference-threats_en</vt:lpwstr>
      </vt:variant>
      <vt:variant>
        <vt:lpwstr/>
      </vt:variant>
      <vt:variant>
        <vt:i4>3276867</vt:i4>
      </vt:variant>
      <vt:variant>
        <vt:i4>243</vt:i4>
      </vt:variant>
      <vt:variant>
        <vt:i4>0</vt:i4>
      </vt:variant>
      <vt:variant>
        <vt:i4>5</vt:i4>
      </vt:variant>
      <vt:variant>
        <vt:lpwstr>https://commission.europa.eu/system/files/2022-03/comm_mp_2022_en.pdf</vt:lpwstr>
      </vt:variant>
      <vt:variant>
        <vt:lpwstr/>
      </vt:variant>
      <vt:variant>
        <vt:i4>3473513</vt:i4>
      </vt:variant>
      <vt:variant>
        <vt:i4>240</vt:i4>
      </vt:variant>
      <vt:variant>
        <vt:i4>0</vt:i4>
      </vt:variant>
      <vt:variant>
        <vt:i4>5</vt:i4>
      </vt:variant>
      <vt:variant>
        <vt:lpwstr>https://www.eeas.europa.eu/sites/default/files/documents/2023/EEAS-DataTeam-ThreatReport-2023..pdf</vt:lpwstr>
      </vt:variant>
      <vt:variant>
        <vt:lpwstr/>
      </vt:variant>
      <vt:variant>
        <vt:i4>4980799</vt:i4>
      </vt:variant>
      <vt:variant>
        <vt:i4>237</vt:i4>
      </vt:variant>
      <vt:variant>
        <vt:i4>0</vt:i4>
      </vt:variant>
      <vt:variant>
        <vt:i4>5</vt:i4>
      </vt:variant>
      <vt:variant>
        <vt:lpwstr>https://www.eeas.europa.eu/countering-disinformation/tackling-disinformation-information-work-eeas-strategic-communication_en</vt:lpwstr>
      </vt:variant>
      <vt:variant>
        <vt:lpwstr/>
      </vt:variant>
      <vt:variant>
        <vt:i4>3932240</vt:i4>
      </vt:variant>
      <vt:variant>
        <vt:i4>234</vt:i4>
      </vt:variant>
      <vt:variant>
        <vt:i4>0</vt:i4>
      </vt:variant>
      <vt:variant>
        <vt:i4>5</vt:i4>
      </vt:variant>
      <vt:variant>
        <vt:lpwstr>https://www.eeas.europa.eu/sites/default/files/documents/EEAS-AnnualReport-WEB_v3.4.pdf</vt:lpwstr>
      </vt:variant>
      <vt:variant>
        <vt:lpwstr/>
      </vt:variant>
      <vt:variant>
        <vt:i4>7405688</vt:i4>
      </vt:variant>
      <vt:variant>
        <vt:i4>231</vt:i4>
      </vt:variant>
      <vt:variant>
        <vt:i4>0</vt:i4>
      </vt:variant>
      <vt:variant>
        <vt:i4>5</vt:i4>
      </vt:variant>
      <vt:variant>
        <vt:lpwstr>https://eceuropaeu.sharepoint.com/teams/GRP-EDAPSGteam/Shared Documents/a_Chapeau and EDAP review/:https:/www.eeas.europa.eu/eeas/2021-stratcom-activity-report-strategic-communication-task-forces-and-information-analysis_en;</vt:lpwstr>
      </vt:variant>
      <vt:variant>
        <vt:lpwstr/>
      </vt:variant>
      <vt:variant>
        <vt:i4>1966145</vt:i4>
      </vt:variant>
      <vt:variant>
        <vt:i4>228</vt:i4>
      </vt:variant>
      <vt:variant>
        <vt:i4>0</vt:i4>
      </vt:variant>
      <vt:variant>
        <vt:i4>5</vt:i4>
      </vt:variant>
      <vt:variant>
        <vt:lpwstr>https://www.sanctionsmap.eu/</vt:lpwstr>
      </vt:variant>
      <vt:variant>
        <vt:lpwstr>/main</vt:lpwstr>
      </vt:variant>
      <vt:variant>
        <vt:i4>7536650</vt:i4>
      </vt:variant>
      <vt:variant>
        <vt:i4>225</vt:i4>
      </vt:variant>
      <vt:variant>
        <vt:i4>0</vt:i4>
      </vt:variant>
      <vt:variant>
        <vt:i4>5</vt:i4>
      </vt:variant>
      <vt:variant>
        <vt:lpwstr>https://www.eeas.europa.eu/eeas/2022-report-eeas-activities-counter-fimi_en</vt:lpwstr>
      </vt:variant>
      <vt:variant>
        <vt:lpwstr/>
      </vt:variant>
      <vt:variant>
        <vt:i4>1376335</vt:i4>
      </vt:variant>
      <vt:variant>
        <vt:i4>222</vt:i4>
      </vt:variant>
      <vt:variant>
        <vt:i4>0</vt:i4>
      </vt:variant>
      <vt:variant>
        <vt:i4>5</vt:i4>
      </vt:variant>
      <vt:variant>
        <vt:lpwstr>https://www.eeas.europa.eu/sites/default/files/documents/Report Stratcom activities 2021.pdf</vt:lpwstr>
      </vt:variant>
      <vt:variant>
        <vt:lpwstr/>
      </vt:variant>
      <vt:variant>
        <vt:i4>2752544</vt:i4>
      </vt:variant>
      <vt:variant>
        <vt:i4>219</vt:i4>
      </vt:variant>
      <vt:variant>
        <vt:i4>0</vt:i4>
      </vt:variant>
      <vt:variant>
        <vt:i4>5</vt:i4>
      </vt:variant>
      <vt:variant>
        <vt:lpwstr>https://euvsdisinfo.eu/</vt:lpwstr>
      </vt:variant>
      <vt:variant>
        <vt:lpwstr/>
      </vt:variant>
      <vt:variant>
        <vt:i4>4718671</vt:i4>
      </vt:variant>
      <vt:variant>
        <vt:i4>216</vt:i4>
      </vt:variant>
      <vt:variant>
        <vt:i4>0</vt:i4>
      </vt:variant>
      <vt:variant>
        <vt:i4>5</vt:i4>
      </vt:variant>
      <vt:variant>
        <vt:lpwstr>https://www.consilium.europa.eu/en/press/press-releases/2022/07/18/foreign-information-manipulation-and-interference-council-approves-conclusions-stepping-up-eu-s-engagement-and-ability-to-respond/</vt:lpwstr>
      </vt:variant>
      <vt:variant>
        <vt:lpwstr/>
      </vt:variant>
      <vt:variant>
        <vt:i4>2293843</vt:i4>
      </vt:variant>
      <vt:variant>
        <vt:i4>213</vt:i4>
      </vt:variant>
      <vt:variant>
        <vt:i4>0</vt:i4>
      </vt:variant>
      <vt:variant>
        <vt:i4>5</vt:i4>
      </vt:variant>
      <vt:variant>
        <vt:lpwstr>https://www.eeas.europa.eu/sites/default/files/documents/strategic_compass_en3_web.pdf</vt:lpwstr>
      </vt:variant>
      <vt:variant>
        <vt:lpwstr/>
      </vt:variant>
      <vt:variant>
        <vt:i4>1966082</vt:i4>
      </vt:variant>
      <vt:variant>
        <vt:i4>210</vt:i4>
      </vt:variant>
      <vt:variant>
        <vt:i4>0</vt:i4>
      </vt:variant>
      <vt:variant>
        <vt:i4>5</vt:i4>
      </vt:variant>
      <vt:variant>
        <vt:lpwstr>https://www.disinfo.eu/publications/fimi-towards-a-european-redefinition-of-foreign-interference/</vt:lpwstr>
      </vt:variant>
      <vt:variant>
        <vt:lpwstr/>
      </vt:variant>
      <vt:variant>
        <vt:i4>6029376</vt:i4>
      </vt:variant>
      <vt:variant>
        <vt:i4>207</vt:i4>
      </vt:variant>
      <vt:variant>
        <vt:i4>0</vt:i4>
      </vt:variant>
      <vt:variant>
        <vt:i4>5</vt:i4>
      </vt:variant>
      <vt:variant>
        <vt:lpwstr>https://www.nato.int/cps/en/natohq/official_texts_210549.htm</vt:lpwstr>
      </vt:variant>
      <vt:variant>
        <vt:lpwstr/>
      </vt:variant>
      <vt:variant>
        <vt:i4>4128867</vt:i4>
      </vt:variant>
      <vt:variant>
        <vt:i4>204</vt:i4>
      </vt:variant>
      <vt:variant>
        <vt:i4>0</vt:i4>
      </vt:variant>
      <vt:variant>
        <vt:i4>5</vt:i4>
      </vt:variant>
      <vt:variant>
        <vt:lpwstr>https://www.gov.uk/government/publications/g7-foreign-ministers-meeting-in-germany-2022-communique/g7-foreign-ministers-meeting-in-germany-2022-communique</vt:lpwstr>
      </vt:variant>
      <vt:variant>
        <vt:lpwstr/>
      </vt:variant>
      <vt:variant>
        <vt:i4>2883640</vt:i4>
      </vt:variant>
      <vt:variant>
        <vt:i4>201</vt:i4>
      </vt:variant>
      <vt:variant>
        <vt:i4>0</vt:i4>
      </vt:variant>
      <vt:variant>
        <vt:i4>5</vt:i4>
      </vt:variant>
      <vt:variant>
        <vt:lpwstr>https://www.international.gc.ca/transparency-transparence/rapid-response-mechanism-mecanisme-reponse-rapide/2021-annual-report-rapport-annuel.aspx?lang=eng</vt:lpwstr>
      </vt:variant>
      <vt:variant>
        <vt:lpwstr/>
      </vt:variant>
      <vt:variant>
        <vt:i4>7536650</vt:i4>
      </vt:variant>
      <vt:variant>
        <vt:i4>198</vt:i4>
      </vt:variant>
      <vt:variant>
        <vt:i4>0</vt:i4>
      </vt:variant>
      <vt:variant>
        <vt:i4>5</vt:i4>
      </vt:variant>
      <vt:variant>
        <vt:lpwstr>https://www.eeas.europa.eu/eeas/2022-report-eeas-activities-counter-fimi_en</vt:lpwstr>
      </vt:variant>
      <vt:variant>
        <vt:lpwstr/>
      </vt:variant>
      <vt:variant>
        <vt:i4>1376335</vt:i4>
      </vt:variant>
      <vt:variant>
        <vt:i4>195</vt:i4>
      </vt:variant>
      <vt:variant>
        <vt:i4>0</vt:i4>
      </vt:variant>
      <vt:variant>
        <vt:i4>5</vt:i4>
      </vt:variant>
      <vt:variant>
        <vt:lpwstr>https://www.eeas.europa.eu/sites/default/files/documents/Report Stratcom activities 2021.pdf</vt:lpwstr>
      </vt:variant>
      <vt:variant>
        <vt:lpwstr/>
      </vt:variant>
      <vt:variant>
        <vt:i4>2752544</vt:i4>
      </vt:variant>
      <vt:variant>
        <vt:i4>192</vt:i4>
      </vt:variant>
      <vt:variant>
        <vt:i4>0</vt:i4>
      </vt:variant>
      <vt:variant>
        <vt:i4>5</vt:i4>
      </vt:variant>
      <vt:variant>
        <vt:lpwstr>https://euvsdisinfo.eu/</vt:lpwstr>
      </vt:variant>
      <vt:variant>
        <vt:lpwstr/>
      </vt:variant>
      <vt:variant>
        <vt:i4>4718671</vt:i4>
      </vt:variant>
      <vt:variant>
        <vt:i4>189</vt:i4>
      </vt:variant>
      <vt:variant>
        <vt:i4>0</vt:i4>
      </vt:variant>
      <vt:variant>
        <vt:i4>5</vt:i4>
      </vt:variant>
      <vt:variant>
        <vt:lpwstr>https://www.consilium.europa.eu/en/press/press-releases/2022/07/18/foreign-information-manipulation-and-interference-council-approves-conclusions-stepping-up-eu-s-engagement-and-ability-to-respond/</vt:lpwstr>
      </vt:variant>
      <vt:variant>
        <vt:lpwstr/>
      </vt:variant>
      <vt:variant>
        <vt:i4>2293843</vt:i4>
      </vt:variant>
      <vt:variant>
        <vt:i4>186</vt:i4>
      </vt:variant>
      <vt:variant>
        <vt:i4>0</vt:i4>
      </vt:variant>
      <vt:variant>
        <vt:i4>5</vt:i4>
      </vt:variant>
      <vt:variant>
        <vt:lpwstr>https://www.eeas.europa.eu/sites/default/files/documents/strategic_compass_en3_web.pdf</vt:lpwstr>
      </vt:variant>
      <vt:variant>
        <vt:lpwstr/>
      </vt:variant>
      <vt:variant>
        <vt:i4>8323157</vt:i4>
      </vt:variant>
      <vt:variant>
        <vt:i4>183</vt:i4>
      </vt:variant>
      <vt:variant>
        <vt:i4>0</vt:i4>
      </vt:variant>
      <vt:variant>
        <vt:i4>5</vt:i4>
      </vt:variant>
      <vt:variant>
        <vt:lpwstr>https://erga-online.eu/wp-content/uploads/2022/12/2022-12-ERGA-SG1-Report-Prominence_Art.7a-and-Art.-13.pdf</vt:lpwstr>
      </vt:variant>
      <vt:variant>
        <vt:lpwstr/>
      </vt:variant>
      <vt:variant>
        <vt:i4>8060973</vt:i4>
      </vt:variant>
      <vt:variant>
        <vt:i4>180</vt:i4>
      </vt:variant>
      <vt:variant>
        <vt:i4>0</vt:i4>
      </vt:variant>
      <vt:variant>
        <vt:i4>5</vt:i4>
      </vt:variant>
      <vt:variant>
        <vt:lpwstr>https://digital-strategy.ec.europa.eu/en/funding/european-media-platforms-0</vt:lpwstr>
      </vt:variant>
      <vt:variant>
        <vt:lpwstr/>
      </vt:variant>
      <vt:variant>
        <vt:i4>2949217</vt:i4>
      </vt:variant>
      <vt:variant>
        <vt:i4>177</vt:i4>
      </vt:variant>
      <vt:variant>
        <vt:i4>0</vt:i4>
      </vt:variant>
      <vt:variant>
        <vt:i4>5</vt:i4>
      </vt:variant>
      <vt:variant>
        <vt:lpwstr>https://digital-strategy.ec.europa.eu/en/library/study-media-plurality-and-diversity-online</vt:lpwstr>
      </vt:variant>
      <vt:variant>
        <vt:lpwstr/>
      </vt:variant>
      <vt:variant>
        <vt:i4>1572874</vt:i4>
      </vt:variant>
      <vt:variant>
        <vt:i4>174</vt:i4>
      </vt:variant>
      <vt:variant>
        <vt:i4>0</vt:i4>
      </vt:variant>
      <vt:variant>
        <vt:i4>5</vt:i4>
      </vt:variant>
      <vt:variant>
        <vt:lpwstr>https://eur-lex.europa.eu/legal-content/EN/TXT/PDF/?uri=CELEX:32022H1634</vt:lpwstr>
      </vt:variant>
      <vt:variant>
        <vt:lpwstr/>
      </vt:variant>
      <vt:variant>
        <vt:i4>1114130</vt:i4>
      </vt:variant>
      <vt:variant>
        <vt:i4>171</vt:i4>
      </vt:variant>
      <vt:variant>
        <vt:i4>0</vt:i4>
      </vt:variant>
      <vt:variant>
        <vt:i4>5</vt:i4>
      </vt:variant>
      <vt:variant>
        <vt:lpwstr>https://eur-lex.europa.eu/legal-content/EN/TXT/?uri=CELEX:52022PC0457</vt:lpwstr>
      </vt:variant>
      <vt:variant>
        <vt:lpwstr/>
      </vt:variant>
      <vt:variant>
        <vt:i4>1572874</vt:i4>
      </vt:variant>
      <vt:variant>
        <vt:i4>168</vt:i4>
      </vt:variant>
      <vt:variant>
        <vt:i4>0</vt:i4>
      </vt:variant>
      <vt:variant>
        <vt:i4>5</vt:i4>
      </vt:variant>
      <vt:variant>
        <vt:lpwstr>https://eur-lex.europa.eu/legal-content/EN/TXT/PDF/?uri=CELEX:32022H1634</vt:lpwstr>
      </vt:variant>
      <vt:variant>
        <vt:lpwstr/>
      </vt:variant>
      <vt:variant>
        <vt:i4>1114130</vt:i4>
      </vt:variant>
      <vt:variant>
        <vt:i4>165</vt:i4>
      </vt:variant>
      <vt:variant>
        <vt:i4>0</vt:i4>
      </vt:variant>
      <vt:variant>
        <vt:i4>5</vt:i4>
      </vt:variant>
      <vt:variant>
        <vt:lpwstr>https://eur-lex.europa.eu/legal-content/EN/TXT/?uri=CELEX:52022PC0457</vt:lpwstr>
      </vt:variant>
      <vt:variant>
        <vt:lpwstr/>
      </vt:variant>
      <vt:variant>
        <vt:i4>6488102</vt:i4>
      </vt:variant>
      <vt:variant>
        <vt:i4>162</vt:i4>
      </vt:variant>
      <vt:variant>
        <vt:i4>0</vt:i4>
      </vt:variant>
      <vt:variant>
        <vt:i4>5</vt:i4>
      </vt:variant>
      <vt:variant>
        <vt:lpwstr>https://media-ownership.eu/</vt:lpwstr>
      </vt:variant>
      <vt:variant>
        <vt:lpwstr/>
      </vt:variant>
      <vt:variant>
        <vt:i4>1048599</vt:i4>
      </vt:variant>
      <vt:variant>
        <vt:i4>159</vt:i4>
      </vt:variant>
      <vt:variant>
        <vt:i4>0</vt:i4>
      </vt:variant>
      <vt:variant>
        <vt:i4>5</vt:i4>
      </vt:variant>
      <vt:variant>
        <vt:lpwstr>https://cordis.europa.eu/search?q=contenttype%3D%27project%27%20AND%20programme%2Fcode%3D%27HORIZON-CL2-2022-DEMOCRACY-01-06%27&amp;p=1&amp;num=10&amp;srt=/project/contentUpdateDate:decreasing</vt:lpwstr>
      </vt:variant>
      <vt:variant>
        <vt:lpwstr/>
      </vt:variant>
      <vt:variant>
        <vt:i4>2359410</vt:i4>
      </vt:variant>
      <vt:variant>
        <vt:i4>156</vt:i4>
      </vt:variant>
      <vt:variant>
        <vt:i4>0</vt:i4>
      </vt:variant>
      <vt:variant>
        <vt:i4>5</vt:i4>
      </vt:variant>
      <vt:variant>
        <vt:lpwstr>https://pjp-eu.coe.int/en/web/horizontal-facility/freedom-of-expression</vt:lpwstr>
      </vt:variant>
      <vt:variant>
        <vt:lpwstr/>
      </vt:variant>
      <vt:variant>
        <vt:i4>720984</vt:i4>
      </vt:variant>
      <vt:variant>
        <vt:i4>153</vt:i4>
      </vt:variant>
      <vt:variant>
        <vt:i4>0</vt:i4>
      </vt:variant>
      <vt:variant>
        <vt:i4>5</vt:i4>
      </vt:variant>
      <vt:variant>
        <vt:lpwstr>https://www.presscouncils.eu/</vt:lpwstr>
      </vt:variant>
      <vt:variant>
        <vt:lpwstr/>
      </vt:variant>
      <vt:variant>
        <vt:i4>1245207</vt:i4>
      </vt:variant>
      <vt:variant>
        <vt:i4>150</vt:i4>
      </vt:variant>
      <vt:variant>
        <vt:i4>0</vt:i4>
      </vt:variant>
      <vt:variant>
        <vt:i4>5</vt:i4>
      </vt:variant>
      <vt:variant>
        <vt:lpwstr>https://eur-lex.europa.eu/legal-content/EN/TXT/?uri=CELEX:52022PC0177</vt:lpwstr>
      </vt:variant>
      <vt:variant>
        <vt:lpwstr/>
      </vt:variant>
      <vt:variant>
        <vt:i4>6094879</vt:i4>
      </vt:variant>
      <vt:variant>
        <vt:i4>147</vt:i4>
      </vt:variant>
      <vt:variant>
        <vt:i4>0</vt:i4>
      </vt:variant>
      <vt:variant>
        <vt:i4>5</vt:i4>
      </vt:variant>
      <vt:variant>
        <vt:lpwstr>https://ec.europa.eu/transparency/expert-groups-register/screen/expert-groups/consult?lang=en&amp;do=groupDetail.groupDetail&amp;groupID=3746</vt:lpwstr>
      </vt:variant>
      <vt:variant>
        <vt:lpwstr/>
      </vt:variant>
      <vt:variant>
        <vt:i4>524374</vt:i4>
      </vt:variant>
      <vt:variant>
        <vt:i4>144</vt:i4>
      </vt:variant>
      <vt:variant>
        <vt:i4>0</vt:i4>
      </vt:variant>
      <vt:variant>
        <vt:i4>5</vt:i4>
      </vt:variant>
      <vt:variant>
        <vt:lpwstr>https://www.wb6media.eu/</vt:lpwstr>
      </vt:variant>
      <vt:variant>
        <vt:lpwstr/>
      </vt:variant>
      <vt:variant>
        <vt:i4>8257643</vt:i4>
      </vt:variant>
      <vt:variant>
        <vt:i4>141</vt:i4>
      </vt:variant>
      <vt:variant>
        <vt:i4>0</vt:i4>
      </vt:variant>
      <vt:variant>
        <vt:i4>5</vt:i4>
      </vt:variant>
      <vt:variant>
        <vt:lpwstr>https://www.democracyendowment.eu/</vt:lpwstr>
      </vt:variant>
      <vt:variant>
        <vt:lpwstr/>
      </vt:variant>
      <vt:variant>
        <vt:i4>1048658</vt:i4>
      </vt:variant>
      <vt:variant>
        <vt:i4>138</vt:i4>
      </vt:variant>
      <vt:variant>
        <vt:i4>0</vt:i4>
      </vt:variant>
      <vt:variant>
        <vt:i4>5</vt:i4>
      </vt:variant>
      <vt:variant>
        <vt:lpwstr>https://safejournalists.net/</vt:lpwstr>
      </vt:variant>
      <vt:variant>
        <vt:lpwstr/>
      </vt:variant>
      <vt:variant>
        <vt:i4>524374</vt:i4>
      </vt:variant>
      <vt:variant>
        <vt:i4>135</vt:i4>
      </vt:variant>
      <vt:variant>
        <vt:i4>0</vt:i4>
      </vt:variant>
      <vt:variant>
        <vt:i4>5</vt:i4>
      </vt:variant>
      <vt:variant>
        <vt:lpwstr>https://webgate.ec.europa.eu/europeaid/online-services/index.cfm?ADSSChck=1684354771811&amp;do=publi.welcome&amp;aofr=175569&amp;nbPubliList=15&amp;orderbyad=Desc&amp;searchtype=RS&amp;orderby=upd&amp;userlanguage=en</vt:lpwstr>
      </vt:variant>
      <vt:variant>
        <vt:lpwstr/>
      </vt:variant>
      <vt:variant>
        <vt:i4>6946915</vt:i4>
      </vt:variant>
      <vt:variant>
        <vt:i4>132</vt:i4>
      </vt:variant>
      <vt:variant>
        <vt:i4>0</vt:i4>
      </vt:variant>
      <vt:variant>
        <vt:i4>5</vt:i4>
      </vt:variant>
      <vt:variant>
        <vt:lpwstr>https://unesdoc.unesco.org/ark:/48223/pf0000243986</vt:lpwstr>
      </vt:variant>
      <vt:variant>
        <vt:lpwstr/>
      </vt:variant>
      <vt:variant>
        <vt:i4>4653073</vt:i4>
      </vt:variant>
      <vt:variant>
        <vt:i4>129</vt:i4>
      </vt:variant>
      <vt:variant>
        <vt:i4>0</vt:i4>
      </vt:variant>
      <vt:variant>
        <vt:i4>5</vt:i4>
      </vt:variant>
      <vt:variant>
        <vt:lpwstr>https://www.investigativejournalismforeu.net/</vt:lpwstr>
      </vt:variant>
      <vt:variant>
        <vt:lpwstr/>
      </vt:variant>
      <vt:variant>
        <vt:i4>1441796</vt:i4>
      </vt:variant>
      <vt:variant>
        <vt:i4>126</vt:i4>
      </vt:variant>
      <vt:variant>
        <vt:i4>0</vt:i4>
      </vt:variant>
      <vt:variant>
        <vt:i4>5</vt:i4>
      </vt:variant>
      <vt:variant>
        <vt:lpwstr>https://www.mfrr.eu/</vt:lpwstr>
      </vt:variant>
      <vt:variant>
        <vt:lpwstr/>
      </vt:variant>
      <vt:variant>
        <vt:i4>7864373</vt:i4>
      </vt:variant>
      <vt:variant>
        <vt:i4>123</vt:i4>
      </vt:variant>
      <vt:variant>
        <vt:i4>0</vt:i4>
      </vt:variant>
      <vt:variant>
        <vt:i4>5</vt:i4>
      </vt:variant>
      <vt:variant>
        <vt:lpwstr>https://digital-strategy.ec.europa.eu/en/events/european-news-media-forum-safety-journalists-0</vt:lpwstr>
      </vt:variant>
      <vt:variant>
        <vt:lpwstr/>
      </vt:variant>
      <vt:variant>
        <vt:i4>4718681</vt:i4>
      </vt:variant>
      <vt:variant>
        <vt:i4>120</vt:i4>
      </vt:variant>
      <vt:variant>
        <vt:i4>0</vt:i4>
      </vt:variant>
      <vt:variant>
        <vt:i4>5</vt:i4>
      </vt:variant>
      <vt:variant>
        <vt:lpwstr>https://digital-strategy.ec.europa.eu/en/library/watch-structured-dialogue-safety-journalists</vt:lpwstr>
      </vt:variant>
      <vt:variant>
        <vt:lpwstr/>
      </vt:variant>
      <vt:variant>
        <vt:i4>2359410</vt:i4>
      </vt:variant>
      <vt:variant>
        <vt:i4>117</vt:i4>
      </vt:variant>
      <vt:variant>
        <vt:i4>0</vt:i4>
      </vt:variant>
      <vt:variant>
        <vt:i4>5</vt:i4>
      </vt:variant>
      <vt:variant>
        <vt:lpwstr>https://pjp-eu.coe.int/en/web/horizontal-facility/freedom-of-expression</vt:lpwstr>
      </vt:variant>
      <vt:variant>
        <vt:lpwstr/>
      </vt:variant>
      <vt:variant>
        <vt:i4>2031719</vt:i4>
      </vt:variant>
      <vt:variant>
        <vt:i4>114</vt:i4>
      </vt:variant>
      <vt:variant>
        <vt:i4>0</vt:i4>
      </vt:variant>
      <vt:variant>
        <vt:i4>5</vt:i4>
      </vt:variant>
      <vt:variant>
        <vt:lpwstr>https://safejournalists.net/?fbclid=IwAR1vNuMKmtoXYRchnIJnXi_0moBPyLE4JvSZfmXiAUlcj3KhqXY3MJh4Tl4</vt:lpwstr>
      </vt:variant>
      <vt:variant>
        <vt:lpwstr/>
      </vt:variant>
      <vt:variant>
        <vt:i4>5111816</vt:i4>
      </vt:variant>
      <vt:variant>
        <vt:i4>111</vt:i4>
      </vt:variant>
      <vt:variant>
        <vt:i4>0</vt:i4>
      </vt:variant>
      <vt:variant>
        <vt:i4>5</vt:i4>
      </vt:variant>
      <vt:variant>
        <vt:lpwstr>https://ec.europa.eu/newsroom/dae/redirection/document/79357</vt:lpwstr>
      </vt:variant>
      <vt:variant>
        <vt:lpwstr/>
      </vt:variant>
      <vt:variant>
        <vt:i4>2097257</vt:i4>
      </vt:variant>
      <vt:variant>
        <vt:i4>108</vt:i4>
      </vt:variant>
      <vt:variant>
        <vt:i4>0</vt:i4>
      </vt:variant>
      <vt:variant>
        <vt:i4>5</vt:i4>
      </vt:variant>
      <vt:variant>
        <vt:lpwstr>https://www.reportingdiversity.org/</vt:lpwstr>
      </vt:variant>
      <vt:variant>
        <vt:lpwstr/>
      </vt:variant>
      <vt:variant>
        <vt:i4>7077924</vt:i4>
      </vt:variant>
      <vt:variant>
        <vt:i4>105</vt:i4>
      </vt:variant>
      <vt:variant>
        <vt:i4>0</vt:i4>
      </vt:variant>
      <vt:variant>
        <vt:i4>5</vt:i4>
      </vt:variant>
      <vt:variant>
        <vt:lpwstr>https://eur-lex.europa.eu/legal-content/EN/TXT/?uri=CELEX%3A52021DC0777%20</vt:lpwstr>
      </vt:variant>
      <vt:variant>
        <vt:lpwstr/>
      </vt:variant>
      <vt:variant>
        <vt:i4>4653110</vt:i4>
      </vt:variant>
      <vt:variant>
        <vt:i4>102</vt:i4>
      </vt:variant>
      <vt:variant>
        <vt:i4>0</vt:i4>
      </vt:variant>
      <vt:variant>
        <vt:i4>5</vt:i4>
      </vt:variant>
      <vt:variant>
        <vt:lpwstr>https://research-and-innovation.ec.europa.eu/research-area/social-sciences-and-humanities/research-and-innovation-funding-democracy-and-governance_en</vt:lpwstr>
      </vt:variant>
      <vt:variant>
        <vt:lpwstr/>
      </vt:variant>
      <vt:variant>
        <vt:i4>4915312</vt:i4>
      </vt:variant>
      <vt:variant>
        <vt:i4>99</vt:i4>
      </vt:variant>
      <vt:variant>
        <vt:i4>0</vt:i4>
      </vt:variant>
      <vt:variant>
        <vt:i4>5</vt:i4>
      </vt:variant>
      <vt:variant>
        <vt:lpwstr>https://research-and-innovation.ec.europa.eu/funding/funding-opportunities/funding-programmes-and-open-calls/horizon-europe/horizon-europe-work-programmes_en</vt:lpwstr>
      </vt:variant>
      <vt:variant>
        <vt:lpwstr/>
      </vt:variant>
      <vt:variant>
        <vt:i4>4653068</vt:i4>
      </vt:variant>
      <vt:variant>
        <vt:i4>96</vt:i4>
      </vt:variant>
      <vt:variant>
        <vt:i4>0</vt:i4>
      </vt:variant>
      <vt:variant>
        <vt:i4>5</vt:i4>
      </vt:variant>
      <vt:variant>
        <vt:lpwstr>https://digital-strategy.ec.europa.eu/en/news/spotlight-eu-supported-european-media-platforms</vt:lpwstr>
      </vt:variant>
      <vt:variant>
        <vt:lpwstr/>
      </vt:variant>
      <vt:variant>
        <vt:i4>6160461</vt:i4>
      </vt:variant>
      <vt:variant>
        <vt:i4>93</vt:i4>
      </vt:variant>
      <vt:variant>
        <vt:i4>0</vt:i4>
      </vt:variant>
      <vt:variant>
        <vt:i4>5</vt:i4>
      </vt:variant>
      <vt:variant>
        <vt:lpwstr>https://erasmus-plus.ec.europa.eu/projects/search/details/612574-EPP-1-2019-1-NL-EPPKA2-EUR-UNIV</vt:lpwstr>
      </vt:variant>
      <vt:variant>
        <vt:lpwstr/>
      </vt:variant>
      <vt:variant>
        <vt:i4>1376323</vt:i4>
      </vt:variant>
      <vt:variant>
        <vt:i4>90</vt:i4>
      </vt:variant>
      <vt:variant>
        <vt:i4>0</vt:i4>
      </vt:variant>
      <vt:variant>
        <vt:i4>5</vt:i4>
      </vt:variant>
      <vt:variant>
        <vt:lpwstr>https://digital-strategy.ec.europa.eu/en/policies/multimedia-actions</vt:lpwstr>
      </vt:variant>
      <vt:variant>
        <vt:lpwstr/>
      </vt:variant>
      <vt:variant>
        <vt:i4>7667834</vt:i4>
      </vt:variant>
      <vt:variant>
        <vt:i4>87</vt:i4>
      </vt:variant>
      <vt:variant>
        <vt:i4>0</vt:i4>
      </vt:variant>
      <vt:variant>
        <vt:i4>5</vt:i4>
      </vt:variant>
      <vt:variant>
        <vt:lpwstr>https://digital-strategy.ec.europa.eu/en/library/2023-financing-decision-multimedia-actions</vt:lpwstr>
      </vt:variant>
      <vt:variant>
        <vt:lpwstr/>
      </vt:variant>
      <vt:variant>
        <vt:i4>5374022</vt:i4>
      </vt:variant>
      <vt:variant>
        <vt:i4>84</vt:i4>
      </vt:variant>
      <vt:variant>
        <vt:i4>0</vt:i4>
      </vt:variant>
      <vt:variant>
        <vt:i4>5</vt:i4>
      </vt:variant>
      <vt:variant>
        <vt:lpwstr>https://op.europa.eu/en/publication-detail/-/publication/07370fba-110d-11ee-b12e-01aa75ed71a1</vt:lpwstr>
      </vt:variant>
      <vt:variant>
        <vt:lpwstr/>
      </vt:variant>
      <vt:variant>
        <vt:i4>196660</vt:i4>
      </vt:variant>
      <vt:variant>
        <vt:i4>81</vt:i4>
      </vt:variant>
      <vt:variant>
        <vt:i4>0</vt:i4>
      </vt:variant>
      <vt:variant>
        <vt:i4>5</vt:i4>
      </vt:variant>
      <vt:variant>
        <vt:lpwstr>https://commission.europa.eu/funding-tenders/find-funding/eu-funding-programmes_en</vt:lpwstr>
      </vt:variant>
      <vt:variant>
        <vt:lpwstr/>
      </vt:variant>
      <vt:variant>
        <vt:i4>5439528</vt:i4>
      </vt:variant>
      <vt:variant>
        <vt:i4>78</vt:i4>
      </vt:variant>
      <vt:variant>
        <vt:i4>0</vt:i4>
      </vt:variant>
      <vt:variant>
        <vt:i4>5</vt:i4>
      </vt:variant>
      <vt:variant>
        <vt:lpwstr>https://ec.europa.eu/info/files/communication-conference-future-europe_en</vt:lpwstr>
      </vt:variant>
      <vt:variant>
        <vt:lpwstr/>
      </vt:variant>
      <vt:variant>
        <vt:i4>917576</vt:i4>
      </vt:variant>
      <vt:variant>
        <vt:i4>75</vt:i4>
      </vt:variant>
      <vt:variant>
        <vt:i4>0</vt:i4>
      </vt:variant>
      <vt:variant>
        <vt:i4>5</vt:i4>
      </vt:variant>
      <vt:variant>
        <vt:lpwstr>https://op.europa.eu/en/publication-detail/-/publication/03af1d4e-582b-11ee-9220-01aa75ed71a1</vt:lpwstr>
      </vt:variant>
      <vt:variant>
        <vt:lpwstr/>
      </vt:variant>
      <vt:variant>
        <vt:i4>1507363</vt:i4>
      </vt:variant>
      <vt:variant>
        <vt:i4>72</vt:i4>
      </vt:variant>
      <vt:variant>
        <vt:i4>0</vt:i4>
      </vt:variant>
      <vt:variant>
        <vt:i4>5</vt:i4>
      </vt:variant>
      <vt:variant>
        <vt:lpwstr>https://international-partnerships.ec.europa.eu/policies/peace-and-governance/democracy_en</vt:lpwstr>
      </vt:variant>
      <vt:variant>
        <vt:lpwstr>:~:text=The%20European%20Instrument%20for%20Democracy%20and%20Human%20Rights,rights%2C%20fundamental%20freedoms%20and%20democracy%20in%20non-EU%20countries.</vt:lpwstr>
      </vt:variant>
      <vt:variant>
        <vt:i4>1048590</vt:i4>
      </vt:variant>
      <vt:variant>
        <vt:i4>69</vt:i4>
      </vt:variant>
      <vt:variant>
        <vt:i4>0</vt:i4>
      </vt:variant>
      <vt:variant>
        <vt:i4>5</vt:i4>
      </vt:variant>
      <vt:variant>
        <vt:lpwstr>https://www.democracyendowment.eu/en/</vt:lpwstr>
      </vt:variant>
      <vt:variant>
        <vt:lpwstr/>
      </vt:variant>
      <vt:variant>
        <vt:i4>3407937</vt:i4>
      </vt:variant>
      <vt:variant>
        <vt:i4>66</vt:i4>
      </vt:variant>
      <vt:variant>
        <vt:i4>0</vt:i4>
      </vt:variant>
      <vt:variant>
        <vt:i4>5</vt:i4>
      </vt:variant>
      <vt:variant>
        <vt:lpwstr>https://international-partnerships.ec.europa.eu/news-and-events/news/summit-democracy-eu-launches-milestone-programmes-empower-youth-key-actors-democracy-2023-03-31_en</vt:lpwstr>
      </vt:variant>
      <vt:variant>
        <vt:lpwstr/>
      </vt:variant>
      <vt:variant>
        <vt:i4>262207</vt:i4>
      </vt:variant>
      <vt:variant>
        <vt:i4>63</vt:i4>
      </vt:variant>
      <vt:variant>
        <vt:i4>0</vt:i4>
      </vt:variant>
      <vt:variant>
        <vt:i4>5</vt:i4>
      </vt:variant>
      <vt:variant>
        <vt:lpwstr>https://knowledge4policy.ec.europa.eu/participatory-democracy/about_en</vt:lpwstr>
      </vt:variant>
      <vt:variant>
        <vt:lpwstr/>
      </vt:variant>
      <vt:variant>
        <vt:i4>5963847</vt:i4>
      </vt:variant>
      <vt:variant>
        <vt:i4>60</vt:i4>
      </vt:variant>
      <vt:variant>
        <vt:i4>0</vt:i4>
      </vt:variant>
      <vt:variant>
        <vt:i4>5</vt:i4>
      </vt:variant>
      <vt:variant>
        <vt:lpwstr>https://www.oecd.org/belgium/engaging-citizens-in-cohesion-policy-486e5a88-en.htm</vt:lpwstr>
      </vt:variant>
      <vt:variant>
        <vt:lpwstr/>
      </vt:variant>
      <vt:variant>
        <vt:i4>327744</vt:i4>
      </vt:variant>
      <vt:variant>
        <vt:i4>54</vt:i4>
      </vt:variant>
      <vt:variant>
        <vt:i4>0</vt:i4>
      </vt:variant>
      <vt:variant>
        <vt:i4>5</vt:i4>
      </vt:variant>
      <vt:variant>
        <vt:lpwstr>https://publications.jrc.ec.europa.eu/repository/handle/JRC133253</vt:lpwstr>
      </vt:variant>
      <vt:variant>
        <vt:lpwstr/>
      </vt:variant>
      <vt:variant>
        <vt:i4>2097192</vt:i4>
      </vt:variant>
      <vt:variant>
        <vt:i4>51</vt:i4>
      </vt:variant>
      <vt:variant>
        <vt:i4>0</vt:i4>
      </vt:variant>
      <vt:variant>
        <vt:i4>5</vt:i4>
      </vt:variant>
      <vt:variant>
        <vt:lpwstr>https://www.oecd.org/italy/engaging-citizens-in-cohesion-policy-486e5a88-en.htm</vt:lpwstr>
      </vt:variant>
      <vt:variant>
        <vt:lpwstr/>
      </vt:variant>
      <vt:variant>
        <vt:i4>1703944</vt:i4>
      </vt:variant>
      <vt:variant>
        <vt:i4>48</vt:i4>
      </vt:variant>
      <vt:variant>
        <vt:i4>0</vt:i4>
      </vt:variant>
      <vt:variant>
        <vt:i4>5</vt:i4>
      </vt:variant>
      <vt:variant>
        <vt:lpwstr>https://www.osce.org/Observing_elections_on_Social_Networks</vt:lpwstr>
      </vt:variant>
      <vt:variant>
        <vt:lpwstr/>
      </vt:variant>
      <vt:variant>
        <vt:i4>3342358</vt:i4>
      </vt:variant>
      <vt:variant>
        <vt:i4>45</vt:i4>
      </vt:variant>
      <vt:variant>
        <vt:i4>0</vt:i4>
      </vt:variant>
      <vt:variant>
        <vt:i4>5</vt:i4>
      </vt:variant>
      <vt:variant>
        <vt:lpwstr>https://multimedia.europarl.europa.eu/en/webstreaming/declaration-of-principles-for-international-election-observation-implementation-meeting_20221207-1400-SPECIAL-OTHER</vt:lpwstr>
      </vt:variant>
      <vt:variant>
        <vt:lpwstr/>
      </vt:variant>
      <vt:variant>
        <vt:i4>1835118</vt:i4>
      </vt:variant>
      <vt:variant>
        <vt:i4>42</vt:i4>
      </vt:variant>
      <vt:variant>
        <vt:i4>0</vt:i4>
      </vt:variant>
      <vt:variant>
        <vt:i4>5</vt:i4>
      </vt:variant>
      <vt:variant>
        <vt:lpwstr>https://www.eeas.europa.eu/eeas/eu-election-observation-missions-2_en</vt:lpwstr>
      </vt:variant>
      <vt:variant>
        <vt:lpwstr/>
      </vt:variant>
      <vt:variant>
        <vt:i4>131079</vt:i4>
      </vt:variant>
      <vt:variant>
        <vt:i4>39</vt:i4>
      </vt:variant>
      <vt:variant>
        <vt:i4>0</vt:i4>
      </vt:variant>
      <vt:variant>
        <vt:i4>5</vt:i4>
      </vt:variant>
      <vt:variant>
        <vt:lpwstr>https://youthdemocracycohort.com/</vt:lpwstr>
      </vt:variant>
      <vt:variant>
        <vt:lpwstr/>
      </vt:variant>
      <vt:variant>
        <vt:i4>7864376</vt:i4>
      </vt:variant>
      <vt:variant>
        <vt:i4>36</vt:i4>
      </vt:variant>
      <vt:variant>
        <vt:i4>0</vt:i4>
      </vt:variant>
      <vt:variant>
        <vt:i4>5</vt:i4>
      </vt:variant>
      <vt:variant>
        <vt:lpwstr>https://www.osce.org/odihr/support-to-electoral-reforms-in-western-balkans</vt:lpwstr>
      </vt:variant>
      <vt:variant>
        <vt:lpwstr/>
      </vt:variant>
      <vt:variant>
        <vt:i4>3342460</vt:i4>
      </vt:variant>
      <vt:variant>
        <vt:i4>33</vt:i4>
      </vt:variant>
      <vt:variant>
        <vt:i4>0</vt:i4>
      </vt:variant>
      <vt:variant>
        <vt:i4>5</vt:i4>
      </vt:variant>
      <vt:variant>
        <vt:lpwstr>https://www.state.gov/summit-for-democracy-2023/</vt:lpwstr>
      </vt:variant>
      <vt:variant>
        <vt:lpwstr>March29</vt:lpwstr>
      </vt:variant>
      <vt:variant>
        <vt:i4>3407937</vt:i4>
      </vt:variant>
      <vt:variant>
        <vt:i4>30</vt:i4>
      </vt:variant>
      <vt:variant>
        <vt:i4>0</vt:i4>
      </vt:variant>
      <vt:variant>
        <vt:i4>5</vt:i4>
      </vt:variant>
      <vt:variant>
        <vt:lpwstr>https://international-partnerships.ec.europa.eu/news-and-events/news/summit-democracy-eu-launches-milestone-programmes-empower-youth-key-actors-democracy-2023-03-31_en</vt:lpwstr>
      </vt:variant>
      <vt:variant>
        <vt:lpwstr/>
      </vt:variant>
      <vt:variant>
        <vt:i4>2097159</vt:i4>
      </vt:variant>
      <vt:variant>
        <vt:i4>27</vt:i4>
      </vt:variant>
      <vt:variant>
        <vt:i4>0</vt:i4>
      </vt:variant>
      <vt:variant>
        <vt:i4>5</vt:i4>
      </vt:variant>
      <vt:variant>
        <vt:lpwstr>https://international-partnerships.ec.europa.eu/news-and-events/news/promoting-inclusive-democracy-digital-age-eu-and-denmark-launch-digital-democracy-initiative-2023-03-29_en</vt:lpwstr>
      </vt:variant>
      <vt:variant>
        <vt:lpwstr>:~:text=Launched%20together%20with%20Denmark%20in%20a%20Team%20Europe,Action%20Plan%20on%20Human%20Rights%20and%20Democracy%202020%E2%80%932024.%E2%80%9D</vt:lpwstr>
      </vt:variant>
      <vt:variant>
        <vt:i4>7864430</vt:i4>
      </vt:variant>
      <vt:variant>
        <vt:i4>24</vt:i4>
      </vt:variant>
      <vt:variant>
        <vt:i4>0</vt:i4>
      </vt:variant>
      <vt:variant>
        <vt:i4>5</vt:i4>
      </vt:variant>
      <vt:variant>
        <vt:lpwstr>https://europa.eu/capacity4dev/tei-jp-tracker/tei/team-europe-democracy-ted</vt:lpwstr>
      </vt:variant>
      <vt:variant>
        <vt:lpwstr/>
      </vt:variant>
      <vt:variant>
        <vt:i4>5308459</vt:i4>
      </vt:variant>
      <vt:variant>
        <vt:i4>21</vt:i4>
      </vt:variant>
      <vt:variant>
        <vt:i4>0</vt:i4>
      </vt:variant>
      <vt:variant>
        <vt:i4>5</vt:i4>
      </vt:variant>
      <vt:variant>
        <vt:lpwstr>https://commission.europa.eu/strategy-and-policy/policies/justice-and-fundamental-rights/eu-citizenship/democracy-and-electoral-rights_en</vt:lpwstr>
      </vt:variant>
      <vt:variant>
        <vt:lpwstr>european-cooperation-network-on-elections</vt:lpwstr>
      </vt:variant>
      <vt:variant>
        <vt:i4>1441831</vt:i4>
      </vt:variant>
      <vt:variant>
        <vt:i4>18</vt:i4>
      </vt:variant>
      <vt:variant>
        <vt:i4>0</vt:i4>
      </vt:variant>
      <vt:variant>
        <vt:i4>5</vt:i4>
      </vt:variant>
      <vt:variant>
        <vt:lpwstr>https://commission.europa.eu/document/6bc9ce23-545a-4dd6-a69c-c8de38727b71_en</vt:lpwstr>
      </vt:variant>
      <vt:variant>
        <vt:lpwstr/>
      </vt:variant>
      <vt:variant>
        <vt:i4>7995422</vt:i4>
      </vt:variant>
      <vt:variant>
        <vt:i4>15</vt:i4>
      </vt:variant>
      <vt:variant>
        <vt:i4>0</vt:i4>
      </vt:variant>
      <vt:variant>
        <vt:i4>5</vt:i4>
      </vt:variant>
      <vt:variant>
        <vt:lpwstr>https://commission.europa.eu/strategy-and-policy/policies/justice-and-fundamental-rights/eu-citizenship/democracy-and-electoral-rights/european-cooperation-network-elections_en</vt:lpwstr>
      </vt:variant>
      <vt:variant>
        <vt:lpwstr/>
      </vt:variant>
      <vt:variant>
        <vt:i4>7077985</vt:i4>
      </vt:variant>
      <vt:variant>
        <vt:i4>12</vt:i4>
      </vt:variant>
      <vt:variant>
        <vt:i4>0</vt:i4>
      </vt:variant>
      <vt:variant>
        <vt:i4>5</vt:i4>
      </vt:variant>
      <vt:variant>
        <vt:lpwstr>https://www.europarl.europa.eu/news/en/press-room/20190404IPR35103/eu-member-states-test-cybersecurity-preparedness-for-free-and-fair-eu-elections</vt:lpwstr>
      </vt:variant>
      <vt:variant>
        <vt:lpwstr/>
      </vt:variant>
      <vt:variant>
        <vt:i4>7995422</vt:i4>
      </vt:variant>
      <vt:variant>
        <vt:i4>9</vt:i4>
      </vt:variant>
      <vt:variant>
        <vt:i4>0</vt:i4>
      </vt:variant>
      <vt:variant>
        <vt:i4>5</vt:i4>
      </vt:variant>
      <vt:variant>
        <vt:lpwstr>https://commission.europa.eu/strategy-and-policy/policies/justice-and-fundamental-rights/eu-citizenship/democracy-and-electoral-rights/european-cooperation-network-elections_en</vt:lpwstr>
      </vt:variant>
      <vt:variant>
        <vt:lpwstr/>
      </vt:variant>
      <vt:variant>
        <vt:i4>3080235</vt:i4>
      </vt:variant>
      <vt:variant>
        <vt:i4>6</vt:i4>
      </vt:variant>
      <vt:variant>
        <vt:i4>0</vt:i4>
      </vt:variant>
      <vt:variant>
        <vt:i4>5</vt:i4>
      </vt:variant>
      <vt:variant>
        <vt:lpwstr>https://oeil.secure.europarl.europa.eu/oeil/popups/ficheprocedure.do?reference=2021/0375(COD)&amp;l=en</vt:lpwstr>
      </vt:variant>
      <vt:variant>
        <vt:lpwstr/>
      </vt:variant>
      <vt:variant>
        <vt:i4>196675</vt:i4>
      </vt:variant>
      <vt:variant>
        <vt:i4>3</vt:i4>
      </vt:variant>
      <vt:variant>
        <vt:i4>0</vt:i4>
      </vt:variant>
      <vt:variant>
        <vt:i4>5</vt:i4>
      </vt:variant>
      <vt:variant>
        <vt:lpwstr>https://publications.jrc.ec.europa.eu/repository/handle/JRC122023</vt:lpwstr>
      </vt:variant>
      <vt:variant>
        <vt:lpwstr/>
      </vt:variant>
      <vt:variant>
        <vt:i4>1835135</vt:i4>
      </vt:variant>
      <vt:variant>
        <vt:i4>0</vt:i4>
      </vt:variant>
      <vt:variant>
        <vt:i4>0</vt:i4>
      </vt:variant>
      <vt:variant>
        <vt:i4>5</vt:i4>
      </vt:variant>
      <vt:variant>
        <vt:lpwstr>https://commission.europa.eu/document/aef260df-a85e-482c-8d5b-323b636a0179_en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2023-12-09T15:49:00Z</dcterms:created>
  <dcterms:modified xsi:type="dcterms:W3CDTF">2024-01-16T10:59:00Z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2023-12-08T15:25:23Z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09b92a8e-1af2-4d1e-bbf0-199de3cb6275</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Last edited using">
    <vt:lpwstr>LW 9.0, Build 20230317</vt:lpwstr>
  </property>
  <property fmtid="{D5CDD505-2E9C-101B-9397-08002B2CF9AE}" pid="11" name="First annex">
    <vt:lpwstr>1</vt:lpwstr>
  </property>
  <property fmtid="{D5CDD505-2E9C-101B-9397-08002B2CF9AE}" pid="12" name="Last annex">
    <vt:lpwstr>1</vt:lpwstr>
  </property>
  <property fmtid="{D5CDD505-2E9C-101B-9397-08002B2CF9AE}" pid="13" name="Unique annex">
    <vt:lpwstr>1</vt:lpwstr>
  </property>
  <property fmtid="{D5CDD505-2E9C-101B-9397-08002B2CF9AE}" pid="14" name="Part">
    <vt:lpwstr>1</vt:lpwstr>
  </property>
  <property fmtid="{D5CDD505-2E9C-101B-9397-08002B2CF9AE}" pid="15" name="Total parts">
    <vt:lpwstr>1</vt:lpwstr>
  </property>
  <property fmtid="{D5CDD505-2E9C-101B-9397-08002B2CF9AE}" pid="16" name="DocStatus">
    <vt:lpwstr>Green</vt:lpwstr>
  </property>
  <property fmtid="{D5CDD505-2E9C-101B-9397-08002B2CF9AE}" pid="17" name="CPTemplateID">
    <vt:lpwstr>CP-039</vt:lpwstr>
  </property>
</Properties>
</file>