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B4774" w14:textId="65D3D3C7" w:rsidR="0043039B" w:rsidRPr="00FF009C" w:rsidRDefault="004E3534" w:rsidP="004E3534">
      <w:pPr>
        <w:pStyle w:val="Pagedecouverture"/>
        <w:rPr>
          <w:noProof/>
        </w:rPr>
      </w:pPr>
      <w:r>
        <w:rPr>
          <w:noProof/>
        </w:rPr>
        <w:pict w14:anchorId="28A31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alt="B0A5E8C1-E173-4E60-B672-7C714C9B6FB9" style="width:455.25pt;height:396.75pt">
            <v:imagedata r:id="rId8" o:title=""/>
          </v:shape>
        </w:pict>
      </w:r>
    </w:p>
    <w:p w14:paraId="6F511F8E" w14:textId="77777777" w:rsidR="0043039B" w:rsidRPr="00FF009C" w:rsidRDefault="0043039B" w:rsidP="0043039B">
      <w:pPr>
        <w:rPr>
          <w:noProof/>
        </w:rPr>
        <w:sectPr w:rsidR="0043039B" w:rsidRPr="00FF009C" w:rsidSect="004E3534">
          <w:footerReference w:type="default" r:id="rId9"/>
          <w:pgSz w:w="11907" w:h="16839"/>
          <w:pgMar w:top="1134" w:right="1417" w:bottom="1134" w:left="1417" w:header="709" w:footer="709" w:gutter="0"/>
          <w:pgNumType w:start="0"/>
          <w:cols w:space="720"/>
          <w:docGrid w:linePitch="360"/>
        </w:sectPr>
      </w:pPr>
    </w:p>
    <w:p w14:paraId="16347270" w14:textId="77777777" w:rsidR="0043039B" w:rsidRPr="00FF009C" w:rsidRDefault="0043039B" w:rsidP="0043039B">
      <w:pPr>
        <w:pStyle w:val="Exposdesmotifstitre"/>
        <w:widowControl w:val="0"/>
        <w:autoSpaceDE w:val="0"/>
        <w:autoSpaceDN w:val="0"/>
        <w:adjustRightInd w:val="0"/>
        <w:spacing w:before="230" w:after="0" w:line="269" w:lineRule="exact"/>
        <w:rPr>
          <w:rFonts w:eastAsia="Times New Roman"/>
          <w:noProof/>
        </w:rPr>
      </w:pPr>
      <w:bookmarkStart w:id="0" w:name="_GoBack"/>
      <w:bookmarkEnd w:id="0"/>
      <w:r w:rsidRPr="00FF009C">
        <w:rPr>
          <w:noProof/>
        </w:rPr>
        <w:lastRenderedPageBreak/>
        <w:t xml:space="preserve">UZASADNIENIE </w:t>
      </w:r>
    </w:p>
    <w:p w14:paraId="7517033C" w14:textId="77777777" w:rsidR="0043039B" w:rsidRPr="00FF009C" w:rsidRDefault="0043039B" w:rsidP="0043039B">
      <w:pPr>
        <w:rPr>
          <w:noProof/>
        </w:rPr>
      </w:pPr>
    </w:p>
    <w:p w14:paraId="0EE3F8C1" w14:textId="77777777" w:rsidR="0043039B" w:rsidRPr="00FF009C" w:rsidRDefault="0043039B" w:rsidP="00977077">
      <w:pPr>
        <w:widowControl w:val="0"/>
        <w:autoSpaceDE w:val="0"/>
        <w:autoSpaceDN w:val="0"/>
        <w:adjustRightInd w:val="0"/>
        <w:spacing w:before="230" w:after="240" w:line="269" w:lineRule="exact"/>
        <w:rPr>
          <w:rFonts w:eastAsia="Times New Roman"/>
          <w:b/>
          <w:bCs/>
          <w:noProof/>
        </w:rPr>
      </w:pPr>
      <w:r w:rsidRPr="00FF009C">
        <w:rPr>
          <w:b/>
          <w:noProof/>
        </w:rPr>
        <w:t>1.</w:t>
      </w:r>
      <w:r w:rsidRPr="00FF009C">
        <w:rPr>
          <w:noProof/>
        </w:rPr>
        <w:tab/>
      </w:r>
      <w:r w:rsidRPr="00FF009C">
        <w:rPr>
          <w:b/>
          <w:noProof/>
        </w:rPr>
        <w:t>KONTEKST WNIOSKU</w:t>
      </w:r>
    </w:p>
    <w:p w14:paraId="5ACAC394" w14:textId="3FD387E5" w:rsidR="0043039B" w:rsidRPr="00FF009C" w:rsidRDefault="0043039B" w:rsidP="00977077">
      <w:pPr>
        <w:widowControl w:val="0"/>
        <w:autoSpaceDE w:val="0"/>
        <w:autoSpaceDN w:val="0"/>
        <w:adjustRightInd w:val="0"/>
        <w:spacing w:before="230" w:after="240" w:line="269" w:lineRule="exact"/>
        <w:rPr>
          <w:rFonts w:eastAsia="Times New Roman"/>
          <w:b/>
          <w:bCs/>
          <w:noProof/>
        </w:rPr>
      </w:pPr>
      <w:r w:rsidRPr="00FF009C">
        <w:rPr>
          <w:b/>
          <w:noProof/>
        </w:rPr>
        <w:t>•</w:t>
      </w:r>
      <w:r w:rsidRPr="00FF009C">
        <w:rPr>
          <w:noProof/>
        </w:rPr>
        <w:tab/>
      </w:r>
      <w:r w:rsidRPr="00FF009C">
        <w:rPr>
          <w:b/>
          <w:noProof/>
        </w:rPr>
        <w:t>Przyczyny</w:t>
      </w:r>
      <w:r w:rsidR="00FF009C" w:rsidRPr="00FF009C">
        <w:rPr>
          <w:b/>
          <w:noProof/>
        </w:rPr>
        <w:t xml:space="preserve"> i</w:t>
      </w:r>
      <w:r w:rsidR="00FF009C">
        <w:rPr>
          <w:b/>
          <w:noProof/>
        </w:rPr>
        <w:t> </w:t>
      </w:r>
      <w:r w:rsidR="00FF009C" w:rsidRPr="00FF009C">
        <w:rPr>
          <w:b/>
          <w:noProof/>
        </w:rPr>
        <w:t>cel</w:t>
      </w:r>
      <w:r w:rsidRPr="00FF009C">
        <w:rPr>
          <w:b/>
          <w:noProof/>
        </w:rPr>
        <w:t>e wniosku</w:t>
      </w:r>
    </w:p>
    <w:p w14:paraId="2FBDD8D6" w14:textId="2C94F89D" w:rsidR="0043039B" w:rsidRPr="00FF009C" w:rsidRDefault="0043039B" w:rsidP="00977077">
      <w:pPr>
        <w:widowControl w:val="0"/>
        <w:spacing w:before="0"/>
        <w:rPr>
          <w:rFonts w:eastAsia="Times New Roman"/>
          <w:noProof/>
        </w:rPr>
      </w:pPr>
      <w:r w:rsidRPr="00FF009C">
        <w:rPr>
          <w:noProof/>
        </w:rPr>
        <w:t>Przemyt migrantów jest działalnością przestępczą charakteryzującą się brakiem szacunku dla życia</w:t>
      </w:r>
      <w:r w:rsidR="00FF009C" w:rsidRPr="00FF009C">
        <w:rPr>
          <w:noProof/>
        </w:rPr>
        <w:t xml:space="preserve"> i</w:t>
      </w:r>
      <w:r w:rsidR="00FF009C">
        <w:rPr>
          <w:noProof/>
        </w:rPr>
        <w:t> </w:t>
      </w:r>
      <w:r w:rsidR="00FF009C" w:rsidRPr="00FF009C">
        <w:rPr>
          <w:noProof/>
        </w:rPr>
        <w:t>god</w:t>
      </w:r>
      <w:r w:rsidRPr="00FF009C">
        <w:rPr>
          <w:noProof/>
        </w:rPr>
        <w:t>ności ludzkiej</w:t>
      </w:r>
      <w:r w:rsidR="00FF009C" w:rsidRPr="00FF009C">
        <w:rPr>
          <w:noProof/>
        </w:rPr>
        <w:t xml:space="preserve"> w</w:t>
      </w:r>
      <w:r w:rsidR="00FF009C">
        <w:rPr>
          <w:noProof/>
        </w:rPr>
        <w:t> </w:t>
      </w:r>
      <w:r w:rsidR="00FF009C" w:rsidRPr="00FF009C">
        <w:rPr>
          <w:noProof/>
        </w:rPr>
        <w:t>pog</w:t>
      </w:r>
      <w:r w:rsidRPr="00FF009C">
        <w:rPr>
          <w:noProof/>
        </w:rPr>
        <w:t>oni za zyskiem, naruszaniem praw podstawowych oraz utrudnianiem osiągnięcia celów UE</w:t>
      </w:r>
      <w:r w:rsidR="00FF009C" w:rsidRPr="00FF009C">
        <w:rPr>
          <w:noProof/>
        </w:rPr>
        <w:t xml:space="preserve"> w</w:t>
      </w:r>
      <w:r w:rsidR="00FF009C">
        <w:rPr>
          <w:noProof/>
        </w:rPr>
        <w:t> </w:t>
      </w:r>
      <w:r w:rsidR="00FF009C" w:rsidRPr="00FF009C">
        <w:rPr>
          <w:noProof/>
        </w:rPr>
        <w:t>zak</w:t>
      </w:r>
      <w:r w:rsidRPr="00FF009C">
        <w:rPr>
          <w:noProof/>
        </w:rPr>
        <w:t xml:space="preserve">resie zarządzania migracjami. </w:t>
      </w:r>
    </w:p>
    <w:p w14:paraId="0A8D340E" w14:textId="01EBE181" w:rsidR="000B1035" w:rsidRPr="00FF009C" w:rsidRDefault="000B1035" w:rsidP="0069572A">
      <w:pPr>
        <w:widowControl w:val="0"/>
        <w:spacing w:before="0"/>
        <w:rPr>
          <w:rFonts w:eastAsia="Times New Roman"/>
          <w:noProof/>
        </w:rPr>
      </w:pPr>
      <w:r w:rsidRPr="00FF009C">
        <w:rPr>
          <w:noProof/>
        </w:rPr>
        <w:t>Zwalczanie przemytu migrantów</w:t>
      </w:r>
      <w:r w:rsidR="00FF009C" w:rsidRPr="00FF009C">
        <w:rPr>
          <w:noProof/>
        </w:rPr>
        <w:t xml:space="preserve"> i</w:t>
      </w:r>
      <w:r w:rsidR="00FF009C">
        <w:rPr>
          <w:noProof/>
        </w:rPr>
        <w:t> </w:t>
      </w:r>
      <w:r w:rsidR="00FF009C" w:rsidRPr="00FF009C">
        <w:rPr>
          <w:noProof/>
        </w:rPr>
        <w:t>han</w:t>
      </w:r>
      <w:r w:rsidRPr="00FF009C">
        <w:rPr>
          <w:noProof/>
        </w:rPr>
        <w:t>dlu ludźmi oraz zapobieganie tym procederom jest jednym</w:t>
      </w:r>
      <w:r w:rsidR="00FF009C" w:rsidRPr="00FF009C">
        <w:rPr>
          <w:noProof/>
        </w:rPr>
        <w:t xml:space="preserve"> z</w:t>
      </w:r>
      <w:r w:rsidR="00FF009C">
        <w:rPr>
          <w:noProof/>
        </w:rPr>
        <w:t> </w:t>
      </w:r>
      <w:r w:rsidR="00FF009C" w:rsidRPr="00FF009C">
        <w:rPr>
          <w:noProof/>
        </w:rPr>
        <w:t>pri</w:t>
      </w:r>
      <w:r w:rsidRPr="00FF009C">
        <w:rPr>
          <w:noProof/>
        </w:rPr>
        <w:t>orytetów Unii Europejskiej i ma kluczowe znaczenie</w:t>
      </w:r>
      <w:r w:rsidR="00FF009C" w:rsidRPr="00FF009C">
        <w:rPr>
          <w:noProof/>
        </w:rPr>
        <w:t xml:space="preserve"> w</w:t>
      </w:r>
      <w:r w:rsidR="00FF009C">
        <w:rPr>
          <w:noProof/>
        </w:rPr>
        <w:t> </w:t>
      </w:r>
      <w:r w:rsidR="00FF009C" w:rsidRPr="00FF009C">
        <w:rPr>
          <w:noProof/>
        </w:rPr>
        <w:t>kon</w:t>
      </w:r>
      <w:r w:rsidRPr="00FF009C">
        <w:rPr>
          <w:noProof/>
        </w:rPr>
        <w:t>tekście kompleksowego rozwiązania problemu migracji nieuregulowanej. Chcąc za wszelką cenę zmaksymalizować swoje zyski, siatki przestępcze wykorzystują desperację ludzi</w:t>
      </w:r>
      <w:r w:rsidR="00FF009C" w:rsidRPr="00FF009C">
        <w:rPr>
          <w:noProof/>
        </w:rPr>
        <w:t xml:space="preserve"> i</w:t>
      </w:r>
      <w:r w:rsidR="00FF009C">
        <w:rPr>
          <w:noProof/>
        </w:rPr>
        <w:t> </w:t>
      </w:r>
      <w:r w:rsidR="00FF009C" w:rsidRPr="00FF009C">
        <w:rPr>
          <w:noProof/>
        </w:rPr>
        <w:t>uła</w:t>
      </w:r>
      <w:r w:rsidRPr="00FF009C">
        <w:rPr>
          <w:noProof/>
        </w:rPr>
        <w:t>twiają migrację nieuregulowaną szlakami lądowymi, morskimi</w:t>
      </w:r>
      <w:r w:rsidR="00FF009C" w:rsidRPr="00FF009C">
        <w:rPr>
          <w:noProof/>
        </w:rPr>
        <w:t xml:space="preserve"> i</w:t>
      </w:r>
      <w:r w:rsidR="00FF009C">
        <w:rPr>
          <w:noProof/>
        </w:rPr>
        <w:t> </w:t>
      </w:r>
      <w:r w:rsidR="00FF009C" w:rsidRPr="00FF009C">
        <w:rPr>
          <w:noProof/>
        </w:rPr>
        <w:t>pow</w:t>
      </w:r>
      <w:r w:rsidRPr="00FF009C">
        <w:rPr>
          <w:noProof/>
        </w:rPr>
        <w:t xml:space="preserve">ietrznymi, narażając przy tym życie migrantów. </w:t>
      </w:r>
    </w:p>
    <w:p w14:paraId="2EA703B9" w14:textId="342E5AF8" w:rsidR="0069572A" w:rsidRPr="00FF009C" w:rsidRDefault="0069572A" w:rsidP="0069572A">
      <w:pPr>
        <w:widowControl w:val="0"/>
        <w:spacing w:before="0"/>
        <w:rPr>
          <w:rFonts w:eastAsia="Times New Roman"/>
          <w:noProof/>
        </w:rPr>
      </w:pPr>
      <w:r w:rsidRPr="00FF009C">
        <w:rPr>
          <w:noProof/>
        </w:rPr>
        <w:t>W swoim orędziu</w:t>
      </w:r>
      <w:r w:rsidR="00FF009C" w:rsidRPr="00FF009C">
        <w:rPr>
          <w:noProof/>
        </w:rPr>
        <w:t xml:space="preserve"> o</w:t>
      </w:r>
      <w:r w:rsidR="00FF009C">
        <w:rPr>
          <w:noProof/>
        </w:rPr>
        <w:t> </w:t>
      </w:r>
      <w:r w:rsidR="00FF009C" w:rsidRPr="00FF009C">
        <w:rPr>
          <w:noProof/>
        </w:rPr>
        <w:t>sta</w:t>
      </w:r>
      <w:r w:rsidRPr="00FF009C">
        <w:rPr>
          <w:noProof/>
        </w:rPr>
        <w:t>nie Unii</w:t>
      </w:r>
      <w:r w:rsidR="00FF009C" w:rsidRPr="00FF009C">
        <w:rPr>
          <w:noProof/>
        </w:rPr>
        <w:t xml:space="preserve"> z</w:t>
      </w:r>
      <w:r w:rsidR="00FF009C">
        <w:rPr>
          <w:noProof/>
        </w:rPr>
        <w:t> </w:t>
      </w:r>
      <w:r w:rsidR="00FF009C" w:rsidRPr="00FF009C">
        <w:rPr>
          <w:noProof/>
        </w:rPr>
        <w:t>dni</w:t>
      </w:r>
      <w:r w:rsidRPr="00FF009C">
        <w:rPr>
          <w:noProof/>
        </w:rPr>
        <w:t>a 13 września 2023</w:t>
      </w:r>
      <w:r w:rsidR="00FF009C" w:rsidRPr="00FF009C">
        <w:rPr>
          <w:noProof/>
        </w:rPr>
        <w:t> </w:t>
      </w:r>
      <w:r w:rsidRPr="00FF009C">
        <w:rPr>
          <w:noProof/>
        </w:rPr>
        <w:t>r. przewodnicząca Ursula von der Leyen wezwała do wzmocnienia wszystkich narzędzi, którymi dysponuje Unia, aby skutecznie przeciwdziałać przemytowi migrantów, przez aktualizację obecnych, czasem ponad 20-letnich ram legislacyjnych, wzmocnienia zarządzania</w:t>
      </w:r>
      <w:r w:rsidR="00FF009C" w:rsidRPr="00FF009C">
        <w:rPr>
          <w:noProof/>
        </w:rPr>
        <w:t xml:space="preserve"> w</w:t>
      </w:r>
      <w:r w:rsidR="00FF009C">
        <w:rPr>
          <w:noProof/>
        </w:rPr>
        <w:t> </w:t>
      </w:r>
      <w:r w:rsidR="00FF009C" w:rsidRPr="00FF009C">
        <w:rPr>
          <w:noProof/>
        </w:rPr>
        <w:t>kon</w:t>
      </w:r>
      <w:r w:rsidRPr="00FF009C">
        <w:rPr>
          <w:noProof/>
        </w:rPr>
        <w:t>tekście przemytu oraz roli agencji UE,</w:t>
      </w:r>
      <w:r w:rsidR="00FF009C" w:rsidRPr="00FF009C">
        <w:rPr>
          <w:noProof/>
        </w:rPr>
        <w:t xml:space="preserve"> w</w:t>
      </w:r>
      <w:r w:rsidR="00FF009C">
        <w:rPr>
          <w:noProof/>
        </w:rPr>
        <w:t> </w:t>
      </w:r>
      <w:r w:rsidR="00FF009C" w:rsidRPr="00FF009C">
        <w:rPr>
          <w:noProof/>
        </w:rPr>
        <w:t>szc</w:t>
      </w:r>
      <w:r w:rsidRPr="00FF009C">
        <w:rPr>
          <w:noProof/>
        </w:rPr>
        <w:t>zególności Europolu, oraz zacieśnienie współpracy między agencjami wymiaru sprawiedliwości</w:t>
      </w:r>
      <w:r w:rsidR="00FF009C" w:rsidRPr="00FF009C">
        <w:rPr>
          <w:noProof/>
        </w:rPr>
        <w:t xml:space="preserve"> i</w:t>
      </w:r>
      <w:r w:rsidR="00FF009C">
        <w:rPr>
          <w:noProof/>
        </w:rPr>
        <w:t> </w:t>
      </w:r>
      <w:r w:rsidR="00FF009C" w:rsidRPr="00FF009C">
        <w:rPr>
          <w:noProof/>
        </w:rPr>
        <w:t>spr</w:t>
      </w:r>
      <w:r w:rsidRPr="00FF009C">
        <w:rPr>
          <w:noProof/>
        </w:rPr>
        <w:t>aw wewnętrznych, państwami członkowskimi,</w:t>
      </w:r>
      <w:r w:rsidR="00FF009C" w:rsidRPr="00FF009C">
        <w:rPr>
          <w:noProof/>
        </w:rPr>
        <w:t xml:space="preserve"> a</w:t>
      </w:r>
      <w:r w:rsidR="00FF009C">
        <w:rPr>
          <w:noProof/>
        </w:rPr>
        <w:t> </w:t>
      </w:r>
      <w:r w:rsidR="00FF009C" w:rsidRPr="00FF009C">
        <w:rPr>
          <w:noProof/>
        </w:rPr>
        <w:t>tak</w:t>
      </w:r>
      <w:r w:rsidRPr="00FF009C">
        <w:rPr>
          <w:noProof/>
        </w:rPr>
        <w:t>że</w:t>
      </w:r>
      <w:r w:rsidR="00FF009C" w:rsidRPr="00FF009C">
        <w:rPr>
          <w:noProof/>
        </w:rPr>
        <w:t xml:space="preserve"> z</w:t>
      </w:r>
      <w:r w:rsidR="00FF009C">
        <w:rPr>
          <w:noProof/>
        </w:rPr>
        <w:t> </w:t>
      </w:r>
      <w:r w:rsidR="00FF009C" w:rsidRPr="00FF009C">
        <w:rPr>
          <w:noProof/>
        </w:rPr>
        <w:t>kra</w:t>
      </w:r>
      <w:r w:rsidRPr="00FF009C">
        <w:rPr>
          <w:noProof/>
        </w:rPr>
        <w:t>jami partnerskimi</w:t>
      </w:r>
      <w:r w:rsidR="00FF009C" w:rsidRPr="00FF009C">
        <w:rPr>
          <w:noProof/>
        </w:rPr>
        <w:t xml:space="preserve"> w</w:t>
      </w:r>
      <w:r w:rsidR="00FF009C">
        <w:rPr>
          <w:noProof/>
        </w:rPr>
        <w:t> </w:t>
      </w:r>
      <w:r w:rsidR="00FF009C" w:rsidRPr="00FF009C">
        <w:rPr>
          <w:noProof/>
        </w:rPr>
        <w:t>cel</w:t>
      </w:r>
      <w:r w:rsidRPr="00FF009C">
        <w:rPr>
          <w:noProof/>
        </w:rPr>
        <w:t>u rozwiązania tego problemu na poziomie globalnym. Przewodnicząca podkreśliła również potrzebę współpracy</w:t>
      </w:r>
      <w:r w:rsidR="00FF009C" w:rsidRPr="00FF009C">
        <w:rPr>
          <w:noProof/>
        </w:rPr>
        <w:t xml:space="preserve"> z</w:t>
      </w:r>
      <w:r w:rsidR="00FF009C">
        <w:rPr>
          <w:noProof/>
        </w:rPr>
        <w:t> </w:t>
      </w:r>
      <w:r w:rsidR="00FF009C" w:rsidRPr="00FF009C">
        <w:rPr>
          <w:noProof/>
        </w:rPr>
        <w:t>par</w:t>
      </w:r>
      <w:r w:rsidRPr="00FF009C">
        <w:rPr>
          <w:noProof/>
        </w:rPr>
        <w:t>tnerami</w:t>
      </w:r>
      <w:r w:rsidR="00FF009C" w:rsidRPr="00FF009C">
        <w:rPr>
          <w:noProof/>
        </w:rPr>
        <w:t xml:space="preserve"> w</w:t>
      </w:r>
      <w:r w:rsidR="00FF009C">
        <w:rPr>
          <w:noProof/>
        </w:rPr>
        <w:t> </w:t>
      </w:r>
      <w:r w:rsidR="00FF009C" w:rsidRPr="00FF009C">
        <w:rPr>
          <w:noProof/>
        </w:rPr>
        <w:t>cel</w:t>
      </w:r>
      <w:r w:rsidRPr="00FF009C">
        <w:rPr>
          <w:noProof/>
        </w:rPr>
        <w:t xml:space="preserve">u sprostania temu globalnemu wyzwaniu, dlatego Komisja organizuje międzynarodową konferencję, aby utworzyć światowy sojusz obejmujący wezwanie do działania na rzecz zwalczania przemytu ludzi. </w:t>
      </w:r>
    </w:p>
    <w:p w14:paraId="21345BF1" w14:textId="61B99A45" w:rsidR="26767211" w:rsidRPr="00FF009C" w:rsidRDefault="0043039B" w:rsidP="26767211">
      <w:pPr>
        <w:widowControl w:val="0"/>
        <w:spacing w:before="0"/>
        <w:rPr>
          <w:rStyle w:val="FootnoteReference0"/>
          <w:rFonts w:eastAsia="Times New Roman"/>
          <w:noProof/>
        </w:rPr>
      </w:pPr>
      <w:r w:rsidRPr="00FF009C">
        <w:rPr>
          <w:noProof/>
        </w:rPr>
        <w:t>Skala przemytu migrantów do UE</w:t>
      </w:r>
      <w:r w:rsidR="00FF009C" w:rsidRPr="00FF009C">
        <w:rPr>
          <w:noProof/>
        </w:rPr>
        <w:t xml:space="preserve"> i</w:t>
      </w:r>
      <w:r w:rsidR="00FF009C">
        <w:rPr>
          <w:noProof/>
        </w:rPr>
        <w:t> </w:t>
      </w:r>
      <w:r w:rsidR="00FF009C" w:rsidRPr="00FF009C">
        <w:rPr>
          <w:noProof/>
        </w:rPr>
        <w:t>wew</w:t>
      </w:r>
      <w:r w:rsidRPr="00FF009C">
        <w:rPr>
          <w:noProof/>
        </w:rPr>
        <w:t>nątrz UE jeszcze nigdy nie była tak wielka, a do coraz większego popytu przyczyniają się nowe</w:t>
      </w:r>
      <w:r w:rsidR="00FF009C" w:rsidRPr="00FF009C">
        <w:rPr>
          <w:noProof/>
        </w:rPr>
        <w:t xml:space="preserve"> i</w:t>
      </w:r>
      <w:r w:rsidR="00FF009C">
        <w:rPr>
          <w:noProof/>
        </w:rPr>
        <w:t> </w:t>
      </w:r>
      <w:r w:rsidR="00FF009C" w:rsidRPr="00FF009C">
        <w:rPr>
          <w:noProof/>
        </w:rPr>
        <w:t>cor</w:t>
      </w:r>
      <w:r w:rsidRPr="00FF009C">
        <w:rPr>
          <w:noProof/>
        </w:rPr>
        <w:t>az dotkliwsze kryzysy,</w:t>
      </w:r>
      <w:r w:rsidR="00FF009C" w:rsidRPr="00FF009C">
        <w:rPr>
          <w:noProof/>
        </w:rPr>
        <w:t xml:space="preserve"> w</w:t>
      </w:r>
      <w:r w:rsidR="00FF009C">
        <w:rPr>
          <w:noProof/>
        </w:rPr>
        <w:t> </w:t>
      </w:r>
      <w:r w:rsidR="00FF009C" w:rsidRPr="00FF009C">
        <w:rPr>
          <w:noProof/>
        </w:rPr>
        <w:t>szc</w:t>
      </w:r>
      <w:r w:rsidRPr="00FF009C">
        <w:rPr>
          <w:noProof/>
        </w:rPr>
        <w:t>zególności recesje gospodarcze, kryzysy środowiskowe spowodowane zmianą klimatu,</w:t>
      </w:r>
      <w:r w:rsidR="00FF009C" w:rsidRPr="00FF009C">
        <w:rPr>
          <w:noProof/>
        </w:rPr>
        <w:t xml:space="preserve"> a</w:t>
      </w:r>
      <w:r w:rsidR="00FF009C">
        <w:rPr>
          <w:noProof/>
        </w:rPr>
        <w:t> </w:t>
      </w:r>
      <w:r w:rsidR="00FF009C" w:rsidRPr="00FF009C">
        <w:rPr>
          <w:noProof/>
        </w:rPr>
        <w:t>tak</w:t>
      </w:r>
      <w:r w:rsidRPr="00FF009C">
        <w:rPr>
          <w:noProof/>
        </w:rPr>
        <w:t>że konflikty</w:t>
      </w:r>
      <w:r w:rsidR="00FF009C" w:rsidRPr="00FF009C">
        <w:rPr>
          <w:noProof/>
        </w:rPr>
        <w:t xml:space="preserve"> i</w:t>
      </w:r>
      <w:r w:rsidR="00FF009C">
        <w:rPr>
          <w:noProof/>
        </w:rPr>
        <w:t> </w:t>
      </w:r>
      <w:r w:rsidR="00FF009C" w:rsidRPr="00FF009C">
        <w:rPr>
          <w:noProof/>
        </w:rPr>
        <w:t>pre</w:t>
      </w:r>
      <w:r w:rsidRPr="00FF009C">
        <w:rPr>
          <w:noProof/>
        </w:rPr>
        <w:t>sja demograficzna</w:t>
      </w:r>
      <w:r w:rsidR="00FF009C" w:rsidRPr="00FF009C">
        <w:rPr>
          <w:noProof/>
        </w:rPr>
        <w:t xml:space="preserve"> w</w:t>
      </w:r>
      <w:r w:rsidR="00FF009C">
        <w:rPr>
          <w:noProof/>
        </w:rPr>
        <w:t> </w:t>
      </w:r>
      <w:r w:rsidR="00FF009C" w:rsidRPr="00FF009C">
        <w:rPr>
          <w:noProof/>
        </w:rPr>
        <w:t>wie</w:t>
      </w:r>
      <w:r w:rsidRPr="00FF009C">
        <w:rPr>
          <w:noProof/>
        </w:rPr>
        <w:t>lu państwach trzecich. Przemyt migrantów prowadzi do wzrostu liczby osób</w:t>
      </w:r>
      <w:r w:rsidR="00FF009C" w:rsidRPr="00FF009C">
        <w:rPr>
          <w:noProof/>
        </w:rPr>
        <w:t xml:space="preserve"> o</w:t>
      </w:r>
      <w:r w:rsidR="00FF009C">
        <w:rPr>
          <w:noProof/>
        </w:rPr>
        <w:t> </w:t>
      </w:r>
      <w:r w:rsidR="00FF009C" w:rsidRPr="00FF009C">
        <w:rPr>
          <w:noProof/>
        </w:rPr>
        <w:t>nie</w:t>
      </w:r>
      <w:r w:rsidRPr="00FF009C">
        <w:rPr>
          <w:noProof/>
        </w:rPr>
        <w:t>uregulowanym statusie przybywających do UE:</w:t>
      </w:r>
      <w:r w:rsidR="00FF009C" w:rsidRPr="00FF009C">
        <w:rPr>
          <w:noProof/>
        </w:rPr>
        <w:t xml:space="preserve"> w</w:t>
      </w:r>
      <w:r w:rsidR="00FF009C">
        <w:rPr>
          <w:noProof/>
        </w:rPr>
        <w:t> </w:t>
      </w:r>
      <w:r w:rsidR="00FF009C" w:rsidRPr="00FF009C">
        <w:rPr>
          <w:noProof/>
        </w:rPr>
        <w:t>2</w:t>
      </w:r>
      <w:r w:rsidRPr="00FF009C">
        <w:rPr>
          <w:noProof/>
        </w:rPr>
        <w:t>022</w:t>
      </w:r>
      <w:r w:rsidR="00FF009C" w:rsidRPr="00FF009C">
        <w:rPr>
          <w:noProof/>
        </w:rPr>
        <w:t> </w:t>
      </w:r>
      <w:r w:rsidRPr="00FF009C">
        <w:rPr>
          <w:noProof/>
        </w:rPr>
        <w:t>r. na granicach zewnętrznych UE wykryto około 331 000 przypadków nieuregulowanego wjazdu, co stanowi najwyższy poziom od</w:t>
      </w:r>
      <w:r w:rsidR="00FF009C" w:rsidRPr="00FF009C">
        <w:rPr>
          <w:noProof/>
        </w:rPr>
        <w:t> </w:t>
      </w:r>
      <w:r w:rsidRPr="00FF009C">
        <w:rPr>
          <w:noProof/>
        </w:rPr>
        <w:t>2016</w:t>
      </w:r>
      <w:r w:rsidR="00FF009C" w:rsidRPr="00FF009C">
        <w:rPr>
          <w:noProof/>
        </w:rPr>
        <w:t> </w:t>
      </w:r>
      <w:r w:rsidRPr="00FF009C">
        <w:rPr>
          <w:noProof/>
        </w:rPr>
        <w:t>r. oraz wzrost</w:t>
      </w:r>
      <w:r w:rsidR="00FF009C" w:rsidRPr="00FF009C">
        <w:rPr>
          <w:noProof/>
        </w:rPr>
        <w:t xml:space="preserve"> o</w:t>
      </w:r>
      <w:r w:rsidR="00FF009C">
        <w:rPr>
          <w:noProof/>
        </w:rPr>
        <w:t> </w:t>
      </w:r>
      <w:r w:rsidR="00FF009C" w:rsidRPr="00FF009C">
        <w:rPr>
          <w:noProof/>
        </w:rPr>
        <w:t>6</w:t>
      </w:r>
      <w:r w:rsidRPr="00FF009C">
        <w:rPr>
          <w:noProof/>
        </w:rPr>
        <w:t>6</w:t>
      </w:r>
      <w:r w:rsidR="00FF009C" w:rsidRPr="00FF009C">
        <w:rPr>
          <w:noProof/>
        </w:rPr>
        <w:t> </w:t>
      </w:r>
      <w:r w:rsidRPr="00FF009C">
        <w:rPr>
          <w:noProof/>
        </w:rPr>
        <w:t>%</w:t>
      </w:r>
      <w:r w:rsidR="00FF009C" w:rsidRPr="00FF009C">
        <w:rPr>
          <w:noProof/>
        </w:rPr>
        <w:t xml:space="preserve"> w</w:t>
      </w:r>
      <w:r w:rsidR="00FF009C">
        <w:rPr>
          <w:noProof/>
        </w:rPr>
        <w:t> </w:t>
      </w:r>
      <w:r w:rsidR="00FF009C" w:rsidRPr="00FF009C">
        <w:rPr>
          <w:noProof/>
        </w:rPr>
        <w:t>por</w:t>
      </w:r>
      <w:r w:rsidRPr="00FF009C">
        <w:rPr>
          <w:noProof/>
        </w:rPr>
        <w:t>ównaniu</w:t>
      </w:r>
      <w:r w:rsidR="00FF009C" w:rsidRPr="00FF009C">
        <w:rPr>
          <w:noProof/>
        </w:rPr>
        <w:t xml:space="preserve"> z</w:t>
      </w:r>
      <w:r w:rsidR="00FF009C">
        <w:rPr>
          <w:noProof/>
        </w:rPr>
        <w:t> </w:t>
      </w:r>
      <w:r w:rsidR="00FF009C" w:rsidRPr="00FF009C">
        <w:rPr>
          <w:noProof/>
        </w:rPr>
        <w:t>pop</w:t>
      </w:r>
      <w:r w:rsidRPr="00FF009C">
        <w:rPr>
          <w:noProof/>
        </w:rPr>
        <w:t>rzednim rokiem</w:t>
      </w:r>
      <w:r w:rsidR="198C35BB" w:rsidRPr="00FF009C">
        <w:rPr>
          <w:rStyle w:val="FootnoteReference0"/>
          <w:rFonts w:eastAsia="Times New Roman"/>
          <w:noProof/>
        </w:rPr>
        <w:footnoteReference w:id="2"/>
      </w:r>
      <w:r w:rsidRPr="00FF009C">
        <w:rPr>
          <w:noProof/>
        </w:rPr>
        <w:t>. W 2023</w:t>
      </w:r>
      <w:r w:rsidR="00FF009C" w:rsidRPr="00FF009C">
        <w:rPr>
          <w:noProof/>
        </w:rPr>
        <w:t> </w:t>
      </w:r>
      <w:r w:rsidRPr="00FF009C">
        <w:rPr>
          <w:noProof/>
        </w:rPr>
        <w:t>r. do końca września wykryto około 281 000 przypadków nieuregulowanego przekraczania granicy na granicach zewnętrznych UE, co stanowi wzrost</w:t>
      </w:r>
      <w:r w:rsidR="00FF009C" w:rsidRPr="00FF009C">
        <w:rPr>
          <w:noProof/>
        </w:rPr>
        <w:t xml:space="preserve"> o</w:t>
      </w:r>
      <w:r w:rsidR="00FF009C">
        <w:rPr>
          <w:noProof/>
        </w:rPr>
        <w:t> </w:t>
      </w:r>
      <w:r w:rsidR="00FF009C" w:rsidRPr="00FF009C">
        <w:rPr>
          <w:noProof/>
        </w:rPr>
        <w:t>1</w:t>
      </w:r>
      <w:r w:rsidRPr="00FF009C">
        <w:rPr>
          <w:noProof/>
        </w:rPr>
        <w:t>8</w:t>
      </w:r>
      <w:r w:rsidR="00FF009C" w:rsidRPr="00FF009C">
        <w:rPr>
          <w:noProof/>
        </w:rPr>
        <w:t> </w:t>
      </w:r>
      <w:r w:rsidRPr="00FF009C">
        <w:rPr>
          <w:noProof/>
        </w:rPr>
        <w:t>%</w:t>
      </w:r>
      <w:r w:rsidR="00FF009C" w:rsidRPr="00FF009C">
        <w:rPr>
          <w:noProof/>
        </w:rPr>
        <w:t xml:space="preserve"> w</w:t>
      </w:r>
      <w:r w:rsidR="00FF009C">
        <w:rPr>
          <w:noProof/>
        </w:rPr>
        <w:t> </w:t>
      </w:r>
      <w:r w:rsidR="00FF009C" w:rsidRPr="00FF009C">
        <w:rPr>
          <w:noProof/>
        </w:rPr>
        <w:t>por</w:t>
      </w:r>
      <w:r w:rsidRPr="00FF009C">
        <w:rPr>
          <w:noProof/>
        </w:rPr>
        <w:t>ównaniu</w:t>
      </w:r>
      <w:r w:rsidR="00FF009C" w:rsidRPr="00FF009C">
        <w:rPr>
          <w:noProof/>
        </w:rPr>
        <w:t xml:space="preserve"> z</w:t>
      </w:r>
      <w:r w:rsidR="00FF009C">
        <w:rPr>
          <w:noProof/>
        </w:rPr>
        <w:t> </w:t>
      </w:r>
      <w:r w:rsidR="00FF009C" w:rsidRPr="00FF009C">
        <w:rPr>
          <w:noProof/>
        </w:rPr>
        <w:t>tym</w:t>
      </w:r>
      <w:r w:rsidRPr="00FF009C">
        <w:rPr>
          <w:noProof/>
        </w:rPr>
        <w:t xml:space="preserve"> samym okresem</w:t>
      </w:r>
      <w:r w:rsidR="00FF009C" w:rsidRPr="00FF009C">
        <w:rPr>
          <w:noProof/>
        </w:rPr>
        <w:t xml:space="preserve"> w</w:t>
      </w:r>
      <w:r w:rsidR="00FF009C">
        <w:rPr>
          <w:noProof/>
        </w:rPr>
        <w:t> </w:t>
      </w:r>
      <w:r w:rsidR="00FF009C" w:rsidRPr="00FF009C">
        <w:rPr>
          <w:noProof/>
        </w:rPr>
        <w:t>2</w:t>
      </w:r>
      <w:r w:rsidRPr="00FF009C">
        <w:rPr>
          <w:noProof/>
        </w:rPr>
        <w:t>022</w:t>
      </w:r>
      <w:r w:rsidR="00FF009C" w:rsidRPr="00FF009C">
        <w:rPr>
          <w:noProof/>
        </w:rPr>
        <w:t> </w:t>
      </w:r>
      <w:r w:rsidRPr="00FF009C">
        <w:rPr>
          <w:noProof/>
        </w:rPr>
        <w:t>r. Zbiega się to ze wzrostem działalności przemytniczej,</w:t>
      </w:r>
      <w:r w:rsidR="00FF009C" w:rsidRPr="00FF009C">
        <w:rPr>
          <w:noProof/>
        </w:rPr>
        <w:t xml:space="preserve"> o</w:t>
      </w:r>
      <w:r w:rsidR="00FF009C">
        <w:rPr>
          <w:noProof/>
        </w:rPr>
        <w:t> </w:t>
      </w:r>
      <w:r w:rsidR="00FF009C" w:rsidRPr="00FF009C">
        <w:rPr>
          <w:noProof/>
        </w:rPr>
        <w:t>któ</w:t>
      </w:r>
      <w:r w:rsidRPr="00FF009C">
        <w:rPr>
          <w:noProof/>
        </w:rPr>
        <w:t>rym świadczą nowe rekordowe dane –</w:t>
      </w:r>
      <w:r w:rsidR="00FF009C" w:rsidRPr="00FF009C">
        <w:rPr>
          <w:noProof/>
        </w:rPr>
        <w:t xml:space="preserve"> w</w:t>
      </w:r>
      <w:r w:rsidR="00FF009C">
        <w:rPr>
          <w:noProof/>
        </w:rPr>
        <w:t> </w:t>
      </w:r>
      <w:r w:rsidR="00FF009C" w:rsidRPr="00FF009C">
        <w:rPr>
          <w:noProof/>
        </w:rPr>
        <w:t>2</w:t>
      </w:r>
      <w:r w:rsidRPr="00FF009C">
        <w:rPr>
          <w:noProof/>
        </w:rPr>
        <w:t>022</w:t>
      </w:r>
      <w:r w:rsidR="00FF009C" w:rsidRPr="00FF009C">
        <w:rPr>
          <w:noProof/>
        </w:rPr>
        <w:t> </w:t>
      </w:r>
      <w:r w:rsidRPr="00FF009C">
        <w:rPr>
          <w:noProof/>
        </w:rPr>
        <w:t>r. do Europejskiej Agencji Straży Granicznej</w:t>
      </w:r>
      <w:r w:rsidR="00FF009C" w:rsidRPr="00FF009C">
        <w:rPr>
          <w:noProof/>
        </w:rPr>
        <w:t xml:space="preserve"> i</w:t>
      </w:r>
      <w:r w:rsidR="00FF009C">
        <w:rPr>
          <w:noProof/>
        </w:rPr>
        <w:t> </w:t>
      </w:r>
      <w:r w:rsidR="00FF009C" w:rsidRPr="00FF009C">
        <w:rPr>
          <w:noProof/>
        </w:rPr>
        <w:t>Prz</w:t>
      </w:r>
      <w:r w:rsidRPr="00FF009C">
        <w:rPr>
          <w:noProof/>
        </w:rPr>
        <w:t>ybrzeżnej (Frontex) zgłoszono ponad 15 000 przemytników migrantów</w:t>
      </w:r>
      <w:r w:rsidR="198C35BB" w:rsidRPr="00FF009C">
        <w:rPr>
          <w:rStyle w:val="FootnoteReference0"/>
          <w:rFonts w:eastAsia="Times New Roman"/>
          <w:noProof/>
        </w:rPr>
        <w:footnoteReference w:id="3"/>
      </w:r>
      <w:r w:rsidRPr="00FF009C">
        <w:rPr>
          <w:noProof/>
        </w:rPr>
        <w:t>. Biorąc pod uwagę wzrost liczby przybywających osób</w:t>
      </w:r>
      <w:r w:rsidR="00FF009C" w:rsidRPr="00FF009C">
        <w:rPr>
          <w:noProof/>
        </w:rPr>
        <w:t xml:space="preserve"> o</w:t>
      </w:r>
      <w:r w:rsidR="00FF009C">
        <w:rPr>
          <w:noProof/>
        </w:rPr>
        <w:t> </w:t>
      </w:r>
      <w:r w:rsidR="00FF009C" w:rsidRPr="00FF009C">
        <w:rPr>
          <w:noProof/>
        </w:rPr>
        <w:t>nie</w:t>
      </w:r>
      <w:r w:rsidRPr="00FF009C">
        <w:rPr>
          <w:noProof/>
        </w:rPr>
        <w:t>uregulowanym statusie oraz różne światowe kryzysy trwające</w:t>
      </w:r>
      <w:r w:rsidR="00FF009C" w:rsidRPr="00FF009C">
        <w:rPr>
          <w:noProof/>
        </w:rPr>
        <w:t xml:space="preserve"> w</w:t>
      </w:r>
      <w:r w:rsidR="00FF009C">
        <w:rPr>
          <w:noProof/>
        </w:rPr>
        <w:t> </w:t>
      </w:r>
      <w:r w:rsidR="00FF009C" w:rsidRPr="00FF009C">
        <w:rPr>
          <w:noProof/>
        </w:rPr>
        <w:t>wie</w:t>
      </w:r>
      <w:r w:rsidRPr="00FF009C">
        <w:rPr>
          <w:noProof/>
        </w:rPr>
        <w:t>lu krajach pochodzenia</w:t>
      </w:r>
      <w:r w:rsidR="00FF009C" w:rsidRPr="00FF009C">
        <w:rPr>
          <w:noProof/>
        </w:rPr>
        <w:t xml:space="preserve"> i</w:t>
      </w:r>
      <w:r w:rsidR="00FF009C">
        <w:rPr>
          <w:noProof/>
        </w:rPr>
        <w:t> </w:t>
      </w:r>
      <w:r w:rsidR="00FF009C" w:rsidRPr="00FF009C">
        <w:rPr>
          <w:noProof/>
        </w:rPr>
        <w:t>tra</w:t>
      </w:r>
      <w:r w:rsidRPr="00FF009C">
        <w:rPr>
          <w:noProof/>
        </w:rPr>
        <w:t>nzytu, można spodziewać się stale wysokiego</w:t>
      </w:r>
      <w:r w:rsidR="00FF009C" w:rsidRPr="00FF009C">
        <w:rPr>
          <w:noProof/>
        </w:rPr>
        <w:t xml:space="preserve"> i</w:t>
      </w:r>
      <w:r w:rsidR="00FF009C">
        <w:rPr>
          <w:noProof/>
        </w:rPr>
        <w:t> </w:t>
      </w:r>
      <w:r w:rsidR="00FF009C" w:rsidRPr="00FF009C">
        <w:rPr>
          <w:noProof/>
        </w:rPr>
        <w:t>pot</w:t>
      </w:r>
      <w:r w:rsidRPr="00FF009C">
        <w:rPr>
          <w:noProof/>
        </w:rPr>
        <w:t>encjalnie coraz wyższego poziomu przepływów migracyjnych do Europy</w:t>
      </w:r>
      <w:r w:rsidR="00FF009C" w:rsidRPr="00FF009C">
        <w:rPr>
          <w:noProof/>
        </w:rPr>
        <w:t xml:space="preserve"> i</w:t>
      </w:r>
      <w:r w:rsidR="00FF009C">
        <w:rPr>
          <w:noProof/>
        </w:rPr>
        <w:t> </w:t>
      </w:r>
      <w:r w:rsidR="00FF009C" w:rsidRPr="00FF009C">
        <w:rPr>
          <w:noProof/>
        </w:rPr>
        <w:t>pow</w:t>
      </w:r>
      <w:r w:rsidRPr="00FF009C">
        <w:rPr>
          <w:noProof/>
        </w:rPr>
        <w:t>iązanej przemytniczej działalności przestępczej.</w:t>
      </w:r>
    </w:p>
    <w:p w14:paraId="70B7E9FD" w14:textId="3FB75BD3" w:rsidR="0043039B" w:rsidRPr="00FF009C" w:rsidRDefault="0043039B" w:rsidP="51A5A05C">
      <w:pPr>
        <w:widowControl w:val="0"/>
        <w:spacing w:before="0"/>
        <w:rPr>
          <w:rFonts w:eastAsia="Times New Roman"/>
          <w:noProof/>
        </w:rPr>
      </w:pPr>
      <w:r w:rsidRPr="00FF009C">
        <w:rPr>
          <w:noProof/>
        </w:rPr>
        <w:t>Szacuje się, że ponad 90</w:t>
      </w:r>
      <w:r w:rsidR="00FF009C" w:rsidRPr="00FF009C">
        <w:rPr>
          <w:noProof/>
        </w:rPr>
        <w:t> </w:t>
      </w:r>
      <w:r w:rsidRPr="00FF009C">
        <w:rPr>
          <w:noProof/>
        </w:rPr>
        <w:t>% migrantów</w:t>
      </w:r>
      <w:r w:rsidR="00FF009C" w:rsidRPr="00FF009C">
        <w:rPr>
          <w:noProof/>
        </w:rPr>
        <w:t xml:space="preserve"> o</w:t>
      </w:r>
      <w:r w:rsidR="00FF009C">
        <w:rPr>
          <w:noProof/>
        </w:rPr>
        <w:t> </w:t>
      </w:r>
      <w:r w:rsidR="00FF009C" w:rsidRPr="00FF009C">
        <w:rPr>
          <w:noProof/>
        </w:rPr>
        <w:t>nie</w:t>
      </w:r>
      <w:r w:rsidRPr="00FF009C">
        <w:rPr>
          <w:noProof/>
        </w:rPr>
        <w:t>uregulowanym statusie, którzy docierają do UE, korzysta</w:t>
      </w:r>
      <w:r w:rsidR="00FF009C" w:rsidRPr="00FF009C">
        <w:rPr>
          <w:noProof/>
        </w:rPr>
        <w:t xml:space="preserve"> z</w:t>
      </w:r>
      <w:r w:rsidR="00FF009C">
        <w:rPr>
          <w:noProof/>
        </w:rPr>
        <w:t> </w:t>
      </w:r>
      <w:r w:rsidR="00FF009C" w:rsidRPr="00FF009C">
        <w:rPr>
          <w:noProof/>
        </w:rPr>
        <w:t>usł</w:t>
      </w:r>
      <w:r w:rsidRPr="00FF009C">
        <w:rPr>
          <w:noProof/>
        </w:rPr>
        <w:t>ug przemytników, głównie</w:t>
      </w:r>
      <w:r w:rsidR="00FF009C" w:rsidRPr="00FF009C">
        <w:rPr>
          <w:noProof/>
        </w:rPr>
        <w:t xml:space="preserve"> w</w:t>
      </w:r>
      <w:r w:rsidR="00FF009C">
        <w:rPr>
          <w:noProof/>
        </w:rPr>
        <w:t> </w:t>
      </w:r>
      <w:r w:rsidR="00FF009C" w:rsidRPr="00FF009C">
        <w:rPr>
          <w:noProof/>
        </w:rPr>
        <w:t>zor</w:t>
      </w:r>
      <w:r w:rsidRPr="00FF009C">
        <w:rPr>
          <w:noProof/>
        </w:rPr>
        <w:t>ganizowanych grupach przestępczych. Siatki przemytnicze czerpią ponadto</w:t>
      </w:r>
      <w:r w:rsidR="00FF009C" w:rsidRPr="00FF009C">
        <w:rPr>
          <w:noProof/>
        </w:rPr>
        <w:t xml:space="preserve"> z</w:t>
      </w:r>
      <w:r w:rsidR="00FF009C">
        <w:rPr>
          <w:noProof/>
        </w:rPr>
        <w:t> </w:t>
      </w:r>
      <w:r w:rsidR="00FF009C" w:rsidRPr="00FF009C">
        <w:rPr>
          <w:noProof/>
        </w:rPr>
        <w:t>dzi</w:t>
      </w:r>
      <w:r w:rsidRPr="00FF009C">
        <w:rPr>
          <w:noProof/>
        </w:rPr>
        <w:t>ałalności przestępczej znaczące zyski wynoszące 4,7–6 mld EUR rocznie</w:t>
      </w:r>
      <w:r w:rsidR="00FF009C" w:rsidRPr="00FF009C">
        <w:rPr>
          <w:noProof/>
        </w:rPr>
        <w:t xml:space="preserve"> w</w:t>
      </w:r>
      <w:r w:rsidR="00FF009C">
        <w:rPr>
          <w:noProof/>
        </w:rPr>
        <w:t> </w:t>
      </w:r>
      <w:r w:rsidR="00FF009C" w:rsidRPr="00FF009C">
        <w:rPr>
          <w:noProof/>
        </w:rPr>
        <w:t>ska</w:t>
      </w:r>
      <w:r w:rsidRPr="00FF009C">
        <w:rPr>
          <w:noProof/>
        </w:rPr>
        <w:t>li światowej</w:t>
      </w:r>
      <w:r w:rsidRPr="00FF009C">
        <w:rPr>
          <w:rStyle w:val="FootnoteReference0"/>
          <w:rFonts w:eastAsia="Times New Roman"/>
          <w:noProof/>
        </w:rPr>
        <w:footnoteReference w:id="4"/>
      </w:r>
      <w:r w:rsidRPr="00FF009C">
        <w:rPr>
          <w:noProof/>
        </w:rPr>
        <w:t>. Zdecydowana</w:t>
      </w:r>
      <w:r w:rsidR="00FF009C" w:rsidRPr="00FF009C">
        <w:rPr>
          <w:noProof/>
        </w:rPr>
        <w:t xml:space="preserve"> i</w:t>
      </w:r>
      <w:r w:rsidR="00FF009C">
        <w:rPr>
          <w:noProof/>
        </w:rPr>
        <w:t> </w:t>
      </w:r>
      <w:r w:rsidR="00FF009C" w:rsidRPr="00FF009C">
        <w:rPr>
          <w:noProof/>
        </w:rPr>
        <w:t>sta</w:t>
      </w:r>
      <w:r w:rsidRPr="00FF009C">
        <w:rPr>
          <w:noProof/>
        </w:rPr>
        <w:t>nowcza reakcja na działania przemytników ma zatem zasadnicze znaczenie</w:t>
      </w:r>
      <w:r w:rsidR="00FF009C" w:rsidRPr="00FF009C">
        <w:rPr>
          <w:noProof/>
        </w:rPr>
        <w:t xml:space="preserve"> w</w:t>
      </w:r>
      <w:r w:rsidR="00FF009C">
        <w:rPr>
          <w:noProof/>
        </w:rPr>
        <w:t> </w:t>
      </w:r>
      <w:r w:rsidR="00FF009C" w:rsidRPr="00FF009C">
        <w:rPr>
          <w:noProof/>
        </w:rPr>
        <w:t>kon</w:t>
      </w:r>
      <w:r w:rsidRPr="00FF009C">
        <w:rPr>
          <w:noProof/>
        </w:rPr>
        <w:t>tekście ograniczenia migracji nieuregulowanej. Szacuje się, że od</w:t>
      </w:r>
      <w:r w:rsidR="00FF009C" w:rsidRPr="00FF009C">
        <w:rPr>
          <w:noProof/>
        </w:rPr>
        <w:t> </w:t>
      </w:r>
      <w:r w:rsidRPr="00FF009C">
        <w:rPr>
          <w:noProof/>
        </w:rPr>
        <w:t>2014</w:t>
      </w:r>
      <w:r w:rsidR="00FF009C" w:rsidRPr="00FF009C">
        <w:rPr>
          <w:noProof/>
        </w:rPr>
        <w:t> </w:t>
      </w:r>
      <w:r w:rsidRPr="00FF009C">
        <w:rPr>
          <w:noProof/>
        </w:rPr>
        <w:t>r. działalność bezwzględnych przemytników migrantów, zwłaszcza na morzu, doprowadziła do śmierci ponad 28 000 osób</w:t>
      </w:r>
      <w:r w:rsidRPr="00FF009C">
        <w:rPr>
          <w:rStyle w:val="FootnoteReference0"/>
          <w:rFonts w:eastAsia="Times New Roman"/>
          <w:noProof/>
        </w:rPr>
        <w:footnoteReference w:id="5"/>
      </w:r>
      <w:r w:rsidRPr="00FF009C">
        <w:rPr>
          <w:noProof/>
        </w:rPr>
        <w:t xml:space="preserve">. </w:t>
      </w:r>
    </w:p>
    <w:p w14:paraId="5A988D03" w14:textId="57D073C4" w:rsidR="0043039B" w:rsidRPr="00FF009C" w:rsidRDefault="0043039B" w:rsidP="0043039B">
      <w:pPr>
        <w:widowControl w:val="0"/>
        <w:spacing w:before="0"/>
        <w:rPr>
          <w:rFonts w:eastAsia="Times New Roman"/>
          <w:noProof/>
        </w:rPr>
      </w:pPr>
      <w:r w:rsidRPr="00FF009C">
        <w:rPr>
          <w:noProof/>
        </w:rPr>
        <w:t>Około połowa siatek zajmujących się przemytem migrantów jest również zaangażowana</w:t>
      </w:r>
      <w:r w:rsidR="00FF009C" w:rsidRPr="00FF009C">
        <w:rPr>
          <w:noProof/>
        </w:rPr>
        <w:t xml:space="preserve"> w</w:t>
      </w:r>
      <w:r w:rsidR="00FF009C">
        <w:rPr>
          <w:noProof/>
        </w:rPr>
        <w:t> </w:t>
      </w:r>
      <w:r w:rsidR="00FF009C" w:rsidRPr="00FF009C">
        <w:rPr>
          <w:noProof/>
        </w:rPr>
        <w:t>inn</w:t>
      </w:r>
      <w:r w:rsidRPr="00FF009C">
        <w:rPr>
          <w:noProof/>
        </w:rPr>
        <w:t>e przestępstwa</w:t>
      </w:r>
      <w:r w:rsidRPr="00FF009C">
        <w:rPr>
          <w:rStyle w:val="FootnoteReference0"/>
          <w:rFonts w:eastAsia="Times New Roman"/>
          <w:noProof/>
        </w:rPr>
        <w:footnoteReference w:id="6"/>
      </w:r>
      <w:r w:rsidRPr="00FF009C">
        <w:rPr>
          <w:noProof/>
        </w:rPr>
        <w:t>, takie jak handel ludźmi, przemyt narkotyków</w:t>
      </w:r>
      <w:r w:rsidR="00FF009C" w:rsidRPr="00FF009C">
        <w:rPr>
          <w:noProof/>
        </w:rPr>
        <w:t xml:space="preserve"> i</w:t>
      </w:r>
      <w:r w:rsidR="00FF009C">
        <w:rPr>
          <w:noProof/>
        </w:rPr>
        <w:t> </w:t>
      </w:r>
      <w:r w:rsidR="00FF009C" w:rsidRPr="00FF009C">
        <w:rPr>
          <w:noProof/>
        </w:rPr>
        <w:t>bro</w:t>
      </w:r>
      <w:r w:rsidRPr="00FF009C">
        <w:rPr>
          <w:noProof/>
        </w:rPr>
        <w:t>ni palnej,</w:t>
      </w:r>
      <w:r w:rsidR="00FF009C" w:rsidRPr="00FF009C">
        <w:rPr>
          <w:noProof/>
        </w:rPr>
        <w:t xml:space="preserve"> a</w:t>
      </w:r>
      <w:r w:rsidR="00FF009C">
        <w:rPr>
          <w:noProof/>
        </w:rPr>
        <w:t> </w:t>
      </w:r>
      <w:r w:rsidR="00FF009C" w:rsidRPr="00FF009C">
        <w:rPr>
          <w:noProof/>
        </w:rPr>
        <w:t>jed</w:t>
      </w:r>
      <w:r w:rsidRPr="00FF009C">
        <w:rPr>
          <w:noProof/>
        </w:rPr>
        <w:t>nocześnie ułatwia niedozwolone przemieszczanie się</w:t>
      </w:r>
      <w:r w:rsidR="00FF009C" w:rsidRPr="00FF009C">
        <w:rPr>
          <w:noProof/>
        </w:rPr>
        <w:t xml:space="preserve"> w</w:t>
      </w:r>
      <w:r w:rsidR="00FF009C">
        <w:rPr>
          <w:noProof/>
        </w:rPr>
        <w:t> </w:t>
      </w:r>
      <w:r w:rsidR="00FF009C" w:rsidRPr="00FF009C">
        <w:rPr>
          <w:noProof/>
        </w:rPr>
        <w:t>obr</w:t>
      </w:r>
      <w:r w:rsidRPr="00FF009C">
        <w:rPr>
          <w:noProof/>
        </w:rPr>
        <w:t>ębie UE. Organy ścigania</w:t>
      </w:r>
      <w:r w:rsidR="00FF009C" w:rsidRPr="00FF009C">
        <w:rPr>
          <w:noProof/>
        </w:rPr>
        <w:t xml:space="preserve"> i</w:t>
      </w:r>
      <w:r w:rsidR="00FF009C">
        <w:rPr>
          <w:noProof/>
        </w:rPr>
        <w:t> </w:t>
      </w:r>
      <w:r w:rsidR="00FF009C" w:rsidRPr="00FF009C">
        <w:rPr>
          <w:noProof/>
        </w:rPr>
        <w:t>org</w:t>
      </w:r>
      <w:r w:rsidRPr="00FF009C">
        <w:rPr>
          <w:noProof/>
        </w:rPr>
        <w:t>any sądowe stoją</w:t>
      </w:r>
      <w:r w:rsidR="00FF009C" w:rsidRPr="00FF009C">
        <w:rPr>
          <w:noProof/>
        </w:rPr>
        <w:t xml:space="preserve"> w</w:t>
      </w:r>
      <w:r w:rsidR="00FF009C">
        <w:rPr>
          <w:noProof/>
        </w:rPr>
        <w:t> </w:t>
      </w:r>
      <w:r w:rsidR="00FF009C" w:rsidRPr="00FF009C">
        <w:rPr>
          <w:noProof/>
        </w:rPr>
        <w:t>obl</w:t>
      </w:r>
      <w:r w:rsidRPr="00FF009C">
        <w:rPr>
          <w:noProof/>
        </w:rPr>
        <w:t>iczu wielu stale zmieniających się wyzwań: szybko zmieniane</w:t>
      </w:r>
      <w:r w:rsidR="00FF009C" w:rsidRPr="00FF009C">
        <w:rPr>
          <w:noProof/>
        </w:rPr>
        <w:t xml:space="preserve"> i</w:t>
      </w:r>
      <w:r w:rsidR="00FF009C">
        <w:rPr>
          <w:noProof/>
        </w:rPr>
        <w:t> </w:t>
      </w:r>
      <w:r w:rsidR="00FF009C" w:rsidRPr="00FF009C">
        <w:rPr>
          <w:noProof/>
        </w:rPr>
        <w:t>dos</w:t>
      </w:r>
      <w:r w:rsidRPr="00FF009C">
        <w:rPr>
          <w:noProof/>
        </w:rPr>
        <w:t>tosowywane sposoby działania przemytników; częstsze stosowanie gróźb</w:t>
      </w:r>
      <w:r w:rsidR="00FF009C" w:rsidRPr="00FF009C">
        <w:rPr>
          <w:noProof/>
        </w:rPr>
        <w:t xml:space="preserve"> i</w:t>
      </w:r>
      <w:r w:rsidR="00FF009C">
        <w:rPr>
          <w:noProof/>
        </w:rPr>
        <w:t> </w:t>
      </w:r>
      <w:r w:rsidR="00FF009C" w:rsidRPr="00FF009C">
        <w:rPr>
          <w:noProof/>
        </w:rPr>
        <w:t>prz</w:t>
      </w:r>
      <w:r w:rsidRPr="00FF009C">
        <w:rPr>
          <w:noProof/>
        </w:rPr>
        <w:t>emocy wobec migrantów oraz organów ścigania</w:t>
      </w:r>
      <w:r w:rsidRPr="00FF009C">
        <w:rPr>
          <w:rStyle w:val="FootnoteReference0"/>
          <w:rFonts w:eastAsia="Times New Roman"/>
          <w:noProof/>
        </w:rPr>
        <w:footnoteReference w:id="7"/>
      </w:r>
      <w:r w:rsidRPr="00FF009C">
        <w:rPr>
          <w:noProof/>
        </w:rPr>
        <w:t>; trudności</w:t>
      </w:r>
      <w:r w:rsidR="00FF009C" w:rsidRPr="00FF009C">
        <w:rPr>
          <w:noProof/>
        </w:rPr>
        <w:t xml:space="preserve"> z</w:t>
      </w:r>
      <w:r w:rsidR="00FF009C">
        <w:rPr>
          <w:noProof/>
        </w:rPr>
        <w:t> </w:t>
      </w:r>
      <w:r w:rsidR="00FF009C" w:rsidRPr="00FF009C">
        <w:rPr>
          <w:noProof/>
        </w:rPr>
        <w:t>lok</w:t>
      </w:r>
      <w:r w:rsidRPr="00FF009C">
        <w:rPr>
          <w:noProof/>
        </w:rPr>
        <w:t>alizacją</w:t>
      </w:r>
      <w:r w:rsidR="00FF009C" w:rsidRPr="00FF009C">
        <w:rPr>
          <w:noProof/>
        </w:rPr>
        <w:t xml:space="preserve"> i</w:t>
      </w:r>
      <w:r w:rsidR="00FF009C">
        <w:rPr>
          <w:noProof/>
        </w:rPr>
        <w:t> </w:t>
      </w:r>
      <w:r w:rsidR="00FF009C" w:rsidRPr="00FF009C">
        <w:rPr>
          <w:noProof/>
        </w:rPr>
        <w:t>are</w:t>
      </w:r>
      <w:r w:rsidRPr="00FF009C">
        <w:rPr>
          <w:noProof/>
        </w:rPr>
        <w:t>sztowaniem przemytników, którzy ukrywają się</w:t>
      </w:r>
      <w:r w:rsidR="00FF009C" w:rsidRPr="00FF009C">
        <w:rPr>
          <w:noProof/>
        </w:rPr>
        <w:t xml:space="preserve"> w</w:t>
      </w:r>
      <w:r w:rsidR="00FF009C">
        <w:rPr>
          <w:noProof/>
        </w:rPr>
        <w:t> </w:t>
      </w:r>
      <w:r w:rsidR="00FF009C" w:rsidRPr="00FF009C">
        <w:rPr>
          <w:noProof/>
        </w:rPr>
        <w:t>kra</w:t>
      </w:r>
      <w:r w:rsidRPr="00FF009C">
        <w:rPr>
          <w:noProof/>
        </w:rPr>
        <w:t>jach nienależących do UE; korzystanie</w:t>
      </w:r>
      <w:r w:rsidR="00FF009C" w:rsidRPr="00FF009C">
        <w:rPr>
          <w:noProof/>
        </w:rPr>
        <w:t xml:space="preserve"> z</w:t>
      </w:r>
      <w:r w:rsidR="00FF009C">
        <w:rPr>
          <w:noProof/>
        </w:rPr>
        <w:t> </w:t>
      </w:r>
      <w:r w:rsidR="00FF009C" w:rsidRPr="00FF009C">
        <w:rPr>
          <w:noProof/>
        </w:rPr>
        <w:t>wie</w:t>
      </w:r>
      <w:r w:rsidRPr="00FF009C">
        <w:rPr>
          <w:noProof/>
        </w:rPr>
        <w:t>lu różnych środków transportu,</w:t>
      </w:r>
      <w:r w:rsidR="00FF009C" w:rsidRPr="00FF009C">
        <w:rPr>
          <w:noProof/>
        </w:rPr>
        <w:t xml:space="preserve"> w</w:t>
      </w:r>
      <w:r w:rsidR="00FF009C">
        <w:rPr>
          <w:noProof/>
        </w:rPr>
        <w:t> </w:t>
      </w:r>
      <w:r w:rsidR="00FF009C" w:rsidRPr="00FF009C">
        <w:rPr>
          <w:noProof/>
        </w:rPr>
        <w:t>tym</w:t>
      </w:r>
      <w:r w:rsidRPr="00FF009C">
        <w:rPr>
          <w:noProof/>
        </w:rPr>
        <w:t xml:space="preserve"> nienadających się do żeglugi morskiej, trudniej wykrywalnych jednostek pływających (takich jak łodzie rybackie</w:t>
      </w:r>
      <w:r w:rsidR="00FF009C" w:rsidRPr="00FF009C">
        <w:rPr>
          <w:noProof/>
        </w:rPr>
        <w:t xml:space="preserve"> i</w:t>
      </w:r>
      <w:r w:rsidR="00FF009C">
        <w:rPr>
          <w:noProof/>
        </w:rPr>
        <w:t> </w:t>
      </w:r>
      <w:r w:rsidR="00FF009C" w:rsidRPr="00FF009C">
        <w:rPr>
          <w:noProof/>
        </w:rPr>
        <w:t>pro</w:t>
      </w:r>
      <w:r w:rsidRPr="00FF009C">
        <w:rPr>
          <w:noProof/>
        </w:rPr>
        <w:t>wizoryczne metalowe łodzie), pojazdów drogowych,</w:t>
      </w:r>
      <w:r w:rsidR="00FF009C" w:rsidRPr="00FF009C">
        <w:rPr>
          <w:noProof/>
        </w:rPr>
        <w:t xml:space="preserve"> w</w:t>
      </w:r>
      <w:r w:rsidR="00FF009C">
        <w:rPr>
          <w:noProof/>
        </w:rPr>
        <w:t> </w:t>
      </w:r>
      <w:r w:rsidR="00FF009C" w:rsidRPr="00FF009C">
        <w:rPr>
          <w:noProof/>
        </w:rPr>
        <w:t>któ</w:t>
      </w:r>
      <w:r w:rsidRPr="00FF009C">
        <w:rPr>
          <w:noProof/>
        </w:rPr>
        <w:t>rych migrantów ukrywa się bez zapewnienia im bezpieczeństwa,</w:t>
      </w:r>
      <w:r w:rsidR="00FF009C" w:rsidRPr="00FF009C">
        <w:rPr>
          <w:noProof/>
        </w:rPr>
        <w:t xml:space="preserve"> a</w:t>
      </w:r>
      <w:r w:rsidR="00FF009C">
        <w:rPr>
          <w:noProof/>
        </w:rPr>
        <w:t> </w:t>
      </w:r>
      <w:r w:rsidR="00FF009C" w:rsidRPr="00FF009C">
        <w:rPr>
          <w:noProof/>
        </w:rPr>
        <w:t>tak</w:t>
      </w:r>
      <w:r w:rsidRPr="00FF009C">
        <w:rPr>
          <w:noProof/>
        </w:rPr>
        <w:t>że lotów komercyjnych</w:t>
      </w:r>
      <w:r w:rsidR="00FF009C" w:rsidRPr="00FF009C">
        <w:rPr>
          <w:noProof/>
        </w:rPr>
        <w:t xml:space="preserve"> i</w:t>
      </w:r>
      <w:r w:rsidR="00FF009C">
        <w:rPr>
          <w:noProof/>
        </w:rPr>
        <w:t> </w:t>
      </w:r>
      <w:r w:rsidR="00FF009C" w:rsidRPr="00FF009C">
        <w:rPr>
          <w:noProof/>
        </w:rPr>
        <w:t>cza</w:t>
      </w:r>
      <w:r w:rsidRPr="00FF009C">
        <w:rPr>
          <w:noProof/>
        </w:rPr>
        <w:t>rterowych coraz częściej wykorzystywanych do sprowadzania migrantów do krajów położonych blisko UE lub graniczących z UE,</w:t>
      </w:r>
      <w:r w:rsidR="00FF009C" w:rsidRPr="00FF009C">
        <w:rPr>
          <w:noProof/>
        </w:rPr>
        <w:t xml:space="preserve"> z</w:t>
      </w:r>
      <w:r w:rsidR="00FF009C">
        <w:rPr>
          <w:noProof/>
        </w:rPr>
        <w:t> </w:t>
      </w:r>
      <w:r w:rsidR="00FF009C" w:rsidRPr="00FF009C">
        <w:rPr>
          <w:noProof/>
        </w:rPr>
        <w:t>któ</w:t>
      </w:r>
      <w:r w:rsidRPr="00FF009C">
        <w:rPr>
          <w:noProof/>
        </w:rPr>
        <w:t>rych migranci próbują</w:t>
      </w:r>
      <w:r w:rsidR="00FF009C" w:rsidRPr="00FF009C">
        <w:rPr>
          <w:noProof/>
        </w:rPr>
        <w:t xml:space="preserve"> w</w:t>
      </w:r>
      <w:r w:rsidR="00FF009C">
        <w:rPr>
          <w:noProof/>
        </w:rPr>
        <w:t> </w:t>
      </w:r>
      <w:r w:rsidR="00FF009C" w:rsidRPr="00FF009C">
        <w:rPr>
          <w:noProof/>
        </w:rPr>
        <w:t>spo</w:t>
      </w:r>
      <w:r w:rsidRPr="00FF009C">
        <w:rPr>
          <w:noProof/>
        </w:rPr>
        <w:t>sób nieuregulowany przedostać się do UE</w:t>
      </w:r>
      <w:r w:rsidRPr="00FF009C">
        <w:rPr>
          <w:rStyle w:val="FootnoteReference0"/>
          <w:rFonts w:eastAsia="Times New Roman"/>
          <w:noProof/>
        </w:rPr>
        <w:footnoteReference w:id="8"/>
      </w:r>
      <w:r w:rsidRPr="00FF009C">
        <w:rPr>
          <w:noProof/>
        </w:rPr>
        <w:t>; wykorzystywanie narzędzi cyfrowych na wszystkich etapach procesu,</w:t>
      </w:r>
      <w:r w:rsidR="00FF009C" w:rsidRPr="00FF009C">
        <w:rPr>
          <w:noProof/>
        </w:rPr>
        <w:t xml:space="preserve"> w</w:t>
      </w:r>
      <w:r w:rsidR="00FF009C">
        <w:rPr>
          <w:noProof/>
        </w:rPr>
        <w:t> </w:t>
      </w:r>
      <w:r w:rsidR="00FF009C" w:rsidRPr="00FF009C">
        <w:rPr>
          <w:noProof/>
        </w:rPr>
        <w:t>tym</w:t>
      </w:r>
      <w:r w:rsidRPr="00FF009C">
        <w:rPr>
          <w:noProof/>
        </w:rPr>
        <w:t xml:space="preserve"> internetowych reklam usług, szlaków</w:t>
      </w:r>
      <w:r w:rsidR="00FF009C" w:rsidRPr="00FF009C">
        <w:rPr>
          <w:noProof/>
        </w:rPr>
        <w:t xml:space="preserve"> i</w:t>
      </w:r>
      <w:r w:rsidR="00FF009C">
        <w:rPr>
          <w:noProof/>
        </w:rPr>
        <w:t> </w:t>
      </w:r>
      <w:r w:rsidR="00FF009C" w:rsidRPr="00FF009C">
        <w:rPr>
          <w:noProof/>
        </w:rPr>
        <w:t>cen</w:t>
      </w:r>
      <w:r w:rsidRPr="00FF009C">
        <w:rPr>
          <w:noProof/>
        </w:rPr>
        <w:t xml:space="preserve"> przemytniczych,</w:t>
      </w:r>
      <w:r w:rsidR="00FF009C" w:rsidRPr="00FF009C">
        <w:rPr>
          <w:noProof/>
        </w:rPr>
        <w:t xml:space="preserve"> a</w:t>
      </w:r>
      <w:r w:rsidR="00FF009C">
        <w:rPr>
          <w:noProof/>
        </w:rPr>
        <w:t> </w:t>
      </w:r>
      <w:r w:rsidR="00FF009C" w:rsidRPr="00FF009C">
        <w:rPr>
          <w:noProof/>
        </w:rPr>
        <w:t>tak</w:t>
      </w:r>
      <w:r w:rsidRPr="00FF009C">
        <w:rPr>
          <w:noProof/>
        </w:rPr>
        <w:t>że do celów fałszowania dokumentów; korzystanie</w:t>
      </w:r>
      <w:r w:rsidR="00FF009C" w:rsidRPr="00FF009C">
        <w:rPr>
          <w:noProof/>
        </w:rPr>
        <w:t xml:space="preserve"> z</w:t>
      </w:r>
      <w:r w:rsidR="00FF009C">
        <w:rPr>
          <w:noProof/>
        </w:rPr>
        <w:t> </w:t>
      </w:r>
      <w:r w:rsidR="00FF009C" w:rsidRPr="00FF009C">
        <w:rPr>
          <w:noProof/>
        </w:rPr>
        <w:t>kry</w:t>
      </w:r>
      <w:r w:rsidRPr="00FF009C">
        <w:rPr>
          <w:noProof/>
        </w:rPr>
        <w:t xml:space="preserve">ptowalut, pieniądza cyfrowego lub innych nieoficjalnych form płatności (np. </w:t>
      </w:r>
      <w:r w:rsidRPr="00FF009C">
        <w:rPr>
          <w:i/>
          <w:noProof/>
        </w:rPr>
        <w:t>hawala</w:t>
      </w:r>
      <w:r w:rsidRPr="00FF009C">
        <w:rPr>
          <w:noProof/>
        </w:rPr>
        <w:t>)</w:t>
      </w:r>
      <w:r w:rsidRPr="00FF009C">
        <w:rPr>
          <w:rStyle w:val="FootnoteReference0"/>
          <w:rFonts w:eastAsia="Times New Roman"/>
          <w:noProof/>
        </w:rPr>
        <w:footnoteReference w:id="9"/>
      </w:r>
      <w:r w:rsidRPr="00FF009C">
        <w:rPr>
          <w:noProof/>
        </w:rPr>
        <w:t>.</w:t>
      </w:r>
    </w:p>
    <w:p w14:paraId="2966A0E8" w14:textId="7E8DB0E0" w:rsidR="0043039B" w:rsidRPr="00FF009C" w:rsidRDefault="0043039B" w:rsidP="00977077">
      <w:pPr>
        <w:widowControl w:val="0"/>
        <w:spacing w:before="0"/>
        <w:rPr>
          <w:rFonts w:eastAsia="Times New Roman"/>
          <w:noProof/>
          <w:szCs w:val="24"/>
        </w:rPr>
      </w:pPr>
      <w:r w:rsidRPr="00FF009C">
        <w:rPr>
          <w:noProof/>
        </w:rPr>
        <w:t>Zwalczanie przemytu migrantów odgrywa podstawową rolę</w:t>
      </w:r>
      <w:r w:rsidR="00FF009C" w:rsidRPr="00FF009C">
        <w:rPr>
          <w:noProof/>
        </w:rPr>
        <w:t xml:space="preserve"> w</w:t>
      </w:r>
      <w:r w:rsidR="00FF009C">
        <w:rPr>
          <w:noProof/>
        </w:rPr>
        <w:t> </w:t>
      </w:r>
      <w:r w:rsidR="00FF009C" w:rsidRPr="00FF009C">
        <w:rPr>
          <w:noProof/>
        </w:rPr>
        <w:t>odn</w:t>
      </w:r>
      <w:r w:rsidRPr="00FF009C">
        <w:rPr>
          <w:noProof/>
        </w:rPr>
        <w:t>iesieniu do rozbijania zorganizowanych grup przestępczych, których działalność narusza prawa człowieka</w:t>
      </w:r>
      <w:r w:rsidR="00FF009C" w:rsidRPr="00FF009C">
        <w:rPr>
          <w:noProof/>
        </w:rPr>
        <w:t xml:space="preserve"> i</w:t>
      </w:r>
      <w:r w:rsidR="00FF009C">
        <w:rPr>
          <w:noProof/>
        </w:rPr>
        <w:t> </w:t>
      </w:r>
      <w:r w:rsidR="00FF009C" w:rsidRPr="00FF009C">
        <w:rPr>
          <w:noProof/>
        </w:rPr>
        <w:t>pro</w:t>
      </w:r>
      <w:r w:rsidRPr="00FF009C">
        <w:rPr>
          <w:noProof/>
        </w:rPr>
        <w:t>wadzi do ofiar</w:t>
      </w:r>
      <w:r w:rsidR="00FF009C" w:rsidRPr="00FF009C">
        <w:rPr>
          <w:noProof/>
        </w:rPr>
        <w:t xml:space="preserve"> w</w:t>
      </w:r>
      <w:r w:rsidR="00FF009C">
        <w:rPr>
          <w:noProof/>
        </w:rPr>
        <w:t> </w:t>
      </w:r>
      <w:r w:rsidR="00FF009C" w:rsidRPr="00FF009C">
        <w:rPr>
          <w:noProof/>
        </w:rPr>
        <w:t>lud</w:t>
      </w:r>
      <w:r w:rsidRPr="00FF009C">
        <w:rPr>
          <w:noProof/>
        </w:rPr>
        <w:t xml:space="preserve">ziach, oraz przeciwdziałania </w:t>
      </w:r>
      <w:r w:rsidR="00E50957" w:rsidRPr="00FF009C">
        <w:rPr>
          <w:noProof/>
        </w:rPr>
        <w:t>wzrostowi migracji</w:t>
      </w:r>
      <w:r w:rsidRPr="00FF009C">
        <w:rPr>
          <w:noProof/>
        </w:rPr>
        <w:t xml:space="preserve"> nieuregulowanej do UE. Kompleksowe</w:t>
      </w:r>
      <w:r w:rsidR="00FF009C" w:rsidRPr="00FF009C">
        <w:rPr>
          <w:noProof/>
        </w:rPr>
        <w:t xml:space="preserve"> i</w:t>
      </w:r>
      <w:r w:rsidR="00FF009C">
        <w:rPr>
          <w:noProof/>
        </w:rPr>
        <w:t> </w:t>
      </w:r>
      <w:r w:rsidR="00FF009C" w:rsidRPr="00FF009C">
        <w:rPr>
          <w:noProof/>
        </w:rPr>
        <w:t>zró</w:t>
      </w:r>
      <w:r w:rsidRPr="00FF009C">
        <w:rPr>
          <w:noProof/>
        </w:rPr>
        <w:t>wnoważone podejście do migracji wymaga połączenia solidnych</w:t>
      </w:r>
      <w:r w:rsidR="00FF009C" w:rsidRPr="00FF009C">
        <w:rPr>
          <w:noProof/>
        </w:rPr>
        <w:t xml:space="preserve"> i</w:t>
      </w:r>
      <w:r w:rsidR="00FF009C">
        <w:rPr>
          <w:noProof/>
        </w:rPr>
        <w:t> </w:t>
      </w:r>
      <w:r w:rsidR="00FF009C" w:rsidRPr="00FF009C">
        <w:rPr>
          <w:noProof/>
        </w:rPr>
        <w:t>sku</w:t>
      </w:r>
      <w:r w:rsidRPr="00FF009C">
        <w:rPr>
          <w:noProof/>
        </w:rPr>
        <w:t>tecznych działań stanowiących uzupełnienie wzajemnie korzystnych partnerstw</w:t>
      </w:r>
      <w:r w:rsidR="00FF009C" w:rsidRPr="00FF009C">
        <w:rPr>
          <w:noProof/>
        </w:rPr>
        <w:t xml:space="preserve"> z</w:t>
      </w:r>
      <w:r w:rsidR="00FF009C">
        <w:rPr>
          <w:noProof/>
        </w:rPr>
        <w:t> </w:t>
      </w:r>
      <w:r w:rsidR="00FF009C" w:rsidRPr="00FF009C">
        <w:rPr>
          <w:noProof/>
        </w:rPr>
        <w:t>kra</w:t>
      </w:r>
      <w:r w:rsidRPr="00FF009C">
        <w:rPr>
          <w:noProof/>
        </w:rPr>
        <w:t>jami pochodzenia</w:t>
      </w:r>
      <w:r w:rsidR="00FF009C" w:rsidRPr="00FF009C">
        <w:rPr>
          <w:noProof/>
        </w:rPr>
        <w:t xml:space="preserve"> i</w:t>
      </w:r>
      <w:r w:rsidR="00FF009C">
        <w:rPr>
          <w:noProof/>
        </w:rPr>
        <w:t> </w:t>
      </w:r>
      <w:r w:rsidR="00FF009C" w:rsidRPr="00FF009C">
        <w:rPr>
          <w:noProof/>
        </w:rPr>
        <w:t>tra</w:t>
      </w:r>
      <w:r w:rsidRPr="00FF009C">
        <w:rPr>
          <w:noProof/>
        </w:rPr>
        <w:t>nzytu, ukierunkowanych na wyeliminowanie pierwotnych przyczyn migracji,</w:t>
      </w:r>
      <w:r w:rsidR="00FF009C" w:rsidRPr="00FF009C">
        <w:rPr>
          <w:noProof/>
        </w:rPr>
        <w:t xml:space="preserve"> w</w:t>
      </w:r>
      <w:r w:rsidR="00FF009C">
        <w:rPr>
          <w:noProof/>
        </w:rPr>
        <w:t> </w:t>
      </w:r>
      <w:r w:rsidR="00FF009C" w:rsidRPr="00FF009C">
        <w:rPr>
          <w:noProof/>
        </w:rPr>
        <w:t>szc</w:t>
      </w:r>
      <w:r w:rsidRPr="00FF009C">
        <w:rPr>
          <w:noProof/>
        </w:rPr>
        <w:t>zególności migracji nieuregulowanej,</w:t>
      </w:r>
      <w:r w:rsidR="00FF009C" w:rsidRPr="00FF009C">
        <w:rPr>
          <w:noProof/>
        </w:rPr>
        <w:t xml:space="preserve"> a</w:t>
      </w:r>
      <w:r w:rsidR="00FF009C">
        <w:rPr>
          <w:noProof/>
        </w:rPr>
        <w:t> </w:t>
      </w:r>
      <w:r w:rsidR="00FF009C" w:rsidRPr="00FF009C">
        <w:rPr>
          <w:noProof/>
        </w:rPr>
        <w:t>jed</w:t>
      </w:r>
      <w:r w:rsidRPr="00FF009C">
        <w:rPr>
          <w:noProof/>
        </w:rPr>
        <w:t>nocześnie zwalczających przestępczość zorganizowaną,</w:t>
      </w:r>
      <w:r w:rsidR="00FF009C" w:rsidRPr="00FF009C">
        <w:rPr>
          <w:noProof/>
        </w:rPr>
        <w:t xml:space="preserve"> w</w:t>
      </w:r>
      <w:r w:rsidR="00FF009C">
        <w:rPr>
          <w:noProof/>
        </w:rPr>
        <w:t> </w:t>
      </w:r>
      <w:r w:rsidR="00FF009C" w:rsidRPr="00FF009C">
        <w:rPr>
          <w:noProof/>
        </w:rPr>
        <w:t>tym</w:t>
      </w:r>
      <w:r w:rsidRPr="00FF009C">
        <w:rPr>
          <w:noProof/>
        </w:rPr>
        <w:t xml:space="preserve"> przemyt migrantów</w:t>
      </w:r>
      <w:r w:rsidR="00FF009C" w:rsidRPr="00FF009C">
        <w:rPr>
          <w:noProof/>
        </w:rPr>
        <w:t xml:space="preserve"> i</w:t>
      </w:r>
      <w:r w:rsidR="00FF009C">
        <w:rPr>
          <w:noProof/>
        </w:rPr>
        <w:t> </w:t>
      </w:r>
      <w:r w:rsidR="00FF009C" w:rsidRPr="00FF009C">
        <w:rPr>
          <w:noProof/>
        </w:rPr>
        <w:t>han</w:t>
      </w:r>
      <w:r w:rsidRPr="00FF009C">
        <w:rPr>
          <w:noProof/>
        </w:rPr>
        <w:t>del ludźmi</w:t>
      </w:r>
      <w:r w:rsidR="00FF009C" w:rsidRPr="00FF009C">
        <w:rPr>
          <w:noProof/>
        </w:rPr>
        <w:t>. W</w:t>
      </w:r>
      <w:r w:rsidR="00FF009C">
        <w:rPr>
          <w:noProof/>
        </w:rPr>
        <w:t> </w:t>
      </w:r>
      <w:r w:rsidR="00FF009C" w:rsidRPr="00FF009C">
        <w:rPr>
          <w:noProof/>
        </w:rPr>
        <w:t>now</w:t>
      </w:r>
      <w:r w:rsidRPr="00FF009C">
        <w:rPr>
          <w:noProof/>
        </w:rPr>
        <w:t>ym pakcie</w:t>
      </w:r>
      <w:r w:rsidR="00FF009C" w:rsidRPr="00FF009C">
        <w:rPr>
          <w:noProof/>
        </w:rPr>
        <w:t xml:space="preserve"> o</w:t>
      </w:r>
      <w:r w:rsidR="00FF009C">
        <w:rPr>
          <w:noProof/>
        </w:rPr>
        <w:t> </w:t>
      </w:r>
      <w:r w:rsidR="00FF009C" w:rsidRPr="00FF009C">
        <w:rPr>
          <w:noProof/>
        </w:rPr>
        <w:t>mig</w:t>
      </w:r>
      <w:r w:rsidRPr="00FF009C">
        <w:rPr>
          <w:noProof/>
        </w:rPr>
        <w:t>racji</w:t>
      </w:r>
      <w:r w:rsidR="00FF009C" w:rsidRPr="00FF009C">
        <w:rPr>
          <w:noProof/>
        </w:rPr>
        <w:t xml:space="preserve"> i</w:t>
      </w:r>
      <w:r w:rsidR="00FF009C">
        <w:rPr>
          <w:noProof/>
        </w:rPr>
        <w:t> </w:t>
      </w:r>
      <w:r w:rsidR="00FF009C" w:rsidRPr="00FF009C">
        <w:rPr>
          <w:noProof/>
        </w:rPr>
        <w:t>azy</w:t>
      </w:r>
      <w:r w:rsidRPr="00FF009C">
        <w:rPr>
          <w:noProof/>
        </w:rPr>
        <w:t>lu</w:t>
      </w:r>
      <w:r w:rsidRPr="00FF009C">
        <w:rPr>
          <w:noProof/>
          <w:vertAlign w:val="superscript"/>
        </w:rPr>
        <w:t>1</w:t>
      </w:r>
      <w:r w:rsidRPr="00FF009C">
        <w:rPr>
          <w:noProof/>
        </w:rPr>
        <w:t xml:space="preserve"> zapobieganie</w:t>
      </w:r>
      <w:r w:rsidR="00FF009C" w:rsidRPr="00FF009C">
        <w:rPr>
          <w:noProof/>
        </w:rPr>
        <w:t xml:space="preserve"> i</w:t>
      </w:r>
      <w:r w:rsidR="00FF009C">
        <w:rPr>
          <w:noProof/>
        </w:rPr>
        <w:t> </w:t>
      </w:r>
      <w:r w:rsidR="00FF009C" w:rsidRPr="00FF009C">
        <w:rPr>
          <w:noProof/>
        </w:rPr>
        <w:t>prz</w:t>
      </w:r>
      <w:r w:rsidRPr="00FF009C">
        <w:rPr>
          <w:noProof/>
        </w:rPr>
        <w:t>eciwdziałanie przemytowi migrantów stało się jednym</w:t>
      </w:r>
      <w:r w:rsidR="00FF009C" w:rsidRPr="00FF009C">
        <w:rPr>
          <w:noProof/>
        </w:rPr>
        <w:t xml:space="preserve"> z</w:t>
      </w:r>
      <w:r w:rsidR="00FF009C">
        <w:rPr>
          <w:noProof/>
        </w:rPr>
        <w:t> </w:t>
      </w:r>
      <w:r w:rsidR="00FF009C" w:rsidRPr="00FF009C">
        <w:rPr>
          <w:noProof/>
        </w:rPr>
        <w:t>głó</w:t>
      </w:r>
      <w:r w:rsidRPr="00FF009C">
        <w:rPr>
          <w:noProof/>
        </w:rPr>
        <w:t>wnych elementów kompleksowego podejścia do migracji.</w:t>
      </w:r>
    </w:p>
    <w:p w14:paraId="2DCB5362" w14:textId="141FACFD" w:rsidR="0043039B" w:rsidRPr="00FF009C" w:rsidRDefault="0043039B" w:rsidP="0043039B">
      <w:pPr>
        <w:widowControl w:val="0"/>
        <w:spacing w:before="0"/>
        <w:rPr>
          <w:rFonts w:eastAsia="Times New Roman"/>
          <w:noProof/>
        </w:rPr>
      </w:pPr>
      <w:r w:rsidRPr="00FF009C">
        <w:rPr>
          <w:noProof/>
        </w:rPr>
        <w:t>Niniejszy wniosek dotyczący rozporządzenia stanowi część pakietu środków mających na celu modernizację</w:t>
      </w:r>
      <w:r w:rsidR="00FF009C" w:rsidRPr="00FF009C">
        <w:rPr>
          <w:noProof/>
        </w:rPr>
        <w:t xml:space="preserve"> i</w:t>
      </w:r>
      <w:r w:rsidR="00FF009C">
        <w:rPr>
          <w:noProof/>
        </w:rPr>
        <w:t> </w:t>
      </w:r>
      <w:r w:rsidR="00FF009C" w:rsidRPr="00FF009C">
        <w:rPr>
          <w:noProof/>
        </w:rPr>
        <w:t>wzm</w:t>
      </w:r>
      <w:r w:rsidRPr="00FF009C">
        <w:rPr>
          <w:noProof/>
        </w:rPr>
        <w:t>ocnienie istniejących ram prawnych oraz wprowadzenie unijnych przepisów, które są adekwatne do potrzeb. Towarzyszy mu wniosek dotyczący dyrektywy</w:t>
      </w:r>
      <w:r w:rsidR="00FF009C" w:rsidRPr="00FF009C">
        <w:rPr>
          <w:noProof/>
        </w:rPr>
        <w:t xml:space="preserve"> w</w:t>
      </w:r>
      <w:r w:rsidR="00FF009C">
        <w:rPr>
          <w:noProof/>
        </w:rPr>
        <w:t> </w:t>
      </w:r>
      <w:r w:rsidR="00FF009C" w:rsidRPr="00FF009C">
        <w:rPr>
          <w:noProof/>
        </w:rPr>
        <w:t>spr</w:t>
      </w:r>
      <w:r w:rsidRPr="00FF009C">
        <w:rPr>
          <w:noProof/>
        </w:rPr>
        <w:t>awie zapobiegania</w:t>
      </w:r>
      <w:r w:rsidR="00FF009C" w:rsidRPr="00FF009C">
        <w:rPr>
          <w:noProof/>
        </w:rPr>
        <w:t xml:space="preserve"> i</w:t>
      </w:r>
      <w:r w:rsidR="00FF009C">
        <w:rPr>
          <w:noProof/>
        </w:rPr>
        <w:t> </w:t>
      </w:r>
      <w:r w:rsidR="00FF009C" w:rsidRPr="00FF009C">
        <w:rPr>
          <w:noProof/>
        </w:rPr>
        <w:t>prz</w:t>
      </w:r>
      <w:r w:rsidRPr="00FF009C">
        <w:rPr>
          <w:noProof/>
        </w:rPr>
        <w:t>eciwdziałania ułatwianiu niedozwolonego wjazdu, tranzytu</w:t>
      </w:r>
      <w:r w:rsidR="00FF009C" w:rsidRPr="00FF009C">
        <w:rPr>
          <w:noProof/>
        </w:rPr>
        <w:t xml:space="preserve"> i</w:t>
      </w:r>
      <w:r w:rsidR="00FF009C">
        <w:rPr>
          <w:noProof/>
        </w:rPr>
        <w:t> </w:t>
      </w:r>
      <w:r w:rsidR="00FF009C" w:rsidRPr="00FF009C">
        <w:rPr>
          <w:noProof/>
        </w:rPr>
        <w:t>pob</w:t>
      </w:r>
      <w:r w:rsidRPr="00FF009C">
        <w:rPr>
          <w:noProof/>
        </w:rPr>
        <w:t>ytu</w:t>
      </w:r>
      <w:r w:rsidR="00FF009C" w:rsidRPr="00FF009C">
        <w:rPr>
          <w:noProof/>
        </w:rPr>
        <w:t>. W</w:t>
      </w:r>
      <w:r w:rsidR="00FF009C">
        <w:rPr>
          <w:noProof/>
        </w:rPr>
        <w:t> </w:t>
      </w:r>
      <w:r w:rsidR="00FF009C" w:rsidRPr="00FF009C">
        <w:rPr>
          <w:noProof/>
        </w:rPr>
        <w:t>tym</w:t>
      </w:r>
      <w:r w:rsidRPr="00FF009C">
        <w:rPr>
          <w:noProof/>
        </w:rPr>
        <w:t xml:space="preserve"> wniosku wprowadzono nowoczesny instrument prawa karnego UE, który wyraźnie określa</w:t>
      </w:r>
      <w:r w:rsidR="00FF009C" w:rsidRPr="00FF009C">
        <w:rPr>
          <w:noProof/>
        </w:rPr>
        <w:t xml:space="preserve"> i</w:t>
      </w:r>
      <w:r w:rsidR="00FF009C">
        <w:rPr>
          <w:noProof/>
        </w:rPr>
        <w:t> </w:t>
      </w:r>
      <w:r w:rsidR="00FF009C" w:rsidRPr="00FF009C">
        <w:rPr>
          <w:noProof/>
        </w:rPr>
        <w:t>sku</w:t>
      </w:r>
      <w:r w:rsidRPr="00FF009C">
        <w:rPr>
          <w:noProof/>
        </w:rPr>
        <w:t>tecznie nakłada sankcje na siatki przestępcze odpowiedzialne za przemyt migrantów, harmonizuje kary uwzględniające wagę popełnionego przestępstwa, poprawia zasięg jurysdykcji, wzmacnia zasoby państw członkowskich</w:t>
      </w:r>
      <w:r w:rsidR="00FF009C" w:rsidRPr="00FF009C">
        <w:rPr>
          <w:noProof/>
        </w:rPr>
        <w:t xml:space="preserve"> w</w:t>
      </w:r>
      <w:r w:rsidR="00FF009C">
        <w:rPr>
          <w:noProof/>
        </w:rPr>
        <w:t> </w:t>
      </w:r>
      <w:r w:rsidR="00FF009C" w:rsidRPr="00FF009C">
        <w:rPr>
          <w:noProof/>
        </w:rPr>
        <w:t>cel</w:t>
      </w:r>
      <w:r w:rsidRPr="00FF009C">
        <w:rPr>
          <w:noProof/>
        </w:rPr>
        <w:t>u zwalczania przemytu migrantów</w:t>
      </w:r>
      <w:r w:rsidR="00FF009C" w:rsidRPr="00FF009C">
        <w:rPr>
          <w:noProof/>
        </w:rPr>
        <w:t xml:space="preserve"> i</w:t>
      </w:r>
      <w:r w:rsidR="00FF009C">
        <w:rPr>
          <w:noProof/>
        </w:rPr>
        <w:t> </w:t>
      </w:r>
      <w:r w:rsidR="00FF009C" w:rsidRPr="00FF009C">
        <w:rPr>
          <w:noProof/>
        </w:rPr>
        <w:t>zap</w:t>
      </w:r>
      <w:r w:rsidRPr="00FF009C">
        <w:rPr>
          <w:noProof/>
        </w:rPr>
        <w:t>obiegania mu oraz usprawnia gromadzenie</w:t>
      </w:r>
      <w:r w:rsidR="00FF009C" w:rsidRPr="00FF009C">
        <w:rPr>
          <w:noProof/>
        </w:rPr>
        <w:t xml:space="preserve"> i</w:t>
      </w:r>
      <w:r w:rsidR="00FF009C">
        <w:rPr>
          <w:noProof/>
        </w:rPr>
        <w:t> </w:t>
      </w:r>
      <w:r w:rsidR="00FF009C" w:rsidRPr="00FF009C">
        <w:rPr>
          <w:noProof/>
        </w:rPr>
        <w:t>prz</w:t>
      </w:r>
      <w:r w:rsidRPr="00FF009C">
        <w:rPr>
          <w:noProof/>
        </w:rPr>
        <w:t>edstawianie danych.</w:t>
      </w:r>
    </w:p>
    <w:p w14:paraId="6C4A923E" w14:textId="235E8D8D" w:rsidR="0043039B" w:rsidRPr="00FF009C" w:rsidRDefault="2719C0E0" w:rsidP="00977077">
      <w:pPr>
        <w:widowControl w:val="0"/>
        <w:spacing w:before="0"/>
        <w:rPr>
          <w:rFonts w:eastAsia="Times New Roman"/>
          <w:noProof/>
        </w:rPr>
      </w:pPr>
      <w:r w:rsidRPr="00FF009C">
        <w:rPr>
          <w:noProof/>
        </w:rPr>
        <w:t>Pakiet ten jest przedstawiany</w:t>
      </w:r>
      <w:r w:rsidR="00FF009C" w:rsidRPr="00FF009C">
        <w:rPr>
          <w:noProof/>
        </w:rPr>
        <w:t xml:space="preserve"> w</w:t>
      </w:r>
      <w:r w:rsidR="00FF009C">
        <w:rPr>
          <w:noProof/>
        </w:rPr>
        <w:t> </w:t>
      </w:r>
      <w:r w:rsidR="00FF009C" w:rsidRPr="00FF009C">
        <w:rPr>
          <w:noProof/>
        </w:rPr>
        <w:t>dni</w:t>
      </w:r>
      <w:r w:rsidRPr="00FF009C">
        <w:rPr>
          <w:noProof/>
        </w:rPr>
        <w:t>u międzynarodowej konferencji inaugurującej „światowy sojusz na rzecz przeciwdziałania przemytowi migrantów”</w:t>
      </w:r>
      <w:r w:rsidR="00FF009C" w:rsidRPr="00FF009C">
        <w:rPr>
          <w:noProof/>
        </w:rPr>
        <w:t>. W</w:t>
      </w:r>
      <w:r w:rsidR="00FF009C">
        <w:rPr>
          <w:noProof/>
        </w:rPr>
        <w:t> </w:t>
      </w:r>
      <w:r w:rsidR="00FF009C" w:rsidRPr="00FF009C">
        <w:rPr>
          <w:noProof/>
        </w:rPr>
        <w:t>wyn</w:t>
      </w:r>
      <w:r w:rsidRPr="00FF009C">
        <w:rPr>
          <w:noProof/>
        </w:rPr>
        <w:t>iku tej konferencji Komisja tworzy ramy ścisłej współpracy politycznej</w:t>
      </w:r>
      <w:r w:rsidR="00FF009C" w:rsidRPr="00FF009C">
        <w:rPr>
          <w:noProof/>
        </w:rPr>
        <w:t xml:space="preserve"> z</w:t>
      </w:r>
      <w:r w:rsidR="00FF009C">
        <w:rPr>
          <w:noProof/>
        </w:rPr>
        <w:t> </w:t>
      </w:r>
      <w:r w:rsidR="00FF009C" w:rsidRPr="00FF009C">
        <w:rPr>
          <w:noProof/>
        </w:rPr>
        <w:t>par</w:t>
      </w:r>
      <w:r w:rsidRPr="00FF009C">
        <w:rPr>
          <w:noProof/>
        </w:rPr>
        <w:t>tnerami międzynarodowymi, wzywając do podjęcia wspólnych zobowiązań</w:t>
      </w:r>
      <w:r w:rsidR="00FF009C" w:rsidRPr="00FF009C">
        <w:rPr>
          <w:noProof/>
        </w:rPr>
        <w:t xml:space="preserve"> i</w:t>
      </w:r>
      <w:r w:rsidR="00FF009C">
        <w:rPr>
          <w:noProof/>
        </w:rPr>
        <w:t> </w:t>
      </w:r>
      <w:r w:rsidR="00FF009C" w:rsidRPr="00FF009C">
        <w:rPr>
          <w:noProof/>
        </w:rPr>
        <w:t>dzi</w:t>
      </w:r>
      <w:r w:rsidRPr="00FF009C">
        <w:rPr>
          <w:noProof/>
        </w:rPr>
        <w:t>ałań, aby razem przeciwdziałać przemytowi migrantów na świecie.</w:t>
      </w:r>
    </w:p>
    <w:p w14:paraId="03D944D8" w14:textId="16032FF2" w:rsidR="0043039B" w:rsidRPr="00FF009C" w:rsidRDefault="0043039B" w:rsidP="00977077">
      <w:pPr>
        <w:widowControl w:val="0"/>
        <w:spacing w:before="0"/>
        <w:rPr>
          <w:rFonts w:eastAsia="Times New Roman"/>
          <w:noProof/>
        </w:rPr>
      </w:pPr>
      <w:r w:rsidRPr="00FF009C">
        <w:rPr>
          <w:noProof/>
        </w:rPr>
        <w:t>Te trzy inicjatywy stanowią uzupełnienie istniejących inicjatyw</w:t>
      </w:r>
      <w:r w:rsidR="00FF009C" w:rsidRPr="00FF009C">
        <w:rPr>
          <w:noProof/>
        </w:rPr>
        <w:t xml:space="preserve"> w</w:t>
      </w:r>
      <w:r w:rsidR="00FF009C">
        <w:rPr>
          <w:noProof/>
        </w:rPr>
        <w:t> </w:t>
      </w:r>
      <w:r w:rsidR="00FF009C" w:rsidRPr="00FF009C">
        <w:rPr>
          <w:noProof/>
        </w:rPr>
        <w:t>obs</w:t>
      </w:r>
      <w:r w:rsidRPr="00FF009C">
        <w:rPr>
          <w:noProof/>
        </w:rPr>
        <w:t>zarze przeciwdziałania przemytowi migrantów</w:t>
      </w:r>
      <w:r w:rsidR="00FF009C" w:rsidRPr="00FF009C">
        <w:rPr>
          <w:noProof/>
        </w:rPr>
        <w:t xml:space="preserve"> i</w:t>
      </w:r>
      <w:r w:rsidR="00FF009C">
        <w:rPr>
          <w:noProof/>
        </w:rPr>
        <w:t> </w:t>
      </w:r>
      <w:r w:rsidR="00FF009C" w:rsidRPr="00FF009C">
        <w:rPr>
          <w:noProof/>
        </w:rPr>
        <w:t>maj</w:t>
      </w:r>
      <w:r w:rsidRPr="00FF009C">
        <w:rPr>
          <w:noProof/>
        </w:rPr>
        <w:t>ą na celu wykonanie odnowionego unijnego planu działania na rzecz zwalczania przemytu migrantów na lata (2021–2025) przez aktualizację obowiązujących obecnie ram prawnych UE</w:t>
      </w:r>
      <w:r w:rsidR="00FF009C" w:rsidRPr="00FF009C">
        <w:rPr>
          <w:noProof/>
        </w:rPr>
        <w:t xml:space="preserve"> w</w:t>
      </w:r>
      <w:r w:rsidR="00FF009C">
        <w:rPr>
          <w:noProof/>
        </w:rPr>
        <w:t> </w:t>
      </w:r>
      <w:r w:rsidR="00FF009C" w:rsidRPr="00FF009C">
        <w:rPr>
          <w:noProof/>
        </w:rPr>
        <w:t>cel</w:t>
      </w:r>
      <w:r w:rsidRPr="00FF009C">
        <w:rPr>
          <w:noProof/>
        </w:rPr>
        <w:t>u karania przemytników migrantów działających na szlakach migracyjnych oraz przez ustanowienie na nadchodzące lata nowych, nowoczesnych, prawnych, operacyjnych</w:t>
      </w:r>
      <w:r w:rsidR="00FF009C" w:rsidRPr="00FF009C">
        <w:rPr>
          <w:noProof/>
        </w:rPr>
        <w:t xml:space="preserve"> i</w:t>
      </w:r>
      <w:r w:rsidR="00FF009C">
        <w:rPr>
          <w:noProof/>
        </w:rPr>
        <w:t> </w:t>
      </w:r>
      <w:r w:rsidR="00FF009C" w:rsidRPr="00FF009C">
        <w:rPr>
          <w:noProof/>
        </w:rPr>
        <w:t>mię</w:t>
      </w:r>
      <w:r w:rsidRPr="00FF009C">
        <w:rPr>
          <w:noProof/>
        </w:rPr>
        <w:t>dzynarodowych ram współpracy</w:t>
      </w:r>
      <w:r w:rsidR="00FF009C" w:rsidRPr="00FF009C">
        <w:rPr>
          <w:noProof/>
        </w:rPr>
        <w:t xml:space="preserve"> w</w:t>
      </w:r>
      <w:r w:rsidR="00FF009C">
        <w:rPr>
          <w:noProof/>
        </w:rPr>
        <w:t> </w:t>
      </w:r>
      <w:r w:rsidR="00FF009C" w:rsidRPr="00FF009C">
        <w:rPr>
          <w:noProof/>
        </w:rPr>
        <w:t>zak</w:t>
      </w:r>
      <w:r w:rsidRPr="00FF009C">
        <w:rPr>
          <w:noProof/>
        </w:rPr>
        <w:t>resie zwalczania przemytu migrantów.</w:t>
      </w:r>
    </w:p>
    <w:p w14:paraId="06697568" w14:textId="58C4A0AF" w:rsidR="0053149D" w:rsidRPr="00FF009C" w:rsidRDefault="0053149D" w:rsidP="0053149D">
      <w:pPr>
        <w:widowControl w:val="0"/>
        <w:spacing w:before="0"/>
        <w:rPr>
          <w:rFonts w:eastAsia="Times New Roman"/>
          <w:noProof/>
        </w:rPr>
      </w:pPr>
      <w:r w:rsidRPr="00FF009C">
        <w:rPr>
          <w:noProof/>
        </w:rPr>
        <w:t>Niniejszy wniosek dotyczący rozporządzenia stanowi element spójnego pakietu obejmującego również wyżej wspomniany wniosek dotyczący dyrektywy</w:t>
      </w:r>
      <w:r w:rsidR="00FF009C" w:rsidRPr="00FF009C">
        <w:rPr>
          <w:noProof/>
        </w:rPr>
        <w:t xml:space="preserve"> w</w:t>
      </w:r>
      <w:r w:rsidR="00FF009C">
        <w:rPr>
          <w:noProof/>
        </w:rPr>
        <w:t> </w:t>
      </w:r>
      <w:r w:rsidR="00FF009C" w:rsidRPr="00FF009C">
        <w:rPr>
          <w:noProof/>
        </w:rPr>
        <w:t>spr</w:t>
      </w:r>
      <w:r w:rsidRPr="00FF009C">
        <w:rPr>
          <w:noProof/>
        </w:rPr>
        <w:t>awie zapobiegania</w:t>
      </w:r>
      <w:r w:rsidR="00FF009C" w:rsidRPr="00FF009C">
        <w:rPr>
          <w:noProof/>
        </w:rPr>
        <w:t xml:space="preserve"> i</w:t>
      </w:r>
      <w:r w:rsidR="00FF009C">
        <w:rPr>
          <w:noProof/>
        </w:rPr>
        <w:t> </w:t>
      </w:r>
      <w:r w:rsidR="00FF009C" w:rsidRPr="00FF009C">
        <w:rPr>
          <w:noProof/>
        </w:rPr>
        <w:t>prz</w:t>
      </w:r>
      <w:r w:rsidRPr="00FF009C">
        <w:rPr>
          <w:noProof/>
        </w:rPr>
        <w:t>eciwdziałania ułatwianiu niedozwolonego wjazdu, tranzytu</w:t>
      </w:r>
      <w:r w:rsidR="00FF009C" w:rsidRPr="00FF009C">
        <w:rPr>
          <w:noProof/>
        </w:rPr>
        <w:t xml:space="preserve"> i</w:t>
      </w:r>
      <w:r w:rsidR="00FF009C">
        <w:rPr>
          <w:noProof/>
        </w:rPr>
        <w:t> </w:t>
      </w:r>
      <w:r w:rsidR="00FF009C" w:rsidRPr="00FF009C">
        <w:rPr>
          <w:noProof/>
        </w:rPr>
        <w:t>pob</w:t>
      </w:r>
      <w:r w:rsidRPr="00FF009C">
        <w:rPr>
          <w:noProof/>
        </w:rPr>
        <w:t>ytu. Wspólnym celem tych wniosków jest modernizacja ram prawnych</w:t>
      </w:r>
      <w:r w:rsidR="00FF009C" w:rsidRPr="00FF009C">
        <w:rPr>
          <w:noProof/>
        </w:rPr>
        <w:t xml:space="preserve"> w</w:t>
      </w:r>
      <w:r w:rsidR="00FF009C">
        <w:rPr>
          <w:noProof/>
        </w:rPr>
        <w:t> </w:t>
      </w:r>
      <w:r w:rsidR="00FF009C" w:rsidRPr="00FF009C">
        <w:rPr>
          <w:noProof/>
        </w:rPr>
        <w:t>cel</w:t>
      </w:r>
      <w:r w:rsidRPr="00FF009C">
        <w:rPr>
          <w:noProof/>
        </w:rPr>
        <w:t>u zwalczania przemytu migrantów, zapewnienie narzędzi prawnych</w:t>
      </w:r>
      <w:r w:rsidR="00FF009C" w:rsidRPr="00FF009C">
        <w:rPr>
          <w:noProof/>
        </w:rPr>
        <w:t xml:space="preserve"> i</w:t>
      </w:r>
      <w:r w:rsidR="00FF009C">
        <w:rPr>
          <w:noProof/>
        </w:rPr>
        <w:t> </w:t>
      </w:r>
      <w:r w:rsidR="00FF009C" w:rsidRPr="00FF009C">
        <w:rPr>
          <w:noProof/>
        </w:rPr>
        <w:t>ope</w:t>
      </w:r>
      <w:r w:rsidRPr="00FF009C">
        <w:rPr>
          <w:noProof/>
        </w:rPr>
        <w:t>racyjnych niezbędnych do reagowania na nowe sposoby działania przemytników, jak określono</w:t>
      </w:r>
      <w:r w:rsidR="00FF009C" w:rsidRPr="00FF009C">
        <w:rPr>
          <w:noProof/>
        </w:rPr>
        <w:t xml:space="preserve"> w</w:t>
      </w:r>
      <w:r w:rsidR="00FF009C">
        <w:rPr>
          <w:noProof/>
        </w:rPr>
        <w:t> </w:t>
      </w:r>
      <w:r w:rsidR="00FF009C" w:rsidRPr="00FF009C">
        <w:rPr>
          <w:noProof/>
        </w:rPr>
        <w:t>pro</w:t>
      </w:r>
      <w:r w:rsidRPr="00FF009C">
        <w:rPr>
          <w:noProof/>
        </w:rPr>
        <w:t>gramie prac Komisji na</w:t>
      </w:r>
      <w:r w:rsidR="00FF009C" w:rsidRPr="00FF009C">
        <w:rPr>
          <w:noProof/>
        </w:rPr>
        <w:t> </w:t>
      </w:r>
      <w:r w:rsidRPr="00FF009C">
        <w:rPr>
          <w:noProof/>
        </w:rPr>
        <w:t>2024</w:t>
      </w:r>
      <w:r w:rsidR="00FF009C" w:rsidRPr="00FF009C">
        <w:rPr>
          <w:noProof/>
        </w:rPr>
        <w:t> </w:t>
      </w:r>
      <w:r w:rsidRPr="00FF009C">
        <w:rPr>
          <w:noProof/>
        </w:rPr>
        <w:t>r. ogłoszonym</w:t>
      </w:r>
      <w:r w:rsidR="00FF009C" w:rsidRPr="00FF009C">
        <w:rPr>
          <w:noProof/>
        </w:rPr>
        <w:t xml:space="preserve"> w</w:t>
      </w:r>
      <w:r w:rsidR="00FF009C">
        <w:rPr>
          <w:noProof/>
        </w:rPr>
        <w:t> </w:t>
      </w:r>
      <w:r w:rsidR="00FF009C" w:rsidRPr="00FF009C">
        <w:rPr>
          <w:noProof/>
        </w:rPr>
        <w:t>dni</w:t>
      </w:r>
      <w:r w:rsidRPr="00FF009C">
        <w:rPr>
          <w:noProof/>
        </w:rPr>
        <w:t>u 17 października 2023</w:t>
      </w:r>
      <w:r w:rsidR="00FF009C" w:rsidRPr="00FF009C">
        <w:rPr>
          <w:noProof/>
        </w:rPr>
        <w:t> </w:t>
      </w:r>
      <w:r w:rsidRPr="00FF009C">
        <w:rPr>
          <w:noProof/>
        </w:rPr>
        <w:t xml:space="preserve">r. </w:t>
      </w:r>
    </w:p>
    <w:p w14:paraId="4132D0BC" w14:textId="77777777" w:rsidR="0043039B" w:rsidRPr="00FF009C" w:rsidRDefault="0043039B" w:rsidP="00977077">
      <w:pPr>
        <w:widowControl w:val="0"/>
        <w:spacing w:before="0"/>
        <w:rPr>
          <w:rFonts w:eastAsia="Times New Roman"/>
          <w:i/>
          <w:iCs/>
          <w:noProof/>
        </w:rPr>
      </w:pPr>
      <w:r w:rsidRPr="00FF009C">
        <w:rPr>
          <w:i/>
          <w:noProof/>
        </w:rPr>
        <w:t>Cel wniosku</w:t>
      </w:r>
    </w:p>
    <w:p w14:paraId="557E93F6" w14:textId="3BDB1F50" w:rsidR="0043039B" w:rsidRPr="00FF009C" w:rsidRDefault="0043039B" w:rsidP="0043039B">
      <w:pPr>
        <w:widowControl w:val="0"/>
        <w:spacing w:before="0"/>
        <w:rPr>
          <w:rFonts w:eastAsia="Times New Roman"/>
          <w:noProof/>
        </w:rPr>
      </w:pPr>
      <w:r w:rsidRPr="00FF009C">
        <w:rPr>
          <w:noProof/>
        </w:rPr>
        <w:t>Ogólnym celem niniejszego wniosku jest zwiększenie roli Europolu</w:t>
      </w:r>
      <w:r w:rsidR="00FF009C" w:rsidRPr="00FF009C">
        <w:rPr>
          <w:noProof/>
        </w:rPr>
        <w:t xml:space="preserve"> w</w:t>
      </w:r>
      <w:r w:rsidR="00FF009C">
        <w:rPr>
          <w:noProof/>
        </w:rPr>
        <w:t> </w:t>
      </w:r>
      <w:r w:rsidR="00FF009C" w:rsidRPr="00FF009C">
        <w:rPr>
          <w:noProof/>
        </w:rPr>
        <w:t>wal</w:t>
      </w:r>
      <w:r w:rsidRPr="00FF009C">
        <w:rPr>
          <w:noProof/>
        </w:rPr>
        <w:t>ce</w:t>
      </w:r>
      <w:r w:rsidR="00FF009C" w:rsidRPr="00FF009C">
        <w:rPr>
          <w:noProof/>
        </w:rPr>
        <w:t xml:space="preserve"> z</w:t>
      </w:r>
      <w:r w:rsidR="00FF009C">
        <w:rPr>
          <w:noProof/>
        </w:rPr>
        <w:t> </w:t>
      </w:r>
      <w:r w:rsidR="00FF009C" w:rsidRPr="00FF009C">
        <w:rPr>
          <w:noProof/>
        </w:rPr>
        <w:t>prz</w:t>
      </w:r>
      <w:r w:rsidRPr="00FF009C">
        <w:rPr>
          <w:noProof/>
        </w:rPr>
        <w:t>emytem migrantów</w:t>
      </w:r>
      <w:r w:rsidR="00FF009C" w:rsidRPr="00FF009C">
        <w:rPr>
          <w:noProof/>
        </w:rPr>
        <w:t xml:space="preserve"> i</w:t>
      </w:r>
      <w:r w:rsidR="00FF009C">
        <w:rPr>
          <w:noProof/>
        </w:rPr>
        <w:t> </w:t>
      </w:r>
      <w:r w:rsidR="00FF009C" w:rsidRPr="00FF009C">
        <w:rPr>
          <w:noProof/>
        </w:rPr>
        <w:t>han</w:t>
      </w:r>
      <w:r w:rsidRPr="00FF009C">
        <w:rPr>
          <w:noProof/>
        </w:rPr>
        <w:t>dlem ludźmi,</w:t>
      </w:r>
      <w:r w:rsidR="00FF009C" w:rsidRPr="00FF009C">
        <w:rPr>
          <w:noProof/>
        </w:rPr>
        <w:t xml:space="preserve"> a</w:t>
      </w:r>
      <w:r w:rsidR="00FF009C">
        <w:rPr>
          <w:noProof/>
        </w:rPr>
        <w:t> </w:t>
      </w:r>
      <w:r w:rsidR="00FF009C" w:rsidRPr="00FF009C">
        <w:rPr>
          <w:noProof/>
        </w:rPr>
        <w:t>w</w:t>
      </w:r>
      <w:r w:rsidR="00FF009C">
        <w:rPr>
          <w:noProof/>
        </w:rPr>
        <w:t> </w:t>
      </w:r>
      <w:r w:rsidR="00FF009C" w:rsidRPr="00FF009C">
        <w:rPr>
          <w:noProof/>
        </w:rPr>
        <w:t>szc</w:t>
      </w:r>
      <w:r w:rsidRPr="00FF009C">
        <w:rPr>
          <w:noProof/>
        </w:rPr>
        <w:t xml:space="preserve">zególności roli Europejskiego Centrum Zwalczania Przemytu Migrantów. </w:t>
      </w:r>
    </w:p>
    <w:p w14:paraId="20334687" w14:textId="25D4317F" w:rsidR="003C270F" w:rsidRPr="00FF009C" w:rsidRDefault="004E5E33" w:rsidP="00A86D07">
      <w:pPr>
        <w:widowControl w:val="0"/>
        <w:spacing w:before="0"/>
        <w:rPr>
          <w:rFonts w:eastAsia="Times New Roman"/>
          <w:noProof/>
        </w:rPr>
      </w:pPr>
      <w:r w:rsidRPr="00FF009C">
        <w:rPr>
          <w:noProof/>
        </w:rPr>
        <w:t>Aby skuteczniej zapobiegać przemytowi migrantów</w:t>
      </w:r>
      <w:r w:rsidR="00FF009C" w:rsidRPr="00FF009C">
        <w:rPr>
          <w:noProof/>
        </w:rPr>
        <w:t xml:space="preserve"> i</w:t>
      </w:r>
      <w:r w:rsidR="00FF009C">
        <w:rPr>
          <w:noProof/>
        </w:rPr>
        <w:t> </w:t>
      </w:r>
      <w:r w:rsidR="00FF009C" w:rsidRPr="00FF009C">
        <w:rPr>
          <w:noProof/>
        </w:rPr>
        <w:t>han</w:t>
      </w:r>
      <w:r w:rsidRPr="00FF009C">
        <w:rPr>
          <w:noProof/>
        </w:rPr>
        <w:t>dlowi ludźmi, wykrywać te przestępstwa oraz prowadzić stosowne postępowania przygotowawcze</w:t>
      </w:r>
      <w:r w:rsidR="00FF009C" w:rsidRPr="00FF009C">
        <w:rPr>
          <w:noProof/>
        </w:rPr>
        <w:t xml:space="preserve"> w</w:t>
      </w:r>
      <w:r w:rsidR="00FF009C">
        <w:rPr>
          <w:noProof/>
        </w:rPr>
        <w:t> </w:t>
      </w:r>
      <w:r w:rsidR="00FF009C" w:rsidRPr="00FF009C">
        <w:rPr>
          <w:noProof/>
        </w:rPr>
        <w:t>tym</w:t>
      </w:r>
      <w:r w:rsidRPr="00FF009C">
        <w:rPr>
          <w:noProof/>
        </w:rPr>
        <w:t xml:space="preserve"> zakresie,</w:t>
      </w:r>
      <w:r w:rsidR="00FF009C" w:rsidRPr="00FF009C">
        <w:rPr>
          <w:noProof/>
        </w:rPr>
        <w:t xml:space="preserve"> w</w:t>
      </w:r>
      <w:r w:rsidR="00FF009C">
        <w:rPr>
          <w:noProof/>
        </w:rPr>
        <w:t> </w:t>
      </w:r>
      <w:r w:rsidR="00FF009C" w:rsidRPr="00FF009C">
        <w:rPr>
          <w:noProof/>
        </w:rPr>
        <w:t>nin</w:t>
      </w:r>
      <w:r w:rsidRPr="00FF009C">
        <w:rPr>
          <w:noProof/>
        </w:rPr>
        <w:t>iejszym wniosku dąży się do osiągnięcia następujących celów szczegółowych.</w:t>
      </w:r>
    </w:p>
    <w:p w14:paraId="6A256C67" w14:textId="49C6A098" w:rsidR="0043039B" w:rsidRPr="00FF009C" w:rsidRDefault="0028650E" w:rsidP="0028650E">
      <w:pPr>
        <w:pStyle w:val="Point0"/>
        <w:rPr>
          <w:noProof/>
        </w:rPr>
      </w:pPr>
      <w:r w:rsidRPr="00FF009C">
        <w:rPr>
          <w:noProof/>
        </w:rPr>
        <w:t>1)</w:t>
      </w:r>
      <w:r w:rsidRPr="00FF009C">
        <w:rPr>
          <w:noProof/>
        </w:rPr>
        <w:tab/>
        <w:t>Zacieśnienie współpracy międzyagencyjnej</w:t>
      </w:r>
      <w:r w:rsidR="00FF009C" w:rsidRPr="00FF009C">
        <w:rPr>
          <w:noProof/>
        </w:rPr>
        <w:t xml:space="preserve"> w</w:t>
      </w:r>
      <w:r w:rsidR="00FF009C">
        <w:rPr>
          <w:noProof/>
        </w:rPr>
        <w:t> </w:t>
      </w:r>
      <w:r w:rsidR="00FF009C" w:rsidRPr="00FF009C">
        <w:rPr>
          <w:noProof/>
        </w:rPr>
        <w:t>dzi</w:t>
      </w:r>
      <w:r w:rsidRPr="00FF009C">
        <w:rPr>
          <w:noProof/>
        </w:rPr>
        <w:t>edzinie przemytu migrantów</w:t>
      </w:r>
      <w:r w:rsidR="00FF009C" w:rsidRPr="00FF009C">
        <w:rPr>
          <w:noProof/>
        </w:rPr>
        <w:t xml:space="preserve"> i</w:t>
      </w:r>
      <w:r w:rsidR="00FF009C">
        <w:rPr>
          <w:noProof/>
        </w:rPr>
        <w:t> </w:t>
      </w:r>
      <w:r w:rsidR="00FF009C" w:rsidRPr="00FF009C">
        <w:rPr>
          <w:noProof/>
        </w:rPr>
        <w:t>han</w:t>
      </w:r>
      <w:r w:rsidRPr="00FF009C">
        <w:rPr>
          <w:noProof/>
        </w:rPr>
        <w:t>dlu ludźmi</w:t>
      </w:r>
    </w:p>
    <w:p w14:paraId="38BC9092" w14:textId="26AD2B38" w:rsidR="0043039B" w:rsidRPr="00FF009C" w:rsidRDefault="0043039B" w:rsidP="0043039B">
      <w:pPr>
        <w:widowControl w:val="0"/>
        <w:spacing w:before="0"/>
        <w:rPr>
          <w:rFonts w:eastAsia="Calibri"/>
          <w:noProof/>
        </w:rPr>
      </w:pPr>
      <w:r w:rsidRPr="00FF009C">
        <w:rPr>
          <w:noProof/>
        </w:rPr>
        <w:t>Aby ułatwić skuteczniejszą, bardziej terminową</w:t>
      </w:r>
      <w:r w:rsidR="00FF009C" w:rsidRPr="00FF009C">
        <w:rPr>
          <w:noProof/>
        </w:rPr>
        <w:t xml:space="preserve"> i</w:t>
      </w:r>
      <w:r w:rsidR="00FF009C">
        <w:rPr>
          <w:noProof/>
        </w:rPr>
        <w:t> </w:t>
      </w:r>
      <w:r w:rsidR="00FF009C" w:rsidRPr="00FF009C">
        <w:rPr>
          <w:noProof/>
        </w:rPr>
        <w:t>sys</w:t>
      </w:r>
      <w:r w:rsidRPr="00FF009C">
        <w:rPr>
          <w:noProof/>
        </w:rPr>
        <w:t>tematyczniejszą koordynację</w:t>
      </w:r>
      <w:r w:rsidR="00FF009C" w:rsidRPr="00FF009C">
        <w:rPr>
          <w:noProof/>
        </w:rPr>
        <w:t xml:space="preserve"> i</w:t>
      </w:r>
      <w:r w:rsidR="00FF009C">
        <w:rPr>
          <w:noProof/>
        </w:rPr>
        <w:t> </w:t>
      </w:r>
      <w:r w:rsidR="00FF009C" w:rsidRPr="00FF009C">
        <w:rPr>
          <w:noProof/>
        </w:rPr>
        <w:t>wym</w:t>
      </w:r>
      <w:r w:rsidRPr="00FF009C">
        <w:rPr>
          <w:noProof/>
        </w:rPr>
        <w:t>ianę informacji</w:t>
      </w:r>
      <w:r w:rsidR="00FF009C" w:rsidRPr="00FF009C">
        <w:rPr>
          <w:noProof/>
        </w:rPr>
        <w:t xml:space="preserve"> w</w:t>
      </w:r>
      <w:r w:rsidR="00FF009C">
        <w:rPr>
          <w:noProof/>
        </w:rPr>
        <w:t> </w:t>
      </w:r>
      <w:r w:rsidR="00FF009C" w:rsidRPr="00FF009C">
        <w:rPr>
          <w:noProof/>
        </w:rPr>
        <w:t>zak</w:t>
      </w:r>
      <w:r w:rsidRPr="00FF009C">
        <w:rPr>
          <w:noProof/>
        </w:rPr>
        <w:t>resie przeciwdziałania przemytowi migrantów</w:t>
      </w:r>
      <w:r w:rsidR="00FF009C" w:rsidRPr="00FF009C">
        <w:rPr>
          <w:noProof/>
        </w:rPr>
        <w:t xml:space="preserve"> i</w:t>
      </w:r>
      <w:r w:rsidR="00FF009C">
        <w:rPr>
          <w:noProof/>
        </w:rPr>
        <w:t> </w:t>
      </w:r>
      <w:r w:rsidR="00FF009C" w:rsidRPr="00FF009C">
        <w:rPr>
          <w:noProof/>
        </w:rPr>
        <w:t>han</w:t>
      </w:r>
      <w:r w:rsidRPr="00FF009C">
        <w:rPr>
          <w:noProof/>
        </w:rPr>
        <w:t xml:space="preserve">dlowi ludźmi między agencjami Unii, </w:t>
      </w:r>
      <w:bookmarkStart w:id="1" w:name="_Hlk151055634"/>
      <w:r w:rsidRPr="00FF009C">
        <w:rPr>
          <w:noProof/>
        </w:rPr>
        <w:t>Europejskie Centrum Zwalczania Przemytu Migrantów</w:t>
      </w:r>
      <w:bookmarkEnd w:id="1"/>
      <w:r w:rsidRPr="00FF009C">
        <w:rPr>
          <w:noProof/>
        </w:rPr>
        <w:t xml:space="preserve"> przy Europolu będzie składać się</w:t>
      </w:r>
      <w:r w:rsidR="00FF009C" w:rsidRPr="00FF009C">
        <w:rPr>
          <w:noProof/>
        </w:rPr>
        <w:t xml:space="preserve"> z</w:t>
      </w:r>
      <w:r w:rsidR="00FF009C">
        <w:rPr>
          <w:noProof/>
        </w:rPr>
        <w:t> </w:t>
      </w:r>
      <w:r w:rsidR="00FF009C" w:rsidRPr="00FF009C">
        <w:rPr>
          <w:noProof/>
        </w:rPr>
        <w:t>pra</w:t>
      </w:r>
      <w:r w:rsidRPr="00FF009C">
        <w:rPr>
          <w:noProof/>
        </w:rPr>
        <w:t>cowników Europolu</w:t>
      </w:r>
      <w:r w:rsidR="00FF009C" w:rsidRPr="00FF009C">
        <w:rPr>
          <w:noProof/>
        </w:rPr>
        <w:t xml:space="preserve"> i</w:t>
      </w:r>
      <w:r w:rsidR="00FF009C">
        <w:rPr>
          <w:noProof/>
        </w:rPr>
        <w:t> </w:t>
      </w:r>
      <w:r w:rsidR="00FF009C" w:rsidRPr="00FF009C">
        <w:rPr>
          <w:noProof/>
        </w:rPr>
        <w:t>odd</w:t>
      </w:r>
      <w:r w:rsidRPr="00FF009C">
        <w:rPr>
          <w:noProof/>
        </w:rPr>
        <w:t>elegowanych ekspertów krajowych oraz będzie angażować urzędników łącznikowych</w:t>
      </w:r>
      <w:r w:rsidR="00FF009C" w:rsidRPr="00FF009C">
        <w:rPr>
          <w:noProof/>
        </w:rPr>
        <w:t xml:space="preserve"> z</w:t>
      </w:r>
      <w:r w:rsidR="00FF009C">
        <w:rPr>
          <w:noProof/>
        </w:rPr>
        <w:t> </w:t>
      </w:r>
      <w:r w:rsidR="00FF009C" w:rsidRPr="00FF009C">
        <w:rPr>
          <w:noProof/>
        </w:rPr>
        <w:t>pań</w:t>
      </w:r>
      <w:r w:rsidRPr="00FF009C">
        <w:rPr>
          <w:noProof/>
        </w:rPr>
        <w:t>stw członkowskich, Eurojustu</w:t>
      </w:r>
      <w:r w:rsidR="00FF009C" w:rsidRPr="00FF009C">
        <w:rPr>
          <w:noProof/>
        </w:rPr>
        <w:t xml:space="preserve"> i</w:t>
      </w:r>
      <w:r w:rsidR="00FF009C">
        <w:rPr>
          <w:noProof/>
        </w:rPr>
        <w:t> </w:t>
      </w:r>
      <w:r w:rsidR="00FF009C" w:rsidRPr="00FF009C">
        <w:rPr>
          <w:noProof/>
        </w:rPr>
        <w:t>Eur</w:t>
      </w:r>
      <w:r w:rsidRPr="00FF009C">
        <w:rPr>
          <w:noProof/>
        </w:rPr>
        <w:t>opejskiej Agencji Straży Granicznej</w:t>
      </w:r>
      <w:r w:rsidR="00FF009C" w:rsidRPr="00FF009C">
        <w:rPr>
          <w:noProof/>
        </w:rPr>
        <w:t xml:space="preserve"> i</w:t>
      </w:r>
      <w:r w:rsidR="00FF009C">
        <w:rPr>
          <w:noProof/>
        </w:rPr>
        <w:t> </w:t>
      </w:r>
      <w:r w:rsidR="00FF009C" w:rsidRPr="00FF009C">
        <w:rPr>
          <w:noProof/>
        </w:rPr>
        <w:t>Prz</w:t>
      </w:r>
      <w:r w:rsidRPr="00FF009C">
        <w:rPr>
          <w:noProof/>
        </w:rPr>
        <w:t>ybrzeżnej, którzy powinni być na stałe oddelegowani do Europolu</w:t>
      </w:r>
      <w:r w:rsidR="00FF009C" w:rsidRPr="00FF009C">
        <w:rPr>
          <w:noProof/>
        </w:rPr>
        <w:t xml:space="preserve"> w</w:t>
      </w:r>
      <w:r w:rsidR="00FF009C">
        <w:rPr>
          <w:noProof/>
        </w:rPr>
        <w:t> </w:t>
      </w:r>
      <w:r w:rsidR="00FF009C" w:rsidRPr="00FF009C">
        <w:rPr>
          <w:noProof/>
        </w:rPr>
        <w:t>cel</w:t>
      </w:r>
      <w:r w:rsidRPr="00FF009C">
        <w:rPr>
          <w:noProof/>
        </w:rPr>
        <w:t>u zapewnienia regularnej wymiany informacji oraz współpracy operacyjnej</w:t>
      </w:r>
      <w:r w:rsidR="00FF009C" w:rsidRPr="00FF009C">
        <w:rPr>
          <w:noProof/>
        </w:rPr>
        <w:t xml:space="preserve"> i</w:t>
      </w:r>
      <w:r w:rsidR="00FF009C">
        <w:rPr>
          <w:noProof/>
        </w:rPr>
        <w:t> </w:t>
      </w:r>
      <w:r w:rsidR="00FF009C" w:rsidRPr="00FF009C">
        <w:rPr>
          <w:noProof/>
        </w:rPr>
        <w:t>koo</w:t>
      </w:r>
      <w:r w:rsidRPr="00FF009C">
        <w:rPr>
          <w:noProof/>
        </w:rPr>
        <w:t>rdynacji</w:t>
      </w:r>
      <w:r w:rsidR="00FF009C" w:rsidRPr="00FF009C">
        <w:rPr>
          <w:noProof/>
        </w:rPr>
        <w:t>. W</w:t>
      </w:r>
      <w:r w:rsidR="00FF009C">
        <w:rPr>
          <w:noProof/>
        </w:rPr>
        <w:t> </w:t>
      </w:r>
      <w:r w:rsidR="00FF009C" w:rsidRPr="00FF009C">
        <w:rPr>
          <w:noProof/>
        </w:rPr>
        <w:t>mię</w:t>
      </w:r>
      <w:r w:rsidRPr="00FF009C">
        <w:rPr>
          <w:noProof/>
        </w:rPr>
        <w:t>dzyczasie agencje ds. wymiaru sprawiedliwości</w:t>
      </w:r>
      <w:r w:rsidR="00FF009C" w:rsidRPr="00FF009C">
        <w:rPr>
          <w:noProof/>
        </w:rPr>
        <w:t xml:space="preserve"> i</w:t>
      </w:r>
      <w:r w:rsidR="00FF009C">
        <w:rPr>
          <w:noProof/>
        </w:rPr>
        <w:t> </w:t>
      </w:r>
      <w:r w:rsidR="00FF009C" w:rsidRPr="00FF009C">
        <w:rPr>
          <w:noProof/>
        </w:rPr>
        <w:t>spr</w:t>
      </w:r>
      <w:r w:rsidRPr="00FF009C">
        <w:rPr>
          <w:noProof/>
        </w:rPr>
        <w:t>aw wewnętrznych mają możliwość zacieśnienia współpracy</w:t>
      </w:r>
      <w:r w:rsidR="00FF009C" w:rsidRPr="00FF009C">
        <w:rPr>
          <w:noProof/>
        </w:rPr>
        <w:t xml:space="preserve"> w</w:t>
      </w:r>
      <w:r w:rsidR="00FF009C">
        <w:rPr>
          <w:noProof/>
        </w:rPr>
        <w:t> </w:t>
      </w:r>
      <w:r w:rsidR="00FF009C" w:rsidRPr="00FF009C">
        <w:rPr>
          <w:noProof/>
        </w:rPr>
        <w:t>opa</w:t>
      </w:r>
      <w:r w:rsidRPr="00FF009C">
        <w:rPr>
          <w:noProof/>
        </w:rPr>
        <w:t>rciu</w:t>
      </w:r>
      <w:r w:rsidR="00FF009C" w:rsidRPr="00FF009C">
        <w:rPr>
          <w:noProof/>
        </w:rPr>
        <w:t xml:space="preserve"> o</w:t>
      </w:r>
      <w:r w:rsidR="00FF009C">
        <w:rPr>
          <w:noProof/>
        </w:rPr>
        <w:t> </w:t>
      </w:r>
      <w:r w:rsidR="00FF009C" w:rsidRPr="00FF009C">
        <w:rPr>
          <w:noProof/>
        </w:rPr>
        <w:t>zak</w:t>
      </w:r>
      <w:r w:rsidRPr="00FF009C">
        <w:rPr>
          <w:noProof/>
        </w:rPr>
        <w:t>resy swoich kompetencji</w:t>
      </w:r>
      <w:r w:rsidR="00FF009C" w:rsidRPr="00FF009C">
        <w:rPr>
          <w:noProof/>
        </w:rPr>
        <w:t xml:space="preserve"> i</w:t>
      </w:r>
      <w:r w:rsidR="00FF009C">
        <w:rPr>
          <w:noProof/>
        </w:rPr>
        <w:t> </w:t>
      </w:r>
      <w:r w:rsidR="00FF009C" w:rsidRPr="00FF009C">
        <w:rPr>
          <w:noProof/>
        </w:rPr>
        <w:t>opt</w:t>
      </w:r>
      <w:r w:rsidRPr="00FF009C">
        <w:rPr>
          <w:noProof/>
        </w:rPr>
        <w:t>ymalizacji wymiany informacji</w:t>
      </w:r>
      <w:r w:rsidR="00FF009C" w:rsidRPr="00FF009C">
        <w:rPr>
          <w:noProof/>
        </w:rPr>
        <w:t xml:space="preserve"> w</w:t>
      </w:r>
      <w:r w:rsidR="00FF009C">
        <w:rPr>
          <w:noProof/>
        </w:rPr>
        <w:t> </w:t>
      </w:r>
      <w:r w:rsidR="00FF009C" w:rsidRPr="00FF009C">
        <w:rPr>
          <w:noProof/>
        </w:rPr>
        <w:t>cel</w:t>
      </w:r>
      <w:r w:rsidRPr="00FF009C">
        <w:rPr>
          <w:noProof/>
        </w:rPr>
        <w:t>u przeciwdziałania przemytowi migrantów</w:t>
      </w:r>
      <w:r w:rsidR="00FF009C" w:rsidRPr="00FF009C">
        <w:rPr>
          <w:noProof/>
        </w:rPr>
        <w:t xml:space="preserve"> i</w:t>
      </w:r>
      <w:r w:rsidR="00FF009C">
        <w:rPr>
          <w:noProof/>
        </w:rPr>
        <w:t> </w:t>
      </w:r>
      <w:r w:rsidR="00FF009C" w:rsidRPr="00FF009C">
        <w:rPr>
          <w:noProof/>
        </w:rPr>
        <w:t>han</w:t>
      </w:r>
      <w:r w:rsidRPr="00FF009C">
        <w:rPr>
          <w:noProof/>
        </w:rPr>
        <w:t>dlu ludźmi. Jednym</w:t>
      </w:r>
      <w:r w:rsidR="00FF009C" w:rsidRPr="00FF009C">
        <w:rPr>
          <w:noProof/>
        </w:rPr>
        <w:t xml:space="preserve"> z</w:t>
      </w:r>
      <w:r w:rsidR="00FF009C">
        <w:rPr>
          <w:noProof/>
        </w:rPr>
        <w:t> </w:t>
      </w:r>
      <w:r w:rsidR="00FF009C" w:rsidRPr="00FF009C">
        <w:rPr>
          <w:noProof/>
        </w:rPr>
        <w:t>klu</w:t>
      </w:r>
      <w:r w:rsidRPr="00FF009C">
        <w:rPr>
          <w:noProof/>
        </w:rPr>
        <w:t>czowych podmiotów, jeżeli chodzi</w:t>
      </w:r>
      <w:r w:rsidR="00FF009C" w:rsidRPr="00FF009C">
        <w:rPr>
          <w:noProof/>
        </w:rPr>
        <w:t xml:space="preserve"> o</w:t>
      </w:r>
      <w:r w:rsidR="00FF009C">
        <w:rPr>
          <w:noProof/>
        </w:rPr>
        <w:t> </w:t>
      </w:r>
      <w:r w:rsidR="00FF009C" w:rsidRPr="00FF009C">
        <w:rPr>
          <w:noProof/>
        </w:rPr>
        <w:t>wzm</w:t>
      </w:r>
      <w:r w:rsidRPr="00FF009C">
        <w:rPr>
          <w:noProof/>
        </w:rPr>
        <w:t>ocnienie reakcji organów sądowych na przemyt migrantów, jest Eurojust, który zapewnia wsparcie</w:t>
      </w:r>
      <w:r w:rsidR="00FF009C" w:rsidRPr="00FF009C">
        <w:rPr>
          <w:noProof/>
        </w:rPr>
        <w:t xml:space="preserve"> w</w:t>
      </w:r>
      <w:r w:rsidR="00FF009C">
        <w:rPr>
          <w:noProof/>
        </w:rPr>
        <w:t> </w:t>
      </w:r>
      <w:r w:rsidR="00FF009C" w:rsidRPr="00FF009C">
        <w:rPr>
          <w:noProof/>
        </w:rPr>
        <w:t>prz</w:t>
      </w:r>
      <w:r w:rsidRPr="00FF009C">
        <w:rPr>
          <w:noProof/>
        </w:rPr>
        <w:t>ypadku złożonych spraw wiążących się</w:t>
      </w:r>
      <w:r w:rsidR="00FF009C" w:rsidRPr="00FF009C">
        <w:rPr>
          <w:noProof/>
        </w:rPr>
        <w:t xml:space="preserve"> z</w:t>
      </w:r>
      <w:r w:rsidR="00FF009C">
        <w:rPr>
          <w:noProof/>
        </w:rPr>
        <w:t> </w:t>
      </w:r>
      <w:r w:rsidR="00FF009C" w:rsidRPr="00FF009C">
        <w:rPr>
          <w:noProof/>
        </w:rPr>
        <w:t>tra</w:t>
      </w:r>
      <w:r w:rsidRPr="00FF009C">
        <w:rPr>
          <w:noProof/>
        </w:rPr>
        <w:t>nsgraniczną koordynacją sądową oraz udziałem wspólnych zespołów dochodzeniowo-śledczych</w:t>
      </w:r>
      <w:r w:rsidR="00FF009C" w:rsidRPr="00FF009C">
        <w:rPr>
          <w:noProof/>
        </w:rPr>
        <w:t xml:space="preserve"> w</w:t>
      </w:r>
      <w:r w:rsidR="00FF009C">
        <w:rPr>
          <w:noProof/>
        </w:rPr>
        <w:t> </w:t>
      </w:r>
      <w:r w:rsidR="00FF009C" w:rsidRPr="00FF009C">
        <w:rPr>
          <w:noProof/>
        </w:rPr>
        <w:t>zak</w:t>
      </w:r>
      <w:r w:rsidRPr="00FF009C">
        <w:rPr>
          <w:noProof/>
        </w:rPr>
        <w:t>resie postępowań przygotowawczych</w:t>
      </w:r>
      <w:r w:rsidR="00FF009C" w:rsidRPr="00FF009C">
        <w:rPr>
          <w:noProof/>
        </w:rPr>
        <w:t xml:space="preserve"> w</w:t>
      </w:r>
      <w:r w:rsidR="00FF009C">
        <w:rPr>
          <w:noProof/>
        </w:rPr>
        <w:t> </w:t>
      </w:r>
      <w:r w:rsidR="00FF009C" w:rsidRPr="00FF009C">
        <w:rPr>
          <w:noProof/>
        </w:rPr>
        <w:t>spr</w:t>
      </w:r>
      <w:r w:rsidRPr="00FF009C">
        <w:rPr>
          <w:noProof/>
        </w:rPr>
        <w:t>awach dotyczących przemytu migrantów.</w:t>
      </w:r>
    </w:p>
    <w:p w14:paraId="3503131F" w14:textId="640BB884" w:rsidR="0043039B" w:rsidRPr="00FF009C" w:rsidRDefault="0028650E" w:rsidP="0028650E">
      <w:pPr>
        <w:pStyle w:val="Point0"/>
        <w:rPr>
          <w:noProof/>
        </w:rPr>
      </w:pPr>
      <w:r w:rsidRPr="00FF009C">
        <w:rPr>
          <w:noProof/>
        </w:rPr>
        <w:t>2)</w:t>
      </w:r>
      <w:r w:rsidRPr="00FF009C">
        <w:rPr>
          <w:noProof/>
        </w:rPr>
        <w:tab/>
        <w:t>Bardziej zdecydowane kierowanie</w:t>
      </w:r>
      <w:r w:rsidR="00FF009C" w:rsidRPr="00FF009C">
        <w:rPr>
          <w:noProof/>
        </w:rPr>
        <w:t xml:space="preserve"> i</w:t>
      </w:r>
      <w:r w:rsidR="00FF009C">
        <w:rPr>
          <w:noProof/>
        </w:rPr>
        <w:t> </w:t>
      </w:r>
      <w:r w:rsidR="00FF009C" w:rsidRPr="00FF009C">
        <w:rPr>
          <w:noProof/>
        </w:rPr>
        <w:t>koo</w:t>
      </w:r>
      <w:r w:rsidRPr="00FF009C">
        <w:rPr>
          <w:noProof/>
        </w:rPr>
        <w:t>rdynacja</w:t>
      </w:r>
      <w:r w:rsidR="00FF009C" w:rsidRPr="00FF009C">
        <w:rPr>
          <w:noProof/>
        </w:rPr>
        <w:t xml:space="preserve"> w</w:t>
      </w:r>
      <w:r w:rsidR="00FF009C">
        <w:rPr>
          <w:noProof/>
        </w:rPr>
        <w:t> </w:t>
      </w:r>
      <w:r w:rsidR="00FF009C" w:rsidRPr="00FF009C">
        <w:rPr>
          <w:noProof/>
        </w:rPr>
        <w:t>kwe</w:t>
      </w:r>
      <w:r w:rsidRPr="00FF009C">
        <w:rPr>
          <w:noProof/>
        </w:rPr>
        <w:t>stii przeciwdziałania przemytowi migrantów</w:t>
      </w:r>
      <w:r w:rsidR="00FF009C" w:rsidRPr="00FF009C">
        <w:rPr>
          <w:noProof/>
        </w:rPr>
        <w:t xml:space="preserve"> i</w:t>
      </w:r>
      <w:r w:rsidR="00FF009C">
        <w:rPr>
          <w:noProof/>
        </w:rPr>
        <w:t> </w:t>
      </w:r>
      <w:r w:rsidR="00FF009C" w:rsidRPr="00FF009C">
        <w:rPr>
          <w:noProof/>
        </w:rPr>
        <w:t>han</w:t>
      </w:r>
      <w:r w:rsidRPr="00FF009C">
        <w:rPr>
          <w:noProof/>
        </w:rPr>
        <w:t xml:space="preserve">dlu ludźmi na szczeblu UE </w:t>
      </w:r>
    </w:p>
    <w:p w14:paraId="52015D2F" w14:textId="6DC70368" w:rsidR="0043039B" w:rsidRPr="00FF009C" w:rsidRDefault="0043039B" w:rsidP="0043039B">
      <w:pPr>
        <w:widowControl w:val="0"/>
        <w:spacing w:before="0"/>
        <w:rPr>
          <w:rFonts w:eastAsia="Calibri"/>
          <w:noProof/>
        </w:rPr>
      </w:pPr>
      <w:r w:rsidRPr="00FF009C">
        <w:rPr>
          <w:noProof/>
        </w:rPr>
        <w:t>Aby rozwiązać problem braków</w:t>
      </w:r>
      <w:r w:rsidR="00FF009C" w:rsidRPr="00FF009C">
        <w:rPr>
          <w:noProof/>
        </w:rPr>
        <w:t xml:space="preserve"> w</w:t>
      </w:r>
      <w:r w:rsidR="00FF009C">
        <w:rPr>
          <w:noProof/>
        </w:rPr>
        <w:t> </w:t>
      </w:r>
      <w:r w:rsidR="00FF009C" w:rsidRPr="00FF009C">
        <w:rPr>
          <w:noProof/>
        </w:rPr>
        <w:t>zak</w:t>
      </w:r>
      <w:r w:rsidRPr="00FF009C">
        <w:rPr>
          <w:noProof/>
        </w:rPr>
        <w:t>resie analizy strategicznej, koordynacji</w:t>
      </w:r>
      <w:r w:rsidR="00FF009C" w:rsidRPr="00FF009C">
        <w:rPr>
          <w:noProof/>
        </w:rPr>
        <w:t xml:space="preserve"> i</w:t>
      </w:r>
      <w:r w:rsidR="00FF009C">
        <w:rPr>
          <w:noProof/>
        </w:rPr>
        <w:t> </w:t>
      </w:r>
      <w:r w:rsidR="00FF009C" w:rsidRPr="00FF009C">
        <w:rPr>
          <w:noProof/>
        </w:rPr>
        <w:t>kie</w:t>
      </w:r>
      <w:r w:rsidRPr="00FF009C">
        <w:rPr>
          <w:noProof/>
        </w:rPr>
        <w:t>rowania na szczeblu UE, we wniosku określono konkretne zadania strategiczne Europejskiego Centrum Zwalczania Przemytu Migrantów</w:t>
      </w:r>
      <w:r w:rsidR="00FF009C" w:rsidRPr="00FF009C">
        <w:rPr>
          <w:noProof/>
        </w:rPr>
        <w:t xml:space="preserve"> w</w:t>
      </w:r>
      <w:r w:rsidR="00FF009C">
        <w:rPr>
          <w:noProof/>
        </w:rPr>
        <w:t> </w:t>
      </w:r>
      <w:r w:rsidR="00FF009C" w:rsidRPr="00FF009C">
        <w:rPr>
          <w:noProof/>
        </w:rPr>
        <w:t>cel</w:t>
      </w:r>
      <w:r w:rsidRPr="00FF009C">
        <w:rPr>
          <w:noProof/>
        </w:rPr>
        <w:t>u zapewnienia ram na potrzeby realizacji strategicznych</w:t>
      </w:r>
      <w:r w:rsidR="00FF009C" w:rsidRPr="00FF009C">
        <w:rPr>
          <w:noProof/>
        </w:rPr>
        <w:t xml:space="preserve"> i</w:t>
      </w:r>
      <w:r w:rsidR="00FF009C">
        <w:rPr>
          <w:noProof/>
        </w:rPr>
        <w:t> </w:t>
      </w:r>
      <w:r w:rsidR="00FF009C" w:rsidRPr="00FF009C">
        <w:rPr>
          <w:noProof/>
        </w:rPr>
        <w:t>ope</w:t>
      </w:r>
      <w:r w:rsidRPr="00FF009C">
        <w:rPr>
          <w:noProof/>
        </w:rPr>
        <w:t>racyjnych priorytetów Unii przez monitorowanie tendencji</w:t>
      </w:r>
      <w:r w:rsidR="00FF009C" w:rsidRPr="00FF009C">
        <w:rPr>
          <w:noProof/>
        </w:rPr>
        <w:t xml:space="preserve"> w</w:t>
      </w:r>
      <w:r w:rsidR="00FF009C">
        <w:rPr>
          <w:noProof/>
        </w:rPr>
        <w:t> </w:t>
      </w:r>
      <w:r w:rsidR="00FF009C" w:rsidRPr="00FF009C">
        <w:rPr>
          <w:noProof/>
        </w:rPr>
        <w:t>zak</w:t>
      </w:r>
      <w:r w:rsidRPr="00FF009C">
        <w:rPr>
          <w:noProof/>
        </w:rPr>
        <w:t>resie przemytu migrantów</w:t>
      </w:r>
      <w:r w:rsidR="00FF009C" w:rsidRPr="00FF009C">
        <w:rPr>
          <w:noProof/>
        </w:rPr>
        <w:t xml:space="preserve"> i</w:t>
      </w:r>
      <w:r w:rsidR="00FF009C">
        <w:rPr>
          <w:noProof/>
        </w:rPr>
        <w:t> </w:t>
      </w:r>
      <w:r w:rsidR="00FF009C" w:rsidRPr="00FF009C">
        <w:rPr>
          <w:noProof/>
        </w:rPr>
        <w:t>han</w:t>
      </w:r>
      <w:r w:rsidRPr="00FF009C">
        <w:rPr>
          <w:noProof/>
        </w:rPr>
        <w:t>dlu ludźmi oraz dostarczanie rocznych sprawozdań, analiz strategicznych, ocen zagrożenia</w:t>
      </w:r>
      <w:r w:rsidR="00FF009C" w:rsidRPr="00FF009C">
        <w:rPr>
          <w:noProof/>
        </w:rPr>
        <w:t xml:space="preserve"> i</w:t>
      </w:r>
      <w:r w:rsidR="00FF009C">
        <w:rPr>
          <w:noProof/>
        </w:rPr>
        <w:t> </w:t>
      </w:r>
      <w:r w:rsidR="00FF009C" w:rsidRPr="00FF009C">
        <w:rPr>
          <w:noProof/>
        </w:rPr>
        <w:t>akt</w:t>
      </w:r>
      <w:r w:rsidRPr="00FF009C">
        <w:rPr>
          <w:noProof/>
        </w:rPr>
        <w:t>ualnych informacji na temat sytuacji na szlakach migracyjnych,</w:t>
      </w:r>
      <w:r w:rsidR="00FF009C" w:rsidRPr="00FF009C">
        <w:rPr>
          <w:noProof/>
        </w:rPr>
        <w:t xml:space="preserve"> a</w:t>
      </w:r>
      <w:r w:rsidR="00FF009C">
        <w:rPr>
          <w:noProof/>
        </w:rPr>
        <w:t> </w:t>
      </w:r>
      <w:r w:rsidR="00FF009C" w:rsidRPr="00FF009C">
        <w:rPr>
          <w:noProof/>
        </w:rPr>
        <w:t>tak</w:t>
      </w:r>
      <w:r w:rsidRPr="00FF009C">
        <w:rPr>
          <w:noProof/>
        </w:rPr>
        <w:t>że prowadzenie działań procesowych</w:t>
      </w:r>
      <w:r w:rsidR="00FF009C" w:rsidRPr="00FF009C">
        <w:rPr>
          <w:noProof/>
        </w:rPr>
        <w:t xml:space="preserve"> i</w:t>
      </w:r>
      <w:r w:rsidR="00FF009C">
        <w:rPr>
          <w:noProof/>
        </w:rPr>
        <w:t> </w:t>
      </w:r>
      <w:r w:rsidR="00FF009C" w:rsidRPr="00FF009C">
        <w:rPr>
          <w:noProof/>
        </w:rPr>
        <w:t>ope</w:t>
      </w:r>
      <w:r w:rsidRPr="00FF009C">
        <w:rPr>
          <w:noProof/>
        </w:rPr>
        <w:t>racyjnych. Zadania strategiczne Europejskiego Centrum Zwalczania Przemytu Migrantów będą obejmowały co najmniej dwa spotkania</w:t>
      </w:r>
      <w:r w:rsidR="00FF009C" w:rsidRPr="00FF009C">
        <w:rPr>
          <w:noProof/>
        </w:rPr>
        <w:t xml:space="preserve"> w</w:t>
      </w:r>
      <w:r w:rsidR="00FF009C">
        <w:rPr>
          <w:noProof/>
        </w:rPr>
        <w:t> </w:t>
      </w:r>
      <w:r w:rsidR="00FF009C" w:rsidRPr="00FF009C">
        <w:rPr>
          <w:noProof/>
        </w:rPr>
        <w:t>rok</w:t>
      </w:r>
      <w:r w:rsidRPr="00FF009C">
        <w:rPr>
          <w:noProof/>
        </w:rPr>
        <w:t>u</w:t>
      </w:r>
      <w:r w:rsidR="00FF009C" w:rsidRPr="00FF009C">
        <w:rPr>
          <w:noProof/>
        </w:rPr>
        <w:t xml:space="preserve"> z</w:t>
      </w:r>
      <w:r w:rsidR="00FF009C">
        <w:rPr>
          <w:noProof/>
        </w:rPr>
        <w:t> </w:t>
      </w:r>
      <w:r w:rsidR="00FF009C" w:rsidRPr="00FF009C">
        <w:rPr>
          <w:noProof/>
        </w:rPr>
        <w:t>prz</w:t>
      </w:r>
      <w:r w:rsidRPr="00FF009C">
        <w:rPr>
          <w:noProof/>
        </w:rPr>
        <w:t>edstawicielami każdego państwa członkowskiego, Eurojustu, Europejskiej Agencji Straży Granicznej</w:t>
      </w:r>
      <w:r w:rsidR="00FF009C" w:rsidRPr="00FF009C">
        <w:rPr>
          <w:noProof/>
        </w:rPr>
        <w:t xml:space="preserve"> i</w:t>
      </w:r>
      <w:r w:rsidR="00FF009C">
        <w:rPr>
          <w:noProof/>
        </w:rPr>
        <w:t> </w:t>
      </w:r>
      <w:r w:rsidR="00FF009C" w:rsidRPr="00FF009C">
        <w:rPr>
          <w:noProof/>
        </w:rPr>
        <w:t>Prz</w:t>
      </w:r>
      <w:r w:rsidRPr="00FF009C">
        <w:rPr>
          <w:noProof/>
        </w:rPr>
        <w:t>ybrzeżnej, europejskiej multidyscyplinarnej platformy przeciwko zagrożeniom przestępstwami (EMPACT) oraz Komisji</w:t>
      </w:r>
      <w:r w:rsidR="00FF009C" w:rsidRPr="00FF009C">
        <w:rPr>
          <w:noProof/>
        </w:rPr>
        <w:t xml:space="preserve"> w</w:t>
      </w:r>
      <w:r w:rsidR="00FF009C">
        <w:rPr>
          <w:noProof/>
        </w:rPr>
        <w:t> </w:t>
      </w:r>
      <w:r w:rsidR="00FF009C" w:rsidRPr="00FF009C">
        <w:rPr>
          <w:noProof/>
        </w:rPr>
        <w:t>cel</w:t>
      </w:r>
      <w:r w:rsidRPr="00FF009C">
        <w:rPr>
          <w:noProof/>
        </w:rPr>
        <w:t>u zapewnienia skutecznego kierowania</w:t>
      </w:r>
      <w:r w:rsidR="00FF009C" w:rsidRPr="00FF009C">
        <w:rPr>
          <w:noProof/>
        </w:rPr>
        <w:t xml:space="preserve"> i</w:t>
      </w:r>
      <w:r w:rsidR="00FF009C">
        <w:rPr>
          <w:noProof/>
        </w:rPr>
        <w:t> </w:t>
      </w:r>
      <w:r w:rsidR="00FF009C" w:rsidRPr="00FF009C">
        <w:rPr>
          <w:noProof/>
        </w:rPr>
        <w:t>sku</w:t>
      </w:r>
      <w:r w:rsidRPr="00FF009C">
        <w:rPr>
          <w:noProof/>
        </w:rPr>
        <w:t>tecznej koordynacji. Europejskie Centrum Zwalczania Przemytu Migrantów będzie ponadto wspierać dyrektora wykonawczego Europolu</w:t>
      </w:r>
      <w:r w:rsidR="00FF009C" w:rsidRPr="00FF009C">
        <w:rPr>
          <w:noProof/>
        </w:rPr>
        <w:t xml:space="preserve"> w</w:t>
      </w:r>
      <w:r w:rsidR="00FF009C">
        <w:rPr>
          <w:noProof/>
        </w:rPr>
        <w:t> </w:t>
      </w:r>
      <w:r w:rsidR="00FF009C" w:rsidRPr="00FF009C">
        <w:rPr>
          <w:noProof/>
        </w:rPr>
        <w:t>skł</w:t>
      </w:r>
      <w:r w:rsidRPr="00FF009C">
        <w:rPr>
          <w:noProof/>
        </w:rPr>
        <w:t>adaniu wniosków</w:t>
      </w:r>
      <w:r w:rsidR="00FF009C" w:rsidRPr="00FF009C">
        <w:rPr>
          <w:noProof/>
        </w:rPr>
        <w:t xml:space="preserve"> o</w:t>
      </w:r>
      <w:r w:rsidR="00FF009C">
        <w:rPr>
          <w:noProof/>
        </w:rPr>
        <w:t> </w:t>
      </w:r>
      <w:r w:rsidR="00FF009C" w:rsidRPr="00FF009C">
        <w:rPr>
          <w:noProof/>
        </w:rPr>
        <w:t>wsz</w:t>
      </w:r>
      <w:r w:rsidRPr="00FF009C">
        <w:rPr>
          <w:noProof/>
        </w:rPr>
        <w:t>częcie postępowania przygotowawczego.</w:t>
      </w:r>
    </w:p>
    <w:p w14:paraId="1960B482" w14:textId="30B27CDE" w:rsidR="0043039B" w:rsidRPr="00FF009C" w:rsidRDefault="0028650E" w:rsidP="0028650E">
      <w:pPr>
        <w:pStyle w:val="Point0"/>
        <w:rPr>
          <w:noProof/>
        </w:rPr>
      </w:pPr>
      <w:r w:rsidRPr="00FF009C">
        <w:rPr>
          <w:noProof/>
        </w:rPr>
        <w:t>3)</w:t>
      </w:r>
      <w:r w:rsidRPr="00FF009C">
        <w:rPr>
          <w:noProof/>
        </w:rPr>
        <w:tab/>
        <w:t>Usprawnienie wymiany informacji na temat przemytu migrantów</w:t>
      </w:r>
      <w:r w:rsidR="00FF009C" w:rsidRPr="00FF009C">
        <w:rPr>
          <w:noProof/>
        </w:rPr>
        <w:t xml:space="preserve"> i</w:t>
      </w:r>
      <w:r w:rsidR="00FF009C">
        <w:rPr>
          <w:noProof/>
        </w:rPr>
        <w:t> </w:t>
      </w:r>
      <w:r w:rsidR="00FF009C" w:rsidRPr="00FF009C">
        <w:rPr>
          <w:noProof/>
        </w:rPr>
        <w:t>han</w:t>
      </w:r>
      <w:r w:rsidRPr="00FF009C">
        <w:rPr>
          <w:noProof/>
        </w:rPr>
        <w:t>dlu ludźmi</w:t>
      </w:r>
    </w:p>
    <w:p w14:paraId="2DF9B04D" w14:textId="049084B2" w:rsidR="0043039B" w:rsidRPr="00FF009C" w:rsidRDefault="0043039B" w:rsidP="0060088B">
      <w:pPr>
        <w:widowControl w:val="0"/>
        <w:spacing w:before="0"/>
        <w:rPr>
          <w:rFonts w:eastAsia="Calibri"/>
          <w:noProof/>
        </w:rPr>
      </w:pPr>
      <w:r w:rsidRPr="00FF009C">
        <w:rPr>
          <w:noProof/>
        </w:rPr>
        <w:t>W proponowanym rozporządzeniu zwiększa się obowiązki państw członkowskich</w:t>
      </w:r>
      <w:r w:rsidR="00FF009C" w:rsidRPr="00FF009C">
        <w:rPr>
          <w:noProof/>
        </w:rPr>
        <w:t xml:space="preserve"> w</w:t>
      </w:r>
      <w:r w:rsidR="00FF009C">
        <w:rPr>
          <w:noProof/>
        </w:rPr>
        <w:t> </w:t>
      </w:r>
      <w:r w:rsidR="00FF009C" w:rsidRPr="00FF009C">
        <w:rPr>
          <w:noProof/>
        </w:rPr>
        <w:t>zak</w:t>
      </w:r>
      <w:r w:rsidRPr="00FF009C">
        <w:rPr>
          <w:noProof/>
        </w:rPr>
        <w:t>resie wymiany informacji</w:t>
      </w:r>
      <w:r w:rsidR="00FF009C" w:rsidRPr="00FF009C">
        <w:rPr>
          <w:noProof/>
        </w:rPr>
        <w:t xml:space="preserve"> z</w:t>
      </w:r>
      <w:r w:rsidR="00FF009C">
        <w:rPr>
          <w:noProof/>
        </w:rPr>
        <w:t> </w:t>
      </w:r>
      <w:r w:rsidR="00FF009C" w:rsidRPr="00FF009C">
        <w:rPr>
          <w:noProof/>
        </w:rPr>
        <w:t>Eur</w:t>
      </w:r>
      <w:r w:rsidRPr="00FF009C">
        <w:rPr>
          <w:noProof/>
        </w:rPr>
        <w:t>opolem,</w:t>
      </w:r>
      <w:r w:rsidR="00FF009C" w:rsidRPr="00FF009C">
        <w:rPr>
          <w:noProof/>
        </w:rPr>
        <w:t xml:space="preserve"> w</w:t>
      </w:r>
      <w:r w:rsidR="00FF009C">
        <w:rPr>
          <w:noProof/>
        </w:rPr>
        <w:t> </w:t>
      </w:r>
      <w:r w:rsidR="00FF009C" w:rsidRPr="00FF009C">
        <w:rPr>
          <w:noProof/>
        </w:rPr>
        <w:t>tym</w:t>
      </w:r>
      <w:r w:rsidRPr="00FF009C">
        <w:rPr>
          <w:noProof/>
        </w:rPr>
        <w:t xml:space="preserve"> biometrii,</w:t>
      </w:r>
      <w:r w:rsidR="00FF009C" w:rsidRPr="00FF009C">
        <w:rPr>
          <w:noProof/>
        </w:rPr>
        <w:t xml:space="preserve"> w</w:t>
      </w:r>
      <w:r w:rsidR="00FF009C">
        <w:rPr>
          <w:noProof/>
        </w:rPr>
        <w:t> </w:t>
      </w:r>
      <w:r w:rsidR="00FF009C" w:rsidRPr="00FF009C">
        <w:rPr>
          <w:noProof/>
        </w:rPr>
        <w:t>kwe</w:t>
      </w:r>
      <w:r w:rsidRPr="00FF009C">
        <w:rPr>
          <w:noProof/>
        </w:rPr>
        <w:t>stii przemytu migrantów</w:t>
      </w:r>
      <w:r w:rsidR="00FF009C" w:rsidRPr="00FF009C">
        <w:rPr>
          <w:noProof/>
        </w:rPr>
        <w:t xml:space="preserve"> i</w:t>
      </w:r>
      <w:r w:rsidR="00FF009C">
        <w:rPr>
          <w:noProof/>
        </w:rPr>
        <w:t> </w:t>
      </w:r>
      <w:r w:rsidR="00FF009C" w:rsidRPr="00FF009C">
        <w:rPr>
          <w:noProof/>
        </w:rPr>
        <w:t>han</w:t>
      </w:r>
      <w:r w:rsidRPr="00FF009C">
        <w:rPr>
          <w:noProof/>
        </w:rPr>
        <w:t>dlu ludźmi,</w:t>
      </w:r>
      <w:r w:rsidR="00FF009C" w:rsidRPr="00FF009C">
        <w:rPr>
          <w:noProof/>
        </w:rPr>
        <w:t xml:space="preserve"> w</w:t>
      </w:r>
      <w:r w:rsidR="00FF009C">
        <w:rPr>
          <w:noProof/>
        </w:rPr>
        <w:t> </w:t>
      </w:r>
      <w:r w:rsidR="00FF009C" w:rsidRPr="00FF009C">
        <w:rPr>
          <w:noProof/>
        </w:rPr>
        <w:t>tym w</w:t>
      </w:r>
      <w:r w:rsidR="00FF009C">
        <w:rPr>
          <w:noProof/>
        </w:rPr>
        <w:t> </w:t>
      </w:r>
      <w:r w:rsidR="00FF009C" w:rsidRPr="00FF009C">
        <w:rPr>
          <w:noProof/>
        </w:rPr>
        <w:t>wyn</w:t>
      </w:r>
      <w:r w:rsidRPr="00FF009C">
        <w:rPr>
          <w:noProof/>
        </w:rPr>
        <w:t>iku wprowadzenia wymogu ustanowienia na potrzeby właściwych organów</w:t>
      </w:r>
      <w:r w:rsidR="00FF009C" w:rsidRPr="00FF009C">
        <w:rPr>
          <w:noProof/>
        </w:rPr>
        <w:t xml:space="preserve"> i</w:t>
      </w:r>
      <w:r w:rsidR="00FF009C">
        <w:rPr>
          <w:noProof/>
        </w:rPr>
        <w:t> </w:t>
      </w:r>
      <w:r w:rsidR="00FF009C" w:rsidRPr="00FF009C">
        <w:rPr>
          <w:noProof/>
        </w:rPr>
        <w:t>urz</w:t>
      </w:r>
      <w:r w:rsidRPr="00FF009C">
        <w:rPr>
          <w:noProof/>
        </w:rPr>
        <w:t>ędników łącznikowych ds. imigracji bezpośredniego połączenia</w:t>
      </w:r>
      <w:r w:rsidR="00FF009C" w:rsidRPr="00FF009C">
        <w:rPr>
          <w:noProof/>
        </w:rPr>
        <w:t xml:space="preserve"> z</w:t>
      </w:r>
      <w:r w:rsidR="00FF009C">
        <w:rPr>
          <w:noProof/>
        </w:rPr>
        <w:t> </w:t>
      </w:r>
      <w:bookmarkStart w:id="2" w:name="_Hlk151109317"/>
      <w:r w:rsidR="00FF009C" w:rsidRPr="00FF009C">
        <w:rPr>
          <w:noProof/>
        </w:rPr>
        <w:t>apl</w:t>
      </w:r>
      <w:r w:rsidRPr="00FF009C">
        <w:rPr>
          <w:noProof/>
        </w:rPr>
        <w:t>ikacją sieci bezpiecznej wymiany informacji</w:t>
      </w:r>
      <w:bookmarkEnd w:id="2"/>
      <w:r w:rsidRPr="00FF009C">
        <w:rPr>
          <w:noProof/>
        </w:rPr>
        <w:t xml:space="preserve"> (SIENA) Europolu. Komisja proponuje również powierzenie Europejskiemu Centrum Zwalczania Przemytu Migrantów zadania polegającego na ustalaniu przypadków przemytu migrantów lub handlu ludźmi, które mogą wymagać współpracy</w:t>
      </w:r>
      <w:r w:rsidR="00FF009C" w:rsidRPr="00FF009C">
        <w:rPr>
          <w:noProof/>
        </w:rPr>
        <w:t xml:space="preserve"> z</w:t>
      </w:r>
      <w:r w:rsidR="00FF009C">
        <w:rPr>
          <w:noProof/>
        </w:rPr>
        <w:t> </w:t>
      </w:r>
      <w:r w:rsidR="00FF009C" w:rsidRPr="00FF009C">
        <w:rPr>
          <w:noProof/>
        </w:rPr>
        <w:t>pań</w:t>
      </w:r>
      <w:r w:rsidRPr="00FF009C">
        <w:rPr>
          <w:noProof/>
        </w:rPr>
        <w:t>stwami trzecimi,</w:t>
      </w:r>
      <w:r w:rsidR="00FF009C" w:rsidRPr="00FF009C">
        <w:rPr>
          <w:noProof/>
        </w:rPr>
        <w:t xml:space="preserve"> w</w:t>
      </w:r>
      <w:r w:rsidR="00FF009C">
        <w:rPr>
          <w:noProof/>
        </w:rPr>
        <w:t> </w:t>
      </w:r>
      <w:r w:rsidR="00FF009C" w:rsidRPr="00FF009C">
        <w:rPr>
          <w:noProof/>
        </w:rPr>
        <w:t>tym w</w:t>
      </w:r>
      <w:r w:rsidR="00FF009C">
        <w:rPr>
          <w:noProof/>
        </w:rPr>
        <w:t> </w:t>
      </w:r>
      <w:r w:rsidR="00FF009C" w:rsidRPr="00FF009C">
        <w:rPr>
          <w:noProof/>
        </w:rPr>
        <w:t>dro</w:t>
      </w:r>
      <w:r w:rsidRPr="00FF009C">
        <w:rPr>
          <w:noProof/>
        </w:rPr>
        <w:t>dze wymiany danych osobowych. Ma to na celu zapewnienie wsparcia dyrektorowi wykonawczemu</w:t>
      </w:r>
      <w:r w:rsidR="00FF009C" w:rsidRPr="00FF009C">
        <w:rPr>
          <w:noProof/>
        </w:rPr>
        <w:t xml:space="preserve"> w</w:t>
      </w:r>
      <w:r w:rsidR="00FF009C">
        <w:rPr>
          <w:noProof/>
        </w:rPr>
        <w:t> </w:t>
      </w:r>
      <w:r w:rsidR="00FF009C" w:rsidRPr="00FF009C">
        <w:rPr>
          <w:noProof/>
        </w:rPr>
        <w:t>pod</w:t>
      </w:r>
      <w:r w:rsidRPr="00FF009C">
        <w:rPr>
          <w:noProof/>
        </w:rPr>
        <w:t>ejmowaniu decyzji</w:t>
      </w:r>
      <w:r w:rsidR="00FF009C" w:rsidRPr="00FF009C">
        <w:rPr>
          <w:noProof/>
        </w:rPr>
        <w:t xml:space="preserve"> w</w:t>
      </w:r>
      <w:r w:rsidR="00FF009C">
        <w:rPr>
          <w:noProof/>
        </w:rPr>
        <w:t> </w:t>
      </w:r>
      <w:r w:rsidR="00FF009C" w:rsidRPr="00FF009C">
        <w:rPr>
          <w:noProof/>
        </w:rPr>
        <w:t>spr</w:t>
      </w:r>
      <w:r w:rsidRPr="00FF009C">
        <w:rPr>
          <w:noProof/>
        </w:rPr>
        <w:t>awie przekazywania danych osobowych do państw trzecich</w:t>
      </w:r>
      <w:r w:rsidR="00FF009C" w:rsidRPr="00FF009C">
        <w:rPr>
          <w:noProof/>
        </w:rPr>
        <w:t xml:space="preserve"> w</w:t>
      </w:r>
      <w:r w:rsidR="00FF009C">
        <w:rPr>
          <w:noProof/>
        </w:rPr>
        <w:t> </w:t>
      </w:r>
      <w:r w:rsidR="00FF009C" w:rsidRPr="00FF009C">
        <w:rPr>
          <w:noProof/>
        </w:rPr>
        <w:t>ind</w:t>
      </w:r>
      <w:r w:rsidRPr="00FF009C">
        <w:rPr>
          <w:noProof/>
        </w:rPr>
        <w:t>ywidualnych przypadkach zgodnie</w:t>
      </w:r>
      <w:r w:rsidR="00FF009C" w:rsidRPr="00FF009C">
        <w:rPr>
          <w:noProof/>
        </w:rPr>
        <w:t xml:space="preserve"> z</w:t>
      </w:r>
      <w:r w:rsidR="00FF009C">
        <w:rPr>
          <w:noProof/>
        </w:rPr>
        <w:t> </w:t>
      </w:r>
      <w:r w:rsidR="00FF009C" w:rsidRPr="00FF009C">
        <w:rPr>
          <w:noProof/>
        </w:rPr>
        <w:t>art</w:t>
      </w:r>
      <w:r w:rsidRPr="00FF009C">
        <w:rPr>
          <w:noProof/>
        </w:rPr>
        <w:t>.</w:t>
      </w:r>
      <w:r w:rsidR="00FF009C" w:rsidRPr="00FF009C">
        <w:rPr>
          <w:noProof/>
        </w:rPr>
        <w:t> </w:t>
      </w:r>
      <w:r w:rsidRPr="00FF009C">
        <w:rPr>
          <w:noProof/>
        </w:rPr>
        <w:t>25 ust.</w:t>
      </w:r>
      <w:r w:rsidR="00FF009C" w:rsidRPr="00FF009C">
        <w:rPr>
          <w:noProof/>
        </w:rPr>
        <w:t> </w:t>
      </w:r>
      <w:r w:rsidRPr="00FF009C">
        <w:rPr>
          <w:noProof/>
        </w:rPr>
        <w:t>5 rozporządzenia</w:t>
      </w:r>
      <w:r w:rsidR="00FF009C" w:rsidRPr="00FF009C">
        <w:rPr>
          <w:noProof/>
        </w:rPr>
        <w:t xml:space="preserve"> w</w:t>
      </w:r>
      <w:r w:rsidR="00FF009C">
        <w:rPr>
          <w:noProof/>
        </w:rPr>
        <w:t> </w:t>
      </w:r>
      <w:r w:rsidR="00FF009C" w:rsidRPr="00FF009C">
        <w:rPr>
          <w:noProof/>
        </w:rPr>
        <w:t>spr</w:t>
      </w:r>
      <w:r w:rsidRPr="00FF009C">
        <w:rPr>
          <w:noProof/>
        </w:rPr>
        <w:t>awie Europolu.</w:t>
      </w:r>
    </w:p>
    <w:p w14:paraId="5EED41FA" w14:textId="4A6D0D1E" w:rsidR="0043039B" w:rsidRPr="00FF009C" w:rsidRDefault="0028650E" w:rsidP="0028650E">
      <w:pPr>
        <w:pStyle w:val="Point0"/>
        <w:rPr>
          <w:noProof/>
        </w:rPr>
      </w:pPr>
      <w:r w:rsidRPr="00FF009C">
        <w:rPr>
          <w:noProof/>
        </w:rPr>
        <w:t>4)</w:t>
      </w:r>
      <w:r w:rsidRPr="00FF009C">
        <w:rPr>
          <w:noProof/>
        </w:rPr>
        <w:tab/>
        <w:t>Zwiększenie zasobów państw członkowskich przeznaczanych na potrzeby zapobieganie przemytowi migrantów</w:t>
      </w:r>
      <w:r w:rsidR="00FF009C" w:rsidRPr="00FF009C">
        <w:rPr>
          <w:noProof/>
        </w:rPr>
        <w:t xml:space="preserve"> i</w:t>
      </w:r>
      <w:r w:rsidR="00FF009C">
        <w:rPr>
          <w:noProof/>
        </w:rPr>
        <w:t> </w:t>
      </w:r>
      <w:r w:rsidR="00FF009C" w:rsidRPr="00FF009C">
        <w:rPr>
          <w:noProof/>
        </w:rPr>
        <w:t>han</w:t>
      </w:r>
      <w:r w:rsidRPr="00FF009C">
        <w:rPr>
          <w:noProof/>
        </w:rPr>
        <w:t>dlowi ludźmi oraz zwalczanie tych przestępstw</w:t>
      </w:r>
    </w:p>
    <w:p w14:paraId="4F090303" w14:textId="13F4EFB6" w:rsidR="0043039B" w:rsidRPr="00FF009C" w:rsidRDefault="0043039B" w:rsidP="0043039B">
      <w:pPr>
        <w:widowControl w:val="0"/>
        <w:spacing w:before="0" w:after="200"/>
        <w:rPr>
          <w:rFonts w:eastAsia="Calibri"/>
          <w:noProof/>
        </w:rPr>
      </w:pPr>
      <w:r w:rsidRPr="00FF009C">
        <w:rPr>
          <w:noProof/>
        </w:rPr>
        <w:t>Aby pomóc państwom członkowskim</w:t>
      </w:r>
      <w:r w:rsidR="00FF009C" w:rsidRPr="00FF009C">
        <w:rPr>
          <w:noProof/>
        </w:rPr>
        <w:t xml:space="preserve"> w</w:t>
      </w:r>
      <w:r w:rsidR="00FF009C">
        <w:rPr>
          <w:noProof/>
        </w:rPr>
        <w:t> </w:t>
      </w:r>
      <w:r w:rsidR="00FF009C" w:rsidRPr="00FF009C">
        <w:rPr>
          <w:noProof/>
        </w:rPr>
        <w:t>sku</w:t>
      </w:r>
      <w:r w:rsidRPr="00FF009C">
        <w:rPr>
          <w:noProof/>
        </w:rPr>
        <w:t>tecznym przeciwdziałaniu przemytowi migrantów</w:t>
      </w:r>
      <w:r w:rsidR="00FF009C" w:rsidRPr="00FF009C">
        <w:rPr>
          <w:noProof/>
        </w:rPr>
        <w:t xml:space="preserve"> i</w:t>
      </w:r>
      <w:r w:rsidR="00FF009C">
        <w:rPr>
          <w:noProof/>
        </w:rPr>
        <w:t> </w:t>
      </w:r>
      <w:r w:rsidR="00FF009C" w:rsidRPr="00FF009C">
        <w:rPr>
          <w:noProof/>
        </w:rPr>
        <w:t>sku</w:t>
      </w:r>
      <w:r w:rsidRPr="00FF009C">
        <w:rPr>
          <w:noProof/>
        </w:rPr>
        <w:t>tecznej wymianie istotnych informacji</w:t>
      </w:r>
      <w:r w:rsidR="00FF009C" w:rsidRPr="00FF009C">
        <w:rPr>
          <w:noProof/>
        </w:rPr>
        <w:t xml:space="preserve"> z</w:t>
      </w:r>
      <w:r w:rsidR="00FF009C">
        <w:rPr>
          <w:noProof/>
        </w:rPr>
        <w:t> </w:t>
      </w:r>
      <w:r w:rsidR="00FF009C" w:rsidRPr="00FF009C">
        <w:rPr>
          <w:noProof/>
        </w:rPr>
        <w:t>Eur</w:t>
      </w:r>
      <w:r w:rsidRPr="00FF009C">
        <w:rPr>
          <w:noProof/>
        </w:rPr>
        <w:t>opolem</w:t>
      </w:r>
      <w:r w:rsidRPr="00FF009C">
        <w:rPr>
          <w:noProof/>
          <w:sz w:val="22"/>
        </w:rPr>
        <w:t xml:space="preserve">, </w:t>
      </w:r>
      <w:r w:rsidRPr="00FF009C">
        <w:rPr>
          <w:noProof/>
        </w:rPr>
        <w:t>proponuje się, aby wyznaczyły one służby wyspecjalizowane</w:t>
      </w:r>
      <w:r w:rsidR="00FF009C" w:rsidRPr="00FF009C">
        <w:rPr>
          <w:noProof/>
        </w:rPr>
        <w:t xml:space="preserve"> w</w:t>
      </w:r>
      <w:r w:rsidR="00FF009C">
        <w:rPr>
          <w:noProof/>
        </w:rPr>
        <w:t> </w:t>
      </w:r>
      <w:r w:rsidR="00FF009C" w:rsidRPr="00FF009C">
        <w:rPr>
          <w:noProof/>
        </w:rPr>
        <w:t>zwa</w:t>
      </w:r>
      <w:r w:rsidRPr="00FF009C">
        <w:rPr>
          <w:noProof/>
        </w:rPr>
        <w:t>lczaniu przemytu migrantów</w:t>
      </w:r>
      <w:r w:rsidR="00FF009C" w:rsidRPr="00FF009C">
        <w:rPr>
          <w:noProof/>
        </w:rPr>
        <w:t xml:space="preserve"> i</w:t>
      </w:r>
      <w:r w:rsidR="00FF009C">
        <w:rPr>
          <w:noProof/>
        </w:rPr>
        <w:t> </w:t>
      </w:r>
      <w:r w:rsidR="00FF009C" w:rsidRPr="00FF009C">
        <w:rPr>
          <w:noProof/>
        </w:rPr>
        <w:t>han</w:t>
      </w:r>
      <w:r w:rsidRPr="00FF009C">
        <w:rPr>
          <w:noProof/>
        </w:rPr>
        <w:t>dlu ludźmi, zapewniły im odpowiednie zasoby</w:t>
      </w:r>
      <w:r w:rsidR="00FF009C" w:rsidRPr="00FF009C">
        <w:rPr>
          <w:noProof/>
        </w:rPr>
        <w:t xml:space="preserve"> i</w:t>
      </w:r>
      <w:r w:rsidR="00FF009C">
        <w:rPr>
          <w:noProof/>
        </w:rPr>
        <w:t> </w:t>
      </w:r>
      <w:r w:rsidR="00FF009C" w:rsidRPr="00FF009C">
        <w:rPr>
          <w:noProof/>
        </w:rPr>
        <w:t>poł</w:t>
      </w:r>
      <w:r w:rsidRPr="00FF009C">
        <w:rPr>
          <w:noProof/>
        </w:rPr>
        <w:t>ączenie</w:t>
      </w:r>
      <w:r w:rsidR="00FF009C" w:rsidRPr="00FF009C">
        <w:rPr>
          <w:noProof/>
        </w:rPr>
        <w:t xml:space="preserve"> z</w:t>
      </w:r>
      <w:r w:rsidR="00FF009C">
        <w:rPr>
          <w:noProof/>
        </w:rPr>
        <w:t> </w:t>
      </w:r>
      <w:r w:rsidR="00FF009C" w:rsidRPr="00FF009C">
        <w:rPr>
          <w:noProof/>
        </w:rPr>
        <w:t>apl</w:t>
      </w:r>
      <w:r w:rsidRPr="00FF009C">
        <w:rPr>
          <w:noProof/>
        </w:rPr>
        <w:t>ikacją SIENA oraz zleciły Europejskiemu Centrum Zwalczania Przemytu Migrantów działanie jako sieć wyspecjalizowanych służb.</w:t>
      </w:r>
    </w:p>
    <w:p w14:paraId="27C57936" w14:textId="549D01C7" w:rsidR="0043039B" w:rsidRPr="00FF009C" w:rsidRDefault="0028650E" w:rsidP="0028650E">
      <w:pPr>
        <w:pStyle w:val="Point0"/>
        <w:rPr>
          <w:noProof/>
        </w:rPr>
      </w:pPr>
      <w:r w:rsidRPr="00FF009C">
        <w:rPr>
          <w:noProof/>
        </w:rPr>
        <w:t>5)</w:t>
      </w:r>
      <w:r w:rsidRPr="00FF009C">
        <w:rPr>
          <w:noProof/>
        </w:rPr>
        <w:tab/>
        <w:t>Zwiększenie wsparcia Europolu</w:t>
      </w:r>
      <w:r w:rsidR="00FF009C" w:rsidRPr="00FF009C">
        <w:rPr>
          <w:noProof/>
        </w:rPr>
        <w:t xml:space="preserve"> w</w:t>
      </w:r>
      <w:r w:rsidR="00FF009C">
        <w:rPr>
          <w:noProof/>
        </w:rPr>
        <w:t> </w:t>
      </w:r>
      <w:r w:rsidR="00FF009C" w:rsidRPr="00FF009C">
        <w:rPr>
          <w:noProof/>
        </w:rPr>
        <w:t>zak</w:t>
      </w:r>
      <w:r w:rsidRPr="00FF009C">
        <w:rPr>
          <w:noProof/>
        </w:rPr>
        <w:t>resie zapobiegania przemytowi migrantów</w:t>
      </w:r>
      <w:r w:rsidR="00FF009C" w:rsidRPr="00FF009C">
        <w:rPr>
          <w:noProof/>
        </w:rPr>
        <w:t xml:space="preserve"> i</w:t>
      </w:r>
      <w:r w:rsidR="00FF009C">
        <w:rPr>
          <w:noProof/>
        </w:rPr>
        <w:t> </w:t>
      </w:r>
      <w:r w:rsidR="00FF009C" w:rsidRPr="00FF009C">
        <w:rPr>
          <w:noProof/>
        </w:rPr>
        <w:t>han</w:t>
      </w:r>
      <w:r w:rsidRPr="00FF009C">
        <w:rPr>
          <w:noProof/>
        </w:rPr>
        <w:t>dlowi ludźmi oraz zwalczania tych przestępstw za pośrednictwem operacyjnych grup zadaniowych</w:t>
      </w:r>
      <w:r w:rsidR="00FF009C" w:rsidRPr="00FF009C">
        <w:rPr>
          <w:noProof/>
        </w:rPr>
        <w:t xml:space="preserve"> i</w:t>
      </w:r>
      <w:r w:rsidR="00FF009C">
        <w:rPr>
          <w:noProof/>
        </w:rPr>
        <w:t> </w:t>
      </w:r>
      <w:r w:rsidR="00FF009C" w:rsidRPr="00FF009C">
        <w:rPr>
          <w:noProof/>
        </w:rPr>
        <w:t>roz</w:t>
      </w:r>
      <w:r w:rsidRPr="00FF009C">
        <w:rPr>
          <w:noProof/>
        </w:rPr>
        <w:t xml:space="preserve">mieszczania pracowników Europolu na potrzeby wsparcia operacyjnego </w:t>
      </w:r>
    </w:p>
    <w:p w14:paraId="5DC7CE67" w14:textId="1A70F877" w:rsidR="0043039B" w:rsidRPr="00FF009C" w:rsidRDefault="0043039B" w:rsidP="0043039B">
      <w:pPr>
        <w:spacing w:before="0"/>
        <w:rPr>
          <w:rFonts w:eastAsia="Calibri"/>
          <w:noProof/>
        </w:rPr>
      </w:pPr>
      <w:r w:rsidRPr="00FF009C">
        <w:rPr>
          <w:noProof/>
        </w:rPr>
        <w:t>Proponuje się ujednolicenie</w:t>
      </w:r>
      <w:r w:rsidR="00FF009C" w:rsidRPr="00FF009C">
        <w:rPr>
          <w:noProof/>
        </w:rPr>
        <w:t xml:space="preserve"> i</w:t>
      </w:r>
      <w:r w:rsidR="00FF009C">
        <w:rPr>
          <w:noProof/>
        </w:rPr>
        <w:t> </w:t>
      </w:r>
      <w:r w:rsidR="00FF009C" w:rsidRPr="00FF009C">
        <w:rPr>
          <w:noProof/>
        </w:rPr>
        <w:t>dal</w:t>
      </w:r>
      <w:r w:rsidRPr="00FF009C">
        <w:rPr>
          <w:noProof/>
        </w:rPr>
        <w:t>sze rozwijanie koncepcji operacyjnych grup zadaniowych oraz ustanowienie nowego narzędzia</w:t>
      </w:r>
      <w:r w:rsidR="00FF009C" w:rsidRPr="00FF009C">
        <w:rPr>
          <w:noProof/>
        </w:rPr>
        <w:t xml:space="preserve"> w</w:t>
      </w:r>
      <w:r w:rsidR="00FF009C">
        <w:rPr>
          <w:noProof/>
        </w:rPr>
        <w:t> </w:t>
      </w:r>
      <w:r w:rsidR="00FF009C" w:rsidRPr="00FF009C">
        <w:rPr>
          <w:noProof/>
        </w:rPr>
        <w:t>pos</w:t>
      </w:r>
      <w:r w:rsidRPr="00FF009C">
        <w:rPr>
          <w:noProof/>
        </w:rPr>
        <w:t>taci rozmieszczania pracowników Europolu</w:t>
      </w:r>
      <w:r w:rsidR="00FF009C" w:rsidRPr="00FF009C">
        <w:rPr>
          <w:noProof/>
        </w:rPr>
        <w:t xml:space="preserve"> w</w:t>
      </w:r>
      <w:r w:rsidR="00FF009C">
        <w:rPr>
          <w:noProof/>
        </w:rPr>
        <w:t> </w:t>
      </w:r>
      <w:r w:rsidR="00FF009C" w:rsidRPr="00FF009C">
        <w:rPr>
          <w:noProof/>
        </w:rPr>
        <w:t>ram</w:t>
      </w:r>
      <w:r w:rsidRPr="00FF009C">
        <w:rPr>
          <w:noProof/>
        </w:rPr>
        <w:t>ach wsparcia operacyjnego jako zaawansowanych narzędzi koordynacji</w:t>
      </w:r>
      <w:r w:rsidR="00FF009C" w:rsidRPr="00FF009C">
        <w:rPr>
          <w:noProof/>
        </w:rPr>
        <w:t xml:space="preserve"> i</w:t>
      </w:r>
      <w:r w:rsidR="00FF009C">
        <w:rPr>
          <w:noProof/>
        </w:rPr>
        <w:t> </w:t>
      </w:r>
      <w:r w:rsidR="00FF009C" w:rsidRPr="00FF009C">
        <w:rPr>
          <w:noProof/>
        </w:rPr>
        <w:t>wsp</w:t>
      </w:r>
      <w:r w:rsidRPr="00FF009C">
        <w:rPr>
          <w:noProof/>
        </w:rPr>
        <w:t>arcia analitycznego, operacyjnego, technicznego</w:t>
      </w:r>
      <w:r w:rsidR="00FF009C" w:rsidRPr="00FF009C">
        <w:rPr>
          <w:noProof/>
        </w:rPr>
        <w:t xml:space="preserve"> i</w:t>
      </w:r>
      <w:r w:rsidR="00FF009C">
        <w:rPr>
          <w:noProof/>
        </w:rPr>
        <w:t> </w:t>
      </w:r>
      <w:r w:rsidR="00FF009C" w:rsidRPr="00FF009C">
        <w:rPr>
          <w:noProof/>
        </w:rPr>
        <w:t>kry</w:t>
      </w:r>
      <w:r w:rsidRPr="00FF009C">
        <w:rPr>
          <w:noProof/>
        </w:rPr>
        <w:t>minalistycznego, na wniosek państw członkowskich lub na wniosek dyrektora wykonawczego Europolu</w:t>
      </w:r>
      <w:r w:rsidR="00FF009C" w:rsidRPr="00FF009C">
        <w:rPr>
          <w:noProof/>
        </w:rPr>
        <w:t>. W</w:t>
      </w:r>
      <w:r w:rsidR="00FF009C">
        <w:rPr>
          <w:noProof/>
        </w:rPr>
        <w:t> </w:t>
      </w:r>
      <w:r w:rsidR="00FF009C" w:rsidRPr="00FF009C">
        <w:rPr>
          <w:noProof/>
        </w:rPr>
        <w:t>nin</w:t>
      </w:r>
      <w:r w:rsidRPr="00FF009C">
        <w:rPr>
          <w:noProof/>
        </w:rPr>
        <w:t>iejszym wniosku proponuje się również utworzenie rezerwy ekspertów pracujących</w:t>
      </w:r>
      <w:r w:rsidR="00FF009C" w:rsidRPr="00FF009C">
        <w:rPr>
          <w:noProof/>
        </w:rPr>
        <w:t xml:space="preserve"> w</w:t>
      </w:r>
      <w:r w:rsidR="00FF009C">
        <w:rPr>
          <w:noProof/>
        </w:rPr>
        <w:t> </w:t>
      </w:r>
      <w:r w:rsidR="00FF009C" w:rsidRPr="00FF009C">
        <w:rPr>
          <w:noProof/>
        </w:rPr>
        <w:t>swo</w:t>
      </w:r>
      <w:r w:rsidRPr="00FF009C">
        <w:rPr>
          <w:noProof/>
        </w:rPr>
        <w:t>ich państwach członkowskich, którzy mogą zostać oddani do bezpośredniej dyspozycji Europolu</w:t>
      </w:r>
      <w:r w:rsidR="00FF009C" w:rsidRPr="00FF009C">
        <w:rPr>
          <w:noProof/>
        </w:rPr>
        <w:t xml:space="preserve"> w</w:t>
      </w:r>
      <w:r w:rsidR="00FF009C">
        <w:rPr>
          <w:noProof/>
        </w:rPr>
        <w:t> </w:t>
      </w:r>
      <w:r w:rsidR="00FF009C" w:rsidRPr="00FF009C">
        <w:rPr>
          <w:noProof/>
        </w:rPr>
        <w:t>cel</w:t>
      </w:r>
      <w:r w:rsidRPr="00FF009C">
        <w:rPr>
          <w:noProof/>
        </w:rPr>
        <w:t>u ich rozmieszczenia, oraz nakłada się na państwa członkowskie obowiązek zapewnienia skutecznego wdrożenia tych narzędzi. Państwa trzecie mogą również uczestniczyć</w:t>
      </w:r>
      <w:r w:rsidR="00FF009C" w:rsidRPr="00FF009C">
        <w:rPr>
          <w:noProof/>
        </w:rPr>
        <w:t xml:space="preserve"> w</w:t>
      </w:r>
      <w:r w:rsidR="00FF009C">
        <w:rPr>
          <w:noProof/>
        </w:rPr>
        <w:t> </w:t>
      </w:r>
      <w:r w:rsidR="00FF009C" w:rsidRPr="00FF009C">
        <w:rPr>
          <w:noProof/>
        </w:rPr>
        <w:t>ope</w:t>
      </w:r>
      <w:r w:rsidRPr="00FF009C">
        <w:rPr>
          <w:noProof/>
        </w:rPr>
        <w:t>racyjnych grupach zadaniowych,</w:t>
      </w:r>
      <w:r w:rsidR="00FF009C" w:rsidRPr="00FF009C">
        <w:rPr>
          <w:noProof/>
        </w:rPr>
        <w:t xml:space="preserve"> a</w:t>
      </w:r>
      <w:r w:rsidR="00FF009C">
        <w:rPr>
          <w:noProof/>
        </w:rPr>
        <w:t> </w:t>
      </w:r>
      <w:r w:rsidR="00FF009C" w:rsidRPr="00FF009C">
        <w:rPr>
          <w:noProof/>
        </w:rPr>
        <w:t>roz</w:t>
      </w:r>
      <w:r w:rsidRPr="00FF009C">
        <w:rPr>
          <w:noProof/>
        </w:rPr>
        <w:t>mieszczanie pracowników Europolu</w:t>
      </w:r>
      <w:r w:rsidR="00FF009C" w:rsidRPr="00FF009C">
        <w:rPr>
          <w:noProof/>
        </w:rPr>
        <w:t xml:space="preserve"> w</w:t>
      </w:r>
      <w:r w:rsidR="00FF009C">
        <w:rPr>
          <w:noProof/>
        </w:rPr>
        <w:t> </w:t>
      </w:r>
      <w:r w:rsidR="00FF009C" w:rsidRPr="00FF009C">
        <w:rPr>
          <w:noProof/>
        </w:rPr>
        <w:t>ram</w:t>
      </w:r>
      <w:r w:rsidRPr="00FF009C">
        <w:rPr>
          <w:noProof/>
        </w:rPr>
        <w:t>ach wsparcia operacyjnego może mieć miejsce</w:t>
      </w:r>
      <w:r w:rsidR="00FF009C" w:rsidRPr="00FF009C">
        <w:rPr>
          <w:noProof/>
        </w:rPr>
        <w:t xml:space="preserve"> w</w:t>
      </w:r>
      <w:r w:rsidR="00FF009C">
        <w:rPr>
          <w:noProof/>
        </w:rPr>
        <w:t> </w:t>
      </w:r>
      <w:r w:rsidR="00FF009C" w:rsidRPr="00FF009C">
        <w:rPr>
          <w:noProof/>
        </w:rPr>
        <w:t>pań</w:t>
      </w:r>
      <w:r w:rsidRPr="00FF009C">
        <w:rPr>
          <w:noProof/>
        </w:rPr>
        <w:t>stwach trzecich.</w:t>
      </w:r>
    </w:p>
    <w:p w14:paraId="554631B0" w14:textId="7AC47B89" w:rsidR="0043039B" w:rsidRPr="00FF009C" w:rsidRDefault="0043039B" w:rsidP="00977077">
      <w:pPr>
        <w:spacing w:before="0"/>
        <w:rPr>
          <w:rFonts w:eastAsia="Calibri"/>
          <w:noProof/>
        </w:rPr>
      </w:pPr>
      <w:r w:rsidRPr="00FF009C">
        <w:rPr>
          <w:noProof/>
        </w:rPr>
        <w:t>Aby osiągnąć te cele Komisja proponuje również zwiększenie zasobów finansowych</w:t>
      </w:r>
      <w:r w:rsidR="00FF009C" w:rsidRPr="00FF009C">
        <w:rPr>
          <w:noProof/>
        </w:rPr>
        <w:t xml:space="preserve"> i</w:t>
      </w:r>
      <w:r w:rsidR="00FF009C">
        <w:rPr>
          <w:noProof/>
        </w:rPr>
        <w:t> </w:t>
      </w:r>
      <w:r w:rsidR="00FF009C" w:rsidRPr="00FF009C">
        <w:rPr>
          <w:noProof/>
        </w:rPr>
        <w:t>lud</w:t>
      </w:r>
      <w:r w:rsidRPr="00FF009C">
        <w:rPr>
          <w:noProof/>
        </w:rPr>
        <w:t>zkich Europolu</w:t>
      </w:r>
      <w:r w:rsidR="00FF009C" w:rsidRPr="00FF009C">
        <w:rPr>
          <w:noProof/>
        </w:rPr>
        <w:t xml:space="preserve"> w</w:t>
      </w:r>
      <w:r w:rsidR="00FF009C">
        <w:rPr>
          <w:noProof/>
        </w:rPr>
        <w:t> </w:t>
      </w:r>
      <w:r w:rsidR="00FF009C" w:rsidRPr="00FF009C">
        <w:rPr>
          <w:noProof/>
        </w:rPr>
        <w:t>cel</w:t>
      </w:r>
      <w:r w:rsidRPr="00FF009C">
        <w:rPr>
          <w:noProof/>
        </w:rPr>
        <w:t>u reagowania na potrzeby operacyjne</w:t>
      </w:r>
      <w:r w:rsidR="00FF009C" w:rsidRPr="00FF009C">
        <w:rPr>
          <w:noProof/>
        </w:rPr>
        <w:t xml:space="preserve"> i</w:t>
      </w:r>
      <w:r w:rsidR="00FF009C">
        <w:rPr>
          <w:noProof/>
        </w:rPr>
        <w:t> </w:t>
      </w:r>
      <w:r w:rsidR="00FF009C" w:rsidRPr="00FF009C">
        <w:rPr>
          <w:noProof/>
        </w:rPr>
        <w:t>wye</w:t>
      </w:r>
      <w:r w:rsidRPr="00FF009C">
        <w:rPr>
          <w:noProof/>
        </w:rPr>
        <w:t>liminowania stwierdzonych luk.</w:t>
      </w:r>
    </w:p>
    <w:p w14:paraId="00ED18D7" w14:textId="31D5AA0E" w:rsidR="0043039B" w:rsidRPr="00FF009C" w:rsidRDefault="0043039B" w:rsidP="00977077">
      <w:pPr>
        <w:widowControl w:val="0"/>
        <w:autoSpaceDE w:val="0"/>
        <w:autoSpaceDN w:val="0"/>
        <w:adjustRightInd w:val="0"/>
        <w:spacing w:before="0"/>
        <w:rPr>
          <w:rFonts w:eastAsia="Times New Roman"/>
          <w:b/>
          <w:bCs/>
          <w:noProof/>
        </w:rPr>
      </w:pPr>
      <w:r w:rsidRPr="00FF009C">
        <w:rPr>
          <w:b/>
          <w:noProof/>
        </w:rPr>
        <w:t>•</w:t>
      </w:r>
      <w:r w:rsidRPr="00FF009C">
        <w:rPr>
          <w:noProof/>
        </w:rPr>
        <w:tab/>
      </w:r>
      <w:r w:rsidRPr="00FF009C">
        <w:rPr>
          <w:b/>
          <w:noProof/>
        </w:rPr>
        <w:t>Spójność</w:t>
      </w:r>
      <w:r w:rsidR="00FF009C" w:rsidRPr="00FF009C">
        <w:rPr>
          <w:b/>
          <w:noProof/>
        </w:rPr>
        <w:t xml:space="preserve"> z</w:t>
      </w:r>
      <w:r w:rsidR="00FF009C">
        <w:rPr>
          <w:b/>
          <w:noProof/>
        </w:rPr>
        <w:t> </w:t>
      </w:r>
      <w:r w:rsidR="00FF009C" w:rsidRPr="00FF009C">
        <w:rPr>
          <w:b/>
          <w:noProof/>
        </w:rPr>
        <w:t>prz</w:t>
      </w:r>
      <w:r w:rsidRPr="00FF009C">
        <w:rPr>
          <w:b/>
          <w:noProof/>
        </w:rPr>
        <w:t>episami obowiązującymi</w:t>
      </w:r>
      <w:r w:rsidR="00FF009C" w:rsidRPr="00FF009C">
        <w:rPr>
          <w:b/>
          <w:noProof/>
        </w:rPr>
        <w:t xml:space="preserve"> w</w:t>
      </w:r>
      <w:r w:rsidR="00FF009C">
        <w:rPr>
          <w:b/>
          <w:noProof/>
        </w:rPr>
        <w:t> </w:t>
      </w:r>
      <w:r w:rsidR="00FF009C" w:rsidRPr="00FF009C">
        <w:rPr>
          <w:b/>
          <w:noProof/>
        </w:rPr>
        <w:t>tej</w:t>
      </w:r>
      <w:r w:rsidRPr="00FF009C">
        <w:rPr>
          <w:b/>
          <w:noProof/>
        </w:rPr>
        <w:t xml:space="preserve"> dziedzinie polityki</w:t>
      </w:r>
    </w:p>
    <w:p w14:paraId="22DE92CD" w14:textId="704206A0" w:rsidR="0043039B" w:rsidRPr="00FF009C" w:rsidRDefault="0043039B" w:rsidP="0043039B">
      <w:pPr>
        <w:widowControl w:val="0"/>
        <w:autoSpaceDE w:val="0"/>
        <w:autoSpaceDN w:val="0"/>
        <w:adjustRightInd w:val="0"/>
        <w:spacing w:before="0"/>
        <w:rPr>
          <w:rFonts w:eastAsia="Times New Roman"/>
          <w:noProof/>
        </w:rPr>
      </w:pPr>
      <w:r w:rsidRPr="00FF009C">
        <w:rPr>
          <w:noProof/>
        </w:rPr>
        <w:t>Niniejszy wniosek jest spójny</w:t>
      </w:r>
      <w:r w:rsidR="00FF009C" w:rsidRPr="00FF009C">
        <w:rPr>
          <w:noProof/>
        </w:rPr>
        <w:t xml:space="preserve"> z</w:t>
      </w:r>
      <w:r w:rsidR="00FF009C">
        <w:rPr>
          <w:noProof/>
        </w:rPr>
        <w:t> </w:t>
      </w:r>
      <w:r w:rsidR="00FF009C" w:rsidRPr="00FF009C">
        <w:rPr>
          <w:noProof/>
        </w:rPr>
        <w:t>obo</w:t>
      </w:r>
      <w:r w:rsidRPr="00FF009C">
        <w:rPr>
          <w:noProof/>
        </w:rPr>
        <w:t>wiązującymi,</w:t>
      </w:r>
      <w:r w:rsidR="00FF009C" w:rsidRPr="00FF009C">
        <w:rPr>
          <w:noProof/>
        </w:rPr>
        <w:t xml:space="preserve"> a</w:t>
      </w:r>
      <w:r w:rsidR="00FF009C">
        <w:rPr>
          <w:noProof/>
        </w:rPr>
        <w:t> </w:t>
      </w:r>
      <w:r w:rsidR="00FF009C" w:rsidRPr="00FF009C">
        <w:rPr>
          <w:noProof/>
        </w:rPr>
        <w:t>tak</w:t>
      </w:r>
      <w:r w:rsidRPr="00FF009C">
        <w:rPr>
          <w:noProof/>
        </w:rPr>
        <w:t>że przyszłymi przepisami</w:t>
      </w:r>
      <w:r w:rsidR="00FF009C" w:rsidRPr="00FF009C">
        <w:rPr>
          <w:noProof/>
        </w:rPr>
        <w:t xml:space="preserve"> w</w:t>
      </w:r>
      <w:r w:rsidR="00FF009C">
        <w:rPr>
          <w:noProof/>
        </w:rPr>
        <w:t> </w:t>
      </w:r>
      <w:r w:rsidR="00FF009C" w:rsidRPr="00FF009C">
        <w:rPr>
          <w:noProof/>
        </w:rPr>
        <w:t>dzi</w:t>
      </w:r>
      <w:r w:rsidRPr="00FF009C">
        <w:rPr>
          <w:noProof/>
        </w:rPr>
        <w:t>edzinie polityki dotyczącej współpracy organów ścigania,</w:t>
      </w:r>
      <w:r w:rsidR="00FF009C" w:rsidRPr="00FF009C">
        <w:rPr>
          <w:noProof/>
        </w:rPr>
        <w:t xml:space="preserve"> w</w:t>
      </w:r>
      <w:r w:rsidR="00FF009C">
        <w:rPr>
          <w:noProof/>
        </w:rPr>
        <w:t> </w:t>
      </w:r>
      <w:r w:rsidR="00FF009C" w:rsidRPr="00FF009C">
        <w:rPr>
          <w:noProof/>
        </w:rPr>
        <w:t>tym</w:t>
      </w:r>
      <w:r w:rsidRPr="00FF009C">
        <w:rPr>
          <w:noProof/>
        </w:rPr>
        <w:t xml:space="preserve"> Europol. Współpraca organów ścigania jest obszarem kompetencji dzielonych między UE</w:t>
      </w:r>
      <w:r w:rsidR="00FF009C" w:rsidRPr="00FF009C">
        <w:rPr>
          <w:noProof/>
        </w:rPr>
        <w:t xml:space="preserve"> a</w:t>
      </w:r>
      <w:r w:rsidR="00FF009C">
        <w:rPr>
          <w:noProof/>
        </w:rPr>
        <w:t> </w:t>
      </w:r>
      <w:r w:rsidR="00FF009C" w:rsidRPr="00FF009C">
        <w:rPr>
          <w:noProof/>
        </w:rPr>
        <w:t>pań</w:t>
      </w:r>
      <w:r w:rsidRPr="00FF009C">
        <w:rPr>
          <w:noProof/>
        </w:rPr>
        <w:t>stwa członkowskie</w:t>
      </w:r>
      <w:r w:rsidR="00FF009C" w:rsidRPr="00FF009C">
        <w:rPr>
          <w:noProof/>
        </w:rPr>
        <w:t>. W</w:t>
      </w:r>
      <w:r w:rsidR="00FF009C">
        <w:rPr>
          <w:noProof/>
        </w:rPr>
        <w:t> </w:t>
      </w:r>
      <w:r w:rsidR="00FF009C" w:rsidRPr="00FF009C">
        <w:rPr>
          <w:noProof/>
        </w:rPr>
        <w:t>ost</w:t>
      </w:r>
      <w:r w:rsidRPr="00FF009C">
        <w:rPr>
          <w:noProof/>
        </w:rPr>
        <w:t>atnich latach poczyniono postępy</w:t>
      </w:r>
      <w:r w:rsidR="00FF009C" w:rsidRPr="00FF009C">
        <w:rPr>
          <w:noProof/>
        </w:rPr>
        <w:t xml:space="preserve"> w</w:t>
      </w:r>
      <w:r w:rsidR="00FF009C">
        <w:rPr>
          <w:noProof/>
        </w:rPr>
        <w:t> </w:t>
      </w:r>
      <w:r w:rsidR="00FF009C" w:rsidRPr="00FF009C">
        <w:rPr>
          <w:noProof/>
        </w:rPr>
        <w:t>cel</w:t>
      </w:r>
      <w:r w:rsidRPr="00FF009C">
        <w:rPr>
          <w:noProof/>
        </w:rPr>
        <w:t>u usprawnienia wymiany informacji między państwami członkowskimi oraz ograniczenia</w:t>
      </w:r>
      <w:r w:rsidR="00FF009C" w:rsidRPr="00FF009C">
        <w:rPr>
          <w:noProof/>
        </w:rPr>
        <w:t xml:space="preserve"> w</w:t>
      </w:r>
      <w:r w:rsidR="00FF009C">
        <w:rPr>
          <w:noProof/>
        </w:rPr>
        <w:t> </w:t>
      </w:r>
      <w:r w:rsidR="00FF009C" w:rsidRPr="00FF009C">
        <w:rPr>
          <w:noProof/>
        </w:rPr>
        <w:t>jak</w:t>
      </w:r>
      <w:r w:rsidRPr="00FF009C">
        <w:rPr>
          <w:noProof/>
        </w:rPr>
        <w:t xml:space="preserve"> największym stopniu przestrzeni,</w:t>
      </w:r>
      <w:r w:rsidR="00FF009C" w:rsidRPr="00FF009C">
        <w:rPr>
          <w:noProof/>
        </w:rPr>
        <w:t xml:space="preserve"> w</w:t>
      </w:r>
      <w:r w:rsidR="00FF009C">
        <w:rPr>
          <w:noProof/>
        </w:rPr>
        <w:t> </w:t>
      </w:r>
      <w:r w:rsidR="00FF009C" w:rsidRPr="00FF009C">
        <w:rPr>
          <w:noProof/>
        </w:rPr>
        <w:t>któ</w:t>
      </w:r>
      <w:r w:rsidRPr="00FF009C">
        <w:rPr>
          <w:noProof/>
        </w:rPr>
        <w:t>rej działają terroryści</w:t>
      </w:r>
      <w:r w:rsidR="00FF009C" w:rsidRPr="00FF009C">
        <w:rPr>
          <w:noProof/>
        </w:rPr>
        <w:t xml:space="preserve"> i</w:t>
      </w:r>
      <w:r w:rsidR="00FF009C">
        <w:rPr>
          <w:noProof/>
        </w:rPr>
        <w:t> </w:t>
      </w:r>
      <w:r w:rsidR="00FF009C" w:rsidRPr="00FF009C">
        <w:rPr>
          <w:noProof/>
        </w:rPr>
        <w:t>pow</w:t>
      </w:r>
      <w:r w:rsidRPr="00FF009C">
        <w:rPr>
          <w:noProof/>
        </w:rPr>
        <w:t>ażni przestępcy</w:t>
      </w:r>
      <w:r w:rsidR="00FF009C" w:rsidRPr="00FF009C">
        <w:rPr>
          <w:noProof/>
        </w:rPr>
        <w:t>. W</w:t>
      </w:r>
      <w:r w:rsidR="00FF009C">
        <w:rPr>
          <w:noProof/>
        </w:rPr>
        <w:t> </w:t>
      </w:r>
      <w:r w:rsidR="00FF009C" w:rsidRPr="00FF009C">
        <w:rPr>
          <w:noProof/>
        </w:rPr>
        <w:t>zwi</w:t>
      </w:r>
      <w:r w:rsidRPr="00FF009C">
        <w:rPr>
          <w:noProof/>
        </w:rPr>
        <w:t>ązku</w:t>
      </w:r>
      <w:r w:rsidR="00FF009C" w:rsidRPr="00FF009C">
        <w:rPr>
          <w:noProof/>
        </w:rPr>
        <w:t xml:space="preserve"> z</w:t>
      </w:r>
      <w:r w:rsidR="00FF009C">
        <w:rPr>
          <w:noProof/>
        </w:rPr>
        <w:t> </w:t>
      </w:r>
      <w:r w:rsidR="00FF009C" w:rsidRPr="00FF009C">
        <w:rPr>
          <w:noProof/>
        </w:rPr>
        <w:t>kry</w:t>
      </w:r>
      <w:r w:rsidRPr="00FF009C">
        <w:rPr>
          <w:noProof/>
        </w:rPr>
        <w:t>zysem migracyjnym, jaki miał miejsce</w:t>
      </w:r>
      <w:r w:rsidR="00FF009C" w:rsidRPr="00FF009C">
        <w:rPr>
          <w:noProof/>
        </w:rPr>
        <w:t xml:space="preserve"> w</w:t>
      </w:r>
      <w:r w:rsidR="00FF009C">
        <w:rPr>
          <w:noProof/>
        </w:rPr>
        <w:t> </w:t>
      </w:r>
      <w:r w:rsidR="00FF009C" w:rsidRPr="00FF009C">
        <w:rPr>
          <w:noProof/>
        </w:rPr>
        <w:t>2</w:t>
      </w:r>
      <w:r w:rsidRPr="00FF009C">
        <w:rPr>
          <w:noProof/>
        </w:rPr>
        <w:t>015</w:t>
      </w:r>
      <w:r w:rsidR="00FF009C" w:rsidRPr="00FF009C">
        <w:rPr>
          <w:noProof/>
        </w:rPr>
        <w:t> </w:t>
      </w:r>
      <w:r w:rsidRPr="00FF009C">
        <w:rPr>
          <w:noProof/>
        </w:rPr>
        <w:t>r., dokonano przeglądu ogólnej architektury systemów informacyjnych</w:t>
      </w:r>
      <w:r w:rsidR="00FF009C" w:rsidRPr="00FF009C">
        <w:rPr>
          <w:noProof/>
        </w:rPr>
        <w:t xml:space="preserve"> i</w:t>
      </w:r>
      <w:r w:rsidR="00FF009C">
        <w:rPr>
          <w:noProof/>
        </w:rPr>
        <w:t> </w:t>
      </w:r>
      <w:r w:rsidR="00FF009C" w:rsidRPr="00FF009C">
        <w:rPr>
          <w:noProof/>
        </w:rPr>
        <w:t>baz</w:t>
      </w:r>
      <w:r w:rsidRPr="00FF009C">
        <w:rPr>
          <w:noProof/>
        </w:rPr>
        <w:t xml:space="preserve"> danych wymiaru sprawiedliwości</w:t>
      </w:r>
      <w:r w:rsidR="00FF009C" w:rsidRPr="00FF009C">
        <w:rPr>
          <w:noProof/>
        </w:rPr>
        <w:t xml:space="preserve"> i</w:t>
      </w:r>
      <w:r w:rsidR="00FF009C">
        <w:rPr>
          <w:noProof/>
        </w:rPr>
        <w:t> </w:t>
      </w:r>
      <w:r w:rsidR="00FF009C" w:rsidRPr="00FF009C">
        <w:rPr>
          <w:noProof/>
        </w:rPr>
        <w:t>spr</w:t>
      </w:r>
      <w:r w:rsidRPr="00FF009C">
        <w:rPr>
          <w:noProof/>
        </w:rPr>
        <w:t>aw wewnętrznych (WSiSW), ze szczególnym uwzględnieniem kwestii interoperacyjności. Ramy legislacyjne dotyczące walki</w:t>
      </w:r>
      <w:r w:rsidR="00FF009C" w:rsidRPr="00FF009C">
        <w:rPr>
          <w:noProof/>
        </w:rPr>
        <w:t xml:space="preserve"> z</w:t>
      </w:r>
      <w:r w:rsidR="00FF009C">
        <w:rPr>
          <w:noProof/>
        </w:rPr>
        <w:t> </w:t>
      </w:r>
      <w:r w:rsidR="00FF009C" w:rsidRPr="00FF009C">
        <w:rPr>
          <w:noProof/>
        </w:rPr>
        <w:t>ter</w:t>
      </w:r>
      <w:r w:rsidRPr="00FF009C">
        <w:rPr>
          <w:noProof/>
        </w:rPr>
        <w:t>roryzmem</w:t>
      </w:r>
      <w:r w:rsidR="00FF009C" w:rsidRPr="00FF009C">
        <w:rPr>
          <w:noProof/>
        </w:rPr>
        <w:t xml:space="preserve"> i</w:t>
      </w:r>
      <w:r w:rsidR="00FF009C">
        <w:rPr>
          <w:noProof/>
        </w:rPr>
        <w:t> </w:t>
      </w:r>
      <w:r w:rsidR="00FF009C" w:rsidRPr="00FF009C">
        <w:rPr>
          <w:noProof/>
        </w:rPr>
        <w:t>wym</w:t>
      </w:r>
      <w:r w:rsidRPr="00FF009C">
        <w:rPr>
          <w:noProof/>
        </w:rPr>
        <w:t>iany informacji wzmocniono</w:t>
      </w:r>
      <w:r w:rsidR="00FF009C" w:rsidRPr="00FF009C">
        <w:rPr>
          <w:noProof/>
        </w:rPr>
        <w:t xml:space="preserve"> w</w:t>
      </w:r>
      <w:r w:rsidR="00FF009C">
        <w:rPr>
          <w:noProof/>
        </w:rPr>
        <w:t> </w:t>
      </w:r>
      <w:r w:rsidR="00FF009C" w:rsidRPr="00FF009C">
        <w:rPr>
          <w:noProof/>
        </w:rPr>
        <w:t>2</w:t>
      </w:r>
      <w:r w:rsidRPr="00FF009C">
        <w:rPr>
          <w:noProof/>
        </w:rPr>
        <w:t>017</w:t>
      </w:r>
      <w:r w:rsidR="00FF009C" w:rsidRPr="00FF009C">
        <w:rPr>
          <w:noProof/>
        </w:rPr>
        <w:t> </w:t>
      </w:r>
      <w:r w:rsidRPr="00FF009C">
        <w:rPr>
          <w:noProof/>
        </w:rPr>
        <w:t>r.,</w:t>
      </w:r>
      <w:r w:rsidR="00FF009C" w:rsidRPr="00FF009C">
        <w:rPr>
          <w:noProof/>
        </w:rPr>
        <w:t xml:space="preserve"> w</w:t>
      </w:r>
      <w:r w:rsidR="00FF009C">
        <w:rPr>
          <w:noProof/>
        </w:rPr>
        <w:t> </w:t>
      </w:r>
      <w:r w:rsidR="00FF009C" w:rsidRPr="00FF009C">
        <w:rPr>
          <w:noProof/>
        </w:rPr>
        <w:t>nas</w:t>
      </w:r>
      <w:r w:rsidRPr="00FF009C">
        <w:rPr>
          <w:noProof/>
        </w:rPr>
        <w:t>tępstwie ataków terrorystycznych, do których doszło</w:t>
      </w:r>
      <w:r w:rsidR="00FF009C" w:rsidRPr="00FF009C">
        <w:rPr>
          <w:noProof/>
        </w:rPr>
        <w:t xml:space="preserve"> w</w:t>
      </w:r>
      <w:r w:rsidR="00FF009C">
        <w:rPr>
          <w:noProof/>
        </w:rPr>
        <w:t> </w:t>
      </w:r>
      <w:r w:rsidR="00FF009C" w:rsidRPr="00FF009C">
        <w:rPr>
          <w:noProof/>
        </w:rPr>
        <w:t>Eur</w:t>
      </w:r>
      <w:r w:rsidRPr="00FF009C">
        <w:rPr>
          <w:noProof/>
        </w:rPr>
        <w:t>opie</w:t>
      </w:r>
      <w:r w:rsidR="00FF009C" w:rsidRPr="00FF009C">
        <w:rPr>
          <w:noProof/>
        </w:rPr>
        <w:t>. W</w:t>
      </w:r>
      <w:r w:rsidR="00FF009C">
        <w:rPr>
          <w:noProof/>
        </w:rPr>
        <w:t> </w:t>
      </w:r>
      <w:r w:rsidR="00FF009C" w:rsidRPr="00FF009C">
        <w:rPr>
          <w:noProof/>
        </w:rPr>
        <w:t>odp</w:t>
      </w:r>
      <w:r w:rsidRPr="00FF009C">
        <w:rPr>
          <w:noProof/>
        </w:rPr>
        <w:t>owiedzi na pilne potrzeby operacyjne związane</w:t>
      </w:r>
      <w:r w:rsidR="00FF009C" w:rsidRPr="00FF009C">
        <w:rPr>
          <w:noProof/>
        </w:rPr>
        <w:t xml:space="preserve"> z</w:t>
      </w:r>
      <w:r w:rsidR="00FF009C">
        <w:rPr>
          <w:noProof/>
        </w:rPr>
        <w:t> </w:t>
      </w:r>
      <w:r w:rsidR="00FF009C" w:rsidRPr="00FF009C">
        <w:rPr>
          <w:noProof/>
        </w:rPr>
        <w:t>kon</w:t>
      </w:r>
      <w:r w:rsidRPr="00FF009C">
        <w:rPr>
          <w:noProof/>
        </w:rPr>
        <w:t>iecznością zmierzenia się ze zmieniającą się sytuacją</w:t>
      </w:r>
      <w:r w:rsidR="00FF009C" w:rsidRPr="00FF009C">
        <w:rPr>
          <w:noProof/>
        </w:rPr>
        <w:t xml:space="preserve"> w</w:t>
      </w:r>
      <w:r w:rsidR="00FF009C">
        <w:rPr>
          <w:noProof/>
        </w:rPr>
        <w:t> </w:t>
      </w:r>
      <w:r w:rsidR="00FF009C" w:rsidRPr="00FF009C">
        <w:rPr>
          <w:noProof/>
        </w:rPr>
        <w:t>obs</w:t>
      </w:r>
      <w:r w:rsidRPr="00FF009C">
        <w:rPr>
          <w:noProof/>
        </w:rPr>
        <w:t>zarze bezpieczeństwa oraz</w:t>
      </w:r>
      <w:r w:rsidR="00FF009C" w:rsidRPr="00FF009C">
        <w:rPr>
          <w:noProof/>
        </w:rPr>
        <w:t xml:space="preserve"> w</w:t>
      </w:r>
      <w:r w:rsidR="00FF009C">
        <w:rPr>
          <w:noProof/>
        </w:rPr>
        <w:t> </w:t>
      </w:r>
      <w:r w:rsidR="00FF009C" w:rsidRPr="00FF009C">
        <w:rPr>
          <w:noProof/>
        </w:rPr>
        <w:t>odp</w:t>
      </w:r>
      <w:r w:rsidRPr="00FF009C">
        <w:rPr>
          <w:noProof/>
        </w:rPr>
        <w:t>owiedzi na wezwania współprawodawców do zapewnienia przez Europol większego wsparcia wzmocniono</w:t>
      </w:r>
      <w:r w:rsidR="00FF009C" w:rsidRPr="00FF009C">
        <w:rPr>
          <w:noProof/>
        </w:rPr>
        <w:t xml:space="preserve"> w</w:t>
      </w:r>
      <w:r w:rsidR="00FF009C">
        <w:rPr>
          <w:noProof/>
        </w:rPr>
        <w:t> </w:t>
      </w:r>
      <w:r w:rsidR="00FF009C" w:rsidRPr="00FF009C">
        <w:rPr>
          <w:noProof/>
        </w:rPr>
        <w:t>2</w:t>
      </w:r>
      <w:r w:rsidRPr="00FF009C">
        <w:rPr>
          <w:noProof/>
        </w:rPr>
        <w:t>022</w:t>
      </w:r>
      <w:r w:rsidR="00FF009C" w:rsidRPr="00FF009C">
        <w:rPr>
          <w:noProof/>
        </w:rPr>
        <w:t> </w:t>
      </w:r>
      <w:r w:rsidRPr="00FF009C">
        <w:rPr>
          <w:noProof/>
        </w:rPr>
        <w:t>r. rozporządzenie</w:t>
      </w:r>
      <w:r w:rsidR="00FF009C" w:rsidRPr="00FF009C">
        <w:rPr>
          <w:noProof/>
        </w:rPr>
        <w:t xml:space="preserve"> w</w:t>
      </w:r>
      <w:r w:rsidR="00FF009C">
        <w:rPr>
          <w:noProof/>
        </w:rPr>
        <w:t> </w:t>
      </w:r>
      <w:r w:rsidR="00FF009C" w:rsidRPr="00FF009C">
        <w:rPr>
          <w:noProof/>
        </w:rPr>
        <w:t>spr</w:t>
      </w:r>
      <w:r w:rsidRPr="00FF009C">
        <w:rPr>
          <w:noProof/>
        </w:rPr>
        <w:t>awie Europolu</w:t>
      </w:r>
      <w:r w:rsidR="00FF009C" w:rsidRPr="00FF009C">
        <w:rPr>
          <w:noProof/>
        </w:rPr>
        <w:t>. W</w:t>
      </w:r>
      <w:r w:rsidR="00FF009C">
        <w:rPr>
          <w:noProof/>
        </w:rPr>
        <w:t> </w:t>
      </w:r>
      <w:r w:rsidR="00FF009C" w:rsidRPr="00FF009C">
        <w:rPr>
          <w:noProof/>
        </w:rPr>
        <w:t>cze</w:t>
      </w:r>
      <w:r w:rsidRPr="00FF009C">
        <w:rPr>
          <w:noProof/>
        </w:rPr>
        <w:t>rwcu 2022 r. wszedł</w:t>
      </w:r>
      <w:r w:rsidR="00FF009C" w:rsidRPr="00FF009C">
        <w:rPr>
          <w:noProof/>
        </w:rPr>
        <w:t xml:space="preserve"> w</w:t>
      </w:r>
      <w:r w:rsidR="00FF009C">
        <w:rPr>
          <w:noProof/>
        </w:rPr>
        <w:t> </w:t>
      </w:r>
      <w:r w:rsidR="00FF009C" w:rsidRPr="00FF009C">
        <w:rPr>
          <w:noProof/>
        </w:rPr>
        <w:t>życ</w:t>
      </w:r>
      <w:r w:rsidRPr="00FF009C">
        <w:rPr>
          <w:noProof/>
        </w:rPr>
        <w:t>ie nowy mandat Europolu umożliwiający Agencji zwiększenie wiedzy specjalistycznej</w:t>
      </w:r>
      <w:r w:rsidR="00FF009C" w:rsidRPr="00FF009C">
        <w:rPr>
          <w:noProof/>
        </w:rPr>
        <w:t xml:space="preserve"> i</w:t>
      </w:r>
      <w:r w:rsidR="00FF009C">
        <w:rPr>
          <w:noProof/>
        </w:rPr>
        <w:t> </w:t>
      </w:r>
      <w:r w:rsidR="00FF009C" w:rsidRPr="00FF009C">
        <w:rPr>
          <w:noProof/>
        </w:rPr>
        <w:t>zdo</w:t>
      </w:r>
      <w:r w:rsidRPr="00FF009C">
        <w:rPr>
          <w:noProof/>
        </w:rPr>
        <w:t>lności operacyjnych</w:t>
      </w:r>
      <w:r w:rsidR="00FF009C" w:rsidRPr="00FF009C">
        <w:rPr>
          <w:noProof/>
        </w:rPr>
        <w:t xml:space="preserve"> i</w:t>
      </w:r>
      <w:r w:rsidR="00FF009C">
        <w:rPr>
          <w:noProof/>
        </w:rPr>
        <w:t> </w:t>
      </w:r>
      <w:r w:rsidR="00FF009C" w:rsidRPr="00FF009C">
        <w:rPr>
          <w:noProof/>
        </w:rPr>
        <w:t>tym</w:t>
      </w:r>
      <w:r w:rsidRPr="00FF009C">
        <w:rPr>
          <w:noProof/>
        </w:rPr>
        <w:t xml:space="preserve"> samym poprawę wsparcia udzielanego państwom członkowskim</w:t>
      </w:r>
      <w:r w:rsidR="00FF009C" w:rsidRPr="00FF009C">
        <w:rPr>
          <w:noProof/>
        </w:rPr>
        <w:t xml:space="preserve"> w</w:t>
      </w:r>
      <w:r w:rsidR="00FF009C">
        <w:rPr>
          <w:noProof/>
        </w:rPr>
        <w:t> </w:t>
      </w:r>
      <w:r w:rsidR="00FF009C" w:rsidRPr="00FF009C">
        <w:rPr>
          <w:noProof/>
        </w:rPr>
        <w:t>zwa</w:t>
      </w:r>
      <w:r w:rsidRPr="00FF009C">
        <w:rPr>
          <w:noProof/>
        </w:rPr>
        <w:t>lczaniu poważnej</w:t>
      </w:r>
      <w:r w:rsidR="00FF009C" w:rsidRPr="00FF009C">
        <w:rPr>
          <w:noProof/>
        </w:rPr>
        <w:t xml:space="preserve"> i</w:t>
      </w:r>
      <w:r w:rsidR="00FF009C">
        <w:rPr>
          <w:noProof/>
        </w:rPr>
        <w:t> </w:t>
      </w:r>
      <w:r w:rsidR="00FF009C" w:rsidRPr="00FF009C">
        <w:rPr>
          <w:noProof/>
        </w:rPr>
        <w:t>zor</w:t>
      </w:r>
      <w:r w:rsidRPr="00FF009C">
        <w:rPr>
          <w:noProof/>
        </w:rPr>
        <w:t>ganizowanej przestępczości</w:t>
      </w:r>
      <w:r w:rsidR="00FF009C" w:rsidRPr="00FF009C">
        <w:rPr>
          <w:noProof/>
        </w:rPr>
        <w:t xml:space="preserve"> i</w:t>
      </w:r>
      <w:r w:rsidR="00FF009C">
        <w:rPr>
          <w:noProof/>
        </w:rPr>
        <w:t> </w:t>
      </w:r>
      <w:r w:rsidR="00FF009C" w:rsidRPr="00FF009C">
        <w:rPr>
          <w:noProof/>
        </w:rPr>
        <w:t>ter</w:t>
      </w:r>
      <w:r w:rsidRPr="00FF009C">
        <w:rPr>
          <w:noProof/>
        </w:rPr>
        <w:t>roryzmu</w:t>
      </w:r>
      <w:r w:rsidR="00FF009C" w:rsidRPr="00FF009C">
        <w:rPr>
          <w:noProof/>
        </w:rPr>
        <w:t>. W</w:t>
      </w:r>
      <w:r w:rsidR="00FF009C">
        <w:rPr>
          <w:noProof/>
        </w:rPr>
        <w:t> </w:t>
      </w:r>
      <w:r w:rsidR="00FF009C" w:rsidRPr="00FF009C">
        <w:rPr>
          <w:noProof/>
        </w:rPr>
        <w:t>ram</w:t>
      </w:r>
      <w:r w:rsidRPr="00FF009C">
        <w:rPr>
          <w:noProof/>
        </w:rPr>
        <w:t>ach nowego mandatu wzmocniono również ramy ochrony danych Europolu</w:t>
      </w:r>
      <w:r w:rsidR="00FF009C" w:rsidRPr="00FF009C">
        <w:rPr>
          <w:noProof/>
        </w:rPr>
        <w:t xml:space="preserve"> i</w:t>
      </w:r>
      <w:r w:rsidR="00FF009C">
        <w:rPr>
          <w:noProof/>
        </w:rPr>
        <w:t> </w:t>
      </w:r>
      <w:r w:rsidR="00FF009C" w:rsidRPr="00FF009C">
        <w:rPr>
          <w:noProof/>
        </w:rPr>
        <w:t>nad</w:t>
      </w:r>
      <w:r w:rsidRPr="00FF009C">
        <w:rPr>
          <w:noProof/>
        </w:rPr>
        <w:t>zór Europejskiego Inspektora Ochrony Danych.</w:t>
      </w:r>
    </w:p>
    <w:p w14:paraId="4FB279C5" w14:textId="0DA942B2" w:rsidR="0043039B" w:rsidRPr="00FF009C" w:rsidRDefault="0043039B" w:rsidP="0043039B">
      <w:pPr>
        <w:widowControl w:val="0"/>
        <w:rPr>
          <w:rFonts w:eastAsia="Times New Roman"/>
          <w:noProof/>
        </w:rPr>
      </w:pPr>
      <w:r w:rsidRPr="00FF009C">
        <w:rPr>
          <w:noProof/>
        </w:rPr>
        <w:t>Niniejszy wniosek jest również zgodny</w:t>
      </w:r>
      <w:r w:rsidR="00FF009C" w:rsidRPr="00FF009C">
        <w:rPr>
          <w:noProof/>
        </w:rPr>
        <w:t xml:space="preserve"> z</w:t>
      </w:r>
      <w:r w:rsidR="00FF009C">
        <w:rPr>
          <w:noProof/>
        </w:rPr>
        <w:t> </w:t>
      </w:r>
      <w:r w:rsidR="00FF009C" w:rsidRPr="00FF009C">
        <w:rPr>
          <w:noProof/>
        </w:rPr>
        <w:t>obo</w:t>
      </w:r>
      <w:r w:rsidRPr="00FF009C">
        <w:rPr>
          <w:noProof/>
        </w:rPr>
        <w:t>wiązującymi obecnie unijnymi rami legislacyjnymi dotyczącymi przeciwdziałania przemytowi migrantów, zwanymi również „pakietem środków dotyczących pośredników”, na który składa się dyrektywa 2002/90/WE ustanawiająca wspólną definicję przestępstwa ułatwiania nielegalnego wjazdu, tranzytu</w:t>
      </w:r>
      <w:r w:rsidR="00FF009C" w:rsidRPr="00FF009C">
        <w:rPr>
          <w:noProof/>
        </w:rPr>
        <w:t xml:space="preserve"> i</w:t>
      </w:r>
      <w:r w:rsidR="00FF009C">
        <w:rPr>
          <w:noProof/>
        </w:rPr>
        <w:t> </w:t>
      </w:r>
      <w:r w:rsidR="00FF009C" w:rsidRPr="00FF009C">
        <w:rPr>
          <w:noProof/>
        </w:rPr>
        <w:t>pob</w:t>
      </w:r>
      <w:r w:rsidRPr="00FF009C">
        <w:rPr>
          <w:noProof/>
        </w:rPr>
        <w:t>ytu</w:t>
      </w:r>
      <w:r w:rsidRPr="00FF009C">
        <w:rPr>
          <w:noProof/>
          <w:vertAlign w:val="superscript"/>
        </w:rPr>
        <w:t>2</w:t>
      </w:r>
      <w:r w:rsidRPr="00FF009C">
        <w:rPr>
          <w:noProof/>
        </w:rPr>
        <w:t xml:space="preserve"> oraz decyzja ramowa 2002/946/WSiSW</w:t>
      </w:r>
      <w:r w:rsidR="00FF009C" w:rsidRPr="00FF009C">
        <w:rPr>
          <w:noProof/>
        </w:rPr>
        <w:t xml:space="preserve"> w</w:t>
      </w:r>
      <w:r w:rsidR="00FF009C">
        <w:rPr>
          <w:noProof/>
        </w:rPr>
        <w:t> </w:t>
      </w:r>
      <w:r w:rsidR="00FF009C" w:rsidRPr="00FF009C">
        <w:rPr>
          <w:noProof/>
        </w:rPr>
        <w:t>spr</w:t>
      </w:r>
      <w:r w:rsidRPr="00FF009C">
        <w:rPr>
          <w:noProof/>
        </w:rPr>
        <w:t>awie wzmocnienia systemu karnego</w:t>
      </w:r>
      <w:r w:rsidR="00FF009C" w:rsidRPr="00FF009C">
        <w:rPr>
          <w:noProof/>
        </w:rPr>
        <w:t xml:space="preserve"> w</w:t>
      </w:r>
      <w:r w:rsidR="00FF009C">
        <w:rPr>
          <w:noProof/>
        </w:rPr>
        <w:t> </w:t>
      </w:r>
      <w:r w:rsidR="00FF009C" w:rsidRPr="00FF009C">
        <w:rPr>
          <w:noProof/>
        </w:rPr>
        <w:t>cel</w:t>
      </w:r>
      <w:r w:rsidRPr="00FF009C">
        <w:rPr>
          <w:noProof/>
        </w:rPr>
        <w:t>u zapobiegania ułatwianiu nielegalnego wjazdu, tranzytu</w:t>
      </w:r>
      <w:r w:rsidR="00FF009C" w:rsidRPr="00FF009C">
        <w:rPr>
          <w:noProof/>
        </w:rPr>
        <w:t xml:space="preserve"> i</w:t>
      </w:r>
      <w:r w:rsidR="00FF009C">
        <w:rPr>
          <w:noProof/>
        </w:rPr>
        <w:t> </w:t>
      </w:r>
      <w:r w:rsidR="00FF009C" w:rsidRPr="00FF009C">
        <w:rPr>
          <w:noProof/>
        </w:rPr>
        <w:t>pob</w:t>
      </w:r>
      <w:r w:rsidRPr="00FF009C">
        <w:rPr>
          <w:noProof/>
        </w:rPr>
        <w:t>ytu</w:t>
      </w:r>
      <w:r w:rsidRPr="00FF009C">
        <w:rPr>
          <w:noProof/>
          <w:vertAlign w:val="superscript"/>
        </w:rPr>
        <w:t>3</w:t>
      </w:r>
      <w:r w:rsidRPr="00FF009C">
        <w:rPr>
          <w:noProof/>
        </w:rPr>
        <w:t>. Jest on również spójny</w:t>
      </w:r>
      <w:r w:rsidR="00FF009C" w:rsidRPr="00FF009C">
        <w:rPr>
          <w:noProof/>
        </w:rPr>
        <w:t xml:space="preserve"> z</w:t>
      </w:r>
      <w:r w:rsidR="00FF009C">
        <w:rPr>
          <w:noProof/>
        </w:rPr>
        <w:t> </w:t>
      </w:r>
      <w:r w:rsidR="00FF009C" w:rsidRPr="00FF009C">
        <w:rPr>
          <w:noProof/>
        </w:rPr>
        <w:t>odn</w:t>
      </w:r>
      <w:r w:rsidRPr="00FF009C">
        <w:rPr>
          <w:noProof/>
        </w:rPr>
        <w:t>owionym unijnym planem działania na rzecz zwalczania przemytu migrantów (na lata 2021–2025),</w:t>
      </w:r>
      <w:r w:rsidR="00FF009C" w:rsidRPr="00FF009C">
        <w:rPr>
          <w:noProof/>
        </w:rPr>
        <w:t xml:space="preserve"> w</w:t>
      </w:r>
      <w:r w:rsidR="00FF009C">
        <w:rPr>
          <w:noProof/>
        </w:rPr>
        <w:t> </w:t>
      </w:r>
      <w:r w:rsidR="00FF009C" w:rsidRPr="00FF009C">
        <w:rPr>
          <w:noProof/>
        </w:rPr>
        <w:t>któ</w:t>
      </w:r>
      <w:r w:rsidRPr="00FF009C">
        <w:rPr>
          <w:noProof/>
        </w:rPr>
        <w:t>rym wezwano do zacieśnienia współpracy operacyjnej między organami ścigania państw członkowskich UE, odpowiednimi agencjami UE,</w:t>
      </w:r>
      <w:r w:rsidR="00FF009C" w:rsidRPr="00FF009C">
        <w:rPr>
          <w:noProof/>
        </w:rPr>
        <w:t xml:space="preserve"> w</w:t>
      </w:r>
      <w:r w:rsidR="00FF009C">
        <w:rPr>
          <w:noProof/>
        </w:rPr>
        <w:t> </w:t>
      </w:r>
      <w:r w:rsidR="00FF009C" w:rsidRPr="00FF009C">
        <w:rPr>
          <w:noProof/>
        </w:rPr>
        <w:t>szc</w:t>
      </w:r>
      <w:r w:rsidRPr="00FF009C">
        <w:rPr>
          <w:noProof/>
        </w:rPr>
        <w:t>zególności Europolem,</w:t>
      </w:r>
      <w:r w:rsidR="00FF009C" w:rsidRPr="00FF009C">
        <w:rPr>
          <w:noProof/>
        </w:rPr>
        <w:t xml:space="preserve"> i</w:t>
      </w:r>
      <w:r w:rsidR="00FF009C">
        <w:rPr>
          <w:noProof/>
        </w:rPr>
        <w:t> </w:t>
      </w:r>
      <w:r w:rsidR="00FF009C" w:rsidRPr="00FF009C">
        <w:rPr>
          <w:noProof/>
        </w:rPr>
        <w:t>kra</w:t>
      </w:r>
      <w:r w:rsidRPr="00FF009C">
        <w:rPr>
          <w:noProof/>
        </w:rPr>
        <w:t>jami partnerskimi</w:t>
      </w:r>
      <w:r w:rsidR="00FF009C" w:rsidRPr="00FF009C">
        <w:rPr>
          <w:noProof/>
        </w:rPr>
        <w:t xml:space="preserve"> w</w:t>
      </w:r>
      <w:r w:rsidR="00FF009C">
        <w:rPr>
          <w:noProof/>
        </w:rPr>
        <w:t> </w:t>
      </w:r>
      <w:r w:rsidR="00FF009C" w:rsidRPr="00FF009C">
        <w:rPr>
          <w:noProof/>
        </w:rPr>
        <w:t>zak</w:t>
      </w:r>
      <w:r w:rsidRPr="00FF009C">
        <w:rPr>
          <w:noProof/>
        </w:rPr>
        <w:t>resie likwidacji siatek przestępczych zajmujących się przemytem migrantów,</w:t>
      </w:r>
      <w:r w:rsidR="00FF009C" w:rsidRPr="00FF009C">
        <w:rPr>
          <w:noProof/>
        </w:rPr>
        <w:t xml:space="preserve"> a</w:t>
      </w:r>
      <w:r w:rsidR="00FF009C">
        <w:rPr>
          <w:noProof/>
        </w:rPr>
        <w:t> </w:t>
      </w:r>
      <w:r w:rsidR="00FF009C" w:rsidRPr="00FF009C">
        <w:rPr>
          <w:noProof/>
        </w:rPr>
        <w:t>tak</w:t>
      </w:r>
      <w:r w:rsidRPr="00FF009C">
        <w:rPr>
          <w:noProof/>
        </w:rPr>
        <w:t>że</w:t>
      </w:r>
      <w:r w:rsidR="00FF009C" w:rsidRPr="00FF009C">
        <w:rPr>
          <w:noProof/>
        </w:rPr>
        <w:t xml:space="preserve"> w</w:t>
      </w:r>
      <w:r w:rsidR="00FF009C">
        <w:rPr>
          <w:noProof/>
        </w:rPr>
        <w:t> </w:t>
      </w:r>
      <w:r w:rsidR="00FF009C" w:rsidRPr="00FF009C">
        <w:rPr>
          <w:noProof/>
        </w:rPr>
        <w:t>ram</w:t>
      </w:r>
      <w:r w:rsidRPr="00FF009C">
        <w:rPr>
          <w:noProof/>
        </w:rPr>
        <w:t>ach zestawu narzędzi, które mają przeciwdziałać wykorzystywaniu komercyjnych środków transportu do ułatwiania migracji nieuregulowanej do UE. Partnerstwa operacyjne na rzecz przeciwdziałania przemytowi zawierane</w:t>
      </w:r>
      <w:r w:rsidR="00FF009C" w:rsidRPr="00FF009C">
        <w:rPr>
          <w:noProof/>
        </w:rPr>
        <w:t xml:space="preserve"> z</w:t>
      </w:r>
      <w:r w:rsidR="00FF009C">
        <w:rPr>
          <w:noProof/>
        </w:rPr>
        <w:t> </w:t>
      </w:r>
      <w:r w:rsidR="00FF009C" w:rsidRPr="00FF009C">
        <w:rPr>
          <w:noProof/>
        </w:rPr>
        <w:t>klu</w:t>
      </w:r>
      <w:r w:rsidRPr="00FF009C">
        <w:rPr>
          <w:noProof/>
        </w:rPr>
        <w:t>czowymi krajami pochodzenia</w:t>
      </w:r>
      <w:r w:rsidR="00FF009C" w:rsidRPr="00FF009C">
        <w:rPr>
          <w:noProof/>
        </w:rPr>
        <w:t xml:space="preserve"> i</w:t>
      </w:r>
      <w:r w:rsidR="00FF009C">
        <w:rPr>
          <w:noProof/>
        </w:rPr>
        <w:t> </w:t>
      </w:r>
      <w:r w:rsidR="00FF009C" w:rsidRPr="00FF009C">
        <w:rPr>
          <w:noProof/>
        </w:rPr>
        <w:t>tra</w:t>
      </w:r>
      <w:r w:rsidRPr="00FF009C">
        <w:rPr>
          <w:noProof/>
        </w:rPr>
        <w:t>nzytu stanowią integralną część kompleksowych partnerstw</w:t>
      </w:r>
      <w:r w:rsidR="00FF009C" w:rsidRPr="00FF009C">
        <w:rPr>
          <w:noProof/>
        </w:rPr>
        <w:t xml:space="preserve"> w</w:t>
      </w:r>
      <w:r w:rsidR="00FF009C">
        <w:rPr>
          <w:noProof/>
        </w:rPr>
        <w:t> </w:t>
      </w:r>
      <w:r w:rsidR="00FF009C" w:rsidRPr="00FF009C">
        <w:rPr>
          <w:noProof/>
        </w:rPr>
        <w:t>dzi</w:t>
      </w:r>
      <w:r w:rsidRPr="00FF009C">
        <w:rPr>
          <w:noProof/>
        </w:rPr>
        <w:t>edzinie migracji tworzonych przez UE</w:t>
      </w:r>
      <w:r w:rsidR="00FF009C" w:rsidRPr="00FF009C">
        <w:rPr>
          <w:noProof/>
        </w:rPr>
        <w:t xml:space="preserve"> z</w:t>
      </w:r>
      <w:r w:rsidR="00FF009C">
        <w:rPr>
          <w:noProof/>
        </w:rPr>
        <w:t> </w:t>
      </w:r>
      <w:r w:rsidR="00FF009C" w:rsidRPr="00FF009C">
        <w:rPr>
          <w:noProof/>
        </w:rPr>
        <w:t>kra</w:t>
      </w:r>
      <w:r w:rsidRPr="00FF009C">
        <w:rPr>
          <w:noProof/>
        </w:rPr>
        <w:t>jami partnerskimi. Skuteczniejsza walka</w:t>
      </w:r>
      <w:r w:rsidR="00FF009C" w:rsidRPr="00FF009C">
        <w:rPr>
          <w:noProof/>
        </w:rPr>
        <w:t xml:space="preserve"> z</w:t>
      </w:r>
      <w:r w:rsidR="00FF009C">
        <w:rPr>
          <w:noProof/>
        </w:rPr>
        <w:t> </w:t>
      </w:r>
      <w:r w:rsidR="00FF009C" w:rsidRPr="00FF009C">
        <w:rPr>
          <w:noProof/>
        </w:rPr>
        <w:t>prz</w:t>
      </w:r>
      <w:r w:rsidRPr="00FF009C">
        <w:rPr>
          <w:noProof/>
        </w:rPr>
        <w:t>emytem migrantów leży we wspólnym interesie, ponieważ kraje pochodzenia, tranzytu</w:t>
      </w:r>
      <w:r w:rsidR="00FF009C" w:rsidRPr="00FF009C">
        <w:rPr>
          <w:noProof/>
        </w:rPr>
        <w:t xml:space="preserve"> i</w:t>
      </w:r>
      <w:r w:rsidR="00FF009C">
        <w:rPr>
          <w:noProof/>
        </w:rPr>
        <w:t> </w:t>
      </w:r>
      <w:r w:rsidR="00FF009C" w:rsidRPr="00FF009C">
        <w:rPr>
          <w:noProof/>
        </w:rPr>
        <w:t>kra</w:t>
      </w:r>
      <w:r w:rsidRPr="00FF009C">
        <w:rPr>
          <w:noProof/>
        </w:rPr>
        <w:t>je docelowe mają wspólny cel, jakim jest zwalczanie siatek przestępczych</w:t>
      </w:r>
      <w:r w:rsidR="00FF009C" w:rsidRPr="00FF009C">
        <w:rPr>
          <w:noProof/>
        </w:rPr>
        <w:t xml:space="preserve"> i</w:t>
      </w:r>
      <w:r w:rsidR="00FF009C">
        <w:rPr>
          <w:noProof/>
        </w:rPr>
        <w:t> </w:t>
      </w:r>
      <w:r w:rsidR="00FF009C" w:rsidRPr="00FF009C">
        <w:rPr>
          <w:noProof/>
        </w:rPr>
        <w:t>och</w:t>
      </w:r>
      <w:r w:rsidRPr="00FF009C">
        <w:rPr>
          <w:noProof/>
        </w:rPr>
        <w:t>rona ludzi przed ewentualnymi nadużyciami</w:t>
      </w:r>
      <w:r w:rsidR="00FF009C" w:rsidRPr="00FF009C">
        <w:rPr>
          <w:noProof/>
        </w:rPr>
        <w:t xml:space="preserve"> i</w:t>
      </w:r>
      <w:r w:rsidR="00FF009C">
        <w:rPr>
          <w:noProof/>
        </w:rPr>
        <w:t> </w:t>
      </w:r>
      <w:r w:rsidR="00FF009C" w:rsidRPr="00FF009C">
        <w:rPr>
          <w:noProof/>
        </w:rPr>
        <w:t>wyz</w:t>
      </w:r>
      <w:r w:rsidRPr="00FF009C">
        <w:rPr>
          <w:noProof/>
        </w:rPr>
        <w:t>yskiem. Przemyt migrantów jest nadal poważnym wyzwaniem, któremu należy wspólnie stawiać czoła</w:t>
      </w:r>
      <w:r w:rsidR="00FF009C" w:rsidRPr="00FF009C">
        <w:rPr>
          <w:noProof/>
        </w:rPr>
        <w:t xml:space="preserve"> w</w:t>
      </w:r>
      <w:r w:rsidR="00FF009C">
        <w:rPr>
          <w:noProof/>
        </w:rPr>
        <w:t> </w:t>
      </w:r>
      <w:r w:rsidR="00FF009C" w:rsidRPr="00FF009C">
        <w:rPr>
          <w:noProof/>
        </w:rPr>
        <w:t>spo</w:t>
      </w:r>
      <w:r w:rsidRPr="00FF009C">
        <w:rPr>
          <w:noProof/>
        </w:rPr>
        <w:t>sób ciągły</w:t>
      </w:r>
      <w:r w:rsidR="00FF009C" w:rsidRPr="00FF009C">
        <w:rPr>
          <w:noProof/>
        </w:rPr>
        <w:t xml:space="preserve"> i</w:t>
      </w:r>
      <w:r w:rsidR="00FF009C">
        <w:rPr>
          <w:noProof/>
        </w:rPr>
        <w:t> </w:t>
      </w:r>
      <w:r w:rsidR="00FF009C" w:rsidRPr="00FF009C">
        <w:rPr>
          <w:noProof/>
        </w:rPr>
        <w:t>spó</w:t>
      </w:r>
      <w:r w:rsidRPr="00FF009C">
        <w:rPr>
          <w:noProof/>
        </w:rPr>
        <w:t>jny.</w:t>
      </w:r>
    </w:p>
    <w:p w14:paraId="0CF661DC" w14:textId="12B3EA85" w:rsidR="00622723" w:rsidRPr="00FF009C" w:rsidRDefault="0043039B" w:rsidP="50918118">
      <w:pPr>
        <w:widowControl w:val="0"/>
        <w:spacing w:before="0"/>
        <w:rPr>
          <w:rFonts w:eastAsia="Times New Roman"/>
          <w:noProof/>
        </w:rPr>
      </w:pPr>
      <w:r w:rsidRPr="00FF009C">
        <w:rPr>
          <w:noProof/>
        </w:rPr>
        <w:t>Zapobieganie przemytowi migrantów</w:t>
      </w:r>
      <w:r w:rsidR="00FF009C" w:rsidRPr="00FF009C">
        <w:rPr>
          <w:noProof/>
        </w:rPr>
        <w:t xml:space="preserve"> i</w:t>
      </w:r>
      <w:r w:rsidR="00FF009C">
        <w:rPr>
          <w:noProof/>
        </w:rPr>
        <w:t> </w:t>
      </w:r>
      <w:r w:rsidR="00FF009C" w:rsidRPr="00FF009C">
        <w:rPr>
          <w:noProof/>
        </w:rPr>
        <w:t>zwa</w:t>
      </w:r>
      <w:r w:rsidRPr="00FF009C">
        <w:rPr>
          <w:noProof/>
        </w:rPr>
        <w:t>lczanie go stanowi kluczowy cel strategii UE</w:t>
      </w:r>
      <w:r w:rsidR="00FF009C" w:rsidRPr="00FF009C">
        <w:rPr>
          <w:noProof/>
        </w:rPr>
        <w:t xml:space="preserve"> w</w:t>
      </w:r>
      <w:r w:rsidR="00FF009C">
        <w:rPr>
          <w:noProof/>
        </w:rPr>
        <w:t> </w:t>
      </w:r>
      <w:r w:rsidR="00FF009C" w:rsidRPr="00FF009C">
        <w:rPr>
          <w:noProof/>
        </w:rPr>
        <w:t>zak</w:t>
      </w:r>
      <w:r w:rsidRPr="00FF009C">
        <w:rPr>
          <w:noProof/>
        </w:rPr>
        <w:t>resie unii bezpieczeństwa, unijnej strategii zwalczania przestępczości zorganizowanej oraz nowego paktu</w:t>
      </w:r>
      <w:r w:rsidR="00FF009C" w:rsidRPr="00FF009C">
        <w:rPr>
          <w:noProof/>
        </w:rPr>
        <w:t xml:space="preserve"> o</w:t>
      </w:r>
      <w:r w:rsidR="00FF009C">
        <w:rPr>
          <w:noProof/>
        </w:rPr>
        <w:t> </w:t>
      </w:r>
      <w:r w:rsidR="00FF009C" w:rsidRPr="00FF009C">
        <w:rPr>
          <w:noProof/>
        </w:rPr>
        <w:t>mig</w:t>
      </w:r>
      <w:r w:rsidRPr="00FF009C">
        <w:rPr>
          <w:noProof/>
        </w:rPr>
        <w:t>racji</w:t>
      </w:r>
      <w:r w:rsidR="00FF009C" w:rsidRPr="00FF009C">
        <w:rPr>
          <w:noProof/>
        </w:rPr>
        <w:t xml:space="preserve"> i</w:t>
      </w:r>
      <w:r w:rsidR="00FF009C">
        <w:rPr>
          <w:noProof/>
        </w:rPr>
        <w:t> </w:t>
      </w:r>
      <w:r w:rsidR="00FF009C" w:rsidRPr="00FF009C">
        <w:rPr>
          <w:noProof/>
        </w:rPr>
        <w:t>azy</w:t>
      </w:r>
      <w:r w:rsidRPr="00FF009C">
        <w:rPr>
          <w:noProof/>
        </w:rPr>
        <w:t>lu.</w:t>
      </w:r>
    </w:p>
    <w:p w14:paraId="6314E446" w14:textId="228D6638" w:rsidR="0043039B" w:rsidRPr="00FF009C" w:rsidRDefault="0043039B" w:rsidP="00977077">
      <w:pPr>
        <w:widowControl w:val="0"/>
        <w:autoSpaceDE w:val="0"/>
        <w:autoSpaceDN w:val="0"/>
        <w:adjustRightInd w:val="0"/>
        <w:spacing w:before="0"/>
        <w:rPr>
          <w:rFonts w:eastAsia="Times New Roman"/>
          <w:b/>
          <w:bCs/>
          <w:noProof/>
        </w:rPr>
      </w:pPr>
      <w:r w:rsidRPr="00FF009C">
        <w:rPr>
          <w:b/>
          <w:noProof/>
        </w:rPr>
        <w:t>•</w:t>
      </w:r>
      <w:r w:rsidRPr="00FF009C">
        <w:rPr>
          <w:noProof/>
        </w:rPr>
        <w:tab/>
      </w:r>
      <w:r w:rsidRPr="00FF009C">
        <w:rPr>
          <w:b/>
          <w:noProof/>
        </w:rPr>
        <w:t>Spójność</w:t>
      </w:r>
      <w:r w:rsidR="00FF009C" w:rsidRPr="00FF009C">
        <w:rPr>
          <w:b/>
          <w:noProof/>
        </w:rPr>
        <w:t xml:space="preserve"> z</w:t>
      </w:r>
      <w:r w:rsidR="00FF009C">
        <w:rPr>
          <w:b/>
          <w:noProof/>
        </w:rPr>
        <w:t> </w:t>
      </w:r>
      <w:r w:rsidR="00FF009C" w:rsidRPr="00FF009C">
        <w:rPr>
          <w:b/>
          <w:noProof/>
        </w:rPr>
        <w:t>inn</w:t>
      </w:r>
      <w:r w:rsidRPr="00FF009C">
        <w:rPr>
          <w:b/>
          <w:noProof/>
        </w:rPr>
        <w:t>ymi politykami Unii</w:t>
      </w:r>
    </w:p>
    <w:p w14:paraId="338649D7" w14:textId="493B77CE" w:rsidR="0043039B" w:rsidRPr="00FF009C" w:rsidRDefault="0043039B" w:rsidP="0043039B">
      <w:pPr>
        <w:widowControl w:val="0"/>
        <w:spacing w:before="0"/>
        <w:rPr>
          <w:rFonts w:eastAsia="Times New Roman"/>
          <w:noProof/>
        </w:rPr>
      </w:pPr>
      <w:r w:rsidRPr="00FF009C">
        <w:rPr>
          <w:noProof/>
        </w:rPr>
        <w:t>Jeżeli chodzi</w:t>
      </w:r>
      <w:r w:rsidR="00FF009C" w:rsidRPr="00FF009C">
        <w:rPr>
          <w:noProof/>
        </w:rPr>
        <w:t xml:space="preserve"> o</w:t>
      </w:r>
      <w:r w:rsidR="00FF009C">
        <w:rPr>
          <w:noProof/>
        </w:rPr>
        <w:t> </w:t>
      </w:r>
      <w:r w:rsidR="00FF009C" w:rsidRPr="00FF009C">
        <w:rPr>
          <w:noProof/>
        </w:rPr>
        <w:t>wsp</w:t>
      </w:r>
      <w:r w:rsidRPr="00FF009C">
        <w:rPr>
          <w:noProof/>
        </w:rPr>
        <w:t>arcie ze strony Europolu na rzecz państw członkowskich,</w:t>
      </w:r>
      <w:r w:rsidR="00FF009C" w:rsidRPr="00FF009C">
        <w:rPr>
          <w:noProof/>
        </w:rPr>
        <w:t xml:space="preserve"> w</w:t>
      </w:r>
      <w:r w:rsidR="00FF009C">
        <w:rPr>
          <w:noProof/>
        </w:rPr>
        <w:t> </w:t>
      </w:r>
      <w:r w:rsidR="00FF009C" w:rsidRPr="00FF009C">
        <w:rPr>
          <w:noProof/>
        </w:rPr>
        <w:t>nin</w:t>
      </w:r>
      <w:r w:rsidRPr="00FF009C">
        <w:rPr>
          <w:noProof/>
        </w:rPr>
        <w:t>iejszej inicjatywie ustawodawczej uwzględnia się politykę Unii</w:t>
      </w:r>
      <w:r w:rsidR="00FF009C" w:rsidRPr="00FF009C">
        <w:rPr>
          <w:noProof/>
        </w:rPr>
        <w:t xml:space="preserve"> w</w:t>
      </w:r>
      <w:r w:rsidR="00FF009C">
        <w:rPr>
          <w:noProof/>
        </w:rPr>
        <w:t> </w:t>
      </w:r>
      <w:r w:rsidR="00FF009C" w:rsidRPr="00FF009C">
        <w:rPr>
          <w:noProof/>
        </w:rPr>
        <w:t>obs</w:t>
      </w:r>
      <w:r w:rsidRPr="00FF009C">
        <w:rPr>
          <w:noProof/>
        </w:rPr>
        <w:t>zarze współpracy wymiarów sprawiedliwości</w:t>
      </w:r>
      <w:r w:rsidR="00FF009C" w:rsidRPr="00FF009C">
        <w:rPr>
          <w:noProof/>
        </w:rPr>
        <w:t xml:space="preserve"> w</w:t>
      </w:r>
      <w:r w:rsidR="00FF009C">
        <w:rPr>
          <w:noProof/>
        </w:rPr>
        <w:t> </w:t>
      </w:r>
      <w:r w:rsidR="00FF009C" w:rsidRPr="00FF009C">
        <w:rPr>
          <w:noProof/>
        </w:rPr>
        <w:t>spr</w:t>
      </w:r>
      <w:r w:rsidRPr="00FF009C">
        <w:rPr>
          <w:noProof/>
        </w:rPr>
        <w:t>awach karnych,</w:t>
      </w:r>
      <w:r w:rsidR="00FF009C" w:rsidRPr="00FF009C">
        <w:rPr>
          <w:noProof/>
        </w:rPr>
        <w:t xml:space="preserve"> w</w:t>
      </w:r>
      <w:r w:rsidR="00FF009C">
        <w:rPr>
          <w:noProof/>
        </w:rPr>
        <w:t> </w:t>
      </w:r>
      <w:r w:rsidR="00FF009C" w:rsidRPr="00FF009C">
        <w:rPr>
          <w:noProof/>
        </w:rPr>
        <w:t>szc</w:t>
      </w:r>
      <w:r w:rsidRPr="00FF009C">
        <w:rPr>
          <w:noProof/>
        </w:rPr>
        <w:t>zególności rolę Eurojustu</w:t>
      </w:r>
      <w:r w:rsidR="007E0CD5" w:rsidRPr="00FF009C">
        <w:rPr>
          <w:rStyle w:val="FootnoteReference0"/>
          <w:rFonts w:eastAsia="Times New Roman"/>
          <w:noProof/>
        </w:rPr>
        <w:footnoteReference w:id="10"/>
      </w:r>
      <w:r w:rsidRPr="00FF009C">
        <w:rPr>
          <w:noProof/>
        </w:rPr>
        <w:t xml:space="preserve"> we wspieraniu</w:t>
      </w:r>
      <w:r w:rsidR="00FF009C" w:rsidRPr="00FF009C">
        <w:rPr>
          <w:noProof/>
        </w:rPr>
        <w:t xml:space="preserve"> i</w:t>
      </w:r>
      <w:r w:rsidR="00FF009C">
        <w:rPr>
          <w:noProof/>
        </w:rPr>
        <w:t> </w:t>
      </w:r>
      <w:r w:rsidR="00FF009C" w:rsidRPr="00FF009C">
        <w:rPr>
          <w:noProof/>
        </w:rPr>
        <w:t>wzm</w:t>
      </w:r>
      <w:r w:rsidRPr="00FF009C">
        <w:rPr>
          <w:noProof/>
        </w:rPr>
        <w:t>acnianiu koordynacji</w:t>
      </w:r>
      <w:r w:rsidR="00FF009C" w:rsidRPr="00FF009C">
        <w:rPr>
          <w:noProof/>
        </w:rPr>
        <w:t xml:space="preserve"> i</w:t>
      </w:r>
      <w:r w:rsidR="00FF009C">
        <w:rPr>
          <w:noProof/>
        </w:rPr>
        <w:t> </w:t>
      </w:r>
      <w:r w:rsidR="00FF009C" w:rsidRPr="00FF009C">
        <w:rPr>
          <w:noProof/>
        </w:rPr>
        <w:t>wsp</w:t>
      </w:r>
      <w:r w:rsidRPr="00FF009C">
        <w:rPr>
          <w:noProof/>
        </w:rPr>
        <w:t>ółpracy między krajowymi organami prowadzącymi postępowania przygotowawcze</w:t>
      </w:r>
      <w:r w:rsidR="00FF009C" w:rsidRPr="00FF009C">
        <w:rPr>
          <w:noProof/>
        </w:rPr>
        <w:t xml:space="preserve"> i</w:t>
      </w:r>
      <w:r w:rsidR="00FF009C">
        <w:rPr>
          <w:noProof/>
        </w:rPr>
        <w:t> </w:t>
      </w:r>
      <w:r w:rsidR="00FF009C" w:rsidRPr="00FF009C">
        <w:rPr>
          <w:noProof/>
        </w:rPr>
        <w:t>org</w:t>
      </w:r>
      <w:r w:rsidRPr="00FF009C">
        <w:rPr>
          <w:noProof/>
        </w:rPr>
        <w:t>anami ścigania</w:t>
      </w:r>
      <w:r w:rsidR="00FF009C" w:rsidRPr="00FF009C">
        <w:rPr>
          <w:noProof/>
        </w:rPr>
        <w:t xml:space="preserve"> w</w:t>
      </w:r>
      <w:r w:rsidR="00FF009C">
        <w:rPr>
          <w:noProof/>
        </w:rPr>
        <w:t> </w:t>
      </w:r>
      <w:r w:rsidR="00FF009C" w:rsidRPr="00FF009C">
        <w:rPr>
          <w:noProof/>
        </w:rPr>
        <w:t>odn</w:t>
      </w:r>
      <w:r w:rsidRPr="00FF009C">
        <w:rPr>
          <w:noProof/>
        </w:rPr>
        <w:t>iesieniu do poważnej przestępczości, oraz współpracy sądowej za pośrednictwem wspólnych zespołów dochodzeniowo-śledczych</w:t>
      </w:r>
      <w:r w:rsidR="00E803BC" w:rsidRPr="00FF009C">
        <w:rPr>
          <w:rStyle w:val="FootnoteReference0"/>
          <w:rFonts w:eastAsia="Times New Roman"/>
          <w:noProof/>
        </w:rPr>
        <w:footnoteReference w:id="11"/>
      </w:r>
      <w:r w:rsidR="00FF009C" w:rsidRPr="00FF009C">
        <w:rPr>
          <w:noProof/>
        </w:rPr>
        <w:t>. W</w:t>
      </w:r>
      <w:r w:rsidR="00FF009C">
        <w:rPr>
          <w:noProof/>
        </w:rPr>
        <w:t> </w:t>
      </w:r>
      <w:r w:rsidR="00FF009C" w:rsidRPr="00FF009C">
        <w:rPr>
          <w:noProof/>
        </w:rPr>
        <w:t>nin</w:t>
      </w:r>
      <w:r w:rsidRPr="00FF009C">
        <w:rPr>
          <w:noProof/>
        </w:rPr>
        <w:t>iejszej inicjatywie ustawodawczej uwzględniono również politykę zewnętrzną Unii,</w:t>
      </w:r>
      <w:r w:rsidR="00FF009C" w:rsidRPr="00FF009C">
        <w:rPr>
          <w:noProof/>
        </w:rPr>
        <w:t xml:space="preserve"> w</w:t>
      </w:r>
      <w:r w:rsidR="00FF009C">
        <w:rPr>
          <w:noProof/>
        </w:rPr>
        <w:t> </w:t>
      </w:r>
      <w:r w:rsidR="00FF009C" w:rsidRPr="00FF009C">
        <w:rPr>
          <w:noProof/>
        </w:rPr>
        <w:t>szc</w:t>
      </w:r>
      <w:r w:rsidRPr="00FF009C">
        <w:rPr>
          <w:noProof/>
        </w:rPr>
        <w:t>zególności działania delegatur Unii</w:t>
      </w:r>
      <w:r w:rsidR="00FF009C" w:rsidRPr="00FF009C">
        <w:rPr>
          <w:noProof/>
        </w:rPr>
        <w:t xml:space="preserve"> i</w:t>
      </w:r>
      <w:r w:rsidR="00FF009C">
        <w:rPr>
          <w:noProof/>
        </w:rPr>
        <w:t> </w:t>
      </w:r>
      <w:r w:rsidR="00FF009C" w:rsidRPr="00FF009C">
        <w:rPr>
          <w:noProof/>
        </w:rPr>
        <w:t>eks</w:t>
      </w:r>
      <w:r w:rsidRPr="00FF009C">
        <w:rPr>
          <w:noProof/>
        </w:rPr>
        <w:t>pertów ds. bezpieczeństwa</w:t>
      </w:r>
      <w:r w:rsidR="00FF009C" w:rsidRPr="00FF009C">
        <w:rPr>
          <w:noProof/>
        </w:rPr>
        <w:t xml:space="preserve"> w</w:t>
      </w:r>
      <w:r w:rsidR="00FF009C">
        <w:rPr>
          <w:noProof/>
        </w:rPr>
        <w:t> </w:t>
      </w:r>
      <w:r w:rsidR="00FF009C" w:rsidRPr="00FF009C">
        <w:rPr>
          <w:noProof/>
        </w:rPr>
        <w:t>pań</w:t>
      </w:r>
      <w:r w:rsidRPr="00FF009C">
        <w:rPr>
          <w:noProof/>
        </w:rPr>
        <w:t>stwach trzecich,</w:t>
      </w:r>
      <w:r w:rsidR="00FF009C" w:rsidRPr="00FF009C">
        <w:rPr>
          <w:noProof/>
        </w:rPr>
        <w:t xml:space="preserve"> a</w:t>
      </w:r>
      <w:r w:rsidR="00FF009C">
        <w:rPr>
          <w:noProof/>
        </w:rPr>
        <w:t> </w:t>
      </w:r>
      <w:r w:rsidR="00FF009C" w:rsidRPr="00FF009C">
        <w:rPr>
          <w:noProof/>
        </w:rPr>
        <w:t>tak</w:t>
      </w:r>
      <w:r w:rsidRPr="00FF009C">
        <w:rPr>
          <w:noProof/>
        </w:rPr>
        <w:t>że misje</w:t>
      </w:r>
      <w:r w:rsidR="00FF009C" w:rsidRPr="00FF009C">
        <w:rPr>
          <w:noProof/>
        </w:rPr>
        <w:t xml:space="preserve"> i</w:t>
      </w:r>
      <w:r w:rsidR="00FF009C">
        <w:rPr>
          <w:noProof/>
        </w:rPr>
        <w:t> </w:t>
      </w:r>
      <w:r w:rsidR="00FF009C" w:rsidRPr="00FF009C">
        <w:rPr>
          <w:noProof/>
        </w:rPr>
        <w:t>ope</w:t>
      </w:r>
      <w:r w:rsidRPr="00FF009C">
        <w:rPr>
          <w:noProof/>
        </w:rPr>
        <w:t>racje</w:t>
      </w:r>
      <w:r w:rsidR="00FF009C" w:rsidRPr="00FF009C">
        <w:rPr>
          <w:noProof/>
        </w:rPr>
        <w:t xml:space="preserve"> w</w:t>
      </w:r>
      <w:r w:rsidR="00FF009C">
        <w:rPr>
          <w:noProof/>
        </w:rPr>
        <w:t> </w:t>
      </w:r>
      <w:r w:rsidR="00FF009C" w:rsidRPr="00FF009C">
        <w:rPr>
          <w:noProof/>
        </w:rPr>
        <w:t>ram</w:t>
      </w:r>
      <w:r w:rsidRPr="00FF009C">
        <w:rPr>
          <w:noProof/>
        </w:rPr>
        <w:t>ach wspólnej polityki bezpieczeństwa</w:t>
      </w:r>
      <w:r w:rsidR="00FF009C" w:rsidRPr="00FF009C">
        <w:rPr>
          <w:noProof/>
        </w:rPr>
        <w:t xml:space="preserve"> i</w:t>
      </w:r>
      <w:r w:rsidR="00FF009C">
        <w:rPr>
          <w:noProof/>
        </w:rPr>
        <w:t> </w:t>
      </w:r>
      <w:r w:rsidR="00FF009C" w:rsidRPr="00FF009C">
        <w:rPr>
          <w:noProof/>
        </w:rPr>
        <w:t>obr</w:t>
      </w:r>
      <w:r w:rsidRPr="00FF009C">
        <w:rPr>
          <w:noProof/>
        </w:rPr>
        <w:t>ony.</w:t>
      </w:r>
    </w:p>
    <w:p w14:paraId="41CB92F9" w14:textId="677240AF" w:rsidR="0043039B" w:rsidRPr="00FF009C" w:rsidRDefault="0043039B" w:rsidP="0043039B">
      <w:pPr>
        <w:widowControl w:val="0"/>
        <w:autoSpaceDE w:val="0"/>
        <w:autoSpaceDN w:val="0"/>
        <w:adjustRightInd w:val="0"/>
        <w:spacing w:before="0"/>
        <w:rPr>
          <w:rFonts w:eastAsia="Times New Roman"/>
          <w:noProof/>
        </w:rPr>
      </w:pPr>
      <w:r w:rsidRPr="00FF009C">
        <w:rPr>
          <w:noProof/>
        </w:rPr>
        <w:t>W niniejszej inicjatywie ustawodawczej</w:t>
      </w:r>
      <w:r w:rsidR="00FF009C" w:rsidRPr="00FF009C">
        <w:rPr>
          <w:noProof/>
        </w:rPr>
        <w:t xml:space="preserve"> w</w:t>
      </w:r>
      <w:r w:rsidR="00FF009C">
        <w:rPr>
          <w:noProof/>
        </w:rPr>
        <w:t> </w:t>
      </w:r>
      <w:r w:rsidR="00FF009C" w:rsidRPr="00FF009C">
        <w:rPr>
          <w:noProof/>
        </w:rPr>
        <w:t>peł</w:t>
      </w:r>
      <w:r w:rsidRPr="00FF009C">
        <w:rPr>
          <w:noProof/>
        </w:rPr>
        <w:t>ni uwzględniono odpowiednie przepisy UE dotyczące ochrony danych (zob. sekcja 3 poniżej dotycząca praw podstawowych).</w:t>
      </w:r>
    </w:p>
    <w:p w14:paraId="39D23A71" w14:textId="77777777" w:rsidR="0043039B" w:rsidRPr="00FF009C" w:rsidRDefault="0043039B" w:rsidP="0043039B">
      <w:pPr>
        <w:widowControl w:val="0"/>
        <w:spacing w:before="0"/>
        <w:rPr>
          <w:rFonts w:eastAsia="Times New Roman"/>
          <w:b/>
          <w:bCs/>
          <w:noProof/>
        </w:rPr>
      </w:pPr>
    </w:p>
    <w:p w14:paraId="5118CEAD" w14:textId="77777777" w:rsidR="0043039B" w:rsidRPr="00FF009C" w:rsidRDefault="0043039B" w:rsidP="00977077">
      <w:pPr>
        <w:widowControl w:val="0"/>
        <w:autoSpaceDE w:val="0"/>
        <w:autoSpaceDN w:val="0"/>
        <w:adjustRightInd w:val="0"/>
        <w:spacing w:before="0"/>
        <w:rPr>
          <w:rFonts w:eastAsia="Times New Roman"/>
          <w:b/>
          <w:bCs/>
          <w:noProof/>
        </w:rPr>
      </w:pPr>
      <w:r w:rsidRPr="00FF009C">
        <w:rPr>
          <w:b/>
          <w:noProof/>
        </w:rPr>
        <w:t>2.</w:t>
      </w:r>
      <w:r w:rsidRPr="00FF009C">
        <w:rPr>
          <w:noProof/>
        </w:rPr>
        <w:tab/>
      </w:r>
      <w:r w:rsidRPr="00FF009C">
        <w:rPr>
          <w:b/>
          <w:noProof/>
        </w:rPr>
        <w:t>PODSTAWA PRAWNA, POMOCNICZOŚĆ I PROPORCJONALNOŚĆ</w:t>
      </w:r>
    </w:p>
    <w:p w14:paraId="3FBDA395" w14:textId="77777777" w:rsidR="0043039B" w:rsidRPr="00FF009C" w:rsidRDefault="0043039B" w:rsidP="00977077">
      <w:pPr>
        <w:widowControl w:val="0"/>
        <w:autoSpaceDE w:val="0"/>
        <w:autoSpaceDN w:val="0"/>
        <w:adjustRightInd w:val="0"/>
        <w:spacing w:before="0"/>
        <w:rPr>
          <w:rFonts w:eastAsia="Times New Roman"/>
          <w:b/>
          <w:bCs/>
          <w:noProof/>
        </w:rPr>
      </w:pPr>
      <w:r w:rsidRPr="00FF009C">
        <w:rPr>
          <w:b/>
          <w:noProof/>
        </w:rPr>
        <w:t>•</w:t>
      </w:r>
      <w:r w:rsidRPr="00FF009C">
        <w:rPr>
          <w:noProof/>
        </w:rPr>
        <w:tab/>
      </w:r>
      <w:r w:rsidRPr="00FF009C">
        <w:rPr>
          <w:b/>
          <w:noProof/>
        </w:rPr>
        <w:t>Podstawa prawna</w:t>
      </w:r>
    </w:p>
    <w:p w14:paraId="693951B6" w14:textId="0E86D500" w:rsidR="0043039B" w:rsidRPr="00FF009C" w:rsidRDefault="0043039B" w:rsidP="00D92F07">
      <w:pPr>
        <w:widowControl w:val="0"/>
        <w:autoSpaceDE w:val="0"/>
        <w:autoSpaceDN w:val="0"/>
        <w:adjustRightInd w:val="0"/>
        <w:spacing w:before="0"/>
        <w:rPr>
          <w:noProof/>
          <w:shd w:val="clear" w:color="auto" w:fill="FFFFFF"/>
        </w:rPr>
      </w:pPr>
      <w:r w:rsidRPr="00FF009C">
        <w:rPr>
          <w:noProof/>
        </w:rPr>
        <w:t>Podstawę prawną inicjatywy ustawodawczej stanowią art.</w:t>
      </w:r>
      <w:r w:rsidR="00FF009C" w:rsidRPr="00FF009C">
        <w:rPr>
          <w:noProof/>
        </w:rPr>
        <w:t> </w:t>
      </w:r>
      <w:r w:rsidRPr="00FF009C">
        <w:rPr>
          <w:noProof/>
        </w:rPr>
        <w:t>85, 87</w:t>
      </w:r>
      <w:r w:rsidR="00FF009C" w:rsidRPr="00FF009C">
        <w:rPr>
          <w:noProof/>
        </w:rPr>
        <w:t xml:space="preserve"> i</w:t>
      </w:r>
      <w:r w:rsidR="00FF009C">
        <w:rPr>
          <w:noProof/>
        </w:rPr>
        <w:t> </w:t>
      </w:r>
      <w:r w:rsidR="00FF009C" w:rsidRPr="00FF009C">
        <w:rPr>
          <w:noProof/>
        </w:rPr>
        <w:t>8</w:t>
      </w:r>
      <w:r w:rsidRPr="00FF009C">
        <w:rPr>
          <w:noProof/>
        </w:rPr>
        <w:t>8 Traktatu</w:t>
      </w:r>
      <w:r w:rsidR="00FF009C" w:rsidRPr="00FF009C">
        <w:rPr>
          <w:noProof/>
        </w:rPr>
        <w:t xml:space="preserve"> o</w:t>
      </w:r>
      <w:r w:rsidR="00FF009C">
        <w:rPr>
          <w:noProof/>
        </w:rPr>
        <w:t> </w:t>
      </w:r>
      <w:r w:rsidR="00FF009C" w:rsidRPr="00FF009C">
        <w:rPr>
          <w:noProof/>
        </w:rPr>
        <w:t>fun</w:t>
      </w:r>
      <w:r w:rsidRPr="00FF009C">
        <w:rPr>
          <w:noProof/>
        </w:rPr>
        <w:t>kcjonowaniu Unii Europejskiej (TFUE). Art. 85 ust.</w:t>
      </w:r>
      <w:r w:rsidR="00FF009C" w:rsidRPr="00FF009C">
        <w:rPr>
          <w:noProof/>
        </w:rPr>
        <w:t> </w:t>
      </w:r>
      <w:r w:rsidRPr="00FF009C">
        <w:rPr>
          <w:noProof/>
        </w:rPr>
        <w:t>1 TFUE stanowi, że zadaniem Eurojust jest wspieranie oraz wzmacnianie koordynacji</w:t>
      </w:r>
      <w:r w:rsidR="00FF009C" w:rsidRPr="00FF009C">
        <w:rPr>
          <w:noProof/>
        </w:rPr>
        <w:t xml:space="preserve"> i</w:t>
      </w:r>
      <w:r w:rsidR="00FF009C">
        <w:rPr>
          <w:noProof/>
        </w:rPr>
        <w:t> </w:t>
      </w:r>
      <w:r w:rsidR="00FF009C" w:rsidRPr="00FF009C">
        <w:rPr>
          <w:noProof/>
        </w:rPr>
        <w:t>wsp</w:t>
      </w:r>
      <w:r w:rsidRPr="00FF009C">
        <w:rPr>
          <w:noProof/>
        </w:rPr>
        <w:t>ółpracy między krajowymi organami śledczymi</w:t>
      </w:r>
      <w:r w:rsidR="00FF009C" w:rsidRPr="00FF009C">
        <w:rPr>
          <w:noProof/>
        </w:rPr>
        <w:t xml:space="preserve"> i</w:t>
      </w:r>
      <w:r w:rsidR="00FF009C">
        <w:rPr>
          <w:noProof/>
        </w:rPr>
        <w:t> </w:t>
      </w:r>
      <w:r w:rsidR="00FF009C" w:rsidRPr="00FF009C">
        <w:rPr>
          <w:noProof/>
        </w:rPr>
        <w:t>org</w:t>
      </w:r>
      <w:r w:rsidRPr="00FF009C">
        <w:rPr>
          <w:noProof/>
        </w:rPr>
        <w:t>anami ścigania</w:t>
      </w:r>
      <w:r w:rsidR="00FF009C" w:rsidRPr="00FF009C">
        <w:rPr>
          <w:noProof/>
        </w:rPr>
        <w:t xml:space="preserve"> w</w:t>
      </w:r>
      <w:r w:rsidR="00FF009C">
        <w:rPr>
          <w:noProof/>
        </w:rPr>
        <w:t> </w:t>
      </w:r>
      <w:r w:rsidR="00FF009C" w:rsidRPr="00FF009C">
        <w:rPr>
          <w:noProof/>
        </w:rPr>
        <w:t>odn</w:t>
      </w:r>
      <w:r w:rsidRPr="00FF009C">
        <w:rPr>
          <w:noProof/>
        </w:rPr>
        <w:t>iesieniu do poważnej przestępczości, która dotyka dwóch lub więcej państw członkowskich lub która wymaga wspólnego ścigania,</w:t>
      </w:r>
      <w:r w:rsidR="00FF009C" w:rsidRPr="00FF009C">
        <w:rPr>
          <w:noProof/>
        </w:rPr>
        <w:t xml:space="preserve"> w</w:t>
      </w:r>
      <w:r w:rsidR="00FF009C">
        <w:rPr>
          <w:noProof/>
        </w:rPr>
        <w:t> </w:t>
      </w:r>
      <w:r w:rsidR="00FF009C" w:rsidRPr="00FF009C">
        <w:rPr>
          <w:noProof/>
        </w:rPr>
        <w:t>opa</w:t>
      </w:r>
      <w:r w:rsidRPr="00FF009C">
        <w:rPr>
          <w:noProof/>
        </w:rPr>
        <w:t>rciu</w:t>
      </w:r>
      <w:r w:rsidR="00FF009C" w:rsidRPr="00FF009C">
        <w:rPr>
          <w:noProof/>
        </w:rPr>
        <w:t xml:space="preserve"> o</w:t>
      </w:r>
      <w:r w:rsidR="00FF009C">
        <w:rPr>
          <w:noProof/>
        </w:rPr>
        <w:t> </w:t>
      </w:r>
      <w:r w:rsidR="00FF009C" w:rsidRPr="00FF009C">
        <w:rPr>
          <w:noProof/>
        </w:rPr>
        <w:t>ope</w:t>
      </w:r>
      <w:r w:rsidRPr="00FF009C">
        <w:rPr>
          <w:noProof/>
        </w:rPr>
        <w:t>racje przeprowadzane</w:t>
      </w:r>
      <w:r w:rsidR="00FF009C" w:rsidRPr="00FF009C">
        <w:rPr>
          <w:noProof/>
        </w:rPr>
        <w:t xml:space="preserve"> i</w:t>
      </w:r>
      <w:r w:rsidR="00FF009C">
        <w:rPr>
          <w:noProof/>
        </w:rPr>
        <w:t> </w:t>
      </w:r>
      <w:r w:rsidR="00FF009C" w:rsidRPr="00FF009C">
        <w:rPr>
          <w:noProof/>
        </w:rPr>
        <w:t>inf</w:t>
      </w:r>
      <w:r w:rsidRPr="00FF009C">
        <w:rPr>
          <w:noProof/>
        </w:rPr>
        <w:t>ormacje dostarczane przez organy państw członkowskich</w:t>
      </w:r>
      <w:r w:rsidR="00FF009C" w:rsidRPr="00FF009C">
        <w:rPr>
          <w:noProof/>
        </w:rPr>
        <w:t xml:space="preserve"> i</w:t>
      </w:r>
      <w:r w:rsidR="00FF009C">
        <w:rPr>
          <w:noProof/>
        </w:rPr>
        <w:t> </w:t>
      </w:r>
      <w:r w:rsidR="00FF009C" w:rsidRPr="00FF009C">
        <w:rPr>
          <w:noProof/>
        </w:rPr>
        <w:t>Eur</w:t>
      </w:r>
      <w:r w:rsidRPr="00FF009C">
        <w:rPr>
          <w:noProof/>
        </w:rPr>
        <w:t>opol. Art. 87 ust.</w:t>
      </w:r>
      <w:r w:rsidR="00FF009C" w:rsidRPr="00FF009C">
        <w:rPr>
          <w:noProof/>
        </w:rPr>
        <w:t> </w:t>
      </w:r>
      <w:r w:rsidRPr="00FF009C">
        <w:rPr>
          <w:noProof/>
        </w:rPr>
        <w:t>1 stanowi, że Unia rozwija współpracę policyjną obejmującą wszystkie właściwe organy Państw Członkowskich,</w:t>
      </w:r>
      <w:r w:rsidR="00FF009C" w:rsidRPr="00FF009C">
        <w:rPr>
          <w:noProof/>
        </w:rPr>
        <w:t xml:space="preserve"> w</w:t>
      </w:r>
      <w:r w:rsidR="00FF009C">
        <w:rPr>
          <w:noProof/>
        </w:rPr>
        <w:t> </w:t>
      </w:r>
      <w:r w:rsidR="00FF009C" w:rsidRPr="00FF009C">
        <w:rPr>
          <w:noProof/>
        </w:rPr>
        <w:t>tym</w:t>
      </w:r>
      <w:r w:rsidRPr="00FF009C">
        <w:rPr>
          <w:noProof/>
        </w:rPr>
        <w:t xml:space="preserve"> służby policji, służby celne oraz inne organy ścigania wyspecjalizowane</w:t>
      </w:r>
      <w:r w:rsidR="00FF009C" w:rsidRPr="00FF009C">
        <w:rPr>
          <w:noProof/>
        </w:rPr>
        <w:t xml:space="preserve"> w</w:t>
      </w:r>
      <w:r w:rsidR="00FF009C">
        <w:rPr>
          <w:noProof/>
        </w:rPr>
        <w:t> </w:t>
      </w:r>
      <w:r w:rsidR="00FF009C" w:rsidRPr="00FF009C">
        <w:rPr>
          <w:noProof/>
        </w:rPr>
        <w:t>zap</w:t>
      </w:r>
      <w:r w:rsidRPr="00FF009C">
        <w:rPr>
          <w:noProof/>
        </w:rPr>
        <w:t>obieganiu przestępstwom lub ich wykrywaniu</w:t>
      </w:r>
      <w:r w:rsidR="00FF009C" w:rsidRPr="00FF009C">
        <w:rPr>
          <w:noProof/>
        </w:rPr>
        <w:t xml:space="preserve"> i</w:t>
      </w:r>
      <w:r w:rsidR="00FF009C">
        <w:rPr>
          <w:noProof/>
        </w:rPr>
        <w:t> </w:t>
      </w:r>
      <w:r w:rsidR="00FF009C" w:rsidRPr="00FF009C">
        <w:rPr>
          <w:noProof/>
        </w:rPr>
        <w:t>ści</w:t>
      </w:r>
      <w:r w:rsidRPr="00FF009C">
        <w:rPr>
          <w:noProof/>
        </w:rPr>
        <w:t>ganiu. Art. 88 ust.</w:t>
      </w:r>
      <w:r w:rsidR="00FF009C" w:rsidRPr="00FF009C">
        <w:rPr>
          <w:noProof/>
        </w:rPr>
        <w:t> </w:t>
      </w:r>
      <w:r w:rsidRPr="00FF009C">
        <w:rPr>
          <w:noProof/>
        </w:rPr>
        <w:t>2 TFUE stanowi, że Parlament Europejski</w:t>
      </w:r>
      <w:r w:rsidR="00FF009C" w:rsidRPr="00FF009C">
        <w:rPr>
          <w:noProof/>
        </w:rPr>
        <w:t xml:space="preserve"> i</w:t>
      </w:r>
      <w:r w:rsidR="00FF009C">
        <w:rPr>
          <w:noProof/>
        </w:rPr>
        <w:t> </w:t>
      </w:r>
      <w:r w:rsidR="00FF009C" w:rsidRPr="00FF009C">
        <w:rPr>
          <w:noProof/>
        </w:rPr>
        <w:t>Rad</w:t>
      </w:r>
      <w:r w:rsidRPr="00FF009C">
        <w:rPr>
          <w:noProof/>
        </w:rPr>
        <w:t>a, stanowiąc</w:t>
      </w:r>
      <w:r w:rsidR="00FF009C" w:rsidRPr="00FF009C">
        <w:rPr>
          <w:noProof/>
        </w:rPr>
        <w:t xml:space="preserve"> w</w:t>
      </w:r>
      <w:r w:rsidR="00FF009C">
        <w:rPr>
          <w:noProof/>
        </w:rPr>
        <w:t> </w:t>
      </w:r>
      <w:r w:rsidR="00FF009C" w:rsidRPr="00FF009C">
        <w:rPr>
          <w:noProof/>
        </w:rPr>
        <w:t>dro</w:t>
      </w:r>
      <w:r w:rsidRPr="00FF009C">
        <w:rPr>
          <w:noProof/>
        </w:rPr>
        <w:t>dze rozporządzeń zgodnie ze zwykłą procedurą ustawodawczą, określają strukturę, funkcjonowanie oraz zakres działań</w:t>
      </w:r>
      <w:r w:rsidR="00FF009C" w:rsidRPr="00FF009C">
        <w:rPr>
          <w:noProof/>
        </w:rPr>
        <w:t xml:space="preserve"> i</w:t>
      </w:r>
      <w:r w:rsidR="00FF009C">
        <w:rPr>
          <w:noProof/>
        </w:rPr>
        <w:t> </w:t>
      </w:r>
      <w:r w:rsidR="00FF009C" w:rsidRPr="00FF009C">
        <w:rPr>
          <w:noProof/>
        </w:rPr>
        <w:t>zad</w:t>
      </w:r>
      <w:r w:rsidRPr="00FF009C">
        <w:rPr>
          <w:noProof/>
        </w:rPr>
        <w:t>ań Europolu. Zadania te mogą obejmować: a) gromadzenie, przechowywanie, przetwarzanie, analizę</w:t>
      </w:r>
      <w:r w:rsidR="00FF009C" w:rsidRPr="00FF009C">
        <w:rPr>
          <w:noProof/>
        </w:rPr>
        <w:t xml:space="preserve"> i</w:t>
      </w:r>
      <w:r w:rsidR="00FF009C">
        <w:rPr>
          <w:noProof/>
        </w:rPr>
        <w:t> </w:t>
      </w:r>
      <w:r w:rsidR="00FF009C" w:rsidRPr="00FF009C">
        <w:rPr>
          <w:noProof/>
        </w:rPr>
        <w:t>wym</w:t>
      </w:r>
      <w:r w:rsidRPr="00FF009C">
        <w:rPr>
          <w:noProof/>
        </w:rPr>
        <w:t>ianę informacji, przekazywanych zwłaszcza przez organy Państw Członkowskich, państw trzecich lub instytucji spoza Unii i b) koordynowanie, organizowanie</w:t>
      </w:r>
      <w:r w:rsidR="00FF009C" w:rsidRPr="00FF009C">
        <w:rPr>
          <w:noProof/>
        </w:rPr>
        <w:t xml:space="preserve"> i</w:t>
      </w:r>
      <w:r w:rsidR="00FF009C">
        <w:rPr>
          <w:noProof/>
        </w:rPr>
        <w:t> </w:t>
      </w:r>
      <w:r w:rsidR="00FF009C" w:rsidRPr="00FF009C">
        <w:rPr>
          <w:noProof/>
        </w:rPr>
        <w:t>pro</w:t>
      </w:r>
      <w:r w:rsidRPr="00FF009C">
        <w:rPr>
          <w:noProof/>
        </w:rPr>
        <w:t>wadzenie dochodzeń</w:t>
      </w:r>
      <w:r w:rsidR="00FF009C" w:rsidRPr="00FF009C">
        <w:rPr>
          <w:noProof/>
        </w:rPr>
        <w:t xml:space="preserve"> i</w:t>
      </w:r>
      <w:r w:rsidR="00FF009C">
        <w:rPr>
          <w:noProof/>
        </w:rPr>
        <w:t> </w:t>
      </w:r>
      <w:r w:rsidR="00FF009C" w:rsidRPr="00FF009C">
        <w:rPr>
          <w:noProof/>
        </w:rPr>
        <w:t>dzi</w:t>
      </w:r>
      <w:r w:rsidRPr="00FF009C">
        <w:rPr>
          <w:noProof/>
        </w:rPr>
        <w:t>ałań operacyjnych prowadzonych wspólnie</w:t>
      </w:r>
      <w:r w:rsidR="00FF009C" w:rsidRPr="00FF009C">
        <w:rPr>
          <w:noProof/>
        </w:rPr>
        <w:t xml:space="preserve"> z</w:t>
      </w:r>
      <w:r w:rsidR="00FF009C">
        <w:rPr>
          <w:noProof/>
        </w:rPr>
        <w:t> </w:t>
      </w:r>
      <w:r w:rsidR="00FF009C" w:rsidRPr="00FF009C">
        <w:rPr>
          <w:noProof/>
        </w:rPr>
        <w:t>wła</w:t>
      </w:r>
      <w:r w:rsidRPr="00FF009C">
        <w:rPr>
          <w:noProof/>
        </w:rPr>
        <w:t>ściwymi organami Państw Członkowskich lub</w:t>
      </w:r>
      <w:r w:rsidR="00FF009C" w:rsidRPr="00FF009C">
        <w:rPr>
          <w:noProof/>
        </w:rPr>
        <w:t xml:space="preserve"> w</w:t>
      </w:r>
      <w:r w:rsidR="00FF009C">
        <w:rPr>
          <w:noProof/>
        </w:rPr>
        <w:t> </w:t>
      </w:r>
      <w:r w:rsidR="00FF009C" w:rsidRPr="00FF009C">
        <w:rPr>
          <w:noProof/>
        </w:rPr>
        <w:t>ram</w:t>
      </w:r>
      <w:r w:rsidRPr="00FF009C">
        <w:rPr>
          <w:noProof/>
        </w:rPr>
        <w:t>ach wspólnych zespołów dochodzeniowych,</w:t>
      </w:r>
      <w:r w:rsidR="00FF009C" w:rsidRPr="00FF009C">
        <w:rPr>
          <w:noProof/>
        </w:rPr>
        <w:t xml:space="preserve"> w</w:t>
      </w:r>
      <w:r w:rsidR="00FF009C">
        <w:rPr>
          <w:noProof/>
        </w:rPr>
        <w:t> </w:t>
      </w:r>
      <w:r w:rsidR="00FF009C" w:rsidRPr="00FF009C">
        <w:rPr>
          <w:noProof/>
        </w:rPr>
        <w:t>sto</w:t>
      </w:r>
      <w:r w:rsidRPr="00FF009C">
        <w:rPr>
          <w:noProof/>
        </w:rPr>
        <w:t>sownych przypadkach</w:t>
      </w:r>
      <w:r w:rsidR="00FF009C" w:rsidRPr="00FF009C">
        <w:rPr>
          <w:noProof/>
        </w:rPr>
        <w:t xml:space="preserve"> w</w:t>
      </w:r>
      <w:r w:rsidR="00FF009C">
        <w:rPr>
          <w:noProof/>
        </w:rPr>
        <w:t> </w:t>
      </w:r>
      <w:r w:rsidR="00FF009C" w:rsidRPr="00FF009C">
        <w:rPr>
          <w:noProof/>
        </w:rPr>
        <w:t>pow</w:t>
      </w:r>
      <w:r w:rsidRPr="00FF009C">
        <w:rPr>
          <w:noProof/>
        </w:rPr>
        <w:t>iązaniu</w:t>
      </w:r>
      <w:r w:rsidR="00FF009C" w:rsidRPr="00FF009C">
        <w:rPr>
          <w:noProof/>
        </w:rPr>
        <w:t xml:space="preserve"> z</w:t>
      </w:r>
      <w:r w:rsidR="00FF009C">
        <w:rPr>
          <w:noProof/>
        </w:rPr>
        <w:t> </w:t>
      </w:r>
      <w:r w:rsidR="00FF009C" w:rsidRPr="00FF009C">
        <w:rPr>
          <w:noProof/>
        </w:rPr>
        <w:t>Eur</w:t>
      </w:r>
      <w:r w:rsidRPr="00FF009C">
        <w:rPr>
          <w:noProof/>
        </w:rPr>
        <w:t>ojust.</w:t>
      </w:r>
    </w:p>
    <w:p w14:paraId="57009100" w14:textId="77777777" w:rsidR="0043039B" w:rsidRPr="00FF009C" w:rsidRDefault="0043039B" w:rsidP="00977077">
      <w:pPr>
        <w:widowControl w:val="0"/>
        <w:autoSpaceDE w:val="0"/>
        <w:autoSpaceDN w:val="0"/>
        <w:adjustRightInd w:val="0"/>
        <w:spacing w:before="0"/>
        <w:rPr>
          <w:rFonts w:eastAsia="Times New Roman"/>
          <w:b/>
          <w:bCs/>
          <w:noProof/>
        </w:rPr>
      </w:pPr>
      <w:r w:rsidRPr="00FF009C">
        <w:rPr>
          <w:b/>
          <w:noProof/>
        </w:rPr>
        <w:t>•</w:t>
      </w:r>
      <w:r w:rsidRPr="00FF009C">
        <w:rPr>
          <w:noProof/>
        </w:rPr>
        <w:tab/>
      </w:r>
      <w:r w:rsidRPr="00FF009C">
        <w:rPr>
          <w:b/>
          <w:noProof/>
        </w:rPr>
        <w:t xml:space="preserve">Pomocniczość (w przypadku kompetencji niewyłącznych) </w:t>
      </w:r>
    </w:p>
    <w:p w14:paraId="4BC79DB1" w14:textId="7FA97AEC" w:rsidR="0043039B" w:rsidRPr="00FF009C" w:rsidRDefault="0043039B" w:rsidP="00977077">
      <w:pPr>
        <w:pStyle w:val="Normal1"/>
        <w:shd w:val="clear" w:color="auto" w:fill="FFFFFF" w:themeFill="background1"/>
        <w:spacing w:before="0" w:beforeAutospacing="0" w:after="120" w:afterAutospacing="0"/>
        <w:jc w:val="both"/>
        <w:rPr>
          <w:noProof/>
        </w:rPr>
      </w:pPr>
      <w:r w:rsidRPr="00FF009C">
        <w:rPr>
          <w:noProof/>
        </w:rPr>
        <w:t>Zgodnie</w:t>
      </w:r>
      <w:r w:rsidR="00FF009C" w:rsidRPr="00FF009C">
        <w:rPr>
          <w:noProof/>
        </w:rPr>
        <w:t xml:space="preserve"> z</w:t>
      </w:r>
      <w:r w:rsidR="00FF009C">
        <w:rPr>
          <w:noProof/>
        </w:rPr>
        <w:t> </w:t>
      </w:r>
      <w:r w:rsidR="00FF009C" w:rsidRPr="00FF009C">
        <w:rPr>
          <w:noProof/>
        </w:rPr>
        <w:t>zas</w:t>
      </w:r>
      <w:r w:rsidRPr="00FF009C">
        <w:rPr>
          <w:noProof/>
        </w:rPr>
        <w:t>adą pomocniczości określoną</w:t>
      </w:r>
      <w:r w:rsidR="00FF009C" w:rsidRPr="00FF009C">
        <w:rPr>
          <w:noProof/>
        </w:rPr>
        <w:t xml:space="preserve"> w</w:t>
      </w:r>
      <w:r w:rsidR="00FF009C">
        <w:rPr>
          <w:noProof/>
        </w:rPr>
        <w:t> </w:t>
      </w:r>
      <w:r w:rsidR="00FF009C" w:rsidRPr="00FF009C">
        <w:rPr>
          <w:noProof/>
        </w:rPr>
        <w:t>art</w:t>
      </w:r>
      <w:r w:rsidRPr="00FF009C">
        <w:rPr>
          <w:noProof/>
        </w:rPr>
        <w:t>.</w:t>
      </w:r>
      <w:r w:rsidR="00FF009C" w:rsidRPr="00FF009C">
        <w:rPr>
          <w:noProof/>
        </w:rPr>
        <w:t> </w:t>
      </w:r>
      <w:r w:rsidRPr="00FF009C">
        <w:rPr>
          <w:noProof/>
        </w:rPr>
        <w:t>5 ust.</w:t>
      </w:r>
      <w:r w:rsidR="00FF009C" w:rsidRPr="00FF009C">
        <w:rPr>
          <w:noProof/>
        </w:rPr>
        <w:t> </w:t>
      </w:r>
      <w:r w:rsidRPr="00FF009C">
        <w:rPr>
          <w:noProof/>
        </w:rPr>
        <w:t>3 TUE Unia powinna podejmować działania tylko wówczas, gdy cele zamierzonego działania nie mogą zostać osiągnięte</w:t>
      </w:r>
      <w:r w:rsidR="00FF009C" w:rsidRPr="00FF009C">
        <w:rPr>
          <w:noProof/>
        </w:rPr>
        <w:t xml:space="preserve"> w</w:t>
      </w:r>
      <w:r w:rsidR="00FF009C">
        <w:rPr>
          <w:noProof/>
        </w:rPr>
        <w:t> </w:t>
      </w:r>
      <w:r w:rsidR="00FF009C" w:rsidRPr="00FF009C">
        <w:rPr>
          <w:noProof/>
        </w:rPr>
        <w:t>spo</w:t>
      </w:r>
      <w:r w:rsidRPr="00FF009C">
        <w:rPr>
          <w:noProof/>
        </w:rPr>
        <w:t>sób wystarczający przez państwa członkowskie</w:t>
      </w:r>
      <w:r w:rsidR="00FF009C" w:rsidRPr="00FF009C">
        <w:rPr>
          <w:noProof/>
        </w:rPr>
        <w:t xml:space="preserve"> i</w:t>
      </w:r>
      <w:r w:rsidR="00FF009C">
        <w:rPr>
          <w:noProof/>
        </w:rPr>
        <w:t> </w:t>
      </w:r>
      <w:r w:rsidR="00FF009C" w:rsidRPr="00FF009C">
        <w:rPr>
          <w:noProof/>
        </w:rPr>
        <w:t>jeś</w:t>
      </w:r>
      <w:r w:rsidRPr="00FF009C">
        <w:rPr>
          <w:noProof/>
        </w:rPr>
        <w:t>li ze względu na rozmiary lub skutki proponowanego działania możliwe jest lepsze ich osiągnięcie na poziomie Unii.</w:t>
      </w:r>
    </w:p>
    <w:p w14:paraId="43F97055" w14:textId="20478F28" w:rsidR="0043039B" w:rsidRPr="00FF009C" w:rsidRDefault="0043039B" w:rsidP="00977077">
      <w:pPr>
        <w:pStyle w:val="Normal1"/>
        <w:shd w:val="clear" w:color="auto" w:fill="FFFFFF" w:themeFill="background1"/>
        <w:spacing w:before="0" w:beforeAutospacing="0" w:after="120" w:afterAutospacing="0"/>
        <w:jc w:val="both"/>
        <w:rPr>
          <w:noProof/>
        </w:rPr>
      </w:pPr>
      <w:r w:rsidRPr="00FF009C">
        <w:rPr>
          <w:noProof/>
        </w:rPr>
        <w:t>Państwa członkowskie odpowiadają za utrzymanie porządku publicznego</w:t>
      </w:r>
      <w:r w:rsidR="00FF009C" w:rsidRPr="00FF009C">
        <w:rPr>
          <w:noProof/>
        </w:rPr>
        <w:t xml:space="preserve"> i</w:t>
      </w:r>
      <w:r w:rsidR="00FF009C">
        <w:rPr>
          <w:noProof/>
        </w:rPr>
        <w:t> </w:t>
      </w:r>
      <w:r w:rsidR="00FF009C" w:rsidRPr="00FF009C">
        <w:rPr>
          <w:noProof/>
        </w:rPr>
        <w:t>och</w:t>
      </w:r>
      <w:r w:rsidRPr="00FF009C">
        <w:rPr>
          <w:noProof/>
        </w:rPr>
        <w:t>rony bezpieczeństwa wewnętrznego</w:t>
      </w:r>
      <w:r w:rsidRPr="00FF009C">
        <w:rPr>
          <w:rStyle w:val="FootnoteReference0"/>
          <w:noProof/>
        </w:rPr>
        <w:footnoteReference w:id="12"/>
      </w:r>
      <w:r w:rsidRPr="00FF009C">
        <w:rPr>
          <w:noProof/>
        </w:rPr>
        <w:t>,</w:t>
      </w:r>
      <w:r w:rsidR="00FF009C" w:rsidRPr="00FF009C">
        <w:rPr>
          <w:noProof/>
        </w:rPr>
        <w:t xml:space="preserve"> a</w:t>
      </w:r>
      <w:r w:rsidR="00FF009C">
        <w:rPr>
          <w:noProof/>
        </w:rPr>
        <w:t> </w:t>
      </w:r>
      <w:r w:rsidR="00FF009C" w:rsidRPr="00FF009C">
        <w:rPr>
          <w:noProof/>
        </w:rPr>
        <w:t>Uni</w:t>
      </w:r>
      <w:r w:rsidRPr="00FF009C">
        <w:rPr>
          <w:noProof/>
        </w:rPr>
        <w:t>a szanuje podstawowe funkcje państw członkowskich,</w:t>
      </w:r>
      <w:r w:rsidR="00FF009C" w:rsidRPr="00FF009C">
        <w:rPr>
          <w:noProof/>
        </w:rPr>
        <w:t xml:space="preserve"> w</w:t>
      </w:r>
      <w:r w:rsidR="00FF009C">
        <w:rPr>
          <w:noProof/>
        </w:rPr>
        <w:t> </w:t>
      </w:r>
      <w:r w:rsidR="00FF009C" w:rsidRPr="00FF009C">
        <w:rPr>
          <w:noProof/>
        </w:rPr>
        <w:t>tym</w:t>
      </w:r>
      <w:r w:rsidRPr="00FF009C">
        <w:rPr>
          <w:noProof/>
        </w:rPr>
        <w:t xml:space="preserve"> funkcje mające na celu utrzymanie porządku publicznego oraz ochronę bezpieczeństwa narodowego</w:t>
      </w:r>
      <w:r w:rsidRPr="00FF009C">
        <w:rPr>
          <w:rStyle w:val="FootnoteReference0"/>
          <w:noProof/>
        </w:rPr>
        <w:footnoteReference w:id="13"/>
      </w:r>
      <w:r w:rsidRPr="00FF009C">
        <w:rPr>
          <w:noProof/>
        </w:rPr>
        <w:t>.</w:t>
      </w:r>
      <w:r w:rsidRPr="00FF009C">
        <w:rPr>
          <w:rStyle w:val="footnotereference"/>
          <w:noProof/>
        </w:rPr>
        <w:t> </w:t>
      </w:r>
      <w:r w:rsidRPr="00FF009C">
        <w:rPr>
          <w:noProof/>
        </w:rPr>
        <w:t>Ponieważ poważne przestępstwa</w:t>
      </w:r>
      <w:r w:rsidR="00FF009C" w:rsidRPr="00FF009C">
        <w:rPr>
          <w:noProof/>
        </w:rPr>
        <w:t xml:space="preserve"> i</w:t>
      </w:r>
      <w:r w:rsidR="00FF009C">
        <w:rPr>
          <w:noProof/>
        </w:rPr>
        <w:t> </w:t>
      </w:r>
      <w:r w:rsidR="00FF009C" w:rsidRPr="00FF009C">
        <w:rPr>
          <w:noProof/>
        </w:rPr>
        <w:t>ter</w:t>
      </w:r>
      <w:r w:rsidRPr="00FF009C">
        <w:rPr>
          <w:noProof/>
        </w:rPr>
        <w:t>roryzm często mają wymiar transgraniczny, działania podejmowane tylko na szczeblu krajowym nie są wystarczające, by skutecznie im przeciwdziałać. Działalność siatek przestępczych zajmujących się przemytem migrantów ma</w:t>
      </w:r>
      <w:r w:rsidR="00FF009C" w:rsidRPr="00FF009C">
        <w:rPr>
          <w:noProof/>
        </w:rPr>
        <w:t xml:space="preserve"> w</w:t>
      </w:r>
      <w:r w:rsidR="00FF009C">
        <w:rPr>
          <w:noProof/>
        </w:rPr>
        <w:t> </w:t>
      </w:r>
      <w:r w:rsidR="00FF009C" w:rsidRPr="00FF009C">
        <w:rPr>
          <w:noProof/>
        </w:rPr>
        <w:t>szc</w:t>
      </w:r>
      <w:r w:rsidRPr="00FF009C">
        <w:rPr>
          <w:noProof/>
        </w:rPr>
        <w:t>zególności charakter globalny, oparty na współpracy</w:t>
      </w:r>
      <w:r w:rsidR="00FF009C" w:rsidRPr="00FF009C">
        <w:rPr>
          <w:noProof/>
        </w:rPr>
        <w:t xml:space="preserve"> i</w:t>
      </w:r>
      <w:r w:rsidR="00FF009C">
        <w:rPr>
          <w:noProof/>
        </w:rPr>
        <w:t> </w:t>
      </w:r>
      <w:r w:rsidR="00FF009C" w:rsidRPr="00FF009C">
        <w:rPr>
          <w:noProof/>
        </w:rPr>
        <w:t>spr</w:t>
      </w:r>
      <w:r w:rsidRPr="00FF009C">
        <w:rPr>
          <w:noProof/>
        </w:rPr>
        <w:t>awności reakcji</w:t>
      </w:r>
      <w:r w:rsidRPr="00FF009C">
        <w:rPr>
          <w:rStyle w:val="FootnoteReference0"/>
          <w:noProof/>
        </w:rPr>
        <w:footnoteReference w:id="14"/>
      </w:r>
      <w:r w:rsidR="00FF009C" w:rsidRPr="00FF009C">
        <w:rPr>
          <w:noProof/>
        </w:rPr>
        <w:t>. Z</w:t>
      </w:r>
      <w:r w:rsidR="00FF009C">
        <w:rPr>
          <w:noProof/>
        </w:rPr>
        <w:t> </w:t>
      </w:r>
      <w:r w:rsidR="00FF009C" w:rsidRPr="00FF009C">
        <w:rPr>
          <w:noProof/>
        </w:rPr>
        <w:t>teg</w:t>
      </w:r>
      <w:r w:rsidRPr="00FF009C">
        <w:rPr>
          <w:noProof/>
        </w:rPr>
        <w:t>o powodu państwa członkowskie zdecydowały się ściśle współpracować ze sobą</w:t>
      </w:r>
      <w:r w:rsidR="00FF009C" w:rsidRPr="00FF009C">
        <w:rPr>
          <w:noProof/>
        </w:rPr>
        <w:t xml:space="preserve"> w</w:t>
      </w:r>
      <w:r w:rsidR="00FF009C">
        <w:rPr>
          <w:noProof/>
        </w:rPr>
        <w:t> </w:t>
      </w:r>
      <w:r w:rsidR="00FF009C" w:rsidRPr="00FF009C">
        <w:rPr>
          <w:noProof/>
        </w:rPr>
        <w:t>ram</w:t>
      </w:r>
      <w:r w:rsidRPr="00FF009C">
        <w:rPr>
          <w:noProof/>
        </w:rPr>
        <w:t>ach UE. Dążą do koordynacji swoich działań</w:t>
      </w:r>
      <w:r w:rsidR="00FF009C" w:rsidRPr="00FF009C">
        <w:rPr>
          <w:noProof/>
        </w:rPr>
        <w:t xml:space="preserve"> w</w:t>
      </w:r>
      <w:r w:rsidR="00FF009C">
        <w:rPr>
          <w:noProof/>
        </w:rPr>
        <w:t> </w:t>
      </w:r>
      <w:r w:rsidR="00FF009C" w:rsidRPr="00FF009C">
        <w:rPr>
          <w:noProof/>
        </w:rPr>
        <w:t>zak</w:t>
      </w:r>
      <w:r w:rsidRPr="00FF009C">
        <w:rPr>
          <w:noProof/>
        </w:rPr>
        <w:t>resie ścigania przestępstw</w:t>
      </w:r>
      <w:r w:rsidR="00FF009C" w:rsidRPr="00FF009C">
        <w:rPr>
          <w:noProof/>
        </w:rPr>
        <w:t xml:space="preserve"> i</w:t>
      </w:r>
      <w:r w:rsidR="00FF009C">
        <w:rPr>
          <w:noProof/>
        </w:rPr>
        <w:t> </w:t>
      </w:r>
      <w:r w:rsidR="00FF009C" w:rsidRPr="00FF009C">
        <w:rPr>
          <w:noProof/>
        </w:rPr>
        <w:t>wsp</w:t>
      </w:r>
      <w:r w:rsidRPr="00FF009C">
        <w:rPr>
          <w:noProof/>
        </w:rPr>
        <w:t>ółpracy</w:t>
      </w:r>
      <w:r w:rsidR="00FF009C" w:rsidRPr="00FF009C">
        <w:rPr>
          <w:noProof/>
        </w:rPr>
        <w:t xml:space="preserve"> w</w:t>
      </w:r>
      <w:r w:rsidR="00FF009C">
        <w:rPr>
          <w:noProof/>
        </w:rPr>
        <w:t> </w:t>
      </w:r>
      <w:r w:rsidR="00FF009C" w:rsidRPr="00FF009C">
        <w:rPr>
          <w:noProof/>
        </w:rPr>
        <w:t>cel</w:t>
      </w:r>
      <w:r w:rsidRPr="00FF009C">
        <w:rPr>
          <w:noProof/>
        </w:rPr>
        <w:t>u eliminowania wspólnych zagrożeń bezpieczeństwa. Decydują</w:t>
      </w:r>
      <w:r w:rsidR="00FF009C" w:rsidRPr="00FF009C">
        <w:rPr>
          <w:noProof/>
        </w:rPr>
        <w:t xml:space="preserve"> o</w:t>
      </w:r>
      <w:r w:rsidR="00FF009C">
        <w:rPr>
          <w:noProof/>
        </w:rPr>
        <w:t> </w:t>
      </w:r>
      <w:r w:rsidR="00FF009C" w:rsidRPr="00FF009C">
        <w:rPr>
          <w:noProof/>
        </w:rPr>
        <w:t>łąc</w:t>
      </w:r>
      <w:r w:rsidRPr="00FF009C">
        <w:rPr>
          <w:noProof/>
        </w:rPr>
        <w:t>zeniu zasobów na poziomie UE</w:t>
      </w:r>
      <w:r w:rsidR="00FF009C" w:rsidRPr="00FF009C">
        <w:rPr>
          <w:noProof/>
        </w:rPr>
        <w:t xml:space="preserve"> i</w:t>
      </w:r>
      <w:r w:rsidR="00FF009C">
        <w:rPr>
          <w:noProof/>
        </w:rPr>
        <w:t> </w:t>
      </w:r>
      <w:r w:rsidR="00FF009C" w:rsidRPr="00FF009C">
        <w:rPr>
          <w:noProof/>
        </w:rPr>
        <w:t>dzi</w:t>
      </w:r>
      <w:r w:rsidRPr="00FF009C">
        <w:rPr>
          <w:noProof/>
        </w:rPr>
        <w:t xml:space="preserve">eleniu się wiedzą specjalistyczną. Jako unijna agencja ds. współpracy organów ścigania Europol stanowi silny wyraz tych starań podejmowanych przez państwa członkowskie na rzecz zapewnienia swoim obywatelom bezpieczeństwa poprzez współpracę. </w:t>
      </w:r>
    </w:p>
    <w:p w14:paraId="53574F55" w14:textId="5CB61F94" w:rsidR="0043039B" w:rsidRPr="00FF009C" w:rsidRDefault="0043039B" w:rsidP="00977077">
      <w:pPr>
        <w:pStyle w:val="Normal1"/>
        <w:shd w:val="clear" w:color="auto" w:fill="FFFFFF" w:themeFill="background1"/>
        <w:spacing w:before="0" w:beforeAutospacing="0" w:after="120" w:afterAutospacing="0"/>
        <w:jc w:val="both"/>
        <w:rPr>
          <w:noProof/>
        </w:rPr>
      </w:pPr>
      <w:r w:rsidRPr="00FF009C">
        <w:rPr>
          <w:noProof/>
        </w:rPr>
        <w:t>Europol zapewnia państwom członkowskim solidne ramy</w:t>
      </w:r>
      <w:r w:rsidR="00FF009C" w:rsidRPr="00FF009C">
        <w:rPr>
          <w:noProof/>
        </w:rPr>
        <w:t xml:space="preserve"> i</w:t>
      </w:r>
      <w:r w:rsidR="00FF009C">
        <w:rPr>
          <w:noProof/>
        </w:rPr>
        <w:t> </w:t>
      </w:r>
      <w:r w:rsidR="00FF009C" w:rsidRPr="00FF009C">
        <w:rPr>
          <w:noProof/>
        </w:rPr>
        <w:t>zaa</w:t>
      </w:r>
      <w:r w:rsidRPr="00FF009C">
        <w:rPr>
          <w:noProof/>
        </w:rPr>
        <w:t>wansowany zestaw narzędzi</w:t>
      </w:r>
      <w:r w:rsidR="00FF009C" w:rsidRPr="00FF009C">
        <w:rPr>
          <w:noProof/>
        </w:rPr>
        <w:t xml:space="preserve"> w</w:t>
      </w:r>
      <w:r w:rsidR="00FF009C">
        <w:rPr>
          <w:noProof/>
        </w:rPr>
        <w:t> </w:t>
      </w:r>
      <w:r w:rsidR="00FF009C" w:rsidRPr="00FF009C">
        <w:rPr>
          <w:noProof/>
        </w:rPr>
        <w:t>zak</w:t>
      </w:r>
      <w:r w:rsidRPr="00FF009C">
        <w:rPr>
          <w:noProof/>
        </w:rPr>
        <w:t>resie zwalczania przestępczości służące do koordynacji działań</w:t>
      </w:r>
      <w:r w:rsidR="00FF009C" w:rsidRPr="00FF009C">
        <w:rPr>
          <w:noProof/>
        </w:rPr>
        <w:t xml:space="preserve"> w</w:t>
      </w:r>
      <w:r w:rsidR="00FF009C">
        <w:rPr>
          <w:noProof/>
        </w:rPr>
        <w:t> </w:t>
      </w:r>
      <w:r w:rsidR="00FF009C" w:rsidRPr="00FF009C">
        <w:rPr>
          <w:noProof/>
        </w:rPr>
        <w:t>zak</w:t>
      </w:r>
      <w:r w:rsidRPr="00FF009C">
        <w:rPr>
          <w:noProof/>
        </w:rPr>
        <w:t>resie ścigania przestępstw. Europol pełni</w:t>
      </w:r>
      <w:r w:rsidR="00FF009C" w:rsidRPr="00FF009C">
        <w:rPr>
          <w:noProof/>
        </w:rPr>
        <w:t xml:space="preserve"> w</w:t>
      </w:r>
      <w:r w:rsidR="00FF009C">
        <w:rPr>
          <w:noProof/>
        </w:rPr>
        <w:t> </w:t>
      </w:r>
      <w:r w:rsidR="00FF009C" w:rsidRPr="00FF009C">
        <w:rPr>
          <w:noProof/>
        </w:rPr>
        <w:t>szc</w:t>
      </w:r>
      <w:r w:rsidRPr="00FF009C">
        <w:rPr>
          <w:noProof/>
        </w:rPr>
        <w:t>zególności rolę unijnego centrum informacji kryminalnych, które minimalizuje luki</w:t>
      </w:r>
      <w:r w:rsidR="00FF009C" w:rsidRPr="00FF009C">
        <w:rPr>
          <w:noProof/>
        </w:rPr>
        <w:t xml:space="preserve"> w</w:t>
      </w:r>
      <w:r w:rsidR="00FF009C">
        <w:rPr>
          <w:noProof/>
        </w:rPr>
        <w:t> </w:t>
      </w:r>
      <w:r w:rsidR="00FF009C" w:rsidRPr="00FF009C">
        <w:rPr>
          <w:noProof/>
        </w:rPr>
        <w:t>zak</w:t>
      </w:r>
      <w:r w:rsidRPr="00FF009C">
        <w:rPr>
          <w:noProof/>
        </w:rPr>
        <w:t>resie wywiadu kryminalnego</w:t>
      </w:r>
      <w:r w:rsidR="00FF009C" w:rsidRPr="00FF009C">
        <w:rPr>
          <w:noProof/>
        </w:rPr>
        <w:t xml:space="preserve"> i</w:t>
      </w:r>
      <w:r w:rsidR="00FF009C">
        <w:rPr>
          <w:noProof/>
        </w:rPr>
        <w:t> </w:t>
      </w:r>
      <w:r w:rsidR="00FF009C" w:rsidRPr="00FF009C">
        <w:rPr>
          <w:noProof/>
        </w:rPr>
        <w:t>kon</w:t>
      </w:r>
      <w:r w:rsidRPr="00FF009C">
        <w:rPr>
          <w:noProof/>
        </w:rPr>
        <w:t>centruje się na danych pochodzących</w:t>
      </w:r>
      <w:r w:rsidR="00FF009C" w:rsidRPr="00FF009C">
        <w:rPr>
          <w:noProof/>
        </w:rPr>
        <w:t xml:space="preserve"> z</w:t>
      </w:r>
      <w:r w:rsidR="00FF009C">
        <w:rPr>
          <w:noProof/>
        </w:rPr>
        <w:t> </w:t>
      </w:r>
      <w:r w:rsidR="00FF009C" w:rsidRPr="00FF009C">
        <w:rPr>
          <w:noProof/>
        </w:rPr>
        <w:t>bie</w:t>
      </w:r>
      <w:r w:rsidRPr="00FF009C">
        <w:rPr>
          <w:noProof/>
        </w:rPr>
        <w:t>żących złożonych postępowań przygotowawczych. Europol zapewnia sprawne wsparcie operacyjne</w:t>
      </w:r>
      <w:r w:rsidR="00FF009C" w:rsidRPr="00FF009C">
        <w:rPr>
          <w:noProof/>
        </w:rPr>
        <w:t xml:space="preserve"> w</w:t>
      </w:r>
      <w:r w:rsidR="00FF009C">
        <w:rPr>
          <w:noProof/>
        </w:rPr>
        <w:t> </w:t>
      </w:r>
      <w:r w:rsidR="00FF009C" w:rsidRPr="00FF009C">
        <w:rPr>
          <w:noProof/>
        </w:rPr>
        <w:t>cza</w:t>
      </w:r>
      <w:r w:rsidRPr="00FF009C">
        <w:rPr>
          <w:noProof/>
        </w:rPr>
        <w:t>sie rzeczywistym, począwszy od analizy operacyjnej po koordynację operacyjną, oraz skupia odpowiednich partnerów na potrzeby wspólnych działań. Państwa członkowskie wykorzystują swoich urzędników łącznikowych</w:t>
      </w:r>
      <w:r w:rsidR="00FF009C" w:rsidRPr="00FF009C">
        <w:rPr>
          <w:noProof/>
        </w:rPr>
        <w:t xml:space="preserve"> w</w:t>
      </w:r>
      <w:r w:rsidR="00FF009C">
        <w:rPr>
          <w:noProof/>
        </w:rPr>
        <w:t> </w:t>
      </w:r>
      <w:r w:rsidR="00FF009C" w:rsidRPr="00FF009C">
        <w:rPr>
          <w:noProof/>
        </w:rPr>
        <w:t>Eur</w:t>
      </w:r>
      <w:r w:rsidRPr="00FF009C">
        <w:rPr>
          <w:noProof/>
        </w:rPr>
        <w:t>opolu oraz kanał wymiany informacji, który zapewnia Agencja, do celów wymiany informacji</w:t>
      </w:r>
      <w:r w:rsidR="00FF009C" w:rsidRPr="00FF009C">
        <w:rPr>
          <w:noProof/>
        </w:rPr>
        <w:t xml:space="preserve"> i</w:t>
      </w:r>
      <w:r w:rsidR="00FF009C">
        <w:rPr>
          <w:noProof/>
        </w:rPr>
        <w:t> </w:t>
      </w:r>
      <w:r w:rsidR="00FF009C" w:rsidRPr="00FF009C">
        <w:rPr>
          <w:noProof/>
        </w:rPr>
        <w:t>wsp</w:t>
      </w:r>
      <w:r w:rsidRPr="00FF009C">
        <w:rPr>
          <w:noProof/>
        </w:rPr>
        <w:t>ółpracy</w:t>
      </w:r>
      <w:r w:rsidR="00FF009C" w:rsidRPr="00FF009C">
        <w:rPr>
          <w:noProof/>
        </w:rPr>
        <w:t xml:space="preserve"> w</w:t>
      </w:r>
      <w:r w:rsidR="00FF009C">
        <w:rPr>
          <w:noProof/>
        </w:rPr>
        <w:t> </w:t>
      </w:r>
      <w:r w:rsidR="00FF009C" w:rsidRPr="00FF009C">
        <w:rPr>
          <w:noProof/>
        </w:rPr>
        <w:t>pos</w:t>
      </w:r>
      <w:r w:rsidRPr="00FF009C">
        <w:rPr>
          <w:noProof/>
        </w:rPr>
        <w:t>tępowaniach przygotowawczych. Państwa członkowskie łączą swoje zasoby, powierzając Europolowi zadanie przetwarzania ich informacji</w:t>
      </w:r>
      <w:r w:rsidR="00FF009C" w:rsidRPr="00FF009C">
        <w:rPr>
          <w:noProof/>
        </w:rPr>
        <w:t xml:space="preserve"> w</w:t>
      </w:r>
      <w:r w:rsidR="00FF009C">
        <w:rPr>
          <w:noProof/>
        </w:rPr>
        <w:t> </w:t>
      </w:r>
      <w:r w:rsidR="00FF009C" w:rsidRPr="00FF009C">
        <w:rPr>
          <w:noProof/>
        </w:rPr>
        <w:t>jeg</w:t>
      </w:r>
      <w:r w:rsidRPr="00FF009C">
        <w:rPr>
          <w:noProof/>
        </w:rPr>
        <w:t>o bazach danych</w:t>
      </w:r>
      <w:r w:rsidR="00FF009C" w:rsidRPr="00FF009C">
        <w:rPr>
          <w:noProof/>
        </w:rPr>
        <w:t xml:space="preserve"> i</w:t>
      </w:r>
      <w:r w:rsidR="00FF009C">
        <w:rPr>
          <w:noProof/>
        </w:rPr>
        <w:t> </w:t>
      </w:r>
      <w:r w:rsidR="00FF009C" w:rsidRPr="00FF009C">
        <w:rPr>
          <w:noProof/>
        </w:rPr>
        <w:t>prz</w:t>
      </w:r>
      <w:r w:rsidRPr="00FF009C">
        <w:rPr>
          <w:noProof/>
        </w:rPr>
        <w:t>eprowadzania wspólnych analiz</w:t>
      </w:r>
      <w:r w:rsidR="00FF009C" w:rsidRPr="00FF009C">
        <w:rPr>
          <w:noProof/>
        </w:rPr>
        <w:t>. W</w:t>
      </w:r>
      <w:r w:rsidR="00FF009C">
        <w:rPr>
          <w:noProof/>
        </w:rPr>
        <w:t> </w:t>
      </w:r>
      <w:r w:rsidR="00FF009C" w:rsidRPr="00FF009C">
        <w:rPr>
          <w:noProof/>
        </w:rPr>
        <w:t>zwi</w:t>
      </w:r>
      <w:r w:rsidRPr="00FF009C">
        <w:rPr>
          <w:noProof/>
        </w:rPr>
        <w:t>ązku</w:t>
      </w:r>
      <w:r w:rsidR="00FF009C" w:rsidRPr="00FF009C">
        <w:rPr>
          <w:noProof/>
        </w:rPr>
        <w:t xml:space="preserve"> z</w:t>
      </w:r>
      <w:r w:rsidR="00FF009C">
        <w:rPr>
          <w:noProof/>
        </w:rPr>
        <w:t> </w:t>
      </w:r>
      <w:r w:rsidR="00FF009C" w:rsidRPr="00FF009C">
        <w:rPr>
          <w:noProof/>
        </w:rPr>
        <w:t>tym</w:t>
      </w:r>
      <w:r w:rsidRPr="00FF009C">
        <w:rPr>
          <w:noProof/>
        </w:rPr>
        <w:t xml:space="preserve"> Europol znalazł się</w:t>
      </w:r>
      <w:r w:rsidR="00FF009C" w:rsidRPr="00FF009C">
        <w:rPr>
          <w:noProof/>
        </w:rPr>
        <w:t xml:space="preserve"> w</w:t>
      </w:r>
      <w:r w:rsidR="00FF009C">
        <w:rPr>
          <w:noProof/>
        </w:rPr>
        <w:t> </w:t>
      </w:r>
      <w:r w:rsidR="00FF009C" w:rsidRPr="00FF009C">
        <w:rPr>
          <w:noProof/>
        </w:rPr>
        <w:t>cen</w:t>
      </w:r>
      <w:r w:rsidRPr="00FF009C">
        <w:rPr>
          <w:noProof/>
        </w:rPr>
        <w:t>trum europejskiej architektury bezpieczeństwa.</w:t>
      </w:r>
    </w:p>
    <w:p w14:paraId="578B63A4" w14:textId="2890E295" w:rsidR="0043039B" w:rsidRPr="00FF009C" w:rsidRDefault="0043039B" w:rsidP="00977077">
      <w:pPr>
        <w:pStyle w:val="Normal1"/>
        <w:shd w:val="clear" w:color="auto" w:fill="FFFFFF" w:themeFill="background1"/>
        <w:spacing w:before="0" w:beforeAutospacing="0" w:after="120" w:afterAutospacing="0"/>
        <w:jc w:val="both"/>
        <w:rPr>
          <w:noProof/>
        </w:rPr>
      </w:pPr>
      <w:r w:rsidRPr="00FF009C">
        <w:rPr>
          <w:noProof/>
        </w:rPr>
        <w:t>Zmieniające się zagrożenia bezpieczeństwa,</w:t>
      </w:r>
      <w:r w:rsidR="00FF009C" w:rsidRPr="00FF009C">
        <w:rPr>
          <w:noProof/>
        </w:rPr>
        <w:t xml:space="preserve"> w</w:t>
      </w:r>
      <w:r w:rsidR="00FF009C">
        <w:rPr>
          <w:noProof/>
        </w:rPr>
        <w:t> </w:t>
      </w:r>
      <w:r w:rsidR="00FF009C" w:rsidRPr="00FF009C">
        <w:rPr>
          <w:noProof/>
        </w:rPr>
        <w:t>szc</w:t>
      </w:r>
      <w:r w:rsidRPr="00FF009C">
        <w:rPr>
          <w:noProof/>
        </w:rPr>
        <w:t>zególności przemyt migrantów, wymagają objęcia działań realizowanych przez krajowe organy ścigania skutecznym wsparciem na poziomie UE. Chociaż państwa członkowskie przeciwdziałają konkretnym rodzajom przestępstw na różne sposoby, ich organy ścigania mają wybór</w:t>
      </w:r>
      <w:r w:rsidR="00FF009C" w:rsidRPr="00FF009C">
        <w:rPr>
          <w:noProof/>
        </w:rPr>
        <w:t xml:space="preserve"> w</w:t>
      </w:r>
      <w:r w:rsidR="00FF009C">
        <w:rPr>
          <w:noProof/>
        </w:rPr>
        <w:t> </w:t>
      </w:r>
      <w:r w:rsidR="00FF009C" w:rsidRPr="00FF009C">
        <w:rPr>
          <w:noProof/>
        </w:rPr>
        <w:t>kwe</w:t>
      </w:r>
      <w:r w:rsidRPr="00FF009C">
        <w:rPr>
          <w:noProof/>
        </w:rPr>
        <w:t>stii, gdzie szukać wsparcia na szczeblu UE ze strony Europolu</w:t>
      </w:r>
      <w:r w:rsidR="00FF009C" w:rsidRPr="00FF009C">
        <w:rPr>
          <w:noProof/>
        </w:rPr>
        <w:t xml:space="preserve"> i</w:t>
      </w:r>
      <w:r w:rsidR="00FF009C">
        <w:rPr>
          <w:noProof/>
        </w:rPr>
        <w:t> </w:t>
      </w:r>
      <w:r w:rsidR="00FF009C" w:rsidRPr="00FF009C">
        <w:rPr>
          <w:noProof/>
        </w:rPr>
        <w:t>w</w:t>
      </w:r>
      <w:r w:rsidR="00FF009C">
        <w:rPr>
          <w:noProof/>
        </w:rPr>
        <w:t> </w:t>
      </w:r>
      <w:r w:rsidR="00FF009C" w:rsidRPr="00FF009C">
        <w:rPr>
          <w:noProof/>
        </w:rPr>
        <w:t>jak</w:t>
      </w:r>
      <w:r w:rsidRPr="00FF009C">
        <w:rPr>
          <w:noProof/>
        </w:rPr>
        <w:t>ich wspólnych inicjatywach uczestniczyć. Co więcej, organy ścigania we wszystkich państwach członkowskich borykają się</w:t>
      </w:r>
      <w:r w:rsidR="00FF009C" w:rsidRPr="00FF009C">
        <w:rPr>
          <w:noProof/>
        </w:rPr>
        <w:t xml:space="preserve"> z</w:t>
      </w:r>
      <w:r w:rsidR="00FF009C">
        <w:rPr>
          <w:noProof/>
        </w:rPr>
        <w:t> </w:t>
      </w:r>
      <w:r w:rsidR="00FF009C" w:rsidRPr="00FF009C">
        <w:rPr>
          <w:noProof/>
        </w:rPr>
        <w:t>tym</w:t>
      </w:r>
      <w:r w:rsidRPr="00FF009C">
        <w:rPr>
          <w:noProof/>
        </w:rPr>
        <w:t>i samymi zmieniającymi się zagrożeniami bezpieczeństwa</w:t>
      </w:r>
      <w:r w:rsidR="00FF009C" w:rsidRPr="00FF009C">
        <w:rPr>
          <w:noProof/>
        </w:rPr>
        <w:t>. W</w:t>
      </w:r>
      <w:r w:rsidR="00FF009C">
        <w:rPr>
          <w:noProof/>
        </w:rPr>
        <w:t> </w:t>
      </w:r>
      <w:r w:rsidR="00FF009C" w:rsidRPr="00FF009C">
        <w:rPr>
          <w:noProof/>
        </w:rPr>
        <w:t>zwi</w:t>
      </w:r>
      <w:r w:rsidRPr="00FF009C">
        <w:rPr>
          <w:noProof/>
        </w:rPr>
        <w:t>ązku</w:t>
      </w:r>
      <w:r w:rsidR="00FF009C" w:rsidRPr="00FF009C">
        <w:rPr>
          <w:noProof/>
        </w:rPr>
        <w:t xml:space="preserve"> z</w:t>
      </w:r>
      <w:r w:rsidR="00FF009C">
        <w:rPr>
          <w:noProof/>
        </w:rPr>
        <w:t> </w:t>
      </w:r>
      <w:r w:rsidR="00FF009C" w:rsidRPr="00FF009C">
        <w:rPr>
          <w:noProof/>
        </w:rPr>
        <w:t>tym</w:t>
      </w:r>
      <w:r w:rsidRPr="00FF009C">
        <w:rPr>
          <w:noProof/>
        </w:rPr>
        <w:t xml:space="preserve"> istnieje potrzeba podjęcia na szczeblu UE działań mających na celu wzmocnienie wsparcia udzielanego państwom członkowskim</w:t>
      </w:r>
      <w:r w:rsidR="00FF009C" w:rsidRPr="00FF009C">
        <w:rPr>
          <w:noProof/>
        </w:rPr>
        <w:t xml:space="preserve"> w</w:t>
      </w:r>
      <w:r w:rsidR="00FF009C">
        <w:rPr>
          <w:noProof/>
        </w:rPr>
        <w:t> </w:t>
      </w:r>
      <w:r w:rsidR="00FF009C" w:rsidRPr="00FF009C">
        <w:rPr>
          <w:noProof/>
        </w:rPr>
        <w:t>wal</w:t>
      </w:r>
      <w:r w:rsidRPr="00FF009C">
        <w:rPr>
          <w:noProof/>
        </w:rPr>
        <w:t>ce</w:t>
      </w:r>
      <w:r w:rsidR="00FF009C" w:rsidRPr="00FF009C">
        <w:rPr>
          <w:noProof/>
        </w:rPr>
        <w:t xml:space="preserve"> z</w:t>
      </w:r>
      <w:r w:rsidR="00FF009C">
        <w:rPr>
          <w:noProof/>
        </w:rPr>
        <w:t> </w:t>
      </w:r>
      <w:r w:rsidR="00FF009C" w:rsidRPr="00FF009C">
        <w:rPr>
          <w:noProof/>
        </w:rPr>
        <w:t>pow</w:t>
      </w:r>
      <w:r w:rsidRPr="00FF009C">
        <w:rPr>
          <w:noProof/>
        </w:rPr>
        <w:t>ażnymi przestępstwami</w:t>
      </w:r>
      <w:r w:rsidR="00FF009C" w:rsidRPr="00FF009C">
        <w:rPr>
          <w:noProof/>
        </w:rPr>
        <w:t xml:space="preserve"> i</w:t>
      </w:r>
      <w:r w:rsidR="00FF009C">
        <w:rPr>
          <w:noProof/>
        </w:rPr>
        <w:t> </w:t>
      </w:r>
      <w:r w:rsidR="00FF009C" w:rsidRPr="00FF009C">
        <w:rPr>
          <w:noProof/>
        </w:rPr>
        <w:t>ter</w:t>
      </w:r>
      <w:r w:rsidRPr="00FF009C">
        <w:rPr>
          <w:noProof/>
        </w:rPr>
        <w:t>roryzmem, aby dotrzymać kroku tym zagrożeniom.</w:t>
      </w:r>
    </w:p>
    <w:p w14:paraId="197A7CC6" w14:textId="00A119CB" w:rsidR="0043039B" w:rsidRPr="00FF009C" w:rsidRDefault="009928A1" w:rsidP="00977077">
      <w:pPr>
        <w:pStyle w:val="Normal1"/>
        <w:shd w:val="clear" w:color="auto" w:fill="FFFFFF" w:themeFill="background1"/>
        <w:spacing w:before="0" w:beforeAutospacing="0" w:after="120" w:afterAutospacing="0"/>
        <w:jc w:val="both"/>
        <w:rPr>
          <w:noProof/>
        </w:rPr>
      </w:pPr>
      <w:r w:rsidRPr="00FF009C">
        <w:rPr>
          <w:noProof/>
        </w:rPr>
        <w:t>Same państwa członkowskie nie byłyby zatem</w:t>
      </w:r>
      <w:r w:rsidR="00FF009C" w:rsidRPr="00FF009C">
        <w:rPr>
          <w:noProof/>
        </w:rPr>
        <w:t xml:space="preserve"> w</w:t>
      </w:r>
      <w:r w:rsidR="00FF009C">
        <w:rPr>
          <w:noProof/>
        </w:rPr>
        <w:t> </w:t>
      </w:r>
      <w:r w:rsidR="00FF009C" w:rsidRPr="00FF009C">
        <w:rPr>
          <w:noProof/>
        </w:rPr>
        <w:t>sta</w:t>
      </w:r>
      <w:r w:rsidRPr="00FF009C">
        <w:rPr>
          <w:noProof/>
        </w:rPr>
        <w:t>nie skutecznie sprostać wszystkim wyzwaniom, których dotyczy ten wniosek:</w:t>
      </w:r>
    </w:p>
    <w:p w14:paraId="0B116484" w14:textId="77777777" w:rsidR="0043039B" w:rsidRPr="00FF009C" w:rsidRDefault="0043039B" w:rsidP="00977077">
      <w:pPr>
        <w:widowControl w:val="0"/>
        <w:autoSpaceDE w:val="0"/>
        <w:autoSpaceDN w:val="0"/>
        <w:adjustRightInd w:val="0"/>
        <w:spacing w:before="0"/>
        <w:rPr>
          <w:rFonts w:eastAsia="Times New Roman"/>
          <w:b/>
          <w:bCs/>
          <w:noProof/>
        </w:rPr>
      </w:pPr>
      <w:r w:rsidRPr="00FF009C">
        <w:rPr>
          <w:b/>
          <w:noProof/>
        </w:rPr>
        <w:t>•</w:t>
      </w:r>
      <w:r w:rsidRPr="00FF009C">
        <w:rPr>
          <w:noProof/>
        </w:rPr>
        <w:tab/>
      </w:r>
      <w:r w:rsidRPr="00FF009C">
        <w:rPr>
          <w:b/>
          <w:noProof/>
        </w:rPr>
        <w:t>Proporcjonalność</w:t>
      </w:r>
    </w:p>
    <w:p w14:paraId="3549D25A" w14:textId="55748D9D" w:rsidR="0043039B" w:rsidRPr="00FF009C" w:rsidRDefault="0043039B" w:rsidP="00977077">
      <w:pPr>
        <w:widowControl w:val="0"/>
        <w:autoSpaceDE w:val="0"/>
        <w:autoSpaceDN w:val="0"/>
        <w:adjustRightInd w:val="0"/>
        <w:spacing w:before="0"/>
        <w:rPr>
          <w:rFonts w:eastAsia="Times New Roman"/>
          <w:noProof/>
        </w:rPr>
      </w:pPr>
      <w:r w:rsidRPr="00FF009C">
        <w:rPr>
          <w:noProof/>
        </w:rPr>
        <w:t>Zgodnie</w:t>
      </w:r>
      <w:r w:rsidR="00FF009C" w:rsidRPr="00FF009C">
        <w:rPr>
          <w:noProof/>
        </w:rPr>
        <w:t xml:space="preserve"> z</w:t>
      </w:r>
      <w:r w:rsidR="00FF009C">
        <w:rPr>
          <w:noProof/>
        </w:rPr>
        <w:t> </w:t>
      </w:r>
      <w:r w:rsidR="00FF009C" w:rsidRPr="00FF009C">
        <w:rPr>
          <w:noProof/>
        </w:rPr>
        <w:t>zas</w:t>
      </w:r>
      <w:r w:rsidRPr="00FF009C">
        <w:rPr>
          <w:noProof/>
        </w:rPr>
        <w:t>adą proporcjonalności określoną</w:t>
      </w:r>
      <w:r w:rsidR="00FF009C" w:rsidRPr="00FF009C">
        <w:rPr>
          <w:noProof/>
        </w:rPr>
        <w:t xml:space="preserve"> w</w:t>
      </w:r>
      <w:r w:rsidR="00FF009C">
        <w:rPr>
          <w:noProof/>
        </w:rPr>
        <w:t> </w:t>
      </w:r>
      <w:r w:rsidR="00FF009C" w:rsidRPr="00FF009C">
        <w:rPr>
          <w:noProof/>
        </w:rPr>
        <w:t>art</w:t>
      </w:r>
      <w:r w:rsidRPr="00FF009C">
        <w:rPr>
          <w:noProof/>
        </w:rPr>
        <w:t>.</w:t>
      </w:r>
      <w:r w:rsidR="00FF009C" w:rsidRPr="00FF009C">
        <w:rPr>
          <w:noProof/>
        </w:rPr>
        <w:t> </w:t>
      </w:r>
      <w:r w:rsidRPr="00FF009C">
        <w:rPr>
          <w:noProof/>
        </w:rPr>
        <w:t>5 ust.</w:t>
      </w:r>
      <w:r w:rsidR="00FF009C" w:rsidRPr="00FF009C">
        <w:rPr>
          <w:noProof/>
        </w:rPr>
        <w:t> </w:t>
      </w:r>
      <w:r w:rsidRPr="00FF009C">
        <w:rPr>
          <w:noProof/>
        </w:rPr>
        <w:t>4 Traktatu UE charakter</w:t>
      </w:r>
      <w:r w:rsidR="00FF009C" w:rsidRPr="00FF009C">
        <w:rPr>
          <w:noProof/>
        </w:rPr>
        <w:t xml:space="preserve"> i</w:t>
      </w:r>
      <w:r w:rsidR="00FF009C">
        <w:rPr>
          <w:noProof/>
        </w:rPr>
        <w:t> </w:t>
      </w:r>
      <w:r w:rsidR="00FF009C" w:rsidRPr="00FF009C">
        <w:rPr>
          <w:noProof/>
        </w:rPr>
        <w:t>int</w:t>
      </w:r>
      <w:r w:rsidRPr="00FF009C">
        <w:rPr>
          <w:noProof/>
        </w:rPr>
        <w:t>ensywność danego działania należy dostosować do zidentyfikowanego problemu. Aby państwa członkowskie skutecznie poradziły sobie ze wszystkimi problemami, którym poświęcono uwagę</w:t>
      </w:r>
      <w:r w:rsidR="00FF009C" w:rsidRPr="00FF009C">
        <w:rPr>
          <w:noProof/>
        </w:rPr>
        <w:t xml:space="preserve"> w</w:t>
      </w:r>
      <w:r w:rsidR="00FF009C">
        <w:rPr>
          <w:noProof/>
        </w:rPr>
        <w:t> </w:t>
      </w:r>
      <w:r w:rsidR="00FF009C" w:rsidRPr="00FF009C">
        <w:rPr>
          <w:noProof/>
        </w:rPr>
        <w:t>nin</w:t>
      </w:r>
      <w:r w:rsidRPr="00FF009C">
        <w:rPr>
          <w:noProof/>
        </w:rPr>
        <w:t>iejszej inicjatywie ustawodawczej, konieczne jest wsparcie na szczeblu Unii,</w:t>
      </w:r>
      <w:r w:rsidR="00FF009C" w:rsidRPr="00FF009C">
        <w:rPr>
          <w:noProof/>
        </w:rPr>
        <w:t xml:space="preserve"> w</w:t>
      </w:r>
      <w:r w:rsidR="00FF009C">
        <w:rPr>
          <w:noProof/>
        </w:rPr>
        <w:t> </w:t>
      </w:r>
      <w:r w:rsidR="00FF009C" w:rsidRPr="00FF009C">
        <w:rPr>
          <w:noProof/>
        </w:rPr>
        <w:t>tak</w:t>
      </w:r>
      <w:r w:rsidRPr="00FF009C">
        <w:rPr>
          <w:noProof/>
        </w:rPr>
        <w:t>iej, czy innej formie:</w:t>
      </w:r>
    </w:p>
    <w:p w14:paraId="6C179B96" w14:textId="1FC95907" w:rsidR="0043039B" w:rsidRPr="00FF009C" w:rsidRDefault="000F545B" w:rsidP="00977077">
      <w:pPr>
        <w:spacing w:before="0"/>
        <w:rPr>
          <w:rFonts w:eastAsia="Times New Roman"/>
          <w:noProof/>
        </w:rPr>
      </w:pPr>
      <w:r w:rsidRPr="00FF009C">
        <w:rPr>
          <w:noProof/>
        </w:rPr>
        <w:t>Należy umocnić</w:t>
      </w:r>
      <w:r w:rsidR="00FF009C" w:rsidRPr="00FF009C">
        <w:rPr>
          <w:noProof/>
        </w:rPr>
        <w:t xml:space="preserve"> i</w:t>
      </w:r>
      <w:r w:rsidR="00FF009C">
        <w:rPr>
          <w:noProof/>
        </w:rPr>
        <w:t> </w:t>
      </w:r>
      <w:r w:rsidR="00FF009C" w:rsidRPr="00FF009C">
        <w:rPr>
          <w:noProof/>
        </w:rPr>
        <w:t>zin</w:t>
      </w:r>
      <w:r w:rsidRPr="00FF009C">
        <w:rPr>
          <w:noProof/>
        </w:rPr>
        <w:t>tensyfikować współpracę</w:t>
      </w:r>
      <w:r w:rsidR="00FF009C" w:rsidRPr="00FF009C">
        <w:rPr>
          <w:noProof/>
        </w:rPr>
        <w:t xml:space="preserve"> i</w:t>
      </w:r>
      <w:r w:rsidR="00FF009C">
        <w:rPr>
          <w:noProof/>
        </w:rPr>
        <w:t> </w:t>
      </w:r>
      <w:r w:rsidR="00FF009C" w:rsidRPr="00FF009C">
        <w:rPr>
          <w:noProof/>
        </w:rPr>
        <w:t>koo</w:t>
      </w:r>
      <w:r w:rsidRPr="00FF009C">
        <w:rPr>
          <w:noProof/>
        </w:rPr>
        <w:t>rdynację między agencjami</w:t>
      </w:r>
      <w:r w:rsidR="00FF009C" w:rsidRPr="00FF009C">
        <w:rPr>
          <w:noProof/>
        </w:rPr>
        <w:t xml:space="preserve"> w</w:t>
      </w:r>
      <w:r w:rsidR="00FF009C">
        <w:rPr>
          <w:noProof/>
        </w:rPr>
        <w:t> </w:t>
      </w:r>
      <w:r w:rsidR="00FF009C" w:rsidRPr="00FF009C">
        <w:rPr>
          <w:noProof/>
        </w:rPr>
        <w:t>obs</w:t>
      </w:r>
      <w:r w:rsidRPr="00FF009C">
        <w:rPr>
          <w:noProof/>
        </w:rPr>
        <w:t>zarze przeciwdziałania przemytu migrantów</w:t>
      </w:r>
      <w:r w:rsidR="00FF009C" w:rsidRPr="00FF009C">
        <w:rPr>
          <w:noProof/>
        </w:rPr>
        <w:t xml:space="preserve"> i</w:t>
      </w:r>
      <w:r w:rsidR="00FF009C">
        <w:rPr>
          <w:noProof/>
        </w:rPr>
        <w:t> </w:t>
      </w:r>
      <w:r w:rsidR="00FF009C" w:rsidRPr="00FF009C">
        <w:rPr>
          <w:noProof/>
        </w:rPr>
        <w:t>han</w:t>
      </w:r>
      <w:r w:rsidRPr="00FF009C">
        <w:rPr>
          <w:noProof/>
        </w:rPr>
        <w:t>dlu ludźmi na szczeblu UE. Dzięki zacieśnieniu współpracy</w:t>
      </w:r>
      <w:r w:rsidR="00FF009C" w:rsidRPr="00FF009C">
        <w:rPr>
          <w:noProof/>
        </w:rPr>
        <w:t xml:space="preserve"> i</w:t>
      </w:r>
      <w:r w:rsidR="00FF009C">
        <w:rPr>
          <w:noProof/>
        </w:rPr>
        <w:t> </w:t>
      </w:r>
      <w:r w:rsidR="00FF009C" w:rsidRPr="00FF009C">
        <w:rPr>
          <w:noProof/>
        </w:rPr>
        <w:t>wzm</w:t>
      </w:r>
      <w:r w:rsidRPr="00FF009C">
        <w:rPr>
          <w:noProof/>
        </w:rPr>
        <w:t>ocnieniu koordynacji między Europolem, Europejską Agencją Straży Granicznej</w:t>
      </w:r>
      <w:r w:rsidR="00FF009C" w:rsidRPr="00FF009C">
        <w:rPr>
          <w:noProof/>
        </w:rPr>
        <w:t xml:space="preserve"> i</w:t>
      </w:r>
      <w:r w:rsidR="00FF009C">
        <w:rPr>
          <w:noProof/>
        </w:rPr>
        <w:t> </w:t>
      </w:r>
      <w:r w:rsidR="00FF009C" w:rsidRPr="00FF009C">
        <w:rPr>
          <w:noProof/>
        </w:rPr>
        <w:t>Prz</w:t>
      </w:r>
      <w:r w:rsidRPr="00FF009C">
        <w:rPr>
          <w:noProof/>
        </w:rPr>
        <w:t>ybrzeżnej</w:t>
      </w:r>
      <w:r w:rsidR="00FF009C" w:rsidRPr="00FF009C">
        <w:rPr>
          <w:noProof/>
        </w:rPr>
        <w:t xml:space="preserve"> i</w:t>
      </w:r>
      <w:r w:rsidR="00FF009C">
        <w:rPr>
          <w:noProof/>
        </w:rPr>
        <w:t> </w:t>
      </w:r>
      <w:r w:rsidR="00FF009C" w:rsidRPr="00FF009C">
        <w:rPr>
          <w:noProof/>
        </w:rPr>
        <w:t>Eur</w:t>
      </w:r>
      <w:r w:rsidRPr="00FF009C">
        <w:rPr>
          <w:noProof/>
        </w:rPr>
        <w:t>ojustem, ustanowieniu Europejskiego Centrum Zwalczania Przemytu Migrantów oraz określeniu jego zadań</w:t>
      </w:r>
      <w:r w:rsidR="00FF009C" w:rsidRPr="00FF009C">
        <w:rPr>
          <w:noProof/>
        </w:rPr>
        <w:t xml:space="preserve"> i</w:t>
      </w:r>
      <w:r w:rsidR="00FF009C">
        <w:rPr>
          <w:noProof/>
        </w:rPr>
        <w:t> </w:t>
      </w:r>
      <w:r w:rsidR="00FF009C" w:rsidRPr="00FF009C">
        <w:rPr>
          <w:noProof/>
        </w:rPr>
        <w:t>skł</w:t>
      </w:r>
      <w:r w:rsidRPr="00FF009C">
        <w:rPr>
          <w:noProof/>
        </w:rPr>
        <w:t>adu, agencje UE będą lepiej przygotowane do zapewnienia skuteczniejszego</w:t>
      </w:r>
      <w:r w:rsidR="00FF009C" w:rsidRPr="00FF009C">
        <w:rPr>
          <w:noProof/>
        </w:rPr>
        <w:t xml:space="preserve"> i</w:t>
      </w:r>
      <w:r w:rsidR="00FF009C">
        <w:rPr>
          <w:noProof/>
        </w:rPr>
        <w:t> </w:t>
      </w:r>
      <w:r w:rsidR="00FF009C" w:rsidRPr="00FF009C">
        <w:rPr>
          <w:noProof/>
        </w:rPr>
        <w:t>wyd</w:t>
      </w:r>
      <w:r w:rsidRPr="00FF009C">
        <w:rPr>
          <w:noProof/>
        </w:rPr>
        <w:t>ajniejszego zwalczania przemytu migrantów</w:t>
      </w:r>
      <w:r w:rsidR="00FF009C" w:rsidRPr="00FF009C">
        <w:rPr>
          <w:noProof/>
        </w:rPr>
        <w:t xml:space="preserve"> i</w:t>
      </w:r>
      <w:r w:rsidR="00FF009C">
        <w:rPr>
          <w:noProof/>
        </w:rPr>
        <w:t> </w:t>
      </w:r>
      <w:r w:rsidR="00FF009C" w:rsidRPr="00FF009C">
        <w:rPr>
          <w:noProof/>
        </w:rPr>
        <w:t>han</w:t>
      </w:r>
      <w:r w:rsidRPr="00FF009C">
        <w:rPr>
          <w:noProof/>
        </w:rPr>
        <w:t xml:space="preserve">dlu ludźmi na szczeblu UE niż na szczeblu krajowym. </w:t>
      </w:r>
    </w:p>
    <w:p w14:paraId="60B8C1FA" w14:textId="39BC59AF" w:rsidR="0043039B" w:rsidRPr="00FF009C" w:rsidRDefault="004C665F" w:rsidP="0043039B">
      <w:pPr>
        <w:spacing w:before="0"/>
        <w:rPr>
          <w:noProof/>
        </w:rPr>
      </w:pPr>
      <w:r w:rsidRPr="00FF009C">
        <w:rPr>
          <w:noProof/>
        </w:rPr>
        <w:t>Należy wzmocnić strategiczne kierowanie</w:t>
      </w:r>
      <w:r w:rsidR="00FF009C" w:rsidRPr="00FF009C">
        <w:rPr>
          <w:noProof/>
        </w:rPr>
        <w:t xml:space="preserve"> i</w:t>
      </w:r>
      <w:r w:rsidR="00FF009C">
        <w:rPr>
          <w:noProof/>
        </w:rPr>
        <w:t> </w:t>
      </w:r>
      <w:r w:rsidR="00FF009C" w:rsidRPr="00FF009C">
        <w:rPr>
          <w:noProof/>
        </w:rPr>
        <w:t>koo</w:t>
      </w:r>
      <w:r w:rsidRPr="00FF009C">
        <w:rPr>
          <w:noProof/>
        </w:rPr>
        <w:t>rdynację</w:t>
      </w:r>
      <w:r w:rsidR="00FF009C" w:rsidRPr="00FF009C">
        <w:rPr>
          <w:noProof/>
        </w:rPr>
        <w:t xml:space="preserve"> w</w:t>
      </w:r>
      <w:r w:rsidR="00FF009C">
        <w:rPr>
          <w:noProof/>
        </w:rPr>
        <w:t> </w:t>
      </w:r>
      <w:r w:rsidR="00FF009C" w:rsidRPr="00FF009C">
        <w:rPr>
          <w:noProof/>
        </w:rPr>
        <w:t>obs</w:t>
      </w:r>
      <w:r w:rsidRPr="00FF009C">
        <w:rPr>
          <w:noProof/>
        </w:rPr>
        <w:t>zarze tych przestępstw na szczeblu UE, aby umożliwić ukierunkowaną analizę strategiczną, kierowanie</w:t>
      </w:r>
      <w:r w:rsidR="00FF009C" w:rsidRPr="00FF009C">
        <w:rPr>
          <w:noProof/>
        </w:rPr>
        <w:t xml:space="preserve"> i</w:t>
      </w:r>
      <w:r w:rsidR="00FF009C">
        <w:rPr>
          <w:noProof/>
        </w:rPr>
        <w:t> </w:t>
      </w:r>
      <w:r w:rsidR="00FF009C" w:rsidRPr="00FF009C">
        <w:rPr>
          <w:noProof/>
        </w:rPr>
        <w:t>koo</w:t>
      </w:r>
      <w:r w:rsidRPr="00FF009C">
        <w:rPr>
          <w:noProof/>
        </w:rPr>
        <w:t>rdynację działań procesowych</w:t>
      </w:r>
      <w:r w:rsidR="00FF009C" w:rsidRPr="00FF009C">
        <w:rPr>
          <w:noProof/>
        </w:rPr>
        <w:t xml:space="preserve"> i</w:t>
      </w:r>
      <w:r w:rsidR="00FF009C">
        <w:rPr>
          <w:noProof/>
        </w:rPr>
        <w:t> </w:t>
      </w:r>
      <w:r w:rsidR="00FF009C" w:rsidRPr="00FF009C">
        <w:rPr>
          <w:noProof/>
        </w:rPr>
        <w:t>ope</w:t>
      </w:r>
      <w:r w:rsidRPr="00FF009C">
        <w:rPr>
          <w:noProof/>
        </w:rPr>
        <w:t>racyjnych na szczeblu UE</w:t>
      </w:r>
      <w:r w:rsidR="00FF009C" w:rsidRPr="00FF009C">
        <w:rPr>
          <w:noProof/>
        </w:rPr>
        <w:t xml:space="preserve"> i</w:t>
      </w:r>
      <w:r w:rsidR="00FF009C">
        <w:rPr>
          <w:noProof/>
        </w:rPr>
        <w:t> </w:t>
      </w:r>
      <w:r w:rsidR="00FF009C" w:rsidRPr="00FF009C">
        <w:rPr>
          <w:noProof/>
        </w:rPr>
        <w:t>mię</w:t>
      </w:r>
      <w:r w:rsidRPr="00FF009C">
        <w:rPr>
          <w:noProof/>
        </w:rPr>
        <w:t>dzy państwami członkowskimi. Do skuteczniejszej walki</w:t>
      </w:r>
      <w:r w:rsidR="00FF009C" w:rsidRPr="00FF009C">
        <w:rPr>
          <w:noProof/>
        </w:rPr>
        <w:t xml:space="preserve"> z</w:t>
      </w:r>
      <w:r w:rsidR="00FF009C">
        <w:rPr>
          <w:noProof/>
        </w:rPr>
        <w:t> </w:t>
      </w:r>
      <w:r w:rsidR="00FF009C" w:rsidRPr="00FF009C">
        <w:rPr>
          <w:noProof/>
        </w:rPr>
        <w:t>prz</w:t>
      </w:r>
      <w:r w:rsidRPr="00FF009C">
        <w:rPr>
          <w:noProof/>
        </w:rPr>
        <w:t>emytem migrantów</w:t>
      </w:r>
      <w:r w:rsidR="00FF009C" w:rsidRPr="00FF009C">
        <w:rPr>
          <w:noProof/>
        </w:rPr>
        <w:t xml:space="preserve"> i</w:t>
      </w:r>
      <w:r w:rsidR="00FF009C">
        <w:rPr>
          <w:noProof/>
        </w:rPr>
        <w:t> </w:t>
      </w:r>
      <w:r w:rsidR="00FF009C" w:rsidRPr="00FF009C">
        <w:rPr>
          <w:noProof/>
        </w:rPr>
        <w:t>han</w:t>
      </w:r>
      <w:r w:rsidRPr="00FF009C">
        <w:rPr>
          <w:noProof/>
        </w:rPr>
        <w:t>dlem ludźmi na szczeblu UE i na szczeblu krajowym przyczyni się również ustanowienie Europejskiego Centrum Zwalczania Przemytu Migrantów</w:t>
      </w:r>
      <w:r w:rsidR="00FF009C" w:rsidRPr="00FF009C">
        <w:rPr>
          <w:noProof/>
        </w:rPr>
        <w:t xml:space="preserve"> i</w:t>
      </w:r>
      <w:r w:rsidR="00FF009C">
        <w:rPr>
          <w:noProof/>
        </w:rPr>
        <w:t> </w:t>
      </w:r>
      <w:r w:rsidR="00FF009C" w:rsidRPr="00FF009C">
        <w:rPr>
          <w:noProof/>
        </w:rPr>
        <w:t>okr</w:t>
      </w:r>
      <w:r w:rsidRPr="00FF009C">
        <w:rPr>
          <w:noProof/>
        </w:rPr>
        <w:t>eślenie jego zadań</w:t>
      </w:r>
      <w:r w:rsidR="00FF009C" w:rsidRPr="00FF009C">
        <w:rPr>
          <w:noProof/>
        </w:rPr>
        <w:t xml:space="preserve"> i</w:t>
      </w:r>
      <w:r w:rsidR="00FF009C">
        <w:rPr>
          <w:noProof/>
        </w:rPr>
        <w:t> </w:t>
      </w:r>
      <w:r w:rsidR="00FF009C" w:rsidRPr="00FF009C">
        <w:rPr>
          <w:noProof/>
        </w:rPr>
        <w:t>skł</w:t>
      </w:r>
      <w:r w:rsidRPr="00FF009C">
        <w:rPr>
          <w:noProof/>
        </w:rPr>
        <w:t xml:space="preserve">adu. </w:t>
      </w:r>
    </w:p>
    <w:p w14:paraId="2AF670A8" w14:textId="565692D6" w:rsidR="0043039B" w:rsidRPr="00FF009C" w:rsidRDefault="00274781" w:rsidP="00977077">
      <w:pPr>
        <w:spacing w:before="0"/>
        <w:rPr>
          <w:rFonts w:eastAsia="Times New Roman"/>
          <w:noProof/>
        </w:rPr>
      </w:pPr>
      <w:r w:rsidRPr="00FF009C">
        <w:rPr>
          <w:noProof/>
        </w:rPr>
        <w:t>Państwa członkowskie muszą prowadzić intensywniejszą</w:t>
      </w:r>
      <w:r w:rsidR="00FF009C" w:rsidRPr="00FF009C">
        <w:rPr>
          <w:noProof/>
        </w:rPr>
        <w:t xml:space="preserve"> i</w:t>
      </w:r>
      <w:r w:rsidR="00FF009C">
        <w:rPr>
          <w:noProof/>
        </w:rPr>
        <w:t> </w:t>
      </w:r>
      <w:r w:rsidR="00FF009C" w:rsidRPr="00FF009C">
        <w:rPr>
          <w:noProof/>
        </w:rPr>
        <w:t>bar</w:t>
      </w:r>
      <w:r w:rsidRPr="00FF009C">
        <w:rPr>
          <w:noProof/>
        </w:rPr>
        <w:t>dziej systematyczną wymianę informacji na temat przemytu migrantów</w:t>
      </w:r>
      <w:r w:rsidR="00FF009C" w:rsidRPr="00FF009C">
        <w:rPr>
          <w:noProof/>
        </w:rPr>
        <w:t xml:space="preserve"> i</w:t>
      </w:r>
      <w:r w:rsidR="00FF009C">
        <w:rPr>
          <w:noProof/>
        </w:rPr>
        <w:t> </w:t>
      </w:r>
      <w:r w:rsidR="00FF009C" w:rsidRPr="00FF009C">
        <w:rPr>
          <w:noProof/>
        </w:rPr>
        <w:t>han</w:t>
      </w:r>
      <w:r w:rsidRPr="00FF009C">
        <w:rPr>
          <w:noProof/>
        </w:rPr>
        <w:t>dlu ludźmi między sobą</w:t>
      </w:r>
      <w:r w:rsidR="00FF009C" w:rsidRPr="00FF009C">
        <w:rPr>
          <w:noProof/>
        </w:rPr>
        <w:t xml:space="preserve"> i</w:t>
      </w:r>
      <w:r w:rsidR="00FF009C">
        <w:rPr>
          <w:noProof/>
        </w:rPr>
        <w:t> </w:t>
      </w:r>
      <w:r w:rsidR="00FF009C" w:rsidRPr="00FF009C">
        <w:rPr>
          <w:noProof/>
        </w:rPr>
        <w:t>z</w:t>
      </w:r>
      <w:r w:rsidR="00FF009C">
        <w:rPr>
          <w:noProof/>
        </w:rPr>
        <w:t> </w:t>
      </w:r>
      <w:r w:rsidR="00FF009C" w:rsidRPr="00FF009C">
        <w:rPr>
          <w:noProof/>
        </w:rPr>
        <w:t>Eur</w:t>
      </w:r>
      <w:r w:rsidRPr="00FF009C">
        <w:rPr>
          <w:noProof/>
        </w:rPr>
        <w:t>opolem, ale także</w:t>
      </w:r>
      <w:r w:rsidR="00FF009C" w:rsidRPr="00FF009C">
        <w:rPr>
          <w:noProof/>
        </w:rPr>
        <w:t xml:space="preserve"> z</w:t>
      </w:r>
      <w:r w:rsidR="00FF009C">
        <w:rPr>
          <w:noProof/>
        </w:rPr>
        <w:t> </w:t>
      </w:r>
      <w:r w:rsidR="00FF009C" w:rsidRPr="00FF009C">
        <w:rPr>
          <w:noProof/>
        </w:rPr>
        <w:t>pań</w:t>
      </w:r>
      <w:r w:rsidRPr="00FF009C">
        <w:rPr>
          <w:noProof/>
        </w:rPr>
        <w:t>stwami trzecimi, aby zapewnić skuteczniejsze</w:t>
      </w:r>
      <w:r w:rsidR="00FF009C" w:rsidRPr="00FF009C">
        <w:rPr>
          <w:noProof/>
        </w:rPr>
        <w:t xml:space="preserve"> i</w:t>
      </w:r>
      <w:r w:rsidR="00FF009C">
        <w:rPr>
          <w:noProof/>
        </w:rPr>
        <w:t> </w:t>
      </w:r>
      <w:r w:rsidR="00FF009C" w:rsidRPr="00FF009C">
        <w:rPr>
          <w:noProof/>
        </w:rPr>
        <w:t>wyd</w:t>
      </w:r>
      <w:r w:rsidRPr="00FF009C">
        <w:rPr>
          <w:noProof/>
        </w:rPr>
        <w:t>ajniejsze zwalczanie przemytu migrantów na szczeblu UE,</w:t>
      </w:r>
      <w:r w:rsidR="00FF009C" w:rsidRPr="00FF009C">
        <w:rPr>
          <w:noProof/>
        </w:rPr>
        <w:t xml:space="preserve"> w</w:t>
      </w:r>
      <w:r w:rsidR="00FF009C">
        <w:rPr>
          <w:noProof/>
        </w:rPr>
        <w:t> </w:t>
      </w:r>
      <w:r w:rsidR="00FF009C" w:rsidRPr="00FF009C">
        <w:rPr>
          <w:noProof/>
        </w:rPr>
        <w:t>szc</w:t>
      </w:r>
      <w:r w:rsidRPr="00FF009C">
        <w:rPr>
          <w:noProof/>
        </w:rPr>
        <w:t>zególności</w:t>
      </w:r>
      <w:r w:rsidR="00FF009C" w:rsidRPr="00FF009C">
        <w:rPr>
          <w:noProof/>
        </w:rPr>
        <w:t xml:space="preserve"> w</w:t>
      </w:r>
      <w:r w:rsidR="00FF009C">
        <w:rPr>
          <w:noProof/>
        </w:rPr>
        <w:t> </w:t>
      </w:r>
      <w:r w:rsidR="00FF009C" w:rsidRPr="00FF009C">
        <w:rPr>
          <w:noProof/>
        </w:rPr>
        <w:t>dro</w:t>
      </w:r>
      <w:r w:rsidRPr="00FF009C">
        <w:rPr>
          <w:noProof/>
        </w:rPr>
        <w:t>dze wyraźnego odnoszenia się do dwóch przedmiotowych rodzajów przestępstw</w:t>
      </w:r>
      <w:r w:rsidR="00FF009C" w:rsidRPr="00FF009C">
        <w:rPr>
          <w:noProof/>
        </w:rPr>
        <w:t xml:space="preserve"> w</w:t>
      </w:r>
      <w:r w:rsidR="00FF009C">
        <w:rPr>
          <w:noProof/>
        </w:rPr>
        <w:t> </w:t>
      </w:r>
      <w:r w:rsidR="00FF009C" w:rsidRPr="00FF009C">
        <w:rPr>
          <w:noProof/>
        </w:rPr>
        <w:t>kon</w:t>
      </w:r>
      <w:r w:rsidRPr="00FF009C">
        <w:rPr>
          <w:noProof/>
        </w:rPr>
        <w:t>tekście ogólnego obowiązku państw członkowskich</w:t>
      </w:r>
      <w:r w:rsidR="00FF009C" w:rsidRPr="00FF009C">
        <w:rPr>
          <w:noProof/>
        </w:rPr>
        <w:t xml:space="preserve"> w</w:t>
      </w:r>
      <w:r w:rsidR="00FF009C">
        <w:rPr>
          <w:noProof/>
        </w:rPr>
        <w:t> </w:t>
      </w:r>
      <w:r w:rsidR="00FF009C" w:rsidRPr="00FF009C">
        <w:rPr>
          <w:noProof/>
        </w:rPr>
        <w:t>zak</w:t>
      </w:r>
      <w:r w:rsidRPr="00FF009C">
        <w:rPr>
          <w:noProof/>
        </w:rPr>
        <w:t>resie wymiany informacji, powierzenie Europolowi skutecznego</w:t>
      </w:r>
      <w:r w:rsidR="00FF009C" w:rsidRPr="00FF009C">
        <w:rPr>
          <w:noProof/>
        </w:rPr>
        <w:t xml:space="preserve"> i</w:t>
      </w:r>
      <w:r w:rsidR="00FF009C">
        <w:rPr>
          <w:noProof/>
        </w:rPr>
        <w:t> </w:t>
      </w:r>
      <w:r w:rsidR="00FF009C" w:rsidRPr="00FF009C">
        <w:rPr>
          <w:noProof/>
        </w:rPr>
        <w:t>wyd</w:t>
      </w:r>
      <w:r w:rsidRPr="00FF009C">
        <w:rPr>
          <w:noProof/>
        </w:rPr>
        <w:t>ajnego przetwarzania danych biometrycznych</w:t>
      </w:r>
      <w:r w:rsidR="00FF009C" w:rsidRPr="00FF009C">
        <w:rPr>
          <w:noProof/>
        </w:rPr>
        <w:t xml:space="preserve"> w</w:t>
      </w:r>
      <w:r w:rsidR="00FF009C">
        <w:rPr>
          <w:noProof/>
        </w:rPr>
        <w:t> </w:t>
      </w:r>
      <w:r w:rsidR="00FF009C" w:rsidRPr="00FF009C">
        <w:rPr>
          <w:noProof/>
        </w:rPr>
        <w:t>cel</w:t>
      </w:r>
      <w:r w:rsidRPr="00FF009C">
        <w:rPr>
          <w:noProof/>
        </w:rPr>
        <w:t>u wsparcia państw członkowskich, zgodnie</w:t>
      </w:r>
      <w:r w:rsidR="00FF009C" w:rsidRPr="00FF009C">
        <w:rPr>
          <w:noProof/>
        </w:rPr>
        <w:t xml:space="preserve"> z</w:t>
      </w:r>
      <w:r w:rsidR="00FF009C">
        <w:rPr>
          <w:noProof/>
        </w:rPr>
        <w:t> </w:t>
      </w:r>
      <w:r w:rsidR="00FF009C" w:rsidRPr="00FF009C">
        <w:rPr>
          <w:noProof/>
        </w:rPr>
        <w:t>ist</w:t>
      </w:r>
      <w:r w:rsidRPr="00FF009C">
        <w:rPr>
          <w:noProof/>
        </w:rPr>
        <w:t xml:space="preserve">niejącymi zabezpieczeniami dotyczącymi przetwarzania danych biometrycznych, oraz przez ustanowienie aplikacji sieci bezpiecznej wymiany informacji (SIENA). </w:t>
      </w:r>
    </w:p>
    <w:p w14:paraId="4B4CB8E5" w14:textId="2367FBAB" w:rsidR="0043039B" w:rsidRPr="00FF009C" w:rsidRDefault="009A65C8" w:rsidP="00977077">
      <w:pPr>
        <w:widowControl w:val="0"/>
        <w:autoSpaceDE w:val="0"/>
        <w:autoSpaceDN w:val="0"/>
        <w:adjustRightInd w:val="0"/>
        <w:spacing w:before="0"/>
        <w:rPr>
          <w:rFonts w:eastAsia="Times New Roman"/>
          <w:noProof/>
        </w:rPr>
      </w:pPr>
      <w:r w:rsidRPr="00FF009C">
        <w:rPr>
          <w:noProof/>
        </w:rPr>
        <w:t>Jeżeli chodzi</w:t>
      </w:r>
      <w:r w:rsidR="00FF009C" w:rsidRPr="00FF009C">
        <w:rPr>
          <w:noProof/>
        </w:rPr>
        <w:t xml:space="preserve"> o</w:t>
      </w:r>
      <w:r w:rsidR="00FF009C">
        <w:rPr>
          <w:noProof/>
        </w:rPr>
        <w:t> </w:t>
      </w:r>
      <w:r w:rsidR="00FF009C" w:rsidRPr="00FF009C">
        <w:rPr>
          <w:noProof/>
        </w:rPr>
        <w:t>kra</w:t>
      </w:r>
      <w:r w:rsidRPr="00FF009C">
        <w:rPr>
          <w:noProof/>
        </w:rPr>
        <w:t>jowe struktury zwalczania przemytu migrantów, jak już podkreślono</w:t>
      </w:r>
      <w:r w:rsidR="00FF009C" w:rsidRPr="00FF009C">
        <w:rPr>
          <w:noProof/>
        </w:rPr>
        <w:t xml:space="preserve"> w</w:t>
      </w:r>
      <w:r w:rsidR="00FF009C">
        <w:rPr>
          <w:noProof/>
        </w:rPr>
        <w:t> </w:t>
      </w:r>
      <w:r w:rsidR="00FF009C" w:rsidRPr="00FF009C">
        <w:rPr>
          <w:noProof/>
        </w:rPr>
        <w:t>odn</w:t>
      </w:r>
      <w:r w:rsidRPr="00FF009C">
        <w:rPr>
          <w:noProof/>
        </w:rPr>
        <w:t>owionym unijnym planie działania na rzecz zwalczania przemytu migrantów (na lata 2021–2025), nie wszystkie państwa członkowskie wprowadziły na szczeblu krajowym struktury niezbędne do zwalczania przemytu migrantów i do skutecznej współpracy</w:t>
      </w:r>
      <w:r w:rsidR="00FF009C" w:rsidRPr="00FF009C">
        <w:rPr>
          <w:noProof/>
        </w:rPr>
        <w:t xml:space="preserve"> z</w:t>
      </w:r>
      <w:r w:rsidR="00FF009C">
        <w:rPr>
          <w:noProof/>
        </w:rPr>
        <w:t> </w:t>
      </w:r>
      <w:r w:rsidR="00FF009C" w:rsidRPr="00FF009C">
        <w:rPr>
          <w:noProof/>
        </w:rPr>
        <w:t>Eur</w:t>
      </w:r>
      <w:r w:rsidRPr="00FF009C">
        <w:rPr>
          <w:noProof/>
        </w:rPr>
        <w:t>opolem. Luką tę można skuteczniej</w:t>
      </w:r>
      <w:r w:rsidR="00FF009C" w:rsidRPr="00FF009C">
        <w:rPr>
          <w:noProof/>
        </w:rPr>
        <w:t xml:space="preserve"> i</w:t>
      </w:r>
      <w:r w:rsidR="00FF009C">
        <w:rPr>
          <w:noProof/>
        </w:rPr>
        <w:t> </w:t>
      </w:r>
      <w:r w:rsidR="00FF009C" w:rsidRPr="00FF009C">
        <w:rPr>
          <w:noProof/>
        </w:rPr>
        <w:t>efe</w:t>
      </w:r>
      <w:r w:rsidRPr="00FF009C">
        <w:rPr>
          <w:noProof/>
        </w:rPr>
        <w:t>ktywniej wyeliminować na szczeblu UE niż na szczeblu krajowym</w:t>
      </w:r>
      <w:r w:rsidR="00FF009C" w:rsidRPr="00FF009C">
        <w:rPr>
          <w:noProof/>
        </w:rPr>
        <w:t xml:space="preserve"> w</w:t>
      </w:r>
      <w:r w:rsidR="00FF009C">
        <w:rPr>
          <w:noProof/>
        </w:rPr>
        <w:t> </w:t>
      </w:r>
      <w:r w:rsidR="00FF009C" w:rsidRPr="00FF009C">
        <w:rPr>
          <w:noProof/>
        </w:rPr>
        <w:t>dro</w:t>
      </w:r>
      <w:r w:rsidRPr="00FF009C">
        <w:rPr>
          <w:noProof/>
        </w:rPr>
        <w:t>dze ustanowienia wymogu, zgodnie</w:t>
      </w:r>
      <w:r w:rsidR="00FF009C" w:rsidRPr="00FF009C">
        <w:rPr>
          <w:noProof/>
        </w:rPr>
        <w:t xml:space="preserve"> z</w:t>
      </w:r>
      <w:r w:rsidR="00FF009C">
        <w:rPr>
          <w:noProof/>
        </w:rPr>
        <w:t> </w:t>
      </w:r>
      <w:r w:rsidR="00FF009C" w:rsidRPr="00FF009C">
        <w:rPr>
          <w:noProof/>
        </w:rPr>
        <w:t>któ</w:t>
      </w:r>
      <w:r w:rsidRPr="00FF009C">
        <w:rPr>
          <w:noProof/>
        </w:rPr>
        <w:t>rym państwa członkowskie powinny wyznaczyć wyspecjalizowane służby do walki</w:t>
      </w:r>
      <w:r w:rsidR="00FF009C" w:rsidRPr="00FF009C">
        <w:rPr>
          <w:noProof/>
        </w:rPr>
        <w:t xml:space="preserve"> z</w:t>
      </w:r>
      <w:r w:rsidR="00FF009C">
        <w:rPr>
          <w:noProof/>
        </w:rPr>
        <w:t> </w:t>
      </w:r>
      <w:r w:rsidR="00FF009C" w:rsidRPr="00FF009C">
        <w:rPr>
          <w:noProof/>
        </w:rPr>
        <w:t>prz</w:t>
      </w:r>
      <w:r w:rsidRPr="00FF009C">
        <w:rPr>
          <w:noProof/>
        </w:rPr>
        <w:t xml:space="preserve">emytem migrantów, połączenia tych wyspecjalizowanych służb z SIENA oraz powierzenia Europejskiemu Centrum Zwalczania Przemytu Migrantów działania jako sieć wyspecjalizowanych służb. </w:t>
      </w:r>
    </w:p>
    <w:p w14:paraId="595DF731" w14:textId="66AFCD11" w:rsidR="0043039B" w:rsidRPr="00FF009C" w:rsidRDefault="0043039B" w:rsidP="00977077">
      <w:pPr>
        <w:widowControl w:val="0"/>
        <w:autoSpaceDE w:val="0"/>
        <w:autoSpaceDN w:val="0"/>
        <w:adjustRightInd w:val="0"/>
        <w:spacing w:before="0"/>
        <w:rPr>
          <w:rFonts w:eastAsia="Times New Roman"/>
          <w:noProof/>
        </w:rPr>
      </w:pPr>
      <w:r w:rsidRPr="00FF009C">
        <w:rPr>
          <w:noProof/>
        </w:rPr>
        <w:t>Należy zwiększyć wsparcie</w:t>
      </w:r>
      <w:r w:rsidR="00FF009C" w:rsidRPr="00FF009C">
        <w:rPr>
          <w:noProof/>
        </w:rPr>
        <w:t xml:space="preserve"> w</w:t>
      </w:r>
      <w:r w:rsidR="00FF009C">
        <w:rPr>
          <w:noProof/>
        </w:rPr>
        <w:t> </w:t>
      </w:r>
      <w:r w:rsidR="00FF009C" w:rsidRPr="00FF009C">
        <w:rPr>
          <w:noProof/>
        </w:rPr>
        <w:t>ter</w:t>
      </w:r>
      <w:r w:rsidRPr="00FF009C">
        <w:rPr>
          <w:noProof/>
        </w:rPr>
        <w:t>enie udzielane przez Europol państwom członkowskim</w:t>
      </w:r>
      <w:r w:rsidR="00FF009C" w:rsidRPr="00FF009C">
        <w:rPr>
          <w:noProof/>
        </w:rPr>
        <w:t xml:space="preserve"> w</w:t>
      </w:r>
      <w:r w:rsidR="00FF009C">
        <w:rPr>
          <w:noProof/>
        </w:rPr>
        <w:t> </w:t>
      </w:r>
      <w:r w:rsidR="00FF009C" w:rsidRPr="00FF009C">
        <w:rPr>
          <w:noProof/>
        </w:rPr>
        <w:t>prz</w:t>
      </w:r>
      <w:r w:rsidRPr="00FF009C">
        <w:rPr>
          <w:noProof/>
        </w:rPr>
        <w:t>eciwdziałaniu przemytowi migrantów. Potrzebę tę można zaspokoić skuteczniej</w:t>
      </w:r>
      <w:r w:rsidR="00FF009C" w:rsidRPr="00FF009C">
        <w:rPr>
          <w:noProof/>
        </w:rPr>
        <w:t xml:space="preserve"> i</w:t>
      </w:r>
      <w:r w:rsidR="00FF009C">
        <w:rPr>
          <w:noProof/>
        </w:rPr>
        <w:t> </w:t>
      </w:r>
      <w:r w:rsidR="00FF009C" w:rsidRPr="00FF009C">
        <w:rPr>
          <w:noProof/>
        </w:rPr>
        <w:t>efe</w:t>
      </w:r>
      <w:r w:rsidRPr="00FF009C">
        <w:rPr>
          <w:noProof/>
        </w:rPr>
        <w:t>ktywniej na szczeblu UE niż na szczeblu krajowym przez ustanowienie operacyjnych grup zadaniowych</w:t>
      </w:r>
      <w:r w:rsidR="00FF009C" w:rsidRPr="00FF009C">
        <w:rPr>
          <w:noProof/>
        </w:rPr>
        <w:t xml:space="preserve"> i</w:t>
      </w:r>
      <w:r w:rsidR="00FF009C">
        <w:rPr>
          <w:noProof/>
        </w:rPr>
        <w:t> </w:t>
      </w:r>
      <w:r w:rsidR="00FF009C" w:rsidRPr="00FF009C">
        <w:rPr>
          <w:noProof/>
        </w:rPr>
        <w:t>roz</w:t>
      </w:r>
      <w:r w:rsidRPr="00FF009C">
        <w:rPr>
          <w:noProof/>
        </w:rPr>
        <w:t>mieszczanie pracowników Europolu</w:t>
      </w:r>
      <w:r w:rsidR="00FF009C" w:rsidRPr="00FF009C">
        <w:rPr>
          <w:noProof/>
        </w:rPr>
        <w:t xml:space="preserve"> w</w:t>
      </w:r>
      <w:r w:rsidR="00FF009C">
        <w:rPr>
          <w:noProof/>
        </w:rPr>
        <w:t> </w:t>
      </w:r>
      <w:r w:rsidR="00FF009C" w:rsidRPr="00FF009C">
        <w:rPr>
          <w:noProof/>
        </w:rPr>
        <w:t>ram</w:t>
      </w:r>
      <w:r w:rsidRPr="00FF009C">
        <w:rPr>
          <w:noProof/>
        </w:rPr>
        <w:t xml:space="preserve">ach wsparcia operacyjnego. </w:t>
      </w:r>
    </w:p>
    <w:p w14:paraId="04E0F004" w14:textId="2505D508" w:rsidR="0043039B" w:rsidRPr="00FF009C" w:rsidRDefault="0043039B" w:rsidP="00977077">
      <w:pPr>
        <w:widowControl w:val="0"/>
        <w:autoSpaceDE w:val="0"/>
        <w:autoSpaceDN w:val="0"/>
        <w:adjustRightInd w:val="0"/>
        <w:spacing w:before="0"/>
        <w:rPr>
          <w:rFonts w:eastAsia="Times New Roman"/>
          <w:noProof/>
        </w:rPr>
      </w:pPr>
      <w:r w:rsidRPr="00FF009C">
        <w:rPr>
          <w:noProof/>
        </w:rPr>
        <w:t>Jako agencja UE ds. współpracy organów ścigania Europol jest przygotowany, aby zapewnić takie wsparcie na szczeblu UE. Europol okazał się rzeczywiście bardzo skutecznym organem we wspieraniu krajowych organów ścigania</w:t>
      </w:r>
      <w:r w:rsidR="00FF009C" w:rsidRPr="00FF009C">
        <w:rPr>
          <w:noProof/>
        </w:rPr>
        <w:t xml:space="preserve"> w</w:t>
      </w:r>
      <w:r w:rsidR="00FF009C">
        <w:rPr>
          <w:noProof/>
        </w:rPr>
        <w:t> </w:t>
      </w:r>
      <w:r w:rsidR="00FF009C" w:rsidRPr="00FF009C">
        <w:rPr>
          <w:noProof/>
        </w:rPr>
        <w:t>prz</w:t>
      </w:r>
      <w:r w:rsidRPr="00FF009C">
        <w:rPr>
          <w:noProof/>
        </w:rPr>
        <w:t>eciwdziałaniu poważnej przestępczości</w:t>
      </w:r>
      <w:r w:rsidR="00FF009C" w:rsidRPr="00FF009C">
        <w:rPr>
          <w:noProof/>
        </w:rPr>
        <w:t xml:space="preserve"> i</w:t>
      </w:r>
      <w:r w:rsidR="00FF009C">
        <w:rPr>
          <w:noProof/>
        </w:rPr>
        <w:t> </w:t>
      </w:r>
      <w:r w:rsidR="00FF009C" w:rsidRPr="00FF009C">
        <w:rPr>
          <w:noProof/>
        </w:rPr>
        <w:t>ter</w:t>
      </w:r>
      <w:r w:rsidRPr="00FF009C">
        <w:rPr>
          <w:noProof/>
        </w:rPr>
        <w:t>roryzmu,</w:t>
      </w:r>
      <w:r w:rsidR="00FF009C" w:rsidRPr="00FF009C">
        <w:rPr>
          <w:noProof/>
        </w:rPr>
        <w:t xml:space="preserve"> w</w:t>
      </w:r>
      <w:r w:rsidR="00FF009C">
        <w:rPr>
          <w:noProof/>
        </w:rPr>
        <w:t> </w:t>
      </w:r>
      <w:r w:rsidR="00FF009C" w:rsidRPr="00FF009C">
        <w:rPr>
          <w:noProof/>
        </w:rPr>
        <w:t>szc</w:t>
      </w:r>
      <w:r w:rsidRPr="00FF009C">
        <w:rPr>
          <w:noProof/>
        </w:rPr>
        <w:t>zególności przemytu migrantów. Istnieją wyraźne synergie</w:t>
      </w:r>
      <w:r w:rsidR="00FF009C" w:rsidRPr="00FF009C">
        <w:rPr>
          <w:noProof/>
        </w:rPr>
        <w:t xml:space="preserve"> i</w:t>
      </w:r>
      <w:r w:rsidR="00FF009C">
        <w:rPr>
          <w:noProof/>
        </w:rPr>
        <w:t> </w:t>
      </w:r>
      <w:r w:rsidR="00FF009C" w:rsidRPr="00FF009C">
        <w:rPr>
          <w:noProof/>
        </w:rPr>
        <w:t>kor</w:t>
      </w:r>
      <w:r w:rsidRPr="00FF009C">
        <w:rPr>
          <w:noProof/>
        </w:rPr>
        <w:t>zyści skali dla państw członkowskich, wynikające na przykład</w:t>
      </w:r>
      <w:r w:rsidR="00FF009C" w:rsidRPr="00FF009C">
        <w:rPr>
          <w:noProof/>
        </w:rPr>
        <w:t xml:space="preserve"> z</w:t>
      </w:r>
      <w:r w:rsidR="00FF009C">
        <w:rPr>
          <w:noProof/>
        </w:rPr>
        <w:t> </w:t>
      </w:r>
      <w:r w:rsidR="00FF009C" w:rsidRPr="00FF009C">
        <w:rPr>
          <w:noProof/>
        </w:rPr>
        <w:t>wyk</w:t>
      </w:r>
      <w:r w:rsidRPr="00FF009C">
        <w:rPr>
          <w:noProof/>
        </w:rPr>
        <w:t>orzystania rezerwy</w:t>
      </w:r>
      <w:r w:rsidR="00FF009C" w:rsidRPr="00FF009C">
        <w:rPr>
          <w:noProof/>
        </w:rPr>
        <w:t xml:space="preserve"> i</w:t>
      </w:r>
      <w:r w:rsidR="00FF009C">
        <w:rPr>
          <w:noProof/>
        </w:rPr>
        <w:t> </w:t>
      </w:r>
      <w:r w:rsidR="00FF009C" w:rsidRPr="00FF009C">
        <w:rPr>
          <w:noProof/>
        </w:rPr>
        <w:t>spe</w:t>
      </w:r>
      <w:r w:rsidRPr="00FF009C">
        <w:rPr>
          <w:noProof/>
        </w:rPr>
        <w:t>cjalistycznego wsparcia zapewnianych przez Europol lub</w:t>
      </w:r>
      <w:r w:rsidR="00FF009C" w:rsidRPr="00FF009C">
        <w:rPr>
          <w:noProof/>
        </w:rPr>
        <w:t xml:space="preserve"> z</w:t>
      </w:r>
      <w:r w:rsidR="00FF009C">
        <w:rPr>
          <w:noProof/>
        </w:rPr>
        <w:t> </w:t>
      </w:r>
      <w:r w:rsidR="00FF009C" w:rsidRPr="00FF009C">
        <w:rPr>
          <w:noProof/>
        </w:rPr>
        <w:t>wie</w:t>
      </w:r>
      <w:r w:rsidRPr="00FF009C">
        <w:rPr>
          <w:noProof/>
        </w:rPr>
        <w:t>dzy fachowej, którą wyspecjalizowane ośrodki takie jak Europejskie Centrum Zwalczania Przemytu Migrantów mogą zaoferować państwom członkowskim. Państwa członkowskie oczekują,</w:t>
      </w:r>
      <w:r w:rsidR="00FF009C" w:rsidRPr="00FF009C">
        <w:rPr>
          <w:noProof/>
        </w:rPr>
        <w:t xml:space="preserve"> i</w:t>
      </w:r>
      <w:r w:rsidR="00FF009C">
        <w:rPr>
          <w:noProof/>
        </w:rPr>
        <w:t> </w:t>
      </w:r>
      <w:r w:rsidR="00FF009C" w:rsidRPr="00FF009C">
        <w:rPr>
          <w:noProof/>
        </w:rPr>
        <w:t>pot</w:t>
      </w:r>
      <w:r w:rsidRPr="00FF009C">
        <w:rPr>
          <w:noProof/>
        </w:rPr>
        <w:t>rzebują pod względem operacyjnym, takiego samego poziomu wsparcia ze strony Europolu</w:t>
      </w:r>
      <w:r w:rsidR="00FF009C" w:rsidRPr="00FF009C">
        <w:rPr>
          <w:noProof/>
        </w:rPr>
        <w:t xml:space="preserve"> w</w:t>
      </w:r>
      <w:r w:rsidR="00FF009C">
        <w:rPr>
          <w:noProof/>
        </w:rPr>
        <w:t> </w:t>
      </w:r>
      <w:r w:rsidR="00FF009C" w:rsidRPr="00FF009C">
        <w:rPr>
          <w:noProof/>
        </w:rPr>
        <w:t>zak</w:t>
      </w:r>
      <w:r w:rsidRPr="00FF009C">
        <w:rPr>
          <w:noProof/>
        </w:rPr>
        <w:t>resie zmieniających się zagrożeń bezpieczeństwa takich jak przemyt migrantów.</w:t>
      </w:r>
    </w:p>
    <w:p w14:paraId="44647B6E" w14:textId="7187073E" w:rsidR="0043039B" w:rsidRPr="00FF009C" w:rsidRDefault="0043039B" w:rsidP="005237B3">
      <w:pPr>
        <w:widowControl w:val="0"/>
        <w:autoSpaceDE w:val="0"/>
        <w:autoSpaceDN w:val="0"/>
        <w:adjustRightInd w:val="0"/>
        <w:spacing w:before="0"/>
        <w:rPr>
          <w:rFonts w:eastAsia="Times New Roman"/>
          <w:noProof/>
        </w:rPr>
      </w:pPr>
      <w:r w:rsidRPr="00FF009C">
        <w:rPr>
          <w:noProof/>
        </w:rPr>
        <w:t>Współpraca organów ścigania na szczeblu UE</w:t>
      </w:r>
      <w:r w:rsidR="00FF009C" w:rsidRPr="00FF009C">
        <w:rPr>
          <w:noProof/>
        </w:rPr>
        <w:t xml:space="preserve"> w</w:t>
      </w:r>
      <w:r w:rsidR="00FF009C">
        <w:rPr>
          <w:noProof/>
        </w:rPr>
        <w:t> </w:t>
      </w:r>
      <w:r w:rsidR="00FF009C" w:rsidRPr="00FF009C">
        <w:rPr>
          <w:noProof/>
        </w:rPr>
        <w:t>ram</w:t>
      </w:r>
      <w:r w:rsidRPr="00FF009C">
        <w:rPr>
          <w:noProof/>
        </w:rPr>
        <w:t>ach Europolu nie zastępuje poszczególnych krajowych strategii politycznych</w:t>
      </w:r>
      <w:r w:rsidR="00FF009C" w:rsidRPr="00FF009C">
        <w:rPr>
          <w:noProof/>
        </w:rPr>
        <w:t xml:space="preserve"> w</w:t>
      </w:r>
      <w:r w:rsidR="00FF009C">
        <w:rPr>
          <w:noProof/>
        </w:rPr>
        <w:t> </w:t>
      </w:r>
      <w:r w:rsidR="00FF009C" w:rsidRPr="00FF009C">
        <w:rPr>
          <w:noProof/>
        </w:rPr>
        <w:t>zak</w:t>
      </w:r>
      <w:r w:rsidRPr="00FF009C">
        <w:rPr>
          <w:noProof/>
        </w:rPr>
        <w:t>resie bezpieczeństwa wewnętrznego ani pracy krajowych organów ścigania. To wsparcie na szczeblu UE nie wpływa na różnice</w:t>
      </w:r>
      <w:r w:rsidR="00FF009C" w:rsidRPr="00FF009C">
        <w:rPr>
          <w:noProof/>
        </w:rPr>
        <w:t xml:space="preserve"> w</w:t>
      </w:r>
      <w:r w:rsidR="00FF009C">
        <w:rPr>
          <w:noProof/>
        </w:rPr>
        <w:t> </w:t>
      </w:r>
      <w:r w:rsidR="00FF009C" w:rsidRPr="00FF009C">
        <w:rPr>
          <w:noProof/>
        </w:rPr>
        <w:t>zak</w:t>
      </w:r>
      <w:r w:rsidRPr="00FF009C">
        <w:rPr>
          <w:noProof/>
        </w:rPr>
        <w:t>resie systemów prawnych</w:t>
      </w:r>
      <w:r w:rsidR="00FF009C" w:rsidRPr="00FF009C">
        <w:rPr>
          <w:noProof/>
        </w:rPr>
        <w:t xml:space="preserve"> i</w:t>
      </w:r>
      <w:r w:rsidR="00FF009C">
        <w:rPr>
          <w:noProof/>
        </w:rPr>
        <w:t> </w:t>
      </w:r>
      <w:r w:rsidR="00FF009C" w:rsidRPr="00FF009C">
        <w:rPr>
          <w:noProof/>
        </w:rPr>
        <w:t>tra</w:t>
      </w:r>
      <w:r w:rsidRPr="00FF009C">
        <w:rPr>
          <w:noProof/>
        </w:rPr>
        <w:t>dycji państw członkowskich uznanych</w:t>
      </w:r>
      <w:r w:rsidR="00FF009C" w:rsidRPr="00FF009C">
        <w:rPr>
          <w:noProof/>
        </w:rPr>
        <w:t xml:space="preserve"> w</w:t>
      </w:r>
      <w:r w:rsidR="00FF009C">
        <w:rPr>
          <w:noProof/>
        </w:rPr>
        <w:t> </w:t>
      </w:r>
      <w:r w:rsidR="00FF009C" w:rsidRPr="00FF009C">
        <w:rPr>
          <w:noProof/>
        </w:rPr>
        <w:t>Tra</w:t>
      </w:r>
      <w:r w:rsidRPr="00FF009C">
        <w:rPr>
          <w:noProof/>
        </w:rPr>
        <w:t>ktatach</w:t>
      </w:r>
      <w:r w:rsidRPr="00FF009C">
        <w:rPr>
          <w:rStyle w:val="FootnoteReference0"/>
          <w:rFonts w:eastAsia="Times New Roman"/>
          <w:noProof/>
        </w:rPr>
        <w:footnoteReference w:id="15"/>
      </w:r>
      <w:r w:rsidRPr="00FF009C">
        <w:rPr>
          <w:noProof/>
        </w:rPr>
        <w:t>.</w:t>
      </w:r>
    </w:p>
    <w:p w14:paraId="5DE00AB8" w14:textId="77777777" w:rsidR="0043039B" w:rsidRPr="00FF009C" w:rsidRDefault="0043039B" w:rsidP="00977077">
      <w:pPr>
        <w:widowControl w:val="0"/>
        <w:autoSpaceDE w:val="0"/>
        <w:autoSpaceDN w:val="0"/>
        <w:adjustRightInd w:val="0"/>
        <w:spacing w:before="0"/>
        <w:rPr>
          <w:rFonts w:eastAsia="Times New Roman"/>
          <w:b/>
          <w:bCs/>
          <w:noProof/>
        </w:rPr>
      </w:pPr>
      <w:r w:rsidRPr="00FF009C">
        <w:rPr>
          <w:b/>
          <w:noProof/>
        </w:rPr>
        <w:t>•</w:t>
      </w:r>
      <w:r w:rsidRPr="00FF009C">
        <w:rPr>
          <w:noProof/>
        </w:rPr>
        <w:tab/>
      </w:r>
      <w:r w:rsidRPr="00FF009C">
        <w:rPr>
          <w:b/>
          <w:noProof/>
        </w:rPr>
        <w:t>Wybór instrumentu</w:t>
      </w:r>
    </w:p>
    <w:p w14:paraId="770813ED" w14:textId="3435B8CC" w:rsidR="0043039B" w:rsidRPr="00FF009C" w:rsidRDefault="00DB7E6A" w:rsidP="00977077">
      <w:pPr>
        <w:widowControl w:val="0"/>
        <w:autoSpaceDE w:val="0"/>
        <w:autoSpaceDN w:val="0"/>
        <w:adjustRightInd w:val="0"/>
        <w:spacing w:before="0"/>
        <w:rPr>
          <w:rFonts w:eastAsia="Times New Roman"/>
          <w:i/>
          <w:iCs/>
          <w:noProof/>
        </w:rPr>
      </w:pPr>
      <w:r w:rsidRPr="00FF009C">
        <w:rPr>
          <w:noProof/>
          <w:shd w:val="clear" w:color="auto" w:fill="FFFFFF"/>
        </w:rPr>
        <w:t>Na podstawie art.</w:t>
      </w:r>
      <w:r w:rsidR="00FF009C" w:rsidRPr="00FF009C">
        <w:rPr>
          <w:noProof/>
          <w:shd w:val="clear" w:color="auto" w:fill="FFFFFF"/>
        </w:rPr>
        <w:t> </w:t>
      </w:r>
      <w:r w:rsidRPr="00FF009C">
        <w:rPr>
          <w:noProof/>
          <w:shd w:val="clear" w:color="auto" w:fill="FFFFFF"/>
        </w:rPr>
        <w:t>88 ust.</w:t>
      </w:r>
      <w:r w:rsidR="00FF009C" w:rsidRPr="00FF009C">
        <w:rPr>
          <w:noProof/>
          <w:shd w:val="clear" w:color="auto" w:fill="FFFFFF"/>
        </w:rPr>
        <w:t> </w:t>
      </w:r>
      <w:r w:rsidRPr="00FF009C">
        <w:rPr>
          <w:noProof/>
          <w:shd w:val="clear" w:color="auto" w:fill="FFFFFF"/>
        </w:rPr>
        <w:t>2 Traktatu</w:t>
      </w:r>
      <w:r w:rsidR="00FF009C" w:rsidRPr="00FF009C">
        <w:rPr>
          <w:noProof/>
          <w:shd w:val="clear" w:color="auto" w:fill="FFFFFF"/>
        </w:rPr>
        <w:t xml:space="preserve"> o</w:t>
      </w:r>
      <w:r w:rsidR="00FF009C">
        <w:rPr>
          <w:noProof/>
          <w:shd w:val="clear" w:color="auto" w:fill="FFFFFF"/>
        </w:rPr>
        <w:t> </w:t>
      </w:r>
      <w:r w:rsidR="00FF009C" w:rsidRPr="00FF009C">
        <w:rPr>
          <w:noProof/>
          <w:shd w:val="clear" w:color="auto" w:fill="FFFFFF"/>
        </w:rPr>
        <w:t>fun</w:t>
      </w:r>
      <w:r w:rsidRPr="00FF009C">
        <w:rPr>
          <w:noProof/>
          <w:shd w:val="clear" w:color="auto" w:fill="FFFFFF"/>
        </w:rPr>
        <w:t>kcjonowaniu Unii Europejskiej</w:t>
      </w:r>
      <w:r w:rsidR="00FF009C" w:rsidRPr="00FF009C">
        <w:rPr>
          <w:noProof/>
          <w:shd w:val="clear" w:color="auto" w:fill="FFFFFF"/>
        </w:rPr>
        <w:t xml:space="preserve"> i</w:t>
      </w:r>
      <w:r w:rsidR="00FF009C">
        <w:rPr>
          <w:noProof/>
          <w:shd w:val="clear" w:color="auto" w:fill="FFFFFF"/>
        </w:rPr>
        <w:t> </w:t>
      </w:r>
      <w:r w:rsidR="00FF009C" w:rsidRPr="00FF009C">
        <w:rPr>
          <w:noProof/>
          <w:shd w:val="clear" w:color="auto" w:fill="FFFFFF"/>
        </w:rPr>
        <w:t>bio</w:t>
      </w:r>
      <w:r w:rsidRPr="00FF009C">
        <w:rPr>
          <w:noProof/>
          <w:shd w:val="clear" w:color="auto" w:fill="FFFFFF"/>
        </w:rPr>
        <w:t>rąc pod uwagę, że zakres działania Europolu określono</w:t>
      </w:r>
      <w:r w:rsidR="00FF009C" w:rsidRPr="00FF009C">
        <w:rPr>
          <w:noProof/>
          <w:shd w:val="clear" w:color="auto" w:fill="FFFFFF"/>
        </w:rPr>
        <w:t xml:space="preserve"> w</w:t>
      </w:r>
      <w:r w:rsidR="00FF009C">
        <w:rPr>
          <w:noProof/>
          <w:shd w:val="clear" w:color="auto" w:fill="FFFFFF"/>
        </w:rPr>
        <w:t> </w:t>
      </w:r>
      <w:r w:rsidR="00FF009C" w:rsidRPr="00FF009C">
        <w:rPr>
          <w:noProof/>
          <w:shd w:val="clear" w:color="auto" w:fill="FFFFFF"/>
        </w:rPr>
        <w:t>roz</w:t>
      </w:r>
      <w:r w:rsidRPr="00FF009C">
        <w:rPr>
          <w:noProof/>
          <w:shd w:val="clear" w:color="auto" w:fill="FFFFFF"/>
        </w:rPr>
        <w:t>porządzeniu (UE) 2016/794, wzmocnienia zakresu działania Europolu – stanowiącego element niniejszego wniosku – należy dokonać</w:t>
      </w:r>
      <w:r w:rsidR="00FF009C" w:rsidRPr="00FF009C">
        <w:rPr>
          <w:noProof/>
          <w:shd w:val="clear" w:color="auto" w:fill="FFFFFF"/>
        </w:rPr>
        <w:t xml:space="preserve"> w</w:t>
      </w:r>
      <w:r w:rsidR="00FF009C">
        <w:rPr>
          <w:noProof/>
          <w:shd w:val="clear" w:color="auto" w:fill="FFFFFF"/>
        </w:rPr>
        <w:t> </w:t>
      </w:r>
      <w:r w:rsidR="00FF009C" w:rsidRPr="00FF009C">
        <w:rPr>
          <w:noProof/>
          <w:shd w:val="clear" w:color="auto" w:fill="FFFFFF"/>
        </w:rPr>
        <w:t>dro</w:t>
      </w:r>
      <w:r w:rsidRPr="00FF009C">
        <w:rPr>
          <w:noProof/>
          <w:shd w:val="clear" w:color="auto" w:fill="FFFFFF"/>
        </w:rPr>
        <w:t>dze rozporządzenia.</w:t>
      </w:r>
      <w:r w:rsidRPr="00FF009C">
        <w:rPr>
          <w:i/>
          <w:noProof/>
        </w:rPr>
        <w:t xml:space="preserve"> </w:t>
      </w:r>
    </w:p>
    <w:p w14:paraId="0BF15832" w14:textId="77777777" w:rsidR="0043039B" w:rsidRPr="00FF009C" w:rsidRDefault="0043039B" w:rsidP="00977077">
      <w:pPr>
        <w:widowControl w:val="0"/>
        <w:autoSpaceDE w:val="0"/>
        <w:autoSpaceDN w:val="0"/>
        <w:adjustRightInd w:val="0"/>
        <w:spacing w:before="0"/>
        <w:ind w:left="720" w:hanging="720"/>
        <w:rPr>
          <w:rFonts w:eastAsia="Times New Roman"/>
          <w:i/>
          <w:iCs/>
          <w:noProof/>
        </w:rPr>
      </w:pPr>
      <w:r w:rsidRPr="00FF009C">
        <w:rPr>
          <w:b/>
          <w:noProof/>
        </w:rPr>
        <w:t>3.</w:t>
      </w:r>
      <w:r w:rsidRPr="00FF009C">
        <w:rPr>
          <w:noProof/>
        </w:rPr>
        <w:tab/>
      </w:r>
      <w:r w:rsidRPr="00FF009C">
        <w:rPr>
          <w:b/>
          <w:noProof/>
        </w:rPr>
        <w:t xml:space="preserve">WYNIKI OCEN </w:t>
      </w:r>
      <w:r w:rsidRPr="00FF009C">
        <w:rPr>
          <w:b/>
          <w:i/>
          <w:iCs/>
          <w:noProof/>
        </w:rPr>
        <w:t>EX POST</w:t>
      </w:r>
      <w:r w:rsidRPr="00FF009C">
        <w:rPr>
          <w:b/>
          <w:noProof/>
        </w:rPr>
        <w:t>, KONSULTACJI Z ZAINTERESOWANYMI STRONAMI I OCEN SKUTKÓW</w:t>
      </w:r>
    </w:p>
    <w:p w14:paraId="44D13B9F" w14:textId="3945DA55" w:rsidR="0043039B" w:rsidRPr="00FF009C" w:rsidRDefault="0043039B" w:rsidP="00977077">
      <w:pPr>
        <w:widowControl w:val="0"/>
        <w:autoSpaceDE w:val="0"/>
        <w:autoSpaceDN w:val="0"/>
        <w:adjustRightInd w:val="0"/>
        <w:spacing w:before="0"/>
        <w:rPr>
          <w:rFonts w:eastAsia="Times New Roman"/>
          <w:b/>
          <w:bCs/>
          <w:noProof/>
        </w:rPr>
      </w:pPr>
      <w:r w:rsidRPr="00FF009C">
        <w:rPr>
          <w:b/>
          <w:noProof/>
        </w:rPr>
        <w:t>•</w:t>
      </w:r>
      <w:r w:rsidRPr="00FF009C">
        <w:rPr>
          <w:noProof/>
        </w:rPr>
        <w:tab/>
      </w:r>
      <w:r w:rsidRPr="00FF009C">
        <w:rPr>
          <w:b/>
          <w:noProof/>
        </w:rPr>
        <w:t>Konsultacje</w:t>
      </w:r>
      <w:r w:rsidR="00FF009C" w:rsidRPr="00FF009C">
        <w:rPr>
          <w:b/>
          <w:noProof/>
        </w:rPr>
        <w:t xml:space="preserve"> z</w:t>
      </w:r>
      <w:r w:rsidR="00FF009C">
        <w:rPr>
          <w:b/>
          <w:noProof/>
        </w:rPr>
        <w:t> </w:t>
      </w:r>
      <w:r w:rsidR="00FF009C" w:rsidRPr="00FF009C">
        <w:rPr>
          <w:b/>
          <w:noProof/>
        </w:rPr>
        <w:t>zai</w:t>
      </w:r>
      <w:r w:rsidRPr="00FF009C">
        <w:rPr>
          <w:b/>
          <w:noProof/>
        </w:rPr>
        <w:t>nteresowanymi stronami</w:t>
      </w:r>
    </w:p>
    <w:p w14:paraId="29E92B37" w14:textId="03358CEA" w:rsidR="0043039B" w:rsidRPr="00FF009C" w:rsidRDefault="0043039B" w:rsidP="001803FF">
      <w:pPr>
        <w:spacing w:before="0"/>
        <w:rPr>
          <w:noProof/>
        </w:rPr>
      </w:pPr>
      <w:r w:rsidRPr="00FF009C">
        <w:rPr>
          <w:noProof/>
        </w:rPr>
        <w:t>Przemyt migrantów stanowi wyzwanie dla organów ścigania,</w:t>
      </w:r>
      <w:r w:rsidR="00FF009C" w:rsidRPr="00FF009C">
        <w:rPr>
          <w:noProof/>
        </w:rPr>
        <w:t xml:space="preserve"> w</w:t>
      </w:r>
      <w:r w:rsidR="00FF009C">
        <w:rPr>
          <w:noProof/>
        </w:rPr>
        <w:t> </w:t>
      </w:r>
      <w:r w:rsidR="00FF009C" w:rsidRPr="00FF009C">
        <w:rPr>
          <w:noProof/>
        </w:rPr>
        <w:t>szc</w:t>
      </w:r>
      <w:r w:rsidRPr="00FF009C">
        <w:rPr>
          <w:noProof/>
        </w:rPr>
        <w:t>zególności ze względu na sprawność</w:t>
      </w:r>
      <w:r w:rsidR="00FF009C" w:rsidRPr="00FF009C">
        <w:rPr>
          <w:noProof/>
        </w:rPr>
        <w:t xml:space="preserve"> i</w:t>
      </w:r>
      <w:r w:rsidR="00FF009C">
        <w:rPr>
          <w:noProof/>
        </w:rPr>
        <w:t> </w:t>
      </w:r>
      <w:r w:rsidR="00FF009C" w:rsidRPr="00FF009C">
        <w:rPr>
          <w:noProof/>
        </w:rPr>
        <w:t>zło</w:t>
      </w:r>
      <w:r w:rsidRPr="00FF009C">
        <w:rPr>
          <w:noProof/>
        </w:rPr>
        <w:t>żoność zaangażowanych siatek przestępczych oraz ich zdolność do przystosowania się do zmian dynamiki migracji nieuregulowanej i do reakcji organów ścigania. Europol</w:t>
      </w:r>
      <w:r w:rsidR="00FF009C" w:rsidRPr="00FF009C">
        <w:rPr>
          <w:noProof/>
        </w:rPr>
        <w:t xml:space="preserve"> i</w:t>
      </w:r>
      <w:r w:rsidR="00FF009C">
        <w:rPr>
          <w:noProof/>
        </w:rPr>
        <w:t> </w:t>
      </w:r>
      <w:r w:rsidR="00FF009C" w:rsidRPr="00FF009C">
        <w:rPr>
          <w:noProof/>
        </w:rPr>
        <w:t>pań</w:t>
      </w:r>
      <w:r w:rsidRPr="00FF009C">
        <w:rPr>
          <w:noProof/>
        </w:rPr>
        <w:t xml:space="preserve">stwa członkowskie trafnie zidentyfikowały oraz omówiły te </w:t>
      </w:r>
      <w:r w:rsidR="00E50957" w:rsidRPr="00FF009C">
        <w:rPr>
          <w:noProof/>
        </w:rPr>
        <w:t>wyzwania na</w:t>
      </w:r>
      <w:r w:rsidRPr="00FF009C">
        <w:rPr>
          <w:noProof/>
        </w:rPr>
        <w:t xml:space="preserve"> posiedzeniach Rady ds. Wymiaru Sprawiedliwości</w:t>
      </w:r>
      <w:r w:rsidR="00FF009C" w:rsidRPr="00FF009C">
        <w:rPr>
          <w:noProof/>
        </w:rPr>
        <w:t xml:space="preserve"> i</w:t>
      </w:r>
      <w:r w:rsidR="00FF009C">
        <w:rPr>
          <w:noProof/>
        </w:rPr>
        <w:t> </w:t>
      </w:r>
      <w:r w:rsidR="00FF009C" w:rsidRPr="00FF009C">
        <w:rPr>
          <w:noProof/>
        </w:rPr>
        <w:t>Spr</w:t>
      </w:r>
      <w:r w:rsidRPr="00FF009C">
        <w:rPr>
          <w:noProof/>
        </w:rPr>
        <w:t>aw Wewnętrznych oraz Rady Europejskiej. Rola Europolu</w:t>
      </w:r>
      <w:r w:rsidR="00FF009C" w:rsidRPr="00FF009C">
        <w:rPr>
          <w:noProof/>
        </w:rPr>
        <w:t xml:space="preserve"> w</w:t>
      </w:r>
      <w:r w:rsidR="00FF009C">
        <w:rPr>
          <w:noProof/>
        </w:rPr>
        <w:t> </w:t>
      </w:r>
      <w:r w:rsidR="00FF009C" w:rsidRPr="00FF009C">
        <w:rPr>
          <w:noProof/>
        </w:rPr>
        <w:t>prz</w:t>
      </w:r>
      <w:r w:rsidRPr="00FF009C">
        <w:rPr>
          <w:noProof/>
        </w:rPr>
        <w:t>eciwdziałaniu przemytowi migrantów została omawiana zarówno</w:t>
      </w:r>
      <w:r w:rsidR="00FF009C" w:rsidRPr="00FF009C">
        <w:rPr>
          <w:noProof/>
        </w:rPr>
        <w:t xml:space="preserve"> w</w:t>
      </w:r>
      <w:r w:rsidR="00FF009C">
        <w:rPr>
          <w:noProof/>
        </w:rPr>
        <w:t> </w:t>
      </w:r>
      <w:r w:rsidR="00FF009C" w:rsidRPr="00FF009C">
        <w:rPr>
          <w:noProof/>
        </w:rPr>
        <w:t>Rad</w:t>
      </w:r>
      <w:r w:rsidRPr="00FF009C">
        <w:rPr>
          <w:noProof/>
        </w:rPr>
        <w:t>zie, jak</w:t>
      </w:r>
      <w:r w:rsidR="00FF009C" w:rsidRPr="00FF009C">
        <w:rPr>
          <w:noProof/>
        </w:rPr>
        <w:t xml:space="preserve"> i</w:t>
      </w:r>
      <w:r w:rsidR="00FF009C">
        <w:rPr>
          <w:noProof/>
        </w:rPr>
        <w:t> </w:t>
      </w:r>
      <w:r w:rsidR="00FF009C" w:rsidRPr="00FF009C">
        <w:rPr>
          <w:noProof/>
        </w:rPr>
        <w:t>w</w:t>
      </w:r>
      <w:r w:rsidR="00FF009C">
        <w:rPr>
          <w:noProof/>
        </w:rPr>
        <w:t> </w:t>
      </w:r>
      <w:r w:rsidR="00FF009C" w:rsidRPr="00FF009C">
        <w:rPr>
          <w:noProof/>
        </w:rPr>
        <w:t>Eur</w:t>
      </w:r>
      <w:r w:rsidRPr="00FF009C">
        <w:rPr>
          <w:noProof/>
        </w:rPr>
        <w:t>opolu,</w:t>
      </w:r>
      <w:r w:rsidR="00FF009C" w:rsidRPr="00FF009C">
        <w:rPr>
          <w:noProof/>
        </w:rPr>
        <w:t xml:space="preserve"> w</w:t>
      </w:r>
      <w:r w:rsidR="00FF009C">
        <w:rPr>
          <w:noProof/>
        </w:rPr>
        <w:t> </w:t>
      </w:r>
      <w:r w:rsidR="00FF009C" w:rsidRPr="00FF009C">
        <w:rPr>
          <w:noProof/>
        </w:rPr>
        <w:t>tym</w:t>
      </w:r>
      <w:r w:rsidRPr="00FF009C">
        <w:rPr>
          <w:noProof/>
        </w:rPr>
        <w:t xml:space="preserve"> przez jego zarząd. Ponadto</w:t>
      </w:r>
      <w:r w:rsidR="00FF009C" w:rsidRPr="00FF009C">
        <w:rPr>
          <w:noProof/>
        </w:rPr>
        <w:t xml:space="preserve"> w</w:t>
      </w:r>
      <w:r w:rsidR="00FF009C">
        <w:rPr>
          <w:noProof/>
        </w:rPr>
        <w:t> </w:t>
      </w:r>
      <w:r w:rsidR="00FF009C" w:rsidRPr="00FF009C">
        <w:rPr>
          <w:noProof/>
        </w:rPr>
        <w:t>spr</w:t>
      </w:r>
      <w:r w:rsidRPr="00FF009C">
        <w:rPr>
          <w:noProof/>
        </w:rPr>
        <w:t>awozdaniu specjalnym Europejskiego Trybunału Obrachunkowego</w:t>
      </w:r>
      <w:r w:rsidR="00FF009C" w:rsidRPr="00FF009C">
        <w:rPr>
          <w:noProof/>
        </w:rPr>
        <w:t xml:space="preserve"> z</w:t>
      </w:r>
      <w:r w:rsidR="00FF009C">
        <w:rPr>
          <w:noProof/>
        </w:rPr>
        <w:t> </w:t>
      </w:r>
      <w:r w:rsidR="00FF009C" w:rsidRPr="00FF009C">
        <w:rPr>
          <w:noProof/>
        </w:rPr>
        <w:t>2</w:t>
      </w:r>
      <w:r w:rsidRPr="00FF009C">
        <w:rPr>
          <w:noProof/>
        </w:rPr>
        <w:t>021</w:t>
      </w:r>
      <w:r w:rsidR="00FF009C" w:rsidRPr="00FF009C">
        <w:rPr>
          <w:noProof/>
        </w:rPr>
        <w:t> </w:t>
      </w:r>
      <w:r w:rsidRPr="00FF009C">
        <w:rPr>
          <w:noProof/>
        </w:rPr>
        <w:t>r.</w:t>
      </w:r>
      <w:r w:rsidR="00FF009C" w:rsidRPr="00FF009C">
        <w:rPr>
          <w:noProof/>
        </w:rPr>
        <w:t xml:space="preserve"> w</w:t>
      </w:r>
      <w:r w:rsidR="00FF009C">
        <w:rPr>
          <w:noProof/>
        </w:rPr>
        <w:t> </w:t>
      </w:r>
      <w:r w:rsidR="00FF009C" w:rsidRPr="00FF009C">
        <w:rPr>
          <w:noProof/>
        </w:rPr>
        <w:t>spr</w:t>
      </w:r>
      <w:r w:rsidRPr="00FF009C">
        <w:rPr>
          <w:noProof/>
        </w:rPr>
        <w:t>awie wsparcia udzielanego przez Europol</w:t>
      </w:r>
      <w:r w:rsidR="00FF009C" w:rsidRPr="00FF009C">
        <w:rPr>
          <w:noProof/>
        </w:rPr>
        <w:t xml:space="preserve"> w</w:t>
      </w:r>
      <w:r w:rsidR="00FF009C">
        <w:rPr>
          <w:noProof/>
        </w:rPr>
        <w:t> </w:t>
      </w:r>
      <w:r w:rsidR="00FF009C" w:rsidRPr="00FF009C">
        <w:rPr>
          <w:noProof/>
        </w:rPr>
        <w:t>zwa</w:t>
      </w:r>
      <w:r w:rsidRPr="00FF009C">
        <w:rPr>
          <w:noProof/>
        </w:rPr>
        <w:t>lczaniu przemytu migrantów wskazano na potrzebę wzmocnienia roli Europolu</w:t>
      </w:r>
      <w:r w:rsidR="00FF009C" w:rsidRPr="00FF009C">
        <w:rPr>
          <w:noProof/>
        </w:rPr>
        <w:t xml:space="preserve"> w</w:t>
      </w:r>
      <w:r w:rsidR="00FF009C">
        <w:rPr>
          <w:noProof/>
        </w:rPr>
        <w:t> </w:t>
      </w:r>
      <w:r w:rsidR="00FF009C" w:rsidRPr="00FF009C">
        <w:rPr>
          <w:noProof/>
        </w:rPr>
        <w:t>zwa</w:t>
      </w:r>
      <w:r w:rsidRPr="00FF009C">
        <w:rPr>
          <w:noProof/>
        </w:rPr>
        <w:t>lczaniu przemytu migrantów,</w:t>
      </w:r>
      <w:r w:rsidR="00FF009C" w:rsidRPr="00FF009C">
        <w:rPr>
          <w:noProof/>
        </w:rPr>
        <w:t xml:space="preserve"> w</w:t>
      </w:r>
      <w:r w:rsidR="00FF009C">
        <w:rPr>
          <w:noProof/>
        </w:rPr>
        <w:t> </w:t>
      </w:r>
      <w:r w:rsidR="00FF009C" w:rsidRPr="00FF009C">
        <w:rPr>
          <w:noProof/>
        </w:rPr>
        <w:t>szc</w:t>
      </w:r>
      <w:r w:rsidRPr="00FF009C">
        <w:rPr>
          <w:noProof/>
        </w:rPr>
        <w:t>zególności na potrzebę umożliwienia Europolowi korzystania ze wszystkich istotnych zewnętrznych źródeł informacji,</w:t>
      </w:r>
      <w:r w:rsidR="00FF009C" w:rsidRPr="00FF009C">
        <w:rPr>
          <w:noProof/>
        </w:rPr>
        <w:t xml:space="preserve"> w</w:t>
      </w:r>
      <w:r w:rsidR="00FF009C">
        <w:rPr>
          <w:noProof/>
        </w:rPr>
        <w:t> </w:t>
      </w:r>
      <w:r w:rsidR="00FF009C" w:rsidRPr="00FF009C">
        <w:rPr>
          <w:noProof/>
        </w:rPr>
        <w:t>tym</w:t>
      </w:r>
      <w:r w:rsidRPr="00FF009C">
        <w:rPr>
          <w:noProof/>
        </w:rPr>
        <w:t xml:space="preserve"> danych biometrycznych, oraz usprawnienia procesu wymiany danych</w:t>
      </w:r>
      <w:r w:rsidR="00FF009C" w:rsidRPr="00FF009C">
        <w:rPr>
          <w:noProof/>
        </w:rPr>
        <w:t xml:space="preserve"> z</w:t>
      </w:r>
      <w:r w:rsidR="00FF009C">
        <w:rPr>
          <w:noProof/>
        </w:rPr>
        <w:t> </w:t>
      </w:r>
      <w:r w:rsidR="00FF009C" w:rsidRPr="00FF009C">
        <w:rPr>
          <w:noProof/>
        </w:rPr>
        <w:t>par</w:t>
      </w:r>
      <w:r w:rsidRPr="00FF009C">
        <w:rPr>
          <w:noProof/>
        </w:rPr>
        <w:t>tnerami</w:t>
      </w:r>
      <w:r w:rsidRPr="00FF009C">
        <w:rPr>
          <w:rStyle w:val="FootnoteReference0"/>
          <w:noProof/>
        </w:rPr>
        <w:footnoteReference w:id="16"/>
      </w:r>
      <w:r w:rsidRPr="00FF009C">
        <w:rPr>
          <w:noProof/>
        </w:rPr>
        <w:t xml:space="preserve">. </w:t>
      </w:r>
    </w:p>
    <w:p w14:paraId="712B9865" w14:textId="54E244F0" w:rsidR="006F094C" w:rsidRPr="00FF009C" w:rsidRDefault="0043039B" w:rsidP="001803FF">
      <w:pPr>
        <w:spacing w:before="0"/>
        <w:rPr>
          <w:noProof/>
        </w:rPr>
      </w:pPr>
      <w:r w:rsidRPr="00FF009C">
        <w:rPr>
          <w:noProof/>
        </w:rPr>
        <w:t>Służby Komisji zebrały ponadto niezbędne uwagi</w:t>
      </w:r>
      <w:r w:rsidR="00FF009C" w:rsidRPr="00FF009C">
        <w:rPr>
          <w:noProof/>
        </w:rPr>
        <w:t xml:space="preserve"> i</w:t>
      </w:r>
      <w:r w:rsidR="00FF009C">
        <w:rPr>
          <w:noProof/>
        </w:rPr>
        <w:t> </w:t>
      </w:r>
      <w:r w:rsidR="00FF009C" w:rsidRPr="00FF009C">
        <w:rPr>
          <w:noProof/>
        </w:rPr>
        <w:t>opi</w:t>
      </w:r>
      <w:r w:rsidRPr="00FF009C">
        <w:rPr>
          <w:noProof/>
        </w:rPr>
        <w:t>nie na temat przydatności, skuteczności, wydajności, spójności oraz europejskiej wartości dodanej tej inicjatywy ustawodawczej za pomocą kwestionariusza rozesłanego do państw członkowskich</w:t>
      </w:r>
      <w:r w:rsidR="00FF009C" w:rsidRPr="00FF009C">
        <w:rPr>
          <w:noProof/>
        </w:rPr>
        <w:t xml:space="preserve"> w</w:t>
      </w:r>
      <w:r w:rsidR="00FF009C">
        <w:rPr>
          <w:noProof/>
        </w:rPr>
        <w:t> </w:t>
      </w:r>
      <w:r w:rsidR="00FF009C" w:rsidRPr="00FF009C">
        <w:rPr>
          <w:noProof/>
        </w:rPr>
        <w:t>cel</w:t>
      </w:r>
      <w:r w:rsidRPr="00FF009C">
        <w:rPr>
          <w:noProof/>
        </w:rPr>
        <w:t>u określenia potrzeb operacyjnych</w:t>
      </w:r>
      <w:r w:rsidR="00FF009C" w:rsidRPr="00FF009C">
        <w:rPr>
          <w:noProof/>
        </w:rPr>
        <w:t xml:space="preserve"> i</w:t>
      </w:r>
      <w:r w:rsidR="00FF009C">
        <w:rPr>
          <w:noProof/>
        </w:rPr>
        <w:t> </w:t>
      </w:r>
      <w:r w:rsidR="00FF009C" w:rsidRPr="00FF009C">
        <w:rPr>
          <w:noProof/>
        </w:rPr>
        <w:t>luk w</w:t>
      </w:r>
      <w:r w:rsidR="00FF009C">
        <w:rPr>
          <w:noProof/>
        </w:rPr>
        <w:t> </w:t>
      </w:r>
      <w:r w:rsidR="00FF009C" w:rsidRPr="00FF009C">
        <w:rPr>
          <w:noProof/>
        </w:rPr>
        <w:t>zak</w:t>
      </w:r>
      <w:r w:rsidRPr="00FF009C">
        <w:rPr>
          <w:noProof/>
        </w:rPr>
        <w:t>resie wsparcia udzielanego przez Europol</w:t>
      </w:r>
      <w:r w:rsidR="00FF009C" w:rsidRPr="00FF009C">
        <w:rPr>
          <w:noProof/>
        </w:rPr>
        <w:t xml:space="preserve"> w</w:t>
      </w:r>
      <w:r w:rsidR="00FF009C">
        <w:rPr>
          <w:noProof/>
        </w:rPr>
        <w:t> </w:t>
      </w:r>
      <w:r w:rsidR="00FF009C" w:rsidRPr="00FF009C">
        <w:rPr>
          <w:noProof/>
        </w:rPr>
        <w:t>zwa</w:t>
      </w:r>
      <w:r w:rsidRPr="00FF009C">
        <w:rPr>
          <w:noProof/>
        </w:rPr>
        <w:t>lczaniu przemytu migrantów,</w:t>
      </w:r>
      <w:r w:rsidR="00FF009C" w:rsidRPr="00FF009C">
        <w:rPr>
          <w:noProof/>
        </w:rPr>
        <w:t xml:space="preserve"> a</w:t>
      </w:r>
      <w:r w:rsidR="00FF009C">
        <w:rPr>
          <w:noProof/>
        </w:rPr>
        <w:t> </w:t>
      </w:r>
      <w:r w:rsidR="00FF009C" w:rsidRPr="00FF009C">
        <w:rPr>
          <w:noProof/>
        </w:rPr>
        <w:t>tak</w:t>
      </w:r>
      <w:r w:rsidRPr="00FF009C">
        <w:rPr>
          <w:noProof/>
        </w:rPr>
        <w:t>że innych potrzeb</w:t>
      </w:r>
      <w:r w:rsidR="00FF009C" w:rsidRPr="00FF009C">
        <w:rPr>
          <w:noProof/>
        </w:rPr>
        <w:t xml:space="preserve"> i</w:t>
      </w:r>
      <w:r w:rsidR="00FF009C">
        <w:rPr>
          <w:noProof/>
        </w:rPr>
        <w:t> </w:t>
      </w:r>
      <w:r w:rsidR="00FF009C" w:rsidRPr="00FF009C">
        <w:rPr>
          <w:noProof/>
        </w:rPr>
        <w:t>moż</w:t>
      </w:r>
      <w:r w:rsidRPr="00FF009C">
        <w:rPr>
          <w:noProof/>
        </w:rPr>
        <w:t>liwości</w:t>
      </w:r>
      <w:r w:rsidR="00FF009C" w:rsidRPr="00FF009C">
        <w:rPr>
          <w:noProof/>
        </w:rPr>
        <w:t xml:space="preserve"> w</w:t>
      </w:r>
      <w:r w:rsidR="00FF009C">
        <w:rPr>
          <w:noProof/>
        </w:rPr>
        <w:t> </w:t>
      </w:r>
      <w:r w:rsidR="00FF009C" w:rsidRPr="00FF009C">
        <w:rPr>
          <w:noProof/>
        </w:rPr>
        <w:t>zak</w:t>
      </w:r>
      <w:r w:rsidRPr="00FF009C">
        <w:rPr>
          <w:noProof/>
        </w:rPr>
        <w:t>resie wzmocnienia zakresu działania Europolu. Po dyskusji na forum Grupy Roboczej ds. Egzekwowania Prawa służby Komisji skonsultowały się ponadto</w:t>
      </w:r>
      <w:r w:rsidR="00FF009C" w:rsidRPr="00FF009C">
        <w:rPr>
          <w:noProof/>
        </w:rPr>
        <w:t xml:space="preserve"> z</w:t>
      </w:r>
      <w:r w:rsidR="00FF009C">
        <w:rPr>
          <w:noProof/>
        </w:rPr>
        <w:t> </w:t>
      </w:r>
      <w:r w:rsidR="00FF009C" w:rsidRPr="00FF009C">
        <w:rPr>
          <w:noProof/>
        </w:rPr>
        <w:t>pań</w:t>
      </w:r>
      <w:r w:rsidRPr="00FF009C">
        <w:rPr>
          <w:noProof/>
        </w:rPr>
        <w:t>stwami członkowskimi na szczeblu ekspertów</w:t>
      </w:r>
      <w:r w:rsidR="00FF009C" w:rsidRPr="00FF009C">
        <w:rPr>
          <w:noProof/>
        </w:rPr>
        <w:t xml:space="preserve"> w</w:t>
      </w:r>
      <w:r w:rsidR="00FF009C">
        <w:rPr>
          <w:noProof/>
        </w:rPr>
        <w:t> </w:t>
      </w:r>
      <w:r w:rsidR="00FF009C" w:rsidRPr="00FF009C">
        <w:rPr>
          <w:noProof/>
        </w:rPr>
        <w:t>ram</w:t>
      </w:r>
      <w:r w:rsidRPr="00FF009C">
        <w:rPr>
          <w:noProof/>
        </w:rPr>
        <w:t>ach specjalnych wirtualnych warsztatów, które odbyły się dnia 14 listopada 2023</w:t>
      </w:r>
      <w:r w:rsidR="00FF009C" w:rsidRPr="00FF009C">
        <w:rPr>
          <w:noProof/>
        </w:rPr>
        <w:t> </w:t>
      </w:r>
      <w:r w:rsidRPr="00FF009C">
        <w:rPr>
          <w:noProof/>
        </w:rPr>
        <w:t>r. Państwa członkowskie zasadniczo poparły wzmocnienie zakresu działania Europolu</w:t>
      </w:r>
      <w:r w:rsidR="00FF009C" w:rsidRPr="00FF009C">
        <w:rPr>
          <w:noProof/>
        </w:rPr>
        <w:t xml:space="preserve"> w</w:t>
      </w:r>
      <w:r w:rsidR="00FF009C">
        <w:rPr>
          <w:noProof/>
        </w:rPr>
        <w:t> </w:t>
      </w:r>
      <w:r w:rsidR="00FF009C" w:rsidRPr="00FF009C">
        <w:rPr>
          <w:noProof/>
        </w:rPr>
        <w:t>obs</w:t>
      </w:r>
      <w:r w:rsidRPr="00FF009C">
        <w:rPr>
          <w:noProof/>
        </w:rPr>
        <w:t>zarze zapobiegania przemytowi migrantów</w:t>
      </w:r>
      <w:r w:rsidR="00FF009C" w:rsidRPr="00FF009C">
        <w:rPr>
          <w:noProof/>
        </w:rPr>
        <w:t xml:space="preserve"> i</w:t>
      </w:r>
      <w:r w:rsidR="00FF009C">
        <w:rPr>
          <w:noProof/>
        </w:rPr>
        <w:t> </w:t>
      </w:r>
      <w:r w:rsidR="00FF009C" w:rsidRPr="00FF009C">
        <w:rPr>
          <w:noProof/>
        </w:rPr>
        <w:t>han</w:t>
      </w:r>
      <w:r w:rsidRPr="00FF009C">
        <w:rPr>
          <w:noProof/>
        </w:rPr>
        <w:t xml:space="preserve">dlu ludźmi oraz ich zwalczania. </w:t>
      </w:r>
    </w:p>
    <w:p w14:paraId="30825C78" w14:textId="66DA6E29" w:rsidR="001803FF" w:rsidRPr="00FF009C" w:rsidRDefault="00840B8B" w:rsidP="001803FF">
      <w:pPr>
        <w:spacing w:before="0"/>
        <w:rPr>
          <w:noProof/>
        </w:rPr>
      </w:pPr>
      <w:r w:rsidRPr="00FF009C">
        <w:rPr>
          <w:noProof/>
        </w:rPr>
        <w:t>W procesie konsultacji</w:t>
      </w:r>
      <w:r w:rsidR="00FF009C" w:rsidRPr="00FF009C">
        <w:rPr>
          <w:noProof/>
        </w:rPr>
        <w:t xml:space="preserve"> z</w:t>
      </w:r>
      <w:r w:rsidR="00FF009C">
        <w:rPr>
          <w:noProof/>
        </w:rPr>
        <w:t> </w:t>
      </w:r>
      <w:r w:rsidR="00FF009C" w:rsidRPr="00FF009C">
        <w:rPr>
          <w:noProof/>
        </w:rPr>
        <w:t>zai</w:t>
      </w:r>
      <w:r w:rsidRPr="00FF009C">
        <w:rPr>
          <w:noProof/>
        </w:rPr>
        <w:t>nteresowanymi stronami wskazano pięć obszarów,</w:t>
      </w:r>
      <w:r w:rsidR="00FF009C" w:rsidRPr="00FF009C">
        <w:rPr>
          <w:noProof/>
        </w:rPr>
        <w:t xml:space="preserve"> w</w:t>
      </w:r>
      <w:r w:rsidR="00FF009C">
        <w:rPr>
          <w:noProof/>
        </w:rPr>
        <w:t> </w:t>
      </w:r>
      <w:r w:rsidR="00FF009C" w:rsidRPr="00FF009C">
        <w:rPr>
          <w:noProof/>
        </w:rPr>
        <w:t>któ</w:t>
      </w:r>
      <w:r w:rsidRPr="00FF009C">
        <w:rPr>
          <w:noProof/>
        </w:rPr>
        <w:t>rych konieczne są działania na szczeblu UE,</w:t>
      </w:r>
      <w:r w:rsidR="00FF009C" w:rsidRPr="00FF009C">
        <w:rPr>
          <w:noProof/>
        </w:rPr>
        <w:t xml:space="preserve"> a</w:t>
      </w:r>
      <w:r w:rsidR="00FF009C">
        <w:rPr>
          <w:noProof/>
        </w:rPr>
        <w:t> </w:t>
      </w:r>
      <w:r w:rsidR="00FF009C" w:rsidRPr="00FF009C">
        <w:rPr>
          <w:noProof/>
        </w:rPr>
        <w:t>mia</w:t>
      </w:r>
      <w:r w:rsidRPr="00FF009C">
        <w:rPr>
          <w:noProof/>
        </w:rPr>
        <w:t>nowicie: a) współpraca międzyagencyjna</w:t>
      </w:r>
      <w:r w:rsidR="00FF009C" w:rsidRPr="00FF009C">
        <w:rPr>
          <w:noProof/>
        </w:rPr>
        <w:t xml:space="preserve"> w</w:t>
      </w:r>
      <w:r w:rsidR="00FF009C">
        <w:rPr>
          <w:noProof/>
        </w:rPr>
        <w:t> </w:t>
      </w:r>
      <w:r w:rsidR="00FF009C" w:rsidRPr="00FF009C">
        <w:rPr>
          <w:noProof/>
        </w:rPr>
        <w:t>zak</w:t>
      </w:r>
      <w:r w:rsidRPr="00FF009C">
        <w:rPr>
          <w:noProof/>
        </w:rPr>
        <w:t>resie przemytu migrantów, b) strategiczne kierowanie</w:t>
      </w:r>
      <w:r w:rsidR="00FF009C" w:rsidRPr="00FF009C">
        <w:rPr>
          <w:noProof/>
        </w:rPr>
        <w:t xml:space="preserve"> i</w:t>
      </w:r>
      <w:r w:rsidR="00FF009C">
        <w:rPr>
          <w:noProof/>
        </w:rPr>
        <w:t> </w:t>
      </w:r>
      <w:r w:rsidR="00FF009C" w:rsidRPr="00FF009C">
        <w:rPr>
          <w:noProof/>
        </w:rPr>
        <w:t>koo</w:t>
      </w:r>
      <w:r w:rsidRPr="00FF009C">
        <w:rPr>
          <w:noProof/>
        </w:rPr>
        <w:t>rdynacja</w:t>
      </w:r>
      <w:r w:rsidR="00FF009C" w:rsidRPr="00FF009C">
        <w:rPr>
          <w:noProof/>
        </w:rPr>
        <w:t xml:space="preserve"> w</w:t>
      </w:r>
      <w:r w:rsidR="00FF009C">
        <w:rPr>
          <w:noProof/>
        </w:rPr>
        <w:t> </w:t>
      </w:r>
      <w:r w:rsidR="00FF009C" w:rsidRPr="00FF009C">
        <w:rPr>
          <w:noProof/>
        </w:rPr>
        <w:t>zak</w:t>
      </w:r>
      <w:r w:rsidRPr="00FF009C">
        <w:rPr>
          <w:noProof/>
        </w:rPr>
        <w:t>resie przeciwdziałania przemytowi migrantów, c) wymiana informacji, d) struktury krajowe wyspecjalizowane</w:t>
      </w:r>
      <w:r w:rsidR="00FF009C" w:rsidRPr="00FF009C">
        <w:rPr>
          <w:noProof/>
        </w:rPr>
        <w:t xml:space="preserve"> w</w:t>
      </w:r>
      <w:r w:rsidR="00FF009C">
        <w:rPr>
          <w:noProof/>
        </w:rPr>
        <w:t> </w:t>
      </w:r>
      <w:r w:rsidR="00FF009C" w:rsidRPr="00FF009C">
        <w:rPr>
          <w:noProof/>
        </w:rPr>
        <w:t>zwa</w:t>
      </w:r>
      <w:r w:rsidRPr="00FF009C">
        <w:rPr>
          <w:noProof/>
        </w:rPr>
        <w:t>lczaniu przemytu migrantów oraz e) wsparcie operacyjne Europolu</w:t>
      </w:r>
      <w:r w:rsidR="00FF009C" w:rsidRPr="00FF009C">
        <w:rPr>
          <w:noProof/>
        </w:rPr>
        <w:t xml:space="preserve"> w</w:t>
      </w:r>
      <w:r w:rsidR="00FF009C">
        <w:rPr>
          <w:noProof/>
        </w:rPr>
        <w:t> </w:t>
      </w:r>
      <w:r w:rsidR="00FF009C" w:rsidRPr="00FF009C">
        <w:rPr>
          <w:noProof/>
        </w:rPr>
        <w:t>ter</w:t>
      </w:r>
      <w:r w:rsidRPr="00FF009C">
        <w:rPr>
          <w:noProof/>
        </w:rPr>
        <w:t>enie.</w:t>
      </w:r>
    </w:p>
    <w:p w14:paraId="14223227" w14:textId="77777777" w:rsidR="0043039B" w:rsidRPr="00FF009C" w:rsidRDefault="0043039B" w:rsidP="001803FF">
      <w:pPr>
        <w:spacing w:before="0"/>
        <w:rPr>
          <w:noProof/>
          <w:shd w:val="clear" w:color="auto" w:fill="FFFFFF"/>
        </w:rPr>
      </w:pPr>
      <w:r w:rsidRPr="00FF009C">
        <w:rPr>
          <w:noProof/>
        </w:rPr>
        <w:t>Wyniki konsultacji uwzględniono podczas całego procesu przygotowywania niniejszej inicjatywy ustawodawczej.</w:t>
      </w:r>
    </w:p>
    <w:p w14:paraId="7EEAAB60" w14:textId="77777777" w:rsidR="0043039B" w:rsidRPr="00FF009C" w:rsidRDefault="0043039B" w:rsidP="0043039B">
      <w:pPr>
        <w:widowControl w:val="0"/>
        <w:autoSpaceDE w:val="0"/>
        <w:autoSpaceDN w:val="0"/>
        <w:adjustRightInd w:val="0"/>
        <w:spacing w:before="0"/>
        <w:rPr>
          <w:noProof/>
          <w:sz w:val="27"/>
          <w:szCs w:val="27"/>
          <w:shd w:val="clear" w:color="auto" w:fill="FFFFFF"/>
        </w:rPr>
      </w:pPr>
      <w:r w:rsidRPr="00FF009C">
        <w:rPr>
          <w:noProof/>
          <w:sz w:val="27"/>
          <w:shd w:val="clear" w:color="auto" w:fill="FFFFFF"/>
        </w:rPr>
        <w:t>•</w:t>
      </w:r>
      <w:r w:rsidRPr="00FF009C">
        <w:rPr>
          <w:noProof/>
          <w:sz w:val="27"/>
          <w:shd w:val="clear" w:color="auto" w:fill="FFFFFF"/>
        </w:rPr>
        <w:tab/>
      </w:r>
      <w:r w:rsidRPr="00FF009C">
        <w:rPr>
          <w:b/>
          <w:noProof/>
        </w:rPr>
        <w:t>Ocena skutków</w:t>
      </w:r>
    </w:p>
    <w:p w14:paraId="0BBD7E56" w14:textId="56F34F14" w:rsidR="0043039B" w:rsidRPr="00FF009C" w:rsidRDefault="00C75B67" w:rsidP="00977077">
      <w:pPr>
        <w:widowControl w:val="0"/>
        <w:autoSpaceDE w:val="0"/>
        <w:autoSpaceDN w:val="0"/>
        <w:adjustRightInd w:val="0"/>
        <w:spacing w:before="0"/>
        <w:rPr>
          <w:rFonts w:eastAsia="Times New Roman"/>
          <w:i/>
          <w:iCs/>
          <w:noProof/>
        </w:rPr>
      </w:pPr>
      <w:r w:rsidRPr="00FF009C">
        <w:rPr>
          <w:noProof/>
        </w:rPr>
        <w:t>Niniejszy wniosek ustawodawczy nie jest poparty oceną skutków, ponieważ Komisja miała niewielki wybór lub nie miała żadnego wyboru,</w:t>
      </w:r>
      <w:r w:rsidR="00FF009C" w:rsidRPr="00FF009C">
        <w:rPr>
          <w:noProof/>
        </w:rPr>
        <w:t xml:space="preserve"> w</w:t>
      </w:r>
      <w:r w:rsidR="00FF009C">
        <w:rPr>
          <w:noProof/>
        </w:rPr>
        <w:t> </w:t>
      </w:r>
      <w:r w:rsidR="00FF009C" w:rsidRPr="00FF009C">
        <w:rPr>
          <w:noProof/>
        </w:rPr>
        <w:t>szc</w:t>
      </w:r>
      <w:r w:rsidRPr="00FF009C">
        <w:rPr>
          <w:noProof/>
        </w:rPr>
        <w:t>zególności ze względu na pilne potrzeby operacyjne</w:t>
      </w:r>
      <w:r w:rsidR="00FF009C" w:rsidRPr="00FF009C">
        <w:rPr>
          <w:noProof/>
        </w:rPr>
        <w:t xml:space="preserve"> w</w:t>
      </w:r>
      <w:r w:rsidR="00FF009C">
        <w:rPr>
          <w:noProof/>
        </w:rPr>
        <w:t> </w:t>
      </w:r>
      <w:r w:rsidR="00FF009C" w:rsidRPr="00FF009C">
        <w:rPr>
          <w:noProof/>
        </w:rPr>
        <w:t>zak</w:t>
      </w:r>
      <w:r w:rsidRPr="00FF009C">
        <w:rPr>
          <w:noProof/>
        </w:rPr>
        <w:t>resie poprawy wsparcia udzielanego przez Europol państwom członkowskim</w:t>
      </w:r>
      <w:r w:rsidR="00FF009C" w:rsidRPr="00FF009C">
        <w:rPr>
          <w:noProof/>
        </w:rPr>
        <w:t xml:space="preserve"> w</w:t>
      </w:r>
      <w:r w:rsidR="00FF009C">
        <w:rPr>
          <w:noProof/>
        </w:rPr>
        <w:t> </w:t>
      </w:r>
      <w:r w:rsidR="00FF009C" w:rsidRPr="00FF009C">
        <w:rPr>
          <w:noProof/>
        </w:rPr>
        <w:t>prz</w:t>
      </w:r>
      <w:r w:rsidRPr="00FF009C">
        <w:rPr>
          <w:noProof/>
        </w:rPr>
        <w:t>eciwdziałaniu przemytowi migrantów. Niniejszy wniosek opiera się jednak na dowodach zgromadzonych</w:t>
      </w:r>
      <w:r w:rsidR="00FF009C" w:rsidRPr="00FF009C">
        <w:rPr>
          <w:noProof/>
        </w:rPr>
        <w:t xml:space="preserve"> w</w:t>
      </w:r>
      <w:r w:rsidR="00FF009C">
        <w:rPr>
          <w:noProof/>
        </w:rPr>
        <w:t> </w:t>
      </w:r>
      <w:r w:rsidR="00FF009C" w:rsidRPr="00FF009C">
        <w:rPr>
          <w:noProof/>
        </w:rPr>
        <w:t>2</w:t>
      </w:r>
      <w:r w:rsidRPr="00FF009C">
        <w:rPr>
          <w:noProof/>
        </w:rPr>
        <w:t>021</w:t>
      </w:r>
      <w:r w:rsidR="00FF009C" w:rsidRPr="00FF009C">
        <w:rPr>
          <w:noProof/>
        </w:rPr>
        <w:t> </w:t>
      </w:r>
      <w:r w:rsidRPr="00FF009C">
        <w:rPr>
          <w:noProof/>
        </w:rPr>
        <w:t>r.</w:t>
      </w:r>
      <w:r w:rsidR="00FF009C" w:rsidRPr="00FF009C">
        <w:rPr>
          <w:noProof/>
        </w:rPr>
        <w:t xml:space="preserve"> w</w:t>
      </w:r>
      <w:r w:rsidR="00FF009C">
        <w:rPr>
          <w:noProof/>
        </w:rPr>
        <w:t> </w:t>
      </w:r>
      <w:r w:rsidR="00FF009C" w:rsidRPr="00FF009C">
        <w:rPr>
          <w:noProof/>
        </w:rPr>
        <w:t>spr</w:t>
      </w:r>
      <w:r w:rsidRPr="00FF009C">
        <w:rPr>
          <w:noProof/>
        </w:rPr>
        <w:t>awozdaniu specjalnym Europejskiego Trybunału Obrachunkowego na temat wsparcia Europolu</w:t>
      </w:r>
      <w:r w:rsidR="00FF009C" w:rsidRPr="00FF009C">
        <w:rPr>
          <w:noProof/>
        </w:rPr>
        <w:t xml:space="preserve"> w</w:t>
      </w:r>
      <w:r w:rsidR="00FF009C">
        <w:rPr>
          <w:noProof/>
        </w:rPr>
        <w:t> </w:t>
      </w:r>
      <w:r w:rsidR="00FF009C" w:rsidRPr="00FF009C">
        <w:rPr>
          <w:noProof/>
        </w:rPr>
        <w:t>zwa</w:t>
      </w:r>
      <w:r w:rsidRPr="00FF009C">
        <w:rPr>
          <w:noProof/>
        </w:rPr>
        <w:t>lczaniu przemytu migrantów oraz na informacjach zwrotnych otrzymanych podczas konsultacji</w:t>
      </w:r>
      <w:r w:rsidR="00FF009C" w:rsidRPr="00FF009C">
        <w:rPr>
          <w:noProof/>
        </w:rPr>
        <w:t xml:space="preserve"> z</w:t>
      </w:r>
      <w:r w:rsidR="00FF009C">
        <w:rPr>
          <w:noProof/>
        </w:rPr>
        <w:t> </w:t>
      </w:r>
      <w:r w:rsidR="00FF009C" w:rsidRPr="00FF009C">
        <w:rPr>
          <w:noProof/>
        </w:rPr>
        <w:t>zai</w:t>
      </w:r>
      <w:r w:rsidRPr="00FF009C">
        <w:rPr>
          <w:noProof/>
        </w:rPr>
        <w:t>nteresowanymi stronami.</w:t>
      </w:r>
    </w:p>
    <w:p w14:paraId="7FA4517A" w14:textId="77777777" w:rsidR="0043039B" w:rsidRPr="00FF009C" w:rsidRDefault="0043039B" w:rsidP="00977077">
      <w:pPr>
        <w:widowControl w:val="0"/>
        <w:autoSpaceDE w:val="0"/>
        <w:autoSpaceDN w:val="0"/>
        <w:adjustRightInd w:val="0"/>
        <w:spacing w:before="0"/>
        <w:rPr>
          <w:rFonts w:eastAsia="Times New Roman"/>
          <w:b/>
          <w:bCs/>
          <w:noProof/>
        </w:rPr>
      </w:pPr>
      <w:r w:rsidRPr="00FF009C">
        <w:rPr>
          <w:b/>
          <w:noProof/>
        </w:rPr>
        <w:t>•</w:t>
      </w:r>
      <w:r w:rsidRPr="00FF009C">
        <w:rPr>
          <w:noProof/>
        </w:rPr>
        <w:tab/>
      </w:r>
      <w:r w:rsidRPr="00FF009C">
        <w:rPr>
          <w:b/>
          <w:noProof/>
        </w:rPr>
        <w:t>Prawa podstawowe</w:t>
      </w:r>
    </w:p>
    <w:p w14:paraId="5DD6A3EA" w14:textId="0A757F7D" w:rsidR="0043039B" w:rsidRPr="00FF009C" w:rsidRDefault="0043039B" w:rsidP="0043039B">
      <w:pPr>
        <w:widowControl w:val="0"/>
        <w:autoSpaceDE w:val="0"/>
        <w:autoSpaceDN w:val="0"/>
        <w:adjustRightInd w:val="0"/>
        <w:spacing w:before="0"/>
        <w:rPr>
          <w:noProof/>
          <w:shd w:val="clear" w:color="auto" w:fill="FFFFFF"/>
        </w:rPr>
      </w:pPr>
      <w:r w:rsidRPr="00FF009C">
        <w:rPr>
          <w:noProof/>
        </w:rPr>
        <w:t>Przetwarzanie danych osobowych do celów ścigania przestępstw</w:t>
      </w:r>
      <w:r w:rsidR="00FF009C" w:rsidRPr="00FF009C">
        <w:rPr>
          <w:noProof/>
        </w:rPr>
        <w:t xml:space="preserve"> w</w:t>
      </w:r>
      <w:r w:rsidR="00FF009C">
        <w:rPr>
          <w:noProof/>
        </w:rPr>
        <w:t> </w:t>
      </w:r>
      <w:r w:rsidR="00FF009C" w:rsidRPr="00FF009C">
        <w:rPr>
          <w:noProof/>
        </w:rPr>
        <w:t>uję</w:t>
      </w:r>
      <w:r w:rsidRPr="00FF009C">
        <w:rPr>
          <w:noProof/>
        </w:rPr>
        <w:t>ciu ogólnym,</w:t>
      </w:r>
      <w:r w:rsidR="00FF009C" w:rsidRPr="00FF009C">
        <w:rPr>
          <w:noProof/>
        </w:rPr>
        <w:t xml:space="preserve"> a</w:t>
      </w:r>
      <w:r w:rsidR="00FF009C">
        <w:rPr>
          <w:noProof/>
        </w:rPr>
        <w:t> </w:t>
      </w:r>
      <w:r w:rsidR="00FF009C" w:rsidRPr="00FF009C">
        <w:rPr>
          <w:noProof/>
        </w:rPr>
        <w:t>w</w:t>
      </w:r>
      <w:r w:rsidR="00FF009C">
        <w:rPr>
          <w:noProof/>
        </w:rPr>
        <w:t> </w:t>
      </w:r>
      <w:r w:rsidR="00FF009C" w:rsidRPr="00FF009C">
        <w:rPr>
          <w:noProof/>
        </w:rPr>
        <w:t>szc</w:t>
      </w:r>
      <w:r w:rsidRPr="00FF009C">
        <w:rPr>
          <w:noProof/>
        </w:rPr>
        <w:t>zególności do celów wsparcia udzielanego przez Europol, wymaga zapewnienia pełnej zgodności</w:t>
      </w:r>
      <w:r w:rsidR="00FF009C" w:rsidRPr="00FF009C">
        <w:rPr>
          <w:noProof/>
        </w:rPr>
        <w:t xml:space="preserve"> z</w:t>
      </w:r>
      <w:r w:rsidR="00FF009C">
        <w:rPr>
          <w:noProof/>
        </w:rPr>
        <w:t> </w:t>
      </w:r>
      <w:r w:rsidR="00FF009C" w:rsidRPr="00FF009C">
        <w:rPr>
          <w:noProof/>
        </w:rPr>
        <w:t>pra</w:t>
      </w:r>
      <w:r w:rsidRPr="00FF009C">
        <w:rPr>
          <w:noProof/>
        </w:rPr>
        <w:t>wami podstawowymi zapisanymi</w:t>
      </w:r>
      <w:r w:rsidR="00FF009C" w:rsidRPr="00FF009C">
        <w:rPr>
          <w:noProof/>
        </w:rPr>
        <w:t xml:space="preserve"> w</w:t>
      </w:r>
      <w:r w:rsidR="00FF009C">
        <w:rPr>
          <w:noProof/>
        </w:rPr>
        <w:t> </w:t>
      </w:r>
      <w:r w:rsidR="00FF009C" w:rsidRPr="00FF009C">
        <w:rPr>
          <w:noProof/>
        </w:rPr>
        <w:t>Kar</w:t>
      </w:r>
      <w:r w:rsidRPr="00FF009C">
        <w:rPr>
          <w:noProof/>
        </w:rPr>
        <w:t>cie praw podstawowych,</w:t>
      </w:r>
      <w:r w:rsidR="00FF009C" w:rsidRPr="00FF009C">
        <w:rPr>
          <w:noProof/>
        </w:rPr>
        <w:t xml:space="preserve"> a</w:t>
      </w:r>
      <w:r w:rsidR="00FF009C">
        <w:rPr>
          <w:noProof/>
        </w:rPr>
        <w:t> </w:t>
      </w:r>
      <w:r w:rsidR="00FF009C" w:rsidRPr="00FF009C">
        <w:rPr>
          <w:noProof/>
        </w:rPr>
        <w:t>zwł</w:t>
      </w:r>
      <w:r w:rsidRPr="00FF009C">
        <w:rPr>
          <w:noProof/>
        </w:rPr>
        <w:t>aszcza</w:t>
      </w:r>
      <w:r w:rsidR="00FF009C" w:rsidRPr="00FF009C">
        <w:rPr>
          <w:noProof/>
        </w:rPr>
        <w:t xml:space="preserve"> z</w:t>
      </w:r>
      <w:r w:rsidR="00FF009C">
        <w:rPr>
          <w:noProof/>
        </w:rPr>
        <w:t> </w:t>
      </w:r>
      <w:r w:rsidR="00FF009C" w:rsidRPr="00FF009C">
        <w:rPr>
          <w:noProof/>
        </w:rPr>
        <w:t>pra</w:t>
      </w:r>
      <w:r w:rsidRPr="00FF009C">
        <w:rPr>
          <w:noProof/>
        </w:rPr>
        <w:t>wem do ochrony danych osobowych</w:t>
      </w:r>
      <w:r w:rsidRPr="00FF009C">
        <w:rPr>
          <w:rStyle w:val="FootnoteReference0"/>
          <w:noProof/>
        </w:rPr>
        <w:footnoteReference w:id="17"/>
      </w:r>
      <w:r w:rsidR="00FF009C" w:rsidRPr="00FF009C">
        <w:rPr>
          <w:noProof/>
        </w:rPr>
        <w:t xml:space="preserve"> i</w:t>
      </w:r>
      <w:r w:rsidR="00FF009C">
        <w:rPr>
          <w:noProof/>
        </w:rPr>
        <w:t> </w:t>
      </w:r>
      <w:r w:rsidR="00FF009C" w:rsidRPr="00FF009C">
        <w:rPr>
          <w:noProof/>
        </w:rPr>
        <w:t>pra</w:t>
      </w:r>
      <w:r w:rsidRPr="00FF009C">
        <w:rPr>
          <w:noProof/>
        </w:rPr>
        <w:t>wem do poszanowania życia prywatnego</w:t>
      </w:r>
      <w:r w:rsidRPr="00FF009C">
        <w:rPr>
          <w:rStyle w:val="FootnoteReference0"/>
          <w:noProof/>
        </w:rPr>
        <w:footnoteReference w:id="18"/>
      </w:r>
      <w:r w:rsidR="00FF009C" w:rsidRPr="00FF009C">
        <w:rPr>
          <w:noProof/>
        </w:rPr>
        <w:t>. W</w:t>
      </w:r>
      <w:r w:rsidR="00FF009C">
        <w:rPr>
          <w:noProof/>
        </w:rPr>
        <w:t> </w:t>
      </w:r>
      <w:r w:rsidR="00FF009C" w:rsidRPr="00FF009C">
        <w:rPr>
          <w:noProof/>
        </w:rPr>
        <w:t>nin</w:t>
      </w:r>
      <w:r w:rsidRPr="00FF009C">
        <w:rPr>
          <w:noProof/>
        </w:rPr>
        <w:t>iejszym wniosku</w:t>
      </w:r>
      <w:r w:rsidR="00FF009C" w:rsidRPr="00FF009C">
        <w:rPr>
          <w:noProof/>
        </w:rPr>
        <w:t xml:space="preserve"> w</w:t>
      </w:r>
      <w:r w:rsidR="00FF009C">
        <w:rPr>
          <w:noProof/>
        </w:rPr>
        <w:t> </w:t>
      </w:r>
      <w:r w:rsidR="00FF009C" w:rsidRPr="00FF009C">
        <w:rPr>
          <w:noProof/>
        </w:rPr>
        <w:t>peł</w:t>
      </w:r>
      <w:r w:rsidRPr="00FF009C">
        <w:rPr>
          <w:noProof/>
        </w:rPr>
        <w:t>ni uwzględnia się te wymogi prawne.</w:t>
      </w:r>
    </w:p>
    <w:p w14:paraId="0E5B25BF" w14:textId="77777777" w:rsidR="0043039B" w:rsidRPr="00FF009C" w:rsidRDefault="0043039B" w:rsidP="00977077">
      <w:pPr>
        <w:widowControl w:val="0"/>
        <w:autoSpaceDE w:val="0"/>
        <w:autoSpaceDN w:val="0"/>
        <w:adjustRightInd w:val="0"/>
        <w:spacing w:before="0"/>
        <w:rPr>
          <w:rFonts w:eastAsia="Times New Roman"/>
          <w:b/>
          <w:bCs/>
          <w:noProof/>
        </w:rPr>
      </w:pPr>
      <w:r w:rsidRPr="00FF009C">
        <w:rPr>
          <w:b/>
          <w:noProof/>
        </w:rPr>
        <w:t>4.</w:t>
      </w:r>
      <w:r w:rsidRPr="00FF009C">
        <w:rPr>
          <w:noProof/>
        </w:rPr>
        <w:tab/>
      </w:r>
      <w:r w:rsidRPr="00FF009C">
        <w:rPr>
          <w:b/>
          <w:noProof/>
        </w:rPr>
        <w:t>WPŁYW NA BUDŻET</w:t>
      </w:r>
    </w:p>
    <w:p w14:paraId="59C3CCC7" w14:textId="33880AAE" w:rsidR="00D72CAA" w:rsidRPr="00FF009C" w:rsidRDefault="0043039B" w:rsidP="00D72CAA">
      <w:pPr>
        <w:widowControl w:val="0"/>
        <w:autoSpaceDE w:val="0"/>
        <w:autoSpaceDN w:val="0"/>
        <w:adjustRightInd w:val="0"/>
        <w:spacing w:before="0"/>
        <w:rPr>
          <w:rFonts w:eastAsia="Times New Roman"/>
          <w:noProof/>
        </w:rPr>
      </w:pPr>
      <w:r w:rsidRPr="00FF009C">
        <w:rPr>
          <w:noProof/>
        </w:rPr>
        <w:t>Niniejsza inicjatywa ustawodawcza wywarłaby wpływ na budżet</w:t>
      </w:r>
      <w:r w:rsidR="00FF009C" w:rsidRPr="00FF009C">
        <w:rPr>
          <w:noProof/>
        </w:rPr>
        <w:t xml:space="preserve"> i</w:t>
      </w:r>
      <w:r w:rsidR="00FF009C">
        <w:rPr>
          <w:noProof/>
        </w:rPr>
        <w:t> </w:t>
      </w:r>
      <w:r w:rsidR="00FF009C" w:rsidRPr="00FF009C">
        <w:rPr>
          <w:noProof/>
        </w:rPr>
        <w:t>pot</w:t>
      </w:r>
      <w:r w:rsidRPr="00FF009C">
        <w:rPr>
          <w:noProof/>
        </w:rPr>
        <w:t>rzeby kadrowe Europolu. Szacuje się</w:t>
      </w:r>
      <w:r w:rsidR="00EB2962" w:rsidRPr="00FF009C">
        <w:rPr>
          <w:rStyle w:val="FootnoteReference0"/>
          <w:noProof/>
        </w:rPr>
        <w:footnoteReference w:id="19"/>
      </w:r>
      <w:r w:rsidRPr="00FF009C">
        <w:rPr>
          <w:noProof/>
        </w:rPr>
        <w:t>, że na cały okres objęty obecnymi wieloletnimi ramami finansowymi na lata 2021–2027 potrzebne będą dodatkowe środki</w:t>
      </w:r>
      <w:r w:rsidR="00FF009C" w:rsidRPr="00FF009C">
        <w:rPr>
          <w:noProof/>
        </w:rPr>
        <w:t xml:space="preserve"> w</w:t>
      </w:r>
      <w:r w:rsidR="00FF009C">
        <w:rPr>
          <w:noProof/>
        </w:rPr>
        <w:t> </w:t>
      </w:r>
      <w:r w:rsidR="00FF009C" w:rsidRPr="00FF009C">
        <w:rPr>
          <w:noProof/>
        </w:rPr>
        <w:t>bud</w:t>
      </w:r>
      <w:r w:rsidRPr="00FF009C">
        <w:rPr>
          <w:noProof/>
        </w:rPr>
        <w:t>żecie wynoszące około 50 mln EUR oraz około 50 dodatkowych stanowisk. Zapewni to Europolowi zasoby niezbędne do pełnego</w:t>
      </w:r>
      <w:r w:rsidR="00FF009C" w:rsidRPr="00FF009C">
        <w:rPr>
          <w:noProof/>
        </w:rPr>
        <w:t xml:space="preserve"> i</w:t>
      </w:r>
      <w:r w:rsidR="00FF009C">
        <w:rPr>
          <w:noProof/>
        </w:rPr>
        <w:t> </w:t>
      </w:r>
      <w:r w:rsidR="00FF009C" w:rsidRPr="00FF009C">
        <w:rPr>
          <w:noProof/>
        </w:rPr>
        <w:t>sku</w:t>
      </w:r>
      <w:r w:rsidRPr="00FF009C">
        <w:rPr>
          <w:noProof/>
        </w:rPr>
        <w:t>tecznego wykonywania nowych zadań opisanych</w:t>
      </w:r>
      <w:r w:rsidR="00FF009C" w:rsidRPr="00FF009C">
        <w:rPr>
          <w:noProof/>
        </w:rPr>
        <w:t xml:space="preserve"> w</w:t>
      </w:r>
      <w:r w:rsidR="00FF009C">
        <w:rPr>
          <w:noProof/>
        </w:rPr>
        <w:t> </w:t>
      </w:r>
      <w:r w:rsidR="00FF009C" w:rsidRPr="00FF009C">
        <w:rPr>
          <w:noProof/>
        </w:rPr>
        <w:t>art</w:t>
      </w:r>
      <w:r w:rsidRPr="00FF009C">
        <w:rPr>
          <w:noProof/>
        </w:rPr>
        <w:t>.</w:t>
      </w:r>
      <w:r w:rsidR="00FF009C" w:rsidRPr="00FF009C">
        <w:rPr>
          <w:noProof/>
        </w:rPr>
        <w:t> </w:t>
      </w:r>
      <w:r w:rsidRPr="00FF009C">
        <w:rPr>
          <w:noProof/>
        </w:rPr>
        <w:t>5</w:t>
      </w:r>
      <w:r w:rsidR="00FF009C" w:rsidRPr="00FF009C">
        <w:rPr>
          <w:noProof/>
        </w:rPr>
        <w:t xml:space="preserve"> i</w:t>
      </w:r>
      <w:r w:rsidR="00FF009C">
        <w:rPr>
          <w:noProof/>
        </w:rPr>
        <w:t> </w:t>
      </w:r>
      <w:r w:rsidR="00FF009C" w:rsidRPr="00FF009C">
        <w:rPr>
          <w:noProof/>
        </w:rPr>
        <w:t>6</w:t>
      </w:r>
      <w:r w:rsidRPr="00FF009C">
        <w:rPr>
          <w:noProof/>
        </w:rPr>
        <w:t xml:space="preserve"> niniejszego rozporządzenia oraz</w:t>
      </w:r>
      <w:r w:rsidR="00FF009C" w:rsidRPr="00FF009C">
        <w:rPr>
          <w:noProof/>
        </w:rPr>
        <w:t xml:space="preserve"> w</w:t>
      </w:r>
      <w:r w:rsidR="00FF009C">
        <w:rPr>
          <w:noProof/>
        </w:rPr>
        <w:t> </w:t>
      </w:r>
      <w:r w:rsidR="00FF009C" w:rsidRPr="00FF009C">
        <w:rPr>
          <w:noProof/>
        </w:rPr>
        <w:t>kon</w:t>
      </w:r>
      <w:r w:rsidRPr="00FF009C">
        <w:rPr>
          <w:noProof/>
        </w:rPr>
        <w:t>tekście zmienionego zakresu działania. Nowe zadania Europolu zaproponowane</w:t>
      </w:r>
      <w:r w:rsidR="00FF009C" w:rsidRPr="00FF009C">
        <w:rPr>
          <w:noProof/>
        </w:rPr>
        <w:t xml:space="preserve"> w</w:t>
      </w:r>
      <w:r w:rsidR="00FF009C">
        <w:rPr>
          <w:noProof/>
        </w:rPr>
        <w:t> </w:t>
      </w:r>
      <w:r w:rsidR="00FF009C" w:rsidRPr="00FF009C">
        <w:rPr>
          <w:noProof/>
        </w:rPr>
        <w:t>nin</w:t>
      </w:r>
      <w:r w:rsidRPr="00FF009C">
        <w:rPr>
          <w:noProof/>
        </w:rPr>
        <w:t>iejszym wniosku ustawodawczym będą zatem wymagać dodatkowych nakładów finansowych</w:t>
      </w:r>
      <w:r w:rsidR="00FF009C" w:rsidRPr="00FF009C">
        <w:rPr>
          <w:noProof/>
        </w:rPr>
        <w:t xml:space="preserve"> i</w:t>
      </w:r>
      <w:r w:rsidR="00FF009C">
        <w:rPr>
          <w:noProof/>
        </w:rPr>
        <w:t> </w:t>
      </w:r>
      <w:r w:rsidR="00FF009C" w:rsidRPr="00FF009C">
        <w:rPr>
          <w:noProof/>
        </w:rPr>
        <w:t>kad</w:t>
      </w:r>
      <w:r w:rsidRPr="00FF009C">
        <w:rPr>
          <w:noProof/>
        </w:rPr>
        <w:t>rowych</w:t>
      </w:r>
      <w:r w:rsidR="00FF009C" w:rsidRPr="00FF009C">
        <w:rPr>
          <w:noProof/>
        </w:rPr>
        <w:t xml:space="preserve"> w</w:t>
      </w:r>
      <w:r w:rsidR="00FF009C">
        <w:rPr>
          <w:noProof/>
        </w:rPr>
        <w:t> </w:t>
      </w:r>
      <w:r w:rsidR="00FF009C" w:rsidRPr="00FF009C">
        <w:rPr>
          <w:noProof/>
        </w:rPr>
        <w:t>por</w:t>
      </w:r>
      <w:r w:rsidRPr="00FF009C">
        <w:rPr>
          <w:noProof/>
        </w:rPr>
        <w:t>ównaniu</w:t>
      </w:r>
      <w:r w:rsidR="00FF009C" w:rsidRPr="00FF009C">
        <w:rPr>
          <w:noProof/>
        </w:rPr>
        <w:t xml:space="preserve"> z</w:t>
      </w:r>
      <w:r w:rsidR="00FF009C">
        <w:rPr>
          <w:noProof/>
        </w:rPr>
        <w:t> </w:t>
      </w:r>
      <w:r w:rsidR="00FF009C" w:rsidRPr="00FF009C">
        <w:rPr>
          <w:noProof/>
        </w:rPr>
        <w:t>zas</w:t>
      </w:r>
      <w:r w:rsidRPr="00FF009C">
        <w:rPr>
          <w:noProof/>
        </w:rPr>
        <w:t>obami przeznaczonymi</w:t>
      </w:r>
      <w:r w:rsidR="00FF009C" w:rsidRPr="00FF009C">
        <w:rPr>
          <w:noProof/>
        </w:rPr>
        <w:t xml:space="preserve"> w</w:t>
      </w:r>
      <w:r w:rsidR="00FF009C">
        <w:rPr>
          <w:noProof/>
        </w:rPr>
        <w:t> </w:t>
      </w:r>
      <w:r w:rsidR="00FF009C" w:rsidRPr="00FF009C">
        <w:rPr>
          <w:noProof/>
        </w:rPr>
        <w:t>wie</w:t>
      </w:r>
      <w:r w:rsidRPr="00FF009C">
        <w:rPr>
          <w:noProof/>
        </w:rPr>
        <w:t>loletnich ramach finansowych na lata 2021–2027,</w:t>
      </w:r>
      <w:r w:rsidR="00FF009C" w:rsidRPr="00FF009C">
        <w:rPr>
          <w:noProof/>
        </w:rPr>
        <w:t xml:space="preserve"> w</w:t>
      </w:r>
      <w:r w:rsidR="00FF009C">
        <w:rPr>
          <w:noProof/>
        </w:rPr>
        <w:t> </w:t>
      </w:r>
      <w:r w:rsidR="00FF009C" w:rsidRPr="00FF009C">
        <w:rPr>
          <w:noProof/>
        </w:rPr>
        <w:t>któ</w:t>
      </w:r>
      <w:r w:rsidRPr="00FF009C">
        <w:rPr>
          <w:noProof/>
        </w:rPr>
        <w:t>rych przewidziano zwiększenie zatrudnienia</w:t>
      </w:r>
      <w:r w:rsidR="00FF009C" w:rsidRPr="00FF009C">
        <w:rPr>
          <w:noProof/>
        </w:rPr>
        <w:t xml:space="preserve"> o</w:t>
      </w:r>
      <w:r w:rsidR="00FF009C">
        <w:rPr>
          <w:noProof/>
        </w:rPr>
        <w:t> </w:t>
      </w:r>
      <w:r w:rsidR="00FF009C" w:rsidRPr="00FF009C">
        <w:rPr>
          <w:noProof/>
        </w:rPr>
        <w:t>1</w:t>
      </w:r>
      <w:r w:rsidRPr="00FF009C">
        <w:rPr>
          <w:noProof/>
        </w:rPr>
        <w:t>60 pracowników zatrudnionych na czas określony, powiązany</w:t>
      </w:r>
      <w:r w:rsidR="00FF009C" w:rsidRPr="00FF009C">
        <w:rPr>
          <w:noProof/>
        </w:rPr>
        <w:t xml:space="preserve"> z</w:t>
      </w:r>
      <w:r w:rsidR="00FF009C">
        <w:rPr>
          <w:noProof/>
        </w:rPr>
        <w:t> </w:t>
      </w:r>
      <w:r w:rsidR="00FF009C" w:rsidRPr="00FF009C">
        <w:rPr>
          <w:noProof/>
        </w:rPr>
        <w:t>tym</w:t>
      </w:r>
      <w:r w:rsidRPr="00FF009C">
        <w:rPr>
          <w:noProof/>
        </w:rPr>
        <w:t xml:space="preserve"> koszt na poziomie 114 mln EUR</w:t>
      </w:r>
      <w:r w:rsidR="00FF009C" w:rsidRPr="00FF009C">
        <w:rPr>
          <w:noProof/>
        </w:rPr>
        <w:t xml:space="preserve"> i</w:t>
      </w:r>
      <w:r w:rsidR="00FF009C">
        <w:rPr>
          <w:noProof/>
        </w:rPr>
        <w:t> </w:t>
      </w:r>
      <w:r w:rsidR="00FF009C" w:rsidRPr="00FF009C">
        <w:rPr>
          <w:noProof/>
        </w:rPr>
        <w:t>łąc</w:t>
      </w:r>
      <w:r w:rsidRPr="00FF009C">
        <w:rPr>
          <w:noProof/>
        </w:rPr>
        <w:t>zny dodatkowy wkład UE do budżetu Europolu wynoszący 178 mln EUR. Niniejsza inicjatywa ustawodawcza umożliwia również państwom członkowskim wnoszenie bezpośredniego wkładu do budżetu Europolu, jeżeli jest to konieczne</w:t>
      </w:r>
      <w:r w:rsidR="00FF009C" w:rsidRPr="00FF009C">
        <w:rPr>
          <w:noProof/>
        </w:rPr>
        <w:t xml:space="preserve"> i</w:t>
      </w:r>
      <w:r w:rsidR="00FF009C">
        <w:rPr>
          <w:noProof/>
        </w:rPr>
        <w:t> </w:t>
      </w:r>
      <w:r w:rsidR="00FF009C" w:rsidRPr="00FF009C">
        <w:rPr>
          <w:noProof/>
        </w:rPr>
        <w:t>wym</w:t>
      </w:r>
      <w:r w:rsidRPr="00FF009C">
        <w:rPr>
          <w:noProof/>
        </w:rPr>
        <w:t xml:space="preserve">agane do realizacji jego istniejących lub nowych zadań. </w:t>
      </w:r>
    </w:p>
    <w:p w14:paraId="4793D791" w14:textId="77777777" w:rsidR="0043039B" w:rsidRPr="00FF009C" w:rsidRDefault="0043039B" w:rsidP="00977077">
      <w:pPr>
        <w:widowControl w:val="0"/>
        <w:autoSpaceDE w:val="0"/>
        <w:autoSpaceDN w:val="0"/>
        <w:adjustRightInd w:val="0"/>
        <w:spacing w:before="0"/>
        <w:rPr>
          <w:rFonts w:eastAsia="Times New Roman"/>
          <w:noProof/>
        </w:rPr>
      </w:pPr>
    </w:p>
    <w:p w14:paraId="0DC1B763" w14:textId="77777777" w:rsidR="0043039B" w:rsidRPr="00FF009C" w:rsidRDefault="0043039B" w:rsidP="00977077">
      <w:pPr>
        <w:widowControl w:val="0"/>
        <w:autoSpaceDE w:val="0"/>
        <w:autoSpaceDN w:val="0"/>
        <w:adjustRightInd w:val="0"/>
        <w:spacing w:before="0"/>
        <w:rPr>
          <w:rFonts w:eastAsia="Times New Roman"/>
          <w:b/>
          <w:bCs/>
          <w:noProof/>
        </w:rPr>
      </w:pPr>
      <w:r w:rsidRPr="00FF009C">
        <w:rPr>
          <w:b/>
          <w:noProof/>
        </w:rPr>
        <w:t>5.</w:t>
      </w:r>
      <w:r w:rsidRPr="00FF009C">
        <w:rPr>
          <w:noProof/>
        </w:rPr>
        <w:tab/>
      </w:r>
      <w:r w:rsidRPr="00FF009C">
        <w:rPr>
          <w:b/>
          <w:noProof/>
        </w:rPr>
        <w:t>ELEMENTY FAKULTATYWNE</w:t>
      </w:r>
    </w:p>
    <w:p w14:paraId="5BA4FF0B" w14:textId="519C263C" w:rsidR="0043039B" w:rsidRPr="00FF009C" w:rsidRDefault="0043039B" w:rsidP="00977077">
      <w:pPr>
        <w:widowControl w:val="0"/>
        <w:autoSpaceDE w:val="0"/>
        <w:autoSpaceDN w:val="0"/>
        <w:adjustRightInd w:val="0"/>
        <w:spacing w:before="0"/>
        <w:rPr>
          <w:rFonts w:eastAsia="Times New Roman"/>
          <w:b/>
          <w:bCs/>
          <w:noProof/>
        </w:rPr>
      </w:pPr>
      <w:r w:rsidRPr="00FF009C">
        <w:rPr>
          <w:b/>
          <w:noProof/>
        </w:rPr>
        <w:t>•</w:t>
      </w:r>
      <w:r w:rsidRPr="00FF009C">
        <w:rPr>
          <w:noProof/>
        </w:rPr>
        <w:tab/>
      </w:r>
      <w:r w:rsidRPr="00FF009C">
        <w:rPr>
          <w:b/>
          <w:noProof/>
        </w:rPr>
        <w:t>Plany wdrożenia</w:t>
      </w:r>
      <w:r w:rsidR="00FF009C" w:rsidRPr="00FF009C">
        <w:rPr>
          <w:b/>
          <w:noProof/>
        </w:rPr>
        <w:t xml:space="preserve"> i</w:t>
      </w:r>
      <w:r w:rsidR="00FF009C">
        <w:rPr>
          <w:b/>
          <w:noProof/>
        </w:rPr>
        <w:t> </w:t>
      </w:r>
      <w:r w:rsidR="00FF009C" w:rsidRPr="00FF009C">
        <w:rPr>
          <w:b/>
          <w:noProof/>
        </w:rPr>
        <w:t>mon</w:t>
      </w:r>
      <w:r w:rsidRPr="00FF009C">
        <w:rPr>
          <w:b/>
          <w:noProof/>
        </w:rPr>
        <w:t>itorowanie, ocena</w:t>
      </w:r>
      <w:r w:rsidR="00FF009C" w:rsidRPr="00FF009C">
        <w:rPr>
          <w:b/>
          <w:noProof/>
        </w:rPr>
        <w:t xml:space="preserve"> i</w:t>
      </w:r>
      <w:r w:rsidR="00FF009C">
        <w:rPr>
          <w:b/>
          <w:noProof/>
        </w:rPr>
        <w:t> </w:t>
      </w:r>
      <w:r w:rsidR="00FF009C" w:rsidRPr="00FF009C">
        <w:rPr>
          <w:b/>
          <w:noProof/>
        </w:rPr>
        <w:t>spr</w:t>
      </w:r>
      <w:r w:rsidRPr="00FF009C">
        <w:rPr>
          <w:b/>
          <w:noProof/>
        </w:rPr>
        <w:t>awozdania</w:t>
      </w:r>
    </w:p>
    <w:p w14:paraId="63D93E08" w14:textId="3049128D" w:rsidR="0043039B" w:rsidRPr="00FF009C" w:rsidRDefault="0043039B" w:rsidP="00977077">
      <w:pPr>
        <w:widowControl w:val="0"/>
        <w:autoSpaceDE w:val="0"/>
        <w:autoSpaceDN w:val="0"/>
        <w:adjustRightInd w:val="0"/>
        <w:spacing w:before="0"/>
        <w:rPr>
          <w:rFonts w:eastAsia="Times New Roman"/>
          <w:i/>
          <w:iCs/>
          <w:noProof/>
        </w:rPr>
      </w:pPr>
      <w:r w:rsidRPr="00FF009C">
        <w:rPr>
          <w:noProof/>
          <w:shd w:val="clear" w:color="auto" w:fill="FFFFFF"/>
        </w:rPr>
        <w:t>Monitorowanie</w:t>
      </w:r>
      <w:r w:rsidR="00FF009C" w:rsidRPr="00FF009C">
        <w:rPr>
          <w:noProof/>
          <w:shd w:val="clear" w:color="auto" w:fill="FFFFFF"/>
        </w:rPr>
        <w:t xml:space="preserve"> i</w:t>
      </w:r>
      <w:r w:rsidR="00FF009C">
        <w:rPr>
          <w:noProof/>
          <w:shd w:val="clear" w:color="auto" w:fill="FFFFFF"/>
        </w:rPr>
        <w:t> </w:t>
      </w:r>
      <w:r w:rsidR="00FF009C" w:rsidRPr="00FF009C">
        <w:rPr>
          <w:noProof/>
          <w:shd w:val="clear" w:color="auto" w:fill="FFFFFF"/>
        </w:rPr>
        <w:t>oce</w:t>
      </w:r>
      <w:r w:rsidRPr="00FF009C">
        <w:rPr>
          <w:noProof/>
          <w:shd w:val="clear" w:color="auto" w:fill="FFFFFF"/>
        </w:rPr>
        <w:t>na rozszerzonego zakresu działania Europolu będą</w:t>
      </w:r>
      <w:r w:rsidR="00FF009C" w:rsidRPr="00FF009C">
        <w:rPr>
          <w:noProof/>
          <w:shd w:val="clear" w:color="auto" w:fill="FFFFFF"/>
        </w:rPr>
        <w:t xml:space="preserve"> w</w:t>
      </w:r>
      <w:r w:rsidR="00FF009C">
        <w:rPr>
          <w:noProof/>
          <w:shd w:val="clear" w:color="auto" w:fill="FFFFFF"/>
        </w:rPr>
        <w:t> </w:t>
      </w:r>
      <w:r w:rsidR="00FF009C" w:rsidRPr="00FF009C">
        <w:rPr>
          <w:noProof/>
          <w:shd w:val="clear" w:color="auto" w:fill="FFFFFF"/>
        </w:rPr>
        <w:t>duż</w:t>
      </w:r>
      <w:r w:rsidRPr="00FF009C">
        <w:rPr>
          <w:noProof/>
          <w:shd w:val="clear" w:color="auto" w:fill="FFFFFF"/>
        </w:rPr>
        <w:t>ej mierze przeprowadzane za pomocą odpowiednich mechanizmów przewidzianych</w:t>
      </w:r>
      <w:r w:rsidR="00FF009C" w:rsidRPr="00FF009C">
        <w:rPr>
          <w:noProof/>
          <w:shd w:val="clear" w:color="auto" w:fill="FFFFFF"/>
        </w:rPr>
        <w:t xml:space="preserve"> w</w:t>
      </w:r>
      <w:r w:rsidR="00FF009C">
        <w:rPr>
          <w:noProof/>
          <w:shd w:val="clear" w:color="auto" w:fill="FFFFFF"/>
        </w:rPr>
        <w:t> </w:t>
      </w:r>
      <w:r w:rsidR="00FF009C" w:rsidRPr="00FF009C">
        <w:rPr>
          <w:noProof/>
          <w:shd w:val="clear" w:color="auto" w:fill="FFFFFF"/>
        </w:rPr>
        <w:t>obo</w:t>
      </w:r>
      <w:r w:rsidRPr="00FF009C">
        <w:rPr>
          <w:noProof/>
          <w:shd w:val="clear" w:color="auto" w:fill="FFFFFF"/>
        </w:rPr>
        <w:t>wiązującym rozporządzeniu</w:t>
      </w:r>
      <w:r w:rsidR="00FF009C" w:rsidRPr="00FF009C">
        <w:rPr>
          <w:noProof/>
          <w:shd w:val="clear" w:color="auto" w:fill="FFFFFF"/>
        </w:rPr>
        <w:t xml:space="preserve"> w</w:t>
      </w:r>
      <w:r w:rsidR="00FF009C">
        <w:rPr>
          <w:noProof/>
          <w:shd w:val="clear" w:color="auto" w:fill="FFFFFF"/>
        </w:rPr>
        <w:t> </w:t>
      </w:r>
      <w:r w:rsidR="00FF009C" w:rsidRPr="00FF009C">
        <w:rPr>
          <w:noProof/>
          <w:shd w:val="clear" w:color="auto" w:fill="FFFFFF"/>
        </w:rPr>
        <w:t>spr</w:t>
      </w:r>
      <w:r w:rsidRPr="00FF009C">
        <w:rPr>
          <w:noProof/>
          <w:shd w:val="clear" w:color="auto" w:fill="FFFFFF"/>
        </w:rPr>
        <w:t>awie Europolu</w:t>
      </w:r>
      <w:r w:rsidR="00FF009C" w:rsidRPr="00FF009C">
        <w:rPr>
          <w:noProof/>
          <w:shd w:val="clear" w:color="auto" w:fill="FFFFFF"/>
        </w:rPr>
        <w:t>. W</w:t>
      </w:r>
      <w:r w:rsidR="00FF009C">
        <w:rPr>
          <w:noProof/>
          <w:shd w:val="clear" w:color="auto" w:fill="FFFFFF"/>
        </w:rPr>
        <w:t> </w:t>
      </w:r>
      <w:r w:rsidR="00FF009C" w:rsidRPr="00FF009C">
        <w:rPr>
          <w:noProof/>
          <w:shd w:val="clear" w:color="auto" w:fill="FFFFFF"/>
        </w:rPr>
        <w:t>art</w:t>
      </w:r>
      <w:r w:rsidRPr="00FF009C">
        <w:rPr>
          <w:noProof/>
          <w:shd w:val="clear" w:color="auto" w:fill="FFFFFF"/>
        </w:rPr>
        <w:t>.</w:t>
      </w:r>
      <w:r w:rsidR="00FF009C" w:rsidRPr="00FF009C">
        <w:rPr>
          <w:noProof/>
          <w:shd w:val="clear" w:color="auto" w:fill="FFFFFF"/>
        </w:rPr>
        <w:t> </w:t>
      </w:r>
      <w:r w:rsidRPr="00FF009C">
        <w:rPr>
          <w:noProof/>
          <w:shd w:val="clear" w:color="auto" w:fill="FFFFFF"/>
        </w:rPr>
        <w:t>68 przewiduje się ocenę, która dotyczy</w:t>
      </w:r>
      <w:r w:rsidR="00FF009C" w:rsidRPr="00FF009C">
        <w:rPr>
          <w:noProof/>
          <w:shd w:val="clear" w:color="auto" w:fill="FFFFFF"/>
        </w:rPr>
        <w:t xml:space="preserve"> w</w:t>
      </w:r>
      <w:r w:rsidR="00FF009C">
        <w:rPr>
          <w:noProof/>
          <w:shd w:val="clear" w:color="auto" w:fill="FFFFFF"/>
        </w:rPr>
        <w:t> </w:t>
      </w:r>
      <w:r w:rsidR="00FF009C" w:rsidRPr="00FF009C">
        <w:rPr>
          <w:noProof/>
          <w:shd w:val="clear" w:color="auto" w:fill="FFFFFF"/>
        </w:rPr>
        <w:t>szc</w:t>
      </w:r>
      <w:r w:rsidRPr="00FF009C">
        <w:rPr>
          <w:noProof/>
          <w:shd w:val="clear" w:color="auto" w:fill="FFFFFF"/>
        </w:rPr>
        <w:t>zególności wpływu, skuteczności</w:t>
      </w:r>
      <w:r w:rsidR="00FF009C" w:rsidRPr="00FF009C">
        <w:rPr>
          <w:noProof/>
          <w:shd w:val="clear" w:color="auto" w:fill="FFFFFF"/>
        </w:rPr>
        <w:t xml:space="preserve"> i</w:t>
      </w:r>
      <w:r w:rsidR="00FF009C">
        <w:rPr>
          <w:noProof/>
          <w:shd w:val="clear" w:color="auto" w:fill="FFFFFF"/>
        </w:rPr>
        <w:t> </w:t>
      </w:r>
      <w:r w:rsidR="00FF009C" w:rsidRPr="00FF009C">
        <w:rPr>
          <w:noProof/>
          <w:shd w:val="clear" w:color="auto" w:fill="FFFFFF"/>
        </w:rPr>
        <w:t>efe</w:t>
      </w:r>
      <w:r w:rsidRPr="00FF009C">
        <w:rPr>
          <w:noProof/>
          <w:shd w:val="clear" w:color="auto" w:fill="FFFFFF"/>
        </w:rPr>
        <w:t>ktywności Europolu</w:t>
      </w:r>
      <w:r w:rsidR="00FF009C" w:rsidRPr="00FF009C">
        <w:rPr>
          <w:noProof/>
          <w:shd w:val="clear" w:color="auto" w:fill="FFFFFF"/>
        </w:rPr>
        <w:t xml:space="preserve"> i</w:t>
      </w:r>
      <w:r w:rsidR="00FF009C">
        <w:rPr>
          <w:noProof/>
          <w:shd w:val="clear" w:color="auto" w:fill="FFFFFF"/>
        </w:rPr>
        <w:t> </w:t>
      </w:r>
      <w:r w:rsidR="00FF009C" w:rsidRPr="00FF009C">
        <w:rPr>
          <w:noProof/>
          <w:shd w:val="clear" w:color="auto" w:fill="FFFFFF"/>
        </w:rPr>
        <w:t>jeg</w:t>
      </w:r>
      <w:r w:rsidRPr="00FF009C">
        <w:rPr>
          <w:noProof/>
          <w:shd w:val="clear" w:color="auto" w:fill="FFFFFF"/>
        </w:rPr>
        <w:t>o praktyk roboczych,</w:t>
      </w:r>
      <w:r w:rsidR="00FF009C" w:rsidRPr="00FF009C">
        <w:rPr>
          <w:noProof/>
          <w:shd w:val="clear" w:color="auto" w:fill="FFFFFF"/>
        </w:rPr>
        <w:t xml:space="preserve"> a</w:t>
      </w:r>
      <w:r w:rsidR="00FF009C">
        <w:rPr>
          <w:noProof/>
          <w:shd w:val="clear" w:color="auto" w:fill="FFFFFF"/>
        </w:rPr>
        <w:t> </w:t>
      </w:r>
      <w:r w:rsidR="00FF009C" w:rsidRPr="00FF009C">
        <w:rPr>
          <w:noProof/>
          <w:shd w:val="clear" w:color="auto" w:fill="FFFFFF"/>
        </w:rPr>
        <w:t>tak</w:t>
      </w:r>
      <w:r w:rsidRPr="00FF009C">
        <w:rPr>
          <w:noProof/>
          <w:shd w:val="clear" w:color="auto" w:fill="FFFFFF"/>
        </w:rPr>
        <w:t>że może dotyczyć kwestii ewentualnej potrzeby dokonania zmian</w:t>
      </w:r>
      <w:r w:rsidR="00FF009C" w:rsidRPr="00FF009C">
        <w:rPr>
          <w:noProof/>
          <w:shd w:val="clear" w:color="auto" w:fill="FFFFFF"/>
        </w:rPr>
        <w:t xml:space="preserve"> w</w:t>
      </w:r>
      <w:r w:rsidR="00FF009C">
        <w:rPr>
          <w:noProof/>
          <w:shd w:val="clear" w:color="auto" w:fill="FFFFFF"/>
        </w:rPr>
        <w:t> </w:t>
      </w:r>
      <w:r w:rsidR="00FF009C" w:rsidRPr="00FF009C">
        <w:rPr>
          <w:noProof/>
          <w:shd w:val="clear" w:color="auto" w:fill="FFFFFF"/>
        </w:rPr>
        <w:t>str</w:t>
      </w:r>
      <w:r w:rsidRPr="00FF009C">
        <w:rPr>
          <w:noProof/>
          <w:shd w:val="clear" w:color="auto" w:fill="FFFFFF"/>
        </w:rPr>
        <w:t>ukturze, funkcjonowaniu, obszarze działania</w:t>
      </w:r>
      <w:r w:rsidR="00FF009C" w:rsidRPr="00FF009C">
        <w:rPr>
          <w:noProof/>
          <w:shd w:val="clear" w:color="auto" w:fill="FFFFFF"/>
        </w:rPr>
        <w:t xml:space="preserve"> i</w:t>
      </w:r>
      <w:r w:rsidR="00FF009C">
        <w:rPr>
          <w:noProof/>
          <w:shd w:val="clear" w:color="auto" w:fill="FFFFFF"/>
        </w:rPr>
        <w:t> </w:t>
      </w:r>
      <w:r w:rsidR="00FF009C" w:rsidRPr="00FF009C">
        <w:rPr>
          <w:noProof/>
          <w:shd w:val="clear" w:color="auto" w:fill="FFFFFF"/>
        </w:rPr>
        <w:t>zad</w:t>
      </w:r>
      <w:r w:rsidRPr="00FF009C">
        <w:rPr>
          <w:noProof/>
          <w:shd w:val="clear" w:color="auto" w:fill="FFFFFF"/>
        </w:rPr>
        <w:t>aniach Europolu oraz skutków finansowych wszelkich takich zmian. Po przeprowadzeniu tej oceny Komisja będzie gromadzić dane od swoich reprezentantów na posiedzeniach zarządu Europolu oraz przez nadzorowanie pracy Europolu we współpracy</w:t>
      </w:r>
      <w:r w:rsidR="00FF009C" w:rsidRPr="00FF009C">
        <w:rPr>
          <w:noProof/>
          <w:shd w:val="clear" w:color="auto" w:fill="FFFFFF"/>
        </w:rPr>
        <w:t xml:space="preserve"> z</w:t>
      </w:r>
      <w:r w:rsidR="00FF009C">
        <w:rPr>
          <w:noProof/>
          <w:shd w:val="clear" w:color="auto" w:fill="FFFFFF"/>
        </w:rPr>
        <w:t> </w:t>
      </w:r>
      <w:r w:rsidR="00FF009C" w:rsidRPr="00FF009C">
        <w:rPr>
          <w:noProof/>
          <w:shd w:val="clear" w:color="auto" w:fill="FFFFFF"/>
        </w:rPr>
        <w:t>pań</w:t>
      </w:r>
      <w:r w:rsidRPr="00FF009C">
        <w:rPr>
          <w:noProof/>
          <w:shd w:val="clear" w:color="auto" w:fill="FFFFFF"/>
        </w:rPr>
        <w:t>stwami członkowskimi (art.</w:t>
      </w:r>
      <w:r w:rsidR="00FF009C" w:rsidRPr="00FF009C">
        <w:rPr>
          <w:noProof/>
          <w:shd w:val="clear" w:color="auto" w:fill="FFFFFF"/>
        </w:rPr>
        <w:t> </w:t>
      </w:r>
      <w:r w:rsidRPr="00FF009C">
        <w:rPr>
          <w:noProof/>
          <w:shd w:val="clear" w:color="auto" w:fill="FFFFFF"/>
        </w:rPr>
        <w:t>11).</w:t>
      </w:r>
      <w:r w:rsidRPr="00FF009C">
        <w:rPr>
          <w:noProof/>
        </w:rPr>
        <w:tab/>
      </w:r>
    </w:p>
    <w:p w14:paraId="202DAE79" w14:textId="77777777" w:rsidR="0043039B" w:rsidRPr="00FF009C" w:rsidRDefault="0043039B" w:rsidP="00977077">
      <w:pPr>
        <w:widowControl w:val="0"/>
        <w:autoSpaceDE w:val="0"/>
        <w:autoSpaceDN w:val="0"/>
        <w:adjustRightInd w:val="0"/>
        <w:spacing w:before="0"/>
        <w:rPr>
          <w:rFonts w:eastAsia="Times New Roman"/>
          <w:b/>
          <w:bCs/>
          <w:noProof/>
        </w:rPr>
      </w:pPr>
      <w:r w:rsidRPr="00FF009C">
        <w:rPr>
          <w:b/>
          <w:noProof/>
        </w:rPr>
        <w:t>•</w:t>
      </w:r>
      <w:r w:rsidRPr="00FF009C">
        <w:rPr>
          <w:noProof/>
        </w:rPr>
        <w:tab/>
      </w:r>
      <w:r w:rsidRPr="00FF009C">
        <w:rPr>
          <w:b/>
          <w:noProof/>
        </w:rPr>
        <w:t>Szczegółowe objaśnienia poszczególnych przepisów wniosku</w:t>
      </w:r>
    </w:p>
    <w:p w14:paraId="138B0B36" w14:textId="77777777" w:rsidR="0043039B" w:rsidRPr="00FF009C" w:rsidRDefault="0043039B" w:rsidP="00977077">
      <w:pPr>
        <w:spacing w:before="0"/>
        <w:rPr>
          <w:rFonts w:eastAsia="Calibri"/>
          <w:noProof/>
        </w:rPr>
      </w:pPr>
      <w:r w:rsidRPr="00FF009C">
        <w:rPr>
          <w:noProof/>
          <w:shd w:val="clear" w:color="auto" w:fill="FFFFFF"/>
        </w:rPr>
        <w:t>W niniejszej inicjatywie ustawodawczej proponuje się:</w:t>
      </w:r>
    </w:p>
    <w:p w14:paraId="5839D362" w14:textId="1E1348E6" w:rsidR="0043039B" w:rsidRPr="00FF009C" w:rsidRDefault="0043039B" w:rsidP="002073EE">
      <w:pPr>
        <w:pStyle w:val="Bullet0"/>
        <w:numPr>
          <w:ilvl w:val="0"/>
          <w:numId w:val="16"/>
        </w:numPr>
        <w:rPr>
          <w:noProof/>
        </w:rPr>
      </w:pPr>
      <w:r w:rsidRPr="00FF009C">
        <w:rPr>
          <w:b/>
          <w:i/>
          <w:noProof/>
        </w:rPr>
        <w:t>ustanowienie zgodnie</w:t>
      </w:r>
      <w:r w:rsidR="00FF009C" w:rsidRPr="00FF009C">
        <w:rPr>
          <w:b/>
          <w:i/>
          <w:noProof/>
        </w:rPr>
        <w:t xml:space="preserve"> z</w:t>
      </w:r>
      <w:r w:rsidR="00FF009C">
        <w:rPr>
          <w:b/>
          <w:i/>
          <w:noProof/>
        </w:rPr>
        <w:t> </w:t>
      </w:r>
      <w:r w:rsidR="00FF009C" w:rsidRPr="00FF009C">
        <w:rPr>
          <w:b/>
          <w:i/>
          <w:noProof/>
        </w:rPr>
        <w:t>pra</w:t>
      </w:r>
      <w:r w:rsidRPr="00FF009C">
        <w:rPr>
          <w:b/>
          <w:i/>
          <w:noProof/>
        </w:rPr>
        <w:t>wem</w:t>
      </w:r>
      <w:r w:rsidR="00FF009C" w:rsidRPr="00FF009C">
        <w:rPr>
          <w:b/>
          <w:i/>
          <w:noProof/>
        </w:rPr>
        <w:t xml:space="preserve"> w</w:t>
      </w:r>
      <w:r w:rsidR="00FF009C">
        <w:rPr>
          <w:b/>
          <w:i/>
          <w:noProof/>
        </w:rPr>
        <w:t> </w:t>
      </w:r>
      <w:r w:rsidR="00FF009C" w:rsidRPr="00FF009C">
        <w:rPr>
          <w:b/>
          <w:i/>
          <w:noProof/>
        </w:rPr>
        <w:t>ram</w:t>
      </w:r>
      <w:r w:rsidRPr="00FF009C">
        <w:rPr>
          <w:b/>
          <w:i/>
          <w:noProof/>
        </w:rPr>
        <w:t>ach Europolu Europejskiego Centrum Zwalczania Przemytu Migrantów oraz ram zarządzania</w:t>
      </w:r>
      <w:r w:rsidR="00FF009C" w:rsidRPr="00FF009C">
        <w:rPr>
          <w:b/>
          <w:i/>
          <w:noProof/>
        </w:rPr>
        <w:t xml:space="preserve"> w</w:t>
      </w:r>
      <w:r w:rsidR="00FF009C">
        <w:rPr>
          <w:b/>
          <w:i/>
          <w:noProof/>
        </w:rPr>
        <w:t> </w:t>
      </w:r>
      <w:r w:rsidR="00FF009C" w:rsidRPr="00FF009C">
        <w:rPr>
          <w:b/>
          <w:i/>
          <w:noProof/>
        </w:rPr>
        <w:t>cel</w:t>
      </w:r>
      <w:r w:rsidRPr="00FF009C">
        <w:rPr>
          <w:b/>
          <w:i/>
          <w:noProof/>
        </w:rPr>
        <w:t>u regulowania</w:t>
      </w:r>
      <w:r w:rsidR="00FF009C" w:rsidRPr="00FF009C">
        <w:rPr>
          <w:b/>
          <w:i/>
          <w:noProof/>
        </w:rPr>
        <w:t xml:space="preserve"> i</w:t>
      </w:r>
      <w:r w:rsidR="00FF009C">
        <w:rPr>
          <w:b/>
          <w:i/>
          <w:noProof/>
        </w:rPr>
        <w:t> </w:t>
      </w:r>
      <w:r w:rsidR="00FF009C" w:rsidRPr="00FF009C">
        <w:rPr>
          <w:b/>
          <w:i/>
          <w:noProof/>
        </w:rPr>
        <w:t>wsp</w:t>
      </w:r>
      <w:r w:rsidRPr="00FF009C">
        <w:rPr>
          <w:b/>
          <w:i/>
          <w:noProof/>
        </w:rPr>
        <w:t>ierania jego działalności:</w:t>
      </w:r>
      <w:r w:rsidR="00FF009C" w:rsidRPr="00FF009C">
        <w:rPr>
          <w:noProof/>
        </w:rPr>
        <w:t xml:space="preserve"> w</w:t>
      </w:r>
      <w:r w:rsidR="00FF009C">
        <w:rPr>
          <w:noProof/>
        </w:rPr>
        <w:t> </w:t>
      </w:r>
      <w:r w:rsidR="00FF009C" w:rsidRPr="00FF009C">
        <w:rPr>
          <w:noProof/>
        </w:rPr>
        <w:t>ram</w:t>
      </w:r>
      <w:r w:rsidRPr="00FF009C">
        <w:rPr>
          <w:noProof/>
        </w:rPr>
        <w:t>ach niniejszej inicjatywy ustawodawczej ustanawia się Europejskie Centrum Zwalczania Przemytu Migrantów jako ośrodek Unii dysponujący specjalistyczną wiedzą fachową</w:t>
      </w:r>
      <w:r w:rsidR="00FF009C" w:rsidRPr="00FF009C">
        <w:rPr>
          <w:noProof/>
        </w:rPr>
        <w:t xml:space="preserve"> w</w:t>
      </w:r>
      <w:r w:rsidR="00FF009C">
        <w:rPr>
          <w:noProof/>
        </w:rPr>
        <w:t> </w:t>
      </w:r>
      <w:r w:rsidR="00FF009C" w:rsidRPr="00FF009C">
        <w:rPr>
          <w:noProof/>
        </w:rPr>
        <w:t>zak</w:t>
      </w:r>
      <w:r w:rsidRPr="00FF009C">
        <w:rPr>
          <w:noProof/>
        </w:rPr>
        <w:t>resie zwalczania przemytu migrantów</w:t>
      </w:r>
      <w:r w:rsidR="00FF009C" w:rsidRPr="00FF009C">
        <w:rPr>
          <w:noProof/>
        </w:rPr>
        <w:t xml:space="preserve"> i</w:t>
      </w:r>
      <w:r w:rsidR="00FF009C">
        <w:rPr>
          <w:noProof/>
        </w:rPr>
        <w:t> </w:t>
      </w:r>
      <w:r w:rsidR="00FF009C" w:rsidRPr="00FF009C">
        <w:rPr>
          <w:noProof/>
        </w:rPr>
        <w:t>han</w:t>
      </w:r>
      <w:r w:rsidRPr="00FF009C">
        <w:rPr>
          <w:noProof/>
        </w:rPr>
        <w:t>dlu ludźmi. Europejskie Centrum Zwalczania Przemytu Migrantów powinno być punktem kontaktowym wspierającym państwa członkowskie</w:t>
      </w:r>
      <w:r w:rsidR="00FF009C" w:rsidRPr="00FF009C">
        <w:rPr>
          <w:noProof/>
        </w:rPr>
        <w:t xml:space="preserve"> w</w:t>
      </w:r>
      <w:r w:rsidR="00FF009C">
        <w:rPr>
          <w:noProof/>
        </w:rPr>
        <w:t> </w:t>
      </w:r>
      <w:r w:rsidR="00FF009C" w:rsidRPr="00FF009C">
        <w:rPr>
          <w:noProof/>
        </w:rPr>
        <w:t>zap</w:t>
      </w:r>
      <w:r w:rsidRPr="00FF009C">
        <w:rPr>
          <w:noProof/>
        </w:rPr>
        <w:t>obieganiu przemytowi migrantów</w:t>
      </w:r>
      <w:r w:rsidR="00FF009C" w:rsidRPr="00FF009C">
        <w:rPr>
          <w:noProof/>
        </w:rPr>
        <w:t xml:space="preserve"> i</w:t>
      </w:r>
      <w:r w:rsidR="00FF009C">
        <w:rPr>
          <w:noProof/>
        </w:rPr>
        <w:t> </w:t>
      </w:r>
      <w:r w:rsidR="00FF009C" w:rsidRPr="00FF009C">
        <w:rPr>
          <w:noProof/>
        </w:rPr>
        <w:t>han</w:t>
      </w:r>
      <w:r w:rsidRPr="00FF009C">
        <w:rPr>
          <w:noProof/>
        </w:rPr>
        <w:t>dlowi ludźmi oraz</w:t>
      </w:r>
      <w:r w:rsidR="00FF009C" w:rsidRPr="00FF009C">
        <w:rPr>
          <w:noProof/>
        </w:rPr>
        <w:t xml:space="preserve"> w</w:t>
      </w:r>
      <w:r w:rsidR="00FF009C">
        <w:rPr>
          <w:noProof/>
        </w:rPr>
        <w:t> </w:t>
      </w:r>
      <w:r w:rsidR="00FF009C" w:rsidRPr="00FF009C">
        <w:rPr>
          <w:noProof/>
        </w:rPr>
        <w:t>zwa</w:t>
      </w:r>
      <w:r w:rsidRPr="00FF009C">
        <w:rPr>
          <w:noProof/>
        </w:rPr>
        <w:t>lczaniu tych przestępstw oraz</w:t>
      </w:r>
      <w:r w:rsidR="00FF009C" w:rsidRPr="00FF009C">
        <w:rPr>
          <w:noProof/>
        </w:rPr>
        <w:t xml:space="preserve"> a</w:t>
      </w:r>
      <w:r w:rsidR="00FF009C">
        <w:rPr>
          <w:noProof/>
        </w:rPr>
        <w:t> </w:t>
      </w:r>
      <w:r w:rsidR="00FF009C" w:rsidRPr="00FF009C">
        <w:rPr>
          <w:noProof/>
        </w:rPr>
        <w:t>w</w:t>
      </w:r>
      <w:r w:rsidR="00FF009C">
        <w:rPr>
          <w:noProof/>
        </w:rPr>
        <w:t> </w:t>
      </w:r>
      <w:r w:rsidR="00FF009C" w:rsidRPr="00FF009C">
        <w:rPr>
          <w:noProof/>
        </w:rPr>
        <w:t>tym</w:t>
      </w:r>
      <w:r w:rsidRPr="00FF009C">
        <w:rPr>
          <w:noProof/>
        </w:rPr>
        <w:t xml:space="preserve"> kontekście powinno wykonywać konkretne zadania strategiczne</w:t>
      </w:r>
      <w:r w:rsidR="00FF009C" w:rsidRPr="00FF009C">
        <w:rPr>
          <w:noProof/>
        </w:rPr>
        <w:t xml:space="preserve"> i</w:t>
      </w:r>
      <w:r w:rsidR="00FF009C">
        <w:rPr>
          <w:noProof/>
        </w:rPr>
        <w:t> </w:t>
      </w:r>
      <w:r w:rsidR="00FF009C" w:rsidRPr="00FF009C">
        <w:rPr>
          <w:noProof/>
        </w:rPr>
        <w:t>ope</w:t>
      </w:r>
      <w:r w:rsidRPr="00FF009C">
        <w:rPr>
          <w:noProof/>
        </w:rPr>
        <w:t>racyjne; [Art. 3]</w:t>
      </w:r>
    </w:p>
    <w:p w14:paraId="3D6F3C5B" w14:textId="5E1DF7D9" w:rsidR="0043039B" w:rsidRPr="00FF009C" w:rsidRDefault="0043039B" w:rsidP="0043039B">
      <w:pPr>
        <w:pStyle w:val="Bullet0"/>
        <w:rPr>
          <w:noProof/>
        </w:rPr>
      </w:pPr>
      <w:r w:rsidRPr="00FF009C">
        <w:rPr>
          <w:b/>
          <w:i/>
          <w:noProof/>
        </w:rPr>
        <w:t>uwzględnienie składu Europejskiego Centrum Zwalczania Przemytu Migrantów:</w:t>
      </w:r>
      <w:r w:rsidR="00FF009C" w:rsidRPr="00FF009C">
        <w:rPr>
          <w:noProof/>
        </w:rPr>
        <w:t xml:space="preserve"> w</w:t>
      </w:r>
      <w:r w:rsidR="00FF009C">
        <w:rPr>
          <w:noProof/>
        </w:rPr>
        <w:t> </w:t>
      </w:r>
      <w:r w:rsidR="00FF009C" w:rsidRPr="00FF009C">
        <w:rPr>
          <w:noProof/>
        </w:rPr>
        <w:t>nin</w:t>
      </w:r>
      <w:r w:rsidRPr="00FF009C">
        <w:rPr>
          <w:noProof/>
        </w:rPr>
        <w:t>iejszej inicjatywie ustawodawczej uwzględnia się skład Europejskiego Centrum Zwalczania Przemytu Migrantów oraz konkretnych podmiotów, które powinny być zaangażowane</w:t>
      </w:r>
      <w:r w:rsidR="00FF009C" w:rsidRPr="00FF009C">
        <w:rPr>
          <w:noProof/>
        </w:rPr>
        <w:t xml:space="preserve"> w</w:t>
      </w:r>
      <w:r w:rsidR="00FF009C">
        <w:rPr>
          <w:noProof/>
        </w:rPr>
        <w:t> </w:t>
      </w:r>
      <w:r w:rsidR="00FF009C" w:rsidRPr="00FF009C">
        <w:rPr>
          <w:noProof/>
        </w:rPr>
        <w:t>wyk</w:t>
      </w:r>
      <w:r w:rsidRPr="00FF009C">
        <w:rPr>
          <w:noProof/>
        </w:rPr>
        <w:t>onywanie jego zadań, zarówno do celów analizy strategicznej, jak i do celów wsparcia operacyjnego</w:t>
      </w:r>
      <w:r w:rsidR="00FF009C" w:rsidRPr="00FF009C">
        <w:rPr>
          <w:noProof/>
        </w:rPr>
        <w:t xml:space="preserve"> i</w:t>
      </w:r>
      <w:r w:rsidR="00FF009C">
        <w:rPr>
          <w:noProof/>
        </w:rPr>
        <w:t> </w:t>
      </w:r>
      <w:r w:rsidR="00FF009C" w:rsidRPr="00FF009C">
        <w:rPr>
          <w:noProof/>
        </w:rPr>
        <w:t>tec</w:t>
      </w:r>
      <w:r w:rsidRPr="00FF009C">
        <w:rPr>
          <w:noProof/>
        </w:rPr>
        <w:t>hnicznego na potrzeby zapobiegania przemytowi migrantów</w:t>
      </w:r>
      <w:r w:rsidR="00FF009C" w:rsidRPr="00FF009C">
        <w:rPr>
          <w:noProof/>
        </w:rPr>
        <w:t xml:space="preserve"> i</w:t>
      </w:r>
      <w:r w:rsidR="00FF009C">
        <w:rPr>
          <w:noProof/>
        </w:rPr>
        <w:t> </w:t>
      </w:r>
      <w:r w:rsidR="00FF009C" w:rsidRPr="00FF009C">
        <w:rPr>
          <w:noProof/>
        </w:rPr>
        <w:t>han</w:t>
      </w:r>
      <w:r w:rsidRPr="00FF009C">
        <w:rPr>
          <w:noProof/>
        </w:rPr>
        <w:t>dlowi ludźmi oraz zwalczania tych przestępstw. Europejskie Centrum Zwalczania Przemytu Migrantów powinno być wspierane przez wszystkie inne odpowiednie struktury wewnętrzne Europolu; [Art. 4]</w:t>
      </w:r>
    </w:p>
    <w:p w14:paraId="6F6B3C28" w14:textId="06500A4D" w:rsidR="0043039B" w:rsidRPr="00FF009C" w:rsidRDefault="0043039B" w:rsidP="0043039B">
      <w:pPr>
        <w:pStyle w:val="Bullet0"/>
        <w:rPr>
          <w:noProof/>
        </w:rPr>
      </w:pPr>
      <w:r w:rsidRPr="00FF009C">
        <w:rPr>
          <w:b/>
          <w:i/>
          <w:noProof/>
        </w:rPr>
        <w:t>określenie strategicznych</w:t>
      </w:r>
      <w:r w:rsidR="00FF009C" w:rsidRPr="00FF009C">
        <w:rPr>
          <w:b/>
          <w:i/>
          <w:noProof/>
        </w:rPr>
        <w:t xml:space="preserve"> i</w:t>
      </w:r>
      <w:r w:rsidR="00FF009C">
        <w:rPr>
          <w:b/>
          <w:i/>
          <w:noProof/>
        </w:rPr>
        <w:t> </w:t>
      </w:r>
      <w:r w:rsidR="00FF009C" w:rsidRPr="00FF009C">
        <w:rPr>
          <w:b/>
          <w:i/>
          <w:noProof/>
        </w:rPr>
        <w:t>ope</w:t>
      </w:r>
      <w:r w:rsidRPr="00FF009C">
        <w:rPr>
          <w:b/>
          <w:i/>
          <w:noProof/>
        </w:rPr>
        <w:t>racyjnych zadań Europejskiego Centrum Zwalczania Przemytu Migrantów:</w:t>
      </w:r>
      <w:r w:rsidR="00FF009C" w:rsidRPr="00FF009C">
        <w:rPr>
          <w:noProof/>
        </w:rPr>
        <w:t xml:space="preserve"> w</w:t>
      </w:r>
      <w:r w:rsidR="00FF009C">
        <w:rPr>
          <w:noProof/>
        </w:rPr>
        <w:t> </w:t>
      </w:r>
      <w:r w:rsidR="00FF009C" w:rsidRPr="00FF009C">
        <w:rPr>
          <w:noProof/>
        </w:rPr>
        <w:t>nin</w:t>
      </w:r>
      <w:r w:rsidRPr="00FF009C">
        <w:rPr>
          <w:noProof/>
        </w:rPr>
        <w:t>iejszej inicjatywie ustawodawczej określa się szczegółowe zadania Centrum zarówno do celów analizy strategicznej, jak i do celów wsparcia operacyjnego</w:t>
      </w:r>
      <w:r w:rsidR="00FF009C" w:rsidRPr="00FF009C">
        <w:rPr>
          <w:noProof/>
        </w:rPr>
        <w:t xml:space="preserve"> i</w:t>
      </w:r>
      <w:r w:rsidR="00FF009C">
        <w:rPr>
          <w:noProof/>
        </w:rPr>
        <w:t> </w:t>
      </w:r>
      <w:r w:rsidR="00FF009C" w:rsidRPr="00FF009C">
        <w:rPr>
          <w:noProof/>
        </w:rPr>
        <w:t>tec</w:t>
      </w:r>
      <w:r w:rsidRPr="00FF009C">
        <w:rPr>
          <w:noProof/>
        </w:rPr>
        <w:t>hnicznego na potrzeby zapobiegania przemytowi migrantów</w:t>
      </w:r>
      <w:r w:rsidR="00FF009C" w:rsidRPr="00FF009C">
        <w:rPr>
          <w:noProof/>
        </w:rPr>
        <w:t xml:space="preserve"> i</w:t>
      </w:r>
      <w:r w:rsidR="00FF009C">
        <w:rPr>
          <w:noProof/>
        </w:rPr>
        <w:t> </w:t>
      </w:r>
      <w:r w:rsidR="00FF009C" w:rsidRPr="00FF009C">
        <w:rPr>
          <w:noProof/>
        </w:rPr>
        <w:t>han</w:t>
      </w:r>
      <w:r w:rsidRPr="00FF009C">
        <w:rPr>
          <w:noProof/>
        </w:rPr>
        <w:t>dlowi ludźmi oraz zwalczania tych przestępstw. Na szczeblu strategicznym zadania te obejmują dostarczanie analiz strategicznych</w:t>
      </w:r>
      <w:r w:rsidR="00FF009C" w:rsidRPr="00FF009C">
        <w:rPr>
          <w:noProof/>
        </w:rPr>
        <w:t xml:space="preserve"> i</w:t>
      </w:r>
      <w:r w:rsidR="00FF009C">
        <w:rPr>
          <w:noProof/>
        </w:rPr>
        <w:t> </w:t>
      </w:r>
      <w:r w:rsidR="00FF009C" w:rsidRPr="00FF009C">
        <w:rPr>
          <w:noProof/>
        </w:rPr>
        <w:t>oce</w:t>
      </w:r>
      <w:r w:rsidRPr="00FF009C">
        <w:rPr>
          <w:noProof/>
        </w:rPr>
        <w:t>n zagrożenia, udzielanie wsparcia</w:t>
      </w:r>
      <w:r w:rsidR="00FF009C" w:rsidRPr="00FF009C">
        <w:rPr>
          <w:noProof/>
        </w:rPr>
        <w:t xml:space="preserve"> w</w:t>
      </w:r>
      <w:r w:rsidR="00FF009C">
        <w:rPr>
          <w:noProof/>
        </w:rPr>
        <w:t> </w:t>
      </w:r>
      <w:r w:rsidR="00FF009C" w:rsidRPr="00FF009C">
        <w:rPr>
          <w:noProof/>
        </w:rPr>
        <w:t>ope</w:t>
      </w:r>
      <w:r w:rsidRPr="00FF009C">
        <w:rPr>
          <w:noProof/>
        </w:rPr>
        <w:t>racyjnym wdrażaniu priorytetów strategicznych</w:t>
      </w:r>
      <w:r w:rsidR="00FF009C" w:rsidRPr="00FF009C">
        <w:rPr>
          <w:noProof/>
        </w:rPr>
        <w:t xml:space="preserve"> i</w:t>
      </w:r>
      <w:r w:rsidR="00FF009C">
        <w:rPr>
          <w:noProof/>
        </w:rPr>
        <w:t> </w:t>
      </w:r>
      <w:r w:rsidR="00FF009C" w:rsidRPr="00FF009C">
        <w:rPr>
          <w:noProof/>
        </w:rPr>
        <w:t>ope</w:t>
      </w:r>
      <w:r w:rsidRPr="00FF009C">
        <w:rPr>
          <w:noProof/>
        </w:rPr>
        <w:t>racyjnych, wspieranie koordynacji, współpracy</w:t>
      </w:r>
      <w:r w:rsidR="00FF009C" w:rsidRPr="00FF009C">
        <w:rPr>
          <w:noProof/>
        </w:rPr>
        <w:t xml:space="preserve"> i</w:t>
      </w:r>
      <w:r w:rsidR="00FF009C">
        <w:rPr>
          <w:noProof/>
        </w:rPr>
        <w:t> </w:t>
      </w:r>
      <w:r w:rsidR="00FF009C" w:rsidRPr="00FF009C">
        <w:rPr>
          <w:noProof/>
        </w:rPr>
        <w:t>wym</w:t>
      </w:r>
      <w:r w:rsidRPr="00FF009C">
        <w:rPr>
          <w:noProof/>
        </w:rPr>
        <w:t>iany informacji, monitorowanie przemytu migrantów</w:t>
      </w:r>
      <w:r w:rsidR="00FF009C" w:rsidRPr="00FF009C">
        <w:rPr>
          <w:noProof/>
        </w:rPr>
        <w:t xml:space="preserve"> i</w:t>
      </w:r>
      <w:r w:rsidR="00FF009C">
        <w:rPr>
          <w:noProof/>
        </w:rPr>
        <w:t> </w:t>
      </w:r>
      <w:r w:rsidR="00FF009C" w:rsidRPr="00FF009C">
        <w:rPr>
          <w:noProof/>
        </w:rPr>
        <w:t>han</w:t>
      </w:r>
      <w:r w:rsidRPr="00FF009C">
        <w:rPr>
          <w:noProof/>
        </w:rPr>
        <w:t>dlu ludźmi oraz sporządzanie sprawozdania rocznego</w:t>
      </w:r>
      <w:r w:rsidR="00FF009C" w:rsidRPr="00FF009C">
        <w:rPr>
          <w:noProof/>
        </w:rPr>
        <w:t>. W</w:t>
      </w:r>
      <w:r w:rsidR="00FF009C">
        <w:rPr>
          <w:noProof/>
        </w:rPr>
        <w:t> </w:t>
      </w:r>
      <w:r w:rsidR="00FF009C" w:rsidRPr="00FF009C">
        <w:rPr>
          <w:noProof/>
        </w:rPr>
        <w:t>tym</w:t>
      </w:r>
      <w:r w:rsidRPr="00FF009C">
        <w:rPr>
          <w:noProof/>
        </w:rPr>
        <w:t xml:space="preserve"> kontekście co najmniej dwa razy</w:t>
      </w:r>
      <w:r w:rsidR="00FF009C" w:rsidRPr="00FF009C">
        <w:rPr>
          <w:noProof/>
        </w:rPr>
        <w:t xml:space="preserve"> w</w:t>
      </w:r>
      <w:r w:rsidR="00FF009C">
        <w:rPr>
          <w:noProof/>
        </w:rPr>
        <w:t> </w:t>
      </w:r>
      <w:r w:rsidR="00FF009C" w:rsidRPr="00FF009C">
        <w:rPr>
          <w:noProof/>
        </w:rPr>
        <w:t>rok</w:t>
      </w:r>
      <w:r w:rsidRPr="00FF009C">
        <w:rPr>
          <w:noProof/>
        </w:rPr>
        <w:t>u Europejskie Centrum Zwalczania Przemytu Migrantów będzie również organizować spotkanie podmiotów reprezentowanych</w:t>
      </w:r>
      <w:r w:rsidR="00FF009C" w:rsidRPr="00FF009C">
        <w:rPr>
          <w:noProof/>
        </w:rPr>
        <w:t xml:space="preserve"> w</w:t>
      </w:r>
      <w:r w:rsidR="00FF009C">
        <w:rPr>
          <w:noProof/>
        </w:rPr>
        <w:t> </w:t>
      </w:r>
      <w:r w:rsidR="00FF009C" w:rsidRPr="00FF009C">
        <w:rPr>
          <w:noProof/>
        </w:rPr>
        <w:t>Cen</w:t>
      </w:r>
      <w:r w:rsidRPr="00FF009C">
        <w:rPr>
          <w:noProof/>
        </w:rPr>
        <w:t>trum, aby zapewnić skuteczne kierowanie</w:t>
      </w:r>
      <w:r w:rsidR="00FF009C" w:rsidRPr="00FF009C">
        <w:rPr>
          <w:noProof/>
        </w:rPr>
        <w:t xml:space="preserve"> i</w:t>
      </w:r>
      <w:r w:rsidR="00FF009C">
        <w:rPr>
          <w:noProof/>
        </w:rPr>
        <w:t> </w:t>
      </w:r>
      <w:r w:rsidR="00FF009C" w:rsidRPr="00FF009C">
        <w:rPr>
          <w:noProof/>
        </w:rPr>
        <w:t>sku</w:t>
      </w:r>
      <w:r w:rsidRPr="00FF009C">
        <w:rPr>
          <w:noProof/>
        </w:rPr>
        <w:t>teczną koordynację na szczeblu Unii. Na szczeblu operacyjnym zadania Europejskiego Centrum Zwalczania Przemytu Migrantów obejmują koordynację, organizację</w:t>
      </w:r>
      <w:r w:rsidR="00FF009C" w:rsidRPr="00FF009C">
        <w:rPr>
          <w:noProof/>
        </w:rPr>
        <w:t xml:space="preserve"> i</w:t>
      </w:r>
      <w:r w:rsidR="00FF009C">
        <w:rPr>
          <w:noProof/>
        </w:rPr>
        <w:t> </w:t>
      </w:r>
      <w:r w:rsidR="00FF009C" w:rsidRPr="00FF009C">
        <w:rPr>
          <w:noProof/>
        </w:rPr>
        <w:t>wdr</w:t>
      </w:r>
      <w:r w:rsidRPr="00FF009C">
        <w:rPr>
          <w:noProof/>
        </w:rPr>
        <w:t>ażanie działań procesowych</w:t>
      </w:r>
      <w:r w:rsidR="00FF009C" w:rsidRPr="00FF009C">
        <w:rPr>
          <w:noProof/>
        </w:rPr>
        <w:t xml:space="preserve"> i</w:t>
      </w:r>
      <w:r w:rsidR="00FF009C">
        <w:rPr>
          <w:noProof/>
        </w:rPr>
        <w:t> </w:t>
      </w:r>
      <w:r w:rsidR="00FF009C" w:rsidRPr="00FF009C">
        <w:rPr>
          <w:noProof/>
        </w:rPr>
        <w:t>ope</w:t>
      </w:r>
      <w:r w:rsidRPr="00FF009C">
        <w:rPr>
          <w:noProof/>
        </w:rPr>
        <w:t>racyjnych mających na celu wspieranie</w:t>
      </w:r>
      <w:r w:rsidR="00FF009C" w:rsidRPr="00FF009C">
        <w:rPr>
          <w:noProof/>
        </w:rPr>
        <w:t xml:space="preserve"> i</w:t>
      </w:r>
      <w:r w:rsidR="00FF009C">
        <w:rPr>
          <w:noProof/>
        </w:rPr>
        <w:t> </w:t>
      </w:r>
      <w:r w:rsidR="00FF009C" w:rsidRPr="00FF009C">
        <w:rPr>
          <w:noProof/>
        </w:rPr>
        <w:t>wzm</w:t>
      </w:r>
      <w:r w:rsidRPr="00FF009C">
        <w:rPr>
          <w:noProof/>
        </w:rPr>
        <w:t>acnianie działań właściwych organów państw członkowskich, wspieranie prowadzonych przez państwa członkowskie transgranicznych działań</w:t>
      </w:r>
      <w:r w:rsidR="00FF009C" w:rsidRPr="00FF009C">
        <w:rPr>
          <w:noProof/>
        </w:rPr>
        <w:t xml:space="preserve"> w</w:t>
      </w:r>
      <w:r w:rsidR="00FF009C">
        <w:rPr>
          <w:noProof/>
        </w:rPr>
        <w:t> </w:t>
      </w:r>
      <w:r w:rsidR="00FF009C" w:rsidRPr="00FF009C">
        <w:rPr>
          <w:noProof/>
        </w:rPr>
        <w:t>zak</w:t>
      </w:r>
      <w:r w:rsidRPr="00FF009C">
        <w:rPr>
          <w:noProof/>
        </w:rPr>
        <w:t>resie wymiany informacji, operacji</w:t>
      </w:r>
      <w:r w:rsidR="00FF009C" w:rsidRPr="00FF009C">
        <w:rPr>
          <w:noProof/>
        </w:rPr>
        <w:t xml:space="preserve"> i</w:t>
      </w:r>
      <w:r w:rsidR="00FF009C">
        <w:rPr>
          <w:noProof/>
        </w:rPr>
        <w:t> </w:t>
      </w:r>
      <w:r w:rsidR="00FF009C" w:rsidRPr="00FF009C">
        <w:rPr>
          <w:noProof/>
        </w:rPr>
        <w:t>pos</w:t>
      </w:r>
      <w:r w:rsidRPr="00FF009C">
        <w:rPr>
          <w:noProof/>
        </w:rPr>
        <w:t>tępowań przygotowawczych,</w:t>
      </w:r>
      <w:r w:rsidR="00FF009C" w:rsidRPr="00FF009C">
        <w:rPr>
          <w:noProof/>
        </w:rPr>
        <w:t xml:space="preserve"> a</w:t>
      </w:r>
      <w:r w:rsidR="00FF009C">
        <w:rPr>
          <w:noProof/>
        </w:rPr>
        <w:t> </w:t>
      </w:r>
      <w:r w:rsidR="00FF009C" w:rsidRPr="00FF009C">
        <w:rPr>
          <w:noProof/>
        </w:rPr>
        <w:t>tak</w:t>
      </w:r>
      <w:r w:rsidRPr="00FF009C">
        <w:rPr>
          <w:noProof/>
        </w:rPr>
        <w:t>że wspólnych zespołów dochodzeniowo-śledczych</w:t>
      </w:r>
      <w:r w:rsidR="00FF009C" w:rsidRPr="00FF009C">
        <w:rPr>
          <w:noProof/>
        </w:rPr>
        <w:t xml:space="preserve"> i</w:t>
      </w:r>
      <w:r w:rsidR="00FF009C">
        <w:rPr>
          <w:noProof/>
        </w:rPr>
        <w:t> </w:t>
      </w:r>
      <w:r w:rsidR="00FF009C" w:rsidRPr="00FF009C">
        <w:rPr>
          <w:noProof/>
        </w:rPr>
        <w:t>ope</w:t>
      </w:r>
      <w:r w:rsidRPr="00FF009C">
        <w:rPr>
          <w:noProof/>
        </w:rPr>
        <w:t>racyjnych grup zadaniowych,</w:t>
      </w:r>
      <w:r w:rsidR="00FF009C" w:rsidRPr="00FF009C">
        <w:rPr>
          <w:noProof/>
        </w:rPr>
        <w:t xml:space="preserve"> a</w:t>
      </w:r>
      <w:r w:rsidR="00FF009C">
        <w:rPr>
          <w:noProof/>
        </w:rPr>
        <w:t> </w:t>
      </w:r>
      <w:r w:rsidR="00FF009C" w:rsidRPr="00FF009C">
        <w:rPr>
          <w:noProof/>
        </w:rPr>
        <w:t>tak</w:t>
      </w:r>
      <w:r w:rsidRPr="00FF009C">
        <w:rPr>
          <w:noProof/>
        </w:rPr>
        <w:t>że określanie przypadków przemytu migrantów</w:t>
      </w:r>
      <w:r w:rsidR="00FF009C" w:rsidRPr="00FF009C">
        <w:rPr>
          <w:noProof/>
        </w:rPr>
        <w:t xml:space="preserve"> i</w:t>
      </w:r>
      <w:r w:rsidR="00FF009C">
        <w:rPr>
          <w:noProof/>
        </w:rPr>
        <w:t> </w:t>
      </w:r>
      <w:r w:rsidR="00FF009C" w:rsidRPr="00FF009C">
        <w:rPr>
          <w:noProof/>
        </w:rPr>
        <w:t>han</w:t>
      </w:r>
      <w:r w:rsidRPr="00FF009C">
        <w:rPr>
          <w:noProof/>
        </w:rPr>
        <w:t>dlu ludźmi, które mogą wymagać zaawansowanego wsparcia operacyjnego; [Art. 5, 6]</w:t>
      </w:r>
    </w:p>
    <w:p w14:paraId="7FEFC735" w14:textId="02FB6F70" w:rsidR="0043039B" w:rsidRPr="00FF009C" w:rsidRDefault="0043039B" w:rsidP="0043039B">
      <w:pPr>
        <w:pStyle w:val="Bullet0"/>
        <w:rPr>
          <w:noProof/>
        </w:rPr>
      </w:pPr>
      <w:r w:rsidRPr="00FF009C">
        <w:rPr>
          <w:b/>
          <w:i/>
          <w:noProof/>
        </w:rPr>
        <w:t>wyznaczenie we właściwych organach państw członkowskich służb wyspecjalizowanych</w:t>
      </w:r>
      <w:r w:rsidR="00FF009C" w:rsidRPr="00FF009C">
        <w:rPr>
          <w:b/>
          <w:i/>
          <w:noProof/>
        </w:rPr>
        <w:t xml:space="preserve"> w</w:t>
      </w:r>
      <w:r w:rsidR="00FF009C">
        <w:rPr>
          <w:b/>
          <w:i/>
          <w:noProof/>
        </w:rPr>
        <w:t> </w:t>
      </w:r>
      <w:r w:rsidR="00FF009C" w:rsidRPr="00FF009C">
        <w:rPr>
          <w:b/>
          <w:i/>
          <w:noProof/>
        </w:rPr>
        <w:t>zap</w:t>
      </w:r>
      <w:r w:rsidRPr="00FF009C">
        <w:rPr>
          <w:b/>
          <w:i/>
          <w:noProof/>
        </w:rPr>
        <w:t>obieganiu przemytowi migrantów</w:t>
      </w:r>
      <w:r w:rsidR="00FF009C" w:rsidRPr="00FF009C">
        <w:rPr>
          <w:b/>
          <w:i/>
          <w:noProof/>
        </w:rPr>
        <w:t xml:space="preserve"> i</w:t>
      </w:r>
      <w:r w:rsidR="00FF009C">
        <w:rPr>
          <w:b/>
          <w:i/>
          <w:noProof/>
        </w:rPr>
        <w:t> </w:t>
      </w:r>
      <w:r w:rsidR="00FF009C" w:rsidRPr="00FF009C">
        <w:rPr>
          <w:b/>
          <w:i/>
          <w:noProof/>
        </w:rPr>
        <w:t>han</w:t>
      </w:r>
      <w:r w:rsidRPr="00FF009C">
        <w:rPr>
          <w:b/>
          <w:i/>
          <w:noProof/>
        </w:rPr>
        <w:t>dlowi ludźmi oraz zwalczaniu tych przestępstw:</w:t>
      </w:r>
      <w:r w:rsidR="00FF009C" w:rsidRPr="00FF009C">
        <w:rPr>
          <w:noProof/>
        </w:rPr>
        <w:t xml:space="preserve"> w</w:t>
      </w:r>
      <w:r w:rsidR="00FF009C">
        <w:rPr>
          <w:noProof/>
        </w:rPr>
        <w:t> </w:t>
      </w:r>
      <w:r w:rsidR="00FF009C" w:rsidRPr="00FF009C">
        <w:rPr>
          <w:noProof/>
        </w:rPr>
        <w:t>nin</w:t>
      </w:r>
      <w:r w:rsidRPr="00FF009C">
        <w:rPr>
          <w:noProof/>
        </w:rPr>
        <w:t>iejszej inicjatywie ustawodawczej przewiduje się, że każde państwo członkowskie powinno wyznaczyć co najmniej jedną służbę wyspecjalizowaną</w:t>
      </w:r>
      <w:r w:rsidR="00FF009C" w:rsidRPr="00FF009C">
        <w:rPr>
          <w:noProof/>
        </w:rPr>
        <w:t xml:space="preserve"> w</w:t>
      </w:r>
      <w:r w:rsidR="00FF009C">
        <w:rPr>
          <w:noProof/>
        </w:rPr>
        <w:t> </w:t>
      </w:r>
      <w:r w:rsidR="00FF009C" w:rsidRPr="00FF009C">
        <w:rPr>
          <w:noProof/>
        </w:rPr>
        <w:t>zap</w:t>
      </w:r>
      <w:r w:rsidRPr="00FF009C">
        <w:rPr>
          <w:noProof/>
        </w:rPr>
        <w:t>obieganiu przemytowi migrantów</w:t>
      </w:r>
      <w:r w:rsidR="00FF009C" w:rsidRPr="00FF009C">
        <w:rPr>
          <w:noProof/>
        </w:rPr>
        <w:t xml:space="preserve"> i</w:t>
      </w:r>
      <w:r w:rsidR="00FF009C">
        <w:rPr>
          <w:noProof/>
        </w:rPr>
        <w:t> </w:t>
      </w:r>
      <w:r w:rsidR="00FF009C" w:rsidRPr="00FF009C">
        <w:rPr>
          <w:noProof/>
        </w:rPr>
        <w:t>han</w:t>
      </w:r>
      <w:r w:rsidRPr="00FF009C">
        <w:rPr>
          <w:noProof/>
        </w:rPr>
        <w:t>dlowi ludźmi</w:t>
      </w:r>
      <w:r w:rsidR="00FF009C" w:rsidRPr="00FF009C">
        <w:rPr>
          <w:noProof/>
        </w:rPr>
        <w:t xml:space="preserve"> i</w:t>
      </w:r>
      <w:r w:rsidR="00FF009C">
        <w:rPr>
          <w:noProof/>
        </w:rPr>
        <w:t> </w:t>
      </w:r>
      <w:r w:rsidR="00FF009C" w:rsidRPr="00FF009C">
        <w:rPr>
          <w:noProof/>
        </w:rPr>
        <w:t>zwa</w:t>
      </w:r>
      <w:r w:rsidRPr="00FF009C">
        <w:rPr>
          <w:noProof/>
        </w:rPr>
        <w:t>lczaniu tych przestępstw, m.in.</w:t>
      </w:r>
      <w:r w:rsidR="00FF009C" w:rsidRPr="00FF009C">
        <w:rPr>
          <w:noProof/>
        </w:rPr>
        <w:t xml:space="preserve"> w</w:t>
      </w:r>
      <w:r w:rsidR="00FF009C">
        <w:rPr>
          <w:noProof/>
        </w:rPr>
        <w:t> </w:t>
      </w:r>
      <w:r w:rsidR="00FF009C" w:rsidRPr="00FF009C">
        <w:rPr>
          <w:noProof/>
        </w:rPr>
        <w:t>dro</w:t>
      </w:r>
      <w:r w:rsidRPr="00FF009C">
        <w:rPr>
          <w:noProof/>
        </w:rPr>
        <w:t>dze postępowań przygotowawczych,</w:t>
      </w:r>
      <w:r w:rsidR="00FF009C" w:rsidRPr="00FF009C">
        <w:rPr>
          <w:noProof/>
        </w:rPr>
        <w:t xml:space="preserve"> a</w:t>
      </w:r>
      <w:r w:rsidR="00FF009C">
        <w:rPr>
          <w:noProof/>
        </w:rPr>
        <w:t> </w:t>
      </w:r>
      <w:r w:rsidR="00FF009C" w:rsidRPr="00FF009C">
        <w:rPr>
          <w:noProof/>
        </w:rPr>
        <w:t>tak</w:t>
      </w:r>
      <w:r w:rsidRPr="00FF009C">
        <w:rPr>
          <w:noProof/>
        </w:rPr>
        <w:t>że zapewnić, aby służby te jak najszybciej gromadziły</w:t>
      </w:r>
      <w:r w:rsidR="00FF009C" w:rsidRPr="00FF009C">
        <w:rPr>
          <w:noProof/>
        </w:rPr>
        <w:t xml:space="preserve"> i</w:t>
      </w:r>
      <w:r w:rsidR="00FF009C">
        <w:rPr>
          <w:noProof/>
        </w:rPr>
        <w:t> </w:t>
      </w:r>
      <w:r w:rsidR="00FF009C" w:rsidRPr="00FF009C">
        <w:rPr>
          <w:noProof/>
        </w:rPr>
        <w:t>wym</w:t>
      </w:r>
      <w:r w:rsidRPr="00FF009C">
        <w:rPr>
          <w:noProof/>
        </w:rPr>
        <w:t>ieniały wszystkie istotne informacje</w:t>
      </w:r>
      <w:r w:rsidR="00FF009C" w:rsidRPr="00FF009C">
        <w:rPr>
          <w:noProof/>
        </w:rPr>
        <w:t xml:space="preserve"> z</w:t>
      </w:r>
      <w:r w:rsidR="00FF009C">
        <w:rPr>
          <w:noProof/>
        </w:rPr>
        <w:t> </w:t>
      </w:r>
      <w:r w:rsidR="00FF009C" w:rsidRPr="00FF009C">
        <w:rPr>
          <w:noProof/>
        </w:rPr>
        <w:t>Eur</w:t>
      </w:r>
      <w:r w:rsidRPr="00FF009C">
        <w:rPr>
          <w:noProof/>
        </w:rPr>
        <w:t>opolem</w:t>
      </w:r>
      <w:r w:rsidR="00FF009C" w:rsidRPr="00FF009C">
        <w:rPr>
          <w:noProof/>
        </w:rPr>
        <w:t xml:space="preserve"> i</w:t>
      </w:r>
      <w:r w:rsidR="00FF009C">
        <w:rPr>
          <w:noProof/>
        </w:rPr>
        <w:t> </w:t>
      </w:r>
      <w:r w:rsidR="00FF009C" w:rsidRPr="00FF009C">
        <w:rPr>
          <w:noProof/>
        </w:rPr>
        <w:t>inn</w:t>
      </w:r>
      <w:r w:rsidRPr="00FF009C">
        <w:rPr>
          <w:noProof/>
        </w:rPr>
        <w:t>ymi państwami członkowskimi za pośrednictwem aplikacji SIENA; [Art. 8]</w:t>
      </w:r>
    </w:p>
    <w:p w14:paraId="2CBA460C" w14:textId="01E7A666" w:rsidR="0043039B" w:rsidRPr="00FF009C" w:rsidRDefault="0043039B" w:rsidP="0043039B">
      <w:pPr>
        <w:pStyle w:val="Bullet0"/>
        <w:rPr>
          <w:noProof/>
        </w:rPr>
      </w:pPr>
      <w:r w:rsidRPr="00FF009C">
        <w:rPr>
          <w:b/>
          <w:i/>
          <w:noProof/>
        </w:rPr>
        <w:t>zapewnienie Europolowi niezbędnych zaawansowanych narzędzi na potrzeby wspierania państw członkowskich</w:t>
      </w:r>
      <w:r w:rsidR="00FF009C" w:rsidRPr="00FF009C">
        <w:rPr>
          <w:b/>
          <w:i/>
          <w:noProof/>
        </w:rPr>
        <w:t xml:space="preserve"> w</w:t>
      </w:r>
      <w:r w:rsidR="00FF009C">
        <w:rPr>
          <w:b/>
          <w:i/>
          <w:noProof/>
        </w:rPr>
        <w:t> </w:t>
      </w:r>
      <w:r w:rsidR="00FF009C" w:rsidRPr="00FF009C">
        <w:rPr>
          <w:b/>
          <w:i/>
          <w:noProof/>
        </w:rPr>
        <w:t>zap</w:t>
      </w:r>
      <w:r w:rsidRPr="00FF009C">
        <w:rPr>
          <w:b/>
          <w:i/>
          <w:noProof/>
        </w:rPr>
        <w:t>obieganiu przemytowi migrantów</w:t>
      </w:r>
      <w:r w:rsidR="00FF009C" w:rsidRPr="00FF009C">
        <w:rPr>
          <w:b/>
          <w:i/>
          <w:noProof/>
        </w:rPr>
        <w:t xml:space="preserve"> i</w:t>
      </w:r>
      <w:r w:rsidR="00FF009C">
        <w:rPr>
          <w:b/>
          <w:i/>
          <w:noProof/>
        </w:rPr>
        <w:t> </w:t>
      </w:r>
      <w:r w:rsidR="00FF009C" w:rsidRPr="00FF009C">
        <w:rPr>
          <w:b/>
          <w:i/>
          <w:noProof/>
        </w:rPr>
        <w:t>prz</w:t>
      </w:r>
      <w:r w:rsidRPr="00FF009C">
        <w:rPr>
          <w:b/>
          <w:i/>
          <w:noProof/>
        </w:rPr>
        <w:t>estępstwom wchodzącym</w:t>
      </w:r>
      <w:r w:rsidR="00FF009C" w:rsidRPr="00FF009C">
        <w:rPr>
          <w:b/>
          <w:i/>
          <w:noProof/>
        </w:rPr>
        <w:t xml:space="preserve"> w</w:t>
      </w:r>
      <w:r w:rsidR="00FF009C">
        <w:rPr>
          <w:b/>
          <w:i/>
          <w:noProof/>
        </w:rPr>
        <w:t> </w:t>
      </w:r>
      <w:r w:rsidR="00FF009C" w:rsidRPr="00FF009C">
        <w:rPr>
          <w:b/>
          <w:i/>
          <w:noProof/>
        </w:rPr>
        <w:t>zak</w:t>
      </w:r>
      <w:r w:rsidRPr="00FF009C">
        <w:rPr>
          <w:b/>
          <w:i/>
          <w:noProof/>
        </w:rPr>
        <w:t>res celów Europolu</w:t>
      </w:r>
      <w:r w:rsidR="00FF009C" w:rsidRPr="00FF009C">
        <w:rPr>
          <w:b/>
          <w:i/>
          <w:noProof/>
        </w:rPr>
        <w:t xml:space="preserve"> i</w:t>
      </w:r>
      <w:r w:rsidR="00FF009C">
        <w:rPr>
          <w:b/>
          <w:i/>
          <w:noProof/>
        </w:rPr>
        <w:t> </w:t>
      </w:r>
      <w:r w:rsidR="00FF009C" w:rsidRPr="00FF009C">
        <w:rPr>
          <w:b/>
          <w:i/>
          <w:noProof/>
        </w:rPr>
        <w:t>ich</w:t>
      </w:r>
      <w:r w:rsidRPr="00FF009C">
        <w:rPr>
          <w:b/>
          <w:i/>
          <w:noProof/>
        </w:rPr>
        <w:t xml:space="preserve"> zwalczania:</w:t>
      </w:r>
      <w:r w:rsidR="00FF009C" w:rsidRPr="00FF009C">
        <w:rPr>
          <w:noProof/>
        </w:rPr>
        <w:t xml:space="preserve"> w</w:t>
      </w:r>
      <w:r w:rsidR="00FF009C">
        <w:rPr>
          <w:noProof/>
        </w:rPr>
        <w:t> </w:t>
      </w:r>
      <w:r w:rsidR="00FF009C" w:rsidRPr="00FF009C">
        <w:rPr>
          <w:noProof/>
        </w:rPr>
        <w:t>ram</w:t>
      </w:r>
      <w:r w:rsidRPr="00FF009C">
        <w:rPr>
          <w:noProof/>
        </w:rPr>
        <w:t>ach niniejszej inicjatywy ustawodawczej ustanawia się operacyjne grupy zadaniowe jako mechanizmy koordynacji ustanawiane przez państwa członkowskie przy wsparciu ze strony Europolu na potrzeby prowadzenia wspólnych, skoordynowanych</w:t>
      </w:r>
      <w:r w:rsidR="00FF009C" w:rsidRPr="00FF009C">
        <w:rPr>
          <w:noProof/>
        </w:rPr>
        <w:t xml:space="preserve"> i</w:t>
      </w:r>
      <w:r w:rsidR="00FF009C">
        <w:rPr>
          <w:noProof/>
        </w:rPr>
        <w:t> </w:t>
      </w:r>
      <w:r w:rsidR="00FF009C" w:rsidRPr="00FF009C">
        <w:rPr>
          <w:noProof/>
        </w:rPr>
        <w:t>uki</w:t>
      </w:r>
      <w:r w:rsidRPr="00FF009C">
        <w:rPr>
          <w:noProof/>
        </w:rPr>
        <w:t>erunkowanych działań</w:t>
      </w:r>
      <w:r w:rsidR="00FF009C" w:rsidRPr="00FF009C">
        <w:rPr>
          <w:noProof/>
        </w:rPr>
        <w:t xml:space="preserve"> w</w:t>
      </w:r>
      <w:r w:rsidR="00FF009C">
        <w:rPr>
          <w:noProof/>
        </w:rPr>
        <w:t> </w:t>
      </w:r>
      <w:r w:rsidR="00FF009C" w:rsidRPr="00FF009C">
        <w:rPr>
          <w:noProof/>
        </w:rPr>
        <w:t>zak</w:t>
      </w:r>
      <w:r w:rsidRPr="00FF009C">
        <w:rPr>
          <w:noProof/>
        </w:rPr>
        <w:t>resie wywiadu kryminalnego</w:t>
      </w:r>
      <w:r w:rsidR="00FF009C" w:rsidRPr="00FF009C">
        <w:rPr>
          <w:noProof/>
        </w:rPr>
        <w:t xml:space="preserve"> i</w:t>
      </w:r>
      <w:r w:rsidR="00FF009C">
        <w:rPr>
          <w:noProof/>
        </w:rPr>
        <w:t> </w:t>
      </w:r>
      <w:r w:rsidR="00FF009C" w:rsidRPr="00FF009C">
        <w:rPr>
          <w:noProof/>
        </w:rPr>
        <w:t>pos</w:t>
      </w:r>
      <w:r w:rsidRPr="00FF009C">
        <w:rPr>
          <w:noProof/>
        </w:rPr>
        <w:t>tępowań przygotowawczych</w:t>
      </w:r>
      <w:r w:rsidR="00FF009C" w:rsidRPr="00FF009C">
        <w:rPr>
          <w:noProof/>
        </w:rPr>
        <w:t xml:space="preserve"> w</w:t>
      </w:r>
      <w:r w:rsidR="00FF009C">
        <w:rPr>
          <w:noProof/>
        </w:rPr>
        <w:t> </w:t>
      </w:r>
      <w:r w:rsidR="00FF009C" w:rsidRPr="00FF009C">
        <w:rPr>
          <w:noProof/>
        </w:rPr>
        <w:t>szc</w:t>
      </w:r>
      <w:r w:rsidRPr="00FF009C">
        <w:rPr>
          <w:noProof/>
        </w:rPr>
        <w:t>zególności dotyczących siatek</w:t>
      </w:r>
      <w:r w:rsidR="00FF009C" w:rsidRPr="00FF009C">
        <w:rPr>
          <w:noProof/>
        </w:rPr>
        <w:t xml:space="preserve"> i</w:t>
      </w:r>
      <w:r w:rsidR="00FF009C">
        <w:rPr>
          <w:noProof/>
        </w:rPr>
        <w:t> </w:t>
      </w:r>
      <w:r w:rsidR="00FF009C" w:rsidRPr="00FF009C">
        <w:rPr>
          <w:noProof/>
        </w:rPr>
        <w:t>gru</w:t>
      </w:r>
      <w:r w:rsidRPr="00FF009C">
        <w:rPr>
          <w:noProof/>
        </w:rPr>
        <w:t>p przestępczych przestępstwa oraz pojedynczych podmiotów przestępczych</w:t>
      </w:r>
      <w:r w:rsidR="00FF009C" w:rsidRPr="00FF009C">
        <w:rPr>
          <w:noProof/>
        </w:rPr>
        <w:t>. W</w:t>
      </w:r>
      <w:r w:rsidR="00FF009C">
        <w:rPr>
          <w:noProof/>
        </w:rPr>
        <w:t> </w:t>
      </w:r>
      <w:r w:rsidR="00FF009C" w:rsidRPr="00FF009C">
        <w:rPr>
          <w:noProof/>
        </w:rPr>
        <w:t>nin</w:t>
      </w:r>
      <w:r w:rsidRPr="00FF009C">
        <w:rPr>
          <w:noProof/>
        </w:rPr>
        <w:t>iejszej inicjatywie ustawodawczej określa się minimalne wymogi dotyczące aktywnego</w:t>
      </w:r>
      <w:r w:rsidR="00FF009C" w:rsidRPr="00FF009C">
        <w:rPr>
          <w:noProof/>
        </w:rPr>
        <w:t xml:space="preserve"> i</w:t>
      </w:r>
      <w:r w:rsidR="00FF009C">
        <w:rPr>
          <w:noProof/>
        </w:rPr>
        <w:t> </w:t>
      </w:r>
      <w:r w:rsidR="00FF009C" w:rsidRPr="00FF009C">
        <w:rPr>
          <w:noProof/>
        </w:rPr>
        <w:t>ter</w:t>
      </w:r>
      <w:r w:rsidRPr="00FF009C">
        <w:rPr>
          <w:noProof/>
        </w:rPr>
        <w:t>minowego zaangażowania państw członkowskich,</w:t>
      </w:r>
      <w:r w:rsidR="00FF009C" w:rsidRPr="00FF009C">
        <w:rPr>
          <w:noProof/>
        </w:rPr>
        <w:t xml:space="preserve"> w</w:t>
      </w:r>
      <w:r w:rsidR="00FF009C">
        <w:rPr>
          <w:noProof/>
        </w:rPr>
        <w:t> </w:t>
      </w:r>
      <w:r w:rsidR="00FF009C" w:rsidRPr="00FF009C">
        <w:rPr>
          <w:noProof/>
        </w:rPr>
        <w:t>tym</w:t>
      </w:r>
      <w:r w:rsidRPr="00FF009C">
        <w:rPr>
          <w:noProof/>
        </w:rPr>
        <w:t xml:space="preserve"> przekazywania Europolowi wszystkich istotnych informacji,</w:t>
      </w:r>
      <w:r w:rsidR="00FF009C" w:rsidRPr="00FF009C">
        <w:rPr>
          <w:noProof/>
        </w:rPr>
        <w:t xml:space="preserve"> a</w:t>
      </w:r>
      <w:r w:rsidR="00FF009C">
        <w:rPr>
          <w:noProof/>
        </w:rPr>
        <w:t> </w:t>
      </w:r>
      <w:r w:rsidR="00FF009C" w:rsidRPr="00FF009C">
        <w:rPr>
          <w:noProof/>
        </w:rPr>
        <w:t>tak</w:t>
      </w:r>
      <w:r w:rsidRPr="00FF009C">
        <w:rPr>
          <w:noProof/>
        </w:rPr>
        <w:t>że wskazuje się, że Europol powinien udostępniać tym państwom członkowskim swoje zaawansowane wsparcie analityczne, operacyjne, techniczne, kryminalistyczne</w:t>
      </w:r>
      <w:r w:rsidR="00FF009C" w:rsidRPr="00FF009C">
        <w:rPr>
          <w:noProof/>
        </w:rPr>
        <w:t xml:space="preserve"> i</w:t>
      </w:r>
      <w:r w:rsidR="00FF009C">
        <w:rPr>
          <w:noProof/>
        </w:rPr>
        <w:t> </w:t>
      </w:r>
      <w:r w:rsidR="00FF009C" w:rsidRPr="00FF009C">
        <w:rPr>
          <w:noProof/>
        </w:rPr>
        <w:t>fin</w:t>
      </w:r>
      <w:r w:rsidRPr="00FF009C">
        <w:rPr>
          <w:noProof/>
        </w:rPr>
        <w:t>ansowe</w:t>
      </w:r>
      <w:r w:rsidR="00FF009C" w:rsidRPr="00FF009C">
        <w:rPr>
          <w:noProof/>
        </w:rPr>
        <w:t>. W</w:t>
      </w:r>
      <w:r w:rsidR="00FF009C">
        <w:rPr>
          <w:noProof/>
        </w:rPr>
        <w:t> </w:t>
      </w:r>
      <w:r w:rsidR="00FF009C" w:rsidRPr="00FF009C">
        <w:rPr>
          <w:noProof/>
        </w:rPr>
        <w:t>ope</w:t>
      </w:r>
      <w:r w:rsidRPr="00FF009C">
        <w:rPr>
          <w:noProof/>
        </w:rPr>
        <w:t xml:space="preserve">racyjnych grupach zadaniowych mogą również uczestniczyć państwa trzecie; [Art. 9] </w:t>
      </w:r>
    </w:p>
    <w:p w14:paraId="011E15B3" w14:textId="65303999" w:rsidR="0043039B" w:rsidRPr="00FF009C" w:rsidRDefault="00397AA1" w:rsidP="0043039B">
      <w:pPr>
        <w:pStyle w:val="Bullet0"/>
        <w:rPr>
          <w:noProof/>
        </w:rPr>
      </w:pPr>
      <w:r w:rsidRPr="00FF009C">
        <w:rPr>
          <w:b/>
          <w:i/>
          <w:noProof/>
        </w:rPr>
        <w:t>postanowienie, że Europol powinien być</w:t>
      </w:r>
      <w:r w:rsidR="00FF009C" w:rsidRPr="00FF009C">
        <w:rPr>
          <w:b/>
          <w:i/>
          <w:noProof/>
        </w:rPr>
        <w:t xml:space="preserve"> w</w:t>
      </w:r>
      <w:r w:rsidR="00FF009C">
        <w:rPr>
          <w:b/>
          <w:i/>
          <w:noProof/>
        </w:rPr>
        <w:t> </w:t>
      </w:r>
      <w:r w:rsidR="00FF009C" w:rsidRPr="00FF009C">
        <w:rPr>
          <w:b/>
          <w:i/>
          <w:noProof/>
        </w:rPr>
        <w:t>sta</w:t>
      </w:r>
      <w:r w:rsidRPr="00FF009C">
        <w:rPr>
          <w:b/>
          <w:i/>
          <w:noProof/>
        </w:rPr>
        <w:t>nie rozmieszczać funkcjonariuszy na terytorium państwa członkowskiego na wniosek tego państwa członkowskiego</w:t>
      </w:r>
      <w:r w:rsidR="00FF009C" w:rsidRPr="00FF009C">
        <w:rPr>
          <w:b/>
          <w:i/>
          <w:noProof/>
        </w:rPr>
        <w:t xml:space="preserve"> w</w:t>
      </w:r>
      <w:r w:rsidR="00FF009C">
        <w:rPr>
          <w:b/>
          <w:i/>
          <w:noProof/>
        </w:rPr>
        <w:t> </w:t>
      </w:r>
      <w:r w:rsidR="00FF009C" w:rsidRPr="00FF009C">
        <w:rPr>
          <w:b/>
          <w:i/>
          <w:noProof/>
        </w:rPr>
        <w:t>cel</w:t>
      </w:r>
      <w:r w:rsidRPr="00FF009C">
        <w:rPr>
          <w:b/>
          <w:i/>
          <w:noProof/>
        </w:rPr>
        <w:t>u udzielania wsparcia analitycznego, operacyjnego, technicznego</w:t>
      </w:r>
      <w:r w:rsidR="00FF009C" w:rsidRPr="00FF009C">
        <w:rPr>
          <w:b/>
          <w:i/>
          <w:noProof/>
        </w:rPr>
        <w:t xml:space="preserve"> i</w:t>
      </w:r>
      <w:r w:rsidR="00FF009C">
        <w:rPr>
          <w:b/>
          <w:i/>
          <w:noProof/>
        </w:rPr>
        <w:t> </w:t>
      </w:r>
      <w:r w:rsidR="00FF009C" w:rsidRPr="00FF009C">
        <w:rPr>
          <w:b/>
          <w:i/>
          <w:noProof/>
        </w:rPr>
        <w:t>kry</w:t>
      </w:r>
      <w:r w:rsidRPr="00FF009C">
        <w:rPr>
          <w:b/>
          <w:i/>
          <w:noProof/>
        </w:rPr>
        <w:t>minalistycznego</w:t>
      </w:r>
      <w:r w:rsidR="00FF009C" w:rsidRPr="00FF009C">
        <w:rPr>
          <w:b/>
          <w:i/>
          <w:noProof/>
        </w:rPr>
        <w:t xml:space="preserve"> w</w:t>
      </w:r>
      <w:r w:rsidR="00FF009C">
        <w:rPr>
          <w:b/>
          <w:i/>
          <w:noProof/>
        </w:rPr>
        <w:t> </w:t>
      </w:r>
      <w:r w:rsidR="00FF009C" w:rsidRPr="00FF009C">
        <w:rPr>
          <w:b/>
          <w:i/>
          <w:noProof/>
        </w:rPr>
        <w:t>por</w:t>
      </w:r>
      <w:r w:rsidRPr="00FF009C">
        <w:rPr>
          <w:b/>
          <w:i/>
          <w:noProof/>
        </w:rPr>
        <w:t>ozumieniu</w:t>
      </w:r>
      <w:r w:rsidR="00FF009C" w:rsidRPr="00FF009C">
        <w:rPr>
          <w:b/>
          <w:i/>
          <w:noProof/>
        </w:rPr>
        <w:t xml:space="preserve"> z</w:t>
      </w:r>
      <w:r w:rsidR="00FF009C">
        <w:rPr>
          <w:b/>
          <w:i/>
          <w:noProof/>
        </w:rPr>
        <w:t> </w:t>
      </w:r>
      <w:r w:rsidR="00FF009C" w:rsidRPr="00FF009C">
        <w:rPr>
          <w:b/>
          <w:i/>
          <w:noProof/>
        </w:rPr>
        <w:t>wła</w:t>
      </w:r>
      <w:r w:rsidRPr="00FF009C">
        <w:rPr>
          <w:b/>
          <w:i/>
          <w:noProof/>
        </w:rPr>
        <w:t>ściwymi organami tego państwa członkowskiego i za ich zgodą:</w:t>
      </w:r>
      <w:r w:rsidRPr="00FF009C">
        <w:rPr>
          <w:noProof/>
        </w:rPr>
        <w:t xml:space="preserve"> przyjmujące państwo członkowskie powinno być</w:t>
      </w:r>
      <w:r w:rsidR="00FF009C" w:rsidRPr="00FF009C">
        <w:rPr>
          <w:noProof/>
        </w:rPr>
        <w:t xml:space="preserve"> w</w:t>
      </w:r>
      <w:r w:rsidR="00FF009C">
        <w:rPr>
          <w:noProof/>
        </w:rPr>
        <w:t> </w:t>
      </w:r>
      <w:r w:rsidR="00FF009C" w:rsidRPr="00FF009C">
        <w:rPr>
          <w:noProof/>
        </w:rPr>
        <w:t>sta</w:t>
      </w:r>
      <w:r w:rsidRPr="00FF009C">
        <w:rPr>
          <w:noProof/>
        </w:rPr>
        <w:t>nie zapewnić minimalny zestaw wymogów, takich jak wymóg przekazywania Europolowi wszystkich istotnych informacji. Europol powinien mieć możliwość szybkiego rozmieszczenia personelu, zwłaszcza</w:t>
      </w:r>
      <w:r w:rsidR="00FF009C" w:rsidRPr="00FF009C">
        <w:rPr>
          <w:noProof/>
        </w:rPr>
        <w:t xml:space="preserve"> w</w:t>
      </w:r>
      <w:r w:rsidR="00FF009C">
        <w:rPr>
          <w:noProof/>
        </w:rPr>
        <w:t> </w:t>
      </w:r>
      <w:r w:rsidR="00FF009C" w:rsidRPr="00FF009C">
        <w:rPr>
          <w:noProof/>
        </w:rPr>
        <w:t>wyj</w:t>
      </w:r>
      <w:r w:rsidRPr="00FF009C">
        <w:rPr>
          <w:noProof/>
        </w:rPr>
        <w:t>ątkowo pilnych przypadkach. Pracownicy</w:t>
      </w:r>
      <w:r w:rsidR="00FF009C" w:rsidRPr="00FF009C">
        <w:rPr>
          <w:noProof/>
        </w:rPr>
        <w:t xml:space="preserve"> i</w:t>
      </w:r>
      <w:r w:rsidR="00FF009C">
        <w:rPr>
          <w:noProof/>
        </w:rPr>
        <w:t> </w:t>
      </w:r>
      <w:r w:rsidR="00FF009C" w:rsidRPr="00FF009C">
        <w:rPr>
          <w:noProof/>
        </w:rPr>
        <w:t>eks</w:t>
      </w:r>
      <w:r w:rsidRPr="00FF009C">
        <w:rPr>
          <w:noProof/>
        </w:rPr>
        <w:t>perci rozmieszczeni przez Europol powinni być</w:t>
      </w:r>
      <w:r w:rsidR="00FF009C" w:rsidRPr="00FF009C">
        <w:rPr>
          <w:noProof/>
        </w:rPr>
        <w:t xml:space="preserve"> w</w:t>
      </w:r>
      <w:r w:rsidR="00FF009C">
        <w:rPr>
          <w:noProof/>
        </w:rPr>
        <w:t> </w:t>
      </w:r>
      <w:r w:rsidR="00FF009C" w:rsidRPr="00FF009C">
        <w:rPr>
          <w:noProof/>
        </w:rPr>
        <w:t>sta</w:t>
      </w:r>
      <w:r w:rsidRPr="00FF009C">
        <w:rPr>
          <w:noProof/>
        </w:rPr>
        <w:t>nie wykonywać czynności dotyczące przetwarzania danych</w:t>
      </w:r>
      <w:r w:rsidR="00FF009C" w:rsidRPr="00FF009C">
        <w:rPr>
          <w:noProof/>
        </w:rPr>
        <w:t xml:space="preserve"> w</w:t>
      </w:r>
      <w:r w:rsidR="00FF009C">
        <w:rPr>
          <w:noProof/>
        </w:rPr>
        <w:t> </w:t>
      </w:r>
      <w:r w:rsidR="00FF009C" w:rsidRPr="00FF009C">
        <w:rPr>
          <w:noProof/>
        </w:rPr>
        <w:t>ram</w:t>
      </w:r>
      <w:r w:rsidRPr="00FF009C">
        <w:rPr>
          <w:noProof/>
        </w:rPr>
        <w:t>ach postępowania przygotowawczego niewiążące się ze stosowaniem środków przymusu</w:t>
      </w:r>
      <w:r w:rsidR="00FF009C" w:rsidRPr="00FF009C">
        <w:rPr>
          <w:noProof/>
        </w:rPr>
        <w:t xml:space="preserve"> w</w:t>
      </w:r>
      <w:r w:rsidR="00FF009C">
        <w:rPr>
          <w:noProof/>
        </w:rPr>
        <w:t> </w:t>
      </w:r>
      <w:r w:rsidR="00FF009C" w:rsidRPr="00FF009C">
        <w:rPr>
          <w:noProof/>
        </w:rPr>
        <w:t>por</w:t>
      </w:r>
      <w:r w:rsidRPr="00FF009C">
        <w:rPr>
          <w:noProof/>
        </w:rPr>
        <w:t>ozumieniu</w:t>
      </w:r>
      <w:r w:rsidR="00FF009C" w:rsidRPr="00FF009C">
        <w:rPr>
          <w:noProof/>
        </w:rPr>
        <w:t xml:space="preserve"> z</w:t>
      </w:r>
      <w:r w:rsidR="00FF009C">
        <w:rPr>
          <w:noProof/>
        </w:rPr>
        <w:t> </w:t>
      </w:r>
      <w:r w:rsidR="00FF009C" w:rsidRPr="00FF009C">
        <w:rPr>
          <w:noProof/>
        </w:rPr>
        <w:t>wła</w:t>
      </w:r>
      <w:r w:rsidRPr="00FF009C">
        <w:rPr>
          <w:noProof/>
        </w:rPr>
        <w:t>ściwymi organami zainteresowanego państwa członkowskiego i za ich zgodą, zgodnie</w:t>
      </w:r>
      <w:r w:rsidR="00FF009C" w:rsidRPr="00FF009C">
        <w:rPr>
          <w:noProof/>
        </w:rPr>
        <w:t xml:space="preserve"> z</w:t>
      </w:r>
      <w:r w:rsidR="00FF009C">
        <w:rPr>
          <w:noProof/>
        </w:rPr>
        <w:t> </w:t>
      </w:r>
      <w:r w:rsidR="00FF009C" w:rsidRPr="00FF009C">
        <w:rPr>
          <w:noProof/>
        </w:rPr>
        <w:t>roz</w:t>
      </w:r>
      <w:r w:rsidRPr="00FF009C">
        <w:rPr>
          <w:noProof/>
        </w:rPr>
        <w:t>porządzeniem</w:t>
      </w:r>
      <w:r w:rsidR="00FF009C" w:rsidRPr="00FF009C">
        <w:rPr>
          <w:noProof/>
        </w:rPr>
        <w:t xml:space="preserve"> w</w:t>
      </w:r>
      <w:r w:rsidR="00FF009C">
        <w:rPr>
          <w:noProof/>
        </w:rPr>
        <w:t> </w:t>
      </w:r>
      <w:r w:rsidR="00FF009C" w:rsidRPr="00FF009C">
        <w:rPr>
          <w:noProof/>
        </w:rPr>
        <w:t>spr</w:t>
      </w:r>
      <w:r w:rsidRPr="00FF009C">
        <w:rPr>
          <w:noProof/>
        </w:rPr>
        <w:t>awie Europolu</w:t>
      </w:r>
      <w:r w:rsidR="00FF009C" w:rsidRPr="00FF009C">
        <w:rPr>
          <w:noProof/>
        </w:rPr>
        <w:t xml:space="preserve"> i</w:t>
      </w:r>
      <w:r w:rsidR="00FF009C">
        <w:rPr>
          <w:noProof/>
        </w:rPr>
        <w:t> </w:t>
      </w:r>
      <w:r w:rsidR="00FF009C" w:rsidRPr="00FF009C">
        <w:rPr>
          <w:noProof/>
        </w:rPr>
        <w:t>pra</w:t>
      </w:r>
      <w:r w:rsidRPr="00FF009C">
        <w:rPr>
          <w:noProof/>
        </w:rPr>
        <w:t>wem krajowym tego państwa członkowskiego. Europol powinien ponadto utworzyć rezerwę wysoko wykwalifikowanych ekspertów</w:t>
      </w:r>
      <w:r w:rsidR="00FF009C" w:rsidRPr="00FF009C">
        <w:rPr>
          <w:noProof/>
        </w:rPr>
        <w:t xml:space="preserve"> w</w:t>
      </w:r>
      <w:r w:rsidR="00FF009C">
        <w:rPr>
          <w:noProof/>
        </w:rPr>
        <w:t> </w:t>
      </w:r>
      <w:r w:rsidR="00FF009C" w:rsidRPr="00FF009C">
        <w:rPr>
          <w:noProof/>
        </w:rPr>
        <w:t>zak</w:t>
      </w:r>
      <w:r w:rsidRPr="00FF009C">
        <w:rPr>
          <w:noProof/>
        </w:rPr>
        <w:t>resie ścigania przestępstw</w:t>
      </w:r>
      <w:r w:rsidR="00FF009C" w:rsidRPr="00FF009C">
        <w:rPr>
          <w:noProof/>
        </w:rPr>
        <w:t xml:space="preserve"> z</w:t>
      </w:r>
      <w:r w:rsidR="00FF009C">
        <w:rPr>
          <w:noProof/>
        </w:rPr>
        <w:t> </w:t>
      </w:r>
      <w:r w:rsidR="00FF009C" w:rsidRPr="00FF009C">
        <w:rPr>
          <w:noProof/>
        </w:rPr>
        <w:t>pań</w:t>
      </w:r>
      <w:r w:rsidRPr="00FF009C">
        <w:rPr>
          <w:noProof/>
        </w:rPr>
        <w:t>stw członkowskich</w:t>
      </w:r>
      <w:r w:rsidR="00FF009C" w:rsidRPr="00FF009C">
        <w:rPr>
          <w:noProof/>
        </w:rPr>
        <w:t xml:space="preserve"> o</w:t>
      </w:r>
      <w:r w:rsidR="00FF009C">
        <w:rPr>
          <w:noProof/>
        </w:rPr>
        <w:t> </w:t>
      </w:r>
      <w:r w:rsidR="00FF009C" w:rsidRPr="00FF009C">
        <w:rPr>
          <w:noProof/>
        </w:rPr>
        <w:t>spe</w:t>
      </w:r>
      <w:r w:rsidRPr="00FF009C">
        <w:rPr>
          <w:noProof/>
        </w:rPr>
        <w:t>cjalistycznych profilach, którzy mogą zostać niezwłocznie oddani do dyspozycji Europolu</w:t>
      </w:r>
      <w:r w:rsidR="00FF009C" w:rsidRPr="00FF009C">
        <w:rPr>
          <w:noProof/>
        </w:rPr>
        <w:t xml:space="preserve"> w</w:t>
      </w:r>
      <w:r w:rsidR="00FF009C">
        <w:rPr>
          <w:noProof/>
        </w:rPr>
        <w:t> </w:t>
      </w:r>
      <w:r w:rsidR="00FF009C" w:rsidRPr="00FF009C">
        <w:rPr>
          <w:noProof/>
        </w:rPr>
        <w:t>cel</w:t>
      </w:r>
      <w:r w:rsidRPr="00FF009C">
        <w:rPr>
          <w:noProof/>
        </w:rPr>
        <w:t>u rozmieszczenia operacyjnego, aby zapewnić specjalistyczne wsparcie. Europol powinien również mieć możliwość rozmieszczania pracowników</w:t>
      </w:r>
      <w:r w:rsidR="00FF009C" w:rsidRPr="00FF009C">
        <w:rPr>
          <w:noProof/>
        </w:rPr>
        <w:t xml:space="preserve"> i</w:t>
      </w:r>
      <w:r w:rsidR="00FF009C">
        <w:rPr>
          <w:noProof/>
        </w:rPr>
        <w:t> </w:t>
      </w:r>
      <w:r w:rsidR="00FF009C" w:rsidRPr="00FF009C">
        <w:rPr>
          <w:noProof/>
        </w:rPr>
        <w:t>odd</w:t>
      </w:r>
      <w:r w:rsidRPr="00FF009C">
        <w:rPr>
          <w:noProof/>
        </w:rPr>
        <w:t>elegowanych ekspertów krajowych</w:t>
      </w:r>
      <w:r w:rsidR="00FF009C" w:rsidRPr="00FF009C">
        <w:rPr>
          <w:noProof/>
        </w:rPr>
        <w:t xml:space="preserve"> w</w:t>
      </w:r>
      <w:r w:rsidR="00FF009C">
        <w:rPr>
          <w:noProof/>
        </w:rPr>
        <w:t> </w:t>
      </w:r>
      <w:r w:rsidR="00FF009C" w:rsidRPr="00FF009C">
        <w:rPr>
          <w:noProof/>
        </w:rPr>
        <w:t>pań</w:t>
      </w:r>
      <w:r w:rsidRPr="00FF009C">
        <w:rPr>
          <w:noProof/>
        </w:rPr>
        <w:t>stwach trzecich,</w:t>
      </w:r>
      <w:r w:rsidR="00FF009C" w:rsidRPr="00FF009C">
        <w:rPr>
          <w:noProof/>
        </w:rPr>
        <w:t xml:space="preserve"> z</w:t>
      </w:r>
      <w:r w:rsidR="00FF009C">
        <w:rPr>
          <w:noProof/>
        </w:rPr>
        <w:t> </w:t>
      </w:r>
      <w:r w:rsidR="00FF009C" w:rsidRPr="00FF009C">
        <w:rPr>
          <w:noProof/>
        </w:rPr>
        <w:t>któ</w:t>
      </w:r>
      <w:r w:rsidRPr="00FF009C">
        <w:rPr>
          <w:noProof/>
        </w:rPr>
        <w:t>rymi współpracuje na podstawie decyzji stwierdzającej odpowiedni stopień ochrony oraz umowy międzynarodowej zawartej między Unią</w:t>
      </w:r>
      <w:r w:rsidR="00FF009C" w:rsidRPr="00FF009C">
        <w:rPr>
          <w:noProof/>
        </w:rPr>
        <w:t xml:space="preserve"> a</w:t>
      </w:r>
      <w:r w:rsidR="00FF009C">
        <w:rPr>
          <w:noProof/>
        </w:rPr>
        <w:t> </w:t>
      </w:r>
      <w:r w:rsidR="00FF009C" w:rsidRPr="00FF009C">
        <w:rPr>
          <w:noProof/>
        </w:rPr>
        <w:t>tym</w:t>
      </w:r>
      <w:r w:rsidRPr="00FF009C">
        <w:rPr>
          <w:noProof/>
        </w:rPr>
        <w:t xml:space="preserve"> państwem trzecim na podstawie art.</w:t>
      </w:r>
      <w:r w:rsidR="00FF009C" w:rsidRPr="00FF009C">
        <w:rPr>
          <w:noProof/>
        </w:rPr>
        <w:t> </w:t>
      </w:r>
      <w:r w:rsidRPr="00FF009C">
        <w:rPr>
          <w:noProof/>
        </w:rPr>
        <w:t>218 TFUE lub umowy</w:t>
      </w:r>
      <w:r w:rsidR="00FF009C" w:rsidRPr="00FF009C">
        <w:rPr>
          <w:noProof/>
        </w:rPr>
        <w:t xml:space="preserve"> o</w:t>
      </w:r>
      <w:r w:rsidR="00FF009C">
        <w:rPr>
          <w:noProof/>
        </w:rPr>
        <w:t> </w:t>
      </w:r>
      <w:r w:rsidR="00FF009C" w:rsidRPr="00FF009C">
        <w:rPr>
          <w:noProof/>
        </w:rPr>
        <w:t>wsp</w:t>
      </w:r>
      <w:r w:rsidRPr="00FF009C">
        <w:rPr>
          <w:noProof/>
        </w:rPr>
        <w:t>ółpracy między Europolem</w:t>
      </w:r>
      <w:r w:rsidR="00FF009C" w:rsidRPr="00FF009C">
        <w:rPr>
          <w:noProof/>
        </w:rPr>
        <w:t xml:space="preserve"> a</w:t>
      </w:r>
      <w:r w:rsidR="00FF009C">
        <w:rPr>
          <w:noProof/>
        </w:rPr>
        <w:t> </w:t>
      </w:r>
      <w:r w:rsidR="00FF009C" w:rsidRPr="00FF009C">
        <w:rPr>
          <w:noProof/>
        </w:rPr>
        <w:t>tym</w:t>
      </w:r>
      <w:r w:rsidRPr="00FF009C">
        <w:rPr>
          <w:noProof/>
        </w:rPr>
        <w:t xml:space="preserve"> państwem trzecim zawartej przed dniem 1 maja 2017</w:t>
      </w:r>
      <w:r w:rsidR="00FF009C" w:rsidRPr="00FF009C">
        <w:rPr>
          <w:noProof/>
        </w:rPr>
        <w:t> </w:t>
      </w:r>
      <w:r w:rsidRPr="00FF009C">
        <w:rPr>
          <w:noProof/>
        </w:rPr>
        <w:t>r.; [Art. 9]</w:t>
      </w:r>
    </w:p>
    <w:p w14:paraId="7A33379C" w14:textId="074DA1B4" w:rsidR="0043039B" w:rsidRPr="00FF009C" w:rsidRDefault="0043039B" w:rsidP="0043039B">
      <w:pPr>
        <w:pStyle w:val="Bullet0"/>
        <w:rPr>
          <w:noProof/>
        </w:rPr>
      </w:pPr>
      <w:r w:rsidRPr="00FF009C">
        <w:rPr>
          <w:b/>
          <w:i/>
          <w:noProof/>
        </w:rPr>
        <w:t>wyjaśnienie charakteru wsparcia operacyjnego, które pracownicy Europolu mogą zapewniać organom ścigania państwa członkowskiego</w:t>
      </w:r>
      <w:r w:rsidR="00FF009C" w:rsidRPr="00FF009C">
        <w:rPr>
          <w:b/>
          <w:i/>
          <w:noProof/>
        </w:rPr>
        <w:t xml:space="preserve"> w</w:t>
      </w:r>
      <w:r w:rsidR="00FF009C">
        <w:rPr>
          <w:b/>
          <w:i/>
          <w:noProof/>
        </w:rPr>
        <w:t> </w:t>
      </w:r>
      <w:r w:rsidR="00FF009C" w:rsidRPr="00FF009C">
        <w:rPr>
          <w:b/>
          <w:i/>
          <w:noProof/>
        </w:rPr>
        <w:t>ter</w:t>
      </w:r>
      <w:r w:rsidRPr="00FF009C">
        <w:rPr>
          <w:b/>
          <w:i/>
          <w:noProof/>
        </w:rPr>
        <w:t>enie</w:t>
      </w:r>
      <w:r w:rsidR="00FF009C" w:rsidRPr="00FF009C">
        <w:rPr>
          <w:b/>
          <w:i/>
          <w:noProof/>
        </w:rPr>
        <w:t xml:space="preserve"> w</w:t>
      </w:r>
      <w:r w:rsidR="00FF009C">
        <w:rPr>
          <w:b/>
          <w:i/>
          <w:noProof/>
        </w:rPr>
        <w:t> </w:t>
      </w:r>
      <w:r w:rsidR="00FF009C" w:rsidRPr="00FF009C">
        <w:rPr>
          <w:b/>
          <w:i/>
          <w:noProof/>
        </w:rPr>
        <w:t>ram</w:t>
      </w:r>
      <w:r w:rsidRPr="00FF009C">
        <w:rPr>
          <w:b/>
          <w:i/>
          <w:noProof/>
        </w:rPr>
        <w:t>ach operacji</w:t>
      </w:r>
      <w:r w:rsidR="00FF009C" w:rsidRPr="00FF009C">
        <w:rPr>
          <w:b/>
          <w:i/>
          <w:noProof/>
        </w:rPr>
        <w:t xml:space="preserve"> i</w:t>
      </w:r>
      <w:r w:rsidR="00FF009C">
        <w:rPr>
          <w:b/>
          <w:i/>
          <w:noProof/>
        </w:rPr>
        <w:t> </w:t>
      </w:r>
      <w:r w:rsidR="00FF009C" w:rsidRPr="00FF009C">
        <w:rPr>
          <w:b/>
          <w:i/>
          <w:noProof/>
        </w:rPr>
        <w:t>pos</w:t>
      </w:r>
      <w:r w:rsidRPr="00FF009C">
        <w:rPr>
          <w:b/>
          <w:i/>
          <w:noProof/>
        </w:rPr>
        <w:t>tępowań przygotowawczych:</w:t>
      </w:r>
      <w:r w:rsidR="00FF009C" w:rsidRPr="00FF009C">
        <w:rPr>
          <w:noProof/>
        </w:rPr>
        <w:t xml:space="preserve"> w</w:t>
      </w:r>
      <w:r w:rsidR="00FF009C">
        <w:rPr>
          <w:noProof/>
        </w:rPr>
        <w:t> </w:t>
      </w:r>
      <w:r w:rsidR="00FF009C" w:rsidRPr="00FF009C">
        <w:rPr>
          <w:noProof/>
        </w:rPr>
        <w:t>nin</w:t>
      </w:r>
      <w:r w:rsidRPr="00FF009C">
        <w:rPr>
          <w:noProof/>
        </w:rPr>
        <w:t>iejszej inicjatywie ustawodawczej wyjaśnia się, że pracownicy Europolu mogą zapewniać właściwym organom państw członkowskich wsparcie operacyjne podczas wykonywania czynności</w:t>
      </w:r>
      <w:r w:rsidR="00FF009C" w:rsidRPr="00FF009C">
        <w:rPr>
          <w:noProof/>
        </w:rPr>
        <w:t xml:space="preserve"> w</w:t>
      </w:r>
      <w:r w:rsidR="00FF009C">
        <w:rPr>
          <w:noProof/>
        </w:rPr>
        <w:t> </w:t>
      </w:r>
      <w:r w:rsidR="00FF009C" w:rsidRPr="00FF009C">
        <w:rPr>
          <w:noProof/>
        </w:rPr>
        <w:t>ram</w:t>
      </w:r>
      <w:r w:rsidRPr="00FF009C">
        <w:rPr>
          <w:noProof/>
        </w:rPr>
        <w:t>ach postępowania przygotowawczego – na ich wniosek</w:t>
      </w:r>
      <w:r w:rsidR="00FF009C" w:rsidRPr="00FF009C">
        <w:rPr>
          <w:noProof/>
        </w:rPr>
        <w:t xml:space="preserve"> i</w:t>
      </w:r>
      <w:r w:rsidR="00FF009C">
        <w:rPr>
          <w:noProof/>
        </w:rPr>
        <w:t> </w:t>
      </w:r>
      <w:r w:rsidR="00FF009C" w:rsidRPr="00FF009C">
        <w:rPr>
          <w:noProof/>
        </w:rPr>
        <w:t>zgo</w:t>
      </w:r>
      <w:r w:rsidRPr="00FF009C">
        <w:rPr>
          <w:noProof/>
        </w:rPr>
        <w:t>dnie</w:t>
      </w:r>
      <w:r w:rsidR="00FF009C" w:rsidRPr="00FF009C">
        <w:rPr>
          <w:noProof/>
        </w:rPr>
        <w:t xml:space="preserve"> z</w:t>
      </w:r>
      <w:r w:rsidR="00FF009C">
        <w:rPr>
          <w:noProof/>
        </w:rPr>
        <w:t> </w:t>
      </w:r>
      <w:r w:rsidR="00FF009C" w:rsidRPr="00FF009C">
        <w:rPr>
          <w:noProof/>
        </w:rPr>
        <w:t>ich</w:t>
      </w:r>
      <w:r w:rsidRPr="00FF009C">
        <w:rPr>
          <w:noProof/>
        </w:rPr>
        <w:t xml:space="preserve"> prawem krajowym –</w:t>
      </w:r>
      <w:r w:rsidR="00FF009C" w:rsidRPr="00FF009C">
        <w:rPr>
          <w:noProof/>
        </w:rPr>
        <w:t xml:space="preserve"> w</w:t>
      </w:r>
      <w:r w:rsidR="00FF009C">
        <w:rPr>
          <w:noProof/>
        </w:rPr>
        <w:t> </w:t>
      </w:r>
      <w:r w:rsidR="00FF009C" w:rsidRPr="00FF009C">
        <w:rPr>
          <w:noProof/>
        </w:rPr>
        <w:t>tym w</w:t>
      </w:r>
      <w:r w:rsidR="00FF009C">
        <w:rPr>
          <w:noProof/>
        </w:rPr>
        <w:t> </w:t>
      </w:r>
      <w:r w:rsidR="00FF009C" w:rsidRPr="00FF009C">
        <w:rPr>
          <w:noProof/>
        </w:rPr>
        <w:t>kon</w:t>
      </w:r>
      <w:r w:rsidRPr="00FF009C">
        <w:rPr>
          <w:noProof/>
        </w:rPr>
        <w:t>tekście wdrażania operacyjnych grup zadaniowych</w:t>
      </w:r>
      <w:r w:rsidR="00FF009C" w:rsidRPr="00FF009C">
        <w:rPr>
          <w:noProof/>
        </w:rPr>
        <w:t xml:space="preserve"> i</w:t>
      </w:r>
      <w:r w:rsidR="00FF009C">
        <w:rPr>
          <w:noProof/>
        </w:rPr>
        <w:t> </w:t>
      </w:r>
      <w:r w:rsidR="00FF009C" w:rsidRPr="00FF009C">
        <w:rPr>
          <w:noProof/>
        </w:rPr>
        <w:t>roz</w:t>
      </w:r>
      <w:r w:rsidRPr="00FF009C">
        <w:rPr>
          <w:noProof/>
        </w:rPr>
        <w:t>mieszczania pracowników Europolu</w:t>
      </w:r>
      <w:r w:rsidR="00FF009C" w:rsidRPr="00FF009C">
        <w:rPr>
          <w:noProof/>
        </w:rPr>
        <w:t xml:space="preserve"> w</w:t>
      </w:r>
      <w:r w:rsidR="00FF009C">
        <w:rPr>
          <w:noProof/>
        </w:rPr>
        <w:t> </w:t>
      </w:r>
      <w:r w:rsidR="00FF009C" w:rsidRPr="00FF009C">
        <w:rPr>
          <w:noProof/>
        </w:rPr>
        <w:t>ram</w:t>
      </w:r>
      <w:r w:rsidRPr="00FF009C">
        <w:rPr>
          <w:noProof/>
        </w:rPr>
        <w:t>ach wsparcia operacyjnego. Pracownicy Europolu powinni być</w:t>
      </w:r>
      <w:r w:rsidR="00FF009C" w:rsidRPr="00FF009C">
        <w:rPr>
          <w:noProof/>
        </w:rPr>
        <w:t xml:space="preserve"> w</w:t>
      </w:r>
      <w:r w:rsidR="00FF009C">
        <w:rPr>
          <w:noProof/>
        </w:rPr>
        <w:t> </w:t>
      </w:r>
      <w:r w:rsidR="00FF009C" w:rsidRPr="00FF009C">
        <w:rPr>
          <w:noProof/>
        </w:rPr>
        <w:t>sta</w:t>
      </w:r>
      <w:r w:rsidRPr="00FF009C">
        <w:rPr>
          <w:noProof/>
        </w:rPr>
        <w:t>nie wykonywać czynności</w:t>
      </w:r>
      <w:r w:rsidR="00FF009C" w:rsidRPr="00FF009C">
        <w:rPr>
          <w:noProof/>
        </w:rPr>
        <w:t xml:space="preserve"> w</w:t>
      </w:r>
      <w:r w:rsidR="00FF009C">
        <w:rPr>
          <w:noProof/>
        </w:rPr>
        <w:t> </w:t>
      </w:r>
      <w:r w:rsidR="00FF009C" w:rsidRPr="00FF009C">
        <w:rPr>
          <w:noProof/>
        </w:rPr>
        <w:t>ram</w:t>
      </w:r>
      <w:r w:rsidRPr="00FF009C">
        <w:rPr>
          <w:noProof/>
        </w:rPr>
        <w:t>ach postępowania przygotowawczego niewiążące się ze stosowaniem środków przymusu</w:t>
      </w:r>
      <w:r w:rsidR="00FF009C" w:rsidRPr="00FF009C">
        <w:rPr>
          <w:noProof/>
        </w:rPr>
        <w:t xml:space="preserve"> w</w:t>
      </w:r>
      <w:r w:rsidR="00FF009C">
        <w:rPr>
          <w:noProof/>
        </w:rPr>
        <w:t> </w:t>
      </w:r>
      <w:r w:rsidR="00FF009C" w:rsidRPr="00FF009C">
        <w:rPr>
          <w:noProof/>
        </w:rPr>
        <w:t>por</w:t>
      </w:r>
      <w:r w:rsidRPr="00FF009C">
        <w:rPr>
          <w:noProof/>
        </w:rPr>
        <w:t>ozumieniu</w:t>
      </w:r>
      <w:r w:rsidR="00FF009C" w:rsidRPr="00FF009C">
        <w:rPr>
          <w:noProof/>
        </w:rPr>
        <w:t xml:space="preserve"> z</w:t>
      </w:r>
      <w:r w:rsidR="00FF009C">
        <w:rPr>
          <w:noProof/>
        </w:rPr>
        <w:t> </w:t>
      </w:r>
      <w:r w:rsidR="00FF009C" w:rsidRPr="00FF009C">
        <w:rPr>
          <w:noProof/>
        </w:rPr>
        <w:t>wła</w:t>
      </w:r>
      <w:r w:rsidRPr="00FF009C">
        <w:rPr>
          <w:noProof/>
        </w:rPr>
        <w:t>ściwymi organami zainteresowanego państwa członkowskiego i za ich zgodą, zgodnie</w:t>
      </w:r>
      <w:r w:rsidR="00FF009C" w:rsidRPr="00FF009C">
        <w:rPr>
          <w:noProof/>
        </w:rPr>
        <w:t xml:space="preserve"> z</w:t>
      </w:r>
      <w:r w:rsidR="00FF009C">
        <w:rPr>
          <w:noProof/>
        </w:rPr>
        <w:t> </w:t>
      </w:r>
      <w:r w:rsidR="00FF009C" w:rsidRPr="00FF009C">
        <w:rPr>
          <w:noProof/>
        </w:rPr>
        <w:t>roz</w:t>
      </w:r>
      <w:r w:rsidRPr="00FF009C">
        <w:rPr>
          <w:noProof/>
        </w:rPr>
        <w:t>porządzeniem</w:t>
      </w:r>
      <w:r w:rsidR="00FF009C" w:rsidRPr="00FF009C">
        <w:rPr>
          <w:noProof/>
        </w:rPr>
        <w:t xml:space="preserve"> w</w:t>
      </w:r>
      <w:r w:rsidR="00FF009C">
        <w:rPr>
          <w:noProof/>
        </w:rPr>
        <w:t> </w:t>
      </w:r>
      <w:r w:rsidR="00FF009C" w:rsidRPr="00FF009C">
        <w:rPr>
          <w:noProof/>
        </w:rPr>
        <w:t>spr</w:t>
      </w:r>
      <w:r w:rsidRPr="00FF009C">
        <w:rPr>
          <w:noProof/>
        </w:rPr>
        <w:t>awie Europolu</w:t>
      </w:r>
      <w:r w:rsidR="00FF009C" w:rsidRPr="00FF009C">
        <w:rPr>
          <w:noProof/>
        </w:rPr>
        <w:t xml:space="preserve"> i</w:t>
      </w:r>
      <w:r w:rsidR="00FF009C">
        <w:rPr>
          <w:noProof/>
        </w:rPr>
        <w:t> </w:t>
      </w:r>
      <w:r w:rsidR="00FF009C" w:rsidRPr="00FF009C">
        <w:rPr>
          <w:noProof/>
        </w:rPr>
        <w:t>pra</w:t>
      </w:r>
      <w:r w:rsidRPr="00FF009C">
        <w:rPr>
          <w:noProof/>
        </w:rPr>
        <w:t>wem krajowym tego państwa członkowskiego, na wniosek państwa członkowskiego zgodnie</w:t>
      </w:r>
      <w:r w:rsidR="00FF009C" w:rsidRPr="00FF009C">
        <w:rPr>
          <w:noProof/>
        </w:rPr>
        <w:t xml:space="preserve"> z</w:t>
      </w:r>
      <w:r w:rsidR="00FF009C">
        <w:rPr>
          <w:noProof/>
        </w:rPr>
        <w:t> </w:t>
      </w:r>
      <w:r w:rsidR="00FF009C" w:rsidRPr="00FF009C">
        <w:rPr>
          <w:noProof/>
        </w:rPr>
        <w:t>jeg</w:t>
      </w:r>
      <w:r w:rsidRPr="00FF009C">
        <w:rPr>
          <w:noProof/>
        </w:rPr>
        <w:t>o prawem krajowym i za zgodą dyrektora wykonawczego Europolu; [Art. 9]</w:t>
      </w:r>
    </w:p>
    <w:p w14:paraId="19E955BC" w14:textId="40A7948A" w:rsidR="00362897" w:rsidRPr="00FF009C" w:rsidRDefault="0043039B" w:rsidP="0043039B">
      <w:pPr>
        <w:pStyle w:val="Bullet0"/>
        <w:rPr>
          <w:noProof/>
        </w:rPr>
      </w:pPr>
      <w:r w:rsidRPr="00FF009C">
        <w:rPr>
          <w:b/>
          <w:i/>
          <w:noProof/>
        </w:rPr>
        <w:t>zacieśnienie współpracy między Europolem</w:t>
      </w:r>
      <w:r w:rsidR="00FF009C" w:rsidRPr="00FF009C">
        <w:rPr>
          <w:b/>
          <w:i/>
          <w:noProof/>
        </w:rPr>
        <w:t xml:space="preserve"> a</w:t>
      </w:r>
      <w:r w:rsidR="00FF009C">
        <w:rPr>
          <w:b/>
          <w:i/>
          <w:noProof/>
        </w:rPr>
        <w:t> </w:t>
      </w:r>
      <w:r w:rsidR="00FF009C" w:rsidRPr="00FF009C">
        <w:rPr>
          <w:b/>
          <w:i/>
          <w:noProof/>
        </w:rPr>
        <w:t>pań</w:t>
      </w:r>
      <w:r w:rsidRPr="00FF009C">
        <w:rPr>
          <w:b/>
          <w:i/>
          <w:noProof/>
        </w:rPr>
        <w:t>stwami trzecimi:</w:t>
      </w:r>
      <w:r w:rsidR="00FF009C" w:rsidRPr="00FF009C">
        <w:rPr>
          <w:noProof/>
        </w:rPr>
        <w:t xml:space="preserve"> w</w:t>
      </w:r>
      <w:r w:rsidR="00FF009C">
        <w:rPr>
          <w:noProof/>
        </w:rPr>
        <w:t> </w:t>
      </w:r>
      <w:r w:rsidR="00FF009C" w:rsidRPr="00FF009C">
        <w:rPr>
          <w:noProof/>
        </w:rPr>
        <w:t>ram</w:t>
      </w:r>
      <w:r w:rsidRPr="00FF009C">
        <w:rPr>
          <w:noProof/>
        </w:rPr>
        <w:t>ach niniejszej inicjatywy ustawodawczej określa się przepisy służące lepszemu angażowaniu urzędników łącznikowych państw członkowskich ds. migracji oddelegowanych do państw trzecich</w:t>
      </w:r>
      <w:r w:rsidR="00FF009C" w:rsidRPr="00FF009C">
        <w:rPr>
          <w:noProof/>
        </w:rPr>
        <w:t xml:space="preserve"> w</w:t>
      </w:r>
      <w:r w:rsidR="00FF009C">
        <w:rPr>
          <w:noProof/>
        </w:rPr>
        <w:t> </w:t>
      </w:r>
      <w:r w:rsidR="00FF009C" w:rsidRPr="00FF009C">
        <w:rPr>
          <w:noProof/>
        </w:rPr>
        <w:t>usp</w:t>
      </w:r>
      <w:r w:rsidRPr="00FF009C">
        <w:rPr>
          <w:noProof/>
        </w:rPr>
        <w:t>rawnianie wymiany informacji przez państwa trzecie</w:t>
      </w:r>
      <w:r w:rsidR="00FF009C" w:rsidRPr="00FF009C">
        <w:rPr>
          <w:noProof/>
        </w:rPr>
        <w:t xml:space="preserve"> w</w:t>
      </w:r>
      <w:r w:rsidR="00FF009C">
        <w:rPr>
          <w:noProof/>
        </w:rPr>
        <w:t> </w:t>
      </w:r>
      <w:r w:rsidR="00FF009C" w:rsidRPr="00FF009C">
        <w:rPr>
          <w:noProof/>
        </w:rPr>
        <w:t>cel</w:t>
      </w:r>
      <w:r w:rsidRPr="00FF009C">
        <w:rPr>
          <w:noProof/>
        </w:rPr>
        <w:t>u przeciwdziałania przemytowi migrantów oraz przekazywaniu tych informacji Europolowi, bezpośrednio lub za pośrednictwem jednostki krajowej Europolu,</w:t>
      </w:r>
      <w:r w:rsidR="00FF009C" w:rsidRPr="00FF009C">
        <w:rPr>
          <w:noProof/>
        </w:rPr>
        <w:t xml:space="preserve"> z</w:t>
      </w:r>
      <w:r w:rsidR="00FF009C">
        <w:rPr>
          <w:noProof/>
        </w:rPr>
        <w:t> </w:t>
      </w:r>
      <w:r w:rsidR="00FF009C" w:rsidRPr="00FF009C">
        <w:rPr>
          <w:noProof/>
        </w:rPr>
        <w:t>wyk</w:t>
      </w:r>
      <w:r w:rsidRPr="00FF009C">
        <w:rPr>
          <w:noProof/>
        </w:rPr>
        <w:t>orzystaniem aplikacji SIENA; [Art. 8]</w:t>
      </w:r>
    </w:p>
    <w:p w14:paraId="278AC844" w14:textId="2E7D0B24" w:rsidR="0043039B" w:rsidRPr="00FF009C" w:rsidRDefault="00A92BCD" w:rsidP="0043039B">
      <w:pPr>
        <w:pStyle w:val="Bullet0"/>
        <w:rPr>
          <w:noProof/>
        </w:rPr>
      </w:pPr>
      <w:r w:rsidRPr="00FF009C">
        <w:rPr>
          <w:b/>
          <w:i/>
          <w:noProof/>
        </w:rPr>
        <w:t>określenie przypadków przemytu migrantów, które wymagają współpracy</w:t>
      </w:r>
      <w:r w:rsidR="00FF009C" w:rsidRPr="00FF009C">
        <w:rPr>
          <w:b/>
          <w:i/>
          <w:noProof/>
        </w:rPr>
        <w:t xml:space="preserve"> z</w:t>
      </w:r>
      <w:r w:rsidR="00FF009C">
        <w:rPr>
          <w:b/>
          <w:i/>
          <w:noProof/>
        </w:rPr>
        <w:t> </w:t>
      </w:r>
      <w:r w:rsidR="00FF009C" w:rsidRPr="00FF009C">
        <w:rPr>
          <w:b/>
          <w:i/>
          <w:noProof/>
        </w:rPr>
        <w:t>pań</w:t>
      </w:r>
      <w:r w:rsidRPr="00FF009C">
        <w:rPr>
          <w:b/>
          <w:i/>
          <w:noProof/>
        </w:rPr>
        <w:t>stwami trzecimi,</w:t>
      </w:r>
      <w:r w:rsidR="00FF009C" w:rsidRPr="00FF009C">
        <w:rPr>
          <w:b/>
          <w:i/>
          <w:noProof/>
        </w:rPr>
        <w:t xml:space="preserve"> w</w:t>
      </w:r>
      <w:r w:rsidR="00FF009C">
        <w:rPr>
          <w:b/>
          <w:i/>
          <w:noProof/>
        </w:rPr>
        <w:t> </w:t>
      </w:r>
      <w:r w:rsidR="00FF009C" w:rsidRPr="00FF009C">
        <w:rPr>
          <w:b/>
          <w:i/>
          <w:noProof/>
        </w:rPr>
        <w:t>ram</w:t>
      </w:r>
      <w:r w:rsidRPr="00FF009C">
        <w:rPr>
          <w:b/>
          <w:i/>
          <w:noProof/>
        </w:rPr>
        <w:t>ach których niezbędne może być przekazywanie danych osobowych</w:t>
      </w:r>
      <w:r w:rsidR="00FF009C" w:rsidRPr="00FF009C">
        <w:rPr>
          <w:b/>
          <w:i/>
          <w:noProof/>
        </w:rPr>
        <w:t xml:space="preserve"> w</w:t>
      </w:r>
      <w:r w:rsidR="00FF009C">
        <w:rPr>
          <w:b/>
          <w:i/>
          <w:noProof/>
        </w:rPr>
        <w:t> </w:t>
      </w:r>
      <w:r w:rsidR="00FF009C" w:rsidRPr="00FF009C">
        <w:rPr>
          <w:b/>
          <w:i/>
          <w:noProof/>
        </w:rPr>
        <w:t>ind</w:t>
      </w:r>
      <w:r w:rsidRPr="00FF009C">
        <w:rPr>
          <w:b/>
          <w:i/>
          <w:noProof/>
        </w:rPr>
        <w:t>ywidualnych przypadkach do zapobiegania przestępstwom, prowadzenia postępowań przygotowawczych</w:t>
      </w:r>
      <w:r w:rsidR="00FF009C" w:rsidRPr="00FF009C">
        <w:rPr>
          <w:b/>
          <w:i/>
          <w:noProof/>
        </w:rPr>
        <w:t xml:space="preserve"> w</w:t>
      </w:r>
      <w:r w:rsidR="00FF009C">
        <w:rPr>
          <w:b/>
          <w:i/>
          <w:noProof/>
        </w:rPr>
        <w:t> </w:t>
      </w:r>
      <w:r w:rsidR="00FF009C" w:rsidRPr="00FF009C">
        <w:rPr>
          <w:b/>
          <w:i/>
          <w:noProof/>
        </w:rPr>
        <w:t>ich</w:t>
      </w:r>
      <w:r w:rsidRPr="00FF009C">
        <w:rPr>
          <w:b/>
          <w:i/>
          <w:noProof/>
        </w:rPr>
        <w:t xml:space="preserve"> sprawie, wykrywania ich</w:t>
      </w:r>
      <w:r w:rsidR="00FF009C" w:rsidRPr="00FF009C">
        <w:rPr>
          <w:b/>
          <w:i/>
          <w:noProof/>
        </w:rPr>
        <w:t xml:space="preserve"> i</w:t>
      </w:r>
      <w:r w:rsidR="00FF009C">
        <w:rPr>
          <w:b/>
          <w:i/>
          <w:noProof/>
        </w:rPr>
        <w:t> </w:t>
      </w:r>
      <w:r w:rsidR="00FF009C" w:rsidRPr="00FF009C">
        <w:rPr>
          <w:b/>
          <w:i/>
          <w:noProof/>
        </w:rPr>
        <w:t>ści</w:t>
      </w:r>
      <w:r w:rsidRPr="00FF009C">
        <w:rPr>
          <w:b/>
          <w:i/>
          <w:noProof/>
        </w:rPr>
        <w:t>gania karnego albo wykonywania kar:</w:t>
      </w:r>
      <w:r w:rsidR="00FF009C" w:rsidRPr="00FF009C">
        <w:rPr>
          <w:noProof/>
        </w:rPr>
        <w:t xml:space="preserve"> w</w:t>
      </w:r>
      <w:r w:rsidR="00FF009C">
        <w:rPr>
          <w:noProof/>
        </w:rPr>
        <w:t> </w:t>
      </w:r>
      <w:r w:rsidR="00FF009C" w:rsidRPr="00FF009C">
        <w:rPr>
          <w:noProof/>
        </w:rPr>
        <w:t>nin</w:t>
      </w:r>
      <w:r w:rsidRPr="00FF009C">
        <w:rPr>
          <w:noProof/>
        </w:rPr>
        <w:t>iejszej inicjatywie ustawodawczej identyfikację takich przypadków powierza się Europejskiemu Centrum Zwalczania Przemytu Migrantów</w:t>
      </w:r>
      <w:r w:rsidR="00FF009C" w:rsidRPr="00FF009C">
        <w:rPr>
          <w:noProof/>
        </w:rPr>
        <w:t>. W</w:t>
      </w:r>
      <w:r w:rsidR="00FF009C">
        <w:rPr>
          <w:noProof/>
        </w:rPr>
        <w:t> </w:t>
      </w:r>
      <w:r w:rsidR="00FF009C" w:rsidRPr="00FF009C">
        <w:rPr>
          <w:noProof/>
        </w:rPr>
        <w:t>tak</w:t>
      </w:r>
      <w:r w:rsidRPr="00FF009C">
        <w:rPr>
          <w:noProof/>
        </w:rPr>
        <w:t>ich przypadkach przekazywanie danych osobowych przez Europol do państw trzecich może –</w:t>
      </w:r>
      <w:r w:rsidR="00FF009C" w:rsidRPr="00FF009C">
        <w:rPr>
          <w:noProof/>
        </w:rPr>
        <w:t xml:space="preserve"> w</w:t>
      </w:r>
      <w:r w:rsidR="00FF009C">
        <w:rPr>
          <w:noProof/>
        </w:rPr>
        <w:t> </w:t>
      </w:r>
      <w:r w:rsidR="00FF009C" w:rsidRPr="00FF009C">
        <w:rPr>
          <w:noProof/>
        </w:rPr>
        <w:t>prz</w:t>
      </w:r>
      <w:r w:rsidRPr="00FF009C">
        <w:rPr>
          <w:noProof/>
        </w:rPr>
        <w:t>ypadku braku decyzji stwierdzającej odpowiedni stopień ochrony czy adekwatnych lub odpowiednich zabezpieczeń ochrony danych – odbywać się zgodnie</w:t>
      </w:r>
      <w:r w:rsidR="00FF009C" w:rsidRPr="00FF009C">
        <w:rPr>
          <w:noProof/>
        </w:rPr>
        <w:t xml:space="preserve"> z</w:t>
      </w:r>
      <w:r w:rsidR="00FF009C">
        <w:rPr>
          <w:noProof/>
        </w:rPr>
        <w:t> </w:t>
      </w:r>
      <w:r w:rsidR="00FF009C" w:rsidRPr="00FF009C">
        <w:rPr>
          <w:noProof/>
        </w:rPr>
        <w:t>art</w:t>
      </w:r>
      <w:r w:rsidRPr="00FF009C">
        <w:rPr>
          <w:noProof/>
        </w:rPr>
        <w:t>.</w:t>
      </w:r>
      <w:r w:rsidR="00FF009C" w:rsidRPr="00FF009C">
        <w:rPr>
          <w:noProof/>
        </w:rPr>
        <w:t> </w:t>
      </w:r>
      <w:r w:rsidRPr="00FF009C">
        <w:rPr>
          <w:noProof/>
        </w:rPr>
        <w:t>25 ust.</w:t>
      </w:r>
      <w:r w:rsidR="00FF009C" w:rsidRPr="00FF009C">
        <w:rPr>
          <w:noProof/>
        </w:rPr>
        <w:t> </w:t>
      </w:r>
      <w:r w:rsidRPr="00FF009C">
        <w:rPr>
          <w:noProof/>
        </w:rPr>
        <w:t>5 rozporządzenia (UE) 2016/794; [Art. 6]</w:t>
      </w:r>
    </w:p>
    <w:p w14:paraId="1231B0AC" w14:textId="1E0AFE34" w:rsidR="00DF5F58" w:rsidRPr="00FF009C" w:rsidRDefault="00397AA1" w:rsidP="00DF5F58">
      <w:pPr>
        <w:pStyle w:val="Bullet0"/>
        <w:rPr>
          <w:rFonts w:eastAsia="Calibri"/>
          <w:noProof/>
          <w:szCs w:val="24"/>
        </w:rPr>
      </w:pPr>
      <w:r w:rsidRPr="00FF009C">
        <w:rPr>
          <w:b/>
          <w:i/>
          <w:noProof/>
        </w:rPr>
        <w:t>zwiększenie roli Europolu</w:t>
      </w:r>
      <w:r w:rsidR="00FF009C" w:rsidRPr="00FF009C">
        <w:rPr>
          <w:b/>
          <w:i/>
          <w:noProof/>
        </w:rPr>
        <w:t xml:space="preserve"> w</w:t>
      </w:r>
      <w:r w:rsidR="00FF009C">
        <w:rPr>
          <w:b/>
          <w:i/>
          <w:noProof/>
        </w:rPr>
        <w:t> </w:t>
      </w:r>
      <w:r w:rsidR="00FF009C" w:rsidRPr="00FF009C">
        <w:rPr>
          <w:b/>
          <w:i/>
          <w:noProof/>
        </w:rPr>
        <w:t>zwa</w:t>
      </w:r>
      <w:r w:rsidRPr="00FF009C">
        <w:rPr>
          <w:b/>
          <w:i/>
          <w:noProof/>
        </w:rPr>
        <w:t>lczaniu przestępstw związanych</w:t>
      </w:r>
      <w:r w:rsidR="00FF009C" w:rsidRPr="00FF009C">
        <w:rPr>
          <w:b/>
          <w:i/>
          <w:noProof/>
        </w:rPr>
        <w:t xml:space="preserve"> z</w:t>
      </w:r>
      <w:r w:rsidR="00FF009C">
        <w:rPr>
          <w:b/>
          <w:i/>
          <w:noProof/>
        </w:rPr>
        <w:t> </w:t>
      </w:r>
      <w:r w:rsidR="00FF009C" w:rsidRPr="00FF009C">
        <w:rPr>
          <w:b/>
          <w:i/>
          <w:noProof/>
        </w:rPr>
        <w:t>nar</w:t>
      </w:r>
      <w:r w:rsidRPr="00FF009C">
        <w:rPr>
          <w:b/>
          <w:i/>
          <w:noProof/>
        </w:rPr>
        <w:t>uszeniem unijnych środków ograniczających:</w:t>
      </w:r>
      <w:r w:rsidR="00FF009C" w:rsidRPr="00FF009C">
        <w:rPr>
          <w:noProof/>
        </w:rPr>
        <w:t xml:space="preserve"> w</w:t>
      </w:r>
      <w:r w:rsidR="00FF009C">
        <w:rPr>
          <w:noProof/>
        </w:rPr>
        <w:t> </w:t>
      </w:r>
      <w:r w:rsidR="00FF009C" w:rsidRPr="00FF009C">
        <w:rPr>
          <w:noProof/>
        </w:rPr>
        <w:t>nin</w:t>
      </w:r>
      <w:r w:rsidRPr="00FF009C">
        <w:rPr>
          <w:noProof/>
        </w:rPr>
        <w:t>iejszej inicjatywie ustawodawczej tego typu przestępstwa uwzględnia się wśród form przestępczości wymienionych</w:t>
      </w:r>
      <w:r w:rsidR="00FF009C" w:rsidRPr="00FF009C">
        <w:rPr>
          <w:noProof/>
        </w:rPr>
        <w:t xml:space="preserve"> w</w:t>
      </w:r>
      <w:r w:rsidR="00FF009C">
        <w:rPr>
          <w:noProof/>
        </w:rPr>
        <w:t> </w:t>
      </w:r>
      <w:r w:rsidR="00FF009C" w:rsidRPr="00FF009C">
        <w:rPr>
          <w:noProof/>
        </w:rPr>
        <w:t>zał</w:t>
      </w:r>
      <w:r w:rsidRPr="00FF009C">
        <w:rPr>
          <w:noProof/>
        </w:rPr>
        <w:t>ączniku I do rozporządzenia (UE) 2016/794. Niezależnie od przemytu migrantów</w:t>
      </w:r>
      <w:r w:rsidR="00FF009C" w:rsidRPr="00FF009C">
        <w:rPr>
          <w:noProof/>
        </w:rPr>
        <w:t xml:space="preserve"> i</w:t>
      </w:r>
      <w:r w:rsidR="00FF009C">
        <w:rPr>
          <w:noProof/>
        </w:rPr>
        <w:t> </w:t>
      </w:r>
      <w:r w:rsidR="00FF009C" w:rsidRPr="00FF009C">
        <w:rPr>
          <w:noProof/>
        </w:rPr>
        <w:t>han</w:t>
      </w:r>
      <w:r w:rsidRPr="00FF009C">
        <w:rPr>
          <w:noProof/>
        </w:rPr>
        <w:t>dlu ludźmi</w:t>
      </w:r>
      <w:r w:rsidR="00FF009C" w:rsidRPr="00FF009C">
        <w:rPr>
          <w:noProof/>
        </w:rPr>
        <w:t xml:space="preserve"> w</w:t>
      </w:r>
      <w:r w:rsidR="00FF009C">
        <w:rPr>
          <w:noProof/>
        </w:rPr>
        <w:t> </w:t>
      </w:r>
      <w:r w:rsidR="00FF009C" w:rsidRPr="00FF009C">
        <w:rPr>
          <w:noProof/>
        </w:rPr>
        <w:t>pro</w:t>
      </w:r>
      <w:r w:rsidRPr="00FF009C">
        <w:rPr>
          <w:noProof/>
        </w:rPr>
        <w:t>ponowanym rozporządzeniu rozszerza się wykaz przestępstw, które wchodzą</w:t>
      </w:r>
      <w:r w:rsidR="00FF009C" w:rsidRPr="00FF009C">
        <w:rPr>
          <w:noProof/>
        </w:rPr>
        <w:t xml:space="preserve"> w</w:t>
      </w:r>
      <w:r w:rsidR="00FF009C">
        <w:rPr>
          <w:noProof/>
        </w:rPr>
        <w:t> </w:t>
      </w:r>
      <w:r w:rsidR="00FF009C" w:rsidRPr="00FF009C">
        <w:rPr>
          <w:noProof/>
        </w:rPr>
        <w:t>zak</w:t>
      </w:r>
      <w:r w:rsidRPr="00FF009C">
        <w:rPr>
          <w:noProof/>
        </w:rPr>
        <w:t>res kompetencji Europolu, przez włączenie do załącznika I do rozporządzenia</w:t>
      </w:r>
      <w:r w:rsidR="00FF009C" w:rsidRPr="00FF009C">
        <w:rPr>
          <w:noProof/>
        </w:rPr>
        <w:t xml:space="preserve"> w</w:t>
      </w:r>
      <w:r w:rsidR="00FF009C">
        <w:rPr>
          <w:noProof/>
        </w:rPr>
        <w:t> </w:t>
      </w:r>
      <w:r w:rsidR="00FF009C" w:rsidRPr="00FF009C">
        <w:rPr>
          <w:noProof/>
        </w:rPr>
        <w:t>spr</w:t>
      </w:r>
      <w:r w:rsidRPr="00FF009C">
        <w:rPr>
          <w:noProof/>
        </w:rPr>
        <w:t>awie Europolu formy „naruszenie unijnych środków ograniczających”. Stanowi to odpowiedź na wnioski państw członkowskich</w:t>
      </w:r>
      <w:r w:rsidR="00FF009C" w:rsidRPr="00FF009C">
        <w:rPr>
          <w:noProof/>
        </w:rPr>
        <w:t xml:space="preserve"> o</w:t>
      </w:r>
      <w:r w:rsidR="00FF009C">
        <w:rPr>
          <w:noProof/>
        </w:rPr>
        <w:t> </w:t>
      </w:r>
      <w:r w:rsidR="00FF009C" w:rsidRPr="00FF009C">
        <w:rPr>
          <w:noProof/>
        </w:rPr>
        <w:t>zez</w:t>
      </w:r>
      <w:r w:rsidRPr="00FF009C">
        <w:rPr>
          <w:noProof/>
        </w:rPr>
        <w:t>wolenie Europolowi na wspieranie ich</w:t>
      </w:r>
      <w:r w:rsidR="00FF009C" w:rsidRPr="00FF009C">
        <w:rPr>
          <w:noProof/>
        </w:rPr>
        <w:t xml:space="preserve"> w</w:t>
      </w:r>
      <w:r w:rsidR="00FF009C">
        <w:rPr>
          <w:noProof/>
        </w:rPr>
        <w:t> </w:t>
      </w:r>
      <w:r w:rsidR="00FF009C" w:rsidRPr="00FF009C">
        <w:rPr>
          <w:noProof/>
        </w:rPr>
        <w:t>wal</w:t>
      </w:r>
      <w:r w:rsidRPr="00FF009C">
        <w:rPr>
          <w:noProof/>
        </w:rPr>
        <w:t>ce</w:t>
      </w:r>
      <w:r w:rsidR="00FF009C" w:rsidRPr="00FF009C">
        <w:rPr>
          <w:noProof/>
        </w:rPr>
        <w:t xml:space="preserve"> z</w:t>
      </w:r>
      <w:r w:rsidR="00FF009C">
        <w:rPr>
          <w:noProof/>
        </w:rPr>
        <w:t> </w:t>
      </w:r>
      <w:r w:rsidR="00FF009C" w:rsidRPr="00FF009C">
        <w:rPr>
          <w:noProof/>
        </w:rPr>
        <w:t>nar</w:t>
      </w:r>
      <w:r w:rsidRPr="00FF009C">
        <w:rPr>
          <w:noProof/>
        </w:rPr>
        <w:t>uszeniami unijnych środków ograniczających, co jest obecnie możliwe tylko wówczas, gdy takie naruszenie stanowi również inną formę przestępczości wymienioną</w:t>
      </w:r>
      <w:r w:rsidR="00FF009C" w:rsidRPr="00FF009C">
        <w:rPr>
          <w:noProof/>
        </w:rPr>
        <w:t xml:space="preserve"> w</w:t>
      </w:r>
      <w:r w:rsidR="00FF009C">
        <w:rPr>
          <w:noProof/>
        </w:rPr>
        <w:t> </w:t>
      </w:r>
      <w:r w:rsidR="00FF009C" w:rsidRPr="00FF009C">
        <w:rPr>
          <w:noProof/>
        </w:rPr>
        <w:t>zał</w:t>
      </w:r>
      <w:r w:rsidRPr="00FF009C">
        <w:rPr>
          <w:noProof/>
        </w:rPr>
        <w:t>ączniku I do rozporządzenia</w:t>
      </w:r>
      <w:r w:rsidR="00FF009C" w:rsidRPr="00FF009C">
        <w:rPr>
          <w:noProof/>
        </w:rPr>
        <w:t xml:space="preserve"> w</w:t>
      </w:r>
      <w:r w:rsidR="00FF009C">
        <w:rPr>
          <w:noProof/>
        </w:rPr>
        <w:t> </w:t>
      </w:r>
      <w:r w:rsidR="00FF009C" w:rsidRPr="00FF009C">
        <w:rPr>
          <w:noProof/>
        </w:rPr>
        <w:t>spr</w:t>
      </w:r>
      <w:r w:rsidRPr="00FF009C">
        <w:rPr>
          <w:noProof/>
        </w:rPr>
        <w:t>awie Europolu, na przykład pranie pieniędzy. Nie wszystkie naruszenia unijnych środków ograniczających wchodziłyby jednak</w:t>
      </w:r>
      <w:r w:rsidR="00FF009C" w:rsidRPr="00FF009C">
        <w:rPr>
          <w:noProof/>
        </w:rPr>
        <w:t xml:space="preserve"> w</w:t>
      </w:r>
      <w:r w:rsidR="00FF009C">
        <w:rPr>
          <w:noProof/>
        </w:rPr>
        <w:t> </w:t>
      </w:r>
      <w:r w:rsidR="00FF009C" w:rsidRPr="00FF009C">
        <w:rPr>
          <w:noProof/>
        </w:rPr>
        <w:t>zak</w:t>
      </w:r>
      <w:r w:rsidRPr="00FF009C">
        <w:rPr>
          <w:noProof/>
        </w:rPr>
        <w:t>res przestępstw wymienionych obecnie</w:t>
      </w:r>
      <w:r w:rsidR="00FF009C" w:rsidRPr="00FF009C">
        <w:rPr>
          <w:noProof/>
        </w:rPr>
        <w:t xml:space="preserve"> w</w:t>
      </w:r>
      <w:r w:rsidR="00FF009C">
        <w:rPr>
          <w:noProof/>
        </w:rPr>
        <w:t> </w:t>
      </w:r>
      <w:r w:rsidR="00FF009C" w:rsidRPr="00FF009C">
        <w:rPr>
          <w:noProof/>
        </w:rPr>
        <w:t>zał</w:t>
      </w:r>
      <w:r w:rsidRPr="00FF009C">
        <w:rPr>
          <w:noProof/>
        </w:rPr>
        <w:t>ączniku I do rozporządzenia</w:t>
      </w:r>
      <w:r w:rsidR="00FF009C" w:rsidRPr="00FF009C">
        <w:rPr>
          <w:noProof/>
        </w:rPr>
        <w:t xml:space="preserve"> w</w:t>
      </w:r>
      <w:r w:rsidR="00FF009C">
        <w:rPr>
          <w:noProof/>
        </w:rPr>
        <w:t> </w:t>
      </w:r>
      <w:r w:rsidR="00FF009C" w:rsidRPr="00FF009C">
        <w:rPr>
          <w:noProof/>
        </w:rPr>
        <w:t>spr</w:t>
      </w:r>
      <w:r w:rsidRPr="00FF009C">
        <w:rPr>
          <w:noProof/>
        </w:rPr>
        <w:t>awie Europolu. Włączenie naruszenia unijnych środków ograniczających do załącznika I do rozporządzenia</w:t>
      </w:r>
      <w:r w:rsidR="00FF009C" w:rsidRPr="00FF009C">
        <w:rPr>
          <w:noProof/>
        </w:rPr>
        <w:t xml:space="preserve"> w</w:t>
      </w:r>
      <w:r w:rsidR="00FF009C">
        <w:rPr>
          <w:noProof/>
        </w:rPr>
        <w:t> </w:t>
      </w:r>
      <w:r w:rsidR="00FF009C" w:rsidRPr="00FF009C">
        <w:rPr>
          <w:noProof/>
        </w:rPr>
        <w:t>spr</w:t>
      </w:r>
      <w:r w:rsidRPr="00FF009C">
        <w:rPr>
          <w:noProof/>
        </w:rPr>
        <w:t>awie Europolu stanowiłoby uzupełnienie proponowanej dyrektywy</w:t>
      </w:r>
      <w:r w:rsidR="00FF009C" w:rsidRPr="00FF009C">
        <w:rPr>
          <w:noProof/>
        </w:rPr>
        <w:t xml:space="preserve"> w</w:t>
      </w:r>
      <w:r w:rsidR="00FF009C">
        <w:rPr>
          <w:noProof/>
        </w:rPr>
        <w:t> </w:t>
      </w:r>
      <w:r w:rsidR="00FF009C" w:rsidRPr="00FF009C">
        <w:rPr>
          <w:noProof/>
        </w:rPr>
        <w:t>spr</w:t>
      </w:r>
      <w:r w:rsidRPr="00FF009C">
        <w:rPr>
          <w:noProof/>
        </w:rPr>
        <w:t>awie definicji przestępstw związanych</w:t>
      </w:r>
      <w:r w:rsidR="00FF009C" w:rsidRPr="00FF009C">
        <w:rPr>
          <w:noProof/>
        </w:rPr>
        <w:t xml:space="preserve"> z</w:t>
      </w:r>
      <w:r w:rsidR="00FF009C">
        <w:rPr>
          <w:noProof/>
        </w:rPr>
        <w:t> </w:t>
      </w:r>
      <w:r w:rsidR="00FF009C" w:rsidRPr="00FF009C">
        <w:rPr>
          <w:noProof/>
        </w:rPr>
        <w:t>nar</w:t>
      </w:r>
      <w:r w:rsidRPr="00FF009C">
        <w:rPr>
          <w:noProof/>
        </w:rPr>
        <w:t>uszeniem unijnych środków ograniczających oraz kar za takie przestępstwa</w:t>
      </w:r>
      <w:r w:rsidR="008015B9" w:rsidRPr="00FF009C">
        <w:rPr>
          <w:rStyle w:val="FootnoteReference0"/>
          <w:rFonts w:eastAsia="Calibri"/>
          <w:noProof/>
        </w:rPr>
        <w:footnoteReference w:id="20"/>
      </w:r>
      <w:r w:rsidRPr="00FF009C">
        <w:rPr>
          <w:noProof/>
        </w:rPr>
        <w:t>. [Art. 9]</w:t>
      </w:r>
    </w:p>
    <w:p w14:paraId="5770CFBB" w14:textId="77777777" w:rsidR="002460ED" w:rsidRPr="00FF009C" w:rsidRDefault="002460ED" w:rsidP="002460ED">
      <w:pPr>
        <w:pStyle w:val="ListParagraph"/>
        <w:widowControl w:val="0"/>
        <w:autoSpaceDE w:val="0"/>
        <w:autoSpaceDN w:val="0"/>
        <w:adjustRightInd w:val="0"/>
        <w:spacing w:before="0" w:line="269" w:lineRule="exact"/>
        <w:ind w:left="714"/>
        <w:contextualSpacing w:val="0"/>
        <w:rPr>
          <w:noProof/>
        </w:rPr>
      </w:pPr>
      <w:r w:rsidRPr="00FF009C">
        <w:rPr>
          <w:noProof/>
        </w:rPr>
        <w:br/>
      </w:r>
      <w:r w:rsidRPr="00FF009C">
        <w:rPr>
          <w:noProof/>
        </w:rPr>
        <w:br/>
      </w:r>
    </w:p>
    <w:p w14:paraId="28159392" w14:textId="77777777" w:rsidR="002460ED" w:rsidRPr="00FF009C" w:rsidRDefault="002460ED" w:rsidP="002460ED">
      <w:pPr>
        <w:widowControl w:val="0"/>
        <w:shd w:val="clear" w:color="auto" w:fill="FFFFFF" w:themeFill="background1"/>
        <w:autoSpaceDE w:val="0"/>
        <w:autoSpaceDN w:val="0"/>
        <w:adjustRightInd w:val="0"/>
        <w:spacing w:before="230" w:after="0" w:line="269" w:lineRule="exact"/>
        <w:ind w:right="86"/>
        <w:rPr>
          <w:noProof/>
        </w:rPr>
      </w:pPr>
    </w:p>
    <w:p w14:paraId="5EBF7B3F" w14:textId="77777777" w:rsidR="0043039B" w:rsidRPr="00FF009C" w:rsidRDefault="0043039B" w:rsidP="0043039B">
      <w:pPr>
        <w:rPr>
          <w:noProof/>
        </w:rPr>
        <w:sectPr w:rsidR="0043039B" w:rsidRPr="00FF009C" w:rsidSect="004E3534">
          <w:footerReference w:type="default" r:id="rId10"/>
          <w:footerReference w:type="first" r:id="rId11"/>
          <w:pgSz w:w="11907" w:h="16839"/>
          <w:pgMar w:top="1134" w:right="1417" w:bottom="1134" w:left="1417" w:header="709" w:footer="709" w:gutter="0"/>
          <w:cols w:space="708"/>
          <w:docGrid w:linePitch="360"/>
        </w:sectPr>
      </w:pPr>
    </w:p>
    <w:p w14:paraId="2FCB58FC" w14:textId="7D91E817" w:rsidR="00820DBD" w:rsidRPr="00FF009C" w:rsidRDefault="00E024EE" w:rsidP="00E024EE">
      <w:pPr>
        <w:pStyle w:val="Rfrenceinterinstitutionnelle"/>
        <w:rPr>
          <w:noProof/>
        </w:rPr>
      </w:pPr>
      <w:r w:rsidRPr="00E024EE">
        <w:t>2023/0438 (COD)</w:t>
      </w:r>
    </w:p>
    <w:p w14:paraId="72E7F707" w14:textId="162376A7" w:rsidR="0043039B" w:rsidRPr="00FF009C" w:rsidRDefault="00C66276" w:rsidP="00C66276">
      <w:pPr>
        <w:pStyle w:val="Statut"/>
        <w:rPr>
          <w:noProof/>
        </w:rPr>
      </w:pPr>
      <w:r w:rsidRPr="00C66276">
        <w:rPr>
          <w:noProof/>
        </w:rPr>
        <w:t>Wniosek</w:t>
      </w:r>
    </w:p>
    <w:p w14:paraId="47FCAAE6" w14:textId="2D949B61" w:rsidR="0043039B" w:rsidRPr="00FF009C" w:rsidRDefault="00C66276" w:rsidP="00C66276">
      <w:pPr>
        <w:pStyle w:val="Typedudocument"/>
        <w:rPr>
          <w:noProof/>
        </w:rPr>
      </w:pPr>
      <w:r w:rsidRPr="00C66276">
        <w:rPr>
          <w:noProof/>
        </w:rPr>
        <w:t>ROZPORZĄDZENIE PARLAMENTU EUROPEJSKIEGO I RADY</w:t>
      </w:r>
    </w:p>
    <w:p w14:paraId="43350E00" w14:textId="2BA9D256" w:rsidR="0043039B" w:rsidRPr="00FF009C" w:rsidRDefault="00C66276" w:rsidP="00C66276">
      <w:pPr>
        <w:pStyle w:val="Titreobjet"/>
        <w:rPr>
          <w:noProof/>
        </w:rPr>
      </w:pPr>
      <w:r w:rsidRPr="00C66276">
        <w:rPr>
          <w:noProof/>
        </w:rPr>
        <w:t>w sprawie wzmocnienia współpracy policyjnej w odniesieniu do zapobiegania przemytowi migrantów i handlowi ludźmi, wykrywania tych przestępstw oraz prowadzenia stosownych postępowań przygotowawczych w tym zakresie i w sprawie zwiększenia wsparcia Europolu na rzecz zapobiegania tego rodzaju przestępstwom oraz zmiany rozporządzenia (UE) 2016/794</w:t>
      </w:r>
    </w:p>
    <w:p w14:paraId="6566E4AC" w14:textId="77777777" w:rsidR="0043039B" w:rsidRPr="00FF009C" w:rsidRDefault="0043039B" w:rsidP="0043039B">
      <w:pPr>
        <w:pStyle w:val="Institutionquiagit"/>
        <w:rPr>
          <w:noProof/>
        </w:rPr>
      </w:pPr>
      <w:r w:rsidRPr="00FF009C">
        <w:rPr>
          <w:noProof/>
        </w:rPr>
        <w:t>PARLAMENT EUROPEJSKI I RADA UNII EUROPEJSKIEJ,</w:t>
      </w:r>
    </w:p>
    <w:p w14:paraId="375F900C" w14:textId="67FE32D3" w:rsidR="0043039B" w:rsidRPr="00FF009C" w:rsidRDefault="0043039B" w:rsidP="0043039B">
      <w:pPr>
        <w:rPr>
          <w:noProof/>
        </w:rPr>
      </w:pPr>
      <w:r w:rsidRPr="00FF009C">
        <w:rPr>
          <w:noProof/>
        </w:rPr>
        <w:t>uwzględniając Traktat</w:t>
      </w:r>
      <w:r w:rsidR="00FF009C" w:rsidRPr="00FF009C">
        <w:rPr>
          <w:noProof/>
        </w:rPr>
        <w:t xml:space="preserve"> o</w:t>
      </w:r>
      <w:r w:rsidR="00FF009C">
        <w:rPr>
          <w:noProof/>
        </w:rPr>
        <w:t> </w:t>
      </w:r>
      <w:r w:rsidR="00FF009C" w:rsidRPr="00FF009C">
        <w:rPr>
          <w:noProof/>
        </w:rPr>
        <w:t>fun</w:t>
      </w:r>
      <w:r w:rsidRPr="00FF009C">
        <w:rPr>
          <w:noProof/>
        </w:rPr>
        <w:t>kcjonowaniu Unii Europejskiej,</w:t>
      </w:r>
      <w:r w:rsidR="00FF009C" w:rsidRPr="00FF009C">
        <w:rPr>
          <w:noProof/>
        </w:rPr>
        <w:t xml:space="preserve"> w</w:t>
      </w:r>
      <w:r w:rsidR="00FF009C">
        <w:rPr>
          <w:noProof/>
        </w:rPr>
        <w:t> </w:t>
      </w:r>
      <w:r w:rsidR="00FF009C" w:rsidRPr="00FF009C">
        <w:rPr>
          <w:noProof/>
        </w:rPr>
        <w:t>szc</w:t>
      </w:r>
      <w:r w:rsidRPr="00FF009C">
        <w:rPr>
          <w:noProof/>
        </w:rPr>
        <w:t>zególności jego art. 85 ust. 1, art.</w:t>
      </w:r>
      <w:r w:rsidR="00FF009C" w:rsidRPr="00FF009C">
        <w:rPr>
          <w:noProof/>
        </w:rPr>
        <w:t> </w:t>
      </w:r>
      <w:r w:rsidRPr="00FF009C">
        <w:rPr>
          <w:noProof/>
        </w:rPr>
        <w:t>87 ust. 2</w:t>
      </w:r>
      <w:r w:rsidR="00FF009C" w:rsidRPr="00FF009C">
        <w:rPr>
          <w:noProof/>
        </w:rPr>
        <w:t xml:space="preserve"> i</w:t>
      </w:r>
      <w:r w:rsidR="00FF009C">
        <w:rPr>
          <w:noProof/>
        </w:rPr>
        <w:t> </w:t>
      </w:r>
      <w:r w:rsidR="00FF009C" w:rsidRPr="00FF009C">
        <w:rPr>
          <w:noProof/>
        </w:rPr>
        <w:t>art</w:t>
      </w:r>
      <w:r w:rsidRPr="00FF009C">
        <w:rPr>
          <w:noProof/>
        </w:rPr>
        <w:t>. 88 ust. 2,</w:t>
      </w:r>
    </w:p>
    <w:p w14:paraId="61BA836E" w14:textId="77777777" w:rsidR="003648D9" w:rsidRPr="00FF009C" w:rsidRDefault="003648D9" w:rsidP="003648D9">
      <w:pPr>
        <w:rPr>
          <w:noProof/>
        </w:rPr>
      </w:pPr>
      <w:r w:rsidRPr="00FF009C">
        <w:rPr>
          <w:noProof/>
        </w:rPr>
        <w:t>uwzględniając wniosek Komisji Europejskiej,</w:t>
      </w:r>
    </w:p>
    <w:p w14:paraId="4B50F6EA" w14:textId="77777777" w:rsidR="003648D9" w:rsidRPr="00FF009C" w:rsidRDefault="003648D9" w:rsidP="003648D9">
      <w:pPr>
        <w:rPr>
          <w:noProof/>
        </w:rPr>
      </w:pPr>
      <w:r w:rsidRPr="00FF009C">
        <w:rPr>
          <w:noProof/>
        </w:rPr>
        <w:t>po przekazaniu projektu aktu ustawodawczego parlamentom narodowym,</w:t>
      </w:r>
    </w:p>
    <w:p w14:paraId="6825F5F9" w14:textId="77195B11" w:rsidR="0043039B" w:rsidRPr="00FF009C" w:rsidRDefault="003648D9" w:rsidP="003648D9">
      <w:pPr>
        <w:rPr>
          <w:noProof/>
        </w:rPr>
      </w:pPr>
      <w:r w:rsidRPr="00FF009C">
        <w:rPr>
          <w:noProof/>
        </w:rPr>
        <w:t>stanowiąc zgodnie ze zwykłą procedurą ustawodawczą,</w:t>
      </w:r>
    </w:p>
    <w:p w14:paraId="135A3497" w14:textId="77777777" w:rsidR="0043039B" w:rsidRPr="00FF009C" w:rsidRDefault="0043039B" w:rsidP="0043039B">
      <w:pPr>
        <w:rPr>
          <w:noProof/>
        </w:rPr>
      </w:pPr>
      <w:r w:rsidRPr="00FF009C">
        <w:rPr>
          <w:noProof/>
        </w:rPr>
        <w:t>a także mając na uwadze, co następuje:</w:t>
      </w:r>
    </w:p>
    <w:p w14:paraId="06A04440" w14:textId="2CB4EEEA" w:rsidR="0043039B" w:rsidRPr="00FF009C" w:rsidRDefault="0028650E" w:rsidP="0028650E">
      <w:pPr>
        <w:pStyle w:val="ManualConsidrant"/>
        <w:rPr>
          <w:noProof/>
        </w:rPr>
      </w:pPr>
      <w:r w:rsidRPr="00FF009C">
        <w:rPr>
          <w:noProof/>
        </w:rPr>
        <w:t>(1)</w:t>
      </w:r>
      <w:r w:rsidRPr="00FF009C">
        <w:rPr>
          <w:noProof/>
        </w:rPr>
        <w:tab/>
        <w:t>Agencję Unii Europejskiej ds. Współpracy Organów Ścigania (Europol) ustanowiono rozporządzeniem Parlamentu Europejskiego</w:t>
      </w:r>
      <w:r w:rsidR="00FF009C" w:rsidRPr="00FF009C">
        <w:rPr>
          <w:noProof/>
        </w:rPr>
        <w:t xml:space="preserve"> i</w:t>
      </w:r>
      <w:r w:rsidR="00FF009C">
        <w:rPr>
          <w:noProof/>
        </w:rPr>
        <w:t> </w:t>
      </w:r>
      <w:r w:rsidR="00FF009C" w:rsidRPr="00FF009C">
        <w:rPr>
          <w:noProof/>
        </w:rPr>
        <w:t>Rad</w:t>
      </w:r>
      <w:r w:rsidRPr="00FF009C">
        <w:rPr>
          <w:noProof/>
        </w:rPr>
        <w:t>y (UE) 2016/794</w:t>
      </w:r>
      <w:r w:rsidR="0043039B" w:rsidRPr="00FF009C">
        <w:rPr>
          <w:rStyle w:val="FootnoteReference0"/>
          <w:noProof/>
        </w:rPr>
        <w:footnoteReference w:id="21"/>
      </w:r>
      <w:r w:rsidRPr="00FF009C">
        <w:rPr>
          <w:noProof/>
        </w:rPr>
        <w:t>, aby wspierać</w:t>
      </w:r>
      <w:r w:rsidR="00FF009C" w:rsidRPr="00FF009C">
        <w:rPr>
          <w:noProof/>
        </w:rPr>
        <w:t xml:space="preserve"> i</w:t>
      </w:r>
      <w:r w:rsidR="00FF009C">
        <w:rPr>
          <w:noProof/>
        </w:rPr>
        <w:t> </w:t>
      </w:r>
      <w:r w:rsidR="00FF009C" w:rsidRPr="00FF009C">
        <w:rPr>
          <w:noProof/>
        </w:rPr>
        <w:t>wzm</w:t>
      </w:r>
      <w:r w:rsidRPr="00FF009C">
        <w:rPr>
          <w:noProof/>
        </w:rPr>
        <w:t>acniać działania</w:t>
      </w:r>
      <w:r w:rsidR="00FF009C" w:rsidRPr="00FF009C">
        <w:rPr>
          <w:noProof/>
        </w:rPr>
        <w:t xml:space="preserve"> i</w:t>
      </w:r>
      <w:r w:rsidR="00FF009C">
        <w:rPr>
          <w:noProof/>
        </w:rPr>
        <w:t> </w:t>
      </w:r>
      <w:r w:rsidR="00FF009C" w:rsidRPr="00FF009C">
        <w:rPr>
          <w:noProof/>
        </w:rPr>
        <w:t>wsp</w:t>
      </w:r>
      <w:r w:rsidRPr="00FF009C">
        <w:rPr>
          <w:noProof/>
        </w:rPr>
        <w:t>ółpracę właściwych organów państw członkowskich</w:t>
      </w:r>
      <w:r w:rsidR="00FF009C" w:rsidRPr="00FF009C">
        <w:rPr>
          <w:noProof/>
        </w:rPr>
        <w:t xml:space="preserve"> w</w:t>
      </w:r>
      <w:r w:rsidR="00FF009C">
        <w:rPr>
          <w:noProof/>
        </w:rPr>
        <w:t> </w:t>
      </w:r>
      <w:r w:rsidR="00FF009C" w:rsidRPr="00FF009C">
        <w:rPr>
          <w:noProof/>
        </w:rPr>
        <w:t>zak</w:t>
      </w:r>
      <w:r w:rsidRPr="00FF009C">
        <w:rPr>
          <w:noProof/>
        </w:rPr>
        <w:t>resie zapobiegania poważnej przestępczości dotykającej co najmniej dwa państwa członkowskie, terroryzmowi</w:t>
      </w:r>
      <w:r w:rsidR="00FF009C" w:rsidRPr="00FF009C">
        <w:rPr>
          <w:noProof/>
        </w:rPr>
        <w:t xml:space="preserve"> i</w:t>
      </w:r>
      <w:r w:rsidR="00FF009C">
        <w:rPr>
          <w:noProof/>
        </w:rPr>
        <w:t> </w:t>
      </w:r>
      <w:r w:rsidR="00FF009C" w:rsidRPr="00FF009C">
        <w:rPr>
          <w:noProof/>
        </w:rPr>
        <w:t>for</w:t>
      </w:r>
      <w:r w:rsidRPr="00FF009C">
        <w:rPr>
          <w:noProof/>
        </w:rPr>
        <w:t>mom przestępczości mającym wpływ na wspólny interes objęty polityką Unii,</w:t>
      </w:r>
      <w:r w:rsidR="00FF009C" w:rsidRPr="00FF009C">
        <w:rPr>
          <w:noProof/>
        </w:rPr>
        <w:t xml:space="preserve"> a</w:t>
      </w:r>
      <w:r w:rsidR="00FF009C">
        <w:rPr>
          <w:noProof/>
        </w:rPr>
        <w:t> </w:t>
      </w:r>
      <w:r w:rsidR="00FF009C" w:rsidRPr="00FF009C">
        <w:rPr>
          <w:noProof/>
        </w:rPr>
        <w:t>tak</w:t>
      </w:r>
      <w:r w:rsidRPr="00FF009C">
        <w:rPr>
          <w:noProof/>
        </w:rPr>
        <w:t>że</w:t>
      </w:r>
      <w:r w:rsidR="00FF009C" w:rsidRPr="00FF009C">
        <w:rPr>
          <w:noProof/>
        </w:rPr>
        <w:t xml:space="preserve"> w</w:t>
      </w:r>
      <w:r w:rsidR="00FF009C">
        <w:rPr>
          <w:noProof/>
        </w:rPr>
        <w:t> </w:t>
      </w:r>
      <w:r w:rsidR="00FF009C" w:rsidRPr="00FF009C">
        <w:rPr>
          <w:noProof/>
        </w:rPr>
        <w:t>zak</w:t>
      </w:r>
      <w:r w:rsidRPr="00FF009C">
        <w:rPr>
          <w:noProof/>
        </w:rPr>
        <w:t>resie zwalczania tych zjawisk.</w:t>
      </w:r>
    </w:p>
    <w:p w14:paraId="4D66F1FD" w14:textId="2F0BB840" w:rsidR="0043039B" w:rsidRPr="00FF009C" w:rsidRDefault="0028650E" w:rsidP="0028650E">
      <w:pPr>
        <w:pStyle w:val="ManualConsidrant"/>
        <w:rPr>
          <w:noProof/>
        </w:rPr>
      </w:pPr>
      <w:r w:rsidRPr="00FF009C">
        <w:rPr>
          <w:noProof/>
        </w:rPr>
        <w:t>(2)</w:t>
      </w:r>
      <w:r w:rsidRPr="00FF009C">
        <w:rPr>
          <w:noProof/>
        </w:rPr>
        <w:tab/>
        <w:t>Przemyt migrantów jest działalnością przestępczą charakteryzującą się brakiem szacunku dla życia</w:t>
      </w:r>
      <w:r w:rsidR="00FF009C" w:rsidRPr="00FF009C">
        <w:rPr>
          <w:noProof/>
        </w:rPr>
        <w:t xml:space="preserve"> i</w:t>
      </w:r>
      <w:r w:rsidR="00FF009C">
        <w:rPr>
          <w:noProof/>
        </w:rPr>
        <w:t> </w:t>
      </w:r>
      <w:r w:rsidR="00FF009C" w:rsidRPr="00FF009C">
        <w:rPr>
          <w:noProof/>
        </w:rPr>
        <w:t>god</w:t>
      </w:r>
      <w:r w:rsidRPr="00FF009C">
        <w:rPr>
          <w:noProof/>
        </w:rPr>
        <w:t>ności ludzkiej</w:t>
      </w:r>
      <w:r w:rsidR="00FF009C" w:rsidRPr="00FF009C">
        <w:rPr>
          <w:noProof/>
        </w:rPr>
        <w:t xml:space="preserve"> w</w:t>
      </w:r>
      <w:r w:rsidR="00FF009C">
        <w:rPr>
          <w:noProof/>
        </w:rPr>
        <w:t> </w:t>
      </w:r>
      <w:r w:rsidR="00FF009C" w:rsidRPr="00FF009C">
        <w:rPr>
          <w:noProof/>
        </w:rPr>
        <w:t>pog</w:t>
      </w:r>
      <w:r w:rsidRPr="00FF009C">
        <w:rPr>
          <w:noProof/>
        </w:rPr>
        <w:t>oni za zyskiem, naruszaniem praw podstawowych osób, których dotyczy, oraz utrudnianiem osiągnięcia celów Unii</w:t>
      </w:r>
      <w:r w:rsidR="00FF009C" w:rsidRPr="00FF009C">
        <w:rPr>
          <w:noProof/>
        </w:rPr>
        <w:t xml:space="preserve"> w</w:t>
      </w:r>
      <w:r w:rsidR="00FF009C">
        <w:rPr>
          <w:noProof/>
        </w:rPr>
        <w:t> </w:t>
      </w:r>
      <w:r w:rsidR="00FF009C" w:rsidRPr="00FF009C">
        <w:rPr>
          <w:noProof/>
        </w:rPr>
        <w:t>zak</w:t>
      </w:r>
      <w:r w:rsidRPr="00FF009C">
        <w:rPr>
          <w:noProof/>
        </w:rPr>
        <w:t>resie zarządzania migracjami</w:t>
      </w:r>
      <w:r w:rsidR="00FF009C" w:rsidRPr="00FF009C">
        <w:rPr>
          <w:noProof/>
        </w:rPr>
        <w:t>. W</w:t>
      </w:r>
      <w:r w:rsidR="00FF009C">
        <w:rPr>
          <w:noProof/>
        </w:rPr>
        <w:t> </w:t>
      </w:r>
      <w:r w:rsidR="00FF009C" w:rsidRPr="00FF009C">
        <w:rPr>
          <w:noProof/>
        </w:rPr>
        <w:t>kon</w:t>
      </w:r>
      <w:r w:rsidRPr="00FF009C">
        <w:rPr>
          <w:noProof/>
        </w:rPr>
        <w:t>kluzjach</w:t>
      </w:r>
      <w:r w:rsidR="00FF009C" w:rsidRPr="00FF009C">
        <w:rPr>
          <w:noProof/>
        </w:rPr>
        <w:t xml:space="preserve"> z</w:t>
      </w:r>
      <w:r w:rsidR="00FF009C">
        <w:rPr>
          <w:noProof/>
        </w:rPr>
        <w:t> </w:t>
      </w:r>
      <w:r w:rsidR="00FF009C" w:rsidRPr="00FF009C">
        <w:rPr>
          <w:noProof/>
        </w:rPr>
        <w:t>dni</w:t>
      </w:r>
      <w:r w:rsidRPr="00FF009C">
        <w:rPr>
          <w:noProof/>
        </w:rPr>
        <w:t>a 9 lutego 2023</w:t>
      </w:r>
      <w:r w:rsidR="00FF009C" w:rsidRPr="00FF009C">
        <w:rPr>
          <w:noProof/>
        </w:rPr>
        <w:t> </w:t>
      </w:r>
      <w:r w:rsidRPr="00FF009C">
        <w:rPr>
          <w:noProof/>
        </w:rPr>
        <w:t>r. Rada Europejska potwierdziła znaczenie walki</w:t>
      </w:r>
      <w:r w:rsidR="00FF009C" w:rsidRPr="00FF009C">
        <w:rPr>
          <w:noProof/>
        </w:rPr>
        <w:t xml:space="preserve"> z</w:t>
      </w:r>
      <w:r w:rsidR="00FF009C">
        <w:rPr>
          <w:noProof/>
        </w:rPr>
        <w:t> </w:t>
      </w:r>
      <w:r w:rsidR="00FF009C" w:rsidRPr="00FF009C">
        <w:rPr>
          <w:noProof/>
        </w:rPr>
        <w:t>prz</w:t>
      </w:r>
      <w:r w:rsidRPr="00FF009C">
        <w:rPr>
          <w:noProof/>
        </w:rPr>
        <w:t>emytnikami oraz zamiar zintensyfikowania działań, aby zapobiegać wyjazdom</w:t>
      </w:r>
      <w:r w:rsidR="00FF009C" w:rsidRPr="00FF009C">
        <w:rPr>
          <w:noProof/>
        </w:rPr>
        <w:t xml:space="preserve"> o</w:t>
      </w:r>
      <w:r w:rsidR="00FF009C">
        <w:rPr>
          <w:noProof/>
        </w:rPr>
        <w:t> </w:t>
      </w:r>
      <w:r w:rsidR="00FF009C" w:rsidRPr="00FF009C">
        <w:rPr>
          <w:noProof/>
        </w:rPr>
        <w:t>nie</w:t>
      </w:r>
      <w:r w:rsidRPr="00FF009C">
        <w:rPr>
          <w:noProof/>
        </w:rPr>
        <w:t>uregulowanym charakterze</w:t>
      </w:r>
      <w:r w:rsidR="00FF009C" w:rsidRPr="00FF009C">
        <w:rPr>
          <w:noProof/>
        </w:rPr>
        <w:t xml:space="preserve"> i</w:t>
      </w:r>
      <w:r w:rsidR="00FF009C">
        <w:rPr>
          <w:noProof/>
        </w:rPr>
        <w:t> </w:t>
      </w:r>
      <w:r w:rsidR="00FF009C" w:rsidRPr="00FF009C">
        <w:rPr>
          <w:noProof/>
        </w:rPr>
        <w:t>ofi</w:t>
      </w:r>
      <w:r w:rsidRPr="00FF009C">
        <w:rPr>
          <w:noProof/>
        </w:rPr>
        <w:t>arom</w:t>
      </w:r>
      <w:r w:rsidR="00FF009C" w:rsidRPr="00FF009C">
        <w:rPr>
          <w:noProof/>
        </w:rPr>
        <w:t xml:space="preserve"> w</w:t>
      </w:r>
      <w:r w:rsidR="00FF009C">
        <w:rPr>
          <w:noProof/>
        </w:rPr>
        <w:t> </w:t>
      </w:r>
      <w:r w:rsidR="00FF009C" w:rsidRPr="00FF009C">
        <w:rPr>
          <w:noProof/>
        </w:rPr>
        <w:t>lud</w:t>
      </w:r>
      <w:r w:rsidRPr="00FF009C">
        <w:rPr>
          <w:noProof/>
        </w:rPr>
        <w:t>ziach,</w:t>
      </w:r>
      <w:r w:rsidR="00FF009C" w:rsidRPr="00FF009C">
        <w:rPr>
          <w:noProof/>
        </w:rPr>
        <w:t xml:space="preserve"> w</w:t>
      </w:r>
      <w:r w:rsidR="00FF009C">
        <w:rPr>
          <w:noProof/>
        </w:rPr>
        <w:t> </w:t>
      </w:r>
      <w:r w:rsidR="00FF009C" w:rsidRPr="00FF009C">
        <w:rPr>
          <w:noProof/>
        </w:rPr>
        <w:t>tym</w:t>
      </w:r>
      <w:r w:rsidRPr="00FF009C">
        <w:rPr>
          <w:noProof/>
        </w:rPr>
        <w:t xml:space="preserve"> również</w:t>
      </w:r>
      <w:r w:rsidR="00FF009C" w:rsidRPr="00FF009C">
        <w:rPr>
          <w:noProof/>
        </w:rPr>
        <w:t xml:space="preserve"> w</w:t>
      </w:r>
      <w:r w:rsidR="00FF009C">
        <w:rPr>
          <w:noProof/>
        </w:rPr>
        <w:t> </w:t>
      </w:r>
      <w:r w:rsidR="00FF009C" w:rsidRPr="00FF009C">
        <w:rPr>
          <w:noProof/>
        </w:rPr>
        <w:t>dro</w:t>
      </w:r>
      <w:r w:rsidRPr="00FF009C">
        <w:rPr>
          <w:noProof/>
        </w:rPr>
        <w:t>dze zacieśnienia współpracy</w:t>
      </w:r>
      <w:r w:rsidR="00FF009C" w:rsidRPr="00FF009C">
        <w:rPr>
          <w:noProof/>
        </w:rPr>
        <w:t xml:space="preserve"> z</w:t>
      </w:r>
      <w:r w:rsidR="00FF009C">
        <w:rPr>
          <w:noProof/>
        </w:rPr>
        <w:t> </w:t>
      </w:r>
      <w:r w:rsidR="00FF009C" w:rsidRPr="00FF009C">
        <w:rPr>
          <w:noProof/>
        </w:rPr>
        <w:t>kra</w:t>
      </w:r>
      <w:r w:rsidRPr="00FF009C">
        <w:rPr>
          <w:noProof/>
        </w:rPr>
        <w:t>jami pochodzenia</w:t>
      </w:r>
      <w:r w:rsidR="00FF009C" w:rsidRPr="00FF009C">
        <w:rPr>
          <w:noProof/>
        </w:rPr>
        <w:t xml:space="preserve"> i</w:t>
      </w:r>
      <w:r w:rsidR="00FF009C">
        <w:rPr>
          <w:noProof/>
        </w:rPr>
        <w:t> </w:t>
      </w:r>
      <w:r w:rsidR="00FF009C" w:rsidRPr="00FF009C">
        <w:rPr>
          <w:noProof/>
        </w:rPr>
        <w:t>tra</w:t>
      </w:r>
      <w:r w:rsidRPr="00FF009C">
        <w:rPr>
          <w:noProof/>
        </w:rPr>
        <w:t>nzytu</w:t>
      </w:r>
      <w:r w:rsidR="00FF009C" w:rsidRPr="00FF009C">
        <w:rPr>
          <w:noProof/>
        </w:rPr>
        <w:t>. W</w:t>
      </w:r>
      <w:r w:rsidR="00FF009C">
        <w:rPr>
          <w:noProof/>
        </w:rPr>
        <w:t> </w:t>
      </w:r>
      <w:r w:rsidR="00FF009C" w:rsidRPr="00FF009C">
        <w:rPr>
          <w:noProof/>
        </w:rPr>
        <w:t>tym</w:t>
      </w:r>
      <w:r w:rsidRPr="00FF009C">
        <w:rPr>
          <w:noProof/>
        </w:rPr>
        <w:t xml:space="preserve"> celu ważna jest również poprawa reagowania organów ścigania na przemyt migrantów</w:t>
      </w:r>
      <w:r w:rsidR="00FF009C" w:rsidRPr="00FF009C">
        <w:rPr>
          <w:noProof/>
        </w:rPr>
        <w:t xml:space="preserve"> i</w:t>
      </w:r>
      <w:r w:rsidR="00FF009C">
        <w:rPr>
          <w:noProof/>
        </w:rPr>
        <w:t> </w:t>
      </w:r>
      <w:r w:rsidR="00FF009C" w:rsidRPr="00FF009C">
        <w:rPr>
          <w:noProof/>
        </w:rPr>
        <w:t>han</w:t>
      </w:r>
      <w:r w:rsidRPr="00FF009C">
        <w:rPr>
          <w:noProof/>
        </w:rPr>
        <w:t>del ludźmi przez zwiększenie zdolności Europolu,</w:t>
      </w:r>
      <w:r w:rsidR="00FF009C" w:rsidRPr="00FF009C">
        <w:rPr>
          <w:noProof/>
        </w:rPr>
        <w:t xml:space="preserve"> a</w:t>
      </w:r>
      <w:r w:rsidR="00FF009C">
        <w:rPr>
          <w:noProof/>
        </w:rPr>
        <w:t> </w:t>
      </w:r>
      <w:r w:rsidR="00FF009C" w:rsidRPr="00FF009C">
        <w:rPr>
          <w:noProof/>
        </w:rPr>
        <w:t>w</w:t>
      </w:r>
      <w:r w:rsidR="00FF009C">
        <w:rPr>
          <w:noProof/>
        </w:rPr>
        <w:t> </w:t>
      </w:r>
      <w:r w:rsidR="00FF009C" w:rsidRPr="00FF009C">
        <w:rPr>
          <w:noProof/>
        </w:rPr>
        <w:t>szc</w:t>
      </w:r>
      <w:r w:rsidRPr="00FF009C">
        <w:rPr>
          <w:noProof/>
        </w:rPr>
        <w:t xml:space="preserve">zególności jego </w:t>
      </w:r>
      <w:bookmarkStart w:id="3" w:name="_Hlk151108592"/>
      <w:r w:rsidRPr="00FF009C">
        <w:rPr>
          <w:noProof/>
        </w:rPr>
        <w:t>unijnego ośrodka dysponującego specjalistyczną wiedzą fachową</w:t>
      </w:r>
      <w:r w:rsidR="00FF009C" w:rsidRPr="00FF009C">
        <w:rPr>
          <w:noProof/>
        </w:rPr>
        <w:t xml:space="preserve"> w</w:t>
      </w:r>
      <w:r w:rsidR="00FF009C">
        <w:rPr>
          <w:noProof/>
        </w:rPr>
        <w:t> </w:t>
      </w:r>
      <w:r w:rsidR="00FF009C" w:rsidRPr="00FF009C">
        <w:rPr>
          <w:noProof/>
        </w:rPr>
        <w:t>zak</w:t>
      </w:r>
      <w:r w:rsidRPr="00FF009C">
        <w:rPr>
          <w:noProof/>
        </w:rPr>
        <w:t>resie zwalczania przemytu migrantów</w:t>
      </w:r>
      <w:r w:rsidR="00FF009C" w:rsidRPr="00FF009C">
        <w:rPr>
          <w:noProof/>
        </w:rPr>
        <w:t xml:space="preserve"> i</w:t>
      </w:r>
      <w:r w:rsidR="00FF009C">
        <w:rPr>
          <w:noProof/>
        </w:rPr>
        <w:t> </w:t>
      </w:r>
      <w:r w:rsidR="00FF009C" w:rsidRPr="00FF009C">
        <w:rPr>
          <w:noProof/>
        </w:rPr>
        <w:t>han</w:t>
      </w:r>
      <w:r w:rsidRPr="00FF009C">
        <w:rPr>
          <w:noProof/>
        </w:rPr>
        <w:t>dlu ludźmi</w:t>
      </w:r>
      <w:bookmarkEnd w:id="3"/>
      <w:r w:rsidRPr="00FF009C">
        <w:rPr>
          <w:noProof/>
        </w:rPr>
        <w:t xml:space="preserve">. </w:t>
      </w:r>
    </w:p>
    <w:p w14:paraId="015E4D3B" w14:textId="57F4143B" w:rsidR="0043039B" w:rsidRPr="00FF009C" w:rsidRDefault="0028650E" w:rsidP="0028650E">
      <w:pPr>
        <w:pStyle w:val="ManualConsidrant"/>
        <w:rPr>
          <w:noProof/>
        </w:rPr>
      </w:pPr>
      <w:r w:rsidRPr="00FF009C">
        <w:rPr>
          <w:noProof/>
        </w:rPr>
        <w:t>(3)</w:t>
      </w:r>
      <w:r w:rsidRPr="00FF009C">
        <w:rPr>
          <w:noProof/>
        </w:rPr>
        <w:tab/>
        <w:t>W 2016</w:t>
      </w:r>
      <w:r w:rsidR="00FF009C" w:rsidRPr="00FF009C">
        <w:rPr>
          <w:noProof/>
        </w:rPr>
        <w:t> </w:t>
      </w:r>
      <w:r w:rsidRPr="00FF009C">
        <w:rPr>
          <w:noProof/>
        </w:rPr>
        <w:t>r. zgodnie</w:t>
      </w:r>
      <w:r w:rsidR="00FF009C" w:rsidRPr="00FF009C">
        <w:rPr>
          <w:noProof/>
        </w:rPr>
        <w:t xml:space="preserve"> z</w:t>
      </w:r>
      <w:r w:rsidR="00FF009C">
        <w:rPr>
          <w:noProof/>
        </w:rPr>
        <w:t> </w:t>
      </w:r>
      <w:r w:rsidR="00FF009C" w:rsidRPr="00FF009C">
        <w:rPr>
          <w:noProof/>
        </w:rPr>
        <w:t>art</w:t>
      </w:r>
      <w:r w:rsidRPr="00FF009C">
        <w:rPr>
          <w:noProof/>
        </w:rPr>
        <w:t>.</w:t>
      </w:r>
      <w:r w:rsidR="00FF009C" w:rsidRPr="00FF009C">
        <w:rPr>
          <w:noProof/>
        </w:rPr>
        <w:t> </w:t>
      </w:r>
      <w:r w:rsidRPr="00FF009C">
        <w:rPr>
          <w:noProof/>
        </w:rPr>
        <w:t>11 ust.</w:t>
      </w:r>
      <w:r w:rsidR="00FF009C" w:rsidRPr="00FF009C">
        <w:rPr>
          <w:noProof/>
        </w:rPr>
        <w:t> </w:t>
      </w:r>
      <w:r w:rsidRPr="00FF009C">
        <w:rPr>
          <w:noProof/>
        </w:rPr>
        <w:t>1 lit.</w:t>
      </w:r>
      <w:r w:rsidR="00FF009C" w:rsidRPr="00FF009C">
        <w:rPr>
          <w:noProof/>
        </w:rPr>
        <w:t> </w:t>
      </w:r>
      <w:r w:rsidRPr="00FF009C">
        <w:rPr>
          <w:noProof/>
        </w:rPr>
        <w:t>s) rozporządzenia (UE) 2016/794 zarząd Europolu ustanowił Europejskie Centrum Zwalczania Przemytu Migrantów jako takie unijne centrum dysponujące specjalistyczną wiedzą fachową. Od czasu jego utworzenia Centrum stale ewoluuje</w:t>
      </w:r>
      <w:r w:rsidR="00FF009C" w:rsidRPr="00FF009C">
        <w:rPr>
          <w:noProof/>
        </w:rPr>
        <w:t xml:space="preserve"> i</w:t>
      </w:r>
      <w:r w:rsidR="00FF009C">
        <w:rPr>
          <w:noProof/>
        </w:rPr>
        <w:t> </w:t>
      </w:r>
      <w:r w:rsidR="00FF009C" w:rsidRPr="00FF009C">
        <w:rPr>
          <w:noProof/>
        </w:rPr>
        <w:t>roz</w:t>
      </w:r>
      <w:r w:rsidRPr="00FF009C">
        <w:rPr>
          <w:noProof/>
        </w:rPr>
        <w:t>szerza zakres działań, aby zapewnić jak najlepsze wsparcie państwom członkowskim jako dynamiczna platforma współpracy operacyjnej, wymiany informacji</w:t>
      </w:r>
      <w:r w:rsidR="00FF009C" w:rsidRPr="00FF009C">
        <w:rPr>
          <w:noProof/>
        </w:rPr>
        <w:t xml:space="preserve"> i</w:t>
      </w:r>
      <w:r w:rsidR="00FF009C">
        <w:rPr>
          <w:noProof/>
        </w:rPr>
        <w:t> </w:t>
      </w:r>
      <w:r w:rsidR="00FF009C" w:rsidRPr="00FF009C">
        <w:rPr>
          <w:noProof/>
        </w:rPr>
        <w:t>koo</w:t>
      </w:r>
      <w:r w:rsidRPr="00FF009C">
        <w:rPr>
          <w:noProof/>
        </w:rPr>
        <w:t>rdynacji między państwami członkowskimi</w:t>
      </w:r>
      <w:r w:rsidR="00FF009C" w:rsidRPr="00FF009C">
        <w:rPr>
          <w:noProof/>
        </w:rPr>
        <w:t xml:space="preserve"> a</w:t>
      </w:r>
      <w:r w:rsidR="00FF009C">
        <w:rPr>
          <w:noProof/>
        </w:rPr>
        <w:t> </w:t>
      </w:r>
      <w:r w:rsidR="00FF009C" w:rsidRPr="00FF009C">
        <w:rPr>
          <w:noProof/>
        </w:rPr>
        <w:t>par</w:t>
      </w:r>
      <w:r w:rsidRPr="00FF009C">
        <w:rPr>
          <w:noProof/>
        </w:rPr>
        <w:t>tnerami zaangażowanymi</w:t>
      </w:r>
      <w:r w:rsidR="00FF009C" w:rsidRPr="00FF009C">
        <w:rPr>
          <w:noProof/>
        </w:rPr>
        <w:t xml:space="preserve"> w</w:t>
      </w:r>
      <w:r w:rsidR="00FF009C">
        <w:rPr>
          <w:noProof/>
        </w:rPr>
        <w:t> </w:t>
      </w:r>
      <w:r w:rsidR="00FF009C" w:rsidRPr="00FF009C">
        <w:rPr>
          <w:noProof/>
        </w:rPr>
        <w:t>wal</w:t>
      </w:r>
      <w:r w:rsidRPr="00FF009C">
        <w:rPr>
          <w:noProof/>
        </w:rPr>
        <w:t>kę</w:t>
      </w:r>
      <w:r w:rsidR="00FF009C" w:rsidRPr="00FF009C">
        <w:rPr>
          <w:noProof/>
        </w:rPr>
        <w:t xml:space="preserve"> z</w:t>
      </w:r>
      <w:r w:rsidR="00FF009C">
        <w:rPr>
          <w:noProof/>
        </w:rPr>
        <w:t> </w:t>
      </w:r>
      <w:r w:rsidR="00FF009C" w:rsidRPr="00FF009C">
        <w:rPr>
          <w:noProof/>
        </w:rPr>
        <w:t>prz</w:t>
      </w:r>
      <w:r w:rsidRPr="00FF009C">
        <w:rPr>
          <w:noProof/>
        </w:rPr>
        <w:t>emytem migrantów</w:t>
      </w:r>
      <w:r w:rsidR="00FF009C" w:rsidRPr="00FF009C">
        <w:rPr>
          <w:noProof/>
        </w:rPr>
        <w:t xml:space="preserve"> i</w:t>
      </w:r>
      <w:r w:rsidR="00FF009C">
        <w:rPr>
          <w:noProof/>
        </w:rPr>
        <w:t> </w:t>
      </w:r>
      <w:r w:rsidR="00FF009C" w:rsidRPr="00FF009C">
        <w:rPr>
          <w:noProof/>
        </w:rPr>
        <w:t>han</w:t>
      </w:r>
      <w:r w:rsidRPr="00FF009C">
        <w:rPr>
          <w:noProof/>
        </w:rPr>
        <w:t>dlem ludźmi. Wzrost liczby osób</w:t>
      </w:r>
      <w:r w:rsidR="00FF009C" w:rsidRPr="00FF009C">
        <w:rPr>
          <w:noProof/>
        </w:rPr>
        <w:t xml:space="preserve"> o</w:t>
      </w:r>
      <w:r w:rsidR="00FF009C">
        <w:rPr>
          <w:noProof/>
        </w:rPr>
        <w:t> </w:t>
      </w:r>
      <w:r w:rsidR="00FF009C" w:rsidRPr="00FF009C">
        <w:rPr>
          <w:noProof/>
        </w:rPr>
        <w:t>nie</w:t>
      </w:r>
      <w:r w:rsidRPr="00FF009C">
        <w:rPr>
          <w:noProof/>
        </w:rPr>
        <w:t>uregulowanym statusie przybywających do Unii</w:t>
      </w:r>
      <w:r w:rsidR="00FF009C" w:rsidRPr="00FF009C">
        <w:rPr>
          <w:noProof/>
        </w:rPr>
        <w:t xml:space="preserve"> i</w:t>
      </w:r>
      <w:r w:rsidR="00FF009C">
        <w:rPr>
          <w:noProof/>
        </w:rPr>
        <w:t> </w:t>
      </w:r>
      <w:r w:rsidR="00FF009C" w:rsidRPr="00FF009C">
        <w:rPr>
          <w:noProof/>
        </w:rPr>
        <w:t>nie</w:t>
      </w:r>
      <w:r w:rsidRPr="00FF009C">
        <w:rPr>
          <w:noProof/>
        </w:rPr>
        <w:t>dozwolonych przemieszczeń</w:t>
      </w:r>
      <w:r w:rsidR="00FF009C" w:rsidRPr="00FF009C">
        <w:rPr>
          <w:noProof/>
        </w:rPr>
        <w:t xml:space="preserve"> w</w:t>
      </w:r>
      <w:r w:rsidR="00FF009C">
        <w:rPr>
          <w:noProof/>
        </w:rPr>
        <w:t> </w:t>
      </w:r>
      <w:r w:rsidR="00FF009C" w:rsidRPr="00FF009C">
        <w:rPr>
          <w:noProof/>
        </w:rPr>
        <w:t>obr</w:t>
      </w:r>
      <w:r w:rsidRPr="00FF009C">
        <w:rPr>
          <w:noProof/>
        </w:rPr>
        <w:t>ębie Unii, zdolność zorganizowanych grup przestępczych do szybkiego przystosowania się oraz rozwój nowych sposobów działania</w:t>
      </w:r>
      <w:r w:rsidR="00FF009C" w:rsidRPr="00FF009C">
        <w:rPr>
          <w:noProof/>
        </w:rPr>
        <w:t xml:space="preserve"> i</w:t>
      </w:r>
      <w:r w:rsidR="00FF009C">
        <w:rPr>
          <w:noProof/>
        </w:rPr>
        <w:t> </w:t>
      </w:r>
      <w:r w:rsidR="00FF009C" w:rsidRPr="00FF009C">
        <w:rPr>
          <w:noProof/>
        </w:rPr>
        <w:t>zaa</w:t>
      </w:r>
      <w:r w:rsidRPr="00FF009C">
        <w:rPr>
          <w:noProof/>
        </w:rPr>
        <w:t>wansowanych metod wskazują na pilną konieczność znacznego zwiększenia roli działającego</w:t>
      </w:r>
      <w:r w:rsidR="00FF009C" w:rsidRPr="00FF009C">
        <w:rPr>
          <w:noProof/>
        </w:rPr>
        <w:t xml:space="preserve"> w</w:t>
      </w:r>
      <w:r w:rsidR="00FF009C">
        <w:rPr>
          <w:noProof/>
        </w:rPr>
        <w:t> </w:t>
      </w:r>
      <w:r w:rsidR="00FF009C" w:rsidRPr="00FF009C">
        <w:rPr>
          <w:noProof/>
        </w:rPr>
        <w:t>Eur</w:t>
      </w:r>
      <w:r w:rsidRPr="00FF009C">
        <w:rPr>
          <w:noProof/>
        </w:rPr>
        <w:t>opolu ośrodka Unii dysponującego specjalistyczną wiedzą fachową</w:t>
      </w:r>
      <w:r w:rsidR="00FF009C" w:rsidRPr="00FF009C">
        <w:rPr>
          <w:noProof/>
        </w:rPr>
        <w:t xml:space="preserve"> w</w:t>
      </w:r>
      <w:r w:rsidR="00FF009C">
        <w:rPr>
          <w:noProof/>
        </w:rPr>
        <w:t> </w:t>
      </w:r>
      <w:r w:rsidR="00FF009C" w:rsidRPr="00FF009C">
        <w:rPr>
          <w:noProof/>
        </w:rPr>
        <w:t>zak</w:t>
      </w:r>
      <w:r w:rsidRPr="00FF009C">
        <w:rPr>
          <w:noProof/>
        </w:rPr>
        <w:t>resie zwalczania przemytu migrantów</w:t>
      </w:r>
      <w:r w:rsidR="00FF009C" w:rsidRPr="00FF009C">
        <w:rPr>
          <w:noProof/>
        </w:rPr>
        <w:t xml:space="preserve"> i</w:t>
      </w:r>
      <w:r w:rsidR="00FF009C">
        <w:rPr>
          <w:noProof/>
        </w:rPr>
        <w:t> </w:t>
      </w:r>
      <w:r w:rsidR="00FF009C" w:rsidRPr="00FF009C">
        <w:rPr>
          <w:noProof/>
        </w:rPr>
        <w:t>han</w:t>
      </w:r>
      <w:r w:rsidRPr="00FF009C">
        <w:rPr>
          <w:noProof/>
        </w:rPr>
        <w:t>dlu ludźmi przez nadanie temu ośrodkowi stałej struktury</w:t>
      </w:r>
      <w:r w:rsidR="00FF009C" w:rsidRPr="00FF009C">
        <w:rPr>
          <w:noProof/>
        </w:rPr>
        <w:t xml:space="preserve"> w</w:t>
      </w:r>
      <w:r w:rsidR="00FF009C">
        <w:rPr>
          <w:noProof/>
        </w:rPr>
        <w:t> </w:t>
      </w:r>
      <w:r w:rsidR="00FF009C" w:rsidRPr="00FF009C">
        <w:rPr>
          <w:noProof/>
        </w:rPr>
        <w:t>ram</w:t>
      </w:r>
      <w:r w:rsidRPr="00FF009C">
        <w:rPr>
          <w:noProof/>
        </w:rPr>
        <w:t>ach Europolu oraz przez podwyższenie poziomu jego zaangażowania we wspieranie państw członkowskich</w:t>
      </w:r>
      <w:r w:rsidR="00FF009C" w:rsidRPr="00FF009C">
        <w:rPr>
          <w:noProof/>
        </w:rPr>
        <w:t xml:space="preserve"> w</w:t>
      </w:r>
      <w:r w:rsidR="00FF009C">
        <w:rPr>
          <w:noProof/>
        </w:rPr>
        <w:t> </w:t>
      </w:r>
      <w:r w:rsidR="00FF009C" w:rsidRPr="00FF009C">
        <w:rPr>
          <w:noProof/>
        </w:rPr>
        <w:t>zap</w:t>
      </w:r>
      <w:r w:rsidRPr="00FF009C">
        <w:rPr>
          <w:noProof/>
        </w:rPr>
        <w:t>obieganiu przemytowi migrantów</w:t>
      </w:r>
      <w:r w:rsidR="00FF009C" w:rsidRPr="00FF009C">
        <w:rPr>
          <w:noProof/>
        </w:rPr>
        <w:t xml:space="preserve"> i</w:t>
      </w:r>
      <w:r w:rsidR="00FF009C">
        <w:rPr>
          <w:noProof/>
        </w:rPr>
        <w:t> </w:t>
      </w:r>
      <w:r w:rsidR="00FF009C" w:rsidRPr="00FF009C">
        <w:rPr>
          <w:noProof/>
        </w:rPr>
        <w:t>han</w:t>
      </w:r>
      <w:r w:rsidRPr="00FF009C">
        <w:rPr>
          <w:noProof/>
        </w:rPr>
        <w:t>dlowi ludźmi oraz zwalczaniu tych przestępstw. Nazwa tego ośrodka powinna brzmieć „Europejskie Centrum Zwalczania Przemytu Migrantów”.</w:t>
      </w:r>
    </w:p>
    <w:p w14:paraId="19C58D81" w14:textId="0D5566FC" w:rsidR="0043039B" w:rsidRPr="00FF009C" w:rsidRDefault="0028650E" w:rsidP="0028650E">
      <w:pPr>
        <w:pStyle w:val="ManualConsidrant"/>
        <w:rPr>
          <w:noProof/>
        </w:rPr>
      </w:pPr>
      <w:r w:rsidRPr="00FF009C">
        <w:rPr>
          <w:noProof/>
        </w:rPr>
        <w:t>(4)</w:t>
      </w:r>
      <w:r w:rsidRPr="00FF009C">
        <w:rPr>
          <w:noProof/>
        </w:rPr>
        <w:tab/>
        <w:t>Europejskie Centrum Zwalczania Przemytu Migrantów powinno zapewniać państwom członkowskim wsparcie strategiczne, operacyjne</w:t>
      </w:r>
      <w:r w:rsidR="00FF009C" w:rsidRPr="00FF009C">
        <w:rPr>
          <w:noProof/>
        </w:rPr>
        <w:t xml:space="preserve"> i</w:t>
      </w:r>
      <w:r w:rsidR="00FF009C">
        <w:rPr>
          <w:noProof/>
        </w:rPr>
        <w:t> </w:t>
      </w:r>
      <w:r w:rsidR="00FF009C" w:rsidRPr="00FF009C">
        <w:rPr>
          <w:noProof/>
        </w:rPr>
        <w:t>tec</w:t>
      </w:r>
      <w:r w:rsidRPr="00FF009C">
        <w:rPr>
          <w:noProof/>
        </w:rPr>
        <w:t>hniczne</w:t>
      </w:r>
      <w:r w:rsidR="00FF009C" w:rsidRPr="00FF009C">
        <w:rPr>
          <w:noProof/>
        </w:rPr>
        <w:t xml:space="preserve"> w</w:t>
      </w:r>
      <w:r w:rsidR="00FF009C">
        <w:rPr>
          <w:noProof/>
        </w:rPr>
        <w:t> </w:t>
      </w:r>
      <w:r w:rsidR="00FF009C" w:rsidRPr="00FF009C">
        <w:rPr>
          <w:noProof/>
        </w:rPr>
        <w:t>cel</w:t>
      </w:r>
      <w:r w:rsidRPr="00FF009C">
        <w:rPr>
          <w:noProof/>
        </w:rPr>
        <w:t>u zapobiegania przemytowi migrantów</w:t>
      </w:r>
      <w:r w:rsidR="00FF009C" w:rsidRPr="00FF009C">
        <w:rPr>
          <w:noProof/>
        </w:rPr>
        <w:t xml:space="preserve"> i</w:t>
      </w:r>
      <w:r w:rsidR="00FF009C">
        <w:rPr>
          <w:noProof/>
        </w:rPr>
        <w:t> </w:t>
      </w:r>
      <w:r w:rsidR="00FF009C" w:rsidRPr="00FF009C">
        <w:rPr>
          <w:noProof/>
        </w:rPr>
        <w:t>han</w:t>
      </w:r>
      <w:r w:rsidRPr="00FF009C">
        <w:rPr>
          <w:noProof/>
        </w:rPr>
        <w:t>dlowi ludźmi oraz zwalczania tych przestępstw. Jego zadania strategiczne obejmują zapewnienie ram na potrzeby realizacji strategicznych</w:t>
      </w:r>
      <w:r w:rsidR="00FF009C" w:rsidRPr="00FF009C">
        <w:rPr>
          <w:noProof/>
        </w:rPr>
        <w:t xml:space="preserve"> i</w:t>
      </w:r>
      <w:r w:rsidR="00FF009C">
        <w:rPr>
          <w:noProof/>
        </w:rPr>
        <w:t> </w:t>
      </w:r>
      <w:r w:rsidR="00FF009C" w:rsidRPr="00FF009C">
        <w:rPr>
          <w:noProof/>
        </w:rPr>
        <w:t>ope</w:t>
      </w:r>
      <w:r w:rsidRPr="00FF009C">
        <w:rPr>
          <w:noProof/>
        </w:rPr>
        <w:t>racyjnych priorytetów Unii</w:t>
      </w:r>
      <w:r w:rsidR="00FF009C" w:rsidRPr="00FF009C">
        <w:rPr>
          <w:noProof/>
        </w:rPr>
        <w:t xml:space="preserve"> w</w:t>
      </w:r>
      <w:r w:rsidR="00FF009C">
        <w:rPr>
          <w:noProof/>
        </w:rPr>
        <w:t> </w:t>
      </w:r>
      <w:r w:rsidR="00FF009C" w:rsidRPr="00FF009C">
        <w:rPr>
          <w:noProof/>
        </w:rPr>
        <w:t>dro</w:t>
      </w:r>
      <w:r w:rsidRPr="00FF009C">
        <w:rPr>
          <w:noProof/>
        </w:rPr>
        <w:t>dze monitorowania tendencji</w:t>
      </w:r>
      <w:r w:rsidR="00FF009C" w:rsidRPr="00FF009C">
        <w:rPr>
          <w:noProof/>
        </w:rPr>
        <w:t xml:space="preserve"> w</w:t>
      </w:r>
      <w:r w:rsidR="00FF009C">
        <w:rPr>
          <w:noProof/>
        </w:rPr>
        <w:t> </w:t>
      </w:r>
      <w:r w:rsidR="00FF009C" w:rsidRPr="00FF009C">
        <w:rPr>
          <w:noProof/>
        </w:rPr>
        <w:t>zak</w:t>
      </w:r>
      <w:r w:rsidRPr="00FF009C">
        <w:rPr>
          <w:noProof/>
        </w:rPr>
        <w:t>resie przemytu migrantów</w:t>
      </w:r>
      <w:r w:rsidR="00FF009C" w:rsidRPr="00FF009C">
        <w:rPr>
          <w:noProof/>
        </w:rPr>
        <w:t xml:space="preserve"> i</w:t>
      </w:r>
      <w:r w:rsidR="00FF009C">
        <w:rPr>
          <w:noProof/>
        </w:rPr>
        <w:t> </w:t>
      </w:r>
      <w:r w:rsidR="00FF009C" w:rsidRPr="00FF009C">
        <w:rPr>
          <w:noProof/>
        </w:rPr>
        <w:t>han</w:t>
      </w:r>
      <w:r w:rsidRPr="00FF009C">
        <w:rPr>
          <w:noProof/>
        </w:rPr>
        <w:t>dlu ludźmi</w:t>
      </w:r>
      <w:r w:rsidR="00FF009C" w:rsidRPr="00FF009C">
        <w:rPr>
          <w:noProof/>
        </w:rPr>
        <w:t>. W</w:t>
      </w:r>
      <w:r w:rsidR="00FF009C">
        <w:rPr>
          <w:noProof/>
        </w:rPr>
        <w:t> </w:t>
      </w:r>
      <w:r w:rsidR="00FF009C" w:rsidRPr="00FF009C">
        <w:rPr>
          <w:noProof/>
        </w:rPr>
        <w:t>tym</w:t>
      </w:r>
      <w:r w:rsidRPr="00FF009C">
        <w:rPr>
          <w:noProof/>
        </w:rPr>
        <w:t xml:space="preserve"> celu powinno ono przygotowywać sprawozdania roczne, analizy strategiczne, oceny zagrożenia</w:t>
      </w:r>
      <w:r w:rsidR="00FF009C" w:rsidRPr="00FF009C">
        <w:rPr>
          <w:noProof/>
        </w:rPr>
        <w:t xml:space="preserve"> i</w:t>
      </w:r>
      <w:r w:rsidR="00FF009C">
        <w:rPr>
          <w:noProof/>
        </w:rPr>
        <w:t> </w:t>
      </w:r>
      <w:r w:rsidR="00FF009C" w:rsidRPr="00FF009C">
        <w:rPr>
          <w:noProof/>
        </w:rPr>
        <w:t>akt</w:t>
      </w:r>
      <w:r w:rsidRPr="00FF009C">
        <w:rPr>
          <w:noProof/>
        </w:rPr>
        <w:t>ualne informacje na temat sytuacji na szlakach migracyjnych</w:t>
      </w:r>
      <w:r w:rsidR="00FF009C" w:rsidRPr="00FF009C">
        <w:rPr>
          <w:noProof/>
        </w:rPr>
        <w:t xml:space="preserve"> i</w:t>
      </w:r>
      <w:r w:rsidR="00FF009C">
        <w:rPr>
          <w:noProof/>
        </w:rPr>
        <w:t> </w:t>
      </w:r>
      <w:r w:rsidR="00FF009C" w:rsidRPr="00FF009C">
        <w:rPr>
          <w:noProof/>
        </w:rPr>
        <w:t>spo</w:t>
      </w:r>
      <w:r w:rsidRPr="00FF009C">
        <w:rPr>
          <w:noProof/>
        </w:rPr>
        <w:t>sobów działania przemytników,</w:t>
      </w:r>
      <w:r w:rsidR="00FF009C" w:rsidRPr="00FF009C">
        <w:rPr>
          <w:noProof/>
        </w:rPr>
        <w:t xml:space="preserve"> w</w:t>
      </w:r>
      <w:r w:rsidR="00FF009C">
        <w:rPr>
          <w:noProof/>
        </w:rPr>
        <w:t> </w:t>
      </w:r>
      <w:r w:rsidR="00FF009C" w:rsidRPr="00FF009C">
        <w:rPr>
          <w:noProof/>
        </w:rPr>
        <w:t>tym</w:t>
      </w:r>
      <w:r w:rsidRPr="00FF009C">
        <w:rPr>
          <w:noProof/>
        </w:rPr>
        <w:t xml:space="preserve"> wskazania, że do przemytu migrantów</w:t>
      </w:r>
      <w:r w:rsidR="00FF009C" w:rsidRPr="00FF009C">
        <w:rPr>
          <w:noProof/>
        </w:rPr>
        <w:t xml:space="preserve"> i</w:t>
      </w:r>
      <w:r w:rsidR="00FF009C">
        <w:rPr>
          <w:noProof/>
        </w:rPr>
        <w:t> </w:t>
      </w:r>
      <w:r w:rsidR="00FF009C" w:rsidRPr="00FF009C">
        <w:rPr>
          <w:noProof/>
        </w:rPr>
        <w:t>han</w:t>
      </w:r>
      <w:r w:rsidRPr="00FF009C">
        <w:rPr>
          <w:noProof/>
        </w:rPr>
        <w:t>dlu ludźmi mogą być wykorzystywane podmioty prywatne</w:t>
      </w:r>
      <w:r w:rsidR="00FF009C" w:rsidRPr="00FF009C">
        <w:rPr>
          <w:noProof/>
        </w:rPr>
        <w:t>. W</w:t>
      </w:r>
      <w:r w:rsidR="00FF009C">
        <w:rPr>
          <w:noProof/>
        </w:rPr>
        <w:t> </w:t>
      </w:r>
      <w:r w:rsidR="00FF009C" w:rsidRPr="00FF009C">
        <w:rPr>
          <w:noProof/>
        </w:rPr>
        <w:t>kon</w:t>
      </w:r>
      <w:r w:rsidRPr="00FF009C">
        <w:rPr>
          <w:noProof/>
        </w:rPr>
        <w:t>tekście realizacji swoich zadań strategicznych</w:t>
      </w:r>
      <w:r w:rsidR="00FF009C" w:rsidRPr="00FF009C">
        <w:rPr>
          <w:noProof/>
        </w:rPr>
        <w:t xml:space="preserve"> i</w:t>
      </w:r>
      <w:r w:rsidR="00FF009C">
        <w:rPr>
          <w:noProof/>
        </w:rPr>
        <w:t> </w:t>
      </w:r>
      <w:r w:rsidR="00FF009C" w:rsidRPr="00FF009C">
        <w:rPr>
          <w:noProof/>
        </w:rPr>
        <w:t>ope</w:t>
      </w:r>
      <w:r w:rsidRPr="00FF009C">
        <w:rPr>
          <w:noProof/>
        </w:rPr>
        <w:t>racyjnych Europejskie Centrum Zwalczania Przemytu Migrantów powinno współpracować</w:t>
      </w:r>
      <w:r w:rsidR="00FF009C" w:rsidRPr="00FF009C">
        <w:rPr>
          <w:noProof/>
        </w:rPr>
        <w:t xml:space="preserve"> z</w:t>
      </w:r>
      <w:r w:rsidR="00FF009C">
        <w:rPr>
          <w:noProof/>
        </w:rPr>
        <w:t> </w:t>
      </w:r>
      <w:r w:rsidR="00FF009C" w:rsidRPr="00FF009C">
        <w:rPr>
          <w:noProof/>
        </w:rPr>
        <w:t>Eur</w:t>
      </w:r>
      <w:r w:rsidRPr="00FF009C">
        <w:rPr>
          <w:noProof/>
        </w:rPr>
        <w:t>opejską Służbą Działań Zewnętrznych oraz</w:t>
      </w:r>
      <w:r w:rsidR="00FF009C" w:rsidRPr="00FF009C">
        <w:rPr>
          <w:noProof/>
        </w:rPr>
        <w:t xml:space="preserve"> w</w:t>
      </w:r>
      <w:r w:rsidR="00FF009C">
        <w:rPr>
          <w:noProof/>
        </w:rPr>
        <w:t> </w:t>
      </w:r>
      <w:r w:rsidR="00FF009C" w:rsidRPr="00FF009C">
        <w:rPr>
          <w:noProof/>
        </w:rPr>
        <w:t>tra</w:t>
      </w:r>
      <w:r w:rsidRPr="00FF009C">
        <w:rPr>
          <w:noProof/>
        </w:rPr>
        <w:t>kcie misji</w:t>
      </w:r>
      <w:r w:rsidR="00FF009C" w:rsidRPr="00FF009C">
        <w:rPr>
          <w:noProof/>
        </w:rPr>
        <w:t xml:space="preserve"> i</w:t>
      </w:r>
      <w:r w:rsidR="00FF009C">
        <w:rPr>
          <w:noProof/>
        </w:rPr>
        <w:t> </w:t>
      </w:r>
      <w:r w:rsidR="00FF009C" w:rsidRPr="00FF009C">
        <w:rPr>
          <w:noProof/>
        </w:rPr>
        <w:t>ope</w:t>
      </w:r>
      <w:r w:rsidRPr="00FF009C">
        <w:rPr>
          <w:noProof/>
        </w:rPr>
        <w:t>racji</w:t>
      </w:r>
      <w:r w:rsidR="00FF009C" w:rsidRPr="00FF009C">
        <w:rPr>
          <w:noProof/>
        </w:rPr>
        <w:t xml:space="preserve"> w</w:t>
      </w:r>
      <w:r w:rsidR="00FF009C">
        <w:rPr>
          <w:noProof/>
        </w:rPr>
        <w:t> </w:t>
      </w:r>
      <w:r w:rsidR="00FF009C" w:rsidRPr="00FF009C">
        <w:rPr>
          <w:noProof/>
        </w:rPr>
        <w:t>ram</w:t>
      </w:r>
      <w:r w:rsidRPr="00FF009C">
        <w:rPr>
          <w:noProof/>
        </w:rPr>
        <w:t>ach wspólnej polityki bezpieczeństwa</w:t>
      </w:r>
      <w:r w:rsidR="00FF009C" w:rsidRPr="00FF009C">
        <w:rPr>
          <w:noProof/>
        </w:rPr>
        <w:t xml:space="preserve"> i</w:t>
      </w:r>
      <w:r w:rsidR="00FF009C">
        <w:rPr>
          <w:noProof/>
        </w:rPr>
        <w:t> </w:t>
      </w:r>
      <w:r w:rsidR="00FF009C" w:rsidRPr="00FF009C">
        <w:rPr>
          <w:noProof/>
        </w:rPr>
        <w:t>obr</w:t>
      </w:r>
      <w:r w:rsidRPr="00FF009C">
        <w:rPr>
          <w:noProof/>
        </w:rPr>
        <w:t>ony,</w:t>
      </w:r>
      <w:r w:rsidR="00FF009C" w:rsidRPr="00FF009C">
        <w:rPr>
          <w:noProof/>
        </w:rPr>
        <w:t xml:space="preserve"> w</w:t>
      </w:r>
      <w:r w:rsidR="00FF009C">
        <w:rPr>
          <w:noProof/>
        </w:rPr>
        <w:t> </w:t>
      </w:r>
      <w:r w:rsidR="00FF009C" w:rsidRPr="00FF009C">
        <w:rPr>
          <w:noProof/>
        </w:rPr>
        <w:t>sto</w:t>
      </w:r>
      <w:r w:rsidRPr="00FF009C">
        <w:rPr>
          <w:noProof/>
        </w:rPr>
        <w:t>sownych przypadkach, zgodnie</w:t>
      </w:r>
      <w:r w:rsidR="00FF009C" w:rsidRPr="00FF009C">
        <w:rPr>
          <w:noProof/>
        </w:rPr>
        <w:t xml:space="preserve"> z</w:t>
      </w:r>
      <w:r w:rsidR="00FF009C">
        <w:rPr>
          <w:noProof/>
        </w:rPr>
        <w:t> </w:t>
      </w:r>
      <w:r w:rsidR="00FF009C" w:rsidRPr="00FF009C">
        <w:rPr>
          <w:noProof/>
        </w:rPr>
        <w:t>ich</w:t>
      </w:r>
      <w:r w:rsidRPr="00FF009C">
        <w:rPr>
          <w:noProof/>
        </w:rPr>
        <w:t xml:space="preserve"> odpowiednimi mandatami</w:t>
      </w:r>
      <w:r w:rsidR="00FF009C" w:rsidRPr="00FF009C">
        <w:rPr>
          <w:noProof/>
        </w:rPr>
        <w:t xml:space="preserve"> i</w:t>
      </w:r>
      <w:r w:rsidR="00FF009C">
        <w:rPr>
          <w:noProof/>
        </w:rPr>
        <w:t> </w:t>
      </w:r>
      <w:r w:rsidR="00FF009C" w:rsidRPr="00FF009C">
        <w:rPr>
          <w:noProof/>
        </w:rPr>
        <w:t>kom</w:t>
      </w:r>
      <w:r w:rsidRPr="00FF009C">
        <w:rPr>
          <w:noProof/>
        </w:rPr>
        <w:t>petencjami,</w:t>
      </w:r>
      <w:r w:rsidR="00FF009C" w:rsidRPr="00FF009C">
        <w:rPr>
          <w:noProof/>
        </w:rPr>
        <w:t xml:space="preserve"> a</w:t>
      </w:r>
      <w:r w:rsidR="00FF009C">
        <w:rPr>
          <w:noProof/>
        </w:rPr>
        <w:t> </w:t>
      </w:r>
      <w:r w:rsidR="00FF009C" w:rsidRPr="00FF009C">
        <w:rPr>
          <w:noProof/>
        </w:rPr>
        <w:t>tak</w:t>
      </w:r>
      <w:r w:rsidRPr="00FF009C">
        <w:rPr>
          <w:noProof/>
        </w:rPr>
        <w:t>że zgodnie</w:t>
      </w:r>
      <w:r w:rsidR="00FF009C" w:rsidRPr="00FF009C">
        <w:rPr>
          <w:noProof/>
        </w:rPr>
        <w:t xml:space="preserve"> z</w:t>
      </w:r>
      <w:r w:rsidR="00FF009C">
        <w:rPr>
          <w:noProof/>
        </w:rPr>
        <w:t> </w:t>
      </w:r>
      <w:r w:rsidR="00FF009C" w:rsidRPr="00FF009C">
        <w:rPr>
          <w:noProof/>
        </w:rPr>
        <w:t>zak</w:t>
      </w:r>
      <w:r w:rsidRPr="00FF009C">
        <w:rPr>
          <w:noProof/>
        </w:rPr>
        <w:t xml:space="preserve">resem działania Europolu. </w:t>
      </w:r>
    </w:p>
    <w:p w14:paraId="4AD242C3" w14:textId="7246F073" w:rsidR="00171017" w:rsidRPr="00FF009C" w:rsidRDefault="0028650E" w:rsidP="0028650E">
      <w:pPr>
        <w:pStyle w:val="ManualConsidrant"/>
        <w:rPr>
          <w:noProof/>
        </w:rPr>
      </w:pPr>
      <w:r w:rsidRPr="00FF009C">
        <w:rPr>
          <w:noProof/>
        </w:rPr>
        <w:t>(5)</w:t>
      </w:r>
      <w:r w:rsidRPr="00FF009C">
        <w:rPr>
          <w:noProof/>
        </w:rPr>
        <w:tab/>
        <w:t>Aby zacieśnić współpracę międzyagencyjną</w:t>
      </w:r>
      <w:r w:rsidR="00FF009C" w:rsidRPr="00FF009C">
        <w:rPr>
          <w:noProof/>
        </w:rPr>
        <w:t xml:space="preserve"> w</w:t>
      </w:r>
      <w:r w:rsidR="00FF009C">
        <w:rPr>
          <w:noProof/>
        </w:rPr>
        <w:t> </w:t>
      </w:r>
      <w:r w:rsidR="00FF009C" w:rsidRPr="00FF009C">
        <w:rPr>
          <w:noProof/>
        </w:rPr>
        <w:t>zak</w:t>
      </w:r>
      <w:r w:rsidRPr="00FF009C">
        <w:rPr>
          <w:noProof/>
        </w:rPr>
        <w:t>resie przemytu migrantów</w:t>
      </w:r>
      <w:r w:rsidR="00FF009C" w:rsidRPr="00FF009C">
        <w:rPr>
          <w:noProof/>
        </w:rPr>
        <w:t xml:space="preserve"> i</w:t>
      </w:r>
      <w:r w:rsidR="00FF009C">
        <w:rPr>
          <w:noProof/>
        </w:rPr>
        <w:t> </w:t>
      </w:r>
      <w:r w:rsidR="00FF009C" w:rsidRPr="00FF009C">
        <w:rPr>
          <w:noProof/>
        </w:rPr>
        <w:t>han</w:t>
      </w:r>
      <w:r w:rsidRPr="00FF009C">
        <w:rPr>
          <w:noProof/>
        </w:rPr>
        <w:t>dlu ludźmi, Europejskie Centrum Zwalczania Przemytu Migrantów powinno zapewnić sposób zacieśnienia współpracy</w:t>
      </w:r>
      <w:r w:rsidR="00FF009C" w:rsidRPr="00FF009C">
        <w:rPr>
          <w:noProof/>
        </w:rPr>
        <w:t xml:space="preserve"> i</w:t>
      </w:r>
      <w:r w:rsidR="00FF009C">
        <w:rPr>
          <w:noProof/>
        </w:rPr>
        <w:t> </w:t>
      </w:r>
      <w:r w:rsidR="00FF009C" w:rsidRPr="00FF009C">
        <w:rPr>
          <w:noProof/>
        </w:rPr>
        <w:t>wzm</w:t>
      </w:r>
      <w:r w:rsidRPr="00FF009C">
        <w:rPr>
          <w:noProof/>
        </w:rPr>
        <w:t>ocnieniu koordynacji między Europolem</w:t>
      </w:r>
      <w:r w:rsidR="00FF009C" w:rsidRPr="00FF009C">
        <w:rPr>
          <w:noProof/>
        </w:rPr>
        <w:t xml:space="preserve"> a</w:t>
      </w:r>
      <w:r w:rsidR="00FF009C">
        <w:rPr>
          <w:noProof/>
        </w:rPr>
        <w:t> </w:t>
      </w:r>
      <w:r w:rsidR="00FF009C" w:rsidRPr="00FF009C">
        <w:rPr>
          <w:noProof/>
        </w:rPr>
        <w:t>inn</w:t>
      </w:r>
      <w:r w:rsidRPr="00FF009C">
        <w:rPr>
          <w:noProof/>
        </w:rPr>
        <w:t>ymi agencjami unijnymi,</w:t>
      </w:r>
      <w:r w:rsidR="00FF009C" w:rsidRPr="00FF009C">
        <w:rPr>
          <w:noProof/>
        </w:rPr>
        <w:t xml:space="preserve"> w</w:t>
      </w:r>
      <w:r w:rsidR="00FF009C">
        <w:rPr>
          <w:noProof/>
        </w:rPr>
        <w:t> </w:t>
      </w:r>
      <w:r w:rsidR="00FF009C" w:rsidRPr="00FF009C">
        <w:rPr>
          <w:noProof/>
        </w:rPr>
        <w:t>szc</w:t>
      </w:r>
      <w:r w:rsidRPr="00FF009C">
        <w:rPr>
          <w:noProof/>
        </w:rPr>
        <w:t>zególności</w:t>
      </w:r>
      <w:r w:rsidR="00FF009C" w:rsidRPr="00FF009C">
        <w:rPr>
          <w:noProof/>
        </w:rPr>
        <w:t xml:space="preserve"> z</w:t>
      </w:r>
      <w:r w:rsidR="00FF009C">
        <w:rPr>
          <w:noProof/>
        </w:rPr>
        <w:t> </w:t>
      </w:r>
      <w:r w:rsidR="00FF009C" w:rsidRPr="00FF009C">
        <w:rPr>
          <w:noProof/>
        </w:rPr>
        <w:t>Eur</w:t>
      </w:r>
      <w:r w:rsidRPr="00FF009C">
        <w:rPr>
          <w:noProof/>
        </w:rPr>
        <w:t>ojustem</w:t>
      </w:r>
      <w:r w:rsidR="00FF009C" w:rsidRPr="00FF009C">
        <w:rPr>
          <w:noProof/>
        </w:rPr>
        <w:t xml:space="preserve"> i</w:t>
      </w:r>
      <w:r w:rsidR="00FF009C">
        <w:rPr>
          <w:noProof/>
        </w:rPr>
        <w:t> </w:t>
      </w:r>
      <w:r w:rsidR="00FF009C" w:rsidRPr="00FF009C">
        <w:rPr>
          <w:noProof/>
        </w:rPr>
        <w:t>Eur</w:t>
      </w:r>
      <w:r w:rsidRPr="00FF009C">
        <w:rPr>
          <w:noProof/>
        </w:rPr>
        <w:t>opejską Agencją Straży Granicznej</w:t>
      </w:r>
      <w:r w:rsidR="00FF009C" w:rsidRPr="00FF009C">
        <w:rPr>
          <w:noProof/>
        </w:rPr>
        <w:t xml:space="preserve"> i</w:t>
      </w:r>
      <w:r w:rsidR="00FF009C">
        <w:rPr>
          <w:noProof/>
        </w:rPr>
        <w:t> </w:t>
      </w:r>
      <w:r w:rsidR="00FF009C" w:rsidRPr="00FF009C">
        <w:rPr>
          <w:noProof/>
        </w:rPr>
        <w:t>Prz</w:t>
      </w:r>
      <w:r w:rsidRPr="00FF009C">
        <w:rPr>
          <w:noProof/>
        </w:rPr>
        <w:t>ybrzeżnej, zgodnie</w:t>
      </w:r>
      <w:r w:rsidR="00FF009C" w:rsidRPr="00FF009C">
        <w:rPr>
          <w:noProof/>
        </w:rPr>
        <w:t xml:space="preserve"> z</w:t>
      </w:r>
      <w:r w:rsidR="00FF009C">
        <w:rPr>
          <w:noProof/>
        </w:rPr>
        <w:t> </w:t>
      </w:r>
      <w:r w:rsidR="00FF009C" w:rsidRPr="00FF009C">
        <w:rPr>
          <w:noProof/>
        </w:rPr>
        <w:t>ich</w:t>
      </w:r>
      <w:r w:rsidRPr="00FF009C">
        <w:rPr>
          <w:noProof/>
        </w:rPr>
        <w:t xml:space="preserve"> odpowiednimi ramami prawnymi,</w:t>
      </w:r>
      <w:r w:rsidR="00FF009C" w:rsidRPr="00FF009C">
        <w:rPr>
          <w:noProof/>
        </w:rPr>
        <w:t xml:space="preserve"> w</w:t>
      </w:r>
      <w:r w:rsidR="00FF009C">
        <w:rPr>
          <w:noProof/>
        </w:rPr>
        <w:t> </w:t>
      </w:r>
      <w:r w:rsidR="00FF009C" w:rsidRPr="00FF009C">
        <w:rPr>
          <w:noProof/>
        </w:rPr>
        <w:t>tym w</w:t>
      </w:r>
      <w:r w:rsidR="00FF009C">
        <w:rPr>
          <w:noProof/>
        </w:rPr>
        <w:t> </w:t>
      </w:r>
      <w:r w:rsidR="00FF009C" w:rsidRPr="00FF009C">
        <w:rPr>
          <w:noProof/>
        </w:rPr>
        <w:t>dro</w:t>
      </w:r>
      <w:r w:rsidRPr="00FF009C">
        <w:rPr>
          <w:noProof/>
        </w:rPr>
        <w:t>dze uzgodnień roboczych między agencjami Unii.</w:t>
      </w:r>
    </w:p>
    <w:p w14:paraId="7F582151" w14:textId="0ED3476C" w:rsidR="0043039B" w:rsidRPr="00FF009C" w:rsidRDefault="0028650E" w:rsidP="0028650E">
      <w:pPr>
        <w:pStyle w:val="ManualConsidrant"/>
        <w:rPr>
          <w:noProof/>
        </w:rPr>
      </w:pPr>
      <w:r w:rsidRPr="00FF009C">
        <w:rPr>
          <w:noProof/>
        </w:rPr>
        <w:t>(6)</w:t>
      </w:r>
      <w:r w:rsidRPr="00FF009C">
        <w:rPr>
          <w:noProof/>
        </w:rPr>
        <w:tab/>
        <w:t>Aby wspierać swoją analizę strategiczną</w:t>
      </w:r>
      <w:r w:rsidR="00FF009C" w:rsidRPr="00FF009C">
        <w:rPr>
          <w:noProof/>
        </w:rPr>
        <w:t xml:space="preserve"> w</w:t>
      </w:r>
      <w:r w:rsidR="00FF009C">
        <w:rPr>
          <w:noProof/>
        </w:rPr>
        <w:t> </w:t>
      </w:r>
      <w:r w:rsidR="00FF009C" w:rsidRPr="00FF009C">
        <w:rPr>
          <w:noProof/>
        </w:rPr>
        <w:t>zak</w:t>
      </w:r>
      <w:r w:rsidRPr="00FF009C">
        <w:rPr>
          <w:noProof/>
        </w:rPr>
        <w:t>resie zapobiegania przemytowi migrantów</w:t>
      </w:r>
      <w:r w:rsidR="00FF009C" w:rsidRPr="00FF009C">
        <w:rPr>
          <w:noProof/>
        </w:rPr>
        <w:t xml:space="preserve"> i</w:t>
      </w:r>
      <w:r w:rsidR="00FF009C">
        <w:rPr>
          <w:noProof/>
        </w:rPr>
        <w:t> </w:t>
      </w:r>
      <w:r w:rsidR="00FF009C" w:rsidRPr="00FF009C">
        <w:rPr>
          <w:noProof/>
        </w:rPr>
        <w:t>han</w:t>
      </w:r>
      <w:r w:rsidRPr="00FF009C">
        <w:rPr>
          <w:noProof/>
        </w:rPr>
        <w:t>dlowi ludźmi oraz zwalczania tych przestępstw, Europejskie Centrum Zwalczania Przemytu Migrantów powinno,</w:t>
      </w:r>
      <w:r w:rsidR="00FF009C" w:rsidRPr="00FF009C">
        <w:rPr>
          <w:noProof/>
        </w:rPr>
        <w:t xml:space="preserve"> w</w:t>
      </w:r>
      <w:r w:rsidR="00FF009C">
        <w:rPr>
          <w:noProof/>
        </w:rPr>
        <w:t> </w:t>
      </w:r>
      <w:r w:rsidR="00FF009C" w:rsidRPr="00FF009C">
        <w:rPr>
          <w:noProof/>
        </w:rPr>
        <w:t>obs</w:t>
      </w:r>
      <w:r w:rsidRPr="00FF009C">
        <w:rPr>
          <w:noProof/>
        </w:rPr>
        <w:t>zarze zadań strategicznych, otrzymywać wsparcie</w:t>
      </w:r>
      <w:r w:rsidR="00FF009C" w:rsidRPr="00FF009C">
        <w:rPr>
          <w:noProof/>
        </w:rPr>
        <w:t xml:space="preserve"> w</w:t>
      </w:r>
      <w:r w:rsidR="00FF009C">
        <w:rPr>
          <w:noProof/>
        </w:rPr>
        <w:t> </w:t>
      </w:r>
      <w:r w:rsidR="00FF009C" w:rsidRPr="00FF009C">
        <w:rPr>
          <w:noProof/>
        </w:rPr>
        <w:t>pos</w:t>
      </w:r>
      <w:r w:rsidRPr="00FF009C">
        <w:rPr>
          <w:noProof/>
        </w:rPr>
        <w:t>taci ram współpracy obejmujących pracowników Europolu</w:t>
      </w:r>
      <w:r w:rsidR="00FF009C" w:rsidRPr="00FF009C">
        <w:rPr>
          <w:noProof/>
        </w:rPr>
        <w:t xml:space="preserve"> i</w:t>
      </w:r>
      <w:r w:rsidR="00FF009C">
        <w:rPr>
          <w:noProof/>
        </w:rPr>
        <w:t> </w:t>
      </w:r>
      <w:r w:rsidR="00FF009C" w:rsidRPr="00FF009C">
        <w:rPr>
          <w:noProof/>
        </w:rPr>
        <w:t>zaa</w:t>
      </w:r>
      <w:r w:rsidRPr="00FF009C">
        <w:rPr>
          <w:noProof/>
        </w:rPr>
        <w:t>ngażowanie przedstawicieli Komisji, wyspecjalizowanych służb państw członkowskich, Agencji Unii Europejskiej ds. Współpracy Wymiarów Sprawiedliwości</w:t>
      </w:r>
      <w:r w:rsidR="00FF009C" w:rsidRPr="00FF009C">
        <w:rPr>
          <w:noProof/>
        </w:rPr>
        <w:t xml:space="preserve"> w</w:t>
      </w:r>
      <w:r w:rsidR="00FF009C">
        <w:rPr>
          <w:noProof/>
        </w:rPr>
        <w:t> </w:t>
      </w:r>
      <w:r w:rsidR="00FF009C" w:rsidRPr="00FF009C">
        <w:rPr>
          <w:noProof/>
        </w:rPr>
        <w:t>Spr</w:t>
      </w:r>
      <w:r w:rsidRPr="00FF009C">
        <w:rPr>
          <w:noProof/>
        </w:rPr>
        <w:t>awach Karnych (Eurojust)</w:t>
      </w:r>
      <w:r w:rsidR="00FF009C" w:rsidRPr="00FF009C">
        <w:rPr>
          <w:noProof/>
        </w:rPr>
        <w:t xml:space="preserve"> i</w:t>
      </w:r>
      <w:r w:rsidR="00FF009C">
        <w:rPr>
          <w:noProof/>
        </w:rPr>
        <w:t> </w:t>
      </w:r>
      <w:r w:rsidR="00FF009C" w:rsidRPr="00FF009C">
        <w:rPr>
          <w:noProof/>
        </w:rPr>
        <w:t>Eur</w:t>
      </w:r>
      <w:r w:rsidRPr="00FF009C">
        <w:rPr>
          <w:noProof/>
        </w:rPr>
        <w:t>opejskiej Agencji Straży Granicznej</w:t>
      </w:r>
      <w:r w:rsidR="00FF009C" w:rsidRPr="00FF009C">
        <w:rPr>
          <w:noProof/>
        </w:rPr>
        <w:t xml:space="preserve"> i</w:t>
      </w:r>
      <w:r w:rsidR="00FF009C">
        <w:rPr>
          <w:noProof/>
        </w:rPr>
        <w:t> </w:t>
      </w:r>
      <w:r w:rsidR="00FF009C" w:rsidRPr="00FF009C">
        <w:rPr>
          <w:noProof/>
        </w:rPr>
        <w:t>Prz</w:t>
      </w:r>
      <w:r w:rsidRPr="00FF009C">
        <w:rPr>
          <w:noProof/>
        </w:rPr>
        <w:t>ybrzeżnej. Co najmniej dwa razy</w:t>
      </w:r>
      <w:r w:rsidR="00FF009C" w:rsidRPr="00FF009C">
        <w:rPr>
          <w:noProof/>
        </w:rPr>
        <w:t xml:space="preserve"> w</w:t>
      </w:r>
      <w:r w:rsidR="00FF009C">
        <w:rPr>
          <w:noProof/>
        </w:rPr>
        <w:t> </w:t>
      </w:r>
      <w:r w:rsidR="00FF009C" w:rsidRPr="00FF009C">
        <w:rPr>
          <w:noProof/>
        </w:rPr>
        <w:t>rok</w:t>
      </w:r>
      <w:r w:rsidRPr="00FF009C">
        <w:rPr>
          <w:noProof/>
        </w:rPr>
        <w:t>u Europejskie Centrum Zwalczania Przemytu Migrantów powinno organizować spotkanie podmiotów reprezentowanych</w:t>
      </w:r>
      <w:r w:rsidR="00FF009C" w:rsidRPr="00FF009C">
        <w:rPr>
          <w:noProof/>
        </w:rPr>
        <w:t xml:space="preserve"> w</w:t>
      </w:r>
      <w:r w:rsidR="00FF009C">
        <w:rPr>
          <w:noProof/>
        </w:rPr>
        <w:t> </w:t>
      </w:r>
      <w:r w:rsidR="00FF009C" w:rsidRPr="00FF009C">
        <w:rPr>
          <w:noProof/>
        </w:rPr>
        <w:t>Cen</w:t>
      </w:r>
      <w:r w:rsidRPr="00FF009C">
        <w:rPr>
          <w:noProof/>
        </w:rPr>
        <w:t>trum, aby zapewnić skuteczne kierowanie</w:t>
      </w:r>
      <w:r w:rsidR="00FF009C" w:rsidRPr="00FF009C">
        <w:rPr>
          <w:noProof/>
        </w:rPr>
        <w:t xml:space="preserve"> i</w:t>
      </w:r>
      <w:r w:rsidR="00FF009C">
        <w:rPr>
          <w:noProof/>
        </w:rPr>
        <w:t> </w:t>
      </w:r>
      <w:r w:rsidR="00FF009C" w:rsidRPr="00FF009C">
        <w:rPr>
          <w:noProof/>
        </w:rPr>
        <w:t>sku</w:t>
      </w:r>
      <w:r w:rsidRPr="00FF009C">
        <w:rPr>
          <w:noProof/>
        </w:rPr>
        <w:t>teczną koordynację na szczeblu Unii. Aby Centrum mogło wykonywać swoje zadania, inne odpowiednie struktury wewnętrzne Europolu powinny udzielać mu wszelkiego niezbędnego wsparcia. Aby zmaksymalizować skuteczność Europejskiego Centrum Zwalczania Przemytu Migrantów, Europol powinien móc zapraszać do udziału</w:t>
      </w:r>
      <w:r w:rsidR="00FF009C" w:rsidRPr="00FF009C">
        <w:rPr>
          <w:noProof/>
        </w:rPr>
        <w:t xml:space="preserve"> w</w:t>
      </w:r>
      <w:r w:rsidR="00FF009C">
        <w:rPr>
          <w:noProof/>
        </w:rPr>
        <w:t> </w:t>
      </w:r>
      <w:r w:rsidR="00FF009C" w:rsidRPr="00FF009C">
        <w:rPr>
          <w:noProof/>
        </w:rPr>
        <w:t>dzi</w:t>
      </w:r>
      <w:r w:rsidRPr="00FF009C">
        <w:rPr>
          <w:noProof/>
        </w:rPr>
        <w:t>ałaniach,</w:t>
      </w:r>
      <w:r w:rsidR="00FF009C" w:rsidRPr="00FF009C">
        <w:rPr>
          <w:noProof/>
        </w:rPr>
        <w:t xml:space="preserve"> w</w:t>
      </w:r>
      <w:r w:rsidR="00FF009C">
        <w:rPr>
          <w:noProof/>
        </w:rPr>
        <w:t> </w:t>
      </w:r>
      <w:r w:rsidR="00FF009C" w:rsidRPr="00FF009C">
        <w:rPr>
          <w:noProof/>
        </w:rPr>
        <w:t>szc</w:t>
      </w:r>
      <w:r w:rsidRPr="00FF009C">
        <w:rPr>
          <w:noProof/>
        </w:rPr>
        <w:t>zególności, główne podmioty europejskiej multidyscyplinarnej platformy przeciwko zagrożeniom przestępstwami („EMPACT”),</w:t>
      </w:r>
      <w:r w:rsidR="00FF009C" w:rsidRPr="00FF009C">
        <w:rPr>
          <w:noProof/>
        </w:rPr>
        <w:t xml:space="preserve"> a</w:t>
      </w:r>
      <w:r w:rsidR="00FF009C">
        <w:rPr>
          <w:noProof/>
        </w:rPr>
        <w:t> </w:t>
      </w:r>
      <w:r w:rsidR="00FF009C" w:rsidRPr="00FF009C">
        <w:rPr>
          <w:noProof/>
        </w:rPr>
        <w:t>tak</w:t>
      </w:r>
      <w:r w:rsidRPr="00FF009C">
        <w:rPr>
          <w:noProof/>
        </w:rPr>
        <w:t>że,</w:t>
      </w:r>
      <w:r w:rsidR="00FF009C" w:rsidRPr="00FF009C">
        <w:rPr>
          <w:noProof/>
        </w:rPr>
        <w:t xml:space="preserve"> w</w:t>
      </w:r>
      <w:r w:rsidR="00FF009C">
        <w:rPr>
          <w:noProof/>
        </w:rPr>
        <w:t> </w:t>
      </w:r>
      <w:r w:rsidR="00FF009C" w:rsidRPr="00FF009C">
        <w:rPr>
          <w:noProof/>
        </w:rPr>
        <w:t>raz</w:t>
      </w:r>
      <w:r w:rsidRPr="00FF009C">
        <w:rPr>
          <w:noProof/>
        </w:rPr>
        <w:t xml:space="preserve">ie potrzeby, inne właściwe organy lub agencje Unii. </w:t>
      </w:r>
    </w:p>
    <w:p w14:paraId="73032D4A" w14:textId="39CB5CF1" w:rsidR="0043039B" w:rsidRPr="00FF009C" w:rsidRDefault="0028650E" w:rsidP="0028650E">
      <w:pPr>
        <w:pStyle w:val="ManualConsidrant"/>
        <w:rPr>
          <w:noProof/>
        </w:rPr>
      </w:pPr>
      <w:r w:rsidRPr="00FF009C">
        <w:rPr>
          <w:noProof/>
        </w:rPr>
        <w:t>(7)</w:t>
      </w:r>
      <w:r w:rsidRPr="00FF009C">
        <w:rPr>
          <w:noProof/>
        </w:rPr>
        <w:tab/>
        <w:t>W ramach wsparcia operacyjnego</w:t>
      </w:r>
      <w:r w:rsidR="00FF009C" w:rsidRPr="00FF009C">
        <w:rPr>
          <w:noProof/>
        </w:rPr>
        <w:t xml:space="preserve"> i</w:t>
      </w:r>
      <w:r w:rsidR="00FF009C">
        <w:rPr>
          <w:noProof/>
        </w:rPr>
        <w:t> </w:t>
      </w:r>
      <w:r w:rsidR="00FF009C" w:rsidRPr="00FF009C">
        <w:rPr>
          <w:noProof/>
        </w:rPr>
        <w:t>tec</w:t>
      </w:r>
      <w:r w:rsidRPr="00FF009C">
        <w:rPr>
          <w:noProof/>
        </w:rPr>
        <w:t>hnicznego na rzecz państw członkowskich Europejskie Centrum Zwalczania Przemytu Migrantów powinno zapewniać koordynację działań procesowych</w:t>
      </w:r>
      <w:r w:rsidR="00FF009C" w:rsidRPr="00FF009C">
        <w:rPr>
          <w:noProof/>
        </w:rPr>
        <w:t xml:space="preserve"> i</w:t>
      </w:r>
      <w:r w:rsidR="00FF009C">
        <w:rPr>
          <w:noProof/>
        </w:rPr>
        <w:t> </w:t>
      </w:r>
      <w:r w:rsidR="00FF009C" w:rsidRPr="00FF009C">
        <w:rPr>
          <w:noProof/>
        </w:rPr>
        <w:t>ope</w:t>
      </w:r>
      <w:r w:rsidRPr="00FF009C">
        <w:rPr>
          <w:noProof/>
        </w:rPr>
        <w:t>racyjnych prowadzonych przez państwa członkowskie,</w:t>
      </w:r>
      <w:r w:rsidR="00FF009C" w:rsidRPr="00FF009C">
        <w:rPr>
          <w:noProof/>
        </w:rPr>
        <w:t xml:space="preserve"> w</w:t>
      </w:r>
      <w:r w:rsidR="00FF009C">
        <w:rPr>
          <w:noProof/>
        </w:rPr>
        <w:t> </w:t>
      </w:r>
      <w:r w:rsidR="00FF009C" w:rsidRPr="00FF009C">
        <w:rPr>
          <w:noProof/>
        </w:rPr>
        <w:t>tym w</w:t>
      </w:r>
      <w:r w:rsidR="00FF009C">
        <w:rPr>
          <w:noProof/>
        </w:rPr>
        <w:t> </w:t>
      </w:r>
      <w:r w:rsidR="00FF009C" w:rsidRPr="00FF009C">
        <w:rPr>
          <w:noProof/>
        </w:rPr>
        <w:t>dro</w:t>
      </w:r>
      <w:r w:rsidRPr="00FF009C">
        <w:rPr>
          <w:noProof/>
        </w:rPr>
        <w:t>dze wspierania transgranicznej wymiany informacji</w:t>
      </w:r>
      <w:r w:rsidR="00FF009C" w:rsidRPr="00FF009C">
        <w:rPr>
          <w:noProof/>
        </w:rPr>
        <w:t xml:space="preserve"> i</w:t>
      </w:r>
      <w:r w:rsidR="00FF009C">
        <w:rPr>
          <w:noProof/>
        </w:rPr>
        <w:t> </w:t>
      </w:r>
      <w:r w:rsidR="00FF009C" w:rsidRPr="00FF009C">
        <w:rPr>
          <w:noProof/>
        </w:rPr>
        <w:t>tra</w:t>
      </w:r>
      <w:r w:rsidRPr="00FF009C">
        <w:rPr>
          <w:noProof/>
        </w:rPr>
        <w:t>nsgranicznych operacji</w:t>
      </w:r>
      <w:r w:rsidR="00FF009C" w:rsidRPr="00FF009C">
        <w:rPr>
          <w:noProof/>
        </w:rPr>
        <w:t xml:space="preserve"> i</w:t>
      </w:r>
      <w:r w:rsidR="00FF009C">
        <w:rPr>
          <w:noProof/>
        </w:rPr>
        <w:t> </w:t>
      </w:r>
      <w:r w:rsidR="00FF009C" w:rsidRPr="00FF009C">
        <w:rPr>
          <w:noProof/>
        </w:rPr>
        <w:t>pos</w:t>
      </w:r>
      <w:r w:rsidRPr="00FF009C">
        <w:rPr>
          <w:noProof/>
        </w:rPr>
        <w:t>tępowań przygotowawczych prowadzonych przez państwa członkowskie,</w:t>
      </w:r>
      <w:r w:rsidR="00FF009C" w:rsidRPr="00FF009C">
        <w:rPr>
          <w:noProof/>
        </w:rPr>
        <w:t xml:space="preserve"> w</w:t>
      </w:r>
      <w:r w:rsidR="00FF009C">
        <w:rPr>
          <w:noProof/>
        </w:rPr>
        <w:t> </w:t>
      </w:r>
      <w:r w:rsidR="00FF009C" w:rsidRPr="00FF009C">
        <w:rPr>
          <w:noProof/>
        </w:rPr>
        <w:t>szc</w:t>
      </w:r>
      <w:r w:rsidRPr="00FF009C">
        <w:rPr>
          <w:noProof/>
        </w:rPr>
        <w:t>zególności</w:t>
      </w:r>
      <w:r w:rsidR="00FF009C" w:rsidRPr="00FF009C">
        <w:rPr>
          <w:noProof/>
        </w:rPr>
        <w:t xml:space="preserve"> w</w:t>
      </w:r>
      <w:r w:rsidR="00FF009C">
        <w:rPr>
          <w:noProof/>
        </w:rPr>
        <w:t> </w:t>
      </w:r>
      <w:r w:rsidR="00FF009C" w:rsidRPr="00FF009C">
        <w:rPr>
          <w:noProof/>
        </w:rPr>
        <w:t>ram</w:t>
      </w:r>
      <w:r w:rsidRPr="00FF009C">
        <w:rPr>
          <w:noProof/>
        </w:rPr>
        <w:t>ach EMPACT,</w:t>
      </w:r>
      <w:r w:rsidR="00FF009C" w:rsidRPr="00FF009C">
        <w:rPr>
          <w:noProof/>
        </w:rPr>
        <w:t xml:space="preserve"> w</w:t>
      </w:r>
      <w:r w:rsidR="00FF009C">
        <w:rPr>
          <w:noProof/>
        </w:rPr>
        <w:t> </w:t>
      </w:r>
      <w:r w:rsidR="00FF009C" w:rsidRPr="00FF009C">
        <w:rPr>
          <w:noProof/>
        </w:rPr>
        <w:t>tym w</w:t>
      </w:r>
      <w:r w:rsidR="00FF009C">
        <w:rPr>
          <w:noProof/>
        </w:rPr>
        <w:t> </w:t>
      </w:r>
      <w:r w:rsidR="00FF009C" w:rsidRPr="00FF009C">
        <w:rPr>
          <w:noProof/>
        </w:rPr>
        <w:t>dro</w:t>
      </w:r>
      <w:r w:rsidRPr="00FF009C">
        <w:rPr>
          <w:noProof/>
        </w:rPr>
        <w:t>dze zapewniania wsparcia operacyjnego, technicznego, kryminalistycznego</w:t>
      </w:r>
      <w:r w:rsidR="00FF009C" w:rsidRPr="00FF009C">
        <w:rPr>
          <w:noProof/>
        </w:rPr>
        <w:t xml:space="preserve"> i</w:t>
      </w:r>
      <w:r w:rsidR="00FF009C">
        <w:rPr>
          <w:noProof/>
        </w:rPr>
        <w:t> </w:t>
      </w:r>
      <w:r w:rsidR="00FF009C" w:rsidRPr="00FF009C">
        <w:rPr>
          <w:noProof/>
        </w:rPr>
        <w:t>fin</w:t>
      </w:r>
      <w:r w:rsidRPr="00FF009C">
        <w:rPr>
          <w:noProof/>
        </w:rPr>
        <w:t>ansowego. Europol powinien ponadto wspierać państwa członkowskie</w:t>
      </w:r>
      <w:r w:rsidR="00FF009C" w:rsidRPr="00FF009C">
        <w:rPr>
          <w:noProof/>
        </w:rPr>
        <w:t xml:space="preserve"> w</w:t>
      </w:r>
      <w:r w:rsidR="00FF009C">
        <w:rPr>
          <w:noProof/>
        </w:rPr>
        <w:t> </w:t>
      </w:r>
      <w:r w:rsidR="00FF009C" w:rsidRPr="00FF009C">
        <w:rPr>
          <w:noProof/>
        </w:rPr>
        <w:t>ide</w:t>
      </w:r>
      <w:r w:rsidRPr="00FF009C">
        <w:rPr>
          <w:noProof/>
        </w:rPr>
        <w:t>ntyfikowaniu przypadków przemytu migrantów</w:t>
      </w:r>
      <w:r w:rsidR="00FF009C" w:rsidRPr="00FF009C">
        <w:rPr>
          <w:noProof/>
        </w:rPr>
        <w:t xml:space="preserve"> i</w:t>
      </w:r>
      <w:r w:rsidR="00FF009C">
        <w:rPr>
          <w:noProof/>
        </w:rPr>
        <w:t> </w:t>
      </w:r>
      <w:r w:rsidR="00FF009C" w:rsidRPr="00FF009C">
        <w:rPr>
          <w:noProof/>
        </w:rPr>
        <w:t>han</w:t>
      </w:r>
      <w:r w:rsidRPr="00FF009C">
        <w:rPr>
          <w:noProof/>
        </w:rPr>
        <w:t>dlu ludźmi,</w:t>
      </w:r>
      <w:r w:rsidR="00FF009C" w:rsidRPr="00FF009C">
        <w:rPr>
          <w:noProof/>
        </w:rPr>
        <w:t xml:space="preserve"> w</w:t>
      </w:r>
      <w:r w:rsidR="00FF009C">
        <w:rPr>
          <w:noProof/>
        </w:rPr>
        <w:t> </w:t>
      </w:r>
      <w:r w:rsidR="00FF009C" w:rsidRPr="00FF009C">
        <w:rPr>
          <w:noProof/>
        </w:rPr>
        <w:t>któ</w:t>
      </w:r>
      <w:r w:rsidRPr="00FF009C">
        <w:rPr>
          <w:noProof/>
        </w:rPr>
        <w:t>rych konieczne będzie wszczęcie postępowania przygotowawczego,</w:t>
      </w:r>
      <w:r w:rsidR="00FF009C" w:rsidRPr="00FF009C">
        <w:rPr>
          <w:noProof/>
        </w:rPr>
        <w:t xml:space="preserve"> w</w:t>
      </w:r>
      <w:r w:rsidR="00FF009C">
        <w:rPr>
          <w:noProof/>
        </w:rPr>
        <w:t> </w:t>
      </w:r>
      <w:r w:rsidR="00FF009C" w:rsidRPr="00FF009C">
        <w:rPr>
          <w:noProof/>
        </w:rPr>
        <w:t>raz</w:t>
      </w:r>
      <w:r w:rsidRPr="00FF009C">
        <w:rPr>
          <w:noProof/>
        </w:rPr>
        <w:t>ie potrzeby we współpracy</w:t>
      </w:r>
      <w:r w:rsidR="00FF009C" w:rsidRPr="00FF009C">
        <w:rPr>
          <w:noProof/>
        </w:rPr>
        <w:t xml:space="preserve"> z</w:t>
      </w:r>
      <w:r w:rsidR="00FF009C">
        <w:rPr>
          <w:noProof/>
        </w:rPr>
        <w:t> </w:t>
      </w:r>
      <w:r w:rsidR="00FF009C" w:rsidRPr="00FF009C">
        <w:rPr>
          <w:noProof/>
        </w:rPr>
        <w:t>Eur</w:t>
      </w:r>
      <w:r w:rsidRPr="00FF009C">
        <w:rPr>
          <w:noProof/>
        </w:rPr>
        <w:t>ojustem, przypadków wymagających utworzenia operacyjnych grup zadaniowych lub rozmieszczenia pracowników Europolu</w:t>
      </w:r>
      <w:r w:rsidR="00FF009C" w:rsidRPr="00FF009C">
        <w:rPr>
          <w:noProof/>
        </w:rPr>
        <w:t xml:space="preserve"> w</w:t>
      </w:r>
      <w:r w:rsidR="00FF009C">
        <w:rPr>
          <w:noProof/>
        </w:rPr>
        <w:t> </w:t>
      </w:r>
      <w:r w:rsidR="00FF009C" w:rsidRPr="00FF009C">
        <w:rPr>
          <w:noProof/>
        </w:rPr>
        <w:t>ram</w:t>
      </w:r>
      <w:r w:rsidRPr="00FF009C">
        <w:rPr>
          <w:noProof/>
        </w:rPr>
        <w:t>ach wsparcia operacyjnego oraz przypadków, które mogą wymagać współpracy</w:t>
      </w:r>
      <w:r w:rsidR="00FF009C" w:rsidRPr="00FF009C">
        <w:rPr>
          <w:noProof/>
        </w:rPr>
        <w:t xml:space="preserve"> z</w:t>
      </w:r>
      <w:r w:rsidR="00FF009C">
        <w:rPr>
          <w:noProof/>
        </w:rPr>
        <w:t> </w:t>
      </w:r>
      <w:r w:rsidR="00FF009C" w:rsidRPr="00FF009C">
        <w:rPr>
          <w:noProof/>
        </w:rPr>
        <w:t>pań</w:t>
      </w:r>
      <w:r w:rsidRPr="00FF009C">
        <w:rPr>
          <w:noProof/>
        </w:rPr>
        <w:t>stwami trzecimi,</w:t>
      </w:r>
      <w:r w:rsidR="00FF009C" w:rsidRPr="00FF009C">
        <w:rPr>
          <w:noProof/>
        </w:rPr>
        <w:t xml:space="preserve"> w</w:t>
      </w:r>
      <w:r w:rsidR="00FF009C">
        <w:rPr>
          <w:noProof/>
        </w:rPr>
        <w:t> </w:t>
      </w:r>
      <w:r w:rsidR="00FF009C" w:rsidRPr="00FF009C">
        <w:rPr>
          <w:noProof/>
        </w:rPr>
        <w:t>tym</w:t>
      </w:r>
      <w:r w:rsidRPr="00FF009C">
        <w:rPr>
          <w:noProof/>
        </w:rPr>
        <w:t xml:space="preserve"> współpracy polegającej na wymianie danych osobowych. </w:t>
      </w:r>
    </w:p>
    <w:p w14:paraId="5BED5C4D" w14:textId="5B9F3757" w:rsidR="0043039B" w:rsidRPr="00FF009C" w:rsidRDefault="0028650E" w:rsidP="0028650E">
      <w:pPr>
        <w:pStyle w:val="ManualConsidrant"/>
        <w:rPr>
          <w:noProof/>
        </w:rPr>
      </w:pPr>
      <w:r w:rsidRPr="00FF009C">
        <w:rPr>
          <w:noProof/>
        </w:rPr>
        <w:t>(8)</w:t>
      </w:r>
      <w:r w:rsidRPr="00FF009C">
        <w:rPr>
          <w:noProof/>
        </w:rPr>
        <w:tab/>
        <w:t>Przekazywanie danych osobowych przez Europol do państw trzecich może –</w:t>
      </w:r>
      <w:r w:rsidR="00FF009C" w:rsidRPr="00FF009C">
        <w:rPr>
          <w:noProof/>
        </w:rPr>
        <w:t xml:space="preserve"> w</w:t>
      </w:r>
      <w:r w:rsidR="00FF009C">
        <w:rPr>
          <w:noProof/>
        </w:rPr>
        <w:t> </w:t>
      </w:r>
      <w:r w:rsidR="00FF009C" w:rsidRPr="00FF009C">
        <w:rPr>
          <w:noProof/>
        </w:rPr>
        <w:t>prz</w:t>
      </w:r>
      <w:r w:rsidRPr="00FF009C">
        <w:rPr>
          <w:noProof/>
        </w:rPr>
        <w:t>ypadku braku decyzji stwierdzającej odpowiedni stopień ochrony czy adekwatnych lub odpowiednich zabezpieczeń ochrony danych – odbywać się zgodnie</w:t>
      </w:r>
      <w:r w:rsidR="00FF009C" w:rsidRPr="00FF009C">
        <w:rPr>
          <w:noProof/>
        </w:rPr>
        <w:t xml:space="preserve"> z</w:t>
      </w:r>
      <w:r w:rsidR="00FF009C">
        <w:rPr>
          <w:noProof/>
        </w:rPr>
        <w:t> </w:t>
      </w:r>
      <w:r w:rsidR="00FF009C" w:rsidRPr="00FF009C">
        <w:rPr>
          <w:noProof/>
        </w:rPr>
        <w:t>art</w:t>
      </w:r>
      <w:r w:rsidRPr="00FF009C">
        <w:rPr>
          <w:noProof/>
        </w:rPr>
        <w:t>.</w:t>
      </w:r>
      <w:r w:rsidR="00FF009C" w:rsidRPr="00FF009C">
        <w:rPr>
          <w:noProof/>
        </w:rPr>
        <w:t> </w:t>
      </w:r>
      <w:r w:rsidRPr="00FF009C">
        <w:rPr>
          <w:noProof/>
        </w:rPr>
        <w:t>25 ust.</w:t>
      </w:r>
      <w:r w:rsidR="00FF009C" w:rsidRPr="00FF009C">
        <w:rPr>
          <w:noProof/>
        </w:rPr>
        <w:t> </w:t>
      </w:r>
      <w:r w:rsidRPr="00FF009C">
        <w:rPr>
          <w:noProof/>
        </w:rPr>
        <w:t>5 rozporządzenia (UE) 2016/794. Przekazywanie danych osobowych</w:t>
      </w:r>
      <w:r w:rsidR="00FF009C" w:rsidRPr="00FF009C">
        <w:rPr>
          <w:noProof/>
        </w:rPr>
        <w:t xml:space="preserve"> w</w:t>
      </w:r>
      <w:r w:rsidR="00FF009C">
        <w:rPr>
          <w:noProof/>
        </w:rPr>
        <w:t> </w:t>
      </w:r>
      <w:r w:rsidR="00FF009C" w:rsidRPr="00FF009C">
        <w:rPr>
          <w:noProof/>
        </w:rPr>
        <w:t>ind</w:t>
      </w:r>
      <w:r w:rsidRPr="00FF009C">
        <w:rPr>
          <w:noProof/>
        </w:rPr>
        <w:t>ywidualnych przypadkach do celów zapobiegania przestępstwom, prowadzenia postępowań przygotowawczych</w:t>
      </w:r>
      <w:r w:rsidR="00FF009C" w:rsidRPr="00FF009C">
        <w:rPr>
          <w:noProof/>
        </w:rPr>
        <w:t xml:space="preserve"> w</w:t>
      </w:r>
      <w:r w:rsidR="00FF009C">
        <w:rPr>
          <w:noProof/>
        </w:rPr>
        <w:t> </w:t>
      </w:r>
      <w:r w:rsidR="00FF009C" w:rsidRPr="00FF009C">
        <w:rPr>
          <w:noProof/>
        </w:rPr>
        <w:t>ich</w:t>
      </w:r>
      <w:r w:rsidRPr="00FF009C">
        <w:rPr>
          <w:noProof/>
        </w:rPr>
        <w:t xml:space="preserve"> sprawie, wykrywania ich</w:t>
      </w:r>
      <w:r w:rsidR="00FF009C" w:rsidRPr="00FF009C">
        <w:rPr>
          <w:noProof/>
        </w:rPr>
        <w:t xml:space="preserve"> i</w:t>
      </w:r>
      <w:r w:rsidR="00FF009C">
        <w:rPr>
          <w:noProof/>
        </w:rPr>
        <w:t> </w:t>
      </w:r>
      <w:r w:rsidR="00FF009C" w:rsidRPr="00FF009C">
        <w:rPr>
          <w:noProof/>
        </w:rPr>
        <w:t>ści</w:t>
      </w:r>
      <w:r w:rsidRPr="00FF009C">
        <w:rPr>
          <w:noProof/>
        </w:rPr>
        <w:t>gania karnego albo wykonywania kar może</w:t>
      </w:r>
      <w:r w:rsidR="00FF009C" w:rsidRPr="00FF009C">
        <w:rPr>
          <w:noProof/>
        </w:rPr>
        <w:t xml:space="preserve"> w</w:t>
      </w:r>
      <w:r w:rsidR="00FF009C">
        <w:rPr>
          <w:noProof/>
        </w:rPr>
        <w:t> </w:t>
      </w:r>
      <w:r w:rsidR="00FF009C" w:rsidRPr="00FF009C">
        <w:rPr>
          <w:noProof/>
        </w:rPr>
        <w:t>szc</w:t>
      </w:r>
      <w:r w:rsidRPr="00FF009C">
        <w:rPr>
          <w:noProof/>
        </w:rPr>
        <w:t>zególności okazać się niezbędne</w:t>
      </w:r>
      <w:r w:rsidR="00FF009C" w:rsidRPr="00FF009C">
        <w:rPr>
          <w:noProof/>
        </w:rPr>
        <w:t xml:space="preserve"> w</w:t>
      </w:r>
      <w:r w:rsidR="00FF009C">
        <w:rPr>
          <w:noProof/>
        </w:rPr>
        <w:t> </w:t>
      </w:r>
      <w:r w:rsidR="00FF009C" w:rsidRPr="00FF009C">
        <w:rPr>
          <w:noProof/>
        </w:rPr>
        <w:t>prz</w:t>
      </w:r>
      <w:r w:rsidRPr="00FF009C">
        <w:rPr>
          <w:noProof/>
        </w:rPr>
        <w:t>ypadkach przemytu migrantów określonych przez Europejskie Centrum Zwalczania Przemytu Migrantów, które wymagają współpracy</w:t>
      </w:r>
      <w:r w:rsidR="00FF009C" w:rsidRPr="00FF009C">
        <w:rPr>
          <w:noProof/>
        </w:rPr>
        <w:t xml:space="preserve"> z</w:t>
      </w:r>
      <w:r w:rsidR="00FF009C">
        <w:rPr>
          <w:noProof/>
        </w:rPr>
        <w:t> </w:t>
      </w:r>
      <w:r w:rsidR="00FF009C" w:rsidRPr="00FF009C">
        <w:rPr>
          <w:noProof/>
        </w:rPr>
        <w:t>pań</w:t>
      </w:r>
      <w:r w:rsidRPr="00FF009C">
        <w:rPr>
          <w:noProof/>
        </w:rPr>
        <w:t>stwami trzecimi.</w:t>
      </w:r>
    </w:p>
    <w:p w14:paraId="3BFAEFE2" w14:textId="720E4B08" w:rsidR="00B47C84" w:rsidRPr="00FF009C" w:rsidRDefault="0028650E" w:rsidP="0028650E">
      <w:pPr>
        <w:pStyle w:val="ManualConsidrant"/>
        <w:rPr>
          <w:noProof/>
        </w:rPr>
      </w:pPr>
      <w:r w:rsidRPr="00FF009C">
        <w:rPr>
          <w:noProof/>
        </w:rPr>
        <w:t>(9)</w:t>
      </w:r>
      <w:r w:rsidRPr="00FF009C">
        <w:rPr>
          <w:noProof/>
        </w:rPr>
        <w:tab/>
        <w:t>W celu zwiększenia wsparcia operacyjnego</w:t>
      </w:r>
      <w:r w:rsidR="00FF009C" w:rsidRPr="00FF009C">
        <w:rPr>
          <w:noProof/>
        </w:rPr>
        <w:t xml:space="preserve"> i</w:t>
      </w:r>
      <w:r w:rsidR="00FF009C">
        <w:rPr>
          <w:noProof/>
        </w:rPr>
        <w:t> </w:t>
      </w:r>
      <w:r w:rsidR="00FF009C" w:rsidRPr="00FF009C">
        <w:rPr>
          <w:noProof/>
        </w:rPr>
        <w:t>tec</w:t>
      </w:r>
      <w:r w:rsidRPr="00FF009C">
        <w:rPr>
          <w:noProof/>
        </w:rPr>
        <w:t>hnicznego</w:t>
      </w:r>
      <w:r w:rsidR="00FF009C" w:rsidRPr="00FF009C">
        <w:rPr>
          <w:noProof/>
        </w:rPr>
        <w:t xml:space="preserve"> w</w:t>
      </w:r>
      <w:r w:rsidR="00FF009C">
        <w:rPr>
          <w:noProof/>
        </w:rPr>
        <w:t> </w:t>
      </w:r>
      <w:r w:rsidR="00FF009C" w:rsidRPr="00FF009C">
        <w:rPr>
          <w:noProof/>
        </w:rPr>
        <w:t>zak</w:t>
      </w:r>
      <w:r w:rsidRPr="00FF009C">
        <w:rPr>
          <w:noProof/>
        </w:rPr>
        <w:t>resie zapobiegania przemytowi migrantów</w:t>
      </w:r>
      <w:r w:rsidR="00FF009C" w:rsidRPr="00FF009C">
        <w:rPr>
          <w:noProof/>
        </w:rPr>
        <w:t xml:space="preserve"> i</w:t>
      </w:r>
      <w:r w:rsidR="00FF009C">
        <w:rPr>
          <w:noProof/>
        </w:rPr>
        <w:t> </w:t>
      </w:r>
      <w:r w:rsidR="00FF009C" w:rsidRPr="00FF009C">
        <w:rPr>
          <w:noProof/>
        </w:rPr>
        <w:t>han</w:t>
      </w:r>
      <w:r w:rsidRPr="00FF009C">
        <w:rPr>
          <w:noProof/>
        </w:rPr>
        <w:t>dlowi ludźmi oraz zwalczania tych przestępstw Europejskie Centrum Zwalczania Przemytu Migrantów powinno,</w:t>
      </w:r>
      <w:r w:rsidR="00FF009C" w:rsidRPr="00FF009C">
        <w:rPr>
          <w:noProof/>
        </w:rPr>
        <w:t xml:space="preserve"> w</w:t>
      </w:r>
      <w:r w:rsidR="00FF009C">
        <w:rPr>
          <w:noProof/>
        </w:rPr>
        <w:t> </w:t>
      </w:r>
      <w:r w:rsidR="00FF009C" w:rsidRPr="00FF009C">
        <w:rPr>
          <w:noProof/>
        </w:rPr>
        <w:t>zak</w:t>
      </w:r>
      <w:r w:rsidRPr="00FF009C">
        <w:rPr>
          <w:noProof/>
        </w:rPr>
        <w:t>resie zadań operacyjnych, angażować urzędników łącznikowych</w:t>
      </w:r>
      <w:r w:rsidR="00FF009C" w:rsidRPr="00FF009C">
        <w:rPr>
          <w:noProof/>
        </w:rPr>
        <w:t xml:space="preserve"> z</w:t>
      </w:r>
      <w:r w:rsidR="00FF009C">
        <w:rPr>
          <w:noProof/>
        </w:rPr>
        <w:t> </w:t>
      </w:r>
      <w:r w:rsidR="00FF009C" w:rsidRPr="00FF009C">
        <w:rPr>
          <w:noProof/>
        </w:rPr>
        <w:t>pań</w:t>
      </w:r>
      <w:r w:rsidRPr="00FF009C">
        <w:rPr>
          <w:noProof/>
        </w:rPr>
        <w:t>stw członkowskich, Eurojustu</w:t>
      </w:r>
      <w:r w:rsidR="00FF009C" w:rsidRPr="00FF009C">
        <w:rPr>
          <w:noProof/>
        </w:rPr>
        <w:t xml:space="preserve"> i</w:t>
      </w:r>
      <w:r w:rsidR="00FF009C">
        <w:rPr>
          <w:noProof/>
        </w:rPr>
        <w:t> </w:t>
      </w:r>
      <w:r w:rsidR="00FF009C" w:rsidRPr="00FF009C">
        <w:rPr>
          <w:noProof/>
        </w:rPr>
        <w:t>Eur</w:t>
      </w:r>
      <w:r w:rsidRPr="00FF009C">
        <w:rPr>
          <w:noProof/>
        </w:rPr>
        <w:t>opejskiej Agencji Straży Granicznej</w:t>
      </w:r>
      <w:r w:rsidR="00FF009C" w:rsidRPr="00FF009C">
        <w:rPr>
          <w:noProof/>
        </w:rPr>
        <w:t xml:space="preserve"> i</w:t>
      </w:r>
      <w:r w:rsidR="00FF009C">
        <w:rPr>
          <w:noProof/>
        </w:rPr>
        <w:t> </w:t>
      </w:r>
      <w:r w:rsidR="00FF009C" w:rsidRPr="00FF009C">
        <w:rPr>
          <w:noProof/>
        </w:rPr>
        <w:t>Prz</w:t>
      </w:r>
      <w:r w:rsidRPr="00FF009C">
        <w:rPr>
          <w:noProof/>
        </w:rPr>
        <w:t>ybrzeżnej, aby zapewnić skuteczną, terminową</w:t>
      </w:r>
      <w:r w:rsidR="00FF009C" w:rsidRPr="00FF009C">
        <w:rPr>
          <w:noProof/>
        </w:rPr>
        <w:t xml:space="preserve"> i</w:t>
      </w:r>
      <w:r w:rsidR="00FF009C">
        <w:rPr>
          <w:noProof/>
        </w:rPr>
        <w:t> </w:t>
      </w:r>
      <w:r w:rsidR="00FF009C" w:rsidRPr="00FF009C">
        <w:rPr>
          <w:noProof/>
        </w:rPr>
        <w:t>sys</w:t>
      </w:r>
      <w:r w:rsidRPr="00FF009C">
        <w:rPr>
          <w:noProof/>
        </w:rPr>
        <w:t>tematyczną koordynację</w:t>
      </w:r>
      <w:r w:rsidR="00FF009C" w:rsidRPr="00FF009C">
        <w:rPr>
          <w:noProof/>
        </w:rPr>
        <w:t xml:space="preserve"> i</w:t>
      </w:r>
      <w:r w:rsidR="00FF009C">
        <w:rPr>
          <w:noProof/>
        </w:rPr>
        <w:t> </w:t>
      </w:r>
      <w:r w:rsidR="00FF009C" w:rsidRPr="00FF009C">
        <w:rPr>
          <w:noProof/>
        </w:rPr>
        <w:t>wym</w:t>
      </w:r>
      <w:r w:rsidRPr="00FF009C">
        <w:rPr>
          <w:noProof/>
        </w:rPr>
        <w:t>ianę informacji</w:t>
      </w:r>
      <w:r w:rsidR="00FF009C" w:rsidRPr="00FF009C">
        <w:rPr>
          <w:noProof/>
        </w:rPr>
        <w:t xml:space="preserve"> w</w:t>
      </w:r>
      <w:r w:rsidR="00FF009C">
        <w:rPr>
          <w:noProof/>
        </w:rPr>
        <w:t> </w:t>
      </w:r>
      <w:r w:rsidR="00FF009C" w:rsidRPr="00FF009C">
        <w:rPr>
          <w:noProof/>
        </w:rPr>
        <w:t>obs</w:t>
      </w:r>
      <w:r w:rsidRPr="00FF009C">
        <w:rPr>
          <w:noProof/>
        </w:rPr>
        <w:t>zarze przeciwdziałania przemytowi migrantów</w:t>
      </w:r>
      <w:r w:rsidR="00FF009C" w:rsidRPr="00FF009C">
        <w:rPr>
          <w:noProof/>
        </w:rPr>
        <w:t xml:space="preserve"> i</w:t>
      </w:r>
      <w:r w:rsidR="00FF009C">
        <w:rPr>
          <w:noProof/>
        </w:rPr>
        <w:t> </w:t>
      </w:r>
      <w:r w:rsidR="00FF009C" w:rsidRPr="00FF009C">
        <w:rPr>
          <w:noProof/>
        </w:rPr>
        <w:t>han</w:t>
      </w:r>
      <w:r w:rsidRPr="00FF009C">
        <w:rPr>
          <w:noProof/>
        </w:rPr>
        <w:t>dlu ludźmi na szczeblu Unii, co oznaczać będzie ściślejszą współpracą międzyagencyjną</w:t>
      </w:r>
      <w:r w:rsidR="00FF009C" w:rsidRPr="00FF009C">
        <w:rPr>
          <w:noProof/>
        </w:rPr>
        <w:t xml:space="preserve"> w</w:t>
      </w:r>
      <w:r w:rsidR="00FF009C">
        <w:rPr>
          <w:noProof/>
        </w:rPr>
        <w:t> </w:t>
      </w:r>
      <w:r w:rsidR="00FF009C" w:rsidRPr="00FF009C">
        <w:rPr>
          <w:noProof/>
        </w:rPr>
        <w:t>ram</w:t>
      </w:r>
      <w:r w:rsidRPr="00FF009C">
        <w:rPr>
          <w:noProof/>
        </w:rPr>
        <w:t>ach odpowiednich kompetencji tych podmiotów oraz</w:t>
      </w:r>
      <w:r w:rsidR="00FF009C" w:rsidRPr="00FF009C">
        <w:rPr>
          <w:noProof/>
        </w:rPr>
        <w:t xml:space="preserve"> z</w:t>
      </w:r>
      <w:r w:rsidR="00FF009C">
        <w:rPr>
          <w:noProof/>
        </w:rPr>
        <w:t> </w:t>
      </w:r>
      <w:r w:rsidR="00FF009C" w:rsidRPr="00FF009C">
        <w:rPr>
          <w:noProof/>
        </w:rPr>
        <w:t>pań</w:t>
      </w:r>
      <w:r w:rsidRPr="00FF009C">
        <w:rPr>
          <w:noProof/>
        </w:rPr>
        <w:t>stwami członkowskimi. Wszelkie niezbędne wsparcie powinny również zapewnić inne odpowiednie struktury wewnętrzne Europolu. Urzędnicy łącznikowi Eurojustu</w:t>
      </w:r>
      <w:r w:rsidR="00FF009C" w:rsidRPr="00FF009C">
        <w:rPr>
          <w:noProof/>
        </w:rPr>
        <w:t xml:space="preserve"> i</w:t>
      </w:r>
      <w:r w:rsidR="00FF009C">
        <w:rPr>
          <w:noProof/>
        </w:rPr>
        <w:t> </w:t>
      </w:r>
      <w:r w:rsidR="00FF009C" w:rsidRPr="00FF009C">
        <w:rPr>
          <w:noProof/>
        </w:rPr>
        <w:t>Eur</w:t>
      </w:r>
      <w:r w:rsidRPr="00FF009C">
        <w:rPr>
          <w:noProof/>
        </w:rPr>
        <w:t>opejskiej Agencji Straży Granicznej</w:t>
      </w:r>
      <w:r w:rsidR="00FF009C" w:rsidRPr="00FF009C">
        <w:rPr>
          <w:noProof/>
        </w:rPr>
        <w:t xml:space="preserve"> i</w:t>
      </w:r>
      <w:r w:rsidR="00FF009C">
        <w:rPr>
          <w:noProof/>
        </w:rPr>
        <w:t> </w:t>
      </w:r>
      <w:r w:rsidR="00FF009C" w:rsidRPr="00FF009C">
        <w:rPr>
          <w:noProof/>
        </w:rPr>
        <w:t>Prz</w:t>
      </w:r>
      <w:r w:rsidRPr="00FF009C">
        <w:rPr>
          <w:noProof/>
        </w:rPr>
        <w:t>ybrzeżnej powinni być</w:t>
      </w:r>
      <w:r w:rsidR="00FF009C" w:rsidRPr="00FF009C">
        <w:rPr>
          <w:noProof/>
        </w:rPr>
        <w:t xml:space="preserve"> w</w:t>
      </w:r>
      <w:r w:rsidR="00FF009C">
        <w:rPr>
          <w:noProof/>
        </w:rPr>
        <w:t> </w:t>
      </w:r>
      <w:r w:rsidR="00FF009C" w:rsidRPr="00FF009C">
        <w:rPr>
          <w:noProof/>
        </w:rPr>
        <w:t>tym</w:t>
      </w:r>
      <w:r w:rsidRPr="00FF009C">
        <w:rPr>
          <w:noProof/>
        </w:rPr>
        <w:t xml:space="preserve"> celu oddelegowani do Europolu</w:t>
      </w:r>
      <w:r w:rsidR="00FF009C" w:rsidRPr="00FF009C">
        <w:rPr>
          <w:noProof/>
        </w:rPr>
        <w:t xml:space="preserve"> w</w:t>
      </w:r>
      <w:r w:rsidR="00FF009C">
        <w:rPr>
          <w:noProof/>
        </w:rPr>
        <w:t> </w:t>
      </w:r>
      <w:r w:rsidR="00FF009C" w:rsidRPr="00FF009C">
        <w:rPr>
          <w:noProof/>
        </w:rPr>
        <w:t>cha</w:t>
      </w:r>
      <w:r w:rsidRPr="00FF009C">
        <w:rPr>
          <w:noProof/>
        </w:rPr>
        <w:t>rakterze stałych przedstawicieli. Europol powinien mieć możliwość angażowania innych właściwych organów lub agencji Unii, aby</w:t>
      </w:r>
      <w:r w:rsidR="00FF009C" w:rsidRPr="00FF009C">
        <w:rPr>
          <w:noProof/>
        </w:rPr>
        <w:t xml:space="preserve"> w</w:t>
      </w:r>
      <w:r w:rsidR="00FF009C">
        <w:rPr>
          <w:noProof/>
        </w:rPr>
        <w:t> </w:t>
      </w:r>
      <w:r w:rsidR="00FF009C" w:rsidRPr="00FF009C">
        <w:rPr>
          <w:noProof/>
        </w:rPr>
        <w:t>sto</w:t>
      </w:r>
      <w:r w:rsidRPr="00FF009C">
        <w:rPr>
          <w:noProof/>
        </w:rPr>
        <w:t>sownych przypadkach korzystać</w:t>
      </w:r>
      <w:r w:rsidR="00FF009C" w:rsidRPr="00FF009C">
        <w:rPr>
          <w:noProof/>
        </w:rPr>
        <w:t xml:space="preserve"> z</w:t>
      </w:r>
      <w:r w:rsidR="00FF009C">
        <w:rPr>
          <w:noProof/>
        </w:rPr>
        <w:t> </w:t>
      </w:r>
      <w:r w:rsidR="00FF009C" w:rsidRPr="00FF009C">
        <w:rPr>
          <w:noProof/>
        </w:rPr>
        <w:t>wie</w:t>
      </w:r>
      <w:r w:rsidRPr="00FF009C">
        <w:rPr>
          <w:noProof/>
        </w:rPr>
        <w:t>dzy fachowej</w:t>
      </w:r>
      <w:r w:rsidR="00FF009C" w:rsidRPr="00FF009C">
        <w:rPr>
          <w:noProof/>
        </w:rPr>
        <w:t xml:space="preserve"> w</w:t>
      </w:r>
      <w:r w:rsidR="00FF009C">
        <w:rPr>
          <w:noProof/>
        </w:rPr>
        <w:t> </w:t>
      </w:r>
      <w:r w:rsidR="00FF009C" w:rsidRPr="00FF009C">
        <w:rPr>
          <w:noProof/>
        </w:rPr>
        <w:t>zak</w:t>
      </w:r>
      <w:r w:rsidRPr="00FF009C">
        <w:rPr>
          <w:noProof/>
        </w:rPr>
        <w:t>resie ich kompetencji.</w:t>
      </w:r>
    </w:p>
    <w:p w14:paraId="24D178E3" w14:textId="5005CA89" w:rsidR="0043039B" w:rsidRPr="00FF009C" w:rsidDel="00572625" w:rsidRDefault="0028650E" w:rsidP="0028650E">
      <w:pPr>
        <w:pStyle w:val="ManualConsidrant"/>
        <w:rPr>
          <w:rFonts w:eastAsia="Times New Roman"/>
          <w:noProof/>
        </w:rPr>
      </w:pPr>
      <w:r w:rsidRPr="00FF009C">
        <w:rPr>
          <w:noProof/>
        </w:rPr>
        <w:t>(10)</w:t>
      </w:r>
      <w:r w:rsidRPr="00FF009C">
        <w:rPr>
          <w:noProof/>
        </w:rPr>
        <w:tab/>
        <w:t>Oparta na partnerstwie platforma EMPACT zrzesza wiele różnych właściwych organów</w:t>
      </w:r>
      <w:r w:rsidR="00FF009C" w:rsidRPr="00FF009C">
        <w:rPr>
          <w:noProof/>
        </w:rPr>
        <w:t xml:space="preserve"> i</w:t>
      </w:r>
      <w:r w:rsidR="00FF009C">
        <w:rPr>
          <w:noProof/>
        </w:rPr>
        <w:t> </w:t>
      </w:r>
      <w:r w:rsidR="00FF009C" w:rsidRPr="00FF009C">
        <w:rPr>
          <w:noProof/>
        </w:rPr>
        <w:t>sta</w:t>
      </w:r>
      <w:r w:rsidRPr="00FF009C">
        <w:rPr>
          <w:noProof/>
        </w:rPr>
        <w:t>nowi ramy skoordynowanego reagowania na zorganizowaną</w:t>
      </w:r>
      <w:r w:rsidR="00FF009C" w:rsidRPr="00FF009C">
        <w:rPr>
          <w:noProof/>
        </w:rPr>
        <w:t xml:space="preserve"> i</w:t>
      </w:r>
      <w:r w:rsidR="00FF009C">
        <w:rPr>
          <w:noProof/>
        </w:rPr>
        <w:t> </w:t>
      </w:r>
      <w:r w:rsidR="00FF009C" w:rsidRPr="00FF009C">
        <w:rPr>
          <w:noProof/>
        </w:rPr>
        <w:t>pow</w:t>
      </w:r>
      <w:r w:rsidRPr="00FF009C">
        <w:rPr>
          <w:noProof/>
        </w:rPr>
        <w:t>ażną przestępczość międzynarodową,</w:t>
      </w:r>
      <w:r w:rsidR="00FF009C" w:rsidRPr="00FF009C">
        <w:rPr>
          <w:noProof/>
        </w:rPr>
        <w:t xml:space="preserve"> a</w:t>
      </w:r>
      <w:r w:rsidR="00FF009C">
        <w:rPr>
          <w:noProof/>
        </w:rPr>
        <w:t> </w:t>
      </w:r>
      <w:r w:rsidR="00FF009C" w:rsidRPr="00FF009C">
        <w:rPr>
          <w:noProof/>
        </w:rPr>
        <w:t>tak</w:t>
      </w:r>
      <w:r w:rsidRPr="00FF009C">
        <w:rPr>
          <w:noProof/>
        </w:rPr>
        <w:t>że pełni rolę katalizatora, jeżeli chodzi</w:t>
      </w:r>
      <w:r w:rsidR="00FF009C" w:rsidRPr="00FF009C">
        <w:rPr>
          <w:noProof/>
        </w:rPr>
        <w:t xml:space="preserve"> o</w:t>
      </w:r>
      <w:r w:rsidR="00FF009C">
        <w:rPr>
          <w:noProof/>
        </w:rPr>
        <w:t> </w:t>
      </w:r>
      <w:r w:rsidR="00FF009C" w:rsidRPr="00FF009C">
        <w:rPr>
          <w:noProof/>
        </w:rPr>
        <w:t>wdr</w:t>
      </w:r>
      <w:r w:rsidRPr="00FF009C">
        <w:rPr>
          <w:noProof/>
        </w:rPr>
        <w:t>ażanie unijnych polityk</w:t>
      </w:r>
      <w:r w:rsidR="00FF009C" w:rsidRPr="00FF009C">
        <w:rPr>
          <w:noProof/>
        </w:rPr>
        <w:t xml:space="preserve"> i</w:t>
      </w:r>
      <w:r w:rsidR="00FF009C">
        <w:rPr>
          <w:noProof/>
        </w:rPr>
        <w:t> </w:t>
      </w:r>
      <w:r w:rsidR="00FF009C" w:rsidRPr="00FF009C">
        <w:rPr>
          <w:noProof/>
        </w:rPr>
        <w:t>str</w:t>
      </w:r>
      <w:r w:rsidRPr="00FF009C">
        <w:rPr>
          <w:noProof/>
        </w:rPr>
        <w:t>ategii bezpieczeństwa. Aby</w:t>
      </w:r>
      <w:r w:rsidR="00FF009C" w:rsidRPr="00FF009C">
        <w:rPr>
          <w:noProof/>
        </w:rPr>
        <w:t xml:space="preserve"> w</w:t>
      </w:r>
      <w:r w:rsidR="00FF009C">
        <w:rPr>
          <w:noProof/>
        </w:rPr>
        <w:t> </w:t>
      </w:r>
      <w:r w:rsidR="00FF009C" w:rsidRPr="00FF009C">
        <w:rPr>
          <w:noProof/>
        </w:rPr>
        <w:t>wię</w:t>
      </w:r>
      <w:r w:rsidRPr="00FF009C">
        <w:rPr>
          <w:noProof/>
        </w:rPr>
        <w:t>kszym stopniu reagować</w:t>
      </w:r>
      <w:r w:rsidR="00FF009C" w:rsidRPr="00FF009C">
        <w:rPr>
          <w:noProof/>
        </w:rPr>
        <w:t xml:space="preserve"> w</w:t>
      </w:r>
      <w:r w:rsidR="00FF009C">
        <w:rPr>
          <w:noProof/>
        </w:rPr>
        <w:t> </w:t>
      </w:r>
      <w:r w:rsidR="00FF009C" w:rsidRPr="00FF009C">
        <w:rPr>
          <w:noProof/>
        </w:rPr>
        <w:t>spo</w:t>
      </w:r>
      <w:r w:rsidRPr="00FF009C">
        <w:rPr>
          <w:noProof/>
        </w:rPr>
        <w:t>sób multidyscyplinarny, całościowy</w:t>
      </w:r>
      <w:r w:rsidR="00FF009C" w:rsidRPr="00FF009C">
        <w:rPr>
          <w:noProof/>
        </w:rPr>
        <w:t xml:space="preserve"> i</w:t>
      </w:r>
      <w:r w:rsidR="00FF009C">
        <w:rPr>
          <w:noProof/>
        </w:rPr>
        <w:t> </w:t>
      </w:r>
      <w:r w:rsidR="00FF009C" w:rsidRPr="00FF009C">
        <w:rPr>
          <w:noProof/>
        </w:rPr>
        <w:t>spó</w:t>
      </w:r>
      <w:r w:rsidRPr="00FF009C">
        <w:rPr>
          <w:noProof/>
        </w:rPr>
        <w:t>jny na potrzeby zapobiegania przemytowi migrantów</w:t>
      </w:r>
      <w:r w:rsidR="00FF009C" w:rsidRPr="00FF009C">
        <w:rPr>
          <w:noProof/>
        </w:rPr>
        <w:t xml:space="preserve"> i</w:t>
      </w:r>
      <w:r w:rsidR="00FF009C">
        <w:rPr>
          <w:noProof/>
        </w:rPr>
        <w:t> </w:t>
      </w:r>
      <w:r w:rsidR="00FF009C" w:rsidRPr="00FF009C">
        <w:rPr>
          <w:noProof/>
        </w:rPr>
        <w:t>han</w:t>
      </w:r>
      <w:r w:rsidRPr="00FF009C">
        <w:rPr>
          <w:noProof/>
        </w:rPr>
        <w:t>dlowi ludźmi, powiązanym przestępstwom</w:t>
      </w:r>
      <w:r w:rsidR="00FF009C" w:rsidRPr="00FF009C">
        <w:rPr>
          <w:noProof/>
        </w:rPr>
        <w:t xml:space="preserve"> i</w:t>
      </w:r>
      <w:r w:rsidR="00FF009C">
        <w:rPr>
          <w:noProof/>
        </w:rPr>
        <w:t> </w:t>
      </w:r>
      <w:r w:rsidR="00FF009C" w:rsidRPr="00FF009C">
        <w:rPr>
          <w:noProof/>
        </w:rPr>
        <w:t>czy</w:t>
      </w:r>
      <w:r w:rsidRPr="00FF009C">
        <w:rPr>
          <w:noProof/>
        </w:rPr>
        <w:t>nnikom sprzyjającym przestępczości,</w:t>
      </w:r>
      <w:r w:rsidR="00FF009C" w:rsidRPr="00FF009C">
        <w:rPr>
          <w:noProof/>
        </w:rPr>
        <w:t xml:space="preserve"> a</w:t>
      </w:r>
      <w:r w:rsidR="00FF009C">
        <w:rPr>
          <w:noProof/>
        </w:rPr>
        <w:t> </w:t>
      </w:r>
      <w:r w:rsidR="00FF009C" w:rsidRPr="00FF009C">
        <w:rPr>
          <w:noProof/>
        </w:rPr>
        <w:t>tak</w:t>
      </w:r>
      <w:r w:rsidRPr="00FF009C">
        <w:rPr>
          <w:noProof/>
        </w:rPr>
        <w:t>że zwalczania tych przestępstw</w:t>
      </w:r>
      <w:r w:rsidR="00FF009C" w:rsidRPr="00FF009C">
        <w:rPr>
          <w:noProof/>
        </w:rPr>
        <w:t xml:space="preserve"> i</w:t>
      </w:r>
      <w:r w:rsidR="00FF009C">
        <w:rPr>
          <w:noProof/>
        </w:rPr>
        <w:t> </w:t>
      </w:r>
      <w:r w:rsidR="00FF009C" w:rsidRPr="00FF009C">
        <w:rPr>
          <w:noProof/>
        </w:rPr>
        <w:t>czy</w:t>
      </w:r>
      <w:r w:rsidRPr="00FF009C">
        <w:rPr>
          <w:noProof/>
        </w:rPr>
        <w:t>nników, Europol</w:t>
      </w:r>
      <w:r w:rsidR="00FF009C" w:rsidRPr="00FF009C">
        <w:rPr>
          <w:noProof/>
        </w:rPr>
        <w:t xml:space="preserve"> i</w:t>
      </w:r>
      <w:r w:rsidR="00FF009C">
        <w:rPr>
          <w:noProof/>
        </w:rPr>
        <w:t> </w:t>
      </w:r>
      <w:r w:rsidR="00FF009C" w:rsidRPr="00FF009C">
        <w:rPr>
          <w:noProof/>
        </w:rPr>
        <w:t>wsz</w:t>
      </w:r>
      <w:r w:rsidRPr="00FF009C">
        <w:rPr>
          <w:noProof/>
        </w:rPr>
        <w:t>ystkie kluczowe zainteresowane strony powinny zwiększyć swoje powiązania</w:t>
      </w:r>
      <w:r w:rsidR="00FF009C" w:rsidRPr="00FF009C">
        <w:rPr>
          <w:noProof/>
        </w:rPr>
        <w:t xml:space="preserve"> w</w:t>
      </w:r>
      <w:r w:rsidR="00FF009C">
        <w:rPr>
          <w:noProof/>
        </w:rPr>
        <w:t> </w:t>
      </w:r>
      <w:r w:rsidR="00FF009C" w:rsidRPr="00FF009C">
        <w:rPr>
          <w:noProof/>
        </w:rPr>
        <w:t>ram</w:t>
      </w:r>
      <w:r w:rsidRPr="00FF009C">
        <w:rPr>
          <w:noProof/>
        </w:rPr>
        <w:t>ach EMPACT</w:t>
      </w:r>
      <w:r w:rsidR="00FF009C" w:rsidRPr="00FF009C">
        <w:rPr>
          <w:noProof/>
        </w:rPr>
        <w:t xml:space="preserve"> i</w:t>
      </w:r>
      <w:r w:rsidR="00FF009C">
        <w:rPr>
          <w:noProof/>
        </w:rPr>
        <w:t> </w:t>
      </w:r>
      <w:r w:rsidR="00FF009C" w:rsidRPr="00FF009C">
        <w:rPr>
          <w:noProof/>
        </w:rPr>
        <w:t>wsp</w:t>
      </w:r>
      <w:r w:rsidRPr="00FF009C">
        <w:rPr>
          <w:noProof/>
        </w:rPr>
        <w:t>arcie operacyjne</w:t>
      </w:r>
      <w:r w:rsidR="00FF009C" w:rsidRPr="00FF009C">
        <w:rPr>
          <w:noProof/>
        </w:rPr>
        <w:t xml:space="preserve"> w</w:t>
      </w:r>
      <w:r w:rsidR="00FF009C">
        <w:rPr>
          <w:noProof/>
        </w:rPr>
        <w:t> </w:t>
      </w:r>
      <w:r w:rsidR="00FF009C" w:rsidRPr="00FF009C">
        <w:rPr>
          <w:noProof/>
        </w:rPr>
        <w:t>zak</w:t>
      </w:r>
      <w:r w:rsidRPr="00FF009C">
        <w:rPr>
          <w:noProof/>
        </w:rPr>
        <w:t>resie działań prowadzonych przez tę platformę.</w:t>
      </w:r>
    </w:p>
    <w:p w14:paraId="13175065" w14:textId="43CC440C" w:rsidR="009070D9" w:rsidRPr="00FF009C" w:rsidRDefault="0028650E" w:rsidP="0028650E">
      <w:pPr>
        <w:pStyle w:val="ManualConsidrant"/>
        <w:rPr>
          <w:noProof/>
        </w:rPr>
      </w:pPr>
      <w:r w:rsidRPr="00FF009C">
        <w:rPr>
          <w:noProof/>
        </w:rPr>
        <w:t>(11)</w:t>
      </w:r>
      <w:r w:rsidRPr="00FF009C">
        <w:rPr>
          <w:noProof/>
        </w:rPr>
        <w:tab/>
        <w:t>Aby zapewnić odpowiedni udział organów sądowych</w:t>
      </w:r>
      <w:r w:rsidR="00FF009C" w:rsidRPr="00FF009C">
        <w:rPr>
          <w:noProof/>
        </w:rPr>
        <w:t xml:space="preserve"> w</w:t>
      </w:r>
      <w:r w:rsidR="00FF009C">
        <w:rPr>
          <w:noProof/>
        </w:rPr>
        <w:t> </w:t>
      </w:r>
      <w:r w:rsidR="00FF009C" w:rsidRPr="00FF009C">
        <w:rPr>
          <w:noProof/>
        </w:rPr>
        <w:t>pos</w:t>
      </w:r>
      <w:r w:rsidRPr="00FF009C">
        <w:rPr>
          <w:noProof/>
        </w:rPr>
        <w:t>tępowaniach przygotowawczych dotyczących przestępstw związanych</w:t>
      </w:r>
      <w:r w:rsidR="00FF009C" w:rsidRPr="00FF009C">
        <w:rPr>
          <w:noProof/>
        </w:rPr>
        <w:t xml:space="preserve"> z</w:t>
      </w:r>
      <w:r w:rsidR="00FF009C">
        <w:rPr>
          <w:noProof/>
        </w:rPr>
        <w:t> </w:t>
      </w:r>
      <w:r w:rsidR="00FF009C" w:rsidRPr="00FF009C">
        <w:rPr>
          <w:noProof/>
        </w:rPr>
        <w:t>prz</w:t>
      </w:r>
      <w:r w:rsidRPr="00FF009C">
        <w:rPr>
          <w:noProof/>
        </w:rPr>
        <w:t>emytem migrantów</w:t>
      </w:r>
      <w:r w:rsidR="00FF009C" w:rsidRPr="00FF009C">
        <w:rPr>
          <w:noProof/>
        </w:rPr>
        <w:t xml:space="preserve"> i</w:t>
      </w:r>
      <w:r w:rsidR="00FF009C">
        <w:rPr>
          <w:noProof/>
        </w:rPr>
        <w:t> </w:t>
      </w:r>
      <w:r w:rsidR="00FF009C" w:rsidRPr="00FF009C">
        <w:rPr>
          <w:noProof/>
        </w:rPr>
        <w:t>han</w:t>
      </w:r>
      <w:r w:rsidRPr="00FF009C">
        <w:rPr>
          <w:noProof/>
        </w:rPr>
        <w:t>dlem ludźmi, należy ustalić –</w:t>
      </w:r>
      <w:r w:rsidR="00FF009C" w:rsidRPr="00FF009C">
        <w:rPr>
          <w:noProof/>
        </w:rPr>
        <w:t xml:space="preserve"> w</w:t>
      </w:r>
      <w:r w:rsidR="00FF009C">
        <w:rPr>
          <w:noProof/>
        </w:rPr>
        <w:t> </w:t>
      </w:r>
      <w:r w:rsidR="00FF009C" w:rsidRPr="00FF009C">
        <w:rPr>
          <w:noProof/>
        </w:rPr>
        <w:t>ram</w:t>
      </w:r>
      <w:r w:rsidRPr="00FF009C">
        <w:rPr>
          <w:noProof/>
        </w:rPr>
        <w:t>ach oceny przewidzianej</w:t>
      </w:r>
      <w:r w:rsidR="00FF009C" w:rsidRPr="00FF009C">
        <w:rPr>
          <w:noProof/>
        </w:rPr>
        <w:t xml:space="preserve"> w</w:t>
      </w:r>
      <w:r w:rsidR="00FF009C">
        <w:rPr>
          <w:noProof/>
        </w:rPr>
        <w:t> </w:t>
      </w:r>
      <w:r w:rsidR="00FF009C" w:rsidRPr="00FF009C">
        <w:rPr>
          <w:noProof/>
        </w:rPr>
        <w:t>art</w:t>
      </w:r>
      <w:r w:rsidRPr="00FF009C">
        <w:rPr>
          <w:noProof/>
        </w:rPr>
        <w:t>.</w:t>
      </w:r>
      <w:r w:rsidR="00FF009C" w:rsidRPr="00FF009C">
        <w:rPr>
          <w:noProof/>
        </w:rPr>
        <w:t> </w:t>
      </w:r>
      <w:r w:rsidRPr="00FF009C">
        <w:rPr>
          <w:noProof/>
        </w:rPr>
        <w:t>69 ust.</w:t>
      </w:r>
      <w:r w:rsidR="00FF009C" w:rsidRPr="00FF009C">
        <w:rPr>
          <w:noProof/>
        </w:rPr>
        <w:t> </w:t>
      </w:r>
      <w:r w:rsidRPr="00FF009C">
        <w:rPr>
          <w:noProof/>
        </w:rPr>
        <w:t>1 rozporządzenie (UE) 2018/1727 – czy konieczne jest zwiększenie zakresu działania Eurojustu</w:t>
      </w:r>
      <w:r w:rsidR="00FF009C" w:rsidRPr="00FF009C">
        <w:rPr>
          <w:noProof/>
        </w:rPr>
        <w:t xml:space="preserve"> w</w:t>
      </w:r>
      <w:r w:rsidR="00FF009C">
        <w:rPr>
          <w:noProof/>
        </w:rPr>
        <w:t> </w:t>
      </w:r>
      <w:r w:rsidR="00FF009C" w:rsidRPr="00FF009C">
        <w:rPr>
          <w:noProof/>
        </w:rPr>
        <w:t>zwi</w:t>
      </w:r>
      <w:r w:rsidRPr="00FF009C">
        <w:rPr>
          <w:noProof/>
        </w:rPr>
        <w:t>ązku</w:t>
      </w:r>
      <w:r w:rsidR="00FF009C" w:rsidRPr="00FF009C">
        <w:rPr>
          <w:noProof/>
        </w:rPr>
        <w:t xml:space="preserve"> z</w:t>
      </w:r>
      <w:r w:rsidR="00FF009C">
        <w:rPr>
          <w:noProof/>
        </w:rPr>
        <w:t> </w:t>
      </w:r>
      <w:r w:rsidR="00FF009C" w:rsidRPr="00FF009C">
        <w:rPr>
          <w:noProof/>
        </w:rPr>
        <w:t>prz</w:t>
      </w:r>
      <w:r w:rsidRPr="00FF009C">
        <w:rPr>
          <w:noProof/>
        </w:rPr>
        <w:t>emytem migrantów</w:t>
      </w:r>
      <w:r w:rsidR="00FF009C" w:rsidRPr="00FF009C">
        <w:rPr>
          <w:noProof/>
        </w:rPr>
        <w:t xml:space="preserve"> i</w:t>
      </w:r>
      <w:r w:rsidR="00FF009C">
        <w:rPr>
          <w:noProof/>
        </w:rPr>
        <w:t> </w:t>
      </w:r>
      <w:r w:rsidR="00FF009C" w:rsidRPr="00FF009C">
        <w:rPr>
          <w:noProof/>
        </w:rPr>
        <w:t>zmi</w:t>
      </w:r>
      <w:r w:rsidRPr="00FF009C">
        <w:rPr>
          <w:noProof/>
        </w:rPr>
        <w:t>anami zakresu działania Europolu.</w:t>
      </w:r>
    </w:p>
    <w:p w14:paraId="0073E173" w14:textId="0CACA5C3" w:rsidR="0043039B" w:rsidRPr="00FF009C" w:rsidRDefault="0028650E" w:rsidP="0028650E">
      <w:pPr>
        <w:pStyle w:val="ManualConsidrant"/>
        <w:rPr>
          <w:noProof/>
        </w:rPr>
      </w:pPr>
      <w:r w:rsidRPr="00FF009C">
        <w:rPr>
          <w:noProof/>
        </w:rPr>
        <w:t>(12)</w:t>
      </w:r>
      <w:r w:rsidRPr="00FF009C">
        <w:rPr>
          <w:noProof/>
        </w:rPr>
        <w:tab/>
        <w:t>Europol powinien stanowić unijne centrum informacji kryminalnych</w:t>
      </w:r>
      <w:r w:rsidR="00FF009C" w:rsidRPr="00FF009C">
        <w:rPr>
          <w:noProof/>
        </w:rPr>
        <w:t xml:space="preserve"> i</w:t>
      </w:r>
      <w:r w:rsidR="00FF009C">
        <w:rPr>
          <w:noProof/>
        </w:rPr>
        <w:t> </w:t>
      </w:r>
      <w:r w:rsidR="00FF009C" w:rsidRPr="00FF009C">
        <w:rPr>
          <w:noProof/>
        </w:rPr>
        <w:t>dzi</w:t>
      </w:r>
      <w:r w:rsidRPr="00FF009C">
        <w:rPr>
          <w:noProof/>
        </w:rPr>
        <w:t>ałać jako dostawca usług,</w:t>
      </w:r>
      <w:r w:rsidR="00FF009C" w:rsidRPr="00FF009C">
        <w:rPr>
          <w:noProof/>
        </w:rPr>
        <w:t xml:space="preserve"> w</w:t>
      </w:r>
      <w:r w:rsidR="00FF009C">
        <w:rPr>
          <w:noProof/>
        </w:rPr>
        <w:t> </w:t>
      </w:r>
      <w:r w:rsidR="00FF009C" w:rsidRPr="00FF009C">
        <w:rPr>
          <w:noProof/>
        </w:rPr>
        <w:t>szc</w:t>
      </w:r>
      <w:r w:rsidRPr="00FF009C">
        <w:rPr>
          <w:noProof/>
        </w:rPr>
        <w:t>zególności przez zapewnianie bezpiecznej sieci wymiany danych, takiej jak aplikacja sieci bezpiecznej wymiany informacji (SIENA),</w:t>
      </w:r>
      <w:r w:rsidR="00FF009C" w:rsidRPr="00FF009C">
        <w:rPr>
          <w:noProof/>
        </w:rPr>
        <w:t xml:space="preserve"> w</w:t>
      </w:r>
      <w:r w:rsidR="00FF009C">
        <w:rPr>
          <w:noProof/>
        </w:rPr>
        <w:t> </w:t>
      </w:r>
      <w:r w:rsidR="00FF009C" w:rsidRPr="00FF009C">
        <w:rPr>
          <w:noProof/>
        </w:rPr>
        <w:t>cel</w:t>
      </w:r>
      <w:r w:rsidRPr="00FF009C">
        <w:rPr>
          <w:noProof/>
        </w:rPr>
        <w:t>u ułatwienia wymiany informacji między państwami członkowskimi, Europolem, innymi organami Unii, państwami trzecimi</w:t>
      </w:r>
      <w:r w:rsidR="00FF009C" w:rsidRPr="00FF009C">
        <w:rPr>
          <w:noProof/>
        </w:rPr>
        <w:t xml:space="preserve"> i</w:t>
      </w:r>
      <w:r w:rsidR="00FF009C">
        <w:rPr>
          <w:noProof/>
        </w:rPr>
        <w:t> </w:t>
      </w:r>
      <w:r w:rsidR="00FF009C" w:rsidRPr="00FF009C">
        <w:rPr>
          <w:noProof/>
        </w:rPr>
        <w:t>org</w:t>
      </w:r>
      <w:r w:rsidRPr="00FF009C">
        <w:rPr>
          <w:noProof/>
        </w:rPr>
        <w:t>anizacjami międzynarodowymi. Aplikacja SIENA powinna umożliwiać szybką, bezpieczną</w:t>
      </w:r>
      <w:r w:rsidR="00FF009C" w:rsidRPr="00FF009C">
        <w:rPr>
          <w:noProof/>
        </w:rPr>
        <w:t xml:space="preserve"> i</w:t>
      </w:r>
      <w:r w:rsidR="00FF009C">
        <w:rPr>
          <w:noProof/>
        </w:rPr>
        <w:t> </w:t>
      </w:r>
      <w:r w:rsidR="00FF009C" w:rsidRPr="00FF009C">
        <w:rPr>
          <w:noProof/>
        </w:rPr>
        <w:t>prz</w:t>
      </w:r>
      <w:r w:rsidRPr="00FF009C">
        <w:rPr>
          <w:noProof/>
        </w:rPr>
        <w:t>yjazną dla użytkownika komunikację</w:t>
      </w:r>
      <w:r w:rsidR="00FF009C" w:rsidRPr="00FF009C">
        <w:rPr>
          <w:noProof/>
        </w:rPr>
        <w:t xml:space="preserve"> i</w:t>
      </w:r>
      <w:r w:rsidR="00FF009C">
        <w:rPr>
          <w:noProof/>
        </w:rPr>
        <w:t> </w:t>
      </w:r>
      <w:r w:rsidR="00FF009C" w:rsidRPr="00FF009C">
        <w:rPr>
          <w:noProof/>
        </w:rPr>
        <w:t>wym</w:t>
      </w:r>
      <w:r w:rsidRPr="00FF009C">
        <w:rPr>
          <w:noProof/>
        </w:rPr>
        <w:t>ianę operacyjnych</w:t>
      </w:r>
      <w:r w:rsidR="00FF009C" w:rsidRPr="00FF009C">
        <w:rPr>
          <w:noProof/>
        </w:rPr>
        <w:t xml:space="preserve"> i</w:t>
      </w:r>
      <w:r w:rsidR="00FF009C">
        <w:rPr>
          <w:noProof/>
        </w:rPr>
        <w:t> </w:t>
      </w:r>
      <w:r w:rsidR="00FF009C" w:rsidRPr="00FF009C">
        <w:rPr>
          <w:noProof/>
        </w:rPr>
        <w:t>str</w:t>
      </w:r>
      <w:r w:rsidRPr="00FF009C">
        <w:rPr>
          <w:noProof/>
        </w:rPr>
        <w:t>ategicznych informacji</w:t>
      </w:r>
      <w:r w:rsidR="00FF009C" w:rsidRPr="00FF009C">
        <w:rPr>
          <w:noProof/>
        </w:rPr>
        <w:t xml:space="preserve"> i</w:t>
      </w:r>
      <w:r w:rsidR="00FF009C">
        <w:rPr>
          <w:noProof/>
        </w:rPr>
        <w:t> </w:t>
      </w:r>
      <w:r w:rsidR="00FF009C" w:rsidRPr="00FF009C">
        <w:rPr>
          <w:noProof/>
        </w:rPr>
        <w:t>dan</w:t>
      </w:r>
      <w:r w:rsidRPr="00FF009C">
        <w:rPr>
          <w:noProof/>
        </w:rPr>
        <w:t>ych wywiadowczych związanych</w:t>
      </w:r>
      <w:r w:rsidR="00FF009C" w:rsidRPr="00FF009C">
        <w:rPr>
          <w:noProof/>
        </w:rPr>
        <w:t xml:space="preserve"> z</w:t>
      </w:r>
      <w:r w:rsidR="00FF009C">
        <w:rPr>
          <w:noProof/>
        </w:rPr>
        <w:t> </w:t>
      </w:r>
      <w:r w:rsidR="00FF009C" w:rsidRPr="00FF009C">
        <w:rPr>
          <w:noProof/>
        </w:rPr>
        <w:t>prz</w:t>
      </w:r>
      <w:r w:rsidRPr="00FF009C">
        <w:rPr>
          <w:noProof/>
        </w:rPr>
        <w:t>estępczością oraz koncentrować się</w:t>
      </w:r>
      <w:r w:rsidR="00FF009C" w:rsidRPr="00FF009C">
        <w:rPr>
          <w:noProof/>
        </w:rPr>
        <w:t xml:space="preserve"> w</w:t>
      </w:r>
      <w:r w:rsidR="00FF009C">
        <w:rPr>
          <w:noProof/>
        </w:rPr>
        <w:t> </w:t>
      </w:r>
      <w:r w:rsidR="00FF009C" w:rsidRPr="00FF009C">
        <w:rPr>
          <w:noProof/>
        </w:rPr>
        <w:t>duż</w:t>
      </w:r>
      <w:r w:rsidRPr="00FF009C">
        <w:rPr>
          <w:noProof/>
        </w:rPr>
        <w:t>ym stopniu na interoperacyjności</w:t>
      </w:r>
      <w:r w:rsidR="00FF009C" w:rsidRPr="00FF009C">
        <w:rPr>
          <w:noProof/>
        </w:rPr>
        <w:t xml:space="preserve"> z</w:t>
      </w:r>
      <w:r w:rsidR="00FF009C">
        <w:rPr>
          <w:noProof/>
        </w:rPr>
        <w:t> </w:t>
      </w:r>
      <w:r w:rsidR="00FF009C" w:rsidRPr="00FF009C">
        <w:rPr>
          <w:noProof/>
        </w:rPr>
        <w:t>inn</w:t>
      </w:r>
      <w:r w:rsidRPr="00FF009C">
        <w:rPr>
          <w:noProof/>
        </w:rPr>
        <w:t>ymi systemami Europolu oraz innych państw</w:t>
      </w:r>
      <w:r w:rsidR="00FF009C" w:rsidRPr="00FF009C">
        <w:rPr>
          <w:noProof/>
        </w:rPr>
        <w:t xml:space="preserve"> i</w:t>
      </w:r>
      <w:r w:rsidR="00FF009C">
        <w:rPr>
          <w:noProof/>
        </w:rPr>
        <w:t> </w:t>
      </w:r>
      <w:r w:rsidR="00FF009C" w:rsidRPr="00FF009C">
        <w:rPr>
          <w:noProof/>
        </w:rPr>
        <w:t>org</w:t>
      </w:r>
      <w:r w:rsidRPr="00FF009C">
        <w:rPr>
          <w:noProof/>
        </w:rPr>
        <w:t>anizacji współpracujących.</w:t>
      </w:r>
    </w:p>
    <w:p w14:paraId="789CB970" w14:textId="295D3551" w:rsidR="0043039B" w:rsidRPr="00FF009C" w:rsidRDefault="0028650E" w:rsidP="0028650E">
      <w:pPr>
        <w:pStyle w:val="ManualConsidrant"/>
        <w:rPr>
          <w:noProof/>
        </w:rPr>
      </w:pPr>
      <w:r w:rsidRPr="00FF009C">
        <w:rPr>
          <w:noProof/>
        </w:rPr>
        <w:t>(13)</w:t>
      </w:r>
      <w:r w:rsidRPr="00FF009C">
        <w:rPr>
          <w:noProof/>
        </w:rPr>
        <w:tab/>
        <w:t>Aktywne zaangażowanie państw członkowskich</w:t>
      </w:r>
      <w:r w:rsidR="00FF009C" w:rsidRPr="00FF009C">
        <w:rPr>
          <w:noProof/>
        </w:rPr>
        <w:t xml:space="preserve"> i</w:t>
      </w:r>
      <w:r w:rsidR="00FF009C">
        <w:rPr>
          <w:noProof/>
        </w:rPr>
        <w:t> </w:t>
      </w:r>
      <w:r w:rsidR="00FF009C" w:rsidRPr="00FF009C">
        <w:rPr>
          <w:noProof/>
        </w:rPr>
        <w:t>wym</w:t>
      </w:r>
      <w:r w:rsidRPr="00FF009C">
        <w:rPr>
          <w:noProof/>
        </w:rPr>
        <w:t>iana informacji</w:t>
      </w:r>
      <w:r w:rsidR="00FF009C" w:rsidRPr="00FF009C">
        <w:rPr>
          <w:noProof/>
        </w:rPr>
        <w:t xml:space="preserve"> z</w:t>
      </w:r>
      <w:r w:rsidR="00FF009C">
        <w:rPr>
          <w:noProof/>
        </w:rPr>
        <w:t> </w:t>
      </w:r>
      <w:r w:rsidR="00FF009C" w:rsidRPr="00FF009C">
        <w:rPr>
          <w:noProof/>
        </w:rPr>
        <w:t>Eur</w:t>
      </w:r>
      <w:r w:rsidRPr="00FF009C">
        <w:rPr>
          <w:noProof/>
        </w:rPr>
        <w:t>opolem mają kluczowe znaczenie</w:t>
      </w:r>
      <w:r w:rsidR="00FF009C" w:rsidRPr="00FF009C">
        <w:rPr>
          <w:noProof/>
        </w:rPr>
        <w:t xml:space="preserve"> w</w:t>
      </w:r>
      <w:r w:rsidR="00FF009C">
        <w:rPr>
          <w:noProof/>
        </w:rPr>
        <w:t> </w:t>
      </w:r>
      <w:r w:rsidR="00FF009C" w:rsidRPr="00FF009C">
        <w:rPr>
          <w:noProof/>
        </w:rPr>
        <w:t>kon</w:t>
      </w:r>
      <w:r w:rsidRPr="00FF009C">
        <w:rPr>
          <w:noProof/>
        </w:rPr>
        <w:t>tekście zapewnienia kompleksowego</w:t>
      </w:r>
      <w:r w:rsidR="00FF009C" w:rsidRPr="00FF009C">
        <w:rPr>
          <w:noProof/>
        </w:rPr>
        <w:t xml:space="preserve"> i</w:t>
      </w:r>
      <w:r w:rsidR="00FF009C">
        <w:rPr>
          <w:noProof/>
        </w:rPr>
        <w:t> </w:t>
      </w:r>
      <w:r w:rsidR="00FF009C" w:rsidRPr="00FF009C">
        <w:rPr>
          <w:noProof/>
        </w:rPr>
        <w:t>sko</w:t>
      </w:r>
      <w:r w:rsidRPr="00FF009C">
        <w:rPr>
          <w:noProof/>
        </w:rPr>
        <w:t>ordynowanego unijnego podejścia do przeciwdziałania przemytowi migrantów</w:t>
      </w:r>
      <w:r w:rsidR="00FF009C" w:rsidRPr="00FF009C">
        <w:rPr>
          <w:noProof/>
        </w:rPr>
        <w:t>. W</w:t>
      </w:r>
      <w:r w:rsidR="00FF009C">
        <w:rPr>
          <w:noProof/>
        </w:rPr>
        <w:t> </w:t>
      </w:r>
      <w:r w:rsidR="00FF009C" w:rsidRPr="00FF009C">
        <w:rPr>
          <w:noProof/>
        </w:rPr>
        <w:t>cel</w:t>
      </w:r>
      <w:r w:rsidRPr="00FF009C">
        <w:rPr>
          <w:noProof/>
        </w:rPr>
        <w:t>u zwiększenia zdolności państw członkowskich państwa członkowskie powinny wyznaczyć służby wyspecjalizowane</w:t>
      </w:r>
      <w:r w:rsidR="00FF009C" w:rsidRPr="00FF009C">
        <w:rPr>
          <w:noProof/>
        </w:rPr>
        <w:t xml:space="preserve"> w</w:t>
      </w:r>
      <w:r w:rsidR="00FF009C">
        <w:rPr>
          <w:noProof/>
        </w:rPr>
        <w:t> </w:t>
      </w:r>
      <w:r w:rsidR="00FF009C" w:rsidRPr="00FF009C">
        <w:rPr>
          <w:noProof/>
        </w:rPr>
        <w:t>prz</w:t>
      </w:r>
      <w:r w:rsidRPr="00FF009C">
        <w:rPr>
          <w:noProof/>
        </w:rPr>
        <w:t>eciwdziałaniu przemytowi migrantów</w:t>
      </w:r>
      <w:r w:rsidR="00FF009C" w:rsidRPr="00FF009C">
        <w:rPr>
          <w:noProof/>
        </w:rPr>
        <w:t xml:space="preserve"> i</w:t>
      </w:r>
      <w:r w:rsidR="00FF009C">
        <w:rPr>
          <w:noProof/>
        </w:rPr>
        <w:t> </w:t>
      </w:r>
      <w:r w:rsidR="00FF009C" w:rsidRPr="00FF009C">
        <w:rPr>
          <w:noProof/>
        </w:rPr>
        <w:t>zap</w:t>
      </w:r>
      <w:r w:rsidRPr="00FF009C">
        <w:rPr>
          <w:noProof/>
        </w:rPr>
        <w:t>ewnić im odpowiednie zasoby na potrzeby zapobiegania przemytowi migrantów</w:t>
      </w:r>
      <w:r w:rsidR="00FF009C" w:rsidRPr="00FF009C">
        <w:rPr>
          <w:noProof/>
        </w:rPr>
        <w:t xml:space="preserve"> i</w:t>
      </w:r>
      <w:r w:rsidR="00FF009C">
        <w:rPr>
          <w:noProof/>
        </w:rPr>
        <w:t> </w:t>
      </w:r>
      <w:r w:rsidR="00FF009C" w:rsidRPr="00FF009C">
        <w:rPr>
          <w:noProof/>
        </w:rPr>
        <w:t>jeg</w:t>
      </w:r>
      <w:r w:rsidRPr="00FF009C">
        <w:rPr>
          <w:noProof/>
        </w:rPr>
        <w:t>o zwalczania oraz możliwość prowadzenia</w:t>
      </w:r>
      <w:r w:rsidR="00FF009C" w:rsidRPr="00FF009C">
        <w:rPr>
          <w:noProof/>
        </w:rPr>
        <w:t xml:space="preserve"> z</w:t>
      </w:r>
      <w:r w:rsidR="00FF009C">
        <w:rPr>
          <w:noProof/>
        </w:rPr>
        <w:t> </w:t>
      </w:r>
      <w:r w:rsidR="00FF009C" w:rsidRPr="00FF009C">
        <w:rPr>
          <w:noProof/>
        </w:rPr>
        <w:t>Eur</w:t>
      </w:r>
      <w:r w:rsidRPr="00FF009C">
        <w:rPr>
          <w:noProof/>
        </w:rPr>
        <w:t>opolem efektywnej</w:t>
      </w:r>
      <w:r w:rsidR="00FF009C" w:rsidRPr="00FF009C">
        <w:rPr>
          <w:noProof/>
        </w:rPr>
        <w:t xml:space="preserve"> i</w:t>
      </w:r>
      <w:r w:rsidR="00FF009C">
        <w:rPr>
          <w:noProof/>
        </w:rPr>
        <w:t> </w:t>
      </w:r>
      <w:r w:rsidR="00FF009C" w:rsidRPr="00FF009C">
        <w:rPr>
          <w:noProof/>
        </w:rPr>
        <w:t>sku</w:t>
      </w:r>
      <w:r w:rsidRPr="00FF009C">
        <w:rPr>
          <w:noProof/>
        </w:rPr>
        <w:t>tecznej wymiany informacji na temat postępowań przygotowawczych</w:t>
      </w:r>
      <w:r w:rsidR="00FF009C" w:rsidRPr="00FF009C">
        <w:rPr>
          <w:noProof/>
        </w:rPr>
        <w:t>. W</w:t>
      </w:r>
      <w:r w:rsidR="00FF009C">
        <w:rPr>
          <w:noProof/>
        </w:rPr>
        <w:t> </w:t>
      </w:r>
      <w:r w:rsidR="00FF009C" w:rsidRPr="00FF009C">
        <w:rPr>
          <w:noProof/>
        </w:rPr>
        <w:t>cel</w:t>
      </w:r>
      <w:r w:rsidRPr="00FF009C">
        <w:rPr>
          <w:noProof/>
        </w:rPr>
        <w:t>u zharmonizowania wymiany informacji na temat przemytu migrantów między państwami członkowskimi</w:t>
      </w:r>
      <w:r w:rsidR="00FF009C" w:rsidRPr="00FF009C">
        <w:rPr>
          <w:noProof/>
        </w:rPr>
        <w:t xml:space="preserve"> a</w:t>
      </w:r>
      <w:r w:rsidR="00FF009C">
        <w:rPr>
          <w:noProof/>
        </w:rPr>
        <w:t> </w:t>
      </w:r>
      <w:r w:rsidR="00FF009C" w:rsidRPr="00FF009C">
        <w:rPr>
          <w:noProof/>
        </w:rPr>
        <w:t>Eur</w:t>
      </w:r>
      <w:r w:rsidRPr="00FF009C">
        <w:rPr>
          <w:noProof/>
        </w:rPr>
        <w:t>opolem, państwa członkowskie powinny zapewnić, aby wyznaczone przez nie służby zajmujące się przeciwdziałaniem przemytowi migrantów były bezpośrednio połączone</w:t>
      </w:r>
      <w:r w:rsidR="00FF009C" w:rsidRPr="00FF009C">
        <w:rPr>
          <w:noProof/>
        </w:rPr>
        <w:t xml:space="preserve"> z</w:t>
      </w:r>
      <w:r w:rsidR="00FF009C">
        <w:rPr>
          <w:noProof/>
        </w:rPr>
        <w:t> </w:t>
      </w:r>
      <w:r w:rsidR="00FF009C" w:rsidRPr="00FF009C">
        <w:rPr>
          <w:noProof/>
        </w:rPr>
        <w:t>apl</w:t>
      </w:r>
      <w:r w:rsidRPr="00FF009C">
        <w:rPr>
          <w:noProof/>
        </w:rPr>
        <w:t>ikacją SIENA, co ma ułatwić wymianę informacji. Jest to zgodne</w:t>
      </w:r>
      <w:r w:rsidR="00FF009C" w:rsidRPr="00FF009C">
        <w:rPr>
          <w:noProof/>
        </w:rPr>
        <w:t xml:space="preserve"> z</w:t>
      </w:r>
      <w:r w:rsidR="00FF009C">
        <w:rPr>
          <w:noProof/>
        </w:rPr>
        <w:t> </w:t>
      </w:r>
      <w:r w:rsidR="00FF009C" w:rsidRPr="00FF009C">
        <w:rPr>
          <w:noProof/>
        </w:rPr>
        <w:t>dyr</w:t>
      </w:r>
      <w:r w:rsidRPr="00FF009C">
        <w:rPr>
          <w:noProof/>
        </w:rPr>
        <w:t>ektywą Parlamentu Europejskiego</w:t>
      </w:r>
      <w:r w:rsidR="00FF009C" w:rsidRPr="00FF009C">
        <w:rPr>
          <w:noProof/>
        </w:rPr>
        <w:t xml:space="preserve"> i</w:t>
      </w:r>
      <w:r w:rsidR="00FF009C">
        <w:rPr>
          <w:noProof/>
        </w:rPr>
        <w:t> </w:t>
      </w:r>
      <w:r w:rsidR="00FF009C" w:rsidRPr="00FF009C">
        <w:rPr>
          <w:noProof/>
        </w:rPr>
        <w:t>Rad</w:t>
      </w:r>
      <w:r w:rsidRPr="00FF009C">
        <w:rPr>
          <w:noProof/>
        </w:rPr>
        <w:t>y (UE) 2023/977</w:t>
      </w:r>
      <w:r w:rsidR="00FF009C" w:rsidRPr="00FF009C">
        <w:rPr>
          <w:noProof/>
        </w:rPr>
        <w:t xml:space="preserve"> z</w:t>
      </w:r>
      <w:r w:rsidR="00FF009C">
        <w:rPr>
          <w:noProof/>
        </w:rPr>
        <w:t> </w:t>
      </w:r>
      <w:r w:rsidR="00FF009C" w:rsidRPr="00FF009C">
        <w:rPr>
          <w:noProof/>
        </w:rPr>
        <w:t>dni</w:t>
      </w:r>
      <w:r w:rsidRPr="00FF009C">
        <w:rPr>
          <w:noProof/>
        </w:rPr>
        <w:t>a 10 maja 2023 r.</w:t>
      </w:r>
      <w:r w:rsidR="00FF009C" w:rsidRPr="00FF009C">
        <w:rPr>
          <w:noProof/>
        </w:rPr>
        <w:t xml:space="preserve"> w</w:t>
      </w:r>
      <w:r w:rsidR="00FF009C">
        <w:rPr>
          <w:noProof/>
        </w:rPr>
        <w:t> </w:t>
      </w:r>
      <w:r w:rsidR="00FF009C" w:rsidRPr="00FF009C">
        <w:rPr>
          <w:noProof/>
        </w:rPr>
        <w:t>spr</w:t>
      </w:r>
      <w:r w:rsidRPr="00FF009C">
        <w:rPr>
          <w:noProof/>
        </w:rPr>
        <w:t>awie wymiany informacji między organami ścigania państw członkowskich</w:t>
      </w:r>
      <w:r w:rsidR="00FF009C" w:rsidRPr="00FF009C">
        <w:rPr>
          <w:noProof/>
        </w:rPr>
        <w:t xml:space="preserve"> i</w:t>
      </w:r>
      <w:r w:rsidR="00FF009C">
        <w:rPr>
          <w:noProof/>
        </w:rPr>
        <w:t> </w:t>
      </w:r>
      <w:r w:rsidR="00FF009C" w:rsidRPr="00FF009C">
        <w:rPr>
          <w:noProof/>
        </w:rPr>
        <w:t>uch</w:t>
      </w:r>
      <w:r w:rsidRPr="00FF009C">
        <w:rPr>
          <w:noProof/>
        </w:rPr>
        <w:t>ylająca decyzję ramową Rady 2006/960/WSiSW Wymianę informacji</w:t>
      </w:r>
      <w:r w:rsidR="00FF009C" w:rsidRPr="00FF009C">
        <w:rPr>
          <w:noProof/>
        </w:rPr>
        <w:t xml:space="preserve"> z</w:t>
      </w:r>
      <w:r w:rsidR="00FF009C">
        <w:rPr>
          <w:noProof/>
        </w:rPr>
        <w:t> </w:t>
      </w:r>
      <w:r w:rsidR="00FF009C" w:rsidRPr="00FF009C">
        <w:rPr>
          <w:noProof/>
        </w:rPr>
        <w:t>Eur</w:t>
      </w:r>
      <w:r w:rsidRPr="00FF009C">
        <w:rPr>
          <w:noProof/>
        </w:rPr>
        <w:t>opolem powinni również prowadzić urzędnicy łącznikowi państw członkowskich ds. imigracji oddelegowani do państw trzecich</w:t>
      </w:r>
      <w:r w:rsidR="00FF009C" w:rsidRPr="00FF009C">
        <w:rPr>
          <w:noProof/>
        </w:rPr>
        <w:t>. W</w:t>
      </w:r>
      <w:r w:rsidR="00FF009C">
        <w:rPr>
          <w:noProof/>
        </w:rPr>
        <w:t> </w:t>
      </w:r>
      <w:r w:rsidR="00FF009C" w:rsidRPr="00FF009C">
        <w:rPr>
          <w:noProof/>
        </w:rPr>
        <w:t>tym</w:t>
      </w:r>
      <w:r w:rsidRPr="00FF009C">
        <w:rPr>
          <w:noProof/>
        </w:rPr>
        <w:t xml:space="preserve"> celu powinni oni być również połączeni</w:t>
      </w:r>
      <w:r w:rsidR="00FF009C" w:rsidRPr="00FF009C">
        <w:rPr>
          <w:noProof/>
        </w:rPr>
        <w:t xml:space="preserve"> z</w:t>
      </w:r>
      <w:r w:rsidR="00FF009C">
        <w:rPr>
          <w:noProof/>
        </w:rPr>
        <w:t> </w:t>
      </w:r>
      <w:r w:rsidR="00FF009C" w:rsidRPr="00FF009C">
        <w:rPr>
          <w:noProof/>
        </w:rPr>
        <w:t>apl</w:t>
      </w:r>
      <w:r w:rsidRPr="00FF009C">
        <w:rPr>
          <w:noProof/>
        </w:rPr>
        <w:t>ikacją SIENA, co ma zapewnić im możliwość efektywnego</w:t>
      </w:r>
      <w:r w:rsidR="00FF009C" w:rsidRPr="00FF009C">
        <w:rPr>
          <w:noProof/>
        </w:rPr>
        <w:t xml:space="preserve"> i</w:t>
      </w:r>
      <w:r w:rsidR="00FF009C">
        <w:rPr>
          <w:noProof/>
        </w:rPr>
        <w:t> </w:t>
      </w:r>
      <w:r w:rsidR="00FF009C" w:rsidRPr="00FF009C">
        <w:rPr>
          <w:noProof/>
        </w:rPr>
        <w:t>sku</w:t>
      </w:r>
      <w:r w:rsidRPr="00FF009C">
        <w:rPr>
          <w:noProof/>
        </w:rPr>
        <w:t>tecznego prowadzenia wymiany informacji.</w:t>
      </w:r>
    </w:p>
    <w:p w14:paraId="2F82F487" w14:textId="5F59382E" w:rsidR="0043039B" w:rsidRPr="00FF009C" w:rsidRDefault="0028650E" w:rsidP="0028650E">
      <w:pPr>
        <w:pStyle w:val="ManualConsidrant"/>
        <w:rPr>
          <w:noProof/>
        </w:rPr>
      </w:pPr>
      <w:r w:rsidRPr="00FF009C">
        <w:rPr>
          <w:noProof/>
        </w:rPr>
        <w:t>(14)</w:t>
      </w:r>
      <w:r w:rsidRPr="00FF009C">
        <w:rPr>
          <w:noProof/>
        </w:rPr>
        <w:tab/>
        <w:t>Na potrzeby zapewnienia skutecznej wymiany informacji związanych</w:t>
      </w:r>
      <w:r w:rsidR="00FF009C" w:rsidRPr="00FF009C">
        <w:rPr>
          <w:noProof/>
        </w:rPr>
        <w:t xml:space="preserve"> z</w:t>
      </w:r>
      <w:r w:rsidR="00FF009C">
        <w:rPr>
          <w:noProof/>
        </w:rPr>
        <w:t> </w:t>
      </w:r>
      <w:r w:rsidR="00FF009C" w:rsidRPr="00FF009C">
        <w:rPr>
          <w:noProof/>
        </w:rPr>
        <w:t>prz</w:t>
      </w:r>
      <w:r w:rsidRPr="00FF009C">
        <w:rPr>
          <w:noProof/>
        </w:rPr>
        <w:t>emytem migrantów między państwami członkowskimi</w:t>
      </w:r>
      <w:r w:rsidR="00FF009C" w:rsidRPr="00FF009C">
        <w:rPr>
          <w:noProof/>
        </w:rPr>
        <w:t xml:space="preserve"> i</w:t>
      </w:r>
      <w:r w:rsidR="00FF009C">
        <w:rPr>
          <w:noProof/>
        </w:rPr>
        <w:t> </w:t>
      </w:r>
      <w:r w:rsidR="00FF009C" w:rsidRPr="00FF009C">
        <w:rPr>
          <w:noProof/>
        </w:rPr>
        <w:t>z</w:t>
      </w:r>
      <w:r w:rsidR="00FF009C">
        <w:rPr>
          <w:noProof/>
        </w:rPr>
        <w:t> </w:t>
      </w:r>
      <w:r w:rsidR="00FF009C" w:rsidRPr="00FF009C">
        <w:rPr>
          <w:noProof/>
        </w:rPr>
        <w:t>Eur</w:t>
      </w:r>
      <w:r w:rsidRPr="00FF009C">
        <w:rPr>
          <w:noProof/>
        </w:rPr>
        <w:t>opolem, zwłaszcza</w:t>
      </w:r>
      <w:r w:rsidR="00FF009C" w:rsidRPr="00FF009C">
        <w:rPr>
          <w:noProof/>
        </w:rPr>
        <w:t xml:space="preserve"> w</w:t>
      </w:r>
      <w:r w:rsidR="00FF009C">
        <w:rPr>
          <w:noProof/>
        </w:rPr>
        <w:t> </w:t>
      </w:r>
      <w:r w:rsidR="00FF009C" w:rsidRPr="00FF009C">
        <w:rPr>
          <w:noProof/>
        </w:rPr>
        <w:t>spr</w:t>
      </w:r>
      <w:r w:rsidRPr="00FF009C">
        <w:rPr>
          <w:noProof/>
        </w:rPr>
        <w:t>awach dotyczących dużych siatek przestępczych,</w:t>
      </w:r>
      <w:r w:rsidR="00FF009C" w:rsidRPr="00FF009C">
        <w:rPr>
          <w:noProof/>
        </w:rPr>
        <w:t xml:space="preserve"> w</w:t>
      </w:r>
      <w:r w:rsidR="00FF009C">
        <w:rPr>
          <w:noProof/>
        </w:rPr>
        <w:t> </w:t>
      </w:r>
      <w:r w:rsidR="00FF009C" w:rsidRPr="00FF009C">
        <w:rPr>
          <w:noProof/>
        </w:rPr>
        <w:t>któ</w:t>
      </w:r>
      <w:r w:rsidRPr="00FF009C">
        <w:rPr>
          <w:noProof/>
        </w:rPr>
        <w:t>rych liczba podejrzanych jest znaczna, państwa członkowskie powinny stosować najodpowiedniejsze, zapewniane przez Europol narzędzia wspierające, takie jak specjalne automatyczne systemy ładowania danych</w:t>
      </w:r>
      <w:r w:rsidR="00FF009C" w:rsidRPr="00FF009C">
        <w:rPr>
          <w:noProof/>
        </w:rPr>
        <w:t>. Z</w:t>
      </w:r>
      <w:r w:rsidR="00FF009C">
        <w:rPr>
          <w:noProof/>
        </w:rPr>
        <w:t> </w:t>
      </w:r>
      <w:r w:rsidR="00FF009C" w:rsidRPr="00FF009C">
        <w:rPr>
          <w:noProof/>
        </w:rPr>
        <w:t>dru</w:t>
      </w:r>
      <w:r w:rsidRPr="00FF009C">
        <w:rPr>
          <w:noProof/>
        </w:rPr>
        <w:t>giej strony, aby uzyskać dostęp do wszystkich informacji</w:t>
      </w:r>
      <w:r w:rsidR="00FF009C" w:rsidRPr="00FF009C">
        <w:rPr>
          <w:noProof/>
        </w:rPr>
        <w:t xml:space="preserve"> i</w:t>
      </w:r>
      <w:r w:rsidR="00FF009C">
        <w:rPr>
          <w:noProof/>
        </w:rPr>
        <w:t> </w:t>
      </w:r>
      <w:r w:rsidR="00FF009C" w:rsidRPr="00FF009C">
        <w:rPr>
          <w:noProof/>
        </w:rPr>
        <w:t>dan</w:t>
      </w:r>
      <w:r w:rsidRPr="00FF009C">
        <w:rPr>
          <w:noProof/>
        </w:rPr>
        <w:t>ych wywiadowczych dostępnych na szczeblu Unii</w:t>
      </w:r>
      <w:r w:rsidR="00FF009C" w:rsidRPr="00FF009C">
        <w:rPr>
          <w:noProof/>
        </w:rPr>
        <w:t xml:space="preserve"> w</w:t>
      </w:r>
      <w:r w:rsidR="00FF009C">
        <w:rPr>
          <w:noProof/>
        </w:rPr>
        <w:t> </w:t>
      </w:r>
      <w:r w:rsidR="00FF009C" w:rsidRPr="00FF009C">
        <w:rPr>
          <w:noProof/>
        </w:rPr>
        <w:t>odp</w:t>
      </w:r>
      <w:r w:rsidRPr="00FF009C">
        <w:rPr>
          <w:noProof/>
        </w:rPr>
        <w:t>owiednich przypadkach</w:t>
      </w:r>
      <w:r w:rsidR="00FF009C" w:rsidRPr="00FF009C">
        <w:rPr>
          <w:noProof/>
        </w:rPr>
        <w:t xml:space="preserve"> i</w:t>
      </w:r>
      <w:r w:rsidR="00FF009C">
        <w:rPr>
          <w:noProof/>
        </w:rPr>
        <w:t> </w:t>
      </w:r>
      <w:r w:rsidR="00FF009C" w:rsidRPr="00FF009C">
        <w:rPr>
          <w:noProof/>
        </w:rPr>
        <w:t>jak</w:t>
      </w:r>
      <w:r w:rsidRPr="00FF009C">
        <w:rPr>
          <w:noProof/>
        </w:rPr>
        <w:t xml:space="preserve"> najlepiej je wykorzystywać, przy pełnym poszanowaniu odpowiednich zabezpieczeń służących ochronie danych, państwa członkowskie</w:t>
      </w:r>
      <w:r w:rsidR="00FF009C" w:rsidRPr="00FF009C">
        <w:rPr>
          <w:noProof/>
        </w:rPr>
        <w:t xml:space="preserve"> i</w:t>
      </w:r>
      <w:r w:rsidR="00FF009C">
        <w:rPr>
          <w:noProof/>
        </w:rPr>
        <w:t> </w:t>
      </w:r>
      <w:r w:rsidR="00FF009C" w:rsidRPr="00FF009C">
        <w:rPr>
          <w:noProof/>
        </w:rPr>
        <w:t>age</w:t>
      </w:r>
      <w:r w:rsidRPr="00FF009C">
        <w:rPr>
          <w:noProof/>
        </w:rPr>
        <w:t>ncje Unii powinny systematycznie korzystać</w:t>
      </w:r>
      <w:r w:rsidR="00FF009C" w:rsidRPr="00FF009C">
        <w:rPr>
          <w:noProof/>
        </w:rPr>
        <w:t xml:space="preserve"> z</w:t>
      </w:r>
      <w:r w:rsidR="00FF009C">
        <w:rPr>
          <w:noProof/>
        </w:rPr>
        <w:t> </w:t>
      </w:r>
      <w:r w:rsidR="00FF009C" w:rsidRPr="00FF009C">
        <w:rPr>
          <w:noProof/>
        </w:rPr>
        <w:t>inf</w:t>
      </w:r>
      <w:r w:rsidRPr="00FF009C">
        <w:rPr>
          <w:noProof/>
        </w:rPr>
        <w:t>ormacji Europolu</w:t>
      </w:r>
      <w:r w:rsidR="00FF009C" w:rsidRPr="00FF009C">
        <w:rPr>
          <w:noProof/>
        </w:rPr>
        <w:t xml:space="preserve"> w</w:t>
      </w:r>
      <w:r w:rsidR="00FF009C">
        <w:rPr>
          <w:noProof/>
        </w:rPr>
        <w:t> </w:t>
      </w:r>
      <w:r w:rsidR="00FF009C" w:rsidRPr="00FF009C">
        <w:rPr>
          <w:noProof/>
        </w:rPr>
        <w:t>tra</w:t>
      </w:r>
      <w:r w:rsidRPr="00FF009C">
        <w:rPr>
          <w:noProof/>
        </w:rPr>
        <w:t>kcie toczących się postępowań przygotowawczych dotyczących przemytu migrantów,</w:t>
      </w:r>
      <w:r w:rsidR="00FF009C" w:rsidRPr="00FF009C">
        <w:rPr>
          <w:noProof/>
        </w:rPr>
        <w:t xml:space="preserve"> w</w:t>
      </w:r>
      <w:r w:rsidR="00FF009C">
        <w:rPr>
          <w:noProof/>
        </w:rPr>
        <w:t> </w:t>
      </w:r>
      <w:r w:rsidR="00FF009C" w:rsidRPr="00FF009C">
        <w:rPr>
          <w:noProof/>
        </w:rPr>
        <w:t>tym z</w:t>
      </w:r>
      <w:r w:rsidR="00FF009C">
        <w:rPr>
          <w:noProof/>
        </w:rPr>
        <w:t> </w:t>
      </w:r>
      <w:r w:rsidR="00FF009C" w:rsidRPr="00FF009C">
        <w:rPr>
          <w:noProof/>
        </w:rPr>
        <w:t>wyk</w:t>
      </w:r>
      <w:r w:rsidRPr="00FF009C">
        <w:rPr>
          <w:noProof/>
        </w:rPr>
        <w:t>orzystaniem zapewnianych przez Europol narzędzi wyszukiwania na zasadzie „trafienie/brak trafienia”, takich jak techniczny interfejs systemu Kwerenda</w:t>
      </w:r>
      <w:r w:rsidR="00FF009C" w:rsidRPr="00FF009C">
        <w:rPr>
          <w:noProof/>
        </w:rPr>
        <w:t xml:space="preserve"> w</w:t>
      </w:r>
      <w:r w:rsidR="00FF009C">
        <w:rPr>
          <w:noProof/>
        </w:rPr>
        <w:t> </w:t>
      </w:r>
      <w:r w:rsidR="00FF009C" w:rsidRPr="00FF009C">
        <w:rPr>
          <w:noProof/>
        </w:rPr>
        <w:t>sys</w:t>
      </w:r>
      <w:r w:rsidRPr="00FF009C">
        <w:rPr>
          <w:noProof/>
        </w:rPr>
        <w:t>temach Europolu (QUEST+).</w:t>
      </w:r>
    </w:p>
    <w:p w14:paraId="4DEBA134" w14:textId="2A7EB3D0" w:rsidR="00B2735A" w:rsidRPr="00FF009C" w:rsidRDefault="0028650E" w:rsidP="0028650E">
      <w:pPr>
        <w:pStyle w:val="ManualConsidrant"/>
        <w:rPr>
          <w:noProof/>
        </w:rPr>
      </w:pPr>
      <w:r w:rsidRPr="00FF009C">
        <w:rPr>
          <w:noProof/>
        </w:rPr>
        <w:t>(15)</w:t>
      </w:r>
      <w:r w:rsidRPr="00FF009C">
        <w:rPr>
          <w:noProof/>
        </w:rPr>
        <w:tab/>
        <w:t>Aby zapobiegać transgranicznej poważnej przestępczości zorganizowanej</w:t>
      </w:r>
      <w:r w:rsidR="00FF009C" w:rsidRPr="00FF009C">
        <w:rPr>
          <w:noProof/>
        </w:rPr>
        <w:t xml:space="preserve"> i</w:t>
      </w:r>
      <w:r w:rsidR="00FF009C">
        <w:rPr>
          <w:noProof/>
        </w:rPr>
        <w:t> </w:t>
      </w:r>
      <w:r w:rsidR="00FF009C" w:rsidRPr="00FF009C">
        <w:rPr>
          <w:noProof/>
        </w:rPr>
        <w:t>ter</w:t>
      </w:r>
      <w:r w:rsidRPr="00FF009C">
        <w:rPr>
          <w:noProof/>
        </w:rPr>
        <w:t>roryzmowi, wykrywać takie przestępstwa</w:t>
      </w:r>
      <w:r w:rsidR="00FF009C" w:rsidRPr="00FF009C">
        <w:rPr>
          <w:noProof/>
        </w:rPr>
        <w:t xml:space="preserve"> i</w:t>
      </w:r>
      <w:r w:rsidR="00FF009C">
        <w:rPr>
          <w:noProof/>
        </w:rPr>
        <w:t> </w:t>
      </w:r>
      <w:r w:rsidR="00FF009C" w:rsidRPr="00FF009C">
        <w:rPr>
          <w:noProof/>
        </w:rPr>
        <w:t>pro</w:t>
      </w:r>
      <w:r w:rsidRPr="00FF009C">
        <w:rPr>
          <w:noProof/>
        </w:rPr>
        <w:t>wadzić</w:t>
      </w:r>
      <w:r w:rsidR="00FF009C" w:rsidRPr="00FF009C">
        <w:rPr>
          <w:noProof/>
        </w:rPr>
        <w:t xml:space="preserve"> w</w:t>
      </w:r>
      <w:r w:rsidR="00FF009C">
        <w:rPr>
          <w:noProof/>
        </w:rPr>
        <w:t> </w:t>
      </w:r>
      <w:r w:rsidR="00FF009C" w:rsidRPr="00FF009C">
        <w:rPr>
          <w:noProof/>
        </w:rPr>
        <w:t>ich</w:t>
      </w:r>
      <w:r w:rsidRPr="00FF009C">
        <w:rPr>
          <w:noProof/>
        </w:rPr>
        <w:t xml:space="preserve"> sprawie postępowania przygotowawcze, konieczna jest koordynacja</w:t>
      </w:r>
      <w:r w:rsidR="00FF009C" w:rsidRPr="00FF009C">
        <w:rPr>
          <w:noProof/>
        </w:rPr>
        <w:t xml:space="preserve"> i</w:t>
      </w:r>
      <w:r w:rsidR="00FF009C">
        <w:rPr>
          <w:noProof/>
        </w:rPr>
        <w:t> </w:t>
      </w:r>
      <w:r w:rsidR="00FF009C" w:rsidRPr="00FF009C">
        <w:rPr>
          <w:noProof/>
        </w:rPr>
        <w:t>wsp</w:t>
      </w:r>
      <w:r w:rsidRPr="00FF009C">
        <w:rPr>
          <w:noProof/>
        </w:rPr>
        <w:t>ólne działania. Oprócz możliwości powołania przez państwo członkowskie</w:t>
      </w:r>
      <w:r w:rsidRPr="00FF009C">
        <w:rPr>
          <w:rFonts w:ascii="Segoe UI" w:hAnsi="Segoe UI"/>
          <w:noProof/>
          <w:sz w:val="18"/>
        </w:rPr>
        <w:t xml:space="preserve"> </w:t>
      </w:r>
      <w:r w:rsidRPr="00FF009C">
        <w:rPr>
          <w:noProof/>
        </w:rPr>
        <w:t>wspólnego zespołu dochodzeniowo-śledczego zgodnie</w:t>
      </w:r>
      <w:r w:rsidR="00FF009C" w:rsidRPr="00FF009C">
        <w:rPr>
          <w:noProof/>
        </w:rPr>
        <w:t xml:space="preserve"> z</w:t>
      </w:r>
      <w:r w:rsidR="00FF009C">
        <w:rPr>
          <w:noProof/>
        </w:rPr>
        <w:t> </w:t>
      </w:r>
      <w:r w:rsidR="00FF009C" w:rsidRPr="00FF009C">
        <w:rPr>
          <w:noProof/>
        </w:rPr>
        <w:t>dec</w:t>
      </w:r>
      <w:r w:rsidRPr="00FF009C">
        <w:rPr>
          <w:noProof/>
        </w:rPr>
        <w:t>yzją ramową Rady</w:t>
      </w:r>
      <w:r w:rsidR="00FF009C" w:rsidRPr="00FF009C">
        <w:rPr>
          <w:noProof/>
        </w:rPr>
        <w:t xml:space="preserve"> z</w:t>
      </w:r>
      <w:r w:rsidR="00FF009C">
        <w:rPr>
          <w:noProof/>
        </w:rPr>
        <w:t> </w:t>
      </w:r>
      <w:r w:rsidR="00FF009C" w:rsidRPr="00FF009C">
        <w:rPr>
          <w:noProof/>
        </w:rPr>
        <w:t>dni</w:t>
      </w:r>
      <w:r w:rsidRPr="00FF009C">
        <w:rPr>
          <w:noProof/>
        </w:rPr>
        <w:t>a 13 czerwca 2002</w:t>
      </w:r>
      <w:r w:rsidR="00FF009C" w:rsidRPr="00FF009C">
        <w:rPr>
          <w:noProof/>
        </w:rPr>
        <w:t> </w:t>
      </w:r>
      <w:r w:rsidRPr="00FF009C">
        <w:rPr>
          <w:noProof/>
        </w:rPr>
        <w:t>r. należy zapewnić możliwość powołania przez państwa członkowskie operacyjnej grupy zadaniowej</w:t>
      </w:r>
      <w:r w:rsidR="00FF009C" w:rsidRPr="00FF009C">
        <w:rPr>
          <w:noProof/>
        </w:rPr>
        <w:t xml:space="preserve"> w</w:t>
      </w:r>
      <w:r w:rsidR="00FF009C">
        <w:rPr>
          <w:noProof/>
        </w:rPr>
        <w:t> </w:t>
      </w:r>
      <w:r w:rsidR="00FF009C" w:rsidRPr="00FF009C">
        <w:rPr>
          <w:noProof/>
        </w:rPr>
        <w:t>cel</w:t>
      </w:r>
      <w:r w:rsidRPr="00FF009C">
        <w:rPr>
          <w:noProof/>
        </w:rPr>
        <w:t>u zwiększenia współpracy organów ścigania przy wsparciu ze strony Europolu. Dzięki temu mechanizmowi koordynacji między organami policyjnymi państw członkowskich</w:t>
      </w:r>
      <w:r w:rsidR="00FF009C" w:rsidRPr="00FF009C">
        <w:rPr>
          <w:noProof/>
        </w:rPr>
        <w:t xml:space="preserve"> a</w:t>
      </w:r>
      <w:r w:rsidR="00FF009C">
        <w:rPr>
          <w:noProof/>
        </w:rPr>
        <w:t> </w:t>
      </w:r>
      <w:r w:rsidR="00FF009C" w:rsidRPr="00FF009C">
        <w:rPr>
          <w:noProof/>
        </w:rPr>
        <w:t>inn</w:t>
      </w:r>
      <w:r w:rsidRPr="00FF009C">
        <w:rPr>
          <w:noProof/>
        </w:rPr>
        <w:t>ymi organami ścigania powinny one być</w:t>
      </w:r>
      <w:r w:rsidR="00FF009C" w:rsidRPr="00FF009C">
        <w:rPr>
          <w:noProof/>
        </w:rPr>
        <w:t xml:space="preserve"> w</w:t>
      </w:r>
      <w:r w:rsidR="00FF009C">
        <w:rPr>
          <w:noProof/>
        </w:rPr>
        <w:t> </w:t>
      </w:r>
      <w:r w:rsidR="00FF009C" w:rsidRPr="00FF009C">
        <w:rPr>
          <w:noProof/>
        </w:rPr>
        <w:t>sta</w:t>
      </w:r>
      <w:r w:rsidRPr="00FF009C">
        <w:rPr>
          <w:noProof/>
        </w:rPr>
        <w:t>nie – przy wsparciu ze strony Europolu – prowadzić wspólne, skoordynowane</w:t>
      </w:r>
      <w:r w:rsidR="00FF009C" w:rsidRPr="00FF009C">
        <w:rPr>
          <w:noProof/>
        </w:rPr>
        <w:t xml:space="preserve"> i</w:t>
      </w:r>
      <w:r w:rsidR="00FF009C">
        <w:rPr>
          <w:noProof/>
        </w:rPr>
        <w:t> </w:t>
      </w:r>
      <w:r w:rsidR="00FF009C" w:rsidRPr="00FF009C">
        <w:rPr>
          <w:noProof/>
        </w:rPr>
        <w:t>uki</w:t>
      </w:r>
      <w:r w:rsidRPr="00FF009C">
        <w:rPr>
          <w:noProof/>
        </w:rPr>
        <w:t>erunkowane działania</w:t>
      </w:r>
      <w:r w:rsidR="00FF009C" w:rsidRPr="00FF009C">
        <w:rPr>
          <w:noProof/>
        </w:rPr>
        <w:t xml:space="preserve"> w</w:t>
      </w:r>
      <w:r w:rsidR="00FF009C">
        <w:rPr>
          <w:noProof/>
        </w:rPr>
        <w:t> </w:t>
      </w:r>
      <w:r w:rsidR="00FF009C" w:rsidRPr="00FF009C">
        <w:rPr>
          <w:noProof/>
        </w:rPr>
        <w:t>zak</w:t>
      </w:r>
      <w:r w:rsidRPr="00FF009C">
        <w:rPr>
          <w:noProof/>
        </w:rPr>
        <w:t>resie wywiadu kryminalnego</w:t>
      </w:r>
      <w:r w:rsidR="00FF009C" w:rsidRPr="00FF009C">
        <w:rPr>
          <w:noProof/>
        </w:rPr>
        <w:t xml:space="preserve"> i</w:t>
      </w:r>
      <w:r w:rsidR="00FF009C">
        <w:rPr>
          <w:noProof/>
        </w:rPr>
        <w:t> </w:t>
      </w:r>
      <w:r w:rsidR="00FF009C" w:rsidRPr="00FF009C">
        <w:rPr>
          <w:noProof/>
        </w:rPr>
        <w:t>pos</w:t>
      </w:r>
      <w:r w:rsidRPr="00FF009C">
        <w:rPr>
          <w:noProof/>
        </w:rPr>
        <w:t>tępowania przygotowawcze</w:t>
      </w:r>
      <w:r w:rsidR="00FF009C" w:rsidRPr="00FF009C">
        <w:rPr>
          <w:noProof/>
        </w:rPr>
        <w:t xml:space="preserve"> w</w:t>
      </w:r>
      <w:r w:rsidR="00FF009C">
        <w:rPr>
          <w:noProof/>
        </w:rPr>
        <w:t> </w:t>
      </w:r>
      <w:r w:rsidR="00FF009C" w:rsidRPr="00FF009C">
        <w:rPr>
          <w:noProof/>
        </w:rPr>
        <w:t>szc</w:t>
      </w:r>
      <w:r w:rsidRPr="00FF009C">
        <w:rPr>
          <w:noProof/>
        </w:rPr>
        <w:t>zególności dotyczące siatek</w:t>
      </w:r>
      <w:r w:rsidR="00FF009C" w:rsidRPr="00FF009C">
        <w:rPr>
          <w:noProof/>
        </w:rPr>
        <w:t xml:space="preserve"> i</w:t>
      </w:r>
      <w:r w:rsidR="00FF009C">
        <w:rPr>
          <w:noProof/>
        </w:rPr>
        <w:t> </w:t>
      </w:r>
      <w:r w:rsidR="00FF009C" w:rsidRPr="00FF009C">
        <w:rPr>
          <w:noProof/>
        </w:rPr>
        <w:t>gru</w:t>
      </w:r>
      <w:r w:rsidRPr="00FF009C">
        <w:rPr>
          <w:noProof/>
        </w:rPr>
        <w:t>p przestępczych oraz pojedynczych podmiotów przestępczych,</w:t>
      </w:r>
      <w:r w:rsidR="00FF009C" w:rsidRPr="00FF009C">
        <w:rPr>
          <w:noProof/>
        </w:rPr>
        <w:t xml:space="preserve"> w</w:t>
      </w:r>
      <w:r w:rsidR="00FF009C">
        <w:rPr>
          <w:noProof/>
        </w:rPr>
        <w:t> </w:t>
      </w:r>
      <w:r w:rsidR="00FF009C" w:rsidRPr="00FF009C">
        <w:rPr>
          <w:noProof/>
        </w:rPr>
        <w:t>tym</w:t>
      </w:r>
      <w:r w:rsidRPr="00FF009C">
        <w:rPr>
          <w:noProof/>
        </w:rPr>
        <w:t xml:space="preserve"> osób stanowiących duże zagrożenie dla bezpieczeństwa</w:t>
      </w:r>
      <w:r w:rsidR="00FF009C" w:rsidRPr="00FF009C">
        <w:rPr>
          <w:noProof/>
        </w:rPr>
        <w:t xml:space="preserve"> i</w:t>
      </w:r>
      <w:r w:rsidR="00FF009C">
        <w:rPr>
          <w:noProof/>
        </w:rPr>
        <w:t> </w:t>
      </w:r>
      <w:r w:rsidR="00FF009C" w:rsidRPr="00FF009C">
        <w:rPr>
          <w:noProof/>
        </w:rPr>
        <w:t>pro</w:t>
      </w:r>
      <w:r w:rsidRPr="00FF009C">
        <w:rPr>
          <w:noProof/>
        </w:rPr>
        <w:t>wadzących działalność przestępczą zaliczaną do form przestępczości,</w:t>
      </w:r>
      <w:r w:rsidR="00FF009C" w:rsidRPr="00FF009C">
        <w:rPr>
          <w:noProof/>
        </w:rPr>
        <w:t xml:space="preserve"> w</w:t>
      </w:r>
      <w:r w:rsidR="00FF009C">
        <w:rPr>
          <w:noProof/>
        </w:rPr>
        <w:t> </w:t>
      </w:r>
      <w:r w:rsidR="00FF009C" w:rsidRPr="00FF009C">
        <w:rPr>
          <w:noProof/>
        </w:rPr>
        <w:t>odn</w:t>
      </w:r>
      <w:r w:rsidRPr="00FF009C">
        <w:rPr>
          <w:noProof/>
        </w:rPr>
        <w:t>iesieniu do których Europol jest właściwy. Aby zapewnić prawidłowe funkcjonowanie</w:t>
      </w:r>
      <w:r w:rsidR="00FF009C" w:rsidRPr="00FF009C">
        <w:rPr>
          <w:noProof/>
        </w:rPr>
        <w:t xml:space="preserve"> i</w:t>
      </w:r>
      <w:r w:rsidR="00FF009C">
        <w:rPr>
          <w:noProof/>
        </w:rPr>
        <w:t> </w:t>
      </w:r>
      <w:r w:rsidR="00FF009C" w:rsidRPr="00FF009C">
        <w:rPr>
          <w:noProof/>
        </w:rPr>
        <w:t>sku</w:t>
      </w:r>
      <w:r w:rsidRPr="00FF009C">
        <w:rPr>
          <w:noProof/>
        </w:rPr>
        <w:t>teczność tego mechanizmu, państwa członkowskie, które tworzą operacyjną grupę zadaniową, uczestniczą</w:t>
      </w:r>
      <w:r w:rsidR="00FF009C" w:rsidRPr="00FF009C">
        <w:rPr>
          <w:noProof/>
        </w:rPr>
        <w:t xml:space="preserve"> w</w:t>
      </w:r>
      <w:r w:rsidR="00FF009C">
        <w:rPr>
          <w:noProof/>
        </w:rPr>
        <w:t> </w:t>
      </w:r>
      <w:r w:rsidR="00FF009C" w:rsidRPr="00FF009C">
        <w:rPr>
          <w:noProof/>
        </w:rPr>
        <w:t>nie</w:t>
      </w:r>
      <w:r w:rsidRPr="00FF009C">
        <w:rPr>
          <w:noProof/>
        </w:rPr>
        <w:t>j lub ją wspierają, powinny być</w:t>
      </w:r>
      <w:r w:rsidR="00FF009C" w:rsidRPr="00FF009C">
        <w:rPr>
          <w:noProof/>
        </w:rPr>
        <w:t xml:space="preserve"> w</w:t>
      </w:r>
      <w:r w:rsidR="00FF009C">
        <w:rPr>
          <w:noProof/>
        </w:rPr>
        <w:t> </w:t>
      </w:r>
      <w:r w:rsidR="00FF009C" w:rsidRPr="00FF009C">
        <w:rPr>
          <w:noProof/>
        </w:rPr>
        <w:t>sta</w:t>
      </w:r>
      <w:r w:rsidRPr="00FF009C">
        <w:rPr>
          <w:noProof/>
        </w:rPr>
        <w:t>nie zapewnić minimalny zestaw wymogów dotyczących ich aktywnego</w:t>
      </w:r>
      <w:r w:rsidR="00FF009C" w:rsidRPr="00FF009C">
        <w:rPr>
          <w:noProof/>
        </w:rPr>
        <w:t xml:space="preserve"> i</w:t>
      </w:r>
      <w:r w:rsidR="00FF009C">
        <w:rPr>
          <w:noProof/>
        </w:rPr>
        <w:t> </w:t>
      </w:r>
      <w:r w:rsidR="00FF009C" w:rsidRPr="00FF009C">
        <w:rPr>
          <w:noProof/>
        </w:rPr>
        <w:t>ter</w:t>
      </w:r>
      <w:r w:rsidRPr="00FF009C">
        <w:rPr>
          <w:noProof/>
        </w:rPr>
        <w:t>minowego zaangażowania, takich jak wymóg przekazywania Europolowi wszystkich istotnych informacji,</w:t>
      </w:r>
      <w:r w:rsidR="00FF009C" w:rsidRPr="00FF009C">
        <w:rPr>
          <w:noProof/>
        </w:rPr>
        <w:t xml:space="preserve"> a</w:t>
      </w:r>
      <w:r w:rsidR="00FF009C">
        <w:rPr>
          <w:noProof/>
        </w:rPr>
        <w:t> </w:t>
      </w:r>
      <w:r w:rsidR="00FF009C" w:rsidRPr="00FF009C">
        <w:rPr>
          <w:noProof/>
        </w:rPr>
        <w:t>Eur</w:t>
      </w:r>
      <w:r w:rsidRPr="00FF009C">
        <w:rPr>
          <w:noProof/>
        </w:rPr>
        <w:t>opol powinien móc udzielać tym państwom członkowskim swojego zaawansowanego wsparcia analitycznego, operacyjnego, technicznego, kryminalistycznego</w:t>
      </w:r>
      <w:r w:rsidR="00FF009C" w:rsidRPr="00FF009C">
        <w:rPr>
          <w:noProof/>
        </w:rPr>
        <w:t xml:space="preserve"> i</w:t>
      </w:r>
      <w:r w:rsidR="00FF009C">
        <w:rPr>
          <w:noProof/>
        </w:rPr>
        <w:t> </w:t>
      </w:r>
      <w:r w:rsidR="00FF009C" w:rsidRPr="00FF009C">
        <w:rPr>
          <w:noProof/>
        </w:rPr>
        <w:t>fin</w:t>
      </w:r>
      <w:r w:rsidRPr="00FF009C">
        <w:rPr>
          <w:noProof/>
        </w:rPr>
        <w:t>ansowego. Państwa trzecie powinny mieć możliwość uczestniczenia</w:t>
      </w:r>
      <w:r w:rsidR="00FF009C" w:rsidRPr="00FF009C">
        <w:rPr>
          <w:noProof/>
        </w:rPr>
        <w:t xml:space="preserve"> w</w:t>
      </w:r>
      <w:r w:rsidR="00FF009C">
        <w:rPr>
          <w:noProof/>
        </w:rPr>
        <w:t> </w:t>
      </w:r>
      <w:r w:rsidR="00FF009C" w:rsidRPr="00FF009C">
        <w:rPr>
          <w:noProof/>
        </w:rPr>
        <w:t>ope</w:t>
      </w:r>
      <w:r w:rsidRPr="00FF009C">
        <w:rPr>
          <w:noProof/>
        </w:rPr>
        <w:t xml:space="preserve">racyjnej grupie zadaniowej lub jej wspierania. </w:t>
      </w:r>
    </w:p>
    <w:p w14:paraId="317F06D3" w14:textId="450C744D" w:rsidR="00FF716F" w:rsidRPr="00FF009C" w:rsidRDefault="0028650E" w:rsidP="0028650E">
      <w:pPr>
        <w:pStyle w:val="ManualConsidrant"/>
        <w:rPr>
          <w:noProof/>
        </w:rPr>
      </w:pPr>
      <w:r w:rsidRPr="00FF009C">
        <w:rPr>
          <w:noProof/>
        </w:rPr>
        <w:t>(16)</w:t>
      </w:r>
      <w:r w:rsidRPr="00FF009C">
        <w:rPr>
          <w:noProof/>
        </w:rPr>
        <w:tab/>
        <w:t>W przypadku gdy działania</w:t>
      </w:r>
      <w:r w:rsidR="00FF009C" w:rsidRPr="00FF009C">
        <w:rPr>
          <w:noProof/>
        </w:rPr>
        <w:t xml:space="preserve"> w</w:t>
      </w:r>
      <w:r w:rsidR="00FF009C">
        <w:rPr>
          <w:noProof/>
        </w:rPr>
        <w:t> </w:t>
      </w:r>
      <w:r w:rsidR="00FF009C" w:rsidRPr="00FF009C">
        <w:rPr>
          <w:noProof/>
        </w:rPr>
        <w:t>zak</w:t>
      </w:r>
      <w:r w:rsidRPr="00FF009C">
        <w:rPr>
          <w:noProof/>
        </w:rPr>
        <w:t>resie wywiadu kryminalnego prowadzone przez operacyjną grupę zadaniową skutkują wszczęciem postępowań przygotowawczych w co najmniej jednym państwie członkowskim, które może skorzystać</w:t>
      </w:r>
      <w:r w:rsidR="00FF009C" w:rsidRPr="00FF009C">
        <w:rPr>
          <w:noProof/>
        </w:rPr>
        <w:t xml:space="preserve"> z</w:t>
      </w:r>
      <w:r w:rsidR="00FF009C">
        <w:rPr>
          <w:noProof/>
        </w:rPr>
        <w:t> </w:t>
      </w:r>
      <w:r w:rsidR="00FF009C" w:rsidRPr="00FF009C">
        <w:rPr>
          <w:noProof/>
        </w:rPr>
        <w:t>utw</w:t>
      </w:r>
      <w:r w:rsidRPr="00FF009C">
        <w:rPr>
          <w:noProof/>
        </w:rPr>
        <w:t>orzenia wspólnego zespołu dochodzeniowo-śledczego, lub jeżeli utworzenie wspólnego zespołu dochodzeniowo-śledczego może być korzystne</w:t>
      </w:r>
      <w:r w:rsidR="00FF009C" w:rsidRPr="00FF009C">
        <w:rPr>
          <w:noProof/>
        </w:rPr>
        <w:t xml:space="preserve"> w</w:t>
      </w:r>
      <w:r w:rsidR="00FF009C">
        <w:rPr>
          <w:noProof/>
        </w:rPr>
        <w:t> </w:t>
      </w:r>
      <w:r w:rsidR="00FF009C" w:rsidRPr="00FF009C">
        <w:rPr>
          <w:noProof/>
        </w:rPr>
        <w:t>kon</w:t>
      </w:r>
      <w:r w:rsidRPr="00FF009C">
        <w:rPr>
          <w:noProof/>
        </w:rPr>
        <w:t>tekście postępowań przygotowawczych wspieranych przez operacyjną grupę zadaniową, Europol powinien zaproponować zainteresowanym państwom członkowskim utworzenie wspólnego zespołu dochodzeniowo-śledczego</w:t>
      </w:r>
      <w:r w:rsidR="00FF009C" w:rsidRPr="00FF009C">
        <w:rPr>
          <w:noProof/>
        </w:rPr>
        <w:t xml:space="preserve"> i</w:t>
      </w:r>
      <w:r w:rsidR="00FF009C">
        <w:rPr>
          <w:noProof/>
        </w:rPr>
        <w:t> </w:t>
      </w:r>
      <w:r w:rsidR="00FF009C" w:rsidRPr="00FF009C">
        <w:rPr>
          <w:noProof/>
        </w:rPr>
        <w:t>pod</w:t>
      </w:r>
      <w:r w:rsidRPr="00FF009C">
        <w:rPr>
          <w:noProof/>
        </w:rPr>
        <w:t>jąć środki</w:t>
      </w:r>
      <w:r w:rsidR="00FF009C" w:rsidRPr="00FF009C">
        <w:rPr>
          <w:noProof/>
        </w:rPr>
        <w:t xml:space="preserve"> w</w:t>
      </w:r>
      <w:r w:rsidR="00FF009C">
        <w:rPr>
          <w:noProof/>
        </w:rPr>
        <w:t> </w:t>
      </w:r>
      <w:r w:rsidR="00FF009C" w:rsidRPr="00FF009C">
        <w:rPr>
          <w:noProof/>
        </w:rPr>
        <w:t>cel</w:t>
      </w:r>
      <w:r w:rsidRPr="00FF009C">
        <w:rPr>
          <w:noProof/>
        </w:rPr>
        <w:t>u udzielenia im pomocy zgodnie</w:t>
      </w:r>
      <w:r w:rsidR="00FF009C" w:rsidRPr="00FF009C">
        <w:rPr>
          <w:noProof/>
        </w:rPr>
        <w:t xml:space="preserve"> z</w:t>
      </w:r>
      <w:r w:rsidR="00FF009C">
        <w:rPr>
          <w:noProof/>
        </w:rPr>
        <w:t> </w:t>
      </w:r>
      <w:r w:rsidR="00FF009C" w:rsidRPr="00FF009C">
        <w:rPr>
          <w:noProof/>
        </w:rPr>
        <w:t>art</w:t>
      </w:r>
      <w:r w:rsidRPr="00FF009C">
        <w:rPr>
          <w:noProof/>
        </w:rPr>
        <w:t>.</w:t>
      </w:r>
      <w:r w:rsidR="00FF009C" w:rsidRPr="00FF009C">
        <w:rPr>
          <w:noProof/>
        </w:rPr>
        <w:t> </w:t>
      </w:r>
      <w:r w:rsidRPr="00FF009C">
        <w:rPr>
          <w:noProof/>
        </w:rPr>
        <w:t>5 rozporządzenia (UE) 2016/794</w:t>
      </w:r>
      <w:r w:rsidR="00FF009C" w:rsidRPr="00FF009C">
        <w:rPr>
          <w:noProof/>
        </w:rPr>
        <w:t>. W</w:t>
      </w:r>
      <w:r w:rsidR="00FF009C">
        <w:rPr>
          <w:noProof/>
        </w:rPr>
        <w:t> </w:t>
      </w:r>
      <w:r w:rsidR="00FF009C" w:rsidRPr="00FF009C">
        <w:rPr>
          <w:noProof/>
        </w:rPr>
        <w:t>tak</w:t>
      </w:r>
      <w:r w:rsidRPr="00FF009C">
        <w:rPr>
          <w:noProof/>
        </w:rPr>
        <w:t>ich przypadkach Europol powinien</w:t>
      </w:r>
      <w:r w:rsidR="00FF009C" w:rsidRPr="00FF009C">
        <w:rPr>
          <w:noProof/>
        </w:rPr>
        <w:t xml:space="preserve"> w</w:t>
      </w:r>
      <w:r w:rsidR="00FF009C">
        <w:rPr>
          <w:noProof/>
        </w:rPr>
        <w:t> </w:t>
      </w:r>
      <w:r w:rsidR="00FF009C" w:rsidRPr="00FF009C">
        <w:rPr>
          <w:noProof/>
        </w:rPr>
        <w:t>sto</w:t>
      </w:r>
      <w:r w:rsidRPr="00FF009C">
        <w:rPr>
          <w:noProof/>
        </w:rPr>
        <w:t>sownych przypadkach ściśle współpracować</w:t>
      </w:r>
      <w:r w:rsidR="00FF009C" w:rsidRPr="00FF009C">
        <w:rPr>
          <w:noProof/>
        </w:rPr>
        <w:t xml:space="preserve"> z</w:t>
      </w:r>
      <w:r w:rsidR="00FF009C">
        <w:rPr>
          <w:noProof/>
        </w:rPr>
        <w:t> </w:t>
      </w:r>
      <w:r w:rsidR="00FF009C" w:rsidRPr="00FF009C">
        <w:rPr>
          <w:noProof/>
        </w:rPr>
        <w:t>Eur</w:t>
      </w:r>
      <w:r w:rsidRPr="00FF009C">
        <w:rPr>
          <w:noProof/>
        </w:rPr>
        <w:t>ojustem.</w:t>
      </w:r>
    </w:p>
    <w:p w14:paraId="639430A3" w14:textId="2F650867" w:rsidR="00761FD7" w:rsidRPr="00FF009C" w:rsidRDefault="00FF716F" w:rsidP="0028650E">
      <w:pPr>
        <w:pStyle w:val="ManualConsidrant"/>
        <w:rPr>
          <w:noProof/>
        </w:rPr>
      </w:pPr>
      <w:r w:rsidRPr="00FF009C">
        <w:rPr>
          <w:noProof/>
        </w:rPr>
        <w:t>(17)</w:t>
      </w:r>
      <w:r w:rsidRPr="00FF009C">
        <w:rPr>
          <w:noProof/>
        </w:rPr>
        <w:tab/>
        <w:t>Europol powinien być</w:t>
      </w:r>
      <w:r w:rsidR="00FF009C" w:rsidRPr="00FF009C">
        <w:rPr>
          <w:noProof/>
        </w:rPr>
        <w:t xml:space="preserve"> w</w:t>
      </w:r>
      <w:r w:rsidR="00FF009C">
        <w:rPr>
          <w:noProof/>
        </w:rPr>
        <w:t> </w:t>
      </w:r>
      <w:r w:rsidR="00FF009C" w:rsidRPr="00FF009C">
        <w:rPr>
          <w:noProof/>
        </w:rPr>
        <w:t>sta</w:t>
      </w:r>
      <w:r w:rsidRPr="00FF009C">
        <w:rPr>
          <w:noProof/>
        </w:rPr>
        <w:t>nie rozmieszczać pracowników</w:t>
      </w:r>
      <w:r w:rsidR="00FF009C" w:rsidRPr="00FF009C">
        <w:rPr>
          <w:noProof/>
        </w:rPr>
        <w:t xml:space="preserve"> w</w:t>
      </w:r>
      <w:r w:rsidR="00FF009C">
        <w:rPr>
          <w:noProof/>
        </w:rPr>
        <w:t> </w:t>
      </w:r>
      <w:r w:rsidR="00FF009C" w:rsidRPr="00FF009C">
        <w:rPr>
          <w:noProof/>
        </w:rPr>
        <w:t>tym</w:t>
      </w:r>
      <w:r w:rsidRPr="00FF009C">
        <w:rPr>
          <w:noProof/>
        </w:rPr>
        <w:t xml:space="preserve"> oddelegowanych ekspertów krajowych zgodnie</w:t>
      </w:r>
      <w:r w:rsidR="00FF009C" w:rsidRPr="00FF009C">
        <w:rPr>
          <w:noProof/>
        </w:rPr>
        <w:t xml:space="preserve"> z</w:t>
      </w:r>
      <w:r w:rsidR="00FF009C">
        <w:rPr>
          <w:noProof/>
        </w:rPr>
        <w:t> </w:t>
      </w:r>
      <w:r w:rsidR="00FF009C" w:rsidRPr="00FF009C">
        <w:rPr>
          <w:noProof/>
        </w:rPr>
        <w:t>roz</w:t>
      </w:r>
      <w:r w:rsidRPr="00FF009C">
        <w:rPr>
          <w:noProof/>
        </w:rPr>
        <w:t>porządzeniem (UE) 2016/794 na terytorium państwa członkowskiego na wniosek tego państwa członkowskiego</w:t>
      </w:r>
      <w:r w:rsidR="00FF009C" w:rsidRPr="00FF009C">
        <w:rPr>
          <w:noProof/>
        </w:rPr>
        <w:t xml:space="preserve"> w</w:t>
      </w:r>
      <w:r w:rsidR="00FF009C">
        <w:rPr>
          <w:noProof/>
        </w:rPr>
        <w:t> </w:t>
      </w:r>
      <w:r w:rsidR="00FF009C" w:rsidRPr="00FF009C">
        <w:rPr>
          <w:noProof/>
        </w:rPr>
        <w:t>cel</w:t>
      </w:r>
      <w:r w:rsidRPr="00FF009C">
        <w:rPr>
          <w:noProof/>
        </w:rPr>
        <w:t>u udzielania wsparcia analitycznego, operacyjnego, technicznego</w:t>
      </w:r>
      <w:r w:rsidR="00FF009C" w:rsidRPr="00FF009C">
        <w:rPr>
          <w:noProof/>
        </w:rPr>
        <w:t xml:space="preserve"> i</w:t>
      </w:r>
      <w:r w:rsidR="00FF009C">
        <w:rPr>
          <w:noProof/>
        </w:rPr>
        <w:t> </w:t>
      </w:r>
      <w:r w:rsidR="00FF009C" w:rsidRPr="00FF009C">
        <w:rPr>
          <w:noProof/>
        </w:rPr>
        <w:t>kry</w:t>
      </w:r>
      <w:r w:rsidRPr="00FF009C">
        <w:rPr>
          <w:noProof/>
        </w:rPr>
        <w:t>minalistycznego</w:t>
      </w:r>
      <w:r w:rsidR="00FF009C" w:rsidRPr="00FF009C">
        <w:rPr>
          <w:noProof/>
        </w:rPr>
        <w:t xml:space="preserve"> w</w:t>
      </w:r>
      <w:r w:rsidR="00FF009C">
        <w:rPr>
          <w:noProof/>
        </w:rPr>
        <w:t> </w:t>
      </w:r>
      <w:r w:rsidR="00FF009C" w:rsidRPr="00FF009C">
        <w:rPr>
          <w:noProof/>
        </w:rPr>
        <w:t>por</w:t>
      </w:r>
      <w:r w:rsidRPr="00FF009C">
        <w:rPr>
          <w:noProof/>
        </w:rPr>
        <w:t>ozumieniu</w:t>
      </w:r>
      <w:r w:rsidR="00FF009C" w:rsidRPr="00FF009C">
        <w:rPr>
          <w:noProof/>
        </w:rPr>
        <w:t xml:space="preserve"> z</w:t>
      </w:r>
      <w:r w:rsidR="00FF009C">
        <w:rPr>
          <w:noProof/>
        </w:rPr>
        <w:t> </w:t>
      </w:r>
      <w:r w:rsidR="00FF009C" w:rsidRPr="00FF009C">
        <w:rPr>
          <w:noProof/>
        </w:rPr>
        <w:t>wła</w:t>
      </w:r>
      <w:r w:rsidRPr="00FF009C">
        <w:rPr>
          <w:noProof/>
        </w:rPr>
        <w:t>ściwymi organami tego państwa członkowskiego i za ich zgodą. Takie rozmieszczanie powinno odbywać się</w:t>
      </w:r>
      <w:r w:rsidR="00FF009C" w:rsidRPr="00FF009C">
        <w:rPr>
          <w:noProof/>
        </w:rPr>
        <w:t xml:space="preserve"> w</w:t>
      </w:r>
      <w:r w:rsidR="00FF009C">
        <w:rPr>
          <w:noProof/>
        </w:rPr>
        <w:t> </w:t>
      </w:r>
      <w:r w:rsidR="00FF009C" w:rsidRPr="00FF009C">
        <w:rPr>
          <w:noProof/>
        </w:rPr>
        <w:t>szc</w:t>
      </w:r>
      <w:r w:rsidRPr="00FF009C">
        <w:rPr>
          <w:noProof/>
        </w:rPr>
        <w:t>zególności</w:t>
      </w:r>
      <w:r w:rsidR="00FF009C" w:rsidRPr="00FF009C">
        <w:rPr>
          <w:noProof/>
        </w:rPr>
        <w:t xml:space="preserve"> w</w:t>
      </w:r>
      <w:r w:rsidR="00FF009C">
        <w:rPr>
          <w:noProof/>
        </w:rPr>
        <w:t> </w:t>
      </w:r>
      <w:r w:rsidR="00FF009C" w:rsidRPr="00FF009C">
        <w:rPr>
          <w:noProof/>
        </w:rPr>
        <w:t>kon</w:t>
      </w:r>
      <w:r w:rsidRPr="00FF009C">
        <w:rPr>
          <w:noProof/>
        </w:rPr>
        <w:t>tekście złożonych, zakrojonych na szeroką skalę priorytetowych postępowań przygotowawczych,</w:t>
      </w:r>
      <w:r w:rsidR="00FF009C" w:rsidRPr="00FF009C">
        <w:rPr>
          <w:noProof/>
        </w:rPr>
        <w:t xml:space="preserve"> w</w:t>
      </w:r>
      <w:r w:rsidR="00FF009C">
        <w:rPr>
          <w:noProof/>
        </w:rPr>
        <w:t> </w:t>
      </w:r>
      <w:r w:rsidR="00FF009C" w:rsidRPr="00FF009C">
        <w:rPr>
          <w:noProof/>
        </w:rPr>
        <w:t>tym w</w:t>
      </w:r>
      <w:r w:rsidR="00FF009C">
        <w:rPr>
          <w:noProof/>
        </w:rPr>
        <w:t> </w:t>
      </w:r>
      <w:r w:rsidR="00FF009C" w:rsidRPr="00FF009C">
        <w:rPr>
          <w:noProof/>
        </w:rPr>
        <w:t>kon</w:t>
      </w:r>
      <w:r w:rsidRPr="00FF009C">
        <w:rPr>
          <w:noProof/>
        </w:rPr>
        <w:t>tekście wspólnych zespołów dochodzeniowo-śledczych,</w:t>
      </w:r>
      <w:r w:rsidR="00FF009C" w:rsidRPr="00FF009C">
        <w:rPr>
          <w:noProof/>
        </w:rPr>
        <w:t xml:space="preserve"> w</w:t>
      </w:r>
      <w:r w:rsidR="00FF009C">
        <w:rPr>
          <w:noProof/>
        </w:rPr>
        <w:t> </w:t>
      </w:r>
      <w:r w:rsidR="00FF009C" w:rsidRPr="00FF009C">
        <w:rPr>
          <w:noProof/>
        </w:rPr>
        <w:t>sto</w:t>
      </w:r>
      <w:r w:rsidRPr="00FF009C">
        <w:rPr>
          <w:noProof/>
        </w:rPr>
        <w:t>sownych przypadkach</w:t>
      </w:r>
      <w:r w:rsidR="00FF009C" w:rsidRPr="00FF009C">
        <w:rPr>
          <w:noProof/>
        </w:rPr>
        <w:t xml:space="preserve"> w</w:t>
      </w:r>
      <w:r w:rsidR="00FF009C">
        <w:rPr>
          <w:noProof/>
        </w:rPr>
        <w:t> </w:t>
      </w:r>
      <w:r w:rsidR="00FF009C" w:rsidRPr="00FF009C">
        <w:rPr>
          <w:noProof/>
        </w:rPr>
        <w:t>por</w:t>
      </w:r>
      <w:r w:rsidRPr="00FF009C">
        <w:rPr>
          <w:noProof/>
        </w:rPr>
        <w:t>ozumieniu</w:t>
      </w:r>
      <w:r w:rsidR="00FF009C" w:rsidRPr="00FF009C">
        <w:rPr>
          <w:noProof/>
        </w:rPr>
        <w:t xml:space="preserve"> z</w:t>
      </w:r>
      <w:r w:rsidR="00FF009C">
        <w:rPr>
          <w:noProof/>
        </w:rPr>
        <w:t> </w:t>
      </w:r>
      <w:r w:rsidR="00FF009C" w:rsidRPr="00FF009C">
        <w:rPr>
          <w:noProof/>
        </w:rPr>
        <w:t>Eur</w:t>
      </w:r>
      <w:r w:rsidRPr="00FF009C">
        <w:rPr>
          <w:noProof/>
        </w:rPr>
        <w:t>ojustem, lub operacyjnych grup zadaniowych</w:t>
      </w:r>
      <w:r w:rsidR="00FF009C" w:rsidRPr="00FF009C">
        <w:rPr>
          <w:noProof/>
        </w:rPr>
        <w:t>. W</w:t>
      </w:r>
      <w:r w:rsidR="00FF009C">
        <w:rPr>
          <w:noProof/>
        </w:rPr>
        <w:t> </w:t>
      </w:r>
      <w:r w:rsidR="00FF009C" w:rsidRPr="00FF009C">
        <w:rPr>
          <w:noProof/>
        </w:rPr>
        <w:t>ram</w:t>
      </w:r>
      <w:r w:rsidRPr="00FF009C">
        <w:rPr>
          <w:noProof/>
        </w:rPr>
        <w:t>ach tych rozmieszczeń należy również wspierać dalsze kontrole bezpieczeństwa</w:t>
      </w:r>
      <w:r w:rsidR="00FF009C" w:rsidRPr="00FF009C">
        <w:rPr>
          <w:noProof/>
        </w:rPr>
        <w:t xml:space="preserve"> z</w:t>
      </w:r>
      <w:r w:rsidR="00FF009C">
        <w:rPr>
          <w:noProof/>
        </w:rPr>
        <w:t> </w:t>
      </w:r>
      <w:r w:rsidR="00FF009C" w:rsidRPr="00FF009C">
        <w:rPr>
          <w:noProof/>
        </w:rPr>
        <w:t>wyk</w:t>
      </w:r>
      <w:r w:rsidRPr="00FF009C">
        <w:rPr>
          <w:noProof/>
        </w:rPr>
        <w:t>orzystaniem baz danych Europolu lub krajowych baz danych</w:t>
      </w:r>
      <w:r w:rsidR="00FF009C" w:rsidRPr="00FF009C">
        <w:rPr>
          <w:noProof/>
        </w:rPr>
        <w:t xml:space="preserve"> w</w:t>
      </w:r>
      <w:r w:rsidR="00FF009C">
        <w:rPr>
          <w:noProof/>
        </w:rPr>
        <w:t> </w:t>
      </w:r>
      <w:r w:rsidR="00FF009C" w:rsidRPr="00FF009C">
        <w:rPr>
          <w:noProof/>
        </w:rPr>
        <w:t>cel</w:t>
      </w:r>
      <w:r w:rsidRPr="00FF009C">
        <w:rPr>
          <w:noProof/>
        </w:rPr>
        <w:t>u ułatwienia szybkiej wymiany informacji</w:t>
      </w:r>
      <w:r w:rsidR="00FF009C" w:rsidRPr="00FF009C">
        <w:rPr>
          <w:noProof/>
        </w:rPr>
        <w:t xml:space="preserve"> z</w:t>
      </w:r>
      <w:r w:rsidR="00FF009C">
        <w:rPr>
          <w:noProof/>
        </w:rPr>
        <w:t> </w:t>
      </w:r>
      <w:r w:rsidR="00FF009C" w:rsidRPr="00FF009C">
        <w:rPr>
          <w:noProof/>
        </w:rPr>
        <w:t>myś</w:t>
      </w:r>
      <w:r w:rsidRPr="00FF009C">
        <w:rPr>
          <w:noProof/>
        </w:rPr>
        <w:t>lą</w:t>
      </w:r>
      <w:r w:rsidR="00FF009C" w:rsidRPr="00FF009C">
        <w:rPr>
          <w:noProof/>
        </w:rPr>
        <w:t xml:space="preserve"> o</w:t>
      </w:r>
      <w:r w:rsidR="00FF009C">
        <w:rPr>
          <w:noProof/>
        </w:rPr>
        <w:t> </w:t>
      </w:r>
      <w:r w:rsidR="00FF009C" w:rsidRPr="00FF009C">
        <w:rPr>
          <w:noProof/>
        </w:rPr>
        <w:t>wzm</w:t>
      </w:r>
      <w:r w:rsidRPr="00FF009C">
        <w:rPr>
          <w:noProof/>
        </w:rPr>
        <w:t>ocnieniu kontroli na granicach zewnętrznych Unii (dodatkowe kontrole bezpieczeństwa), lub zespoły wspierające zarządzanie migracjami zgodnie</w:t>
      </w:r>
      <w:r w:rsidR="00FF009C" w:rsidRPr="00FF009C">
        <w:rPr>
          <w:noProof/>
        </w:rPr>
        <w:t xml:space="preserve"> z</w:t>
      </w:r>
      <w:r w:rsidR="00FF009C">
        <w:rPr>
          <w:noProof/>
        </w:rPr>
        <w:t> </w:t>
      </w:r>
      <w:r w:rsidR="00FF009C" w:rsidRPr="00FF009C">
        <w:rPr>
          <w:noProof/>
        </w:rPr>
        <w:t>roz</w:t>
      </w:r>
      <w:r w:rsidRPr="00FF009C">
        <w:rPr>
          <w:noProof/>
        </w:rPr>
        <w:t>porządzeniem Parlamentu Europejskiego</w:t>
      </w:r>
      <w:r w:rsidR="00FF009C" w:rsidRPr="00FF009C">
        <w:rPr>
          <w:noProof/>
        </w:rPr>
        <w:t xml:space="preserve"> i</w:t>
      </w:r>
      <w:r w:rsidR="00FF009C">
        <w:rPr>
          <w:noProof/>
        </w:rPr>
        <w:t> </w:t>
      </w:r>
      <w:r w:rsidR="00FF009C" w:rsidRPr="00FF009C">
        <w:rPr>
          <w:noProof/>
        </w:rPr>
        <w:t>Rad</w:t>
      </w:r>
      <w:r w:rsidRPr="00FF009C">
        <w:rPr>
          <w:noProof/>
        </w:rPr>
        <w:t>y (UE) 2019/1896</w:t>
      </w:r>
      <w:r w:rsidR="0043039B" w:rsidRPr="00FF009C">
        <w:rPr>
          <w:rStyle w:val="FootnoteReference0"/>
          <w:noProof/>
        </w:rPr>
        <w:footnoteReference w:id="22"/>
      </w:r>
      <w:r w:rsidRPr="00FF009C">
        <w:rPr>
          <w:noProof/>
        </w:rPr>
        <w:t>. Europol powinien również korzystać</w:t>
      </w:r>
      <w:r w:rsidR="00FF009C" w:rsidRPr="00FF009C">
        <w:rPr>
          <w:noProof/>
        </w:rPr>
        <w:t xml:space="preserve"> z</w:t>
      </w:r>
      <w:r w:rsidR="00FF009C">
        <w:rPr>
          <w:noProof/>
        </w:rPr>
        <w:t> </w:t>
      </w:r>
      <w:r w:rsidR="00FF009C" w:rsidRPr="00FF009C">
        <w:rPr>
          <w:noProof/>
        </w:rPr>
        <w:t>tyc</w:t>
      </w:r>
      <w:r w:rsidRPr="00FF009C">
        <w:rPr>
          <w:noProof/>
        </w:rPr>
        <w:t>h rozmieszczeń, aby wspierać państwa członkowskie</w:t>
      </w:r>
      <w:r w:rsidR="00FF009C" w:rsidRPr="00FF009C">
        <w:rPr>
          <w:noProof/>
        </w:rPr>
        <w:t xml:space="preserve"> w</w:t>
      </w:r>
      <w:r w:rsidR="00FF009C">
        <w:rPr>
          <w:noProof/>
        </w:rPr>
        <w:t> </w:t>
      </w:r>
      <w:r w:rsidR="00FF009C" w:rsidRPr="00FF009C">
        <w:rPr>
          <w:noProof/>
        </w:rPr>
        <w:t>zwi</w:t>
      </w:r>
      <w:r w:rsidRPr="00FF009C">
        <w:rPr>
          <w:noProof/>
        </w:rPr>
        <w:t>ązku</w:t>
      </w:r>
      <w:r w:rsidR="00FF009C" w:rsidRPr="00FF009C">
        <w:rPr>
          <w:noProof/>
        </w:rPr>
        <w:t xml:space="preserve"> z</w:t>
      </w:r>
      <w:r w:rsidR="00FF009C">
        <w:rPr>
          <w:noProof/>
        </w:rPr>
        <w:t> </w:t>
      </w:r>
      <w:r w:rsidR="00FF009C" w:rsidRPr="00FF009C">
        <w:rPr>
          <w:noProof/>
        </w:rPr>
        <w:t>waż</w:t>
      </w:r>
      <w:r w:rsidRPr="00FF009C">
        <w:rPr>
          <w:noProof/>
        </w:rPr>
        <w:t>nymi wydarzeniami międzynarodowymi. Europol powinien również mieć możliwość rozmieszczania pracowników</w:t>
      </w:r>
      <w:r w:rsidR="00FF009C" w:rsidRPr="00FF009C">
        <w:rPr>
          <w:noProof/>
        </w:rPr>
        <w:t xml:space="preserve"> i</w:t>
      </w:r>
      <w:r w:rsidR="00FF009C">
        <w:rPr>
          <w:noProof/>
        </w:rPr>
        <w:t> </w:t>
      </w:r>
      <w:r w:rsidR="00FF009C" w:rsidRPr="00FF009C">
        <w:rPr>
          <w:noProof/>
        </w:rPr>
        <w:t>odd</w:t>
      </w:r>
      <w:r w:rsidRPr="00FF009C">
        <w:rPr>
          <w:noProof/>
        </w:rPr>
        <w:t>elegowanych ekspertów krajowych</w:t>
      </w:r>
      <w:r w:rsidR="00FF009C" w:rsidRPr="00FF009C">
        <w:rPr>
          <w:noProof/>
        </w:rPr>
        <w:t xml:space="preserve"> w</w:t>
      </w:r>
      <w:r w:rsidR="00FF009C">
        <w:rPr>
          <w:noProof/>
        </w:rPr>
        <w:t> </w:t>
      </w:r>
      <w:r w:rsidR="00FF009C" w:rsidRPr="00FF009C">
        <w:rPr>
          <w:noProof/>
        </w:rPr>
        <w:t>pań</w:t>
      </w:r>
      <w:r w:rsidRPr="00FF009C">
        <w:rPr>
          <w:noProof/>
        </w:rPr>
        <w:t>stwach trzecich,</w:t>
      </w:r>
      <w:r w:rsidR="00FF009C" w:rsidRPr="00FF009C">
        <w:rPr>
          <w:noProof/>
        </w:rPr>
        <w:t xml:space="preserve"> z</w:t>
      </w:r>
      <w:r w:rsidR="00FF009C">
        <w:rPr>
          <w:noProof/>
        </w:rPr>
        <w:t> </w:t>
      </w:r>
      <w:r w:rsidR="00FF009C" w:rsidRPr="00FF009C">
        <w:rPr>
          <w:noProof/>
        </w:rPr>
        <w:t>któ</w:t>
      </w:r>
      <w:r w:rsidRPr="00FF009C">
        <w:rPr>
          <w:noProof/>
        </w:rPr>
        <w:t>rymi współpracuje na podstawie decyzji stwierdzającej odpowiedni stopień ochrony, umowy międzynarodowej zawartej między Unią</w:t>
      </w:r>
      <w:r w:rsidR="00FF009C" w:rsidRPr="00FF009C">
        <w:rPr>
          <w:noProof/>
        </w:rPr>
        <w:t xml:space="preserve"> a</w:t>
      </w:r>
      <w:r w:rsidR="00FF009C">
        <w:rPr>
          <w:noProof/>
        </w:rPr>
        <w:t> </w:t>
      </w:r>
      <w:r w:rsidR="00FF009C" w:rsidRPr="00FF009C">
        <w:rPr>
          <w:noProof/>
        </w:rPr>
        <w:t>tym</w:t>
      </w:r>
      <w:r w:rsidRPr="00FF009C">
        <w:rPr>
          <w:noProof/>
        </w:rPr>
        <w:t xml:space="preserve"> państwem trzecim na podstawie art.</w:t>
      </w:r>
      <w:r w:rsidR="00FF009C" w:rsidRPr="00FF009C">
        <w:rPr>
          <w:noProof/>
        </w:rPr>
        <w:t> </w:t>
      </w:r>
      <w:r w:rsidRPr="00FF009C">
        <w:rPr>
          <w:noProof/>
        </w:rPr>
        <w:t>218 TFUE lub umowy</w:t>
      </w:r>
      <w:r w:rsidR="00FF009C" w:rsidRPr="00FF009C">
        <w:rPr>
          <w:noProof/>
        </w:rPr>
        <w:t xml:space="preserve"> o</w:t>
      </w:r>
      <w:r w:rsidR="00FF009C">
        <w:rPr>
          <w:noProof/>
        </w:rPr>
        <w:t> </w:t>
      </w:r>
      <w:r w:rsidR="00FF009C" w:rsidRPr="00FF009C">
        <w:rPr>
          <w:noProof/>
        </w:rPr>
        <w:t>wsp</w:t>
      </w:r>
      <w:r w:rsidRPr="00FF009C">
        <w:rPr>
          <w:noProof/>
        </w:rPr>
        <w:t>ółpracy między Europolem</w:t>
      </w:r>
      <w:r w:rsidR="00FF009C" w:rsidRPr="00FF009C">
        <w:rPr>
          <w:noProof/>
        </w:rPr>
        <w:t xml:space="preserve"> a</w:t>
      </w:r>
      <w:r w:rsidR="00FF009C">
        <w:rPr>
          <w:noProof/>
        </w:rPr>
        <w:t> </w:t>
      </w:r>
      <w:r w:rsidR="00FF009C" w:rsidRPr="00FF009C">
        <w:rPr>
          <w:noProof/>
        </w:rPr>
        <w:t>tym</w:t>
      </w:r>
      <w:r w:rsidRPr="00FF009C">
        <w:rPr>
          <w:noProof/>
        </w:rPr>
        <w:t xml:space="preserve"> państwem trzecim zawartej przed dniem 1 maja 2017</w:t>
      </w:r>
      <w:r w:rsidR="00FF009C" w:rsidRPr="00FF009C">
        <w:rPr>
          <w:noProof/>
        </w:rPr>
        <w:t> </w:t>
      </w:r>
      <w:r w:rsidRPr="00FF009C">
        <w:rPr>
          <w:noProof/>
        </w:rPr>
        <w:t xml:space="preserve">r. </w:t>
      </w:r>
    </w:p>
    <w:p w14:paraId="471ADADF" w14:textId="5BBBD2C1" w:rsidR="0043039B" w:rsidRPr="00FF009C" w:rsidRDefault="0028650E" w:rsidP="0028650E">
      <w:pPr>
        <w:pStyle w:val="ManualConsidrant"/>
        <w:rPr>
          <w:noProof/>
        </w:rPr>
      </w:pPr>
      <w:r w:rsidRPr="00FF009C">
        <w:rPr>
          <w:noProof/>
        </w:rPr>
        <w:t>(18)</w:t>
      </w:r>
      <w:r w:rsidRPr="00FF009C">
        <w:rPr>
          <w:noProof/>
        </w:rPr>
        <w:tab/>
        <w:t>W celu zapewnienia, aby Europol mógł udzielać skutecznego wsparcia</w:t>
      </w:r>
      <w:r w:rsidR="00FF009C" w:rsidRPr="00FF009C">
        <w:rPr>
          <w:noProof/>
        </w:rPr>
        <w:t xml:space="preserve"> w</w:t>
      </w:r>
      <w:r w:rsidR="00FF009C">
        <w:rPr>
          <w:noProof/>
        </w:rPr>
        <w:t> </w:t>
      </w:r>
      <w:r w:rsidR="00FF009C" w:rsidRPr="00FF009C">
        <w:rPr>
          <w:noProof/>
        </w:rPr>
        <w:t>ram</w:t>
      </w:r>
      <w:r w:rsidRPr="00FF009C">
        <w:rPr>
          <w:noProof/>
        </w:rPr>
        <w:t>ach rozmieszczania, przyjmujące państwo członkowskie powinno być</w:t>
      </w:r>
      <w:r w:rsidR="00FF009C" w:rsidRPr="00FF009C">
        <w:rPr>
          <w:noProof/>
        </w:rPr>
        <w:t xml:space="preserve"> w</w:t>
      </w:r>
      <w:r w:rsidR="00FF009C">
        <w:rPr>
          <w:noProof/>
        </w:rPr>
        <w:t> </w:t>
      </w:r>
      <w:r w:rsidR="00FF009C" w:rsidRPr="00FF009C">
        <w:rPr>
          <w:noProof/>
        </w:rPr>
        <w:t>sta</w:t>
      </w:r>
      <w:r w:rsidRPr="00FF009C">
        <w:rPr>
          <w:noProof/>
        </w:rPr>
        <w:t xml:space="preserve">nie zapewnić minimalny zestaw wymogów, takich jak wymóg przekazywania Europolowi wszystkich istotnych informacji. Europol powinien mieć możliwość szybkiego rozmieszczenia </w:t>
      </w:r>
      <w:r w:rsidR="00E50957" w:rsidRPr="00FF009C">
        <w:rPr>
          <w:noProof/>
        </w:rPr>
        <w:t>pracowników</w:t>
      </w:r>
      <w:r w:rsidR="00FF009C" w:rsidRPr="00FF009C">
        <w:rPr>
          <w:noProof/>
        </w:rPr>
        <w:t xml:space="preserve"> i</w:t>
      </w:r>
      <w:r w:rsidR="00FF009C">
        <w:rPr>
          <w:noProof/>
        </w:rPr>
        <w:t> </w:t>
      </w:r>
      <w:r w:rsidR="00FF009C" w:rsidRPr="00FF009C">
        <w:rPr>
          <w:noProof/>
        </w:rPr>
        <w:t>odd</w:t>
      </w:r>
      <w:r w:rsidRPr="00FF009C">
        <w:rPr>
          <w:noProof/>
        </w:rPr>
        <w:t>elegowanych ekspertów krajowych nawet</w:t>
      </w:r>
      <w:r w:rsidR="00FF009C" w:rsidRPr="00FF009C">
        <w:rPr>
          <w:noProof/>
        </w:rPr>
        <w:t xml:space="preserve"> w</w:t>
      </w:r>
      <w:r w:rsidR="00FF009C">
        <w:rPr>
          <w:noProof/>
        </w:rPr>
        <w:t> </w:t>
      </w:r>
      <w:r w:rsidR="00FF009C" w:rsidRPr="00FF009C">
        <w:rPr>
          <w:noProof/>
        </w:rPr>
        <w:t>wyj</w:t>
      </w:r>
      <w:r w:rsidRPr="00FF009C">
        <w:rPr>
          <w:noProof/>
        </w:rPr>
        <w:t>ątkowo pilnych przypadkach. Rozmieszczeni pracownicy Europolu</w:t>
      </w:r>
      <w:r w:rsidR="00FF009C" w:rsidRPr="00FF009C">
        <w:rPr>
          <w:noProof/>
        </w:rPr>
        <w:t xml:space="preserve"> i</w:t>
      </w:r>
      <w:r w:rsidR="00FF009C">
        <w:rPr>
          <w:noProof/>
        </w:rPr>
        <w:t> </w:t>
      </w:r>
      <w:r w:rsidR="00FF009C" w:rsidRPr="00FF009C">
        <w:rPr>
          <w:noProof/>
        </w:rPr>
        <w:t>odd</w:t>
      </w:r>
      <w:r w:rsidRPr="00FF009C">
        <w:rPr>
          <w:noProof/>
        </w:rPr>
        <w:t>elegowani eksperci krajowi powinni być</w:t>
      </w:r>
      <w:r w:rsidR="00FF009C" w:rsidRPr="00FF009C">
        <w:rPr>
          <w:noProof/>
        </w:rPr>
        <w:t xml:space="preserve"> w</w:t>
      </w:r>
      <w:r w:rsidR="00FF009C">
        <w:rPr>
          <w:noProof/>
        </w:rPr>
        <w:t> </w:t>
      </w:r>
      <w:r w:rsidR="00FF009C" w:rsidRPr="00FF009C">
        <w:rPr>
          <w:noProof/>
        </w:rPr>
        <w:t>sta</w:t>
      </w:r>
      <w:r w:rsidRPr="00FF009C">
        <w:rPr>
          <w:noProof/>
        </w:rPr>
        <w:t>nie wykonywać czynności dotyczące przetwarzania danych</w:t>
      </w:r>
      <w:r w:rsidR="00FF009C" w:rsidRPr="00FF009C">
        <w:rPr>
          <w:noProof/>
        </w:rPr>
        <w:t xml:space="preserve"> w</w:t>
      </w:r>
      <w:r w:rsidR="00FF009C">
        <w:rPr>
          <w:noProof/>
        </w:rPr>
        <w:t> </w:t>
      </w:r>
      <w:r w:rsidR="00FF009C" w:rsidRPr="00FF009C">
        <w:rPr>
          <w:noProof/>
        </w:rPr>
        <w:t>ram</w:t>
      </w:r>
      <w:r w:rsidRPr="00FF009C">
        <w:rPr>
          <w:noProof/>
        </w:rPr>
        <w:t>ach postępowania przygotowawczego niewiążące się ze stosowaniem środków przymusu</w:t>
      </w:r>
      <w:r w:rsidR="00FF009C" w:rsidRPr="00FF009C">
        <w:rPr>
          <w:noProof/>
        </w:rPr>
        <w:t xml:space="preserve"> w</w:t>
      </w:r>
      <w:r w:rsidR="00FF009C">
        <w:rPr>
          <w:noProof/>
        </w:rPr>
        <w:t> </w:t>
      </w:r>
      <w:r w:rsidR="00FF009C" w:rsidRPr="00FF009C">
        <w:rPr>
          <w:noProof/>
        </w:rPr>
        <w:t>por</w:t>
      </w:r>
      <w:r w:rsidRPr="00FF009C">
        <w:rPr>
          <w:noProof/>
        </w:rPr>
        <w:t>ozumieniu</w:t>
      </w:r>
      <w:r w:rsidR="00FF009C" w:rsidRPr="00FF009C">
        <w:rPr>
          <w:noProof/>
        </w:rPr>
        <w:t xml:space="preserve"> z</w:t>
      </w:r>
      <w:r w:rsidR="00FF009C">
        <w:rPr>
          <w:noProof/>
        </w:rPr>
        <w:t> </w:t>
      </w:r>
      <w:r w:rsidR="00FF009C" w:rsidRPr="00FF009C">
        <w:rPr>
          <w:noProof/>
        </w:rPr>
        <w:t>wła</w:t>
      </w:r>
      <w:r w:rsidRPr="00FF009C">
        <w:rPr>
          <w:noProof/>
        </w:rPr>
        <w:t>ściwymi organami zainteresowanego państwa członkowskiego i za ich zgodą, oraz zgodnie</w:t>
      </w:r>
      <w:r w:rsidR="00FF009C" w:rsidRPr="00FF009C">
        <w:rPr>
          <w:noProof/>
        </w:rPr>
        <w:t xml:space="preserve"> z</w:t>
      </w:r>
      <w:r w:rsidR="00FF009C">
        <w:rPr>
          <w:noProof/>
        </w:rPr>
        <w:t> </w:t>
      </w:r>
      <w:r w:rsidR="00FF009C" w:rsidRPr="00FF009C">
        <w:rPr>
          <w:noProof/>
        </w:rPr>
        <w:t>roz</w:t>
      </w:r>
      <w:r w:rsidRPr="00FF009C">
        <w:rPr>
          <w:noProof/>
        </w:rPr>
        <w:t>porządzeniem (UE) 2016/794</w:t>
      </w:r>
      <w:r w:rsidR="00FF009C" w:rsidRPr="00FF009C">
        <w:rPr>
          <w:noProof/>
        </w:rPr>
        <w:t xml:space="preserve"> w</w:t>
      </w:r>
      <w:r w:rsidR="00FF009C">
        <w:rPr>
          <w:noProof/>
        </w:rPr>
        <w:t> </w:t>
      </w:r>
      <w:r w:rsidR="00FF009C" w:rsidRPr="00FF009C">
        <w:rPr>
          <w:noProof/>
        </w:rPr>
        <w:t>spr</w:t>
      </w:r>
      <w:r w:rsidRPr="00FF009C">
        <w:rPr>
          <w:noProof/>
        </w:rPr>
        <w:t>awie Europolu</w:t>
      </w:r>
      <w:r w:rsidR="00FF009C" w:rsidRPr="00FF009C">
        <w:rPr>
          <w:noProof/>
        </w:rPr>
        <w:t xml:space="preserve"> i</w:t>
      </w:r>
      <w:r w:rsidR="00FF009C">
        <w:rPr>
          <w:noProof/>
        </w:rPr>
        <w:t> </w:t>
      </w:r>
      <w:r w:rsidR="00FF009C" w:rsidRPr="00FF009C">
        <w:rPr>
          <w:noProof/>
        </w:rPr>
        <w:t>pra</w:t>
      </w:r>
      <w:r w:rsidRPr="00FF009C">
        <w:rPr>
          <w:noProof/>
        </w:rPr>
        <w:t xml:space="preserve">wem krajowym tego państwa członkowskiego. </w:t>
      </w:r>
    </w:p>
    <w:p w14:paraId="6C4B67F0" w14:textId="447DF70B" w:rsidR="00CA4E84" w:rsidRPr="00FF009C" w:rsidRDefault="0028650E" w:rsidP="0028650E">
      <w:pPr>
        <w:pStyle w:val="ManualConsidrant"/>
        <w:rPr>
          <w:rFonts w:eastAsia="Times New Roman"/>
          <w:noProof/>
        </w:rPr>
      </w:pPr>
      <w:r w:rsidRPr="00FF009C">
        <w:rPr>
          <w:noProof/>
        </w:rPr>
        <w:t>(19)</w:t>
      </w:r>
      <w:r w:rsidRPr="00FF009C">
        <w:rPr>
          <w:noProof/>
        </w:rPr>
        <w:tab/>
        <w:t>Co więcej,</w:t>
      </w:r>
      <w:r w:rsidR="00FF009C" w:rsidRPr="00FF009C">
        <w:rPr>
          <w:noProof/>
        </w:rPr>
        <w:t xml:space="preserve"> w</w:t>
      </w:r>
      <w:r w:rsidR="00FF009C">
        <w:rPr>
          <w:noProof/>
        </w:rPr>
        <w:t> </w:t>
      </w:r>
      <w:r w:rsidR="00FF009C" w:rsidRPr="00FF009C">
        <w:rPr>
          <w:noProof/>
        </w:rPr>
        <w:t>kon</w:t>
      </w:r>
      <w:r w:rsidRPr="00FF009C">
        <w:rPr>
          <w:noProof/>
        </w:rPr>
        <w:t>tekście rozmieszczania pracowników Europolu</w:t>
      </w:r>
      <w:r w:rsidR="00FF009C" w:rsidRPr="00FF009C">
        <w:rPr>
          <w:noProof/>
        </w:rPr>
        <w:t xml:space="preserve"> w</w:t>
      </w:r>
      <w:r w:rsidR="00FF009C">
        <w:rPr>
          <w:noProof/>
        </w:rPr>
        <w:t> </w:t>
      </w:r>
      <w:r w:rsidR="00FF009C" w:rsidRPr="00FF009C">
        <w:rPr>
          <w:noProof/>
        </w:rPr>
        <w:t>ram</w:t>
      </w:r>
      <w:r w:rsidRPr="00FF009C">
        <w:rPr>
          <w:noProof/>
        </w:rPr>
        <w:t>ach wsparcia operacyjnego Europol powinien utworzyć rezerwę wysoko wykwalifikowanych ekspertów</w:t>
      </w:r>
      <w:r w:rsidR="00FF009C" w:rsidRPr="00FF009C">
        <w:rPr>
          <w:noProof/>
        </w:rPr>
        <w:t xml:space="preserve"> w</w:t>
      </w:r>
      <w:r w:rsidR="00FF009C">
        <w:rPr>
          <w:noProof/>
        </w:rPr>
        <w:t> </w:t>
      </w:r>
      <w:r w:rsidR="00FF009C" w:rsidRPr="00FF009C">
        <w:rPr>
          <w:noProof/>
        </w:rPr>
        <w:t>zak</w:t>
      </w:r>
      <w:r w:rsidRPr="00FF009C">
        <w:rPr>
          <w:noProof/>
        </w:rPr>
        <w:t>resie ścigania przestępstw</w:t>
      </w:r>
      <w:r w:rsidR="00FF009C" w:rsidRPr="00FF009C">
        <w:rPr>
          <w:noProof/>
        </w:rPr>
        <w:t xml:space="preserve"> z</w:t>
      </w:r>
      <w:r w:rsidR="00FF009C">
        <w:rPr>
          <w:noProof/>
        </w:rPr>
        <w:t> </w:t>
      </w:r>
      <w:r w:rsidR="00FF009C" w:rsidRPr="00FF009C">
        <w:rPr>
          <w:noProof/>
        </w:rPr>
        <w:t>pań</w:t>
      </w:r>
      <w:r w:rsidRPr="00FF009C">
        <w:rPr>
          <w:noProof/>
        </w:rPr>
        <w:t>stw członkowskich</w:t>
      </w:r>
      <w:r w:rsidR="00FF009C" w:rsidRPr="00FF009C">
        <w:rPr>
          <w:noProof/>
        </w:rPr>
        <w:t xml:space="preserve"> o</w:t>
      </w:r>
      <w:r w:rsidR="00FF009C">
        <w:rPr>
          <w:noProof/>
        </w:rPr>
        <w:t> </w:t>
      </w:r>
      <w:r w:rsidR="00FF009C" w:rsidRPr="00FF009C">
        <w:rPr>
          <w:noProof/>
        </w:rPr>
        <w:t>spe</w:t>
      </w:r>
      <w:r w:rsidRPr="00FF009C">
        <w:rPr>
          <w:noProof/>
        </w:rPr>
        <w:t>cjalistycznych profilach, którzy mogą zostać niezwłocznie oddani do dyspozycji Europolu</w:t>
      </w:r>
      <w:r w:rsidR="00FF009C" w:rsidRPr="00FF009C">
        <w:rPr>
          <w:noProof/>
        </w:rPr>
        <w:t xml:space="preserve"> w</w:t>
      </w:r>
      <w:r w:rsidR="00FF009C">
        <w:rPr>
          <w:noProof/>
        </w:rPr>
        <w:t> </w:t>
      </w:r>
      <w:r w:rsidR="00FF009C" w:rsidRPr="00FF009C">
        <w:rPr>
          <w:noProof/>
        </w:rPr>
        <w:t>cel</w:t>
      </w:r>
      <w:r w:rsidRPr="00FF009C">
        <w:rPr>
          <w:noProof/>
        </w:rPr>
        <w:t>u rozmieszczenia operacyjnego</w:t>
      </w:r>
      <w:r w:rsidR="00FF009C" w:rsidRPr="00FF009C">
        <w:rPr>
          <w:noProof/>
        </w:rPr>
        <w:t xml:space="preserve"> z</w:t>
      </w:r>
      <w:r w:rsidR="00FF009C">
        <w:rPr>
          <w:noProof/>
        </w:rPr>
        <w:t> </w:t>
      </w:r>
      <w:r w:rsidR="00FF009C" w:rsidRPr="00FF009C">
        <w:rPr>
          <w:noProof/>
        </w:rPr>
        <w:t>myś</w:t>
      </w:r>
      <w:r w:rsidRPr="00FF009C">
        <w:rPr>
          <w:noProof/>
        </w:rPr>
        <w:t>lą</w:t>
      </w:r>
      <w:r w:rsidR="00FF009C" w:rsidRPr="00FF009C">
        <w:rPr>
          <w:noProof/>
        </w:rPr>
        <w:t xml:space="preserve"> o</w:t>
      </w:r>
      <w:r w:rsidR="00FF009C">
        <w:rPr>
          <w:noProof/>
        </w:rPr>
        <w:t> </w:t>
      </w:r>
      <w:r w:rsidR="00FF009C" w:rsidRPr="00FF009C">
        <w:rPr>
          <w:noProof/>
        </w:rPr>
        <w:t>zap</w:t>
      </w:r>
      <w:r w:rsidRPr="00FF009C">
        <w:rPr>
          <w:noProof/>
        </w:rPr>
        <w:t>ewnieniu specjalistycznego wsparcia</w:t>
      </w:r>
      <w:r w:rsidR="00FF009C" w:rsidRPr="00FF009C">
        <w:rPr>
          <w:noProof/>
        </w:rPr>
        <w:t>. W</w:t>
      </w:r>
      <w:r w:rsidR="00FF009C">
        <w:rPr>
          <w:noProof/>
        </w:rPr>
        <w:t> </w:t>
      </w:r>
      <w:r w:rsidR="00FF009C" w:rsidRPr="00FF009C">
        <w:rPr>
          <w:noProof/>
        </w:rPr>
        <w:t>skł</w:t>
      </w:r>
      <w:r w:rsidRPr="00FF009C">
        <w:rPr>
          <w:noProof/>
        </w:rPr>
        <w:t>ad rezerwy ekspertów powinni wchodzić specjaliści</w:t>
      </w:r>
      <w:r w:rsidR="00FF009C" w:rsidRPr="00FF009C">
        <w:rPr>
          <w:noProof/>
        </w:rPr>
        <w:t xml:space="preserve"> w</w:t>
      </w:r>
      <w:r w:rsidR="00FF009C">
        <w:rPr>
          <w:noProof/>
        </w:rPr>
        <w:t> </w:t>
      </w:r>
      <w:r w:rsidR="00FF009C" w:rsidRPr="00FF009C">
        <w:rPr>
          <w:noProof/>
        </w:rPr>
        <w:t>dzi</w:t>
      </w:r>
      <w:r w:rsidRPr="00FF009C">
        <w:rPr>
          <w:noProof/>
        </w:rPr>
        <w:t>edzinie analizy kryminalnej, kryminalistyki, postępowań przygotowawczych, języków</w:t>
      </w:r>
      <w:r w:rsidR="00FF009C" w:rsidRPr="00FF009C">
        <w:rPr>
          <w:noProof/>
        </w:rPr>
        <w:t xml:space="preserve"> i</w:t>
      </w:r>
      <w:r w:rsidR="00FF009C">
        <w:rPr>
          <w:noProof/>
        </w:rPr>
        <w:t> </w:t>
      </w:r>
      <w:r w:rsidR="00FF009C" w:rsidRPr="00FF009C">
        <w:rPr>
          <w:noProof/>
        </w:rPr>
        <w:t>koo</w:t>
      </w:r>
      <w:r w:rsidRPr="00FF009C">
        <w:rPr>
          <w:noProof/>
        </w:rPr>
        <w:t>rdynacji. Państwa członkowskie powinny zapewnić dyspozycyjność swoich ekspertów do celów udziału</w:t>
      </w:r>
      <w:r w:rsidR="00FF009C" w:rsidRPr="00FF009C">
        <w:rPr>
          <w:noProof/>
        </w:rPr>
        <w:t xml:space="preserve"> w</w:t>
      </w:r>
      <w:r w:rsidR="00FF009C">
        <w:rPr>
          <w:noProof/>
        </w:rPr>
        <w:t> </w:t>
      </w:r>
      <w:r w:rsidR="00FF009C" w:rsidRPr="00FF009C">
        <w:rPr>
          <w:noProof/>
        </w:rPr>
        <w:t>roz</w:t>
      </w:r>
      <w:r w:rsidRPr="00FF009C">
        <w:rPr>
          <w:noProof/>
        </w:rPr>
        <w:t>mieszczeniu pracowników Europolu</w:t>
      </w:r>
      <w:r w:rsidR="00FF009C" w:rsidRPr="00FF009C">
        <w:rPr>
          <w:noProof/>
        </w:rPr>
        <w:t xml:space="preserve"> w</w:t>
      </w:r>
      <w:r w:rsidR="00FF009C">
        <w:rPr>
          <w:noProof/>
        </w:rPr>
        <w:t> </w:t>
      </w:r>
      <w:r w:rsidR="00FF009C" w:rsidRPr="00FF009C">
        <w:rPr>
          <w:noProof/>
        </w:rPr>
        <w:t>ram</w:t>
      </w:r>
      <w:r w:rsidRPr="00FF009C">
        <w:rPr>
          <w:noProof/>
        </w:rPr>
        <w:t>ach wsparcia operacyjnego</w:t>
      </w:r>
      <w:r w:rsidR="00FF009C" w:rsidRPr="00FF009C">
        <w:rPr>
          <w:noProof/>
        </w:rPr>
        <w:t xml:space="preserve"> w</w:t>
      </w:r>
      <w:r w:rsidR="00FF009C">
        <w:rPr>
          <w:noProof/>
        </w:rPr>
        <w:t> </w:t>
      </w:r>
      <w:r w:rsidR="00FF009C" w:rsidRPr="00FF009C">
        <w:rPr>
          <w:noProof/>
        </w:rPr>
        <w:t>cha</w:t>
      </w:r>
      <w:r w:rsidRPr="00FF009C">
        <w:rPr>
          <w:noProof/>
        </w:rPr>
        <w:t>rakterze oddelegowanych ekspertów krajowych na żądanie Europolu. Obowiązek ten nie powinien mieć zastosowania do państw trzecich,</w:t>
      </w:r>
      <w:r w:rsidR="00FF009C" w:rsidRPr="00FF009C">
        <w:rPr>
          <w:noProof/>
        </w:rPr>
        <w:t xml:space="preserve"> w</w:t>
      </w:r>
      <w:r w:rsidR="00FF009C">
        <w:rPr>
          <w:noProof/>
        </w:rPr>
        <w:t> </w:t>
      </w:r>
      <w:r w:rsidR="00FF009C" w:rsidRPr="00FF009C">
        <w:rPr>
          <w:noProof/>
        </w:rPr>
        <w:t>któ</w:t>
      </w:r>
      <w:r w:rsidRPr="00FF009C">
        <w:rPr>
          <w:noProof/>
        </w:rPr>
        <w:t>rych Europol rozmieszcza pracowników</w:t>
      </w:r>
      <w:r w:rsidR="00FF009C" w:rsidRPr="00FF009C">
        <w:rPr>
          <w:noProof/>
        </w:rPr>
        <w:t xml:space="preserve"> i</w:t>
      </w:r>
      <w:r w:rsidR="00FF009C">
        <w:rPr>
          <w:noProof/>
        </w:rPr>
        <w:t> </w:t>
      </w:r>
      <w:r w:rsidR="00FF009C" w:rsidRPr="00FF009C">
        <w:rPr>
          <w:noProof/>
        </w:rPr>
        <w:t>odd</w:t>
      </w:r>
      <w:r w:rsidRPr="00FF009C">
        <w:rPr>
          <w:noProof/>
        </w:rPr>
        <w:t>elegowanych ekspertów krajowych do celów wsparcia operacyjnego.</w:t>
      </w:r>
    </w:p>
    <w:p w14:paraId="23DF549B" w14:textId="104F9AD3" w:rsidR="0043039B" w:rsidRPr="00FF009C" w:rsidRDefault="0028650E" w:rsidP="0028650E">
      <w:pPr>
        <w:pStyle w:val="ManualConsidrant"/>
        <w:rPr>
          <w:rFonts w:eastAsia="Times New Roman"/>
          <w:noProof/>
        </w:rPr>
      </w:pPr>
      <w:r w:rsidRPr="00FF009C">
        <w:rPr>
          <w:noProof/>
        </w:rPr>
        <w:t>(20)</w:t>
      </w:r>
      <w:r w:rsidRPr="00FF009C">
        <w:rPr>
          <w:noProof/>
        </w:rPr>
        <w:tab/>
        <w:t>Wzmocnienie ram prawnych Europolu stanowi okazję do wyjaśnienia, że cele Europolu powinny również wyraźnie obejmować naruszenia unijnych środków ograniczających. Unijne środki ograniczające są podstawowym narzędziem służącym ochronie wartości Unii, jej bezpieczeństwa, niezależności</w:t>
      </w:r>
      <w:r w:rsidR="00FF009C" w:rsidRPr="00FF009C">
        <w:rPr>
          <w:noProof/>
        </w:rPr>
        <w:t xml:space="preserve"> i</w:t>
      </w:r>
      <w:r w:rsidR="00FF009C">
        <w:rPr>
          <w:noProof/>
        </w:rPr>
        <w:t> </w:t>
      </w:r>
      <w:r w:rsidR="00FF009C" w:rsidRPr="00FF009C">
        <w:rPr>
          <w:noProof/>
        </w:rPr>
        <w:t>int</w:t>
      </w:r>
      <w:r w:rsidRPr="00FF009C">
        <w:rPr>
          <w:noProof/>
        </w:rPr>
        <w:t>egralności, umacnianiu</w:t>
      </w:r>
      <w:r w:rsidR="00FF009C" w:rsidRPr="00FF009C">
        <w:rPr>
          <w:noProof/>
        </w:rPr>
        <w:t xml:space="preserve"> i</w:t>
      </w:r>
      <w:r w:rsidR="00FF009C">
        <w:rPr>
          <w:noProof/>
        </w:rPr>
        <w:t> </w:t>
      </w:r>
      <w:r w:rsidR="00FF009C" w:rsidRPr="00FF009C">
        <w:rPr>
          <w:noProof/>
        </w:rPr>
        <w:t>wsp</w:t>
      </w:r>
      <w:r w:rsidRPr="00FF009C">
        <w:rPr>
          <w:noProof/>
        </w:rPr>
        <w:t>ieraniu demokracji, państwa prawnego, praw człowieka</w:t>
      </w:r>
      <w:r w:rsidR="00FF009C" w:rsidRPr="00FF009C">
        <w:rPr>
          <w:noProof/>
        </w:rPr>
        <w:t xml:space="preserve"> i</w:t>
      </w:r>
      <w:r w:rsidR="00FF009C">
        <w:rPr>
          <w:noProof/>
        </w:rPr>
        <w:t> </w:t>
      </w:r>
      <w:r w:rsidR="00FF009C" w:rsidRPr="00FF009C">
        <w:rPr>
          <w:noProof/>
        </w:rPr>
        <w:t>zas</w:t>
      </w:r>
      <w:r w:rsidRPr="00FF009C">
        <w:rPr>
          <w:noProof/>
        </w:rPr>
        <w:t>ad prawa międzynarodowego oraz utrzymaniu pokoju międzynarodowego, zapobieganiu konfliktom</w:t>
      </w:r>
      <w:r w:rsidR="00FF009C" w:rsidRPr="00FF009C">
        <w:rPr>
          <w:noProof/>
        </w:rPr>
        <w:t xml:space="preserve"> i</w:t>
      </w:r>
      <w:r w:rsidR="00FF009C">
        <w:rPr>
          <w:noProof/>
        </w:rPr>
        <w:t> </w:t>
      </w:r>
      <w:r w:rsidR="00FF009C" w:rsidRPr="00FF009C">
        <w:rPr>
          <w:noProof/>
        </w:rPr>
        <w:t>wzm</w:t>
      </w:r>
      <w:r w:rsidRPr="00FF009C">
        <w:rPr>
          <w:noProof/>
        </w:rPr>
        <w:t>acnianiu bezpieczeństwa międzynarodowego zgodnie</w:t>
      </w:r>
      <w:r w:rsidR="00FF009C" w:rsidRPr="00FF009C">
        <w:rPr>
          <w:noProof/>
        </w:rPr>
        <w:t xml:space="preserve"> z</w:t>
      </w:r>
      <w:r w:rsidR="00FF009C">
        <w:rPr>
          <w:noProof/>
        </w:rPr>
        <w:t> </w:t>
      </w:r>
      <w:r w:rsidR="00FF009C" w:rsidRPr="00FF009C">
        <w:rPr>
          <w:noProof/>
        </w:rPr>
        <w:t>cel</w:t>
      </w:r>
      <w:r w:rsidRPr="00FF009C">
        <w:rPr>
          <w:noProof/>
        </w:rPr>
        <w:t>ami</w:t>
      </w:r>
      <w:r w:rsidR="00FF009C" w:rsidRPr="00FF009C">
        <w:rPr>
          <w:noProof/>
        </w:rPr>
        <w:t xml:space="preserve"> i</w:t>
      </w:r>
      <w:r w:rsidR="00FF009C">
        <w:rPr>
          <w:noProof/>
        </w:rPr>
        <w:t> </w:t>
      </w:r>
      <w:r w:rsidR="00FF009C" w:rsidRPr="00FF009C">
        <w:rPr>
          <w:noProof/>
        </w:rPr>
        <w:t>zas</w:t>
      </w:r>
      <w:r w:rsidRPr="00FF009C">
        <w:rPr>
          <w:noProof/>
        </w:rPr>
        <w:t>adami Karty Narodów Zjednoczonych. Naruszenia unijnych środków ograniczających stanowią zatem formę przestępczości mającą wpływ na wspólny interes objęty polityką Unii,</w:t>
      </w:r>
      <w:r w:rsidR="00FF009C" w:rsidRPr="00FF009C">
        <w:rPr>
          <w:noProof/>
        </w:rPr>
        <w:t xml:space="preserve"> w</w:t>
      </w:r>
      <w:r w:rsidR="00FF009C">
        <w:rPr>
          <w:noProof/>
        </w:rPr>
        <w:t> </w:t>
      </w:r>
      <w:r w:rsidR="00FF009C" w:rsidRPr="00FF009C">
        <w:rPr>
          <w:noProof/>
        </w:rPr>
        <w:t>odn</w:t>
      </w:r>
      <w:r w:rsidRPr="00FF009C">
        <w:rPr>
          <w:noProof/>
        </w:rPr>
        <w:t>iesieniu do której to formy przestępczości Europol powinien być uprawniony do podejmowania działania</w:t>
      </w:r>
      <w:r w:rsidR="00FF009C" w:rsidRPr="00FF009C">
        <w:rPr>
          <w:noProof/>
        </w:rPr>
        <w:t xml:space="preserve"> w</w:t>
      </w:r>
      <w:r w:rsidR="00FF009C">
        <w:rPr>
          <w:noProof/>
        </w:rPr>
        <w:t> </w:t>
      </w:r>
      <w:r w:rsidR="00FF009C" w:rsidRPr="00FF009C">
        <w:rPr>
          <w:noProof/>
        </w:rPr>
        <w:t>cel</w:t>
      </w:r>
      <w:r w:rsidRPr="00FF009C">
        <w:rPr>
          <w:noProof/>
        </w:rPr>
        <w:t>u wsparcia</w:t>
      </w:r>
      <w:r w:rsidR="00FF009C" w:rsidRPr="00FF009C">
        <w:rPr>
          <w:noProof/>
        </w:rPr>
        <w:t xml:space="preserve"> i</w:t>
      </w:r>
      <w:r w:rsidR="00FF009C">
        <w:rPr>
          <w:noProof/>
        </w:rPr>
        <w:t> </w:t>
      </w:r>
      <w:r w:rsidR="00FF009C" w:rsidRPr="00FF009C">
        <w:rPr>
          <w:noProof/>
        </w:rPr>
        <w:t>wzm</w:t>
      </w:r>
      <w:r w:rsidRPr="00FF009C">
        <w:rPr>
          <w:noProof/>
        </w:rPr>
        <w:t xml:space="preserve">ocnienia działań podejmowanych przez państwa członkowskie. </w:t>
      </w:r>
    </w:p>
    <w:p w14:paraId="49BD7FDF" w14:textId="3E3EF043" w:rsidR="0027427F" w:rsidRPr="00FF009C" w:rsidRDefault="0028650E" w:rsidP="0028650E">
      <w:pPr>
        <w:pStyle w:val="ManualConsidrant"/>
        <w:rPr>
          <w:noProof/>
        </w:rPr>
      </w:pPr>
      <w:r w:rsidRPr="00FF009C">
        <w:rPr>
          <w:noProof/>
        </w:rPr>
        <w:t>(21)</w:t>
      </w:r>
      <w:r w:rsidRPr="00FF009C">
        <w:rPr>
          <w:noProof/>
        </w:rPr>
        <w:tab/>
        <w:t>[Zgodnie</w:t>
      </w:r>
      <w:r w:rsidR="00FF009C" w:rsidRPr="00FF009C">
        <w:rPr>
          <w:noProof/>
        </w:rPr>
        <w:t xml:space="preserve"> z</w:t>
      </w:r>
      <w:r w:rsidR="00FF009C">
        <w:rPr>
          <w:noProof/>
        </w:rPr>
        <w:t> </w:t>
      </w:r>
      <w:r w:rsidR="00FF009C" w:rsidRPr="00FF009C">
        <w:rPr>
          <w:noProof/>
        </w:rPr>
        <w:t>art</w:t>
      </w:r>
      <w:r w:rsidRPr="00FF009C">
        <w:rPr>
          <w:noProof/>
        </w:rPr>
        <w:t>.</w:t>
      </w:r>
      <w:r w:rsidR="00FF009C" w:rsidRPr="00FF009C">
        <w:rPr>
          <w:noProof/>
        </w:rPr>
        <w:t> </w:t>
      </w:r>
      <w:r w:rsidRPr="00FF009C">
        <w:rPr>
          <w:noProof/>
        </w:rPr>
        <w:t>3 Protokołu (nr</w:t>
      </w:r>
      <w:r w:rsidR="00FF009C" w:rsidRPr="00FF009C">
        <w:rPr>
          <w:noProof/>
        </w:rPr>
        <w:t> </w:t>
      </w:r>
      <w:r w:rsidRPr="00FF009C">
        <w:rPr>
          <w:noProof/>
        </w:rPr>
        <w:t>21)</w:t>
      </w:r>
      <w:r w:rsidR="00FF009C" w:rsidRPr="00FF009C">
        <w:rPr>
          <w:noProof/>
        </w:rPr>
        <w:t xml:space="preserve"> w</w:t>
      </w:r>
      <w:r w:rsidR="00FF009C">
        <w:rPr>
          <w:noProof/>
        </w:rPr>
        <w:t> </w:t>
      </w:r>
      <w:r w:rsidR="00FF009C" w:rsidRPr="00FF009C">
        <w:rPr>
          <w:noProof/>
        </w:rPr>
        <w:t>spr</w:t>
      </w:r>
      <w:r w:rsidRPr="00FF009C">
        <w:rPr>
          <w:noProof/>
        </w:rPr>
        <w:t>awie stanowiska Zjednoczonego Królestwa</w:t>
      </w:r>
      <w:r w:rsidR="00FF009C" w:rsidRPr="00FF009C">
        <w:rPr>
          <w:noProof/>
        </w:rPr>
        <w:t xml:space="preserve"> i</w:t>
      </w:r>
      <w:r w:rsidR="00FF009C">
        <w:rPr>
          <w:noProof/>
        </w:rPr>
        <w:t> </w:t>
      </w:r>
      <w:r w:rsidR="00FF009C" w:rsidRPr="00FF009C">
        <w:rPr>
          <w:noProof/>
        </w:rPr>
        <w:t>Irl</w:t>
      </w:r>
      <w:r w:rsidRPr="00FF009C">
        <w:rPr>
          <w:noProof/>
        </w:rPr>
        <w:t>andii</w:t>
      </w:r>
      <w:r w:rsidR="00FF009C" w:rsidRPr="00FF009C">
        <w:rPr>
          <w:noProof/>
        </w:rPr>
        <w:t xml:space="preserve"> w</w:t>
      </w:r>
      <w:r w:rsidR="00FF009C">
        <w:rPr>
          <w:noProof/>
        </w:rPr>
        <w:t> </w:t>
      </w:r>
      <w:r w:rsidR="00FF009C" w:rsidRPr="00FF009C">
        <w:rPr>
          <w:noProof/>
        </w:rPr>
        <w:t>odn</w:t>
      </w:r>
      <w:r w:rsidRPr="00FF009C">
        <w:rPr>
          <w:noProof/>
        </w:rPr>
        <w:t>iesieniu do przestrzeni wolności, bezpieczeństwa</w:t>
      </w:r>
      <w:r w:rsidR="00FF009C" w:rsidRPr="00FF009C">
        <w:rPr>
          <w:noProof/>
        </w:rPr>
        <w:t xml:space="preserve"> i</w:t>
      </w:r>
      <w:r w:rsidR="00FF009C">
        <w:rPr>
          <w:noProof/>
        </w:rPr>
        <w:t> </w:t>
      </w:r>
      <w:r w:rsidR="00FF009C" w:rsidRPr="00FF009C">
        <w:rPr>
          <w:noProof/>
        </w:rPr>
        <w:t>spr</w:t>
      </w:r>
      <w:r w:rsidRPr="00FF009C">
        <w:rPr>
          <w:noProof/>
        </w:rPr>
        <w:t>awiedliwości, załączonego do Traktatu</w:t>
      </w:r>
      <w:r w:rsidR="00FF009C" w:rsidRPr="00FF009C">
        <w:rPr>
          <w:noProof/>
        </w:rPr>
        <w:t xml:space="preserve"> o</w:t>
      </w:r>
      <w:r w:rsidR="00FF009C">
        <w:rPr>
          <w:noProof/>
        </w:rPr>
        <w:t> </w:t>
      </w:r>
      <w:r w:rsidR="00FF009C" w:rsidRPr="00FF009C">
        <w:rPr>
          <w:noProof/>
        </w:rPr>
        <w:t>Uni</w:t>
      </w:r>
      <w:r w:rsidRPr="00FF009C">
        <w:rPr>
          <w:noProof/>
        </w:rPr>
        <w:t>i Europejskiej i do Traktatu</w:t>
      </w:r>
      <w:r w:rsidR="00FF009C" w:rsidRPr="00FF009C">
        <w:rPr>
          <w:noProof/>
        </w:rPr>
        <w:t xml:space="preserve"> o</w:t>
      </w:r>
      <w:r w:rsidR="00FF009C">
        <w:rPr>
          <w:noProof/>
        </w:rPr>
        <w:t> </w:t>
      </w:r>
      <w:r w:rsidR="00FF009C" w:rsidRPr="00FF009C">
        <w:rPr>
          <w:noProof/>
        </w:rPr>
        <w:t>fun</w:t>
      </w:r>
      <w:r w:rsidRPr="00FF009C">
        <w:rPr>
          <w:noProof/>
        </w:rPr>
        <w:t>kcjonowaniu Unii Europejskiej, Irlandia powiadomiła</w:t>
      </w:r>
      <w:r w:rsidR="00FF009C" w:rsidRPr="00FF009C">
        <w:rPr>
          <w:noProof/>
        </w:rPr>
        <w:t xml:space="preserve"> o</w:t>
      </w:r>
      <w:r w:rsidR="00FF009C">
        <w:rPr>
          <w:noProof/>
        </w:rPr>
        <w:t> </w:t>
      </w:r>
      <w:r w:rsidR="00FF009C" w:rsidRPr="00FF009C">
        <w:rPr>
          <w:noProof/>
        </w:rPr>
        <w:t>chę</w:t>
      </w:r>
      <w:r w:rsidRPr="00FF009C">
        <w:rPr>
          <w:noProof/>
        </w:rPr>
        <w:t>ci uczestniczenia</w:t>
      </w:r>
      <w:r w:rsidR="00FF009C" w:rsidRPr="00FF009C">
        <w:rPr>
          <w:noProof/>
        </w:rPr>
        <w:t xml:space="preserve"> w</w:t>
      </w:r>
      <w:r w:rsidR="00FF009C">
        <w:rPr>
          <w:noProof/>
        </w:rPr>
        <w:t> </w:t>
      </w:r>
      <w:r w:rsidR="00FF009C" w:rsidRPr="00FF009C">
        <w:rPr>
          <w:noProof/>
        </w:rPr>
        <w:t>prz</w:t>
      </w:r>
      <w:r w:rsidRPr="00FF009C">
        <w:rPr>
          <w:noProof/>
        </w:rPr>
        <w:t>yjęciu</w:t>
      </w:r>
      <w:r w:rsidR="00FF009C" w:rsidRPr="00FF009C">
        <w:rPr>
          <w:noProof/>
        </w:rPr>
        <w:t xml:space="preserve"> i</w:t>
      </w:r>
      <w:r w:rsidR="00FF009C">
        <w:rPr>
          <w:noProof/>
        </w:rPr>
        <w:t> </w:t>
      </w:r>
      <w:r w:rsidR="00FF009C" w:rsidRPr="00FF009C">
        <w:rPr>
          <w:noProof/>
        </w:rPr>
        <w:t>sto</w:t>
      </w:r>
      <w:r w:rsidRPr="00FF009C">
        <w:rPr>
          <w:noProof/>
        </w:rPr>
        <w:t xml:space="preserve">sowaniu niniejszego rozporządzenia.] LUB </w:t>
      </w:r>
    </w:p>
    <w:p w14:paraId="05DF6562" w14:textId="1870CAC9" w:rsidR="0043039B" w:rsidRPr="00FF009C" w:rsidRDefault="0028650E" w:rsidP="0028650E">
      <w:pPr>
        <w:pStyle w:val="ManualConsidrant"/>
        <w:rPr>
          <w:noProof/>
        </w:rPr>
      </w:pPr>
      <w:r w:rsidRPr="00FF009C">
        <w:rPr>
          <w:noProof/>
        </w:rPr>
        <w:t>(22)</w:t>
      </w:r>
      <w:r w:rsidRPr="00FF009C">
        <w:rPr>
          <w:noProof/>
        </w:rPr>
        <w:tab/>
        <w:t>[Zgodnie</w:t>
      </w:r>
      <w:r w:rsidR="00FF009C" w:rsidRPr="00FF009C">
        <w:rPr>
          <w:noProof/>
        </w:rPr>
        <w:t xml:space="preserve"> z</w:t>
      </w:r>
      <w:r w:rsidR="00FF009C">
        <w:rPr>
          <w:noProof/>
        </w:rPr>
        <w:t> </w:t>
      </w:r>
      <w:r w:rsidR="00FF009C" w:rsidRPr="00FF009C">
        <w:rPr>
          <w:noProof/>
        </w:rPr>
        <w:t>art</w:t>
      </w:r>
      <w:r w:rsidRPr="00FF009C">
        <w:rPr>
          <w:noProof/>
        </w:rPr>
        <w:t>.</w:t>
      </w:r>
      <w:r w:rsidR="00FF009C" w:rsidRPr="00FF009C">
        <w:rPr>
          <w:noProof/>
        </w:rPr>
        <w:t> </w:t>
      </w:r>
      <w:r w:rsidRPr="00FF009C">
        <w:rPr>
          <w:noProof/>
        </w:rPr>
        <w:t>1</w:t>
      </w:r>
      <w:r w:rsidR="00FF009C" w:rsidRPr="00FF009C">
        <w:rPr>
          <w:noProof/>
        </w:rPr>
        <w:t xml:space="preserve"> i</w:t>
      </w:r>
      <w:r w:rsidR="00FF009C">
        <w:rPr>
          <w:noProof/>
        </w:rPr>
        <w:t> </w:t>
      </w:r>
      <w:r w:rsidR="00FF009C" w:rsidRPr="00FF009C">
        <w:rPr>
          <w:noProof/>
        </w:rPr>
        <w:t>2</w:t>
      </w:r>
      <w:r w:rsidRPr="00FF009C">
        <w:rPr>
          <w:noProof/>
        </w:rPr>
        <w:t xml:space="preserve"> Protokołu nr</w:t>
      </w:r>
      <w:r w:rsidR="00FF009C" w:rsidRPr="00FF009C">
        <w:rPr>
          <w:noProof/>
        </w:rPr>
        <w:t> </w:t>
      </w:r>
      <w:r w:rsidRPr="00FF009C">
        <w:rPr>
          <w:noProof/>
        </w:rPr>
        <w:t>21</w:t>
      </w:r>
      <w:r w:rsidR="00FF009C" w:rsidRPr="00FF009C">
        <w:rPr>
          <w:noProof/>
        </w:rPr>
        <w:t xml:space="preserve"> w</w:t>
      </w:r>
      <w:r w:rsidR="00FF009C">
        <w:rPr>
          <w:noProof/>
        </w:rPr>
        <w:t> </w:t>
      </w:r>
      <w:r w:rsidR="00FF009C" w:rsidRPr="00FF009C">
        <w:rPr>
          <w:noProof/>
        </w:rPr>
        <w:t>spr</w:t>
      </w:r>
      <w:r w:rsidRPr="00FF009C">
        <w:rPr>
          <w:noProof/>
        </w:rPr>
        <w:t>awie stanowiska Zjednoczonego Królestwa</w:t>
      </w:r>
      <w:r w:rsidR="00FF009C" w:rsidRPr="00FF009C">
        <w:rPr>
          <w:noProof/>
        </w:rPr>
        <w:t xml:space="preserve"> i</w:t>
      </w:r>
      <w:r w:rsidR="00FF009C">
        <w:rPr>
          <w:noProof/>
        </w:rPr>
        <w:t> </w:t>
      </w:r>
      <w:r w:rsidR="00FF009C" w:rsidRPr="00FF009C">
        <w:rPr>
          <w:noProof/>
        </w:rPr>
        <w:t>Irl</w:t>
      </w:r>
      <w:r w:rsidRPr="00FF009C">
        <w:rPr>
          <w:noProof/>
        </w:rPr>
        <w:t>andii</w:t>
      </w:r>
      <w:r w:rsidR="00FF009C" w:rsidRPr="00FF009C">
        <w:rPr>
          <w:noProof/>
        </w:rPr>
        <w:t xml:space="preserve"> w</w:t>
      </w:r>
      <w:r w:rsidR="00FF009C">
        <w:rPr>
          <w:noProof/>
        </w:rPr>
        <w:t> </w:t>
      </w:r>
      <w:r w:rsidR="00FF009C" w:rsidRPr="00FF009C">
        <w:rPr>
          <w:noProof/>
        </w:rPr>
        <w:t>odn</w:t>
      </w:r>
      <w:r w:rsidRPr="00FF009C">
        <w:rPr>
          <w:noProof/>
        </w:rPr>
        <w:t>iesieniu do przestrzeni wolności, bezpieczeństwa</w:t>
      </w:r>
      <w:r w:rsidR="00FF009C" w:rsidRPr="00FF009C">
        <w:rPr>
          <w:noProof/>
        </w:rPr>
        <w:t xml:space="preserve"> i</w:t>
      </w:r>
      <w:r w:rsidR="00FF009C">
        <w:rPr>
          <w:noProof/>
        </w:rPr>
        <w:t> </w:t>
      </w:r>
      <w:r w:rsidR="00FF009C" w:rsidRPr="00FF009C">
        <w:rPr>
          <w:noProof/>
        </w:rPr>
        <w:t>spr</w:t>
      </w:r>
      <w:r w:rsidRPr="00FF009C">
        <w:rPr>
          <w:noProof/>
        </w:rPr>
        <w:t>awiedliwości, załączonego do Traktatu</w:t>
      </w:r>
      <w:r w:rsidR="00FF009C" w:rsidRPr="00FF009C">
        <w:rPr>
          <w:noProof/>
        </w:rPr>
        <w:t xml:space="preserve"> o</w:t>
      </w:r>
      <w:r w:rsidR="00FF009C">
        <w:rPr>
          <w:noProof/>
        </w:rPr>
        <w:t> </w:t>
      </w:r>
      <w:r w:rsidR="00FF009C" w:rsidRPr="00FF009C">
        <w:rPr>
          <w:noProof/>
        </w:rPr>
        <w:t>Uni</w:t>
      </w:r>
      <w:r w:rsidRPr="00FF009C">
        <w:rPr>
          <w:noProof/>
        </w:rPr>
        <w:t>i Europejskiej i do Traktatu</w:t>
      </w:r>
      <w:r w:rsidR="00FF009C" w:rsidRPr="00FF009C">
        <w:rPr>
          <w:noProof/>
        </w:rPr>
        <w:t xml:space="preserve"> o</w:t>
      </w:r>
      <w:r w:rsidR="00FF009C">
        <w:rPr>
          <w:noProof/>
        </w:rPr>
        <w:t> </w:t>
      </w:r>
      <w:r w:rsidR="00FF009C" w:rsidRPr="00FF009C">
        <w:rPr>
          <w:noProof/>
        </w:rPr>
        <w:t>fun</w:t>
      </w:r>
      <w:r w:rsidRPr="00FF009C">
        <w:rPr>
          <w:noProof/>
        </w:rPr>
        <w:t>kcjonowaniu Unii Europejskiej, bez uszczerbku dla art.</w:t>
      </w:r>
      <w:r w:rsidR="00FF009C" w:rsidRPr="00FF009C">
        <w:rPr>
          <w:noProof/>
        </w:rPr>
        <w:t> </w:t>
      </w:r>
      <w:r w:rsidRPr="00FF009C">
        <w:rPr>
          <w:noProof/>
        </w:rPr>
        <w:t>4 tego protokołu, Irlandia nie uczestniczy</w:t>
      </w:r>
      <w:r w:rsidR="00FF009C" w:rsidRPr="00FF009C">
        <w:rPr>
          <w:noProof/>
        </w:rPr>
        <w:t xml:space="preserve"> w</w:t>
      </w:r>
      <w:r w:rsidR="00FF009C">
        <w:rPr>
          <w:noProof/>
        </w:rPr>
        <w:t> </w:t>
      </w:r>
      <w:r w:rsidR="00FF009C" w:rsidRPr="00FF009C">
        <w:rPr>
          <w:noProof/>
        </w:rPr>
        <w:t>prz</w:t>
      </w:r>
      <w:r w:rsidRPr="00FF009C">
        <w:rPr>
          <w:noProof/>
        </w:rPr>
        <w:t>yjęciu niniejszego rozporządzenia</w:t>
      </w:r>
      <w:r w:rsidR="00FF009C" w:rsidRPr="00FF009C">
        <w:rPr>
          <w:noProof/>
        </w:rPr>
        <w:t xml:space="preserve"> i</w:t>
      </w:r>
      <w:r w:rsidR="00FF009C">
        <w:rPr>
          <w:noProof/>
        </w:rPr>
        <w:t> </w:t>
      </w:r>
      <w:r w:rsidR="00FF009C" w:rsidRPr="00FF009C">
        <w:rPr>
          <w:noProof/>
        </w:rPr>
        <w:t>nie</w:t>
      </w:r>
      <w:r w:rsidRPr="00FF009C">
        <w:rPr>
          <w:noProof/>
        </w:rPr>
        <w:t xml:space="preserve"> jest nim związana ani go nie stosuje.]</w:t>
      </w:r>
    </w:p>
    <w:p w14:paraId="66410C22" w14:textId="00ADE14A" w:rsidR="0043039B" w:rsidRPr="00FF009C" w:rsidRDefault="0028650E" w:rsidP="0028650E">
      <w:pPr>
        <w:pStyle w:val="ManualConsidrant"/>
        <w:rPr>
          <w:noProof/>
        </w:rPr>
      </w:pPr>
      <w:r w:rsidRPr="00FF009C">
        <w:rPr>
          <w:noProof/>
        </w:rPr>
        <w:t>(23)</w:t>
      </w:r>
      <w:r w:rsidRPr="00FF009C">
        <w:rPr>
          <w:noProof/>
        </w:rPr>
        <w:tab/>
        <w:t>Zgodnie</w:t>
      </w:r>
      <w:r w:rsidR="00FF009C" w:rsidRPr="00FF009C">
        <w:rPr>
          <w:noProof/>
        </w:rPr>
        <w:t xml:space="preserve"> z</w:t>
      </w:r>
      <w:r w:rsidR="00FF009C">
        <w:rPr>
          <w:noProof/>
        </w:rPr>
        <w:t> </w:t>
      </w:r>
      <w:r w:rsidR="00FF009C" w:rsidRPr="00FF009C">
        <w:rPr>
          <w:noProof/>
        </w:rPr>
        <w:t>art</w:t>
      </w:r>
      <w:r w:rsidRPr="00FF009C">
        <w:rPr>
          <w:noProof/>
        </w:rPr>
        <w:t>.</w:t>
      </w:r>
      <w:r w:rsidR="00FF009C" w:rsidRPr="00FF009C">
        <w:rPr>
          <w:noProof/>
        </w:rPr>
        <w:t> </w:t>
      </w:r>
      <w:r w:rsidRPr="00FF009C">
        <w:rPr>
          <w:noProof/>
        </w:rPr>
        <w:t>1</w:t>
      </w:r>
      <w:r w:rsidR="00FF009C" w:rsidRPr="00FF009C">
        <w:rPr>
          <w:noProof/>
        </w:rPr>
        <w:t xml:space="preserve"> i</w:t>
      </w:r>
      <w:r w:rsidR="00FF009C">
        <w:rPr>
          <w:noProof/>
        </w:rPr>
        <w:t> </w:t>
      </w:r>
      <w:r w:rsidR="00FF009C" w:rsidRPr="00FF009C">
        <w:rPr>
          <w:noProof/>
        </w:rPr>
        <w:t>2</w:t>
      </w:r>
      <w:r w:rsidRPr="00FF009C">
        <w:rPr>
          <w:noProof/>
        </w:rPr>
        <w:t xml:space="preserve"> Protokołu nr</w:t>
      </w:r>
      <w:r w:rsidR="00FF009C" w:rsidRPr="00FF009C">
        <w:rPr>
          <w:noProof/>
        </w:rPr>
        <w:t> </w:t>
      </w:r>
      <w:r w:rsidRPr="00FF009C">
        <w:rPr>
          <w:noProof/>
        </w:rPr>
        <w:t>22</w:t>
      </w:r>
      <w:r w:rsidR="00FF009C" w:rsidRPr="00FF009C">
        <w:rPr>
          <w:noProof/>
        </w:rPr>
        <w:t xml:space="preserve"> w</w:t>
      </w:r>
      <w:r w:rsidR="00FF009C">
        <w:rPr>
          <w:noProof/>
        </w:rPr>
        <w:t> </w:t>
      </w:r>
      <w:r w:rsidR="00FF009C" w:rsidRPr="00FF009C">
        <w:rPr>
          <w:noProof/>
        </w:rPr>
        <w:t>spr</w:t>
      </w:r>
      <w:r w:rsidRPr="00FF009C">
        <w:rPr>
          <w:noProof/>
        </w:rPr>
        <w:t>awie stanowiska Danii, załączonego do Traktatu</w:t>
      </w:r>
      <w:r w:rsidR="00FF009C" w:rsidRPr="00FF009C">
        <w:rPr>
          <w:noProof/>
        </w:rPr>
        <w:t xml:space="preserve"> o</w:t>
      </w:r>
      <w:r w:rsidR="00FF009C">
        <w:rPr>
          <w:noProof/>
        </w:rPr>
        <w:t> </w:t>
      </w:r>
      <w:r w:rsidR="00FF009C" w:rsidRPr="00FF009C">
        <w:rPr>
          <w:noProof/>
        </w:rPr>
        <w:t>Uni</w:t>
      </w:r>
      <w:r w:rsidRPr="00FF009C">
        <w:rPr>
          <w:noProof/>
        </w:rPr>
        <w:t>i Europejskiej i do Traktatu</w:t>
      </w:r>
      <w:r w:rsidR="00FF009C" w:rsidRPr="00FF009C">
        <w:rPr>
          <w:noProof/>
        </w:rPr>
        <w:t xml:space="preserve"> o</w:t>
      </w:r>
      <w:r w:rsidR="00FF009C">
        <w:rPr>
          <w:noProof/>
        </w:rPr>
        <w:t> </w:t>
      </w:r>
      <w:r w:rsidR="00FF009C" w:rsidRPr="00FF009C">
        <w:rPr>
          <w:noProof/>
        </w:rPr>
        <w:t>fun</w:t>
      </w:r>
      <w:r w:rsidRPr="00FF009C">
        <w:rPr>
          <w:noProof/>
        </w:rPr>
        <w:t>kcjonowaniu Unii Europejskiej, Dania nie uczestniczy</w:t>
      </w:r>
      <w:r w:rsidR="00FF009C" w:rsidRPr="00FF009C">
        <w:rPr>
          <w:noProof/>
        </w:rPr>
        <w:t xml:space="preserve"> w</w:t>
      </w:r>
      <w:r w:rsidR="00FF009C">
        <w:rPr>
          <w:noProof/>
        </w:rPr>
        <w:t> </w:t>
      </w:r>
      <w:r w:rsidR="00FF009C" w:rsidRPr="00FF009C">
        <w:rPr>
          <w:noProof/>
        </w:rPr>
        <w:t>prz</w:t>
      </w:r>
      <w:r w:rsidRPr="00FF009C">
        <w:rPr>
          <w:noProof/>
        </w:rPr>
        <w:t>yjęciu niniejszego rozporządzenia</w:t>
      </w:r>
      <w:r w:rsidR="00FF009C" w:rsidRPr="00FF009C">
        <w:rPr>
          <w:noProof/>
        </w:rPr>
        <w:t xml:space="preserve"> i</w:t>
      </w:r>
      <w:r w:rsidR="00FF009C">
        <w:rPr>
          <w:noProof/>
        </w:rPr>
        <w:t> </w:t>
      </w:r>
      <w:r w:rsidR="00FF009C" w:rsidRPr="00FF009C">
        <w:rPr>
          <w:noProof/>
        </w:rPr>
        <w:t>nie</w:t>
      </w:r>
      <w:r w:rsidRPr="00FF009C">
        <w:rPr>
          <w:noProof/>
        </w:rPr>
        <w:t xml:space="preserve"> jest nim związana ani go nie stosuje.</w:t>
      </w:r>
    </w:p>
    <w:p w14:paraId="687B62A5" w14:textId="345B68AE" w:rsidR="0043039B" w:rsidRPr="00FF009C" w:rsidRDefault="0028650E" w:rsidP="0028650E">
      <w:pPr>
        <w:pStyle w:val="ManualConsidrant"/>
        <w:rPr>
          <w:noProof/>
        </w:rPr>
      </w:pPr>
      <w:r w:rsidRPr="00FF009C">
        <w:rPr>
          <w:noProof/>
        </w:rPr>
        <w:t>(24)</w:t>
      </w:r>
      <w:r w:rsidRPr="00FF009C">
        <w:rPr>
          <w:noProof/>
        </w:rPr>
        <w:tab/>
        <w:t>[Zgodnie</w:t>
      </w:r>
      <w:r w:rsidR="00FF009C" w:rsidRPr="00FF009C">
        <w:rPr>
          <w:noProof/>
        </w:rPr>
        <w:t xml:space="preserve"> z</w:t>
      </w:r>
      <w:r w:rsidR="00FF009C">
        <w:rPr>
          <w:noProof/>
        </w:rPr>
        <w:t> </w:t>
      </w:r>
      <w:r w:rsidR="00FF009C" w:rsidRPr="00FF009C">
        <w:rPr>
          <w:noProof/>
        </w:rPr>
        <w:t>art</w:t>
      </w:r>
      <w:r w:rsidRPr="00FF009C">
        <w:rPr>
          <w:noProof/>
        </w:rPr>
        <w:t>.</w:t>
      </w:r>
      <w:r w:rsidR="00FF009C" w:rsidRPr="00FF009C">
        <w:rPr>
          <w:noProof/>
        </w:rPr>
        <w:t> </w:t>
      </w:r>
      <w:r w:rsidRPr="00FF009C">
        <w:rPr>
          <w:noProof/>
        </w:rPr>
        <w:t>42 ust.</w:t>
      </w:r>
      <w:r w:rsidR="00FF009C" w:rsidRPr="00FF009C">
        <w:rPr>
          <w:noProof/>
        </w:rPr>
        <w:t> </w:t>
      </w:r>
      <w:r w:rsidRPr="00FF009C">
        <w:rPr>
          <w:noProof/>
        </w:rPr>
        <w:t>1 rozporządzenia Parlamentu Europejskiego</w:t>
      </w:r>
      <w:r w:rsidR="00FF009C" w:rsidRPr="00FF009C">
        <w:rPr>
          <w:noProof/>
        </w:rPr>
        <w:t xml:space="preserve"> i</w:t>
      </w:r>
      <w:r w:rsidR="00FF009C">
        <w:rPr>
          <w:noProof/>
        </w:rPr>
        <w:t> </w:t>
      </w:r>
      <w:r w:rsidR="00FF009C" w:rsidRPr="00FF009C">
        <w:rPr>
          <w:noProof/>
        </w:rPr>
        <w:t>Rad</w:t>
      </w:r>
      <w:r w:rsidRPr="00FF009C">
        <w:rPr>
          <w:noProof/>
        </w:rPr>
        <w:t>y (UE) 2018/1725</w:t>
      </w:r>
      <w:r w:rsidR="00E10B6C" w:rsidRPr="00FF009C">
        <w:rPr>
          <w:rStyle w:val="FootnoteReference0"/>
          <w:noProof/>
        </w:rPr>
        <w:footnoteReference w:id="23"/>
      </w:r>
      <w:r w:rsidRPr="00FF009C">
        <w:rPr>
          <w:noProof/>
        </w:rPr>
        <w:t xml:space="preserve"> skonsultowano się</w:t>
      </w:r>
      <w:r w:rsidR="00FF009C" w:rsidRPr="00FF009C">
        <w:rPr>
          <w:noProof/>
        </w:rPr>
        <w:t xml:space="preserve"> z</w:t>
      </w:r>
      <w:r w:rsidR="00FF009C">
        <w:rPr>
          <w:noProof/>
        </w:rPr>
        <w:t> </w:t>
      </w:r>
      <w:r w:rsidR="00FF009C" w:rsidRPr="00FF009C">
        <w:rPr>
          <w:noProof/>
        </w:rPr>
        <w:t>Eur</w:t>
      </w:r>
      <w:r w:rsidRPr="00FF009C">
        <w:rPr>
          <w:noProof/>
        </w:rPr>
        <w:t>opejskim Inspektorem Ochrony Danych; swoją opinię wydał on</w:t>
      </w:r>
      <w:r w:rsidR="00FF009C" w:rsidRPr="00FF009C">
        <w:rPr>
          <w:noProof/>
        </w:rPr>
        <w:t xml:space="preserve"> w</w:t>
      </w:r>
      <w:r w:rsidR="00FF009C">
        <w:rPr>
          <w:noProof/>
        </w:rPr>
        <w:t> </w:t>
      </w:r>
      <w:r w:rsidR="00FF009C" w:rsidRPr="00FF009C">
        <w:rPr>
          <w:noProof/>
        </w:rPr>
        <w:t>dni</w:t>
      </w:r>
      <w:r w:rsidRPr="00FF009C">
        <w:rPr>
          <w:noProof/>
        </w:rPr>
        <w:t>u […] r.</w:t>
      </w:r>
      <w:r w:rsidR="005D1FBE" w:rsidRPr="00FF009C">
        <w:rPr>
          <w:rStyle w:val="FootnoteReference0"/>
          <w:noProof/>
        </w:rPr>
        <w:footnoteReference w:id="24"/>
      </w:r>
    </w:p>
    <w:p w14:paraId="60843C2A" w14:textId="36A32A32" w:rsidR="007D369F" w:rsidRPr="00FF009C" w:rsidRDefault="0028650E" w:rsidP="0028650E">
      <w:pPr>
        <w:pStyle w:val="ManualConsidrant"/>
        <w:rPr>
          <w:noProof/>
        </w:rPr>
      </w:pPr>
      <w:r w:rsidRPr="00FF009C">
        <w:rPr>
          <w:noProof/>
        </w:rPr>
        <w:t>(25)</w:t>
      </w:r>
      <w:r w:rsidRPr="00FF009C">
        <w:rPr>
          <w:noProof/>
        </w:rPr>
        <w:tab/>
        <w:t>Ponieważ cele niniejszego rozporządzenia – polegające na zwiększeniu skuteczności zapobiegania przemytowi migrantów</w:t>
      </w:r>
      <w:r w:rsidR="00FF009C" w:rsidRPr="00FF009C">
        <w:rPr>
          <w:noProof/>
        </w:rPr>
        <w:t xml:space="preserve"> i</w:t>
      </w:r>
      <w:r w:rsidR="00FF009C">
        <w:rPr>
          <w:noProof/>
        </w:rPr>
        <w:t> </w:t>
      </w:r>
      <w:r w:rsidR="00FF009C" w:rsidRPr="00FF009C">
        <w:rPr>
          <w:noProof/>
        </w:rPr>
        <w:t>han</w:t>
      </w:r>
      <w:r w:rsidRPr="00FF009C">
        <w:rPr>
          <w:noProof/>
        </w:rPr>
        <w:t>dlowi ludźmi, wykrywania tych przestępstw oraz prowadzenia stosownych postępowań przygotowawczych</w:t>
      </w:r>
      <w:r w:rsidR="00FF009C" w:rsidRPr="00FF009C">
        <w:rPr>
          <w:noProof/>
        </w:rPr>
        <w:t xml:space="preserve"> w</w:t>
      </w:r>
      <w:r w:rsidR="00FF009C">
        <w:rPr>
          <w:noProof/>
        </w:rPr>
        <w:t> </w:t>
      </w:r>
      <w:r w:rsidR="00FF009C" w:rsidRPr="00FF009C">
        <w:rPr>
          <w:noProof/>
        </w:rPr>
        <w:t>tym</w:t>
      </w:r>
      <w:r w:rsidRPr="00FF009C">
        <w:rPr>
          <w:noProof/>
        </w:rPr>
        <w:t xml:space="preserve"> zakresie – nie mogą zostać osiągnięte</w:t>
      </w:r>
      <w:r w:rsidR="00FF009C" w:rsidRPr="00FF009C">
        <w:rPr>
          <w:noProof/>
        </w:rPr>
        <w:t xml:space="preserve"> w</w:t>
      </w:r>
      <w:r w:rsidR="00FF009C">
        <w:rPr>
          <w:noProof/>
        </w:rPr>
        <w:t> </w:t>
      </w:r>
      <w:r w:rsidR="00FF009C" w:rsidRPr="00FF009C">
        <w:rPr>
          <w:noProof/>
        </w:rPr>
        <w:t>spo</w:t>
      </w:r>
      <w:r w:rsidRPr="00FF009C">
        <w:rPr>
          <w:noProof/>
        </w:rPr>
        <w:t>sób wystarczający samodzielnie przez państwa członkowskie</w:t>
      </w:r>
      <w:r w:rsidR="00FF009C" w:rsidRPr="00FF009C">
        <w:rPr>
          <w:noProof/>
        </w:rPr>
        <w:t xml:space="preserve"> w</w:t>
      </w:r>
      <w:r w:rsidR="00FF009C">
        <w:rPr>
          <w:noProof/>
        </w:rPr>
        <w:t> </w:t>
      </w:r>
      <w:r w:rsidR="00FF009C" w:rsidRPr="00FF009C">
        <w:rPr>
          <w:noProof/>
        </w:rPr>
        <w:t>zwi</w:t>
      </w:r>
      <w:r w:rsidRPr="00FF009C">
        <w:rPr>
          <w:noProof/>
        </w:rPr>
        <w:t>ązku</w:t>
      </w:r>
      <w:r w:rsidR="00FF009C" w:rsidRPr="00FF009C">
        <w:rPr>
          <w:noProof/>
        </w:rPr>
        <w:t xml:space="preserve"> z</w:t>
      </w:r>
      <w:r w:rsidR="00FF009C">
        <w:rPr>
          <w:noProof/>
        </w:rPr>
        <w:t> </w:t>
      </w:r>
      <w:r w:rsidR="00FF009C" w:rsidRPr="00FF009C">
        <w:rPr>
          <w:noProof/>
        </w:rPr>
        <w:t>tra</w:t>
      </w:r>
      <w:r w:rsidRPr="00FF009C">
        <w:rPr>
          <w:noProof/>
        </w:rPr>
        <w:t>nsnarodowym charakterem tych przestępstw, natomiast ze względu wpływ współpracy</w:t>
      </w:r>
      <w:r w:rsidR="00FF009C" w:rsidRPr="00FF009C">
        <w:rPr>
          <w:noProof/>
        </w:rPr>
        <w:t xml:space="preserve"> i</w:t>
      </w:r>
      <w:r w:rsidR="00FF009C">
        <w:rPr>
          <w:noProof/>
        </w:rPr>
        <w:t> </w:t>
      </w:r>
      <w:r w:rsidR="00FF009C" w:rsidRPr="00FF009C">
        <w:rPr>
          <w:noProof/>
        </w:rPr>
        <w:t>wym</w:t>
      </w:r>
      <w:r w:rsidRPr="00FF009C">
        <w:rPr>
          <w:noProof/>
        </w:rPr>
        <w:t>iany informacji możliwe jest lepsze osiągnięcie tych celów na poziomie Unii, może ona podjąć działania zgodnie</w:t>
      </w:r>
      <w:r w:rsidR="00FF009C" w:rsidRPr="00FF009C">
        <w:rPr>
          <w:noProof/>
        </w:rPr>
        <w:t xml:space="preserve"> z</w:t>
      </w:r>
      <w:r w:rsidR="00FF009C">
        <w:rPr>
          <w:noProof/>
        </w:rPr>
        <w:t> </w:t>
      </w:r>
      <w:r w:rsidR="00FF009C" w:rsidRPr="00FF009C">
        <w:rPr>
          <w:noProof/>
        </w:rPr>
        <w:t>zas</w:t>
      </w:r>
      <w:r w:rsidRPr="00FF009C">
        <w:rPr>
          <w:noProof/>
        </w:rPr>
        <w:t>adą pomocniczości określoną</w:t>
      </w:r>
      <w:r w:rsidR="00FF009C" w:rsidRPr="00FF009C">
        <w:rPr>
          <w:noProof/>
        </w:rPr>
        <w:t xml:space="preserve"> w</w:t>
      </w:r>
      <w:r w:rsidR="00FF009C">
        <w:rPr>
          <w:noProof/>
        </w:rPr>
        <w:t> </w:t>
      </w:r>
      <w:r w:rsidR="00FF009C" w:rsidRPr="00FF009C">
        <w:rPr>
          <w:noProof/>
        </w:rPr>
        <w:t>art</w:t>
      </w:r>
      <w:r w:rsidRPr="00FF009C">
        <w:rPr>
          <w:noProof/>
        </w:rPr>
        <w:t>.</w:t>
      </w:r>
      <w:r w:rsidR="00FF009C" w:rsidRPr="00FF009C">
        <w:rPr>
          <w:noProof/>
        </w:rPr>
        <w:t> </w:t>
      </w:r>
      <w:r w:rsidRPr="00FF009C">
        <w:rPr>
          <w:noProof/>
        </w:rPr>
        <w:t>5 Traktatu</w:t>
      </w:r>
      <w:r w:rsidR="00FF009C" w:rsidRPr="00FF009C">
        <w:rPr>
          <w:noProof/>
        </w:rPr>
        <w:t xml:space="preserve"> o</w:t>
      </w:r>
      <w:r w:rsidR="00FF009C">
        <w:rPr>
          <w:noProof/>
        </w:rPr>
        <w:t> </w:t>
      </w:r>
      <w:r w:rsidR="00FF009C" w:rsidRPr="00FF009C">
        <w:rPr>
          <w:noProof/>
        </w:rPr>
        <w:t>Uni</w:t>
      </w:r>
      <w:r w:rsidRPr="00FF009C">
        <w:rPr>
          <w:noProof/>
        </w:rPr>
        <w:t>i Europejskiej. Zgodnie</w:t>
      </w:r>
      <w:r w:rsidR="00FF009C" w:rsidRPr="00FF009C">
        <w:rPr>
          <w:noProof/>
        </w:rPr>
        <w:t xml:space="preserve"> z</w:t>
      </w:r>
      <w:r w:rsidR="00FF009C">
        <w:rPr>
          <w:noProof/>
        </w:rPr>
        <w:t> </w:t>
      </w:r>
      <w:r w:rsidR="00FF009C" w:rsidRPr="00FF009C">
        <w:rPr>
          <w:noProof/>
        </w:rPr>
        <w:t>zas</w:t>
      </w:r>
      <w:r w:rsidRPr="00FF009C">
        <w:rPr>
          <w:noProof/>
        </w:rPr>
        <w:t>adą proporcjonalności, określoną</w:t>
      </w:r>
      <w:r w:rsidR="00FF009C" w:rsidRPr="00FF009C">
        <w:rPr>
          <w:noProof/>
        </w:rPr>
        <w:t xml:space="preserve"> w</w:t>
      </w:r>
      <w:r w:rsidR="00FF009C">
        <w:rPr>
          <w:noProof/>
        </w:rPr>
        <w:t> </w:t>
      </w:r>
      <w:r w:rsidR="00FF009C" w:rsidRPr="00FF009C">
        <w:rPr>
          <w:noProof/>
        </w:rPr>
        <w:t>tym</w:t>
      </w:r>
      <w:r w:rsidRPr="00FF009C">
        <w:rPr>
          <w:noProof/>
        </w:rPr>
        <w:t xml:space="preserve"> artykule, niniejsze rozporządzenie nie wykracza poza to, co jest konieczne do osiągnięcia tych celów.</w:t>
      </w:r>
    </w:p>
    <w:p w14:paraId="4C050A7F" w14:textId="43612888" w:rsidR="0043039B" w:rsidRPr="00FF009C" w:rsidRDefault="0028650E" w:rsidP="0028650E">
      <w:pPr>
        <w:pStyle w:val="ManualConsidrant"/>
        <w:rPr>
          <w:noProof/>
        </w:rPr>
      </w:pPr>
      <w:r w:rsidRPr="00FF009C">
        <w:rPr>
          <w:noProof/>
        </w:rPr>
        <w:t>(26)</w:t>
      </w:r>
      <w:r w:rsidRPr="00FF009C">
        <w:rPr>
          <w:noProof/>
        </w:rPr>
        <w:tab/>
        <w:t>W niniejszym rozporządzeniu</w:t>
      </w:r>
      <w:r w:rsidR="00FF009C" w:rsidRPr="00FF009C">
        <w:rPr>
          <w:noProof/>
        </w:rPr>
        <w:t xml:space="preserve"> w</w:t>
      </w:r>
      <w:r w:rsidR="00FF009C">
        <w:rPr>
          <w:noProof/>
        </w:rPr>
        <w:t> </w:t>
      </w:r>
      <w:r w:rsidR="00FF009C" w:rsidRPr="00FF009C">
        <w:rPr>
          <w:noProof/>
        </w:rPr>
        <w:t>peł</w:t>
      </w:r>
      <w:r w:rsidRPr="00FF009C">
        <w:rPr>
          <w:noProof/>
        </w:rPr>
        <w:t>ni respektuje się prawa podstawowe</w:t>
      </w:r>
      <w:r w:rsidR="00FF009C" w:rsidRPr="00FF009C">
        <w:rPr>
          <w:noProof/>
        </w:rPr>
        <w:t xml:space="preserve"> i</w:t>
      </w:r>
      <w:r w:rsidR="00FF009C">
        <w:rPr>
          <w:noProof/>
        </w:rPr>
        <w:t> </w:t>
      </w:r>
      <w:r w:rsidR="00FF009C" w:rsidRPr="00FF009C">
        <w:rPr>
          <w:noProof/>
        </w:rPr>
        <w:t>zab</w:t>
      </w:r>
      <w:r w:rsidRPr="00FF009C">
        <w:rPr>
          <w:noProof/>
        </w:rPr>
        <w:t>ezpieczenia</w:t>
      </w:r>
      <w:r w:rsidR="00FF009C" w:rsidRPr="00FF009C">
        <w:rPr>
          <w:noProof/>
        </w:rPr>
        <w:t xml:space="preserve"> i</w:t>
      </w:r>
      <w:r w:rsidR="00FF009C">
        <w:rPr>
          <w:noProof/>
        </w:rPr>
        <w:t> </w:t>
      </w:r>
      <w:r w:rsidR="00FF009C" w:rsidRPr="00FF009C">
        <w:rPr>
          <w:noProof/>
        </w:rPr>
        <w:t>prz</w:t>
      </w:r>
      <w:r w:rsidRPr="00FF009C">
        <w:rPr>
          <w:noProof/>
        </w:rPr>
        <w:t>estrzega zasad uznanych</w:t>
      </w:r>
      <w:r w:rsidR="00FF009C" w:rsidRPr="00FF009C">
        <w:rPr>
          <w:noProof/>
        </w:rPr>
        <w:t xml:space="preserve"> w</w:t>
      </w:r>
      <w:r w:rsidR="00FF009C">
        <w:rPr>
          <w:noProof/>
        </w:rPr>
        <w:t> </w:t>
      </w:r>
      <w:r w:rsidR="00FF009C" w:rsidRPr="00FF009C">
        <w:rPr>
          <w:noProof/>
        </w:rPr>
        <w:t>szc</w:t>
      </w:r>
      <w:r w:rsidRPr="00FF009C">
        <w:rPr>
          <w:noProof/>
        </w:rPr>
        <w:t>zególności</w:t>
      </w:r>
      <w:r w:rsidR="00FF009C" w:rsidRPr="00FF009C">
        <w:rPr>
          <w:noProof/>
        </w:rPr>
        <w:t xml:space="preserve"> w</w:t>
      </w:r>
      <w:r w:rsidR="00FF009C">
        <w:rPr>
          <w:noProof/>
        </w:rPr>
        <w:t> </w:t>
      </w:r>
      <w:r w:rsidR="00FF009C" w:rsidRPr="00FF009C">
        <w:rPr>
          <w:noProof/>
        </w:rPr>
        <w:t>Kar</w:t>
      </w:r>
      <w:r w:rsidRPr="00FF009C">
        <w:rPr>
          <w:noProof/>
        </w:rPr>
        <w:t>cie praw podstawowych Unii Europejskiej (zwanej dalej „Kartą”),</w:t>
      </w:r>
      <w:r w:rsidR="00FF009C" w:rsidRPr="00FF009C">
        <w:rPr>
          <w:noProof/>
        </w:rPr>
        <w:t xml:space="preserve"> w</w:t>
      </w:r>
      <w:r w:rsidR="00FF009C">
        <w:rPr>
          <w:noProof/>
        </w:rPr>
        <w:t> </w:t>
      </w:r>
      <w:r w:rsidR="00FF009C" w:rsidRPr="00FF009C">
        <w:rPr>
          <w:noProof/>
        </w:rPr>
        <w:t>szc</w:t>
      </w:r>
      <w:r w:rsidRPr="00FF009C">
        <w:rPr>
          <w:noProof/>
        </w:rPr>
        <w:t>zególności prawo do poszanowania życia prywatnego</w:t>
      </w:r>
      <w:r w:rsidR="00FF009C" w:rsidRPr="00FF009C">
        <w:rPr>
          <w:noProof/>
        </w:rPr>
        <w:t xml:space="preserve"> i</w:t>
      </w:r>
      <w:r w:rsidR="00FF009C">
        <w:rPr>
          <w:noProof/>
        </w:rPr>
        <w:t> </w:t>
      </w:r>
      <w:r w:rsidR="00FF009C" w:rsidRPr="00FF009C">
        <w:rPr>
          <w:noProof/>
        </w:rPr>
        <w:t>rod</w:t>
      </w:r>
      <w:r w:rsidRPr="00FF009C">
        <w:rPr>
          <w:noProof/>
        </w:rPr>
        <w:t>zinnego oraz prawo do ochrony danych osobowych, określonych</w:t>
      </w:r>
      <w:r w:rsidR="00FF009C" w:rsidRPr="00FF009C">
        <w:rPr>
          <w:noProof/>
        </w:rPr>
        <w:t xml:space="preserve"> w</w:t>
      </w:r>
      <w:r w:rsidR="00FF009C">
        <w:rPr>
          <w:noProof/>
        </w:rPr>
        <w:t> </w:t>
      </w:r>
      <w:r w:rsidR="00FF009C" w:rsidRPr="00FF009C">
        <w:rPr>
          <w:noProof/>
        </w:rPr>
        <w:t>art</w:t>
      </w:r>
      <w:r w:rsidRPr="00FF009C">
        <w:rPr>
          <w:noProof/>
        </w:rPr>
        <w:t>. 7</w:t>
      </w:r>
      <w:r w:rsidR="00FF009C" w:rsidRPr="00FF009C">
        <w:rPr>
          <w:noProof/>
        </w:rPr>
        <w:t xml:space="preserve"> i</w:t>
      </w:r>
      <w:r w:rsidR="00FF009C">
        <w:rPr>
          <w:noProof/>
        </w:rPr>
        <w:t> </w:t>
      </w:r>
      <w:r w:rsidR="00FF009C" w:rsidRPr="00FF009C">
        <w:rPr>
          <w:noProof/>
        </w:rPr>
        <w:t>8</w:t>
      </w:r>
      <w:r w:rsidRPr="00FF009C">
        <w:rPr>
          <w:noProof/>
        </w:rPr>
        <w:t xml:space="preserve"> Karty oraz art. 16 Traktatu</w:t>
      </w:r>
      <w:r w:rsidR="00FF009C" w:rsidRPr="00FF009C">
        <w:rPr>
          <w:noProof/>
        </w:rPr>
        <w:t xml:space="preserve"> o</w:t>
      </w:r>
      <w:r w:rsidR="00FF009C">
        <w:rPr>
          <w:noProof/>
        </w:rPr>
        <w:t> </w:t>
      </w:r>
      <w:r w:rsidR="00FF009C" w:rsidRPr="00FF009C">
        <w:rPr>
          <w:noProof/>
        </w:rPr>
        <w:t>fun</w:t>
      </w:r>
      <w:r w:rsidRPr="00FF009C">
        <w:rPr>
          <w:noProof/>
        </w:rPr>
        <w:t>kcjonowaniu Unii Europejskiej.</w:t>
      </w:r>
    </w:p>
    <w:p w14:paraId="787091E9" w14:textId="03F21B0B" w:rsidR="0043039B" w:rsidRPr="00FF009C" w:rsidRDefault="0028650E" w:rsidP="0028650E">
      <w:pPr>
        <w:pStyle w:val="ManualConsidrant"/>
        <w:rPr>
          <w:noProof/>
        </w:rPr>
      </w:pPr>
      <w:r w:rsidRPr="00FF009C">
        <w:rPr>
          <w:noProof/>
        </w:rPr>
        <w:t>(27)</w:t>
      </w:r>
      <w:r w:rsidRPr="00FF009C">
        <w:rPr>
          <w:noProof/>
        </w:rPr>
        <w:tab/>
        <w:t>Należy zatem odpowiednio zmienić rozporządzenie (UE) 2016/794,</w:t>
      </w:r>
    </w:p>
    <w:p w14:paraId="119A8771" w14:textId="77777777" w:rsidR="0043039B" w:rsidRPr="00FF009C" w:rsidRDefault="0043039B" w:rsidP="0043039B">
      <w:pPr>
        <w:pStyle w:val="Formuledadoption"/>
        <w:rPr>
          <w:noProof/>
        </w:rPr>
      </w:pPr>
      <w:r w:rsidRPr="00FF009C">
        <w:rPr>
          <w:noProof/>
        </w:rPr>
        <w:t>PRZYJMUJĄ NINIEJSZE ROZPORZĄDZENIE:</w:t>
      </w:r>
    </w:p>
    <w:p w14:paraId="704AADD3" w14:textId="77777777" w:rsidR="0043039B" w:rsidRPr="00FF009C" w:rsidRDefault="0043039B" w:rsidP="0043039B">
      <w:pPr>
        <w:pStyle w:val="ChapterTitle"/>
        <w:rPr>
          <w:noProof/>
          <w:sz w:val="24"/>
          <w:szCs w:val="24"/>
        </w:rPr>
      </w:pPr>
      <w:r w:rsidRPr="00FF009C">
        <w:rPr>
          <w:noProof/>
          <w:sz w:val="24"/>
        </w:rPr>
        <w:t>Rozdział I</w:t>
      </w:r>
    </w:p>
    <w:p w14:paraId="7BFB6532" w14:textId="77777777" w:rsidR="0043039B" w:rsidRPr="00FF009C" w:rsidRDefault="0043039B" w:rsidP="0043039B">
      <w:pPr>
        <w:pStyle w:val="ChapterTitle"/>
        <w:spacing w:before="360"/>
        <w:rPr>
          <w:noProof/>
          <w:sz w:val="24"/>
        </w:rPr>
      </w:pPr>
      <w:r w:rsidRPr="00FF009C">
        <w:rPr>
          <w:noProof/>
          <w:sz w:val="24"/>
        </w:rPr>
        <w:t>POSTANOWIENIA OGÓLNE</w:t>
      </w:r>
    </w:p>
    <w:p w14:paraId="76661E94" w14:textId="77777777" w:rsidR="0043039B" w:rsidRPr="00FF009C" w:rsidRDefault="0043039B" w:rsidP="0043039B">
      <w:pPr>
        <w:pStyle w:val="Titrearticle"/>
        <w:rPr>
          <w:noProof/>
        </w:rPr>
      </w:pPr>
      <w:r w:rsidRPr="00FF009C">
        <w:rPr>
          <w:noProof/>
        </w:rPr>
        <w:t>Artykuł 1</w:t>
      </w:r>
    </w:p>
    <w:p w14:paraId="46B017DD" w14:textId="391A0790" w:rsidR="0043039B" w:rsidRPr="00FF009C" w:rsidRDefault="0043039B" w:rsidP="0043039B">
      <w:pPr>
        <w:spacing w:before="0"/>
        <w:jc w:val="center"/>
        <w:rPr>
          <w:b/>
          <w:iCs/>
          <w:noProof/>
        </w:rPr>
      </w:pPr>
      <w:r w:rsidRPr="00FF009C">
        <w:rPr>
          <w:b/>
          <w:noProof/>
        </w:rPr>
        <w:t>Przedmiot</w:t>
      </w:r>
      <w:r w:rsidR="00FF009C" w:rsidRPr="00FF009C">
        <w:rPr>
          <w:b/>
          <w:noProof/>
        </w:rPr>
        <w:t xml:space="preserve"> i</w:t>
      </w:r>
      <w:r w:rsidR="00FF009C">
        <w:rPr>
          <w:b/>
          <w:noProof/>
        </w:rPr>
        <w:t> </w:t>
      </w:r>
      <w:r w:rsidR="00FF009C" w:rsidRPr="00FF009C">
        <w:rPr>
          <w:b/>
          <w:noProof/>
        </w:rPr>
        <w:t>zak</w:t>
      </w:r>
      <w:r w:rsidRPr="00FF009C">
        <w:rPr>
          <w:b/>
          <w:noProof/>
        </w:rPr>
        <w:t xml:space="preserve">res </w:t>
      </w:r>
    </w:p>
    <w:p w14:paraId="6C905C1D" w14:textId="64221F00" w:rsidR="0043039B" w:rsidRPr="00FF009C" w:rsidRDefault="0043039B" w:rsidP="0043039B">
      <w:pPr>
        <w:rPr>
          <w:noProof/>
        </w:rPr>
      </w:pPr>
      <w:r w:rsidRPr="00FF009C">
        <w:rPr>
          <w:noProof/>
        </w:rPr>
        <w:t>W niniejszym rozporządzeniu ustanawia się przepisy mające na celu zacieśnienie współpracy policyjnej</w:t>
      </w:r>
      <w:r w:rsidR="00FF009C" w:rsidRPr="00FF009C">
        <w:rPr>
          <w:noProof/>
        </w:rPr>
        <w:t xml:space="preserve"> i</w:t>
      </w:r>
      <w:r w:rsidR="00FF009C">
        <w:rPr>
          <w:noProof/>
        </w:rPr>
        <w:t> </w:t>
      </w:r>
      <w:r w:rsidR="00FF009C" w:rsidRPr="00FF009C">
        <w:rPr>
          <w:noProof/>
        </w:rPr>
        <w:t>wsp</w:t>
      </w:r>
      <w:r w:rsidRPr="00FF009C">
        <w:rPr>
          <w:noProof/>
        </w:rPr>
        <w:t>arcie Agencji Unii Europejskiej ds. Współpracy Organów Ścigania (Europol)</w:t>
      </w:r>
      <w:r w:rsidR="00FF009C" w:rsidRPr="00FF009C">
        <w:rPr>
          <w:noProof/>
        </w:rPr>
        <w:t xml:space="preserve"> w</w:t>
      </w:r>
      <w:r w:rsidR="00FF009C">
        <w:rPr>
          <w:noProof/>
        </w:rPr>
        <w:t> </w:t>
      </w:r>
      <w:r w:rsidR="00FF009C" w:rsidRPr="00FF009C">
        <w:rPr>
          <w:noProof/>
        </w:rPr>
        <w:t>zap</w:t>
      </w:r>
      <w:r w:rsidRPr="00FF009C">
        <w:rPr>
          <w:noProof/>
        </w:rPr>
        <w:t>obieganiu przemytowi migrantów</w:t>
      </w:r>
      <w:r w:rsidR="00FF009C" w:rsidRPr="00FF009C">
        <w:rPr>
          <w:noProof/>
        </w:rPr>
        <w:t xml:space="preserve"> i</w:t>
      </w:r>
      <w:r w:rsidR="00FF009C">
        <w:rPr>
          <w:noProof/>
        </w:rPr>
        <w:t> </w:t>
      </w:r>
      <w:r w:rsidR="00FF009C" w:rsidRPr="00FF009C">
        <w:rPr>
          <w:noProof/>
        </w:rPr>
        <w:t>han</w:t>
      </w:r>
      <w:r w:rsidRPr="00FF009C">
        <w:rPr>
          <w:noProof/>
        </w:rPr>
        <w:t xml:space="preserve">dlowi ludźmi oraz zwalczaniu tych przestępstw przez: </w:t>
      </w:r>
    </w:p>
    <w:p w14:paraId="792AB4C6" w14:textId="19D6223D" w:rsidR="0043039B" w:rsidRPr="00FF009C" w:rsidRDefault="0043039B" w:rsidP="0043039B">
      <w:pPr>
        <w:ind w:left="720" w:hanging="720"/>
        <w:rPr>
          <w:noProof/>
        </w:rPr>
      </w:pPr>
      <w:r w:rsidRPr="00FF009C">
        <w:rPr>
          <w:noProof/>
        </w:rPr>
        <w:t>a)</w:t>
      </w:r>
      <w:r w:rsidRPr="00FF009C">
        <w:rPr>
          <w:noProof/>
        </w:rPr>
        <w:tab/>
        <w:t>ustanowienie</w:t>
      </w:r>
      <w:r w:rsidR="00FF009C" w:rsidRPr="00FF009C">
        <w:rPr>
          <w:noProof/>
        </w:rPr>
        <w:t xml:space="preserve"> w</w:t>
      </w:r>
      <w:r w:rsidR="00FF009C">
        <w:rPr>
          <w:noProof/>
        </w:rPr>
        <w:t> </w:t>
      </w:r>
      <w:r w:rsidR="00FF009C" w:rsidRPr="00FF009C">
        <w:rPr>
          <w:noProof/>
        </w:rPr>
        <w:t>ram</w:t>
      </w:r>
      <w:r w:rsidRPr="00FF009C">
        <w:rPr>
          <w:noProof/>
        </w:rPr>
        <w:t>ach Europolu Europejskiego Centrum Zwalczania Przemytu Migrantów oraz ram zarządzania</w:t>
      </w:r>
      <w:r w:rsidR="00FF009C" w:rsidRPr="00FF009C">
        <w:rPr>
          <w:noProof/>
        </w:rPr>
        <w:t xml:space="preserve"> w</w:t>
      </w:r>
      <w:r w:rsidR="00FF009C">
        <w:rPr>
          <w:noProof/>
        </w:rPr>
        <w:t> </w:t>
      </w:r>
      <w:r w:rsidR="00FF009C" w:rsidRPr="00FF009C">
        <w:rPr>
          <w:noProof/>
        </w:rPr>
        <w:t>cel</w:t>
      </w:r>
      <w:r w:rsidRPr="00FF009C">
        <w:rPr>
          <w:noProof/>
        </w:rPr>
        <w:t>u regulowania</w:t>
      </w:r>
      <w:r w:rsidR="00FF009C" w:rsidRPr="00FF009C">
        <w:rPr>
          <w:noProof/>
        </w:rPr>
        <w:t xml:space="preserve"> i</w:t>
      </w:r>
      <w:r w:rsidR="00FF009C">
        <w:rPr>
          <w:noProof/>
        </w:rPr>
        <w:t> </w:t>
      </w:r>
      <w:r w:rsidR="00FF009C" w:rsidRPr="00FF009C">
        <w:rPr>
          <w:noProof/>
        </w:rPr>
        <w:t>wsp</w:t>
      </w:r>
      <w:r w:rsidRPr="00FF009C">
        <w:rPr>
          <w:noProof/>
        </w:rPr>
        <w:t>ierania jego działalności;</w:t>
      </w:r>
    </w:p>
    <w:p w14:paraId="76661406" w14:textId="2A69491D" w:rsidR="0043039B" w:rsidRPr="00FF009C" w:rsidRDefault="0043039B" w:rsidP="0043039B">
      <w:pPr>
        <w:ind w:left="720" w:hanging="720"/>
        <w:rPr>
          <w:noProof/>
        </w:rPr>
      </w:pPr>
      <w:r w:rsidRPr="00FF009C">
        <w:rPr>
          <w:noProof/>
        </w:rPr>
        <w:t>b)</w:t>
      </w:r>
      <w:r w:rsidRPr="00FF009C">
        <w:rPr>
          <w:noProof/>
        </w:rPr>
        <w:tab/>
        <w:t>zacieśnianie współpracy</w:t>
      </w:r>
      <w:r w:rsidR="00FF009C" w:rsidRPr="00FF009C">
        <w:rPr>
          <w:noProof/>
        </w:rPr>
        <w:t xml:space="preserve"> i</w:t>
      </w:r>
      <w:r w:rsidR="00FF009C">
        <w:rPr>
          <w:noProof/>
        </w:rPr>
        <w:t> </w:t>
      </w:r>
      <w:r w:rsidR="00FF009C" w:rsidRPr="00FF009C">
        <w:rPr>
          <w:noProof/>
        </w:rPr>
        <w:t>pop</w:t>
      </w:r>
      <w:r w:rsidRPr="00FF009C">
        <w:rPr>
          <w:noProof/>
        </w:rPr>
        <w:t>rawę koordynacji między państwami członkowskimi, Europolem</w:t>
      </w:r>
      <w:r w:rsidR="00FF009C" w:rsidRPr="00FF009C">
        <w:rPr>
          <w:noProof/>
        </w:rPr>
        <w:t xml:space="preserve"> i</w:t>
      </w:r>
      <w:r w:rsidR="00FF009C">
        <w:rPr>
          <w:noProof/>
        </w:rPr>
        <w:t> </w:t>
      </w:r>
      <w:r w:rsidR="00FF009C" w:rsidRPr="00FF009C">
        <w:rPr>
          <w:noProof/>
        </w:rPr>
        <w:t>inn</w:t>
      </w:r>
      <w:r w:rsidRPr="00FF009C">
        <w:rPr>
          <w:noProof/>
        </w:rPr>
        <w:t>ymi agencjami Unii;</w:t>
      </w:r>
    </w:p>
    <w:p w14:paraId="451B3360" w14:textId="4932FB14" w:rsidR="0043039B" w:rsidRPr="00FF009C" w:rsidRDefault="0043039B" w:rsidP="0043039B">
      <w:pPr>
        <w:ind w:left="720" w:hanging="720"/>
        <w:rPr>
          <w:noProof/>
        </w:rPr>
      </w:pPr>
      <w:r w:rsidRPr="00FF009C">
        <w:rPr>
          <w:noProof/>
        </w:rPr>
        <w:t>c)</w:t>
      </w:r>
      <w:r w:rsidRPr="00FF009C">
        <w:rPr>
          <w:noProof/>
        </w:rPr>
        <w:tab/>
        <w:t>intensyfikację wymiany informacji między państwami członkowskimi</w:t>
      </w:r>
      <w:r w:rsidR="00FF009C" w:rsidRPr="00FF009C">
        <w:rPr>
          <w:noProof/>
        </w:rPr>
        <w:t xml:space="preserve"> i</w:t>
      </w:r>
      <w:r w:rsidR="00FF009C">
        <w:rPr>
          <w:noProof/>
        </w:rPr>
        <w:t> </w:t>
      </w:r>
      <w:r w:rsidR="00FF009C" w:rsidRPr="00FF009C">
        <w:rPr>
          <w:noProof/>
        </w:rPr>
        <w:t>z</w:t>
      </w:r>
      <w:r w:rsidR="00FF009C">
        <w:rPr>
          <w:noProof/>
        </w:rPr>
        <w:t> </w:t>
      </w:r>
      <w:r w:rsidR="00FF009C" w:rsidRPr="00FF009C">
        <w:rPr>
          <w:noProof/>
        </w:rPr>
        <w:t>Eur</w:t>
      </w:r>
      <w:r w:rsidRPr="00FF009C">
        <w:rPr>
          <w:noProof/>
        </w:rPr>
        <w:t xml:space="preserve">opolem; </w:t>
      </w:r>
    </w:p>
    <w:p w14:paraId="3F8EB3D4" w14:textId="20FF4AEE" w:rsidR="0043039B" w:rsidRPr="00FF009C" w:rsidRDefault="0043039B" w:rsidP="0043039B">
      <w:pPr>
        <w:ind w:left="720" w:hanging="720"/>
        <w:rPr>
          <w:noProof/>
        </w:rPr>
      </w:pPr>
      <w:r w:rsidRPr="00FF009C">
        <w:rPr>
          <w:noProof/>
        </w:rPr>
        <w:t>d)</w:t>
      </w:r>
      <w:r w:rsidRPr="00FF009C">
        <w:rPr>
          <w:noProof/>
        </w:rPr>
        <w:tab/>
        <w:t>zapewnienie Europolowi narzędzi niezbędnych do wspierania</w:t>
      </w:r>
      <w:r w:rsidR="00FF009C" w:rsidRPr="00FF009C">
        <w:rPr>
          <w:noProof/>
        </w:rPr>
        <w:t xml:space="preserve"> i</w:t>
      </w:r>
      <w:r w:rsidR="00FF009C">
        <w:rPr>
          <w:noProof/>
        </w:rPr>
        <w:t> </w:t>
      </w:r>
      <w:r w:rsidR="00FF009C" w:rsidRPr="00FF009C">
        <w:rPr>
          <w:noProof/>
        </w:rPr>
        <w:t>wzm</w:t>
      </w:r>
      <w:r w:rsidRPr="00FF009C">
        <w:rPr>
          <w:noProof/>
        </w:rPr>
        <w:t>acniania działań</w:t>
      </w:r>
      <w:r w:rsidR="00FF009C" w:rsidRPr="00FF009C">
        <w:rPr>
          <w:noProof/>
        </w:rPr>
        <w:t xml:space="preserve"> i</w:t>
      </w:r>
      <w:r w:rsidR="00FF009C">
        <w:rPr>
          <w:noProof/>
        </w:rPr>
        <w:t> </w:t>
      </w:r>
      <w:r w:rsidR="00FF009C" w:rsidRPr="00FF009C">
        <w:rPr>
          <w:noProof/>
        </w:rPr>
        <w:t>wsp</w:t>
      </w:r>
      <w:r w:rsidRPr="00FF009C">
        <w:rPr>
          <w:noProof/>
        </w:rPr>
        <w:t>ółpracy właściwych organów państw członkowskich</w:t>
      </w:r>
      <w:r w:rsidR="00FF009C" w:rsidRPr="00FF009C">
        <w:rPr>
          <w:noProof/>
        </w:rPr>
        <w:t xml:space="preserve"> w</w:t>
      </w:r>
      <w:r w:rsidR="00FF009C">
        <w:rPr>
          <w:noProof/>
        </w:rPr>
        <w:t> </w:t>
      </w:r>
      <w:r w:rsidR="00FF009C" w:rsidRPr="00FF009C">
        <w:rPr>
          <w:noProof/>
        </w:rPr>
        <w:t>zak</w:t>
      </w:r>
      <w:r w:rsidRPr="00FF009C">
        <w:rPr>
          <w:noProof/>
        </w:rPr>
        <w:t>resie zapobiegania przestępstwom wchodzącym</w:t>
      </w:r>
      <w:r w:rsidR="00FF009C" w:rsidRPr="00FF009C">
        <w:rPr>
          <w:noProof/>
        </w:rPr>
        <w:t xml:space="preserve"> w</w:t>
      </w:r>
      <w:r w:rsidR="00FF009C">
        <w:rPr>
          <w:noProof/>
        </w:rPr>
        <w:t> </w:t>
      </w:r>
      <w:r w:rsidR="00FF009C" w:rsidRPr="00FF009C">
        <w:rPr>
          <w:noProof/>
        </w:rPr>
        <w:t>zak</w:t>
      </w:r>
      <w:r w:rsidRPr="00FF009C">
        <w:rPr>
          <w:noProof/>
        </w:rPr>
        <w:t>res celów Europolu</w:t>
      </w:r>
      <w:r w:rsidR="00FF009C" w:rsidRPr="00FF009C">
        <w:rPr>
          <w:noProof/>
        </w:rPr>
        <w:t xml:space="preserve"> i</w:t>
      </w:r>
      <w:r w:rsidR="00FF009C">
        <w:rPr>
          <w:noProof/>
        </w:rPr>
        <w:t> </w:t>
      </w:r>
      <w:r w:rsidR="00FF009C" w:rsidRPr="00FF009C">
        <w:rPr>
          <w:noProof/>
        </w:rPr>
        <w:t>zwa</w:t>
      </w:r>
      <w:r w:rsidRPr="00FF009C">
        <w:rPr>
          <w:noProof/>
        </w:rPr>
        <w:t xml:space="preserve">lczania tych przestępstw; </w:t>
      </w:r>
    </w:p>
    <w:p w14:paraId="6095B091" w14:textId="6679867B" w:rsidR="0043039B" w:rsidRPr="00FF009C" w:rsidRDefault="0043039B" w:rsidP="0043039B">
      <w:pPr>
        <w:ind w:left="720" w:hanging="720"/>
        <w:rPr>
          <w:noProof/>
        </w:rPr>
      </w:pPr>
      <w:r w:rsidRPr="00FF009C">
        <w:rPr>
          <w:noProof/>
        </w:rPr>
        <w:t>e)</w:t>
      </w:r>
      <w:r w:rsidRPr="00FF009C">
        <w:rPr>
          <w:noProof/>
        </w:rPr>
        <w:tab/>
        <w:t>zwiększenie współpracy między Europolem</w:t>
      </w:r>
      <w:r w:rsidR="00FF009C" w:rsidRPr="00FF009C">
        <w:rPr>
          <w:noProof/>
        </w:rPr>
        <w:t xml:space="preserve"> a</w:t>
      </w:r>
      <w:r w:rsidR="00FF009C">
        <w:rPr>
          <w:noProof/>
        </w:rPr>
        <w:t> </w:t>
      </w:r>
      <w:r w:rsidR="00FF009C" w:rsidRPr="00FF009C">
        <w:rPr>
          <w:noProof/>
        </w:rPr>
        <w:t>pań</w:t>
      </w:r>
      <w:r w:rsidRPr="00FF009C">
        <w:rPr>
          <w:noProof/>
        </w:rPr>
        <w:t xml:space="preserve">stwami trzecimi. </w:t>
      </w:r>
    </w:p>
    <w:p w14:paraId="69A3A1BC" w14:textId="77777777" w:rsidR="0043039B" w:rsidRPr="00FF009C" w:rsidRDefault="0043039B" w:rsidP="0043039B">
      <w:pPr>
        <w:rPr>
          <w:noProof/>
        </w:rPr>
      </w:pPr>
    </w:p>
    <w:p w14:paraId="45809B30" w14:textId="77777777" w:rsidR="0043039B" w:rsidRPr="00FF009C" w:rsidRDefault="0043039B" w:rsidP="0043039B">
      <w:pPr>
        <w:pStyle w:val="Titrearticle"/>
        <w:rPr>
          <w:noProof/>
        </w:rPr>
      </w:pPr>
      <w:r w:rsidRPr="00FF009C">
        <w:rPr>
          <w:noProof/>
        </w:rPr>
        <w:t>Artykuł 2</w:t>
      </w:r>
    </w:p>
    <w:p w14:paraId="71CE5DDF" w14:textId="77777777" w:rsidR="0043039B" w:rsidRPr="00FF009C" w:rsidRDefault="0043039B" w:rsidP="0043039B">
      <w:pPr>
        <w:jc w:val="center"/>
        <w:rPr>
          <w:b/>
          <w:noProof/>
        </w:rPr>
      </w:pPr>
      <w:r w:rsidRPr="00FF009C">
        <w:rPr>
          <w:b/>
          <w:noProof/>
        </w:rPr>
        <w:t>Definicje</w:t>
      </w:r>
    </w:p>
    <w:p w14:paraId="14F42143" w14:textId="77777777" w:rsidR="0043039B" w:rsidRPr="00FF009C" w:rsidRDefault="0043039B" w:rsidP="0043039B">
      <w:pPr>
        <w:rPr>
          <w:noProof/>
        </w:rPr>
      </w:pPr>
      <w:r w:rsidRPr="00FF009C">
        <w:rPr>
          <w:noProof/>
        </w:rPr>
        <w:t>Do celów niniejszego rozporządzenia stosuje się następujące definicje:</w:t>
      </w:r>
    </w:p>
    <w:p w14:paraId="74ACB485" w14:textId="265A0CE1" w:rsidR="0043039B" w:rsidRPr="00FF009C" w:rsidRDefault="0043039B" w:rsidP="0043039B">
      <w:pPr>
        <w:ind w:left="720" w:hanging="720"/>
        <w:rPr>
          <w:rFonts w:eastAsia="Times New Roman"/>
          <w:noProof/>
        </w:rPr>
      </w:pPr>
      <w:r w:rsidRPr="00FF009C">
        <w:rPr>
          <w:noProof/>
        </w:rPr>
        <w:t>1)</w:t>
      </w:r>
      <w:r w:rsidRPr="00FF009C">
        <w:rPr>
          <w:noProof/>
        </w:rPr>
        <w:tab/>
        <w:t>„przemyt migrantów” oznacza każde</w:t>
      </w:r>
      <w:r w:rsidR="00FF009C" w:rsidRPr="00FF009C">
        <w:rPr>
          <w:noProof/>
        </w:rPr>
        <w:t xml:space="preserve"> z</w:t>
      </w:r>
      <w:r w:rsidR="00FF009C">
        <w:rPr>
          <w:noProof/>
        </w:rPr>
        <w:t> </w:t>
      </w:r>
      <w:r w:rsidR="00FF009C" w:rsidRPr="00FF009C">
        <w:rPr>
          <w:noProof/>
        </w:rPr>
        <w:t>dzi</w:t>
      </w:r>
      <w:r w:rsidRPr="00FF009C">
        <w:rPr>
          <w:noProof/>
        </w:rPr>
        <w:t>ałań,</w:t>
      </w:r>
      <w:r w:rsidR="00FF009C" w:rsidRPr="00FF009C">
        <w:rPr>
          <w:noProof/>
        </w:rPr>
        <w:t xml:space="preserve"> o</w:t>
      </w:r>
      <w:r w:rsidR="00FF009C">
        <w:rPr>
          <w:noProof/>
        </w:rPr>
        <w:t> </w:t>
      </w:r>
      <w:r w:rsidR="00FF009C" w:rsidRPr="00FF009C">
        <w:rPr>
          <w:noProof/>
        </w:rPr>
        <w:t>któ</w:t>
      </w:r>
      <w:r w:rsidRPr="00FF009C">
        <w:rPr>
          <w:noProof/>
        </w:rPr>
        <w:t>rych mowa</w:t>
      </w:r>
      <w:r w:rsidR="00FF009C" w:rsidRPr="00FF009C">
        <w:rPr>
          <w:noProof/>
        </w:rPr>
        <w:t xml:space="preserve"> w</w:t>
      </w:r>
      <w:r w:rsidR="00FF009C">
        <w:rPr>
          <w:noProof/>
        </w:rPr>
        <w:t> </w:t>
      </w:r>
      <w:r w:rsidR="00FF009C" w:rsidRPr="00FF009C">
        <w:rPr>
          <w:noProof/>
        </w:rPr>
        <w:t>art</w:t>
      </w:r>
      <w:r w:rsidRPr="00FF009C">
        <w:rPr>
          <w:noProof/>
        </w:rPr>
        <w:t>.</w:t>
      </w:r>
      <w:r w:rsidR="00FF009C" w:rsidRPr="00FF009C">
        <w:rPr>
          <w:noProof/>
        </w:rPr>
        <w:t> </w:t>
      </w:r>
      <w:r w:rsidRPr="00FF009C">
        <w:rPr>
          <w:noProof/>
        </w:rPr>
        <w:t>3, 4</w:t>
      </w:r>
      <w:r w:rsidR="00FF009C" w:rsidRPr="00FF009C">
        <w:rPr>
          <w:noProof/>
        </w:rPr>
        <w:t xml:space="preserve"> i</w:t>
      </w:r>
      <w:r w:rsidR="00FF009C">
        <w:rPr>
          <w:noProof/>
        </w:rPr>
        <w:t> </w:t>
      </w:r>
      <w:r w:rsidR="00FF009C" w:rsidRPr="00FF009C">
        <w:rPr>
          <w:noProof/>
        </w:rPr>
        <w:t>5</w:t>
      </w:r>
      <w:r w:rsidRPr="00FF009C">
        <w:rPr>
          <w:noProof/>
        </w:rPr>
        <w:t xml:space="preserve"> dyrektywy [XXX] [</w:t>
      </w:r>
      <w:r w:rsidRPr="00FF009C">
        <w:rPr>
          <w:i/>
          <w:noProof/>
        </w:rPr>
        <w:t>w sprawie ustanowienia norm minimalnych dotyczących zapobiegania</w:t>
      </w:r>
      <w:r w:rsidR="00FF009C" w:rsidRPr="00FF009C">
        <w:rPr>
          <w:i/>
          <w:noProof/>
        </w:rPr>
        <w:t xml:space="preserve"> i</w:t>
      </w:r>
      <w:r w:rsidR="00FF009C">
        <w:rPr>
          <w:i/>
          <w:noProof/>
        </w:rPr>
        <w:t> </w:t>
      </w:r>
      <w:r w:rsidR="00FF009C" w:rsidRPr="00FF009C">
        <w:rPr>
          <w:i/>
          <w:noProof/>
        </w:rPr>
        <w:t>prz</w:t>
      </w:r>
      <w:r w:rsidRPr="00FF009C">
        <w:rPr>
          <w:i/>
          <w:noProof/>
        </w:rPr>
        <w:t>eciwdziałania ułatwianiu niedozwolonego wjazdu do Unii, tranzytu przez jej terytorium</w:t>
      </w:r>
      <w:r w:rsidR="00FF009C" w:rsidRPr="00FF009C">
        <w:rPr>
          <w:i/>
          <w:noProof/>
        </w:rPr>
        <w:t xml:space="preserve"> i</w:t>
      </w:r>
      <w:r w:rsidR="00FF009C">
        <w:rPr>
          <w:i/>
          <w:noProof/>
        </w:rPr>
        <w:t> </w:t>
      </w:r>
      <w:r w:rsidR="00FF009C" w:rsidRPr="00FF009C">
        <w:rPr>
          <w:i/>
          <w:noProof/>
        </w:rPr>
        <w:t>pob</w:t>
      </w:r>
      <w:r w:rsidRPr="00FF009C">
        <w:rPr>
          <w:i/>
          <w:noProof/>
        </w:rPr>
        <w:t>ytu na nim oraz zastępująca dyrektywę Rady 2002/90/WE</w:t>
      </w:r>
      <w:r w:rsidR="00FF009C" w:rsidRPr="00FF009C">
        <w:rPr>
          <w:i/>
          <w:noProof/>
        </w:rPr>
        <w:t xml:space="preserve"> i</w:t>
      </w:r>
      <w:r w:rsidR="00FF009C">
        <w:rPr>
          <w:i/>
          <w:noProof/>
        </w:rPr>
        <w:t> </w:t>
      </w:r>
      <w:r w:rsidR="00FF009C" w:rsidRPr="00FF009C">
        <w:rPr>
          <w:i/>
          <w:noProof/>
        </w:rPr>
        <w:t>dec</w:t>
      </w:r>
      <w:r w:rsidRPr="00FF009C">
        <w:rPr>
          <w:i/>
          <w:noProof/>
        </w:rPr>
        <w:t>yzję ramową Rady 2002/946 WSiSW</w:t>
      </w:r>
      <w:r w:rsidRPr="00FF009C">
        <w:rPr>
          <w:noProof/>
        </w:rPr>
        <w:t>]</w:t>
      </w:r>
      <w:r w:rsidR="000E1166" w:rsidRPr="00FF009C">
        <w:rPr>
          <w:rStyle w:val="FootnoteReference0"/>
          <w:rFonts w:eastAsia="Times New Roman"/>
          <w:noProof/>
        </w:rPr>
        <w:footnoteReference w:id="25"/>
      </w:r>
      <w:r w:rsidRPr="00FF009C">
        <w:rPr>
          <w:noProof/>
        </w:rPr>
        <w:t>;</w:t>
      </w:r>
    </w:p>
    <w:p w14:paraId="20964077" w14:textId="67ACE88E" w:rsidR="0043039B" w:rsidRPr="00FF009C" w:rsidRDefault="0043039B" w:rsidP="0043039B">
      <w:pPr>
        <w:ind w:left="720" w:hanging="720"/>
        <w:rPr>
          <w:noProof/>
        </w:rPr>
      </w:pPr>
      <w:r w:rsidRPr="00FF009C">
        <w:rPr>
          <w:noProof/>
        </w:rPr>
        <w:t>2)</w:t>
      </w:r>
      <w:r w:rsidRPr="00FF009C">
        <w:rPr>
          <w:noProof/>
        </w:rPr>
        <w:tab/>
        <w:t>„handel ludźmi” oznacza każde</w:t>
      </w:r>
      <w:r w:rsidR="00FF009C" w:rsidRPr="00FF009C">
        <w:rPr>
          <w:noProof/>
        </w:rPr>
        <w:t xml:space="preserve"> z</w:t>
      </w:r>
      <w:r w:rsidR="00FF009C">
        <w:rPr>
          <w:noProof/>
        </w:rPr>
        <w:t> </w:t>
      </w:r>
      <w:r w:rsidR="00FF009C" w:rsidRPr="00FF009C">
        <w:rPr>
          <w:noProof/>
        </w:rPr>
        <w:t>dzi</w:t>
      </w:r>
      <w:r w:rsidRPr="00FF009C">
        <w:rPr>
          <w:noProof/>
        </w:rPr>
        <w:t>ałań,</w:t>
      </w:r>
      <w:r w:rsidR="00FF009C" w:rsidRPr="00FF009C">
        <w:rPr>
          <w:noProof/>
        </w:rPr>
        <w:t xml:space="preserve"> o</w:t>
      </w:r>
      <w:r w:rsidR="00FF009C">
        <w:rPr>
          <w:noProof/>
        </w:rPr>
        <w:t> </w:t>
      </w:r>
      <w:r w:rsidR="00FF009C" w:rsidRPr="00FF009C">
        <w:rPr>
          <w:noProof/>
        </w:rPr>
        <w:t>któ</w:t>
      </w:r>
      <w:r w:rsidRPr="00FF009C">
        <w:rPr>
          <w:noProof/>
        </w:rPr>
        <w:t>rych mowa</w:t>
      </w:r>
      <w:r w:rsidR="00FF009C" w:rsidRPr="00FF009C">
        <w:rPr>
          <w:noProof/>
        </w:rPr>
        <w:t xml:space="preserve"> w</w:t>
      </w:r>
      <w:r w:rsidR="00FF009C">
        <w:rPr>
          <w:noProof/>
        </w:rPr>
        <w:t> </w:t>
      </w:r>
      <w:r w:rsidR="00FF009C" w:rsidRPr="00FF009C">
        <w:rPr>
          <w:noProof/>
        </w:rPr>
        <w:t>art</w:t>
      </w:r>
      <w:r w:rsidRPr="00FF009C">
        <w:rPr>
          <w:noProof/>
        </w:rPr>
        <w:t>.</w:t>
      </w:r>
      <w:r w:rsidR="00FF009C" w:rsidRPr="00FF009C">
        <w:rPr>
          <w:noProof/>
        </w:rPr>
        <w:t> </w:t>
      </w:r>
      <w:r w:rsidRPr="00FF009C">
        <w:rPr>
          <w:noProof/>
        </w:rPr>
        <w:t>2</w:t>
      </w:r>
      <w:r w:rsidR="00FF009C" w:rsidRPr="00FF009C">
        <w:rPr>
          <w:noProof/>
        </w:rPr>
        <w:t xml:space="preserve"> i</w:t>
      </w:r>
      <w:r w:rsidR="00FF009C">
        <w:rPr>
          <w:noProof/>
        </w:rPr>
        <w:t> </w:t>
      </w:r>
      <w:r w:rsidR="00FF009C" w:rsidRPr="00FF009C">
        <w:rPr>
          <w:noProof/>
        </w:rPr>
        <w:t>3</w:t>
      </w:r>
      <w:r w:rsidRPr="00FF009C">
        <w:rPr>
          <w:noProof/>
        </w:rPr>
        <w:t xml:space="preserve"> dyrektywy Parlamentu Europejskiego</w:t>
      </w:r>
      <w:r w:rsidR="00FF009C" w:rsidRPr="00FF009C">
        <w:rPr>
          <w:noProof/>
        </w:rPr>
        <w:t xml:space="preserve"> i</w:t>
      </w:r>
      <w:r w:rsidR="00FF009C">
        <w:rPr>
          <w:noProof/>
        </w:rPr>
        <w:t> </w:t>
      </w:r>
      <w:r w:rsidR="00FF009C" w:rsidRPr="00FF009C">
        <w:rPr>
          <w:noProof/>
        </w:rPr>
        <w:t>Rad</w:t>
      </w:r>
      <w:r w:rsidRPr="00FF009C">
        <w:rPr>
          <w:noProof/>
        </w:rPr>
        <w:t>y 2011/36/UE</w:t>
      </w:r>
      <w:r w:rsidR="00ED7868" w:rsidRPr="00FF009C">
        <w:rPr>
          <w:rStyle w:val="FootnoteReference0"/>
          <w:rFonts w:eastAsia="Times New Roman"/>
          <w:noProof/>
        </w:rPr>
        <w:footnoteReference w:id="26"/>
      </w:r>
      <w:r w:rsidRPr="00FF009C">
        <w:rPr>
          <w:noProof/>
        </w:rPr>
        <w:t>;</w:t>
      </w:r>
      <w:r w:rsidRPr="00FF009C">
        <w:rPr>
          <w:noProof/>
        </w:rPr>
        <w:tab/>
      </w:r>
    </w:p>
    <w:p w14:paraId="3F33C94E" w14:textId="6F62811A" w:rsidR="0043039B" w:rsidRPr="00FF009C" w:rsidRDefault="0043039B" w:rsidP="0043039B">
      <w:pPr>
        <w:ind w:left="720" w:hanging="720"/>
        <w:rPr>
          <w:noProof/>
        </w:rPr>
      </w:pPr>
      <w:r w:rsidRPr="00FF009C">
        <w:rPr>
          <w:noProof/>
        </w:rPr>
        <w:t>4)</w:t>
      </w:r>
      <w:r w:rsidRPr="00FF009C">
        <w:rPr>
          <w:noProof/>
        </w:rPr>
        <w:tab/>
        <w:t>„właściwe organy” oznaczają właściwe organy państw członkowskich, których definicję podano</w:t>
      </w:r>
      <w:r w:rsidR="00FF009C" w:rsidRPr="00FF009C">
        <w:rPr>
          <w:noProof/>
        </w:rPr>
        <w:t xml:space="preserve"> w</w:t>
      </w:r>
      <w:r w:rsidR="00FF009C">
        <w:rPr>
          <w:noProof/>
        </w:rPr>
        <w:t> </w:t>
      </w:r>
      <w:r w:rsidR="00FF009C" w:rsidRPr="00FF009C">
        <w:rPr>
          <w:noProof/>
        </w:rPr>
        <w:t>art</w:t>
      </w:r>
      <w:r w:rsidRPr="00FF009C">
        <w:rPr>
          <w:noProof/>
        </w:rPr>
        <w:t>.</w:t>
      </w:r>
      <w:r w:rsidR="00FF009C" w:rsidRPr="00FF009C">
        <w:rPr>
          <w:noProof/>
        </w:rPr>
        <w:t> </w:t>
      </w:r>
      <w:r w:rsidRPr="00FF009C">
        <w:rPr>
          <w:noProof/>
        </w:rPr>
        <w:t>2 lit.</w:t>
      </w:r>
      <w:r w:rsidR="00FF009C" w:rsidRPr="00FF009C">
        <w:rPr>
          <w:noProof/>
        </w:rPr>
        <w:t> </w:t>
      </w:r>
      <w:r w:rsidRPr="00FF009C">
        <w:rPr>
          <w:noProof/>
        </w:rPr>
        <w:t>a) rozporządzenia (UE) 2016/794;</w:t>
      </w:r>
    </w:p>
    <w:p w14:paraId="40BE9864" w14:textId="30FFA367" w:rsidR="0043039B" w:rsidRPr="00FF009C" w:rsidRDefault="0043039B" w:rsidP="0043039B">
      <w:pPr>
        <w:ind w:left="720" w:hanging="720"/>
        <w:rPr>
          <w:noProof/>
        </w:rPr>
      </w:pPr>
      <w:r w:rsidRPr="00FF009C">
        <w:rPr>
          <w:noProof/>
        </w:rPr>
        <w:t>5)</w:t>
      </w:r>
      <w:r w:rsidRPr="00FF009C">
        <w:rPr>
          <w:noProof/>
        </w:rPr>
        <w:tab/>
        <w:t>„urzędnik łącznikowy ds. imigracji” oznacza urzędnika łącznikowego oddelegowanego do państwa trzeciego przez właściwe organy państwa członkowskiego, zgodnie</w:t>
      </w:r>
      <w:r w:rsidR="00FF009C" w:rsidRPr="00FF009C">
        <w:rPr>
          <w:noProof/>
        </w:rPr>
        <w:t xml:space="preserve"> z</w:t>
      </w:r>
      <w:r w:rsidR="00FF009C">
        <w:rPr>
          <w:noProof/>
        </w:rPr>
        <w:t> </w:t>
      </w:r>
      <w:r w:rsidR="00FF009C" w:rsidRPr="00FF009C">
        <w:rPr>
          <w:noProof/>
        </w:rPr>
        <w:t>jeg</w:t>
      </w:r>
      <w:r w:rsidRPr="00FF009C">
        <w:rPr>
          <w:noProof/>
        </w:rPr>
        <w:t>o prawem krajowym, do zajmowania się kwestiami związanymi</w:t>
      </w:r>
      <w:r w:rsidR="00FF009C" w:rsidRPr="00FF009C">
        <w:rPr>
          <w:noProof/>
        </w:rPr>
        <w:t xml:space="preserve"> z</w:t>
      </w:r>
      <w:r w:rsidR="00FF009C">
        <w:rPr>
          <w:noProof/>
        </w:rPr>
        <w:t> </w:t>
      </w:r>
      <w:r w:rsidR="00FF009C" w:rsidRPr="00FF009C">
        <w:rPr>
          <w:noProof/>
        </w:rPr>
        <w:t>imi</w:t>
      </w:r>
      <w:r w:rsidRPr="00FF009C">
        <w:rPr>
          <w:noProof/>
        </w:rPr>
        <w:t>gracją,</w:t>
      </w:r>
      <w:r w:rsidR="00FF009C" w:rsidRPr="00FF009C">
        <w:rPr>
          <w:noProof/>
        </w:rPr>
        <w:t xml:space="preserve"> w</w:t>
      </w:r>
      <w:r w:rsidR="00FF009C">
        <w:rPr>
          <w:noProof/>
        </w:rPr>
        <w:t> </w:t>
      </w:r>
      <w:r w:rsidR="00FF009C" w:rsidRPr="00FF009C">
        <w:rPr>
          <w:noProof/>
        </w:rPr>
        <w:t>tym</w:t>
      </w:r>
      <w:r w:rsidRPr="00FF009C">
        <w:rPr>
          <w:noProof/>
        </w:rPr>
        <w:t xml:space="preserve"> gdy kwestie te stanowią jedynie część obowiązków tego urzędnika łącznikowego.</w:t>
      </w:r>
      <w:r w:rsidRPr="00FF009C">
        <w:rPr>
          <w:noProof/>
        </w:rPr>
        <w:tab/>
      </w:r>
    </w:p>
    <w:p w14:paraId="6AE9131C" w14:textId="77777777" w:rsidR="0043039B" w:rsidRPr="00FF009C" w:rsidRDefault="0043039B" w:rsidP="0043039B">
      <w:pPr>
        <w:pStyle w:val="ChapterTitle"/>
        <w:spacing w:before="360"/>
        <w:rPr>
          <w:noProof/>
          <w:sz w:val="24"/>
        </w:rPr>
      </w:pPr>
      <w:r w:rsidRPr="00FF009C">
        <w:rPr>
          <w:noProof/>
          <w:sz w:val="24"/>
        </w:rPr>
        <w:t>Rozdział II</w:t>
      </w:r>
    </w:p>
    <w:p w14:paraId="0A8F10C3" w14:textId="77777777" w:rsidR="0043039B" w:rsidRPr="00FF009C" w:rsidRDefault="0043039B" w:rsidP="00977077">
      <w:pPr>
        <w:pStyle w:val="ChapterTitle"/>
        <w:spacing w:before="360"/>
        <w:rPr>
          <w:noProof/>
          <w:sz w:val="24"/>
          <w:szCs w:val="24"/>
        </w:rPr>
      </w:pPr>
      <w:r w:rsidRPr="00FF009C">
        <w:rPr>
          <w:noProof/>
          <w:sz w:val="24"/>
        </w:rPr>
        <w:t>RAMY ZARZĄDZANIA EUROPEJSKIEGO CENTRUM ZWALCZANIA PRZEMYTU MIGRANTÓW</w:t>
      </w:r>
    </w:p>
    <w:p w14:paraId="2D82B86C" w14:textId="77777777" w:rsidR="0043039B" w:rsidRPr="00FF009C" w:rsidRDefault="0043039B" w:rsidP="00977077">
      <w:pPr>
        <w:spacing w:before="360"/>
        <w:jc w:val="center"/>
        <w:rPr>
          <w:rFonts w:eastAsia="Times New Roman"/>
          <w:i/>
          <w:iCs/>
          <w:noProof/>
        </w:rPr>
      </w:pPr>
      <w:r w:rsidRPr="00FF009C">
        <w:rPr>
          <w:i/>
          <w:noProof/>
        </w:rPr>
        <w:t>Artykuł 3</w:t>
      </w:r>
    </w:p>
    <w:p w14:paraId="0AE9C7D3" w14:textId="77777777" w:rsidR="0043039B" w:rsidRPr="00FF009C" w:rsidRDefault="00E72C42">
      <w:pPr>
        <w:jc w:val="center"/>
        <w:rPr>
          <w:rFonts w:eastAsia="Times New Roman"/>
          <w:b/>
          <w:bCs/>
          <w:noProof/>
        </w:rPr>
      </w:pPr>
      <w:r w:rsidRPr="00FF009C">
        <w:rPr>
          <w:b/>
          <w:noProof/>
        </w:rPr>
        <w:t>Europejskie Centrum Zwalczania Przemytu Migrantów</w:t>
      </w:r>
    </w:p>
    <w:p w14:paraId="45A3B328" w14:textId="2E08F8A7" w:rsidR="0043039B" w:rsidRPr="00FF009C" w:rsidRDefault="0043039B" w:rsidP="0043039B">
      <w:pPr>
        <w:rPr>
          <w:noProof/>
        </w:rPr>
      </w:pPr>
      <w:r w:rsidRPr="00FF009C">
        <w:rPr>
          <w:noProof/>
        </w:rPr>
        <w:t>W ramach Europolu ustanawia się Europejskie Centrum Zwalczania Przemytu Migrantów jako ośrodek Unii dysponujący specjalistyczną wiedzą fachową,</w:t>
      </w:r>
      <w:r w:rsidR="00FF009C" w:rsidRPr="00FF009C">
        <w:rPr>
          <w:noProof/>
        </w:rPr>
        <w:t xml:space="preserve"> o</w:t>
      </w:r>
      <w:r w:rsidR="00FF009C">
        <w:rPr>
          <w:noProof/>
        </w:rPr>
        <w:t> </w:t>
      </w:r>
      <w:r w:rsidR="00FF009C" w:rsidRPr="00FF009C">
        <w:rPr>
          <w:noProof/>
        </w:rPr>
        <w:t>któ</w:t>
      </w:r>
      <w:r w:rsidRPr="00FF009C">
        <w:rPr>
          <w:noProof/>
        </w:rPr>
        <w:t>rym mowa</w:t>
      </w:r>
      <w:r w:rsidR="00FF009C" w:rsidRPr="00FF009C">
        <w:rPr>
          <w:noProof/>
        </w:rPr>
        <w:t xml:space="preserve"> w</w:t>
      </w:r>
      <w:r w:rsidR="00FF009C">
        <w:rPr>
          <w:noProof/>
        </w:rPr>
        <w:t> </w:t>
      </w:r>
      <w:r w:rsidR="00FF009C" w:rsidRPr="00FF009C">
        <w:rPr>
          <w:noProof/>
        </w:rPr>
        <w:t>art</w:t>
      </w:r>
      <w:r w:rsidRPr="00FF009C">
        <w:rPr>
          <w:noProof/>
        </w:rPr>
        <w:t>.</w:t>
      </w:r>
      <w:r w:rsidR="00FF009C" w:rsidRPr="00FF009C">
        <w:rPr>
          <w:noProof/>
        </w:rPr>
        <w:t> </w:t>
      </w:r>
      <w:r w:rsidRPr="00FF009C">
        <w:rPr>
          <w:noProof/>
        </w:rPr>
        <w:t>4 ust.</w:t>
      </w:r>
      <w:r w:rsidR="00FF009C" w:rsidRPr="00FF009C">
        <w:rPr>
          <w:noProof/>
        </w:rPr>
        <w:t> </w:t>
      </w:r>
      <w:r w:rsidRPr="00FF009C">
        <w:rPr>
          <w:noProof/>
        </w:rPr>
        <w:t>1 lit.</w:t>
      </w:r>
      <w:r w:rsidR="00FF009C" w:rsidRPr="00FF009C">
        <w:rPr>
          <w:noProof/>
        </w:rPr>
        <w:t> </w:t>
      </w:r>
      <w:r w:rsidRPr="00FF009C">
        <w:rPr>
          <w:noProof/>
        </w:rPr>
        <w:t>l) rozporządzenia (UE) 2016/794. Centrum to wspiera państwa członkowskie</w:t>
      </w:r>
      <w:r w:rsidR="00FF009C" w:rsidRPr="00FF009C">
        <w:rPr>
          <w:noProof/>
        </w:rPr>
        <w:t xml:space="preserve"> w</w:t>
      </w:r>
      <w:r w:rsidR="00FF009C">
        <w:rPr>
          <w:noProof/>
        </w:rPr>
        <w:t> </w:t>
      </w:r>
      <w:r w:rsidR="00FF009C" w:rsidRPr="00FF009C">
        <w:rPr>
          <w:noProof/>
        </w:rPr>
        <w:t>zap</w:t>
      </w:r>
      <w:r w:rsidRPr="00FF009C">
        <w:rPr>
          <w:noProof/>
        </w:rPr>
        <w:t>obieganiu przemytowi migrantów</w:t>
      </w:r>
      <w:r w:rsidR="00FF009C" w:rsidRPr="00FF009C">
        <w:rPr>
          <w:noProof/>
        </w:rPr>
        <w:t xml:space="preserve"> i</w:t>
      </w:r>
      <w:r w:rsidR="00FF009C">
        <w:rPr>
          <w:noProof/>
        </w:rPr>
        <w:t> </w:t>
      </w:r>
      <w:r w:rsidR="00FF009C" w:rsidRPr="00FF009C">
        <w:rPr>
          <w:noProof/>
        </w:rPr>
        <w:t>han</w:t>
      </w:r>
      <w:r w:rsidRPr="00FF009C">
        <w:rPr>
          <w:noProof/>
        </w:rPr>
        <w:t>dlowi ludźmi oraz</w:t>
      </w:r>
      <w:r w:rsidR="00FF009C" w:rsidRPr="00FF009C">
        <w:rPr>
          <w:noProof/>
        </w:rPr>
        <w:t xml:space="preserve"> w</w:t>
      </w:r>
      <w:r w:rsidR="00FF009C">
        <w:rPr>
          <w:noProof/>
        </w:rPr>
        <w:t> </w:t>
      </w:r>
      <w:r w:rsidR="00FF009C" w:rsidRPr="00FF009C">
        <w:rPr>
          <w:noProof/>
        </w:rPr>
        <w:t>zwa</w:t>
      </w:r>
      <w:r w:rsidRPr="00FF009C">
        <w:rPr>
          <w:noProof/>
        </w:rPr>
        <w:t>lczaniu tych przestępstw oraz wykonuje zadania określone</w:t>
      </w:r>
      <w:r w:rsidR="00FF009C" w:rsidRPr="00FF009C">
        <w:rPr>
          <w:noProof/>
        </w:rPr>
        <w:t xml:space="preserve"> w</w:t>
      </w:r>
      <w:r w:rsidR="00FF009C">
        <w:rPr>
          <w:noProof/>
        </w:rPr>
        <w:t> </w:t>
      </w:r>
      <w:r w:rsidR="00FF009C" w:rsidRPr="00FF009C">
        <w:rPr>
          <w:noProof/>
        </w:rPr>
        <w:t>art</w:t>
      </w:r>
      <w:r w:rsidRPr="00FF009C">
        <w:rPr>
          <w:noProof/>
        </w:rPr>
        <w:t>.</w:t>
      </w:r>
      <w:r w:rsidR="00FF009C" w:rsidRPr="00FF009C">
        <w:rPr>
          <w:noProof/>
        </w:rPr>
        <w:t> </w:t>
      </w:r>
      <w:r w:rsidRPr="00FF009C">
        <w:rPr>
          <w:noProof/>
        </w:rPr>
        <w:t>5</w:t>
      </w:r>
      <w:r w:rsidR="00FF009C" w:rsidRPr="00FF009C">
        <w:rPr>
          <w:noProof/>
        </w:rPr>
        <w:t xml:space="preserve"> i</w:t>
      </w:r>
      <w:r w:rsidR="00FF009C">
        <w:rPr>
          <w:noProof/>
        </w:rPr>
        <w:t> </w:t>
      </w:r>
      <w:r w:rsidR="00FF009C" w:rsidRPr="00FF009C">
        <w:rPr>
          <w:noProof/>
        </w:rPr>
        <w:t>6</w:t>
      </w:r>
      <w:r w:rsidRPr="00FF009C">
        <w:rPr>
          <w:noProof/>
        </w:rPr>
        <w:t>.</w:t>
      </w:r>
    </w:p>
    <w:p w14:paraId="341CE6A4" w14:textId="77777777" w:rsidR="0043039B" w:rsidRPr="00FF009C" w:rsidRDefault="0043039B" w:rsidP="0043039B">
      <w:pPr>
        <w:jc w:val="center"/>
        <w:rPr>
          <w:rFonts w:eastAsia="Times New Roman"/>
          <w:i/>
          <w:iCs/>
          <w:noProof/>
          <w:szCs w:val="24"/>
        </w:rPr>
      </w:pPr>
      <w:r w:rsidRPr="00FF009C">
        <w:rPr>
          <w:i/>
          <w:noProof/>
        </w:rPr>
        <w:t xml:space="preserve"> </w:t>
      </w:r>
    </w:p>
    <w:p w14:paraId="53C8E4A3" w14:textId="77777777" w:rsidR="0043039B" w:rsidRPr="00FF009C" w:rsidRDefault="0043039B">
      <w:pPr>
        <w:jc w:val="center"/>
        <w:rPr>
          <w:rFonts w:eastAsia="Times New Roman"/>
          <w:i/>
          <w:iCs/>
          <w:noProof/>
        </w:rPr>
      </w:pPr>
      <w:r w:rsidRPr="00FF009C">
        <w:rPr>
          <w:i/>
          <w:noProof/>
        </w:rPr>
        <w:t>Artykuł 4</w:t>
      </w:r>
    </w:p>
    <w:p w14:paraId="5CF830DB" w14:textId="77777777" w:rsidR="0043039B" w:rsidRPr="00FF009C" w:rsidRDefault="00B627AD">
      <w:pPr>
        <w:jc w:val="center"/>
        <w:rPr>
          <w:rFonts w:eastAsia="Times New Roman"/>
          <w:b/>
          <w:bCs/>
          <w:noProof/>
        </w:rPr>
      </w:pPr>
      <w:r w:rsidRPr="00FF009C">
        <w:rPr>
          <w:b/>
          <w:noProof/>
        </w:rPr>
        <w:t>Skład Europejskiego Centrum Zwalczania Przemytu Migrantów</w:t>
      </w:r>
    </w:p>
    <w:p w14:paraId="38773420" w14:textId="77777777" w:rsidR="0043039B" w:rsidRPr="00FF009C" w:rsidRDefault="0043039B" w:rsidP="0043039B">
      <w:pPr>
        <w:jc w:val="center"/>
        <w:rPr>
          <w:rFonts w:eastAsia="Times New Roman"/>
          <w:b/>
          <w:bCs/>
          <w:noProof/>
        </w:rPr>
      </w:pPr>
    </w:p>
    <w:p w14:paraId="50177F0C" w14:textId="27B3E7C2" w:rsidR="0043039B" w:rsidRPr="00FF009C" w:rsidRDefault="0043039B" w:rsidP="0043039B">
      <w:pPr>
        <w:ind w:left="720" w:hanging="720"/>
        <w:rPr>
          <w:noProof/>
        </w:rPr>
      </w:pPr>
      <w:r w:rsidRPr="00FF009C">
        <w:rPr>
          <w:noProof/>
        </w:rPr>
        <w:t xml:space="preserve">1. </w:t>
      </w:r>
      <w:r w:rsidRPr="00FF009C">
        <w:rPr>
          <w:noProof/>
        </w:rPr>
        <w:tab/>
        <w:t>Europejskie Centrum Zwalczania Przemytu Migrantów składa się</w:t>
      </w:r>
      <w:r w:rsidR="00FF009C" w:rsidRPr="00FF009C">
        <w:rPr>
          <w:noProof/>
        </w:rPr>
        <w:t xml:space="preserve"> z</w:t>
      </w:r>
      <w:r w:rsidR="00FF009C">
        <w:rPr>
          <w:noProof/>
        </w:rPr>
        <w:t> </w:t>
      </w:r>
      <w:r w:rsidR="00FF009C" w:rsidRPr="00FF009C">
        <w:rPr>
          <w:noProof/>
        </w:rPr>
        <w:t>pra</w:t>
      </w:r>
      <w:r w:rsidRPr="00FF009C">
        <w:rPr>
          <w:noProof/>
        </w:rPr>
        <w:t>cowników Europolu</w:t>
      </w:r>
      <w:r w:rsidR="00FF009C" w:rsidRPr="00FF009C">
        <w:rPr>
          <w:noProof/>
        </w:rPr>
        <w:t xml:space="preserve"> i</w:t>
      </w:r>
      <w:r w:rsidR="00FF009C">
        <w:rPr>
          <w:noProof/>
        </w:rPr>
        <w:t> </w:t>
      </w:r>
      <w:r w:rsidR="00FF009C" w:rsidRPr="00FF009C">
        <w:rPr>
          <w:noProof/>
        </w:rPr>
        <w:t>ang</w:t>
      </w:r>
      <w:r w:rsidRPr="00FF009C">
        <w:rPr>
          <w:noProof/>
        </w:rPr>
        <w:t>ażuje przedstawicieli następujących podmiotów</w:t>
      </w:r>
      <w:r w:rsidR="00FF009C" w:rsidRPr="00FF009C">
        <w:rPr>
          <w:noProof/>
        </w:rPr>
        <w:t xml:space="preserve"> w</w:t>
      </w:r>
      <w:r w:rsidR="00FF009C">
        <w:rPr>
          <w:noProof/>
        </w:rPr>
        <w:t> </w:t>
      </w:r>
      <w:r w:rsidR="00FF009C" w:rsidRPr="00FF009C">
        <w:rPr>
          <w:noProof/>
        </w:rPr>
        <w:t>wyk</w:t>
      </w:r>
      <w:r w:rsidRPr="00FF009C">
        <w:rPr>
          <w:noProof/>
        </w:rPr>
        <w:t>onywanie zadań strategicznych,</w:t>
      </w:r>
      <w:r w:rsidR="00FF009C" w:rsidRPr="00FF009C">
        <w:rPr>
          <w:noProof/>
        </w:rPr>
        <w:t xml:space="preserve"> o</w:t>
      </w:r>
      <w:r w:rsidR="00FF009C">
        <w:rPr>
          <w:noProof/>
        </w:rPr>
        <w:t> </w:t>
      </w:r>
      <w:r w:rsidR="00FF009C" w:rsidRPr="00FF009C">
        <w:rPr>
          <w:noProof/>
        </w:rPr>
        <w:t>któ</w:t>
      </w:r>
      <w:r w:rsidRPr="00FF009C">
        <w:rPr>
          <w:noProof/>
        </w:rPr>
        <w:t>rych mowa</w:t>
      </w:r>
      <w:r w:rsidR="00FF009C" w:rsidRPr="00FF009C">
        <w:rPr>
          <w:noProof/>
        </w:rPr>
        <w:t xml:space="preserve"> w</w:t>
      </w:r>
      <w:r w:rsidR="00FF009C">
        <w:rPr>
          <w:noProof/>
        </w:rPr>
        <w:t> </w:t>
      </w:r>
      <w:r w:rsidR="00FF009C" w:rsidRPr="00FF009C">
        <w:rPr>
          <w:noProof/>
        </w:rPr>
        <w:t>art</w:t>
      </w:r>
      <w:r w:rsidRPr="00FF009C">
        <w:rPr>
          <w:noProof/>
        </w:rPr>
        <w:t>.</w:t>
      </w:r>
      <w:r w:rsidR="00FF009C" w:rsidRPr="00FF009C">
        <w:rPr>
          <w:noProof/>
        </w:rPr>
        <w:t> </w:t>
      </w:r>
      <w:r w:rsidRPr="00FF009C">
        <w:rPr>
          <w:noProof/>
        </w:rPr>
        <w:t>5:</w:t>
      </w:r>
    </w:p>
    <w:p w14:paraId="3071DDE1" w14:textId="033DC10C" w:rsidR="0043039B" w:rsidRPr="00FF009C" w:rsidRDefault="0028650E" w:rsidP="0028650E">
      <w:pPr>
        <w:pStyle w:val="Point1"/>
        <w:rPr>
          <w:noProof/>
        </w:rPr>
      </w:pPr>
      <w:r w:rsidRPr="00FF009C">
        <w:rPr>
          <w:noProof/>
        </w:rPr>
        <w:t>a)</w:t>
      </w:r>
      <w:r w:rsidRPr="00FF009C">
        <w:rPr>
          <w:noProof/>
        </w:rPr>
        <w:tab/>
        <w:t>po jednym przedstawicielu każdego państwa członkowskiego</w:t>
      </w:r>
      <w:r w:rsidR="00FF009C" w:rsidRPr="00FF009C">
        <w:rPr>
          <w:noProof/>
        </w:rPr>
        <w:t xml:space="preserve"> z</w:t>
      </w:r>
      <w:r w:rsidR="00FF009C">
        <w:rPr>
          <w:noProof/>
        </w:rPr>
        <w:t> </w:t>
      </w:r>
      <w:r w:rsidR="00FF009C" w:rsidRPr="00FF009C">
        <w:rPr>
          <w:noProof/>
        </w:rPr>
        <w:t>kra</w:t>
      </w:r>
      <w:r w:rsidRPr="00FF009C">
        <w:rPr>
          <w:noProof/>
        </w:rPr>
        <w:t>jowej wyspecjalizowanej służby,</w:t>
      </w:r>
      <w:r w:rsidR="00FF009C" w:rsidRPr="00FF009C">
        <w:rPr>
          <w:noProof/>
        </w:rPr>
        <w:t xml:space="preserve"> o</w:t>
      </w:r>
      <w:r w:rsidR="00FF009C">
        <w:rPr>
          <w:noProof/>
        </w:rPr>
        <w:t> </w:t>
      </w:r>
      <w:r w:rsidR="00FF009C" w:rsidRPr="00FF009C">
        <w:rPr>
          <w:noProof/>
        </w:rPr>
        <w:t>któ</w:t>
      </w:r>
      <w:r w:rsidRPr="00FF009C">
        <w:rPr>
          <w:noProof/>
        </w:rPr>
        <w:t>rej mowa</w:t>
      </w:r>
      <w:r w:rsidR="00FF009C" w:rsidRPr="00FF009C">
        <w:rPr>
          <w:noProof/>
        </w:rPr>
        <w:t xml:space="preserve"> w</w:t>
      </w:r>
      <w:r w:rsidR="00FF009C">
        <w:rPr>
          <w:noProof/>
        </w:rPr>
        <w:t> </w:t>
      </w:r>
      <w:r w:rsidR="00FF009C" w:rsidRPr="00FF009C">
        <w:rPr>
          <w:noProof/>
        </w:rPr>
        <w:t>art</w:t>
      </w:r>
      <w:r w:rsidRPr="00FF009C">
        <w:rPr>
          <w:noProof/>
        </w:rPr>
        <w:t>.</w:t>
      </w:r>
      <w:r w:rsidR="00FF009C" w:rsidRPr="00FF009C">
        <w:rPr>
          <w:noProof/>
        </w:rPr>
        <w:t> </w:t>
      </w:r>
      <w:r w:rsidRPr="00FF009C">
        <w:rPr>
          <w:noProof/>
        </w:rPr>
        <w:t>7;</w:t>
      </w:r>
    </w:p>
    <w:p w14:paraId="1B59D782" w14:textId="61B53298" w:rsidR="0043039B" w:rsidRPr="00FF009C" w:rsidRDefault="0028650E" w:rsidP="0028650E">
      <w:pPr>
        <w:pStyle w:val="Point1"/>
        <w:rPr>
          <w:noProof/>
        </w:rPr>
      </w:pPr>
      <w:r w:rsidRPr="00FF009C">
        <w:rPr>
          <w:noProof/>
        </w:rPr>
        <w:t>b)</w:t>
      </w:r>
      <w:r w:rsidRPr="00FF009C">
        <w:rPr>
          <w:noProof/>
        </w:rPr>
        <w:tab/>
        <w:t>przedstawiciela Eurojustu;</w:t>
      </w:r>
    </w:p>
    <w:p w14:paraId="60AD56BD" w14:textId="1283125D" w:rsidR="0043039B" w:rsidRPr="00FF009C" w:rsidRDefault="0028650E" w:rsidP="0028650E">
      <w:pPr>
        <w:pStyle w:val="Point1"/>
        <w:rPr>
          <w:noProof/>
        </w:rPr>
      </w:pPr>
      <w:r w:rsidRPr="00FF009C">
        <w:rPr>
          <w:noProof/>
        </w:rPr>
        <w:t>c)</w:t>
      </w:r>
      <w:r w:rsidRPr="00FF009C">
        <w:rPr>
          <w:noProof/>
        </w:rPr>
        <w:tab/>
        <w:t>przedstawiciela Europejskiej Agencji Straży Granicznej</w:t>
      </w:r>
      <w:r w:rsidR="00FF009C" w:rsidRPr="00FF009C">
        <w:rPr>
          <w:noProof/>
        </w:rPr>
        <w:t xml:space="preserve"> i</w:t>
      </w:r>
      <w:r w:rsidR="00FF009C">
        <w:rPr>
          <w:noProof/>
        </w:rPr>
        <w:t> </w:t>
      </w:r>
      <w:r w:rsidR="00FF009C" w:rsidRPr="00FF009C">
        <w:rPr>
          <w:noProof/>
        </w:rPr>
        <w:t>Prz</w:t>
      </w:r>
      <w:r w:rsidRPr="00FF009C">
        <w:rPr>
          <w:noProof/>
        </w:rPr>
        <w:t>ybrzeżnej;</w:t>
      </w:r>
    </w:p>
    <w:p w14:paraId="74E5798F" w14:textId="6F4FB99F" w:rsidR="0043039B" w:rsidRPr="00FF009C" w:rsidRDefault="0028650E" w:rsidP="0028650E">
      <w:pPr>
        <w:pStyle w:val="Point1"/>
        <w:rPr>
          <w:noProof/>
          <w:szCs w:val="24"/>
        </w:rPr>
      </w:pPr>
      <w:r w:rsidRPr="00FF009C">
        <w:rPr>
          <w:noProof/>
        </w:rPr>
        <w:t>d)</w:t>
      </w:r>
      <w:r w:rsidRPr="00FF009C">
        <w:rPr>
          <w:noProof/>
        </w:rPr>
        <w:tab/>
        <w:t>według uznania Europolu i po konsultacji</w:t>
      </w:r>
      <w:r w:rsidR="00FF009C" w:rsidRPr="00FF009C">
        <w:rPr>
          <w:noProof/>
        </w:rPr>
        <w:t xml:space="preserve"> z</w:t>
      </w:r>
      <w:r w:rsidR="00FF009C">
        <w:rPr>
          <w:noProof/>
        </w:rPr>
        <w:t> </w:t>
      </w:r>
      <w:r w:rsidR="00FF009C" w:rsidRPr="00FF009C">
        <w:rPr>
          <w:noProof/>
        </w:rPr>
        <w:t>pań</w:t>
      </w:r>
      <w:r w:rsidRPr="00FF009C">
        <w:rPr>
          <w:noProof/>
        </w:rPr>
        <w:t>stwami członkowskimi – co najmniej jednego przedstawiciela uczestniczącego we wdrażaniu pod kątem operacyjnym unijnych priorytetów strategicznych</w:t>
      </w:r>
      <w:r w:rsidR="00FF009C" w:rsidRPr="00FF009C">
        <w:rPr>
          <w:noProof/>
        </w:rPr>
        <w:t xml:space="preserve"> i</w:t>
      </w:r>
      <w:r w:rsidR="00FF009C">
        <w:rPr>
          <w:noProof/>
        </w:rPr>
        <w:t> </w:t>
      </w:r>
      <w:r w:rsidR="00FF009C" w:rsidRPr="00FF009C">
        <w:rPr>
          <w:noProof/>
        </w:rPr>
        <w:t>ope</w:t>
      </w:r>
      <w:r w:rsidRPr="00FF009C">
        <w:rPr>
          <w:noProof/>
        </w:rPr>
        <w:t>racyjnych</w:t>
      </w:r>
      <w:r w:rsidR="00FF009C" w:rsidRPr="00FF009C">
        <w:rPr>
          <w:noProof/>
        </w:rPr>
        <w:t xml:space="preserve"> w</w:t>
      </w:r>
      <w:r w:rsidR="00FF009C">
        <w:rPr>
          <w:noProof/>
        </w:rPr>
        <w:t> </w:t>
      </w:r>
      <w:r w:rsidR="00FF009C" w:rsidRPr="00FF009C">
        <w:rPr>
          <w:noProof/>
        </w:rPr>
        <w:t>zak</w:t>
      </w:r>
      <w:r w:rsidRPr="00FF009C">
        <w:rPr>
          <w:noProof/>
        </w:rPr>
        <w:t>resie zapobiegania przemytowi migrantów</w:t>
      </w:r>
      <w:r w:rsidR="00FF009C" w:rsidRPr="00FF009C">
        <w:rPr>
          <w:noProof/>
        </w:rPr>
        <w:t xml:space="preserve"> i</w:t>
      </w:r>
      <w:r w:rsidR="00FF009C">
        <w:rPr>
          <w:noProof/>
        </w:rPr>
        <w:t> </w:t>
      </w:r>
      <w:r w:rsidR="00FF009C" w:rsidRPr="00FF009C">
        <w:rPr>
          <w:noProof/>
        </w:rPr>
        <w:t>han</w:t>
      </w:r>
      <w:r w:rsidRPr="00FF009C">
        <w:rPr>
          <w:noProof/>
        </w:rPr>
        <w:t>dlowi ludźmi oraz zwalczania tych przestępstw,</w:t>
      </w:r>
      <w:r w:rsidR="00FF009C" w:rsidRPr="00FF009C">
        <w:rPr>
          <w:noProof/>
        </w:rPr>
        <w:t xml:space="preserve"> w</w:t>
      </w:r>
      <w:r w:rsidR="00FF009C">
        <w:rPr>
          <w:noProof/>
        </w:rPr>
        <w:t> </w:t>
      </w:r>
      <w:r w:rsidR="00FF009C" w:rsidRPr="00FF009C">
        <w:rPr>
          <w:noProof/>
        </w:rPr>
        <w:t>szc</w:t>
      </w:r>
      <w:r w:rsidRPr="00FF009C">
        <w:rPr>
          <w:noProof/>
        </w:rPr>
        <w:t>zególności za pośrednictwem europejskiej multidyscyplinarnej platformy przeciwko zagrożeniom przestępstwami (EMPACT).</w:t>
      </w:r>
    </w:p>
    <w:p w14:paraId="2275482E" w14:textId="7F7A2953" w:rsidR="0043039B" w:rsidRPr="00FF009C" w:rsidRDefault="39403F19" w:rsidP="0043039B">
      <w:pPr>
        <w:ind w:left="720"/>
        <w:rPr>
          <w:noProof/>
        </w:rPr>
      </w:pPr>
      <w:r w:rsidRPr="00FF009C">
        <w:rPr>
          <w:noProof/>
        </w:rPr>
        <w:t>Co najmniej dwa razy</w:t>
      </w:r>
      <w:r w:rsidR="00FF009C" w:rsidRPr="00FF009C">
        <w:rPr>
          <w:noProof/>
        </w:rPr>
        <w:t xml:space="preserve"> w</w:t>
      </w:r>
      <w:r w:rsidR="00FF009C">
        <w:rPr>
          <w:noProof/>
        </w:rPr>
        <w:t> </w:t>
      </w:r>
      <w:r w:rsidR="00FF009C" w:rsidRPr="00FF009C">
        <w:rPr>
          <w:noProof/>
        </w:rPr>
        <w:t>rok</w:t>
      </w:r>
      <w:r w:rsidRPr="00FF009C">
        <w:rPr>
          <w:noProof/>
        </w:rPr>
        <w:t>u Europejskie Centrum Zwalczania Przemytu Migrantów organizuje spotkanie podmiotów,</w:t>
      </w:r>
      <w:r w:rsidR="00FF009C" w:rsidRPr="00FF009C">
        <w:rPr>
          <w:noProof/>
        </w:rPr>
        <w:t xml:space="preserve"> o</w:t>
      </w:r>
      <w:r w:rsidR="00FF009C">
        <w:rPr>
          <w:noProof/>
        </w:rPr>
        <w:t> </w:t>
      </w:r>
      <w:r w:rsidR="00FF009C" w:rsidRPr="00FF009C">
        <w:rPr>
          <w:noProof/>
        </w:rPr>
        <w:t>któ</w:t>
      </w:r>
      <w:r w:rsidRPr="00FF009C">
        <w:rPr>
          <w:noProof/>
        </w:rPr>
        <w:t>rych mowa</w:t>
      </w:r>
      <w:r w:rsidR="00FF009C" w:rsidRPr="00FF009C">
        <w:rPr>
          <w:noProof/>
        </w:rPr>
        <w:t xml:space="preserve"> w</w:t>
      </w:r>
      <w:r w:rsidR="00FF009C">
        <w:rPr>
          <w:noProof/>
        </w:rPr>
        <w:t> </w:t>
      </w:r>
      <w:r w:rsidR="00FF009C" w:rsidRPr="00FF009C">
        <w:rPr>
          <w:noProof/>
        </w:rPr>
        <w:t>lit</w:t>
      </w:r>
      <w:r w:rsidRPr="00FF009C">
        <w:rPr>
          <w:noProof/>
        </w:rPr>
        <w:t>.</w:t>
      </w:r>
      <w:r w:rsidR="00FF009C" w:rsidRPr="00FF009C">
        <w:rPr>
          <w:noProof/>
        </w:rPr>
        <w:t> </w:t>
      </w:r>
      <w:r w:rsidRPr="00FF009C">
        <w:rPr>
          <w:noProof/>
        </w:rPr>
        <w:t>a)–d),</w:t>
      </w:r>
      <w:r w:rsidR="00FF009C" w:rsidRPr="00FF009C">
        <w:rPr>
          <w:noProof/>
        </w:rPr>
        <w:t xml:space="preserve"> w</w:t>
      </w:r>
      <w:r w:rsidR="00FF009C">
        <w:rPr>
          <w:noProof/>
        </w:rPr>
        <w:t> </w:t>
      </w:r>
      <w:r w:rsidR="00FF009C" w:rsidRPr="00FF009C">
        <w:rPr>
          <w:noProof/>
        </w:rPr>
        <w:t>któ</w:t>
      </w:r>
      <w:r w:rsidRPr="00FF009C">
        <w:rPr>
          <w:noProof/>
        </w:rPr>
        <w:t xml:space="preserve">rym uczestniczy również Komisja. </w:t>
      </w:r>
    </w:p>
    <w:p w14:paraId="085ECF7A" w14:textId="754F19E9" w:rsidR="0043039B" w:rsidRPr="00FF009C" w:rsidRDefault="0043039B" w:rsidP="0043039B">
      <w:pPr>
        <w:ind w:left="720"/>
        <w:rPr>
          <w:noProof/>
        </w:rPr>
      </w:pPr>
      <w:r w:rsidRPr="00FF009C">
        <w:rPr>
          <w:noProof/>
        </w:rPr>
        <w:t>Do udziału</w:t>
      </w:r>
      <w:r w:rsidR="00FF009C" w:rsidRPr="00FF009C">
        <w:rPr>
          <w:noProof/>
        </w:rPr>
        <w:t xml:space="preserve"> w</w:t>
      </w:r>
      <w:r w:rsidR="00FF009C">
        <w:rPr>
          <w:noProof/>
        </w:rPr>
        <w:t> </w:t>
      </w:r>
      <w:r w:rsidR="00FF009C" w:rsidRPr="00FF009C">
        <w:rPr>
          <w:noProof/>
        </w:rPr>
        <w:t>dzi</w:t>
      </w:r>
      <w:r w:rsidRPr="00FF009C">
        <w:rPr>
          <w:noProof/>
        </w:rPr>
        <w:t>ałaniach,</w:t>
      </w:r>
      <w:r w:rsidR="00FF009C" w:rsidRPr="00FF009C">
        <w:rPr>
          <w:noProof/>
        </w:rPr>
        <w:t xml:space="preserve"> o</w:t>
      </w:r>
      <w:r w:rsidR="00FF009C">
        <w:rPr>
          <w:noProof/>
        </w:rPr>
        <w:t> </w:t>
      </w:r>
      <w:r w:rsidR="00FF009C" w:rsidRPr="00FF009C">
        <w:rPr>
          <w:noProof/>
        </w:rPr>
        <w:t>któ</w:t>
      </w:r>
      <w:r w:rsidRPr="00FF009C">
        <w:rPr>
          <w:noProof/>
        </w:rPr>
        <w:t>rych mowa</w:t>
      </w:r>
      <w:r w:rsidR="00FF009C" w:rsidRPr="00FF009C">
        <w:rPr>
          <w:noProof/>
        </w:rPr>
        <w:t xml:space="preserve"> w</w:t>
      </w:r>
      <w:r w:rsidR="00FF009C">
        <w:rPr>
          <w:noProof/>
        </w:rPr>
        <w:t> </w:t>
      </w:r>
      <w:r w:rsidR="00FF009C" w:rsidRPr="00FF009C">
        <w:rPr>
          <w:noProof/>
        </w:rPr>
        <w:t>art</w:t>
      </w:r>
      <w:r w:rsidRPr="00FF009C">
        <w:rPr>
          <w:noProof/>
        </w:rPr>
        <w:t>.</w:t>
      </w:r>
      <w:r w:rsidR="00FF009C" w:rsidRPr="00FF009C">
        <w:rPr>
          <w:noProof/>
        </w:rPr>
        <w:t> </w:t>
      </w:r>
      <w:r w:rsidRPr="00FF009C">
        <w:rPr>
          <w:noProof/>
        </w:rPr>
        <w:t>5, Europol może zaprosić inne podmioty</w:t>
      </w:r>
      <w:r w:rsidR="00FF009C" w:rsidRPr="00FF009C">
        <w:rPr>
          <w:noProof/>
        </w:rPr>
        <w:t xml:space="preserve"> w</w:t>
      </w:r>
      <w:r w:rsidR="00FF009C">
        <w:rPr>
          <w:noProof/>
        </w:rPr>
        <w:t> </w:t>
      </w:r>
      <w:r w:rsidR="00FF009C" w:rsidRPr="00FF009C">
        <w:rPr>
          <w:noProof/>
        </w:rPr>
        <w:t>tym</w:t>
      </w:r>
      <w:r w:rsidRPr="00FF009C">
        <w:rPr>
          <w:noProof/>
        </w:rPr>
        <w:t xml:space="preserve"> inne właściwe organy lub agencje Unii.</w:t>
      </w:r>
    </w:p>
    <w:p w14:paraId="384A28BA" w14:textId="417634A2" w:rsidR="0043039B" w:rsidRPr="00FF009C" w:rsidRDefault="0043039B" w:rsidP="0043039B">
      <w:pPr>
        <w:ind w:left="720" w:hanging="720"/>
        <w:rPr>
          <w:noProof/>
        </w:rPr>
      </w:pPr>
      <w:r w:rsidRPr="00FF009C">
        <w:rPr>
          <w:noProof/>
        </w:rPr>
        <w:t>2.</w:t>
      </w:r>
      <w:r w:rsidRPr="00FF009C">
        <w:rPr>
          <w:noProof/>
        </w:rPr>
        <w:tab/>
        <w:t>Europejskie Centrum Zwalczania Przemytu Migrantów składa się</w:t>
      </w:r>
      <w:r w:rsidR="00FF009C" w:rsidRPr="00FF009C">
        <w:rPr>
          <w:noProof/>
        </w:rPr>
        <w:t xml:space="preserve"> z</w:t>
      </w:r>
      <w:r w:rsidR="00FF009C">
        <w:rPr>
          <w:noProof/>
        </w:rPr>
        <w:t> </w:t>
      </w:r>
      <w:r w:rsidR="00FF009C" w:rsidRPr="00FF009C">
        <w:rPr>
          <w:noProof/>
        </w:rPr>
        <w:t>pra</w:t>
      </w:r>
      <w:r w:rsidRPr="00FF009C">
        <w:rPr>
          <w:noProof/>
        </w:rPr>
        <w:t>cowników Europolu</w:t>
      </w:r>
      <w:r w:rsidR="00FF009C" w:rsidRPr="00FF009C">
        <w:rPr>
          <w:noProof/>
        </w:rPr>
        <w:t xml:space="preserve"> i</w:t>
      </w:r>
      <w:r w:rsidR="00FF009C">
        <w:rPr>
          <w:noProof/>
        </w:rPr>
        <w:t> </w:t>
      </w:r>
      <w:r w:rsidR="00FF009C" w:rsidRPr="00FF009C">
        <w:rPr>
          <w:noProof/>
        </w:rPr>
        <w:t>ang</w:t>
      </w:r>
      <w:r w:rsidRPr="00FF009C">
        <w:rPr>
          <w:noProof/>
        </w:rPr>
        <w:t>ażuje przedstawicieli następujących podmiotów</w:t>
      </w:r>
      <w:r w:rsidR="00FF009C" w:rsidRPr="00FF009C">
        <w:rPr>
          <w:noProof/>
        </w:rPr>
        <w:t xml:space="preserve"> w</w:t>
      </w:r>
      <w:r w:rsidR="00FF009C">
        <w:rPr>
          <w:noProof/>
        </w:rPr>
        <w:t> </w:t>
      </w:r>
      <w:r w:rsidR="00FF009C" w:rsidRPr="00FF009C">
        <w:rPr>
          <w:noProof/>
        </w:rPr>
        <w:t>wyk</w:t>
      </w:r>
      <w:r w:rsidRPr="00FF009C">
        <w:rPr>
          <w:noProof/>
        </w:rPr>
        <w:t>onywanie zadań operacyjnych,</w:t>
      </w:r>
      <w:r w:rsidR="00FF009C" w:rsidRPr="00FF009C">
        <w:rPr>
          <w:noProof/>
        </w:rPr>
        <w:t xml:space="preserve"> o</w:t>
      </w:r>
      <w:r w:rsidR="00FF009C">
        <w:rPr>
          <w:noProof/>
        </w:rPr>
        <w:t> </w:t>
      </w:r>
      <w:r w:rsidR="00FF009C" w:rsidRPr="00FF009C">
        <w:rPr>
          <w:noProof/>
        </w:rPr>
        <w:t>któ</w:t>
      </w:r>
      <w:r w:rsidRPr="00FF009C">
        <w:rPr>
          <w:noProof/>
        </w:rPr>
        <w:t>rych mowa</w:t>
      </w:r>
      <w:r w:rsidR="00FF009C" w:rsidRPr="00FF009C">
        <w:rPr>
          <w:noProof/>
        </w:rPr>
        <w:t xml:space="preserve"> w</w:t>
      </w:r>
      <w:r w:rsidR="00FF009C">
        <w:rPr>
          <w:noProof/>
        </w:rPr>
        <w:t> </w:t>
      </w:r>
      <w:r w:rsidR="00FF009C" w:rsidRPr="00FF009C">
        <w:rPr>
          <w:noProof/>
        </w:rPr>
        <w:t>art</w:t>
      </w:r>
      <w:r w:rsidRPr="00FF009C">
        <w:rPr>
          <w:noProof/>
        </w:rPr>
        <w:t>.</w:t>
      </w:r>
      <w:r w:rsidR="00FF009C" w:rsidRPr="00FF009C">
        <w:rPr>
          <w:noProof/>
        </w:rPr>
        <w:t> </w:t>
      </w:r>
      <w:r w:rsidRPr="00FF009C">
        <w:rPr>
          <w:noProof/>
        </w:rPr>
        <w:t>6:</w:t>
      </w:r>
    </w:p>
    <w:p w14:paraId="10094443" w14:textId="04D8071E" w:rsidR="0043039B" w:rsidRPr="00FF009C" w:rsidRDefault="0043039B" w:rsidP="00977077">
      <w:pPr>
        <w:pStyle w:val="Text1"/>
        <w:rPr>
          <w:noProof/>
        </w:rPr>
      </w:pPr>
      <w:r w:rsidRPr="00FF009C">
        <w:rPr>
          <w:noProof/>
        </w:rPr>
        <w:t>a)</w:t>
      </w:r>
      <w:r w:rsidRPr="00FF009C">
        <w:rPr>
          <w:noProof/>
        </w:rPr>
        <w:tab/>
        <w:t>w przypadku każdego państwa członkowskiego – oficera łącznikowego,</w:t>
      </w:r>
      <w:r w:rsidR="00FF009C" w:rsidRPr="00FF009C">
        <w:rPr>
          <w:noProof/>
        </w:rPr>
        <w:t xml:space="preserve"> o</w:t>
      </w:r>
      <w:r w:rsidR="00FF009C">
        <w:rPr>
          <w:noProof/>
        </w:rPr>
        <w:t> </w:t>
      </w:r>
      <w:r w:rsidR="00FF009C" w:rsidRPr="00FF009C">
        <w:rPr>
          <w:noProof/>
        </w:rPr>
        <w:t>któ</w:t>
      </w:r>
      <w:r w:rsidRPr="00FF009C">
        <w:rPr>
          <w:noProof/>
        </w:rPr>
        <w:t>rym mowa</w:t>
      </w:r>
      <w:r w:rsidR="00FF009C" w:rsidRPr="00FF009C">
        <w:rPr>
          <w:noProof/>
        </w:rPr>
        <w:t xml:space="preserve"> w</w:t>
      </w:r>
      <w:r w:rsidR="00FF009C">
        <w:rPr>
          <w:noProof/>
        </w:rPr>
        <w:t> </w:t>
      </w:r>
      <w:r w:rsidR="00FF009C" w:rsidRPr="00FF009C">
        <w:rPr>
          <w:noProof/>
        </w:rPr>
        <w:t>art</w:t>
      </w:r>
      <w:r w:rsidRPr="00FF009C">
        <w:rPr>
          <w:noProof/>
        </w:rPr>
        <w:t>.</w:t>
      </w:r>
      <w:r w:rsidR="00FF009C" w:rsidRPr="00FF009C">
        <w:rPr>
          <w:noProof/>
        </w:rPr>
        <w:t> </w:t>
      </w:r>
      <w:r w:rsidRPr="00FF009C">
        <w:rPr>
          <w:noProof/>
        </w:rPr>
        <w:t>8 rozporządzenia (UE) 2016/794, specjalnie wyznaczonego do zajmowania się kwestiami przemytu migrantów;</w:t>
      </w:r>
    </w:p>
    <w:p w14:paraId="4E8C65E7" w14:textId="00FA7BBE" w:rsidR="0043039B" w:rsidRPr="00FF009C" w:rsidRDefault="0043039B" w:rsidP="00977077">
      <w:pPr>
        <w:pStyle w:val="Text1"/>
        <w:rPr>
          <w:noProof/>
        </w:rPr>
      </w:pPr>
      <w:r w:rsidRPr="00FF009C">
        <w:rPr>
          <w:noProof/>
        </w:rPr>
        <w:t>b)</w:t>
      </w:r>
      <w:r w:rsidRPr="00FF009C">
        <w:rPr>
          <w:noProof/>
        </w:rPr>
        <w:tab/>
        <w:t>urzędnika łącznikowego Eurojustu</w:t>
      </w:r>
      <w:r w:rsidR="00FF009C" w:rsidRPr="00FF009C">
        <w:rPr>
          <w:noProof/>
        </w:rPr>
        <w:t xml:space="preserve"> w</w:t>
      </w:r>
      <w:r w:rsidR="00FF009C">
        <w:rPr>
          <w:noProof/>
        </w:rPr>
        <w:t> </w:t>
      </w:r>
      <w:r w:rsidR="00FF009C" w:rsidRPr="00FF009C">
        <w:rPr>
          <w:noProof/>
        </w:rPr>
        <w:t>cha</w:t>
      </w:r>
      <w:r w:rsidRPr="00FF009C">
        <w:rPr>
          <w:noProof/>
        </w:rPr>
        <w:t>rakterze stałego przedstawiciela przy Europolu;</w:t>
      </w:r>
    </w:p>
    <w:p w14:paraId="7B2E2528" w14:textId="06780742" w:rsidR="0043039B" w:rsidRPr="00FF009C" w:rsidRDefault="0043039B" w:rsidP="00977077">
      <w:pPr>
        <w:pStyle w:val="Text1"/>
        <w:rPr>
          <w:noProof/>
        </w:rPr>
      </w:pPr>
      <w:r w:rsidRPr="00FF009C">
        <w:rPr>
          <w:noProof/>
        </w:rPr>
        <w:t>c)</w:t>
      </w:r>
      <w:r w:rsidRPr="00FF009C">
        <w:rPr>
          <w:noProof/>
        </w:rPr>
        <w:tab/>
        <w:t>urzędnika łącznikowego Europejskiej Agencji Straży Granicznej</w:t>
      </w:r>
      <w:r w:rsidR="00FF009C" w:rsidRPr="00FF009C">
        <w:rPr>
          <w:noProof/>
        </w:rPr>
        <w:t xml:space="preserve"> i</w:t>
      </w:r>
      <w:r w:rsidR="00FF009C">
        <w:rPr>
          <w:noProof/>
        </w:rPr>
        <w:t> </w:t>
      </w:r>
      <w:r w:rsidR="00FF009C" w:rsidRPr="00FF009C">
        <w:rPr>
          <w:noProof/>
        </w:rPr>
        <w:t>Prz</w:t>
      </w:r>
      <w:r w:rsidRPr="00FF009C">
        <w:rPr>
          <w:noProof/>
        </w:rPr>
        <w:t>ybrzeżnej</w:t>
      </w:r>
      <w:r w:rsidR="00FF009C" w:rsidRPr="00FF009C">
        <w:rPr>
          <w:noProof/>
        </w:rPr>
        <w:t xml:space="preserve"> w</w:t>
      </w:r>
      <w:r w:rsidR="00FF009C">
        <w:rPr>
          <w:noProof/>
        </w:rPr>
        <w:t> </w:t>
      </w:r>
      <w:r w:rsidR="00FF009C" w:rsidRPr="00FF009C">
        <w:rPr>
          <w:noProof/>
        </w:rPr>
        <w:t>cha</w:t>
      </w:r>
      <w:r w:rsidRPr="00FF009C">
        <w:rPr>
          <w:noProof/>
        </w:rPr>
        <w:t>rakterze stałego przedstawiciela przy Europolu.</w:t>
      </w:r>
    </w:p>
    <w:p w14:paraId="3454725B" w14:textId="7A7F9DEB" w:rsidR="0043039B" w:rsidRPr="00FF009C" w:rsidRDefault="0043039B" w:rsidP="0043039B">
      <w:pPr>
        <w:ind w:left="720" w:hanging="720"/>
        <w:rPr>
          <w:noProof/>
        </w:rPr>
      </w:pPr>
      <w:r w:rsidRPr="00FF009C">
        <w:rPr>
          <w:noProof/>
        </w:rPr>
        <w:tab/>
        <w:t>Do udziału</w:t>
      </w:r>
      <w:r w:rsidR="00FF009C" w:rsidRPr="00FF009C">
        <w:rPr>
          <w:noProof/>
        </w:rPr>
        <w:t xml:space="preserve"> w</w:t>
      </w:r>
      <w:r w:rsidR="00FF009C">
        <w:rPr>
          <w:noProof/>
        </w:rPr>
        <w:t> </w:t>
      </w:r>
      <w:r w:rsidR="00FF009C" w:rsidRPr="00FF009C">
        <w:rPr>
          <w:noProof/>
        </w:rPr>
        <w:t>dzi</w:t>
      </w:r>
      <w:r w:rsidRPr="00FF009C">
        <w:rPr>
          <w:noProof/>
        </w:rPr>
        <w:t>ałaniach,</w:t>
      </w:r>
      <w:r w:rsidR="00FF009C" w:rsidRPr="00FF009C">
        <w:rPr>
          <w:noProof/>
        </w:rPr>
        <w:t xml:space="preserve"> o</w:t>
      </w:r>
      <w:r w:rsidR="00FF009C">
        <w:rPr>
          <w:noProof/>
        </w:rPr>
        <w:t> </w:t>
      </w:r>
      <w:r w:rsidR="00FF009C" w:rsidRPr="00FF009C">
        <w:rPr>
          <w:noProof/>
        </w:rPr>
        <w:t>któ</w:t>
      </w:r>
      <w:r w:rsidRPr="00FF009C">
        <w:rPr>
          <w:noProof/>
        </w:rPr>
        <w:t>rych mowa</w:t>
      </w:r>
      <w:r w:rsidR="00FF009C" w:rsidRPr="00FF009C">
        <w:rPr>
          <w:noProof/>
        </w:rPr>
        <w:t xml:space="preserve"> w</w:t>
      </w:r>
      <w:r w:rsidR="00FF009C">
        <w:rPr>
          <w:noProof/>
        </w:rPr>
        <w:t> </w:t>
      </w:r>
      <w:r w:rsidR="00FF009C" w:rsidRPr="00FF009C">
        <w:rPr>
          <w:noProof/>
        </w:rPr>
        <w:t>art</w:t>
      </w:r>
      <w:r w:rsidRPr="00FF009C">
        <w:rPr>
          <w:noProof/>
        </w:rPr>
        <w:t>.</w:t>
      </w:r>
      <w:r w:rsidR="00FF009C" w:rsidRPr="00FF009C">
        <w:rPr>
          <w:noProof/>
        </w:rPr>
        <w:t> </w:t>
      </w:r>
      <w:r w:rsidRPr="00FF009C">
        <w:rPr>
          <w:noProof/>
        </w:rPr>
        <w:t>6, Europol może zaprosić inne podmioty</w:t>
      </w:r>
      <w:r w:rsidR="00FF009C" w:rsidRPr="00FF009C">
        <w:rPr>
          <w:noProof/>
        </w:rPr>
        <w:t xml:space="preserve"> w</w:t>
      </w:r>
      <w:r w:rsidR="00FF009C">
        <w:rPr>
          <w:noProof/>
        </w:rPr>
        <w:t> </w:t>
      </w:r>
      <w:r w:rsidR="00FF009C" w:rsidRPr="00FF009C">
        <w:rPr>
          <w:noProof/>
        </w:rPr>
        <w:t>tym</w:t>
      </w:r>
      <w:r w:rsidRPr="00FF009C">
        <w:rPr>
          <w:noProof/>
        </w:rPr>
        <w:t xml:space="preserve"> inne właściwe organy lub agencje Unii.</w:t>
      </w:r>
    </w:p>
    <w:p w14:paraId="26B3EC98" w14:textId="5684F010" w:rsidR="0043039B" w:rsidRPr="00FF009C" w:rsidRDefault="0043039B" w:rsidP="0043039B">
      <w:pPr>
        <w:ind w:left="720" w:hanging="720"/>
        <w:rPr>
          <w:noProof/>
        </w:rPr>
      </w:pPr>
      <w:r w:rsidRPr="00FF009C">
        <w:rPr>
          <w:noProof/>
        </w:rPr>
        <w:t>3.</w:t>
      </w:r>
      <w:r w:rsidRPr="00FF009C">
        <w:rPr>
          <w:noProof/>
        </w:rPr>
        <w:tab/>
        <w:t>Do celów ust.</w:t>
      </w:r>
      <w:r w:rsidR="00FF009C" w:rsidRPr="00FF009C">
        <w:rPr>
          <w:noProof/>
        </w:rPr>
        <w:t> </w:t>
      </w:r>
      <w:r w:rsidRPr="00FF009C">
        <w:rPr>
          <w:noProof/>
        </w:rPr>
        <w:t>2 niniejszego artykułu oraz zgodnie</w:t>
      </w:r>
      <w:r w:rsidR="00FF009C" w:rsidRPr="00FF009C">
        <w:rPr>
          <w:noProof/>
        </w:rPr>
        <w:t xml:space="preserve"> z</w:t>
      </w:r>
      <w:r w:rsidR="00FF009C">
        <w:rPr>
          <w:noProof/>
        </w:rPr>
        <w:t> </w:t>
      </w:r>
      <w:r w:rsidR="00FF009C" w:rsidRPr="00FF009C">
        <w:rPr>
          <w:noProof/>
        </w:rPr>
        <w:t>art</w:t>
      </w:r>
      <w:r w:rsidRPr="00FF009C">
        <w:rPr>
          <w:noProof/>
        </w:rPr>
        <w:t>.</w:t>
      </w:r>
      <w:r w:rsidR="00FF009C" w:rsidRPr="00FF009C">
        <w:rPr>
          <w:noProof/>
        </w:rPr>
        <w:t> </w:t>
      </w:r>
      <w:r w:rsidRPr="00FF009C">
        <w:rPr>
          <w:noProof/>
        </w:rPr>
        <w:t>4 ust.</w:t>
      </w:r>
      <w:r w:rsidR="00FF009C" w:rsidRPr="00FF009C">
        <w:rPr>
          <w:noProof/>
        </w:rPr>
        <w:t> </w:t>
      </w:r>
      <w:r w:rsidRPr="00FF009C">
        <w:rPr>
          <w:noProof/>
        </w:rPr>
        <w:t>1 lit.</w:t>
      </w:r>
      <w:r w:rsidR="00FF009C" w:rsidRPr="00FF009C">
        <w:rPr>
          <w:noProof/>
        </w:rPr>
        <w:t> </w:t>
      </w:r>
      <w:r w:rsidRPr="00FF009C">
        <w:rPr>
          <w:noProof/>
        </w:rPr>
        <w:t>g) rozporządzenia Parlamentu Europejskiego</w:t>
      </w:r>
      <w:r w:rsidR="00FF009C" w:rsidRPr="00FF009C">
        <w:rPr>
          <w:noProof/>
        </w:rPr>
        <w:t xml:space="preserve"> i</w:t>
      </w:r>
      <w:r w:rsidR="00FF009C">
        <w:rPr>
          <w:noProof/>
        </w:rPr>
        <w:t> </w:t>
      </w:r>
      <w:r w:rsidR="00FF009C" w:rsidRPr="00FF009C">
        <w:rPr>
          <w:noProof/>
        </w:rPr>
        <w:t>Rad</w:t>
      </w:r>
      <w:r w:rsidRPr="00FF009C">
        <w:rPr>
          <w:noProof/>
        </w:rPr>
        <w:t>y (UE) 2018/1727</w:t>
      </w:r>
      <w:r w:rsidR="00C33E4B" w:rsidRPr="00FF009C">
        <w:rPr>
          <w:rStyle w:val="FootnoteReference0"/>
          <w:noProof/>
        </w:rPr>
        <w:footnoteReference w:id="27"/>
      </w:r>
      <w:r w:rsidRPr="00FF009C">
        <w:rPr>
          <w:noProof/>
        </w:rPr>
        <w:t xml:space="preserve"> Eurojust oddelegowuje urzędnika łącznikowego działającego zgodnie</w:t>
      </w:r>
      <w:r w:rsidR="00FF009C" w:rsidRPr="00FF009C">
        <w:rPr>
          <w:noProof/>
        </w:rPr>
        <w:t xml:space="preserve"> z</w:t>
      </w:r>
      <w:r w:rsidR="00FF009C">
        <w:rPr>
          <w:noProof/>
        </w:rPr>
        <w:t> </w:t>
      </w:r>
      <w:r w:rsidR="00FF009C" w:rsidRPr="00FF009C">
        <w:rPr>
          <w:noProof/>
        </w:rPr>
        <w:t>tym</w:t>
      </w:r>
      <w:r w:rsidRPr="00FF009C">
        <w:rPr>
          <w:noProof/>
        </w:rPr>
        <w:t xml:space="preserve"> rozporządzeniem do Europejskiego Centrum Zwalczania Przemytu Migrantów.</w:t>
      </w:r>
    </w:p>
    <w:p w14:paraId="5F884D65" w14:textId="60637B35" w:rsidR="0043039B" w:rsidRPr="00FF009C" w:rsidRDefault="0043039B" w:rsidP="0043039B">
      <w:pPr>
        <w:ind w:left="720" w:hanging="720"/>
        <w:rPr>
          <w:noProof/>
        </w:rPr>
      </w:pPr>
      <w:r w:rsidRPr="00FF009C">
        <w:rPr>
          <w:noProof/>
        </w:rPr>
        <w:t>4.</w:t>
      </w:r>
      <w:r w:rsidRPr="00FF009C">
        <w:rPr>
          <w:noProof/>
        </w:rPr>
        <w:tab/>
        <w:t>Do celów ust.</w:t>
      </w:r>
      <w:r w:rsidR="00FF009C" w:rsidRPr="00FF009C">
        <w:rPr>
          <w:noProof/>
        </w:rPr>
        <w:t> </w:t>
      </w:r>
      <w:r w:rsidRPr="00FF009C">
        <w:rPr>
          <w:noProof/>
        </w:rPr>
        <w:t>2 niniejszego artykułu oraz art.</w:t>
      </w:r>
      <w:r w:rsidR="00FF009C" w:rsidRPr="00FF009C">
        <w:rPr>
          <w:noProof/>
        </w:rPr>
        <w:t> </w:t>
      </w:r>
      <w:r w:rsidRPr="00FF009C">
        <w:rPr>
          <w:noProof/>
        </w:rPr>
        <w:t>68 ust.</w:t>
      </w:r>
      <w:r w:rsidR="00FF009C" w:rsidRPr="00FF009C">
        <w:rPr>
          <w:noProof/>
        </w:rPr>
        <w:t> </w:t>
      </w:r>
      <w:r w:rsidRPr="00FF009C">
        <w:rPr>
          <w:noProof/>
        </w:rPr>
        <w:t>1 lit.</w:t>
      </w:r>
      <w:r w:rsidR="00FF009C" w:rsidRPr="00FF009C">
        <w:rPr>
          <w:noProof/>
        </w:rPr>
        <w:t> </w:t>
      </w:r>
      <w:r w:rsidRPr="00FF009C">
        <w:rPr>
          <w:noProof/>
        </w:rPr>
        <w:t>b), art.</w:t>
      </w:r>
      <w:r w:rsidR="00FF009C" w:rsidRPr="00FF009C">
        <w:rPr>
          <w:noProof/>
        </w:rPr>
        <w:t> </w:t>
      </w:r>
      <w:r w:rsidRPr="00FF009C">
        <w:rPr>
          <w:noProof/>
        </w:rPr>
        <w:t>87 ust.</w:t>
      </w:r>
      <w:r w:rsidR="00FF009C" w:rsidRPr="00FF009C">
        <w:rPr>
          <w:noProof/>
        </w:rPr>
        <w:t> </w:t>
      </w:r>
      <w:r w:rsidRPr="00FF009C">
        <w:rPr>
          <w:noProof/>
        </w:rPr>
        <w:t>1 lit.</w:t>
      </w:r>
      <w:r w:rsidR="00FF009C" w:rsidRPr="00FF009C">
        <w:rPr>
          <w:noProof/>
        </w:rPr>
        <w:t> </w:t>
      </w:r>
      <w:r w:rsidRPr="00FF009C">
        <w:rPr>
          <w:noProof/>
        </w:rPr>
        <w:t>d)</w:t>
      </w:r>
      <w:r w:rsidR="00FF009C" w:rsidRPr="00FF009C">
        <w:rPr>
          <w:noProof/>
        </w:rPr>
        <w:t xml:space="preserve"> i</w:t>
      </w:r>
      <w:r w:rsidR="00FF009C">
        <w:rPr>
          <w:noProof/>
        </w:rPr>
        <w:t> </w:t>
      </w:r>
      <w:r w:rsidR="00FF009C" w:rsidRPr="00FF009C">
        <w:rPr>
          <w:noProof/>
        </w:rPr>
        <w:t>art</w:t>
      </w:r>
      <w:r w:rsidRPr="00FF009C">
        <w:rPr>
          <w:noProof/>
        </w:rPr>
        <w:t>.</w:t>
      </w:r>
      <w:r w:rsidR="00FF009C" w:rsidRPr="00FF009C">
        <w:rPr>
          <w:noProof/>
        </w:rPr>
        <w:t> </w:t>
      </w:r>
      <w:r w:rsidRPr="00FF009C">
        <w:rPr>
          <w:noProof/>
        </w:rPr>
        <w:t>90 rozporządzenia (UE) 2019/1896,</w:t>
      </w:r>
      <w:r w:rsidR="00FF009C" w:rsidRPr="00FF009C">
        <w:rPr>
          <w:noProof/>
        </w:rPr>
        <w:t xml:space="preserve"> a</w:t>
      </w:r>
      <w:r w:rsidR="00FF009C">
        <w:rPr>
          <w:noProof/>
        </w:rPr>
        <w:t> </w:t>
      </w:r>
      <w:r w:rsidR="00FF009C" w:rsidRPr="00FF009C">
        <w:rPr>
          <w:noProof/>
        </w:rPr>
        <w:t>tak</w:t>
      </w:r>
      <w:r w:rsidRPr="00FF009C">
        <w:rPr>
          <w:noProof/>
        </w:rPr>
        <w:t>że zgodnie</w:t>
      </w:r>
      <w:r w:rsidR="00FF009C" w:rsidRPr="00FF009C">
        <w:rPr>
          <w:noProof/>
        </w:rPr>
        <w:t xml:space="preserve"> z</w:t>
      </w:r>
      <w:r w:rsidR="00FF009C">
        <w:rPr>
          <w:noProof/>
        </w:rPr>
        <w:t> </w:t>
      </w:r>
      <w:r w:rsidR="00FF009C" w:rsidRPr="00FF009C">
        <w:rPr>
          <w:noProof/>
        </w:rPr>
        <w:t>art</w:t>
      </w:r>
      <w:r w:rsidRPr="00FF009C">
        <w:rPr>
          <w:noProof/>
        </w:rPr>
        <w:t>.</w:t>
      </w:r>
      <w:r w:rsidR="00FF009C" w:rsidRPr="00FF009C">
        <w:rPr>
          <w:noProof/>
        </w:rPr>
        <w:t> </w:t>
      </w:r>
      <w:r w:rsidRPr="00FF009C">
        <w:rPr>
          <w:noProof/>
        </w:rPr>
        <w:t>68 ust.</w:t>
      </w:r>
      <w:r w:rsidR="00FF009C" w:rsidRPr="00FF009C">
        <w:rPr>
          <w:noProof/>
        </w:rPr>
        <w:t> </w:t>
      </w:r>
      <w:r w:rsidRPr="00FF009C">
        <w:rPr>
          <w:noProof/>
        </w:rPr>
        <w:t>2</w:t>
      </w:r>
      <w:r w:rsidR="00FF009C" w:rsidRPr="00FF009C">
        <w:rPr>
          <w:noProof/>
        </w:rPr>
        <w:t xml:space="preserve"> i</w:t>
      </w:r>
      <w:r w:rsidR="00FF009C">
        <w:rPr>
          <w:noProof/>
        </w:rPr>
        <w:t> </w:t>
      </w:r>
      <w:r w:rsidR="00FF009C" w:rsidRPr="00FF009C">
        <w:rPr>
          <w:noProof/>
        </w:rPr>
        <w:t>5</w:t>
      </w:r>
      <w:r w:rsidRPr="00FF009C">
        <w:rPr>
          <w:noProof/>
        </w:rPr>
        <w:t xml:space="preserve"> tego rozporządzenia Europejska Agencja Straży Granicznej</w:t>
      </w:r>
      <w:r w:rsidR="00FF009C" w:rsidRPr="00FF009C">
        <w:rPr>
          <w:noProof/>
        </w:rPr>
        <w:t xml:space="preserve"> i</w:t>
      </w:r>
      <w:r w:rsidR="00FF009C">
        <w:rPr>
          <w:noProof/>
        </w:rPr>
        <w:t> </w:t>
      </w:r>
      <w:r w:rsidR="00FF009C" w:rsidRPr="00FF009C">
        <w:rPr>
          <w:noProof/>
        </w:rPr>
        <w:t>Prz</w:t>
      </w:r>
      <w:r w:rsidRPr="00FF009C">
        <w:rPr>
          <w:noProof/>
        </w:rPr>
        <w:t>ybrzeżnej oddelegowuje urzędnika łącznikowego działającego zgodnie</w:t>
      </w:r>
      <w:r w:rsidR="00FF009C" w:rsidRPr="00FF009C">
        <w:rPr>
          <w:noProof/>
        </w:rPr>
        <w:t xml:space="preserve"> z</w:t>
      </w:r>
      <w:r w:rsidR="00FF009C">
        <w:rPr>
          <w:noProof/>
        </w:rPr>
        <w:t> </w:t>
      </w:r>
      <w:r w:rsidR="00FF009C" w:rsidRPr="00FF009C">
        <w:rPr>
          <w:noProof/>
        </w:rPr>
        <w:t>tym</w:t>
      </w:r>
      <w:r w:rsidRPr="00FF009C">
        <w:rPr>
          <w:noProof/>
        </w:rPr>
        <w:t xml:space="preserve"> rozporządzeniem do Europejskiego Centrum Zwalczania Przemytu Migrantów.</w:t>
      </w:r>
    </w:p>
    <w:p w14:paraId="0B0E1527" w14:textId="1BFF6655" w:rsidR="0043039B" w:rsidRPr="00FF009C" w:rsidRDefault="0043039B" w:rsidP="0043039B">
      <w:pPr>
        <w:ind w:left="720" w:hanging="720"/>
        <w:rPr>
          <w:noProof/>
        </w:rPr>
      </w:pPr>
      <w:r w:rsidRPr="00FF009C">
        <w:rPr>
          <w:noProof/>
        </w:rPr>
        <w:t>5.</w:t>
      </w:r>
      <w:r w:rsidRPr="00FF009C">
        <w:rPr>
          <w:noProof/>
        </w:rPr>
        <w:tab/>
        <w:t>Do celów ust.</w:t>
      </w:r>
      <w:r w:rsidR="00FF009C" w:rsidRPr="00FF009C">
        <w:rPr>
          <w:noProof/>
        </w:rPr>
        <w:t> </w:t>
      </w:r>
      <w:r w:rsidRPr="00FF009C">
        <w:rPr>
          <w:noProof/>
        </w:rPr>
        <w:t>1</w:t>
      </w:r>
      <w:r w:rsidR="00FF009C" w:rsidRPr="00FF009C">
        <w:rPr>
          <w:noProof/>
        </w:rPr>
        <w:t xml:space="preserve"> i</w:t>
      </w:r>
      <w:r w:rsidR="00FF009C">
        <w:rPr>
          <w:noProof/>
        </w:rPr>
        <w:t> </w:t>
      </w:r>
      <w:r w:rsidR="00FF009C" w:rsidRPr="00FF009C">
        <w:rPr>
          <w:noProof/>
        </w:rPr>
        <w:t>2</w:t>
      </w:r>
      <w:r w:rsidRPr="00FF009C">
        <w:rPr>
          <w:noProof/>
        </w:rPr>
        <w:t xml:space="preserve"> oraz aby ułatwić realizację zadań strategicznych</w:t>
      </w:r>
      <w:r w:rsidR="00FF009C" w:rsidRPr="00FF009C">
        <w:rPr>
          <w:noProof/>
        </w:rPr>
        <w:t xml:space="preserve"> i</w:t>
      </w:r>
      <w:r w:rsidR="00FF009C">
        <w:rPr>
          <w:noProof/>
        </w:rPr>
        <w:t> </w:t>
      </w:r>
      <w:r w:rsidR="00FF009C" w:rsidRPr="00FF009C">
        <w:rPr>
          <w:noProof/>
        </w:rPr>
        <w:t>ope</w:t>
      </w:r>
      <w:r w:rsidRPr="00FF009C">
        <w:rPr>
          <w:noProof/>
        </w:rPr>
        <w:t>racyjnych określonych</w:t>
      </w:r>
      <w:r w:rsidR="00FF009C" w:rsidRPr="00FF009C">
        <w:rPr>
          <w:noProof/>
        </w:rPr>
        <w:t xml:space="preserve"> w</w:t>
      </w:r>
      <w:r w:rsidR="00FF009C">
        <w:rPr>
          <w:noProof/>
        </w:rPr>
        <w:t> </w:t>
      </w:r>
      <w:r w:rsidR="00FF009C" w:rsidRPr="00FF009C">
        <w:rPr>
          <w:noProof/>
        </w:rPr>
        <w:t>art</w:t>
      </w:r>
      <w:r w:rsidRPr="00FF009C">
        <w:rPr>
          <w:noProof/>
        </w:rPr>
        <w:t>.</w:t>
      </w:r>
      <w:r w:rsidR="00FF009C" w:rsidRPr="00FF009C">
        <w:rPr>
          <w:noProof/>
        </w:rPr>
        <w:t> </w:t>
      </w:r>
      <w:r w:rsidRPr="00FF009C">
        <w:rPr>
          <w:noProof/>
        </w:rPr>
        <w:t>5</w:t>
      </w:r>
      <w:r w:rsidR="00FF009C" w:rsidRPr="00FF009C">
        <w:rPr>
          <w:noProof/>
        </w:rPr>
        <w:t xml:space="preserve"> i</w:t>
      </w:r>
      <w:r w:rsidR="00FF009C">
        <w:rPr>
          <w:noProof/>
        </w:rPr>
        <w:t> </w:t>
      </w:r>
      <w:r w:rsidR="00FF009C" w:rsidRPr="00FF009C">
        <w:rPr>
          <w:noProof/>
        </w:rPr>
        <w:t>6</w:t>
      </w:r>
      <w:r w:rsidRPr="00FF009C">
        <w:rPr>
          <w:noProof/>
        </w:rPr>
        <w:t xml:space="preserve"> niniejszego rozporządzenia, Europejskie Centrum Zwalczania Przemytu Migrantów otrzymuje niezbędne wsparcie ze strony wszystkich innych odpowiednich części wewnętrznych struktur Europolu.</w:t>
      </w:r>
    </w:p>
    <w:p w14:paraId="364E3D81" w14:textId="77777777" w:rsidR="0043039B" w:rsidRPr="00FF009C" w:rsidRDefault="0043039B" w:rsidP="0043039B">
      <w:pPr>
        <w:rPr>
          <w:noProof/>
        </w:rPr>
      </w:pPr>
    </w:p>
    <w:p w14:paraId="729A4A83" w14:textId="77777777" w:rsidR="0043039B" w:rsidRPr="00FF009C" w:rsidRDefault="0043039B" w:rsidP="0043039B">
      <w:pPr>
        <w:pStyle w:val="Titrearticle"/>
        <w:rPr>
          <w:noProof/>
        </w:rPr>
      </w:pPr>
      <w:r w:rsidRPr="00FF009C">
        <w:rPr>
          <w:noProof/>
        </w:rPr>
        <w:t>Artykuł 5</w:t>
      </w:r>
    </w:p>
    <w:p w14:paraId="24297CD3" w14:textId="77777777" w:rsidR="0043039B" w:rsidRPr="00FF009C" w:rsidRDefault="0043039B" w:rsidP="0043039B">
      <w:pPr>
        <w:spacing w:before="0"/>
        <w:jc w:val="center"/>
        <w:rPr>
          <w:b/>
          <w:iCs/>
          <w:noProof/>
        </w:rPr>
      </w:pPr>
      <w:r w:rsidRPr="00FF009C">
        <w:rPr>
          <w:b/>
          <w:noProof/>
        </w:rPr>
        <w:t xml:space="preserve">Zadania strategiczne Europejskiego Centrum Zwalczania Przemytu Migrantów </w:t>
      </w:r>
    </w:p>
    <w:p w14:paraId="66A68098" w14:textId="77777777" w:rsidR="0043039B" w:rsidRPr="00FF009C" w:rsidRDefault="0043039B" w:rsidP="0043039B">
      <w:pPr>
        <w:spacing w:before="0"/>
        <w:jc w:val="center"/>
        <w:rPr>
          <w:b/>
          <w:bCs/>
          <w:noProof/>
        </w:rPr>
      </w:pPr>
    </w:p>
    <w:p w14:paraId="1CA02E2C" w14:textId="77777777" w:rsidR="0043039B" w:rsidRPr="00FF009C" w:rsidRDefault="002F0935" w:rsidP="0043039B">
      <w:pPr>
        <w:ind w:left="720" w:hanging="720"/>
        <w:rPr>
          <w:noProof/>
        </w:rPr>
      </w:pPr>
      <w:r w:rsidRPr="00FF009C">
        <w:rPr>
          <w:noProof/>
        </w:rPr>
        <w:t>Zadania strategiczne Europejskiego Centrum Zwalczania Przemytu Migrantów obejmują:</w:t>
      </w:r>
    </w:p>
    <w:p w14:paraId="4818177D" w14:textId="5E8CC58D" w:rsidR="0043039B" w:rsidRPr="00FF009C" w:rsidRDefault="0028650E" w:rsidP="0028650E">
      <w:pPr>
        <w:pStyle w:val="Point0"/>
        <w:rPr>
          <w:noProof/>
        </w:rPr>
      </w:pPr>
      <w:r w:rsidRPr="00FF009C">
        <w:rPr>
          <w:noProof/>
        </w:rPr>
        <w:t>a)</w:t>
      </w:r>
      <w:r w:rsidRPr="00FF009C">
        <w:rPr>
          <w:noProof/>
        </w:rPr>
        <w:tab/>
        <w:t>dostarczanie analiz strategicznych</w:t>
      </w:r>
      <w:r w:rsidR="00FF009C" w:rsidRPr="00FF009C">
        <w:rPr>
          <w:noProof/>
        </w:rPr>
        <w:t xml:space="preserve"> i</w:t>
      </w:r>
      <w:r w:rsidR="00FF009C">
        <w:rPr>
          <w:noProof/>
        </w:rPr>
        <w:t> </w:t>
      </w:r>
      <w:r w:rsidR="00FF009C" w:rsidRPr="00FF009C">
        <w:rPr>
          <w:noProof/>
        </w:rPr>
        <w:t>oce</w:t>
      </w:r>
      <w:r w:rsidRPr="00FF009C">
        <w:rPr>
          <w:noProof/>
        </w:rPr>
        <w:t>n zagrożenia, aby pomóc Radzie</w:t>
      </w:r>
      <w:r w:rsidR="00FF009C" w:rsidRPr="00FF009C">
        <w:rPr>
          <w:noProof/>
        </w:rPr>
        <w:t xml:space="preserve"> i</w:t>
      </w:r>
      <w:r w:rsidR="00FF009C">
        <w:rPr>
          <w:noProof/>
        </w:rPr>
        <w:t> </w:t>
      </w:r>
      <w:r w:rsidR="00FF009C" w:rsidRPr="00FF009C">
        <w:rPr>
          <w:noProof/>
        </w:rPr>
        <w:t>Kom</w:t>
      </w:r>
      <w:r w:rsidRPr="00FF009C">
        <w:rPr>
          <w:noProof/>
        </w:rPr>
        <w:t>isji</w:t>
      </w:r>
      <w:r w:rsidR="00FF009C" w:rsidRPr="00FF009C">
        <w:rPr>
          <w:noProof/>
        </w:rPr>
        <w:t xml:space="preserve"> w</w:t>
      </w:r>
      <w:r w:rsidR="00FF009C">
        <w:rPr>
          <w:noProof/>
        </w:rPr>
        <w:t> </w:t>
      </w:r>
      <w:r w:rsidR="00FF009C" w:rsidRPr="00FF009C">
        <w:rPr>
          <w:noProof/>
        </w:rPr>
        <w:t>okr</w:t>
      </w:r>
      <w:r w:rsidRPr="00FF009C">
        <w:rPr>
          <w:noProof/>
        </w:rPr>
        <w:t>eślaniu priorytetów strategicznych</w:t>
      </w:r>
      <w:r w:rsidR="00FF009C" w:rsidRPr="00FF009C">
        <w:rPr>
          <w:noProof/>
        </w:rPr>
        <w:t xml:space="preserve"> i</w:t>
      </w:r>
      <w:r w:rsidR="00FF009C">
        <w:rPr>
          <w:noProof/>
        </w:rPr>
        <w:t> </w:t>
      </w:r>
      <w:r w:rsidR="00FF009C" w:rsidRPr="00FF009C">
        <w:rPr>
          <w:noProof/>
        </w:rPr>
        <w:t>ope</w:t>
      </w:r>
      <w:r w:rsidRPr="00FF009C">
        <w:rPr>
          <w:noProof/>
        </w:rPr>
        <w:t>racyjnych Unii</w:t>
      </w:r>
      <w:r w:rsidR="00FF009C" w:rsidRPr="00FF009C">
        <w:rPr>
          <w:noProof/>
        </w:rPr>
        <w:t xml:space="preserve"> w</w:t>
      </w:r>
      <w:r w:rsidR="00FF009C">
        <w:rPr>
          <w:noProof/>
        </w:rPr>
        <w:t> </w:t>
      </w:r>
      <w:r w:rsidR="00FF009C" w:rsidRPr="00FF009C">
        <w:rPr>
          <w:noProof/>
        </w:rPr>
        <w:t>zak</w:t>
      </w:r>
      <w:r w:rsidRPr="00FF009C">
        <w:rPr>
          <w:noProof/>
        </w:rPr>
        <w:t>resie zapobiegania przemytowi migrantów</w:t>
      </w:r>
      <w:r w:rsidR="00FF009C" w:rsidRPr="00FF009C">
        <w:rPr>
          <w:noProof/>
        </w:rPr>
        <w:t xml:space="preserve"> i</w:t>
      </w:r>
      <w:r w:rsidR="00FF009C">
        <w:rPr>
          <w:noProof/>
        </w:rPr>
        <w:t> </w:t>
      </w:r>
      <w:r w:rsidR="00FF009C" w:rsidRPr="00FF009C">
        <w:rPr>
          <w:noProof/>
        </w:rPr>
        <w:t>han</w:t>
      </w:r>
      <w:r w:rsidRPr="00FF009C">
        <w:rPr>
          <w:noProof/>
        </w:rPr>
        <w:t>dlowi ludźmi oraz zwalczania tych przestępstw, zgodnie</w:t>
      </w:r>
      <w:r w:rsidR="00FF009C" w:rsidRPr="00FF009C">
        <w:rPr>
          <w:noProof/>
        </w:rPr>
        <w:t xml:space="preserve"> z</w:t>
      </w:r>
      <w:r w:rsidR="00FF009C">
        <w:rPr>
          <w:noProof/>
        </w:rPr>
        <w:t> </w:t>
      </w:r>
      <w:r w:rsidR="00FF009C" w:rsidRPr="00FF009C">
        <w:rPr>
          <w:noProof/>
        </w:rPr>
        <w:t>art</w:t>
      </w:r>
      <w:r w:rsidRPr="00FF009C">
        <w:rPr>
          <w:noProof/>
        </w:rPr>
        <w:t>.</w:t>
      </w:r>
      <w:r w:rsidR="00FF009C" w:rsidRPr="00FF009C">
        <w:rPr>
          <w:noProof/>
        </w:rPr>
        <w:t> </w:t>
      </w:r>
      <w:r w:rsidRPr="00FF009C">
        <w:rPr>
          <w:noProof/>
        </w:rPr>
        <w:t>4 ust.</w:t>
      </w:r>
      <w:r w:rsidR="00FF009C" w:rsidRPr="00FF009C">
        <w:rPr>
          <w:noProof/>
        </w:rPr>
        <w:t> </w:t>
      </w:r>
      <w:r w:rsidRPr="00FF009C">
        <w:rPr>
          <w:noProof/>
        </w:rPr>
        <w:t>2 rozporządzenia (UE) 2016/794;</w:t>
      </w:r>
    </w:p>
    <w:p w14:paraId="5F49F784" w14:textId="755BB30D" w:rsidR="0043039B" w:rsidRPr="00FF009C" w:rsidRDefault="0028650E" w:rsidP="0028650E">
      <w:pPr>
        <w:pStyle w:val="Point0"/>
        <w:rPr>
          <w:noProof/>
        </w:rPr>
      </w:pPr>
      <w:r w:rsidRPr="00FF009C">
        <w:rPr>
          <w:noProof/>
        </w:rPr>
        <w:t>b)</w:t>
      </w:r>
      <w:r w:rsidRPr="00FF009C">
        <w:rPr>
          <w:noProof/>
        </w:rPr>
        <w:tab/>
        <w:t>zapewnienie ram wspierających wdrażanie pod kątem operacyjnym unijnych priorytetów strategicznych</w:t>
      </w:r>
      <w:r w:rsidR="00FF009C" w:rsidRPr="00FF009C">
        <w:rPr>
          <w:noProof/>
        </w:rPr>
        <w:t xml:space="preserve"> i</w:t>
      </w:r>
      <w:r w:rsidR="00FF009C">
        <w:rPr>
          <w:noProof/>
        </w:rPr>
        <w:t> </w:t>
      </w:r>
      <w:r w:rsidR="00FF009C" w:rsidRPr="00FF009C">
        <w:rPr>
          <w:noProof/>
        </w:rPr>
        <w:t>ope</w:t>
      </w:r>
      <w:r w:rsidRPr="00FF009C">
        <w:rPr>
          <w:noProof/>
        </w:rPr>
        <w:t>racyjnych</w:t>
      </w:r>
      <w:r w:rsidR="00FF009C" w:rsidRPr="00FF009C">
        <w:rPr>
          <w:noProof/>
        </w:rPr>
        <w:t xml:space="preserve"> w</w:t>
      </w:r>
      <w:r w:rsidR="00FF009C">
        <w:rPr>
          <w:noProof/>
        </w:rPr>
        <w:t> </w:t>
      </w:r>
      <w:r w:rsidR="00FF009C" w:rsidRPr="00FF009C">
        <w:rPr>
          <w:noProof/>
        </w:rPr>
        <w:t>zak</w:t>
      </w:r>
      <w:r w:rsidRPr="00FF009C">
        <w:rPr>
          <w:noProof/>
        </w:rPr>
        <w:t>resie zapobiegania przemytowi migrantów</w:t>
      </w:r>
      <w:r w:rsidR="00FF009C" w:rsidRPr="00FF009C">
        <w:rPr>
          <w:noProof/>
        </w:rPr>
        <w:t xml:space="preserve"> i</w:t>
      </w:r>
      <w:r w:rsidR="00FF009C">
        <w:rPr>
          <w:noProof/>
        </w:rPr>
        <w:t> </w:t>
      </w:r>
      <w:r w:rsidR="00FF009C" w:rsidRPr="00FF009C">
        <w:rPr>
          <w:noProof/>
        </w:rPr>
        <w:t>han</w:t>
      </w:r>
      <w:r w:rsidRPr="00FF009C">
        <w:rPr>
          <w:noProof/>
        </w:rPr>
        <w:t>dlowi ludźmi oraz zwalczania tych przestępstw,</w:t>
      </w:r>
      <w:r w:rsidR="00FF009C" w:rsidRPr="00FF009C">
        <w:rPr>
          <w:noProof/>
        </w:rPr>
        <w:t xml:space="preserve"> w</w:t>
      </w:r>
      <w:r w:rsidR="00FF009C">
        <w:rPr>
          <w:noProof/>
        </w:rPr>
        <w:t> </w:t>
      </w:r>
      <w:r w:rsidR="00FF009C" w:rsidRPr="00FF009C">
        <w:rPr>
          <w:noProof/>
        </w:rPr>
        <w:t>szc</w:t>
      </w:r>
      <w:r w:rsidRPr="00FF009C">
        <w:rPr>
          <w:noProof/>
        </w:rPr>
        <w:t>zególności za pośrednictwem EMPACT, zgodnie</w:t>
      </w:r>
      <w:r w:rsidR="00FF009C" w:rsidRPr="00FF009C">
        <w:rPr>
          <w:noProof/>
        </w:rPr>
        <w:t xml:space="preserve"> z</w:t>
      </w:r>
      <w:r w:rsidR="00FF009C">
        <w:rPr>
          <w:noProof/>
        </w:rPr>
        <w:t> </w:t>
      </w:r>
      <w:r w:rsidR="00FF009C" w:rsidRPr="00FF009C">
        <w:rPr>
          <w:noProof/>
        </w:rPr>
        <w:t>art</w:t>
      </w:r>
      <w:r w:rsidRPr="00FF009C">
        <w:rPr>
          <w:noProof/>
        </w:rPr>
        <w:t>.</w:t>
      </w:r>
      <w:r w:rsidR="00FF009C" w:rsidRPr="00FF009C">
        <w:rPr>
          <w:noProof/>
        </w:rPr>
        <w:t> </w:t>
      </w:r>
      <w:r w:rsidRPr="00FF009C">
        <w:rPr>
          <w:noProof/>
        </w:rPr>
        <w:t>4 ust.</w:t>
      </w:r>
      <w:r w:rsidR="00FF009C" w:rsidRPr="00FF009C">
        <w:rPr>
          <w:noProof/>
        </w:rPr>
        <w:t> </w:t>
      </w:r>
      <w:r w:rsidRPr="00FF009C">
        <w:rPr>
          <w:noProof/>
        </w:rPr>
        <w:t>2 rozporządzenia (UE) 2016/794;</w:t>
      </w:r>
    </w:p>
    <w:p w14:paraId="33A96C61" w14:textId="72B0A960" w:rsidR="0043039B" w:rsidRPr="00FF009C" w:rsidRDefault="0028650E" w:rsidP="0028650E">
      <w:pPr>
        <w:pStyle w:val="Point0"/>
        <w:rPr>
          <w:noProof/>
        </w:rPr>
      </w:pPr>
      <w:r w:rsidRPr="00FF009C">
        <w:rPr>
          <w:noProof/>
        </w:rPr>
        <w:t>c)</w:t>
      </w:r>
      <w:r w:rsidRPr="00FF009C">
        <w:rPr>
          <w:noProof/>
        </w:rPr>
        <w:tab/>
        <w:t>wspieranie koordynacji, współpracy</w:t>
      </w:r>
      <w:r w:rsidR="00FF009C" w:rsidRPr="00FF009C">
        <w:rPr>
          <w:noProof/>
        </w:rPr>
        <w:t xml:space="preserve"> i</w:t>
      </w:r>
      <w:r w:rsidR="00FF009C">
        <w:rPr>
          <w:noProof/>
        </w:rPr>
        <w:t> </w:t>
      </w:r>
      <w:r w:rsidR="00FF009C" w:rsidRPr="00FF009C">
        <w:rPr>
          <w:noProof/>
        </w:rPr>
        <w:t>wym</w:t>
      </w:r>
      <w:r w:rsidRPr="00FF009C">
        <w:rPr>
          <w:noProof/>
        </w:rPr>
        <w:t>iany informacji</w:t>
      </w:r>
      <w:r w:rsidR="00FF009C" w:rsidRPr="00FF009C">
        <w:rPr>
          <w:noProof/>
        </w:rPr>
        <w:t xml:space="preserve"> w</w:t>
      </w:r>
      <w:r w:rsidR="00FF009C">
        <w:rPr>
          <w:noProof/>
        </w:rPr>
        <w:t> </w:t>
      </w:r>
      <w:r w:rsidR="00FF009C" w:rsidRPr="00FF009C">
        <w:rPr>
          <w:noProof/>
        </w:rPr>
        <w:t>zak</w:t>
      </w:r>
      <w:r w:rsidRPr="00FF009C">
        <w:rPr>
          <w:noProof/>
        </w:rPr>
        <w:t>resie przemytu migrantów</w:t>
      </w:r>
      <w:r w:rsidR="00FF009C" w:rsidRPr="00FF009C">
        <w:rPr>
          <w:noProof/>
        </w:rPr>
        <w:t xml:space="preserve"> i</w:t>
      </w:r>
      <w:r w:rsidR="00FF009C">
        <w:rPr>
          <w:noProof/>
        </w:rPr>
        <w:t> </w:t>
      </w:r>
      <w:r w:rsidR="00FF009C" w:rsidRPr="00FF009C">
        <w:rPr>
          <w:noProof/>
        </w:rPr>
        <w:t>han</w:t>
      </w:r>
      <w:r w:rsidRPr="00FF009C">
        <w:rPr>
          <w:noProof/>
        </w:rPr>
        <w:t>dlu ludźmi między agencjami Unii, szczególności</w:t>
      </w:r>
      <w:r w:rsidR="00FF009C" w:rsidRPr="00FF009C">
        <w:rPr>
          <w:noProof/>
        </w:rPr>
        <w:t xml:space="preserve"> z</w:t>
      </w:r>
      <w:r w:rsidR="00FF009C">
        <w:rPr>
          <w:noProof/>
        </w:rPr>
        <w:t> </w:t>
      </w:r>
      <w:r w:rsidR="00FF009C" w:rsidRPr="00FF009C">
        <w:rPr>
          <w:noProof/>
        </w:rPr>
        <w:t>Eur</w:t>
      </w:r>
      <w:r w:rsidRPr="00FF009C">
        <w:rPr>
          <w:noProof/>
        </w:rPr>
        <w:t>opejską Agencją Straży Granicznej</w:t>
      </w:r>
      <w:r w:rsidR="00FF009C" w:rsidRPr="00FF009C">
        <w:rPr>
          <w:noProof/>
        </w:rPr>
        <w:t xml:space="preserve"> i</w:t>
      </w:r>
      <w:r w:rsidR="00FF009C">
        <w:rPr>
          <w:noProof/>
        </w:rPr>
        <w:t> </w:t>
      </w:r>
      <w:r w:rsidR="00FF009C" w:rsidRPr="00FF009C">
        <w:rPr>
          <w:noProof/>
        </w:rPr>
        <w:t>Prz</w:t>
      </w:r>
      <w:r w:rsidRPr="00FF009C">
        <w:rPr>
          <w:noProof/>
        </w:rPr>
        <w:t>ybrzeżnej, Eurojustem oraz</w:t>
      </w:r>
      <w:r w:rsidR="00FF009C" w:rsidRPr="00FF009C">
        <w:rPr>
          <w:noProof/>
        </w:rPr>
        <w:t xml:space="preserve"> w</w:t>
      </w:r>
      <w:r w:rsidR="00FF009C">
        <w:rPr>
          <w:noProof/>
        </w:rPr>
        <w:t> </w:t>
      </w:r>
      <w:r w:rsidR="00FF009C" w:rsidRPr="00FF009C">
        <w:rPr>
          <w:noProof/>
        </w:rPr>
        <w:t>sto</w:t>
      </w:r>
      <w:r w:rsidRPr="00FF009C">
        <w:rPr>
          <w:noProof/>
        </w:rPr>
        <w:t>sownych przypadkach</w:t>
      </w:r>
      <w:r w:rsidR="00FF009C" w:rsidRPr="00FF009C">
        <w:rPr>
          <w:noProof/>
        </w:rPr>
        <w:t xml:space="preserve"> z</w:t>
      </w:r>
      <w:r w:rsidR="00FF009C">
        <w:rPr>
          <w:noProof/>
        </w:rPr>
        <w:t> </w:t>
      </w:r>
      <w:r w:rsidR="00FF009C" w:rsidRPr="00FF009C">
        <w:rPr>
          <w:noProof/>
        </w:rPr>
        <w:t>inn</w:t>
      </w:r>
      <w:r w:rsidRPr="00FF009C">
        <w:rPr>
          <w:noProof/>
        </w:rPr>
        <w:t>ymi właściwymi organami lub agencjami Unii, zgodnie</w:t>
      </w:r>
      <w:r w:rsidR="00FF009C" w:rsidRPr="00FF009C">
        <w:rPr>
          <w:noProof/>
        </w:rPr>
        <w:t xml:space="preserve"> z</w:t>
      </w:r>
      <w:r w:rsidR="00FF009C">
        <w:rPr>
          <w:noProof/>
        </w:rPr>
        <w:t> </w:t>
      </w:r>
      <w:r w:rsidR="00FF009C" w:rsidRPr="00FF009C">
        <w:rPr>
          <w:noProof/>
        </w:rPr>
        <w:t>ich</w:t>
      </w:r>
      <w:r w:rsidRPr="00FF009C">
        <w:rPr>
          <w:noProof/>
        </w:rPr>
        <w:t xml:space="preserve"> odpowiednimi ramami prawnymi,</w:t>
      </w:r>
      <w:r w:rsidR="00FF009C" w:rsidRPr="00FF009C">
        <w:rPr>
          <w:noProof/>
        </w:rPr>
        <w:t xml:space="preserve"> w</w:t>
      </w:r>
      <w:r w:rsidR="00FF009C">
        <w:rPr>
          <w:noProof/>
        </w:rPr>
        <w:t> </w:t>
      </w:r>
      <w:r w:rsidR="00FF009C" w:rsidRPr="00FF009C">
        <w:rPr>
          <w:noProof/>
        </w:rPr>
        <w:t>tym w</w:t>
      </w:r>
      <w:r w:rsidR="00FF009C">
        <w:rPr>
          <w:noProof/>
        </w:rPr>
        <w:t> </w:t>
      </w:r>
      <w:r w:rsidR="00FF009C" w:rsidRPr="00FF009C">
        <w:rPr>
          <w:noProof/>
        </w:rPr>
        <w:t>dro</w:t>
      </w:r>
      <w:r w:rsidRPr="00FF009C">
        <w:rPr>
          <w:noProof/>
        </w:rPr>
        <w:t>dze uzgodnień roboczych między nimi, zgodnie</w:t>
      </w:r>
      <w:r w:rsidR="00FF009C" w:rsidRPr="00FF009C">
        <w:rPr>
          <w:noProof/>
        </w:rPr>
        <w:t xml:space="preserve"> z</w:t>
      </w:r>
      <w:r w:rsidR="00FF009C">
        <w:rPr>
          <w:noProof/>
        </w:rPr>
        <w:t> </w:t>
      </w:r>
      <w:r w:rsidR="00FF009C" w:rsidRPr="00FF009C">
        <w:rPr>
          <w:noProof/>
        </w:rPr>
        <w:t>art</w:t>
      </w:r>
      <w:r w:rsidRPr="00FF009C">
        <w:rPr>
          <w:noProof/>
        </w:rPr>
        <w:t>.</w:t>
      </w:r>
      <w:r w:rsidR="00FF009C" w:rsidRPr="00FF009C">
        <w:rPr>
          <w:noProof/>
        </w:rPr>
        <w:t> </w:t>
      </w:r>
      <w:r w:rsidRPr="00FF009C">
        <w:rPr>
          <w:noProof/>
        </w:rPr>
        <w:t>4 ust.</w:t>
      </w:r>
      <w:r w:rsidR="00FF009C" w:rsidRPr="00FF009C">
        <w:rPr>
          <w:noProof/>
        </w:rPr>
        <w:t> </w:t>
      </w:r>
      <w:r w:rsidRPr="00FF009C">
        <w:rPr>
          <w:noProof/>
        </w:rPr>
        <w:t>1 lit.</w:t>
      </w:r>
      <w:r w:rsidR="00FF009C" w:rsidRPr="00FF009C">
        <w:rPr>
          <w:noProof/>
        </w:rPr>
        <w:t> </w:t>
      </w:r>
      <w:r w:rsidRPr="00FF009C">
        <w:rPr>
          <w:noProof/>
        </w:rPr>
        <w:t>j) rozporządzenia (UE) 2016/794;</w:t>
      </w:r>
    </w:p>
    <w:p w14:paraId="05AF8E86" w14:textId="3F60EB14" w:rsidR="0043039B" w:rsidRPr="00FF009C" w:rsidRDefault="0028650E" w:rsidP="0028650E">
      <w:pPr>
        <w:pStyle w:val="Point0"/>
        <w:rPr>
          <w:noProof/>
        </w:rPr>
      </w:pPr>
      <w:r w:rsidRPr="00FF009C">
        <w:rPr>
          <w:noProof/>
        </w:rPr>
        <w:t>d)</w:t>
      </w:r>
      <w:r w:rsidRPr="00FF009C">
        <w:rPr>
          <w:noProof/>
        </w:rPr>
        <w:tab/>
        <w:t>monitorowanie przemytu migrantów</w:t>
      </w:r>
      <w:r w:rsidR="00FF009C" w:rsidRPr="00FF009C">
        <w:rPr>
          <w:noProof/>
        </w:rPr>
        <w:t xml:space="preserve"> i</w:t>
      </w:r>
      <w:r w:rsidR="00FF009C">
        <w:rPr>
          <w:noProof/>
        </w:rPr>
        <w:t> </w:t>
      </w:r>
      <w:r w:rsidR="00FF009C" w:rsidRPr="00FF009C">
        <w:rPr>
          <w:noProof/>
        </w:rPr>
        <w:t>han</w:t>
      </w:r>
      <w:r w:rsidRPr="00FF009C">
        <w:rPr>
          <w:noProof/>
        </w:rPr>
        <w:t>dlu ludźmi na terenie Unii</w:t>
      </w:r>
      <w:r w:rsidR="00FF009C" w:rsidRPr="00FF009C">
        <w:rPr>
          <w:noProof/>
        </w:rPr>
        <w:t xml:space="preserve"> i</w:t>
      </w:r>
      <w:r w:rsidR="00FF009C">
        <w:rPr>
          <w:noProof/>
        </w:rPr>
        <w:t> </w:t>
      </w:r>
      <w:r w:rsidR="00FF009C" w:rsidRPr="00FF009C">
        <w:rPr>
          <w:noProof/>
        </w:rPr>
        <w:t>pań</w:t>
      </w:r>
      <w:r w:rsidRPr="00FF009C">
        <w:rPr>
          <w:noProof/>
        </w:rPr>
        <w:t>stw trzecich, we współpracy</w:t>
      </w:r>
      <w:r w:rsidR="00FF009C" w:rsidRPr="00FF009C">
        <w:rPr>
          <w:noProof/>
        </w:rPr>
        <w:t xml:space="preserve"> z</w:t>
      </w:r>
      <w:r w:rsidR="00FF009C">
        <w:rPr>
          <w:noProof/>
        </w:rPr>
        <w:t> </w:t>
      </w:r>
      <w:r w:rsidR="00FF009C" w:rsidRPr="00FF009C">
        <w:rPr>
          <w:noProof/>
        </w:rPr>
        <w:t>pań</w:t>
      </w:r>
      <w:r w:rsidRPr="00FF009C">
        <w:rPr>
          <w:noProof/>
        </w:rPr>
        <w:t>stwami członkowskimi, właściwymi organami lub agencjami Unii oraz,</w:t>
      </w:r>
      <w:r w:rsidR="00FF009C" w:rsidRPr="00FF009C">
        <w:rPr>
          <w:noProof/>
        </w:rPr>
        <w:t xml:space="preserve"> w</w:t>
      </w:r>
      <w:r w:rsidR="00FF009C">
        <w:rPr>
          <w:noProof/>
        </w:rPr>
        <w:t> </w:t>
      </w:r>
      <w:r w:rsidR="00FF009C" w:rsidRPr="00FF009C">
        <w:rPr>
          <w:noProof/>
        </w:rPr>
        <w:t>sto</w:t>
      </w:r>
      <w:r w:rsidRPr="00FF009C">
        <w:rPr>
          <w:noProof/>
        </w:rPr>
        <w:t>sownych przypadkach, państwami trzecimi, zgodnie</w:t>
      </w:r>
      <w:r w:rsidR="00FF009C" w:rsidRPr="00FF009C">
        <w:rPr>
          <w:noProof/>
        </w:rPr>
        <w:t xml:space="preserve"> z</w:t>
      </w:r>
      <w:r w:rsidR="00FF009C">
        <w:rPr>
          <w:noProof/>
        </w:rPr>
        <w:t> </w:t>
      </w:r>
      <w:r w:rsidR="00FF009C" w:rsidRPr="00FF009C">
        <w:rPr>
          <w:noProof/>
        </w:rPr>
        <w:t>art</w:t>
      </w:r>
      <w:r w:rsidRPr="00FF009C">
        <w:rPr>
          <w:noProof/>
        </w:rPr>
        <w:t>.</w:t>
      </w:r>
      <w:r w:rsidR="00FF009C" w:rsidRPr="00FF009C">
        <w:rPr>
          <w:noProof/>
        </w:rPr>
        <w:t> </w:t>
      </w:r>
      <w:r w:rsidRPr="00FF009C">
        <w:rPr>
          <w:noProof/>
        </w:rPr>
        <w:t>4 ust.</w:t>
      </w:r>
      <w:r w:rsidR="00FF009C" w:rsidRPr="00FF009C">
        <w:rPr>
          <w:noProof/>
        </w:rPr>
        <w:t> </w:t>
      </w:r>
      <w:r w:rsidRPr="00FF009C">
        <w:rPr>
          <w:noProof/>
        </w:rPr>
        <w:t>1 lit.</w:t>
      </w:r>
      <w:r w:rsidR="00FF009C" w:rsidRPr="00FF009C">
        <w:rPr>
          <w:noProof/>
        </w:rPr>
        <w:t> </w:t>
      </w:r>
      <w:r w:rsidRPr="00FF009C">
        <w:rPr>
          <w:noProof/>
        </w:rPr>
        <w:t>f) rozporządzenia (UE) 2016/794, oraz regularne przekazywanie informacji państwom członkowskim</w:t>
      </w:r>
      <w:r w:rsidR="00FF009C" w:rsidRPr="00FF009C">
        <w:rPr>
          <w:noProof/>
        </w:rPr>
        <w:t xml:space="preserve"> i</w:t>
      </w:r>
      <w:r w:rsidR="00FF009C">
        <w:rPr>
          <w:noProof/>
        </w:rPr>
        <w:t> </w:t>
      </w:r>
      <w:r w:rsidR="00FF009C" w:rsidRPr="00FF009C">
        <w:rPr>
          <w:noProof/>
        </w:rPr>
        <w:t>Kom</w:t>
      </w:r>
      <w:r w:rsidRPr="00FF009C">
        <w:rPr>
          <w:noProof/>
        </w:rPr>
        <w:t>isji,</w:t>
      </w:r>
      <w:r w:rsidR="00FF009C" w:rsidRPr="00FF009C">
        <w:rPr>
          <w:noProof/>
        </w:rPr>
        <w:t xml:space="preserve"> w</w:t>
      </w:r>
      <w:r w:rsidR="00FF009C">
        <w:rPr>
          <w:noProof/>
        </w:rPr>
        <w:t> </w:t>
      </w:r>
      <w:r w:rsidR="00FF009C" w:rsidRPr="00FF009C">
        <w:rPr>
          <w:noProof/>
        </w:rPr>
        <w:t>tym</w:t>
      </w:r>
      <w:r w:rsidRPr="00FF009C">
        <w:rPr>
          <w:noProof/>
        </w:rPr>
        <w:t xml:space="preserve"> zagregowanych danych statystycznych</w:t>
      </w:r>
      <w:r w:rsidR="00FF009C" w:rsidRPr="00FF009C">
        <w:rPr>
          <w:noProof/>
        </w:rPr>
        <w:t xml:space="preserve"> i</w:t>
      </w:r>
      <w:r w:rsidR="00FF009C">
        <w:rPr>
          <w:noProof/>
        </w:rPr>
        <w:t> </w:t>
      </w:r>
      <w:r w:rsidR="00FF009C" w:rsidRPr="00FF009C">
        <w:rPr>
          <w:noProof/>
        </w:rPr>
        <w:t>inf</w:t>
      </w:r>
      <w:r w:rsidRPr="00FF009C">
        <w:rPr>
          <w:noProof/>
        </w:rPr>
        <w:t>ormacji na temat aktualizacji sytuacji na podstawie informacji wymienianych przez państwa członkowskie;</w:t>
      </w:r>
    </w:p>
    <w:p w14:paraId="3AFB5085" w14:textId="6E3316F6" w:rsidR="0043039B" w:rsidRPr="00FF009C" w:rsidRDefault="0028650E" w:rsidP="0028650E">
      <w:pPr>
        <w:pStyle w:val="Point0"/>
        <w:rPr>
          <w:noProof/>
        </w:rPr>
      </w:pPr>
      <w:r w:rsidRPr="00FF009C">
        <w:rPr>
          <w:noProof/>
        </w:rPr>
        <w:t>e)</w:t>
      </w:r>
      <w:r w:rsidRPr="00FF009C">
        <w:rPr>
          <w:noProof/>
        </w:rPr>
        <w:tab/>
        <w:t>dostarczanie analiz strategicznych</w:t>
      </w:r>
      <w:r w:rsidR="00FF009C" w:rsidRPr="00FF009C">
        <w:rPr>
          <w:noProof/>
        </w:rPr>
        <w:t xml:space="preserve"> i</w:t>
      </w:r>
      <w:r w:rsidR="00FF009C">
        <w:rPr>
          <w:noProof/>
        </w:rPr>
        <w:t> </w:t>
      </w:r>
      <w:r w:rsidR="00FF009C" w:rsidRPr="00FF009C">
        <w:rPr>
          <w:noProof/>
        </w:rPr>
        <w:t>oce</w:t>
      </w:r>
      <w:r w:rsidRPr="00FF009C">
        <w:rPr>
          <w:noProof/>
        </w:rPr>
        <w:t>n zagrożenia, aby wspierać wprowadzanie operacyjnych grup zadaniowych,</w:t>
      </w:r>
      <w:r w:rsidR="00FF009C" w:rsidRPr="00FF009C">
        <w:rPr>
          <w:noProof/>
        </w:rPr>
        <w:t xml:space="preserve"> o</w:t>
      </w:r>
      <w:r w:rsidR="00FF009C">
        <w:rPr>
          <w:noProof/>
        </w:rPr>
        <w:t> </w:t>
      </w:r>
      <w:r w:rsidR="00FF009C" w:rsidRPr="00FF009C">
        <w:rPr>
          <w:noProof/>
        </w:rPr>
        <w:t>któ</w:t>
      </w:r>
      <w:r w:rsidRPr="00FF009C">
        <w:rPr>
          <w:noProof/>
        </w:rPr>
        <w:t>rych mowa</w:t>
      </w:r>
      <w:r w:rsidR="00FF009C" w:rsidRPr="00FF009C">
        <w:rPr>
          <w:noProof/>
        </w:rPr>
        <w:t xml:space="preserve"> w</w:t>
      </w:r>
      <w:r w:rsidR="00FF009C">
        <w:rPr>
          <w:noProof/>
        </w:rPr>
        <w:t> </w:t>
      </w:r>
      <w:r w:rsidR="00FF009C" w:rsidRPr="00FF009C">
        <w:rPr>
          <w:noProof/>
        </w:rPr>
        <w:t>art</w:t>
      </w:r>
      <w:r w:rsidRPr="00FF009C">
        <w:rPr>
          <w:noProof/>
        </w:rPr>
        <w:t>.</w:t>
      </w:r>
      <w:r w:rsidR="00FF009C" w:rsidRPr="00FF009C">
        <w:rPr>
          <w:noProof/>
        </w:rPr>
        <w:t> </w:t>
      </w:r>
      <w:r w:rsidRPr="00FF009C">
        <w:rPr>
          <w:noProof/>
        </w:rPr>
        <w:t>5a rozporządzenia (UE) 2016/794, oraz rozmieszczania pracowników Europolu</w:t>
      </w:r>
      <w:r w:rsidR="00FF009C" w:rsidRPr="00FF009C">
        <w:rPr>
          <w:noProof/>
        </w:rPr>
        <w:t xml:space="preserve"> w</w:t>
      </w:r>
      <w:r w:rsidR="00FF009C">
        <w:rPr>
          <w:noProof/>
        </w:rPr>
        <w:t> </w:t>
      </w:r>
      <w:r w:rsidR="00FF009C" w:rsidRPr="00FF009C">
        <w:rPr>
          <w:noProof/>
        </w:rPr>
        <w:t>ram</w:t>
      </w:r>
      <w:r w:rsidRPr="00FF009C">
        <w:rPr>
          <w:noProof/>
        </w:rPr>
        <w:t>ach wsparcia operacyjnego,</w:t>
      </w:r>
      <w:r w:rsidR="00FF009C" w:rsidRPr="00FF009C">
        <w:rPr>
          <w:noProof/>
        </w:rPr>
        <w:t xml:space="preserve"> o</w:t>
      </w:r>
      <w:r w:rsidR="00FF009C">
        <w:rPr>
          <w:noProof/>
        </w:rPr>
        <w:t> </w:t>
      </w:r>
      <w:r w:rsidR="00FF009C" w:rsidRPr="00FF009C">
        <w:rPr>
          <w:noProof/>
        </w:rPr>
        <w:t>któ</w:t>
      </w:r>
      <w:r w:rsidRPr="00FF009C">
        <w:rPr>
          <w:noProof/>
        </w:rPr>
        <w:t>rym mowa</w:t>
      </w:r>
      <w:r w:rsidR="00FF009C" w:rsidRPr="00FF009C">
        <w:rPr>
          <w:noProof/>
        </w:rPr>
        <w:t xml:space="preserve"> w</w:t>
      </w:r>
      <w:r w:rsidR="00FF009C">
        <w:rPr>
          <w:noProof/>
        </w:rPr>
        <w:t> </w:t>
      </w:r>
      <w:r w:rsidR="00FF009C" w:rsidRPr="00FF009C">
        <w:rPr>
          <w:noProof/>
        </w:rPr>
        <w:t>art</w:t>
      </w:r>
      <w:r w:rsidRPr="00FF009C">
        <w:rPr>
          <w:noProof/>
        </w:rPr>
        <w:t>.</w:t>
      </w:r>
      <w:r w:rsidR="00FF009C" w:rsidRPr="00FF009C">
        <w:rPr>
          <w:noProof/>
        </w:rPr>
        <w:t> </w:t>
      </w:r>
      <w:r w:rsidRPr="00FF009C">
        <w:rPr>
          <w:noProof/>
        </w:rPr>
        <w:t>5b rozporządzenia (UE) 2016/794, zgodnie</w:t>
      </w:r>
      <w:r w:rsidR="00FF009C" w:rsidRPr="00FF009C">
        <w:rPr>
          <w:noProof/>
        </w:rPr>
        <w:t xml:space="preserve"> z</w:t>
      </w:r>
      <w:r w:rsidR="00FF009C">
        <w:rPr>
          <w:noProof/>
        </w:rPr>
        <w:t> </w:t>
      </w:r>
      <w:r w:rsidR="00FF009C" w:rsidRPr="00FF009C">
        <w:rPr>
          <w:noProof/>
        </w:rPr>
        <w:t>art</w:t>
      </w:r>
      <w:r w:rsidRPr="00FF009C">
        <w:rPr>
          <w:noProof/>
        </w:rPr>
        <w:t>.</w:t>
      </w:r>
      <w:r w:rsidR="00FF009C" w:rsidRPr="00FF009C">
        <w:rPr>
          <w:noProof/>
        </w:rPr>
        <w:t> </w:t>
      </w:r>
      <w:r w:rsidRPr="00FF009C">
        <w:rPr>
          <w:noProof/>
        </w:rPr>
        <w:t>4 ust.</w:t>
      </w:r>
      <w:r w:rsidR="00FF009C" w:rsidRPr="00FF009C">
        <w:rPr>
          <w:noProof/>
        </w:rPr>
        <w:t> </w:t>
      </w:r>
      <w:r w:rsidRPr="00FF009C">
        <w:rPr>
          <w:noProof/>
        </w:rPr>
        <w:t>1 lit.</w:t>
      </w:r>
      <w:r w:rsidR="00FF009C" w:rsidRPr="00FF009C">
        <w:rPr>
          <w:noProof/>
        </w:rPr>
        <w:t> </w:t>
      </w:r>
      <w:r w:rsidRPr="00FF009C">
        <w:rPr>
          <w:noProof/>
        </w:rPr>
        <w:t>f) rozporządzenia (UE) 2016/794;</w:t>
      </w:r>
    </w:p>
    <w:p w14:paraId="564CCDBD" w14:textId="0964694F" w:rsidR="002C104E" w:rsidRPr="00FF009C" w:rsidRDefault="0028650E" w:rsidP="0028650E">
      <w:pPr>
        <w:pStyle w:val="Point0"/>
        <w:rPr>
          <w:noProof/>
        </w:rPr>
      </w:pPr>
      <w:r w:rsidRPr="00FF009C">
        <w:rPr>
          <w:noProof/>
        </w:rPr>
        <w:t>f)</w:t>
      </w:r>
      <w:r w:rsidRPr="00FF009C">
        <w:rPr>
          <w:noProof/>
        </w:rPr>
        <w:tab/>
        <w:t>dostarczanie analiz strategicznych</w:t>
      </w:r>
      <w:r w:rsidR="00FF009C" w:rsidRPr="00FF009C">
        <w:rPr>
          <w:noProof/>
        </w:rPr>
        <w:t xml:space="preserve"> i</w:t>
      </w:r>
      <w:r w:rsidR="00FF009C">
        <w:rPr>
          <w:noProof/>
        </w:rPr>
        <w:t> </w:t>
      </w:r>
      <w:r w:rsidR="00FF009C" w:rsidRPr="00FF009C">
        <w:rPr>
          <w:noProof/>
        </w:rPr>
        <w:t>oce</w:t>
      </w:r>
      <w:r w:rsidRPr="00FF009C">
        <w:rPr>
          <w:noProof/>
        </w:rPr>
        <w:t>n zagrożenia, aby wspierać wykonanie art.</w:t>
      </w:r>
      <w:r w:rsidR="00FF009C" w:rsidRPr="00FF009C">
        <w:rPr>
          <w:noProof/>
        </w:rPr>
        <w:t> </w:t>
      </w:r>
      <w:r w:rsidRPr="00FF009C">
        <w:rPr>
          <w:noProof/>
        </w:rPr>
        <w:t>6 ust.</w:t>
      </w:r>
      <w:r w:rsidR="00FF009C" w:rsidRPr="00FF009C">
        <w:rPr>
          <w:noProof/>
        </w:rPr>
        <w:t> </w:t>
      </w:r>
      <w:r w:rsidRPr="00FF009C">
        <w:rPr>
          <w:noProof/>
        </w:rPr>
        <w:t>1 rozporządzenia (UE) 2016/794 dotyczącego wnioskowania</w:t>
      </w:r>
      <w:r w:rsidR="00FF009C" w:rsidRPr="00FF009C">
        <w:rPr>
          <w:noProof/>
        </w:rPr>
        <w:t xml:space="preserve"> o</w:t>
      </w:r>
      <w:r w:rsidR="00FF009C">
        <w:rPr>
          <w:noProof/>
        </w:rPr>
        <w:t> </w:t>
      </w:r>
      <w:r w:rsidR="00FF009C" w:rsidRPr="00FF009C">
        <w:rPr>
          <w:noProof/>
        </w:rPr>
        <w:t>wsz</w:t>
      </w:r>
      <w:r w:rsidRPr="00FF009C">
        <w:rPr>
          <w:noProof/>
        </w:rPr>
        <w:t>częcie postępowania przygotowawczego</w:t>
      </w:r>
      <w:r w:rsidR="00FF009C" w:rsidRPr="00FF009C">
        <w:rPr>
          <w:noProof/>
        </w:rPr>
        <w:t xml:space="preserve"> w</w:t>
      </w:r>
      <w:r w:rsidR="00FF009C">
        <w:rPr>
          <w:noProof/>
        </w:rPr>
        <w:t> </w:t>
      </w:r>
      <w:r w:rsidR="00FF009C" w:rsidRPr="00FF009C">
        <w:rPr>
          <w:noProof/>
        </w:rPr>
        <w:t>spr</w:t>
      </w:r>
      <w:r w:rsidRPr="00FF009C">
        <w:rPr>
          <w:noProof/>
        </w:rPr>
        <w:t>awie przemytu migrantów</w:t>
      </w:r>
      <w:r w:rsidR="00FF009C" w:rsidRPr="00FF009C">
        <w:rPr>
          <w:noProof/>
        </w:rPr>
        <w:t xml:space="preserve"> i</w:t>
      </w:r>
      <w:r w:rsidR="00FF009C">
        <w:rPr>
          <w:noProof/>
        </w:rPr>
        <w:t> </w:t>
      </w:r>
      <w:r w:rsidR="00FF009C" w:rsidRPr="00FF009C">
        <w:rPr>
          <w:noProof/>
        </w:rPr>
        <w:t>han</w:t>
      </w:r>
      <w:r w:rsidRPr="00FF009C">
        <w:rPr>
          <w:noProof/>
        </w:rPr>
        <w:t>dlu ludźmi, zgodnie</w:t>
      </w:r>
      <w:r w:rsidR="00FF009C" w:rsidRPr="00FF009C">
        <w:rPr>
          <w:noProof/>
        </w:rPr>
        <w:t xml:space="preserve"> z</w:t>
      </w:r>
      <w:r w:rsidR="00FF009C">
        <w:rPr>
          <w:noProof/>
        </w:rPr>
        <w:t> </w:t>
      </w:r>
      <w:r w:rsidR="00FF009C" w:rsidRPr="00FF009C">
        <w:rPr>
          <w:noProof/>
        </w:rPr>
        <w:t>art</w:t>
      </w:r>
      <w:r w:rsidRPr="00FF009C">
        <w:rPr>
          <w:noProof/>
        </w:rPr>
        <w:t>.</w:t>
      </w:r>
      <w:r w:rsidR="00FF009C" w:rsidRPr="00FF009C">
        <w:rPr>
          <w:noProof/>
        </w:rPr>
        <w:t> </w:t>
      </w:r>
      <w:r w:rsidRPr="00FF009C">
        <w:rPr>
          <w:noProof/>
        </w:rPr>
        <w:t>4 ust.</w:t>
      </w:r>
      <w:r w:rsidR="00FF009C" w:rsidRPr="00FF009C">
        <w:rPr>
          <w:noProof/>
        </w:rPr>
        <w:t> </w:t>
      </w:r>
      <w:r w:rsidRPr="00FF009C">
        <w:rPr>
          <w:noProof/>
        </w:rPr>
        <w:t>1 lit.</w:t>
      </w:r>
      <w:r w:rsidR="00FF009C" w:rsidRPr="00FF009C">
        <w:rPr>
          <w:noProof/>
        </w:rPr>
        <w:t> </w:t>
      </w:r>
      <w:r w:rsidRPr="00FF009C">
        <w:rPr>
          <w:noProof/>
        </w:rPr>
        <w:t>f) rozporządzenia (UE) 2016/794;</w:t>
      </w:r>
    </w:p>
    <w:p w14:paraId="5B7DBA2E" w14:textId="6761F2AC" w:rsidR="00120F3C" w:rsidRPr="00FF009C" w:rsidRDefault="0028650E" w:rsidP="0028650E">
      <w:pPr>
        <w:pStyle w:val="Point0"/>
        <w:rPr>
          <w:rFonts w:eastAsia="Times New Roman"/>
          <w:noProof/>
        </w:rPr>
      </w:pPr>
      <w:r w:rsidRPr="00FF009C">
        <w:rPr>
          <w:noProof/>
        </w:rPr>
        <w:t>g)</w:t>
      </w:r>
      <w:r w:rsidRPr="00FF009C">
        <w:rPr>
          <w:noProof/>
        </w:rPr>
        <w:tab/>
        <w:t>dostarczanie państwom członkowskim</w:t>
      </w:r>
      <w:r w:rsidR="00FF009C" w:rsidRPr="00FF009C">
        <w:rPr>
          <w:noProof/>
        </w:rPr>
        <w:t xml:space="preserve"> i</w:t>
      </w:r>
      <w:r w:rsidR="00FF009C">
        <w:rPr>
          <w:noProof/>
        </w:rPr>
        <w:t> </w:t>
      </w:r>
      <w:r w:rsidR="00FF009C" w:rsidRPr="00FF009C">
        <w:rPr>
          <w:noProof/>
        </w:rPr>
        <w:t>Kom</w:t>
      </w:r>
      <w:r w:rsidRPr="00FF009C">
        <w:rPr>
          <w:noProof/>
        </w:rPr>
        <w:t>isji oraz</w:t>
      </w:r>
      <w:r w:rsidR="00FF009C" w:rsidRPr="00FF009C">
        <w:rPr>
          <w:noProof/>
        </w:rPr>
        <w:t xml:space="preserve"> w</w:t>
      </w:r>
      <w:r w:rsidR="00FF009C">
        <w:rPr>
          <w:noProof/>
        </w:rPr>
        <w:t> </w:t>
      </w:r>
      <w:r w:rsidR="00FF009C" w:rsidRPr="00FF009C">
        <w:rPr>
          <w:noProof/>
        </w:rPr>
        <w:t>sto</w:t>
      </w:r>
      <w:r w:rsidRPr="00FF009C">
        <w:rPr>
          <w:noProof/>
        </w:rPr>
        <w:t>sownych przypadkach właściwym agencjom lub organom Unii analiz strategicznych</w:t>
      </w:r>
      <w:r w:rsidR="00FF009C" w:rsidRPr="00FF009C">
        <w:rPr>
          <w:noProof/>
        </w:rPr>
        <w:t xml:space="preserve"> i</w:t>
      </w:r>
      <w:r w:rsidR="00FF009C">
        <w:rPr>
          <w:noProof/>
        </w:rPr>
        <w:t> </w:t>
      </w:r>
      <w:r w:rsidR="00FF009C" w:rsidRPr="00FF009C">
        <w:rPr>
          <w:noProof/>
        </w:rPr>
        <w:t>oce</w:t>
      </w:r>
      <w:r w:rsidRPr="00FF009C">
        <w:rPr>
          <w:noProof/>
        </w:rPr>
        <w:t>n zagrożenia dotyczących szlaków</w:t>
      </w:r>
      <w:r w:rsidR="00FF009C" w:rsidRPr="00FF009C">
        <w:rPr>
          <w:noProof/>
        </w:rPr>
        <w:t xml:space="preserve"> i</w:t>
      </w:r>
      <w:r w:rsidR="00FF009C">
        <w:rPr>
          <w:noProof/>
        </w:rPr>
        <w:t> </w:t>
      </w:r>
      <w:r w:rsidR="00FF009C" w:rsidRPr="00FF009C">
        <w:rPr>
          <w:noProof/>
        </w:rPr>
        <w:t>spo</w:t>
      </w:r>
      <w:r w:rsidRPr="00FF009C">
        <w:rPr>
          <w:noProof/>
        </w:rPr>
        <w:t>sobów działania wykorzystywanych</w:t>
      </w:r>
      <w:r w:rsidR="00FF009C" w:rsidRPr="00FF009C">
        <w:rPr>
          <w:noProof/>
        </w:rPr>
        <w:t xml:space="preserve"> w</w:t>
      </w:r>
      <w:r w:rsidR="00FF009C">
        <w:rPr>
          <w:noProof/>
        </w:rPr>
        <w:t> </w:t>
      </w:r>
      <w:r w:rsidR="00FF009C" w:rsidRPr="00FF009C">
        <w:rPr>
          <w:noProof/>
        </w:rPr>
        <w:t>zak</w:t>
      </w:r>
      <w:r w:rsidRPr="00FF009C">
        <w:rPr>
          <w:noProof/>
        </w:rPr>
        <w:t>resie przemytu migrantów</w:t>
      </w:r>
      <w:r w:rsidR="00FF009C" w:rsidRPr="00FF009C">
        <w:rPr>
          <w:noProof/>
        </w:rPr>
        <w:t xml:space="preserve"> i</w:t>
      </w:r>
      <w:r w:rsidR="00FF009C">
        <w:rPr>
          <w:noProof/>
        </w:rPr>
        <w:t> </w:t>
      </w:r>
      <w:r w:rsidR="00FF009C" w:rsidRPr="00FF009C">
        <w:rPr>
          <w:noProof/>
        </w:rPr>
        <w:t>han</w:t>
      </w:r>
      <w:r w:rsidRPr="00FF009C">
        <w:rPr>
          <w:noProof/>
        </w:rPr>
        <w:t>dlu ludźmi,</w:t>
      </w:r>
      <w:r w:rsidR="00FF009C" w:rsidRPr="00FF009C">
        <w:rPr>
          <w:noProof/>
        </w:rPr>
        <w:t xml:space="preserve"> w</w:t>
      </w:r>
      <w:r w:rsidR="00FF009C">
        <w:rPr>
          <w:noProof/>
        </w:rPr>
        <w:t> </w:t>
      </w:r>
      <w:r w:rsidR="00FF009C" w:rsidRPr="00FF009C">
        <w:rPr>
          <w:noProof/>
        </w:rPr>
        <w:t>tym</w:t>
      </w:r>
      <w:r w:rsidRPr="00FF009C">
        <w:rPr>
          <w:noProof/>
        </w:rPr>
        <w:t xml:space="preserve"> wskazania, że do przemytu migrantów</w:t>
      </w:r>
      <w:r w:rsidR="00FF009C" w:rsidRPr="00FF009C">
        <w:rPr>
          <w:noProof/>
        </w:rPr>
        <w:t xml:space="preserve"> i</w:t>
      </w:r>
      <w:r w:rsidR="00FF009C">
        <w:rPr>
          <w:noProof/>
        </w:rPr>
        <w:t> </w:t>
      </w:r>
      <w:r w:rsidR="00FF009C" w:rsidRPr="00FF009C">
        <w:rPr>
          <w:noProof/>
        </w:rPr>
        <w:t>han</w:t>
      </w:r>
      <w:r w:rsidRPr="00FF009C">
        <w:rPr>
          <w:noProof/>
        </w:rPr>
        <w:t>dlu ludźmi mogą być wykorzystywane podmioty prywatne, zgodnie</w:t>
      </w:r>
      <w:r w:rsidR="00FF009C" w:rsidRPr="00FF009C">
        <w:rPr>
          <w:noProof/>
        </w:rPr>
        <w:t xml:space="preserve"> z</w:t>
      </w:r>
      <w:r w:rsidR="00FF009C">
        <w:rPr>
          <w:noProof/>
        </w:rPr>
        <w:t> </w:t>
      </w:r>
      <w:r w:rsidR="00FF009C" w:rsidRPr="00FF009C">
        <w:rPr>
          <w:noProof/>
        </w:rPr>
        <w:t>art</w:t>
      </w:r>
      <w:r w:rsidRPr="00FF009C">
        <w:rPr>
          <w:noProof/>
        </w:rPr>
        <w:t>.</w:t>
      </w:r>
      <w:r w:rsidR="00FF009C" w:rsidRPr="00FF009C">
        <w:rPr>
          <w:noProof/>
        </w:rPr>
        <w:t> </w:t>
      </w:r>
      <w:r w:rsidRPr="00FF009C">
        <w:rPr>
          <w:noProof/>
        </w:rPr>
        <w:t>4 ust.</w:t>
      </w:r>
      <w:r w:rsidR="00FF009C" w:rsidRPr="00FF009C">
        <w:rPr>
          <w:noProof/>
        </w:rPr>
        <w:t> </w:t>
      </w:r>
      <w:r w:rsidRPr="00FF009C">
        <w:rPr>
          <w:noProof/>
        </w:rPr>
        <w:t>1 lit.</w:t>
      </w:r>
      <w:r w:rsidR="00FF009C" w:rsidRPr="00FF009C">
        <w:rPr>
          <w:noProof/>
        </w:rPr>
        <w:t> </w:t>
      </w:r>
      <w:r w:rsidRPr="00FF009C">
        <w:rPr>
          <w:noProof/>
        </w:rPr>
        <w:t>f) rozporządzenia (UE) 2016/794;</w:t>
      </w:r>
    </w:p>
    <w:p w14:paraId="015C4D7B" w14:textId="27907D45" w:rsidR="0043039B" w:rsidRPr="00FF009C" w:rsidRDefault="0028650E" w:rsidP="0028650E">
      <w:pPr>
        <w:pStyle w:val="Point0"/>
        <w:rPr>
          <w:noProof/>
        </w:rPr>
      </w:pPr>
      <w:r w:rsidRPr="00FF009C">
        <w:rPr>
          <w:noProof/>
        </w:rPr>
        <w:t>h)</w:t>
      </w:r>
      <w:r w:rsidRPr="00FF009C">
        <w:rPr>
          <w:noProof/>
        </w:rPr>
        <w:tab/>
        <w:t>dostarczanie państwom członkowskim</w:t>
      </w:r>
      <w:r w:rsidR="00FF009C" w:rsidRPr="00FF009C">
        <w:rPr>
          <w:noProof/>
        </w:rPr>
        <w:t xml:space="preserve"> i</w:t>
      </w:r>
      <w:r w:rsidR="00FF009C">
        <w:rPr>
          <w:noProof/>
        </w:rPr>
        <w:t> </w:t>
      </w:r>
      <w:r w:rsidR="00FF009C" w:rsidRPr="00FF009C">
        <w:rPr>
          <w:noProof/>
        </w:rPr>
        <w:t>Kom</w:t>
      </w:r>
      <w:r w:rsidRPr="00FF009C">
        <w:rPr>
          <w:noProof/>
        </w:rPr>
        <w:t>isji oraz</w:t>
      </w:r>
      <w:r w:rsidR="00FF009C" w:rsidRPr="00FF009C">
        <w:rPr>
          <w:noProof/>
        </w:rPr>
        <w:t xml:space="preserve"> w</w:t>
      </w:r>
      <w:r w:rsidR="00FF009C">
        <w:rPr>
          <w:noProof/>
        </w:rPr>
        <w:t> </w:t>
      </w:r>
      <w:r w:rsidR="00FF009C" w:rsidRPr="00FF009C">
        <w:rPr>
          <w:noProof/>
        </w:rPr>
        <w:t>sto</w:t>
      </w:r>
      <w:r w:rsidRPr="00FF009C">
        <w:rPr>
          <w:noProof/>
        </w:rPr>
        <w:t>sownych przypadkach właściwym agencjom lub organom Unii analiz strategicznych</w:t>
      </w:r>
      <w:r w:rsidR="00FF009C" w:rsidRPr="00FF009C">
        <w:rPr>
          <w:noProof/>
        </w:rPr>
        <w:t xml:space="preserve"> i</w:t>
      </w:r>
      <w:r w:rsidR="00FF009C">
        <w:rPr>
          <w:noProof/>
        </w:rPr>
        <w:t> </w:t>
      </w:r>
      <w:r w:rsidR="00FF009C" w:rsidRPr="00FF009C">
        <w:rPr>
          <w:noProof/>
        </w:rPr>
        <w:t>oce</w:t>
      </w:r>
      <w:r w:rsidRPr="00FF009C">
        <w:rPr>
          <w:noProof/>
        </w:rPr>
        <w:t>n zagrożenia</w:t>
      </w:r>
      <w:r w:rsidR="00FF009C" w:rsidRPr="00FF009C">
        <w:rPr>
          <w:noProof/>
        </w:rPr>
        <w:t xml:space="preserve"> w</w:t>
      </w:r>
      <w:r w:rsidR="00FF009C">
        <w:rPr>
          <w:noProof/>
        </w:rPr>
        <w:t> </w:t>
      </w:r>
      <w:r w:rsidR="00FF009C" w:rsidRPr="00FF009C">
        <w:rPr>
          <w:noProof/>
        </w:rPr>
        <w:t>zak</w:t>
      </w:r>
      <w:r w:rsidRPr="00FF009C">
        <w:rPr>
          <w:noProof/>
        </w:rPr>
        <w:t>resie zapobiegania przemytowi migrantów</w:t>
      </w:r>
      <w:r w:rsidR="00FF009C" w:rsidRPr="00FF009C">
        <w:rPr>
          <w:noProof/>
        </w:rPr>
        <w:t xml:space="preserve"> i</w:t>
      </w:r>
      <w:r w:rsidR="00FF009C">
        <w:rPr>
          <w:noProof/>
        </w:rPr>
        <w:t> </w:t>
      </w:r>
      <w:r w:rsidR="00FF009C" w:rsidRPr="00FF009C">
        <w:rPr>
          <w:noProof/>
        </w:rPr>
        <w:t>han</w:t>
      </w:r>
      <w:r w:rsidRPr="00FF009C">
        <w:rPr>
          <w:noProof/>
        </w:rPr>
        <w:t>dlowi ludźmi oraz zwalczania tych przestępstw, zgodnie</w:t>
      </w:r>
      <w:r w:rsidR="00FF009C" w:rsidRPr="00FF009C">
        <w:rPr>
          <w:noProof/>
        </w:rPr>
        <w:t xml:space="preserve"> z</w:t>
      </w:r>
      <w:r w:rsidR="00FF009C">
        <w:rPr>
          <w:noProof/>
        </w:rPr>
        <w:t> </w:t>
      </w:r>
      <w:r w:rsidR="00FF009C" w:rsidRPr="00FF009C">
        <w:rPr>
          <w:noProof/>
        </w:rPr>
        <w:t>art</w:t>
      </w:r>
      <w:r w:rsidRPr="00FF009C">
        <w:rPr>
          <w:noProof/>
        </w:rPr>
        <w:t>.</w:t>
      </w:r>
      <w:r w:rsidR="00FF009C" w:rsidRPr="00FF009C">
        <w:rPr>
          <w:noProof/>
        </w:rPr>
        <w:t> </w:t>
      </w:r>
      <w:r w:rsidRPr="00FF009C">
        <w:rPr>
          <w:noProof/>
        </w:rPr>
        <w:t>4 ust.</w:t>
      </w:r>
      <w:r w:rsidR="00FF009C" w:rsidRPr="00FF009C">
        <w:rPr>
          <w:noProof/>
        </w:rPr>
        <w:t> </w:t>
      </w:r>
      <w:r w:rsidRPr="00FF009C">
        <w:rPr>
          <w:noProof/>
        </w:rPr>
        <w:t>1 lit.</w:t>
      </w:r>
      <w:r w:rsidR="00FF009C" w:rsidRPr="00FF009C">
        <w:rPr>
          <w:noProof/>
        </w:rPr>
        <w:t> </w:t>
      </w:r>
      <w:r w:rsidRPr="00FF009C">
        <w:rPr>
          <w:noProof/>
        </w:rPr>
        <w:t>f) rozporządzenia (UE) 2016/794;</w:t>
      </w:r>
    </w:p>
    <w:p w14:paraId="4D152832" w14:textId="31BAE2C2" w:rsidR="0043039B" w:rsidRPr="00FF009C" w:rsidRDefault="0028650E" w:rsidP="0028650E">
      <w:pPr>
        <w:pStyle w:val="Point0"/>
        <w:rPr>
          <w:noProof/>
        </w:rPr>
      </w:pPr>
      <w:r w:rsidRPr="00FF009C">
        <w:rPr>
          <w:noProof/>
        </w:rPr>
        <w:t>i)</w:t>
      </w:r>
      <w:r w:rsidRPr="00FF009C">
        <w:rPr>
          <w:noProof/>
        </w:rPr>
        <w:tab/>
        <w:t>sporządzanie rocznego sprawozdania na temat przemytu migrantów</w:t>
      </w:r>
      <w:r w:rsidR="00FF009C" w:rsidRPr="00FF009C">
        <w:rPr>
          <w:noProof/>
        </w:rPr>
        <w:t xml:space="preserve"> i</w:t>
      </w:r>
      <w:r w:rsidR="00FF009C">
        <w:rPr>
          <w:noProof/>
        </w:rPr>
        <w:t> </w:t>
      </w:r>
      <w:r w:rsidR="00FF009C" w:rsidRPr="00FF009C">
        <w:rPr>
          <w:noProof/>
        </w:rPr>
        <w:t>han</w:t>
      </w:r>
      <w:r w:rsidRPr="00FF009C">
        <w:rPr>
          <w:noProof/>
        </w:rPr>
        <w:t>dlu ludźmi, określanie głównych priorytetów operacyjnych</w:t>
      </w:r>
      <w:r w:rsidR="00FF009C" w:rsidRPr="00FF009C">
        <w:rPr>
          <w:noProof/>
        </w:rPr>
        <w:t xml:space="preserve"> i</w:t>
      </w:r>
      <w:r w:rsidR="00FF009C">
        <w:rPr>
          <w:noProof/>
        </w:rPr>
        <w:t> </w:t>
      </w:r>
      <w:r w:rsidR="00FF009C" w:rsidRPr="00FF009C">
        <w:rPr>
          <w:noProof/>
        </w:rPr>
        <w:t>ewe</w:t>
      </w:r>
      <w:r w:rsidRPr="00FF009C">
        <w:rPr>
          <w:noProof/>
        </w:rPr>
        <w:t>ntualnych powiązanych działań na szczeblu Unii, zgodnie</w:t>
      </w:r>
      <w:r w:rsidR="00FF009C" w:rsidRPr="00FF009C">
        <w:rPr>
          <w:noProof/>
        </w:rPr>
        <w:t xml:space="preserve"> z</w:t>
      </w:r>
      <w:r w:rsidR="00FF009C">
        <w:rPr>
          <w:noProof/>
        </w:rPr>
        <w:t> </w:t>
      </w:r>
      <w:r w:rsidR="00FF009C" w:rsidRPr="00FF009C">
        <w:rPr>
          <w:noProof/>
        </w:rPr>
        <w:t>art</w:t>
      </w:r>
      <w:r w:rsidRPr="00FF009C">
        <w:rPr>
          <w:noProof/>
        </w:rPr>
        <w:t>.</w:t>
      </w:r>
      <w:r w:rsidR="00FF009C" w:rsidRPr="00FF009C">
        <w:rPr>
          <w:noProof/>
        </w:rPr>
        <w:t> </w:t>
      </w:r>
      <w:r w:rsidRPr="00FF009C">
        <w:rPr>
          <w:noProof/>
        </w:rPr>
        <w:t>4 ust.</w:t>
      </w:r>
      <w:r w:rsidR="00FF009C" w:rsidRPr="00FF009C">
        <w:rPr>
          <w:noProof/>
        </w:rPr>
        <w:t> </w:t>
      </w:r>
      <w:r w:rsidRPr="00FF009C">
        <w:rPr>
          <w:noProof/>
        </w:rPr>
        <w:t>1 lit.</w:t>
      </w:r>
      <w:r w:rsidR="00FF009C" w:rsidRPr="00FF009C">
        <w:rPr>
          <w:noProof/>
        </w:rPr>
        <w:t> </w:t>
      </w:r>
      <w:r w:rsidRPr="00FF009C">
        <w:rPr>
          <w:noProof/>
        </w:rPr>
        <w:t>f) rozporządzenia (UE) 2016/794.</w:t>
      </w:r>
    </w:p>
    <w:p w14:paraId="3FB3EF11" w14:textId="77777777" w:rsidR="0043039B" w:rsidRPr="00FF009C" w:rsidRDefault="0043039B" w:rsidP="0043039B">
      <w:pPr>
        <w:ind w:left="720" w:hanging="720"/>
        <w:rPr>
          <w:rFonts w:eastAsia="Times New Roman"/>
          <w:i/>
          <w:iCs/>
          <w:noProof/>
        </w:rPr>
      </w:pPr>
    </w:p>
    <w:p w14:paraId="74E72980" w14:textId="77777777" w:rsidR="0043039B" w:rsidRPr="00FF009C" w:rsidRDefault="0043039B" w:rsidP="6E5A1C8C">
      <w:pPr>
        <w:ind w:left="720" w:hanging="720"/>
        <w:jc w:val="center"/>
        <w:rPr>
          <w:rFonts w:eastAsia="Times New Roman"/>
          <w:i/>
          <w:iCs/>
          <w:noProof/>
        </w:rPr>
      </w:pPr>
      <w:r w:rsidRPr="00FF009C">
        <w:rPr>
          <w:i/>
          <w:noProof/>
        </w:rPr>
        <w:t>Artykuł 6</w:t>
      </w:r>
    </w:p>
    <w:p w14:paraId="63301AE5" w14:textId="77777777" w:rsidR="0043039B" w:rsidRPr="00FF009C" w:rsidRDefault="0043039B" w:rsidP="0043039B">
      <w:pPr>
        <w:ind w:left="720" w:hanging="720"/>
        <w:jc w:val="center"/>
        <w:rPr>
          <w:rFonts w:eastAsia="Times New Roman"/>
          <w:b/>
          <w:bCs/>
          <w:noProof/>
        </w:rPr>
      </w:pPr>
      <w:r w:rsidRPr="00FF009C">
        <w:rPr>
          <w:b/>
          <w:noProof/>
        </w:rPr>
        <w:t>Zadania operacyjne Europejskiego Centrum Zwalczania Przemytu Migrantów</w:t>
      </w:r>
    </w:p>
    <w:p w14:paraId="4784A5B9" w14:textId="77777777" w:rsidR="0043039B" w:rsidRPr="00FF009C" w:rsidRDefault="00184CD5" w:rsidP="00977077">
      <w:pPr>
        <w:rPr>
          <w:noProof/>
        </w:rPr>
      </w:pPr>
      <w:r w:rsidRPr="00FF009C">
        <w:rPr>
          <w:noProof/>
        </w:rPr>
        <w:t>Zadania operacyjne Europejskiego Centrum Zwalczania Przemytu Migrantów obejmują:</w:t>
      </w:r>
    </w:p>
    <w:p w14:paraId="46D67E94" w14:textId="3FD13C36" w:rsidR="0043039B" w:rsidRPr="00FF009C" w:rsidRDefault="0043039B" w:rsidP="0043039B">
      <w:pPr>
        <w:ind w:left="720" w:hanging="720"/>
        <w:rPr>
          <w:rFonts w:eastAsia="Times New Roman"/>
          <w:noProof/>
        </w:rPr>
      </w:pPr>
      <w:r w:rsidRPr="00FF009C">
        <w:rPr>
          <w:noProof/>
        </w:rPr>
        <w:t xml:space="preserve">a) </w:t>
      </w:r>
      <w:r w:rsidRPr="00FF009C">
        <w:rPr>
          <w:noProof/>
        </w:rPr>
        <w:tab/>
        <w:t>koordynowanie, organizowanie</w:t>
      </w:r>
      <w:r w:rsidR="00FF009C" w:rsidRPr="00FF009C">
        <w:rPr>
          <w:noProof/>
        </w:rPr>
        <w:t xml:space="preserve"> i</w:t>
      </w:r>
      <w:r w:rsidR="00FF009C">
        <w:rPr>
          <w:noProof/>
        </w:rPr>
        <w:t> </w:t>
      </w:r>
      <w:r w:rsidR="00FF009C" w:rsidRPr="00FF009C">
        <w:rPr>
          <w:noProof/>
        </w:rPr>
        <w:t>wdr</w:t>
      </w:r>
      <w:r w:rsidRPr="00FF009C">
        <w:rPr>
          <w:noProof/>
        </w:rPr>
        <w:t>ażanie działań procesowych</w:t>
      </w:r>
      <w:r w:rsidR="00FF009C" w:rsidRPr="00FF009C">
        <w:rPr>
          <w:noProof/>
        </w:rPr>
        <w:t xml:space="preserve"> i</w:t>
      </w:r>
      <w:r w:rsidR="00FF009C">
        <w:rPr>
          <w:noProof/>
        </w:rPr>
        <w:t> </w:t>
      </w:r>
      <w:r w:rsidR="00FF009C" w:rsidRPr="00FF009C">
        <w:rPr>
          <w:noProof/>
        </w:rPr>
        <w:t>ope</w:t>
      </w:r>
      <w:r w:rsidRPr="00FF009C">
        <w:rPr>
          <w:noProof/>
        </w:rPr>
        <w:t>racyjnych mających na celu wspieranie</w:t>
      </w:r>
      <w:r w:rsidR="00FF009C" w:rsidRPr="00FF009C">
        <w:rPr>
          <w:noProof/>
        </w:rPr>
        <w:t xml:space="preserve"> i</w:t>
      </w:r>
      <w:r w:rsidR="00FF009C">
        <w:rPr>
          <w:noProof/>
        </w:rPr>
        <w:t> </w:t>
      </w:r>
      <w:r w:rsidR="00FF009C" w:rsidRPr="00FF009C">
        <w:rPr>
          <w:noProof/>
        </w:rPr>
        <w:t>wzm</w:t>
      </w:r>
      <w:r w:rsidRPr="00FF009C">
        <w:rPr>
          <w:noProof/>
        </w:rPr>
        <w:t>acnianie działań właściwych organów państw członkowskich</w:t>
      </w:r>
      <w:r w:rsidR="00FF009C" w:rsidRPr="00FF009C">
        <w:rPr>
          <w:noProof/>
        </w:rPr>
        <w:t xml:space="preserve"> w</w:t>
      </w:r>
      <w:r w:rsidR="00FF009C">
        <w:rPr>
          <w:noProof/>
        </w:rPr>
        <w:t> </w:t>
      </w:r>
      <w:r w:rsidR="00FF009C" w:rsidRPr="00FF009C">
        <w:rPr>
          <w:noProof/>
        </w:rPr>
        <w:t>zak</w:t>
      </w:r>
      <w:r w:rsidRPr="00FF009C">
        <w:rPr>
          <w:noProof/>
        </w:rPr>
        <w:t>resie zapobiegania przemytowi migrantów</w:t>
      </w:r>
      <w:r w:rsidR="00FF009C" w:rsidRPr="00FF009C">
        <w:rPr>
          <w:noProof/>
        </w:rPr>
        <w:t xml:space="preserve"> i</w:t>
      </w:r>
      <w:r w:rsidR="00FF009C">
        <w:rPr>
          <w:noProof/>
        </w:rPr>
        <w:t> </w:t>
      </w:r>
      <w:r w:rsidR="00FF009C" w:rsidRPr="00FF009C">
        <w:rPr>
          <w:noProof/>
        </w:rPr>
        <w:t>han</w:t>
      </w:r>
      <w:r w:rsidRPr="00FF009C">
        <w:rPr>
          <w:noProof/>
        </w:rPr>
        <w:t>dlowi ludźmi oraz zwalczania tych przestępstw,</w:t>
      </w:r>
      <w:r w:rsidR="00FF009C" w:rsidRPr="00FF009C">
        <w:rPr>
          <w:noProof/>
        </w:rPr>
        <w:t xml:space="preserve"> w</w:t>
      </w:r>
      <w:r w:rsidR="00FF009C">
        <w:rPr>
          <w:noProof/>
        </w:rPr>
        <w:t> </w:t>
      </w:r>
      <w:r w:rsidR="00FF009C" w:rsidRPr="00FF009C">
        <w:rPr>
          <w:noProof/>
        </w:rPr>
        <w:t>tym w</w:t>
      </w:r>
      <w:r w:rsidR="00FF009C">
        <w:rPr>
          <w:noProof/>
        </w:rPr>
        <w:t> </w:t>
      </w:r>
      <w:r w:rsidR="00FF009C" w:rsidRPr="00FF009C">
        <w:rPr>
          <w:noProof/>
        </w:rPr>
        <w:t>prz</w:t>
      </w:r>
      <w:r w:rsidRPr="00FF009C">
        <w:rPr>
          <w:noProof/>
        </w:rPr>
        <w:t>ypadku gdy przestępstwa te są ułatwiane, propagowane lub popełniane</w:t>
      </w:r>
      <w:r w:rsidR="00FF009C" w:rsidRPr="00FF009C">
        <w:rPr>
          <w:noProof/>
        </w:rPr>
        <w:t xml:space="preserve"> z</w:t>
      </w:r>
      <w:r w:rsidR="00FF009C">
        <w:rPr>
          <w:noProof/>
        </w:rPr>
        <w:t> </w:t>
      </w:r>
      <w:r w:rsidR="00FF009C" w:rsidRPr="00FF009C">
        <w:rPr>
          <w:noProof/>
        </w:rPr>
        <w:t>wyk</w:t>
      </w:r>
      <w:r w:rsidRPr="00FF009C">
        <w:rPr>
          <w:noProof/>
        </w:rPr>
        <w:t>orzystaniem internetu,</w:t>
      </w:r>
      <w:r w:rsidR="00FF009C" w:rsidRPr="00FF009C">
        <w:rPr>
          <w:noProof/>
        </w:rPr>
        <w:t xml:space="preserve"> w</w:t>
      </w:r>
      <w:r w:rsidR="00FF009C">
        <w:rPr>
          <w:noProof/>
        </w:rPr>
        <w:t> </w:t>
      </w:r>
      <w:r w:rsidR="00FF009C" w:rsidRPr="00FF009C">
        <w:rPr>
          <w:noProof/>
        </w:rPr>
        <w:t>tym</w:t>
      </w:r>
      <w:r w:rsidRPr="00FF009C">
        <w:rPr>
          <w:noProof/>
        </w:rPr>
        <w:t xml:space="preserve"> mediów społecznościowych,</w:t>
      </w:r>
      <w:r w:rsidR="00FF009C" w:rsidRPr="00FF009C">
        <w:rPr>
          <w:noProof/>
        </w:rPr>
        <w:t xml:space="preserve"> a</w:t>
      </w:r>
      <w:r w:rsidR="00FF009C">
        <w:rPr>
          <w:noProof/>
        </w:rPr>
        <w:t> </w:t>
      </w:r>
      <w:r w:rsidR="00FF009C" w:rsidRPr="00FF009C">
        <w:rPr>
          <w:noProof/>
        </w:rPr>
        <w:t>tak</w:t>
      </w:r>
      <w:r w:rsidRPr="00FF009C">
        <w:rPr>
          <w:noProof/>
        </w:rPr>
        <w:t>że</w:t>
      </w:r>
      <w:r w:rsidR="00FF009C" w:rsidRPr="00FF009C">
        <w:rPr>
          <w:noProof/>
        </w:rPr>
        <w:t xml:space="preserve"> w</w:t>
      </w:r>
      <w:r w:rsidR="00FF009C">
        <w:rPr>
          <w:noProof/>
        </w:rPr>
        <w:t> </w:t>
      </w:r>
      <w:r w:rsidR="00FF009C" w:rsidRPr="00FF009C">
        <w:rPr>
          <w:noProof/>
        </w:rPr>
        <w:t>kon</w:t>
      </w:r>
      <w:r w:rsidRPr="00FF009C">
        <w:rPr>
          <w:noProof/>
        </w:rPr>
        <w:t>tekście rozmieszczania pracowników Europolu</w:t>
      </w:r>
      <w:r w:rsidR="00FF009C" w:rsidRPr="00FF009C">
        <w:rPr>
          <w:noProof/>
        </w:rPr>
        <w:t xml:space="preserve"> w</w:t>
      </w:r>
      <w:r w:rsidR="00FF009C">
        <w:rPr>
          <w:noProof/>
        </w:rPr>
        <w:t> </w:t>
      </w:r>
      <w:r w:rsidR="00FF009C" w:rsidRPr="00FF009C">
        <w:rPr>
          <w:noProof/>
        </w:rPr>
        <w:t>ram</w:t>
      </w:r>
      <w:r w:rsidRPr="00FF009C">
        <w:rPr>
          <w:noProof/>
        </w:rPr>
        <w:t>ach wsparcia operacyjnego, zgodnie</w:t>
      </w:r>
      <w:r w:rsidR="00FF009C" w:rsidRPr="00FF009C">
        <w:rPr>
          <w:noProof/>
        </w:rPr>
        <w:t xml:space="preserve"> z</w:t>
      </w:r>
      <w:r w:rsidR="00FF009C">
        <w:rPr>
          <w:noProof/>
        </w:rPr>
        <w:t> </w:t>
      </w:r>
      <w:r w:rsidR="00FF009C" w:rsidRPr="00FF009C">
        <w:rPr>
          <w:noProof/>
        </w:rPr>
        <w:t>art</w:t>
      </w:r>
      <w:r w:rsidRPr="00FF009C">
        <w:rPr>
          <w:noProof/>
        </w:rPr>
        <w:t>.</w:t>
      </w:r>
      <w:r w:rsidR="00FF009C" w:rsidRPr="00FF009C">
        <w:rPr>
          <w:noProof/>
        </w:rPr>
        <w:t> </w:t>
      </w:r>
      <w:r w:rsidRPr="00FF009C">
        <w:rPr>
          <w:noProof/>
        </w:rPr>
        <w:t>4 ust.</w:t>
      </w:r>
      <w:r w:rsidR="00FF009C" w:rsidRPr="00FF009C">
        <w:rPr>
          <w:noProof/>
        </w:rPr>
        <w:t> </w:t>
      </w:r>
      <w:r w:rsidRPr="00FF009C">
        <w:rPr>
          <w:noProof/>
        </w:rPr>
        <w:t>1 lit.</w:t>
      </w:r>
      <w:r w:rsidR="00FF009C" w:rsidRPr="00FF009C">
        <w:rPr>
          <w:noProof/>
        </w:rPr>
        <w:t> </w:t>
      </w:r>
      <w:r w:rsidRPr="00FF009C">
        <w:rPr>
          <w:noProof/>
        </w:rPr>
        <w:t>c) i m) rozporządzenia (UE) 2016/794;</w:t>
      </w:r>
    </w:p>
    <w:p w14:paraId="2DC2BB79" w14:textId="0EE5E286" w:rsidR="0043039B" w:rsidRPr="00FF009C" w:rsidRDefault="0043039B" w:rsidP="0043039B">
      <w:pPr>
        <w:ind w:left="720" w:hanging="720"/>
        <w:rPr>
          <w:rFonts w:eastAsia="Times New Roman"/>
          <w:noProof/>
        </w:rPr>
      </w:pPr>
      <w:r w:rsidRPr="00FF009C">
        <w:rPr>
          <w:noProof/>
        </w:rPr>
        <w:t>b)</w:t>
      </w:r>
      <w:r w:rsidRPr="00FF009C">
        <w:rPr>
          <w:noProof/>
        </w:rPr>
        <w:tab/>
        <w:t>wspieranie prowadzonych przez państwa członkowskie transgranicznych działań</w:t>
      </w:r>
      <w:r w:rsidR="00FF009C" w:rsidRPr="00FF009C">
        <w:rPr>
          <w:noProof/>
        </w:rPr>
        <w:t xml:space="preserve"> w</w:t>
      </w:r>
      <w:r w:rsidR="00FF009C">
        <w:rPr>
          <w:noProof/>
        </w:rPr>
        <w:t> </w:t>
      </w:r>
      <w:r w:rsidR="00FF009C" w:rsidRPr="00FF009C">
        <w:rPr>
          <w:noProof/>
        </w:rPr>
        <w:t>zak</w:t>
      </w:r>
      <w:r w:rsidRPr="00FF009C">
        <w:rPr>
          <w:noProof/>
        </w:rPr>
        <w:t>resie wymiany informacji, transgranicznych operacji</w:t>
      </w:r>
      <w:r w:rsidR="00FF009C" w:rsidRPr="00FF009C">
        <w:rPr>
          <w:noProof/>
        </w:rPr>
        <w:t xml:space="preserve"> i</w:t>
      </w:r>
      <w:r w:rsidR="00FF009C">
        <w:rPr>
          <w:noProof/>
        </w:rPr>
        <w:t> </w:t>
      </w:r>
      <w:r w:rsidR="00FF009C" w:rsidRPr="00FF009C">
        <w:rPr>
          <w:noProof/>
        </w:rPr>
        <w:t>pos</w:t>
      </w:r>
      <w:r w:rsidRPr="00FF009C">
        <w:rPr>
          <w:noProof/>
        </w:rPr>
        <w:t>tępowań przygotowawczych</w:t>
      </w:r>
      <w:r w:rsidR="00FF009C" w:rsidRPr="00FF009C">
        <w:rPr>
          <w:noProof/>
        </w:rPr>
        <w:t xml:space="preserve"> w</w:t>
      </w:r>
      <w:r w:rsidR="00FF009C">
        <w:rPr>
          <w:noProof/>
        </w:rPr>
        <w:t> </w:t>
      </w:r>
      <w:r w:rsidR="00FF009C" w:rsidRPr="00FF009C">
        <w:rPr>
          <w:noProof/>
        </w:rPr>
        <w:t>obs</w:t>
      </w:r>
      <w:r w:rsidRPr="00FF009C">
        <w:rPr>
          <w:noProof/>
        </w:rPr>
        <w:t>zarze przemytu migrantów</w:t>
      </w:r>
      <w:r w:rsidR="00FF009C" w:rsidRPr="00FF009C">
        <w:rPr>
          <w:noProof/>
        </w:rPr>
        <w:t xml:space="preserve"> i</w:t>
      </w:r>
      <w:r w:rsidR="00FF009C">
        <w:rPr>
          <w:noProof/>
        </w:rPr>
        <w:t> </w:t>
      </w:r>
      <w:r w:rsidR="00FF009C" w:rsidRPr="00FF009C">
        <w:rPr>
          <w:noProof/>
        </w:rPr>
        <w:t>han</w:t>
      </w:r>
      <w:r w:rsidRPr="00FF009C">
        <w:rPr>
          <w:noProof/>
        </w:rPr>
        <w:t>dlu ludźmi,</w:t>
      </w:r>
      <w:r w:rsidR="00FF009C" w:rsidRPr="00FF009C">
        <w:rPr>
          <w:noProof/>
        </w:rPr>
        <w:t xml:space="preserve"> a</w:t>
      </w:r>
      <w:r w:rsidR="00FF009C">
        <w:rPr>
          <w:noProof/>
        </w:rPr>
        <w:t> </w:t>
      </w:r>
      <w:r w:rsidR="00FF009C" w:rsidRPr="00FF009C">
        <w:rPr>
          <w:noProof/>
        </w:rPr>
        <w:t>tak</w:t>
      </w:r>
      <w:r w:rsidRPr="00FF009C">
        <w:rPr>
          <w:noProof/>
        </w:rPr>
        <w:t>że wspólnych zespołów dochodzeniowo-śledczych</w:t>
      </w:r>
      <w:r w:rsidR="00FF009C" w:rsidRPr="00FF009C">
        <w:rPr>
          <w:noProof/>
        </w:rPr>
        <w:t xml:space="preserve"> i</w:t>
      </w:r>
      <w:r w:rsidR="00FF009C">
        <w:rPr>
          <w:noProof/>
        </w:rPr>
        <w:t> </w:t>
      </w:r>
      <w:r w:rsidR="00FF009C" w:rsidRPr="00FF009C">
        <w:rPr>
          <w:noProof/>
        </w:rPr>
        <w:t>ope</w:t>
      </w:r>
      <w:r w:rsidRPr="00FF009C">
        <w:rPr>
          <w:noProof/>
        </w:rPr>
        <w:t>racyjnych grup zadaniowych, między innymi przez dostarczanie wsparcia analitycznego, operacyjnego, technicznego, kryminalistycznego</w:t>
      </w:r>
      <w:r w:rsidR="00FF009C" w:rsidRPr="00FF009C">
        <w:rPr>
          <w:noProof/>
        </w:rPr>
        <w:t xml:space="preserve"> i</w:t>
      </w:r>
      <w:r w:rsidR="00FF009C">
        <w:rPr>
          <w:noProof/>
        </w:rPr>
        <w:t> </w:t>
      </w:r>
      <w:r w:rsidR="00FF009C" w:rsidRPr="00FF009C">
        <w:rPr>
          <w:noProof/>
        </w:rPr>
        <w:t>fin</w:t>
      </w:r>
      <w:r w:rsidRPr="00FF009C">
        <w:rPr>
          <w:noProof/>
        </w:rPr>
        <w:t>ansowego, zgodnie</w:t>
      </w:r>
      <w:r w:rsidR="00FF009C" w:rsidRPr="00FF009C">
        <w:rPr>
          <w:noProof/>
        </w:rPr>
        <w:t xml:space="preserve"> z</w:t>
      </w:r>
      <w:r w:rsidR="00FF009C">
        <w:rPr>
          <w:noProof/>
        </w:rPr>
        <w:t> </w:t>
      </w:r>
      <w:r w:rsidR="00FF009C" w:rsidRPr="00FF009C">
        <w:rPr>
          <w:noProof/>
        </w:rPr>
        <w:t>art</w:t>
      </w:r>
      <w:r w:rsidRPr="00FF009C">
        <w:rPr>
          <w:noProof/>
        </w:rPr>
        <w:t>.</w:t>
      </w:r>
      <w:r w:rsidR="00FF009C" w:rsidRPr="00FF009C">
        <w:rPr>
          <w:noProof/>
        </w:rPr>
        <w:t> </w:t>
      </w:r>
      <w:r w:rsidRPr="00FF009C">
        <w:rPr>
          <w:noProof/>
        </w:rPr>
        <w:t>4 ust.</w:t>
      </w:r>
      <w:r w:rsidR="00FF009C" w:rsidRPr="00FF009C">
        <w:rPr>
          <w:noProof/>
        </w:rPr>
        <w:t> </w:t>
      </w:r>
      <w:r w:rsidRPr="00FF009C">
        <w:rPr>
          <w:noProof/>
        </w:rPr>
        <w:t>1 lit.</w:t>
      </w:r>
      <w:r w:rsidR="00FF009C" w:rsidRPr="00FF009C">
        <w:rPr>
          <w:noProof/>
        </w:rPr>
        <w:t> </w:t>
      </w:r>
      <w:r w:rsidRPr="00FF009C">
        <w:rPr>
          <w:noProof/>
        </w:rPr>
        <w:t>h) rozporządzenia (UE) 2016/794;</w:t>
      </w:r>
    </w:p>
    <w:p w14:paraId="229EE448" w14:textId="04C84641" w:rsidR="0043039B" w:rsidRPr="00FF009C" w:rsidRDefault="0043039B">
      <w:pPr>
        <w:ind w:left="720" w:hanging="720"/>
        <w:rPr>
          <w:rFonts w:eastAsia="Times New Roman"/>
          <w:noProof/>
        </w:rPr>
      </w:pPr>
      <w:r w:rsidRPr="00FF009C">
        <w:rPr>
          <w:noProof/>
        </w:rPr>
        <w:t>c)</w:t>
      </w:r>
      <w:r w:rsidRPr="00FF009C">
        <w:rPr>
          <w:noProof/>
        </w:rPr>
        <w:tab/>
        <w:t>zapewnianie wsparcia administracyjnego, logistycznego, finansowego</w:t>
      </w:r>
      <w:r w:rsidR="00FF009C" w:rsidRPr="00FF009C">
        <w:rPr>
          <w:noProof/>
        </w:rPr>
        <w:t xml:space="preserve"> i</w:t>
      </w:r>
      <w:r w:rsidR="00FF009C">
        <w:rPr>
          <w:noProof/>
        </w:rPr>
        <w:t> </w:t>
      </w:r>
      <w:r w:rsidR="00FF009C" w:rsidRPr="00FF009C">
        <w:rPr>
          <w:noProof/>
        </w:rPr>
        <w:t>ope</w:t>
      </w:r>
      <w:r w:rsidRPr="00FF009C">
        <w:rPr>
          <w:noProof/>
        </w:rPr>
        <w:t>racyjnego działań operacyjnych prowadzonych przez państwa członkowskie,</w:t>
      </w:r>
      <w:r w:rsidR="00FF009C" w:rsidRPr="00FF009C">
        <w:rPr>
          <w:noProof/>
        </w:rPr>
        <w:t xml:space="preserve"> w</w:t>
      </w:r>
      <w:r w:rsidR="00FF009C">
        <w:rPr>
          <w:noProof/>
        </w:rPr>
        <w:t> </w:t>
      </w:r>
      <w:r w:rsidR="00FF009C" w:rsidRPr="00FF009C">
        <w:rPr>
          <w:noProof/>
        </w:rPr>
        <w:t>szc</w:t>
      </w:r>
      <w:r w:rsidRPr="00FF009C">
        <w:rPr>
          <w:noProof/>
        </w:rPr>
        <w:t>zególności za pośrednictwem EMPACT, zgodnie</w:t>
      </w:r>
      <w:r w:rsidR="00FF009C" w:rsidRPr="00FF009C">
        <w:rPr>
          <w:noProof/>
        </w:rPr>
        <w:t xml:space="preserve"> z</w:t>
      </w:r>
      <w:r w:rsidR="00FF009C">
        <w:rPr>
          <w:noProof/>
        </w:rPr>
        <w:t> </w:t>
      </w:r>
      <w:r w:rsidR="00FF009C" w:rsidRPr="00FF009C">
        <w:rPr>
          <w:noProof/>
        </w:rPr>
        <w:t>art</w:t>
      </w:r>
      <w:r w:rsidRPr="00FF009C">
        <w:rPr>
          <w:noProof/>
        </w:rPr>
        <w:t>.</w:t>
      </w:r>
      <w:r w:rsidR="00FF009C" w:rsidRPr="00FF009C">
        <w:rPr>
          <w:noProof/>
        </w:rPr>
        <w:t> </w:t>
      </w:r>
      <w:r w:rsidRPr="00FF009C">
        <w:rPr>
          <w:noProof/>
        </w:rPr>
        <w:t>4 ust.</w:t>
      </w:r>
      <w:r w:rsidR="00FF009C" w:rsidRPr="00FF009C">
        <w:rPr>
          <w:noProof/>
        </w:rPr>
        <w:t> </w:t>
      </w:r>
      <w:r w:rsidRPr="00FF009C">
        <w:rPr>
          <w:noProof/>
        </w:rPr>
        <w:t>2 rozporządzenia (UE) 2016/794;</w:t>
      </w:r>
    </w:p>
    <w:p w14:paraId="44A85108" w14:textId="4551577D" w:rsidR="0043039B" w:rsidRPr="00FF009C" w:rsidRDefault="0043039B" w:rsidP="0043039B">
      <w:pPr>
        <w:ind w:left="720" w:hanging="720"/>
        <w:rPr>
          <w:rFonts w:eastAsia="Times New Roman"/>
          <w:noProof/>
        </w:rPr>
      </w:pPr>
      <w:r w:rsidRPr="00FF009C">
        <w:rPr>
          <w:noProof/>
        </w:rPr>
        <w:t>d)</w:t>
      </w:r>
      <w:r w:rsidRPr="00FF009C">
        <w:rPr>
          <w:noProof/>
        </w:rPr>
        <w:tab/>
        <w:t>wspieranie dyrektora wykonawczego Europolu</w:t>
      </w:r>
      <w:r w:rsidR="00FF009C" w:rsidRPr="00FF009C">
        <w:rPr>
          <w:noProof/>
        </w:rPr>
        <w:t xml:space="preserve"> w</w:t>
      </w:r>
      <w:r w:rsidR="00FF009C">
        <w:rPr>
          <w:noProof/>
        </w:rPr>
        <w:t> </w:t>
      </w:r>
      <w:r w:rsidR="00FF009C" w:rsidRPr="00FF009C">
        <w:rPr>
          <w:noProof/>
        </w:rPr>
        <w:t>oce</w:t>
      </w:r>
      <w:r w:rsidRPr="00FF009C">
        <w:rPr>
          <w:noProof/>
        </w:rPr>
        <w:t>nianiu – zgodnie</w:t>
      </w:r>
      <w:r w:rsidR="00FF009C" w:rsidRPr="00FF009C">
        <w:rPr>
          <w:noProof/>
        </w:rPr>
        <w:t xml:space="preserve"> z</w:t>
      </w:r>
      <w:r w:rsidR="00FF009C">
        <w:rPr>
          <w:noProof/>
        </w:rPr>
        <w:t> </w:t>
      </w:r>
      <w:r w:rsidR="00FF009C" w:rsidRPr="00FF009C">
        <w:rPr>
          <w:noProof/>
        </w:rPr>
        <w:t>art</w:t>
      </w:r>
      <w:r w:rsidRPr="00FF009C">
        <w:rPr>
          <w:noProof/>
        </w:rPr>
        <w:t>.</w:t>
      </w:r>
      <w:r w:rsidR="00FF009C" w:rsidRPr="00FF009C">
        <w:rPr>
          <w:noProof/>
        </w:rPr>
        <w:t> </w:t>
      </w:r>
      <w:r w:rsidRPr="00FF009C">
        <w:rPr>
          <w:noProof/>
        </w:rPr>
        <w:t>5b ust.</w:t>
      </w:r>
      <w:r w:rsidR="00FF009C" w:rsidRPr="00FF009C">
        <w:rPr>
          <w:noProof/>
        </w:rPr>
        <w:t> </w:t>
      </w:r>
      <w:r w:rsidRPr="00FF009C">
        <w:rPr>
          <w:noProof/>
        </w:rPr>
        <w:t>3 rozporządzenia (UE) 2016/794 – składanych przez państwa członkowskie wniosków</w:t>
      </w:r>
      <w:r w:rsidR="00FF009C" w:rsidRPr="00FF009C">
        <w:rPr>
          <w:noProof/>
        </w:rPr>
        <w:t xml:space="preserve"> o</w:t>
      </w:r>
      <w:r w:rsidR="00FF009C">
        <w:rPr>
          <w:noProof/>
        </w:rPr>
        <w:t> </w:t>
      </w:r>
      <w:r w:rsidR="00FF009C" w:rsidRPr="00FF009C">
        <w:rPr>
          <w:noProof/>
        </w:rPr>
        <w:t>roz</w:t>
      </w:r>
      <w:r w:rsidRPr="00FF009C">
        <w:rPr>
          <w:noProof/>
        </w:rPr>
        <w:t>mieszczenie pracowników Europolu</w:t>
      </w:r>
      <w:r w:rsidR="00FF009C" w:rsidRPr="00FF009C">
        <w:rPr>
          <w:noProof/>
        </w:rPr>
        <w:t xml:space="preserve"> w</w:t>
      </w:r>
      <w:r w:rsidR="00FF009C">
        <w:rPr>
          <w:noProof/>
        </w:rPr>
        <w:t> </w:t>
      </w:r>
      <w:r w:rsidR="00FF009C" w:rsidRPr="00FF009C">
        <w:rPr>
          <w:noProof/>
        </w:rPr>
        <w:t>ram</w:t>
      </w:r>
      <w:r w:rsidRPr="00FF009C">
        <w:rPr>
          <w:noProof/>
        </w:rPr>
        <w:t>ach wsparcia operacyjnego</w:t>
      </w:r>
      <w:r w:rsidR="00FF009C" w:rsidRPr="00FF009C">
        <w:rPr>
          <w:noProof/>
        </w:rPr>
        <w:t xml:space="preserve"> w</w:t>
      </w:r>
      <w:r w:rsidR="00FF009C">
        <w:rPr>
          <w:noProof/>
        </w:rPr>
        <w:t> </w:t>
      </w:r>
      <w:r w:rsidR="00FF009C" w:rsidRPr="00FF009C">
        <w:rPr>
          <w:noProof/>
        </w:rPr>
        <w:t>zwi</w:t>
      </w:r>
      <w:r w:rsidRPr="00FF009C">
        <w:rPr>
          <w:noProof/>
        </w:rPr>
        <w:t>ązku</w:t>
      </w:r>
      <w:r w:rsidR="00FF009C" w:rsidRPr="00FF009C">
        <w:rPr>
          <w:noProof/>
        </w:rPr>
        <w:t xml:space="preserve"> z</w:t>
      </w:r>
      <w:r w:rsidR="00FF009C">
        <w:rPr>
          <w:noProof/>
        </w:rPr>
        <w:t> </w:t>
      </w:r>
      <w:r w:rsidR="00FF009C" w:rsidRPr="00FF009C">
        <w:rPr>
          <w:noProof/>
        </w:rPr>
        <w:t>prz</w:t>
      </w:r>
      <w:r w:rsidRPr="00FF009C">
        <w:rPr>
          <w:noProof/>
        </w:rPr>
        <w:t>emytem migrantów</w:t>
      </w:r>
      <w:r w:rsidR="00FF009C" w:rsidRPr="00FF009C">
        <w:rPr>
          <w:noProof/>
        </w:rPr>
        <w:t xml:space="preserve"> i</w:t>
      </w:r>
      <w:r w:rsidR="00FF009C">
        <w:rPr>
          <w:noProof/>
        </w:rPr>
        <w:t> </w:t>
      </w:r>
      <w:r w:rsidR="00FF009C" w:rsidRPr="00FF009C">
        <w:rPr>
          <w:noProof/>
        </w:rPr>
        <w:t>han</w:t>
      </w:r>
      <w:r w:rsidRPr="00FF009C">
        <w:rPr>
          <w:noProof/>
        </w:rPr>
        <w:t>dlem ludźmi,</w:t>
      </w:r>
      <w:r w:rsidR="00FF009C" w:rsidRPr="00FF009C">
        <w:rPr>
          <w:noProof/>
        </w:rPr>
        <w:t xml:space="preserve"> w</w:t>
      </w:r>
      <w:r w:rsidR="00FF009C">
        <w:rPr>
          <w:noProof/>
        </w:rPr>
        <w:t> </w:t>
      </w:r>
      <w:r w:rsidR="00FF009C" w:rsidRPr="00FF009C">
        <w:rPr>
          <w:noProof/>
        </w:rPr>
        <w:t>tym w</w:t>
      </w:r>
      <w:r w:rsidR="00FF009C">
        <w:rPr>
          <w:noProof/>
        </w:rPr>
        <w:t> </w:t>
      </w:r>
      <w:r w:rsidR="00FF009C" w:rsidRPr="00FF009C">
        <w:rPr>
          <w:noProof/>
        </w:rPr>
        <w:t>ust</w:t>
      </w:r>
      <w:r w:rsidRPr="00FF009C">
        <w:rPr>
          <w:noProof/>
        </w:rPr>
        <w:t>alaniu hierarchii takich wniosków na podstawie potrzeb operacyjnych;</w:t>
      </w:r>
    </w:p>
    <w:p w14:paraId="08398690" w14:textId="6DEBA733" w:rsidR="0043039B" w:rsidRPr="00FF009C" w:rsidRDefault="0043039B" w:rsidP="0043039B">
      <w:pPr>
        <w:ind w:left="720" w:hanging="720"/>
        <w:rPr>
          <w:noProof/>
        </w:rPr>
      </w:pPr>
      <w:r w:rsidRPr="00FF009C">
        <w:rPr>
          <w:noProof/>
        </w:rPr>
        <w:t>e)</w:t>
      </w:r>
      <w:r w:rsidRPr="00FF009C">
        <w:rPr>
          <w:noProof/>
        </w:rPr>
        <w:tab/>
        <w:t>identyfikowanie przypadków przemytu migrantów</w:t>
      </w:r>
      <w:r w:rsidR="00FF009C" w:rsidRPr="00FF009C">
        <w:rPr>
          <w:noProof/>
        </w:rPr>
        <w:t xml:space="preserve"> i</w:t>
      </w:r>
      <w:r w:rsidR="00FF009C">
        <w:rPr>
          <w:noProof/>
        </w:rPr>
        <w:t> </w:t>
      </w:r>
      <w:r w:rsidR="00FF009C" w:rsidRPr="00FF009C">
        <w:rPr>
          <w:noProof/>
        </w:rPr>
        <w:t>han</w:t>
      </w:r>
      <w:r w:rsidRPr="00FF009C">
        <w:rPr>
          <w:noProof/>
        </w:rPr>
        <w:t>dlu ludźmi, które mogą wymagać utworzenia operacyjnej grupy zadaniowej zgodnie</w:t>
      </w:r>
      <w:r w:rsidR="00FF009C" w:rsidRPr="00FF009C">
        <w:rPr>
          <w:noProof/>
        </w:rPr>
        <w:t xml:space="preserve"> z</w:t>
      </w:r>
      <w:r w:rsidR="00FF009C">
        <w:rPr>
          <w:noProof/>
        </w:rPr>
        <w:t> </w:t>
      </w:r>
      <w:r w:rsidR="00FF009C" w:rsidRPr="00FF009C">
        <w:rPr>
          <w:noProof/>
        </w:rPr>
        <w:t>art</w:t>
      </w:r>
      <w:r w:rsidRPr="00FF009C">
        <w:rPr>
          <w:noProof/>
        </w:rPr>
        <w:t>.</w:t>
      </w:r>
      <w:r w:rsidR="00FF009C" w:rsidRPr="00FF009C">
        <w:rPr>
          <w:noProof/>
        </w:rPr>
        <w:t> </w:t>
      </w:r>
      <w:r w:rsidRPr="00FF009C">
        <w:rPr>
          <w:noProof/>
        </w:rPr>
        <w:t>5a rozporządzenia (UE) 2016/794, oraz informowanie</w:t>
      </w:r>
      <w:r w:rsidR="00FF009C" w:rsidRPr="00FF009C">
        <w:rPr>
          <w:noProof/>
        </w:rPr>
        <w:t xml:space="preserve"> o</w:t>
      </w:r>
      <w:r w:rsidR="00FF009C">
        <w:rPr>
          <w:noProof/>
        </w:rPr>
        <w:t> </w:t>
      </w:r>
      <w:r w:rsidR="00FF009C" w:rsidRPr="00FF009C">
        <w:rPr>
          <w:noProof/>
        </w:rPr>
        <w:t>tak</w:t>
      </w:r>
      <w:r w:rsidRPr="00FF009C">
        <w:rPr>
          <w:noProof/>
        </w:rPr>
        <w:t>ich przypadkach dyrektora wykonawczego Europolu;</w:t>
      </w:r>
    </w:p>
    <w:p w14:paraId="21EBEFF2" w14:textId="7ED5FA1A" w:rsidR="0043039B" w:rsidRPr="00FF009C" w:rsidRDefault="0043039B" w:rsidP="0043039B">
      <w:pPr>
        <w:ind w:left="720" w:hanging="720"/>
        <w:rPr>
          <w:noProof/>
        </w:rPr>
      </w:pPr>
      <w:r w:rsidRPr="00FF009C">
        <w:rPr>
          <w:noProof/>
        </w:rPr>
        <w:t>f)</w:t>
      </w:r>
      <w:r w:rsidRPr="00FF009C">
        <w:rPr>
          <w:noProof/>
        </w:rPr>
        <w:tab/>
        <w:t>identyfikowanie przypadków przemytu migrantów</w:t>
      </w:r>
      <w:r w:rsidR="00FF009C" w:rsidRPr="00FF009C">
        <w:rPr>
          <w:noProof/>
        </w:rPr>
        <w:t xml:space="preserve"> i</w:t>
      </w:r>
      <w:r w:rsidR="00FF009C">
        <w:rPr>
          <w:noProof/>
        </w:rPr>
        <w:t> </w:t>
      </w:r>
      <w:r w:rsidR="00FF009C" w:rsidRPr="00FF009C">
        <w:rPr>
          <w:noProof/>
        </w:rPr>
        <w:t>han</w:t>
      </w:r>
      <w:r w:rsidRPr="00FF009C">
        <w:rPr>
          <w:noProof/>
        </w:rPr>
        <w:t>dlu ludźmi, które mogą wymagać rozmieszczenia pracowników Europolu</w:t>
      </w:r>
      <w:r w:rsidR="00FF009C" w:rsidRPr="00FF009C">
        <w:rPr>
          <w:noProof/>
        </w:rPr>
        <w:t xml:space="preserve"> w</w:t>
      </w:r>
      <w:r w:rsidR="00FF009C">
        <w:rPr>
          <w:noProof/>
        </w:rPr>
        <w:t> </w:t>
      </w:r>
      <w:r w:rsidR="00FF009C" w:rsidRPr="00FF009C">
        <w:rPr>
          <w:noProof/>
        </w:rPr>
        <w:t>ram</w:t>
      </w:r>
      <w:r w:rsidRPr="00FF009C">
        <w:rPr>
          <w:noProof/>
        </w:rPr>
        <w:t>ach wsparcia operacyjnego zgodnie</w:t>
      </w:r>
      <w:r w:rsidR="00FF009C" w:rsidRPr="00FF009C">
        <w:rPr>
          <w:noProof/>
        </w:rPr>
        <w:t xml:space="preserve"> z</w:t>
      </w:r>
      <w:r w:rsidR="00FF009C">
        <w:rPr>
          <w:noProof/>
        </w:rPr>
        <w:t> </w:t>
      </w:r>
      <w:r w:rsidR="00FF009C" w:rsidRPr="00FF009C">
        <w:rPr>
          <w:noProof/>
        </w:rPr>
        <w:t>art</w:t>
      </w:r>
      <w:r w:rsidRPr="00FF009C">
        <w:rPr>
          <w:noProof/>
        </w:rPr>
        <w:t>.</w:t>
      </w:r>
      <w:r w:rsidR="00FF009C" w:rsidRPr="00FF009C">
        <w:rPr>
          <w:noProof/>
        </w:rPr>
        <w:t> </w:t>
      </w:r>
      <w:r w:rsidRPr="00FF009C">
        <w:rPr>
          <w:noProof/>
        </w:rPr>
        <w:t>5b rozporządzenia (UE) 2016/794, oraz informowanie</w:t>
      </w:r>
      <w:r w:rsidR="00FF009C" w:rsidRPr="00FF009C">
        <w:rPr>
          <w:noProof/>
        </w:rPr>
        <w:t xml:space="preserve"> o</w:t>
      </w:r>
      <w:r w:rsidR="00FF009C">
        <w:rPr>
          <w:noProof/>
        </w:rPr>
        <w:t> </w:t>
      </w:r>
      <w:r w:rsidR="00FF009C" w:rsidRPr="00FF009C">
        <w:rPr>
          <w:noProof/>
        </w:rPr>
        <w:t>tak</w:t>
      </w:r>
      <w:r w:rsidRPr="00FF009C">
        <w:rPr>
          <w:noProof/>
        </w:rPr>
        <w:t>ich przypadkach dyrektora wykonawczego Europolu;</w:t>
      </w:r>
    </w:p>
    <w:p w14:paraId="7360E224" w14:textId="69BE595A" w:rsidR="0043039B" w:rsidRPr="00FF009C" w:rsidRDefault="0043039B" w:rsidP="0043039B">
      <w:pPr>
        <w:ind w:left="720" w:hanging="720"/>
        <w:rPr>
          <w:noProof/>
        </w:rPr>
      </w:pPr>
      <w:r w:rsidRPr="00FF009C">
        <w:rPr>
          <w:noProof/>
        </w:rPr>
        <w:t>g)</w:t>
      </w:r>
      <w:r w:rsidRPr="00FF009C">
        <w:rPr>
          <w:noProof/>
        </w:rPr>
        <w:tab/>
        <w:t>identyfikowanie przypadków przemytu migrantów</w:t>
      </w:r>
      <w:r w:rsidR="00FF009C" w:rsidRPr="00FF009C">
        <w:rPr>
          <w:noProof/>
        </w:rPr>
        <w:t xml:space="preserve"> i</w:t>
      </w:r>
      <w:r w:rsidR="00FF009C">
        <w:rPr>
          <w:noProof/>
        </w:rPr>
        <w:t> </w:t>
      </w:r>
      <w:r w:rsidR="00FF009C" w:rsidRPr="00FF009C">
        <w:rPr>
          <w:noProof/>
        </w:rPr>
        <w:t>han</w:t>
      </w:r>
      <w:r w:rsidRPr="00FF009C">
        <w:rPr>
          <w:noProof/>
        </w:rPr>
        <w:t>dlu ludźmi, które mogą wymagać zastosowania art.</w:t>
      </w:r>
      <w:r w:rsidR="00FF009C" w:rsidRPr="00FF009C">
        <w:rPr>
          <w:noProof/>
        </w:rPr>
        <w:t> </w:t>
      </w:r>
      <w:r w:rsidRPr="00FF009C">
        <w:rPr>
          <w:noProof/>
        </w:rPr>
        <w:t>6 rozporządzenia (UE) 2016/794 dotyczącego wniosków Europolu</w:t>
      </w:r>
      <w:r w:rsidR="00FF009C" w:rsidRPr="00FF009C">
        <w:rPr>
          <w:noProof/>
        </w:rPr>
        <w:t xml:space="preserve"> o</w:t>
      </w:r>
      <w:r w:rsidR="00FF009C">
        <w:rPr>
          <w:noProof/>
        </w:rPr>
        <w:t> </w:t>
      </w:r>
      <w:r w:rsidR="00FF009C" w:rsidRPr="00FF009C">
        <w:rPr>
          <w:noProof/>
        </w:rPr>
        <w:t>wsz</w:t>
      </w:r>
      <w:r w:rsidRPr="00FF009C">
        <w:rPr>
          <w:noProof/>
        </w:rPr>
        <w:t>częcie postępowania przygotowawczego, oraz informowanie</w:t>
      </w:r>
      <w:r w:rsidR="00FF009C" w:rsidRPr="00FF009C">
        <w:rPr>
          <w:noProof/>
        </w:rPr>
        <w:t xml:space="preserve"> o</w:t>
      </w:r>
      <w:r w:rsidR="00FF009C">
        <w:rPr>
          <w:noProof/>
        </w:rPr>
        <w:t> </w:t>
      </w:r>
      <w:r w:rsidR="00FF009C" w:rsidRPr="00FF009C">
        <w:rPr>
          <w:noProof/>
        </w:rPr>
        <w:t>tak</w:t>
      </w:r>
      <w:r w:rsidRPr="00FF009C">
        <w:rPr>
          <w:noProof/>
        </w:rPr>
        <w:t xml:space="preserve">ich przypadkach dyrektora wykonawczego Europolu; </w:t>
      </w:r>
    </w:p>
    <w:p w14:paraId="66D06700" w14:textId="36C4A6B5" w:rsidR="0043039B" w:rsidRPr="00FF009C" w:rsidRDefault="0043039B" w:rsidP="0043039B">
      <w:pPr>
        <w:ind w:left="720" w:hanging="720"/>
        <w:rPr>
          <w:noProof/>
        </w:rPr>
      </w:pPr>
      <w:r w:rsidRPr="00FF009C">
        <w:rPr>
          <w:noProof/>
        </w:rPr>
        <w:t>h)</w:t>
      </w:r>
      <w:r w:rsidRPr="00FF009C">
        <w:rPr>
          <w:noProof/>
        </w:rPr>
        <w:tab/>
        <w:t>identyfikowanie przypadków przemytu migrantów</w:t>
      </w:r>
      <w:r w:rsidR="00FF009C" w:rsidRPr="00FF009C">
        <w:rPr>
          <w:noProof/>
        </w:rPr>
        <w:t xml:space="preserve"> i</w:t>
      </w:r>
      <w:r w:rsidR="00FF009C">
        <w:rPr>
          <w:noProof/>
        </w:rPr>
        <w:t> </w:t>
      </w:r>
      <w:r w:rsidR="00FF009C" w:rsidRPr="00FF009C">
        <w:rPr>
          <w:noProof/>
        </w:rPr>
        <w:t>han</w:t>
      </w:r>
      <w:r w:rsidRPr="00FF009C">
        <w:rPr>
          <w:noProof/>
        </w:rPr>
        <w:t>dlu ludźmi, które mogą wymagać współpracy</w:t>
      </w:r>
      <w:r w:rsidR="00FF009C" w:rsidRPr="00FF009C">
        <w:rPr>
          <w:noProof/>
        </w:rPr>
        <w:t xml:space="preserve"> z</w:t>
      </w:r>
      <w:r w:rsidR="00FF009C">
        <w:rPr>
          <w:noProof/>
        </w:rPr>
        <w:t> </w:t>
      </w:r>
      <w:r w:rsidR="00FF009C" w:rsidRPr="00FF009C">
        <w:rPr>
          <w:noProof/>
        </w:rPr>
        <w:t>pań</w:t>
      </w:r>
      <w:r w:rsidRPr="00FF009C">
        <w:rPr>
          <w:noProof/>
        </w:rPr>
        <w:t>stwami trzecimi,</w:t>
      </w:r>
      <w:r w:rsidR="00FF009C" w:rsidRPr="00FF009C">
        <w:rPr>
          <w:noProof/>
        </w:rPr>
        <w:t xml:space="preserve"> w</w:t>
      </w:r>
      <w:r w:rsidR="00FF009C">
        <w:rPr>
          <w:noProof/>
        </w:rPr>
        <w:t> </w:t>
      </w:r>
      <w:r w:rsidR="00FF009C" w:rsidRPr="00FF009C">
        <w:rPr>
          <w:noProof/>
        </w:rPr>
        <w:t>tym</w:t>
      </w:r>
      <w:r w:rsidRPr="00FF009C">
        <w:rPr>
          <w:noProof/>
        </w:rPr>
        <w:t xml:space="preserve"> polegającej na wymianie danych osobowych. </w:t>
      </w:r>
    </w:p>
    <w:p w14:paraId="640C68CD" w14:textId="77777777" w:rsidR="0043039B" w:rsidRPr="00FF009C" w:rsidRDefault="0043039B" w:rsidP="0043039B">
      <w:pPr>
        <w:pStyle w:val="ChapterTitle"/>
        <w:spacing w:before="360"/>
        <w:rPr>
          <w:noProof/>
          <w:sz w:val="24"/>
        </w:rPr>
      </w:pPr>
      <w:r w:rsidRPr="00FF009C">
        <w:rPr>
          <w:noProof/>
          <w:sz w:val="24"/>
        </w:rPr>
        <w:t>Rozdział III</w:t>
      </w:r>
    </w:p>
    <w:p w14:paraId="4B1D7FB3" w14:textId="77777777" w:rsidR="0043039B" w:rsidRPr="00FF009C" w:rsidRDefault="0043039B" w:rsidP="0043039B">
      <w:pPr>
        <w:pStyle w:val="ChapterTitle"/>
        <w:spacing w:before="360"/>
        <w:rPr>
          <w:noProof/>
          <w:sz w:val="24"/>
          <w:szCs w:val="24"/>
        </w:rPr>
      </w:pPr>
      <w:r w:rsidRPr="00FF009C">
        <w:rPr>
          <w:noProof/>
          <w:sz w:val="24"/>
        </w:rPr>
        <w:t>WSPÓŁPRACA MIĘDZY PAŃSTWAMI CZŁONKOWSKIMI A EUROPOLEM W ZAKRESIE ZAPOBIEGANIA PRZEMYTOWI MIGRANTÓW I HANDLOWI LUDŹMI ORAZ ZWALCZANIA TYCH PRZESTĘPSTW</w:t>
      </w:r>
    </w:p>
    <w:p w14:paraId="45B8E033" w14:textId="77777777" w:rsidR="0043039B" w:rsidRPr="00FF009C" w:rsidRDefault="0043039B" w:rsidP="0043039B">
      <w:pPr>
        <w:pStyle w:val="Titrearticle"/>
        <w:rPr>
          <w:noProof/>
        </w:rPr>
      </w:pPr>
      <w:r w:rsidRPr="00FF009C">
        <w:rPr>
          <w:noProof/>
        </w:rPr>
        <w:t>Artykuł 7</w:t>
      </w:r>
    </w:p>
    <w:p w14:paraId="607DED20" w14:textId="3665A23B" w:rsidR="0043039B" w:rsidRPr="00FF009C" w:rsidRDefault="0043039B" w:rsidP="0043039B">
      <w:pPr>
        <w:spacing w:before="0"/>
        <w:jc w:val="center"/>
        <w:rPr>
          <w:b/>
          <w:bCs/>
          <w:noProof/>
        </w:rPr>
      </w:pPr>
      <w:r w:rsidRPr="00FF009C">
        <w:rPr>
          <w:b/>
          <w:noProof/>
        </w:rPr>
        <w:t>Krajowe służby wyspecjalizowane</w:t>
      </w:r>
      <w:r w:rsidR="00FF009C" w:rsidRPr="00FF009C">
        <w:rPr>
          <w:b/>
          <w:noProof/>
        </w:rPr>
        <w:t xml:space="preserve"> w</w:t>
      </w:r>
      <w:r w:rsidR="00FF009C">
        <w:rPr>
          <w:b/>
          <w:noProof/>
        </w:rPr>
        <w:t> </w:t>
      </w:r>
      <w:r w:rsidR="00FF009C" w:rsidRPr="00FF009C">
        <w:rPr>
          <w:b/>
          <w:noProof/>
        </w:rPr>
        <w:t>zap</w:t>
      </w:r>
      <w:r w:rsidRPr="00FF009C">
        <w:rPr>
          <w:b/>
          <w:noProof/>
        </w:rPr>
        <w:t>obieganiu przemytowi migrantów</w:t>
      </w:r>
      <w:r w:rsidR="00FF009C" w:rsidRPr="00FF009C">
        <w:rPr>
          <w:b/>
          <w:noProof/>
        </w:rPr>
        <w:t xml:space="preserve"> i</w:t>
      </w:r>
      <w:r w:rsidR="00FF009C">
        <w:rPr>
          <w:b/>
          <w:noProof/>
        </w:rPr>
        <w:t> </w:t>
      </w:r>
      <w:r w:rsidR="00FF009C" w:rsidRPr="00FF009C">
        <w:rPr>
          <w:b/>
          <w:noProof/>
        </w:rPr>
        <w:t>han</w:t>
      </w:r>
      <w:r w:rsidRPr="00FF009C">
        <w:rPr>
          <w:b/>
          <w:noProof/>
        </w:rPr>
        <w:t>dlowi ludźmi oraz zwalczaniu tych przestępstw</w:t>
      </w:r>
    </w:p>
    <w:p w14:paraId="59FED458" w14:textId="685C6648" w:rsidR="0043039B" w:rsidRPr="00FF009C" w:rsidRDefault="0043039B" w:rsidP="0043039B">
      <w:pPr>
        <w:ind w:left="720" w:hanging="720"/>
        <w:rPr>
          <w:noProof/>
        </w:rPr>
      </w:pPr>
      <w:r w:rsidRPr="00FF009C">
        <w:rPr>
          <w:noProof/>
        </w:rPr>
        <w:t>1.</w:t>
      </w:r>
      <w:r w:rsidRPr="00FF009C">
        <w:rPr>
          <w:noProof/>
        </w:rPr>
        <w:tab/>
      </w:r>
      <w:bookmarkStart w:id="4" w:name="_Hlk151049871"/>
      <w:r w:rsidRPr="00FF009C">
        <w:rPr>
          <w:noProof/>
        </w:rPr>
        <w:t>Najpóźniej rok po wejściu</w:t>
      </w:r>
      <w:r w:rsidR="00FF009C" w:rsidRPr="00FF009C">
        <w:rPr>
          <w:noProof/>
        </w:rPr>
        <w:t xml:space="preserve"> w</w:t>
      </w:r>
      <w:r w:rsidR="00FF009C">
        <w:rPr>
          <w:noProof/>
        </w:rPr>
        <w:t> </w:t>
      </w:r>
      <w:r w:rsidR="00FF009C" w:rsidRPr="00FF009C">
        <w:rPr>
          <w:noProof/>
        </w:rPr>
        <w:t>życ</w:t>
      </w:r>
      <w:r w:rsidRPr="00FF009C">
        <w:rPr>
          <w:noProof/>
        </w:rPr>
        <w:t>ie niniejszego rozporządzenia</w:t>
      </w:r>
      <w:bookmarkEnd w:id="4"/>
      <w:r w:rsidRPr="00FF009C">
        <w:rPr>
          <w:noProof/>
        </w:rPr>
        <w:t xml:space="preserve"> każde państwo członkowskie wyznacza co najmniej jedną wyspecjalizowaną służbę</w:t>
      </w:r>
      <w:r w:rsidR="00FF009C" w:rsidRPr="00FF009C">
        <w:rPr>
          <w:noProof/>
        </w:rPr>
        <w:t xml:space="preserve"> w</w:t>
      </w:r>
      <w:r w:rsidR="00FF009C">
        <w:rPr>
          <w:noProof/>
        </w:rPr>
        <w:t> </w:t>
      </w:r>
      <w:r w:rsidR="00FF009C" w:rsidRPr="00FF009C">
        <w:rPr>
          <w:noProof/>
        </w:rPr>
        <w:t>ram</w:t>
      </w:r>
      <w:r w:rsidRPr="00FF009C">
        <w:rPr>
          <w:noProof/>
        </w:rPr>
        <w:t>ach swoich właściwych organów, zgodnie</w:t>
      </w:r>
      <w:r w:rsidR="00FF009C" w:rsidRPr="00FF009C">
        <w:rPr>
          <w:noProof/>
        </w:rPr>
        <w:t xml:space="preserve"> z</w:t>
      </w:r>
      <w:r w:rsidR="00FF009C">
        <w:rPr>
          <w:noProof/>
        </w:rPr>
        <w:t> </w:t>
      </w:r>
      <w:r w:rsidR="00FF009C" w:rsidRPr="00FF009C">
        <w:rPr>
          <w:noProof/>
        </w:rPr>
        <w:t>pra</w:t>
      </w:r>
      <w:r w:rsidRPr="00FF009C">
        <w:rPr>
          <w:noProof/>
        </w:rPr>
        <w:t>wem krajowym,</w:t>
      </w:r>
      <w:r w:rsidR="00FF009C" w:rsidRPr="00FF009C">
        <w:rPr>
          <w:noProof/>
        </w:rPr>
        <w:t xml:space="preserve"> w</w:t>
      </w:r>
      <w:r w:rsidR="00FF009C">
        <w:rPr>
          <w:noProof/>
        </w:rPr>
        <w:t> </w:t>
      </w:r>
      <w:r w:rsidR="00FF009C" w:rsidRPr="00FF009C">
        <w:rPr>
          <w:noProof/>
        </w:rPr>
        <w:t>cel</w:t>
      </w:r>
      <w:r w:rsidRPr="00FF009C">
        <w:rPr>
          <w:noProof/>
        </w:rPr>
        <w:t>u zapobiegania przemytowi migrantów</w:t>
      </w:r>
      <w:r w:rsidR="00FF009C" w:rsidRPr="00FF009C">
        <w:rPr>
          <w:noProof/>
        </w:rPr>
        <w:t xml:space="preserve"> i</w:t>
      </w:r>
      <w:r w:rsidR="00FF009C">
        <w:rPr>
          <w:noProof/>
        </w:rPr>
        <w:t> </w:t>
      </w:r>
      <w:r w:rsidR="00FF009C" w:rsidRPr="00FF009C">
        <w:rPr>
          <w:noProof/>
        </w:rPr>
        <w:t>han</w:t>
      </w:r>
      <w:r w:rsidRPr="00FF009C">
        <w:rPr>
          <w:noProof/>
        </w:rPr>
        <w:t>dlowi ludźmi oraz zwalczania tych przestępstw,</w:t>
      </w:r>
      <w:r w:rsidR="00FF009C" w:rsidRPr="00FF009C">
        <w:rPr>
          <w:noProof/>
        </w:rPr>
        <w:t xml:space="preserve"> w</w:t>
      </w:r>
      <w:r w:rsidR="00FF009C">
        <w:rPr>
          <w:noProof/>
        </w:rPr>
        <w:t> </w:t>
      </w:r>
      <w:r w:rsidR="00FF009C" w:rsidRPr="00FF009C">
        <w:rPr>
          <w:noProof/>
        </w:rPr>
        <w:t>tym w</w:t>
      </w:r>
      <w:r w:rsidR="00FF009C">
        <w:rPr>
          <w:noProof/>
        </w:rPr>
        <w:t> </w:t>
      </w:r>
      <w:r w:rsidR="00FF009C" w:rsidRPr="00FF009C">
        <w:rPr>
          <w:noProof/>
        </w:rPr>
        <w:t>dro</w:t>
      </w:r>
      <w:r w:rsidRPr="00FF009C">
        <w:rPr>
          <w:noProof/>
        </w:rPr>
        <w:t>dze postępowań przygotowawczych. Każde państwo członkowskie niezwłocznie informuje Komisję</w:t>
      </w:r>
      <w:r w:rsidR="00FF009C" w:rsidRPr="00FF009C">
        <w:rPr>
          <w:noProof/>
        </w:rPr>
        <w:t xml:space="preserve"> o</w:t>
      </w:r>
      <w:r w:rsidR="00FF009C">
        <w:rPr>
          <w:noProof/>
        </w:rPr>
        <w:t> </w:t>
      </w:r>
      <w:r w:rsidR="00FF009C" w:rsidRPr="00FF009C">
        <w:rPr>
          <w:noProof/>
        </w:rPr>
        <w:t>wyz</w:t>
      </w:r>
      <w:r w:rsidRPr="00FF009C">
        <w:rPr>
          <w:noProof/>
        </w:rPr>
        <w:t>naczeniu takiej służby.</w:t>
      </w:r>
    </w:p>
    <w:p w14:paraId="20250724" w14:textId="34094C3A" w:rsidR="0043039B" w:rsidRPr="00FF009C" w:rsidRDefault="0043039B" w:rsidP="0043039B">
      <w:pPr>
        <w:ind w:left="720" w:hanging="720"/>
        <w:rPr>
          <w:noProof/>
        </w:rPr>
      </w:pPr>
      <w:r w:rsidRPr="00FF009C">
        <w:rPr>
          <w:noProof/>
        </w:rPr>
        <w:t>2.</w:t>
      </w:r>
      <w:r w:rsidRPr="00FF009C">
        <w:rPr>
          <w:noProof/>
        </w:rPr>
        <w:tab/>
        <w:t>Każde państwo członkowskie zapewnia, aby jego wyspecjalizowane służby wyznaczone zgodnie</w:t>
      </w:r>
      <w:r w:rsidR="00FF009C" w:rsidRPr="00FF009C">
        <w:rPr>
          <w:noProof/>
        </w:rPr>
        <w:t xml:space="preserve"> z</w:t>
      </w:r>
      <w:r w:rsidR="00FF009C">
        <w:rPr>
          <w:noProof/>
        </w:rPr>
        <w:t> </w:t>
      </w:r>
      <w:r w:rsidR="00FF009C" w:rsidRPr="00FF009C">
        <w:rPr>
          <w:noProof/>
        </w:rPr>
        <w:t>ust</w:t>
      </w:r>
      <w:r w:rsidRPr="00FF009C">
        <w:rPr>
          <w:noProof/>
        </w:rPr>
        <w:t>.</w:t>
      </w:r>
      <w:r w:rsidR="00FF009C" w:rsidRPr="00FF009C">
        <w:rPr>
          <w:noProof/>
        </w:rPr>
        <w:t> </w:t>
      </w:r>
      <w:r w:rsidRPr="00FF009C">
        <w:rPr>
          <w:noProof/>
        </w:rPr>
        <w:t>1 niniejszego artykułu gromadziły wszystkie istotne informacje dotyczące postępowań przygotowawczych</w:t>
      </w:r>
      <w:r w:rsidR="00FF009C" w:rsidRPr="00FF009C">
        <w:rPr>
          <w:noProof/>
        </w:rPr>
        <w:t xml:space="preserve"> w</w:t>
      </w:r>
      <w:r w:rsidR="00FF009C">
        <w:rPr>
          <w:noProof/>
        </w:rPr>
        <w:t> </w:t>
      </w:r>
      <w:r w:rsidR="00FF009C" w:rsidRPr="00FF009C">
        <w:rPr>
          <w:noProof/>
        </w:rPr>
        <w:t>spr</w:t>
      </w:r>
      <w:r w:rsidRPr="00FF009C">
        <w:rPr>
          <w:noProof/>
        </w:rPr>
        <w:t>awie przemytu migrantów</w:t>
      </w:r>
      <w:r w:rsidR="00FF009C" w:rsidRPr="00FF009C">
        <w:rPr>
          <w:noProof/>
        </w:rPr>
        <w:t xml:space="preserve"> i</w:t>
      </w:r>
      <w:r w:rsidR="00FF009C">
        <w:rPr>
          <w:noProof/>
        </w:rPr>
        <w:t> </w:t>
      </w:r>
      <w:r w:rsidR="00FF009C" w:rsidRPr="00FF009C">
        <w:rPr>
          <w:noProof/>
        </w:rPr>
        <w:t>han</w:t>
      </w:r>
      <w:r w:rsidRPr="00FF009C">
        <w:rPr>
          <w:noProof/>
        </w:rPr>
        <w:t>dlu ludźmi</w:t>
      </w:r>
      <w:r w:rsidR="00FF009C" w:rsidRPr="00FF009C">
        <w:rPr>
          <w:noProof/>
        </w:rPr>
        <w:t xml:space="preserve"> i</w:t>
      </w:r>
      <w:r w:rsidR="00FF009C">
        <w:rPr>
          <w:noProof/>
        </w:rPr>
        <w:t> </w:t>
      </w:r>
      <w:r w:rsidR="00FF009C" w:rsidRPr="00FF009C">
        <w:rPr>
          <w:noProof/>
        </w:rPr>
        <w:t>wyn</w:t>
      </w:r>
      <w:r w:rsidRPr="00FF009C">
        <w:rPr>
          <w:noProof/>
        </w:rPr>
        <w:t>ikające</w:t>
      </w:r>
      <w:r w:rsidR="00FF009C" w:rsidRPr="00FF009C">
        <w:rPr>
          <w:noProof/>
        </w:rPr>
        <w:t xml:space="preserve"> z</w:t>
      </w:r>
      <w:r w:rsidR="00FF009C">
        <w:rPr>
          <w:noProof/>
        </w:rPr>
        <w:t> </w:t>
      </w:r>
      <w:r w:rsidR="00FF009C" w:rsidRPr="00FF009C">
        <w:rPr>
          <w:noProof/>
        </w:rPr>
        <w:t>tak</w:t>
      </w:r>
      <w:r w:rsidRPr="00FF009C">
        <w:rPr>
          <w:noProof/>
        </w:rPr>
        <w:t>ich postępowań oraz aby jak najszybciej przekazywały te informacje Europolowi</w:t>
      </w:r>
      <w:r w:rsidR="00FF009C" w:rsidRPr="00FF009C">
        <w:rPr>
          <w:noProof/>
        </w:rPr>
        <w:t xml:space="preserve"> i</w:t>
      </w:r>
      <w:r w:rsidR="00FF009C">
        <w:rPr>
          <w:noProof/>
        </w:rPr>
        <w:t> </w:t>
      </w:r>
      <w:r w:rsidR="00FF009C" w:rsidRPr="00FF009C">
        <w:rPr>
          <w:noProof/>
        </w:rPr>
        <w:t>inn</w:t>
      </w:r>
      <w:r w:rsidRPr="00FF009C">
        <w:rPr>
          <w:noProof/>
        </w:rPr>
        <w:t>ym państwom członkowskim zgodnie</w:t>
      </w:r>
      <w:r w:rsidR="00FF009C" w:rsidRPr="00FF009C">
        <w:rPr>
          <w:noProof/>
        </w:rPr>
        <w:t xml:space="preserve"> z</w:t>
      </w:r>
      <w:r w:rsidR="00FF009C">
        <w:rPr>
          <w:noProof/>
        </w:rPr>
        <w:t> </w:t>
      </w:r>
      <w:r w:rsidR="00FF009C" w:rsidRPr="00FF009C">
        <w:rPr>
          <w:noProof/>
        </w:rPr>
        <w:t>art</w:t>
      </w:r>
      <w:r w:rsidRPr="00FF009C">
        <w:rPr>
          <w:noProof/>
        </w:rPr>
        <w:t>.</w:t>
      </w:r>
      <w:r w:rsidR="00FF009C" w:rsidRPr="00FF009C">
        <w:rPr>
          <w:noProof/>
        </w:rPr>
        <w:t> </w:t>
      </w:r>
      <w:r w:rsidRPr="00FF009C">
        <w:rPr>
          <w:noProof/>
        </w:rPr>
        <w:t>8.</w:t>
      </w:r>
    </w:p>
    <w:p w14:paraId="478FBB62" w14:textId="5CA5AE73" w:rsidR="0043039B" w:rsidRPr="00FF009C" w:rsidRDefault="0043039B" w:rsidP="0043039B">
      <w:pPr>
        <w:ind w:left="720" w:hanging="720"/>
        <w:rPr>
          <w:noProof/>
        </w:rPr>
      </w:pPr>
      <w:r w:rsidRPr="00FF009C">
        <w:rPr>
          <w:noProof/>
        </w:rPr>
        <w:t>3.</w:t>
      </w:r>
      <w:r w:rsidRPr="00FF009C">
        <w:rPr>
          <w:noProof/>
        </w:rPr>
        <w:tab/>
        <w:t>Najpóźniej rok po wejściu</w:t>
      </w:r>
      <w:r w:rsidR="00FF009C" w:rsidRPr="00FF009C">
        <w:rPr>
          <w:noProof/>
        </w:rPr>
        <w:t xml:space="preserve"> w</w:t>
      </w:r>
      <w:r w:rsidR="00FF009C">
        <w:rPr>
          <w:noProof/>
        </w:rPr>
        <w:t> </w:t>
      </w:r>
      <w:r w:rsidR="00FF009C" w:rsidRPr="00FF009C">
        <w:rPr>
          <w:noProof/>
        </w:rPr>
        <w:t>życ</w:t>
      </w:r>
      <w:r w:rsidRPr="00FF009C">
        <w:rPr>
          <w:noProof/>
        </w:rPr>
        <w:t>ie niniejszego rozporządzenia każde państwo członkowskie połączy swoje wyspecjalizowane służby wyznaczone zgodnie</w:t>
      </w:r>
      <w:r w:rsidR="00FF009C" w:rsidRPr="00FF009C">
        <w:rPr>
          <w:noProof/>
        </w:rPr>
        <w:t xml:space="preserve"> z</w:t>
      </w:r>
      <w:r w:rsidR="00FF009C">
        <w:rPr>
          <w:noProof/>
        </w:rPr>
        <w:t> </w:t>
      </w:r>
      <w:r w:rsidR="00FF009C" w:rsidRPr="00FF009C">
        <w:rPr>
          <w:noProof/>
        </w:rPr>
        <w:t>ust</w:t>
      </w:r>
      <w:r w:rsidRPr="00FF009C">
        <w:rPr>
          <w:noProof/>
        </w:rPr>
        <w:t>.</w:t>
      </w:r>
      <w:r w:rsidR="00FF009C" w:rsidRPr="00FF009C">
        <w:rPr>
          <w:noProof/>
        </w:rPr>
        <w:t> </w:t>
      </w:r>
      <w:r w:rsidRPr="00FF009C">
        <w:rPr>
          <w:noProof/>
        </w:rPr>
        <w:t>1 niniejszego artykułu bezpośrednio</w:t>
      </w:r>
      <w:r w:rsidR="00FF009C" w:rsidRPr="00FF009C">
        <w:rPr>
          <w:noProof/>
        </w:rPr>
        <w:t xml:space="preserve"> z</w:t>
      </w:r>
      <w:r w:rsidR="00FF009C">
        <w:rPr>
          <w:noProof/>
        </w:rPr>
        <w:t> </w:t>
      </w:r>
      <w:r w:rsidR="00FF009C" w:rsidRPr="00FF009C">
        <w:rPr>
          <w:noProof/>
        </w:rPr>
        <w:t>apl</w:t>
      </w:r>
      <w:r w:rsidRPr="00FF009C">
        <w:rPr>
          <w:noProof/>
        </w:rPr>
        <w:t>ikacją sieci bezpiecznej wymiany informacji (SIENA) Europolu,</w:t>
      </w:r>
      <w:r w:rsidR="00FF009C" w:rsidRPr="00FF009C">
        <w:rPr>
          <w:noProof/>
        </w:rPr>
        <w:t xml:space="preserve"> o</w:t>
      </w:r>
      <w:r w:rsidR="00FF009C">
        <w:rPr>
          <w:noProof/>
        </w:rPr>
        <w:t> </w:t>
      </w:r>
      <w:r w:rsidR="00FF009C" w:rsidRPr="00FF009C">
        <w:rPr>
          <w:noProof/>
        </w:rPr>
        <w:t>któ</w:t>
      </w:r>
      <w:r w:rsidRPr="00FF009C">
        <w:rPr>
          <w:noProof/>
        </w:rPr>
        <w:t>rej mowa</w:t>
      </w:r>
      <w:r w:rsidR="00FF009C" w:rsidRPr="00FF009C">
        <w:rPr>
          <w:noProof/>
        </w:rPr>
        <w:t xml:space="preserve"> w</w:t>
      </w:r>
      <w:r w:rsidR="00FF009C">
        <w:rPr>
          <w:noProof/>
        </w:rPr>
        <w:t> </w:t>
      </w:r>
      <w:r w:rsidR="00FF009C" w:rsidRPr="00FF009C">
        <w:rPr>
          <w:noProof/>
        </w:rPr>
        <w:t>art</w:t>
      </w:r>
      <w:r w:rsidRPr="00FF009C">
        <w:rPr>
          <w:noProof/>
        </w:rPr>
        <w:t>.</w:t>
      </w:r>
      <w:r w:rsidR="00FF009C" w:rsidRPr="00FF009C">
        <w:rPr>
          <w:noProof/>
        </w:rPr>
        <w:t> </w:t>
      </w:r>
      <w:r w:rsidRPr="00FF009C">
        <w:rPr>
          <w:noProof/>
        </w:rPr>
        <w:t>2 lit.</w:t>
      </w:r>
      <w:r w:rsidR="00FF009C" w:rsidRPr="00FF009C">
        <w:rPr>
          <w:noProof/>
        </w:rPr>
        <w:t> </w:t>
      </w:r>
      <w:r w:rsidRPr="00FF009C">
        <w:rPr>
          <w:noProof/>
        </w:rPr>
        <w:t>w) rozporządzenia (UE) 2016/794. Każde państwo członkowskie niezwłocznie informuje Komisję</w:t>
      </w:r>
      <w:r w:rsidR="00FF009C" w:rsidRPr="00FF009C">
        <w:rPr>
          <w:noProof/>
        </w:rPr>
        <w:t xml:space="preserve"> o</w:t>
      </w:r>
      <w:r w:rsidR="00FF009C">
        <w:rPr>
          <w:noProof/>
        </w:rPr>
        <w:t> </w:t>
      </w:r>
      <w:r w:rsidR="00FF009C" w:rsidRPr="00FF009C">
        <w:rPr>
          <w:noProof/>
        </w:rPr>
        <w:t>tak</w:t>
      </w:r>
      <w:r w:rsidRPr="00FF009C">
        <w:rPr>
          <w:noProof/>
        </w:rPr>
        <w:t>im połączeniu.</w:t>
      </w:r>
    </w:p>
    <w:p w14:paraId="70146721" w14:textId="4523851C" w:rsidR="0043039B" w:rsidRPr="00FF009C" w:rsidRDefault="0043039B" w:rsidP="0043039B">
      <w:pPr>
        <w:ind w:left="720" w:hanging="720"/>
        <w:rPr>
          <w:noProof/>
        </w:rPr>
      </w:pPr>
      <w:r w:rsidRPr="00FF009C">
        <w:rPr>
          <w:noProof/>
        </w:rPr>
        <w:t>4.</w:t>
      </w:r>
      <w:r w:rsidRPr="00FF009C">
        <w:rPr>
          <w:noProof/>
        </w:rPr>
        <w:tab/>
        <w:t>Każde państwo członkowskie zapewnia swoim wyspecjalizowanym służbom wyznaczonym zgodnie</w:t>
      </w:r>
      <w:r w:rsidR="00FF009C" w:rsidRPr="00FF009C">
        <w:rPr>
          <w:noProof/>
        </w:rPr>
        <w:t xml:space="preserve"> z</w:t>
      </w:r>
      <w:r w:rsidR="00FF009C">
        <w:rPr>
          <w:noProof/>
        </w:rPr>
        <w:t> </w:t>
      </w:r>
      <w:r w:rsidR="00FF009C" w:rsidRPr="00FF009C">
        <w:rPr>
          <w:noProof/>
        </w:rPr>
        <w:t>ust</w:t>
      </w:r>
      <w:r w:rsidRPr="00FF009C">
        <w:rPr>
          <w:noProof/>
        </w:rPr>
        <w:t>.</w:t>
      </w:r>
      <w:r w:rsidR="00FF009C" w:rsidRPr="00FF009C">
        <w:rPr>
          <w:noProof/>
        </w:rPr>
        <w:t> </w:t>
      </w:r>
      <w:r w:rsidRPr="00FF009C">
        <w:rPr>
          <w:noProof/>
        </w:rPr>
        <w:t>1 odpowiednie zasoby</w:t>
      </w:r>
      <w:r w:rsidR="00FF009C" w:rsidRPr="00FF009C">
        <w:rPr>
          <w:noProof/>
        </w:rPr>
        <w:t xml:space="preserve"> w</w:t>
      </w:r>
      <w:r w:rsidR="00FF009C">
        <w:rPr>
          <w:noProof/>
        </w:rPr>
        <w:t> </w:t>
      </w:r>
      <w:r w:rsidR="00FF009C" w:rsidRPr="00FF009C">
        <w:rPr>
          <w:noProof/>
        </w:rPr>
        <w:t>cel</w:t>
      </w:r>
      <w:r w:rsidRPr="00FF009C">
        <w:rPr>
          <w:noProof/>
        </w:rPr>
        <w:t>u zapewnienia, aby te wyspecjalizowane służby były przygotowane do skutecznego zapobiegania przemytowi migrantów</w:t>
      </w:r>
      <w:r w:rsidR="00FF009C" w:rsidRPr="00FF009C">
        <w:rPr>
          <w:noProof/>
        </w:rPr>
        <w:t xml:space="preserve"> i</w:t>
      </w:r>
      <w:r w:rsidR="00FF009C">
        <w:rPr>
          <w:noProof/>
        </w:rPr>
        <w:t> </w:t>
      </w:r>
      <w:r w:rsidR="00FF009C" w:rsidRPr="00FF009C">
        <w:rPr>
          <w:noProof/>
        </w:rPr>
        <w:t>han</w:t>
      </w:r>
      <w:r w:rsidRPr="00FF009C">
        <w:rPr>
          <w:noProof/>
        </w:rPr>
        <w:t>dlowi ludźmi oraz do skutecznego zwalczania tych przestępstw,</w:t>
      </w:r>
      <w:r w:rsidR="00FF009C" w:rsidRPr="00FF009C">
        <w:rPr>
          <w:noProof/>
        </w:rPr>
        <w:t xml:space="preserve"> a</w:t>
      </w:r>
      <w:r w:rsidR="00FF009C">
        <w:rPr>
          <w:noProof/>
        </w:rPr>
        <w:t> </w:t>
      </w:r>
      <w:r w:rsidR="00FF009C" w:rsidRPr="00FF009C">
        <w:rPr>
          <w:noProof/>
        </w:rPr>
        <w:t>tak</w:t>
      </w:r>
      <w:r w:rsidRPr="00FF009C">
        <w:rPr>
          <w:noProof/>
        </w:rPr>
        <w:t>że do gromadzenia</w:t>
      </w:r>
      <w:r w:rsidR="00FF009C" w:rsidRPr="00FF009C">
        <w:rPr>
          <w:noProof/>
        </w:rPr>
        <w:t xml:space="preserve"> i</w:t>
      </w:r>
      <w:r w:rsidR="00FF009C">
        <w:rPr>
          <w:noProof/>
        </w:rPr>
        <w:t> </w:t>
      </w:r>
      <w:r w:rsidR="00FF009C" w:rsidRPr="00FF009C">
        <w:rPr>
          <w:noProof/>
        </w:rPr>
        <w:t>wym</w:t>
      </w:r>
      <w:r w:rsidRPr="00FF009C">
        <w:rPr>
          <w:noProof/>
        </w:rPr>
        <w:t>iany informacji zgodnie</w:t>
      </w:r>
      <w:r w:rsidR="00FF009C" w:rsidRPr="00FF009C">
        <w:rPr>
          <w:noProof/>
        </w:rPr>
        <w:t xml:space="preserve"> z</w:t>
      </w:r>
      <w:r w:rsidR="00FF009C">
        <w:rPr>
          <w:noProof/>
        </w:rPr>
        <w:t> </w:t>
      </w:r>
      <w:r w:rsidR="00FF009C" w:rsidRPr="00FF009C">
        <w:rPr>
          <w:noProof/>
        </w:rPr>
        <w:t>ust</w:t>
      </w:r>
      <w:r w:rsidRPr="00FF009C">
        <w:rPr>
          <w:noProof/>
        </w:rPr>
        <w:t>.</w:t>
      </w:r>
      <w:r w:rsidR="00FF009C" w:rsidRPr="00FF009C">
        <w:rPr>
          <w:noProof/>
        </w:rPr>
        <w:t> </w:t>
      </w:r>
      <w:r w:rsidRPr="00FF009C">
        <w:rPr>
          <w:noProof/>
        </w:rPr>
        <w:t>2</w:t>
      </w:r>
      <w:r w:rsidR="00FF009C" w:rsidRPr="00FF009C">
        <w:rPr>
          <w:noProof/>
        </w:rPr>
        <w:t xml:space="preserve"> w</w:t>
      </w:r>
      <w:r w:rsidR="00FF009C">
        <w:rPr>
          <w:noProof/>
        </w:rPr>
        <w:t> </w:t>
      </w:r>
      <w:r w:rsidR="00FF009C" w:rsidRPr="00FF009C">
        <w:rPr>
          <w:noProof/>
        </w:rPr>
        <w:t>spo</w:t>
      </w:r>
      <w:r w:rsidRPr="00FF009C">
        <w:rPr>
          <w:noProof/>
        </w:rPr>
        <w:t>sób skuteczny</w:t>
      </w:r>
      <w:r w:rsidR="00FF009C" w:rsidRPr="00FF009C">
        <w:rPr>
          <w:noProof/>
        </w:rPr>
        <w:t xml:space="preserve"> i</w:t>
      </w:r>
      <w:r w:rsidR="00FF009C">
        <w:rPr>
          <w:noProof/>
        </w:rPr>
        <w:t> </w:t>
      </w:r>
      <w:r w:rsidR="00FF009C" w:rsidRPr="00FF009C">
        <w:rPr>
          <w:noProof/>
        </w:rPr>
        <w:t>wyd</w:t>
      </w:r>
      <w:r w:rsidRPr="00FF009C">
        <w:rPr>
          <w:noProof/>
        </w:rPr>
        <w:t>ajny.</w:t>
      </w:r>
    </w:p>
    <w:p w14:paraId="59C55698" w14:textId="5478BBC5" w:rsidR="0043039B" w:rsidRPr="00FF009C" w:rsidRDefault="0043039B" w:rsidP="0043039B">
      <w:pPr>
        <w:ind w:left="720" w:hanging="720"/>
        <w:rPr>
          <w:noProof/>
        </w:rPr>
      </w:pPr>
      <w:r w:rsidRPr="00FF009C">
        <w:rPr>
          <w:noProof/>
        </w:rPr>
        <w:t>5.</w:t>
      </w:r>
      <w:r w:rsidRPr="00FF009C">
        <w:rPr>
          <w:noProof/>
        </w:rPr>
        <w:tab/>
        <w:t>Każde państwo członkowskie udostępnia odpowiednią liczbę pracowników wyspecjalizowanych służb wyznaczonych zgodnie</w:t>
      </w:r>
      <w:r w:rsidR="00FF009C" w:rsidRPr="00FF009C">
        <w:rPr>
          <w:noProof/>
        </w:rPr>
        <w:t xml:space="preserve"> z</w:t>
      </w:r>
      <w:r w:rsidR="00FF009C">
        <w:rPr>
          <w:noProof/>
        </w:rPr>
        <w:t> </w:t>
      </w:r>
      <w:r w:rsidR="00FF009C" w:rsidRPr="00FF009C">
        <w:rPr>
          <w:noProof/>
        </w:rPr>
        <w:t>ust</w:t>
      </w:r>
      <w:r w:rsidRPr="00FF009C">
        <w:rPr>
          <w:noProof/>
        </w:rPr>
        <w:t>.</w:t>
      </w:r>
      <w:r w:rsidR="00FF009C" w:rsidRPr="00FF009C">
        <w:rPr>
          <w:noProof/>
        </w:rPr>
        <w:t> </w:t>
      </w:r>
      <w:r w:rsidRPr="00FF009C">
        <w:rPr>
          <w:noProof/>
        </w:rPr>
        <w:t>1 niniejszego artykułu do rezerwy,</w:t>
      </w:r>
      <w:r w:rsidR="00FF009C" w:rsidRPr="00FF009C">
        <w:rPr>
          <w:noProof/>
        </w:rPr>
        <w:t xml:space="preserve"> o</w:t>
      </w:r>
      <w:r w:rsidR="00FF009C">
        <w:rPr>
          <w:noProof/>
        </w:rPr>
        <w:t> </w:t>
      </w:r>
      <w:r w:rsidR="00FF009C" w:rsidRPr="00FF009C">
        <w:rPr>
          <w:noProof/>
        </w:rPr>
        <w:t>któ</w:t>
      </w:r>
      <w:r w:rsidRPr="00FF009C">
        <w:rPr>
          <w:noProof/>
        </w:rPr>
        <w:t>rej mowa</w:t>
      </w:r>
      <w:r w:rsidR="00FF009C" w:rsidRPr="00FF009C">
        <w:rPr>
          <w:noProof/>
        </w:rPr>
        <w:t xml:space="preserve"> w</w:t>
      </w:r>
      <w:r w:rsidR="00FF009C">
        <w:rPr>
          <w:noProof/>
        </w:rPr>
        <w:t> </w:t>
      </w:r>
      <w:r w:rsidR="00FF009C" w:rsidRPr="00FF009C">
        <w:rPr>
          <w:noProof/>
        </w:rPr>
        <w:t>art</w:t>
      </w:r>
      <w:r w:rsidRPr="00FF009C">
        <w:rPr>
          <w:noProof/>
        </w:rPr>
        <w:t>.</w:t>
      </w:r>
      <w:r w:rsidR="00FF009C" w:rsidRPr="00FF009C">
        <w:rPr>
          <w:noProof/>
        </w:rPr>
        <w:t> </w:t>
      </w:r>
      <w:r w:rsidRPr="00FF009C">
        <w:rPr>
          <w:noProof/>
        </w:rPr>
        <w:t>5b ust.</w:t>
      </w:r>
      <w:r w:rsidR="00FF009C" w:rsidRPr="00FF009C">
        <w:rPr>
          <w:noProof/>
        </w:rPr>
        <w:t> </w:t>
      </w:r>
      <w:r w:rsidRPr="00FF009C">
        <w:rPr>
          <w:noProof/>
        </w:rPr>
        <w:t>6 rozporządzenia (UE) 2016/794, tak aby ci pracownicy mogli uczestniczyć</w:t>
      </w:r>
      <w:r w:rsidR="00FF009C" w:rsidRPr="00FF009C">
        <w:rPr>
          <w:noProof/>
        </w:rPr>
        <w:t xml:space="preserve"> w</w:t>
      </w:r>
      <w:r w:rsidR="00FF009C">
        <w:rPr>
          <w:noProof/>
        </w:rPr>
        <w:t> </w:t>
      </w:r>
      <w:r w:rsidR="00FF009C" w:rsidRPr="00FF009C">
        <w:rPr>
          <w:noProof/>
        </w:rPr>
        <w:t>roz</w:t>
      </w:r>
      <w:r w:rsidRPr="00FF009C">
        <w:rPr>
          <w:noProof/>
        </w:rPr>
        <w:t>mieszczaniu pracowników Europolu</w:t>
      </w:r>
      <w:r w:rsidR="00FF009C" w:rsidRPr="00FF009C">
        <w:rPr>
          <w:noProof/>
        </w:rPr>
        <w:t xml:space="preserve"> w</w:t>
      </w:r>
      <w:r w:rsidR="00FF009C">
        <w:rPr>
          <w:noProof/>
        </w:rPr>
        <w:t> </w:t>
      </w:r>
      <w:r w:rsidR="00FF009C" w:rsidRPr="00FF009C">
        <w:rPr>
          <w:noProof/>
        </w:rPr>
        <w:t>ram</w:t>
      </w:r>
      <w:r w:rsidRPr="00FF009C">
        <w:rPr>
          <w:noProof/>
        </w:rPr>
        <w:t>ach wsparcia operacyjnego</w:t>
      </w:r>
      <w:r w:rsidR="00FF009C" w:rsidRPr="00FF009C">
        <w:rPr>
          <w:noProof/>
        </w:rPr>
        <w:t xml:space="preserve"> w</w:t>
      </w:r>
      <w:r w:rsidR="00FF009C">
        <w:rPr>
          <w:noProof/>
        </w:rPr>
        <w:t> </w:t>
      </w:r>
      <w:r w:rsidR="00FF009C" w:rsidRPr="00FF009C">
        <w:rPr>
          <w:noProof/>
        </w:rPr>
        <w:t>cha</w:t>
      </w:r>
      <w:r w:rsidRPr="00FF009C">
        <w:rPr>
          <w:noProof/>
        </w:rPr>
        <w:t>rakterze oddelegowanych ekspertów krajowych.</w:t>
      </w:r>
    </w:p>
    <w:p w14:paraId="0297FDEF" w14:textId="77777777" w:rsidR="0043039B" w:rsidRPr="00FF009C" w:rsidRDefault="0043039B" w:rsidP="0043039B">
      <w:pPr>
        <w:pStyle w:val="Titrearticle"/>
        <w:rPr>
          <w:noProof/>
        </w:rPr>
      </w:pPr>
      <w:r w:rsidRPr="00FF009C">
        <w:rPr>
          <w:noProof/>
        </w:rPr>
        <w:t>Artykuł 8</w:t>
      </w:r>
    </w:p>
    <w:p w14:paraId="1BF55ED7" w14:textId="656A9502" w:rsidR="0043039B" w:rsidRPr="00FF009C" w:rsidRDefault="0043039B" w:rsidP="0043039B">
      <w:pPr>
        <w:jc w:val="center"/>
        <w:rPr>
          <w:b/>
          <w:noProof/>
        </w:rPr>
      </w:pPr>
      <w:r w:rsidRPr="00FF009C">
        <w:rPr>
          <w:b/>
          <w:noProof/>
        </w:rPr>
        <w:t>Przekazywanie informacji dotyczących przestępstw polegających na przemycie migrantów</w:t>
      </w:r>
      <w:r w:rsidR="00FF009C" w:rsidRPr="00FF009C">
        <w:rPr>
          <w:b/>
          <w:noProof/>
        </w:rPr>
        <w:t xml:space="preserve"> i</w:t>
      </w:r>
      <w:r w:rsidR="00FF009C">
        <w:rPr>
          <w:b/>
          <w:noProof/>
        </w:rPr>
        <w:t> </w:t>
      </w:r>
      <w:r w:rsidR="00FF009C" w:rsidRPr="00FF009C">
        <w:rPr>
          <w:b/>
          <w:noProof/>
        </w:rPr>
        <w:t>han</w:t>
      </w:r>
      <w:r w:rsidRPr="00FF009C">
        <w:rPr>
          <w:b/>
          <w:noProof/>
        </w:rPr>
        <w:t>dlu ludźmi Europolowi</w:t>
      </w:r>
      <w:r w:rsidR="00FF009C" w:rsidRPr="00FF009C">
        <w:rPr>
          <w:b/>
          <w:noProof/>
        </w:rPr>
        <w:t xml:space="preserve"> i</w:t>
      </w:r>
      <w:r w:rsidR="00FF009C">
        <w:rPr>
          <w:b/>
          <w:noProof/>
        </w:rPr>
        <w:t> </w:t>
      </w:r>
      <w:r w:rsidR="00FF009C" w:rsidRPr="00FF009C">
        <w:rPr>
          <w:b/>
          <w:noProof/>
        </w:rPr>
        <w:t>pań</w:t>
      </w:r>
      <w:r w:rsidRPr="00FF009C">
        <w:rPr>
          <w:b/>
          <w:noProof/>
        </w:rPr>
        <w:t xml:space="preserve">stwom członkowskim </w:t>
      </w:r>
    </w:p>
    <w:p w14:paraId="2F442D9C" w14:textId="28D03A07" w:rsidR="0043039B" w:rsidRPr="00FF009C" w:rsidRDefault="0043039B" w:rsidP="0043039B">
      <w:pPr>
        <w:ind w:left="720" w:hanging="720"/>
        <w:rPr>
          <w:noProof/>
        </w:rPr>
      </w:pPr>
      <w:r w:rsidRPr="00FF009C">
        <w:rPr>
          <w:noProof/>
        </w:rPr>
        <w:t>1.</w:t>
      </w:r>
      <w:r w:rsidRPr="00FF009C">
        <w:rPr>
          <w:noProof/>
        </w:rPr>
        <w:tab/>
        <w:t>Każde państwo członkowskie, zgodnie</w:t>
      </w:r>
      <w:r w:rsidR="00FF009C" w:rsidRPr="00FF009C">
        <w:rPr>
          <w:noProof/>
        </w:rPr>
        <w:t xml:space="preserve"> z</w:t>
      </w:r>
      <w:r w:rsidR="00FF009C">
        <w:rPr>
          <w:noProof/>
        </w:rPr>
        <w:t> </w:t>
      </w:r>
      <w:r w:rsidR="00FF009C" w:rsidRPr="00FF009C">
        <w:rPr>
          <w:noProof/>
        </w:rPr>
        <w:t>roz</w:t>
      </w:r>
      <w:r w:rsidRPr="00FF009C">
        <w:rPr>
          <w:noProof/>
        </w:rPr>
        <w:t>porządzeniem (UE) 2016/794, przekazuje Europolowi informacje będące</w:t>
      </w:r>
      <w:r w:rsidR="00FF009C" w:rsidRPr="00FF009C">
        <w:rPr>
          <w:noProof/>
        </w:rPr>
        <w:t xml:space="preserve"> w</w:t>
      </w:r>
      <w:r w:rsidR="00FF009C">
        <w:rPr>
          <w:noProof/>
        </w:rPr>
        <w:t> </w:t>
      </w:r>
      <w:r w:rsidR="00FF009C" w:rsidRPr="00FF009C">
        <w:rPr>
          <w:noProof/>
        </w:rPr>
        <w:t>pos</w:t>
      </w:r>
      <w:r w:rsidRPr="00FF009C">
        <w:rPr>
          <w:noProof/>
        </w:rPr>
        <w:t>iadaniu krajowych właściwych organów</w:t>
      </w:r>
      <w:r w:rsidR="00FF009C" w:rsidRPr="00FF009C">
        <w:rPr>
          <w:noProof/>
        </w:rPr>
        <w:t xml:space="preserve"> i</w:t>
      </w:r>
      <w:r w:rsidR="00FF009C">
        <w:rPr>
          <w:noProof/>
        </w:rPr>
        <w:t> </w:t>
      </w:r>
      <w:r w:rsidR="00FF009C" w:rsidRPr="00FF009C">
        <w:rPr>
          <w:noProof/>
        </w:rPr>
        <w:t>dot</w:t>
      </w:r>
      <w:r w:rsidRPr="00FF009C">
        <w:rPr>
          <w:noProof/>
        </w:rPr>
        <w:t>yczące przestępstw polegających na przemycie migrantów</w:t>
      </w:r>
      <w:r w:rsidR="00FF009C" w:rsidRPr="00FF009C">
        <w:rPr>
          <w:noProof/>
        </w:rPr>
        <w:t xml:space="preserve"> i</w:t>
      </w:r>
      <w:r w:rsidR="00FF009C">
        <w:rPr>
          <w:noProof/>
        </w:rPr>
        <w:t> </w:t>
      </w:r>
      <w:r w:rsidR="00FF009C" w:rsidRPr="00FF009C">
        <w:rPr>
          <w:noProof/>
        </w:rPr>
        <w:t>han</w:t>
      </w:r>
      <w:r w:rsidRPr="00FF009C">
        <w:rPr>
          <w:noProof/>
        </w:rPr>
        <w:t>dlu ludźmi.</w:t>
      </w:r>
    </w:p>
    <w:p w14:paraId="6596796F" w14:textId="05B29A44" w:rsidR="0043039B" w:rsidRPr="00FF009C" w:rsidRDefault="0043039B" w:rsidP="0043039B">
      <w:pPr>
        <w:ind w:left="720" w:hanging="720"/>
        <w:rPr>
          <w:noProof/>
        </w:rPr>
      </w:pPr>
      <w:r w:rsidRPr="00FF009C">
        <w:rPr>
          <w:noProof/>
        </w:rPr>
        <w:t>2.</w:t>
      </w:r>
      <w:r w:rsidRPr="00FF009C">
        <w:rPr>
          <w:noProof/>
        </w:rPr>
        <w:tab/>
        <w:t>Każde państwo członkowskie przekazuje Europolowi</w:t>
      </w:r>
      <w:r w:rsidR="00FF009C" w:rsidRPr="00FF009C">
        <w:rPr>
          <w:noProof/>
        </w:rPr>
        <w:t xml:space="preserve"> w</w:t>
      </w:r>
      <w:r w:rsidR="00FF009C">
        <w:rPr>
          <w:noProof/>
        </w:rPr>
        <w:t> </w:t>
      </w:r>
      <w:r w:rsidR="00FF009C" w:rsidRPr="00FF009C">
        <w:rPr>
          <w:noProof/>
        </w:rPr>
        <w:t>odp</w:t>
      </w:r>
      <w:r w:rsidRPr="00FF009C">
        <w:rPr>
          <w:noProof/>
        </w:rPr>
        <w:t>owiednim czasie informacje,</w:t>
      </w:r>
      <w:r w:rsidR="00FF009C" w:rsidRPr="00FF009C">
        <w:rPr>
          <w:noProof/>
        </w:rPr>
        <w:t xml:space="preserve"> o</w:t>
      </w:r>
      <w:r w:rsidR="00FF009C">
        <w:rPr>
          <w:noProof/>
        </w:rPr>
        <w:t> </w:t>
      </w:r>
      <w:r w:rsidR="00FF009C" w:rsidRPr="00FF009C">
        <w:rPr>
          <w:noProof/>
        </w:rPr>
        <w:t>któ</w:t>
      </w:r>
      <w:r w:rsidRPr="00FF009C">
        <w:rPr>
          <w:noProof/>
        </w:rPr>
        <w:t>rych mowa</w:t>
      </w:r>
      <w:r w:rsidR="00FF009C" w:rsidRPr="00FF009C">
        <w:rPr>
          <w:noProof/>
        </w:rPr>
        <w:t xml:space="preserve"> w</w:t>
      </w:r>
      <w:r w:rsidR="00FF009C">
        <w:rPr>
          <w:noProof/>
        </w:rPr>
        <w:t> </w:t>
      </w:r>
      <w:r w:rsidR="00FF009C" w:rsidRPr="00FF009C">
        <w:rPr>
          <w:noProof/>
        </w:rPr>
        <w:t>ust</w:t>
      </w:r>
      <w:r w:rsidRPr="00FF009C">
        <w:rPr>
          <w:noProof/>
        </w:rPr>
        <w:t>.</w:t>
      </w:r>
      <w:r w:rsidR="00FF009C" w:rsidRPr="00FF009C">
        <w:rPr>
          <w:noProof/>
        </w:rPr>
        <w:t> </w:t>
      </w:r>
      <w:r w:rsidRPr="00FF009C">
        <w:rPr>
          <w:noProof/>
        </w:rPr>
        <w:t>1 niniejszego artykułu.</w:t>
      </w:r>
    </w:p>
    <w:p w14:paraId="58BD8744" w14:textId="3BF84530" w:rsidR="0043039B" w:rsidRPr="00FF009C" w:rsidRDefault="0043039B" w:rsidP="0043039B">
      <w:pPr>
        <w:ind w:left="720" w:hanging="720"/>
        <w:rPr>
          <w:noProof/>
        </w:rPr>
      </w:pPr>
      <w:r w:rsidRPr="00FF009C">
        <w:rPr>
          <w:noProof/>
        </w:rPr>
        <w:t>3.</w:t>
      </w:r>
      <w:r w:rsidRPr="00FF009C">
        <w:rPr>
          <w:noProof/>
        </w:rPr>
        <w:tab/>
        <w:t>Każde państwo członkowskie przekazuje innym państwom członkowskim</w:t>
      </w:r>
      <w:r w:rsidR="00FF009C" w:rsidRPr="00FF009C">
        <w:rPr>
          <w:noProof/>
        </w:rPr>
        <w:t xml:space="preserve"> i</w:t>
      </w:r>
      <w:r w:rsidR="00FF009C">
        <w:rPr>
          <w:noProof/>
        </w:rPr>
        <w:t> </w:t>
      </w:r>
      <w:r w:rsidR="00FF009C" w:rsidRPr="00FF009C">
        <w:rPr>
          <w:noProof/>
        </w:rPr>
        <w:t>jed</w:t>
      </w:r>
      <w:r w:rsidRPr="00FF009C">
        <w:rPr>
          <w:noProof/>
        </w:rPr>
        <w:t>nocześnie Europolowi informacje będące</w:t>
      </w:r>
      <w:r w:rsidR="00FF009C" w:rsidRPr="00FF009C">
        <w:rPr>
          <w:noProof/>
        </w:rPr>
        <w:t xml:space="preserve"> w</w:t>
      </w:r>
      <w:r w:rsidR="00FF009C">
        <w:rPr>
          <w:noProof/>
        </w:rPr>
        <w:t> </w:t>
      </w:r>
      <w:r w:rsidR="00FF009C" w:rsidRPr="00FF009C">
        <w:rPr>
          <w:noProof/>
        </w:rPr>
        <w:t>pos</w:t>
      </w:r>
      <w:r w:rsidRPr="00FF009C">
        <w:rPr>
          <w:noProof/>
        </w:rPr>
        <w:t>iadaniu krajowych właściwych organów</w:t>
      </w:r>
      <w:r w:rsidR="00FF009C" w:rsidRPr="00FF009C">
        <w:rPr>
          <w:noProof/>
        </w:rPr>
        <w:t xml:space="preserve"> i</w:t>
      </w:r>
      <w:r w:rsidR="00FF009C">
        <w:rPr>
          <w:noProof/>
        </w:rPr>
        <w:t> </w:t>
      </w:r>
      <w:r w:rsidR="00FF009C" w:rsidRPr="00FF009C">
        <w:rPr>
          <w:noProof/>
        </w:rPr>
        <w:t>dot</w:t>
      </w:r>
      <w:r w:rsidRPr="00FF009C">
        <w:rPr>
          <w:noProof/>
        </w:rPr>
        <w:t>yczące przestępstw polegających na przemycie migrantów</w:t>
      </w:r>
      <w:r w:rsidR="00FF009C" w:rsidRPr="00FF009C">
        <w:rPr>
          <w:noProof/>
        </w:rPr>
        <w:t xml:space="preserve"> i</w:t>
      </w:r>
      <w:r w:rsidR="00FF009C">
        <w:rPr>
          <w:noProof/>
        </w:rPr>
        <w:t> </w:t>
      </w:r>
      <w:r w:rsidR="00FF009C" w:rsidRPr="00FF009C">
        <w:rPr>
          <w:noProof/>
        </w:rPr>
        <w:t>han</w:t>
      </w:r>
      <w:r w:rsidRPr="00FF009C">
        <w:rPr>
          <w:noProof/>
        </w:rPr>
        <w:t>dlu ludźmi, jeżeli istnieją obiektywne powody, by sądzić, że takie informacje mogą być istotne dla tych innych państw członkowskich do celów zapobiegania takim przestępstwom, ich wykrywania lub prowadzenia</w:t>
      </w:r>
      <w:r w:rsidR="00FF009C" w:rsidRPr="00FF009C">
        <w:rPr>
          <w:noProof/>
        </w:rPr>
        <w:t xml:space="preserve"> w</w:t>
      </w:r>
      <w:r w:rsidR="00FF009C">
        <w:rPr>
          <w:noProof/>
        </w:rPr>
        <w:t> </w:t>
      </w:r>
      <w:r w:rsidR="00FF009C" w:rsidRPr="00FF009C">
        <w:rPr>
          <w:noProof/>
        </w:rPr>
        <w:t>ich</w:t>
      </w:r>
      <w:r w:rsidRPr="00FF009C">
        <w:rPr>
          <w:noProof/>
        </w:rPr>
        <w:t xml:space="preserve"> sprawie postępowania przygotowawczego</w:t>
      </w:r>
      <w:r w:rsidR="00FF009C" w:rsidRPr="00FF009C">
        <w:rPr>
          <w:noProof/>
        </w:rPr>
        <w:t xml:space="preserve"> w</w:t>
      </w:r>
      <w:r w:rsidR="00FF009C">
        <w:rPr>
          <w:noProof/>
        </w:rPr>
        <w:t> </w:t>
      </w:r>
      <w:r w:rsidR="00FF009C" w:rsidRPr="00FF009C">
        <w:rPr>
          <w:noProof/>
        </w:rPr>
        <w:t>tyc</w:t>
      </w:r>
      <w:r w:rsidRPr="00FF009C">
        <w:rPr>
          <w:noProof/>
        </w:rPr>
        <w:t>h państwach członkowskich.</w:t>
      </w:r>
    </w:p>
    <w:p w14:paraId="79FB23C6" w14:textId="3D76E52E" w:rsidR="00166AD7" w:rsidRPr="00FF009C" w:rsidRDefault="0043039B" w:rsidP="0043039B">
      <w:pPr>
        <w:ind w:left="720" w:hanging="720"/>
        <w:rPr>
          <w:noProof/>
        </w:rPr>
      </w:pPr>
      <w:r w:rsidRPr="00FF009C">
        <w:rPr>
          <w:noProof/>
        </w:rPr>
        <w:t>4.</w:t>
      </w:r>
      <w:r w:rsidRPr="00FF009C">
        <w:rPr>
          <w:noProof/>
        </w:rPr>
        <w:tab/>
        <w:t>Każde państwo członkowskie korzysta</w:t>
      </w:r>
      <w:r w:rsidR="00FF009C" w:rsidRPr="00FF009C">
        <w:rPr>
          <w:noProof/>
        </w:rPr>
        <w:t xml:space="preserve"> z</w:t>
      </w:r>
      <w:r w:rsidR="00FF009C">
        <w:rPr>
          <w:noProof/>
        </w:rPr>
        <w:t> </w:t>
      </w:r>
      <w:r w:rsidR="00FF009C" w:rsidRPr="00FF009C">
        <w:rPr>
          <w:noProof/>
        </w:rPr>
        <w:t>apl</w:t>
      </w:r>
      <w:r w:rsidRPr="00FF009C">
        <w:rPr>
          <w:noProof/>
        </w:rPr>
        <w:t>ikacji SIENA do przekazywania innym państwom członkowskim</w:t>
      </w:r>
      <w:r w:rsidR="00FF009C" w:rsidRPr="00FF009C">
        <w:rPr>
          <w:noProof/>
        </w:rPr>
        <w:t xml:space="preserve"> i</w:t>
      </w:r>
      <w:r w:rsidR="00FF009C">
        <w:rPr>
          <w:noProof/>
        </w:rPr>
        <w:t> </w:t>
      </w:r>
      <w:r w:rsidR="00FF009C" w:rsidRPr="00FF009C">
        <w:rPr>
          <w:noProof/>
        </w:rPr>
        <w:t>Eur</w:t>
      </w:r>
      <w:r w:rsidRPr="00FF009C">
        <w:rPr>
          <w:noProof/>
        </w:rPr>
        <w:t>opolowi informacji,</w:t>
      </w:r>
      <w:r w:rsidR="00FF009C" w:rsidRPr="00FF009C">
        <w:rPr>
          <w:noProof/>
        </w:rPr>
        <w:t xml:space="preserve"> o</w:t>
      </w:r>
      <w:r w:rsidR="00FF009C">
        <w:rPr>
          <w:noProof/>
        </w:rPr>
        <w:t> </w:t>
      </w:r>
      <w:r w:rsidR="00FF009C" w:rsidRPr="00FF009C">
        <w:rPr>
          <w:noProof/>
        </w:rPr>
        <w:t>któ</w:t>
      </w:r>
      <w:r w:rsidRPr="00FF009C">
        <w:rPr>
          <w:noProof/>
        </w:rPr>
        <w:t>rych mowa</w:t>
      </w:r>
      <w:r w:rsidR="00FF009C" w:rsidRPr="00FF009C">
        <w:rPr>
          <w:noProof/>
        </w:rPr>
        <w:t xml:space="preserve"> w</w:t>
      </w:r>
      <w:r w:rsidR="00FF009C">
        <w:rPr>
          <w:noProof/>
        </w:rPr>
        <w:t> </w:t>
      </w:r>
      <w:r w:rsidR="00FF009C" w:rsidRPr="00FF009C">
        <w:rPr>
          <w:noProof/>
        </w:rPr>
        <w:t>ust</w:t>
      </w:r>
      <w:r w:rsidRPr="00FF009C">
        <w:rPr>
          <w:noProof/>
        </w:rPr>
        <w:t>.</w:t>
      </w:r>
      <w:r w:rsidR="00FF009C" w:rsidRPr="00FF009C">
        <w:rPr>
          <w:noProof/>
        </w:rPr>
        <w:t> </w:t>
      </w:r>
      <w:r w:rsidRPr="00FF009C">
        <w:rPr>
          <w:noProof/>
        </w:rPr>
        <w:t>3 niniejszego artykułu, zgodnie</w:t>
      </w:r>
      <w:r w:rsidR="00FF009C" w:rsidRPr="00FF009C">
        <w:rPr>
          <w:noProof/>
        </w:rPr>
        <w:t xml:space="preserve"> z</w:t>
      </w:r>
      <w:r w:rsidR="00FF009C">
        <w:rPr>
          <w:noProof/>
        </w:rPr>
        <w:t> </w:t>
      </w:r>
      <w:r w:rsidR="00FF009C" w:rsidRPr="00FF009C">
        <w:rPr>
          <w:noProof/>
        </w:rPr>
        <w:t>art</w:t>
      </w:r>
      <w:r w:rsidRPr="00FF009C">
        <w:rPr>
          <w:noProof/>
        </w:rPr>
        <w:t>.</w:t>
      </w:r>
      <w:r w:rsidR="00FF009C" w:rsidRPr="00FF009C">
        <w:rPr>
          <w:noProof/>
        </w:rPr>
        <w:t> </w:t>
      </w:r>
      <w:r w:rsidRPr="00FF009C">
        <w:rPr>
          <w:noProof/>
        </w:rPr>
        <w:t>8 ust.</w:t>
      </w:r>
      <w:r w:rsidR="00FF009C" w:rsidRPr="00FF009C">
        <w:rPr>
          <w:noProof/>
        </w:rPr>
        <w:t> </w:t>
      </w:r>
      <w:r w:rsidRPr="00FF009C">
        <w:rPr>
          <w:noProof/>
        </w:rPr>
        <w:t>4</w:t>
      </w:r>
      <w:r w:rsidR="00FF009C" w:rsidRPr="00FF009C">
        <w:rPr>
          <w:noProof/>
        </w:rPr>
        <w:t xml:space="preserve"> i</w:t>
      </w:r>
      <w:r w:rsidR="00FF009C">
        <w:rPr>
          <w:noProof/>
        </w:rPr>
        <w:t> </w:t>
      </w:r>
      <w:r w:rsidR="00FF009C" w:rsidRPr="00FF009C">
        <w:rPr>
          <w:noProof/>
        </w:rPr>
        <w:t>art</w:t>
      </w:r>
      <w:r w:rsidRPr="00FF009C">
        <w:rPr>
          <w:noProof/>
        </w:rPr>
        <w:t>.</w:t>
      </w:r>
      <w:r w:rsidR="00FF009C" w:rsidRPr="00FF009C">
        <w:rPr>
          <w:noProof/>
        </w:rPr>
        <w:t> </w:t>
      </w:r>
      <w:r w:rsidRPr="00FF009C">
        <w:rPr>
          <w:noProof/>
        </w:rPr>
        <w:t>18 ust.</w:t>
      </w:r>
      <w:r w:rsidR="00FF009C" w:rsidRPr="00FF009C">
        <w:rPr>
          <w:noProof/>
        </w:rPr>
        <w:t> </w:t>
      </w:r>
      <w:r w:rsidRPr="00FF009C">
        <w:rPr>
          <w:noProof/>
        </w:rPr>
        <w:t>2 lit.</w:t>
      </w:r>
      <w:r w:rsidR="00FF009C" w:rsidRPr="00FF009C">
        <w:rPr>
          <w:noProof/>
        </w:rPr>
        <w:t> </w:t>
      </w:r>
      <w:r w:rsidRPr="00FF009C">
        <w:rPr>
          <w:noProof/>
        </w:rPr>
        <w:t xml:space="preserve">d) rozporządzenia (UE) 2016/794. </w:t>
      </w:r>
    </w:p>
    <w:p w14:paraId="32986E99" w14:textId="3323A47C" w:rsidR="0043039B" w:rsidRPr="00FF009C" w:rsidRDefault="00166AD7" w:rsidP="00166AD7">
      <w:pPr>
        <w:ind w:left="720" w:hanging="720"/>
        <w:rPr>
          <w:noProof/>
        </w:rPr>
      </w:pPr>
      <w:r w:rsidRPr="00FF009C">
        <w:rPr>
          <w:noProof/>
        </w:rPr>
        <w:t>5.</w:t>
      </w:r>
      <w:r w:rsidRPr="00FF009C">
        <w:rPr>
          <w:noProof/>
        </w:rPr>
        <w:tab/>
        <w:t>Każde państwo członkowskie zapewnia swoim urzędnikom łącznikowym ds. imigracji połączenie</w:t>
      </w:r>
      <w:r w:rsidR="00FF009C" w:rsidRPr="00FF009C">
        <w:rPr>
          <w:noProof/>
        </w:rPr>
        <w:t xml:space="preserve"> z</w:t>
      </w:r>
      <w:r w:rsidR="00FF009C">
        <w:rPr>
          <w:noProof/>
        </w:rPr>
        <w:t> </w:t>
      </w:r>
      <w:r w:rsidR="00FF009C" w:rsidRPr="00FF009C">
        <w:rPr>
          <w:noProof/>
        </w:rPr>
        <w:t>apl</w:t>
      </w:r>
      <w:r w:rsidRPr="00FF009C">
        <w:rPr>
          <w:noProof/>
        </w:rPr>
        <w:t>ikacją SIENA. Jeżeli zapewnienie urzędnikowi łącznikowemu ds. imigracji połączenia</w:t>
      </w:r>
      <w:r w:rsidR="00FF009C" w:rsidRPr="00FF009C">
        <w:rPr>
          <w:noProof/>
        </w:rPr>
        <w:t xml:space="preserve"> z</w:t>
      </w:r>
      <w:r w:rsidR="00FF009C">
        <w:rPr>
          <w:noProof/>
        </w:rPr>
        <w:t> </w:t>
      </w:r>
      <w:r w:rsidR="00FF009C" w:rsidRPr="00FF009C">
        <w:rPr>
          <w:noProof/>
        </w:rPr>
        <w:t>apl</w:t>
      </w:r>
      <w:r w:rsidRPr="00FF009C">
        <w:rPr>
          <w:noProof/>
        </w:rPr>
        <w:t>ikacją SIENA nie jest możliwe</w:t>
      </w:r>
      <w:r w:rsidR="00FF009C" w:rsidRPr="00FF009C">
        <w:rPr>
          <w:noProof/>
        </w:rPr>
        <w:t xml:space="preserve"> z</w:t>
      </w:r>
      <w:r w:rsidR="00FF009C">
        <w:rPr>
          <w:noProof/>
        </w:rPr>
        <w:t> </w:t>
      </w:r>
      <w:r w:rsidR="00FF009C" w:rsidRPr="00FF009C">
        <w:rPr>
          <w:noProof/>
        </w:rPr>
        <w:t>uza</w:t>
      </w:r>
      <w:r w:rsidRPr="00FF009C">
        <w:rPr>
          <w:noProof/>
        </w:rPr>
        <w:t>sadnionych przyczyn technicznych związanych</w:t>
      </w:r>
      <w:r w:rsidR="00FF009C" w:rsidRPr="00FF009C">
        <w:rPr>
          <w:noProof/>
        </w:rPr>
        <w:t xml:space="preserve"> z</w:t>
      </w:r>
      <w:r w:rsidR="00FF009C">
        <w:rPr>
          <w:noProof/>
        </w:rPr>
        <w:t> </w:t>
      </w:r>
      <w:r w:rsidR="00FF009C" w:rsidRPr="00FF009C">
        <w:rPr>
          <w:noProof/>
        </w:rPr>
        <w:t>syt</w:t>
      </w:r>
      <w:r w:rsidRPr="00FF009C">
        <w:rPr>
          <w:noProof/>
        </w:rPr>
        <w:t>uacją</w:t>
      </w:r>
      <w:r w:rsidR="00FF009C" w:rsidRPr="00FF009C">
        <w:rPr>
          <w:noProof/>
        </w:rPr>
        <w:t xml:space="preserve"> w</w:t>
      </w:r>
      <w:r w:rsidR="00FF009C">
        <w:rPr>
          <w:noProof/>
        </w:rPr>
        <w:t> </w:t>
      </w:r>
      <w:r w:rsidR="00FF009C" w:rsidRPr="00FF009C">
        <w:rPr>
          <w:noProof/>
        </w:rPr>
        <w:t>pań</w:t>
      </w:r>
      <w:r w:rsidRPr="00FF009C">
        <w:rPr>
          <w:noProof/>
        </w:rPr>
        <w:t>stwie trzecim będącym państwem oddelegowania, taki urzędnik łącznikowy ds. imigracji przedkłada właściwemu organowi krajowemu informacje,</w:t>
      </w:r>
      <w:r w:rsidR="00FF009C" w:rsidRPr="00FF009C">
        <w:rPr>
          <w:noProof/>
        </w:rPr>
        <w:t xml:space="preserve"> o</w:t>
      </w:r>
      <w:r w:rsidR="00FF009C">
        <w:rPr>
          <w:noProof/>
        </w:rPr>
        <w:t> </w:t>
      </w:r>
      <w:r w:rsidR="00FF009C" w:rsidRPr="00FF009C">
        <w:rPr>
          <w:noProof/>
        </w:rPr>
        <w:t>któ</w:t>
      </w:r>
      <w:r w:rsidRPr="00FF009C">
        <w:rPr>
          <w:noProof/>
        </w:rPr>
        <w:t>rym mowa</w:t>
      </w:r>
      <w:r w:rsidR="00FF009C" w:rsidRPr="00FF009C">
        <w:rPr>
          <w:noProof/>
        </w:rPr>
        <w:t xml:space="preserve"> w</w:t>
      </w:r>
      <w:r w:rsidR="00FF009C">
        <w:rPr>
          <w:noProof/>
        </w:rPr>
        <w:t> </w:t>
      </w:r>
      <w:r w:rsidR="00FF009C" w:rsidRPr="00FF009C">
        <w:rPr>
          <w:noProof/>
        </w:rPr>
        <w:t>ust</w:t>
      </w:r>
      <w:r w:rsidRPr="00FF009C">
        <w:rPr>
          <w:noProof/>
        </w:rPr>
        <w:t>.</w:t>
      </w:r>
      <w:r w:rsidR="00FF009C" w:rsidRPr="00FF009C">
        <w:rPr>
          <w:noProof/>
        </w:rPr>
        <w:t> </w:t>
      </w:r>
      <w:r w:rsidRPr="00FF009C">
        <w:rPr>
          <w:noProof/>
        </w:rPr>
        <w:t>1, przy wykorzystaniu innych bezpiecznych kanałów. Wspomniany właściwy organ przekazuje te informacje Europolowi, bezpośrednio lub za pośrednictwem jednostki krajowej Europolu, korzystając z SIENA.</w:t>
      </w:r>
    </w:p>
    <w:p w14:paraId="1CD7AD3D" w14:textId="77777777" w:rsidR="0043039B" w:rsidRPr="00FF009C" w:rsidRDefault="0043039B" w:rsidP="0043039B">
      <w:pPr>
        <w:pStyle w:val="ChapterTitle"/>
        <w:spacing w:before="360"/>
        <w:rPr>
          <w:noProof/>
          <w:sz w:val="24"/>
        </w:rPr>
      </w:pPr>
      <w:r w:rsidRPr="00FF009C">
        <w:rPr>
          <w:noProof/>
          <w:sz w:val="24"/>
        </w:rPr>
        <w:t>Rozdział IV</w:t>
      </w:r>
    </w:p>
    <w:p w14:paraId="191DC5D8" w14:textId="77777777" w:rsidR="0043039B" w:rsidRPr="00FF009C" w:rsidRDefault="0043039B" w:rsidP="0043039B">
      <w:pPr>
        <w:pStyle w:val="ChapterTitle"/>
        <w:spacing w:before="360"/>
        <w:rPr>
          <w:noProof/>
          <w:sz w:val="24"/>
        </w:rPr>
      </w:pPr>
      <w:r w:rsidRPr="00FF009C">
        <w:rPr>
          <w:noProof/>
          <w:sz w:val="24"/>
        </w:rPr>
        <w:t>ZWIĘKSZANIE WSPARCIA EUROPOLU NA RZECZ ZWALCZANIA PRZEMYTU MIGRANTÓW I HANDLU LUDŹMI</w:t>
      </w:r>
    </w:p>
    <w:p w14:paraId="263BAA4A" w14:textId="77777777" w:rsidR="0043039B" w:rsidRPr="00FF009C" w:rsidRDefault="0043039B" w:rsidP="0043039B">
      <w:pPr>
        <w:pStyle w:val="Titrearticle"/>
        <w:rPr>
          <w:noProof/>
        </w:rPr>
      </w:pPr>
      <w:r w:rsidRPr="00FF009C">
        <w:rPr>
          <w:noProof/>
        </w:rPr>
        <w:t>Artykuł 9</w:t>
      </w:r>
    </w:p>
    <w:p w14:paraId="5A00A2E9" w14:textId="47851255" w:rsidR="0043039B" w:rsidRPr="00FF009C" w:rsidRDefault="0043039B" w:rsidP="0043039B">
      <w:pPr>
        <w:spacing w:before="0"/>
        <w:jc w:val="center"/>
        <w:rPr>
          <w:b/>
          <w:iCs/>
          <w:noProof/>
        </w:rPr>
      </w:pPr>
      <w:r w:rsidRPr="00FF009C">
        <w:rPr>
          <w:b/>
          <w:noProof/>
        </w:rPr>
        <w:t>Zmiany</w:t>
      </w:r>
      <w:r w:rsidR="00FF009C" w:rsidRPr="00FF009C">
        <w:rPr>
          <w:b/>
          <w:noProof/>
        </w:rPr>
        <w:t xml:space="preserve"> w</w:t>
      </w:r>
      <w:r w:rsidR="00FF009C">
        <w:rPr>
          <w:b/>
          <w:noProof/>
        </w:rPr>
        <w:t> </w:t>
      </w:r>
      <w:r w:rsidR="00FF009C" w:rsidRPr="00FF009C">
        <w:rPr>
          <w:b/>
          <w:noProof/>
        </w:rPr>
        <w:t>roz</w:t>
      </w:r>
      <w:r w:rsidRPr="00FF009C">
        <w:rPr>
          <w:b/>
          <w:noProof/>
        </w:rPr>
        <w:t xml:space="preserve">porządzeniu (UE) 2016/794 </w:t>
      </w:r>
    </w:p>
    <w:p w14:paraId="6576B02A" w14:textId="77777777" w:rsidR="0043039B" w:rsidRPr="00FF009C" w:rsidRDefault="0043039B" w:rsidP="0043039B">
      <w:pPr>
        <w:rPr>
          <w:noProof/>
        </w:rPr>
      </w:pPr>
      <w:r w:rsidRPr="00FF009C">
        <w:rPr>
          <w:noProof/>
        </w:rPr>
        <w:t>W rozporządzeniu (UE) 2016/794 wprowadza się następujące zmiany:</w:t>
      </w:r>
    </w:p>
    <w:p w14:paraId="15512E33" w14:textId="65A2B3CF" w:rsidR="0043039B" w:rsidRPr="00FF009C" w:rsidRDefault="0043039B" w:rsidP="0043039B">
      <w:pPr>
        <w:rPr>
          <w:noProof/>
        </w:rPr>
      </w:pPr>
      <w:r w:rsidRPr="00FF009C">
        <w:rPr>
          <w:noProof/>
        </w:rPr>
        <w:t>1)</w:t>
      </w:r>
      <w:r w:rsidRPr="00FF009C">
        <w:rPr>
          <w:noProof/>
        </w:rPr>
        <w:tab/>
        <w:t>w art.</w:t>
      </w:r>
      <w:r w:rsidR="00FF009C" w:rsidRPr="00FF009C">
        <w:rPr>
          <w:noProof/>
        </w:rPr>
        <w:t> </w:t>
      </w:r>
      <w:r w:rsidRPr="00FF009C">
        <w:rPr>
          <w:noProof/>
        </w:rPr>
        <w:t>2 dodaje się lit.</w:t>
      </w:r>
      <w:r w:rsidR="00FF009C" w:rsidRPr="00FF009C">
        <w:rPr>
          <w:noProof/>
        </w:rPr>
        <w:t> </w:t>
      </w:r>
      <w:r w:rsidRPr="00FF009C">
        <w:rPr>
          <w:noProof/>
        </w:rPr>
        <w:t>w), x) i y)</w:t>
      </w:r>
      <w:r w:rsidR="00FF009C" w:rsidRPr="00FF009C">
        <w:rPr>
          <w:noProof/>
        </w:rPr>
        <w:t xml:space="preserve"> w</w:t>
      </w:r>
      <w:r w:rsidR="00FF009C">
        <w:rPr>
          <w:noProof/>
        </w:rPr>
        <w:t> </w:t>
      </w:r>
      <w:r w:rsidR="00FF009C" w:rsidRPr="00FF009C">
        <w:rPr>
          <w:noProof/>
        </w:rPr>
        <w:t>brz</w:t>
      </w:r>
      <w:r w:rsidRPr="00FF009C">
        <w:rPr>
          <w:noProof/>
        </w:rPr>
        <w:t>mieniu:</w:t>
      </w:r>
    </w:p>
    <w:p w14:paraId="6666266D" w14:textId="77777777" w:rsidR="0043039B" w:rsidRPr="00FF009C" w:rsidRDefault="007B5453" w:rsidP="0043039B">
      <w:pPr>
        <w:rPr>
          <w:noProof/>
        </w:rPr>
      </w:pPr>
      <w:r w:rsidRPr="00FF009C">
        <w:rPr>
          <w:noProof/>
        </w:rPr>
        <w:t>„w)</w:t>
      </w:r>
      <w:r w:rsidRPr="00FF009C">
        <w:rPr>
          <w:noProof/>
        </w:rPr>
        <w:tab/>
        <w:t xml:space="preserve">»SIENA« oznacza aplikację sieci bezpiecznej wymiany informacji, zarządzaną przez Europol, która ma na celu ułatwianie wymiany informacji; </w:t>
      </w:r>
    </w:p>
    <w:p w14:paraId="77DD23DF" w14:textId="164AE7D8" w:rsidR="0043039B" w:rsidRPr="00FF009C" w:rsidRDefault="0043039B" w:rsidP="0043039B">
      <w:pPr>
        <w:rPr>
          <w:noProof/>
        </w:rPr>
      </w:pPr>
      <w:r w:rsidRPr="00FF009C">
        <w:rPr>
          <w:noProof/>
        </w:rPr>
        <w:t>x)</w:t>
      </w:r>
      <w:r w:rsidRPr="00FF009C">
        <w:rPr>
          <w:noProof/>
        </w:rPr>
        <w:tab/>
        <w:t>»operacyjna grupa zadaniowa« oznacza mechanizm koordynacji ustanowiony przez państwa członkowskie między ich właściwymi organami przy wsparciu Europolu na potrzeby przeprowadzania wspólnych, skoordynowanych</w:t>
      </w:r>
      <w:r w:rsidR="00FF009C" w:rsidRPr="00FF009C">
        <w:rPr>
          <w:noProof/>
        </w:rPr>
        <w:t xml:space="preserve"> i</w:t>
      </w:r>
      <w:r w:rsidR="00FF009C">
        <w:rPr>
          <w:noProof/>
        </w:rPr>
        <w:t> </w:t>
      </w:r>
      <w:r w:rsidR="00FF009C" w:rsidRPr="00FF009C">
        <w:rPr>
          <w:noProof/>
        </w:rPr>
        <w:t>uki</w:t>
      </w:r>
      <w:r w:rsidRPr="00FF009C">
        <w:rPr>
          <w:noProof/>
        </w:rPr>
        <w:t>erunkowanych działań</w:t>
      </w:r>
      <w:r w:rsidR="00FF009C" w:rsidRPr="00FF009C">
        <w:rPr>
          <w:noProof/>
        </w:rPr>
        <w:t xml:space="preserve"> w</w:t>
      </w:r>
      <w:r w:rsidR="00FF009C">
        <w:rPr>
          <w:noProof/>
        </w:rPr>
        <w:t> </w:t>
      </w:r>
      <w:r w:rsidR="00FF009C" w:rsidRPr="00FF009C">
        <w:rPr>
          <w:noProof/>
        </w:rPr>
        <w:t>zak</w:t>
      </w:r>
      <w:r w:rsidRPr="00FF009C">
        <w:rPr>
          <w:noProof/>
        </w:rPr>
        <w:t>resie wywiadu kryminalnego</w:t>
      </w:r>
      <w:r w:rsidR="00FF009C" w:rsidRPr="00FF009C">
        <w:rPr>
          <w:noProof/>
        </w:rPr>
        <w:t xml:space="preserve"> i</w:t>
      </w:r>
      <w:r w:rsidR="00FF009C">
        <w:rPr>
          <w:noProof/>
        </w:rPr>
        <w:t> </w:t>
      </w:r>
      <w:r w:rsidR="00FF009C" w:rsidRPr="00FF009C">
        <w:rPr>
          <w:noProof/>
        </w:rPr>
        <w:t>pos</w:t>
      </w:r>
      <w:r w:rsidRPr="00FF009C">
        <w:rPr>
          <w:noProof/>
        </w:rPr>
        <w:t>tępowań przygotowawczych dotyczących przestępstwa wchodzącego</w:t>
      </w:r>
      <w:r w:rsidR="00FF009C" w:rsidRPr="00FF009C">
        <w:rPr>
          <w:noProof/>
        </w:rPr>
        <w:t xml:space="preserve"> w</w:t>
      </w:r>
      <w:r w:rsidR="00FF009C">
        <w:rPr>
          <w:noProof/>
        </w:rPr>
        <w:t> </w:t>
      </w:r>
      <w:r w:rsidR="00FF009C" w:rsidRPr="00FF009C">
        <w:rPr>
          <w:noProof/>
        </w:rPr>
        <w:t>zak</w:t>
      </w:r>
      <w:r w:rsidRPr="00FF009C">
        <w:rPr>
          <w:noProof/>
        </w:rPr>
        <w:t>res celów Europolu, które wymaga podjęcia skoordynowanych</w:t>
      </w:r>
      <w:r w:rsidR="00FF009C" w:rsidRPr="00FF009C">
        <w:rPr>
          <w:noProof/>
        </w:rPr>
        <w:t xml:space="preserve"> i</w:t>
      </w:r>
      <w:r w:rsidR="00FF009C">
        <w:rPr>
          <w:noProof/>
        </w:rPr>
        <w:t> </w:t>
      </w:r>
      <w:r w:rsidR="00FF009C" w:rsidRPr="00FF009C">
        <w:rPr>
          <w:noProof/>
        </w:rPr>
        <w:t>uzg</w:t>
      </w:r>
      <w:r w:rsidRPr="00FF009C">
        <w:rPr>
          <w:noProof/>
        </w:rPr>
        <w:t>odnionych działań;</w:t>
      </w:r>
    </w:p>
    <w:p w14:paraId="79B62103" w14:textId="3E05D4A2" w:rsidR="0043039B" w:rsidRPr="00FF009C" w:rsidRDefault="0043039B" w:rsidP="0043039B">
      <w:pPr>
        <w:rPr>
          <w:noProof/>
        </w:rPr>
      </w:pPr>
      <w:r w:rsidRPr="00FF009C">
        <w:rPr>
          <w:noProof/>
        </w:rPr>
        <w:t>y)</w:t>
      </w:r>
      <w:r w:rsidRPr="00FF009C">
        <w:rPr>
          <w:noProof/>
        </w:rPr>
        <w:tab/>
        <w:t>»rozmieszczenie pracowników Europolu</w:t>
      </w:r>
      <w:r w:rsidR="00FF009C" w:rsidRPr="00FF009C">
        <w:rPr>
          <w:noProof/>
        </w:rPr>
        <w:t xml:space="preserve"> w</w:t>
      </w:r>
      <w:r w:rsidR="00FF009C">
        <w:rPr>
          <w:noProof/>
        </w:rPr>
        <w:t> </w:t>
      </w:r>
      <w:r w:rsidR="00FF009C" w:rsidRPr="00FF009C">
        <w:rPr>
          <w:noProof/>
        </w:rPr>
        <w:t>ram</w:t>
      </w:r>
      <w:r w:rsidRPr="00FF009C">
        <w:rPr>
          <w:noProof/>
        </w:rPr>
        <w:t>ach wsparcia operacyjnego« oznacza rozmieszczenie pracowników Europolu lub oddelegowanych ekspertów krajowych na terytorium państwa członkowskiego na wniosek tego państwa członkowskiego</w:t>
      </w:r>
      <w:r w:rsidR="00FF009C" w:rsidRPr="00FF009C">
        <w:rPr>
          <w:noProof/>
        </w:rPr>
        <w:t xml:space="preserve"> w</w:t>
      </w:r>
      <w:r w:rsidR="00FF009C">
        <w:rPr>
          <w:noProof/>
        </w:rPr>
        <w:t> </w:t>
      </w:r>
      <w:r w:rsidR="00FF009C" w:rsidRPr="00FF009C">
        <w:rPr>
          <w:noProof/>
        </w:rPr>
        <w:t>cel</w:t>
      </w:r>
      <w:r w:rsidRPr="00FF009C">
        <w:rPr>
          <w:noProof/>
        </w:rPr>
        <w:t>u udzielania wsparcia analitycznego, operacyjnego, technicznego</w:t>
      </w:r>
      <w:r w:rsidR="00FF009C" w:rsidRPr="00FF009C">
        <w:rPr>
          <w:noProof/>
        </w:rPr>
        <w:t xml:space="preserve"> i</w:t>
      </w:r>
      <w:r w:rsidR="00FF009C">
        <w:rPr>
          <w:noProof/>
        </w:rPr>
        <w:t> </w:t>
      </w:r>
      <w:r w:rsidR="00FF009C" w:rsidRPr="00FF009C">
        <w:rPr>
          <w:noProof/>
        </w:rPr>
        <w:t>kry</w:t>
      </w:r>
      <w:r w:rsidRPr="00FF009C">
        <w:rPr>
          <w:noProof/>
        </w:rPr>
        <w:t>minalistycznego</w:t>
      </w:r>
      <w:r w:rsidR="00FF009C" w:rsidRPr="00FF009C">
        <w:rPr>
          <w:noProof/>
        </w:rPr>
        <w:t xml:space="preserve"> w</w:t>
      </w:r>
      <w:r w:rsidR="00FF009C">
        <w:rPr>
          <w:noProof/>
        </w:rPr>
        <w:t> </w:t>
      </w:r>
      <w:r w:rsidR="00FF009C" w:rsidRPr="00FF009C">
        <w:rPr>
          <w:noProof/>
        </w:rPr>
        <w:t>por</w:t>
      </w:r>
      <w:r w:rsidRPr="00FF009C">
        <w:rPr>
          <w:noProof/>
        </w:rPr>
        <w:t>ozumieniu</w:t>
      </w:r>
      <w:r w:rsidR="00FF009C" w:rsidRPr="00FF009C">
        <w:rPr>
          <w:noProof/>
        </w:rPr>
        <w:t xml:space="preserve"> z</w:t>
      </w:r>
      <w:r w:rsidR="00FF009C">
        <w:rPr>
          <w:noProof/>
        </w:rPr>
        <w:t> </w:t>
      </w:r>
      <w:r w:rsidR="00FF009C" w:rsidRPr="00FF009C">
        <w:rPr>
          <w:noProof/>
        </w:rPr>
        <w:t>wła</w:t>
      </w:r>
      <w:r w:rsidRPr="00FF009C">
        <w:rPr>
          <w:noProof/>
        </w:rPr>
        <w:t>ściwymi organami tego państwa członkowskiego i za ich zgodą.”;</w:t>
      </w:r>
    </w:p>
    <w:p w14:paraId="5B1D6BCC" w14:textId="4CA1BAD0" w:rsidR="0043039B" w:rsidRPr="00FF009C" w:rsidRDefault="0043039B" w:rsidP="0043039B">
      <w:pPr>
        <w:rPr>
          <w:noProof/>
        </w:rPr>
      </w:pPr>
      <w:r w:rsidRPr="00FF009C">
        <w:rPr>
          <w:noProof/>
        </w:rPr>
        <w:t xml:space="preserve">2) </w:t>
      </w:r>
      <w:r w:rsidRPr="00FF009C">
        <w:rPr>
          <w:noProof/>
        </w:rPr>
        <w:tab/>
      </w:r>
      <w:bookmarkStart w:id="5" w:name="_Hlk149559375"/>
      <w:r w:rsidRPr="00FF009C">
        <w:rPr>
          <w:noProof/>
        </w:rPr>
        <w:t>w art.</w:t>
      </w:r>
      <w:r w:rsidR="00FF009C" w:rsidRPr="00FF009C">
        <w:rPr>
          <w:noProof/>
        </w:rPr>
        <w:t> </w:t>
      </w:r>
      <w:r w:rsidRPr="00FF009C">
        <w:rPr>
          <w:noProof/>
        </w:rPr>
        <w:t>4 wprowadza się następujące zmiany:</w:t>
      </w:r>
    </w:p>
    <w:p w14:paraId="12BD46C1" w14:textId="515ADA6F" w:rsidR="0043039B" w:rsidRPr="00FF009C" w:rsidRDefault="0043039B" w:rsidP="0043039B">
      <w:pPr>
        <w:rPr>
          <w:noProof/>
        </w:rPr>
      </w:pPr>
      <w:r w:rsidRPr="00FF009C">
        <w:rPr>
          <w:noProof/>
        </w:rPr>
        <w:tab/>
        <w:t>a)</w:t>
      </w:r>
      <w:r w:rsidR="00FF009C" w:rsidRPr="00FF009C">
        <w:rPr>
          <w:noProof/>
        </w:rPr>
        <w:t xml:space="preserve"> w</w:t>
      </w:r>
      <w:r w:rsidR="00FF009C">
        <w:rPr>
          <w:noProof/>
        </w:rPr>
        <w:t> </w:t>
      </w:r>
      <w:r w:rsidR="00FF009C" w:rsidRPr="00FF009C">
        <w:rPr>
          <w:noProof/>
        </w:rPr>
        <w:t>ust</w:t>
      </w:r>
      <w:r w:rsidRPr="00FF009C">
        <w:rPr>
          <w:noProof/>
        </w:rPr>
        <w:t>.</w:t>
      </w:r>
      <w:r w:rsidR="00FF009C" w:rsidRPr="00FF009C">
        <w:rPr>
          <w:noProof/>
        </w:rPr>
        <w:t> </w:t>
      </w:r>
      <w:r w:rsidRPr="00FF009C">
        <w:rPr>
          <w:noProof/>
        </w:rPr>
        <w:t xml:space="preserve">1 wprowadza się następujące zmiany: </w:t>
      </w:r>
    </w:p>
    <w:p w14:paraId="02502532" w14:textId="14114A2A" w:rsidR="0043039B" w:rsidRPr="00FF009C" w:rsidRDefault="0043039B" w:rsidP="0043039B">
      <w:pPr>
        <w:rPr>
          <w:noProof/>
        </w:rPr>
      </w:pPr>
      <w:bookmarkStart w:id="6" w:name="_Hlk149554065"/>
      <w:r w:rsidRPr="00FF009C">
        <w:rPr>
          <w:noProof/>
        </w:rPr>
        <w:tab/>
        <w:t>(i) lit.</w:t>
      </w:r>
      <w:r w:rsidR="00FF009C" w:rsidRPr="00FF009C">
        <w:rPr>
          <w:noProof/>
        </w:rPr>
        <w:t> </w:t>
      </w:r>
      <w:r w:rsidRPr="00FF009C">
        <w:rPr>
          <w:noProof/>
        </w:rPr>
        <w:t xml:space="preserve">c) otrzymuje brzmienie: </w:t>
      </w:r>
    </w:p>
    <w:bookmarkEnd w:id="6"/>
    <w:p w14:paraId="57AFA2CA" w14:textId="1338D918" w:rsidR="0043039B" w:rsidRPr="00FF009C" w:rsidRDefault="007B5453" w:rsidP="0043039B">
      <w:pPr>
        <w:rPr>
          <w:noProof/>
        </w:rPr>
      </w:pPr>
      <w:r w:rsidRPr="00FF009C">
        <w:rPr>
          <w:noProof/>
        </w:rPr>
        <w:t>„c)</w:t>
      </w:r>
      <w:r w:rsidRPr="00FF009C">
        <w:rPr>
          <w:noProof/>
        </w:rPr>
        <w:tab/>
        <w:t>koordynuje, organizuje</w:t>
      </w:r>
      <w:r w:rsidR="00FF009C" w:rsidRPr="00FF009C">
        <w:rPr>
          <w:noProof/>
        </w:rPr>
        <w:t xml:space="preserve"> i</w:t>
      </w:r>
      <w:r w:rsidR="00FF009C">
        <w:rPr>
          <w:noProof/>
        </w:rPr>
        <w:t> </w:t>
      </w:r>
      <w:r w:rsidR="00FF009C" w:rsidRPr="00FF009C">
        <w:rPr>
          <w:noProof/>
        </w:rPr>
        <w:t>pro</w:t>
      </w:r>
      <w:r w:rsidRPr="00FF009C">
        <w:rPr>
          <w:noProof/>
        </w:rPr>
        <w:t>wadzi działania procesowe</w:t>
      </w:r>
      <w:r w:rsidR="00FF009C" w:rsidRPr="00FF009C">
        <w:rPr>
          <w:noProof/>
        </w:rPr>
        <w:t xml:space="preserve"> i</w:t>
      </w:r>
      <w:r w:rsidR="00FF009C">
        <w:rPr>
          <w:noProof/>
        </w:rPr>
        <w:t> </w:t>
      </w:r>
      <w:r w:rsidR="00FF009C" w:rsidRPr="00FF009C">
        <w:rPr>
          <w:noProof/>
        </w:rPr>
        <w:t>ope</w:t>
      </w:r>
      <w:r w:rsidRPr="00FF009C">
        <w:rPr>
          <w:noProof/>
        </w:rPr>
        <w:t>racyjne mające na celu wspieranie</w:t>
      </w:r>
      <w:r w:rsidR="00FF009C" w:rsidRPr="00FF009C">
        <w:rPr>
          <w:noProof/>
        </w:rPr>
        <w:t xml:space="preserve"> i</w:t>
      </w:r>
      <w:r w:rsidR="00FF009C">
        <w:rPr>
          <w:noProof/>
        </w:rPr>
        <w:t> </w:t>
      </w:r>
      <w:r w:rsidR="00FF009C" w:rsidRPr="00FF009C">
        <w:rPr>
          <w:noProof/>
        </w:rPr>
        <w:t>wzm</w:t>
      </w:r>
      <w:r w:rsidRPr="00FF009C">
        <w:rPr>
          <w:noProof/>
        </w:rPr>
        <w:t>ocnienie działań właściwych organów państw członkowskich realizowanych:</w:t>
      </w:r>
    </w:p>
    <w:p w14:paraId="0804FEFF" w14:textId="13835058" w:rsidR="0043039B" w:rsidRPr="00FF009C" w:rsidRDefault="0043039B" w:rsidP="0043039B">
      <w:pPr>
        <w:rPr>
          <w:noProof/>
        </w:rPr>
      </w:pPr>
      <w:r w:rsidRPr="00FF009C">
        <w:rPr>
          <w:noProof/>
        </w:rPr>
        <w:t>(i) wspólnie</w:t>
      </w:r>
      <w:r w:rsidR="00FF009C" w:rsidRPr="00FF009C">
        <w:rPr>
          <w:noProof/>
        </w:rPr>
        <w:t xml:space="preserve"> z</w:t>
      </w:r>
      <w:r w:rsidR="00FF009C">
        <w:rPr>
          <w:noProof/>
        </w:rPr>
        <w:t> </w:t>
      </w:r>
      <w:r w:rsidR="00FF009C" w:rsidRPr="00FF009C">
        <w:rPr>
          <w:noProof/>
        </w:rPr>
        <w:t>wła</w:t>
      </w:r>
      <w:r w:rsidRPr="00FF009C">
        <w:rPr>
          <w:noProof/>
        </w:rPr>
        <w:t>ściwymi organami państw członkowskich;</w:t>
      </w:r>
    </w:p>
    <w:p w14:paraId="42B73E6D" w14:textId="082D8D88" w:rsidR="0043039B" w:rsidRPr="00FF009C" w:rsidRDefault="0043039B" w:rsidP="0043039B">
      <w:pPr>
        <w:rPr>
          <w:noProof/>
        </w:rPr>
      </w:pPr>
      <w:r w:rsidRPr="00FF009C">
        <w:rPr>
          <w:noProof/>
        </w:rPr>
        <w:t>(ii)</w:t>
      </w:r>
      <w:r w:rsidR="00FF009C" w:rsidRPr="00FF009C">
        <w:rPr>
          <w:noProof/>
        </w:rPr>
        <w:t xml:space="preserve"> w</w:t>
      </w:r>
      <w:r w:rsidR="00FF009C">
        <w:rPr>
          <w:noProof/>
        </w:rPr>
        <w:t> </w:t>
      </w:r>
      <w:r w:rsidR="00FF009C" w:rsidRPr="00FF009C">
        <w:rPr>
          <w:noProof/>
        </w:rPr>
        <w:t>ram</w:t>
      </w:r>
      <w:r w:rsidRPr="00FF009C">
        <w:rPr>
          <w:noProof/>
        </w:rPr>
        <w:t>ach wspólnych zespołów dochodzeniowo-śledczych, zgodnie</w:t>
      </w:r>
      <w:r w:rsidR="00FF009C" w:rsidRPr="00FF009C">
        <w:rPr>
          <w:noProof/>
        </w:rPr>
        <w:t xml:space="preserve"> z</w:t>
      </w:r>
      <w:r w:rsidR="00FF009C">
        <w:rPr>
          <w:noProof/>
        </w:rPr>
        <w:t> </w:t>
      </w:r>
      <w:r w:rsidR="00FF009C" w:rsidRPr="00FF009C">
        <w:rPr>
          <w:noProof/>
        </w:rPr>
        <w:t>art</w:t>
      </w:r>
      <w:r w:rsidRPr="00FF009C">
        <w:rPr>
          <w:noProof/>
        </w:rPr>
        <w:t>. 5,</w:t>
      </w:r>
      <w:r w:rsidR="00FF009C" w:rsidRPr="00FF009C">
        <w:rPr>
          <w:noProof/>
        </w:rPr>
        <w:t xml:space="preserve"> w</w:t>
      </w:r>
      <w:r w:rsidR="00FF009C">
        <w:rPr>
          <w:noProof/>
        </w:rPr>
        <w:t> </w:t>
      </w:r>
      <w:r w:rsidR="00FF009C" w:rsidRPr="00FF009C">
        <w:rPr>
          <w:noProof/>
        </w:rPr>
        <w:t>sto</w:t>
      </w:r>
      <w:r w:rsidRPr="00FF009C">
        <w:rPr>
          <w:noProof/>
        </w:rPr>
        <w:t>sownych przypadkach</w:t>
      </w:r>
      <w:r w:rsidR="00FF009C" w:rsidRPr="00FF009C">
        <w:rPr>
          <w:noProof/>
        </w:rPr>
        <w:t xml:space="preserve"> w</w:t>
      </w:r>
      <w:r w:rsidR="00FF009C">
        <w:rPr>
          <w:noProof/>
        </w:rPr>
        <w:t> </w:t>
      </w:r>
      <w:r w:rsidR="00FF009C" w:rsidRPr="00FF009C">
        <w:rPr>
          <w:noProof/>
        </w:rPr>
        <w:t>por</w:t>
      </w:r>
      <w:r w:rsidRPr="00FF009C">
        <w:rPr>
          <w:noProof/>
        </w:rPr>
        <w:t>ozumieniu</w:t>
      </w:r>
      <w:r w:rsidR="00FF009C" w:rsidRPr="00FF009C">
        <w:rPr>
          <w:noProof/>
        </w:rPr>
        <w:t xml:space="preserve"> z</w:t>
      </w:r>
      <w:r w:rsidR="00FF009C">
        <w:rPr>
          <w:noProof/>
        </w:rPr>
        <w:t> </w:t>
      </w:r>
      <w:r w:rsidR="00FF009C" w:rsidRPr="00FF009C">
        <w:rPr>
          <w:noProof/>
        </w:rPr>
        <w:t>Eur</w:t>
      </w:r>
      <w:r w:rsidRPr="00FF009C">
        <w:rPr>
          <w:noProof/>
        </w:rPr>
        <w:t xml:space="preserve">ojustem; </w:t>
      </w:r>
    </w:p>
    <w:p w14:paraId="0AE2A182" w14:textId="214EB6E9" w:rsidR="0043039B" w:rsidRPr="00FF009C" w:rsidRDefault="0043039B" w:rsidP="0043039B">
      <w:pPr>
        <w:rPr>
          <w:noProof/>
        </w:rPr>
      </w:pPr>
      <w:r w:rsidRPr="00FF009C">
        <w:rPr>
          <w:noProof/>
        </w:rPr>
        <w:t>(iii)</w:t>
      </w:r>
      <w:r w:rsidR="00FF009C" w:rsidRPr="00FF009C">
        <w:rPr>
          <w:noProof/>
        </w:rPr>
        <w:t xml:space="preserve"> w</w:t>
      </w:r>
      <w:r w:rsidR="00FF009C">
        <w:rPr>
          <w:noProof/>
        </w:rPr>
        <w:t> </w:t>
      </w:r>
      <w:r w:rsidR="00FF009C" w:rsidRPr="00FF009C">
        <w:rPr>
          <w:noProof/>
        </w:rPr>
        <w:t>kon</w:t>
      </w:r>
      <w:r w:rsidRPr="00FF009C">
        <w:rPr>
          <w:noProof/>
        </w:rPr>
        <w:t>tekście operacyjnych grup zadaniowych zgodnie</w:t>
      </w:r>
      <w:r w:rsidR="00FF009C" w:rsidRPr="00FF009C">
        <w:rPr>
          <w:noProof/>
        </w:rPr>
        <w:t xml:space="preserve"> z</w:t>
      </w:r>
      <w:r w:rsidR="00FF009C">
        <w:rPr>
          <w:noProof/>
        </w:rPr>
        <w:t> </w:t>
      </w:r>
      <w:r w:rsidR="00FF009C" w:rsidRPr="00FF009C">
        <w:rPr>
          <w:noProof/>
        </w:rPr>
        <w:t>art</w:t>
      </w:r>
      <w:r w:rsidRPr="00FF009C">
        <w:rPr>
          <w:noProof/>
        </w:rPr>
        <w:t>.</w:t>
      </w:r>
      <w:r w:rsidR="00FF009C" w:rsidRPr="00FF009C">
        <w:rPr>
          <w:noProof/>
        </w:rPr>
        <w:t> </w:t>
      </w:r>
      <w:r w:rsidRPr="00FF009C">
        <w:rPr>
          <w:noProof/>
        </w:rPr>
        <w:t xml:space="preserve">5a; </w:t>
      </w:r>
    </w:p>
    <w:p w14:paraId="335ABDC3" w14:textId="5430A719" w:rsidR="0043039B" w:rsidRPr="00FF009C" w:rsidRDefault="0043039B" w:rsidP="0043039B">
      <w:pPr>
        <w:rPr>
          <w:noProof/>
        </w:rPr>
      </w:pPr>
      <w:r w:rsidRPr="00FF009C">
        <w:rPr>
          <w:noProof/>
        </w:rPr>
        <w:t>(iv)</w:t>
      </w:r>
      <w:r w:rsidR="00FF009C" w:rsidRPr="00FF009C">
        <w:rPr>
          <w:noProof/>
        </w:rPr>
        <w:t xml:space="preserve"> w</w:t>
      </w:r>
      <w:r w:rsidR="00FF009C">
        <w:rPr>
          <w:noProof/>
        </w:rPr>
        <w:t> </w:t>
      </w:r>
      <w:r w:rsidR="00FF009C" w:rsidRPr="00FF009C">
        <w:rPr>
          <w:noProof/>
        </w:rPr>
        <w:t>kon</w:t>
      </w:r>
      <w:r w:rsidRPr="00FF009C">
        <w:rPr>
          <w:noProof/>
        </w:rPr>
        <w:t>tekście rozmieszczeń pracowników Europolu</w:t>
      </w:r>
      <w:r w:rsidR="00FF009C" w:rsidRPr="00FF009C">
        <w:rPr>
          <w:noProof/>
        </w:rPr>
        <w:t xml:space="preserve"> w</w:t>
      </w:r>
      <w:r w:rsidR="00FF009C">
        <w:rPr>
          <w:noProof/>
        </w:rPr>
        <w:t> </w:t>
      </w:r>
      <w:r w:rsidR="00FF009C" w:rsidRPr="00FF009C">
        <w:rPr>
          <w:noProof/>
        </w:rPr>
        <w:t>ram</w:t>
      </w:r>
      <w:r w:rsidRPr="00FF009C">
        <w:rPr>
          <w:noProof/>
        </w:rPr>
        <w:t>ach wsparcia operacyjnego zgodnie</w:t>
      </w:r>
      <w:r w:rsidR="00FF009C" w:rsidRPr="00FF009C">
        <w:rPr>
          <w:noProof/>
        </w:rPr>
        <w:t xml:space="preserve"> z</w:t>
      </w:r>
      <w:r w:rsidR="00FF009C">
        <w:rPr>
          <w:noProof/>
        </w:rPr>
        <w:t> </w:t>
      </w:r>
      <w:r w:rsidR="00FF009C" w:rsidRPr="00FF009C">
        <w:rPr>
          <w:noProof/>
        </w:rPr>
        <w:t>art</w:t>
      </w:r>
      <w:r w:rsidRPr="00FF009C">
        <w:rPr>
          <w:noProof/>
        </w:rPr>
        <w:t>.</w:t>
      </w:r>
      <w:r w:rsidR="00FF009C" w:rsidRPr="00FF009C">
        <w:rPr>
          <w:noProof/>
        </w:rPr>
        <w:t> </w:t>
      </w:r>
      <w:r w:rsidRPr="00FF009C">
        <w:rPr>
          <w:noProof/>
        </w:rPr>
        <w:t>5b;”;</w:t>
      </w:r>
    </w:p>
    <w:p w14:paraId="3B2EAAE5" w14:textId="3A161121" w:rsidR="0043039B" w:rsidRPr="00FF009C" w:rsidRDefault="0043039B" w:rsidP="0043039B">
      <w:pPr>
        <w:rPr>
          <w:noProof/>
        </w:rPr>
      </w:pPr>
      <w:r w:rsidRPr="00FF009C">
        <w:rPr>
          <w:noProof/>
        </w:rPr>
        <w:tab/>
        <w:t>(ii) lit.</w:t>
      </w:r>
      <w:r w:rsidR="00FF009C" w:rsidRPr="00FF009C">
        <w:rPr>
          <w:noProof/>
        </w:rPr>
        <w:t> </w:t>
      </w:r>
      <w:r w:rsidRPr="00FF009C">
        <w:rPr>
          <w:noProof/>
        </w:rPr>
        <w:t>h) otrzymuje brzmienie:</w:t>
      </w:r>
    </w:p>
    <w:p w14:paraId="085EF0DB" w14:textId="7D8660AC" w:rsidR="0043039B" w:rsidRPr="00FF009C" w:rsidRDefault="007B5453" w:rsidP="0043039B">
      <w:pPr>
        <w:rPr>
          <w:noProof/>
        </w:rPr>
      </w:pPr>
      <w:r w:rsidRPr="00FF009C">
        <w:rPr>
          <w:noProof/>
        </w:rPr>
        <w:t>„h)</w:t>
      </w:r>
      <w:r w:rsidRPr="00FF009C">
        <w:rPr>
          <w:noProof/>
        </w:rPr>
        <w:tab/>
        <w:t>wspiera prowadzone przez państwa członkowskie transgraniczne działania</w:t>
      </w:r>
      <w:r w:rsidR="00FF009C" w:rsidRPr="00FF009C">
        <w:rPr>
          <w:noProof/>
        </w:rPr>
        <w:t xml:space="preserve"> w</w:t>
      </w:r>
      <w:r w:rsidR="00FF009C">
        <w:rPr>
          <w:noProof/>
        </w:rPr>
        <w:t> </w:t>
      </w:r>
      <w:r w:rsidR="00FF009C" w:rsidRPr="00FF009C">
        <w:rPr>
          <w:noProof/>
        </w:rPr>
        <w:t>zak</w:t>
      </w:r>
      <w:r w:rsidRPr="00FF009C">
        <w:rPr>
          <w:noProof/>
        </w:rPr>
        <w:t>resie wymiany informacji, transgraniczne operacje</w:t>
      </w:r>
      <w:r w:rsidR="00FF009C" w:rsidRPr="00FF009C">
        <w:rPr>
          <w:noProof/>
        </w:rPr>
        <w:t xml:space="preserve"> i</w:t>
      </w:r>
      <w:r w:rsidR="00FF009C">
        <w:rPr>
          <w:noProof/>
        </w:rPr>
        <w:t> </w:t>
      </w:r>
      <w:r w:rsidR="00FF009C" w:rsidRPr="00FF009C">
        <w:rPr>
          <w:noProof/>
        </w:rPr>
        <w:t>pos</w:t>
      </w:r>
      <w:r w:rsidRPr="00FF009C">
        <w:rPr>
          <w:noProof/>
        </w:rPr>
        <w:t>tępowania przygotowawcze,</w:t>
      </w:r>
      <w:r w:rsidR="00FF009C" w:rsidRPr="00FF009C">
        <w:rPr>
          <w:noProof/>
        </w:rPr>
        <w:t xml:space="preserve"> a</w:t>
      </w:r>
      <w:r w:rsidR="00FF009C">
        <w:rPr>
          <w:noProof/>
        </w:rPr>
        <w:t> </w:t>
      </w:r>
      <w:r w:rsidR="00FF009C" w:rsidRPr="00FF009C">
        <w:rPr>
          <w:noProof/>
        </w:rPr>
        <w:t>tak</w:t>
      </w:r>
      <w:r w:rsidRPr="00FF009C">
        <w:rPr>
          <w:noProof/>
        </w:rPr>
        <w:t>że wspólne zespoły dochodzeniowo-śledcze</w:t>
      </w:r>
      <w:r w:rsidR="00FF009C" w:rsidRPr="00FF009C">
        <w:rPr>
          <w:noProof/>
        </w:rPr>
        <w:t xml:space="preserve"> i</w:t>
      </w:r>
      <w:r w:rsidR="00FF009C">
        <w:rPr>
          <w:noProof/>
        </w:rPr>
        <w:t> </w:t>
      </w:r>
      <w:r w:rsidR="00FF009C" w:rsidRPr="00FF009C">
        <w:rPr>
          <w:noProof/>
        </w:rPr>
        <w:t>ope</w:t>
      </w:r>
      <w:r w:rsidRPr="00FF009C">
        <w:rPr>
          <w:noProof/>
        </w:rPr>
        <w:t>racyjne grupy zadaniowe, między innymi dostarczając wsparcie analityczne, operacyjne, techniczne, kryminalistyczne</w:t>
      </w:r>
      <w:r w:rsidR="00FF009C" w:rsidRPr="00FF009C">
        <w:rPr>
          <w:noProof/>
        </w:rPr>
        <w:t xml:space="preserve"> i</w:t>
      </w:r>
      <w:r w:rsidR="00FF009C">
        <w:rPr>
          <w:noProof/>
        </w:rPr>
        <w:t> </w:t>
      </w:r>
      <w:r w:rsidR="00FF009C" w:rsidRPr="00FF009C">
        <w:rPr>
          <w:noProof/>
        </w:rPr>
        <w:t>fin</w:t>
      </w:r>
      <w:r w:rsidRPr="00FF009C">
        <w:rPr>
          <w:noProof/>
        </w:rPr>
        <w:t>ansowe;”;</w:t>
      </w:r>
    </w:p>
    <w:p w14:paraId="3D4AB6FC" w14:textId="2971F104" w:rsidR="0043039B" w:rsidRPr="00FF009C" w:rsidRDefault="0043039B" w:rsidP="0043039B">
      <w:pPr>
        <w:rPr>
          <w:noProof/>
        </w:rPr>
      </w:pPr>
      <w:r w:rsidRPr="00FF009C">
        <w:rPr>
          <w:noProof/>
        </w:rPr>
        <w:tab/>
        <w:t>(iii) lit.</w:t>
      </w:r>
      <w:r w:rsidR="00FF009C" w:rsidRPr="00FF009C">
        <w:rPr>
          <w:noProof/>
        </w:rPr>
        <w:t> </w:t>
      </w:r>
      <w:r w:rsidRPr="00FF009C">
        <w:rPr>
          <w:noProof/>
        </w:rPr>
        <w:t>l) otrzymuje brzmienie:</w:t>
      </w:r>
    </w:p>
    <w:p w14:paraId="765AA893" w14:textId="1CB519D7" w:rsidR="009C036B" w:rsidRPr="00FF009C" w:rsidRDefault="007B5453" w:rsidP="0043039B">
      <w:pPr>
        <w:rPr>
          <w:noProof/>
        </w:rPr>
      </w:pPr>
      <w:r w:rsidRPr="00FF009C">
        <w:rPr>
          <w:noProof/>
        </w:rPr>
        <w:t>„l)</w:t>
      </w:r>
      <w:r w:rsidRPr="00FF009C">
        <w:rPr>
          <w:noProof/>
        </w:rPr>
        <w:tab/>
        <w:t>rozwija ośrodki Unii dysponujące specjalistyczną wiedzą fachową</w:t>
      </w:r>
      <w:r w:rsidR="00FF009C" w:rsidRPr="00FF009C">
        <w:rPr>
          <w:noProof/>
        </w:rPr>
        <w:t xml:space="preserve"> w</w:t>
      </w:r>
      <w:r w:rsidR="00FF009C">
        <w:rPr>
          <w:noProof/>
        </w:rPr>
        <w:t> </w:t>
      </w:r>
      <w:r w:rsidR="00FF009C" w:rsidRPr="00FF009C">
        <w:rPr>
          <w:noProof/>
        </w:rPr>
        <w:t>zak</w:t>
      </w:r>
      <w:r w:rsidRPr="00FF009C">
        <w:rPr>
          <w:noProof/>
        </w:rPr>
        <w:t>resie zwalczania niektórych rodzajów przestępstw objętych celami Europolu,</w:t>
      </w:r>
      <w:r w:rsidR="00FF009C" w:rsidRPr="00FF009C">
        <w:rPr>
          <w:noProof/>
        </w:rPr>
        <w:t xml:space="preserve"> w</w:t>
      </w:r>
      <w:r w:rsidR="00FF009C">
        <w:rPr>
          <w:noProof/>
        </w:rPr>
        <w:t> </w:t>
      </w:r>
      <w:r w:rsidR="00FF009C" w:rsidRPr="00FF009C">
        <w:rPr>
          <w:noProof/>
        </w:rPr>
        <w:t>tym</w:t>
      </w:r>
      <w:r w:rsidRPr="00FF009C">
        <w:rPr>
          <w:noProof/>
        </w:rPr>
        <w:t xml:space="preserve"> Europejskie Centrum ds. Walki</w:t>
      </w:r>
      <w:r w:rsidR="00FF009C" w:rsidRPr="00FF009C">
        <w:rPr>
          <w:noProof/>
        </w:rPr>
        <w:t xml:space="preserve"> z</w:t>
      </w:r>
      <w:r w:rsidR="00FF009C">
        <w:rPr>
          <w:noProof/>
        </w:rPr>
        <w:t> </w:t>
      </w:r>
      <w:r w:rsidR="00FF009C" w:rsidRPr="00FF009C">
        <w:rPr>
          <w:noProof/>
        </w:rPr>
        <w:t>Cyb</w:t>
      </w:r>
      <w:r w:rsidRPr="00FF009C">
        <w:rPr>
          <w:noProof/>
        </w:rPr>
        <w:t>erprzestępczością oraz – zgodnie</w:t>
      </w:r>
      <w:r w:rsidR="00FF009C" w:rsidRPr="00FF009C">
        <w:rPr>
          <w:noProof/>
        </w:rPr>
        <w:t xml:space="preserve"> z</w:t>
      </w:r>
      <w:r w:rsidR="00FF009C">
        <w:rPr>
          <w:noProof/>
        </w:rPr>
        <w:t> </w:t>
      </w:r>
      <w:r w:rsidR="00FF009C" w:rsidRPr="00FF009C">
        <w:rPr>
          <w:noProof/>
        </w:rPr>
        <w:t>roz</w:t>
      </w:r>
      <w:r w:rsidRPr="00FF009C">
        <w:rPr>
          <w:noProof/>
        </w:rPr>
        <w:t>porządzeniem Parlamentu Europejskiego</w:t>
      </w:r>
      <w:r w:rsidR="00FF009C" w:rsidRPr="00FF009C">
        <w:rPr>
          <w:noProof/>
        </w:rPr>
        <w:t xml:space="preserve"> i</w:t>
      </w:r>
      <w:r w:rsidR="00FF009C">
        <w:rPr>
          <w:noProof/>
        </w:rPr>
        <w:t> </w:t>
      </w:r>
      <w:r w:rsidR="00FF009C" w:rsidRPr="00FF009C">
        <w:rPr>
          <w:noProof/>
        </w:rPr>
        <w:t>Rad</w:t>
      </w:r>
      <w:r w:rsidRPr="00FF009C">
        <w:rPr>
          <w:noProof/>
        </w:rPr>
        <w:t>y (UE) .../...* [</w:t>
      </w:r>
      <w:r w:rsidRPr="00FF009C">
        <w:rPr>
          <w:i/>
          <w:noProof/>
        </w:rPr>
        <w:t>rozporządzenie</w:t>
      </w:r>
      <w:r w:rsidR="00FF009C" w:rsidRPr="00FF009C">
        <w:rPr>
          <w:i/>
          <w:noProof/>
        </w:rPr>
        <w:t xml:space="preserve"> w</w:t>
      </w:r>
      <w:r w:rsidR="00FF009C">
        <w:rPr>
          <w:i/>
          <w:noProof/>
        </w:rPr>
        <w:t> </w:t>
      </w:r>
      <w:r w:rsidR="00FF009C" w:rsidRPr="00FF009C">
        <w:rPr>
          <w:i/>
          <w:noProof/>
        </w:rPr>
        <w:t>spr</w:t>
      </w:r>
      <w:r w:rsidRPr="00FF009C">
        <w:rPr>
          <w:i/>
          <w:noProof/>
        </w:rPr>
        <w:t>awie zwalczania przemytu migrantów</w:t>
      </w:r>
      <w:r w:rsidRPr="00FF009C">
        <w:rPr>
          <w:noProof/>
        </w:rPr>
        <w:t>] – Europejskie Centrum Zwalczania Przemytu Migrantów;</w:t>
      </w:r>
    </w:p>
    <w:p w14:paraId="0F02171A" w14:textId="77777777" w:rsidR="009C036B" w:rsidRPr="00FF009C" w:rsidRDefault="009C036B" w:rsidP="0043039B">
      <w:pPr>
        <w:rPr>
          <w:noProof/>
        </w:rPr>
      </w:pPr>
      <w:r w:rsidRPr="00FF009C">
        <w:rPr>
          <w:noProof/>
        </w:rPr>
        <w:t>_________</w:t>
      </w:r>
    </w:p>
    <w:p w14:paraId="49899C9E" w14:textId="4A6F59DD" w:rsidR="0043039B" w:rsidRPr="00FF009C" w:rsidRDefault="009C036B" w:rsidP="0043039B">
      <w:pPr>
        <w:rPr>
          <w:noProof/>
        </w:rPr>
      </w:pPr>
      <w:r w:rsidRPr="00FF009C">
        <w:rPr>
          <w:noProof/>
        </w:rPr>
        <w:t xml:space="preserve">* </w:t>
      </w:r>
      <w:r w:rsidRPr="00FF009C">
        <w:rPr>
          <w:i/>
          <w:noProof/>
        </w:rPr>
        <w:t>Rozporządzenie Parlamentu Europejskiego</w:t>
      </w:r>
      <w:r w:rsidR="00FF009C" w:rsidRPr="00FF009C">
        <w:rPr>
          <w:i/>
          <w:noProof/>
        </w:rPr>
        <w:t xml:space="preserve"> i</w:t>
      </w:r>
      <w:r w:rsidR="00FF009C">
        <w:rPr>
          <w:i/>
          <w:noProof/>
        </w:rPr>
        <w:t> </w:t>
      </w:r>
      <w:r w:rsidR="00FF009C" w:rsidRPr="00FF009C">
        <w:rPr>
          <w:i/>
          <w:noProof/>
        </w:rPr>
        <w:t>Rad</w:t>
      </w:r>
      <w:r w:rsidRPr="00FF009C">
        <w:rPr>
          <w:i/>
          <w:noProof/>
        </w:rPr>
        <w:t>y (UE) .../...</w:t>
      </w:r>
      <w:r w:rsidR="00FF009C" w:rsidRPr="00FF009C">
        <w:rPr>
          <w:i/>
          <w:noProof/>
        </w:rPr>
        <w:t xml:space="preserve"> z</w:t>
      </w:r>
      <w:r w:rsidR="00FF009C">
        <w:rPr>
          <w:i/>
          <w:noProof/>
        </w:rPr>
        <w:t> </w:t>
      </w:r>
      <w:r w:rsidR="00FF009C" w:rsidRPr="00FF009C">
        <w:rPr>
          <w:i/>
          <w:noProof/>
        </w:rPr>
        <w:t>dni</w:t>
      </w:r>
      <w:r w:rsidRPr="00FF009C">
        <w:rPr>
          <w:i/>
          <w:noProof/>
        </w:rPr>
        <w:t>a ... r.</w:t>
      </w:r>
      <w:r w:rsidR="00FF009C" w:rsidRPr="00FF009C">
        <w:rPr>
          <w:i/>
          <w:noProof/>
        </w:rPr>
        <w:t xml:space="preserve"> w</w:t>
      </w:r>
      <w:r w:rsidR="00FF009C">
        <w:rPr>
          <w:i/>
          <w:noProof/>
        </w:rPr>
        <w:t> </w:t>
      </w:r>
      <w:r w:rsidR="00FF009C" w:rsidRPr="00FF009C">
        <w:rPr>
          <w:i/>
          <w:noProof/>
        </w:rPr>
        <w:t>spr</w:t>
      </w:r>
      <w:r w:rsidRPr="00FF009C">
        <w:rPr>
          <w:i/>
          <w:noProof/>
        </w:rPr>
        <w:t>awie wzmocnienia współpracy policyjnej</w:t>
      </w:r>
      <w:r w:rsidR="00FF009C" w:rsidRPr="00FF009C">
        <w:rPr>
          <w:i/>
          <w:noProof/>
        </w:rPr>
        <w:t xml:space="preserve"> w</w:t>
      </w:r>
      <w:r w:rsidR="00FF009C">
        <w:rPr>
          <w:i/>
          <w:noProof/>
        </w:rPr>
        <w:t> </w:t>
      </w:r>
      <w:r w:rsidR="00FF009C" w:rsidRPr="00FF009C">
        <w:rPr>
          <w:i/>
          <w:noProof/>
        </w:rPr>
        <w:t>odn</w:t>
      </w:r>
      <w:r w:rsidRPr="00FF009C">
        <w:rPr>
          <w:i/>
          <w:noProof/>
        </w:rPr>
        <w:t>iesieniu do zapobiegania przemytowi migrantów</w:t>
      </w:r>
      <w:r w:rsidR="00FF009C" w:rsidRPr="00FF009C">
        <w:rPr>
          <w:i/>
          <w:noProof/>
        </w:rPr>
        <w:t xml:space="preserve"> i</w:t>
      </w:r>
      <w:r w:rsidR="00FF009C">
        <w:rPr>
          <w:i/>
          <w:noProof/>
        </w:rPr>
        <w:t> </w:t>
      </w:r>
      <w:r w:rsidR="00FF009C" w:rsidRPr="00FF009C">
        <w:rPr>
          <w:i/>
          <w:noProof/>
        </w:rPr>
        <w:t>han</w:t>
      </w:r>
      <w:r w:rsidRPr="00FF009C">
        <w:rPr>
          <w:i/>
          <w:noProof/>
        </w:rPr>
        <w:t>dlowi ludźmi, wykrywania tych przestępstw oraz prowadzenia stosownych postępowań przygotowawczych</w:t>
      </w:r>
      <w:r w:rsidR="00FF009C" w:rsidRPr="00FF009C">
        <w:rPr>
          <w:i/>
          <w:noProof/>
        </w:rPr>
        <w:t xml:space="preserve"> w</w:t>
      </w:r>
      <w:r w:rsidR="00FF009C">
        <w:rPr>
          <w:i/>
          <w:noProof/>
        </w:rPr>
        <w:t> </w:t>
      </w:r>
      <w:r w:rsidR="00FF009C" w:rsidRPr="00FF009C">
        <w:rPr>
          <w:i/>
          <w:noProof/>
        </w:rPr>
        <w:t>tym</w:t>
      </w:r>
      <w:r w:rsidRPr="00FF009C">
        <w:rPr>
          <w:i/>
          <w:noProof/>
        </w:rPr>
        <w:t xml:space="preserve"> zakresie</w:t>
      </w:r>
      <w:r w:rsidR="00FF009C" w:rsidRPr="00FF009C">
        <w:rPr>
          <w:i/>
          <w:noProof/>
        </w:rPr>
        <w:t xml:space="preserve"> i</w:t>
      </w:r>
      <w:r w:rsidR="00FF009C">
        <w:rPr>
          <w:i/>
          <w:noProof/>
        </w:rPr>
        <w:t> </w:t>
      </w:r>
      <w:r w:rsidR="00FF009C" w:rsidRPr="00FF009C">
        <w:rPr>
          <w:i/>
          <w:noProof/>
        </w:rPr>
        <w:t>w</w:t>
      </w:r>
      <w:r w:rsidR="00FF009C">
        <w:rPr>
          <w:i/>
          <w:noProof/>
        </w:rPr>
        <w:t> </w:t>
      </w:r>
      <w:r w:rsidR="00FF009C" w:rsidRPr="00FF009C">
        <w:rPr>
          <w:i/>
          <w:noProof/>
        </w:rPr>
        <w:t>spr</w:t>
      </w:r>
      <w:r w:rsidRPr="00FF009C">
        <w:rPr>
          <w:i/>
          <w:noProof/>
        </w:rPr>
        <w:t>awie zwiększenia wsparcia Europolu na rzecz zapobiegania tego rodzaju przestępstwom</w:t>
      </w:r>
      <w:r w:rsidR="00FF009C" w:rsidRPr="00FF009C">
        <w:rPr>
          <w:i/>
          <w:noProof/>
        </w:rPr>
        <w:t xml:space="preserve"> i</w:t>
      </w:r>
      <w:r w:rsidR="00FF009C">
        <w:rPr>
          <w:i/>
          <w:noProof/>
        </w:rPr>
        <w:t> </w:t>
      </w:r>
      <w:r w:rsidR="00FF009C" w:rsidRPr="00FF009C">
        <w:rPr>
          <w:i/>
          <w:noProof/>
        </w:rPr>
        <w:t>ich</w:t>
      </w:r>
      <w:r w:rsidRPr="00FF009C">
        <w:rPr>
          <w:i/>
          <w:noProof/>
        </w:rPr>
        <w:t xml:space="preserve"> zwalczania oraz zmiany rozporządzenia (UE) 2016/794 (Dz.U. L ..., ELI: ...)</w:t>
      </w:r>
      <w:r w:rsidRPr="00FF009C">
        <w:rPr>
          <w:noProof/>
        </w:rPr>
        <w:t>”;</w:t>
      </w:r>
    </w:p>
    <w:p w14:paraId="63217982" w14:textId="77777777" w:rsidR="0043039B" w:rsidRPr="00FF009C" w:rsidRDefault="0043039B" w:rsidP="0043039B">
      <w:pPr>
        <w:rPr>
          <w:noProof/>
        </w:rPr>
      </w:pPr>
      <w:r w:rsidRPr="00FF009C">
        <w:rPr>
          <w:noProof/>
        </w:rPr>
        <w:tab/>
        <w:t xml:space="preserve">(iv) lit. s) otrzymuje brzmienie: </w:t>
      </w:r>
    </w:p>
    <w:p w14:paraId="163F5FCC" w14:textId="7727931C" w:rsidR="0043039B" w:rsidRPr="00FF009C" w:rsidRDefault="007B5453" w:rsidP="0043039B">
      <w:pPr>
        <w:rPr>
          <w:noProof/>
        </w:rPr>
      </w:pPr>
      <w:r w:rsidRPr="00FF009C">
        <w:rPr>
          <w:noProof/>
        </w:rPr>
        <w:t>„s) ułatwia prowadzenie wspólnych, skoordynowanych</w:t>
      </w:r>
      <w:r w:rsidR="00FF009C" w:rsidRPr="00FF009C">
        <w:rPr>
          <w:noProof/>
        </w:rPr>
        <w:t xml:space="preserve"> i</w:t>
      </w:r>
      <w:r w:rsidR="00FF009C">
        <w:rPr>
          <w:noProof/>
        </w:rPr>
        <w:t> </w:t>
      </w:r>
      <w:r w:rsidR="00FF009C" w:rsidRPr="00FF009C">
        <w:rPr>
          <w:noProof/>
        </w:rPr>
        <w:t>uki</w:t>
      </w:r>
      <w:r w:rsidRPr="00FF009C">
        <w:rPr>
          <w:noProof/>
        </w:rPr>
        <w:t>erunkowanych działań</w:t>
      </w:r>
      <w:r w:rsidR="00FF009C" w:rsidRPr="00FF009C">
        <w:rPr>
          <w:noProof/>
        </w:rPr>
        <w:t xml:space="preserve"> w</w:t>
      </w:r>
      <w:r w:rsidR="00FF009C">
        <w:rPr>
          <w:noProof/>
        </w:rPr>
        <w:t> </w:t>
      </w:r>
      <w:r w:rsidR="00FF009C" w:rsidRPr="00FF009C">
        <w:rPr>
          <w:noProof/>
        </w:rPr>
        <w:t>zak</w:t>
      </w:r>
      <w:r w:rsidRPr="00FF009C">
        <w:rPr>
          <w:noProof/>
        </w:rPr>
        <w:t>resie wywiadu kryminalnego</w:t>
      </w:r>
      <w:r w:rsidR="00FF009C" w:rsidRPr="00FF009C">
        <w:rPr>
          <w:noProof/>
        </w:rPr>
        <w:t xml:space="preserve"> i</w:t>
      </w:r>
      <w:r w:rsidR="00FF009C">
        <w:rPr>
          <w:noProof/>
        </w:rPr>
        <w:t> </w:t>
      </w:r>
      <w:r w:rsidR="00FF009C" w:rsidRPr="00FF009C">
        <w:rPr>
          <w:noProof/>
        </w:rPr>
        <w:t>pos</w:t>
      </w:r>
      <w:r w:rsidRPr="00FF009C">
        <w:rPr>
          <w:noProof/>
        </w:rPr>
        <w:t>tępowań przygotowawczych, m.in.</w:t>
      </w:r>
      <w:r w:rsidR="00FF009C" w:rsidRPr="00FF009C">
        <w:rPr>
          <w:noProof/>
        </w:rPr>
        <w:t xml:space="preserve"> w</w:t>
      </w:r>
      <w:r w:rsidR="00FF009C">
        <w:rPr>
          <w:noProof/>
        </w:rPr>
        <w:t> </w:t>
      </w:r>
      <w:r w:rsidR="00FF009C" w:rsidRPr="00FF009C">
        <w:rPr>
          <w:noProof/>
        </w:rPr>
        <w:t>odn</w:t>
      </w:r>
      <w:r w:rsidRPr="00FF009C">
        <w:rPr>
          <w:noProof/>
        </w:rPr>
        <w:t>iesieniu do osób,</w:t>
      </w:r>
      <w:r w:rsidR="00FF009C" w:rsidRPr="00FF009C">
        <w:rPr>
          <w:noProof/>
        </w:rPr>
        <w:t xml:space="preserve"> o</w:t>
      </w:r>
      <w:r w:rsidR="00FF009C">
        <w:rPr>
          <w:noProof/>
        </w:rPr>
        <w:t> </w:t>
      </w:r>
      <w:r w:rsidR="00FF009C" w:rsidRPr="00FF009C">
        <w:rPr>
          <w:noProof/>
        </w:rPr>
        <w:t>któ</w:t>
      </w:r>
      <w:r w:rsidRPr="00FF009C">
        <w:rPr>
          <w:noProof/>
        </w:rPr>
        <w:t>rych mowa</w:t>
      </w:r>
      <w:r w:rsidR="00FF009C" w:rsidRPr="00FF009C">
        <w:rPr>
          <w:noProof/>
        </w:rPr>
        <w:t xml:space="preserve"> w</w:t>
      </w:r>
      <w:r w:rsidR="00FF009C">
        <w:rPr>
          <w:noProof/>
        </w:rPr>
        <w:t> </w:t>
      </w:r>
      <w:r w:rsidR="00FF009C" w:rsidRPr="00FF009C">
        <w:rPr>
          <w:noProof/>
        </w:rPr>
        <w:t>lit</w:t>
      </w:r>
      <w:r w:rsidRPr="00FF009C">
        <w:rPr>
          <w:noProof/>
        </w:rPr>
        <w:t>.</w:t>
      </w:r>
      <w:r w:rsidR="00FF009C" w:rsidRPr="00FF009C">
        <w:rPr>
          <w:noProof/>
        </w:rPr>
        <w:t> </w:t>
      </w:r>
      <w:r w:rsidRPr="00FF009C">
        <w:rPr>
          <w:noProof/>
        </w:rPr>
        <w:t>r), również za pośrednictwem operacyjnych grup zadaniowych</w:t>
      </w:r>
      <w:r w:rsidR="00FF009C" w:rsidRPr="00FF009C">
        <w:rPr>
          <w:noProof/>
        </w:rPr>
        <w:t xml:space="preserve"> i</w:t>
      </w:r>
      <w:r w:rsidR="00FF009C">
        <w:rPr>
          <w:noProof/>
        </w:rPr>
        <w:t> </w:t>
      </w:r>
      <w:r w:rsidR="00FF009C" w:rsidRPr="00FF009C">
        <w:rPr>
          <w:noProof/>
        </w:rPr>
        <w:t>prz</w:t>
      </w:r>
      <w:r w:rsidRPr="00FF009C">
        <w:rPr>
          <w:noProof/>
        </w:rPr>
        <w:t>ez rozmieszczanie pracowników Europolu</w:t>
      </w:r>
      <w:r w:rsidR="00FF009C" w:rsidRPr="00FF009C">
        <w:rPr>
          <w:noProof/>
        </w:rPr>
        <w:t xml:space="preserve"> w</w:t>
      </w:r>
      <w:r w:rsidR="00FF009C">
        <w:rPr>
          <w:noProof/>
        </w:rPr>
        <w:t> </w:t>
      </w:r>
      <w:r w:rsidR="00FF009C" w:rsidRPr="00FF009C">
        <w:rPr>
          <w:noProof/>
        </w:rPr>
        <w:t>ram</w:t>
      </w:r>
      <w:r w:rsidRPr="00FF009C">
        <w:rPr>
          <w:noProof/>
        </w:rPr>
        <w:t>ach wsparcia operacyjnego;”;</w:t>
      </w:r>
    </w:p>
    <w:p w14:paraId="184ADA59" w14:textId="28899B76" w:rsidR="0043039B" w:rsidRPr="00FF009C" w:rsidRDefault="0043039B" w:rsidP="0043039B">
      <w:pPr>
        <w:rPr>
          <w:noProof/>
        </w:rPr>
      </w:pPr>
      <w:r w:rsidRPr="00FF009C">
        <w:rPr>
          <w:noProof/>
        </w:rPr>
        <w:tab/>
        <w:t>(v) dodaje się lit. za)</w:t>
      </w:r>
      <w:r w:rsidR="00FF009C" w:rsidRPr="00FF009C">
        <w:rPr>
          <w:noProof/>
        </w:rPr>
        <w:t xml:space="preserve"> w</w:t>
      </w:r>
      <w:r w:rsidR="00FF009C">
        <w:rPr>
          <w:noProof/>
        </w:rPr>
        <w:t> </w:t>
      </w:r>
      <w:r w:rsidR="00FF009C" w:rsidRPr="00FF009C">
        <w:rPr>
          <w:noProof/>
        </w:rPr>
        <w:t>brz</w:t>
      </w:r>
      <w:r w:rsidRPr="00FF009C">
        <w:rPr>
          <w:noProof/>
        </w:rPr>
        <w:t>mieniu:</w:t>
      </w:r>
    </w:p>
    <w:p w14:paraId="0AA73584" w14:textId="55C1B94A" w:rsidR="0043039B" w:rsidRPr="00FF009C" w:rsidRDefault="007B5453" w:rsidP="0043039B">
      <w:pPr>
        <w:rPr>
          <w:noProof/>
        </w:rPr>
      </w:pPr>
      <w:r w:rsidRPr="00FF009C">
        <w:rPr>
          <w:noProof/>
        </w:rPr>
        <w:t>„za)</w:t>
      </w:r>
      <w:r w:rsidRPr="00FF009C">
        <w:rPr>
          <w:noProof/>
        </w:rPr>
        <w:tab/>
        <w:t>wspiera państwa członkowskie</w:t>
      </w:r>
      <w:r w:rsidR="00FF009C" w:rsidRPr="00FF009C">
        <w:rPr>
          <w:noProof/>
        </w:rPr>
        <w:t xml:space="preserve"> w</w:t>
      </w:r>
      <w:r w:rsidR="00FF009C">
        <w:rPr>
          <w:noProof/>
        </w:rPr>
        <w:t> </w:t>
      </w:r>
      <w:r w:rsidR="00FF009C" w:rsidRPr="00FF009C">
        <w:rPr>
          <w:noProof/>
        </w:rPr>
        <w:t>sku</w:t>
      </w:r>
      <w:r w:rsidRPr="00FF009C">
        <w:rPr>
          <w:noProof/>
        </w:rPr>
        <w:t>tecznym</w:t>
      </w:r>
      <w:r w:rsidR="00FF009C" w:rsidRPr="00FF009C">
        <w:rPr>
          <w:noProof/>
        </w:rPr>
        <w:t xml:space="preserve"> i</w:t>
      </w:r>
      <w:r w:rsidR="00FF009C">
        <w:rPr>
          <w:noProof/>
        </w:rPr>
        <w:t> </w:t>
      </w:r>
      <w:r w:rsidR="00FF009C" w:rsidRPr="00FF009C">
        <w:rPr>
          <w:noProof/>
        </w:rPr>
        <w:t>wyd</w:t>
      </w:r>
      <w:r w:rsidRPr="00FF009C">
        <w:rPr>
          <w:noProof/>
        </w:rPr>
        <w:t>ajnym przetwarzaniu danych biometrycznych.”;</w:t>
      </w:r>
    </w:p>
    <w:p w14:paraId="4BBCD0BC" w14:textId="34644CF5" w:rsidR="0043039B" w:rsidRPr="00FF009C" w:rsidRDefault="0043039B" w:rsidP="0043039B">
      <w:pPr>
        <w:rPr>
          <w:noProof/>
        </w:rPr>
      </w:pPr>
      <w:r w:rsidRPr="00FF009C">
        <w:rPr>
          <w:noProof/>
        </w:rPr>
        <w:tab/>
        <w:t>b) ust.</w:t>
      </w:r>
      <w:r w:rsidR="00FF009C" w:rsidRPr="00FF009C">
        <w:rPr>
          <w:noProof/>
        </w:rPr>
        <w:t> </w:t>
      </w:r>
      <w:r w:rsidRPr="00FF009C">
        <w:rPr>
          <w:noProof/>
        </w:rPr>
        <w:t xml:space="preserve">5 otrzymuje brzmienie: </w:t>
      </w:r>
    </w:p>
    <w:p w14:paraId="25A09696" w14:textId="77777777" w:rsidR="0043039B" w:rsidRPr="00FF009C" w:rsidRDefault="005558F6" w:rsidP="0043039B">
      <w:pPr>
        <w:rPr>
          <w:noProof/>
        </w:rPr>
      </w:pPr>
      <w:r w:rsidRPr="00FF009C">
        <w:rPr>
          <w:noProof/>
        </w:rPr>
        <w:t>„5. Realizując swoje zadania, Europol nie stosuje środków przymusu.</w:t>
      </w:r>
    </w:p>
    <w:p w14:paraId="1CBDCD9D" w14:textId="43B94D36" w:rsidR="0066282D" w:rsidRPr="00FF009C" w:rsidRDefault="0043039B" w:rsidP="0043039B">
      <w:pPr>
        <w:rPr>
          <w:noProof/>
        </w:rPr>
      </w:pPr>
      <w:r w:rsidRPr="00FF009C">
        <w:rPr>
          <w:noProof/>
        </w:rPr>
        <w:t>Pracownicy Europolu mogą zapewniać właściwym organom państw członkowskich wsparcie operacyjne podczas wykonywania przez te organy czynności</w:t>
      </w:r>
      <w:r w:rsidR="00FF009C" w:rsidRPr="00FF009C">
        <w:rPr>
          <w:noProof/>
        </w:rPr>
        <w:t xml:space="preserve"> w</w:t>
      </w:r>
      <w:r w:rsidR="00FF009C">
        <w:rPr>
          <w:noProof/>
        </w:rPr>
        <w:t> </w:t>
      </w:r>
      <w:r w:rsidR="00FF009C" w:rsidRPr="00FF009C">
        <w:rPr>
          <w:noProof/>
        </w:rPr>
        <w:t>ram</w:t>
      </w:r>
      <w:r w:rsidRPr="00FF009C">
        <w:rPr>
          <w:noProof/>
        </w:rPr>
        <w:t>ach postępowania przygotowawczego – na ich wniosek</w:t>
      </w:r>
      <w:r w:rsidR="00FF009C" w:rsidRPr="00FF009C">
        <w:rPr>
          <w:noProof/>
        </w:rPr>
        <w:t xml:space="preserve"> i</w:t>
      </w:r>
      <w:r w:rsidR="00FF009C">
        <w:rPr>
          <w:noProof/>
        </w:rPr>
        <w:t> </w:t>
      </w:r>
      <w:r w:rsidR="00FF009C" w:rsidRPr="00FF009C">
        <w:rPr>
          <w:noProof/>
        </w:rPr>
        <w:t>zgo</w:t>
      </w:r>
      <w:r w:rsidRPr="00FF009C">
        <w:rPr>
          <w:noProof/>
        </w:rPr>
        <w:t>dnie</w:t>
      </w:r>
      <w:r w:rsidR="00FF009C" w:rsidRPr="00FF009C">
        <w:rPr>
          <w:noProof/>
        </w:rPr>
        <w:t xml:space="preserve"> z</w:t>
      </w:r>
      <w:r w:rsidR="00FF009C">
        <w:rPr>
          <w:noProof/>
        </w:rPr>
        <w:t> </w:t>
      </w:r>
      <w:r w:rsidR="00FF009C" w:rsidRPr="00FF009C">
        <w:rPr>
          <w:noProof/>
        </w:rPr>
        <w:t>ich</w:t>
      </w:r>
      <w:r w:rsidRPr="00FF009C">
        <w:rPr>
          <w:noProof/>
        </w:rPr>
        <w:t xml:space="preserve"> prawem krajowym –</w:t>
      </w:r>
      <w:r w:rsidR="00FF009C" w:rsidRPr="00FF009C">
        <w:rPr>
          <w:noProof/>
        </w:rPr>
        <w:t xml:space="preserve"> w</w:t>
      </w:r>
      <w:r w:rsidR="00FF009C">
        <w:rPr>
          <w:noProof/>
        </w:rPr>
        <w:t> </w:t>
      </w:r>
      <w:r w:rsidR="00FF009C" w:rsidRPr="00FF009C">
        <w:rPr>
          <w:noProof/>
        </w:rPr>
        <w:t>kon</w:t>
      </w:r>
      <w:r w:rsidRPr="00FF009C">
        <w:rPr>
          <w:noProof/>
        </w:rPr>
        <w:t>tekście wdrażania operacyjnych grup zadaniowych</w:t>
      </w:r>
      <w:r w:rsidR="00FF009C" w:rsidRPr="00FF009C">
        <w:rPr>
          <w:noProof/>
        </w:rPr>
        <w:t xml:space="preserve"> i</w:t>
      </w:r>
      <w:r w:rsidR="00FF009C">
        <w:rPr>
          <w:noProof/>
        </w:rPr>
        <w:t> </w:t>
      </w:r>
      <w:r w:rsidR="00FF009C" w:rsidRPr="00FF009C">
        <w:rPr>
          <w:noProof/>
        </w:rPr>
        <w:t>roz</w:t>
      </w:r>
      <w:r w:rsidRPr="00FF009C">
        <w:rPr>
          <w:noProof/>
        </w:rPr>
        <w:t>mieszczania pracowników Europolu</w:t>
      </w:r>
      <w:r w:rsidR="00FF009C" w:rsidRPr="00FF009C">
        <w:rPr>
          <w:noProof/>
        </w:rPr>
        <w:t xml:space="preserve"> w</w:t>
      </w:r>
      <w:r w:rsidR="00FF009C">
        <w:rPr>
          <w:noProof/>
        </w:rPr>
        <w:t> </w:t>
      </w:r>
      <w:r w:rsidR="00FF009C" w:rsidRPr="00FF009C">
        <w:rPr>
          <w:noProof/>
        </w:rPr>
        <w:t>ram</w:t>
      </w:r>
      <w:r w:rsidRPr="00FF009C">
        <w:rPr>
          <w:noProof/>
        </w:rPr>
        <w:t>ach wsparcia operacyjnego,</w:t>
      </w:r>
      <w:r w:rsidR="00FF009C" w:rsidRPr="00FF009C">
        <w:rPr>
          <w:noProof/>
        </w:rPr>
        <w:t xml:space="preserve"> w</w:t>
      </w:r>
      <w:r w:rsidR="00FF009C">
        <w:rPr>
          <w:noProof/>
        </w:rPr>
        <w:t> </w:t>
      </w:r>
      <w:r w:rsidR="00FF009C" w:rsidRPr="00FF009C">
        <w:rPr>
          <w:noProof/>
        </w:rPr>
        <w:t>szc</w:t>
      </w:r>
      <w:r w:rsidRPr="00FF009C">
        <w:rPr>
          <w:noProof/>
        </w:rPr>
        <w:t>zególności przez ułatwianie transgranicznej wymiany informacji, zapewnianie wsparcia analitycznego, operacyjnego, technicznego</w:t>
      </w:r>
      <w:r w:rsidR="00FF009C" w:rsidRPr="00FF009C">
        <w:rPr>
          <w:noProof/>
        </w:rPr>
        <w:t xml:space="preserve"> i</w:t>
      </w:r>
      <w:r w:rsidR="00FF009C">
        <w:rPr>
          <w:noProof/>
        </w:rPr>
        <w:t> </w:t>
      </w:r>
      <w:r w:rsidR="00FF009C" w:rsidRPr="00FF009C">
        <w:rPr>
          <w:noProof/>
        </w:rPr>
        <w:t>kry</w:t>
      </w:r>
      <w:r w:rsidRPr="00FF009C">
        <w:rPr>
          <w:noProof/>
        </w:rPr>
        <w:t>minalistycznego oraz zapewnianie swojej obecności podczas wykonywania czynności</w:t>
      </w:r>
      <w:r w:rsidR="00FF009C" w:rsidRPr="00FF009C">
        <w:rPr>
          <w:noProof/>
        </w:rPr>
        <w:t xml:space="preserve"> w</w:t>
      </w:r>
      <w:r w:rsidR="00FF009C">
        <w:rPr>
          <w:noProof/>
        </w:rPr>
        <w:t> </w:t>
      </w:r>
      <w:r w:rsidR="00FF009C" w:rsidRPr="00FF009C">
        <w:rPr>
          <w:noProof/>
        </w:rPr>
        <w:t>ram</w:t>
      </w:r>
      <w:r w:rsidRPr="00FF009C">
        <w:rPr>
          <w:noProof/>
        </w:rPr>
        <w:t xml:space="preserve">ach postępowania przygotowawczego. </w:t>
      </w:r>
    </w:p>
    <w:p w14:paraId="3885C0B3" w14:textId="5ED12425" w:rsidR="006E5E56" w:rsidRPr="00FF009C" w:rsidRDefault="0043039B" w:rsidP="0043039B">
      <w:pPr>
        <w:rPr>
          <w:noProof/>
        </w:rPr>
      </w:pPr>
      <w:r w:rsidRPr="00FF009C">
        <w:rPr>
          <w:noProof/>
        </w:rPr>
        <w:t>Pracownicy Europolu są uprawnieni do samodzielnego wykonywania czynności</w:t>
      </w:r>
      <w:r w:rsidR="00FF009C" w:rsidRPr="00FF009C">
        <w:rPr>
          <w:noProof/>
        </w:rPr>
        <w:t xml:space="preserve"> w</w:t>
      </w:r>
      <w:r w:rsidR="00FF009C">
        <w:rPr>
          <w:noProof/>
        </w:rPr>
        <w:t> </w:t>
      </w:r>
      <w:r w:rsidR="00FF009C" w:rsidRPr="00FF009C">
        <w:rPr>
          <w:noProof/>
        </w:rPr>
        <w:t>ram</w:t>
      </w:r>
      <w:r w:rsidRPr="00FF009C">
        <w:rPr>
          <w:noProof/>
        </w:rPr>
        <w:t>ach postępowania przygotowawczego niewiążących się ze stosowaniem środków przymusu,</w:t>
      </w:r>
      <w:r w:rsidR="00FF009C" w:rsidRPr="00FF009C">
        <w:rPr>
          <w:noProof/>
        </w:rPr>
        <w:t xml:space="preserve"> o</w:t>
      </w:r>
      <w:r w:rsidR="00FF009C">
        <w:rPr>
          <w:noProof/>
        </w:rPr>
        <w:t> </w:t>
      </w:r>
      <w:r w:rsidR="00FF009C" w:rsidRPr="00FF009C">
        <w:rPr>
          <w:noProof/>
        </w:rPr>
        <w:t>ile</w:t>
      </w:r>
      <w:r w:rsidRPr="00FF009C">
        <w:rPr>
          <w:noProof/>
        </w:rPr>
        <w:t xml:space="preserve"> państwo członkowskie zwróciło się o to do Europolu zgodnie ze swoim prawem krajowym,</w:t>
      </w:r>
      <w:r w:rsidR="00FF009C" w:rsidRPr="00FF009C">
        <w:rPr>
          <w:noProof/>
        </w:rPr>
        <w:t xml:space="preserve"> a</w:t>
      </w:r>
      <w:r w:rsidR="00FF009C">
        <w:rPr>
          <w:noProof/>
        </w:rPr>
        <w:t> </w:t>
      </w:r>
      <w:r w:rsidR="00FF009C" w:rsidRPr="00FF009C">
        <w:rPr>
          <w:noProof/>
        </w:rPr>
        <w:t>dyr</w:t>
      </w:r>
      <w:r w:rsidRPr="00FF009C">
        <w:rPr>
          <w:noProof/>
        </w:rPr>
        <w:t>ektor wykonawczy upoważnił pracowników Europolu do wykonania żądanych czynności</w:t>
      </w:r>
      <w:r w:rsidR="00FF009C" w:rsidRPr="00FF009C">
        <w:rPr>
          <w:noProof/>
        </w:rPr>
        <w:t xml:space="preserve"> w</w:t>
      </w:r>
      <w:r w:rsidR="00FF009C">
        <w:rPr>
          <w:noProof/>
        </w:rPr>
        <w:t> </w:t>
      </w:r>
      <w:r w:rsidR="00FF009C" w:rsidRPr="00FF009C">
        <w:rPr>
          <w:noProof/>
        </w:rPr>
        <w:t>ram</w:t>
      </w:r>
      <w:r w:rsidRPr="00FF009C">
        <w:rPr>
          <w:noProof/>
        </w:rPr>
        <w:t xml:space="preserve">ach postępowania przygotowawczego niewiążących się ze stosowaniem środków przymusu. </w:t>
      </w:r>
    </w:p>
    <w:p w14:paraId="7E3E637F" w14:textId="5C8E0EB7" w:rsidR="0043039B" w:rsidRPr="00FF009C" w:rsidRDefault="0043039B" w:rsidP="0043039B">
      <w:pPr>
        <w:rPr>
          <w:noProof/>
        </w:rPr>
      </w:pPr>
      <w:r w:rsidRPr="00FF009C">
        <w:rPr>
          <w:noProof/>
        </w:rPr>
        <w:t>Pracownicy Europolu wykonują wspomniane czynności</w:t>
      </w:r>
      <w:r w:rsidR="00FF009C" w:rsidRPr="00FF009C">
        <w:rPr>
          <w:noProof/>
        </w:rPr>
        <w:t xml:space="preserve"> w</w:t>
      </w:r>
      <w:r w:rsidR="00FF009C">
        <w:rPr>
          <w:noProof/>
        </w:rPr>
        <w:t> </w:t>
      </w:r>
      <w:r w:rsidR="00FF009C" w:rsidRPr="00FF009C">
        <w:rPr>
          <w:noProof/>
        </w:rPr>
        <w:t>ram</w:t>
      </w:r>
      <w:r w:rsidRPr="00FF009C">
        <w:rPr>
          <w:noProof/>
        </w:rPr>
        <w:t>ach postępowania przygotowawczego niewiążące się ze stosowaniem środków przymusu</w:t>
      </w:r>
      <w:r w:rsidR="00FF009C" w:rsidRPr="00FF009C">
        <w:rPr>
          <w:noProof/>
        </w:rPr>
        <w:t xml:space="preserve"> w</w:t>
      </w:r>
      <w:r w:rsidR="00FF009C">
        <w:rPr>
          <w:noProof/>
        </w:rPr>
        <w:t> </w:t>
      </w:r>
      <w:r w:rsidR="00FF009C" w:rsidRPr="00FF009C">
        <w:rPr>
          <w:noProof/>
        </w:rPr>
        <w:t>por</w:t>
      </w:r>
      <w:r w:rsidRPr="00FF009C">
        <w:rPr>
          <w:noProof/>
        </w:rPr>
        <w:t>ozumieniu</w:t>
      </w:r>
      <w:r w:rsidR="00FF009C" w:rsidRPr="00FF009C">
        <w:rPr>
          <w:noProof/>
        </w:rPr>
        <w:t xml:space="preserve"> z</w:t>
      </w:r>
      <w:r w:rsidR="00FF009C">
        <w:rPr>
          <w:noProof/>
        </w:rPr>
        <w:t> </w:t>
      </w:r>
      <w:r w:rsidR="00FF009C" w:rsidRPr="00FF009C">
        <w:rPr>
          <w:noProof/>
        </w:rPr>
        <w:t>wła</w:t>
      </w:r>
      <w:r w:rsidRPr="00FF009C">
        <w:rPr>
          <w:noProof/>
        </w:rPr>
        <w:t>ściwymi organami zainteresowanego państwa członkowskiego i za ich zgodą oraz zgodnie</w:t>
      </w:r>
      <w:r w:rsidR="00FF009C" w:rsidRPr="00FF009C">
        <w:rPr>
          <w:noProof/>
        </w:rPr>
        <w:t xml:space="preserve"> z</w:t>
      </w:r>
      <w:r w:rsidR="00FF009C">
        <w:rPr>
          <w:noProof/>
        </w:rPr>
        <w:t> </w:t>
      </w:r>
      <w:r w:rsidR="00FF009C" w:rsidRPr="00FF009C">
        <w:rPr>
          <w:noProof/>
        </w:rPr>
        <w:t>nin</w:t>
      </w:r>
      <w:r w:rsidRPr="00FF009C">
        <w:rPr>
          <w:noProof/>
        </w:rPr>
        <w:t>iejszym rozporządzeniem</w:t>
      </w:r>
      <w:r w:rsidR="00FF009C" w:rsidRPr="00FF009C">
        <w:rPr>
          <w:noProof/>
        </w:rPr>
        <w:t xml:space="preserve"> i</w:t>
      </w:r>
      <w:r w:rsidR="00FF009C">
        <w:rPr>
          <w:noProof/>
        </w:rPr>
        <w:t> </w:t>
      </w:r>
      <w:r w:rsidR="00FF009C" w:rsidRPr="00FF009C">
        <w:rPr>
          <w:noProof/>
        </w:rPr>
        <w:t>pra</w:t>
      </w:r>
      <w:r w:rsidRPr="00FF009C">
        <w:rPr>
          <w:noProof/>
        </w:rPr>
        <w:t>wem krajowym tego państwa członkowskiego.”;</w:t>
      </w:r>
    </w:p>
    <w:p w14:paraId="3A7C027D" w14:textId="3CE1E621" w:rsidR="0043039B" w:rsidRPr="00FF009C" w:rsidRDefault="0043039B" w:rsidP="0043039B">
      <w:pPr>
        <w:rPr>
          <w:noProof/>
        </w:rPr>
      </w:pPr>
      <w:r w:rsidRPr="00FF009C">
        <w:rPr>
          <w:noProof/>
        </w:rPr>
        <w:t>3)</w:t>
      </w:r>
      <w:r w:rsidRPr="00FF009C">
        <w:rPr>
          <w:noProof/>
        </w:rPr>
        <w:tab/>
        <w:t>dodaje się art.</w:t>
      </w:r>
      <w:r w:rsidR="00FF009C" w:rsidRPr="00FF009C">
        <w:rPr>
          <w:noProof/>
        </w:rPr>
        <w:t> </w:t>
      </w:r>
      <w:r w:rsidRPr="00FF009C">
        <w:rPr>
          <w:noProof/>
        </w:rPr>
        <w:t>5a</w:t>
      </w:r>
      <w:r w:rsidR="00FF009C" w:rsidRPr="00FF009C">
        <w:rPr>
          <w:noProof/>
        </w:rPr>
        <w:t xml:space="preserve"> i</w:t>
      </w:r>
      <w:r w:rsidR="00FF009C">
        <w:rPr>
          <w:noProof/>
        </w:rPr>
        <w:t> </w:t>
      </w:r>
      <w:r w:rsidR="00FF009C" w:rsidRPr="00FF009C">
        <w:rPr>
          <w:noProof/>
        </w:rPr>
        <w:t>5</w:t>
      </w:r>
      <w:r w:rsidRPr="00FF009C">
        <w:rPr>
          <w:noProof/>
        </w:rPr>
        <w:t>b</w:t>
      </w:r>
      <w:r w:rsidR="00FF009C" w:rsidRPr="00FF009C">
        <w:rPr>
          <w:noProof/>
        </w:rPr>
        <w:t xml:space="preserve"> w</w:t>
      </w:r>
      <w:r w:rsidR="00FF009C">
        <w:rPr>
          <w:noProof/>
        </w:rPr>
        <w:t> </w:t>
      </w:r>
      <w:r w:rsidR="00FF009C" w:rsidRPr="00FF009C">
        <w:rPr>
          <w:noProof/>
        </w:rPr>
        <w:t>brz</w:t>
      </w:r>
      <w:r w:rsidRPr="00FF009C">
        <w:rPr>
          <w:noProof/>
        </w:rPr>
        <w:t xml:space="preserve">mieniu: </w:t>
      </w:r>
    </w:p>
    <w:p w14:paraId="427838EC" w14:textId="77777777" w:rsidR="0043039B" w:rsidRPr="00FF009C" w:rsidRDefault="002B66A4" w:rsidP="0043039B">
      <w:pPr>
        <w:pStyle w:val="Titrearticle"/>
        <w:rPr>
          <w:noProof/>
        </w:rPr>
      </w:pPr>
      <w:r w:rsidRPr="00FF009C">
        <w:rPr>
          <w:i w:val="0"/>
          <w:noProof/>
        </w:rPr>
        <w:t>„</w:t>
      </w:r>
      <w:r w:rsidRPr="00FF009C">
        <w:rPr>
          <w:noProof/>
        </w:rPr>
        <w:t>Artykuł 5a</w:t>
      </w:r>
    </w:p>
    <w:p w14:paraId="192C8277" w14:textId="77777777" w:rsidR="0043039B" w:rsidRPr="00FF009C" w:rsidRDefault="0043039B" w:rsidP="0043039B">
      <w:pPr>
        <w:jc w:val="center"/>
        <w:rPr>
          <w:noProof/>
        </w:rPr>
      </w:pPr>
      <w:r w:rsidRPr="00FF009C">
        <w:rPr>
          <w:b/>
          <w:noProof/>
        </w:rPr>
        <w:t>Operacyjne grupy zadaniowe</w:t>
      </w:r>
    </w:p>
    <w:p w14:paraId="5B95C2B4" w14:textId="66D6B7EB" w:rsidR="0043039B" w:rsidRPr="00FF009C" w:rsidRDefault="0043039B" w:rsidP="0043039B">
      <w:pPr>
        <w:ind w:left="720" w:hanging="720"/>
        <w:rPr>
          <w:noProof/>
        </w:rPr>
      </w:pPr>
      <w:r w:rsidRPr="00FF009C">
        <w:rPr>
          <w:noProof/>
        </w:rPr>
        <w:t xml:space="preserve">1. </w:t>
      </w:r>
      <w:r w:rsidRPr="00FF009C">
        <w:rPr>
          <w:noProof/>
        </w:rPr>
        <w:tab/>
        <w:t>Państwa członkowskie mogą utworzyć operacyjną grupę zadaniową na czas trwania określonych specjalnych działań</w:t>
      </w:r>
      <w:r w:rsidR="00FF009C" w:rsidRPr="00FF009C">
        <w:rPr>
          <w:noProof/>
        </w:rPr>
        <w:t xml:space="preserve"> w</w:t>
      </w:r>
      <w:r w:rsidR="00FF009C">
        <w:rPr>
          <w:noProof/>
        </w:rPr>
        <w:t> </w:t>
      </w:r>
      <w:r w:rsidR="00FF009C" w:rsidRPr="00FF009C">
        <w:rPr>
          <w:noProof/>
        </w:rPr>
        <w:t>zak</w:t>
      </w:r>
      <w:r w:rsidRPr="00FF009C">
        <w:rPr>
          <w:noProof/>
        </w:rPr>
        <w:t>resie wywiadu kryminalnego lub prowadzenia określonych specjalnych postępowań przygotowawczych. Europol ułatwia tworzenie operacyjnej grupy zadaniowej</w:t>
      </w:r>
      <w:r w:rsidR="00FF009C" w:rsidRPr="00FF009C">
        <w:rPr>
          <w:noProof/>
        </w:rPr>
        <w:t xml:space="preserve"> i</w:t>
      </w:r>
      <w:r w:rsidR="00FF009C">
        <w:rPr>
          <w:noProof/>
        </w:rPr>
        <w:t> </w:t>
      </w:r>
      <w:r w:rsidR="00FF009C" w:rsidRPr="00FF009C">
        <w:rPr>
          <w:noProof/>
        </w:rPr>
        <w:t>udz</w:t>
      </w:r>
      <w:r w:rsidRPr="00FF009C">
        <w:rPr>
          <w:noProof/>
        </w:rPr>
        <w:t>iela wsparcia</w:t>
      </w:r>
      <w:r w:rsidR="00FF009C" w:rsidRPr="00FF009C">
        <w:rPr>
          <w:noProof/>
        </w:rPr>
        <w:t xml:space="preserve"> w</w:t>
      </w:r>
      <w:r w:rsidR="00FF009C">
        <w:rPr>
          <w:noProof/>
        </w:rPr>
        <w:t> </w:t>
      </w:r>
      <w:r w:rsidR="00FF009C" w:rsidRPr="00FF009C">
        <w:rPr>
          <w:noProof/>
        </w:rPr>
        <w:t>pro</w:t>
      </w:r>
      <w:r w:rsidRPr="00FF009C">
        <w:rPr>
          <w:noProof/>
        </w:rPr>
        <w:t xml:space="preserve">cesie jej wdrażania. </w:t>
      </w:r>
    </w:p>
    <w:p w14:paraId="1B5B6B6E" w14:textId="4AB0350F" w:rsidR="0043039B" w:rsidRPr="00FF009C" w:rsidRDefault="0043039B" w:rsidP="0043039B">
      <w:pPr>
        <w:ind w:left="720" w:hanging="720"/>
        <w:rPr>
          <w:noProof/>
        </w:rPr>
      </w:pPr>
      <w:r w:rsidRPr="00FF009C">
        <w:rPr>
          <w:noProof/>
        </w:rPr>
        <w:t>2.</w:t>
      </w:r>
      <w:r w:rsidRPr="00FF009C">
        <w:rPr>
          <w:noProof/>
        </w:rPr>
        <w:tab/>
        <w:t>Państwa członkowskie tworzące operacyjną grupę zadaniową uzgadniają</w:t>
      </w:r>
      <w:r w:rsidR="00FF009C" w:rsidRPr="00FF009C">
        <w:rPr>
          <w:noProof/>
        </w:rPr>
        <w:t xml:space="preserve"> z</w:t>
      </w:r>
      <w:r w:rsidR="00FF009C">
        <w:rPr>
          <w:noProof/>
        </w:rPr>
        <w:t> </w:t>
      </w:r>
      <w:r w:rsidR="00FF009C" w:rsidRPr="00FF009C">
        <w:rPr>
          <w:noProof/>
        </w:rPr>
        <w:t>Eur</w:t>
      </w:r>
      <w:r w:rsidRPr="00FF009C">
        <w:rPr>
          <w:noProof/>
        </w:rPr>
        <w:t>opolem kwestie dotyczące planowania, koordynowania</w:t>
      </w:r>
      <w:r w:rsidR="00FF009C" w:rsidRPr="00FF009C">
        <w:rPr>
          <w:noProof/>
        </w:rPr>
        <w:t xml:space="preserve"> i</w:t>
      </w:r>
      <w:r w:rsidR="00FF009C">
        <w:rPr>
          <w:noProof/>
        </w:rPr>
        <w:t> </w:t>
      </w:r>
      <w:r w:rsidR="00FF009C" w:rsidRPr="00FF009C">
        <w:rPr>
          <w:noProof/>
        </w:rPr>
        <w:t>rea</w:t>
      </w:r>
      <w:r w:rsidRPr="00FF009C">
        <w:rPr>
          <w:noProof/>
        </w:rPr>
        <w:t>lizacji działań</w:t>
      </w:r>
      <w:r w:rsidR="00FF009C" w:rsidRPr="00FF009C">
        <w:rPr>
          <w:noProof/>
        </w:rPr>
        <w:t xml:space="preserve"> w</w:t>
      </w:r>
      <w:r w:rsidR="00FF009C">
        <w:rPr>
          <w:noProof/>
        </w:rPr>
        <w:t> </w:t>
      </w:r>
      <w:r w:rsidR="00FF009C" w:rsidRPr="00FF009C">
        <w:rPr>
          <w:noProof/>
        </w:rPr>
        <w:t>zak</w:t>
      </w:r>
      <w:r w:rsidRPr="00FF009C">
        <w:rPr>
          <w:noProof/>
        </w:rPr>
        <w:t>resie wywiadu kryminalnego podejmowanych przez tę operacyjną grupę zadaniową oraz prowadzonych przez nią postępowań przygotowawczych.</w:t>
      </w:r>
    </w:p>
    <w:p w14:paraId="1D350DFD" w14:textId="6785BE17" w:rsidR="0043039B" w:rsidRPr="00FF009C" w:rsidRDefault="0043039B" w:rsidP="0043039B">
      <w:pPr>
        <w:ind w:left="720" w:hanging="720"/>
        <w:rPr>
          <w:noProof/>
        </w:rPr>
      </w:pPr>
      <w:r w:rsidRPr="00FF009C">
        <w:rPr>
          <w:noProof/>
        </w:rPr>
        <w:t>3.</w:t>
      </w:r>
      <w:r w:rsidRPr="00FF009C">
        <w:rPr>
          <w:noProof/>
        </w:rPr>
        <w:tab/>
        <w:t>Państwa członkowskie tworzące operacyjną grupę zadaniową zapewniają spójność</w:t>
      </w:r>
      <w:r w:rsidR="00FF009C" w:rsidRPr="00FF009C">
        <w:rPr>
          <w:noProof/>
        </w:rPr>
        <w:t xml:space="preserve"> i</w:t>
      </w:r>
      <w:r w:rsidR="00FF009C">
        <w:rPr>
          <w:noProof/>
        </w:rPr>
        <w:t> </w:t>
      </w:r>
      <w:r w:rsidR="00FF009C" w:rsidRPr="00FF009C">
        <w:rPr>
          <w:noProof/>
        </w:rPr>
        <w:t>syn</w:t>
      </w:r>
      <w:r w:rsidRPr="00FF009C">
        <w:rPr>
          <w:noProof/>
        </w:rPr>
        <w:t>ergie</w:t>
      </w:r>
      <w:r w:rsidR="00FF009C" w:rsidRPr="00FF009C">
        <w:rPr>
          <w:noProof/>
        </w:rPr>
        <w:t xml:space="preserve"> z</w:t>
      </w:r>
      <w:r w:rsidR="00FF009C">
        <w:rPr>
          <w:noProof/>
        </w:rPr>
        <w:t> </w:t>
      </w:r>
      <w:r w:rsidR="00FF009C" w:rsidRPr="00FF009C">
        <w:rPr>
          <w:noProof/>
        </w:rPr>
        <w:t>ram</w:t>
      </w:r>
      <w:r w:rsidRPr="00FF009C">
        <w:rPr>
          <w:noProof/>
        </w:rPr>
        <w:t>ami europejskiej multidyscyplinarnej platformy przeciwko zagrożeniom przestępstwami (EMPACT).</w:t>
      </w:r>
    </w:p>
    <w:p w14:paraId="17667123" w14:textId="1A36F932" w:rsidR="0043039B" w:rsidRPr="00FF009C" w:rsidRDefault="0043039B" w:rsidP="0043039B">
      <w:pPr>
        <w:ind w:left="720" w:hanging="720"/>
        <w:rPr>
          <w:noProof/>
        </w:rPr>
      </w:pPr>
      <w:r w:rsidRPr="00FF009C">
        <w:rPr>
          <w:noProof/>
        </w:rPr>
        <w:t>4.</w:t>
      </w:r>
      <w:r w:rsidRPr="00FF009C">
        <w:rPr>
          <w:noProof/>
        </w:rPr>
        <w:tab/>
        <w:t>Państwa członkowskie tworzące operacyjną grupę zadaniową mogą podjąć decyzję</w:t>
      </w:r>
      <w:r w:rsidR="00FF009C" w:rsidRPr="00FF009C">
        <w:rPr>
          <w:noProof/>
        </w:rPr>
        <w:t xml:space="preserve"> o</w:t>
      </w:r>
      <w:r w:rsidR="00FF009C">
        <w:rPr>
          <w:noProof/>
        </w:rPr>
        <w:t> </w:t>
      </w:r>
      <w:r w:rsidR="00FF009C" w:rsidRPr="00FF009C">
        <w:rPr>
          <w:noProof/>
        </w:rPr>
        <w:t>zap</w:t>
      </w:r>
      <w:r w:rsidRPr="00FF009C">
        <w:rPr>
          <w:noProof/>
        </w:rPr>
        <w:t>roszeniu innych państw członkowskich, państw trzecich oraz innych partnerów,</w:t>
      </w:r>
      <w:r w:rsidR="00FF009C" w:rsidRPr="00FF009C">
        <w:rPr>
          <w:noProof/>
        </w:rPr>
        <w:t xml:space="preserve"> o</w:t>
      </w:r>
      <w:r w:rsidR="00FF009C">
        <w:rPr>
          <w:noProof/>
        </w:rPr>
        <w:t> </w:t>
      </w:r>
      <w:r w:rsidR="00FF009C" w:rsidRPr="00FF009C">
        <w:rPr>
          <w:noProof/>
        </w:rPr>
        <w:t>któ</w:t>
      </w:r>
      <w:r w:rsidRPr="00FF009C">
        <w:rPr>
          <w:noProof/>
        </w:rPr>
        <w:t>rych mowa</w:t>
      </w:r>
      <w:r w:rsidR="00FF009C" w:rsidRPr="00FF009C">
        <w:rPr>
          <w:noProof/>
        </w:rPr>
        <w:t xml:space="preserve"> w</w:t>
      </w:r>
      <w:r w:rsidR="00FF009C">
        <w:rPr>
          <w:noProof/>
        </w:rPr>
        <w:t> </w:t>
      </w:r>
      <w:r w:rsidR="00FF009C" w:rsidRPr="00FF009C">
        <w:rPr>
          <w:noProof/>
        </w:rPr>
        <w:t>art</w:t>
      </w:r>
      <w:r w:rsidRPr="00FF009C">
        <w:rPr>
          <w:noProof/>
        </w:rPr>
        <w:t>.</w:t>
      </w:r>
      <w:r w:rsidR="00FF009C" w:rsidRPr="00FF009C">
        <w:rPr>
          <w:noProof/>
        </w:rPr>
        <w:t> </w:t>
      </w:r>
      <w:r w:rsidRPr="00FF009C">
        <w:rPr>
          <w:noProof/>
        </w:rPr>
        <w:t>23, do udziału</w:t>
      </w:r>
      <w:r w:rsidR="00FF009C" w:rsidRPr="00FF009C">
        <w:rPr>
          <w:noProof/>
        </w:rPr>
        <w:t xml:space="preserve"> w</w:t>
      </w:r>
      <w:r w:rsidR="00FF009C">
        <w:rPr>
          <w:noProof/>
        </w:rPr>
        <w:t> </w:t>
      </w:r>
      <w:r w:rsidR="00FF009C" w:rsidRPr="00FF009C">
        <w:rPr>
          <w:noProof/>
        </w:rPr>
        <w:t>tej</w:t>
      </w:r>
      <w:r w:rsidRPr="00FF009C">
        <w:rPr>
          <w:noProof/>
        </w:rPr>
        <w:t xml:space="preserve"> operacyjnej grupie zadaniowej lub do wspierania jej działalności. Państwa trzecie</w:t>
      </w:r>
      <w:r w:rsidR="00FF009C" w:rsidRPr="00FF009C">
        <w:rPr>
          <w:noProof/>
        </w:rPr>
        <w:t xml:space="preserve"> i</w:t>
      </w:r>
      <w:r w:rsidR="00FF009C">
        <w:rPr>
          <w:noProof/>
        </w:rPr>
        <w:t> </w:t>
      </w:r>
      <w:r w:rsidR="00FF009C" w:rsidRPr="00FF009C">
        <w:rPr>
          <w:noProof/>
        </w:rPr>
        <w:t>inn</w:t>
      </w:r>
      <w:r w:rsidRPr="00FF009C">
        <w:rPr>
          <w:noProof/>
        </w:rPr>
        <w:t>i partnerzy biorą udział</w:t>
      </w:r>
      <w:r w:rsidR="00FF009C" w:rsidRPr="00FF009C">
        <w:rPr>
          <w:noProof/>
        </w:rPr>
        <w:t xml:space="preserve"> w</w:t>
      </w:r>
      <w:r w:rsidR="00FF009C">
        <w:rPr>
          <w:noProof/>
        </w:rPr>
        <w:t> </w:t>
      </w:r>
      <w:r w:rsidR="00FF009C" w:rsidRPr="00FF009C">
        <w:rPr>
          <w:noProof/>
        </w:rPr>
        <w:t>ope</w:t>
      </w:r>
      <w:r w:rsidRPr="00FF009C">
        <w:rPr>
          <w:noProof/>
        </w:rPr>
        <w:t>racyjnej grupie zadaniowej zgodnie</w:t>
      </w:r>
      <w:r w:rsidR="00FF009C" w:rsidRPr="00FF009C">
        <w:rPr>
          <w:noProof/>
        </w:rPr>
        <w:t xml:space="preserve"> z</w:t>
      </w:r>
      <w:r w:rsidR="00FF009C">
        <w:rPr>
          <w:noProof/>
        </w:rPr>
        <w:t> </w:t>
      </w:r>
      <w:r w:rsidR="00FF009C" w:rsidRPr="00FF009C">
        <w:rPr>
          <w:noProof/>
        </w:rPr>
        <w:t>prz</w:t>
      </w:r>
      <w:r w:rsidRPr="00FF009C">
        <w:rPr>
          <w:noProof/>
        </w:rPr>
        <w:t>episami niniejszego rozporządzenia.</w:t>
      </w:r>
    </w:p>
    <w:p w14:paraId="500F1777" w14:textId="65BB2598" w:rsidR="0043039B" w:rsidRPr="00FF009C" w:rsidRDefault="0043039B" w:rsidP="0043039B">
      <w:pPr>
        <w:ind w:left="720" w:hanging="720"/>
        <w:rPr>
          <w:noProof/>
        </w:rPr>
      </w:pPr>
      <w:r w:rsidRPr="00FF009C">
        <w:rPr>
          <w:noProof/>
        </w:rPr>
        <w:t>5.</w:t>
      </w:r>
      <w:r w:rsidRPr="00FF009C">
        <w:rPr>
          <w:noProof/>
        </w:rPr>
        <w:tab/>
        <w:t>Na potrzeby wspierania procesu wdrażania operacyjnej grupy zadaniowej Europol udziela wsparcia analitycznego, operacyjnego, technicznego, kryminalistycznego</w:t>
      </w:r>
      <w:r w:rsidR="00FF009C" w:rsidRPr="00FF009C">
        <w:rPr>
          <w:noProof/>
        </w:rPr>
        <w:t xml:space="preserve"> i</w:t>
      </w:r>
      <w:r w:rsidR="00FF009C">
        <w:rPr>
          <w:noProof/>
        </w:rPr>
        <w:t> </w:t>
      </w:r>
      <w:r w:rsidR="00FF009C" w:rsidRPr="00FF009C">
        <w:rPr>
          <w:noProof/>
        </w:rPr>
        <w:t>fin</w:t>
      </w:r>
      <w:r w:rsidRPr="00FF009C">
        <w:rPr>
          <w:noProof/>
        </w:rPr>
        <w:t>ansowego przewidzianego</w:t>
      </w:r>
      <w:r w:rsidR="00FF009C" w:rsidRPr="00FF009C">
        <w:rPr>
          <w:noProof/>
        </w:rPr>
        <w:t xml:space="preserve"> w</w:t>
      </w:r>
      <w:r w:rsidR="00FF009C">
        <w:rPr>
          <w:noProof/>
        </w:rPr>
        <w:t> </w:t>
      </w:r>
      <w:r w:rsidR="00FF009C" w:rsidRPr="00FF009C">
        <w:rPr>
          <w:noProof/>
        </w:rPr>
        <w:t>nin</w:t>
      </w:r>
      <w:r w:rsidRPr="00FF009C">
        <w:rPr>
          <w:noProof/>
        </w:rPr>
        <w:t>iejszym rozporządzeniu zgodnie</w:t>
      </w:r>
      <w:r w:rsidR="00FF009C" w:rsidRPr="00FF009C">
        <w:rPr>
          <w:noProof/>
        </w:rPr>
        <w:t xml:space="preserve"> z</w:t>
      </w:r>
      <w:r w:rsidR="00FF009C">
        <w:rPr>
          <w:noProof/>
        </w:rPr>
        <w:t> </w:t>
      </w:r>
      <w:r w:rsidR="00FF009C" w:rsidRPr="00FF009C">
        <w:rPr>
          <w:noProof/>
        </w:rPr>
        <w:t>ust</w:t>
      </w:r>
      <w:r w:rsidRPr="00FF009C">
        <w:rPr>
          <w:noProof/>
        </w:rPr>
        <w:t>.</w:t>
      </w:r>
      <w:r w:rsidR="00FF009C" w:rsidRPr="00FF009C">
        <w:rPr>
          <w:noProof/>
        </w:rPr>
        <w:t> </w:t>
      </w:r>
      <w:r w:rsidRPr="00FF009C">
        <w:rPr>
          <w:noProof/>
        </w:rPr>
        <w:t xml:space="preserve">2. </w:t>
      </w:r>
    </w:p>
    <w:p w14:paraId="6E042292" w14:textId="3EC0CB7C" w:rsidR="0043039B" w:rsidRPr="00FF009C" w:rsidRDefault="0043039B" w:rsidP="0043039B">
      <w:pPr>
        <w:ind w:left="720" w:hanging="720"/>
        <w:rPr>
          <w:noProof/>
        </w:rPr>
      </w:pPr>
      <w:r w:rsidRPr="00FF009C">
        <w:rPr>
          <w:noProof/>
        </w:rPr>
        <w:t>6.</w:t>
      </w:r>
      <w:r w:rsidRPr="00FF009C">
        <w:rPr>
          <w:noProof/>
        </w:rPr>
        <w:tab/>
        <w:t>Każde państwo członkowskie tworzące operacyjną grupę zadaniową, uczestniczące</w:t>
      </w:r>
      <w:r w:rsidR="00FF009C" w:rsidRPr="00FF009C">
        <w:rPr>
          <w:noProof/>
        </w:rPr>
        <w:t xml:space="preserve"> w</w:t>
      </w:r>
      <w:r w:rsidR="00FF009C">
        <w:rPr>
          <w:noProof/>
        </w:rPr>
        <w:t> </w:t>
      </w:r>
      <w:r w:rsidR="00FF009C" w:rsidRPr="00FF009C">
        <w:rPr>
          <w:noProof/>
        </w:rPr>
        <w:t>tak</w:t>
      </w:r>
      <w:r w:rsidRPr="00FF009C">
        <w:rPr>
          <w:noProof/>
        </w:rPr>
        <w:t>iej grupie lub wspierające jej działalność podejmuje następujące działania zgodnie</w:t>
      </w:r>
      <w:r w:rsidR="00FF009C" w:rsidRPr="00FF009C">
        <w:rPr>
          <w:noProof/>
        </w:rPr>
        <w:t xml:space="preserve"> z</w:t>
      </w:r>
      <w:r w:rsidR="00FF009C">
        <w:rPr>
          <w:noProof/>
        </w:rPr>
        <w:t> </w:t>
      </w:r>
      <w:r w:rsidR="00FF009C" w:rsidRPr="00FF009C">
        <w:rPr>
          <w:noProof/>
        </w:rPr>
        <w:t>ust</w:t>
      </w:r>
      <w:r w:rsidRPr="00FF009C">
        <w:rPr>
          <w:noProof/>
        </w:rPr>
        <w:t>aleniami dotyczącymi planowania, koordynowania</w:t>
      </w:r>
      <w:r w:rsidR="00FF009C" w:rsidRPr="00FF009C">
        <w:rPr>
          <w:noProof/>
        </w:rPr>
        <w:t xml:space="preserve"> i</w:t>
      </w:r>
      <w:r w:rsidR="00FF009C">
        <w:rPr>
          <w:noProof/>
        </w:rPr>
        <w:t> </w:t>
      </w:r>
      <w:r w:rsidR="00FF009C" w:rsidRPr="00FF009C">
        <w:rPr>
          <w:noProof/>
        </w:rPr>
        <w:t>rea</w:t>
      </w:r>
      <w:r w:rsidRPr="00FF009C">
        <w:rPr>
          <w:noProof/>
        </w:rPr>
        <w:t>lizacji działań,</w:t>
      </w:r>
      <w:r w:rsidR="00FF009C" w:rsidRPr="00FF009C">
        <w:rPr>
          <w:noProof/>
        </w:rPr>
        <w:t xml:space="preserve"> o</w:t>
      </w:r>
      <w:r w:rsidR="00FF009C">
        <w:rPr>
          <w:noProof/>
        </w:rPr>
        <w:t> </w:t>
      </w:r>
      <w:r w:rsidR="00FF009C" w:rsidRPr="00FF009C">
        <w:rPr>
          <w:noProof/>
        </w:rPr>
        <w:t>któ</w:t>
      </w:r>
      <w:r w:rsidRPr="00FF009C">
        <w:rPr>
          <w:noProof/>
        </w:rPr>
        <w:t>rych mowa</w:t>
      </w:r>
      <w:r w:rsidR="00FF009C" w:rsidRPr="00FF009C">
        <w:rPr>
          <w:noProof/>
        </w:rPr>
        <w:t xml:space="preserve"> w</w:t>
      </w:r>
      <w:r w:rsidR="00FF009C">
        <w:rPr>
          <w:noProof/>
        </w:rPr>
        <w:t> </w:t>
      </w:r>
      <w:r w:rsidR="00FF009C" w:rsidRPr="00FF009C">
        <w:rPr>
          <w:noProof/>
        </w:rPr>
        <w:t>ust</w:t>
      </w:r>
      <w:r w:rsidRPr="00FF009C">
        <w:rPr>
          <w:noProof/>
        </w:rPr>
        <w:t>.</w:t>
      </w:r>
      <w:r w:rsidR="00FF009C" w:rsidRPr="00FF009C">
        <w:rPr>
          <w:noProof/>
        </w:rPr>
        <w:t> </w:t>
      </w:r>
      <w:r w:rsidRPr="00FF009C">
        <w:rPr>
          <w:noProof/>
        </w:rPr>
        <w:t xml:space="preserve">2: </w:t>
      </w:r>
    </w:p>
    <w:p w14:paraId="2FAF1BEC" w14:textId="13234394" w:rsidR="0043039B" w:rsidRPr="00FF009C" w:rsidRDefault="0043039B" w:rsidP="00977077">
      <w:pPr>
        <w:pStyle w:val="Text1"/>
        <w:rPr>
          <w:noProof/>
        </w:rPr>
      </w:pPr>
      <w:r w:rsidRPr="00FF009C">
        <w:rPr>
          <w:noProof/>
        </w:rPr>
        <w:t>a)</w:t>
      </w:r>
      <w:r w:rsidRPr="00FF009C">
        <w:rPr>
          <w:noProof/>
        </w:rPr>
        <w:tab/>
        <w:t>niezwłocznie przekazuje Europolowi</w:t>
      </w:r>
      <w:r w:rsidR="00FF009C" w:rsidRPr="00FF009C">
        <w:rPr>
          <w:noProof/>
        </w:rPr>
        <w:t xml:space="preserve"> i</w:t>
      </w:r>
      <w:r w:rsidR="00FF009C">
        <w:rPr>
          <w:noProof/>
        </w:rPr>
        <w:t> </w:t>
      </w:r>
      <w:r w:rsidR="00FF009C" w:rsidRPr="00FF009C">
        <w:rPr>
          <w:noProof/>
        </w:rPr>
        <w:t>poz</w:t>
      </w:r>
      <w:r w:rsidRPr="00FF009C">
        <w:rPr>
          <w:noProof/>
        </w:rPr>
        <w:t>ostałym państwom członkowskim tworzącym operacyjną grupę zadaniową, uczestniczącym</w:t>
      </w:r>
      <w:r w:rsidR="00FF009C" w:rsidRPr="00FF009C">
        <w:rPr>
          <w:noProof/>
        </w:rPr>
        <w:t xml:space="preserve"> w</w:t>
      </w:r>
      <w:r w:rsidR="00FF009C">
        <w:rPr>
          <w:noProof/>
        </w:rPr>
        <w:t> </w:t>
      </w:r>
      <w:r w:rsidR="00FF009C" w:rsidRPr="00FF009C">
        <w:rPr>
          <w:noProof/>
        </w:rPr>
        <w:t>tej</w:t>
      </w:r>
      <w:r w:rsidRPr="00FF009C">
        <w:rPr>
          <w:noProof/>
        </w:rPr>
        <w:t xml:space="preserve"> grupie lub wspierającym jej działalność wszelkie istotne informacje za pośrednictwem SIENA lub,</w:t>
      </w:r>
      <w:r w:rsidR="00FF009C" w:rsidRPr="00FF009C">
        <w:rPr>
          <w:noProof/>
        </w:rPr>
        <w:t xml:space="preserve"> w</w:t>
      </w:r>
      <w:r w:rsidR="00FF009C">
        <w:rPr>
          <w:noProof/>
        </w:rPr>
        <w:t> </w:t>
      </w:r>
      <w:r w:rsidR="00FF009C" w:rsidRPr="00FF009C">
        <w:rPr>
          <w:noProof/>
        </w:rPr>
        <w:t>sto</w:t>
      </w:r>
      <w:r w:rsidRPr="00FF009C">
        <w:rPr>
          <w:noProof/>
        </w:rPr>
        <w:t>sownych przypadkach, udostępnia te informacje bezpośrednio zgodnie</w:t>
      </w:r>
      <w:r w:rsidR="00FF009C" w:rsidRPr="00FF009C">
        <w:rPr>
          <w:noProof/>
        </w:rPr>
        <w:t xml:space="preserve"> z</w:t>
      </w:r>
      <w:r w:rsidR="00FF009C">
        <w:rPr>
          <w:noProof/>
        </w:rPr>
        <w:t> </w:t>
      </w:r>
      <w:r w:rsidR="00FF009C" w:rsidRPr="00FF009C">
        <w:rPr>
          <w:noProof/>
        </w:rPr>
        <w:t>art</w:t>
      </w:r>
      <w:r w:rsidRPr="00FF009C">
        <w:rPr>
          <w:noProof/>
        </w:rPr>
        <w:t>.</w:t>
      </w:r>
      <w:r w:rsidR="00FF009C" w:rsidRPr="00FF009C">
        <w:rPr>
          <w:noProof/>
        </w:rPr>
        <w:t> </w:t>
      </w:r>
      <w:r w:rsidRPr="00FF009C">
        <w:rPr>
          <w:noProof/>
        </w:rPr>
        <w:t>20 ust.</w:t>
      </w:r>
      <w:r w:rsidR="00FF009C" w:rsidRPr="00FF009C">
        <w:rPr>
          <w:noProof/>
        </w:rPr>
        <w:t> </w:t>
      </w:r>
      <w:r w:rsidRPr="00FF009C">
        <w:rPr>
          <w:noProof/>
        </w:rPr>
        <w:t>2a;</w:t>
      </w:r>
    </w:p>
    <w:p w14:paraId="6BCF0153" w14:textId="41416872" w:rsidR="0043039B" w:rsidRPr="00FF009C" w:rsidRDefault="0043039B" w:rsidP="00977077">
      <w:pPr>
        <w:pStyle w:val="Text1"/>
        <w:rPr>
          <w:noProof/>
        </w:rPr>
      </w:pPr>
      <w:r w:rsidRPr="00FF009C">
        <w:rPr>
          <w:noProof/>
        </w:rPr>
        <w:t>b)</w:t>
      </w:r>
      <w:r w:rsidRPr="00FF009C">
        <w:rPr>
          <w:noProof/>
        </w:rPr>
        <w:tab/>
        <w:t>korzysta ze wsparcia analitycznego, operacyjnego, technicznego, kryminalistycznego</w:t>
      </w:r>
      <w:r w:rsidR="00FF009C" w:rsidRPr="00FF009C">
        <w:rPr>
          <w:noProof/>
        </w:rPr>
        <w:t xml:space="preserve"> i</w:t>
      </w:r>
      <w:r w:rsidR="00FF009C">
        <w:rPr>
          <w:noProof/>
        </w:rPr>
        <w:t> </w:t>
      </w:r>
      <w:r w:rsidR="00FF009C" w:rsidRPr="00FF009C">
        <w:rPr>
          <w:noProof/>
        </w:rPr>
        <w:t>fin</w:t>
      </w:r>
      <w:r w:rsidRPr="00FF009C">
        <w:rPr>
          <w:noProof/>
        </w:rPr>
        <w:t>ansowego udzielanego przez Europol;</w:t>
      </w:r>
    </w:p>
    <w:p w14:paraId="7F72D020" w14:textId="70BCEADB" w:rsidR="0043039B" w:rsidRPr="00FF009C" w:rsidRDefault="0043039B" w:rsidP="00977077">
      <w:pPr>
        <w:pStyle w:val="Text1"/>
        <w:rPr>
          <w:noProof/>
        </w:rPr>
      </w:pPr>
      <w:r w:rsidRPr="00FF009C">
        <w:rPr>
          <w:noProof/>
        </w:rPr>
        <w:t>c)</w:t>
      </w:r>
      <w:r w:rsidRPr="00FF009C">
        <w:rPr>
          <w:noProof/>
        </w:rPr>
        <w:tab/>
        <w:t>podejmuje określone specjalne działania</w:t>
      </w:r>
      <w:r w:rsidR="00FF009C" w:rsidRPr="00FF009C">
        <w:rPr>
          <w:noProof/>
        </w:rPr>
        <w:t xml:space="preserve"> w</w:t>
      </w:r>
      <w:r w:rsidR="00FF009C">
        <w:rPr>
          <w:noProof/>
        </w:rPr>
        <w:t> </w:t>
      </w:r>
      <w:r w:rsidR="00FF009C" w:rsidRPr="00FF009C">
        <w:rPr>
          <w:noProof/>
        </w:rPr>
        <w:t>zak</w:t>
      </w:r>
      <w:r w:rsidRPr="00FF009C">
        <w:rPr>
          <w:noProof/>
        </w:rPr>
        <w:t>resie wywiadu kryminalnego</w:t>
      </w:r>
      <w:r w:rsidR="00FF009C" w:rsidRPr="00FF009C">
        <w:rPr>
          <w:noProof/>
        </w:rPr>
        <w:t xml:space="preserve"> i</w:t>
      </w:r>
      <w:r w:rsidR="00FF009C">
        <w:rPr>
          <w:noProof/>
        </w:rPr>
        <w:t> </w:t>
      </w:r>
      <w:r w:rsidR="00FF009C" w:rsidRPr="00FF009C">
        <w:rPr>
          <w:noProof/>
        </w:rPr>
        <w:t>wsz</w:t>
      </w:r>
      <w:r w:rsidRPr="00FF009C">
        <w:rPr>
          <w:noProof/>
        </w:rPr>
        <w:t>czyna określone specjalne postępowania przygotowawcze zgodnie</w:t>
      </w:r>
      <w:r w:rsidR="00FF009C" w:rsidRPr="00FF009C">
        <w:rPr>
          <w:noProof/>
        </w:rPr>
        <w:t xml:space="preserve"> z</w:t>
      </w:r>
      <w:r w:rsidR="00FF009C">
        <w:rPr>
          <w:noProof/>
        </w:rPr>
        <w:t> </w:t>
      </w:r>
      <w:r w:rsidR="00FF009C" w:rsidRPr="00FF009C">
        <w:rPr>
          <w:noProof/>
        </w:rPr>
        <w:t>pra</w:t>
      </w:r>
      <w:r w:rsidRPr="00FF009C">
        <w:rPr>
          <w:noProof/>
        </w:rPr>
        <w:t>wem krajowym</w:t>
      </w:r>
      <w:r w:rsidR="00FF009C" w:rsidRPr="00FF009C">
        <w:rPr>
          <w:noProof/>
        </w:rPr>
        <w:t xml:space="preserve"> w</w:t>
      </w:r>
      <w:r w:rsidR="00FF009C">
        <w:rPr>
          <w:noProof/>
        </w:rPr>
        <w:t> </w:t>
      </w:r>
      <w:r w:rsidR="00FF009C" w:rsidRPr="00FF009C">
        <w:rPr>
          <w:noProof/>
        </w:rPr>
        <w:t>prz</w:t>
      </w:r>
      <w:r w:rsidRPr="00FF009C">
        <w:rPr>
          <w:noProof/>
        </w:rPr>
        <w:t>ypadkach,</w:t>
      </w:r>
      <w:r w:rsidR="00FF009C" w:rsidRPr="00FF009C">
        <w:rPr>
          <w:noProof/>
        </w:rPr>
        <w:t xml:space="preserve"> w</w:t>
      </w:r>
      <w:r w:rsidR="00FF009C">
        <w:rPr>
          <w:noProof/>
        </w:rPr>
        <w:t> </w:t>
      </w:r>
      <w:r w:rsidR="00FF009C" w:rsidRPr="00FF009C">
        <w:rPr>
          <w:noProof/>
        </w:rPr>
        <w:t>któ</w:t>
      </w:r>
      <w:r w:rsidRPr="00FF009C">
        <w:rPr>
          <w:noProof/>
        </w:rPr>
        <w:t>rych jest to konieczne do zwalczania przestępstw, którymi zajmuje się dana operacyjna grupa zadaniowa;</w:t>
      </w:r>
    </w:p>
    <w:p w14:paraId="72A748F1" w14:textId="4C85E642" w:rsidR="0043039B" w:rsidRPr="00FF009C" w:rsidRDefault="0043039B" w:rsidP="00977077">
      <w:pPr>
        <w:pStyle w:val="Text1"/>
        <w:rPr>
          <w:noProof/>
        </w:rPr>
      </w:pPr>
      <w:r w:rsidRPr="00FF009C">
        <w:rPr>
          <w:noProof/>
        </w:rPr>
        <w:t>d)</w:t>
      </w:r>
      <w:r w:rsidRPr="00FF009C">
        <w:rPr>
          <w:noProof/>
        </w:rPr>
        <w:tab/>
        <w:t>wszczyna równoległe dochodzenia finansowe zgodnie</w:t>
      </w:r>
      <w:r w:rsidR="00FF009C" w:rsidRPr="00FF009C">
        <w:rPr>
          <w:noProof/>
        </w:rPr>
        <w:t xml:space="preserve"> z</w:t>
      </w:r>
      <w:r w:rsidR="00FF009C">
        <w:rPr>
          <w:noProof/>
        </w:rPr>
        <w:t> </w:t>
      </w:r>
      <w:r w:rsidR="00FF009C" w:rsidRPr="00FF009C">
        <w:rPr>
          <w:noProof/>
        </w:rPr>
        <w:t>pra</w:t>
      </w:r>
      <w:r w:rsidRPr="00FF009C">
        <w:rPr>
          <w:noProof/>
        </w:rPr>
        <w:t>wem krajowym</w:t>
      </w:r>
      <w:r w:rsidR="00FF009C" w:rsidRPr="00FF009C">
        <w:rPr>
          <w:noProof/>
        </w:rPr>
        <w:t xml:space="preserve"> i</w:t>
      </w:r>
      <w:r w:rsidR="00FF009C">
        <w:rPr>
          <w:noProof/>
        </w:rPr>
        <w:t> </w:t>
      </w:r>
      <w:r w:rsidR="00FF009C" w:rsidRPr="00FF009C">
        <w:rPr>
          <w:noProof/>
        </w:rPr>
        <w:t>pra</w:t>
      </w:r>
      <w:r w:rsidRPr="00FF009C">
        <w:rPr>
          <w:noProof/>
        </w:rPr>
        <w:t>wem Unii</w:t>
      </w:r>
      <w:r w:rsidR="00FF009C" w:rsidRPr="00FF009C">
        <w:rPr>
          <w:noProof/>
        </w:rPr>
        <w:t xml:space="preserve"> w</w:t>
      </w:r>
      <w:r w:rsidR="00FF009C">
        <w:rPr>
          <w:noProof/>
        </w:rPr>
        <w:t> </w:t>
      </w:r>
      <w:r w:rsidR="00FF009C" w:rsidRPr="00FF009C">
        <w:rPr>
          <w:noProof/>
        </w:rPr>
        <w:t>cel</w:t>
      </w:r>
      <w:r w:rsidRPr="00FF009C">
        <w:rPr>
          <w:noProof/>
        </w:rPr>
        <w:t>u identyfikacji</w:t>
      </w:r>
      <w:r w:rsidR="00FF009C" w:rsidRPr="00FF009C">
        <w:rPr>
          <w:noProof/>
        </w:rPr>
        <w:t xml:space="preserve"> i</w:t>
      </w:r>
      <w:r w:rsidR="00FF009C">
        <w:rPr>
          <w:noProof/>
        </w:rPr>
        <w:t> </w:t>
      </w:r>
      <w:r w:rsidR="00FF009C" w:rsidRPr="00FF009C">
        <w:rPr>
          <w:noProof/>
        </w:rPr>
        <w:t>zaj</w:t>
      </w:r>
      <w:r w:rsidRPr="00FF009C">
        <w:rPr>
          <w:noProof/>
        </w:rPr>
        <w:t>mowania mienia pochodzącego</w:t>
      </w:r>
      <w:r w:rsidR="00FF009C" w:rsidRPr="00FF009C">
        <w:rPr>
          <w:noProof/>
        </w:rPr>
        <w:t xml:space="preserve"> z</w:t>
      </w:r>
      <w:r w:rsidR="00FF009C">
        <w:rPr>
          <w:noProof/>
        </w:rPr>
        <w:t> </w:t>
      </w:r>
      <w:r w:rsidR="00FF009C" w:rsidRPr="00FF009C">
        <w:rPr>
          <w:noProof/>
        </w:rPr>
        <w:t>prz</w:t>
      </w:r>
      <w:r w:rsidRPr="00FF009C">
        <w:rPr>
          <w:noProof/>
        </w:rPr>
        <w:t xml:space="preserve">estępstwa; </w:t>
      </w:r>
    </w:p>
    <w:p w14:paraId="16A6465B" w14:textId="305755CA" w:rsidR="0043039B" w:rsidRPr="00FF009C" w:rsidRDefault="0043039B" w:rsidP="00977077">
      <w:pPr>
        <w:pStyle w:val="Text1"/>
        <w:rPr>
          <w:noProof/>
        </w:rPr>
      </w:pPr>
      <w:r w:rsidRPr="00FF009C">
        <w:rPr>
          <w:noProof/>
        </w:rPr>
        <w:t>e)</w:t>
      </w:r>
      <w:r w:rsidRPr="00FF009C">
        <w:rPr>
          <w:noProof/>
        </w:rPr>
        <w:tab/>
        <w:t>angażuje swoich urzędników łącznikowych rozmieszczonych</w:t>
      </w:r>
      <w:r w:rsidR="00FF009C" w:rsidRPr="00FF009C">
        <w:rPr>
          <w:noProof/>
        </w:rPr>
        <w:t xml:space="preserve"> w</w:t>
      </w:r>
      <w:r w:rsidR="00FF009C">
        <w:rPr>
          <w:noProof/>
        </w:rPr>
        <w:t> </w:t>
      </w:r>
      <w:r w:rsidR="00FF009C" w:rsidRPr="00FF009C">
        <w:rPr>
          <w:noProof/>
        </w:rPr>
        <w:t>pań</w:t>
      </w:r>
      <w:r w:rsidRPr="00FF009C">
        <w:rPr>
          <w:noProof/>
        </w:rPr>
        <w:t>stwach trzecich,</w:t>
      </w:r>
      <w:r w:rsidR="00FF009C" w:rsidRPr="00FF009C">
        <w:rPr>
          <w:noProof/>
        </w:rPr>
        <w:t xml:space="preserve"> w</w:t>
      </w:r>
      <w:r w:rsidR="00FF009C">
        <w:rPr>
          <w:noProof/>
        </w:rPr>
        <w:t> </w:t>
      </w:r>
      <w:r w:rsidR="00FF009C" w:rsidRPr="00FF009C">
        <w:rPr>
          <w:noProof/>
        </w:rPr>
        <w:t>któ</w:t>
      </w:r>
      <w:r w:rsidRPr="00FF009C">
        <w:rPr>
          <w:noProof/>
        </w:rPr>
        <w:t>rych prowadzi się postępowania przygotowawcze</w:t>
      </w:r>
      <w:r w:rsidR="00FF009C" w:rsidRPr="00FF009C">
        <w:rPr>
          <w:noProof/>
        </w:rPr>
        <w:t xml:space="preserve"> w</w:t>
      </w:r>
      <w:r w:rsidR="00FF009C">
        <w:rPr>
          <w:noProof/>
        </w:rPr>
        <w:t> </w:t>
      </w:r>
      <w:r w:rsidR="00FF009C" w:rsidRPr="00FF009C">
        <w:rPr>
          <w:noProof/>
        </w:rPr>
        <w:t>zwi</w:t>
      </w:r>
      <w:r w:rsidRPr="00FF009C">
        <w:rPr>
          <w:noProof/>
        </w:rPr>
        <w:t>ązku</w:t>
      </w:r>
      <w:r w:rsidR="00FF009C" w:rsidRPr="00FF009C">
        <w:rPr>
          <w:noProof/>
        </w:rPr>
        <w:t xml:space="preserve"> z</w:t>
      </w:r>
      <w:r w:rsidR="00FF009C">
        <w:rPr>
          <w:noProof/>
        </w:rPr>
        <w:t> </w:t>
      </w:r>
      <w:r w:rsidR="00FF009C" w:rsidRPr="00FF009C">
        <w:rPr>
          <w:noProof/>
        </w:rPr>
        <w:t>dzi</w:t>
      </w:r>
      <w:r w:rsidRPr="00FF009C">
        <w:rPr>
          <w:noProof/>
        </w:rPr>
        <w:t>ałalnością przestępczą,</w:t>
      </w:r>
      <w:r w:rsidR="00FF009C" w:rsidRPr="00FF009C">
        <w:rPr>
          <w:noProof/>
        </w:rPr>
        <w:t xml:space="preserve"> w</w:t>
      </w:r>
      <w:r w:rsidR="00FF009C">
        <w:rPr>
          <w:noProof/>
        </w:rPr>
        <w:t> </w:t>
      </w:r>
      <w:r w:rsidR="00FF009C" w:rsidRPr="00FF009C">
        <w:rPr>
          <w:noProof/>
        </w:rPr>
        <w:t>pra</w:t>
      </w:r>
      <w:r w:rsidRPr="00FF009C">
        <w:rPr>
          <w:noProof/>
        </w:rPr>
        <w:t>ce operacyjnej grupy zadaniowej, aby zacieśniać współpracę</w:t>
      </w:r>
      <w:r w:rsidR="00FF009C" w:rsidRPr="00FF009C">
        <w:rPr>
          <w:noProof/>
        </w:rPr>
        <w:t xml:space="preserve"> i</w:t>
      </w:r>
      <w:r w:rsidR="00FF009C">
        <w:rPr>
          <w:noProof/>
        </w:rPr>
        <w:t> </w:t>
      </w:r>
      <w:r w:rsidR="00FF009C" w:rsidRPr="00FF009C">
        <w:rPr>
          <w:noProof/>
        </w:rPr>
        <w:t>spr</w:t>
      </w:r>
      <w:r w:rsidRPr="00FF009C">
        <w:rPr>
          <w:noProof/>
        </w:rPr>
        <w:t>zyjać wymienianiu się informacjami oraz aby przekazywać Europolowi gromadzone informacje zgodnie</w:t>
      </w:r>
      <w:r w:rsidR="00FF009C" w:rsidRPr="00FF009C">
        <w:rPr>
          <w:noProof/>
        </w:rPr>
        <w:t xml:space="preserve"> z</w:t>
      </w:r>
      <w:r w:rsidR="00FF009C">
        <w:rPr>
          <w:noProof/>
        </w:rPr>
        <w:t> </w:t>
      </w:r>
      <w:r w:rsidR="00FF009C" w:rsidRPr="00FF009C">
        <w:rPr>
          <w:noProof/>
        </w:rPr>
        <w:t>pra</w:t>
      </w:r>
      <w:r w:rsidRPr="00FF009C">
        <w:rPr>
          <w:noProof/>
        </w:rPr>
        <w:t>wem Unii</w:t>
      </w:r>
      <w:r w:rsidR="00FF009C" w:rsidRPr="00FF009C">
        <w:rPr>
          <w:noProof/>
        </w:rPr>
        <w:t xml:space="preserve"> i</w:t>
      </w:r>
      <w:r w:rsidR="00FF009C">
        <w:rPr>
          <w:noProof/>
        </w:rPr>
        <w:t> </w:t>
      </w:r>
      <w:r w:rsidR="00FF009C" w:rsidRPr="00FF009C">
        <w:rPr>
          <w:noProof/>
        </w:rPr>
        <w:t>pra</w:t>
      </w:r>
      <w:r w:rsidRPr="00FF009C">
        <w:rPr>
          <w:noProof/>
        </w:rPr>
        <w:t xml:space="preserve">wem krajowym. </w:t>
      </w:r>
    </w:p>
    <w:p w14:paraId="03E5CDD4" w14:textId="3ABCF1DE" w:rsidR="0043039B" w:rsidRPr="00FF009C" w:rsidRDefault="0043039B" w:rsidP="0043039B">
      <w:pPr>
        <w:ind w:left="720" w:hanging="720"/>
        <w:rPr>
          <w:noProof/>
        </w:rPr>
      </w:pPr>
      <w:r w:rsidRPr="00FF009C">
        <w:rPr>
          <w:noProof/>
        </w:rPr>
        <w:t>7.</w:t>
      </w:r>
      <w:r w:rsidRPr="00FF009C">
        <w:rPr>
          <w:noProof/>
        </w:rPr>
        <w:tab/>
        <w:t>Dyrektor wykonawczy może zaproponować właściwym organom zainteresowanych państw członkowskich utworzenie operacyjnej grupy zadaniowej za pośrednictwem ich jednostek krajowych, jeżeli uzna, że wnosiłby to wartość dodaną</w:t>
      </w:r>
      <w:r w:rsidR="00FF009C" w:rsidRPr="00FF009C">
        <w:rPr>
          <w:noProof/>
        </w:rPr>
        <w:t xml:space="preserve"> w</w:t>
      </w:r>
      <w:r w:rsidR="00FF009C">
        <w:rPr>
          <w:noProof/>
        </w:rPr>
        <w:t> </w:t>
      </w:r>
      <w:r w:rsidR="00FF009C" w:rsidRPr="00FF009C">
        <w:rPr>
          <w:noProof/>
        </w:rPr>
        <w:t>zwa</w:t>
      </w:r>
      <w:r w:rsidRPr="00FF009C">
        <w:rPr>
          <w:noProof/>
        </w:rPr>
        <w:t>lczanie przestępstw wchodzących</w:t>
      </w:r>
      <w:r w:rsidR="00FF009C" w:rsidRPr="00FF009C">
        <w:rPr>
          <w:noProof/>
        </w:rPr>
        <w:t xml:space="preserve"> w</w:t>
      </w:r>
      <w:r w:rsidR="00FF009C">
        <w:rPr>
          <w:noProof/>
        </w:rPr>
        <w:t> </w:t>
      </w:r>
      <w:r w:rsidR="00FF009C" w:rsidRPr="00FF009C">
        <w:rPr>
          <w:noProof/>
        </w:rPr>
        <w:t>zak</w:t>
      </w:r>
      <w:r w:rsidRPr="00FF009C">
        <w:rPr>
          <w:noProof/>
        </w:rPr>
        <w:t>res celów Europolu.</w:t>
      </w:r>
    </w:p>
    <w:p w14:paraId="2215FD68" w14:textId="011E8D75" w:rsidR="0043039B" w:rsidRPr="00FF009C" w:rsidRDefault="0043039B" w:rsidP="0043039B">
      <w:pPr>
        <w:ind w:left="720" w:hanging="720"/>
        <w:rPr>
          <w:noProof/>
        </w:rPr>
      </w:pPr>
      <w:r w:rsidRPr="00FF009C">
        <w:rPr>
          <w:noProof/>
        </w:rPr>
        <w:t>8.</w:t>
      </w:r>
      <w:r w:rsidRPr="00FF009C">
        <w:rPr>
          <w:noProof/>
        </w:rPr>
        <w:tab/>
        <w:t>Zarząd przyjmuje przepisy wykonawcze regulujące kwestie związane</w:t>
      </w:r>
      <w:r w:rsidR="00FF009C" w:rsidRPr="00FF009C">
        <w:rPr>
          <w:noProof/>
        </w:rPr>
        <w:t xml:space="preserve"> z</w:t>
      </w:r>
      <w:r w:rsidR="00FF009C">
        <w:rPr>
          <w:noProof/>
        </w:rPr>
        <w:t> </w:t>
      </w:r>
      <w:r w:rsidR="00FF009C" w:rsidRPr="00FF009C">
        <w:rPr>
          <w:noProof/>
        </w:rPr>
        <w:t>ust</w:t>
      </w:r>
      <w:r w:rsidRPr="00FF009C">
        <w:rPr>
          <w:noProof/>
        </w:rPr>
        <w:t>anawianiem</w:t>
      </w:r>
      <w:r w:rsidR="00FF009C" w:rsidRPr="00FF009C">
        <w:rPr>
          <w:noProof/>
        </w:rPr>
        <w:t xml:space="preserve"> i</w:t>
      </w:r>
      <w:r w:rsidR="00FF009C">
        <w:rPr>
          <w:noProof/>
        </w:rPr>
        <w:t> </w:t>
      </w:r>
      <w:r w:rsidR="00FF009C" w:rsidRPr="00FF009C">
        <w:rPr>
          <w:noProof/>
        </w:rPr>
        <w:t>wdr</w:t>
      </w:r>
      <w:r w:rsidRPr="00FF009C">
        <w:rPr>
          <w:noProof/>
        </w:rPr>
        <w:t>ażaniem operacyjnych grup zadaniowych.</w:t>
      </w:r>
    </w:p>
    <w:p w14:paraId="40A74BE2" w14:textId="77777777" w:rsidR="0043039B" w:rsidRPr="00FF009C" w:rsidRDefault="0043039B" w:rsidP="0043039B">
      <w:pPr>
        <w:jc w:val="center"/>
        <w:rPr>
          <w:noProof/>
        </w:rPr>
      </w:pPr>
      <w:r w:rsidRPr="00FF009C">
        <w:rPr>
          <w:i/>
          <w:noProof/>
        </w:rPr>
        <w:t>Artykuł 5b</w:t>
      </w:r>
    </w:p>
    <w:p w14:paraId="6D16F36B" w14:textId="7E56A5F1" w:rsidR="0043039B" w:rsidRPr="00FF009C" w:rsidRDefault="0043039B" w:rsidP="0043039B">
      <w:pPr>
        <w:jc w:val="center"/>
        <w:rPr>
          <w:b/>
          <w:noProof/>
        </w:rPr>
      </w:pPr>
      <w:r w:rsidRPr="00FF009C">
        <w:rPr>
          <w:b/>
          <w:noProof/>
        </w:rPr>
        <w:t>Rozmieszczenie pracowników Europolu</w:t>
      </w:r>
      <w:r w:rsidR="00FF009C" w:rsidRPr="00FF009C">
        <w:rPr>
          <w:b/>
          <w:noProof/>
        </w:rPr>
        <w:t xml:space="preserve"> w</w:t>
      </w:r>
      <w:r w:rsidR="00FF009C">
        <w:rPr>
          <w:b/>
          <w:noProof/>
        </w:rPr>
        <w:t> </w:t>
      </w:r>
      <w:r w:rsidR="00FF009C" w:rsidRPr="00FF009C">
        <w:rPr>
          <w:b/>
          <w:noProof/>
        </w:rPr>
        <w:t>ram</w:t>
      </w:r>
      <w:r w:rsidRPr="00FF009C">
        <w:rPr>
          <w:b/>
          <w:noProof/>
        </w:rPr>
        <w:t>ach wsparcia operacyjnego</w:t>
      </w:r>
    </w:p>
    <w:p w14:paraId="2485334E" w14:textId="282F15CF" w:rsidR="0043039B" w:rsidRPr="00FF009C" w:rsidRDefault="0043039B" w:rsidP="0043039B">
      <w:pPr>
        <w:ind w:left="720" w:hanging="720"/>
        <w:rPr>
          <w:noProof/>
        </w:rPr>
      </w:pPr>
      <w:r w:rsidRPr="00FF009C">
        <w:rPr>
          <w:noProof/>
        </w:rPr>
        <w:t>1.</w:t>
      </w:r>
      <w:r w:rsidRPr="00FF009C">
        <w:rPr>
          <w:noProof/>
        </w:rPr>
        <w:tab/>
        <w:t>Państwo członkowskie może – zgodnie ze swoim prawem krajowym – wystąpić</w:t>
      </w:r>
      <w:r w:rsidR="00FF009C" w:rsidRPr="00FF009C">
        <w:rPr>
          <w:noProof/>
        </w:rPr>
        <w:t xml:space="preserve"> z</w:t>
      </w:r>
      <w:r w:rsidR="00FF009C">
        <w:rPr>
          <w:noProof/>
        </w:rPr>
        <w:t> </w:t>
      </w:r>
      <w:r w:rsidR="00FF009C" w:rsidRPr="00FF009C">
        <w:rPr>
          <w:noProof/>
        </w:rPr>
        <w:t>wni</w:t>
      </w:r>
      <w:r w:rsidRPr="00FF009C">
        <w:rPr>
          <w:noProof/>
        </w:rPr>
        <w:t>oskiem</w:t>
      </w:r>
      <w:r w:rsidR="00FF009C" w:rsidRPr="00FF009C">
        <w:rPr>
          <w:noProof/>
        </w:rPr>
        <w:t xml:space="preserve"> o</w:t>
      </w:r>
      <w:r w:rsidR="00FF009C">
        <w:rPr>
          <w:noProof/>
        </w:rPr>
        <w:t> </w:t>
      </w:r>
      <w:r w:rsidR="00FF009C" w:rsidRPr="00FF009C">
        <w:rPr>
          <w:noProof/>
        </w:rPr>
        <w:t>roz</w:t>
      </w:r>
      <w:r w:rsidRPr="00FF009C">
        <w:rPr>
          <w:noProof/>
        </w:rPr>
        <w:t>mieszczenie pracowników Europolu</w:t>
      </w:r>
      <w:r w:rsidR="00FF009C" w:rsidRPr="00FF009C">
        <w:rPr>
          <w:noProof/>
        </w:rPr>
        <w:t xml:space="preserve"> w</w:t>
      </w:r>
      <w:r w:rsidR="00FF009C">
        <w:rPr>
          <w:noProof/>
        </w:rPr>
        <w:t> </w:t>
      </w:r>
      <w:r w:rsidR="00FF009C" w:rsidRPr="00FF009C">
        <w:rPr>
          <w:noProof/>
        </w:rPr>
        <w:t>ram</w:t>
      </w:r>
      <w:r w:rsidRPr="00FF009C">
        <w:rPr>
          <w:noProof/>
        </w:rPr>
        <w:t>ach wsparcia operacyjnego na swoim terytorium, aby skorzystać ze wsparcia analitycznego, operacyjnego, technicznego, kryminalistycznego</w:t>
      </w:r>
      <w:r w:rsidR="00FF009C" w:rsidRPr="00FF009C">
        <w:rPr>
          <w:noProof/>
        </w:rPr>
        <w:t xml:space="preserve"> i</w:t>
      </w:r>
      <w:r w:rsidR="00FF009C">
        <w:rPr>
          <w:noProof/>
        </w:rPr>
        <w:t> </w:t>
      </w:r>
      <w:r w:rsidR="00FF009C" w:rsidRPr="00FF009C">
        <w:rPr>
          <w:noProof/>
        </w:rPr>
        <w:t>fin</w:t>
      </w:r>
      <w:r w:rsidRPr="00FF009C">
        <w:rPr>
          <w:noProof/>
        </w:rPr>
        <w:t>ansowego udzielanego przez Europol</w:t>
      </w:r>
      <w:r w:rsidR="00FF009C" w:rsidRPr="00FF009C">
        <w:rPr>
          <w:noProof/>
        </w:rPr>
        <w:t xml:space="preserve"> w</w:t>
      </w:r>
      <w:r w:rsidR="00FF009C">
        <w:rPr>
          <w:noProof/>
        </w:rPr>
        <w:t> </w:t>
      </w:r>
      <w:r w:rsidR="00FF009C" w:rsidRPr="00FF009C">
        <w:rPr>
          <w:noProof/>
        </w:rPr>
        <w:t>cel</w:t>
      </w:r>
      <w:r w:rsidRPr="00FF009C">
        <w:rPr>
          <w:noProof/>
        </w:rPr>
        <w:t>u przeciwdziałania przestępstwom</w:t>
      </w:r>
      <w:r w:rsidR="00FF009C" w:rsidRPr="00FF009C">
        <w:rPr>
          <w:noProof/>
        </w:rPr>
        <w:t xml:space="preserve"> i</w:t>
      </w:r>
      <w:r w:rsidR="00FF009C">
        <w:rPr>
          <w:noProof/>
        </w:rPr>
        <w:t> </w:t>
      </w:r>
      <w:r w:rsidR="00FF009C" w:rsidRPr="00FF009C">
        <w:rPr>
          <w:noProof/>
        </w:rPr>
        <w:t>zwa</w:t>
      </w:r>
      <w:r w:rsidRPr="00FF009C">
        <w:rPr>
          <w:noProof/>
        </w:rPr>
        <w:t>lczania przestępstw wchodzących</w:t>
      </w:r>
      <w:r w:rsidR="00FF009C" w:rsidRPr="00FF009C">
        <w:rPr>
          <w:noProof/>
        </w:rPr>
        <w:t xml:space="preserve"> w</w:t>
      </w:r>
      <w:r w:rsidR="00FF009C">
        <w:rPr>
          <w:noProof/>
        </w:rPr>
        <w:t> </w:t>
      </w:r>
      <w:r w:rsidR="00FF009C" w:rsidRPr="00FF009C">
        <w:rPr>
          <w:noProof/>
        </w:rPr>
        <w:t>zak</w:t>
      </w:r>
      <w:r w:rsidRPr="00FF009C">
        <w:rPr>
          <w:noProof/>
        </w:rPr>
        <w:t xml:space="preserve">res celów Europolu. </w:t>
      </w:r>
    </w:p>
    <w:p w14:paraId="250DEC50" w14:textId="524B7BAC" w:rsidR="0043039B" w:rsidRPr="00FF009C" w:rsidRDefault="0043039B" w:rsidP="0043039B">
      <w:pPr>
        <w:ind w:left="720" w:hanging="720"/>
        <w:rPr>
          <w:noProof/>
        </w:rPr>
      </w:pPr>
      <w:r w:rsidRPr="00FF009C">
        <w:rPr>
          <w:noProof/>
        </w:rPr>
        <w:t>2.</w:t>
      </w:r>
      <w:r w:rsidRPr="00FF009C">
        <w:rPr>
          <w:noProof/>
        </w:rPr>
        <w:tab/>
        <w:t>Rozmieszczenia pracowników Europolu</w:t>
      </w:r>
      <w:r w:rsidR="00FF009C" w:rsidRPr="00FF009C">
        <w:rPr>
          <w:noProof/>
        </w:rPr>
        <w:t xml:space="preserve"> w</w:t>
      </w:r>
      <w:r w:rsidR="00FF009C">
        <w:rPr>
          <w:noProof/>
        </w:rPr>
        <w:t> </w:t>
      </w:r>
      <w:r w:rsidR="00FF009C" w:rsidRPr="00FF009C">
        <w:rPr>
          <w:noProof/>
        </w:rPr>
        <w:t>ram</w:t>
      </w:r>
      <w:r w:rsidRPr="00FF009C">
        <w:rPr>
          <w:noProof/>
        </w:rPr>
        <w:t>ach wsparcia operacyjnego dokonuje się</w:t>
      </w:r>
      <w:r w:rsidR="00FF009C" w:rsidRPr="00FF009C">
        <w:rPr>
          <w:noProof/>
        </w:rPr>
        <w:t xml:space="preserve"> w</w:t>
      </w:r>
      <w:r w:rsidR="00FF009C">
        <w:rPr>
          <w:noProof/>
        </w:rPr>
        <w:t> </w:t>
      </w:r>
      <w:r w:rsidR="00FF009C" w:rsidRPr="00FF009C">
        <w:rPr>
          <w:noProof/>
        </w:rPr>
        <w:t>kon</w:t>
      </w:r>
      <w:r w:rsidRPr="00FF009C">
        <w:rPr>
          <w:noProof/>
        </w:rPr>
        <w:t>tekście zakrojonych na szeroką skalę postępowań przygotowawczych wymagających wsparcia ze strony Europolu,</w:t>
      </w:r>
      <w:r w:rsidR="00FF009C" w:rsidRPr="00FF009C">
        <w:rPr>
          <w:noProof/>
        </w:rPr>
        <w:t xml:space="preserve"> w</w:t>
      </w:r>
      <w:r w:rsidR="00FF009C">
        <w:rPr>
          <w:noProof/>
        </w:rPr>
        <w:t> </w:t>
      </w:r>
      <w:r w:rsidR="00FF009C" w:rsidRPr="00FF009C">
        <w:rPr>
          <w:noProof/>
        </w:rPr>
        <w:t>tym w</w:t>
      </w:r>
      <w:r w:rsidR="00FF009C">
        <w:rPr>
          <w:noProof/>
        </w:rPr>
        <w:t> </w:t>
      </w:r>
      <w:r w:rsidR="00FF009C" w:rsidRPr="00FF009C">
        <w:rPr>
          <w:noProof/>
        </w:rPr>
        <w:t>kon</w:t>
      </w:r>
      <w:r w:rsidRPr="00FF009C">
        <w:rPr>
          <w:noProof/>
        </w:rPr>
        <w:t>tekście wspólnych zespołów dochodzeniowo-śledczych lub operacyjnych grup zadaniowych,</w:t>
      </w:r>
      <w:r w:rsidR="00FF009C" w:rsidRPr="00FF009C">
        <w:rPr>
          <w:noProof/>
        </w:rPr>
        <w:t xml:space="preserve"> w</w:t>
      </w:r>
      <w:r w:rsidR="00FF009C">
        <w:rPr>
          <w:noProof/>
        </w:rPr>
        <w:t> </w:t>
      </w:r>
      <w:r w:rsidR="00FF009C" w:rsidRPr="00FF009C">
        <w:rPr>
          <w:noProof/>
        </w:rPr>
        <w:t>cel</w:t>
      </w:r>
      <w:r w:rsidRPr="00FF009C">
        <w:rPr>
          <w:noProof/>
        </w:rPr>
        <w:t>u zapewnienia wsparcia przy przeszukiwaniu odpowiednich bazy danych, aby wzmocnić kontrole na granicach zewnętrznych Unii,</w:t>
      </w:r>
      <w:r w:rsidR="00FF009C" w:rsidRPr="00FF009C">
        <w:rPr>
          <w:noProof/>
        </w:rPr>
        <w:t xml:space="preserve"> w</w:t>
      </w:r>
      <w:r w:rsidR="00FF009C">
        <w:rPr>
          <w:noProof/>
        </w:rPr>
        <w:t> </w:t>
      </w:r>
      <w:r w:rsidR="00FF009C" w:rsidRPr="00FF009C">
        <w:rPr>
          <w:noProof/>
        </w:rPr>
        <w:t>kon</w:t>
      </w:r>
      <w:r w:rsidRPr="00FF009C">
        <w:rPr>
          <w:noProof/>
        </w:rPr>
        <w:t>tekście zespołów wspierających zarządzanie migracjami zgodnie</w:t>
      </w:r>
      <w:r w:rsidR="00FF009C" w:rsidRPr="00FF009C">
        <w:rPr>
          <w:noProof/>
        </w:rPr>
        <w:t xml:space="preserve"> z</w:t>
      </w:r>
      <w:r w:rsidR="00FF009C">
        <w:rPr>
          <w:noProof/>
        </w:rPr>
        <w:t> </w:t>
      </w:r>
      <w:r w:rsidR="00FF009C" w:rsidRPr="00FF009C">
        <w:rPr>
          <w:noProof/>
        </w:rPr>
        <w:t>roz</w:t>
      </w:r>
      <w:r w:rsidRPr="00FF009C">
        <w:rPr>
          <w:noProof/>
        </w:rPr>
        <w:t>porządzeniem Parlamentu Europejskiego</w:t>
      </w:r>
      <w:r w:rsidR="00FF009C" w:rsidRPr="00FF009C">
        <w:rPr>
          <w:noProof/>
        </w:rPr>
        <w:t xml:space="preserve"> i</w:t>
      </w:r>
      <w:r w:rsidR="00FF009C">
        <w:rPr>
          <w:noProof/>
        </w:rPr>
        <w:t> </w:t>
      </w:r>
      <w:r w:rsidR="00FF009C" w:rsidRPr="00FF009C">
        <w:rPr>
          <w:noProof/>
        </w:rPr>
        <w:t>Rad</w:t>
      </w:r>
      <w:r w:rsidRPr="00FF009C">
        <w:rPr>
          <w:noProof/>
        </w:rPr>
        <w:t>y (UE) 2019/1896 lub</w:t>
      </w:r>
      <w:r w:rsidR="00FF009C" w:rsidRPr="00FF009C">
        <w:rPr>
          <w:noProof/>
        </w:rPr>
        <w:t xml:space="preserve"> w</w:t>
      </w:r>
      <w:r w:rsidR="00FF009C">
        <w:rPr>
          <w:noProof/>
        </w:rPr>
        <w:t> </w:t>
      </w:r>
      <w:r w:rsidR="00FF009C" w:rsidRPr="00FF009C">
        <w:rPr>
          <w:noProof/>
        </w:rPr>
        <w:t>cel</w:t>
      </w:r>
      <w:r w:rsidRPr="00FF009C">
        <w:rPr>
          <w:noProof/>
        </w:rPr>
        <w:t>u udzielenia państwom członkowskim wsparcia</w:t>
      </w:r>
      <w:r w:rsidR="00FF009C" w:rsidRPr="00FF009C">
        <w:rPr>
          <w:noProof/>
        </w:rPr>
        <w:t xml:space="preserve"> w</w:t>
      </w:r>
      <w:r w:rsidR="00FF009C">
        <w:rPr>
          <w:noProof/>
        </w:rPr>
        <w:t> </w:t>
      </w:r>
      <w:r w:rsidR="00FF009C" w:rsidRPr="00FF009C">
        <w:rPr>
          <w:noProof/>
        </w:rPr>
        <w:t>prz</w:t>
      </w:r>
      <w:r w:rsidRPr="00FF009C">
        <w:rPr>
          <w:noProof/>
        </w:rPr>
        <w:t>ypadku wystąpienia poważnych incydentów</w:t>
      </w:r>
      <w:r w:rsidR="00FF009C" w:rsidRPr="00FF009C">
        <w:rPr>
          <w:noProof/>
        </w:rPr>
        <w:t xml:space="preserve"> o</w:t>
      </w:r>
      <w:r w:rsidR="00FF009C">
        <w:rPr>
          <w:noProof/>
        </w:rPr>
        <w:t> </w:t>
      </w:r>
      <w:r w:rsidR="00FF009C" w:rsidRPr="00FF009C">
        <w:rPr>
          <w:noProof/>
        </w:rPr>
        <w:t>cha</w:t>
      </w:r>
      <w:r w:rsidRPr="00FF009C">
        <w:rPr>
          <w:noProof/>
        </w:rPr>
        <w:t xml:space="preserve">rakterze międzynarodowym. </w:t>
      </w:r>
    </w:p>
    <w:p w14:paraId="222F7CA6" w14:textId="330BE7B4" w:rsidR="0043039B" w:rsidRPr="00FF009C" w:rsidRDefault="0043039B" w:rsidP="0043039B">
      <w:pPr>
        <w:ind w:left="720" w:hanging="720"/>
        <w:rPr>
          <w:noProof/>
        </w:rPr>
      </w:pPr>
      <w:r w:rsidRPr="00FF009C">
        <w:rPr>
          <w:noProof/>
        </w:rPr>
        <w:t>3.</w:t>
      </w:r>
      <w:r w:rsidRPr="00FF009C">
        <w:rPr>
          <w:noProof/>
        </w:rPr>
        <w:tab/>
        <w:t>Dyrektor wykonawczy ocenia wniosek złożony przez państwo członkowskie zgodnie</w:t>
      </w:r>
      <w:r w:rsidR="00FF009C" w:rsidRPr="00FF009C">
        <w:rPr>
          <w:noProof/>
        </w:rPr>
        <w:t xml:space="preserve"> z</w:t>
      </w:r>
      <w:r w:rsidR="00FF009C">
        <w:rPr>
          <w:noProof/>
        </w:rPr>
        <w:t> </w:t>
      </w:r>
      <w:r w:rsidR="00FF009C" w:rsidRPr="00FF009C">
        <w:rPr>
          <w:noProof/>
        </w:rPr>
        <w:t>ust</w:t>
      </w:r>
      <w:r w:rsidRPr="00FF009C">
        <w:rPr>
          <w:noProof/>
        </w:rPr>
        <w:t>.</w:t>
      </w:r>
      <w:r w:rsidR="00FF009C" w:rsidRPr="00FF009C">
        <w:rPr>
          <w:noProof/>
        </w:rPr>
        <w:t> </w:t>
      </w:r>
      <w:r w:rsidRPr="00FF009C">
        <w:rPr>
          <w:noProof/>
        </w:rPr>
        <w:t>1</w:t>
      </w:r>
      <w:r w:rsidR="00FF009C" w:rsidRPr="00FF009C">
        <w:rPr>
          <w:noProof/>
        </w:rPr>
        <w:t xml:space="preserve"> i</w:t>
      </w:r>
      <w:r w:rsidR="00FF009C">
        <w:rPr>
          <w:noProof/>
        </w:rPr>
        <w:t> </w:t>
      </w:r>
      <w:r w:rsidR="00FF009C" w:rsidRPr="00FF009C">
        <w:rPr>
          <w:noProof/>
        </w:rPr>
        <w:t>moż</w:t>
      </w:r>
      <w:r w:rsidRPr="00FF009C">
        <w:rPr>
          <w:noProof/>
        </w:rPr>
        <w:t>e zatwierdzić rozmieszczenie pracowników Europolu</w:t>
      </w:r>
      <w:r w:rsidR="00FF009C" w:rsidRPr="00FF009C">
        <w:rPr>
          <w:noProof/>
        </w:rPr>
        <w:t xml:space="preserve"> w</w:t>
      </w:r>
      <w:r w:rsidR="00FF009C">
        <w:rPr>
          <w:noProof/>
        </w:rPr>
        <w:t> </w:t>
      </w:r>
      <w:r w:rsidR="00FF009C" w:rsidRPr="00FF009C">
        <w:rPr>
          <w:noProof/>
        </w:rPr>
        <w:t>ram</w:t>
      </w:r>
      <w:r w:rsidRPr="00FF009C">
        <w:rPr>
          <w:noProof/>
        </w:rPr>
        <w:t>ach wsparcia operacyjnego</w:t>
      </w:r>
      <w:r w:rsidR="00FF009C" w:rsidRPr="00FF009C">
        <w:rPr>
          <w:noProof/>
        </w:rPr>
        <w:t xml:space="preserve"> w</w:t>
      </w:r>
      <w:r w:rsidR="00FF009C">
        <w:rPr>
          <w:noProof/>
        </w:rPr>
        <w:t> </w:t>
      </w:r>
      <w:r w:rsidR="00FF009C" w:rsidRPr="00FF009C">
        <w:rPr>
          <w:noProof/>
        </w:rPr>
        <w:t>okr</w:t>
      </w:r>
      <w:r w:rsidRPr="00FF009C">
        <w:rPr>
          <w:noProof/>
        </w:rPr>
        <w:t>eślonym terminie, który może zostać przedłużony,</w:t>
      </w:r>
      <w:r w:rsidR="00FF009C" w:rsidRPr="00FF009C">
        <w:rPr>
          <w:noProof/>
        </w:rPr>
        <w:t xml:space="preserve"> w</w:t>
      </w:r>
      <w:r w:rsidR="00FF009C">
        <w:rPr>
          <w:noProof/>
        </w:rPr>
        <w:t> </w:t>
      </w:r>
      <w:r w:rsidR="00FF009C" w:rsidRPr="00FF009C">
        <w:rPr>
          <w:noProof/>
        </w:rPr>
        <w:t>zal</w:t>
      </w:r>
      <w:r w:rsidRPr="00FF009C">
        <w:rPr>
          <w:noProof/>
        </w:rPr>
        <w:t>eżności od potrzeb operacyjnych Europolu</w:t>
      </w:r>
      <w:r w:rsidR="00FF009C" w:rsidRPr="00FF009C">
        <w:rPr>
          <w:noProof/>
        </w:rPr>
        <w:t xml:space="preserve"> i</w:t>
      </w:r>
      <w:r w:rsidR="00FF009C">
        <w:rPr>
          <w:noProof/>
        </w:rPr>
        <w:t> </w:t>
      </w:r>
      <w:r w:rsidR="00FF009C" w:rsidRPr="00FF009C">
        <w:rPr>
          <w:noProof/>
        </w:rPr>
        <w:t>zas</w:t>
      </w:r>
      <w:r w:rsidRPr="00FF009C">
        <w:rPr>
          <w:noProof/>
        </w:rPr>
        <w:t>obów pozostających do jego dyspozycji. Dyrektor wykonawczy wydaje swoją decyzję</w:t>
      </w:r>
      <w:r w:rsidR="00FF009C" w:rsidRPr="00FF009C">
        <w:rPr>
          <w:noProof/>
        </w:rPr>
        <w:t xml:space="preserve"> w</w:t>
      </w:r>
      <w:r w:rsidR="00FF009C">
        <w:rPr>
          <w:noProof/>
        </w:rPr>
        <w:t> </w:t>
      </w:r>
      <w:r w:rsidR="00FF009C" w:rsidRPr="00FF009C">
        <w:rPr>
          <w:noProof/>
        </w:rPr>
        <w:t>opa</w:t>
      </w:r>
      <w:r w:rsidRPr="00FF009C">
        <w:rPr>
          <w:noProof/>
        </w:rPr>
        <w:t>rciu</w:t>
      </w:r>
      <w:r w:rsidR="00FF009C" w:rsidRPr="00FF009C">
        <w:rPr>
          <w:noProof/>
        </w:rPr>
        <w:t xml:space="preserve"> o</w:t>
      </w:r>
      <w:r w:rsidR="00FF009C">
        <w:rPr>
          <w:noProof/>
        </w:rPr>
        <w:t> </w:t>
      </w:r>
      <w:r w:rsidR="00FF009C" w:rsidRPr="00FF009C">
        <w:rPr>
          <w:noProof/>
        </w:rPr>
        <w:t>oce</w:t>
      </w:r>
      <w:r w:rsidRPr="00FF009C">
        <w:rPr>
          <w:noProof/>
        </w:rPr>
        <w:t>nę ryzyka.</w:t>
      </w:r>
    </w:p>
    <w:p w14:paraId="12CDC001" w14:textId="7D1AACD6" w:rsidR="0043039B" w:rsidRPr="00FF009C" w:rsidRDefault="0043039B" w:rsidP="0043039B">
      <w:pPr>
        <w:ind w:left="720" w:hanging="720"/>
        <w:rPr>
          <w:noProof/>
        </w:rPr>
      </w:pPr>
      <w:r w:rsidRPr="00FF009C">
        <w:rPr>
          <w:noProof/>
        </w:rPr>
        <w:t>4.</w:t>
      </w:r>
      <w:r w:rsidRPr="00FF009C">
        <w:rPr>
          <w:noProof/>
        </w:rPr>
        <w:tab/>
        <w:t>Po zatwierdzeniu przez dyrektora wykonawczego wniosku złożonego przez państwo członkowskie zgodnie</w:t>
      </w:r>
      <w:r w:rsidR="00FF009C" w:rsidRPr="00FF009C">
        <w:rPr>
          <w:noProof/>
        </w:rPr>
        <w:t xml:space="preserve"> z</w:t>
      </w:r>
      <w:r w:rsidR="00FF009C">
        <w:rPr>
          <w:noProof/>
        </w:rPr>
        <w:t> </w:t>
      </w:r>
      <w:r w:rsidR="00FF009C" w:rsidRPr="00FF009C">
        <w:rPr>
          <w:noProof/>
        </w:rPr>
        <w:t>ust</w:t>
      </w:r>
      <w:r w:rsidRPr="00FF009C">
        <w:rPr>
          <w:noProof/>
        </w:rPr>
        <w:t>.</w:t>
      </w:r>
      <w:r w:rsidR="00FF009C" w:rsidRPr="00FF009C">
        <w:rPr>
          <w:noProof/>
        </w:rPr>
        <w:t> </w:t>
      </w:r>
      <w:r w:rsidRPr="00FF009C">
        <w:rPr>
          <w:noProof/>
        </w:rPr>
        <w:t>1 dane państwo członkowskie</w:t>
      </w:r>
      <w:r w:rsidR="00FF009C" w:rsidRPr="00FF009C">
        <w:rPr>
          <w:noProof/>
        </w:rPr>
        <w:t xml:space="preserve"> i</w:t>
      </w:r>
      <w:r w:rsidR="00FF009C">
        <w:rPr>
          <w:noProof/>
        </w:rPr>
        <w:t> </w:t>
      </w:r>
      <w:r w:rsidR="00FF009C" w:rsidRPr="00FF009C">
        <w:rPr>
          <w:noProof/>
        </w:rPr>
        <w:t>Eur</w:t>
      </w:r>
      <w:r w:rsidRPr="00FF009C">
        <w:rPr>
          <w:noProof/>
        </w:rPr>
        <w:t>opol wspólnie uzgadniają warunki rozmieszczenia pracowników Europolu</w:t>
      </w:r>
      <w:r w:rsidR="00FF009C" w:rsidRPr="00FF009C">
        <w:rPr>
          <w:noProof/>
        </w:rPr>
        <w:t xml:space="preserve"> w</w:t>
      </w:r>
      <w:r w:rsidR="00FF009C">
        <w:rPr>
          <w:noProof/>
        </w:rPr>
        <w:t> </w:t>
      </w:r>
      <w:r w:rsidR="00FF009C" w:rsidRPr="00FF009C">
        <w:rPr>
          <w:noProof/>
        </w:rPr>
        <w:t>ram</w:t>
      </w:r>
      <w:r w:rsidRPr="00FF009C">
        <w:rPr>
          <w:noProof/>
        </w:rPr>
        <w:t>ach wsparcia operacyjnego. Pracownicy Europolu</w:t>
      </w:r>
      <w:r w:rsidR="00FF009C" w:rsidRPr="00FF009C">
        <w:rPr>
          <w:noProof/>
        </w:rPr>
        <w:t xml:space="preserve"> i</w:t>
      </w:r>
      <w:r w:rsidR="00FF009C">
        <w:rPr>
          <w:noProof/>
        </w:rPr>
        <w:t> </w:t>
      </w:r>
      <w:r w:rsidR="00FF009C" w:rsidRPr="00FF009C">
        <w:rPr>
          <w:noProof/>
        </w:rPr>
        <w:t>odd</w:t>
      </w:r>
      <w:r w:rsidRPr="00FF009C">
        <w:rPr>
          <w:noProof/>
        </w:rPr>
        <w:t>elegowani eksperci krajowi rozmieszczeni</w:t>
      </w:r>
      <w:r w:rsidR="00FF009C" w:rsidRPr="00FF009C">
        <w:rPr>
          <w:noProof/>
        </w:rPr>
        <w:t xml:space="preserve"> w</w:t>
      </w:r>
      <w:r w:rsidR="00FF009C">
        <w:rPr>
          <w:noProof/>
        </w:rPr>
        <w:t> </w:t>
      </w:r>
      <w:r w:rsidR="00FF009C" w:rsidRPr="00FF009C">
        <w:rPr>
          <w:noProof/>
        </w:rPr>
        <w:t>pań</w:t>
      </w:r>
      <w:r w:rsidRPr="00FF009C">
        <w:rPr>
          <w:noProof/>
        </w:rPr>
        <w:t>stwie członkowskim prowadzą współpracę zgodnie</w:t>
      </w:r>
      <w:r w:rsidR="00FF009C" w:rsidRPr="00FF009C">
        <w:rPr>
          <w:noProof/>
        </w:rPr>
        <w:t xml:space="preserve"> z</w:t>
      </w:r>
      <w:r w:rsidR="00FF009C">
        <w:rPr>
          <w:noProof/>
        </w:rPr>
        <w:t> </w:t>
      </w:r>
      <w:r w:rsidR="00FF009C" w:rsidRPr="00FF009C">
        <w:rPr>
          <w:noProof/>
        </w:rPr>
        <w:t>prz</w:t>
      </w:r>
      <w:r w:rsidRPr="00FF009C">
        <w:rPr>
          <w:noProof/>
        </w:rPr>
        <w:t>episami niniejszego rozporządzenia,</w:t>
      </w:r>
      <w:r w:rsidR="00FF009C" w:rsidRPr="00FF009C">
        <w:rPr>
          <w:noProof/>
        </w:rPr>
        <w:t xml:space="preserve"> w</w:t>
      </w:r>
      <w:r w:rsidR="00FF009C">
        <w:rPr>
          <w:noProof/>
        </w:rPr>
        <w:t> </w:t>
      </w:r>
      <w:r w:rsidR="00FF009C" w:rsidRPr="00FF009C">
        <w:rPr>
          <w:noProof/>
        </w:rPr>
        <w:t>szc</w:t>
      </w:r>
      <w:r w:rsidRPr="00FF009C">
        <w:rPr>
          <w:noProof/>
        </w:rPr>
        <w:t>zególności zgodnie</w:t>
      </w:r>
      <w:r w:rsidR="00FF009C" w:rsidRPr="00FF009C">
        <w:rPr>
          <w:noProof/>
        </w:rPr>
        <w:t xml:space="preserve"> z</w:t>
      </w:r>
      <w:r w:rsidR="00FF009C">
        <w:rPr>
          <w:noProof/>
        </w:rPr>
        <w:t> </w:t>
      </w:r>
      <w:r w:rsidR="00FF009C" w:rsidRPr="00FF009C">
        <w:rPr>
          <w:noProof/>
        </w:rPr>
        <w:t>jeg</w:t>
      </w:r>
      <w:r w:rsidRPr="00FF009C">
        <w:rPr>
          <w:noProof/>
        </w:rPr>
        <w:t>o art.</w:t>
      </w:r>
      <w:r w:rsidR="00FF009C" w:rsidRPr="00FF009C">
        <w:rPr>
          <w:noProof/>
        </w:rPr>
        <w:t> </w:t>
      </w:r>
      <w:r w:rsidRPr="00FF009C">
        <w:rPr>
          <w:noProof/>
        </w:rPr>
        <w:t>4 ust.</w:t>
      </w:r>
      <w:r w:rsidR="00FF009C" w:rsidRPr="00FF009C">
        <w:rPr>
          <w:noProof/>
        </w:rPr>
        <w:t> </w:t>
      </w:r>
      <w:r w:rsidRPr="00FF009C">
        <w:rPr>
          <w:noProof/>
        </w:rPr>
        <w:t>5,</w:t>
      </w:r>
      <w:r w:rsidR="00FF009C" w:rsidRPr="00FF009C">
        <w:rPr>
          <w:noProof/>
        </w:rPr>
        <w:t xml:space="preserve"> a</w:t>
      </w:r>
      <w:r w:rsidR="00FF009C">
        <w:rPr>
          <w:noProof/>
        </w:rPr>
        <w:t> </w:t>
      </w:r>
      <w:r w:rsidR="00FF009C" w:rsidRPr="00FF009C">
        <w:rPr>
          <w:noProof/>
        </w:rPr>
        <w:t>tak</w:t>
      </w:r>
      <w:r w:rsidRPr="00FF009C">
        <w:rPr>
          <w:noProof/>
        </w:rPr>
        <w:t>że zgodnie</w:t>
      </w:r>
      <w:r w:rsidR="00FF009C" w:rsidRPr="00FF009C">
        <w:rPr>
          <w:noProof/>
        </w:rPr>
        <w:t xml:space="preserve"> z</w:t>
      </w:r>
      <w:r w:rsidR="00FF009C">
        <w:rPr>
          <w:noProof/>
        </w:rPr>
        <w:t> </w:t>
      </w:r>
      <w:r w:rsidR="00FF009C" w:rsidRPr="00FF009C">
        <w:rPr>
          <w:noProof/>
        </w:rPr>
        <w:t>pra</w:t>
      </w:r>
      <w:r w:rsidRPr="00FF009C">
        <w:rPr>
          <w:noProof/>
        </w:rPr>
        <w:t>wem krajowym państwa członkowskiego, na terytorium którego dokonano rozmieszczenia.</w:t>
      </w:r>
    </w:p>
    <w:p w14:paraId="7A4B95B7" w14:textId="7869F74F" w:rsidR="0043039B" w:rsidRPr="00FF009C" w:rsidRDefault="0043039B" w:rsidP="0043039B">
      <w:pPr>
        <w:ind w:left="720" w:hanging="720"/>
        <w:rPr>
          <w:noProof/>
        </w:rPr>
      </w:pPr>
      <w:r w:rsidRPr="00FF009C">
        <w:rPr>
          <w:noProof/>
        </w:rPr>
        <w:t>5.</w:t>
      </w:r>
      <w:r w:rsidRPr="00FF009C">
        <w:rPr>
          <w:noProof/>
        </w:rPr>
        <w:tab/>
        <w:t>W wyjątkowo pilnych przypadkach wymagających niezwłocznego rozmieszczenia pracowników Europolu</w:t>
      </w:r>
      <w:r w:rsidR="00FF009C" w:rsidRPr="00FF009C">
        <w:rPr>
          <w:noProof/>
        </w:rPr>
        <w:t xml:space="preserve"> w</w:t>
      </w:r>
      <w:r w:rsidR="00FF009C">
        <w:rPr>
          <w:noProof/>
        </w:rPr>
        <w:t> </w:t>
      </w:r>
      <w:r w:rsidR="00FF009C" w:rsidRPr="00FF009C">
        <w:rPr>
          <w:noProof/>
        </w:rPr>
        <w:t>ram</w:t>
      </w:r>
      <w:r w:rsidRPr="00FF009C">
        <w:rPr>
          <w:noProof/>
        </w:rPr>
        <w:t>ach wsparcia operacyjnego na terytorium państwa członkowskiego dane państwo członkowskie</w:t>
      </w:r>
      <w:r w:rsidR="00FF009C" w:rsidRPr="00FF009C">
        <w:rPr>
          <w:noProof/>
        </w:rPr>
        <w:t xml:space="preserve"> i</w:t>
      </w:r>
      <w:r w:rsidR="00FF009C">
        <w:rPr>
          <w:noProof/>
        </w:rPr>
        <w:t> </w:t>
      </w:r>
      <w:r w:rsidR="00FF009C" w:rsidRPr="00FF009C">
        <w:rPr>
          <w:noProof/>
        </w:rPr>
        <w:t>dyr</w:t>
      </w:r>
      <w:r w:rsidRPr="00FF009C">
        <w:rPr>
          <w:noProof/>
        </w:rPr>
        <w:t>ektor wykonawczy zapewniają podjęcie działań przedstawionych</w:t>
      </w:r>
      <w:r w:rsidR="00FF009C" w:rsidRPr="00FF009C">
        <w:rPr>
          <w:noProof/>
        </w:rPr>
        <w:t xml:space="preserve"> w</w:t>
      </w:r>
      <w:r w:rsidR="00FF009C">
        <w:rPr>
          <w:noProof/>
        </w:rPr>
        <w:t> </w:t>
      </w:r>
      <w:r w:rsidR="00FF009C" w:rsidRPr="00FF009C">
        <w:rPr>
          <w:noProof/>
        </w:rPr>
        <w:t>ust</w:t>
      </w:r>
      <w:r w:rsidRPr="00FF009C">
        <w:rPr>
          <w:noProof/>
        </w:rPr>
        <w:t>.</w:t>
      </w:r>
      <w:r w:rsidR="00FF009C" w:rsidRPr="00FF009C">
        <w:rPr>
          <w:noProof/>
        </w:rPr>
        <w:t> </w:t>
      </w:r>
      <w:r w:rsidRPr="00FF009C">
        <w:rPr>
          <w:noProof/>
        </w:rPr>
        <w:t>1, 3</w:t>
      </w:r>
      <w:r w:rsidR="00FF009C" w:rsidRPr="00FF009C">
        <w:rPr>
          <w:noProof/>
        </w:rPr>
        <w:t xml:space="preserve"> i</w:t>
      </w:r>
      <w:r w:rsidR="00FF009C">
        <w:rPr>
          <w:noProof/>
        </w:rPr>
        <w:t> </w:t>
      </w:r>
      <w:r w:rsidR="00FF009C" w:rsidRPr="00FF009C">
        <w:rPr>
          <w:noProof/>
        </w:rPr>
        <w:t>4 w</w:t>
      </w:r>
      <w:r w:rsidR="00FF009C">
        <w:rPr>
          <w:noProof/>
        </w:rPr>
        <w:t> </w:t>
      </w:r>
      <w:r w:rsidR="00FF009C" w:rsidRPr="00FF009C">
        <w:rPr>
          <w:noProof/>
        </w:rPr>
        <w:t>cią</w:t>
      </w:r>
      <w:r w:rsidRPr="00FF009C">
        <w:rPr>
          <w:noProof/>
        </w:rPr>
        <w:t>gu 72 godzin.</w:t>
      </w:r>
    </w:p>
    <w:p w14:paraId="40BB85E4" w14:textId="4BE7CC67" w:rsidR="0043039B" w:rsidRPr="00FF009C" w:rsidRDefault="0043039B" w:rsidP="0043039B">
      <w:pPr>
        <w:ind w:left="720" w:hanging="720"/>
        <w:rPr>
          <w:noProof/>
        </w:rPr>
      </w:pPr>
      <w:r w:rsidRPr="00FF009C">
        <w:rPr>
          <w:noProof/>
        </w:rPr>
        <w:t>6.</w:t>
      </w:r>
      <w:r w:rsidRPr="00FF009C">
        <w:rPr>
          <w:noProof/>
        </w:rPr>
        <w:tab/>
        <w:t>Europol tworzy rezerwę ekspertów</w:t>
      </w:r>
      <w:r w:rsidR="00FF009C" w:rsidRPr="00FF009C">
        <w:rPr>
          <w:noProof/>
        </w:rPr>
        <w:t xml:space="preserve"> z</w:t>
      </w:r>
      <w:r w:rsidR="00FF009C">
        <w:rPr>
          <w:noProof/>
        </w:rPr>
        <w:t> </w:t>
      </w:r>
      <w:r w:rsidR="00FF009C" w:rsidRPr="00FF009C">
        <w:rPr>
          <w:noProof/>
        </w:rPr>
        <w:t>pań</w:t>
      </w:r>
      <w:r w:rsidRPr="00FF009C">
        <w:rPr>
          <w:noProof/>
        </w:rPr>
        <w:t>stw członkowskich na potrzeby rozmieszczania pracowników Europolu</w:t>
      </w:r>
      <w:r w:rsidR="00FF009C" w:rsidRPr="00FF009C">
        <w:rPr>
          <w:noProof/>
        </w:rPr>
        <w:t xml:space="preserve"> w</w:t>
      </w:r>
      <w:r w:rsidR="00FF009C">
        <w:rPr>
          <w:noProof/>
        </w:rPr>
        <w:t> </w:t>
      </w:r>
      <w:r w:rsidR="00FF009C" w:rsidRPr="00FF009C">
        <w:rPr>
          <w:noProof/>
        </w:rPr>
        <w:t>ram</w:t>
      </w:r>
      <w:r w:rsidRPr="00FF009C">
        <w:rPr>
          <w:noProof/>
        </w:rPr>
        <w:t>ach wsparcia operacyjnego</w:t>
      </w:r>
      <w:r w:rsidR="00FF009C" w:rsidRPr="00FF009C">
        <w:rPr>
          <w:noProof/>
        </w:rPr>
        <w:t>. W</w:t>
      </w:r>
      <w:r w:rsidR="00FF009C">
        <w:rPr>
          <w:noProof/>
        </w:rPr>
        <w:t> </w:t>
      </w:r>
      <w:r w:rsidR="00FF009C" w:rsidRPr="00FF009C">
        <w:rPr>
          <w:noProof/>
        </w:rPr>
        <w:t>skł</w:t>
      </w:r>
      <w:r w:rsidRPr="00FF009C">
        <w:rPr>
          <w:noProof/>
        </w:rPr>
        <w:t>ad tej rezerwy wchodzą eksperci pracujący</w:t>
      </w:r>
      <w:r w:rsidR="00FF009C" w:rsidRPr="00FF009C">
        <w:rPr>
          <w:noProof/>
        </w:rPr>
        <w:t xml:space="preserve"> w</w:t>
      </w:r>
      <w:r w:rsidR="00FF009C">
        <w:rPr>
          <w:noProof/>
        </w:rPr>
        <w:t> </w:t>
      </w:r>
      <w:r w:rsidR="00FF009C" w:rsidRPr="00FF009C">
        <w:rPr>
          <w:noProof/>
        </w:rPr>
        <w:t>swo</w:t>
      </w:r>
      <w:r w:rsidRPr="00FF009C">
        <w:rPr>
          <w:noProof/>
        </w:rPr>
        <w:t>ich państwach członkowskich, którzy mogą zostać niezwłocznie oddani do dyspozycji Europolu</w:t>
      </w:r>
      <w:r w:rsidR="00FF009C" w:rsidRPr="00FF009C">
        <w:rPr>
          <w:noProof/>
        </w:rPr>
        <w:t xml:space="preserve"> w</w:t>
      </w:r>
      <w:r w:rsidR="00FF009C">
        <w:rPr>
          <w:noProof/>
        </w:rPr>
        <w:t> </w:t>
      </w:r>
      <w:r w:rsidR="00FF009C" w:rsidRPr="00FF009C">
        <w:rPr>
          <w:noProof/>
        </w:rPr>
        <w:t>cel</w:t>
      </w:r>
      <w:r w:rsidRPr="00FF009C">
        <w:rPr>
          <w:noProof/>
        </w:rPr>
        <w:t>u ich rozmieszczenia. Państwa członkowskie zapewniają dyspozycyjność swoich ekspertów do celów udziału</w:t>
      </w:r>
      <w:r w:rsidR="00FF009C" w:rsidRPr="00FF009C">
        <w:rPr>
          <w:noProof/>
        </w:rPr>
        <w:t xml:space="preserve"> w</w:t>
      </w:r>
      <w:r w:rsidR="00FF009C">
        <w:rPr>
          <w:noProof/>
        </w:rPr>
        <w:t> </w:t>
      </w:r>
      <w:r w:rsidR="00FF009C" w:rsidRPr="00FF009C">
        <w:rPr>
          <w:noProof/>
        </w:rPr>
        <w:t>roz</w:t>
      </w:r>
      <w:r w:rsidRPr="00FF009C">
        <w:rPr>
          <w:noProof/>
        </w:rPr>
        <w:t>mieszczeniu pracowników Europolu</w:t>
      </w:r>
      <w:r w:rsidR="00FF009C" w:rsidRPr="00FF009C">
        <w:rPr>
          <w:noProof/>
        </w:rPr>
        <w:t xml:space="preserve"> w</w:t>
      </w:r>
      <w:r w:rsidR="00FF009C">
        <w:rPr>
          <w:noProof/>
        </w:rPr>
        <w:t> </w:t>
      </w:r>
      <w:r w:rsidR="00FF009C" w:rsidRPr="00FF009C">
        <w:rPr>
          <w:noProof/>
        </w:rPr>
        <w:t>ram</w:t>
      </w:r>
      <w:r w:rsidRPr="00FF009C">
        <w:rPr>
          <w:noProof/>
        </w:rPr>
        <w:t>ach wsparcia operacyjnego</w:t>
      </w:r>
      <w:r w:rsidR="00FF009C" w:rsidRPr="00FF009C">
        <w:rPr>
          <w:noProof/>
        </w:rPr>
        <w:t xml:space="preserve"> w</w:t>
      </w:r>
      <w:r w:rsidR="00FF009C">
        <w:rPr>
          <w:noProof/>
        </w:rPr>
        <w:t> </w:t>
      </w:r>
      <w:r w:rsidR="00FF009C" w:rsidRPr="00FF009C">
        <w:rPr>
          <w:noProof/>
        </w:rPr>
        <w:t>cha</w:t>
      </w:r>
      <w:r w:rsidRPr="00FF009C">
        <w:rPr>
          <w:noProof/>
        </w:rPr>
        <w:t>rakterze oddelegowanych ekspertów krajowych na żądanie Europolu.</w:t>
      </w:r>
    </w:p>
    <w:p w14:paraId="750C51C5" w14:textId="5C630AAE" w:rsidR="0043039B" w:rsidRPr="00FF009C" w:rsidRDefault="0043039B" w:rsidP="0043039B">
      <w:pPr>
        <w:ind w:left="720" w:hanging="720"/>
        <w:rPr>
          <w:noProof/>
        </w:rPr>
      </w:pPr>
      <w:r w:rsidRPr="00FF009C">
        <w:rPr>
          <w:noProof/>
        </w:rPr>
        <w:t>7.</w:t>
      </w:r>
      <w:r w:rsidRPr="00FF009C">
        <w:rPr>
          <w:noProof/>
        </w:rPr>
        <w:tab/>
        <w:t>Państwo członkowskie, na którego terytorium dokonuje się rozmieszczenia pracowników Europolu</w:t>
      </w:r>
      <w:r w:rsidR="00FF009C" w:rsidRPr="00FF009C">
        <w:rPr>
          <w:noProof/>
        </w:rPr>
        <w:t xml:space="preserve"> w</w:t>
      </w:r>
      <w:r w:rsidR="00FF009C">
        <w:rPr>
          <w:noProof/>
        </w:rPr>
        <w:t> </w:t>
      </w:r>
      <w:r w:rsidR="00FF009C" w:rsidRPr="00FF009C">
        <w:rPr>
          <w:noProof/>
        </w:rPr>
        <w:t>ram</w:t>
      </w:r>
      <w:r w:rsidRPr="00FF009C">
        <w:rPr>
          <w:noProof/>
        </w:rPr>
        <w:t>ach wsparcia operacyjnego, podejmuje następujące działania zgodnie</w:t>
      </w:r>
      <w:r w:rsidR="00FF009C" w:rsidRPr="00FF009C">
        <w:rPr>
          <w:noProof/>
        </w:rPr>
        <w:t xml:space="preserve"> z</w:t>
      </w:r>
      <w:r w:rsidR="00FF009C">
        <w:rPr>
          <w:noProof/>
        </w:rPr>
        <w:t> </w:t>
      </w:r>
      <w:r w:rsidR="00FF009C" w:rsidRPr="00FF009C">
        <w:rPr>
          <w:noProof/>
        </w:rPr>
        <w:t>uzg</w:t>
      </w:r>
      <w:r w:rsidRPr="00FF009C">
        <w:rPr>
          <w:noProof/>
        </w:rPr>
        <w:t>odnionymi warunkami,</w:t>
      </w:r>
      <w:r w:rsidR="00FF009C" w:rsidRPr="00FF009C">
        <w:rPr>
          <w:noProof/>
        </w:rPr>
        <w:t xml:space="preserve"> o</w:t>
      </w:r>
      <w:r w:rsidR="00FF009C">
        <w:rPr>
          <w:noProof/>
        </w:rPr>
        <w:t> </w:t>
      </w:r>
      <w:r w:rsidR="00FF009C" w:rsidRPr="00FF009C">
        <w:rPr>
          <w:noProof/>
        </w:rPr>
        <w:t>któ</w:t>
      </w:r>
      <w:r w:rsidRPr="00FF009C">
        <w:rPr>
          <w:noProof/>
        </w:rPr>
        <w:t>rych mowa</w:t>
      </w:r>
      <w:r w:rsidR="00FF009C" w:rsidRPr="00FF009C">
        <w:rPr>
          <w:noProof/>
        </w:rPr>
        <w:t xml:space="preserve"> w</w:t>
      </w:r>
      <w:r w:rsidR="00FF009C">
        <w:rPr>
          <w:noProof/>
        </w:rPr>
        <w:t> </w:t>
      </w:r>
      <w:r w:rsidR="00FF009C" w:rsidRPr="00FF009C">
        <w:rPr>
          <w:noProof/>
        </w:rPr>
        <w:t>ust</w:t>
      </w:r>
      <w:r w:rsidRPr="00FF009C">
        <w:rPr>
          <w:noProof/>
        </w:rPr>
        <w:t>.</w:t>
      </w:r>
      <w:r w:rsidR="00FF009C" w:rsidRPr="00FF009C">
        <w:rPr>
          <w:noProof/>
        </w:rPr>
        <w:t> </w:t>
      </w:r>
      <w:r w:rsidRPr="00FF009C">
        <w:rPr>
          <w:noProof/>
        </w:rPr>
        <w:t xml:space="preserve">4: </w:t>
      </w:r>
    </w:p>
    <w:p w14:paraId="74A9D984" w14:textId="420EE85F" w:rsidR="0043039B" w:rsidRPr="00FF009C" w:rsidRDefault="0043039B" w:rsidP="00977077">
      <w:pPr>
        <w:pStyle w:val="Text1"/>
        <w:rPr>
          <w:noProof/>
        </w:rPr>
      </w:pPr>
      <w:r w:rsidRPr="00FF009C">
        <w:rPr>
          <w:noProof/>
        </w:rPr>
        <w:t>a)</w:t>
      </w:r>
      <w:r w:rsidRPr="00FF009C">
        <w:rPr>
          <w:noProof/>
        </w:rPr>
        <w:tab/>
        <w:t>niezwłocznie przekazuje Europolowi wszelkie istotne informacje,</w:t>
      </w:r>
      <w:r w:rsidR="00FF009C" w:rsidRPr="00FF009C">
        <w:rPr>
          <w:noProof/>
        </w:rPr>
        <w:t xml:space="preserve"> w</w:t>
      </w:r>
      <w:r w:rsidR="00FF009C">
        <w:rPr>
          <w:noProof/>
        </w:rPr>
        <w:t> </w:t>
      </w:r>
      <w:r w:rsidR="00FF009C" w:rsidRPr="00FF009C">
        <w:rPr>
          <w:noProof/>
        </w:rPr>
        <w:t>mia</w:t>
      </w:r>
      <w:r w:rsidRPr="00FF009C">
        <w:rPr>
          <w:noProof/>
        </w:rPr>
        <w:t>rę możliwości przez bezpośrednie udostępnienie informacji przechowywanych</w:t>
      </w:r>
      <w:r w:rsidR="00FF009C" w:rsidRPr="00FF009C">
        <w:rPr>
          <w:noProof/>
        </w:rPr>
        <w:t xml:space="preserve"> w</w:t>
      </w:r>
      <w:r w:rsidR="00FF009C">
        <w:rPr>
          <w:noProof/>
        </w:rPr>
        <w:t> </w:t>
      </w:r>
      <w:r w:rsidR="00FF009C" w:rsidRPr="00FF009C">
        <w:rPr>
          <w:noProof/>
        </w:rPr>
        <w:t>kra</w:t>
      </w:r>
      <w:r w:rsidRPr="00FF009C">
        <w:rPr>
          <w:noProof/>
        </w:rPr>
        <w:t>jowych bazach danych pracownikom Europolu</w:t>
      </w:r>
      <w:r w:rsidR="00FF009C" w:rsidRPr="00FF009C">
        <w:rPr>
          <w:noProof/>
        </w:rPr>
        <w:t xml:space="preserve"> i</w:t>
      </w:r>
      <w:r w:rsidR="00FF009C">
        <w:rPr>
          <w:noProof/>
        </w:rPr>
        <w:t> </w:t>
      </w:r>
      <w:r w:rsidR="00FF009C" w:rsidRPr="00FF009C">
        <w:rPr>
          <w:noProof/>
        </w:rPr>
        <w:t>odd</w:t>
      </w:r>
      <w:r w:rsidRPr="00FF009C">
        <w:rPr>
          <w:noProof/>
        </w:rPr>
        <w:t>elegowanym ekspertom krajowym rozmieszczonym na swoim terytorium zgodnie ze swoim prawem krajowym;</w:t>
      </w:r>
    </w:p>
    <w:p w14:paraId="330A8CF9" w14:textId="756174BC" w:rsidR="0043039B" w:rsidRPr="00FF009C" w:rsidRDefault="0043039B" w:rsidP="00977077">
      <w:pPr>
        <w:pStyle w:val="Text1"/>
        <w:rPr>
          <w:noProof/>
        </w:rPr>
      </w:pPr>
      <w:r w:rsidRPr="00FF009C">
        <w:rPr>
          <w:noProof/>
        </w:rPr>
        <w:t>b)</w:t>
      </w:r>
      <w:r w:rsidRPr="00FF009C">
        <w:rPr>
          <w:noProof/>
        </w:rPr>
        <w:tab/>
        <w:t>korzysta ze wsparcia analitycznego, operacyjnego, technicznego</w:t>
      </w:r>
      <w:r w:rsidR="00FF009C" w:rsidRPr="00FF009C">
        <w:rPr>
          <w:noProof/>
        </w:rPr>
        <w:t xml:space="preserve"> i</w:t>
      </w:r>
      <w:r w:rsidR="00FF009C">
        <w:rPr>
          <w:noProof/>
        </w:rPr>
        <w:t> </w:t>
      </w:r>
      <w:r w:rsidR="00FF009C" w:rsidRPr="00FF009C">
        <w:rPr>
          <w:noProof/>
        </w:rPr>
        <w:t>kry</w:t>
      </w:r>
      <w:r w:rsidRPr="00FF009C">
        <w:rPr>
          <w:noProof/>
        </w:rPr>
        <w:t xml:space="preserve">minalistycznego udzielanego przez pracowników Europolu rozmieszczonych na swoim terytorium; </w:t>
      </w:r>
    </w:p>
    <w:p w14:paraId="36CEF537" w14:textId="4A1993EF" w:rsidR="0043039B" w:rsidRPr="00FF009C" w:rsidRDefault="0043039B" w:rsidP="00977077">
      <w:pPr>
        <w:pStyle w:val="Text1"/>
        <w:rPr>
          <w:noProof/>
        </w:rPr>
      </w:pPr>
      <w:r w:rsidRPr="00FF009C">
        <w:rPr>
          <w:noProof/>
        </w:rPr>
        <w:t>c)</w:t>
      </w:r>
      <w:r w:rsidRPr="00FF009C">
        <w:rPr>
          <w:noProof/>
        </w:rPr>
        <w:tab/>
        <w:t>zapewnia pracownikom Europolu</w:t>
      </w:r>
      <w:r w:rsidR="00FF009C" w:rsidRPr="00FF009C">
        <w:rPr>
          <w:noProof/>
        </w:rPr>
        <w:t xml:space="preserve"> i</w:t>
      </w:r>
      <w:r w:rsidR="00FF009C">
        <w:rPr>
          <w:noProof/>
        </w:rPr>
        <w:t> </w:t>
      </w:r>
      <w:r w:rsidR="00FF009C" w:rsidRPr="00FF009C">
        <w:rPr>
          <w:noProof/>
        </w:rPr>
        <w:t>odd</w:t>
      </w:r>
      <w:r w:rsidRPr="00FF009C">
        <w:rPr>
          <w:noProof/>
        </w:rPr>
        <w:t>elegowanym ekspertom krajowym rozmieszczonym na swoim terytorium możliwość bycia obecnymi przy dokonywaniu czynności</w:t>
      </w:r>
      <w:r w:rsidR="00FF009C" w:rsidRPr="00FF009C">
        <w:rPr>
          <w:noProof/>
        </w:rPr>
        <w:t xml:space="preserve"> w</w:t>
      </w:r>
      <w:r w:rsidR="00FF009C">
        <w:rPr>
          <w:noProof/>
        </w:rPr>
        <w:t> </w:t>
      </w:r>
      <w:r w:rsidR="00FF009C" w:rsidRPr="00FF009C">
        <w:rPr>
          <w:noProof/>
        </w:rPr>
        <w:t>ram</w:t>
      </w:r>
      <w:r w:rsidRPr="00FF009C">
        <w:rPr>
          <w:noProof/>
        </w:rPr>
        <w:t>ach postępowania przygotowawczego.</w:t>
      </w:r>
    </w:p>
    <w:p w14:paraId="3CA200C5" w14:textId="34E347B4" w:rsidR="0043039B" w:rsidRPr="00FF009C" w:rsidRDefault="0043039B" w:rsidP="0043039B">
      <w:pPr>
        <w:ind w:left="720" w:hanging="720"/>
        <w:rPr>
          <w:noProof/>
        </w:rPr>
      </w:pPr>
      <w:r w:rsidRPr="00FF009C">
        <w:rPr>
          <w:noProof/>
        </w:rPr>
        <w:t>8.</w:t>
      </w:r>
      <w:r w:rsidRPr="00FF009C">
        <w:rPr>
          <w:noProof/>
        </w:rPr>
        <w:tab/>
        <w:t>Dyrektor wykonawczy może zaproponować właściwym organom danego państwa członkowskiego rozmieszczenie pracowników Europolu</w:t>
      </w:r>
      <w:r w:rsidR="00FF009C" w:rsidRPr="00FF009C">
        <w:rPr>
          <w:noProof/>
        </w:rPr>
        <w:t xml:space="preserve"> w</w:t>
      </w:r>
      <w:r w:rsidR="00FF009C">
        <w:rPr>
          <w:noProof/>
        </w:rPr>
        <w:t> </w:t>
      </w:r>
      <w:r w:rsidR="00FF009C" w:rsidRPr="00FF009C">
        <w:rPr>
          <w:noProof/>
        </w:rPr>
        <w:t>ram</w:t>
      </w:r>
      <w:r w:rsidRPr="00FF009C">
        <w:rPr>
          <w:noProof/>
        </w:rPr>
        <w:t>ach wsparcia operacyjnego na terytorium tego państwa za pośrednictwem jego jednostki krajowej, jeżeli dyrektor wykonawczy uzna, że wnosiłby to wartość dodaną</w:t>
      </w:r>
      <w:r w:rsidR="00FF009C" w:rsidRPr="00FF009C">
        <w:rPr>
          <w:noProof/>
        </w:rPr>
        <w:t xml:space="preserve"> w</w:t>
      </w:r>
      <w:r w:rsidR="00FF009C">
        <w:rPr>
          <w:noProof/>
        </w:rPr>
        <w:t> </w:t>
      </w:r>
      <w:r w:rsidR="00FF009C" w:rsidRPr="00FF009C">
        <w:rPr>
          <w:noProof/>
        </w:rPr>
        <w:t>prz</w:t>
      </w:r>
      <w:r w:rsidRPr="00FF009C">
        <w:rPr>
          <w:noProof/>
        </w:rPr>
        <w:t>eciwdziałanie przestępstwom lub zwalczanie przestępstw wchodzących</w:t>
      </w:r>
      <w:r w:rsidR="00FF009C" w:rsidRPr="00FF009C">
        <w:rPr>
          <w:noProof/>
        </w:rPr>
        <w:t xml:space="preserve"> w</w:t>
      </w:r>
      <w:r w:rsidR="00FF009C">
        <w:rPr>
          <w:noProof/>
        </w:rPr>
        <w:t> </w:t>
      </w:r>
      <w:r w:rsidR="00FF009C" w:rsidRPr="00FF009C">
        <w:rPr>
          <w:noProof/>
        </w:rPr>
        <w:t>zak</w:t>
      </w:r>
      <w:r w:rsidRPr="00FF009C">
        <w:rPr>
          <w:noProof/>
        </w:rPr>
        <w:t>res celów Europolu.</w:t>
      </w:r>
    </w:p>
    <w:p w14:paraId="2E044B7A" w14:textId="0FFB0C9D" w:rsidR="00C342DC" w:rsidRPr="00FF009C" w:rsidRDefault="0043039B" w:rsidP="0043039B">
      <w:pPr>
        <w:ind w:left="720" w:hanging="720"/>
        <w:rPr>
          <w:noProof/>
        </w:rPr>
      </w:pPr>
      <w:r w:rsidRPr="00FF009C">
        <w:rPr>
          <w:noProof/>
        </w:rPr>
        <w:t>9.</w:t>
      </w:r>
      <w:r w:rsidRPr="00FF009C">
        <w:rPr>
          <w:noProof/>
        </w:rPr>
        <w:tab/>
        <w:t>Zarząd przyjmuje przepisy wykonawcze regulujące kwestie związane</w:t>
      </w:r>
      <w:r w:rsidR="00FF009C" w:rsidRPr="00FF009C">
        <w:rPr>
          <w:noProof/>
        </w:rPr>
        <w:t xml:space="preserve"> z</w:t>
      </w:r>
      <w:r w:rsidR="00FF009C">
        <w:rPr>
          <w:noProof/>
        </w:rPr>
        <w:t> </w:t>
      </w:r>
      <w:r w:rsidR="00FF009C" w:rsidRPr="00FF009C">
        <w:rPr>
          <w:noProof/>
        </w:rPr>
        <w:t>prz</w:t>
      </w:r>
      <w:r w:rsidRPr="00FF009C">
        <w:rPr>
          <w:noProof/>
        </w:rPr>
        <w:t>ygotowaniem</w:t>
      </w:r>
      <w:r w:rsidR="00FF009C" w:rsidRPr="00FF009C">
        <w:rPr>
          <w:noProof/>
        </w:rPr>
        <w:t xml:space="preserve"> i</w:t>
      </w:r>
      <w:r w:rsidR="00FF009C">
        <w:rPr>
          <w:noProof/>
        </w:rPr>
        <w:t> </w:t>
      </w:r>
      <w:r w:rsidR="00FF009C" w:rsidRPr="00FF009C">
        <w:rPr>
          <w:noProof/>
        </w:rPr>
        <w:t>wdr</w:t>
      </w:r>
      <w:r w:rsidRPr="00FF009C">
        <w:rPr>
          <w:noProof/>
        </w:rPr>
        <w:t>ażaniem rozmieszczenia pracowników Europolu</w:t>
      </w:r>
      <w:r w:rsidR="00FF009C" w:rsidRPr="00FF009C">
        <w:rPr>
          <w:noProof/>
        </w:rPr>
        <w:t xml:space="preserve"> w</w:t>
      </w:r>
      <w:r w:rsidR="00FF009C">
        <w:rPr>
          <w:noProof/>
        </w:rPr>
        <w:t> </w:t>
      </w:r>
      <w:r w:rsidR="00FF009C" w:rsidRPr="00FF009C">
        <w:rPr>
          <w:noProof/>
        </w:rPr>
        <w:t>ram</w:t>
      </w:r>
      <w:r w:rsidRPr="00FF009C">
        <w:rPr>
          <w:noProof/>
        </w:rPr>
        <w:t>ach wsparcia operacyjnego,</w:t>
      </w:r>
      <w:r w:rsidR="00FF009C" w:rsidRPr="00FF009C">
        <w:rPr>
          <w:noProof/>
        </w:rPr>
        <w:t xml:space="preserve"> w</w:t>
      </w:r>
      <w:r w:rsidR="00FF009C">
        <w:rPr>
          <w:noProof/>
        </w:rPr>
        <w:t> </w:t>
      </w:r>
      <w:r w:rsidR="00FF009C" w:rsidRPr="00FF009C">
        <w:rPr>
          <w:noProof/>
        </w:rPr>
        <w:t>tym</w:t>
      </w:r>
      <w:r w:rsidRPr="00FF009C">
        <w:rPr>
          <w:noProof/>
        </w:rPr>
        <w:t xml:space="preserve"> przepisy dotyczące liczby</w:t>
      </w:r>
      <w:r w:rsidR="00FF009C" w:rsidRPr="00FF009C">
        <w:rPr>
          <w:noProof/>
        </w:rPr>
        <w:t xml:space="preserve"> i</w:t>
      </w:r>
      <w:r w:rsidR="00FF009C">
        <w:rPr>
          <w:noProof/>
        </w:rPr>
        <w:t> </w:t>
      </w:r>
      <w:r w:rsidR="00FF009C" w:rsidRPr="00FF009C">
        <w:rPr>
          <w:noProof/>
        </w:rPr>
        <w:t>pro</w:t>
      </w:r>
      <w:r w:rsidRPr="00FF009C">
        <w:rPr>
          <w:noProof/>
        </w:rPr>
        <w:t>filów ekspertów, którzy mają wchodzić</w:t>
      </w:r>
      <w:r w:rsidR="00FF009C" w:rsidRPr="00FF009C">
        <w:rPr>
          <w:noProof/>
        </w:rPr>
        <w:t xml:space="preserve"> w</w:t>
      </w:r>
      <w:r w:rsidR="00FF009C">
        <w:rPr>
          <w:noProof/>
        </w:rPr>
        <w:t> </w:t>
      </w:r>
      <w:r w:rsidR="00FF009C" w:rsidRPr="00FF009C">
        <w:rPr>
          <w:noProof/>
        </w:rPr>
        <w:t>skł</w:t>
      </w:r>
      <w:r w:rsidRPr="00FF009C">
        <w:rPr>
          <w:noProof/>
        </w:rPr>
        <w:t xml:space="preserve">ad rezerwy, oraz wszelkich późniejszych zmian składu tej rezerwy. </w:t>
      </w:r>
    </w:p>
    <w:p w14:paraId="75D04CDA" w14:textId="282B6843" w:rsidR="004E3FC2" w:rsidRPr="00FF009C" w:rsidRDefault="000D6293" w:rsidP="0043039B">
      <w:pPr>
        <w:ind w:left="720" w:hanging="720"/>
        <w:rPr>
          <w:noProof/>
        </w:rPr>
      </w:pPr>
      <w:r w:rsidRPr="00FF009C">
        <w:rPr>
          <w:noProof/>
        </w:rPr>
        <w:t>10.</w:t>
      </w:r>
      <w:r w:rsidRPr="00FF009C">
        <w:rPr>
          <w:noProof/>
        </w:rPr>
        <w:tab/>
        <w:t>Przepisy niniejszego artykułu stosuje się odpowiednio</w:t>
      </w:r>
      <w:r w:rsidR="00FF009C" w:rsidRPr="00FF009C">
        <w:rPr>
          <w:noProof/>
        </w:rPr>
        <w:t xml:space="preserve"> w</w:t>
      </w:r>
      <w:r w:rsidR="00FF009C">
        <w:rPr>
          <w:noProof/>
        </w:rPr>
        <w:t> </w:t>
      </w:r>
      <w:r w:rsidR="00FF009C" w:rsidRPr="00FF009C">
        <w:rPr>
          <w:noProof/>
        </w:rPr>
        <w:t>prz</w:t>
      </w:r>
      <w:r w:rsidRPr="00FF009C">
        <w:rPr>
          <w:noProof/>
        </w:rPr>
        <w:t>ypadku gdy rozmieszczenia pracowników Europolu</w:t>
      </w:r>
      <w:r w:rsidR="00FF009C" w:rsidRPr="00FF009C">
        <w:rPr>
          <w:noProof/>
        </w:rPr>
        <w:t xml:space="preserve"> w</w:t>
      </w:r>
      <w:r w:rsidR="00FF009C">
        <w:rPr>
          <w:noProof/>
        </w:rPr>
        <w:t> </w:t>
      </w:r>
      <w:r w:rsidR="00FF009C" w:rsidRPr="00FF009C">
        <w:rPr>
          <w:noProof/>
        </w:rPr>
        <w:t>ram</w:t>
      </w:r>
      <w:r w:rsidRPr="00FF009C">
        <w:rPr>
          <w:noProof/>
        </w:rPr>
        <w:t>ach wsparcia operacyjnego dokonuje się</w:t>
      </w:r>
      <w:r w:rsidR="00FF009C" w:rsidRPr="00FF009C">
        <w:rPr>
          <w:noProof/>
        </w:rPr>
        <w:t xml:space="preserve"> w</w:t>
      </w:r>
      <w:r w:rsidR="00FF009C">
        <w:rPr>
          <w:noProof/>
        </w:rPr>
        <w:t> </w:t>
      </w:r>
      <w:r w:rsidR="00FF009C" w:rsidRPr="00FF009C">
        <w:rPr>
          <w:noProof/>
        </w:rPr>
        <w:t>pań</w:t>
      </w:r>
      <w:r w:rsidRPr="00FF009C">
        <w:rPr>
          <w:noProof/>
        </w:rPr>
        <w:t>stwie trzecim na podstawie wskazanej</w:t>
      </w:r>
      <w:r w:rsidR="00FF009C" w:rsidRPr="00FF009C">
        <w:rPr>
          <w:noProof/>
        </w:rPr>
        <w:t xml:space="preserve"> w</w:t>
      </w:r>
      <w:r w:rsidR="00FF009C">
        <w:rPr>
          <w:noProof/>
        </w:rPr>
        <w:t> </w:t>
      </w:r>
      <w:r w:rsidR="00FF009C" w:rsidRPr="00FF009C">
        <w:rPr>
          <w:noProof/>
        </w:rPr>
        <w:t>art</w:t>
      </w:r>
      <w:r w:rsidRPr="00FF009C">
        <w:rPr>
          <w:noProof/>
        </w:rPr>
        <w:t>.</w:t>
      </w:r>
      <w:r w:rsidR="00FF009C" w:rsidRPr="00FF009C">
        <w:rPr>
          <w:noProof/>
        </w:rPr>
        <w:t> </w:t>
      </w:r>
      <w:r w:rsidRPr="00FF009C">
        <w:rPr>
          <w:noProof/>
        </w:rPr>
        <w:t>25 ust.</w:t>
      </w:r>
      <w:r w:rsidR="00FF009C" w:rsidRPr="00FF009C">
        <w:rPr>
          <w:noProof/>
        </w:rPr>
        <w:t> </w:t>
      </w:r>
      <w:r w:rsidRPr="00FF009C">
        <w:rPr>
          <w:noProof/>
        </w:rPr>
        <w:t>1 lit.</w:t>
      </w:r>
      <w:r w:rsidR="00FF009C" w:rsidRPr="00FF009C">
        <w:rPr>
          <w:noProof/>
        </w:rPr>
        <w:t> </w:t>
      </w:r>
      <w:r w:rsidRPr="00FF009C">
        <w:rPr>
          <w:noProof/>
        </w:rPr>
        <w:t>a), b) lub c).</w:t>
      </w:r>
    </w:p>
    <w:p w14:paraId="5321369D" w14:textId="77777777" w:rsidR="004E3FC2" w:rsidRPr="00FF009C" w:rsidRDefault="004E3FC2" w:rsidP="0043039B">
      <w:pPr>
        <w:ind w:left="720" w:hanging="720"/>
        <w:rPr>
          <w:noProof/>
        </w:rPr>
      </w:pPr>
      <w:r w:rsidRPr="00FF009C">
        <w:rPr>
          <w:noProof/>
        </w:rPr>
        <w:t>___________</w:t>
      </w:r>
    </w:p>
    <w:p w14:paraId="3C3902C5" w14:textId="679B3DEC" w:rsidR="0043039B" w:rsidRPr="00FF009C" w:rsidRDefault="004E3FC2" w:rsidP="0043039B">
      <w:pPr>
        <w:ind w:left="720" w:hanging="720"/>
        <w:rPr>
          <w:noProof/>
        </w:rPr>
      </w:pPr>
      <w:r w:rsidRPr="00FF009C">
        <w:rPr>
          <w:noProof/>
        </w:rPr>
        <w:t>* Rozporządzenie Parlamentu Europejskiego</w:t>
      </w:r>
      <w:r w:rsidR="00FF009C" w:rsidRPr="00FF009C">
        <w:rPr>
          <w:noProof/>
        </w:rPr>
        <w:t xml:space="preserve"> i</w:t>
      </w:r>
      <w:r w:rsidR="00FF009C">
        <w:rPr>
          <w:noProof/>
        </w:rPr>
        <w:t> </w:t>
      </w:r>
      <w:r w:rsidR="00FF009C" w:rsidRPr="00FF009C">
        <w:rPr>
          <w:noProof/>
        </w:rPr>
        <w:t>Rad</w:t>
      </w:r>
      <w:r w:rsidRPr="00FF009C">
        <w:rPr>
          <w:noProof/>
        </w:rPr>
        <w:t>y (UE) 2019/1896</w:t>
      </w:r>
      <w:r w:rsidR="00FF009C" w:rsidRPr="00FF009C">
        <w:rPr>
          <w:noProof/>
        </w:rPr>
        <w:t xml:space="preserve"> z</w:t>
      </w:r>
      <w:r w:rsidR="00FF009C">
        <w:rPr>
          <w:noProof/>
        </w:rPr>
        <w:t> </w:t>
      </w:r>
      <w:r w:rsidR="00FF009C" w:rsidRPr="00FF009C">
        <w:rPr>
          <w:noProof/>
        </w:rPr>
        <w:t>dni</w:t>
      </w:r>
      <w:r w:rsidRPr="00FF009C">
        <w:rPr>
          <w:noProof/>
        </w:rPr>
        <w:t>a 13 listopada 2019 r.</w:t>
      </w:r>
      <w:r w:rsidR="00FF009C" w:rsidRPr="00FF009C">
        <w:rPr>
          <w:noProof/>
        </w:rPr>
        <w:t xml:space="preserve"> w</w:t>
      </w:r>
      <w:r w:rsidR="00FF009C">
        <w:rPr>
          <w:noProof/>
        </w:rPr>
        <w:t> </w:t>
      </w:r>
      <w:r w:rsidR="00FF009C" w:rsidRPr="00FF009C">
        <w:rPr>
          <w:noProof/>
        </w:rPr>
        <w:t>spr</w:t>
      </w:r>
      <w:r w:rsidRPr="00FF009C">
        <w:rPr>
          <w:noProof/>
        </w:rPr>
        <w:t>awie Europejskiej Straży Granicznej</w:t>
      </w:r>
      <w:r w:rsidR="00FF009C" w:rsidRPr="00FF009C">
        <w:rPr>
          <w:noProof/>
        </w:rPr>
        <w:t xml:space="preserve"> i</w:t>
      </w:r>
      <w:r w:rsidR="00FF009C">
        <w:rPr>
          <w:noProof/>
        </w:rPr>
        <w:t> </w:t>
      </w:r>
      <w:r w:rsidR="00FF009C" w:rsidRPr="00FF009C">
        <w:rPr>
          <w:noProof/>
        </w:rPr>
        <w:t>Prz</w:t>
      </w:r>
      <w:r w:rsidRPr="00FF009C">
        <w:rPr>
          <w:noProof/>
        </w:rPr>
        <w:t>ybrzeżnej oraz uchylenia rozporządzeń (UE) nr 1052/2013 i (UE) 2016/1624 (Dz.U. L 295</w:t>
      </w:r>
      <w:r w:rsidR="00FF009C" w:rsidRPr="00FF009C">
        <w:rPr>
          <w:noProof/>
        </w:rPr>
        <w:t xml:space="preserve"> z</w:t>
      </w:r>
      <w:r w:rsidR="00FF009C">
        <w:rPr>
          <w:noProof/>
        </w:rPr>
        <w:t> </w:t>
      </w:r>
      <w:r w:rsidR="00FF009C" w:rsidRPr="00FF009C">
        <w:rPr>
          <w:noProof/>
        </w:rPr>
        <w:t>1</w:t>
      </w:r>
      <w:r w:rsidRPr="00FF009C">
        <w:rPr>
          <w:noProof/>
        </w:rPr>
        <w:t>4.11.2019, s. 1, ELI: </w:t>
      </w:r>
      <w:hyperlink r:id="rId12" w:tooltip="Dostęp do dokumentu przez identyfikator URI w systemie ELI." w:history="1">
        <w:r w:rsidRPr="00FF009C">
          <w:rPr>
            <w:rStyle w:val="Hyperlink"/>
            <w:noProof/>
            <w:color w:val="auto"/>
          </w:rPr>
          <w:t>https://eur-lex.europa.eu/eli/reg/2019/1896/oj?locale=pl</w:t>
        </w:r>
      </w:hyperlink>
      <w:r w:rsidRPr="00FF009C">
        <w:rPr>
          <w:noProof/>
        </w:rPr>
        <w:t>).”;</w:t>
      </w:r>
    </w:p>
    <w:bookmarkEnd w:id="5"/>
    <w:p w14:paraId="722C2252" w14:textId="77777777" w:rsidR="0043039B" w:rsidRPr="00FF009C" w:rsidRDefault="0043039B" w:rsidP="0043039B">
      <w:pPr>
        <w:rPr>
          <w:noProof/>
        </w:rPr>
      </w:pPr>
      <w:r w:rsidRPr="00FF009C">
        <w:rPr>
          <w:noProof/>
        </w:rPr>
        <w:t>(5)</w:t>
      </w:r>
      <w:r w:rsidRPr="00FF009C">
        <w:rPr>
          <w:noProof/>
        </w:rPr>
        <w:tab/>
        <w:t>art. 18 ust. 2 lit. d) otrzymuje brzmienie:</w:t>
      </w:r>
    </w:p>
    <w:p w14:paraId="222D8D11" w14:textId="62A086E9" w:rsidR="0043039B" w:rsidRPr="00FF009C" w:rsidRDefault="00AF2DEE" w:rsidP="0043039B">
      <w:pPr>
        <w:rPr>
          <w:noProof/>
        </w:rPr>
      </w:pPr>
      <w:r w:rsidRPr="00FF009C">
        <w:rPr>
          <w:noProof/>
        </w:rPr>
        <w:t>„d)</w:t>
      </w:r>
      <w:r w:rsidRPr="00FF009C">
        <w:rPr>
          <w:noProof/>
        </w:rPr>
        <w:tab/>
        <w:t>ułatwiania,</w:t>
      </w:r>
      <w:r w:rsidR="00FF009C" w:rsidRPr="00FF009C">
        <w:rPr>
          <w:noProof/>
        </w:rPr>
        <w:t xml:space="preserve"> w</w:t>
      </w:r>
      <w:r w:rsidR="00FF009C">
        <w:rPr>
          <w:noProof/>
        </w:rPr>
        <w:t> </w:t>
      </w:r>
      <w:r w:rsidR="00FF009C" w:rsidRPr="00FF009C">
        <w:rPr>
          <w:noProof/>
        </w:rPr>
        <w:t>tym</w:t>
      </w:r>
      <w:r w:rsidRPr="00FF009C">
        <w:rPr>
          <w:noProof/>
        </w:rPr>
        <w:t xml:space="preserve"> za pośrednictwem aplikacji SIENA, wymiany informacji między państwami członkowskimi, Europolem, innymi organami Unii, państwami trzecimi, organizacjami międzynarodowymi</w:t>
      </w:r>
      <w:r w:rsidR="00FF009C" w:rsidRPr="00FF009C">
        <w:rPr>
          <w:noProof/>
        </w:rPr>
        <w:t xml:space="preserve"> i</w:t>
      </w:r>
      <w:r w:rsidR="00FF009C">
        <w:rPr>
          <w:noProof/>
        </w:rPr>
        <w:t> </w:t>
      </w:r>
      <w:r w:rsidR="00FF009C" w:rsidRPr="00FF009C">
        <w:rPr>
          <w:noProof/>
        </w:rPr>
        <w:t>pod</w:t>
      </w:r>
      <w:r w:rsidRPr="00FF009C">
        <w:rPr>
          <w:noProof/>
        </w:rPr>
        <w:t>miotami prywatnymi;”;</w:t>
      </w:r>
    </w:p>
    <w:p w14:paraId="48898098" w14:textId="77777777" w:rsidR="0043039B" w:rsidRPr="00FF009C" w:rsidRDefault="0043039B" w:rsidP="0043039B">
      <w:pPr>
        <w:rPr>
          <w:noProof/>
        </w:rPr>
      </w:pPr>
      <w:r w:rsidRPr="00FF009C">
        <w:rPr>
          <w:noProof/>
        </w:rPr>
        <w:t xml:space="preserve">(6) </w:t>
      </w:r>
      <w:r w:rsidRPr="00FF009C">
        <w:rPr>
          <w:noProof/>
        </w:rPr>
        <w:tab/>
        <w:t>W załączniku I wprowadza się następujące zmiany:</w:t>
      </w:r>
    </w:p>
    <w:p w14:paraId="5E1722A1" w14:textId="77777777" w:rsidR="0043039B" w:rsidRPr="00FF009C" w:rsidRDefault="0043039B" w:rsidP="0043039B">
      <w:pPr>
        <w:rPr>
          <w:noProof/>
        </w:rPr>
      </w:pPr>
      <w:r w:rsidRPr="00FF009C">
        <w:rPr>
          <w:noProof/>
        </w:rPr>
        <w:tab/>
        <w:t>a) tiret szóste („przemyt imigrantów”) otrzymuje brzmienie:</w:t>
      </w:r>
    </w:p>
    <w:p w14:paraId="38986B68" w14:textId="7708BCE1" w:rsidR="0043039B" w:rsidRPr="00FF009C" w:rsidRDefault="00FF009C" w:rsidP="0043039B">
      <w:pPr>
        <w:rPr>
          <w:noProof/>
        </w:rPr>
      </w:pPr>
      <w:r w:rsidRPr="00FF009C">
        <w:rPr>
          <w:noProof/>
        </w:rPr>
        <w:t>„–</w:t>
      </w:r>
      <w:r w:rsidR="00AF2DEE" w:rsidRPr="00FF009C">
        <w:rPr>
          <w:noProof/>
        </w:rPr>
        <w:t xml:space="preserve"> przemyt migrantów”;</w:t>
      </w:r>
    </w:p>
    <w:p w14:paraId="4A5D445B" w14:textId="408804D4" w:rsidR="0043039B" w:rsidRPr="00FF009C" w:rsidRDefault="0043039B" w:rsidP="0043039B">
      <w:pPr>
        <w:rPr>
          <w:noProof/>
        </w:rPr>
      </w:pPr>
      <w:r w:rsidRPr="00FF009C">
        <w:rPr>
          <w:noProof/>
        </w:rPr>
        <w:tab/>
        <w:t>b) dodaje się tiret</w:t>
      </w:r>
      <w:r w:rsidR="00FF009C" w:rsidRPr="00FF009C">
        <w:rPr>
          <w:noProof/>
        </w:rPr>
        <w:t xml:space="preserve"> w</w:t>
      </w:r>
      <w:r w:rsidR="00FF009C">
        <w:rPr>
          <w:noProof/>
        </w:rPr>
        <w:t> </w:t>
      </w:r>
      <w:r w:rsidR="00FF009C" w:rsidRPr="00FF009C">
        <w:rPr>
          <w:noProof/>
        </w:rPr>
        <w:t>brz</w:t>
      </w:r>
      <w:r w:rsidRPr="00FF009C">
        <w:rPr>
          <w:noProof/>
        </w:rPr>
        <w:t>mieniu:</w:t>
      </w:r>
    </w:p>
    <w:p w14:paraId="77142D26" w14:textId="77777777" w:rsidR="0043039B" w:rsidRPr="00FF009C" w:rsidRDefault="00AF2DEE" w:rsidP="0043039B">
      <w:pPr>
        <w:rPr>
          <w:noProof/>
        </w:rPr>
      </w:pPr>
      <w:r w:rsidRPr="00FF009C">
        <w:rPr>
          <w:noProof/>
        </w:rPr>
        <w:t>„– naruszenie unijnych środków ograniczających”.</w:t>
      </w:r>
    </w:p>
    <w:p w14:paraId="5C14FFB1" w14:textId="77777777" w:rsidR="0043039B" w:rsidRPr="00FF009C" w:rsidRDefault="0043039B" w:rsidP="0043039B">
      <w:pPr>
        <w:pStyle w:val="ChapterTitle"/>
        <w:spacing w:before="360"/>
        <w:rPr>
          <w:noProof/>
          <w:sz w:val="24"/>
        </w:rPr>
      </w:pPr>
      <w:r w:rsidRPr="00FF009C">
        <w:rPr>
          <w:noProof/>
          <w:sz w:val="24"/>
        </w:rPr>
        <w:t>Rozdział V</w:t>
      </w:r>
    </w:p>
    <w:p w14:paraId="2CA210EE" w14:textId="77777777" w:rsidR="0043039B" w:rsidRPr="00FF009C" w:rsidRDefault="0043039B" w:rsidP="0043039B">
      <w:pPr>
        <w:pStyle w:val="ChapterTitle"/>
        <w:spacing w:before="360"/>
        <w:rPr>
          <w:noProof/>
          <w:sz w:val="24"/>
        </w:rPr>
      </w:pPr>
      <w:r w:rsidRPr="00FF009C">
        <w:rPr>
          <w:noProof/>
          <w:sz w:val="24"/>
        </w:rPr>
        <w:t>PRZEPISY KOŃCOWE</w:t>
      </w:r>
    </w:p>
    <w:p w14:paraId="607035F4" w14:textId="77777777" w:rsidR="0043039B" w:rsidRPr="00FF009C" w:rsidRDefault="0043039B" w:rsidP="0043039B">
      <w:pPr>
        <w:pStyle w:val="Titrearticle"/>
        <w:rPr>
          <w:noProof/>
        </w:rPr>
      </w:pPr>
      <w:r w:rsidRPr="00FF009C">
        <w:rPr>
          <w:noProof/>
        </w:rPr>
        <w:t>Artykuł 10</w:t>
      </w:r>
    </w:p>
    <w:p w14:paraId="4BD2B405" w14:textId="062EE1BC" w:rsidR="0043039B" w:rsidRPr="00FF009C" w:rsidRDefault="0043039B" w:rsidP="0043039B">
      <w:pPr>
        <w:jc w:val="center"/>
        <w:rPr>
          <w:noProof/>
        </w:rPr>
      </w:pPr>
      <w:r w:rsidRPr="00FF009C">
        <w:rPr>
          <w:b/>
          <w:noProof/>
        </w:rPr>
        <w:t>Wejście</w:t>
      </w:r>
      <w:r w:rsidR="00FF009C" w:rsidRPr="00FF009C">
        <w:rPr>
          <w:b/>
          <w:noProof/>
        </w:rPr>
        <w:t xml:space="preserve"> w</w:t>
      </w:r>
      <w:r w:rsidR="00FF009C">
        <w:rPr>
          <w:b/>
          <w:noProof/>
        </w:rPr>
        <w:t> </w:t>
      </w:r>
      <w:r w:rsidR="00FF009C" w:rsidRPr="00FF009C">
        <w:rPr>
          <w:b/>
          <w:noProof/>
        </w:rPr>
        <w:t>życ</w:t>
      </w:r>
      <w:r w:rsidRPr="00FF009C">
        <w:rPr>
          <w:b/>
          <w:noProof/>
        </w:rPr>
        <w:t>ie</w:t>
      </w:r>
      <w:r w:rsidR="00FF009C" w:rsidRPr="00FF009C">
        <w:rPr>
          <w:b/>
          <w:noProof/>
        </w:rPr>
        <w:t xml:space="preserve"> i</w:t>
      </w:r>
      <w:r w:rsidR="00FF009C">
        <w:rPr>
          <w:b/>
          <w:noProof/>
        </w:rPr>
        <w:t> </w:t>
      </w:r>
      <w:r w:rsidR="00FF009C" w:rsidRPr="00FF009C">
        <w:rPr>
          <w:b/>
          <w:noProof/>
        </w:rPr>
        <w:t>sto</w:t>
      </w:r>
      <w:r w:rsidRPr="00FF009C">
        <w:rPr>
          <w:b/>
          <w:noProof/>
        </w:rPr>
        <w:t>sowanie</w:t>
      </w:r>
    </w:p>
    <w:p w14:paraId="6D51109C" w14:textId="2320CFF7" w:rsidR="0043039B" w:rsidRPr="00FF009C" w:rsidRDefault="0043039B" w:rsidP="0043039B">
      <w:pPr>
        <w:rPr>
          <w:noProof/>
        </w:rPr>
      </w:pPr>
      <w:r w:rsidRPr="00FF009C">
        <w:rPr>
          <w:noProof/>
        </w:rPr>
        <w:t>Niniejsze rozporządzenie wchodzi</w:t>
      </w:r>
      <w:r w:rsidR="00FF009C" w:rsidRPr="00FF009C">
        <w:rPr>
          <w:noProof/>
        </w:rPr>
        <w:t xml:space="preserve"> w</w:t>
      </w:r>
      <w:r w:rsidR="00FF009C">
        <w:rPr>
          <w:noProof/>
        </w:rPr>
        <w:t> </w:t>
      </w:r>
      <w:r w:rsidR="00FF009C" w:rsidRPr="00FF009C">
        <w:rPr>
          <w:noProof/>
        </w:rPr>
        <w:t>życ</w:t>
      </w:r>
      <w:r w:rsidRPr="00FF009C">
        <w:rPr>
          <w:noProof/>
        </w:rPr>
        <w:t>ie dwudziestego dnia po jego opublikowaniu</w:t>
      </w:r>
      <w:r w:rsidR="00FF009C" w:rsidRPr="00FF009C">
        <w:rPr>
          <w:noProof/>
        </w:rPr>
        <w:t xml:space="preserve"> w</w:t>
      </w:r>
      <w:r w:rsidR="00FF009C">
        <w:rPr>
          <w:noProof/>
        </w:rPr>
        <w:t> </w:t>
      </w:r>
      <w:r w:rsidR="00FF009C" w:rsidRPr="00FF009C">
        <w:rPr>
          <w:i/>
          <w:iCs/>
          <w:noProof/>
        </w:rPr>
        <w:t>Dzi</w:t>
      </w:r>
      <w:r w:rsidRPr="00FF009C">
        <w:rPr>
          <w:i/>
          <w:iCs/>
          <w:noProof/>
        </w:rPr>
        <w:t>enniku Urzędowym Unii Europejskiej</w:t>
      </w:r>
      <w:r w:rsidRPr="00FF009C">
        <w:rPr>
          <w:noProof/>
        </w:rPr>
        <w:t>.</w:t>
      </w:r>
    </w:p>
    <w:p w14:paraId="59F726FB" w14:textId="6B304A67" w:rsidR="0043039B" w:rsidRPr="00FF009C" w:rsidRDefault="0043039B" w:rsidP="0043039B">
      <w:pPr>
        <w:pStyle w:val="Applicationdirecte"/>
        <w:rPr>
          <w:noProof/>
        </w:rPr>
      </w:pPr>
      <w:r w:rsidRPr="00FF009C">
        <w:rPr>
          <w:noProof/>
        </w:rPr>
        <w:t>Niniejsze rozporządzenie wiąże</w:t>
      </w:r>
      <w:r w:rsidR="00FF009C" w:rsidRPr="00FF009C">
        <w:rPr>
          <w:noProof/>
        </w:rPr>
        <w:t xml:space="preserve"> w</w:t>
      </w:r>
      <w:r w:rsidR="00FF009C">
        <w:rPr>
          <w:noProof/>
        </w:rPr>
        <w:t> </w:t>
      </w:r>
      <w:r w:rsidR="00FF009C" w:rsidRPr="00FF009C">
        <w:rPr>
          <w:noProof/>
        </w:rPr>
        <w:t>cał</w:t>
      </w:r>
      <w:r w:rsidRPr="00FF009C">
        <w:rPr>
          <w:noProof/>
        </w:rPr>
        <w:t>ości</w:t>
      </w:r>
      <w:r w:rsidR="00FF009C" w:rsidRPr="00FF009C">
        <w:rPr>
          <w:noProof/>
        </w:rPr>
        <w:t xml:space="preserve"> i</w:t>
      </w:r>
      <w:r w:rsidR="00FF009C">
        <w:rPr>
          <w:noProof/>
        </w:rPr>
        <w:t> </w:t>
      </w:r>
      <w:r w:rsidR="00FF009C" w:rsidRPr="00FF009C">
        <w:rPr>
          <w:noProof/>
        </w:rPr>
        <w:t>jes</w:t>
      </w:r>
      <w:r w:rsidRPr="00FF009C">
        <w:rPr>
          <w:noProof/>
        </w:rPr>
        <w:t>t bezpośrednio stosowane</w:t>
      </w:r>
      <w:r w:rsidR="00FF009C" w:rsidRPr="00FF009C">
        <w:rPr>
          <w:noProof/>
        </w:rPr>
        <w:t xml:space="preserve"> w</w:t>
      </w:r>
      <w:r w:rsidR="00FF009C">
        <w:rPr>
          <w:noProof/>
        </w:rPr>
        <w:t> </w:t>
      </w:r>
      <w:r w:rsidR="00FF009C" w:rsidRPr="00FF009C">
        <w:rPr>
          <w:noProof/>
        </w:rPr>
        <w:t>pań</w:t>
      </w:r>
      <w:r w:rsidRPr="00FF009C">
        <w:rPr>
          <w:noProof/>
        </w:rPr>
        <w:t>stwach członkowskich zgodnie</w:t>
      </w:r>
      <w:r w:rsidR="00FF009C" w:rsidRPr="00FF009C">
        <w:rPr>
          <w:noProof/>
        </w:rPr>
        <w:t xml:space="preserve"> z</w:t>
      </w:r>
      <w:r w:rsidR="00FF009C">
        <w:rPr>
          <w:noProof/>
        </w:rPr>
        <w:t> </w:t>
      </w:r>
      <w:r w:rsidR="00FF009C" w:rsidRPr="00FF009C">
        <w:rPr>
          <w:noProof/>
        </w:rPr>
        <w:t>Tra</w:t>
      </w:r>
      <w:r w:rsidRPr="00FF009C">
        <w:rPr>
          <w:noProof/>
        </w:rPr>
        <w:t>ktatami.</w:t>
      </w:r>
    </w:p>
    <w:p w14:paraId="799F6431" w14:textId="1D68F7F5" w:rsidR="0043039B" w:rsidRPr="00FF009C" w:rsidRDefault="00C36288" w:rsidP="00D35655">
      <w:pPr>
        <w:pStyle w:val="Fait"/>
        <w:rPr>
          <w:noProof/>
        </w:rPr>
      </w:pPr>
      <w:r w:rsidRPr="00C36288">
        <w:t xml:space="preserve">Sporządzono w Brukseli dnia </w:t>
      </w:r>
      <w:r w:rsidRPr="00C36288">
        <w:rPr>
          <w:rStyle w:val="Marker"/>
        </w:rPr>
        <w:t>[…]</w:t>
      </w:r>
      <w:r w:rsidRPr="00C36288">
        <w:t xml:space="preserve"> r.</w:t>
      </w:r>
    </w:p>
    <w:p w14:paraId="72D3930D" w14:textId="77777777" w:rsidR="0043039B" w:rsidRPr="00FF009C" w:rsidRDefault="0043039B" w:rsidP="00D35655">
      <w:pPr>
        <w:pStyle w:val="Institutionquisigne"/>
        <w:rPr>
          <w:noProof/>
        </w:rPr>
      </w:pPr>
      <w:r w:rsidRPr="00FF009C">
        <w:rPr>
          <w:noProof/>
        </w:rPr>
        <w:t>W imieniu Parlamentu Europejskiego</w:t>
      </w:r>
      <w:r w:rsidRPr="00FF009C">
        <w:rPr>
          <w:noProof/>
        </w:rPr>
        <w:tab/>
        <w:t>W imieniu Rady</w:t>
      </w:r>
    </w:p>
    <w:p w14:paraId="39BD3F40" w14:textId="77777777" w:rsidR="0043039B" w:rsidRPr="00FF009C" w:rsidRDefault="0043039B" w:rsidP="0043039B">
      <w:pPr>
        <w:pStyle w:val="Personnequisigne"/>
        <w:rPr>
          <w:noProof/>
        </w:rPr>
      </w:pPr>
      <w:r w:rsidRPr="00FF009C">
        <w:rPr>
          <w:noProof/>
        </w:rPr>
        <w:t>Przewodnicząca</w:t>
      </w:r>
      <w:r w:rsidRPr="00FF009C">
        <w:rPr>
          <w:noProof/>
        </w:rPr>
        <w:tab/>
        <w:t>Przewodniczący</w:t>
      </w:r>
    </w:p>
    <w:p w14:paraId="2C3058E3" w14:textId="77777777" w:rsidR="0043039B" w:rsidRPr="00FF009C" w:rsidRDefault="0043039B" w:rsidP="0043039B">
      <w:pPr>
        <w:rPr>
          <w:noProof/>
        </w:rPr>
        <w:sectPr w:rsidR="0043039B" w:rsidRPr="00FF009C" w:rsidSect="004E3534">
          <w:pgSz w:w="11907" w:h="16839"/>
          <w:pgMar w:top="1134" w:right="1417" w:bottom="1134" w:left="1417" w:header="709" w:footer="709" w:gutter="0"/>
          <w:cols w:space="708"/>
          <w:docGrid w:linePitch="360"/>
        </w:sectPr>
      </w:pPr>
    </w:p>
    <w:p w14:paraId="55CEBFC0" w14:textId="77777777" w:rsidR="00AB4A6F" w:rsidRPr="00FF009C" w:rsidRDefault="00AB4A6F" w:rsidP="00AB4A6F">
      <w:pPr>
        <w:pStyle w:val="Fichefinanciretitre"/>
        <w:rPr>
          <w:noProof/>
        </w:rPr>
      </w:pPr>
      <w:r w:rsidRPr="00FF009C">
        <w:rPr>
          <w:noProof/>
        </w:rPr>
        <w:t>OCENA SKUTKÓW FINANSOWYCH REGULACJI – „AGENCJE”</w:t>
      </w:r>
      <w:r w:rsidRPr="00FF009C">
        <w:rPr>
          <w:noProof/>
        </w:rPr>
        <w:br w:type="page"/>
      </w:r>
    </w:p>
    <w:sdt>
      <w:sdtPr>
        <w:rPr>
          <w:b/>
          <w:smallCaps/>
          <w:noProof/>
          <w:shd w:val="clear" w:color="auto" w:fill="E6E6E6"/>
        </w:rPr>
        <w:id w:val="1138923797"/>
        <w:docPartObj>
          <w:docPartGallery w:val="Table of Contents"/>
          <w:docPartUnique/>
        </w:docPartObj>
      </w:sdtPr>
      <w:sdtEndPr>
        <w:rPr>
          <w:b w:val="0"/>
          <w:smallCaps w:val="0"/>
        </w:rPr>
      </w:sdtEndPr>
      <w:sdtContent>
        <w:p w14:paraId="62667E29" w14:textId="0C3F873A" w:rsidR="00795745" w:rsidRPr="00795745" w:rsidRDefault="00AB4A6F" w:rsidP="00795745">
          <w:pPr>
            <w:pStyle w:val="TOC1"/>
            <w:ind w:right="1183"/>
            <w:rPr>
              <w:rFonts w:asciiTheme="minorHAnsi" w:eastAsiaTheme="minorEastAsia" w:hAnsiTheme="minorHAnsi" w:cstheme="minorBidi"/>
              <w:b/>
              <w:bCs/>
              <w:noProof/>
              <w:sz w:val="22"/>
              <w:lang w:val="en-IE" w:eastAsia="ko-KR"/>
            </w:rPr>
          </w:pPr>
          <w:r w:rsidRPr="00FF009C">
            <w:rPr>
              <w:smallCaps/>
              <w:noProof/>
              <w:shd w:val="clear" w:color="auto" w:fill="E6E6E6"/>
            </w:rPr>
            <w:fldChar w:fldCharType="begin"/>
          </w:r>
          <w:r w:rsidRPr="00FF009C">
            <w:rPr>
              <w:noProof/>
            </w:rPr>
            <w:instrText xml:space="preserve"> TOC \o "1-3" \h \z \u </w:instrText>
          </w:r>
          <w:r w:rsidRPr="00FF009C">
            <w:rPr>
              <w:smallCaps/>
              <w:noProof/>
              <w:shd w:val="clear" w:color="auto" w:fill="E6E6E6"/>
            </w:rPr>
            <w:fldChar w:fldCharType="separate"/>
          </w:r>
          <w:hyperlink w:anchor="_Toc155952141" w:history="1">
            <w:r w:rsidR="00795745" w:rsidRPr="00795745">
              <w:rPr>
                <w:rStyle w:val="Hyperlink"/>
                <w:b/>
                <w:bCs/>
                <w:noProof/>
              </w:rPr>
              <w:t>1.</w:t>
            </w:r>
            <w:r w:rsidR="00795745" w:rsidRPr="00795745">
              <w:rPr>
                <w:rFonts w:asciiTheme="minorHAnsi" w:eastAsiaTheme="minorEastAsia" w:hAnsiTheme="minorHAnsi" w:cstheme="minorBidi"/>
                <w:b/>
                <w:bCs/>
                <w:noProof/>
                <w:sz w:val="22"/>
                <w:lang w:val="en-IE" w:eastAsia="ko-KR"/>
              </w:rPr>
              <w:tab/>
            </w:r>
            <w:r w:rsidR="00795745" w:rsidRPr="00795745">
              <w:rPr>
                <w:rStyle w:val="Hyperlink"/>
                <w:b/>
                <w:bCs/>
                <w:noProof/>
              </w:rPr>
              <w:t>STRUKTURA WNIOSKU/INICJATYWY</w:t>
            </w:r>
            <w:r w:rsidR="00795745" w:rsidRPr="00795745">
              <w:rPr>
                <w:b/>
                <w:bCs/>
                <w:noProof/>
                <w:webHidden/>
              </w:rPr>
              <w:tab/>
            </w:r>
            <w:r w:rsidR="00795745" w:rsidRPr="00795745">
              <w:rPr>
                <w:b/>
                <w:bCs/>
                <w:noProof/>
                <w:webHidden/>
              </w:rPr>
              <w:fldChar w:fldCharType="begin"/>
            </w:r>
            <w:r w:rsidR="00795745" w:rsidRPr="00795745">
              <w:rPr>
                <w:b/>
                <w:bCs/>
                <w:noProof/>
                <w:webHidden/>
              </w:rPr>
              <w:instrText xml:space="preserve"> PAGEREF _Toc155952141 \h </w:instrText>
            </w:r>
            <w:r w:rsidR="00795745" w:rsidRPr="00795745">
              <w:rPr>
                <w:b/>
                <w:bCs/>
                <w:noProof/>
                <w:webHidden/>
              </w:rPr>
            </w:r>
            <w:r w:rsidR="00795745" w:rsidRPr="00795745">
              <w:rPr>
                <w:b/>
                <w:bCs/>
                <w:noProof/>
                <w:webHidden/>
              </w:rPr>
              <w:fldChar w:fldCharType="separate"/>
            </w:r>
            <w:r w:rsidR="00795745" w:rsidRPr="00795745">
              <w:rPr>
                <w:b/>
                <w:bCs/>
                <w:noProof/>
                <w:webHidden/>
              </w:rPr>
              <w:t>3</w:t>
            </w:r>
            <w:r w:rsidR="00795745" w:rsidRPr="00795745">
              <w:rPr>
                <w:b/>
                <w:bCs/>
                <w:noProof/>
                <w:webHidden/>
              </w:rPr>
              <w:fldChar w:fldCharType="end"/>
            </w:r>
          </w:hyperlink>
        </w:p>
        <w:p w14:paraId="1102E841" w14:textId="0DE5D524" w:rsidR="00795745" w:rsidRPr="00795745" w:rsidRDefault="00BB0761" w:rsidP="00795745">
          <w:pPr>
            <w:pStyle w:val="TOC2"/>
            <w:ind w:right="1183"/>
            <w:rPr>
              <w:rFonts w:asciiTheme="minorHAnsi" w:eastAsiaTheme="minorEastAsia" w:hAnsiTheme="minorHAnsi" w:cstheme="minorBidi"/>
              <w:b/>
              <w:bCs/>
              <w:noProof/>
              <w:sz w:val="22"/>
              <w:lang w:val="en-IE" w:eastAsia="ko-KR"/>
            </w:rPr>
          </w:pPr>
          <w:hyperlink w:anchor="_Toc155952142" w:history="1">
            <w:r w:rsidR="00795745" w:rsidRPr="00795745">
              <w:rPr>
                <w:rStyle w:val="Hyperlink"/>
                <w:b/>
                <w:bCs/>
                <w:noProof/>
              </w:rPr>
              <w:t>1.1.</w:t>
            </w:r>
            <w:r w:rsidR="00795745" w:rsidRPr="00795745">
              <w:rPr>
                <w:rFonts w:asciiTheme="minorHAnsi" w:eastAsiaTheme="minorEastAsia" w:hAnsiTheme="minorHAnsi" w:cstheme="minorBidi"/>
                <w:b/>
                <w:bCs/>
                <w:noProof/>
                <w:sz w:val="22"/>
                <w:lang w:val="en-IE" w:eastAsia="ko-KR"/>
              </w:rPr>
              <w:tab/>
            </w:r>
            <w:r w:rsidR="00795745" w:rsidRPr="00795745">
              <w:rPr>
                <w:rStyle w:val="Hyperlink"/>
                <w:b/>
                <w:bCs/>
                <w:noProof/>
              </w:rPr>
              <w:t>Tytuł wniosku/inicjatywy</w:t>
            </w:r>
            <w:r w:rsidR="00795745" w:rsidRPr="00795745">
              <w:rPr>
                <w:b/>
                <w:bCs/>
                <w:noProof/>
                <w:webHidden/>
              </w:rPr>
              <w:tab/>
            </w:r>
            <w:r w:rsidR="00795745" w:rsidRPr="00795745">
              <w:rPr>
                <w:b/>
                <w:bCs/>
                <w:noProof/>
                <w:webHidden/>
              </w:rPr>
              <w:fldChar w:fldCharType="begin"/>
            </w:r>
            <w:r w:rsidR="00795745" w:rsidRPr="00795745">
              <w:rPr>
                <w:b/>
                <w:bCs/>
                <w:noProof/>
                <w:webHidden/>
              </w:rPr>
              <w:instrText xml:space="preserve"> PAGEREF _Toc155952142 \h </w:instrText>
            </w:r>
            <w:r w:rsidR="00795745" w:rsidRPr="00795745">
              <w:rPr>
                <w:b/>
                <w:bCs/>
                <w:noProof/>
                <w:webHidden/>
              </w:rPr>
            </w:r>
            <w:r w:rsidR="00795745" w:rsidRPr="00795745">
              <w:rPr>
                <w:b/>
                <w:bCs/>
                <w:noProof/>
                <w:webHidden/>
              </w:rPr>
              <w:fldChar w:fldCharType="separate"/>
            </w:r>
            <w:r w:rsidR="00795745" w:rsidRPr="00795745">
              <w:rPr>
                <w:b/>
                <w:bCs/>
                <w:noProof/>
                <w:webHidden/>
              </w:rPr>
              <w:t>3</w:t>
            </w:r>
            <w:r w:rsidR="00795745" w:rsidRPr="00795745">
              <w:rPr>
                <w:b/>
                <w:bCs/>
                <w:noProof/>
                <w:webHidden/>
              </w:rPr>
              <w:fldChar w:fldCharType="end"/>
            </w:r>
          </w:hyperlink>
        </w:p>
        <w:p w14:paraId="3794B4AB" w14:textId="1155E27B" w:rsidR="00795745" w:rsidRPr="00795745" w:rsidRDefault="00BB0761" w:rsidP="00795745">
          <w:pPr>
            <w:pStyle w:val="TOC2"/>
            <w:ind w:right="1183"/>
            <w:rPr>
              <w:rFonts w:asciiTheme="minorHAnsi" w:eastAsiaTheme="minorEastAsia" w:hAnsiTheme="minorHAnsi" w:cstheme="minorBidi"/>
              <w:b/>
              <w:bCs/>
              <w:noProof/>
              <w:sz w:val="22"/>
              <w:lang w:val="en-IE" w:eastAsia="ko-KR"/>
            </w:rPr>
          </w:pPr>
          <w:hyperlink w:anchor="_Toc155952143" w:history="1">
            <w:r w:rsidR="00795745" w:rsidRPr="00795745">
              <w:rPr>
                <w:rStyle w:val="Hyperlink"/>
                <w:b/>
                <w:bCs/>
                <w:noProof/>
              </w:rPr>
              <w:t>1.2.</w:t>
            </w:r>
            <w:r w:rsidR="00795745" w:rsidRPr="00795745">
              <w:rPr>
                <w:rFonts w:asciiTheme="minorHAnsi" w:eastAsiaTheme="minorEastAsia" w:hAnsiTheme="minorHAnsi" w:cstheme="minorBidi"/>
                <w:b/>
                <w:bCs/>
                <w:noProof/>
                <w:sz w:val="22"/>
                <w:lang w:val="en-IE" w:eastAsia="ko-KR"/>
              </w:rPr>
              <w:tab/>
            </w:r>
            <w:r w:rsidR="00795745" w:rsidRPr="00795745">
              <w:rPr>
                <w:rStyle w:val="Hyperlink"/>
                <w:b/>
                <w:bCs/>
                <w:noProof/>
              </w:rPr>
              <w:t>Obszary polityki, których dotyczy wniosek</w:t>
            </w:r>
            <w:r w:rsidR="00795745" w:rsidRPr="00795745">
              <w:rPr>
                <w:b/>
                <w:bCs/>
                <w:noProof/>
                <w:webHidden/>
              </w:rPr>
              <w:tab/>
            </w:r>
            <w:r w:rsidR="00795745" w:rsidRPr="00795745">
              <w:rPr>
                <w:b/>
                <w:bCs/>
                <w:noProof/>
                <w:webHidden/>
              </w:rPr>
              <w:fldChar w:fldCharType="begin"/>
            </w:r>
            <w:r w:rsidR="00795745" w:rsidRPr="00795745">
              <w:rPr>
                <w:b/>
                <w:bCs/>
                <w:noProof/>
                <w:webHidden/>
              </w:rPr>
              <w:instrText xml:space="preserve"> PAGEREF _Toc155952143 \h </w:instrText>
            </w:r>
            <w:r w:rsidR="00795745" w:rsidRPr="00795745">
              <w:rPr>
                <w:b/>
                <w:bCs/>
                <w:noProof/>
                <w:webHidden/>
              </w:rPr>
            </w:r>
            <w:r w:rsidR="00795745" w:rsidRPr="00795745">
              <w:rPr>
                <w:b/>
                <w:bCs/>
                <w:noProof/>
                <w:webHidden/>
              </w:rPr>
              <w:fldChar w:fldCharType="separate"/>
            </w:r>
            <w:r w:rsidR="00795745" w:rsidRPr="00795745">
              <w:rPr>
                <w:b/>
                <w:bCs/>
                <w:noProof/>
                <w:webHidden/>
              </w:rPr>
              <w:t>3</w:t>
            </w:r>
            <w:r w:rsidR="00795745" w:rsidRPr="00795745">
              <w:rPr>
                <w:b/>
                <w:bCs/>
                <w:noProof/>
                <w:webHidden/>
              </w:rPr>
              <w:fldChar w:fldCharType="end"/>
            </w:r>
          </w:hyperlink>
        </w:p>
        <w:p w14:paraId="5EE3E0A8" w14:textId="08553C93" w:rsidR="00795745" w:rsidRPr="00795745" w:rsidRDefault="00BB0761" w:rsidP="00795745">
          <w:pPr>
            <w:pStyle w:val="TOC2"/>
            <w:ind w:right="1183"/>
            <w:rPr>
              <w:rFonts w:asciiTheme="minorHAnsi" w:eastAsiaTheme="minorEastAsia" w:hAnsiTheme="minorHAnsi" w:cstheme="minorBidi"/>
              <w:b/>
              <w:bCs/>
              <w:noProof/>
              <w:sz w:val="22"/>
              <w:lang w:val="en-IE" w:eastAsia="ko-KR"/>
            </w:rPr>
          </w:pPr>
          <w:hyperlink w:anchor="_Toc155952144" w:history="1">
            <w:r w:rsidR="00795745" w:rsidRPr="00795745">
              <w:rPr>
                <w:rStyle w:val="Hyperlink"/>
                <w:b/>
                <w:bCs/>
                <w:noProof/>
              </w:rPr>
              <w:t>1.3.</w:t>
            </w:r>
            <w:r w:rsidR="00795745" w:rsidRPr="00795745">
              <w:rPr>
                <w:rFonts w:asciiTheme="minorHAnsi" w:eastAsiaTheme="minorEastAsia" w:hAnsiTheme="minorHAnsi" w:cstheme="minorBidi"/>
                <w:b/>
                <w:bCs/>
                <w:noProof/>
                <w:sz w:val="22"/>
                <w:lang w:val="en-IE" w:eastAsia="ko-KR"/>
              </w:rPr>
              <w:tab/>
            </w:r>
            <w:r w:rsidR="00795745" w:rsidRPr="00795745">
              <w:rPr>
                <w:rStyle w:val="Hyperlink"/>
                <w:b/>
                <w:bCs/>
                <w:noProof/>
              </w:rPr>
              <w:t>Wniosek dotyczy</w:t>
            </w:r>
            <w:r w:rsidR="00795745" w:rsidRPr="00795745">
              <w:rPr>
                <w:b/>
                <w:bCs/>
                <w:noProof/>
                <w:webHidden/>
              </w:rPr>
              <w:tab/>
            </w:r>
            <w:r w:rsidR="00795745" w:rsidRPr="00795745">
              <w:rPr>
                <w:b/>
                <w:bCs/>
                <w:noProof/>
                <w:webHidden/>
              </w:rPr>
              <w:fldChar w:fldCharType="begin"/>
            </w:r>
            <w:r w:rsidR="00795745" w:rsidRPr="00795745">
              <w:rPr>
                <w:b/>
                <w:bCs/>
                <w:noProof/>
                <w:webHidden/>
              </w:rPr>
              <w:instrText xml:space="preserve"> PAGEREF _Toc155952144 \h </w:instrText>
            </w:r>
            <w:r w:rsidR="00795745" w:rsidRPr="00795745">
              <w:rPr>
                <w:b/>
                <w:bCs/>
                <w:noProof/>
                <w:webHidden/>
              </w:rPr>
            </w:r>
            <w:r w:rsidR="00795745" w:rsidRPr="00795745">
              <w:rPr>
                <w:b/>
                <w:bCs/>
                <w:noProof/>
                <w:webHidden/>
              </w:rPr>
              <w:fldChar w:fldCharType="separate"/>
            </w:r>
            <w:r w:rsidR="00795745" w:rsidRPr="00795745">
              <w:rPr>
                <w:b/>
                <w:bCs/>
                <w:noProof/>
                <w:webHidden/>
              </w:rPr>
              <w:t>3</w:t>
            </w:r>
            <w:r w:rsidR="00795745" w:rsidRPr="00795745">
              <w:rPr>
                <w:b/>
                <w:bCs/>
                <w:noProof/>
                <w:webHidden/>
              </w:rPr>
              <w:fldChar w:fldCharType="end"/>
            </w:r>
          </w:hyperlink>
        </w:p>
        <w:p w14:paraId="672E7362" w14:textId="1A0F93FF" w:rsidR="00795745" w:rsidRPr="00795745" w:rsidRDefault="00BB0761" w:rsidP="00795745">
          <w:pPr>
            <w:pStyle w:val="TOC2"/>
            <w:ind w:right="1183"/>
            <w:rPr>
              <w:rFonts w:asciiTheme="minorHAnsi" w:eastAsiaTheme="minorEastAsia" w:hAnsiTheme="minorHAnsi" w:cstheme="minorBidi"/>
              <w:b/>
              <w:bCs/>
              <w:noProof/>
              <w:sz w:val="22"/>
              <w:lang w:val="en-IE" w:eastAsia="ko-KR"/>
            </w:rPr>
          </w:pPr>
          <w:hyperlink w:anchor="_Toc155952145" w:history="1">
            <w:r w:rsidR="00795745" w:rsidRPr="00795745">
              <w:rPr>
                <w:rStyle w:val="Hyperlink"/>
                <w:b/>
                <w:bCs/>
                <w:noProof/>
              </w:rPr>
              <w:t>1.4.</w:t>
            </w:r>
            <w:r w:rsidR="00795745" w:rsidRPr="00795745">
              <w:rPr>
                <w:rFonts w:asciiTheme="minorHAnsi" w:eastAsiaTheme="minorEastAsia" w:hAnsiTheme="minorHAnsi" w:cstheme="minorBidi"/>
                <w:b/>
                <w:bCs/>
                <w:noProof/>
                <w:sz w:val="22"/>
                <w:lang w:val="en-IE" w:eastAsia="ko-KR"/>
              </w:rPr>
              <w:tab/>
            </w:r>
            <w:r w:rsidR="00795745" w:rsidRPr="00795745">
              <w:rPr>
                <w:rStyle w:val="Hyperlink"/>
                <w:b/>
                <w:bCs/>
                <w:noProof/>
              </w:rPr>
              <w:t>Cel(e)</w:t>
            </w:r>
            <w:r w:rsidR="00795745" w:rsidRPr="00795745">
              <w:rPr>
                <w:b/>
                <w:bCs/>
                <w:noProof/>
                <w:webHidden/>
              </w:rPr>
              <w:tab/>
            </w:r>
            <w:r w:rsidR="00795745" w:rsidRPr="00795745">
              <w:rPr>
                <w:b/>
                <w:bCs/>
                <w:noProof/>
                <w:webHidden/>
              </w:rPr>
              <w:fldChar w:fldCharType="begin"/>
            </w:r>
            <w:r w:rsidR="00795745" w:rsidRPr="00795745">
              <w:rPr>
                <w:b/>
                <w:bCs/>
                <w:noProof/>
                <w:webHidden/>
              </w:rPr>
              <w:instrText xml:space="preserve"> PAGEREF _Toc155952145 \h </w:instrText>
            </w:r>
            <w:r w:rsidR="00795745" w:rsidRPr="00795745">
              <w:rPr>
                <w:b/>
                <w:bCs/>
                <w:noProof/>
                <w:webHidden/>
              </w:rPr>
            </w:r>
            <w:r w:rsidR="00795745" w:rsidRPr="00795745">
              <w:rPr>
                <w:b/>
                <w:bCs/>
                <w:noProof/>
                <w:webHidden/>
              </w:rPr>
              <w:fldChar w:fldCharType="separate"/>
            </w:r>
            <w:r w:rsidR="00795745" w:rsidRPr="00795745">
              <w:rPr>
                <w:b/>
                <w:bCs/>
                <w:noProof/>
                <w:webHidden/>
              </w:rPr>
              <w:t>3</w:t>
            </w:r>
            <w:r w:rsidR="00795745" w:rsidRPr="00795745">
              <w:rPr>
                <w:b/>
                <w:bCs/>
                <w:noProof/>
                <w:webHidden/>
              </w:rPr>
              <w:fldChar w:fldCharType="end"/>
            </w:r>
          </w:hyperlink>
        </w:p>
        <w:p w14:paraId="7C0D5515" w14:textId="7DE1D1DC" w:rsidR="00795745" w:rsidRPr="00795745" w:rsidRDefault="00BB0761" w:rsidP="00795745">
          <w:pPr>
            <w:pStyle w:val="TOC3"/>
            <w:ind w:right="1183"/>
            <w:rPr>
              <w:rFonts w:asciiTheme="minorHAnsi" w:eastAsiaTheme="minorEastAsia" w:hAnsiTheme="minorHAnsi" w:cstheme="minorBidi"/>
              <w:i/>
              <w:iCs/>
              <w:noProof/>
              <w:sz w:val="22"/>
              <w:lang w:val="en-IE" w:eastAsia="ko-KR"/>
            </w:rPr>
          </w:pPr>
          <w:hyperlink w:anchor="_Toc155952146" w:history="1">
            <w:r w:rsidR="00795745" w:rsidRPr="00795745">
              <w:rPr>
                <w:rStyle w:val="Hyperlink"/>
                <w:i/>
                <w:iCs/>
                <w:noProof/>
              </w:rPr>
              <w:t>1.4.1.</w:t>
            </w:r>
            <w:r w:rsidR="00795745" w:rsidRPr="00795745">
              <w:rPr>
                <w:rFonts w:asciiTheme="minorHAnsi" w:eastAsiaTheme="minorEastAsia" w:hAnsiTheme="minorHAnsi" w:cstheme="minorBidi"/>
                <w:i/>
                <w:iCs/>
                <w:noProof/>
                <w:sz w:val="22"/>
                <w:lang w:val="en-IE" w:eastAsia="ko-KR"/>
              </w:rPr>
              <w:tab/>
            </w:r>
            <w:r w:rsidR="00795745" w:rsidRPr="00795745">
              <w:rPr>
                <w:rStyle w:val="Hyperlink"/>
                <w:i/>
                <w:iCs/>
                <w:noProof/>
              </w:rPr>
              <w:t>Cel(e) ogólny(e)</w:t>
            </w:r>
            <w:r w:rsidR="00795745" w:rsidRPr="00795745">
              <w:rPr>
                <w:i/>
                <w:iCs/>
                <w:noProof/>
                <w:webHidden/>
              </w:rPr>
              <w:tab/>
            </w:r>
            <w:r w:rsidR="00795745" w:rsidRPr="00795745">
              <w:rPr>
                <w:i/>
                <w:iCs/>
                <w:noProof/>
                <w:webHidden/>
              </w:rPr>
              <w:fldChar w:fldCharType="begin"/>
            </w:r>
            <w:r w:rsidR="00795745" w:rsidRPr="00795745">
              <w:rPr>
                <w:i/>
                <w:iCs/>
                <w:noProof/>
                <w:webHidden/>
              </w:rPr>
              <w:instrText xml:space="preserve"> PAGEREF _Toc155952146 \h </w:instrText>
            </w:r>
            <w:r w:rsidR="00795745" w:rsidRPr="00795745">
              <w:rPr>
                <w:i/>
                <w:iCs/>
                <w:noProof/>
                <w:webHidden/>
              </w:rPr>
            </w:r>
            <w:r w:rsidR="00795745" w:rsidRPr="00795745">
              <w:rPr>
                <w:i/>
                <w:iCs/>
                <w:noProof/>
                <w:webHidden/>
              </w:rPr>
              <w:fldChar w:fldCharType="separate"/>
            </w:r>
            <w:r w:rsidR="00795745" w:rsidRPr="00795745">
              <w:rPr>
                <w:i/>
                <w:iCs/>
                <w:noProof/>
                <w:webHidden/>
              </w:rPr>
              <w:t>3</w:t>
            </w:r>
            <w:r w:rsidR="00795745" w:rsidRPr="00795745">
              <w:rPr>
                <w:i/>
                <w:iCs/>
                <w:noProof/>
                <w:webHidden/>
              </w:rPr>
              <w:fldChar w:fldCharType="end"/>
            </w:r>
          </w:hyperlink>
        </w:p>
        <w:p w14:paraId="268608B5" w14:textId="6D5092C7" w:rsidR="00795745" w:rsidRPr="00795745" w:rsidRDefault="00BB0761" w:rsidP="00795745">
          <w:pPr>
            <w:pStyle w:val="TOC3"/>
            <w:ind w:right="1183"/>
            <w:rPr>
              <w:rFonts w:asciiTheme="minorHAnsi" w:eastAsiaTheme="minorEastAsia" w:hAnsiTheme="minorHAnsi" w:cstheme="minorBidi"/>
              <w:i/>
              <w:iCs/>
              <w:noProof/>
              <w:sz w:val="22"/>
              <w:lang w:val="en-IE" w:eastAsia="ko-KR"/>
            </w:rPr>
          </w:pPr>
          <w:hyperlink w:anchor="_Toc155952147" w:history="1">
            <w:r w:rsidR="00795745" w:rsidRPr="00795745">
              <w:rPr>
                <w:rStyle w:val="Hyperlink"/>
                <w:i/>
                <w:iCs/>
                <w:noProof/>
              </w:rPr>
              <w:t>1.4.2.</w:t>
            </w:r>
            <w:r w:rsidR="00795745" w:rsidRPr="00795745">
              <w:rPr>
                <w:rFonts w:asciiTheme="minorHAnsi" w:eastAsiaTheme="minorEastAsia" w:hAnsiTheme="minorHAnsi" w:cstheme="minorBidi"/>
                <w:i/>
                <w:iCs/>
                <w:noProof/>
                <w:sz w:val="22"/>
                <w:lang w:val="en-IE" w:eastAsia="ko-KR"/>
              </w:rPr>
              <w:tab/>
            </w:r>
            <w:r w:rsidR="00795745" w:rsidRPr="00795745">
              <w:rPr>
                <w:rStyle w:val="Hyperlink"/>
                <w:i/>
                <w:iCs/>
                <w:noProof/>
              </w:rPr>
              <w:t>Cel(e) szczegółowy(e)</w:t>
            </w:r>
            <w:r w:rsidR="00795745" w:rsidRPr="00795745">
              <w:rPr>
                <w:i/>
                <w:iCs/>
                <w:noProof/>
                <w:webHidden/>
              </w:rPr>
              <w:tab/>
            </w:r>
            <w:r w:rsidR="00795745" w:rsidRPr="00795745">
              <w:rPr>
                <w:i/>
                <w:iCs/>
                <w:noProof/>
                <w:webHidden/>
              </w:rPr>
              <w:fldChar w:fldCharType="begin"/>
            </w:r>
            <w:r w:rsidR="00795745" w:rsidRPr="00795745">
              <w:rPr>
                <w:i/>
                <w:iCs/>
                <w:noProof/>
                <w:webHidden/>
              </w:rPr>
              <w:instrText xml:space="preserve"> PAGEREF _Toc155952147 \h </w:instrText>
            </w:r>
            <w:r w:rsidR="00795745" w:rsidRPr="00795745">
              <w:rPr>
                <w:i/>
                <w:iCs/>
                <w:noProof/>
                <w:webHidden/>
              </w:rPr>
            </w:r>
            <w:r w:rsidR="00795745" w:rsidRPr="00795745">
              <w:rPr>
                <w:i/>
                <w:iCs/>
                <w:noProof/>
                <w:webHidden/>
              </w:rPr>
              <w:fldChar w:fldCharType="separate"/>
            </w:r>
            <w:r w:rsidR="00795745" w:rsidRPr="00795745">
              <w:rPr>
                <w:i/>
                <w:iCs/>
                <w:noProof/>
                <w:webHidden/>
              </w:rPr>
              <w:t>4</w:t>
            </w:r>
            <w:r w:rsidR="00795745" w:rsidRPr="00795745">
              <w:rPr>
                <w:i/>
                <w:iCs/>
                <w:noProof/>
                <w:webHidden/>
              </w:rPr>
              <w:fldChar w:fldCharType="end"/>
            </w:r>
          </w:hyperlink>
        </w:p>
        <w:p w14:paraId="7F08C7D0" w14:textId="4C1B02AD" w:rsidR="00795745" w:rsidRPr="00795745" w:rsidRDefault="00BB0761" w:rsidP="00795745">
          <w:pPr>
            <w:pStyle w:val="TOC3"/>
            <w:ind w:right="1183"/>
            <w:rPr>
              <w:rFonts w:asciiTheme="minorHAnsi" w:eastAsiaTheme="minorEastAsia" w:hAnsiTheme="minorHAnsi" w:cstheme="minorBidi"/>
              <w:i/>
              <w:iCs/>
              <w:noProof/>
              <w:sz w:val="22"/>
              <w:lang w:val="en-IE" w:eastAsia="ko-KR"/>
            </w:rPr>
          </w:pPr>
          <w:hyperlink w:anchor="_Toc155952148" w:history="1">
            <w:r w:rsidR="00795745" w:rsidRPr="00795745">
              <w:rPr>
                <w:rStyle w:val="Hyperlink"/>
                <w:i/>
                <w:iCs/>
                <w:noProof/>
              </w:rPr>
              <w:t>1.4.3.</w:t>
            </w:r>
            <w:r w:rsidR="00795745" w:rsidRPr="00795745">
              <w:rPr>
                <w:rFonts w:asciiTheme="minorHAnsi" w:eastAsiaTheme="minorEastAsia" w:hAnsiTheme="minorHAnsi" w:cstheme="minorBidi"/>
                <w:i/>
                <w:iCs/>
                <w:noProof/>
                <w:sz w:val="22"/>
                <w:lang w:val="en-IE" w:eastAsia="ko-KR"/>
              </w:rPr>
              <w:tab/>
            </w:r>
            <w:r w:rsidR="00795745" w:rsidRPr="00795745">
              <w:rPr>
                <w:rStyle w:val="Hyperlink"/>
                <w:i/>
                <w:iCs/>
                <w:noProof/>
              </w:rPr>
              <w:t>Oczekiwane wyniki i wpływ</w:t>
            </w:r>
            <w:r w:rsidR="00795745" w:rsidRPr="00795745">
              <w:rPr>
                <w:i/>
                <w:iCs/>
                <w:noProof/>
                <w:webHidden/>
              </w:rPr>
              <w:tab/>
            </w:r>
            <w:r w:rsidR="00795745" w:rsidRPr="00795745">
              <w:rPr>
                <w:i/>
                <w:iCs/>
                <w:noProof/>
                <w:webHidden/>
              </w:rPr>
              <w:fldChar w:fldCharType="begin"/>
            </w:r>
            <w:r w:rsidR="00795745" w:rsidRPr="00795745">
              <w:rPr>
                <w:i/>
                <w:iCs/>
                <w:noProof/>
                <w:webHidden/>
              </w:rPr>
              <w:instrText xml:space="preserve"> PAGEREF _Toc155952148 \h </w:instrText>
            </w:r>
            <w:r w:rsidR="00795745" w:rsidRPr="00795745">
              <w:rPr>
                <w:i/>
                <w:iCs/>
                <w:noProof/>
                <w:webHidden/>
              </w:rPr>
            </w:r>
            <w:r w:rsidR="00795745" w:rsidRPr="00795745">
              <w:rPr>
                <w:i/>
                <w:iCs/>
                <w:noProof/>
                <w:webHidden/>
              </w:rPr>
              <w:fldChar w:fldCharType="separate"/>
            </w:r>
            <w:r w:rsidR="00795745" w:rsidRPr="00795745">
              <w:rPr>
                <w:i/>
                <w:iCs/>
                <w:noProof/>
                <w:webHidden/>
              </w:rPr>
              <w:t>10</w:t>
            </w:r>
            <w:r w:rsidR="00795745" w:rsidRPr="00795745">
              <w:rPr>
                <w:i/>
                <w:iCs/>
                <w:noProof/>
                <w:webHidden/>
              </w:rPr>
              <w:fldChar w:fldCharType="end"/>
            </w:r>
          </w:hyperlink>
        </w:p>
        <w:p w14:paraId="0EE68262" w14:textId="21A9F220" w:rsidR="00795745" w:rsidRPr="00795745" w:rsidRDefault="00BB0761" w:rsidP="00795745">
          <w:pPr>
            <w:pStyle w:val="TOC3"/>
            <w:ind w:right="1183"/>
            <w:rPr>
              <w:rFonts w:asciiTheme="minorHAnsi" w:eastAsiaTheme="minorEastAsia" w:hAnsiTheme="minorHAnsi" w:cstheme="minorBidi"/>
              <w:i/>
              <w:iCs/>
              <w:noProof/>
              <w:sz w:val="22"/>
              <w:lang w:val="en-IE" w:eastAsia="ko-KR"/>
            </w:rPr>
          </w:pPr>
          <w:hyperlink w:anchor="_Toc155952149" w:history="1">
            <w:r w:rsidR="00795745" w:rsidRPr="00795745">
              <w:rPr>
                <w:rStyle w:val="Hyperlink"/>
                <w:i/>
                <w:iCs/>
                <w:noProof/>
              </w:rPr>
              <w:t>1.4.4.</w:t>
            </w:r>
            <w:r w:rsidR="00795745" w:rsidRPr="00795745">
              <w:rPr>
                <w:rFonts w:asciiTheme="minorHAnsi" w:eastAsiaTheme="minorEastAsia" w:hAnsiTheme="minorHAnsi" w:cstheme="minorBidi"/>
                <w:i/>
                <w:iCs/>
                <w:noProof/>
                <w:sz w:val="22"/>
                <w:lang w:val="en-IE" w:eastAsia="ko-KR"/>
              </w:rPr>
              <w:tab/>
            </w:r>
            <w:r w:rsidR="00795745" w:rsidRPr="00795745">
              <w:rPr>
                <w:rStyle w:val="Hyperlink"/>
                <w:i/>
                <w:iCs/>
                <w:noProof/>
              </w:rPr>
              <w:t>Wskaźniki dotyczące realizacji celów</w:t>
            </w:r>
            <w:r w:rsidR="00795745" w:rsidRPr="00795745">
              <w:rPr>
                <w:i/>
                <w:iCs/>
                <w:noProof/>
                <w:webHidden/>
              </w:rPr>
              <w:tab/>
            </w:r>
            <w:r w:rsidR="00795745" w:rsidRPr="00795745">
              <w:rPr>
                <w:i/>
                <w:iCs/>
                <w:noProof/>
                <w:webHidden/>
              </w:rPr>
              <w:fldChar w:fldCharType="begin"/>
            </w:r>
            <w:r w:rsidR="00795745" w:rsidRPr="00795745">
              <w:rPr>
                <w:i/>
                <w:iCs/>
                <w:noProof/>
                <w:webHidden/>
              </w:rPr>
              <w:instrText xml:space="preserve"> PAGEREF _Toc155952149 \h </w:instrText>
            </w:r>
            <w:r w:rsidR="00795745" w:rsidRPr="00795745">
              <w:rPr>
                <w:i/>
                <w:iCs/>
                <w:noProof/>
                <w:webHidden/>
              </w:rPr>
            </w:r>
            <w:r w:rsidR="00795745" w:rsidRPr="00795745">
              <w:rPr>
                <w:i/>
                <w:iCs/>
                <w:noProof/>
                <w:webHidden/>
              </w:rPr>
              <w:fldChar w:fldCharType="separate"/>
            </w:r>
            <w:r w:rsidR="00795745" w:rsidRPr="00795745">
              <w:rPr>
                <w:i/>
                <w:iCs/>
                <w:noProof/>
                <w:webHidden/>
              </w:rPr>
              <w:t>10</w:t>
            </w:r>
            <w:r w:rsidR="00795745" w:rsidRPr="00795745">
              <w:rPr>
                <w:i/>
                <w:iCs/>
                <w:noProof/>
                <w:webHidden/>
              </w:rPr>
              <w:fldChar w:fldCharType="end"/>
            </w:r>
          </w:hyperlink>
        </w:p>
        <w:p w14:paraId="3C249AFB" w14:textId="34DF0690" w:rsidR="00795745" w:rsidRPr="00795745" w:rsidRDefault="00BB0761" w:rsidP="00795745">
          <w:pPr>
            <w:pStyle w:val="TOC2"/>
            <w:ind w:right="1183"/>
            <w:rPr>
              <w:rFonts w:asciiTheme="minorHAnsi" w:eastAsiaTheme="minorEastAsia" w:hAnsiTheme="minorHAnsi" w:cstheme="minorBidi"/>
              <w:b/>
              <w:bCs/>
              <w:noProof/>
              <w:sz w:val="22"/>
              <w:lang w:val="en-IE" w:eastAsia="ko-KR"/>
            </w:rPr>
          </w:pPr>
          <w:hyperlink w:anchor="_Toc155952150" w:history="1">
            <w:r w:rsidR="00795745" w:rsidRPr="00795745">
              <w:rPr>
                <w:rStyle w:val="Hyperlink"/>
                <w:b/>
                <w:bCs/>
                <w:noProof/>
              </w:rPr>
              <w:t>1.5.</w:t>
            </w:r>
            <w:r w:rsidR="00795745" w:rsidRPr="00795745">
              <w:rPr>
                <w:rFonts w:asciiTheme="minorHAnsi" w:eastAsiaTheme="minorEastAsia" w:hAnsiTheme="minorHAnsi" w:cstheme="minorBidi"/>
                <w:b/>
                <w:bCs/>
                <w:noProof/>
                <w:sz w:val="22"/>
                <w:lang w:val="en-IE" w:eastAsia="ko-KR"/>
              </w:rPr>
              <w:tab/>
            </w:r>
            <w:r w:rsidR="00795745" w:rsidRPr="00795745">
              <w:rPr>
                <w:rStyle w:val="Hyperlink"/>
                <w:b/>
                <w:bCs/>
                <w:noProof/>
              </w:rPr>
              <w:t>Uzasadnienie wniosku/inicjatywy</w:t>
            </w:r>
            <w:r w:rsidR="00795745" w:rsidRPr="00795745">
              <w:rPr>
                <w:b/>
                <w:bCs/>
                <w:noProof/>
                <w:webHidden/>
              </w:rPr>
              <w:tab/>
            </w:r>
            <w:r w:rsidR="00795745" w:rsidRPr="00795745">
              <w:rPr>
                <w:b/>
                <w:bCs/>
                <w:noProof/>
                <w:webHidden/>
              </w:rPr>
              <w:fldChar w:fldCharType="begin"/>
            </w:r>
            <w:r w:rsidR="00795745" w:rsidRPr="00795745">
              <w:rPr>
                <w:b/>
                <w:bCs/>
                <w:noProof/>
                <w:webHidden/>
              </w:rPr>
              <w:instrText xml:space="preserve"> PAGEREF _Toc155952150 \h </w:instrText>
            </w:r>
            <w:r w:rsidR="00795745" w:rsidRPr="00795745">
              <w:rPr>
                <w:b/>
                <w:bCs/>
                <w:noProof/>
                <w:webHidden/>
              </w:rPr>
            </w:r>
            <w:r w:rsidR="00795745" w:rsidRPr="00795745">
              <w:rPr>
                <w:b/>
                <w:bCs/>
                <w:noProof/>
                <w:webHidden/>
              </w:rPr>
              <w:fldChar w:fldCharType="separate"/>
            </w:r>
            <w:r w:rsidR="00795745" w:rsidRPr="00795745">
              <w:rPr>
                <w:b/>
                <w:bCs/>
                <w:noProof/>
                <w:webHidden/>
              </w:rPr>
              <w:t>13</w:t>
            </w:r>
            <w:r w:rsidR="00795745" w:rsidRPr="00795745">
              <w:rPr>
                <w:b/>
                <w:bCs/>
                <w:noProof/>
                <w:webHidden/>
              </w:rPr>
              <w:fldChar w:fldCharType="end"/>
            </w:r>
          </w:hyperlink>
        </w:p>
        <w:p w14:paraId="635A5D8F" w14:textId="1705E4B5" w:rsidR="00795745" w:rsidRPr="00795745" w:rsidRDefault="00BB0761" w:rsidP="00795745">
          <w:pPr>
            <w:pStyle w:val="TOC3"/>
            <w:ind w:right="1183"/>
            <w:rPr>
              <w:rFonts w:asciiTheme="minorHAnsi" w:eastAsiaTheme="minorEastAsia" w:hAnsiTheme="minorHAnsi" w:cstheme="minorBidi"/>
              <w:i/>
              <w:iCs/>
              <w:noProof/>
              <w:sz w:val="22"/>
              <w:lang w:val="en-IE" w:eastAsia="ko-KR"/>
            </w:rPr>
          </w:pPr>
          <w:hyperlink w:anchor="_Toc155952151" w:history="1">
            <w:r w:rsidR="00795745" w:rsidRPr="00795745">
              <w:rPr>
                <w:rStyle w:val="Hyperlink"/>
                <w:i/>
                <w:iCs/>
                <w:noProof/>
              </w:rPr>
              <w:t>1.5.1.</w:t>
            </w:r>
            <w:r w:rsidR="00795745" w:rsidRPr="00795745">
              <w:rPr>
                <w:rFonts w:asciiTheme="minorHAnsi" w:eastAsiaTheme="minorEastAsia" w:hAnsiTheme="minorHAnsi" w:cstheme="minorBidi"/>
                <w:i/>
                <w:iCs/>
                <w:noProof/>
                <w:sz w:val="22"/>
                <w:lang w:val="en-IE" w:eastAsia="ko-KR"/>
              </w:rPr>
              <w:tab/>
            </w:r>
            <w:r w:rsidR="00795745" w:rsidRPr="00795745">
              <w:rPr>
                <w:rStyle w:val="Hyperlink"/>
                <w:i/>
                <w:iCs/>
                <w:noProof/>
              </w:rPr>
              <w:t>Potrzeby, które należy zaspokoić w perspektywie krótko- lub długoterminowej, w tym szczegółowy terminarz przebiegu realizacji inicjatywy</w:t>
            </w:r>
            <w:r w:rsidR="00795745" w:rsidRPr="00795745">
              <w:rPr>
                <w:i/>
                <w:iCs/>
                <w:noProof/>
                <w:webHidden/>
              </w:rPr>
              <w:tab/>
            </w:r>
            <w:r w:rsidR="00795745" w:rsidRPr="00795745">
              <w:rPr>
                <w:i/>
                <w:iCs/>
                <w:noProof/>
                <w:webHidden/>
              </w:rPr>
              <w:fldChar w:fldCharType="begin"/>
            </w:r>
            <w:r w:rsidR="00795745" w:rsidRPr="00795745">
              <w:rPr>
                <w:i/>
                <w:iCs/>
                <w:noProof/>
                <w:webHidden/>
              </w:rPr>
              <w:instrText xml:space="preserve"> PAGEREF _Toc155952151 \h </w:instrText>
            </w:r>
            <w:r w:rsidR="00795745" w:rsidRPr="00795745">
              <w:rPr>
                <w:i/>
                <w:iCs/>
                <w:noProof/>
                <w:webHidden/>
              </w:rPr>
            </w:r>
            <w:r w:rsidR="00795745" w:rsidRPr="00795745">
              <w:rPr>
                <w:i/>
                <w:iCs/>
                <w:noProof/>
                <w:webHidden/>
              </w:rPr>
              <w:fldChar w:fldCharType="separate"/>
            </w:r>
            <w:r w:rsidR="00795745" w:rsidRPr="00795745">
              <w:rPr>
                <w:i/>
                <w:iCs/>
                <w:noProof/>
                <w:webHidden/>
              </w:rPr>
              <w:t>13</w:t>
            </w:r>
            <w:r w:rsidR="00795745" w:rsidRPr="00795745">
              <w:rPr>
                <w:i/>
                <w:iCs/>
                <w:noProof/>
                <w:webHidden/>
              </w:rPr>
              <w:fldChar w:fldCharType="end"/>
            </w:r>
          </w:hyperlink>
        </w:p>
        <w:p w14:paraId="1CC410A4" w14:textId="0922BE20" w:rsidR="00795745" w:rsidRPr="00795745" w:rsidRDefault="00BB0761" w:rsidP="00795745">
          <w:pPr>
            <w:pStyle w:val="TOC3"/>
            <w:ind w:right="1183"/>
            <w:rPr>
              <w:rFonts w:asciiTheme="minorHAnsi" w:eastAsiaTheme="minorEastAsia" w:hAnsiTheme="minorHAnsi" w:cstheme="minorBidi"/>
              <w:i/>
              <w:iCs/>
              <w:noProof/>
              <w:sz w:val="22"/>
              <w:lang w:val="en-IE" w:eastAsia="ko-KR"/>
            </w:rPr>
          </w:pPr>
          <w:hyperlink w:anchor="_Toc155952152" w:history="1">
            <w:r w:rsidR="00795745" w:rsidRPr="00795745">
              <w:rPr>
                <w:rStyle w:val="Hyperlink"/>
                <w:i/>
                <w:iCs/>
                <w:noProof/>
              </w:rPr>
              <w:t>1.5.2.</w:t>
            </w:r>
            <w:r w:rsidR="00795745" w:rsidRPr="00795745">
              <w:rPr>
                <w:rFonts w:asciiTheme="minorHAnsi" w:eastAsiaTheme="minorEastAsia" w:hAnsiTheme="minorHAnsi" w:cstheme="minorBidi"/>
                <w:i/>
                <w:iCs/>
                <w:noProof/>
                <w:sz w:val="22"/>
                <w:lang w:val="en-IE" w:eastAsia="ko-KR"/>
              </w:rPr>
              <w:tab/>
            </w:r>
            <w:r w:rsidR="00795745" w:rsidRPr="00795745">
              <w:rPr>
                <w:rStyle w:val="Hyperlink"/>
                <w:i/>
                <w:iCs/>
                <w:noProof/>
              </w:rPr>
              <w:t>Wartość dodana z tytułu zaangażowania Unii Europejskiej (może wynikać z różnych czynników, na przykład korzyści koordynacyjnych, pewności prawa, większej efektywności lub komplementarności). Na potrzeby tego punktu „wartość dodaną z tytułu zaangażowania Unii” należy rozumieć jako wartość wynikającą z unijnej interwencji, wykraczającą poza wartość, która zostałaby wytworzona przez same państwa członkowskie.</w:t>
            </w:r>
            <w:r w:rsidR="00795745" w:rsidRPr="00795745">
              <w:rPr>
                <w:i/>
                <w:iCs/>
                <w:noProof/>
                <w:webHidden/>
              </w:rPr>
              <w:tab/>
            </w:r>
            <w:r w:rsidR="00795745" w:rsidRPr="00795745">
              <w:rPr>
                <w:i/>
                <w:iCs/>
                <w:noProof/>
                <w:webHidden/>
              </w:rPr>
              <w:fldChar w:fldCharType="begin"/>
            </w:r>
            <w:r w:rsidR="00795745" w:rsidRPr="00795745">
              <w:rPr>
                <w:i/>
                <w:iCs/>
                <w:noProof/>
                <w:webHidden/>
              </w:rPr>
              <w:instrText xml:space="preserve"> PAGEREF _Toc155952152 \h </w:instrText>
            </w:r>
            <w:r w:rsidR="00795745" w:rsidRPr="00795745">
              <w:rPr>
                <w:i/>
                <w:iCs/>
                <w:noProof/>
                <w:webHidden/>
              </w:rPr>
            </w:r>
            <w:r w:rsidR="00795745" w:rsidRPr="00795745">
              <w:rPr>
                <w:i/>
                <w:iCs/>
                <w:noProof/>
                <w:webHidden/>
              </w:rPr>
              <w:fldChar w:fldCharType="separate"/>
            </w:r>
            <w:r w:rsidR="00795745" w:rsidRPr="00795745">
              <w:rPr>
                <w:i/>
                <w:iCs/>
                <w:noProof/>
                <w:webHidden/>
              </w:rPr>
              <w:t>14</w:t>
            </w:r>
            <w:r w:rsidR="00795745" w:rsidRPr="00795745">
              <w:rPr>
                <w:i/>
                <w:iCs/>
                <w:noProof/>
                <w:webHidden/>
              </w:rPr>
              <w:fldChar w:fldCharType="end"/>
            </w:r>
          </w:hyperlink>
        </w:p>
        <w:p w14:paraId="28BF2751" w14:textId="436ECBDC" w:rsidR="00795745" w:rsidRPr="00795745" w:rsidRDefault="00BB0761" w:rsidP="00795745">
          <w:pPr>
            <w:pStyle w:val="TOC3"/>
            <w:ind w:right="1183"/>
            <w:rPr>
              <w:rFonts w:asciiTheme="minorHAnsi" w:eastAsiaTheme="minorEastAsia" w:hAnsiTheme="minorHAnsi" w:cstheme="minorBidi"/>
              <w:i/>
              <w:iCs/>
              <w:noProof/>
              <w:sz w:val="22"/>
              <w:lang w:val="en-IE" w:eastAsia="ko-KR"/>
            </w:rPr>
          </w:pPr>
          <w:hyperlink w:anchor="_Toc155952153" w:history="1">
            <w:r w:rsidR="00795745" w:rsidRPr="00795745">
              <w:rPr>
                <w:rStyle w:val="Hyperlink"/>
                <w:i/>
                <w:iCs/>
                <w:noProof/>
              </w:rPr>
              <w:t>1.5.3.</w:t>
            </w:r>
            <w:r w:rsidR="00795745" w:rsidRPr="00795745">
              <w:rPr>
                <w:rFonts w:asciiTheme="minorHAnsi" w:eastAsiaTheme="minorEastAsia" w:hAnsiTheme="minorHAnsi" w:cstheme="minorBidi"/>
                <w:i/>
                <w:iCs/>
                <w:noProof/>
                <w:sz w:val="22"/>
                <w:lang w:val="en-IE" w:eastAsia="ko-KR"/>
              </w:rPr>
              <w:tab/>
            </w:r>
            <w:r w:rsidR="00795745" w:rsidRPr="00795745">
              <w:rPr>
                <w:rStyle w:val="Hyperlink"/>
                <w:i/>
                <w:iCs/>
                <w:noProof/>
              </w:rPr>
              <w:t>Główne wnioski wyciągnięte z podobnych działań</w:t>
            </w:r>
            <w:r w:rsidR="00795745" w:rsidRPr="00795745">
              <w:rPr>
                <w:i/>
                <w:iCs/>
                <w:noProof/>
                <w:webHidden/>
              </w:rPr>
              <w:tab/>
            </w:r>
            <w:r w:rsidR="00795745" w:rsidRPr="00795745">
              <w:rPr>
                <w:i/>
                <w:iCs/>
                <w:noProof/>
                <w:webHidden/>
              </w:rPr>
              <w:fldChar w:fldCharType="begin"/>
            </w:r>
            <w:r w:rsidR="00795745" w:rsidRPr="00795745">
              <w:rPr>
                <w:i/>
                <w:iCs/>
                <w:noProof/>
                <w:webHidden/>
              </w:rPr>
              <w:instrText xml:space="preserve"> PAGEREF _Toc155952153 \h </w:instrText>
            </w:r>
            <w:r w:rsidR="00795745" w:rsidRPr="00795745">
              <w:rPr>
                <w:i/>
                <w:iCs/>
                <w:noProof/>
                <w:webHidden/>
              </w:rPr>
            </w:r>
            <w:r w:rsidR="00795745" w:rsidRPr="00795745">
              <w:rPr>
                <w:i/>
                <w:iCs/>
                <w:noProof/>
                <w:webHidden/>
              </w:rPr>
              <w:fldChar w:fldCharType="separate"/>
            </w:r>
            <w:r w:rsidR="00795745" w:rsidRPr="00795745">
              <w:rPr>
                <w:i/>
                <w:iCs/>
                <w:noProof/>
                <w:webHidden/>
              </w:rPr>
              <w:t>15</w:t>
            </w:r>
            <w:r w:rsidR="00795745" w:rsidRPr="00795745">
              <w:rPr>
                <w:i/>
                <w:iCs/>
                <w:noProof/>
                <w:webHidden/>
              </w:rPr>
              <w:fldChar w:fldCharType="end"/>
            </w:r>
          </w:hyperlink>
        </w:p>
        <w:p w14:paraId="485409B2" w14:textId="203239C0" w:rsidR="00795745" w:rsidRPr="00795745" w:rsidRDefault="00BB0761" w:rsidP="00795745">
          <w:pPr>
            <w:pStyle w:val="TOC3"/>
            <w:ind w:right="1183"/>
            <w:rPr>
              <w:rFonts w:asciiTheme="minorHAnsi" w:eastAsiaTheme="minorEastAsia" w:hAnsiTheme="minorHAnsi" w:cstheme="minorBidi"/>
              <w:i/>
              <w:iCs/>
              <w:noProof/>
              <w:sz w:val="22"/>
              <w:lang w:val="en-IE" w:eastAsia="ko-KR"/>
            </w:rPr>
          </w:pPr>
          <w:hyperlink w:anchor="_Toc155952154" w:history="1">
            <w:r w:rsidR="00795745" w:rsidRPr="00795745">
              <w:rPr>
                <w:rStyle w:val="Hyperlink"/>
                <w:i/>
                <w:iCs/>
                <w:noProof/>
              </w:rPr>
              <w:t>1.5.4.</w:t>
            </w:r>
            <w:r w:rsidR="00795745" w:rsidRPr="00795745">
              <w:rPr>
                <w:rFonts w:asciiTheme="minorHAnsi" w:eastAsiaTheme="minorEastAsia" w:hAnsiTheme="minorHAnsi" w:cstheme="minorBidi"/>
                <w:i/>
                <w:iCs/>
                <w:noProof/>
                <w:sz w:val="22"/>
                <w:lang w:val="en-IE" w:eastAsia="ko-KR"/>
              </w:rPr>
              <w:tab/>
            </w:r>
            <w:r w:rsidR="00795745" w:rsidRPr="00795745">
              <w:rPr>
                <w:rStyle w:val="Hyperlink"/>
                <w:i/>
                <w:iCs/>
                <w:noProof/>
              </w:rPr>
              <w:t>Spójność z wieloletnimi ramami finansowymi oraz możliwa synergia z innymi właściwymi instrumentami</w:t>
            </w:r>
            <w:r w:rsidR="00795745" w:rsidRPr="00795745">
              <w:rPr>
                <w:i/>
                <w:iCs/>
                <w:noProof/>
                <w:webHidden/>
              </w:rPr>
              <w:tab/>
            </w:r>
            <w:r w:rsidR="00795745" w:rsidRPr="00795745">
              <w:rPr>
                <w:i/>
                <w:iCs/>
                <w:noProof/>
                <w:webHidden/>
              </w:rPr>
              <w:fldChar w:fldCharType="begin"/>
            </w:r>
            <w:r w:rsidR="00795745" w:rsidRPr="00795745">
              <w:rPr>
                <w:i/>
                <w:iCs/>
                <w:noProof/>
                <w:webHidden/>
              </w:rPr>
              <w:instrText xml:space="preserve"> PAGEREF _Toc155952154 \h </w:instrText>
            </w:r>
            <w:r w:rsidR="00795745" w:rsidRPr="00795745">
              <w:rPr>
                <w:i/>
                <w:iCs/>
                <w:noProof/>
                <w:webHidden/>
              </w:rPr>
            </w:r>
            <w:r w:rsidR="00795745" w:rsidRPr="00795745">
              <w:rPr>
                <w:i/>
                <w:iCs/>
                <w:noProof/>
                <w:webHidden/>
              </w:rPr>
              <w:fldChar w:fldCharType="separate"/>
            </w:r>
            <w:r w:rsidR="00795745" w:rsidRPr="00795745">
              <w:rPr>
                <w:i/>
                <w:iCs/>
                <w:noProof/>
                <w:webHidden/>
              </w:rPr>
              <w:t>15</w:t>
            </w:r>
            <w:r w:rsidR="00795745" w:rsidRPr="00795745">
              <w:rPr>
                <w:i/>
                <w:iCs/>
                <w:noProof/>
                <w:webHidden/>
              </w:rPr>
              <w:fldChar w:fldCharType="end"/>
            </w:r>
          </w:hyperlink>
        </w:p>
        <w:p w14:paraId="5B04BF23" w14:textId="6900A0FE" w:rsidR="00795745" w:rsidRPr="00795745" w:rsidRDefault="00BB0761" w:rsidP="00795745">
          <w:pPr>
            <w:pStyle w:val="TOC3"/>
            <w:ind w:right="1183"/>
            <w:rPr>
              <w:rFonts w:asciiTheme="minorHAnsi" w:eastAsiaTheme="minorEastAsia" w:hAnsiTheme="minorHAnsi" w:cstheme="minorBidi"/>
              <w:i/>
              <w:iCs/>
              <w:noProof/>
              <w:sz w:val="22"/>
              <w:lang w:val="en-IE" w:eastAsia="ko-KR"/>
            </w:rPr>
          </w:pPr>
          <w:hyperlink w:anchor="_Toc155952155" w:history="1">
            <w:r w:rsidR="00795745" w:rsidRPr="00795745">
              <w:rPr>
                <w:rStyle w:val="Hyperlink"/>
                <w:i/>
                <w:iCs/>
                <w:noProof/>
              </w:rPr>
              <w:t>1.5.5.</w:t>
            </w:r>
            <w:r w:rsidR="00795745" w:rsidRPr="00795745">
              <w:rPr>
                <w:rFonts w:asciiTheme="minorHAnsi" w:eastAsiaTheme="minorEastAsia" w:hAnsiTheme="minorHAnsi" w:cstheme="minorBidi"/>
                <w:i/>
                <w:iCs/>
                <w:noProof/>
                <w:sz w:val="22"/>
                <w:lang w:val="en-IE" w:eastAsia="ko-KR"/>
              </w:rPr>
              <w:tab/>
            </w:r>
            <w:r w:rsidR="00795745" w:rsidRPr="00795745">
              <w:rPr>
                <w:rStyle w:val="Hyperlink"/>
                <w:i/>
                <w:iCs/>
                <w:noProof/>
              </w:rPr>
              <w:t>Ocena różnych dostępnych możliwości finansowania, w tym zakresu przegrupowania środków</w:t>
            </w:r>
            <w:r w:rsidR="00795745" w:rsidRPr="00795745">
              <w:rPr>
                <w:i/>
                <w:iCs/>
                <w:noProof/>
                <w:webHidden/>
              </w:rPr>
              <w:tab/>
            </w:r>
            <w:r w:rsidR="00795745" w:rsidRPr="00795745">
              <w:rPr>
                <w:i/>
                <w:iCs/>
                <w:noProof/>
                <w:webHidden/>
              </w:rPr>
              <w:fldChar w:fldCharType="begin"/>
            </w:r>
            <w:r w:rsidR="00795745" w:rsidRPr="00795745">
              <w:rPr>
                <w:i/>
                <w:iCs/>
                <w:noProof/>
                <w:webHidden/>
              </w:rPr>
              <w:instrText xml:space="preserve"> PAGEREF _Toc155952155 \h </w:instrText>
            </w:r>
            <w:r w:rsidR="00795745" w:rsidRPr="00795745">
              <w:rPr>
                <w:i/>
                <w:iCs/>
                <w:noProof/>
                <w:webHidden/>
              </w:rPr>
            </w:r>
            <w:r w:rsidR="00795745" w:rsidRPr="00795745">
              <w:rPr>
                <w:i/>
                <w:iCs/>
                <w:noProof/>
                <w:webHidden/>
              </w:rPr>
              <w:fldChar w:fldCharType="separate"/>
            </w:r>
            <w:r w:rsidR="00795745" w:rsidRPr="00795745">
              <w:rPr>
                <w:i/>
                <w:iCs/>
                <w:noProof/>
                <w:webHidden/>
              </w:rPr>
              <w:t>16</w:t>
            </w:r>
            <w:r w:rsidR="00795745" w:rsidRPr="00795745">
              <w:rPr>
                <w:i/>
                <w:iCs/>
                <w:noProof/>
                <w:webHidden/>
              </w:rPr>
              <w:fldChar w:fldCharType="end"/>
            </w:r>
          </w:hyperlink>
        </w:p>
        <w:p w14:paraId="60259ADF" w14:textId="7BF97A68" w:rsidR="00795745" w:rsidRPr="00795745" w:rsidRDefault="00BB0761" w:rsidP="00795745">
          <w:pPr>
            <w:pStyle w:val="TOC2"/>
            <w:ind w:right="1183"/>
            <w:rPr>
              <w:rFonts w:asciiTheme="minorHAnsi" w:eastAsiaTheme="minorEastAsia" w:hAnsiTheme="minorHAnsi" w:cstheme="minorBidi"/>
              <w:b/>
              <w:bCs/>
              <w:noProof/>
              <w:sz w:val="22"/>
              <w:lang w:val="en-IE" w:eastAsia="ko-KR"/>
            </w:rPr>
          </w:pPr>
          <w:hyperlink w:anchor="_Toc155952156" w:history="1">
            <w:r w:rsidR="00795745" w:rsidRPr="00795745">
              <w:rPr>
                <w:rStyle w:val="Hyperlink"/>
                <w:b/>
                <w:bCs/>
                <w:noProof/>
              </w:rPr>
              <w:t>1.6.</w:t>
            </w:r>
            <w:r w:rsidR="00795745" w:rsidRPr="00795745">
              <w:rPr>
                <w:rFonts w:asciiTheme="minorHAnsi" w:eastAsiaTheme="minorEastAsia" w:hAnsiTheme="minorHAnsi" w:cstheme="minorBidi"/>
                <w:b/>
                <w:bCs/>
                <w:noProof/>
                <w:sz w:val="22"/>
                <w:lang w:val="en-IE" w:eastAsia="ko-KR"/>
              </w:rPr>
              <w:tab/>
            </w:r>
            <w:r w:rsidR="00795745" w:rsidRPr="00795745">
              <w:rPr>
                <w:rStyle w:val="Hyperlink"/>
                <w:b/>
                <w:bCs/>
                <w:noProof/>
              </w:rPr>
              <w:t>Czas trwania i wpływ finansowy wniosku/inicjatywy</w:t>
            </w:r>
            <w:r w:rsidR="00795745" w:rsidRPr="00795745">
              <w:rPr>
                <w:b/>
                <w:bCs/>
                <w:noProof/>
                <w:webHidden/>
              </w:rPr>
              <w:tab/>
            </w:r>
            <w:r w:rsidR="00795745" w:rsidRPr="00795745">
              <w:rPr>
                <w:b/>
                <w:bCs/>
                <w:noProof/>
                <w:webHidden/>
              </w:rPr>
              <w:fldChar w:fldCharType="begin"/>
            </w:r>
            <w:r w:rsidR="00795745" w:rsidRPr="00795745">
              <w:rPr>
                <w:b/>
                <w:bCs/>
                <w:noProof/>
                <w:webHidden/>
              </w:rPr>
              <w:instrText xml:space="preserve"> PAGEREF _Toc155952156 \h </w:instrText>
            </w:r>
            <w:r w:rsidR="00795745" w:rsidRPr="00795745">
              <w:rPr>
                <w:b/>
                <w:bCs/>
                <w:noProof/>
                <w:webHidden/>
              </w:rPr>
            </w:r>
            <w:r w:rsidR="00795745" w:rsidRPr="00795745">
              <w:rPr>
                <w:b/>
                <w:bCs/>
                <w:noProof/>
                <w:webHidden/>
              </w:rPr>
              <w:fldChar w:fldCharType="separate"/>
            </w:r>
            <w:r w:rsidR="00795745" w:rsidRPr="00795745">
              <w:rPr>
                <w:b/>
                <w:bCs/>
                <w:noProof/>
                <w:webHidden/>
              </w:rPr>
              <w:t>17</w:t>
            </w:r>
            <w:r w:rsidR="00795745" w:rsidRPr="00795745">
              <w:rPr>
                <w:b/>
                <w:bCs/>
                <w:noProof/>
                <w:webHidden/>
              </w:rPr>
              <w:fldChar w:fldCharType="end"/>
            </w:r>
          </w:hyperlink>
        </w:p>
        <w:p w14:paraId="1DB35234" w14:textId="6DF96363" w:rsidR="00795745" w:rsidRPr="00795745" w:rsidRDefault="00BB0761" w:rsidP="00795745">
          <w:pPr>
            <w:pStyle w:val="TOC2"/>
            <w:ind w:right="1183"/>
            <w:rPr>
              <w:rFonts w:asciiTheme="minorHAnsi" w:eastAsiaTheme="minorEastAsia" w:hAnsiTheme="minorHAnsi" w:cstheme="minorBidi"/>
              <w:b/>
              <w:bCs/>
              <w:noProof/>
              <w:sz w:val="22"/>
              <w:lang w:val="en-IE" w:eastAsia="ko-KR"/>
            </w:rPr>
          </w:pPr>
          <w:hyperlink w:anchor="_Toc155952157" w:history="1">
            <w:r w:rsidR="00795745" w:rsidRPr="00795745">
              <w:rPr>
                <w:rStyle w:val="Hyperlink"/>
                <w:b/>
                <w:bCs/>
                <w:noProof/>
              </w:rPr>
              <w:t>1.7.</w:t>
            </w:r>
            <w:r w:rsidR="00795745" w:rsidRPr="00795745">
              <w:rPr>
                <w:rFonts w:asciiTheme="minorHAnsi" w:eastAsiaTheme="minorEastAsia" w:hAnsiTheme="minorHAnsi" w:cstheme="minorBidi"/>
                <w:b/>
                <w:bCs/>
                <w:noProof/>
                <w:sz w:val="22"/>
                <w:lang w:val="en-IE" w:eastAsia="ko-KR"/>
              </w:rPr>
              <w:tab/>
            </w:r>
            <w:r w:rsidR="00795745" w:rsidRPr="00795745">
              <w:rPr>
                <w:rStyle w:val="Hyperlink"/>
                <w:b/>
                <w:bCs/>
                <w:noProof/>
              </w:rPr>
              <w:t>Planowane metody wykonania budżetu</w:t>
            </w:r>
            <w:r w:rsidR="00795745" w:rsidRPr="00795745">
              <w:rPr>
                <w:b/>
                <w:bCs/>
                <w:noProof/>
                <w:webHidden/>
              </w:rPr>
              <w:tab/>
            </w:r>
            <w:r w:rsidR="00795745" w:rsidRPr="00795745">
              <w:rPr>
                <w:b/>
                <w:bCs/>
                <w:noProof/>
                <w:webHidden/>
              </w:rPr>
              <w:fldChar w:fldCharType="begin"/>
            </w:r>
            <w:r w:rsidR="00795745" w:rsidRPr="00795745">
              <w:rPr>
                <w:b/>
                <w:bCs/>
                <w:noProof/>
                <w:webHidden/>
              </w:rPr>
              <w:instrText xml:space="preserve"> PAGEREF _Toc155952157 \h </w:instrText>
            </w:r>
            <w:r w:rsidR="00795745" w:rsidRPr="00795745">
              <w:rPr>
                <w:b/>
                <w:bCs/>
                <w:noProof/>
                <w:webHidden/>
              </w:rPr>
            </w:r>
            <w:r w:rsidR="00795745" w:rsidRPr="00795745">
              <w:rPr>
                <w:b/>
                <w:bCs/>
                <w:noProof/>
                <w:webHidden/>
              </w:rPr>
              <w:fldChar w:fldCharType="separate"/>
            </w:r>
            <w:r w:rsidR="00795745" w:rsidRPr="00795745">
              <w:rPr>
                <w:b/>
                <w:bCs/>
                <w:noProof/>
                <w:webHidden/>
              </w:rPr>
              <w:t>17</w:t>
            </w:r>
            <w:r w:rsidR="00795745" w:rsidRPr="00795745">
              <w:rPr>
                <w:b/>
                <w:bCs/>
                <w:noProof/>
                <w:webHidden/>
              </w:rPr>
              <w:fldChar w:fldCharType="end"/>
            </w:r>
          </w:hyperlink>
        </w:p>
        <w:p w14:paraId="03654BAB" w14:textId="5D4E7A61" w:rsidR="00795745" w:rsidRPr="00795745" w:rsidRDefault="00BB0761" w:rsidP="00795745">
          <w:pPr>
            <w:pStyle w:val="TOC1"/>
            <w:ind w:right="1183"/>
            <w:rPr>
              <w:rFonts w:asciiTheme="minorHAnsi" w:eastAsiaTheme="minorEastAsia" w:hAnsiTheme="minorHAnsi" w:cstheme="minorBidi"/>
              <w:b/>
              <w:bCs/>
              <w:noProof/>
              <w:sz w:val="22"/>
              <w:lang w:val="en-IE" w:eastAsia="ko-KR"/>
            </w:rPr>
          </w:pPr>
          <w:hyperlink w:anchor="_Toc155952158" w:history="1">
            <w:r w:rsidR="00795745" w:rsidRPr="00795745">
              <w:rPr>
                <w:rStyle w:val="Hyperlink"/>
                <w:b/>
                <w:bCs/>
                <w:noProof/>
              </w:rPr>
              <w:t>2.</w:t>
            </w:r>
            <w:r w:rsidR="00795745" w:rsidRPr="00795745">
              <w:rPr>
                <w:rFonts w:asciiTheme="minorHAnsi" w:eastAsiaTheme="minorEastAsia" w:hAnsiTheme="minorHAnsi" w:cstheme="minorBidi"/>
                <w:b/>
                <w:bCs/>
                <w:noProof/>
                <w:sz w:val="22"/>
                <w:lang w:val="en-IE" w:eastAsia="ko-KR"/>
              </w:rPr>
              <w:tab/>
            </w:r>
            <w:r w:rsidR="00795745" w:rsidRPr="00795745">
              <w:rPr>
                <w:rStyle w:val="Hyperlink"/>
                <w:b/>
                <w:bCs/>
                <w:noProof/>
              </w:rPr>
              <w:t>ŚRODKI ZARZĄDZANIA</w:t>
            </w:r>
            <w:r w:rsidR="00795745" w:rsidRPr="00795745">
              <w:rPr>
                <w:b/>
                <w:bCs/>
                <w:noProof/>
                <w:webHidden/>
              </w:rPr>
              <w:tab/>
            </w:r>
            <w:r w:rsidR="00795745" w:rsidRPr="00795745">
              <w:rPr>
                <w:b/>
                <w:bCs/>
                <w:noProof/>
                <w:webHidden/>
              </w:rPr>
              <w:fldChar w:fldCharType="begin"/>
            </w:r>
            <w:r w:rsidR="00795745" w:rsidRPr="00795745">
              <w:rPr>
                <w:b/>
                <w:bCs/>
                <w:noProof/>
                <w:webHidden/>
              </w:rPr>
              <w:instrText xml:space="preserve"> PAGEREF _Toc155952158 \h </w:instrText>
            </w:r>
            <w:r w:rsidR="00795745" w:rsidRPr="00795745">
              <w:rPr>
                <w:b/>
                <w:bCs/>
                <w:noProof/>
                <w:webHidden/>
              </w:rPr>
            </w:r>
            <w:r w:rsidR="00795745" w:rsidRPr="00795745">
              <w:rPr>
                <w:b/>
                <w:bCs/>
                <w:noProof/>
                <w:webHidden/>
              </w:rPr>
              <w:fldChar w:fldCharType="separate"/>
            </w:r>
            <w:r w:rsidR="00795745" w:rsidRPr="00795745">
              <w:rPr>
                <w:b/>
                <w:bCs/>
                <w:noProof/>
                <w:webHidden/>
              </w:rPr>
              <w:t>18</w:t>
            </w:r>
            <w:r w:rsidR="00795745" w:rsidRPr="00795745">
              <w:rPr>
                <w:b/>
                <w:bCs/>
                <w:noProof/>
                <w:webHidden/>
              </w:rPr>
              <w:fldChar w:fldCharType="end"/>
            </w:r>
          </w:hyperlink>
        </w:p>
        <w:p w14:paraId="60148A21" w14:textId="5A4B7FEB" w:rsidR="00795745" w:rsidRPr="00795745" w:rsidRDefault="00BB0761" w:rsidP="00795745">
          <w:pPr>
            <w:pStyle w:val="TOC2"/>
            <w:ind w:right="1183"/>
            <w:rPr>
              <w:rFonts w:asciiTheme="minorHAnsi" w:eastAsiaTheme="minorEastAsia" w:hAnsiTheme="minorHAnsi" w:cstheme="minorBidi"/>
              <w:b/>
              <w:bCs/>
              <w:noProof/>
              <w:sz w:val="22"/>
              <w:lang w:val="en-IE" w:eastAsia="ko-KR"/>
            </w:rPr>
          </w:pPr>
          <w:hyperlink w:anchor="_Toc155952159" w:history="1">
            <w:r w:rsidR="00795745" w:rsidRPr="00795745">
              <w:rPr>
                <w:rStyle w:val="Hyperlink"/>
                <w:b/>
                <w:bCs/>
                <w:noProof/>
              </w:rPr>
              <w:t>2.1.</w:t>
            </w:r>
            <w:r w:rsidR="00795745" w:rsidRPr="00795745">
              <w:rPr>
                <w:rFonts w:asciiTheme="minorHAnsi" w:eastAsiaTheme="minorEastAsia" w:hAnsiTheme="minorHAnsi" w:cstheme="minorBidi"/>
                <w:b/>
                <w:bCs/>
                <w:noProof/>
                <w:sz w:val="22"/>
                <w:lang w:val="en-IE" w:eastAsia="ko-KR"/>
              </w:rPr>
              <w:tab/>
            </w:r>
            <w:r w:rsidR="00795745" w:rsidRPr="00795745">
              <w:rPr>
                <w:rStyle w:val="Hyperlink"/>
                <w:b/>
                <w:bCs/>
                <w:noProof/>
              </w:rPr>
              <w:t>Zasady nadzoru i sprawozdawczości</w:t>
            </w:r>
            <w:r w:rsidR="00795745" w:rsidRPr="00795745">
              <w:rPr>
                <w:b/>
                <w:bCs/>
                <w:noProof/>
                <w:webHidden/>
              </w:rPr>
              <w:tab/>
            </w:r>
            <w:r w:rsidR="00795745" w:rsidRPr="00795745">
              <w:rPr>
                <w:b/>
                <w:bCs/>
                <w:noProof/>
                <w:webHidden/>
              </w:rPr>
              <w:fldChar w:fldCharType="begin"/>
            </w:r>
            <w:r w:rsidR="00795745" w:rsidRPr="00795745">
              <w:rPr>
                <w:b/>
                <w:bCs/>
                <w:noProof/>
                <w:webHidden/>
              </w:rPr>
              <w:instrText xml:space="preserve"> PAGEREF _Toc155952159 \h </w:instrText>
            </w:r>
            <w:r w:rsidR="00795745" w:rsidRPr="00795745">
              <w:rPr>
                <w:b/>
                <w:bCs/>
                <w:noProof/>
                <w:webHidden/>
              </w:rPr>
            </w:r>
            <w:r w:rsidR="00795745" w:rsidRPr="00795745">
              <w:rPr>
                <w:b/>
                <w:bCs/>
                <w:noProof/>
                <w:webHidden/>
              </w:rPr>
              <w:fldChar w:fldCharType="separate"/>
            </w:r>
            <w:r w:rsidR="00795745" w:rsidRPr="00795745">
              <w:rPr>
                <w:b/>
                <w:bCs/>
                <w:noProof/>
                <w:webHidden/>
              </w:rPr>
              <w:t>18</w:t>
            </w:r>
            <w:r w:rsidR="00795745" w:rsidRPr="00795745">
              <w:rPr>
                <w:b/>
                <w:bCs/>
                <w:noProof/>
                <w:webHidden/>
              </w:rPr>
              <w:fldChar w:fldCharType="end"/>
            </w:r>
          </w:hyperlink>
        </w:p>
        <w:p w14:paraId="0F03F7DF" w14:textId="58B01FF2" w:rsidR="00795745" w:rsidRPr="00795745" w:rsidRDefault="00BB0761" w:rsidP="00795745">
          <w:pPr>
            <w:pStyle w:val="TOC2"/>
            <w:ind w:right="1183"/>
            <w:rPr>
              <w:rFonts w:asciiTheme="minorHAnsi" w:eastAsiaTheme="minorEastAsia" w:hAnsiTheme="minorHAnsi" w:cstheme="minorBidi"/>
              <w:b/>
              <w:bCs/>
              <w:noProof/>
              <w:sz w:val="22"/>
              <w:lang w:val="en-IE" w:eastAsia="ko-KR"/>
            </w:rPr>
          </w:pPr>
          <w:hyperlink w:anchor="_Toc155952160" w:history="1">
            <w:r w:rsidR="00795745" w:rsidRPr="00795745">
              <w:rPr>
                <w:rStyle w:val="Hyperlink"/>
                <w:b/>
                <w:bCs/>
                <w:noProof/>
              </w:rPr>
              <w:t>2.2.</w:t>
            </w:r>
            <w:r w:rsidR="00795745" w:rsidRPr="00795745">
              <w:rPr>
                <w:rFonts w:asciiTheme="minorHAnsi" w:eastAsiaTheme="minorEastAsia" w:hAnsiTheme="minorHAnsi" w:cstheme="minorBidi"/>
                <w:b/>
                <w:bCs/>
                <w:noProof/>
                <w:sz w:val="22"/>
                <w:lang w:val="en-IE" w:eastAsia="ko-KR"/>
              </w:rPr>
              <w:tab/>
            </w:r>
            <w:r w:rsidR="00795745" w:rsidRPr="00795745">
              <w:rPr>
                <w:rStyle w:val="Hyperlink"/>
                <w:b/>
                <w:bCs/>
                <w:noProof/>
              </w:rPr>
              <w:t>System zarządzania i kontroli</w:t>
            </w:r>
            <w:r w:rsidR="00795745" w:rsidRPr="00795745">
              <w:rPr>
                <w:b/>
                <w:bCs/>
                <w:noProof/>
                <w:webHidden/>
              </w:rPr>
              <w:tab/>
            </w:r>
            <w:r w:rsidR="00795745" w:rsidRPr="00795745">
              <w:rPr>
                <w:b/>
                <w:bCs/>
                <w:noProof/>
                <w:webHidden/>
              </w:rPr>
              <w:fldChar w:fldCharType="begin"/>
            </w:r>
            <w:r w:rsidR="00795745" w:rsidRPr="00795745">
              <w:rPr>
                <w:b/>
                <w:bCs/>
                <w:noProof/>
                <w:webHidden/>
              </w:rPr>
              <w:instrText xml:space="preserve"> PAGEREF _Toc155952160 \h </w:instrText>
            </w:r>
            <w:r w:rsidR="00795745" w:rsidRPr="00795745">
              <w:rPr>
                <w:b/>
                <w:bCs/>
                <w:noProof/>
                <w:webHidden/>
              </w:rPr>
            </w:r>
            <w:r w:rsidR="00795745" w:rsidRPr="00795745">
              <w:rPr>
                <w:b/>
                <w:bCs/>
                <w:noProof/>
                <w:webHidden/>
              </w:rPr>
              <w:fldChar w:fldCharType="separate"/>
            </w:r>
            <w:r w:rsidR="00795745" w:rsidRPr="00795745">
              <w:rPr>
                <w:b/>
                <w:bCs/>
                <w:noProof/>
                <w:webHidden/>
              </w:rPr>
              <w:t>18</w:t>
            </w:r>
            <w:r w:rsidR="00795745" w:rsidRPr="00795745">
              <w:rPr>
                <w:b/>
                <w:bCs/>
                <w:noProof/>
                <w:webHidden/>
              </w:rPr>
              <w:fldChar w:fldCharType="end"/>
            </w:r>
          </w:hyperlink>
        </w:p>
        <w:p w14:paraId="2648DE5C" w14:textId="57F8EE19" w:rsidR="00795745" w:rsidRPr="00795745" w:rsidRDefault="00BB0761" w:rsidP="00795745">
          <w:pPr>
            <w:pStyle w:val="TOC3"/>
            <w:ind w:right="1183"/>
            <w:rPr>
              <w:rFonts w:asciiTheme="minorHAnsi" w:eastAsiaTheme="minorEastAsia" w:hAnsiTheme="minorHAnsi" w:cstheme="minorBidi"/>
              <w:i/>
              <w:iCs/>
              <w:noProof/>
              <w:sz w:val="22"/>
              <w:lang w:val="en-IE" w:eastAsia="ko-KR"/>
            </w:rPr>
          </w:pPr>
          <w:hyperlink w:anchor="_Toc155952161" w:history="1">
            <w:r w:rsidR="00795745" w:rsidRPr="00795745">
              <w:rPr>
                <w:rStyle w:val="Hyperlink"/>
                <w:i/>
                <w:iCs/>
                <w:noProof/>
              </w:rPr>
              <w:t>2.2.1.</w:t>
            </w:r>
            <w:r w:rsidR="00795745" w:rsidRPr="00795745">
              <w:rPr>
                <w:rFonts w:asciiTheme="minorHAnsi" w:eastAsiaTheme="minorEastAsia" w:hAnsiTheme="minorHAnsi" w:cstheme="minorBidi"/>
                <w:i/>
                <w:iCs/>
                <w:noProof/>
                <w:sz w:val="22"/>
                <w:lang w:val="en-IE" w:eastAsia="ko-KR"/>
              </w:rPr>
              <w:tab/>
            </w:r>
            <w:r w:rsidR="00795745" w:rsidRPr="00795745">
              <w:rPr>
                <w:rStyle w:val="Hyperlink"/>
                <w:i/>
                <w:iCs/>
                <w:noProof/>
              </w:rPr>
              <w:t>Uzasadnienie dla systemu zarządzania, mechanizmów finansowania wykonania, warunków płatności i proponowanej strategii kontroli</w:t>
            </w:r>
            <w:r w:rsidR="00795745" w:rsidRPr="00795745">
              <w:rPr>
                <w:i/>
                <w:iCs/>
                <w:noProof/>
                <w:webHidden/>
              </w:rPr>
              <w:tab/>
            </w:r>
            <w:r w:rsidR="00795745" w:rsidRPr="00795745">
              <w:rPr>
                <w:i/>
                <w:iCs/>
                <w:noProof/>
                <w:webHidden/>
              </w:rPr>
              <w:fldChar w:fldCharType="begin"/>
            </w:r>
            <w:r w:rsidR="00795745" w:rsidRPr="00795745">
              <w:rPr>
                <w:i/>
                <w:iCs/>
                <w:noProof/>
                <w:webHidden/>
              </w:rPr>
              <w:instrText xml:space="preserve"> PAGEREF _Toc155952161 \h </w:instrText>
            </w:r>
            <w:r w:rsidR="00795745" w:rsidRPr="00795745">
              <w:rPr>
                <w:i/>
                <w:iCs/>
                <w:noProof/>
                <w:webHidden/>
              </w:rPr>
            </w:r>
            <w:r w:rsidR="00795745" w:rsidRPr="00795745">
              <w:rPr>
                <w:i/>
                <w:iCs/>
                <w:noProof/>
                <w:webHidden/>
              </w:rPr>
              <w:fldChar w:fldCharType="separate"/>
            </w:r>
            <w:r w:rsidR="00795745" w:rsidRPr="00795745">
              <w:rPr>
                <w:i/>
                <w:iCs/>
                <w:noProof/>
                <w:webHidden/>
              </w:rPr>
              <w:t>18</w:t>
            </w:r>
            <w:r w:rsidR="00795745" w:rsidRPr="00795745">
              <w:rPr>
                <w:i/>
                <w:iCs/>
                <w:noProof/>
                <w:webHidden/>
              </w:rPr>
              <w:fldChar w:fldCharType="end"/>
            </w:r>
          </w:hyperlink>
        </w:p>
        <w:p w14:paraId="548739AD" w14:textId="1154E554" w:rsidR="00795745" w:rsidRPr="00795745" w:rsidRDefault="00BB0761" w:rsidP="00795745">
          <w:pPr>
            <w:pStyle w:val="TOC3"/>
            <w:ind w:right="1183"/>
            <w:rPr>
              <w:rFonts w:asciiTheme="minorHAnsi" w:eastAsiaTheme="minorEastAsia" w:hAnsiTheme="minorHAnsi" w:cstheme="minorBidi"/>
              <w:i/>
              <w:iCs/>
              <w:noProof/>
              <w:sz w:val="22"/>
              <w:lang w:val="en-IE" w:eastAsia="ko-KR"/>
            </w:rPr>
          </w:pPr>
          <w:hyperlink w:anchor="_Toc155952162" w:history="1">
            <w:r w:rsidR="00795745" w:rsidRPr="00795745">
              <w:rPr>
                <w:rStyle w:val="Hyperlink"/>
                <w:i/>
                <w:iCs/>
                <w:noProof/>
              </w:rPr>
              <w:t>2.2.2.</w:t>
            </w:r>
            <w:r w:rsidR="00795745" w:rsidRPr="00795745">
              <w:rPr>
                <w:rFonts w:asciiTheme="minorHAnsi" w:eastAsiaTheme="minorEastAsia" w:hAnsiTheme="minorHAnsi" w:cstheme="minorBidi"/>
                <w:i/>
                <w:iCs/>
                <w:noProof/>
                <w:sz w:val="22"/>
                <w:lang w:val="en-IE" w:eastAsia="ko-KR"/>
              </w:rPr>
              <w:tab/>
            </w:r>
            <w:r w:rsidR="00795745" w:rsidRPr="00795745">
              <w:rPr>
                <w:rStyle w:val="Hyperlink"/>
                <w:i/>
                <w:iCs/>
                <w:noProof/>
              </w:rPr>
              <w:t>Informacje dotyczące zidentyfikowanego ryzyka i systemów kontroli wewnętrznej ustanowionych w celu jego ograniczenia</w:t>
            </w:r>
            <w:r w:rsidR="00795745" w:rsidRPr="00795745">
              <w:rPr>
                <w:i/>
                <w:iCs/>
                <w:noProof/>
                <w:webHidden/>
              </w:rPr>
              <w:tab/>
            </w:r>
            <w:r w:rsidR="00795745" w:rsidRPr="00795745">
              <w:rPr>
                <w:i/>
                <w:iCs/>
                <w:noProof/>
                <w:webHidden/>
              </w:rPr>
              <w:fldChar w:fldCharType="begin"/>
            </w:r>
            <w:r w:rsidR="00795745" w:rsidRPr="00795745">
              <w:rPr>
                <w:i/>
                <w:iCs/>
                <w:noProof/>
                <w:webHidden/>
              </w:rPr>
              <w:instrText xml:space="preserve"> PAGEREF _Toc155952162 \h </w:instrText>
            </w:r>
            <w:r w:rsidR="00795745" w:rsidRPr="00795745">
              <w:rPr>
                <w:i/>
                <w:iCs/>
                <w:noProof/>
                <w:webHidden/>
              </w:rPr>
            </w:r>
            <w:r w:rsidR="00795745" w:rsidRPr="00795745">
              <w:rPr>
                <w:i/>
                <w:iCs/>
                <w:noProof/>
                <w:webHidden/>
              </w:rPr>
              <w:fldChar w:fldCharType="separate"/>
            </w:r>
            <w:r w:rsidR="00795745" w:rsidRPr="00795745">
              <w:rPr>
                <w:i/>
                <w:iCs/>
                <w:noProof/>
                <w:webHidden/>
              </w:rPr>
              <w:t>19</w:t>
            </w:r>
            <w:r w:rsidR="00795745" w:rsidRPr="00795745">
              <w:rPr>
                <w:i/>
                <w:iCs/>
                <w:noProof/>
                <w:webHidden/>
              </w:rPr>
              <w:fldChar w:fldCharType="end"/>
            </w:r>
          </w:hyperlink>
        </w:p>
        <w:p w14:paraId="62BC7BE9" w14:textId="45BC28F6" w:rsidR="00795745" w:rsidRPr="00795745" w:rsidRDefault="00BB0761" w:rsidP="00795745">
          <w:pPr>
            <w:pStyle w:val="TOC3"/>
            <w:ind w:right="1183"/>
            <w:rPr>
              <w:rFonts w:asciiTheme="minorHAnsi" w:eastAsiaTheme="minorEastAsia" w:hAnsiTheme="minorHAnsi" w:cstheme="minorBidi"/>
              <w:i/>
              <w:iCs/>
              <w:noProof/>
              <w:sz w:val="22"/>
              <w:lang w:val="en-IE" w:eastAsia="ko-KR"/>
            </w:rPr>
          </w:pPr>
          <w:hyperlink w:anchor="_Toc155952163" w:history="1">
            <w:r w:rsidR="00795745" w:rsidRPr="00795745">
              <w:rPr>
                <w:rStyle w:val="Hyperlink"/>
                <w:i/>
                <w:iCs/>
                <w:noProof/>
              </w:rPr>
              <w:t>2.2.3.</w:t>
            </w:r>
            <w:r w:rsidR="00795745" w:rsidRPr="00795745">
              <w:rPr>
                <w:rFonts w:asciiTheme="minorHAnsi" w:eastAsiaTheme="minorEastAsia" w:hAnsiTheme="minorHAnsi" w:cstheme="minorBidi"/>
                <w:i/>
                <w:iCs/>
                <w:noProof/>
                <w:sz w:val="22"/>
                <w:lang w:val="en-IE" w:eastAsia="ko-KR"/>
              </w:rPr>
              <w:tab/>
            </w:r>
            <w:r w:rsidR="00795745" w:rsidRPr="00795745">
              <w:rPr>
                <w:rStyle w:val="Hyperlink"/>
                <w:i/>
                <w:iCs/>
                <w:noProof/>
              </w:rPr>
              <w:t>Oszacowanie i uzasadnienie efektywności kosztowej kontroli (relacja kosztów kontroli do wartości zarządzanych funduszy powiązanych) oraz ocena prawdopodobnego ryzyka błędu (przy płatności i przy zamykaniu)</w:t>
            </w:r>
            <w:r w:rsidR="00795745" w:rsidRPr="00795745">
              <w:rPr>
                <w:i/>
                <w:iCs/>
                <w:noProof/>
                <w:webHidden/>
              </w:rPr>
              <w:tab/>
            </w:r>
            <w:r w:rsidR="00795745" w:rsidRPr="00795745">
              <w:rPr>
                <w:i/>
                <w:iCs/>
                <w:noProof/>
                <w:webHidden/>
              </w:rPr>
              <w:fldChar w:fldCharType="begin"/>
            </w:r>
            <w:r w:rsidR="00795745" w:rsidRPr="00795745">
              <w:rPr>
                <w:i/>
                <w:iCs/>
                <w:noProof/>
                <w:webHidden/>
              </w:rPr>
              <w:instrText xml:space="preserve"> PAGEREF _Toc155952163 \h </w:instrText>
            </w:r>
            <w:r w:rsidR="00795745" w:rsidRPr="00795745">
              <w:rPr>
                <w:i/>
                <w:iCs/>
                <w:noProof/>
                <w:webHidden/>
              </w:rPr>
            </w:r>
            <w:r w:rsidR="00795745" w:rsidRPr="00795745">
              <w:rPr>
                <w:i/>
                <w:iCs/>
                <w:noProof/>
                <w:webHidden/>
              </w:rPr>
              <w:fldChar w:fldCharType="separate"/>
            </w:r>
            <w:r w:rsidR="00795745" w:rsidRPr="00795745">
              <w:rPr>
                <w:i/>
                <w:iCs/>
                <w:noProof/>
                <w:webHidden/>
              </w:rPr>
              <w:t>19</w:t>
            </w:r>
            <w:r w:rsidR="00795745" w:rsidRPr="00795745">
              <w:rPr>
                <w:i/>
                <w:iCs/>
                <w:noProof/>
                <w:webHidden/>
              </w:rPr>
              <w:fldChar w:fldCharType="end"/>
            </w:r>
          </w:hyperlink>
        </w:p>
        <w:p w14:paraId="73EA8038" w14:textId="28CA11FD" w:rsidR="00795745" w:rsidRPr="00795745" w:rsidRDefault="00BB0761" w:rsidP="00795745">
          <w:pPr>
            <w:pStyle w:val="TOC2"/>
            <w:ind w:right="1183"/>
            <w:rPr>
              <w:rFonts w:asciiTheme="minorHAnsi" w:eastAsiaTheme="minorEastAsia" w:hAnsiTheme="minorHAnsi" w:cstheme="minorBidi"/>
              <w:b/>
              <w:bCs/>
              <w:noProof/>
              <w:sz w:val="22"/>
              <w:lang w:val="en-IE" w:eastAsia="ko-KR"/>
            </w:rPr>
          </w:pPr>
          <w:hyperlink w:anchor="_Toc155952164" w:history="1">
            <w:r w:rsidR="00795745" w:rsidRPr="00795745">
              <w:rPr>
                <w:rStyle w:val="Hyperlink"/>
                <w:b/>
                <w:bCs/>
                <w:noProof/>
              </w:rPr>
              <w:t>2.3.</w:t>
            </w:r>
            <w:r w:rsidR="00795745" w:rsidRPr="00795745">
              <w:rPr>
                <w:rFonts w:asciiTheme="minorHAnsi" w:eastAsiaTheme="minorEastAsia" w:hAnsiTheme="minorHAnsi" w:cstheme="minorBidi"/>
                <w:b/>
                <w:bCs/>
                <w:noProof/>
                <w:sz w:val="22"/>
                <w:lang w:val="en-IE" w:eastAsia="ko-KR"/>
              </w:rPr>
              <w:tab/>
            </w:r>
            <w:r w:rsidR="00795745" w:rsidRPr="00795745">
              <w:rPr>
                <w:rStyle w:val="Hyperlink"/>
                <w:b/>
                <w:bCs/>
                <w:noProof/>
              </w:rPr>
              <w:t>Środki zapobiegania nadużyciom finansowym i nieprawidłowościom</w:t>
            </w:r>
            <w:r w:rsidR="00795745" w:rsidRPr="00795745">
              <w:rPr>
                <w:b/>
                <w:bCs/>
                <w:noProof/>
                <w:webHidden/>
              </w:rPr>
              <w:tab/>
            </w:r>
            <w:r w:rsidR="00795745" w:rsidRPr="00795745">
              <w:rPr>
                <w:b/>
                <w:bCs/>
                <w:noProof/>
                <w:webHidden/>
              </w:rPr>
              <w:fldChar w:fldCharType="begin"/>
            </w:r>
            <w:r w:rsidR="00795745" w:rsidRPr="00795745">
              <w:rPr>
                <w:b/>
                <w:bCs/>
                <w:noProof/>
                <w:webHidden/>
              </w:rPr>
              <w:instrText xml:space="preserve"> PAGEREF _Toc155952164 \h </w:instrText>
            </w:r>
            <w:r w:rsidR="00795745" w:rsidRPr="00795745">
              <w:rPr>
                <w:b/>
                <w:bCs/>
                <w:noProof/>
                <w:webHidden/>
              </w:rPr>
            </w:r>
            <w:r w:rsidR="00795745" w:rsidRPr="00795745">
              <w:rPr>
                <w:b/>
                <w:bCs/>
                <w:noProof/>
                <w:webHidden/>
              </w:rPr>
              <w:fldChar w:fldCharType="separate"/>
            </w:r>
            <w:r w:rsidR="00795745" w:rsidRPr="00795745">
              <w:rPr>
                <w:b/>
                <w:bCs/>
                <w:noProof/>
                <w:webHidden/>
              </w:rPr>
              <w:t>21</w:t>
            </w:r>
            <w:r w:rsidR="00795745" w:rsidRPr="00795745">
              <w:rPr>
                <w:b/>
                <w:bCs/>
                <w:noProof/>
                <w:webHidden/>
              </w:rPr>
              <w:fldChar w:fldCharType="end"/>
            </w:r>
          </w:hyperlink>
        </w:p>
        <w:p w14:paraId="0645D7BD" w14:textId="730B0823" w:rsidR="00795745" w:rsidRPr="00795745" w:rsidRDefault="00BB0761" w:rsidP="00795745">
          <w:pPr>
            <w:pStyle w:val="TOC1"/>
            <w:ind w:right="1183"/>
            <w:rPr>
              <w:rFonts w:asciiTheme="minorHAnsi" w:eastAsiaTheme="minorEastAsia" w:hAnsiTheme="minorHAnsi" w:cstheme="minorBidi"/>
              <w:b/>
              <w:bCs/>
              <w:noProof/>
              <w:sz w:val="22"/>
              <w:lang w:val="en-IE" w:eastAsia="ko-KR"/>
            </w:rPr>
          </w:pPr>
          <w:hyperlink w:anchor="_Toc155952165" w:history="1">
            <w:r w:rsidR="00795745" w:rsidRPr="00795745">
              <w:rPr>
                <w:rStyle w:val="Hyperlink"/>
                <w:b/>
                <w:bCs/>
                <w:noProof/>
              </w:rPr>
              <w:t>3.</w:t>
            </w:r>
            <w:r w:rsidR="00795745" w:rsidRPr="00795745">
              <w:rPr>
                <w:rFonts w:asciiTheme="minorHAnsi" w:eastAsiaTheme="minorEastAsia" w:hAnsiTheme="minorHAnsi" w:cstheme="minorBidi"/>
                <w:b/>
                <w:bCs/>
                <w:noProof/>
                <w:sz w:val="22"/>
                <w:lang w:val="en-IE" w:eastAsia="ko-KR"/>
              </w:rPr>
              <w:tab/>
            </w:r>
            <w:r w:rsidR="00795745" w:rsidRPr="00795745">
              <w:rPr>
                <w:rStyle w:val="Hyperlink"/>
                <w:b/>
                <w:bCs/>
                <w:noProof/>
              </w:rPr>
              <w:t>SZACUNKOWY WPŁYW FINANSOWY WNIOSKU/INICJATYWY</w:t>
            </w:r>
            <w:r w:rsidR="00795745" w:rsidRPr="00795745">
              <w:rPr>
                <w:b/>
                <w:bCs/>
                <w:noProof/>
                <w:webHidden/>
              </w:rPr>
              <w:tab/>
            </w:r>
            <w:r w:rsidR="00795745" w:rsidRPr="00795745">
              <w:rPr>
                <w:b/>
                <w:bCs/>
                <w:noProof/>
                <w:webHidden/>
              </w:rPr>
              <w:fldChar w:fldCharType="begin"/>
            </w:r>
            <w:r w:rsidR="00795745" w:rsidRPr="00795745">
              <w:rPr>
                <w:b/>
                <w:bCs/>
                <w:noProof/>
                <w:webHidden/>
              </w:rPr>
              <w:instrText xml:space="preserve"> PAGEREF _Toc155952165 \h </w:instrText>
            </w:r>
            <w:r w:rsidR="00795745" w:rsidRPr="00795745">
              <w:rPr>
                <w:b/>
                <w:bCs/>
                <w:noProof/>
                <w:webHidden/>
              </w:rPr>
            </w:r>
            <w:r w:rsidR="00795745" w:rsidRPr="00795745">
              <w:rPr>
                <w:b/>
                <w:bCs/>
                <w:noProof/>
                <w:webHidden/>
              </w:rPr>
              <w:fldChar w:fldCharType="separate"/>
            </w:r>
            <w:r w:rsidR="00795745" w:rsidRPr="00795745">
              <w:rPr>
                <w:b/>
                <w:bCs/>
                <w:noProof/>
                <w:webHidden/>
              </w:rPr>
              <w:t>21</w:t>
            </w:r>
            <w:r w:rsidR="00795745" w:rsidRPr="00795745">
              <w:rPr>
                <w:b/>
                <w:bCs/>
                <w:noProof/>
                <w:webHidden/>
              </w:rPr>
              <w:fldChar w:fldCharType="end"/>
            </w:r>
          </w:hyperlink>
        </w:p>
        <w:p w14:paraId="407216A5" w14:textId="0BA5932C" w:rsidR="00795745" w:rsidRPr="00795745" w:rsidRDefault="00BB0761" w:rsidP="00795745">
          <w:pPr>
            <w:pStyle w:val="TOC2"/>
            <w:ind w:right="1183"/>
            <w:rPr>
              <w:rFonts w:asciiTheme="minorHAnsi" w:eastAsiaTheme="minorEastAsia" w:hAnsiTheme="minorHAnsi" w:cstheme="minorBidi"/>
              <w:b/>
              <w:bCs/>
              <w:noProof/>
              <w:sz w:val="22"/>
              <w:lang w:val="en-IE" w:eastAsia="ko-KR"/>
            </w:rPr>
          </w:pPr>
          <w:hyperlink w:anchor="_Toc155952166" w:history="1">
            <w:r w:rsidR="00795745" w:rsidRPr="00795745">
              <w:rPr>
                <w:rStyle w:val="Hyperlink"/>
                <w:b/>
                <w:bCs/>
                <w:noProof/>
              </w:rPr>
              <w:t>3.1.</w:t>
            </w:r>
            <w:r w:rsidR="00795745" w:rsidRPr="00795745">
              <w:rPr>
                <w:rFonts w:asciiTheme="minorHAnsi" w:eastAsiaTheme="minorEastAsia" w:hAnsiTheme="minorHAnsi" w:cstheme="minorBidi"/>
                <w:b/>
                <w:bCs/>
                <w:noProof/>
                <w:sz w:val="22"/>
                <w:lang w:val="en-IE" w:eastAsia="ko-KR"/>
              </w:rPr>
              <w:tab/>
            </w:r>
            <w:r w:rsidR="00795745" w:rsidRPr="00795745">
              <w:rPr>
                <w:rStyle w:val="Hyperlink"/>
                <w:b/>
                <w:bCs/>
                <w:noProof/>
              </w:rPr>
              <w:t>Działy wieloletnich ram finansowych i linie budżetowe po stronie wydatków, na które wniosek/inicjatywa ma wpływ</w:t>
            </w:r>
            <w:r w:rsidR="00795745" w:rsidRPr="00795745">
              <w:rPr>
                <w:b/>
                <w:bCs/>
                <w:noProof/>
                <w:webHidden/>
              </w:rPr>
              <w:tab/>
            </w:r>
            <w:r w:rsidR="00795745" w:rsidRPr="00795745">
              <w:rPr>
                <w:b/>
                <w:bCs/>
                <w:noProof/>
                <w:webHidden/>
              </w:rPr>
              <w:fldChar w:fldCharType="begin"/>
            </w:r>
            <w:r w:rsidR="00795745" w:rsidRPr="00795745">
              <w:rPr>
                <w:b/>
                <w:bCs/>
                <w:noProof/>
                <w:webHidden/>
              </w:rPr>
              <w:instrText xml:space="preserve"> PAGEREF _Toc155952166 \h </w:instrText>
            </w:r>
            <w:r w:rsidR="00795745" w:rsidRPr="00795745">
              <w:rPr>
                <w:b/>
                <w:bCs/>
                <w:noProof/>
                <w:webHidden/>
              </w:rPr>
            </w:r>
            <w:r w:rsidR="00795745" w:rsidRPr="00795745">
              <w:rPr>
                <w:b/>
                <w:bCs/>
                <w:noProof/>
                <w:webHidden/>
              </w:rPr>
              <w:fldChar w:fldCharType="separate"/>
            </w:r>
            <w:r w:rsidR="00795745" w:rsidRPr="00795745">
              <w:rPr>
                <w:b/>
                <w:bCs/>
                <w:noProof/>
                <w:webHidden/>
              </w:rPr>
              <w:t>21</w:t>
            </w:r>
            <w:r w:rsidR="00795745" w:rsidRPr="00795745">
              <w:rPr>
                <w:b/>
                <w:bCs/>
                <w:noProof/>
                <w:webHidden/>
              </w:rPr>
              <w:fldChar w:fldCharType="end"/>
            </w:r>
          </w:hyperlink>
        </w:p>
        <w:p w14:paraId="73DB9F7D" w14:textId="19ABD9C1" w:rsidR="00795745" w:rsidRPr="00795745" w:rsidRDefault="00BB0761" w:rsidP="00795745">
          <w:pPr>
            <w:pStyle w:val="TOC2"/>
            <w:ind w:right="1183"/>
            <w:rPr>
              <w:rFonts w:asciiTheme="minorHAnsi" w:eastAsiaTheme="minorEastAsia" w:hAnsiTheme="minorHAnsi" w:cstheme="minorBidi"/>
              <w:b/>
              <w:bCs/>
              <w:noProof/>
              <w:sz w:val="22"/>
              <w:lang w:val="en-IE" w:eastAsia="ko-KR"/>
            </w:rPr>
          </w:pPr>
          <w:hyperlink w:anchor="_Toc155952167" w:history="1">
            <w:r w:rsidR="00795745" w:rsidRPr="00795745">
              <w:rPr>
                <w:rStyle w:val="Hyperlink"/>
                <w:b/>
                <w:bCs/>
                <w:noProof/>
              </w:rPr>
              <w:t>3.2.</w:t>
            </w:r>
            <w:r w:rsidR="00795745" w:rsidRPr="00795745">
              <w:rPr>
                <w:rFonts w:asciiTheme="minorHAnsi" w:eastAsiaTheme="minorEastAsia" w:hAnsiTheme="minorHAnsi" w:cstheme="minorBidi"/>
                <w:b/>
                <w:bCs/>
                <w:noProof/>
                <w:sz w:val="22"/>
                <w:lang w:val="en-IE" w:eastAsia="ko-KR"/>
              </w:rPr>
              <w:tab/>
            </w:r>
            <w:r w:rsidR="00795745" w:rsidRPr="00795745">
              <w:rPr>
                <w:rStyle w:val="Hyperlink"/>
                <w:b/>
                <w:bCs/>
                <w:noProof/>
              </w:rPr>
              <w:t>Szacunkowy wpływ na wydatki</w:t>
            </w:r>
            <w:r w:rsidR="00795745" w:rsidRPr="00795745">
              <w:rPr>
                <w:b/>
                <w:bCs/>
                <w:noProof/>
                <w:webHidden/>
              </w:rPr>
              <w:tab/>
            </w:r>
            <w:r w:rsidR="00795745" w:rsidRPr="00795745">
              <w:rPr>
                <w:b/>
                <w:bCs/>
                <w:noProof/>
                <w:webHidden/>
              </w:rPr>
              <w:fldChar w:fldCharType="begin"/>
            </w:r>
            <w:r w:rsidR="00795745" w:rsidRPr="00795745">
              <w:rPr>
                <w:b/>
                <w:bCs/>
                <w:noProof/>
                <w:webHidden/>
              </w:rPr>
              <w:instrText xml:space="preserve"> PAGEREF _Toc155952167 \h </w:instrText>
            </w:r>
            <w:r w:rsidR="00795745" w:rsidRPr="00795745">
              <w:rPr>
                <w:b/>
                <w:bCs/>
                <w:noProof/>
                <w:webHidden/>
              </w:rPr>
            </w:r>
            <w:r w:rsidR="00795745" w:rsidRPr="00795745">
              <w:rPr>
                <w:b/>
                <w:bCs/>
                <w:noProof/>
                <w:webHidden/>
              </w:rPr>
              <w:fldChar w:fldCharType="separate"/>
            </w:r>
            <w:r w:rsidR="00795745" w:rsidRPr="00795745">
              <w:rPr>
                <w:b/>
                <w:bCs/>
                <w:noProof/>
                <w:webHidden/>
              </w:rPr>
              <w:t>22</w:t>
            </w:r>
            <w:r w:rsidR="00795745" w:rsidRPr="00795745">
              <w:rPr>
                <w:b/>
                <w:bCs/>
                <w:noProof/>
                <w:webHidden/>
              </w:rPr>
              <w:fldChar w:fldCharType="end"/>
            </w:r>
          </w:hyperlink>
        </w:p>
        <w:p w14:paraId="4B827FA9" w14:textId="38E9368F" w:rsidR="00795745" w:rsidRPr="00795745" w:rsidRDefault="00BB0761" w:rsidP="00795745">
          <w:pPr>
            <w:pStyle w:val="TOC3"/>
            <w:ind w:right="1183"/>
            <w:rPr>
              <w:rFonts w:asciiTheme="minorHAnsi" w:eastAsiaTheme="minorEastAsia" w:hAnsiTheme="minorHAnsi" w:cstheme="minorBidi"/>
              <w:i/>
              <w:iCs/>
              <w:noProof/>
              <w:sz w:val="22"/>
              <w:lang w:val="en-IE" w:eastAsia="ko-KR"/>
            </w:rPr>
          </w:pPr>
          <w:hyperlink w:anchor="_Toc155952168" w:history="1">
            <w:r w:rsidR="00795745" w:rsidRPr="00795745">
              <w:rPr>
                <w:rStyle w:val="Hyperlink"/>
                <w:i/>
                <w:iCs/>
                <w:noProof/>
              </w:rPr>
              <w:t>3.2.1.</w:t>
            </w:r>
            <w:r w:rsidR="00795745" w:rsidRPr="00795745">
              <w:rPr>
                <w:rFonts w:asciiTheme="minorHAnsi" w:eastAsiaTheme="minorEastAsia" w:hAnsiTheme="minorHAnsi" w:cstheme="minorBidi"/>
                <w:i/>
                <w:iCs/>
                <w:noProof/>
                <w:sz w:val="22"/>
                <w:lang w:val="en-IE" w:eastAsia="ko-KR"/>
              </w:rPr>
              <w:tab/>
            </w:r>
            <w:r w:rsidR="00795745" w:rsidRPr="00795745">
              <w:rPr>
                <w:rStyle w:val="Hyperlink"/>
                <w:i/>
                <w:iCs/>
                <w:noProof/>
              </w:rPr>
              <w:t>Synteza szacunkowego wpływu na wydatki</w:t>
            </w:r>
            <w:r w:rsidR="00795745" w:rsidRPr="00795745">
              <w:rPr>
                <w:i/>
                <w:iCs/>
                <w:noProof/>
                <w:webHidden/>
              </w:rPr>
              <w:tab/>
            </w:r>
            <w:r w:rsidR="00795745" w:rsidRPr="00795745">
              <w:rPr>
                <w:i/>
                <w:iCs/>
                <w:noProof/>
                <w:webHidden/>
              </w:rPr>
              <w:fldChar w:fldCharType="begin"/>
            </w:r>
            <w:r w:rsidR="00795745" w:rsidRPr="00795745">
              <w:rPr>
                <w:i/>
                <w:iCs/>
                <w:noProof/>
                <w:webHidden/>
              </w:rPr>
              <w:instrText xml:space="preserve"> PAGEREF _Toc155952168 \h </w:instrText>
            </w:r>
            <w:r w:rsidR="00795745" w:rsidRPr="00795745">
              <w:rPr>
                <w:i/>
                <w:iCs/>
                <w:noProof/>
                <w:webHidden/>
              </w:rPr>
            </w:r>
            <w:r w:rsidR="00795745" w:rsidRPr="00795745">
              <w:rPr>
                <w:i/>
                <w:iCs/>
                <w:noProof/>
                <w:webHidden/>
              </w:rPr>
              <w:fldChar w:fldCharType="separate"/>
            </w:r>
            <w:r w:rsidR="00795745" w:rsidRPr="00795745">
              <w:rPr>
                <w:i/>
                <w:iCs/>
                <w:noProof/>
                <w:webHidden/>
              </w:rPr>
              <w:t>22</w:t>
            </w:r>
            <w:r w:rsidR="00795745" w:rsidRPr="00795745">
              <w:rPr>
                <w:i/>
                <w:iCs/>
                <w:noProof/>
                <w:webHidden/>
              </w:rPr>
              <w:fldChar w:fldCharType="end"/>
            </w:r>
          </w:hyperlink>
        </w:p>
        <w:p w14:paraId="68685CF8" w14:textId="0277E17E" w:rsidR="00795745" w:rsidRPr="00795745" w:rsidRDefault="00BB0761" w:rsidP="00795745">
          <w:pPr>
            <w:pStyle w:val="TOC3"/>
            <w:ind w:right="1183"/>
            <w:rPr>
              <w:rFonts w:asciiTheme="minorHAnsi" w:eastAsiaTheme="minorEastAsia" w:hAnsiTheme="minorHAnsi" w:cstheme="minorBidi"/>
              <w:i/>
              <w:iCs/>
              <w:noProof/>
              <w:sz w:val="22"/>
              <w:lang w:val="en-IE" w:eastAsia="ko-KR"/>
            </w:rPr>
          </w:pPr>
          <w:hyperlink w:anchor="_Toc155952169" w:history="1">
            <w:r w:rsidR="00795745" w:rsidRPr="00795745">
              <w:rPr>
                <w:rStyle w:val="Hyperlink"/>
                <w:i/>
                <w:iCs/>
                <w:noProof/>
              </w:rPr>
              <w:t>3.2.2.</w:t>
            </w:r>
            <w:r w:rsidR="00795745" w:rsidRPr="00795745">
              <w:rPr>
                <w:rFonts w:asciiTheme="minorHAnsi" w:eastAsiaTheme="minorEastAsia" w:hAnsiTheme="minorHAnsi" w:cstheme="minorBidi"/>
                <w:i/>
                <w:iCs/>
                <w:noProof/>
                <w:sz w:val="22"/>
                <w:lang w:val="en-IE" w:eastAsia="ko-KR"/>
              </w:rPr>
              <w:tab/>
            </w:r>
            <w:r w:rsidR="00795745" w:rsidRPr="00795745">
              <w:rPr>
                <w:rStyle w:val="Hyperlink"/>
                <w:i/>
                <w:iCs/>
                <w:noProof/>
              </w:rPr>
              <w:t>Szacunkowy wpływ na środki Europolu</w:t>
            </w:r>
            <w:r w:rsidR="00795745" w:rsidRPr="00795745">
              <w:rPr>
                <w:i/>
                <w:iCs/>
                <w:noProof/>
                <w:webHidden/>
              </w:rPr>
              <w:tab/>
            </w:r>
            <w:r w:rsidR="00795745" w:rsidRPr="00795745">
              <w:rPr>
                <w:i/>
                <w:iCs/>
                <w:noProof/>
                <w:webHidden/>
              </w:rPr>
              <w:fldChar w:fldCharType="begin"/>
            </w:r>
            <w:r w:rsidR="00795745" w:rsidRPr="00795745">
              <w:rPr>
                <w:i/>
                <w:iCs/>
                <w:noProof/>
                <w:webHidden/>
              </w:rPr>
              <w:instrText xml:space="preserve"> PAGEREF _Toc155952169 \h </w:instrText>
            </w:r>
            <w:r w:rsidR="00795745" w:rsidRPr="00795745">
              <w:rPr>
                <w:i/>
                <w:iCs/>
                <w:noProof/>
                <w:webHidden/>
              </w:rPr>
            </w:r>
            <w:r w:rsidR="00795745" w:rsidRPr="00795745">
              <w:rPr>
                <w:i/>
                <w:iCs/>
                <w:noProof/>
                <w:webHidden/>
              </w:rPr>
              <w:fldChar w:fldCharType="separate"/>
            </w:r>
            <w:r w:rsidR="00795745" w:rsidRPr="00795745">
              <w:rPr>
                <w:i/>
                <w:iCs/>
                <w:noProof/>
                <w:webHidden/>
              </w:rPr>
              <w:t>23</w:t>
            </w:r>
            <w:r w:rsidR="00795745" w:rsidRPr="00795745">
              <w:rPr>
                <w:i/>
                <w:iCs/>
                <w:noProof/>
                <w:webHidden/>
              </w:rPr>
              <w:fldChar w:fldCharType="end"/>
            </w:r>
          </w:hyperlink>
        </w:p>
        <w:p w14:paraId="06C3897D" w14:textId="2F3A0626" w:rsidR="00795745" w:rsidRPr="00795745" w:rsidRDefault="00BB0761" w:rsidP="00795745">
          <w:pPr>
            <w:pStyle w:val="TOC3"/>
            <w:ind w:right="1183"/>
            <w:rPr>
              <w:rFonts w:asciiTheme="minorHAnsi" w:eastAsiaTheme="minorEastAsia" w:hAnsiTheme="minorHAnsi" w:cstheme="minorBidi"/>
              <w:i/>
              <w:iCs/>
              <w:noProof/>
              <w:sz w:val="22"/>
              <w:lang w:val="en-IE" w:eastAsia="ko-KR"/>
            </w:rPr>
          </w:pPr>
          <w:hyperlink w:anchor="_Toc155952170" w:history="1">
            <w:r w:rsidR="00795745" w:rsidRPr="00795745">
              <w:rPr>
                <w:rStyle w:val="Hyperlink"/>
                <w:i/>
                <w:iCs/>
                <w:noProof/>
              </w:rPr>
              <w:t>3.2.3.</w:t>
            </w:r>
            <w:r w:rsidR="00795745" w:rsidRPr="00795745">
              <w:rPr>
                <w:rFonts w:asciiTheme="minorHAnsi" w:eastAsiaTheme="minorEastAsia" w:hAnsiTheme="minorHAnsi" w:cstheme="minorBidi"/>
                <w:i/>
                <w:iCs/>
                <w:noProof/>
                <w:sz w:val="22"/>
                <w:lang w:val="en-IE" w:eastAsia="ko-KR"/>
              </w:rPr>
              <w:tab/>
            </w:r>
            <w:r w:rsidR="00795745" w:rsidRPr="00795745">
              <w:rPr>
                <w:rStyle w:val="Hyperlink"/>
                <w:i/>
                <w:iCs/>
                <w:noProof/>
              </w:rPr>
              <w:t>Szacunkowy wpływ na zasoby ludzkie Europolu</w:t>
            </w:r>
            <w:r w:rsidR="00795745" w:rsidRPr="00795745">
              <w:rPr>
                <w:i/>
                <w:iCs/>
                <w:noProof/>
                <w:webHidden/>
              </w:rPr>
              <w:tab/>
            </w:r>
            <w:r w:rsidR="00795745" w:rsidRPr="00795745">
              <w:rPr>
                <w:i/>
                <w:iCs/>
                <w:noProof/>
                <w:webHidden/>
              </w:rPr>
              <w:fldChar w:fldCharType="begin"/>
            </w:r>
            <w:r w:rsidR="00795745" w:rsidRPr="00795745">
              <w:rPr>
                <w:i/>
                <w:iCs/>
                <w:noProof/>
                <w:webHidden/>
              </w:rPr>
              <w:instrText xml:space="preserve"> PAGEREF _Toc155952170 \h </w:instrText>
            </w:r>
            <w:r w:rsidR="00795745" w:rsidRPr="00795745">
              <w:rPr>
                <w:i/>
                <w:iCs/>
                <w:noProof/>
                <w:webHidden/>
              </w:rPr>
            </w:r>
            <w:r w:rsidR="00795745" w:rsidRPr="00795745">
              <w:rPr>
                <w:i/>
                <w:iCs/>
                <w:noProof/>
                <w:webHidden/>
              </w:rPr>
              <w:fldChar w:fldCharType="separate"/>
            </w:r>
            <w:r w:rsidR="00795745" w:rsidRPr="00795745">
              <w:rPr>
                <w:i/>
                <w:iCs/>
                <w:noProof/>
                <w:webHidden/>
              </w:rPr>
              <w:t>25</w:t>
            </w:r>
            <w:r w:rsidR="00795745" w:rsidRPr="00795745">
              <w:rPr>
                <w:i/>
                <w:iCs/>
                <w:noProof/>
                <w:webHidden/>
              </w:rPr>
              <w:fldChar w:fldCharType="end"/>
            </w:r>
          </w:hyperlink>
        </w:p>
        <w:p w14:paraId="167E2966" w14:textId="6837E88D" w:rsidR="00795745" w:rsidRPr="00795745" w:rsidRDefault="00BB0761" w:rsidP="00795745">
          <w:pPr>
            <w:pStyle w:val="TOC3"/>
            <w:ind w:right="1183"/>
            <w:rPr>
              <w:rFonts w:asciiTheme="minorHAnsi" w:eastAsiaTheme="minorEastAsia" w:hAnsiTheme="minorHAnsi" w:cstheme="minorBidi"/>
              <w:i/>
              <w:iCs/>
              <w:noProof/>
              <w:sz w:val="22"/>
              <w:lang w:val="en-IE" w:eastAsia="ko-KR"/>
            </w:rPr>
          </w:pPr>
          <w:hyperlink w:anchor="_Toc155952171" w:history="1">
            <w:r w:rsidR="00795745" w:rsidRPr="00795745">
              <w:rPr>
                <w:rStyle w:val="Hyperlink"/>
                <w:i/>
                <w:iCs/>
                <w:noProof/>
              </w:rPr>
              <w:t>3.2.4.</w:t>
            </w:r>
            <w:r w:rsidR="00795745" w:rsidRPr="00795745">
              <w:rPr>
                <w:rFonts w:asciiTheme="minorHAnsi" w:eastAsiaTheme="minorEastAsia" w:hAnsiTheme="minorHAnsi" w:cstheme="minorBidi"/>
                <w:i/>
                <w:iCs/>
                <w:noProof/>
                <w:sz w:val="22"/>
                <w:lang w:val="en-IE" w:eastAsia="ko-KR"/>
              </w:rPr>
              <w:tab/>
            </w:r>
            <w:r w:rsidR="00795745" w:rsidRPr="00795745">
              <w:rPr>
                <w:rStyle w:val="Hyperlink"/>
                <w:i/>
                <w:iCs/>
                <w:noProof/>
              </w:rPr>
              <w:t>Zgodność z obowiązującymi wieloletnimi ramami finansowymi</w:t>
            </w:r>
            <w:r w:rsidR="00795745" w:rsidRPr="00795745">
              <w:rPr>
                <w:i/>
                <w:iCs/>
                <w:noProof/>
                <w:webHidden/>
              </w:rPr>
              <w:tab/>
            </w:r>
            <w:r w:rsidR="00795745" w:rsidRPr="00795745">
              <w:rPr>
                <w:i/>
                <w:iCs/>
                <w:noProof/>
                <w:webHidden/>
              </w:rPr>
              <w:fldChar w:fldCharType="begin"/>
            </w:r>
            <w:r w:rsidR="00795745" w:rsidRPr="00795745">
              <w:rPr>
                <w:i/>
                <w:iCs/>
                <w:noProof/>
                <w:webHidden/>
              </w:rPr>
              <w:instrText xml:space="preserve"> PAGEREF _Toc155952171 \h </w:instrText>
            </w:r>
            <w:r w:rsidR="00795745" w:rsidRPr="00795745">
              <w:rPr>
                <w:i/>
                <w:iCs/>
                <w:noProof/>
                <w:webHidden/>
              </w:rPr>
            </w:r>
            <w:r w:rsidR="00795745" w:rsidRPr="00795745">
              <w:rPr>
                <w:i/>
                <w:iCs/>
                <w:noProof/>
                <w:webHidden/>
              </w:rPr>
              <w:fldChar w:fldCharType="separate"/>
            </w:r>
            <w:r w:rsidR="00795745" w:rsidRPr="00795745">
              <w:rPr>
                <w:i/>
                <w:iCs/>
                <w:noProof/>
                <w:webHidden/>
              </w:rPr>
              <w:t>31</w:t>
            </w:r>
            <w:r w:rsidR="00795745" w:rsidRPr="00795745">
              <w:rPr>
                <w:i/>
                <w:iCs/>
                <w:noProof/>
                <w:webHidden/>
              </w:rPr>
              <w:fldChar w:fldCharType="end"/>
            </w:r>
          </w:hyperlink>
        </w:p>
        <w:p w14:paraId="0106EF3F" w14:textId="1787D006" w:rsidR="00795745" w:rsidRPr="00795745" w:rsidRDefault="00BB0761" w:rsidP="00795745">
          <w:pPr>
            <w:pStyle w:val="TOC3"/>
            <w:ind w:right="1183"/>
            <w:rPr>
              <w:rFonts w:asciiTheme="minorHAnsi" w:eastAsiaTheme="minorEastAsia" w:hAnsiTheme="minorHAnsi" w:cstheme="minorBidi"/>
              <w:i/>
              <w:iCs/>
              <w:noProof/>
              <w:sz w:val="22"/>
              <w:lang w:val="en-IE" w:eastAsia="ko-KR"/>
            </w:rPr>
          </w:pPr>
          <w:hyperlink w:anchor="_Toc155952172" w:history="1">
            <w:r w:rsidR="00795745" w:rsidRPr="00795745">
              <w:rPr>
                <w:rStyle w:val="Hyperlink"/>
                <w:i/>
                <w:iCs/>
                <w:noProof/>
              </w:rPr>
              <w:t>3.2.5.</w:t>
            </w:r>
            <w:r w:rsidR="00795745" w:rsidRPr="00795745">
              <w:rPr>
                <w:rFonts w:asciiTheme="minorHAnsi" w:eastAsiaTheme="minorEastAsia" w:hAnsiTheme="minorHAnsi" w:cstheme="minorBidi"/>
                <w:i/>
                <w:iCs/>
                <w:noProof/>
                <w:sz w:val="22"/>
                <w:lang w:val="en-IE" w:eastAsia="ko-KR"/>
              </w:rPr>
              <w:tab/>
            </w:r>
            <w:r w:rsidR="00795745" w:rsidRPr="00795745">
              <w:rPr>
                <w:rStyle w:val="Hyperlink"/>
                <w:i/>
                <w:iCs/>
                <w:noProof/>
              </w:rPr>
              <w:t>Udział osób trzecich w finansowaniu</w:t>
            </w:r>
            <w:r w:rsidR="00795745" w:rsidRPr="00795745">
              <w:rPr>
                <w:i/>
                <w:iCs/>
                <w:noProof/>
                <w:webHidden/>
              </w:rPr>
              <w:tab/>
            </w:r>
            <w:r w:rsidR="00795745" w:rsidRPr="00795745">
              <w:rPr>
                <w:i/>
                <w:iCs/>
                <w:noProof/>
                <w:webHidden/>
              </w:rPr>
              <w:fldChar w:fldCharType="begin"/>
            </w:r>
            <w:r w:rsidR="00795745" w:rsidRPr="00795745">
              <w:rPr>
                <w:i/>
                <w:iCs/>
                <w:noProof/>
                <w:webHidden/>
              </w:rPr>
              <w:instrText xml:space="preserve"> PAGEREF _Toc155952172 \h </w:instrText>
            </w:r>
            <w:r w:rsidR="00795745" w:rsidRPr="00795745">
              <w:rPr>
                <w:i/>
                <w:iCs/>
                <w:noProof/>
                <w:webHidden/>
              </w:rPr>
            </w:r>
            <w:r w:rsidR="00795745" w:rsidRPr="00795745">
              <w:rPr>
                <w:i/>
                <w:iCs/>
                <w:noProof/>
                <w:webHidden/>
              </w:rPr>
              <w:fldChar w:fldCharType="separate"/>
            </w:r>
            <w:r w:rsidR="00795745" w:rsidRPr="00795745">
              <w:rPr>
                <w:i/>
                <w:iCs/>
                <w:noProof/>
                <w:webHidden/>
              </w:rPr>
              <w:t>31</w:t>
            </w:r>
            <w:r w:rsidR="00795745" w:rsidRPr="00795745">
              <w:rPr>
                <w:i/>
                <w:iCs/>
                <w:noProof/>
                <w:webHidden/>
              </w:rPr>
              <w:fldChar w:fldCharType="end"/>
            </w:r>
          </w:hyperlink>
        </w:p>
        <w:p w14:paraId="0214F86A" w14:textId="40EA5EA3" w:rsidR="00795745" w:rsidRPr="00795745" w:rsidRDefault="00BB0761" w:rsidP="00795745">
          <w:pPr>
            <w:pStyle w:val="TOC2"/>
            <w:ind w:right="1183"/>
            <w:rPr>
              <w:rFonts w:asciiTheme="minorHAnsi" w:eastAsiaTheme="minorEastAsia" w:hAnsiTheme="minorHAnsi" w:cstheme="minorBidi"/>
              <w:b/>
              <w:bCs/>
              <w:noProof/>
              <w:sz w:val="22"/>
              <w:lang w:val="en-IE" w:eastAsia="ko-KR"/>
            </w:rPr>
          </w:pPr>
          <w:hyperlink w:anchor="_Toc155952173" w:history="1">
            <w:r w:rsidR="00795745" w:rsidRPr="00795745">
              <w:rPr>
                <w:rStyle w:val="Hyperlink"/>
                <w:b/>
                <w:bCs/>
                <w:noProof/>
              </w:rPr>
              <w:t>3.3.</w:t>
            </w:r>
            <w:r w:rsidR="00795745" w:rsidRPr="00795745">
              <w:rPr>
                <w:rFonts w:asciiTheme="minorHAnsi" w:eastAsiaTheme="minorEastAsia" w:hAnsiTheme="minorHAnsi" w:cstheme="minorBidi"/>
                <w:b/>
                <w:bCs/>
                <w:noProof/>
                <w:sz w:val="22"/>
                <w:lang w:val="en-IE" w:eastAsia="ko-KR"/>
              </w:rPr>
              <w:tab/>
            </w:r>
            <w:r w:rsidR="00795745" w:rsidRPr="00795745">
              <w:rPr>
                <w:rStyle w:val="Hyperlink"/>
                <w:b/>
                <w:bCs/>
                <w:noProof/>
              </w:rPr>
              <w:t>Szacunkowy wpływ na dochody</w:t>
            </w:r>
            <w:r w:rsidR="00795745" w:rsidRPr="00795745">
              <w:rPr>
                <w:b/>
                <w:bCs/>
                <w:noProof/>
                <w:webHidden/>
              </w:rPr>
              <w:tab/>
            </w:r>
            <w:r w:rsidR="00795745" w:rsidRPr="00795745">
              <w:rPr>
                <w:b/>
                <w:bCs/>
                <w:noProof/>
                <w:webHidden/>
              </w:rPr>
              <w:fldChar w:fldCharType="begin"/>
            </w:r>
            <w:r w:rsidR="00795745" w:rsidRPr="00795745">
              <w:rPr>
                <w:b/>
                <w:bCs/>
                <w:noProof/>
                <w:webHidden/>
              </w:rPr>
              <w:instrText xml:space="preserve"> PAGEREF _Toc155952173 \h </w:instrText>
            </w:r>
            <w:r w:rsidR="00795745" w:rsidRPr="00795745">
              <w:rPr>
                <w:b/>
                <w:bCs/>
                <w:noProof/>
                <w:webHidden/>
              </w:rPr>
            </w:r>
            <w:r w:rsidR="00795745" w:rsidRPr="00795745">
              <w:rPr>
                <w:b/>
                <w:bCs/>
                <w:noProof/>
                <w:webHidden/>
              </w:rPr>
              <w:fldChar w:fldCharType="separate"/>
            </w:r>
            <w:r w:rsidR="00795745" w:rsidRPr="00795745">
              <w:rPr>
                <w:b/>
                <w:bCs/>
                <w:noProof/>
                <w:webHidden/>
              </w:rPr>
              <w:t>32</w:t>
            </w:r>
            <w:r w:rsidR="00795745" w:rsidRPr="00795745">
              <w:rPr>
                <w:b/>
                <w:bCs/>
                <w:noProof/>
                <w:webHidden/>
              </w:rPr>
              <w:fldChar w:fldCharType="end"/>
            </w:r>
          </w:hyperlink>
        </w:p>
        <w:p w14:paraId="6CB3EF2E" w14:textId="798ABAA5" w:rsidR="00AB4A6F" w:rsidRPr="00FF009C" w:rsidRDefault="00AB4A6F" w:rsidP="00795745">
          <w:pPr>
            <w:ind w:right="1183"/>
            <w:rPr>
              <w:noProof/>
            </w:rPr>
          </w:pPr>
          <w:r w:rsidRPr="00FF009C">
            <w:rPr>
              <w:b/>
              <w:noProof/>
              <w:shd w:val="clear" w:color="auto" w:fill="E6E6E6"/>
            </w:rPr>
            <w:fldChar w:fldCharType="end"/>
          </w:r>
        </w:p>
      </w:sdtContent>
    </w:sdt>
    <w:p w14:paraId="4DEB9B84" w14:textId="77777777" w:rsidR="00AB4A6F" w:rsidRPr="00FF009C" w:rsidRDefault="00AB4A6F" w:rsidP="00AB4A6F">
      <w:pPr>
        <w:rPr>
          <w:noProof/>
        </w:rPr>
        <w:sectPr w:rsidR="00AB4A6F" w:rsidRPr="00FF009C" w:rsidSect="004E3534">
          <w:pgSz w:w="12240" w:h="15840"/>
          <w:pgMar w:top="794" w:right="907" w:bottom="851" w:left="1361" w:header="510" w:footer="454" w:gutter="0"/>
          <w:pgNumType w:start="0"/>
          <w:cols w:space="720"/>
          <w:docGrid w:linePitch="326"/>
        </w:sectPr>
      </w:pPr>
    </w:p>
    <w:p w14:paraId="62B9EEB1" w14:textId="77777777" w:rsidR="00AB4A6F" w:rsidRPr="00FF009C" w:rsidRDefault="00AB4A6F" w:rsidP="00AB4A6F">
      <w:pPr>
        <w:jc w:val="center"/>
        <w:rPr>
          <w:b/>
          <w:noProof/>
        </w:rPr>
      </w:pPr>
      <w:r w:rsidRPr="00FF009C">
        <w:rPr>
          <w:noProof/>
        </w:rPr>
        <w:br/>
      </w:r>
      <w:r w:rsidRPr="00FF009C">
        <w:rPr>
          <w:noProof/>
        </w:rPr>
        <w:br/>
      </w:r>
      <w:r w:rsidRPr="00FF009C">
        <w:rPr>
          <w:b/>
          <w:noProof/>
        </w:rPr>
        <w:t>OCENA SKUTKÓW FINANSOWYCH REGULACJI – „AGENCJE”</w:t>
      </w:r>
    </w:p>
    <w:p w14:paraId="1206F10B" w14:textId="77777777" w:rsidR="00AB4A6F" w:rsidRPr="00FF009C" w:rsidRDefault="00AB4A6F">
      <w:pPr>
        <w:pStyle w:val="ManualHeading1"/>
        <w:rPr>
          <w:noProof/>
        </w:rPr>
      </w:pPr>
      <w:bookmarkStart w:id="7" w:name="_Toc514938659"/>
      <w:bookmarkStart w:id="8" w:name="_Toc155952141"/>
      <w:r w:rsidRPr="00FF009C">
        <w:rPr>
          <w:noProof/>
        </w:rPr>
        <w:t>1.</w:t>
      </w:r>
      <w:r w:rsidRPr="00FF009C">
        <w:rPr>
          <w:noProof/>
        </w:rPr>
        <w:tab/>
        <w:t>STRUKTURA WNIOSKU/INICJATYWY</w:t>
      </w:r>
      <w:bookmarkEnd w:id="7"/>
      <w:bookmarkEnd w:id="8"/>
      <w:r w:rsidRPr="00FF009C">
        <w:rPr>
          <w:noProof/>
        </w:rPr>
        <w:t xml:space="preserve"> </w:t>
      </w:r>
    </w:p>
    <w:p w14:paraId="2F59E653" w14:textId="77777777" w:rsidR="00AB4A6F" w:rsidRPr="00FF009C" w:rsidRDefault="00AB4A6F">
      <w:pPr>
        <w:pStyle w:val="ManualHeading2"/>
        <w:rPr>
          <w:noProof/>
        </w:rPr>
      </w:pPr>
      <w:bookmarkStart w:id="9" w:name="_Toc514938660"/>
      <w:bookmarkStart w:id="10" w:name="_Toc155952142"/>
      <w:r w:rsidRPr="00FF009C">
        <w:rPr>
          <w:noProof/>
        </w:rPr>
        <w:t>1.1.</w:t>
      </w:r>
      <w:r w:rsidRPr="00FF009C">
        <w:rPr>
          <w:noProof/>
        </w:rPr>
        <w:tab/>
        <w:t>Tytuł wniosku/inicjatywy</w:t>
      </w:r>
      <w:bookmarkEnd w:id="9"/>
      <w:bookmarkEnd w:id="10"/>
    </w:p>
    <w:p w14:paraId="26E5C1E4" w14:textId="5325F862" w:rsidR="00AB4A6F" w:rsidRPr="00FF009C" w:rsidRDefault="00AB4A6F" w:rsidP="00AB4A6F">
      <w:pPr>
        <w:pStyle w:val="Text1"/>
        <w:pBdr>
          <w:top w:val="single" w:sz="4" w:space="1" w:color="000000"/>
          <w:left w:val="single" w:sz="4" w:space="4" w:color="000000"/>
          <w:bottom w:val="single" w:sz="4" w:space="1" w:color="000000"/>
          <w:right w:val="single" w:sz="4" w:space="4" w:color="000000"/>
        </w:pBdr>
        <w:rPr>
          <w:noProof/>
        </w:rPr>
      </w:pPr>
      <w:r w:rsidRPr="00FF009C">
        <w:rPr>
          <w:noProof/>
        </w:rPr>
        <w:t>Wniosek dotyczący rozporządzenia Parlamentu Europejskiego</w:t>
      </w:r>
      <w:r w:rsidR="00FF009C" w:rsidRPr="00FF009C">
        <w:rPr>
          <w:noProof/>
        </w:rPr>
        <w:t xml:space="preserve"> i</w:t>
      </w:r>
      <w:r w:rsidR="00FF009C">
        <w:rPr>
          <w:noProof/>
        </w:rPr>
        <w:t> </w:t>
      </w:r>
      <w:r w:rsidR="00FF009C" w:rsidRPr="00FF009C">
        <w:rPr>
          <w:noProof/>
        </w:rPr>
        <w:t>Rad</w:t>
      </w:r>
      <w:r w:rsidRPr="00FF009C">
        <w:rPr>
          <w:noProof/>
        </w:rPr>
        <w:t>y</w:t>
      </w:r>
      <w:r w:rsidR="00FF009C" w:rsidRPr="00FF009C">
        <w:rPr>
          <w:noProof/>
        </w:rPr>
        <w:t xml:space="preserve"> w</w:t>
      </w:r>
      <w:r w:rsidR="00FF009C">
        <w:rPr>
          <w:noProof/>
        </w:rPr>
        <w:t> </w:t>
      </w:r>
      <w:r w:rsidR="00FF009C" w:rsidRPr="00FF009C">
        <w:rPr>
          <w:noProof/>
        </w:rPr>
        <w:t>spr</w:t>
      </w:r>
      <w:r w:rsidRPr="00FF009C">
        <w:rPr>
          <w:noProof/>
        </w:rPr>
        <w:t>awie wzmocnienia współpracy policyjnej</w:t>
      </w:r>
      <w:r w:rsidR="00FF009C" w:rsidRPr="00FF009C">
        <w:rPr>
          <w:noProof/>
        </w:rPr>
        <w:t xml:space="preserve"> w</w:t>
      </w:r>
      <w:r w:rsidR="00FF009C">
        <w:rPr>
          <w:noProof/>
        </w:rPr>
        <w:t> </w:t>
      </w:r>
      <w:r w:rsidR="00FF009C" w:rsidRPr="00FF009C">
        <w:rPr>
          <w:noProof/>
        </w:rPr>
        <w:t>odn</w:t>
      </w:r>
      <w:r w:rsidRPr="00FF009C">
        <w:rPr>
          <w:noProof/>
        </w:rPr>
        <w:t>iesieniu do zapobiegania przemytowi migrantów</w:t>
      </w:r>
      <w:r w:rsidR="00FF009C" w:rsidRPr="00FF009C">
        <w:rPr>
          <w:noProof/>
        </w:rPr>
        <w:t xml:space="preserve"> i</w:t>
      </w:r>
      <w:r w:rsidR="00FF009C">
        <w:rPr>
          <w:noProof/>
        </w:rPr>
        <w:t> </w:t>
      </w:r>
      <w:r w:rsidR="00FF009C" w:rsidRPr="00FF009C">
        <w:rPr>
          <w:noProof/>
        </w:rPr>
        <w:t>han</w:t>
      </w:r>
      <w:r w:rsidRPr="00FF009C">
        <w:rPr>
          <w:noProof/>
        </w:rPr>
        <w:t>dlowi ludźmi, wykrywania tych przestępstw oraz prowadzenia stosownych postępowań przygotowawczych</w:t>
      </w:r>
      <w:r w:rsidR="00FF009C" w:rsidRPr="00FF009C">
        <w:rPr>
          <w:noProof/>
        </w:rPr>
        <w:t xml:space="preserve"> w</w:t>
      </w:r>
      <w:r w:rsidR="00FF009C">
        <w:rPr>
          <w:noProof/>
        </w:rPr>
        <w:t> </w:t>
      </w:r>
      <w:r w:rsidR="00FF009C" w:rsidRPr="00FF009C">
        <w:rPr>
          <w:noProof/>
        </w:rPr>
        <w:t>tym</w:t>
      </w:r>
      <w:r w:rsidRPr="00FF009C">
        <w:rPr>
          <w:noProof/>
        </w:rPr>
        <w:t xml:space="preserve"> zakresie</w:t>
      </w:r>
      <w:r w:rsidR="00FF009C" w:rsidRPr="00FF009C">
        <w:rPr>
          <w:noProof/>
        </w:rPr>
        <w:t xml:space="preserve"> i</w:t>
      </w:r>
      <w:r w:rsidR="00FF009C">
        <w:rPr>
          <w:noProof/>
        </w:rPr>
        <w:t> </w:t>
      </w:r>
      <w:r w:rsidR="00FF009C" w:rsidRPr="00FF009C">
        <w:rPr>
          <w:noProof/>
        </w:rPr>
        <w:t>w</w:t>
      </w:r>
      <w:r w:rsidR="00FF009C">
        <w:rPr>
          <w:noProof/>
        </w:rPr>
        <w:t> </w:t>
      </w:r>
      <w:r w:rsidR="00FF009C" w:rsidRPr="00FF009C">
        <w:rPr>
          <w:noProof/>
        </w:rPr>
        <w:t>spr</w:t>
      </w:r>
      <w:r w:rsidRPr="00FF009C">
        <w:rPr>
          <w:noProof/>
        </w:rPr>
        <w:t xml:space="preserve">awie zwiększenia wsparcia Europolu na rzecz zapobiegania tego rodzaju przestępstwom oraz zmiany rozporządzenia (UE) 2016/794 </w:t>
      </w:r>
    </w:p>
    <w:p w14:paraId="574C0318" w14:textId="123152A6"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Niniejszy wniosek dotyczący rozporządzenia</w:t>
      </w:r>
      <w:r w:rsidR="00FF009C" w:rsidRPr="00FF009C">
        <w:rPr>
          <w:noProof/>
        </w:rPr>
        <w:t xml:space="preserve"> w</w:t>
      </w:r>
      <w:r w:rsidR="00FF009C">
        <w:rPr>
          <w:noProof/>
        </w:rPr>
        <w:t> </w:t>
      </w:r>
      <w:r w:rsidR="00FF009C" w:rsidRPr="00FF009C">
        <w:rPr>
          <w:noProof/>
        </w:rPr>
        <w:t>spr</w:t>
      </w:r>
      <w:r w:rsidRPr="00FF009C">
        <w:rPr>
          <w:noProof/>
        </w:rPr>
        <w:t>awie zwalczania przemytu migrantów</w:t>
      </w:r>
      <w:r w:rsidR="00FF009C" w:rsidRPr="00FF009C">
        <w:rPr>
          <w:noProof/>
        </w:rPr>
        <w:t xml:space="preserve"> i</w:t>
      </w:r>
      <w:r w:rsidR="00FF009C">
        <w:rPr>
          <w:noProof/>
        </w:rPr>
        <w:t> </w:t>
      </w:r>
      <w:r w:rsidR="00FF009C" w:rsidRPr="00FF009C">
        <w:rPr>
          <w:noProof/>
        </w:rPr>
        <w:t>han</w:t>
      </w:r>
      <w:r w:rsidRPr="00FF009C">
        <w:rPr>
          <w:noProof/>
        </w:rPr>
        <w:t>dlu ludźmi stanowi element spójnego pakietu obejmującego również wniosek dotyczący dyrektywy</w:t>
      </w:r>
      <w:r w:rsidR="00FF009C" w:rsidRPr="00FF009C">
        <w:rPr>
          <w:noProof/>
        </w:rPr>
        <w:t xml:space="preserve"> w</w:t>
      </w:r>
      <w:r w:rsidR="00FF009C">
        <w:rPr>
          <w:noProof/>
        </w:rPr>
        <w:t> </w:t>
      </w:r>
      <w:r w:rsidR="00FF009C" w:rsidRPr="00FF009C">
        <w:rPr>
          <w:noProof/>
        </w:rPr>
        <w:t>spr</w:t>
      </w:r>
      <w:r w:rsidRPr="00FF009C">
        <w:rPr>
          <w:noProof/>
        </w:rPr>
        <w:t>awie zapobiegania</w:t>
      </w:r>
      <w:r w:rsidR="00FF009C" w:rsidRPr="00FF009C">
        <w:rPr>
          <w:noProof/>
        </w:rPr>
        <w:t xml:space="preserve"> i</w:t>
      </w:r>
      <w:r w:rsidR="00FF009C">
        <w:rPr>
          <w:noProof/>
        </w:rPr>
        <w:t> </w:t>
      </w:r>
      <w:r w:rsidR="00FF009C" w:rsidRPr="00FF009C">
        <w:rPr>
          <w:noProof/>
        </w:rPr>
        <w:t>prz</w:t>
      </w:r>
      <w:r w:rsidRPr="00FF009C">
        <w:rPr>
          <w:noProof/>
        </w:rPr>
        <w:t>eciwdziałania ułatwianiu niedozwolonego wjazdu, tranzytu</w:t>
      </w:r>
      <w:r w:rsidR="00FF009C" w:rsidRPr="00FF009C">
        <w:rPr>
          <w:noProof/>
        </w:rPr>
        <w:t xml:space="preserve"> i</w:t>
      </w:r>
      <w:r w:rsidR="00FF009C">
        <w:rPr>
          <w:noProof/>
        </w:rPr>
        <w:t> </w:t>
      </w:r>
      <w:r w:rsidR="00FF009C" w:rsidRPr="00FF009C">
        <w:rPr>
          <w:noProof/>
        </w:rPr>
        <w:t>pob</w:t>
      </w:r>
      <w:r w:rsidRPr="00FF009C">
        <w:rPr>
          <w:noProof/>
        </w:rPr>
        <w:t>ytu. Wspólnym celem tych wniosków jest „modernizacja ram prawnych pod kątem walki</w:t>
      </w:r>
      <w:r w:rsidR="00FF009C" w:rsidRPr="00FF009C">
        <w:rPr>
          <w:noProof/>
        </w:rPr>
        <w:t xml:space="preserve"> z</w:t>
      </w:r>
      <w:r w:rsidR="00FF009C">
        <w:rPr>
          <w:noProof/>
        </w:rPr>
        <w:t> </w:t>
      </w:r>
      <w:r w:rsidR="00FF009C" w:rsidRPr="00FF009C">
        <w:rPr>
          <w:noProof/>
        </w:rPr>
        <w:t>prz</w:t>
      </w:r>
      <w:r w:rsidRPr="00FF009C">
        <w:rPr>
          <w:noProof/>
        </w:rPr>
        <w:t>emytem migrantów, aby zapewnić [...] narzędzia prawne</w:t>
      </w:r>
      <w:r w:rsidR="00FF009C" w:rsidRPr="00FF009C">
        <w:rPr>
          <w:noProof/>
        </w:rPr>
        <w:t xml:space="preserve"> i</w:t>
      </w:r>
      <w:r w:rsidR="00FF009C">
        <w:rPr>
          <w:noProof/>
        </w:rPr>
        <w:t> </w:t>
      </w:r>
      <w:r w:rsidR="00FF009C" w:rsidRPr="00FF009C">
        <w:rPr>
          <w:noProof/>
        </w:rPr>
        <w:t>ope</w:t>
      </w:r>
      <w:r w:rsidRPr="00FF009C">
        <w:rPr>
          <w:noProof/>
        </w:rPr>
        <w:t>racyjne niezbędne do reagowania na nowe sposoby działania przemytników”, jak określono</w:t>
      </w:r>
      <w:r w:rsidR="00FF009C" w:rsidRPr="00FF009C">
        <w:rPr>
          <w:noProof/>
        </w:rPr>
        <w:t xml:space="preserve"> w</w:t>
      </w:r>
      <w:r w:rsidR="00FF009C">
        <w:rPr>
          <w:noProof/>
        </w:rPr>
        <w:t> </w:t>
      </w:r>
      <w:r w:rsidR="00FF009C" w:rsidRPr="00FF009C">
        <w:rPr>
          <w:noProof/>
        </w:rPr>
        <w:t>pro</w:t>
      </w:r>
      <w:r w:rsidRPr="00FF009C">
        <w:rPr>
          <w:noProof/>
        </w:rPr>
        <w:t>gramie prac Komisji na</w:t>
      </w:r>
      <w:r w:rsidR="00FF009C" w:rsidRPr="00FF009C">
        <w:rPr>
          <w:noProof/>
        </w:rPr>
        <w:t> </w:t>
      </w:r>
      <w:r w:rsidRPr="00FF009C">
        <w:rPr>
          <w:noProof/>
        </w:rPr>
        <w:t>2024</w:t>
      </w:r>
      <w:r w:rsidR="00FF009C" w:rsidRPr="00FF009C">
        <w:rPr>
          <w:noProof/>
        </w:rPr>
        <w:t> </w:t>
      </w:r>
      <w:r w:rsidRPr="00FF009C">
        <w:rPr>
          <w:noProof/>
        </w:rPr>
        <w:t>r. ogłoszonym 17 października 2023</w:t>
      </w:r>
      <w:r w:rsidR="00FF009C" w:rsidRPr="00FF009C">
        <w:rPr>
          <w:noProof/>
        </w:rPr>
        <w:t> </w:t>
      </w:r>
      <w:r w:rsidRPr="00FF009C">
        <w:rPr>
          <w:noProof/>
        </w:rPr>
        <w:t>r.</w:t>
      </w:r>
    </w:p>
    <w:p w14:paraId="1A1FA38F" w14:textId="77777777"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 xml:space="preserve"> </w:t>
      </w:r>
    </w:p>
    <w:p w14:paraId="4AD277BF" w14:textId="77777777" w:rsidR="00AB4A6F" w:rsidRPr="00FF009C" w:rsidRDefault="00AB4A6F">
      <w:pPr>
        <w:pStyle w:val="ManualHeading2"/>
        <w:rPr>
          <w:noProof/>
        </w:rPr>
      </w:pPr>
      <w:bookmarkStart w:id="11" w:name="_Toc514938661"/>
      <w:bookmarkStart w:id="12" w:name="_Toc155952143"/>
      <w:r w:rsidRPr="00FF009C">
        <w:rPr>
          <w:noProof/>
        </w:rPr>
        <w:t>1.2.</w:t>
      </w:r>
      <w:r w:rsidRPr="00FF009C">
        <w:rPr>
          <w:noProof/>
        </w:rPr>
        <w:tab/>
        <w:t>Obszary polityki, których dotyczy wniosek</w:t>
      </w:r>
      <w:bookmarkEnd w:id="11"/>
      <w:bookmarkEnd w:id="12"/>
    </w:p>
    <w:p w14:paraId="0748A937" w14:textId="77777777"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Dziedzina polityki: Sprawy wewnętrzne</w:t>
      </w:r>
    </w:p>
    <w:p w14:paraId="099059C2" w14:textId="77777777"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Działanie: Bezpieczeństwo</w:t>
      </w:r>
    </w:p>
    <w:p w14:paraId="01D0127D" w14:textId="77777777"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 xml:space="preserve">12 10 01: Europol </w:t>
      </w:r>
    </w:p>
    <w:p w14:paraId="266202EE" w14:textId="77777777" w:rsidR="00AB4A6F" w:rsidRPr="00FF009C" w:rsidRDefault="00AB4A6F">
      <w:pPr>
        <w:pStyle w:val="ManualHeading2"/>
        <w:rPr>
          <w:noProof/>
        </w:rPr>
      </w:pPr>
      <w:bookmarkStart w:id="13" w:name="_Toc514938662"/>
      <w:bookmarkStart w:id="14" w:name="_Toc155952144"/>
      <w:r w:rsidRPr="00FF009C">
        <w:rPr>
          <w:noProof/>
        </w:rPr>
        <w:t>1.3.</w:t>
      </w:r>
      <w:r w:rsidRPr="00FF009C">
        <w:rPr>
          <w:noProof/>
        </w:rPr>
        <w:tab/>
        <w:t>Wniosek dotyczy</w:t>
      </w:r>
      <w:bookmarkEnd w:id="13"/>
      <w:bookmarkEnd w:id="14"/>
      <w:r w:rsidRPr="00FF009C">
        <w:rPr>
          <w:noProof/>
        </w:rPr>
        <w:t xml:space="preserve"> </w:t>
      </w:r>
    </w:p>
    <w:p w14:paraId="19171CD0" w14:textId="77777777" w:rsidR="00AB4A6F" w:rsidRPr="00FF009C" w:rsidRDefault="00AB4A6F" w:rsidP="00AB4A6F">
      <w:pPr>
        <w:pStyle w:val="Text1"/>
        <w:rPr>
          <w:b/>
          <w:noProof/>
        </w:rPr>
      </w:pPr>
      <w:r w:rsidRPr="00FF009C">
        <w:rPr>
          <w:rFonts w:ascii="Wingdings" w:hAnsi="Wingdings"/>
          <w:noProof/>
        </w:rPr>
        <w:t></w:t>
      </w:r>
      <w:r w:rsidRPr="00FF009C">
        <w:rPr>
          <w:b/>
          <w:i/>
          <w:noProof/>
        </w:rPr>
        <w:t xml:space="preserve"> </w:t>
      </w:r>
      <w:r w:rsidRPr="00FF009C">
        <w:rPr>
          <w:b/>
          <w:noProof/>
        </w:rPr>
        <w:t xml:space="preserve">nowego działania </w:t>
      </w:r>
    </w:p>
    <w:p w14:paraId="26B91275" w14:textId="77777777" w:rsidR="00AB4A6F" w:rsidRPr="00FF009C" w:rsidRDefault="00AB4A6F" w:rsidP="00AB4A6F">
      <w:pPr>
        <w:pStyle w:val="Text1"/>
        <w:rPr>
          <w:noProof/>
          <w:sz w:val="22"/>
        </w:rPr>
      </w:pPr>
      <w:r w:rsidRPr="00FF009C">
        <w:rPr>
          <w:rFonts w:ascii="Wingdings" w:hAnsi="Wingdings"/>
          <w:noProof/>
        </w:rPr>
        <w:t></w:t>
      </w:r>
      <w:r w:rsidRPr="00FF009C">
        <w:rPr>
          <w:i/>
          <w:noProof/>
        </w:rPr>
        <w:t xml:space="preserve"> </w:t>
      </w:r>
      <w:r w:rsidRPr="00FF009C">
        <w:rPr>
          <w:b/>
          <w:noProof/>
        </w:rPr>
        <w:t>nowego działania, będącego następstwem projektu pilotażowego/działania przygotowawczego</w:t>
      </w:r>
      <w:r w:rsidRPr="00FF009C">
        <w:rPr>
          <w:rStyle w:val="FootnoteReference0"/>
          <w:b/>
          <w:bCs/>
          <w:noProof/>
        </w:rPr>
        <w:footnoteReference w:id="28"/>
      </w:r>
      <w:r w:rsidRPr="00FF009C">
        <w:rPr>
          <w:noProof/>
          <w:sz w:val="22"/>
        </w:rPr>
        <w:t xml:space="preserve"> </w:t>
      </w:r>
    </w:p>
    <w:p w14:paraId="2505E381" w14:textId="77777777" w:rsidR="00AB4A6F" w:rsidRPr="00FF009C" w:rsidRDefault="00AB4A6F" w:rsidP="00AB4A6F">
      <w:pPr>
        <w:pStyle w:val="Text1"/>
        <w:rPr>
          <w:noProof/>
        </w:rPr>
      </w:pPr>
      <w:r w:rsidRPr="00FF009C">
        <w:rPr>
          <w:rFonts w:ascii="Wingdings" w:hAnsi="Wingdings"/>
          <w:noProof/>
        </w:rPr>
        <w:t></w:t>
      </w:r>
      <w:r w:rsidRPr="00FF009C">
        <w:rPr>
          <w:b/>
          <w:noProof/>
        </w:rPr>
        <w:t>przedłużenia bieżącego działania</w:t>
      </w:r>
      <w:r w:rsidRPr="00FF009C">
        <w:rPr>
          <w:noProof/>
        </w:rPr>
        <w:t xml:space="preserve"> </w:t>
      </w:r>
    </w:p>
    <w:p w14:paraId="6DF58CE6" w14:textId="77777777" w:rsidR="00AB4A6F" w:rsidRPr="00FF009C" w:rsidRDefault="00AB4A6F" w:rsidP="00AB4A6F">
      <w:pPr>
        <w:pStyle w:val="Text1"/>
        <w:rPr>
          <w:noProof/>
        </w:rPr>
      </w:pPr>
      <w:r w:rsidRPr="00FF009C">
        <w:rPr>
          <w:rFonts w:ascii="Wingdings" w:hAnsi="Wingdings"/>
          <w:noProof/>
        </w:rPr>
        <w:t></w:t>
      </w:r>
      <w:r w:rsidRPr="00FF009C">
        <w:rPr>
          <w:i/>
          <w:noProof/>
        </w:rPr>
        <w:t xml:space="preserve"> </w:t>
      </w:r>
      <w:r w:rsidRPr="00FF009C">
        <w:rPr>
          <w:b/>
          <w:noProof/>
        </w:rPr>
        <w:t>połączenia lub przekształcenia co najmniej jednego działania pod kątem innego/nowego działania</w:t>
      </w:r>
      <w:r w:rsidRPr="00FF009C">
        <w:rPr>
          <w:noProof/>
        </w:rPr>
        <w:t xml:space="preserve"> </w:t>
      </w:r>
    </w:p>
    <w:p w14:paraId="002B46E0" w14:textId="77777777" w:rsidR="00AB4A6F" w:rsidRPr="00FF009C" w:rsidRDefault="00AB4A6F">
      <w:pPr>
        <w:pStyle w:val="ManualHeading2"/>
        <w:rPr>
          <w:noProof/>
        </w:rPr>
      </w:pPr>
      <w:bookmarkStart w:id="15" w:name="_Toc514938663"/>
      <w:bookmarkStart w:id="16" w:name="_Toc155952145"/>
      <w:r w:rsidRPr="00FF009C">
        <w:rPr>
          <w:noProof/>
        </w:rPr>
        <w:t>1.4.</w:t>
      </w:r>
      <w:r w:rsidRPr="00FF009C">
        <w:rPr>
          <w:noProof/>
        </w:rPr>
        <w:tab/>
        <w:t>Cel(e)</w:t>
      </w:r>
      <w:bookmarkEnd w:id="15"/>
      <w:bookmarkEnd w:id="16"/>
    </w:p>
    <w:p w14:paraId="174AA178" w14:textId="77777777" w:rsidR="00AB4A6F" w:rsidRPr="00FF009C" w:rsidRDefault="00AB4A6F">
      <w:pPr>
        <w:pStyle w:val="ManualHeading3"/>
        <w:rPr>
          <w:noProof/>
        </w:rPr>
      </w:pPr>
      <w:bookmarkStart w:id="17" w:name="_Toc514938664"/>
      <w:bookmarkStart w:id="18" w:name="_Toc155952146"/>
      <w:r w:rsidRPr="00FF009C">
        <w:rPr>
          <w:noProof/>
        </w:rPr>
        <w:t>1.4.1.</w:t>
      </w:r>
      <w:r w:rsidRPr="00FF009C">
        <w:rPr>
          <w:noProof/>
        </w:rPr>
        <w:tab/>
        <w:t>Cel(e) ogólny(e)</w:t>
      </w:r>
      <w:bookmarkEnd w:id="17"/>
      <w:bookmarkEnd w:id="18"/>
      <w:r w:rsidRPr="00FF009C">
        <w:rPr>
          <w:noProof/>
        </w:rPr>
        <w:t xml:space="preserve"> </w:t>
      </w:r>
    </w:p>
    <w:p w14:paraId="252144E0" w14:textId="7F50A460" w:rsidR="00AB4A6F" w:rsidRPr="00FF009C" w:rsidRDefault="00AB4A6F" w:rsidP="00977077">
      <w:pPr>
        <w:pStyle w:val="Text1"/>
        <w:pBdr>
          <w:top w:val="single" w:sz="4" w:space="1" w:color="auto"/>
          <w:left w:val="single" w:sz="4" w:space="4" w:color="auto"/>
          <w:bottom w:val="single" w:sz="4" w:space="1" w:color="auto"/>
          <w:right w:val="single" w:sz="4" w:space="4" w:color="auto"/>
        </w:pBdr>
        <w:ind w:left="490"/>
        <w:rPr>
          <w:noProof/>
        </w:rPr>
      </w:pPr>
      <w:r w:rsidRPr="00FF009C">
        <w:rPr>
          <w:noProof/>
        </w:rPr>
        <w:t>W odpowiedzi na pilne potrzeby operacyjne i po zidentyfikowaniu luk</w:t>
      </w:r>
      <w:r w:rsidR="00FF009C" w:rsidRPr="00FF009C">
        <w:rPr>
          <w:noProof/>
        </w:rPr>
        <w:t xml:space="preserve"> w</w:t>
      </w:r>
      <w:r w:rsidR="00FF009C">
        <w:rPr>
          <w:noProof/>
        </w:rPr>
        <w:t> </w:t>
      </w:r>
      <w:r w:rsidR="00FF009C" w:rsidRPr="00FF009C">
        <w:rPr>
          <w:noProof/>
        </w:rPr>
        <w:t>obs</w:t>
      </w:r>
      <w:r w:rsidRPr="00FF009C">
        <w:rPr>
          <w:noProof/>
        </w:rPr>
        <w:t>zarze przeciwdziałania przemytowi migrantów</w:t>
      </w:r>
      <w:r w:rsidR="00FF009C" w:rsidRPr="00FF009C">
        <w:rPr>
          <w:noProof/>
        </w:rPr>
        <w:t xml:space="preserve"> w</w:t>
      </w:r>
      <w:r w:rsidR="00FF009C">
        <w:rPr>
          <w:noProof/>
        </w:rPr>
        <w:t> </w:t>
      </w:r>
      <w:r w:rsidR="00FF009C" w:rsidRPr="00FF009C">
        <w:rPr>
          <w:noProof/>
        </w:rPr>
        <w:t>pro</w:t>
      </w:r>
      <w:r w:rsidRPr="00FF009C">
        <w:rPr>
          <w:noProof/>
        </w:rPr>
        <w:t>gramie prac Komisji na</w:t>
      </w:r>
      <w:r w:rsidR="00FF009C" w:rsidRPr="00FF009C">
        <w:rPr>
          <w:noProof/>
        </w:rPr>
        <w:t> </w:t>
      </w:r>
      <w:r w:rsidRPr="00FF009C">
        <w:rPr>
          <w:noProof/>
        </w:rPr>
        <w:t>2024</w:t>
      </w:r>
      <w:r w:rsidR="00FF009C" w:rsidRPr="00FF009C">
        <w:rPr>
          <w:noProof/>
        </w:rPr>
        <w:t> </w:t>
      </w:r>
      <w:r w:rsidRPr="00FF009C">
        <w:rPr>
          <w:noProof/>
        </w:rPr>
        <w:t>r. ogłoszono, że Komisja „zaproponuje [...] modernizację ram prawnych pod kątem walki</w:t>
      </w:r>
      <w:r w:rsidR="00FF009C" w:rsidRPr="00FF009C">
        <w:rPr>
          <w:noProof/>
        </w:rPr>
        <w:t xml:space="preserve"> z</w:t>
      </w:r>
      <w:r w:rsidR="00FF009C">
        <w:rPr>
          <w:noProof/>
        </w:rPr>
        <w:t> </w:t>
      </w:r>
      <w:r w:rsidR="00FF009C" w:rsidRPr="00FF009C">
        <w:rPr>
          <w:noProof/>
        </w:rPr>
        <w:t>prz</w:t>
      </w:r>
      <w:r w:rsidRPr="00FF009C">
        <w:rPr>
          <w:noProof/>
        </w:rPr>
        <w:t>emytem migrantów, aby zapewnić nam narzędzia prawne</w:t>
      </w:r>
      <w:r w:rsidR="00FF009C" w:rsidRPr="00FF009C">
        <w:rPr>
          <w:noProof/>
        </w:rPr>
        <w:t xml:space="preserve"> i</w:t>
      </w:r>
      <w:r w:rsidR="00FF009C">
        <w:rPr>
          <w:noProof/>
        </w:rPr>
        <w:t> </w:t>
      </w:r>
      <w:r w:rsidR="00FF009C" w:rsidRPr="00FF009C">
        <w:rPr>
          <w:noProof/>
        </w:rPr>
        <w:t>ope</w:t>
      </w:r>
      <w:r w:rsidRPr="00FF009C">
        <w:rPr>
          <w:noProof/>
        </w:rPr>
        <w:t>racyjne niezbędne do reagowania na nowe sposoby działania przemytników” (zob. COM(2023) 638 final). Proponowana modernizacja stanowiła następstwo oświadczeń złożonych przez przewodniczącą Ursulę von der Leyen</w:t>
      </w:r>
      <w:r w:rsidR="00FF009C" w:rsidRPr="00FF009C">
        <w:rPr>
          <w:noProof/>
        </w:rPr>
        <w:t xml:space="preserve"> w</w:t>
      </w:r>
      <w:r w:rsidR="00FF009C">
        <w:rPr>
          <w:noProof/>
        </w:rPr>
        <w:t> </w:t>
      </w:r>
      <w:r w:rsidR="00FF009C" w:rsidRPr="00FF009C">
        <w:rPr>
          <w:noProof/>
        </w:rPr>
        <w:t>orę</w:t>
      </w:r>
      <w:r w:rsidRPr="00FF009C">
        <w:rPr>
          <w:noProof/>
        </w:rPr>
        <w:t>dziu</w:t>
      </w:r>
      <w:r w:rsidR="00FF009C" w:rsidRPr="00FF009C">
        <w:rPr>
          <w:noProof/>
        </w:rPr>
        <w:t xml:space="preserve"> o</w:t>
      </w:r>
      <w:r w:rsidR="00FF009C">
        <w:rPr>
          <w:noProof/>
        </w:rPr>
        <w:t> </w:t>
      </w:r>
      <w:r w:rsidR="00FF009C" w:rsidRPr="00FF009C">
        <w:rPr>
          <w:noProof/>
        </w:rPr>
        <w:t>sta</w:t>
      </w:r>
      <w:r w:rsidRPr="00FF009C">
        <w:rPr>
          <w:noProof/>
        </w:rPr>
        <w:t>nie Unii</w:t>
      </w:r>
      <w:r w:rsidR="00FF009C" w:rsidRPr="00FF009C">
        <w:rPr>
          <w:noProof/>
        </w:rPr>
        <w:t xml:space="preserve"> z</w:t>
      </w:r>
      <w:r w:rsidR="00FF009C">
        <w:rPr>
          <w:noProof/>
        </w:rPr>
        <w:t> </w:t>
      </w:r>
      <w:r w:rsidR="00FF009C" w:rsidRPr="00FF009C">
        <w:rPr>
          <w:noProof/>
        </w:rPr>
        <w:t>2</w:t>
      </w:r>
      <w:r w:rsidRPr="00FF009C">
        <w:rPr>
          <w:noProof/>
        </w:rPr>
        <w:t>023</w:t>
      </w:r>
      <w:r w:rsidR="00FF009C" w:rsidRPr="00FF009C">
        <w:rPr>
          <w:noProof/>
        </w:rPr>
        <w:t> </w:t>
      </w:r>
      <w:r w:rsidRPr="00FF009C">
        <w:rPr>
          <w:noProof/>
        </w:rPr>
        <w:t>r. Oczekuje się, że ta inicjatywa ustawodawcza usprawni walkę</w:t>
      </w:r>
      <w:r w:rsidR="00FF009C" w:rsidRPr="00FF009C">
        <w:rPr>
          <w:noProof/>
        </w:rPr>
        <w:t xml:space="preserve"> z</w:t>
      </w:r>
      <w:r w:rsidR="00FF009C">
        <w:rPr>
          <w:noProof/>
        </w:rPr>
        <w:t> </w:t>
      </w:r>
      <w:r w:rsidR="00FF009C" w:rsidRPr="00FF009C">
        <w:rPr>
          <w:noProof/>
        </w:rPr>
        <w:t>prz</w:t>
      </w:r>
      <w:r w:rsidRPr="00FF009C">
        <w:rPr>
          <w:noProof/>
        </w:rPr>
        <w:t>emytem migrantów</w:t>
      </w:r>
      <w:r w:rsidR="00FF009C" w:rsidRPr="00FF009C">
        <w:rPr>
          <w:noProof/>
        </w:rPr>
        <w:t xml:space="preserve"> i</w:t>
      </w:r>
      <w:r w:rsidR="00FF009C">
        <w:rPr>
          <w:noProof/>
        </w:rPr>
        <w:t> </w:t>
      </w:r>
      <w:r w:rsidR="00FF009C" w:rsidRPr="00FF009C">
        <w:rPr>
          <w:noProof/>
        </w:rPr>
        <w:t>han</w:t>
      </w:r>
      <w:r w:rsidRPr="00FF009C">
        <w:rPr>
          <w:noProof/>
        </w:rPr>
        <w:t>dlem ludźmi,</w:t>
      </w:r>
      <w:r w:rsidR="00FF009C" w:rsidRPr="00FF009C">
        <w:rPr>
          <w:noProof/>
        </w:rPr>
        <w:t xml:space="preserve"> w</w:t>
      </w:r>
      <w:r w:rsidR="00FF009C">
        <w:rPr>
          <w:noProof/>
        </w:rPr>
        <w:t> </w:t>
      </w:r>
      <w:r w:rsidR="00FF009C" w:rsidRPr="00FF009C">
        <w:rPr>
          <w:noProof/>
        </w:rPr>
        <w:t>szc</w:t>
      </w:r>
      <w:r w:rsidRPr="00FF009C">
        <w:rPr>
          <w:noProof/>
        </w:rPr>
        <w:t>zególności poprzez zwiększenie wsparcia Europolu mającego na celu ułatwienie państwom członkowskim zwalczanie przemytu migrantów, handlu ludźmi</w:t>
      </w:r>
      <w:r w:rsidR="00FF009C" w:rsidRPr="00FF009C">
        <w:rPr>
          <w:noProof/>
        </w:rPr>
        <w:t xml:space="preserve"> i</w:t>
      </w:r>
      <w:r w:rsidR="00FF009C">
        <w:rPr>
          <w:noProof/>
        </w:rPr>
        <w:t> </w:t>
      </w:r>
      <w:r w:rsidR="00FF009C" w:rsidRPr="00FF009C">
        <w:rPr>
          <w:noProof/>
        </w:rPr>
        <w:t>inn</w:t>
      </w:r>
      <w:r w:rsidRPr="00FF009C">
        <w:rPr>
          <w:noProof/>
        </w:rPr>
        <w:t>ych powiązanych form przestępczości wchodzących</w:t>
      </w:r>
      <w:r w:rsidR="00FF009C" w:rsidRPr="00FF009C">
        <w:rPr>
          <w:noProof/>
        </w:rPr>
        <w:t xml:space="preserve"> w</w:t>
      </w:r>
      <w:r w:rsidR="00FF009C">
        <w:rPr>
          <w:noProof/>
        </w:rPr>
        <w:t> </w:t>
      </w:r>
      <w:r w:rsidR="00FF009C" w:rsidRPr="00FF009C">
        <w:rPr>
          <w:noProof/>
        </w:rPr>
        <w:t>zak</w:t>
      </w:r>
      <w:r w:rsidRPr="00FF009C">
        <w:rPr>
          <w:noProof/>
        </w:rPr>
        <w:t xml:space="preserve">res działania Europolu. </w:t>
      </w:r>
    </w:p>
    <w:p w14:paraId="085C03C6" w14:textId="77AD3F80" w:rsidR="00AB4A6F" w:rsidRPr="00FF009C" w:rsidRDefault="00AB4A6F" w:rsidP="00AB4A6F">
      <w:pPr>
        <w:pStyle w:val="Text1"/>
        <w:pBdr>
          <w:top w:val="single" w:sz="4" w:space="1" w:color="auto"/>
          <w:left w:val="single" w:sz="4" w:space="4" w:color="auto"/>
          <w:bottom w:val="single" w:sz="4" w:space="1" w:color="auto"/>
          <w:right w:val="single" w:sz="4" w:space="4" w:color="auto"/>
        </w:pBdr>
        <w:ind w:left="490"/>
        <w:rPr>
          <w:noProof/>
        </w:rPr>
      </w:pPr>
      <w:r w:rsidRPr="00FF009C">
        <w:rPr>
          <w:noProof/>
        </w:rPr>
        <w:t>Ogólne zadania niniejszej inicjatywy ustawodawczej wynikają</w:t>
      </w:r>
      <w:r w:rsidR="00FF009C" w:rsidRPr="00FF009C">
        <w:rPr>
          <w:noProof/>
        </w:rPr>
        <w:t xml:space="preserve"> z</w:t>
      </w:r>
      <w:r w:rsidR="00FF009C">
        <w:rPr>
          <w:noProof/>
        </w:rPr>
        <w:t> </w:t>
      </w:r>
      <w:r w:rsidR="00FF009C" w:rsidRPr="00FF009C">
        <w:rPr>
          <w:noProof/>
        </w:rPr>
        <w:t>cel</w:t>
      </w:r>
      <w:r w:rsidRPr="00FF009C">
        <w:rPr>
          <w:noProof/>
        </w:rPr>
        <w:t>ów określonych</w:t>
      </w:r>
      <w:r w:rsidR="00FF009C" w:rsidRPr="00FF009C">
        <w:rPr>
          <w:noProof/>
        </w:rPr>
        <w:t xml:space="preserve"> w</w:t>
      </w:r>
      <w:r w:rsidR="00FF009C">
        <w:rPr>
          <w:noProof/>
        </w:rPr>
        <w:t> </w:t>
      </w:r>
      <w:r w:rsidR="00FF009C" w:rsidRPr="00FF009C">
        <w:rPr>
          <w:noProof/>
        </w:rPr>
        <w:t>Tra</w:t>
      </w:r>
      <w:r w:rsidRPr="00FF009C">
        <w:rPr>
          <w:noProof/>
        </w:rPr>
        <w:t xml:space="preserve">ktatach, którymi są: </w:t>
      </w:r>
    </w:p>
    <w:p w14:paraId="4D098A09" w14:textId="6D2F8858" w:rsidR="00AB4A6F" w:rsidRPr="00FF009C" w:rsidRDefault="00AB4A6F" w:rsidP="00AB4A6F">
      <w:pPr>
        <w:pStyle w:val="Text1"/>
        <w:pBdr>
          <w:top w:val="single" w:sz="4" w:space="1" w:color="auto"/>
          <w:left w:val="single" w:sz="4" w:space="4" w:color="auto"/>
          <w:bottom w:val="single" w:sz="4" w:space="1" w:color="auto"/>
          <w:right w:val="single" w:sz="4" w:space="4" w:color="auto"/>
        </w:pBdr>
        <w:ind w:left="490"/>
        <w:rPr>
          <w:noProof/>
        </w:rPr>
      </w:pPr>
      <w:r w:rsidRPr="00FF009C">
        <w:rPr>
          <w:noProof/>
        </w:rPr>
        <w:t>1.</w:t>
      </w:r>
      <w:r w:rsidR="00FF009C" w:rsidRPr="00FF009C">
        <w:rPr>
          <w:noProof/>
        </w:rPr>
        <w:t xml:space="preserve"> w</w:t>
      </w:r>
      <w:r w:rsidR="00FF009C">
        <w:rPr>
          <w:noProof/>
        </w:rPr>
        <w:t> </w:t>
      </w:r>
      <w:r w:rsidR="00FF009C" w:rsidRPr="00FF009C">
        <w:rPr>
          <w:noProof/>
        </w:rPr>
        <w:t>prz</w:t>
      </w:r>
      <w:r w:rsidRPr="00FF009C">
        <w:rPr>
          <w:noProof/>
        </w:rPr>
        <w:t>ypadku Europolu – wspieranie</w:t>
      </w:r>
      <w:r w:rsidR="00FF009C" w:rsidRPr="00FF009C">
        <w:rPr>
          <w:noProof/>
        </w:rPr>
        <w:t xml:space="preserve"> i</w:t>
      </w:r>
      <w:r w:rsidR="00FF009C">
        <w:rPr>
          <w:noProof/>
        </w:rPr>
        <w:t> </w:t>
      </w:r>
      <w:r w:rsidR="00FF009C" w:rsidRPr="00FF009C">
        <w:rPr>
          <w:noProof/>
        </w:rPr>
        <w:t>wzm</w:t>
      </w:r>
      <w:r w:rsidRPr="00FF009C">
        <w:rPr>
          <w:noProof/>
        </w:rPr>
        <w:t>acnianie działań organów ścigania państw członkowskich, jak również ich współpracy</w:t>
      </w:r>
      <w:r w:rsidR="00FF009C" w:rsidRPr="00FF009C">
        <w:rPr>
          <w:noProof/>
        </w:rPr>
        <w:t xml:space="preserve"> w</w:t>
      </w:r>
      <w:r w:rsidR="00FF009C">
        <w:rPr>
          <w:noProof/>
        </w:rPr>
        <w:t> </w:t>
      </w:r>
      <w:r w:rsidR="00FF009C" w:rsidRPr="00FF009C">
        <w:rPr>
          <w:noProof/>
        </w:rPr>
        <w:t>zap</w:t>
      </w:r>
      <w:r w:rsidRPr="00FF009C">
        <w:rPr>
          <w:noProof/>
        </w:rPr>
        <w:t>obieganiu poważnej przestępczości, dotykającej co najmniej dwa państwa członkowskie, terroryzmowi</w:t>
      </w:r>
      <w:r w:rsidR="00FF009C" w:rsidRPr="00FF009C">
        <w:rPr>
          <w:noProof/>
        </w:rPr>
        <w:t xml:space="preserve"> i</w:t>
      </w:r>
      <w:r w:rsidR="00FF009C">
        <w:rPr>
          <w:noProof/>
        </w:rPr>
        <w:t> </w:t>
      </w:r>
      <w:r w:rsidR="00FF009C" w:rsidRPr="00FF009C">
        <w:rPr>
          <w:noProof/>
        </w:rPr>
        <w:t>for</w:t>
      </w:r>
      <w:r w:rsidRPr="00FF009C">
        <w:rPr>
          <w:noProof/>
        </w:rPr>
        <w:t>mom przestępczości mającym wpływ na wspólny interes objęty polityką Unii,</w:t>
      </w:r>
      <w:r w:rsidR="00FF009C" w:rsidRPr="00FF009C">
        <w:rPr>
          <w:noProof/>
        </w:rPr>
        <w:t xml:space="preserve"> a</w:t>
      </w:r>
      <w:r w:rsidR="00FF009C">
        <w:rPr>
          <w:noProof/>
        </w:rPr>
        <w:t> </w:t>
      </w:r>
      <w:r w:rsidR="00FF009C" w:rsidRPr="00FF009C">
        <w:rPr>
          <w:noProof/>
        </w:rPr>
        <w:t>tak</w:t>
      </w:r>
      <w:r w:rsidRPr="00FF009C">
        <w:rPr>
          <w:noProof/>
        </w:rPr>
        <w:t>że ich zwalczaniu</w:t>
      </w:r>
      <w:r w:rsidRPr="00FF009C">
        <w:rPr>
          <w:rStyle w:val="FootnoteReference0"/>
          <w:noProof/>
        </w:rPr>
        <w:footnoteReference w:id="29"/>
      </w:r>
      <w:r w:rsidRPr="00FF009C">
        <w:rPr>
          <w:noProof/>
        </w:rPr>
        <w:t>.</w:t>
      </w:r>
    </w:p>
    <w:p w14:paraId="02016393" w14:textId="5E2E52EA" w:rsidR="00AB4A6F" w:rsidRPr="00FF009C" w:rsidRDefault="00AB4A6F" w:rsidP="00AB4A6F">
      <w:pPr>
        <w:pStyle w:val="Text1"/>
        <w:pBdr>
          <w:top w:val="single" w:sz="4" w:space="1" w:color="auto"/>
          <w:left w:val="single" w:sz="4" w:space="4" w:color="auto"/>
          <w:bottom w:val="single" w:sz="4" w:space="1" w:color="auto"/>
          <w:right w:val="single" w:sz="4" w:space="4" w:color="auto"/>
        </w:pBdr>
        <w:ind w:left="490"/>
        <w:rPr>
          <w:noProof/>
        </w:rPr>
      </w:pPr>
      <w:r w:rsidRPr="00FF009C">
        <w:rPr>
          <w:noProof/>
        </w:rPr>
        <w:t>2. Unia rozwija współpracę policyjną obejmującą wszystkie właściwe organy państw członkowskich,</w:t>
      </w:r>
      <w:r w:rsidR="00FF009C" w:rsidRPr="00FF009C">
        <w:rPr>
          <w:noProof/>
        </w:rPr>
        <w:t xml:space="preserve"> w</w:t>
      </w:r>
      <w:r w:rsidR="00FF009C">
        <w:rPr>
          <w:noProof/>
        </w:rPr>
        <w:t> </w:t>
      </w:r>
      <w:r w:rsidR="00FF009C" w:rsidRPr="00FF009C">
        <w:rPr>
          <w:noProof/>
        </w:rPr>
        <w:t>tym</w:t>
      </w:r>
      <w:r w:rsidRPr="00FF009C">
        <w:rPr>
          <w:noProof/>
        </w:rPr>
        <w:t xml:space="preserve"> służby policji, służby celne oraz inne organy ścigania wyspecjalizowane</w:t>
      </w:r>
      <w:r w:rsidR="00FF009C" w:rsidRPr="00FF009C">
        <w:rPr>
          <w:noProof/>
        </w:rPr>
        <w:t xml:space="preserve"> w</w:t>
      </w:r>
      <w:r w:rsidR="00FF009C">
        <w:rPr>
          <w:noProof/>
        </w:rPr>
        <w:t> </w:t>
      </w:r>
      <w:r w:rsidR="00FF009C" w:rsidRPr="00FF009C">
        <w:rPr>
          <w:noProof/>
        </w:rPr>
        <w:t>zap</w:t>
      </w:r>
      <w:r w:rsidRPr="00FF009C">
        <w:rPr>
          <w:noProof/>
        </w:rPr>
        <w:t>obieganiu przestępstwom lub ich wykrywaniu</w:t>
      </w:r>
      <w:r w:rsidR="00FF009C" w:rsidRPr="00FF009C">
        <w:rPr>
          <w:noProof/>
        </w:rPr>
        <w:t xml:space="preserve"> i</w:t>
      </w:r>
      <w:r w:rsidR="00FF009C">
        <w:rPr>
          <w:noProof/>
        </w:rPr>
        <w:t> </w:t>
      </w:r>
      <w:r w:rsidR="00FF009C" w:rsidRPr="00FF009C">
        <w:rPr>
          <w:noProof/>
        </w:rPr>
        <w:t>ści</w:t>
      </w:r>
      <w:r w:rsidRPr="00FF009C">
        <w:rPr>
          <w:noProof/>
        </w:rPr>
        <w:t>ganiu</w:t>
      </w:r>
      <w:r w:rsidRPr="00FF009C">
        <w:rPr>
          <w:rStyle w:val="FootnoteReference0"/>
          <w:noProof/>
        </w:rPr>
        <w:footnoteReference w:id="30"/>
      </w:r>
      <w:r w:rsidRPr="00FF009C">
        <w:rPr>
          <w:noProof/>
        </w:rPr>
        <w:t>.</w:t>
      </w:r>
    </w:p>
    <w:p w14:paraId="0A55ABE3" w14:textId="77777777" w:rsidR="00AB4A6F" w:rsidRPr="00FF009C" w:rsidRDefault="00AB4A6F" w:rsidP="00AB4A6F">
      <w:pPr>
        <w:pStyle w:val="Text1"/>
        <w:pBdr>
          <w:top w:val="single" w:sz="4" w:space="1" w:color="auto"/>
          <w:left w:val="single" w:sz="4" w:space="4" w:color="auto"/>
          <w:bottom w:val="single" w:sz="4" w:space="1" w:color="auto"/>
          <w:right w:val="single" w:sz="4" w:space="4" w:color="auto"/>
        </w:pBdr>
        <w:ind w:left="490"/>
        <w:rPr>
          <w:noProof/>
        </w:rPr>
      </w:pPr>
    </w:p>
    <w:p w14:paraId="13AFE0C3" w14:textId="77777777" w:rsidR="00AB4A6F" w:rsidRPr="00FF009C" w:rsidRDefault="00AB4A6F" w:rsidP="00AB4A6F">
      <w:pPr>
        <w:pStyle w:val="ManualHeading3"/>
        <w:rPr>
          <w:noProof/>
        </w:rPr>
      </w:pPr>
      <w:bookmarkStart w:id="19" w:name="_Toc514938665"/>
    </w:p>
    <w:p w14:paraId="5D4E5346" w14:textId="77777777" w:rsidR="00AB4A6F" w:rsidRPr="00FF009C" w:rsidRDefault="00AB4A6F">
      <w:pPr>
        <w:pStyle w:val="ManualHeading3"/>
        <w:rPr>
          <w:noProof/>
        </w:rPr>
      </w:pPr>
      <w:bookmarkStart w:id="20" w:name="_Toc155952147"/>
      <w:r w:rsidRPr="00FF009C">
        <w:rPr>
          <w:noProof/>
        </w:rPr>
        <w:t>1.4.2.</w:t>
      </w:r>
      <w:r w:rsidRPr="00FF009C">
        <w:rPr>
          <w:noProof/>
        </w:rPr>
        <w:tab/>
        <w:t>Cel(e) szczegółowy(e)</w:t>
      </w:r>
      <w:bookmarkEnd w:id="19"/>
      <w:bookmarkEnd w:id="20"/>
      <w:r w:rsidRPr="00FF009C">
        <w:rPr>
          <w:noProof/>
        </w:rPr>
        <w:t xml:space="preserve"> </w:t>
      </w:r>
    </w:p>
    <w:p w14:paraId="20DD8919" w14:textId="22546DD8"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Cele szczegółowe określono na podstawie wymienionych powyżej celów ogólnych – odzwierciedlają one przedmiot</w:t>
      </w:r>
      <w:r w:rsidR="00FF009C" w:rsidRPr="00FF009C">
        <w:rPr>
          <w:noProof/>
        </w:rPr>
        <w:t xml:space="preserve"> i</w:t>
      </w:r>
      <w:r w:rsidR="00FF009C">
        <w:rPr>
          <w:noProof/>
        </w:rPr>
        <w:t> </w:t>
      </w:r>
      <w:r w:rsidR="00FF009C" w:rsidRPr="00FF009C">
        <w:rPr>
          <w:noProof/>
        </w:rPr>
        <w:t>zak</w:t>
      </w:r>
      <w:r w:rsidRPr="00FF009C">
        <w:rPr>
          <w:noProof/>
        </w:rPr>
        <w:t>res opisane</w:t>
      </w:r>
      <w:r w:rsidR="00FF009C" w:rsidRPr="00FF009C">
        <w:rPr>
          <w:noProof/>
        </w:rPr>
        <w:t xml:space="preserve"> w</w:t>
      </w:r>
      <w:r w:rsidR="00FF009C">
        <w:rPr>
          <w:noProof/>
        </w:rPr>
        <w:t> </w:t>
      </w:r>
      <w:r w:rsidR="00FF009C" w:rsidRPr="00FF009C">
        <w:rPr>
          <w:noProof/>
        </w:rPr>
        <w:t>art</w:t>
      </w:r>
      <w:r w:rsidRPr="00FF009C">
        <w:rPr>
          <w:noProof/>
        </w:rPr>
        <w:t>.</w:t>
      </w:r>
      <w:r w:rsidR="00FF009C" w:rsidRPr="00FF009C">
        <w:rPr>
          <w:noProof/>
        </w:rPr>
        <w:t> </w:t>
      </w:r>
      <w:r w:rsidRPr="00FF009C">
        <w:rPr>
          <w:noProof/>
        </w:rPr>
        <w:t>1 niniejszego rozporządzenia:</w:t>
      </w:r>
      <w:r w:rsidRPr="00FF009C">
        <w:rPr>
          <w:noProof/>
        </w:rPr>
        <w:br/>
      </w:r>
    </w:p>
    <w:p w14:paraId="6DE14C03" w14:textId="43DF6BB0"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cel szczegółowy nr</w:t>
      </w:r>
      <w:r w:rsidR="00FF009C" w:rsidRPr="00FF009C">
        <w:rPr>
          <w:noProof/>
        </w:rPr>
        <w:t> </w:t>
      </w:r>
      <w:r w:rsidRPr="00FF009C">
        <w:rPr>
          <w:noProof/>
        </w:rPr>
        <w:t>1: zwiększenie roli Europolu</w:t>
      </w:r>
      <w:r w:rsidR="00FF009C" w:rsidRPr="00FF009C">
        <w:rPr>
          <w:noProof/>
        </w:rPr>
        <w:t xml:space="preserve"> i</w:t>
      </w:r>
      <w:r w:rsidR="00FF009C">
        <w:rPr>
          <w:noProof/>
        </w:rPr>
        <w:t> </w:t>
      </w:r>
      <w:r w:rsidR="00FF009C" w:rsidRPr="00FF009C">
        <w:rPr>
          <w:noProof/>
        </w:rPr>
        <w:t>jeg</w:t>
      </w:r>
      <w:r w:rsidRPr="00FF009C">
        <w:rPr>
          <w:noProof/>
        </w:rPr>
        <w:t>o Europejskiego Centrum Zwalczania Przemytu Migrantów jako środka ciężkości dla działań procesowych</w:t>
      </w:r>
      <w:r w:rsidR="00FF009C" w:rsidRPr="00FF009C">
        <w:rPr>
          <w:noProof/>
        </w:rPr>
        <w:t xml:space="preserve"> i</w:t>
      </w:r>
      <w:r w:rsidR="00FF009C">
        <w:rPr>
          <w:noProof/>
        </w:rPr>
        <w:t> </w:t>
      </w:r>
      <w:r w:rsidR="00FF009C" w:rsidRPr="00FF009C">
        <w:rPr>
          <w:noProof/>
        </w:rPr>
        <w:t>ope</w:t>
      </w:r>
      <w:r w:rsidRPr="00FF009C">
        <w:rPr>
          <w:noProof/>
        </w:rPr>
        <w:t>racyjnych oraz analiz strategicznych przeprowadzanych na szczeblu UE;</w:t>
      </w:r>
    </w:p>
    <w:p w14:paraId="772DF750" w14:textId="52F82078"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cel szczegółowy nr</w:t>
      </w:r>
      <w:r w:rsidR="00FF009C" w:rsidRPr="00FF009C">
        <w:rPr>
          <w:noProof/>
        </w:rPr>
        <w:t> </w:t>
      </w:r>
      <w:r w:rsidRPr="00FF009C">
        <w:rPr>
          <w:noProof/>
        </w:rPr>
        <w:t>2: zacieśnianie współpracy</w:t>
      </w:r>
      <w:r w:rsidR="00FF009C" w:rsidRPr="00FF009C">
        <w:rPr>
          <w:noProof/>
        </w:rPr>
        <w:t xml:space="preserve"> i</w:t>
      </w:r>
      <w:r w:rsidR="00FF009C">
        <w:rPr>
          <w:noProof/>
        </w:rPr>
        <w:t> </w:t>
      </w:r>
      <w:r w:rsidR="00FF009C" w:rsidRPr="00FF009C">
        <w:rPr>
          <w:noProof/>
        </w:rPr>
        <w:t>pop</w:t>
      </w:r>
      <w:r w:rsidRPr="00FF009C">
        <w:rPr>
          <w:noProof/>
        </w:rPr>
        <w:t>rawa koordynacji między państwami członkowskimi, Europolem</w:t>
      </w:r>
      <w:r w:rsidR="00FF009C" w:rsidRPr="00FF009C">
        <w:rPr>
          <w:noProof/>
        </w:rPr>
        <w:t xml:space="preserve"> i</w:t>
      </w:r>
      <w:r w:rsidR="00FF009C">
        <w:rPr>
          <w:noProof/>
        </w:rPr>
        <w:t> </w:t>
      </w:r>
      <w:r w:rsidR="00FF009C" w:rsidRPr="00FF009C">
        <w:rPr>
          <w:noProof/>
        </w:rPr>
        <w:t>inn</w:t>
      </w:r>
      <w:r w:rsidRPr="00FF009C">
        <w:rPr>
          <w:noProof/>
        </w:rPr>
        <w:t>ymi agencjami Unii;</w:t>
      </w:r>
    </w:p>
    <w:p w14:paraId="3975AB61" w14:textId="6FAA7B41"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cel szczegółowy nr</w:t>
      </w:r>
      <w:r w:rsidR="00FF009C" w:rsidRPr="00FF009C">
        <w:rPr>
          <w:noProof/>
        </w:rPr>
        <w:t> </w:t>
      </w:r>
      <w:r w:rsidRPr="00FF009C">
        <w:rPr>
          <w:noProof/>
        </w:rPr>
        <w:t>3: wzmocnienie Europolu jako unijnego centrum informacji kryminalnych dotyczących przemytu migrantów</w:t>
      </w:r>
      <w:r w:rsidR="00FF009C" w:rsidRPr="00FF009C">
        <w:rPr>
          <w:noProof/>
        </w:rPr>
        <w:t xml:space="preserve"> i</w:t>
      </w:r>
      <w:r w:rsidR="00FF009C">
        <w:rPr>
          <w:noProof/>
        </w:rPr>
        <w:t> </w:t>
      </w:r>
      <w:r w:rsidR="00FF009C" w:rsidRPr="00FF009C">
        <w:rPr>
          <w:noProof/>
        </w:rPr>
        <w:t>han</w:t>
      </w:r>
      <w:r w:rsidRPr="00FF009C">
        <w:rPr>
          <w:noProof/>
        </w:rPr>
        <w:t>dlu ludźmi,</w:t>
      </w:r>
      <w:r w:rsidR="00FF009C" w:rsidRPr="00FF009C">
        <w:rPr>
          <w:noProof/>
        </w:rPr>
        <w:t xml:space="preserve"> a</w:t>
      </w:r>
      <w:r w:rsidR="00FF009C">
        <w:rPr>
          <w:noProof/>
        </w:rPr>
        <w:t> </w:t>
      </w:r>
      <w:r w:rsidR="00FF009C" w:rsidRPr="00FF009C">
        <w:rPr>
          <w:noProof/>
        </w:rPr>
        <w:t>tak</w:t>
      </w:r>
      <w:r w:rsidRPr="00FF009C">
        <w:rPr>
          <w:noProof/>
        </w:rPr>
        <w:t>że pełne rozwinięcie wymiany informacji między państwami członkowskimi, Europolem, innymi agencjami UE oraz państwami trzecimi;</w:t>
      </w:r>
    </w:p>
    <w:p w14:paraId="723C70B1" w14:textId="2FA384F3"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cel szczegółowy nr</w:t>
      </w:r>
      <w:r w:rsidR="00FF009C" w:rsidRPr="00FF009C">
        <w:rPr>
          <w:noProof/>
        </w:rPr>
        <w:t> </w:t>
      </w:r>
      <w:r w:rsidRPr="00FF009C">
        <w:rPr>
          <w:noProof/>
        </w:rPr>
        <w:t>4: zapewnienie Europolowi narzędzi niezbędnych do przeciwdziałania przemytowi migrantów</w:t>
      </w:r>
      <w:r w:rsidR="00FF009C" w:rsidRPr="00FF009C">
        <w:rPr>
          <w:noProof/>
        </w:rPr>
        <w:t xml:space="preserve"> i</w:t>
      </w:r>
      <w:r w:rsidR="00FF009C">
        <w:rPr>
          <w:noProof/>
        </w:rPr>
        <w:t> </w:t>
      </w:r>
      <w:r w:rsidR="00FF009C" w:rsidRPr="00FF009C">
        <w:rPr>
          <w:noProof/>
        </w:rPr>
        <w:t>inn</w:t>
      </w:r>
      <w:r w:rsidRPr="00FF009C">
        <w:rPr>
          <w:noProof/>
        </w:rPr>
        <w:t>ym przestępstwom wchodzącym</w:t>
      </w:r>
      <w:r w:rsidR="00FF009C" w:rsidRPr="00FF009C">
        <w:rPr>
          <w:noProof/>
        </w:rPr>
        <w:t xml:space="preserve"> w</w:t>
      </w:r>
      <w:r w:rsidR="00FF009C">
        <w:rPr>
          <w:noProof/>
        </w:rPr>
        <w:t> </w:t>
      </w:r>
      <w:r w:rsidR="00FF009C" w:rsidRPr="00FF009C">
        <w:rPr>
          <w:noProof/>
        </w:rPr>
        <w:t>zak</w:t>
      </w:r>
      <w:r w:rsidRPr="00FF009C">
        <w:rPr>
          <w:noProof/>
        </w:rPr>
        <w:t>res celów Europolu oraz zwalczania tych przestępstw.</w:t>
      </w:r>
    </w:p>
    <w:p w14:paraId="13BC28F2" w14:textId="77777777" w:rsidR="00AB4A6F" w:rsidRPr="00FF009C" w:rsidRDefault="00AB4A6F" w:rsidP="00AB4A6F">
      <w:pPr>
        <w:pStyle w:val="Text1"/>
        <w:pBdr>
          <w:top w:val="single" w:sz="4" w:space="0" w:color="000000"/>
          <w:left w:val="single" w:sz="4" w:space="4" w:color="000000"/>
          <w:bottom w:val="single" w:sz="4" w:space="1" w:color="000000"/>
          <w:right w:val="single" w:sz="4" w:space="4" w:color="000000"/>
        </w:pBdr>
        <w:rPr>
          <w:b/>
          <w:bCs/>
          <w:noProof/>
        </w:rPr>
      </w:pPr>
    </w:p>
    <w:p w14:paraId="347B7C18" w14:textId="6F4B7206" w:rsidR="00AB4A6F" w:rsidRPr="00FF009C" w:rsidRDefault="00AB4A6F" w:rsidP="00AB4A6F">
      <w:pPr>
        <w:pStyle w:val="Text1"/>
        <w:pBdr>
          <w:top w:val="single" w:sz="4" w:space="1" w:color="auto"/>
          <w:left w:val="single" w:sz="4" w:space="4" w:color="auto"/>
          <w:bottom w:val="single" w:sz="4" w:space="1" w:color="auto"/>
          <w:right w:val="single" w:sz="4" w:space="4" w:color="auto"/>
        </w:pBdr>
        <w:rPr>
          <w:b/>
          <w:bCs/>
          <w:noProof/>
        </w:rPr>
      </w:pPr>
      <w:r w:rsidRPr="00FF009C">
        <w:rPr>
          <w:b/>
          <w:noProof/>
        </w:rPr>
        <w:t>Cel szczegółowy nr</w:t>
      </w:r>
      <w:r w:rsidR="00FF009C" w:rsidRPr="00FF009C">
        <w:rPr>
          <w:b/>
          <w:noProof/>
        </w:rPr>
        <w:t> </w:t>
      </w:r>
      <w:r w:rsidRPr="00FF009C">
        <w:rPr>
          <w:b/>
          <w:noProof/>
        </w:rPr>
        <w:t>1: zwiększenie roli Europolu</w:t>
      </w:r>
      <w:r w:rsidR="00FF009C" w:rsidRPr="00FF009C">
        <w:rPr>
          <w:b/>
          <w:noProof/>
        </w:rPr>
        <w:t xml:space="preserve"> i</w:t>
      </w:r>
      <w:r w:rsidR="00FF009C">
        <w:rPr>
          <w:b/>
          <w:noProof/>
        </w:rPr>
        <w:t> </w:t>
      </w:r>
      <w:r w:rsidR="00FF009C" w:rsidRPr="00FF009C">
        <w:rPr>
          <w:b/>
          <w:noProof/>
        </w:rPr>
        <w:t>jeg</w:t>
      </w:r>
      <w:r w:rsidRPr="00FF009C">
        <w:rPr>
          <w:b/>
          <w:noProof/>
        </w:rPr>
        <w:t>o Europejskiego Centrum Zwalczania Przemytu Migrantów jako środka ciężkości dla działań procesowych</w:t>
      </w:r>
      <w:r w:rsidR="00FF009C" w:rsidRPr="00FF009C">
        <w:rPr>
          <w:b/>
          <w:noProof/>
        </w:rPr>
        <w:t xml:space="preserve"> i</w:t>
      </w:r>
      <w:r w:rsidR="00FF009C">
        <w:rPr>
          <w:b/>
          <w:noProof/>
        </w:rPr>
        <w:t> </w:t>
      </w:r>
      <w:r w:rsidR="00FF009C" w:rsidRPr="00FF009C">
        <w:rPr>
          <w:b/>
          <w:noProof/>
        </w:rPr>
        <w:t>ope</w:t>
      </w:r>
      <w:r w:rsidRPr="00FF009C">
        <w:rPr>
          <w:b/>
          <w:noProof/>
        </w:rPr>
        <w:t xml:space="preserve">racyjnych oraz analiz strategicznych przeprowadzanych na szczeblu UE </w:t>
      </w:r>
    </w:p>
    <w:p w14:paraId="005476B2" w14:textId="256E1202"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Celem jest wzmocnienie roli Europolu</w:t>
      </w:r>
      <w:r w:rsidR="00FF009C" w:rsidRPr="00FF009C">
        <w:rPr>
          <w:noProof/>
        </w:rPr>
        <w:t xml:space="preserve"> i</w:t>
      </w:r>
      <w:r w:rsidR="00FF009C">
        <w:rPr>
          <w:noProof/>
        </w:rPr>
        <w:t> </w:t>
      </w:r>
      <w:r w:rsidR="00FF009C" w:rsidRPr="00FF009C">
        <w:rPr>
          <w:noProof/>
        </w:rPr>
        <w:t>jeg</w:t>
      </w:r>
      <w:r w:rsidRPr="00FF009C">
        <w:rPr>
          <w:noProof/>
        </w:rPr>
        <w:t>o Europejskiego Centrum Zwalczania Przemytu Migrantów jako środka ciężkości, jeżeli chodzi</w:t>
      </w:r>
      <w:r w:rsidR="00FF009C" w:rsidRPr="00FF009C">
        <w:rPr>
          <w:noProof/>
        </w:rPr>
        <w:t xml:space="preserve"> o</w:t>
      </w:r>
      <w:r w:rsidR="00FF009C">
        <w:rPr>
          <w:noProof/>
        </w:rPr>
        <w:t> </w:t>
      </w:r>
      <w:r w:rsidR="00FF009C" w:rsidRPr="00FF009C">
        <w:rPr>
          <w:noProof/>
        </w:rPr>
        <w:t>ide</w:t>
      </w:r>
      <w:r w:rsidRPr="00FF009C">
        <w:rPr>
          <w:noProof/>
        </w:rPr>
        <w:t>ntyfikowanie działań strategicznych</w:t>
      </w:r>
      <w:r w:rsidR="00FF009C" w:rsidRPr="00FF009C">
        <w:rPr>
          <w:noProof/>
        </w:rPr>
        <w:t xml:space="preserve"> i</w:t>
      </w:r>
      <w:r w:rsidR="00FF009C">
        <w:rPr>
          <w:noProof/>
        </w:rPr>
        <w:t> </w:t>
      </w:r>
      <w:r w:rsidR="00FF009C" w:rsidRPr="00FF009C">
        <w:rPr>
          <w:noProof/>
        </w:rPr>
        <w:t>ope</w:t>
      </w:r>
      <w:r w:rsidRPr="00FF009C">
        <w:rPr>
          <w:noProof/>
        </w:rPr>
        <w:t>racyjnych na szczeblu UE</w:t>
      </w:r>
      <w:r w:rsidR="00FF009C" w:rsidRPr="00FF009C">
        <w:rPr>
          <w:noProof/>
        </w:rPr>
        <w:t xml:space="preserve"> w</w:t>
      </w:r>
      <w:r w:rsidR="00FF009C">
        <w:rPr>
          <w:noProof/>
        </w:rPr>
        <w:t> </w:t>
      </w:r>
      <w:r w:rsidR="00FF009C" w:rsidRPr="00FF009C">
        <w:rPr>
          <w:noProof/>
        </w:rPr>
        <w:t>obs</w:t>
      </w:r>
      <w:r w:rsidRPr="00FF009C">
        <w:rPr>
          <w:noProof/>
        </w:rPr>
        <w:t>zarze walki</w:t>
      </w:r>
      <w:r w:rsidR="00FF009C" w:rsidRPr="00FF009C">
        <w:rPr>
          <w:noProof/>
        </w:rPr>
        <w:t xml:space="preserve"> z</w:t>
      </w:r>
      <w:r w:rsidR="00FF009C">
        <w:rPr>
          <w:noProof/>
        </w:rPr>
        <w:t> </w:t>
      </w:r>
      <w:r w:rsidR="00FF009C" w:rsidRPr="00FF009C">
        <w:rPr>
          <w:noProof/>
        </w:rPr>
        <w:t>prz</w:t>
      </w:r>
      <w:r w:rsidRPr="00FF009C">
        <w:rPr>
          <w:noProof/>
        </w:rPr>
        <w:t>emytem migrantów. Ogólnounijna analiza strategiczna oraz ogólnounijne oceny zagrożenia przeprowadzane przy udziale innych agencji UE, zwłaszcza Fronteksu</w:t>
      </w:r>
      <w:r w:rsidR="00FF009C" w:rsidRPr="00FF009C">
        <w:rPr>
          <w:noProof/>
        </w:rPr>
        <w:t xml:space="preserve"> i</w:t>
      </w:r>
      <w:r w:rsidR="00FF009C">
        <w:rPr>
          <w:noProof/>
        </w:rPr>
        <w:t> </w:t>
      </w:r>
      <w:r w:rsidR="00FF009C" w:rsidRPr="00FF009C">
        <w:rPr>
          <w:noProof/>
        </w:rPr>
        <w:t>Eur</w:t>
      </w:r>
      <w:r w:rsidRPr="00FF009C">
        <w:rPr>
          <w:noProof/>
        </w:rPr>
        <w:t>ojustu, usprawnią wspieranie realizacji priorytetów Rady</w:t>
      </w:r>
      <w:r w:rsidR="00FF009C" w:rsidRPr="00FF009C">
        <w:rPr>
          <w:noProof/>
        </w:rPr>
        <w:t xml:space="preserve"> i</w:t>
      </w:r>
      <w:r w:rsidR="00FF009C">
        <w:rPr>
          <w:noProof/>
        </w:rPr>
        <w:t> </w:t>
      </w:r>
      <w:r w:rsidR="00FF009C" w:rsidRPr="00FF009C">
        <w:rPr>
          <w:noProof/>
        </w:rPr>
        <w:t>age</w:t>
      </w:r>
      <w:r w:rsidRPr="00FF009C">
        <w:rPr>
          <w:noProof/>
        </w:rPr>
        <w:t>ncji</w:t>
      </w:r>
      <w:r w:rsidR="00FF009C" w:rsidRPr="00FF009C">
        <w:rPr>
          <w:noProof/>
        </w:rPr>
        <w:t xml:space="preserve"> w</w:t>
      </w:r>
      <w:r w:rsidR="00FF009C">
        <w:rPr>
          <w:noProof/>
        </w:rPr>
        <w:t> </w:t>
      </w:r>
      <w:r w:rsidR="00FF009C" w:rsidRPr="00FF009C">
        <w:rPr>
          <w:noProof/>
        </w:rPr>
        <w:t>tej</w:t>
      </w:r>
      <w:r w:rsidRPr="00FF009C">
        <w:rPr>
          <w:noProof/>
        </w:rPr>
        <w:t xml:space="preserve"> dziedzinie,</w:t>
      </w:r>
      <w:r w:rsidR="00FF009C" w:rsidRPr="00FF009C">
        <w:rPr>
          <w:noProof/>
        </w:rPr>
        <w:t xml:space="preserve"> w</w:t>
      </w:r>
      <w:r w:rsidR="00FF009C">
        <w:rPr>
          <w:noProof/>
        </w:rPr>
        <w:t> </w:t>
      </w:r>
      <w:r w:rsidR="00FF009C" w:rsidRPr="00FF009C">
        <w:rPr>
          <w:noProof/>
        </w:rPr>
        <w:t>szc</w:t>
      </w:r>
      <w:r w:rsidRPr="00FF009C">
        <w:rPr>
          <w:noProof/>
        </w:rPr>
        <w:t>zególności</w:t>
      </w:r>
      <w:r w:rsidR="00FF009C" w:rsidRPr="00FF009C">
        <w:rPr>
          <w:noProof/>
        </w:rPr>
        <w:t xml:space="preserve"> w</w:t>
      </w:r>
      <w:r w:rsidR="00FF009C">
        <w:rPr>
          <w:noProof/>
        </w:rPr>
        <w:t> </w:t>
      </w:r>
      <w:r w:rsidR="00FF009C" w:rsidRPr="00FF009C">
        <w:rPr>
          <w:noProof/>
        </w:rPr>
        <w:t>ram</w:t>
      </w:r>
      <w:r w:rsidRPr="00FF009C">
        <w:rPr>
          <w:noProof/>
        </w:rPr>
        <w:t>ach europejskiej multidyscyplinarnej platformy przeciwko zagrożeniom przestępstwami (EMPACT), natomiast ukierunkowane analizy opierające się na dodatkowych informacjach</w:t>
      </w:r>
      <w:r w:rsidR="00FF009C" w:rsidRPr="00FF009C">
        <w:rPr>
          <w:noProof/>
        </w:rPr>
        <w:t xml:space="preserve"> i</w:t>
      </w:r>
      <w:r w:rsidR="00FF009C">
        <w:rPr>
          <w:noProof/>
        </w:rPr>
        <w:t> </w:t>
      </w:r>
      <w:r w:rsidR="00FF009C" w:rsidRPr="00FF009C">
        <w:rPr>
          <w:noProof/>
        </w:rPr>
        <w:t>dan</w:t>
      </w:r>
      <w:r w:rsidRPr="00FF009C">
        <w:rPr>
          <w:noProof/>
        </w:rPr>
        <w:t>ych wywiadowczych przekazywanych przez państwa członkowskie</w:t>
      </w:r>
      <w:r w:rsidR="00FF009C" w:rsidRPr="00FF009C">
        <w:rPr>
          <w:noProof/>
        </w:rPr>
        <w:t xml:space="preserve"> i</w:t>
      </w:r>
      <w:r w:rsidR="00FF009C">
        <w:rPr>
          <w:noProof/>
        </w:rPr>
        <w:t> </w:t>
      </w:r>
      <w:r w:rsidR="00FF009C" w:rsidRPr="00FF009C">
        <w:rPr>
          <w:noProof/>
        </w:rPr>
        <w:t>age</w:t>
      </w:r>
      <w:r w:rsidRPr="00FF009C">
        <w:rPr>
          <w:noProof/>
        </w:rPr>
        <w:t>ncje wywrą korzystny wpływ na działania dochodzeniowe</w:t>
      </w:r>
      <w:r w:rsidR="00FF009C" w:rsidRPr="00FF009C">
        <w:rPr>
          <w:noProof/>
        </w:rPr>
        <w:t xml:space="preserve"> i</w:t>
      </w:r>
      <w:r w:rsidR="00FF009C">
        <w:rPr>
          <w:noProof/>
        </w:rPr>
        <w:t> </w:t>
      </w:r>
      <w:r w:rsidR="00FF009C" w:rsidRPr="00FF009C">
        <w:rPr>
          <w:noProof/>
        </w:rPr>
        <w:t>ope</w:t>
      </w:r>
      <w:r w:rsidRPr="00FF009C">
        <w:rPr>
          <w:noProof/>
        </w:rPr>
        <w:t>racyjne podejmowane pod kierunkiem państw członkowskich.</w:t>
      </w:r>
      <w:r w:rsidR="00FF009C" w:rsidRPr="00FF009C">
        <w:rPr>
          <w:noProof/>
        </w:rPr>
        <w:t xml:space="preserve"> </w:t>
      </w:r>
    </w:p>
    <w:p w14:paraId="435A3333" w14:textId="0333BC86"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W ramach tego celu należy zapewnić dodatkowe zasoby na potrzeby realizacji nowych zadań strategicznych</w:t>
      </w:r>
      <w:r w:rsidR="00FF009C" w:rsidRPr="00FF009C">
        <w:rPr>
          <w:noProof/>
        </w:rPr>
        <w:t xml:space="preserve"> i</w:t>
      </w:r>
      <w:r w:rsidR="00FF009C">
        <w:rPr>
          <w:noProof/>
        </w:rPr>
        <w:t> </w:t>
      </w:r>
      <w:r w:rsidR="00FF009C" w:rsidRPr="00FF009C">
        <w:rPr>
          <w:noProof/>
        </w:rPr>
        <w:t>ope</w:t>
      </w:r>
      <w:r w:rsidRPr="00FF009C">
        <w:rPr>
          <w:noProof/>
        </w:rPr>
        <w:t>racyjnych,</w:t>
      </w:r>
      <w:r w:rsidR="00FF009C" w:rsidRPr="00FF009C">
        <w:rPr>
          <w:noProof/>
        </w:rPr>
        <w:t xml:space="preserve"> o</w:t>
      </w:r>
      <w:r w:rsidR="00FF009C">
        <w:rPr>
          <w:noProof/>
        </w:rPr>
        <w:t> </w:t>
      </w:r>
      <w:r w:rsidR="00FF009C" w:rsidRPr="00FF009C">
        <w:rPr>
          <w:noProof/>
        </w:rPr>
        <w:t>któ</w:t>
      </w:r>
      <w:r w:rsidRPr="00FF009C">
        <w:rPr>
          <w:noProof/>
        </w:rPr>
        <w:t>rych mowa, odpowiednio,</w:t>
      </w:r>
      <w:r w:rsidR="00FF009C" w:rsidRPr="00FF009C">
        <w:rPr>
          <w:noProof/>
        </w:rPr>
        <w:t xml:space="preserve"> w</w:t>
      </w:r>
      <w:r w:rsidR="00FF009C">
        <w:rPr>
          <w:noProof/>
        </w:rPr>
        <w:t> </w:t>
      </w:r>
      <w:r w:rsidR="00FF009C" w:rsidRPr="00FF009C">
        <w:rPr>
          <w:noProof/>
        </w:rPr>
        <w:t>art</w:t>
      </w:r>
      <w:r w:rsidRPr="00FF009C">
        <w:rPr>
          <w:noProof/>
        </w:rPr>
        <w:t>.</w:t>
      </w:r>
      <w:r w:rsidR="00FF009C" w:rsidRPr="00FF009C">
        <w:rPr>
          <w:noProof/>
        </w:rPr>
        <w:t> </w:t>
      </w:r>
      <w:r w:rsidRPr="00FF009C">
        <w:rPr>
          <w:noProof/>
        </w:rPr>
        <w:t>5</w:t>
      </w:r>
      <w:r w:rsidR="00FF009C" w:rsidRPr="00FF009C">
        <w:rPr>
          <w:noProof/>
        </w:rPr>
        <w:t xml:space="preserve"> i</w:t>
      </w:r>
      <w:r w:rsidR="00FF009C">
        <w:rPr>
          <w:noProof/>
        </w:rPr>
        <w:t> </w:t>
      </w:r>
      <w:r w:rsidR="00FF009C" w:rsidRPr="00FF009C">
        <w:rPr>
          <w:noProof/>
        </w:rPr>
        <w:t>6</w:t>
      </w:r>
      <w:r w:rsidRPr="00FF009C">
        <w:rPr>
          <w:noProof/>
        </w:rPr>
        <w:t xml:space="preserve"> niniejszego rozporządzenia: </w:t>
      </w:r>
    </w:p>
    <w:p w14:paraId="766B0FA1" w14:textId="53FE8056" w:rsidR="00AB4A6F" w:rsidRPr="00FF009C" w:rsidRDefault="00576E60" w:rsidP="00AB4A6F">
      <w:pPr>
        <w:pStyle w:val="Text1"/>
        <w:pBdr>
          <w:top w:val="single" w:sz="4" w:space="1" w:color="auto"/>
          <w:left w:val="single" w:sz="4" w:space="4" w:color="auto"/>
          <w:bottom w:val="single" w:sz="4" w:space="1" w:color="auto"/>
          <w:right w:val="single" w:sz="4" w:space="4" w:color="auto"/>
        </w:pBdr>
        <w:rPr>
          <w:noProof/>
        </w:rPr>
      </w:pPr>
      <w:r w:rsidRPr="00FF009C">
        <w:rPr>
          <w:b/>
          <w:noProof/>
        </w:rPr>
        <w:t>Zwiększenie liczby specjalistów zajmujących się prowadzeniem postępowań przygotowawczych oraz analityków danych</w:t>
      </w:r>
      <w:r w:rsidRPr="00FF009C">
        <w:rPr>
          <w:noProof/>
        </w:rPr>
        <w:t>, zwłaszcza</w:t>
      </w:r>
      <w:r w:rsidR="00FF009C" w:rsidRPr="00FF009C">
        <w:rPr>
          <w:noProof/>
        </w:rPr>
        <w:t xml:space="preserve"> w</w:t>
      </w:r>
      <w:r w:rsidR="00FF009C">
        <w:rPr>
          <w:noProof/>
        </w:rPr>
        <w:t> </w:t>
      </w:r>
      <w:r w:rsidR="00FF009C" w:rsidRPr="00FF009C">
        <w:rPr>
          <w:noProof/>
        </w:rPr>
        <w:t>Eur</w:t>
      </w:r>
      <w:r w:rsidRPr="00FF009C">
        <w:rPr>
          <w:noProof/>
        </w:rPr>
        <w:t xml:space="preserve">opejskim Centrum Zwalczania Przemytu Migrantów, aby </w:t>
      </w:r>
      <w:r w:rsidRPr="00FF009C">
        <w:rPr>
          <w:b/>
          <w:noProof/>
        </w:rPr>
        <w:t>zwiększyć liczbę operacyjnych grup zadaniowych wspieranych przez Europol</w:t>
      </w:r>
      <w:r w:rsidR="00AB4A6F" w:rsidRPr="00FF009C">
        <w:rPr>
          <w:rStyle w:val="FootnoteReference0"/>
          <w:noProof/>
        </w:rPr>
        <w:footnoteReference w:id="31"/>
      </w:r>
      <w:r w:rsidRPr="00FF009C">
        <w:rPr>
          <w:noProof/>
        </w:rPr>
        <w:t xml:space="preserve"> oraz liczbę innych postępowań przygotowawczych</w:t>
      </w:r>
      <w:r w:rsidR="00FF009C" w:rsidRPr="00FF009C">
        <w:rPr>
          <w:noProof/>
        </w:rPr>
        <w:t xml:space="preserve"> w</w:t>
      </w:r>
      <w:r w:rsidR="00FF009C">
        <w:rPr>
          <w:noProof/>
        </w:rPr>
        <w:t> </w:t>
      </w:r>
      <w:r w:rsidR="00FF009C" w:rsidRPr="00FF009C">
        <w:rPr>
          <w:noProof/>
        </w:rPr>
        <w:t>zak</w:t>
      </w:r>
      <w:r w:rsidRPr="00FF009C">
        <w:rPr>
          <w:noProof/>
        </w:rPr>
        <w:t>resie zorganizowanego przemytu migrantów</w:t>
      </w:r>
      <w:r w:rsidR="00FF009C" w:rsidRPr="00FF009C">
        <w:rPr>
          <w:noProof/>
        </w:rPr>
        <w:t xml:space="preserve"> i</w:t>
      </w:r>
      <w:r w:rsidR="00FF009C">
        <w:rPr>
          <w:noProof/>
        </w:rPr>
        <w:t> </w:t>
      </w:r>
      <w:r w:rsidR="00FF009C" w:rsidRPr="00FF009C">
        <w:rPr>
          <w:noProof/>
        </w:rPr>
        <w:t>han</w:t>
      </w:r>
      <w:r w:rsidRPr="00FF009C">
        <w:rPr>
          <w:noProof/>
        </w:rPr>
        <w:t>dlu ludźmi,</w:t>
      </w:r>
      <w:r w:rsidR="00FF009C" w:rsidRPr="00FF009C">
        <w:rPr>
          <w:noProof/>
        </w:rPr>
        <w:t xml:space="preserve"> a</w:t>
      </w:r>
      <w:r w:rsidR="00FF009C">
        <w:rPr>
          <w:noProof/>
        </w:rPr>
        <w:t> </w:t>
      </w:r>
      <w:r w:rsidR="00FF009C" w:rsidRPr="00FF009C">
        <w:rPr>
          <w:noProof/>
        </w:rPr>
        <w:t>tak</w:t>
      </w:r>
      <w:r w:rsidRPr="00FF009C">
        <w:rPr>
          <w:noProof/>
        </w:rPr>
        <w:t>że powiązanych</w:t>
      </w:r>
      <w:r w:rsidR="00FF009C" w:rsidRPr="00FF009C">
        <w:rPr>
          <w:noProof/>
        </w:rPr>
        <w:t xml:space="preserve"> z</w:t>
      </w:r>
      <w:r w:rsidR="00FF009C">
        <w:rPr>
          <w:noProof/>
        </w:rPr>
        <w:t> </w:t>
      </w:r>
      <w:r w:rsidR="00FF009C" w:rsidRPr="00FF009C">
        <w:rPr>
          <w:noProof/>
        </w:rPr>
        <w:t>nim</w:t>
      </w:r>
      <w:r w:rsidRPr="00FF009C">
        <w:rPr>
          <w:noProof/>
        </w:rPr>
        <w:t>i przestępstw akcesoryjnych</w:t>
      </w:r>
      <w:r w:rsidR="00FF009C" w:rsidRPr="00FF009C">
        <w:rPr>
          <w:noProof/>
        </w:rPr>
        <w:t xml:space="preserve"> i</w:t>
      </w:r>
      <w:r w:rsidR="00FF009C">
        <w:rPr>
          <w:noProof/>
        </w:rPr>
        <w:t> </w:t>
      </w:r>
      <w:r w:rsidR="00FF009C" w:rsidRPr="00FF009C">
        <w:rPr>
          <w:noProof/>
        </w:rPr>
        <w:t>źró</w:t>
      </w:r>
      <w:r w:rsidRPr="00FF009C">
        <w:rPr>
          <w:noProof/>
        </w:rPr>
        <w:t>dłowych, jak również liczbę członków służb zapewniających wsparcie operacyjne</w:t>
      </w:r>
      <w:r w:rsidR="00FF009C" w:rsidRPr="00FF009C">
        <w:rPr>
          <w:noProof/>
        </w:rPr>
        <w:t xml:space="preserve"> w</w:t>
      </w:r>
      <w:r w:rsidR="00FF009C">
        <w:rPr>
          <w:noProof/>
        </w:rPr>
        <w:t> </w:t>
      </w:r>
      <w:r w:rsidR="00FF009C" w:rsidRPr="00FF009C">
        <w:rPr>
          <w:noProof/>
        </w:rPr>
        <w:t>ter</w:t>
      </w:r>
      <w:r w:rsidRPr="00FF009C">
        <w:rPr>
          <w:noProof/>
        </w:rPr>
        <w:t>enie</w:t>
      </w:r>
      <w:r w:rsidR="00FF009C" w:rsidRPr="00FF009C">
        <w:rPr>
          <w:noProof/>
        </w:rPr>
        <w:t xml:space="preserve"> w</w:t>
      </w:r>
      <w:r w:rsidR="00FF009C">
        <w:rPr>
          <w:noProof/>
        </w:rPr>
        <w:t> </w:t>
      </w:r>
      <w:r w:rsidR="00FF009C" w:rsidRPr="00FF009C">
        <w:rPr>
          <w:noProof/>
        </w:rPr>
        <w:t>pań</w:t>
      </w:r>
      <w:r w:rsidRPr="00FF009C">
        <w:rPr>
          <w:noProof/>
        </w:rPr>
        <w:t>stwach pochodzenia</w:t>
      </w:r>
      <w:r w:rsidR="00FF009C" w:rsidRPr="00FF009C">
        <w:rPr>
          <w:noProof/>
        </w:rPr>
        <w:t xml:space="preserve"> i</w:t>
      </w:r>
      <w:r w:rsidR="00FF009C">
        <w:rPr>
          <w:noProof/>
        </w:rPr>
        <w:t> </w:t>
      </w:r>
      <w:r w:rsidR="00FF009C" w:rsidRPr="00FF009C">
        <w:rPr>
          <w:noProof/>
        </w:rPr>
        <w:t>tra</w:t>
      </w:r>
      <w:r w:rsidRPr="00FF009C">
        <w:rPr>
          <w:noProof/>
        </w:rPr>
        <w:t xml:space="preserve">nzytu oraz państwach przyjmujących. </w:t>
      </w:r>
      <w:r w:rsidRPr="00FF009C">
        <w:rPr>
          <w:b/>
          <w:noProof/>
        </w:rPr>
        <w:t>Złożone postępowania przygotowawcze wymierzone przeciwko siatkom przemytu migrantów</w:t>
      </w:r>
      <w:r w:rsidR="00FF009C" w:rsidRPr="00FF009C">
        <w:rPr>
          <w:b/>
          <w:noProof/>
        </w:rPr>
        <w:t xml:space="preserve"> i</w:t>
      </w:r>
      <w:r w:rsidR="00FF009C">
        <w:rPr>
          <w:b/>
          <w:noProof/>
        </w:rPr>
        <w:t> </w:t>
      </w:r>
      <w:r w:rsidR="00FF009C" w:rsidRPr="00FF009C">
        <w:rPr>
          <w:b/>
          <w:noProof/>
        </w:rPr>
        <w:t>han</w:t>
      </w:r>
      <w:r w:rsidRPr="00FF009C">
        <w:rPr>
          <w:b/>
          <w:noProof/>
        </w:rPr>
        <w:t>dlu ludźmi muszą obejmować wszystkie aspekty działalności przestępczej</w:t>
      </w:r>
      <w:r w:rsidRPr="00FF009C">
        <w:rPr>
          <w:noProof/>
        </w:rPr>
        <w:t>, tj. ich aspekt logistyczny, finansowy</w:t>
      </w:r>
      <w:r w:rsidR="00FF009C" w:rsidRPr="00FF009C">
        <w:rPr>
          <w:noProof/>
        </w:rPr>
        <w:t xml:space="preserve"> i</w:t>
      </w:r>
      <w:r w:rsidR="00FF009C">
        <w:rPr>
          <w:noProof/>
        </w:rPr>
        <w:t> </w:t>
      </w:r>
      <w:r w:rsidR="00FF009C" w:rsidRPr="00FF009C">
        <w:rPr>
          <w:noProof/>
        </w:rPr>
        <w:t>cyf</w:t>
      </w:r>
      <w:r w:rsidRPr="00FF009C">
        <w:rPr>
          <w:noProof/>
        </w:rPr>
        <w:t>rowy. Europol powinien również zacieśnić współpracę między swoimi służbami operacyjnymi</w:t>
      </w:r>
      <w:r w:rsidR="00FF009C" w:rsidRPr="00FF009C">
        <w:rPr>
          <w:noProof/>
        </w:rPr>
        <w:t xml:space="preserve"> a</w:t>
      </w:r>
      <w:r w:rsidR="00FF009C">
        <w:rPr>
          <w:noProof/>
        </w:rPr>
        <w:t> </w:t>
      </w:r>
      <w:r w:rsidR="00FF009C" w:rsidRPr="00FF009C">
        <w:rPr>
          <w:noProof/>
        </w:rPr>
        <w:t>kra</w:t>
      </w:r>
      <w:r w:rsidRPr="00FF009C">
        <w:rPr>
          <w:noProof/>
        </w:rPr>
        <w:t>jowymi zespołami odpowiedzialnymi za prowadzenie postępowań przygotowawczych oraz zadbać o to, aby służby te były</w:t>
      </w:r>
      <w:r w:rsidR="00FF009C" w:rsidRPr="00FF009C">
        <w:rPr>
          <w:noProof/>
        </w:rPr>
        <w:t xml:space="preserve"> w</w:t>
      </w:r>
      <w:r w:rsidR="00FF009C">
        <w:rPr>
          <w:noProof/>
        </w:rPr>
        <w:t> </w:t>
      </w:r>
      <w:r w:rsidR="00FF009C" w:rsidRPr="00FF009C">
        <w:rPr>
          <w:noProof/>
        </w:rPr>
        <w:t>sta</w:t>
      </w:r>
      <w:r w:rsidRPr="00FF009C">
        <w:rPr>
          <w:noProof/>
        </w:rPr>
        <w:t>nie udzielać organom państw członkowskich należytego wsparcia</w:t>
      </w:r>
      <w:r w:rsidR="00FF009C" w:rsidRPr="00FF009C">
        <w:rPr>
          <w:noProof/>
        </w:rPr>
        <w:t xml:space="preserve"> w</w:t>
      </w:r>
      <w:r w:rsidR="00FF009C">
        <w:rPr>
          <w:noProof/>
        </w:rPr>
        <w:t> </w:t>
      </w:r>
      <w:r w:rsidR="00FF009C" w:rsidRPr="00FF009C">
        <w:rPr>
          <w:noProof/>
        </w:rPr>
        <w:t>ter</w:t>
      </w:r>
      <w:r w:rsidRPr="00FF009C">
        <w:rPr>
          <w:noProof/>
        </w:rPr>
        <w:t>enie przy podejmowaniu czynności</w:t>
      </w:r>
      <w:r w:rsidR="00FF009C" w:rsidRPr="00FF009C">
        <w:rPr>
          <w:noProof/>
        </w:rPr>
        <w:t xml:space="preserve"> w</w:t>
      </w:r>
      <w:r w:rsidR="00FF009C">
        <w:rPr>
          <w:noProof/>
        </w:rPr>
        <w:t> </w:t>
      </w:r>
      <w:r w:rsidR="00FF009C" w:rsidRPr="00FF009C">
        <w:rPr>
          <w:noProof/>
        </w:rPr>
        <w:t>ram</w:t>
      </w:r>
      <w:r w:rsidRPr="00FF009C">
        <w:rPr>
          <w:noProof/>
        </w:rPr>
        <w:t>ach postępowania przygotowawczego.</w:t>
      </w:r>
    </w:p>
    <w:p w14:paraId="0443957E" w14:textId="198678A8" w:rsidR="00AB4A6F" w:rsidRPr="00FF009C" w:rsidRDefault="00A31950" w:rsidP="00AB4A6F">
      <w:pPr>
        <w:pStyle w:val="Text1"/>
        <w:pBdr>
          <w:top w:val="single" w:sz="4" w:space="1" w:color="auto"/>
          <w:left w:val="single" w:sz="4" w:space="4" w:color="auto"/>
          <w:bottom w:val="single" w:sz="4" w:space="1" w:color="auto"/>
          <w:right w:val="single" w:sz="4" w:space="4" w:color="auto"/>
        </w:pBdr>
        <w:rPr>
          <w:noProof/>
        </w:rPr>
      </w:pPr>
      <w:r w:rsidRPr="00FF009C">
        <w:rPr>
          <w:b/>
          <w:noProof/>
        </w:rPr>
        <w:t>Zwiększenie liczby specjalistów</w:t>
      </w:r>
      <w:r w:rsidR="00FF009C" w:rsidRPr="00FF009C">
        <w:rPr>
          <w:b/>
          <w:noProof/>
        </w:rPr>
        <w:t xml:space="preserve"> w</w:t>
      </w:r>
      <w:r w:rsidR="00FF009C">
        <w:rPr>
          <w:b/>
          <w:noProof/>
        </w:rPr>
        <w:t> </w:t>
      </w:r>
      <w:r w:rsidR="00FF009C" w:rsidRPr="00FF009C">
        <w:rPr>
          <w:b/>
          <w:noProof/>
        </w:rPr>
        <w:t>dzi</w:t>
      </w:r>
      <w:r w:rsidRPr="00FF009C">
        <w:rPr>
          <w:b/>
          <w:noProof/>
        </w:rPr>
        <w:t>edzinie OSINT/monitorowania mediów społecznościowych</w:t>
      </w:r>
      <w:r w:rsidR="00FF009C" w:rsidRPr="00FF009C">
        <w:rPr>
          <w:noProof/>
        </w:rPr>
        <w:t xml:space="preserve"> </w:t>
      </w:r>
      <w:r w:rsidR="00FF009C" w:rsidRPr="00FF009C">
        <w:rPr>
          <w:b/>
          <w:noProof/>
        </w:rPr>
        <w:t>w</w:t>
      </w:r>
      <w:r w:rsidR="00FF009C">
        <w:rPr>
          <w:noProof/>
        </w:rPr>
        <w:t> </w:t>
      </w:r>
      <w:r w:rsidR="00FF009C" w:rsidRPr="00FF009C">
        <w:rPr>
          <w:b/>
          <w:noProof/>
        </w:rPr>
        <w:t>cel</w:t>
      </w:r>
      <w:r w:rsidRPr="00FF009C">
        <w:rPr>
          <w:b/>
          <w:noProof/>
        </w:rPr>
        <w:t>u przekazywania informacji pochodzących</w:t>
      </w:r>
      <w:r w:rsidR="00FF009C" w:rsidRPr="00FF009C">
        <w:rPr>
          <w:b/>
          <w:noProof/>
        </w:rPr>
        <w:t xml:space="preserve"> z</w:t>
      </w:r>
      <w:r w:rsidR="00FF009C">
        <w:rPr>
          <w:b/>
          <w:noProof/>
        </w:rPr>
        <w:t> </w:t>
      </w:r>
      <w:r w:rsidR="00FF009C" w:rsidRPr="00FF009C">
        <w:rPr>
          <w:b/>
          <w:noProof/>
        </w:rPr>
        <w:t>wyw</w:t>
      </w:r>
      <w:r w:rsidRPr="00FF009C">
        <w:rPr>
          <w:b/>
          <w:noProof/>
        </w:rPr>
        <w:t>iadu ze źródeł jawnych</w:t>
      </w:r>
      <w:r w:rsidR="00FF009C" w:rsidRPr="00FF009C">
        <w:rPr>
          <w:b/>
          <w:noProof/>
        </w:rPr>
        <w:t xml:space="preserve"> i</w:t>
      </w:r>
      <w:r w:rsidR="00FF009C">
        <w:rPr>
          <w:b/>
          <w:noProof/>
        </w:rPr>
        <w:t> </w:t>
      </w:r>
      <w:r w:rsidR="00FF009C" w:rsidRPr="00FF009C">
        <w:rPr>
          <w:b/>
          <w:noProof/>
        </w:rPr>
        <w:t>mon</w:t>
      </w:r>
      <w:r w:rsidRPr="00FF009C">
        <w:rPr>
          <w:b/>
          <w:noProof/>
        </w:rPr>
        <w:t>itorowania mediów społecznościowych, przeprowadzania analiz sieci społecznościowych</w:t>
      </w:r>
      <w:r w:rsidRPr="00FF009C">
        <w:rPr>
          <w:noProof/>
        </w:rPr>
        <w:t xml:space="preserve"> oraz świadczenia powiązanych operacyjnych usług eksperckich, aby wspierać postępowania przygotowawcze prowadzone przez państwa członkowskie</w:t>
      </w:r>
      <w:r w:rsidR="00FF009C" w:rsidRPr="00FF009C">
        <w:rPr>
          <w:noProof/>
        </w:rPr>
        <w:t xml:space="preserve"> i</w:t>
      </w:r>
      <w:r w:rsidR="00FF009C">
        <w:rPr>
          <w:noProof/>
        </w:rPr>
        <w:t> </w:t>
      </w:r>
      <w:r w:rsidR="00FF009C" w:rsidRPr="00FF009C">
        <w:rPr>
          <w:noProof/>
        </w:rPr>
        <w:t>śro</w:t>
      </w:r>
      <w:r w:rsidRPr="00FF009C">
        <w:rPr>
          <w:noProof/>
        </w:rPr>
        <w:t>dki zapobiegawcze stosowane przez nie</w:t>
      </w:r>
      <w:r w:rsidR="00FF009C" w:rsidRPr="00FF009C">
        <w:rPr>
          <w:noProof/>
        </w:rPr>
        <w:t xml:space="preserve"> w</w:t>
      </w:r>
      <w:r w:rsidR="00FF009C">
        <w:rPr>
          <w:noProof/>
        </w:rPr>
        <w:t> </w:t>
      </w:r>
      <w:r w:rsidR="00FF009C" w:rsidRPr="00FF009C">
        <w:rPr>
          <w:noProof/>
        </w:rPr>
        <w:t>cel</w:t>
      </w:r>
      <w:r w:rsidRPr="00FF009C">
        <w:rPr>
          <w:noProof/>
        </w:rPr>
        <w:t>u zwalczania zorganizowanego przemytu migrantów</w:t>
      </w:r>
      <w:r w:rsidR="00FF009C" w:rsidRPr="00FF009C">
        <w:rPr>
          <w:noProof/>
        </w:rPr>
        <w:t xml:space="preserve"> i</w:t>
      </w:r>
      <w:r w:rsidR="00FF009C">
        <w:rPr>
          <w:noProof/>
        </w:rPr>
        <w:t> </w:t>
      </w:r>
      <w:r w:rsidR="00FF009C" w:rsidRPr="00FF009C">
        <w:rPr>
          <w:noProof/>
        </w:rPr>
        <w:t>han</w:t>
      </w:r>
      <w:r w:rsidRPr="00FF009C">
        <w:rPr>
          <w:noProof/>
        </w:rPr>
        <w:t xml:space="preserve">dlu ludźmi wywierającego wpływ na państwa pochodzenia lub tranzytu bądź państwa przyjmujące. Europol powinien dysponować zdolnością pozwalającą mu </w:t>
      </w:r>
      <w:r w:rsidRPr="00FF009C">
        <w:rPr>
          <w:b/>
          <w:noProof/>
        </w:rPr>
        <w:t>wspierać wysokiej jakości przetwarzanie informacji gromadzonych online</w:t>
      </w:r>
      <w:r w:rsidR="00FF009C" w:rsidRPr="00FF009C">
        <w:rPr>
          <w:b/>
          <w:noProof/>
        </w:rPr>
        <w:t xml:space="preserve"> w</w:t>
      </w:r>
      <w:r w:rsidR="00FF009C">
        <w:rPr>
          <w:b/>
          <w:noProof/>
        </w:rPr>
        <w:t> </w:t>
      </w:r>
      <w:r w:rsidR="00FF009C" w:rsidRPr="00FF009C">
        <w:rPr>
          <w:b/>
          <w:noProof/>
        </w:rPr>
        <w:t>cza</w:t>
      </w:r>
      <w:r w:rsidRPr="00FF009C">
        <w:rPr>
          <w:b/>
          <w:noProof/>
        </w:rPr>
        <w:t>sie rzeczywistym</w:t>
      </w:r>
      <w:r w:rsidR="00FF009C" w:rsidRPr="00FF009C">
        <w:rPr>
          <w:b/>
          <w:noProof/>
        </w:rPr>
        <w:t xml:space="preserve"> </w:t>
      </w:r>
      <w:r w:rsidR="00FF009C" w:rsidRPr="00FF009C">
        <w:rPr>
          <w:noProof/>
        </w:rPr>
        <w:t>w</w:t>
      </w:r>
      <w:r w:rsidR="00FF009C">
        <w:rPr>
          <w:b/>
          <w:noProof/>
        </w:rPr>
        <w:t> </w:t>
      </w:r>
      <w:r w:rsidR="00FF009C" w:rsidRPr="00FF009C">
        <w:rPr>
          <w:noProof/>
        </w:rPr>
        <w:t>tra</w:t>
      </w:r>
      <w:r w:rsidRPr="00FF009C">
        <w:rPr>
          <w:noProof/>
        </w:rPr>
        <w:t>kcie podejmowania przez państwa członkowskie czynności</w:t>
      </w:r>
      <w:r w:rsidR="00FF009C" w:rsidRPr="00FF009C">
        <w:rPr>
          <w:noProof/>
        </w:rPr>
        <w:t xml:space="preserve"> w</w:t>
      </w:r>
      <w:r w:rsidR="00FF009C">
        <w:rPr>
          <w:noProof/>
        </w:rPr>
        <w:t> </w:t>
      </w:r>
      <w:r w:rsidR="00FF009C" w:rsidRPr="00FF009C">
        <w:rPr>
          <w:noProof/>
        </w:rPr>
        <w:t>ram</w:t>
      </w:r>
      <w:r w:rsidRPr="00FF009C">
        <w:rPr>
          <w:noProof/>
        </w:rPr>
        <w:t>ach postępowania przygotowawczego.</w:t>
      </w:r>
    </w:p>
    <w:p w14:paraId="2FCABBF2" w14:textId="418357B8" w:rsidR="00AB4A6F" w:rsidRPr="00FF009C" w:rsidRDefault="004308A6" w:rsidP="00AB4A6F">
      <w:pPr>
        <w:pStyle w:val="Text1"/>
        <w:pBdr>
          <w:top w:val="single" w:sz="4" w:space="1" w:color="auto"/>
          <w:left w:val="single" w:sz="4" w:space="4" w:color="auto"/>
          <w:bottom w:val="single" w:sz="4" w:space="1" w:color="auto"/>
          <w:right w:val="single" w:sz="4" w:space="4" w:color="auto"/>
        </w:pBdr>
        <w:rPr>
          <w:noProof/>
        </w:rPr>
      </w:pPr>
      <w:r w:rsidRPr="00FF009C">
        <w:rPr>
          <w:b/>
          <w:noProof/>
        </w:rPr>
        <w:t>Zwiększenie liczby specjalistów</w:t>
      </w:r>
      <w:r w:rsidR="00FF009C" w:rsidRPr="00FF009C">
        <w:rPr>
          <w:b/>
          <w:noProof/>
        </w:rPr>
        <w:t xml:space="preserve"> w</w:t>
      </w:r>
      <w:r w:rsidR="00FF009C">
        <w:rPr>
          <w:b/>
          <w:noProof/>
        </w:rPr>
        <w:t> </w:t>
      </w:r>
      <w:r w:rsidR="00FF009C" w:rsidRPr="00FF009C">
        <w:rPr>
          <w:b/>
          <w:noProof/>
        </w:rPr>
        <w:t>dzi</w:t>
      </w:r>
      <w:r w:rsidRPr="00FF009C">
        <w:rPr>
          <w:b/>
          <w:noProof/>
        </w:rPr>
        <w:t>edzinie kryminalistyki, deszyfrowania</w:t>
      </w:r>
      <w:r w:rsidR="00FF009C" w:rsidRPr="00FF009C">
        <w:rPr>
          <w:b/>
          <w:noProof/>
        </w:rPr>
        <w:t xml:space="preserve"> i</w:t>
      </w:r>
      <w:r w:rsidR="00FF009C">
        <w:rPr>
          <w:b/>
          <w:noProof/>
        </w:rPr>
        <w:t> </w:t>
      </w:r>
      <w:r w:rsidR="00FF009C" w:rsidRPr="00FF009C">
        <w:rPr>
          <w:b/>
          <w:noProof/>
        </w:rPr>
        <w:t>dan</w:t>
      </w:r>
      <w:r w:rsidRPr="00FF009C">
        <w:rPr>
          <w:b/>
          <w:noProof/>
        </w:rPr>
        <w:t>ych, aby zapewnić możliwość ekstrakcji</w:t>
      </w:r>
      <w:r w:rsidR="00FF009C" w:rsidRPr="00FF009C">
        <w:rPr>
          <w:b/>
          <w:noProof/>
        </w:rPr>
        <w:t xml:space="preserve"> i</w:t>
      </w:r>
      <w:r w:rsidR="00FF009C">
        <w:rPr>
          <w:b/>
          <w:noProof/>
        </w:rPr>
        <w:t> </w:t>
      </w:r>
      <w:r w:rsidR="00FF009C" w:rsidRPr="00FF009C">
        <w:rPr>
          <w:b/>
          <w:noProof/>
        </w:rPr>
        <w:t>prz</w:t>
      </w:r>
      <w:r w:rsidRPr="00FF009C">
        <w:rPr>
          <w:b/>
          <w:noProof/>
        </w:rPr>
        <w:t>etwarzania dużych</w:t>
      </w:r>
      <w:r w:rsidR="00FF009C" w:rsidRPr="00FF009C">
        <w:rPr>
          <w:b/>
          <w:noProof/>
        </w:rPr>
        <w:t xml:space="preserve"> i</w:t>
      </w:r>
      <w:r w:rsidR="00FF009C">
        <w:rPr>
          <w:b/>
          <w:noProof/>
        </w:rPr>
        <w:t> </w:t>
      </w:r>
      <w:r w:rsidR="00FF009C" w:rsidRPr="00FF009C">
        <w:rPr>
          <w:b/>
          <w:noProof/>
        </w:rPr>
        <w:t>zło</w:t>
      </w:r>
      <w:r w:rsidRPr="00FF009C">
        <w:rPr>
          <w:b/>
          <w:noProof/>
        </w:rPr>
        <w:t>żonych zbiorów danych</w:t>
      </w:r>
      <w:r w:rsidRPr="00FF009C">
        <w:rPr>
          <w:noProof/>
        </w:rPr>
        <w:t xml:space="preserve"> uzyskiwanych od państw pochodzenia</w:t>
      </w:r>
      <w:r w:rsidR="00FF009C" w:rsidRPr="00FF009C">
        <w:rPr>
          <w:noProof/>
        </w:rPr>
        <w:t xml:space="preserve"> i</w:t>
      </w:r>
      <w:r w:rsidR="00FF009C">
        <w:rPr>
          <w:noProof/>
        </w:rPr>
        <w:t> </w:t>
      </w:r>
      <w:r w:rsidR="00FF009C" w:rsidRPr="00FF009C">
        <w:rPr>
          <w:noProof/>
        </w:rPr>
        <w:t>tra</w:t>
      </w:r>
      <w:r w:rsidRPr="00FF009C">
        <w:rPr>
          <w:noProof/>
        </w:rPr>
        <w:t>nzytu oraz państw przyjmujących, uwzględniając zarówno państwa członkowskie, jak</w:t>
      </w:r>
      <w:r w:rsidR="00FF009C" w:rsidRPr="00FF009C">
        <w:rPr>
          <w:noProof/>
        </w:rPr>
        <w:t xml:space="preserve"> i</w:t>
      </w:r>
      <w:r w:rsidR="00FF009C">
        <w:rPr>
          <w:noProof/>
        </w:rPr>
        <w:t> </w:t>
      </w:r>
      <w:r w:rsidR="00FF009C" w:rsidRPr="00FF009C">
        <w:rPr>
          <w:noProof/>
        </w:rPr>
        <w:t>pań</w:t>
      </w:r>
      <w:r w:rsidRPr="00FF009C">
        <w:rPr>
          <w:noProof/>
        </w:rPr>
        <w:t>stwa trzecie. Aby zagwarantować zgodne</w:t>
      </w:r>
      <w:r w:rsidR="00FF009C" w:rsidRPr="00FF009C">
        <w:rPr>
          <w:noProof/>
        </w:rPr>
        <w:t xml:space="preserve"> z</w:t>
      </w:r>
      <w:r w:rsidR="00FF009C">
        <w:rPr>
          <w:noProof/>
        </w:rPr>
        <w:t> </w:t>
      </w:r>
      <w:r w:rsidR="00FF009C" w:rsidRPr="00FF009C">
        <w:rPr>
          <w:noProof/>
        </w:rPr>
        <w:t>pra</w:t>
      </w:r>
      <w:r w:rsidRPr="00FF009C">
        <w:rPr>
          <w:noProof/>
        </w:rPr>
        <w:t>wem wykorzystywanie gromadzonych danych biometrycznych</w:t>
      </w:r>
      <w:r w:rsidR="00FF009C" w:rsidRPr="00FF009C">
        <w:rPr>
          <w:noProof/>
        </w:rPr>
        <w:t xml:space="preserve"> i</w:t>
      </w:r>
      <w:r w:rsidR="00FF009C">
        <w:rPr>
          <w:noProof/>
        </w:rPr>
        <w:t> </w:t>
      </w:r>
      <w:r w:rsidR="00FF009C" w:rsidRPr="00FF009C">
        <w:rPr>
          <w:noProof/>
        </w:rPr>
        <w:t>two</w:t>
      </w:r>
      <w:r w:rsidRPr="00FF009C">
        <w:rPr>
          <w:noProof/>
        </w:rPr>
        <w:t>rzyć nowe modele analizowania złożonych danych, które częściej niż</w:t>
      </w:r>
      <w:r w:rsidR="00FF009C" w:rsidRPr="00FF009C">
        <w:rPr>
          <w:noProof/>
        </w:rPr>
        <w:t xml:space="preserve"> w</w:t>
      </w:r>
      <w:r w:rsidR="00FF009C">
        <w:rPr>
          <w:noProof/>
        </w:rPr>
        <w:t> </w:t>
      </w:r>
      <w:r w:rsidR="00FF009C" w:rsidRPr="00FF009C">
        <w:rPr>
          <w:noProof/>
        </w:rPr>
        <w:t>prz</w:t>
      </w:r>
      <w:r w:rsidRPr="00FF009C">
        <w:rPr>
          <w:noProof/>
        </w:rPr>
        <w:t xml:space="preserve">eszłości pochodzą spoza UE, należy zapewnić </w:t>
      </w:r>
      <w:r w:rsidRPr="00FF009C">
        <w:rPr>
          <w:b/>
          <w:noProof/>
        </w:rPr>
        <w:t>dostęp do wysokiej jakości danych</w:t>
      </w:r>
      <w:r w:rsidR="00FF009C" w:rsidRPr="00FF009C">
        <w:rPr>
          <w:b/>
          <w:noProof/>
        </w:rPr>
        <w:t xml:space="preserve"> i</w:t>
      </w:r>
      <w:r w:rsidR="00FF009C">
        <w:rPr>
          <w:b/>
          <w:noProof/>
        </w:rPr>
        <w:t> </w:t>
      </w:r>
      <w:r w:rsidR="00FF009C" w:rsidRPr="00FF009C">
        <w:rPr>
          <w:b/>
          <w:noProof/>
        </w:rPr>
        <w:t>prz</w:t>
      </w:r>
      <w:r w:rsidRPr="00FF009C">
        <w:rPr>
          <w:b/>
          <w:noProof/>
        </w:rPr>
        <w:t>etwarzanie tych danych</w:t>
      </w:r>
      <w:r w:rsidR="00FF009C" w:rsidRPr="00FF009C">
        <w:rPr>
          <w:b/>
          <w:noProof/>
        </w:rPr>
        <w:t xml:space="preserve"> w</w:t>
      </w:r>
      <w:r w:rsidR="00FF009C">
        <w:rPr>
          <w:b/>
          <w:noProof/>
        </w:rPr>
        <w:t> </w:t>
      </w:r>
      <w:r w:rsidR="00FF009C" w:rsidRPr="00FF009C">
        <w:rPr>
          <w:b/>
          <w:noProof/>
        </w:rPr>
        <w:t>cza</w:t>
      </w:r>
      <w:r w:rsidRPr="00FF009C">
        <w:rPr>
          <w:b/>
          <w:noProof/>
        </w:rPr>
        <w:t>sie rzeczywistym, jak również dostęp do powiązanej wiedzy fachowej</w:t>
      </w:r>
      <w:r w:rsidR="00FF009C" w:rsidRPr="00FF009C">
        <w:rPr>
          <w:b/>
          <w:noProof/>
        </w:rPr>
        <w:t xml:space="preserve"> w</w:t>
      </w:r>
      <w:r w:rsidR="00FF009C">
        <w:rPr>
          <w:b/>
          <w:noProof/>
        </w:rPr>
        <w:t> </w:t>
      </w:r>
      <w:r w:rsidR="00FF009C" w:rsidRPr="00FF009C">
        <w:rPr>
          <w:b/>
          <w:noProof/>
        </w:rPr>
        <w:t>dzi</w:t>
      </w:r>
      <w:r w:rsidRPr="00FF009C">
        <w:rPr>
          <w:b/>
          <w:noProof/>
        </w:rPr>
        <w:t>edzinie nauki</w:t>
      </w:r>
      <w:r w:rsidR="00FF009C" w:rsidRPr="00FF009C">
        <w:rPr>
          <w:b/>
          <w:noProof/>
        </w:rPr>
        <w:t xml:space="preserve"> o</w:t>
      </w:r>
      <w:r w:rsidR="00FF009C">
        <w:rPr>
          <w:b/>
          <w:noProof/>
        </w:rPr>
        <w:t> </w:t>
      </w:r>
      <w:r w:rsidR="00FF009C" w:rsidRPr="00FF009C">
        <w:rPr>
          <w:b/>
          <w:noProof/>
        </w:rPr>
        <w:t>dan</w:t>
      </w:r>
      <w:r w:rsidRPr="00FF009C">
        <w:rPr>
          <w:b/>
          <w:noProof/>
        </w:rPr>
        <w:t>ych</w:t>
      </w:r>
      <w:r w:rsidRPr="00FF009C">
        <w:rPr>
          <w:noProof/>
        </w:rPr>
        <w:t>. Europol powinien również zacieśnić współpracę między swoimi służbami operacyjnymi</w:t>
      </w:r>
      <w:r w:rsidR="00FF009C" w:rsidRPr="00FF009C">
        <w:rPr>
          <w:noProof/>
        </w:rPr>
        <w:t xml:space="preserve"> a</w:t>
      </w:r>
      <w:r w:rsidR="00FF009C">
        <w:rPr>
          <w:noProof/>
        </w:rPr>
        <w:t> </w:t>
      </w:r>
      <w:r w:rsidR="00FF009C" w:rsidRPr="00FF009C">
        <w:rPr>
          <w:noProof/>
        </w:rPr>
        <w:t>kra</w:t>
      </w:r>
      <w:r w:rsidRPr="00FF009C">
        <w:rPr>
          <w:noProof/>
        </w:rPr>
        <w:t>jowymi zespołami odpowiedzialnymi za prowadzenie postępowań przygotowawczych oraz zadbać o to, aby służby te były</w:t>
      </w:r>
      <w:r w:rsidR="00FF009C" w:rsidRPr="00FF009C">
        <w:rPr>
          <w:noProof/>
        </w:rPr>
        <w:t xml:space="preserve"> w</w:t>
      </w:r>
      <w:r w:rsidR="00FF009C">
        <w:rPr>
          <w:noProof/>
        </w:rPr>
        <w:t> </w:t>
      </w:r>
      <w:r w:rsidR="00FF009C" w:rsidRPr="00FF009C">
        <w:rPr>
          <w:noProof/>
        </w:rPr>
        <w:t>sta</w:t>
      </w:r>
      <w:r w:rsidRPr="00FF009C">
        <w:rPr>
          <w:noProof/>
        </w:rPr>
        <w:t>nie udzielać organom państw członkowskich należytego wsparcia przez zapewnianie im możliwości korzystania</w:t>
      </w:r>
      <w:r w:rsidR="00FF009C" w:rsidRPr="00FF009C">
        <w:rPr>
          <w:noProof/>
        </w:rPr>
        <w:t xml:space="preserve"> z</w:t>
      </w:r>
      <w:r w:rsidR="00FF009C">
        <w:rPr>
          <w:noProof/>
        </w:rPr>
        <w:t> </w:t>
      </w:r>
      <w:r w:rsidR="00FF009C" w:rsidRPr="00FF009C">
        <w:rPr>
          <w:noProof/>
        </w:rPr>
        <w:t>usł</w:t>
      </w:r>
      <w:r w:rsidRPr="00FF009C">
        <w:rPr>
          <w:noProof/>
        </w:rPr>
        <w:t>ug specjalistów</w:t>
      </w:r>
      <w:r w:rsidR="00FF009C" w:rsidRPr="00FF009C">
        <w:rPr>
          <w:noProof/>
        </w:rPr>
        <w:t xml:space="preserve"> w</w:t>
      </w:r>
      <w:r w:rsidR="00FF009C">
        <w:rPr>
          <w:noProof/>
        </w:rPr>
        <w:t> </w:t>
      </w:r>
      <w:r w:rsidR="00FF009C" w:rsidRPr="00FF009C">
        <w:rPr>
          <w:noProof/>
        </w:rPr>
        <w:t>dzi</w:t>
      </w:r>
      <w:r w:rsidRPr="00FF009C">
        <w:rPr>
          <w:noProof/>
        </w:rPr>
        <w:t>edzinie kryminalistyki, deszyfrowania</w:t>
      </w:r>
      <w:r w:rsidR="00FF009C" w:rsidRPr="00FF009C">
        <w:rPr>
          <w:noProof/>
        </w:rPr>
        <w:t xml:space="preserve"> i</w:t>
      </w:r>
      <w:r w:rsidR="00FF009C">
        <w:rPr>
          <w:noProof/>
        </w:rPr>
        <w:t> </w:t>
      </w:r>
      <w:r w:rsidR="00FF009C" w:rsidRPr="00FF009C">
        <w:rPr>
          <w:noProof/>
        </w:rPr>
        <w:t>dan</w:t>
      </w:r>
      <w:r w:rsidRPr="00FF009C">
        <w:rPr>
          <w:noProof/>
        </w:rPr>
        <w:t>ych przy podejmowaniu czynności</w:t>
      </w:r>
      <w:r w:rsidR="00FF009C" w:rsidRPr="00FF009C">
        <w:rPr>
          <w:noProof/>
        </w:rPr>
        <w:t xml:space="preserve"> w</w:t>
      </w:r>
      <w:r w:rsidR="00FF009C">
        <w:rPr>
          <w:noProof/>
        </w:rPr>
        <w:t> </w:t>
      </w:r>
      <w:r w:rsidR="00FF009C" w:rsidRPr="00FF009C">
        <w:rPr>
          <w:noProof/>
        </w:rPr>
        <w:t>ram</w:t>
      </w:r>
      <w:r w:rsidRPr="00FF009C">
        <w:rPr>
          <w:noProof/>
        </w:rPr>
        <w:t>ach postępowania przygotowawczego.</w:t>
      </w:r>
    </w:p>
    <w:p w14:paraId="0F98FD19" w14:textId="713F6D86" w:rsidR="00AB4A6F" w:rsidRPr="00FF009C" w:rsidRDefault="00AB4A6F" w:rsidP="00AB4A6F">
      <w:pPr>
        <w:pStyle w:val="Text1"/>
        <w:pBdr>
          <w:top w:val="single" w:sz="4" w:space="1" w:color="auto"/>
          <w:left w:val="single" w:sz="4" w:space="4" w:color="auto"/>
          <w:bottom w:val="single" w:sz="4" w:space="1" w:color="auto"/>
          <w:right w:val="single" w:sz="4" w:space="4" w:color="auto"/>
        </w:pBdr>
        <w:rPr>
          <w:b/>
          <w:bCs/>
          <w:noProof/>
        </w:rPr>
      </w:pPr>
      <w:r w:rsidRPr="00FF009C">
        <w:rPr>
          <w:b/>
          <w:noProof/>
        </w:rPr>
        <w:t>Cel szczegółowy nr</w:t>
      </w:r>
      <w:r w:rsidR="00FF009C" w:rsidRPr="00FF009C">
        <w:rPr>
          <w:b/>
          <w:noProof/>
        </w:rPr>
        <w:t> </w:t>
      </w:r>
      <w:r w:rsidRPr="00FF009C">
        <w:rPr>
          <w:b/>
          <w:noProof/>
        </w:rPr>
        <w:t>2: zacieśnianie współpracy</w:t>
      </w:r>
      <w:r w:rsidR="00FF009C" w:rsidRPr="00FF009C">
        <w:rPr>
          <w:b/>
          <w:noProof/>
        </w:rPr>
        <w:t xml:space="preserve"> i</w:t>
      </w:r>
      <w:r w:rsidR="00FF009C">
        <w:rPr>
          <w:b/>
          <w:noProof/>
        </w:rPr>
        <w:t> </w:t>
      </w:r>
      <w:r w:rsidR="00FF009C" w:rsidRPr="00FF009C">
        <w:rPr>
          <w:b/>
          <w:noProof/>
        </w:rPr>
        <w:t>pop</w:t>
      </w:r>
      <w:r w:rsidRPr="00FF009C">
        <w:rPr>
          <w:b/>
          <w:noProof/>
        </w:rPr>
        <w:t>rawa koordynacji między państwami członkowskimi, Europolem</w:t>
      </w:r>
      <w:r w:rsidR="00FF009C" w:rsidRPr="00FF009C">
        <w:rPr>
          <w:b/>
          <w:noProof/>
        </w:rPr>
        <w:t xml:space="preserve"> i</w:t>
      </w:r>
      <w:r w:rsidR="00FF009C">
        <w:rPr>
          <w:b/>
          <w:noProof/>
        </w:rPr>
        <w:t> </w:t>
      </w:r>
      <w:r w:rsidR="00FF009C" w:rsidRPr="00FF009C">
        <w:rPr>
          <w:b/>
          <w:noProof/>
        </w:rPr>
        <w:t>inn</w:t>
      </w:r>
      <w:r w:rsidRPr="00FF009C">
        <w:rPr>
          <w:b/>
          <w:noProof/>
        </w:rPr>
        <w:t>ymi agencjami Unii</w:t>
      </w:r>
    </w:p>
    <w:p w14:paraId="7B3254D0" w14:textId="0E58EDAF"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W świetle zidentyfikowanych braków</w:t>
      </w:r>
      <w:r w:rsidR="00FF009C" w:rsidRPr="00FF009C">
        <w:rPr>
          <w:noProof/>
        </w:rPr>
        <w:t xml:space="preserve"> i</w:t>
      </w:r>
      <w:r w:rsidR="00FF009C">
        <w:rPr>
          <w:noProof/>
        </w:rPr>
        <w:t> </w:t>
      </w:r>
      <w:r w:rsidR="00FF009C" w:rsidRPr="00FF009C">
        <w:rPr>
          <w:noProof/>
        </w:rPr>
        <w:t>nie</w:t>
      </w:r>
      <w:r w:rsidRPr="00FF009C">
        <w:rPr>
          <w:noProof/>
        </w:rPr>
        <w:t>dostatecznie ścisłej współpracy międzyagencyjnej oraz niewystarczającego poziomu ukierunkowania</w:t>
      </w:r>
      <w:r w:rsidR="00FF009C" w:rsidRPr="00FF009C">
        <w:rPr>
          <w:noProof/>
        </w:rPr>
        <w:t xml:space="preserve"> i</w:t>
      </w:r>
      <w:r w:rsidR="00FF009C">
        <w:rPr>
          <w:noProof/>
        </w:rPr>
        <w:t> </w:t>
      </w:r>
      <w:r w:rsidR="00FF009C" w:rsidRPr="00FF009C">
        <w:rPr>
          <w:noProof/>
        </w:rPr>
        <w:t>koo</w:t>
      </w:r>
      <w:r w:rsidRPr="00FF009C">
        <w:rPr>
          <w:noProof/>
        </w:rPr>
        <w:t xml:space="preserve">rdynacji działań służących przeciwdziałaniu przemytowi migrantów na poziomie UE </w:t>
      </w:r>
      <w:r w:rsidRPr="00FF009C">
        <w:rPr>
          <w:b/>
          <w:noProof/>
        </w:rPr>
        <w:t>celem jest ustanowienie struktury zarządzania sprzyjającej skutecznej współpracy międzyagencyjnej, kierowania</w:t>
      </w:r>
      <w:r w:rsidR="00FF009C" w:rsidRPr="00FF009C">
        <w:rPr>
          <w:b/>
          <w:noProof/>
        </w:rPr>
        <w:t xml:space="preserve"> i</w:t>
      </w:r>
      <w:r w:rsidR="00FF009C">
        <w:rPr>
          <w:b/>
          <w:noProof/>
        </w:rPr>
        <w:t> </w:t>
      </w:r>
      <w:r w:rsidR="00FF009C" w:rsidRPr="00FF009C">
        <w:rPr>
          <w:b/>
          <w:noProof/>
        </w:rPr>
        <w:t>koo</w:t>
      </w:r>
      <w:r w:rsidRPr="00FF009C">
        <w:rPr>
          <w:b/>
          <w:noProof/>
        </w:rPr>
        <w:t>rdynacji, zarówno na szczeblu strategicznym, jak i na szczeblu operacyjnym</w:t>
      </w:r>
      <w:r w:rsidR="00FF009C" w:rsidRPr="00FF009C">
        <w:rPr>
          <w:noProof/>
        </w:rPr>
        <w:t>. Z</w:t>
      </w:r>
      <w:r w:rsidR="00FF009C">
        <w:rPr>
          <w:noProof/>
        </w:rPr>
        <w:t> </w:t>
      </w:r>
      <w:r w:rsidR="00FF009C" w:rsidRPr="00FF009C">
        <w:rPr>
          <w:noProof/>
        </w:rPr>
        <w:t>uwa</w:t>
      </w:r>
      <w:r w:rsidRPr="00FF009C">
        <w:rPr>
          <w:noProof/>
        </w:rPr>
        <w:t>gi na fakt, że sprawy dotyczące przemytu migrantów</w:t>
      </w:r>
      <w:r w:rsidR="00FF009C" w:rsidRPr="00FF009C">
        <w:rPr>
          <w:noProof/>
        </w:rPr>
        <w:t xml:space="preserve"> i</w:t>
      </w:r>
      <w:r w:rsidR="00FF009C">
        <w:rPr>
          <w:noProof/>
        </w:rPr>
        <w:t> </w:t>
      </w:r>
      <w:r w:rsidR="00FF009C" w:rsidRPr="00FF009C">
        <w:rPr>
          <w:noProof/>
        </w:rPr>
        <w:t>han</w:t>
      </w:r>
      <w:r w:rsidRPr="00FF009C">
        <w:rPr>
          <w:noProof/>
        </w:rPr>
        <w:t>dlu ludźmi mają</w:t>
      </w:r>
      <w:r w:rsidR="00FF009C" w:rsidRPr="00FF009C">
        <w:rPr>
          <w:noProof/>
        </w:rPr>
        <w:t xml:space="preserve"> w</w:t>
      </w:r>
      <w:r w:rsidR="00FF009C">
        <w:rPr>
          <w:noProof/>
        </w:rPr>
        <w:t> </w:t>
      </w:r>
      <w:r w:rsidR="00FF009C" w:rsidRPr="00FF009C">
        <w:rPr>
          <w:noProof/>
        </w:rPr>
        <w:t>wys</w:t>
      </w:r>
      <w:r w:rsidRPr="00FF009C">
        <w:rPr>
          <w:noProof/>
        </w:rPr>
        <w:t>okim stopniu transgraniczny charakter</w:t>
      </w:r>
      <w:r w:rsidR="00FF009C" w:rsidRPr="00FF009C">
        <w:rPr>
          <w:noProof/>
        </w:rPr>
        <w:t xml:space="preserve"> i</w:t>
      </w:r>
      <w:r w:rsidR="00FF009C">
        <w:rPr>
          <w:noProof/>
        </w:rPr>
        <w:t> </w:t>
      </w:r>
      <w:r w:rsidR="00FF009C" w:rsidRPr="00FF009C">
        <w:rPr>
          <w:noProof/>
        </w:rPr>
        <w:t>tow</w:t>
      </w:r>
      <w:r w:rsidRPr="00FF009C">
        <w:rPr>
          <w:noProof/>
        </w:rPr>
        <w:t>arzyszą im</w:t>
      </w:r>
      <w:r w:rsidR="00FF009C" w:rsidRPr="00FF009C">
        <w:rPr>
          <w:noProof/>
        </w:rPr>
        <w:t xml:space="preserve"> w</w:t>
      </w:r>
      <w:r w:rsidR="00FF009C">
        <w:rPr>
          <w:noProof/>
        </w:rPr>
        <w:t> </w:t>
      </w:r>
      <w:r w:rsidR="00FF009C" w:rsidRPr="00FF009C">
        <w:rPr>
          <w:noProof/>
        </w:rPr>
        <w:t>szc</w:t>
      </w:r>
      <w:r w:rsidRPr="00FF009C">
        <w:rPr>
          <w:noProof/>
        </w:rPr>
        <w:t>zególności inne rodzaje poważnych przestępstw takie jak pranie pieniędzy lub podrabianie dokumentów, unikalna zdolność Europolu do wzbogacenia obrazu</w:t>
      </w:r>
      <w:r w:rsidR="00FF009C" w:rsidRPr="00FF009C">
        <w:rPr>
          <w:noProof/>
        </w:rPr>
        <w:t xml:space="preserve"> w</w:t>
      </w:r>
      <w:r w:rsidR="00FF009C">
        <w:rPr>
          <w:noProof/>
        </w:rPr>
        <w:t> </w:t>
      </w:r>
      <w:r w:rsidR="00FF009C" w:rsidRPr="00FF009C">
        <w:rPr>
          <w:noProof/>
        </w:rPr>
        <w:t>zak</w:t>
      </w:r>
      <w:r w:rsidRPr="00FF009C">
        <w:rPr>
          <w:noProof/>
        </w:rPr>
        <w:t>resie wywiadu kryminalnego przez przeprowadzanie kontroli krzyżowych istniejących informacji</w:t>
      </w:r>
      <w:r w:rsidR="00FF009C" w:rsidRPr="00FF009C">
        <w:rPr>
          <w:noProof/>
        </w:rPr>
        <w:t xml:space="preserve"> i</w:t>
      </w:r>
      <w:r w:rsidR="00FF009C">
        <w:rPr>
          <w:noProof/>
        </w:rPr>
        <w:t> </w:t>
      </w:r>
      <w:r w:rsidR="00FF009C" w:rsidRPr="00FF009C">
        <w:rPr>
          <w:noProof/>
        </w:rPr>
        <w:t>dan</w:t>
      </w:r>
      <w:r w:rsidRPr="00FF009C">
        <w:rPr>
          <w:noProof/>
        </w:rPr>
        <w:t>ych wywiadowczych przekazywanych przez państwa członkowskie, państwa trzecie</w:t>
      </w:r>
      <w:r w:rsidR="00FF009C" w:rsidRPr="00FF009C">
        <w:rPr>
          <w:noProof/>
        </w:rPr>
        <w:t xml:space="preserve"> i</w:t>
      </w:r>
      <w:r w:rsidR="00FF009C">
        <w:rPr>
          <w:noProof/>
        </w:rPr>
        <w:t> </w:t>
      </w:r>
      <w:r w:rsidR="00FF009C" w:rsidRPr="00FF009C">
        <w:rPr>
          <w:noProof/>
        </w:rPr>
        <w:t>odp</w:t>
      </w:r>
      <w:r w:rsidRPr="00FF009C">
        <w:rPr>
          <w:noProof/>
        </w:rPr>
        <w:t>owiednie organizacje międzynarodowe lub inne agencje UE</w:t>
      </w:r>
      <w:r w:rsidR="00FF009C" w:rsidRPr="00FF009C">
        <w:rPr>
          <w:noProof/>
        </w:rPr>
        <w:t xml:space="preserve"> w</w:t>
      </w:r>
      <w:r w:rsidR="00FF009C">
        <w:rPr>
          <w:noProof/>
        </w:rPr>
        <w:t> </w:t>
      </w:r>
      <w:r w:rsidR="00FF009C" w:rsidRPr="00FF009C">
        <w:rPr>
          <w:noProof/>
        </w:rPr>
        <w:t>imi</w:t>
      </w:r>
      <w:r w:rsidRPr="00FF009C">
        <w:rPr>
          <w:noProof/>
        </w:rPr>
        <w:t>eniu państw członkowskich zostanie zwiększona, aby skutecznej wspierać starania państw członkowskich na rzecz przeciwdziałania przemytowi migrantów.</w:t>
      </w:r>
    </w:p>
    <w:p w14:paraId="54EC9A42" w14:textId="556D1363"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W ramach tego celu należy zapewnić dodatkowe zasoby na potrzeby realizacji nowych zadań strategicznych</w:t>
      </w:r>
      <w:r w:rsidR="00FF009C" w:rsidRPr="00FF009C">
        <w:rPr>
          <w:noProof/>
        </w:rPr>
        <w:t xml:space="preserve"> i</w:t>
      </w:r>
      <w:r w:rsidR="00FF009C">
        <w:rPr>
          <w:noProof/>
        </w:rPr>
        <w:t> </w:t>
      </w:r>
      <w:r w:rsidR="00FF009C" w:rsidRPr="00FF009C">
        <w:rPr>
          <w:noProof/>
        </w:rPr>
        <w:t>ope</w:t>
      </w:r>
      <w:r w:rsidRPr="00FF009C">
        <w:rPr>
          <w:noProof/>
        </w:rPr>
        <w:t>racyjnych,</w:t>
      </w:r>
      <w:r w:rsidR="00FF009C" w:rsidRPr="00FF009C">
        <w:rPr>
          <w:noProof/>
        </w:rPr>
        <w:t xml:space="preserve"> o</w:t>
      </w:r>
      <w:r w:rsidR="00FF009C">
        <w:rPr>
          <w:noProof/>
        </w:rPr>
        <w:t> </w:t>
      </w:r>
      <w:r w:rsidR="00FF009C" w:rsidRPr="00FF009C">
        <w:rPr>
          <w:noProof/>
        </w:rPr>
        <w:t>któ</w:t>
      </w:r>
      <w:r w:rsidRPr="00FF009C">
        <w:rPr>
          <w:noProof/>
        </w:rPr>
        <w:t>rych mowa, odpowiednio,</w:t>
      </w:r>
      <w:r w:rsidR="00FF009C" w:rsidRPr="00FF009C">
        <w:rPr>
          <w:noProof/>
        </w:rPr>
        <w:t xml:space="preserve"> w</w:t>
      </w:r>
      <w:r w:rsidR="00FF009C">
        <w:rPr>
          <w:noProof/>
        </w:rPr>
        <w:t> </w:t>
      </w:r>
      <w:r w:rsidR="00FF009C" w:rsidRPr="00FF009C">
        <w:rPr>
          <w:noProof/>
        </w:rPr>
        <w:t>art</w:t>
      </w:r>
      <w:r w:rsidRPr="00FF009C">
        <w:rPr>
          <w:noProof/>
        </w:rPr>
        <w:t>.</w:t>
      </w:r>
      <w:r w:rsidR="00FF009C" w:rsidRPr="00FF009C">
        <w:rPr>
          <w:noProof/>
        </w:rPr>
        <w:t> </w:t>
      </w:r>
      <w:r w:rsidRPr="00FF009C">
        <w:rPr>
          <w:noProof/>
        </w:rPr>
        <w:t>5</w:t>
      </w:r>
      <w:r w:rsidR="00FF009C" w:rsidRPr="00FF009C">
        <w:rPr>
          <w:noProof/>
        </w:rPr>
        <w:t xml:space="preserve"> i</w:t>
      </w:r>
      <w:r w:rsidR="00FF009C">
        <w:rPr>
          <w:noProof/>
        </w:rPr>
        <w:t> </w:t>
      </w:r>
      <w:r w:rsidR="00FF009C" w:rsidRPr="00FF009C">
        <w:rPr>
          <w:noProof/>
        </w:rPr>
        <w:t>6</w:t>
      </w:r>
      <w:r w:rsidRPr="00FF009C">
        <w:rPr>
          <w:noProof/>
        </w:rPr>
        <w:t xml:space="preserve"> niniejszego rozporządzenia: </w:t>
      </w:r>
    </w:p>
    <w:p w14:paraId="13E6C8FF" w14:textId="6D855D8D"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b/>
          <w:noProof/>
        </w:rPr>
        <w:t>specjaliści</w:t>
      </w:r>
      <w:r w:rsidR="00FF009C" w:rsidRPr="00FF009C">
        <w:rPr>
          <w:b/>
          <w:noProof/>
        </w:rPr>
        <w:t xml:space="preserve"> i</w:t>
      </w:r>
      <w:r w:rsidR="00FF009C">
        <w:rPr>
          <w:b/>
          <w:noProof/>
        </w:rPr>
        <w:t> </w:t>
      </w:r>
      <w:r w:rsidR="00FF009C" w:rsidRPr="00FF009C">
        <w:rPr>
          <w:b/>
          <w:noProof/>
        </w:rPr>
        <w:t>ana</w:t>
      </w:r>
      <w:r w:rsidRPr="00FF009C">
        <w:rPr>
          <w:b/>
          <w:noProof/>
        </w:rPr>
        <w:t>litycy</w:t>
      </w:r>
      <w:r w:rsidR="00FF009C" w:rsidRPr="00FF009C">
        <w:rPr>
          <w:b/>
          <w:noProof/>
        </w:rPr>
        <w:t xml:space="preserve"> w</w:t>
      </w:r>
      <w:r w:rsidR="00FF009C">
        <w:rPr>
          <w:b/>
          <w:noProof/>
        </w:rPr>
        <w:t> </w:t>
      </w:r>
      <w:r w:rsidR="00FF009C" w:rsidRPr="00FF009C">
        <w:rPr>
          <w:b/>
          <w:noProof/>
        </w:rPr>
        <w:t>dzi</w:t>
      </w:r>
      <w:r w:rsidRPr="00FF009C">
        <w:rPr>
          <w:b/>
          <w:noProof/>
        </w:rPr>
        <w:t>edzinie śledzenia mienia</w:t>
      </w:r>
      <w:r w:rsidR="00FF009C" w:rsidRPr="00FF009C">
        <w:rPr>
          <w:b/>
          <w:noProof/>
        </w:rPr>
        <w:t xml:space="preserve"> i</w:t>
      </w:r>
      <w:r w:rsidR="00FF009C">
        <w:rPr>
          <w:b/>
          <w:noProof/>
        </w:rPr>
        <w:t> </w:t>
      </w:r>
      <w:r w:rsidR="00FF009C" w:rsidRPr="00FF009C">
        <w:rPr>
          <w:b/>
          <w:noProof/>
        </w:rPr>
        <w:t>pro</w:t>
      </w:r>
      <w:r w:rsidRPr="00FF009C">
        <w:rPr>
          <w:b/>
          <w:noProof/>
        </w:rPr>
        <w:t>wadzenia dochodzeń finansowych</w:t>
      </w:r>
      <w:r w:rsidRPr="00FF009C">
        <w:rPr>
          <w:noProof/>
        </w:rPr>
        <w:t>: zapewnienie dostępu do wiedzy fachowej</w:t>
      </w:r>
      <w:r w:rsidR="00FF009C" w:rsidRPr="00FF009C">
        <w:rPr>
          <w:noProof/>
        </w:rPr>
        <w:t xml:space="preserve"> w</w:t>
      </w:r>
      <w:r w:rsidR="00FF009C">
        <w:rPr>
          <w:noProof/>
        </w:rPr>
        <w:t> </w:t>
      </w:r>
      <w:r w:rsidR="00FF009C" w:rsidRPr="00FF009C">
        <w:rPr>
          <w:noProof/>
        </w:rPr>
        <w:t>zak</w:t>
      </w:r>
      <w:r w:rsidRPr="00FF009C">
        <w:rPr>
          <w:noProof/>
        </w:rPr>
        <w:t>resie śledzenia mienia</w:t>
      </w:r>
      <w:r w:rsidR="00FF009C" w:rsidRPr="00FF009C">
        <w:rPr>
          <w:noProof/>
        </w:rPr>
        <w:t xml:space="preserve"> i</w:t>
      </w:r>
      <w:r w:rsidR="00FF009C">
        <w:rPr>
          <w:noProof/>
        </w:rPr>
        <w:t> </w:t>
      </w:r>
      <w:r w:rsidR="00FF009C" w:rsidRPr="00FF009C">
        <w:rPr>
          <w:b/>
          <w:noProof/>
        </w:rPr>
        <w:t>fin</w:t>
      </w:r>
      <w:r w:rsidRPr="00FF009C">
        <w:rPr>
          <w:b/>
          <w:noProof/>
        </w:rPr>
        <w:t>ansów</w:t>
      </w:r>
      <w:r w:rsidRPr="00FF009C">
        <w:rPr>
          <w:noProof/>
        </w:rPr>
        <w:t xml:space="preserve"> oraz powiązanych usług analitycznych</w:t>
      </w:r>
      <w:r w:rsidR="00FF009C" w:rsidRPr="00FF009C">
        <w:rPr>
          <w:noProof/>
        </w:rPr>
        <w:t xml:space="preserve"> w</w:t>
      </w:r>
      <w:r w:rsidR="00FF009C">
        <w:rPr>
          <w:noProof/>
        </w:rPr>
        <w:t> </w:t>
      </w:r>
      <w:r w:rsidR="00FF009C" w:rsidRPr="00FF009C">
        <w:rPr>
          <w:noProof/>
        </w:rPr>
        <w:t>cel</w:t>
      </w:r>
      <w:r w:rsidRPr="00FF009C">
        <w:rPr>
          <w:noProof/>
        </w:rPr>
        <w:t>u wspierania prowadzonych przez państwa członkowskie postępowań przygotowawczych dotyczących zorganizowanego przemytu migrantów, handlu ludźmi</w:t>
      </w:r>
      <w:r w:rsidR="00FF009C" w:rsidRPr="00FF009C">
        <w:rPr>
          <w:noProof/>
        </w:rPr>
        <w:t xml:space="preserve"> i</w:t>
      </w:r>
      <w:r w:rsidR="00FF009C">
        <w:rPr>
          <w:noProof/>
        </w:rPr>
        <w:t> </w:t>
      </w:r>
      <w:r w:rsidR="00FF009C" w:rsidRPr="00FF009C">
        <w:rPr>
          <w:noProof/>
        </w:rPr>
        <w:t>pow</w:t>
      </w:r>
      <w:r w:rsidRPr="00FF009C">
        <w:rPr>
          <w:noProof/>
        </w:rPr>
        <w:t>iązanych przestępstw</w:t>
      </w:r>
      <w:r w:rsidR="00FF009C" w:rsidRPr="00FF009C">
        <w:rPr>
          <w:noProof/>
        </w:rPr>
        <w:t xml:space="preserve"> i</w:t>
      </w:r>
      <w:r w:rsidR="00FF009C">
        <w:rPr>
          <w:noProof/>
        </w:rPr>
        <w:t> </w:t>
      </w:r>
      <w:r w:rsidR="00FF009C" w:rsidRPr="00FF009C">
        <w:rPr>
          <w:b/>
          <w:noProof/>
        </w:rPr>
        <w:t>w</w:t>
      </w:r>
      <w:r w:rsidR="00FF009C">
        <w:rPr>
          <w:noProof/>
        </w:rPr>
        <w:t> </w:t>
      </w:r>
      <w:r w:rsidR="00FF009C" w:rsidRPr="00FF009C">
        <w:rPr>
          <w:b/>
          <w:noProof/>
        </w:rPr>
        <w:t>cel</w:t>
      </w:r>
      <w:r w:rsidRPr="00FF009C">
        <w:rPr>
          <w:b/>
          <w:noProof/>
        </w:rPr>
        <w:t>u usprawnienia procesu zajmowania</w:t>
      </w:r>
      <w:r w:rsidR="00FF009C" w:rsidRPr="00FF009C">
        <w:rPr>
          <w:b/>
          <w:noProof/>
        </w:rPr>
        <w:t xml:space="preserve"> i</w:t>
      </w:r>
      <w:r w:rsidR="00FF009C">
        <w:rPr>
          <w:b/>
          <w:noProof/>
        </w:rPr>
        <w:t> </w:t>
      </w:r>
      <w:r w:rsidR="00FF009C" w:rsidRPr="00FF009C">
        <w:rPr>
          <w:b/>
          <w:noProof/>
        </w:rPr>
        <w:t>kon</w:t>
      </w:r>
      <w:r w:rsidRPr="00FF009C">
        <w:rPr>
          <w:b/>
          <w:noProof/>
        </w:rPr>
        <w:t>fiskowania dochodów</w:t>
      </w:r>
      <w:r w:rsidR="00FF009C" w:rsidRPr="00FF009C">
        <w:rPr>
          <w:b/>
          <w:noProof/>
        </w:rPr>
        <w:t xml:space="preserve"> z</w:t>
      </w:r>
      <w:r w:rsidR="00FF009C">
        <w:rPr>
          <w:b/>
          <w:noProof/>
        </w:rPr>
        <w:t> </w:t>
      </w:r>
      <w:r w:rsidR="00FF009C" w:rsidRPr="00FF009C">
        <w:rPr>
          <w:b/>
          <w:noProof/>
        </w:rPr>
        <w:t>prz</w:t>
      </w:r>
      <w:r w:rsidRPr="00FF009C">
        <w:rPr>
          <w:b/>
          <w:noProof/>
        </w:rPr>
        <w:t>estępstwa</w:t>
      </w:r>
      <w:r w:rsidR="00FF009C" w:rsidRPr="00FF009C">
        <w:rPr>
          <w:b/>
          <w:noProof/>
        </w:rPr>
        <w:t xml:space="preserve"> </w:t>
      </w:r>
      <w:r w:rsidR="00FF009C" w:rsidRPr="00FF009C">
        <w:rPr>
          <w:noProof/>
        </w:rPr>
        <w:t>w</w:t>
      </w:r>
      <w:r w:rsidR="00FF009C">
        <w:rPr>
          <w:b/>
          <w:noProof/>
        </w:rPr>
        <w:t> </w:t>
      </w:r>
      <w:r w:rsidR="00FF009C" w:rsidRPr="00FF009C">
        <w:rPr>
          <w:noProof/>
        </w:rPr>
        <w:t>pań</w:t>
      </w:r>
      <w:r w:rsidRPr="00FF009C">
        <w:rPr>
          <w:noProof/>
        </w:rPr>
        <w:t>stwach pochodzenia</w:t>
      </w:r>
      <w:r w:rsidR="00FF009C" w:rsidRPr="00FF009C">
        <w:rPr>
          <w:noProof/>
        </w:rPr>
        <w:t xml:space="preserve"> i</w:t>
      </w:r>
      <w:r w:rsidR="00FF009C">
        <w:rPr>
          <w:noProof/>
        </w:rPr>
        <w:t> </w:t>
      </w:r>
      <w:r w:rsidR="00FF009C" w:rsidRPr="00FF009C">
        <w:rPr>
          <w:noProof/>
        </w:rPr>
        <w:t>tra</w:t>
      </w:r>
      <w:r w:rsidRPr="00FF009C">
        <w:rPr>
          <w:noProof/>
        </w:rPr>
        <w:t>nzytu oraz</w:t>
      </w:r>
      <w:r w:rsidR="00FF009C" w:rsidRPr="00FF009C">
        <w:rPr>
          <w:noProof/>
        </w:rPr>
        <w:t xml:space="preserve"> w</w:t>
      </w:r>
      <w:r w:rsidR="00FF009C">
        <w:rPr>
          <w:noProof/>
        </w:rPr>
        <w:t> </w:t>
      </w:r>
      <w:r w:rsidR="00FF009C" w:rsidRPr="00FF009C">
        <w:rPr>
          <w:noProof/>
        </w:rPr>
        <w:t>pań</w:t>
      </w:r>
      <w:r w:rsidRPr="00FF009C">
        <w:rPr>
          <w:noProof/>
        </w:rPr>
        <w:t>stwach przyjmujących, uwzględniając zarówno państwa członkowskie, jak</w:t>
      </w:r>
      <w:r w:rsidR="00FF009C" w:rsidRPr="00FF009C">
        <w:rPr>
          <w:noProof/>
        </w:rPr>
        <w:t xml:space="preserve"> i</w:t>
      </w:r>
      <w:r w:rsidR="00FF009C">
        <w:rPr>
          <w:noProof/>
        </w:rPr>
        <w:t> </w:t>
      </w:r>
      <w:r w:rsidR="00FF009C" w:rsidRPr="00FF009C">
        <w:rPr>
          <w:noProof/>
        </w:rPr>
        <w:t>pań</w:t>
      </w:r>
      <w:r w:rsidRPr="00FF009C">
        <w:rPr>
          <w:noProof/>
        </w:rPr>
        <w:t>stwa trzecie</w:t>
      </w:r>
      <w:r w:rsidRPr="00FF009C">
        <w:rPr>
          <w:rStyle w:val="FootnoteReference0"/>
          <w:noProof/>
        </w:rPr>
        <w:footnoteReference w:id="32"/>
      </w:r>
      <w:r w:rsidR="000B6C8C" w:rsidRPr="00FF009C">
        <w:rPr>
          <w:noProof/>
        </w:rPr>
        <w:t>;</w:t>
      </w:r>
    </w:p>
    <w:p w14:paraId="17B98B26" w14:textId="466991DE"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b/>
          <w:noProof/>
        </w:rPr>
        <w:t>analitycy strategiczni</w:t>
      </w:r>
      <w:r w:rsidR="00FF009C" w:rsidRPr="00FF009C">
        <w:rPr>
          <w:b/>
          <w:noProof/>
        </w:rPr>
        <w:t xml:space="preserve"> i</w:t>
      </w:r>
      <w:r w:rsidR="00FF009C">
        <w:rPr>
          <w:b/>
          <w:noProof/>
        </w:rPr>
        <w:t> </w:t>
      </w:r>
      <w:r w:rsidR="00FF009C" w:rsidRPr="00FF009C">
        <w:rPr>
          <w:b/>
          <w:noProof/>
        </w:rPr>
        <w:t>spe</w:t>
      </w:r>
      <w:r w:rsidRPr="00FF009C">
        <w:rPr>
          <w:b/>
          <w:noProof/>
        </w:rPr>
        <w:t>cjaliści ds. danych</w:t>
      </w:r>
      <w:r w:rsidRPr="00FF009C">
        <w:rPr>
          <w:noProof/>
        </w:rPr>
        <w:t xml:space="preserve">: </w:t>
      </w:r>
      <w:r w:rsidRPr="00FF009C">
        <w:rPr>
          <w:b/>
          <w:noProof/>
        </w:rPr>
        <w:t>wspieranie prowadzonych przez państwa członkowskie postępowań przygotowawczych oraz procesu ustalania hierarchii działań strategicznych</w:t>
      </w:r>
      <w:r w:rsidR="00FF009C" w:rsidRPr="00FF009C">
        <w:rPr>
          <w:b/>
          <w:noProof/>
        </w:rPr>
        <w:t xml:space="preserve"> i</w:t>
      </w:r>
      <w:r w:rsidR="00FF009C">
        <w:rPr>
          <w:b/>
          <w:noProof/>
        </w:rPr>
        <w:t> </w:t>
      </w:r>
      <w:r w:rsidR="00FF009C" w:rsidRPr="00FF009C">
        <w:rPr>
          <w:b/>
          <w:noProof/>
        </w:rPr>
        <w:t>ope</w:t>
      </w:r>
      <w:r w:rsidRPr="00FF009C">
        <w:rPr>
          <w:b/>
          <w:noProof/>
        </w:rPr>
        <w:t>racyjnych,</w:t>
      </w:r>
      <w:r w:rsidRPr="00FF009C">
        <w:rPr>
          <w:noProof/>
        </w:rPr>
        <w:t xml:space="preserve"> wnoszenie wkładu</w:t>
      </w:r>
      <w:r w:rsidR="00FF009C" w:rsidRPr="00FF009C">
        <w:rPr>
          <w:noProof/>
        </w:rPr>
        <w:t xml:space="preserve"> w</w:t>
      </w:r>
      <w:r w:rsidR="00FF009C">
        <w:rPr>
          <w:noProof/>
        </w:rPr>
        <w:t> </w:t>
      </w:r>
      <w:r w:rsidR="00FF009C" w:rsidRPr="00FF009C">
        <w:rPr>
          <w:noProof/>
        </w:rPr>
        <w:t>zap</w:t>
      </w:r>
      <w:r w:rsidRPr="00FF009C">
        <w:rPr>
          <w:noProof/>
        </w:rPr>
        <w:t>obieganie przestępstwom</w:t>
      </w:r>
      <w:r w:rsidR="00FF009C" w:rsidRPr="00FF009C">
        <w:rPr>
          <w:noProof/>
        </w:rPr>
        <w:t xml:space="preserve"> i</w:t>
      </w:r>
      <w:r w:rsidR="00FF009C">
        <w:rPr>
          <w:noProof/>
        </w:rPr>
        <w:t> </w:t>
      </w:r>
      <w:r w:rsidR="00FF009C" w:rsidRPr="00FF009C">
        <w:rPr>
          <w:noProof/>
        </w:rPr>
        <w:t>mon</w:t>
      </w:r>
      <w:r w:rsidRPr="00FF009C">
        <w:rPr>
          <w:noProof/>
        </w:rPr>
        <w:t>itorowanie tendencji</w:t>
      </w:r>
      <w:r w:rsidR="00FF009C" w:rsidRPr="00FF009C">
        <w:rPr>
          <w:noProof/>
        </w:rPr>
        <w:t xml:space="preserve"> w</w:t>
      </w:r>
      <w:r w:rsidR="00FF009C">
        <w:rPr>
          <w:noProof/>
        </w:rPr>
        <w:t> </w:t>
      </w:r>
      <w:r w:rsidR="00FF009C" w:rsidRPr="00FF009C">
        <w:rPr>
          <w:noProof/>
        </w:rPr>
        <w:t>obs</w:t>
      </w:r>
      <w:r w:rsidRPr="00FF009C">
        <w:rPr>
          <w:noProof/>
        </w:rPr>
        <w:t>zarze przestępczości związanej ze zorganizowanym przemytem migrantów</w:t>
      </w:r>
      <w:r w:rsidR="00FF009C" w:rsidRPr="00FF009C">
        <w:rPr>
          <w:noProof/>
        </w:rPr>
        <w:t xml:space="preserve"> i</w:t>
      </w:r>
      <w:r w:rsidR="00FF009C">
        <w:rPr>
          <w:noProof/>
        </w:rPr>
        <w:t> </w:t>
      </w:r>
      <w:r w:rsidR="00FF009C" w:rsidRPr="00FF009C">
        <w:rPr>
          <w:noProof/>
        </w:rPr>
        <w:t>pow</w:t>
      </w:r>
      <w:r w:rsidRPr="00FF009C">
        <w:rPr>
          <w:noProof/>
        </w:rPr>
        <w:t>iązanymi przestępstwami przez świadczenie usług</w:t>
      </w:r>
      <w:r w:rsidR="00FF009C" w:rsidRPr="00FF009C">
        <w:rPr>
          <w:noProof/>
        </w:rPr>
        <w:t xml:space="preserve"> w</w:t>
      </w:r>
      <w:r w:rsidR="00FF009C">
        <w:rPr>
          <w:noProof/>
        </w:rPr>
        <w:t> </w:t>
      </w:r>
      <w:r w:rsidR="00FF009C" w:rsidRPr="00FF009C">
        <w:rPr>
          <w:noProof/>
        </w:rPr>
        <w:t>zak</w:t>
      </w:r>
      <w:r w:rsidRPr="00FF009C">
        <w:rPr>
          <w:noProof/>
        </w:rPr>
        <w:t>resie analizy strategicznej obejmujących państwa pochodzenia</w:t>
      </w:r>
      <w:r w:rsidR="00FF009C" w:rsidRPr="00FF009C">
        <w:rPr>
          <w:noProof/>
        </w:rPr>
        <w:t xml:space="preserve"> i</w:t>
      </w:r>
      <w:r w:rsidR="00FF009C">
        <w:rPr>
          <w:noProof/>
        </w:rPr>
        <w:t> </w:t>
      </w:r>
      <w:r w:rsidR="00FF009C" w:rsidRPr="00FF009C">
        <w:rPr>
          <w:noProof/>
        </w:rPr>
        <w:t>tra</w:t>
      </w:r>
      <w:r w:rsidRPr="00FF009C">
        <w:rPr>
          <w:noProof/>
        </w:rPr>
        <w:t>nzytu oraz państwa przyjmujące, uwzględniając zarówno państwa członkowskie, jak</w:t>
      </w:r>
      <w:r w:rsidR="00FF009C" w:rsidRPr="00FF009C">
        <w:rPr>
          <w:noProof/>
        </w:rPr>
        <w:t xml:space="preserve"> i</w:t>
      </w:r>
      <w:r w:rsidR="00FF009C">
        <w:rPr>
          <w:noProof/>
        </w:rPr>
        <w:t> </w:t>
      </w:r>
      <w:r w:rsidR="00FF009C" w:rsidRPr="00FF009C">
        <w:rPr>
          <w:noProof/>
        </w:rPr>
        <w:t>pań</w:t>
      </w:r>
      <w:r w:rsidRPr="00FF009C">
        <w:rPr>
          <w:noProof/>
        </w:rPr>
        <w:t>stwa trzecie. Europol powinien dysponować zdolnością umożliwiającą mu wspieranie organów państw członkowskich przez udostępnianie im ocen zagrożenia, świadczenie na ich rzecz usług</w:t>
      </w:r>
      <w:r w:rsidR="00FF009C" w:rsidRPr="00FF009C">
        <w:rPr>
          <w:noProof/>
        </w:rPr>
        <w:t xml:space="preserve"> w</w:t>
      </w:r>
      <w:r w:rsidR="00FF009C">
        <w:rPr>
          <w:noProof/>
        </w:rPr>
        <w:t> </w:t>
      </w:r>
      <w:r w:rsidR="00FF009C" w:rsidRPr="00FF009C">
        <w:rPr>
          <w:noProof/>
        </w:rPr>
        <w:t>zak</w:t>
      </w:r>
      <w:r w:rsidRPr="00FF009C">
        <w:rPr>
          <w:noProof/>
        </w:rPr>
        <w:t>resie wczesnego ostrzegania,</w:t>
      </w:r>
      <w:r w:rsidR="00FF009C" w:rsidRPr="00FF009C">
        <w:rPr>
          <w:noProof/>
        </w:rPr>
        <w:t xml:space="preserve"> a</w:t>
      </w:r>
      <w:r w:rsidR="00FF009C">
        <w:rPr>
          <w:noProof/>
        </w:rPr>
        <w:t> </w:t>
      </w:r>
      <w:r w:rsidR="00FF009C" w:rsidRPr="00FF009C">
        <w:rPr>
          <w:noProof/>
        </w:rPr>
        <w:t>tak</w:t>
      </w:r>
      <w:r w:rsidRPr="00FF009C">
        <w:rPr>
          <w:noProof/>
        </w:rPr>
        <w:t>że udostępnianie im analiz dotyczących sygnałów</w:t>
      </w:r>
      <w:r w:rsidR="00FF009C" w:rsidRPr="00FF009C">
        <w:rPr>
          <w:noProof/>
        </w:rPr>
        <w:t xml:space="preserve"> i</w:t>
      </w:r>
      <w:r w:rsidR="00FF009C">
        <w:rPr>
          <w:noProof/>
        </w:rPr>
        <w:t> </w:t>
      </w:r>
      <w:r w:rsidR="00FF009C" w:rsidRPr="00FF009C">
        <w:rPr>
          <w:noProof/>
        </w:rPr>
        <w:t>met</w:t>
      </w:r>
      <w:r w:rsidRPr="00FF009C">
        <w:rPr>
          <w:noProof/>
        </w:rPr>
        <w:t>od ich wykrywania, ocen ryzyka oraz innych sprawozdań</w:t>
      </w:r>
      <w:r w:rsidR="00FF009C" w:rsidRPr="00FF009C">
        <w:rPr>
          <w:noProof/>
        </w:rPr>
        <w:t xml:space="preserve"> z</w:t>
      </w:r>
      <w:r w:rsidR="00FF009C">
        <w:rPr>
          <w:noProof/>
        </w:rPr>
        <w:t> </w:t>
      </w:r>
      <w:r w:rsidR="00FF009C" w:rsidRPr="00FF009C">
        <w:rPr>
          <w:noProof/>
        </w:rPr>
        <w:t>ana</w:t>
      </w:r>
      <w:r w:rsidRPr="00FF009C">
        <w:rPr>
          <w:noProof/>
        </w:rPr>
        <w:t>lizy strategicznej.</w:t>
      </w:r>
    </w:p>
    <w:p w14:paraId="441BE03C" w14:textId="77777777"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p>
    <w:p w14:paraId="7C7636CF" w14:textId="14F0B846" w:rsidR="00AB4A6F" w:rsidRPr="00FF009C" w:rsidRDefault="00AB4A6F" w:rsidP="00AB4A6F">
      <w:pPr>
        <w:pStyle w:val="Text1"/>
        <w:pBdr>
          <w:top w:val="single" w:sz="4" w:space="1" w:color="auto"/>
          <w:left w:val="single" w:sz="4" w:space="4" w:color="auto"/>
          <w:bottom w:val="single" w:sz="4" w:space="1" w:color="auto"/>
          <w:right w:val="single" w:sz="4" w:space="4" w:color="auto"/>
        </w:pBdr>
        <w:rPr>
          <w:b/>
          <w:bCs/>
          <w:noProof/>
        </w:rPr>
      </w:pPr>
      <w:r w:rsidRPr="00FF009C">
        <w:rPr>
          <w:b/>
          <w:noProof/>
        </w:rPr>
        <w:t>Cel szczegółowy nr</w:t>
      </w:r>
      <w:r w:rsidR="00FF009C" w:rsidRPr="00FF009C">
        <w:rPr>
          <w:b/>
          <w:noProof/>
        </w:rPr>
        <w:t> </w:t>
      </w:r>
      <w:r w:rsidRPr="00FF009C">
        <w:rPr>
          <w:b/>
          <w:noProof/>
        </w:rPr>
        <w:t>3: wzmocnienie Europolu jako unijnego centrum informacji kryminalnych dotyczących przemytu migrantów</w:t>
      </w:r>
      <w:r w:rsidR="00FF009C" w:rsidRPr="00FF009C">
        <w:rPr>
          <w:b/>
          <w:noProof/>
        </w:rPr>
        <w:t xml:space="preserve"> i</w:t>
      </w:r>
      <w:r w:rsidR="00FF009C">
        <w:rPr>
          <w:b/>
          <w:noProof/>
        </w:rPr>
        <w:t> </w:t>
      </w:r>
      <w:r w:rsidR="00FF009C" w:rsidRPr="00FF009C">
        <w:rPr>
          <w:b/>
          <w:noProof/>
        </w:rPr>
        <w:t>han</w:t>
      </w:r>
      <w:r w:rsidRPr="00FF009C">
        <w:rPr>
          <w:b/>
          <w:noProof/>
        </w:rPr>
        <w:t>dlu ludźmi,</w:t>
      </w:r>
      <w:r w:rsidR="00FF009C" w:rsidRPr="00FF009C">
        <w:rPr>
          <w:b/>
          <w:noProof/>
        </w:rPr>
        <w:t xml:space="preserve"> a</w:t>
      </w:r>
      <w:r w:rsidR="00FF009C">
        <w:rPr>
          <w:b/>
          <w:noProof/>
        </w:rPr>
        <w:t> </w:t>
      </w:r>
      <w:r w:rsidR="00FF009C" w:rsidRPr="00FF009C">
        <w:rPr>
          <w:b/>
          <w:noProof/>
        </w:rPr>
        <w:t>tak</w:t>
      </w:r>
      <w:r w:rsidRPr="00FF009C">
        <w:rPr>
          <w:b/>
          <w:noProof/>
        </w:rPr>
        <w:t>że pełne rozwinięcie wymiany informacji między państwami członkowskimi, Europolem, innymi agencjami UE oraz państwami trzecimi</w:t>
      </w:r>
    </w:p>
    <w:p w14:paraId="5E219B4F" w14:textId="4B50AA80"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W odpowiedzi na zidentyfikowane niedociągnięcia związane</w:t>
      </w:r>
      <w:r w:rsidR="00FF009C" w:rsidRPr="00FF009C">
        <w:rPr>
          <w:noProof/>
        </w:rPr>
        <w:t xml:space="preserve"> z</w:t>
      </w:r>
      <w:r w:rsidR="00FF009C">
        <w:rPr>
          <w:noProof/>
        </w:rPr>
        <w:t> </w:t>
      </w:r>
      <w:r w:rsidR="00FF009C" w:rsidRPr="00FF009C">
        <w:rPr>
          <w:noProof/>
        </w:rPr>
        <w:t>nie</w:t>
      </w:r>
      <w:r w:rsidRPr="00FF009C">
        <w:rPr>
          <w:noProof/>
        </w:rPr>
        <w:t>dostatecznym poziomem wymiany informacji na temat przemytu migrantów między państwami członkowskimi</w:t>
      </w:r>
      <w:r w:rsidR="00FF009C" w:rsidRPr="00FF009C">
        <w:rPr>
          <w:noProof/>
        </w:rPr>
        <w:t xml:space="preserve"> a</w:t>
      </w:r>
      <w:r w:rsidR="00FF009C">
        <w:rPr>
          <w:noProof/>
        </w:rPr>
        <w:t> </w:t>
      </w:r>
      <w:r w:rsidR="00FF009C" w:rsidRPr="00FF009C">
        <w:rPr>
          <w:noProof/>
        </w:rPr>
        <w:t>Eur</w:t>
      </w:r>
      <w:r w:rsidRPr="00FF009C">
        <w:rPr>
          <w:noProof/>
        </w:rPr>
        <w:t>opolem celem jest wzmocnienie Europolu jako unijnego centrum informacji kryminalnych dotyczących przemytu migrantów</w:t>
      </w:r>
      <w:r w:rsidR="00FF009C" w:rsidRPr="00FF009C">
        <w:rPr>
          <w:noProof/>
        </w:rPr>
        <w:t>. W</w:t>
      </w:r>
      <w:r w:rsidR="00FF009C">
        <w:rPr>
          <w:noProof/>
        </w:rPr>
        <w:t> </w:t>
      </w:r>
      <w:r w:rsidR="00FF009C" w:rsidRPr="00FF009C">
        <w:rPr>
          <w:noProof/>
        </w:rPr>
        <w:t>ten</w:t>
      </w:r>
      <w:r w:rsidRPr="00FF009C">
        <w:rPr>
          <w:noProof/>
        </w:rPr>
        <w:t xml:space="preserve"> sposób</w:t>
      </w:r>
      <w:r w:rsidR="00FF009C" w:rsidRPr="00FF009C">
        <w:rPr>
          <w:noProof/>
        </w:rPr>
        <w:t xml:space="preserve"> i</w:t>
      </w:r>
      <w:r w:rsidR="00FF009C">
        <w:rPr>
          <w:noProof/>
        </w:rPr>
        <w:t> </w:t>
      </w:r>
      <w:r w:rsidR="00FF009C" w:rsidRPr="00FF009C">
        <w:rPr>
          <w:noProof/>
        </w:rPr>
        <w:t>zgo</w:t>
      </w:r>
      <w:r w:rsidRPr="00FF009C">
        <w:rPr>
          <w:noProof/>
        </w:rPr>
        <w:t>dnie</w:t>
      </w:r>
      <w:r w:rsidR="00FF009C" w:rsidRPr="00FF009C">
        <w:rPr>
          <w:noProof/>
        </w:rPr>
        <w:t xml:space="preserve"> z</w:t>
      </w:r>
      <w:r w:rsidR="00FF009C">
        <w:rPr>
          <w:noProof/>
        </w:rPr>
        <w:t> </w:t>
      </w:r>
      <w:r w:rsidR="00FF009C" w:rsidRPr="00FF009C">
        <w:rPr>
          <w:noProof/>
        </w:rPr>
        <w:t>dyr</w:t>
      </w:r>
      <w:r w:rsidRPr="00FF009C">
        <w:rPr>
          <w:noProof/>
        </w:rPr>
        <w:t>ektywą Parlamentu Europejskiego</w:t>
      </w:r>
      <w:r w:rsidR="00FF009C" w:rsidRPr="00FF009C">
        <w:rPr>
          <w:noProof/>
        </w:rPr>
        <w:t xml:space="preserve"> i</w:t>
      </w:r>
      <w:r w:rsidR="00FF009C">
        <w:rPr>
          <w:noProof/>
        </w:rPr>
        <w:t> </w:t>
      </w:r>
      <w:r w:rsidR="00FF009C" w:rsidRPr="00FF009C">
        <w:rPr>
          <w:noProof/>
        </w:rPr>
        <w:t>Rad</w:t>
      </w:r>
      <w:r w:rsidRPr="00FF009C">
        <w:rPr>
          <w:noProof/>
        </w:rPr>
        <w:t>y (UE) 2023/977</w:t>
      </w:r>
      <w:r w:rsidR="00FF009C" w:rsidRPr="00FF009C">
        <w:rPr>
          <w:noProof/>
        </w:rPr>
        <w:t xml:space="preserve"> z</w:t>
      </w:r>
      <w:r w:rsidR="00FF009C">
        <w:rPr>
          <w:noProof/>
        </w:rPr>
        <w:t> </w:t>
      </w:r>
      <w:r w:rsidR="00FF009C" w:rsidRPr="00FF009C">
        <w:rPr>
          <w:noProof/>
        </w:rPr>
        <w:t>dni</w:t>
      </w:r>
      <w:r w:rsidRPr="00FF009C">
        <w:rPr>
          <w:noProof/>
        </w:rPr>
        <w:t>a 10 maja 2023</w:t>
      </w:r>
      <w:r w:rsidR="00FF009C" w:rsidRPr="00FF009C">
        <w:rPr>
          <w:noProof/>
        </w:rPr>
        <w:t> </w:t>
      </w:r>
      <w:r w:rsidRPr="00FF009C">
        <w:rPr>
          <w:noProof/>
        </w:rPr>
        <w:t>r.</w:t>
      </w:r>
      <w:r w:rsidR="00FF009C" w:rsidRPr="00FF009C">
        <w:rPr>
          <w:noProof/>
        </w:rPr>
        <w:t xml:space="preserve"> w</w:t>
      </w:r>
      <w:r w:rsidR="00FF009C">
        <w:rPr>
          <w:noProof/>
        </w:rPr>
        <w:t> </w:t>
      </w:r>
      <w:r w:rsidR="00FF009C" w:rsidRPr="00FF009C">
        <w:rPr>
          <w:noProof/>
        </w:rPr>
        <w:t>spr</w:t>
      </w:r>
      <w:r w:rsidRPr="00FF009C">
        <w:rPr>
          <w:noProof/>
        </w:rPr>
        <w:t>awie wymiany informacji między organami ścigania państw członkowskich</w:t>
      </w:r>
      <w:r w:rsidR="00FF009C" w:rsidRPr="00FF009C">
        <w:rPr>
          <w:noProof/>
        </w:rPr>
        <w:t xml:space="preserve"> i</w:t>
      </w:r>
      <w:r w:rsidR="00FF009C">
        <w:rPr>
          <w:noProof/>
        </w:rPr>
        <w:t> </w:t>
      </w:r>
      <w:r w:rsidR="00FF009C" w:rsidRPr="00FF009C">
        <w:rPr>
          <w:noProof/>
        </w:rPr>
        <w:t>uch</w:t>
      </w:r>
      <w:r w:rsidRPr="00FF009C">
        <w:rPr>
          <w:noProof/>
        </w:rPr>
        <w:t xml:space="preserve">ylającą decyzję ramową Rady 2006/960/WSiSW </w:t>
      </w:r>
      <w:r w:rsidRPr="00FF009C">
        <w:rPr>
          <w:b/>
          <w:noProof/>
        </w:rPr>
        <w:t>Europol będzie udzielał państwom członkowskim skutecznego wsparcia technicznego, aby zapewnić wykorzystywanie SIENA</w:t>
      </w:r>
      <w:r w:rsidR="00FF009C" w:rsidRPr="00FF009C">
        <w:rPr>
          <w:b/>
          <w:noProof/>
        </w:rPr>
        <w:t xml:space="preserve"> w</w:t>
      </w:r>
      <w:r w:rsidR="00FF009C">
        <w:rPr>
          <w:b/>
          <w:noProof/>
        </w:rPr>
        <w:t> </w:t>
      </w:r>
      <w:r w:rsidR="00FF009C" w:rsidRPr="00FF009C">
        <w:rPr>
          <w:b/>
          <w:noProof/>
        </w:rPr>
        <w:t>cha</w:t>
      </w:r>
      <w:r w:rsidRPr="00FF009C">
        <w:rPr>
          <w:b/>
          <w:noProof/>
        </w:rPr>
        <w:t>rakterze domyślnego kanału komunikacji</w:t>
      </w:r>
      <w:r w:rsidR="00FF009C" w:rsidRPr="00FF009C">
        <w:rPr>
          <w:noProof/>
        </w:rPr>
        <w:t>. W</w:t>
      </w:r>
      <w:r w:rsidR="00FF009C">
        <w:rPr>
          <w:noProof/>
        </w:rPr>
        <w:t> </w:t>
      </w:r>
      <w:r w:rsidR="00FF009C" w:rsidRPr="00FF009C">
        <w:rPr>
          <w:noProof/>
        </w:rPr>
        <w:t>ram</w:t>
      </w:r>
      <w:r w:rsidRPr="00FF009C">
        <w:rPr>
          <w:noProof/>
        </w:rPr>
        <w:t>ach przysługujących mu uprawnień</w:t>
      </w:r>
      <w:r w:rsidR="00FF009C" w:rsidRPr="00FF009C">
        <w:rPr>
          <w:noProof/>
        </w:rPr>
        <w:t xml:space="preserve"> i</w:t>
      </w:r>
      <w:r w:rsidR="00FF009C">
        <w:rPr>
          <w:noProof/>
        </w:rPr>
        <w:t> </w:t>
      </w:r>
      <w:r w:rsidR="00FF009C" w:rsidRPr="00FF009C">
        <w:rPr>
          <w:noProof/>
        </w:rPr>
        <w:t>zgo</w:t>
      </w:r>
      <w:r w:rsidRPr="00FF009C">
        <w:rPr>
          <w:noProof/>
        </w:rPr>
        <w:t>dnie</w:t>
      </w:r>
      <w:r w:rsidR="00FF009C" w:rsidRPr="00FF009C">
        <w:rPr>
          <w:noProof/>
        </w:rPr>
        <w:t xml:space="preserve"> z</w:t>
      </w:r>
      <w:r w:rsidR="00FF009C">
        <w:rPr>
          <w:noProof/>
        </w:rPr>
        <w:t> </w:t>
      </w:r>
      <w:r w:rsidR="00FF009C" w:rsidRPr="00FF009C">
        <w:rPr>
          <w:noProof/>
        </w:rPr>
        <w:t>ist</w:t>
      </w:r>
      <w:r w:rsidRPr="00FF009C">
        <w:rPr>
          <w:noProof/>
        </w:rPr>
        <w:t>niejącymi zabezpieczeniami,</w:t>
      </w:r>
      <w:r w:rsidR="00FF009C" w:rsidRPr="00FF009C">
        <w:rPr>
          <w:noProof/>
        </w:rPr>
        <w:t xml:space="preserve"> a</w:t>
      </w:r>
      <w:r w:rsidR="00FF009C">
        <w:rPr>
          <w:noProof/>
        </w:rPr>
        <w:t> </w:t>
      </w:r>
      <w:r w:rsidR="00FF009C" w:rsidRPr="00FF009C">
        <w:rPr>
          <w:noProof/>
        </w:rPr>
        <w:t>tak</w:t>
      </w:r>
      <w:r w:rsidRPr="00FF009C">
        <w:rPr>
          <w:noProof/>
        </w:rPr>
        <w:t>że</w:t>
      </w:r>
      <w:r w:rsidR="00FF009C" w:rsidRPr="00FF009C">
        <w:rPr>
          <w:noProof/>
        </w:rPr>
        <w:t xml:space="preserve"> w</w:t>
      </w:r>
      <w:r w:rsidR="00FF009C">
        <w:rPr>
          <w:noProof/>
        </w:rPr>
        <w:t> </w:t>
      </w:r>
      <w:r w:rsidR="00FF009C" w:rsidRPr="00FF009C">
        <w:rPr>
          <w:noProof/>
        </w:rPr>
        <w:t>kon</w:t>
      </w:r>
      <w:r w:rsidRPr="00FF009C">
        <w:rPr>
          <w:noProof/>
        </w:rPr>
        <w:t xml:space="preserve">tekście unijnych ram interoperacyjności, </w:t>
      </w:r>
      <w:r w:rsidRPr="00FF009C">
        <w:rPr>
          <w:b/>
          <w:noProof/>
        </w:rPr>
        <w:t>Europol będzie systematyczniej</w:t>
      </w:r>
      <w:r w:rsidR="00FF009C" w:rsidRPr="00FF009C">
        <w:rPr>
          <w:b/>
          <w:noProof/>
        </w:rPr>
        <w:t xml:space="preserve"> i</w:t>
      </w:r>
      <w:r w:rsidR="00FF009C">
        <w:rPr>
          <w:b/>
          <w:noProof/>
        </w:rPr>
        <w:t> </w:t>
      </w:r>
      <w:r w:rsidR="00FF009C" w:rsidRPr="00FF009C">
        <w:rPr>
          <w:b/>
          <w:noProof/>
        </w:rPr>
        <w:t>w</w:t>
      </w:r>
      <w:r w:rsidR="00FF009C">
        <w:rPr>
          <w:b/>
          <w:noProof/>
        </w:rPr>
        <w:t> </w:t>
      </w:r>
      <w:r w:rsidR="00FF009C" w:rsidRPr="00FF009C">
        <w:rPr>
          <w:b/>
          <w:noProof/>
        </w:rPr>
        <w:t>bar</w:t>
      </w:r>
      <w:r w:rsidRPr="00FF009C">
        <w:rPr>
          <w:b/>
          <w:noProof/>
        </w:rPr>
        <w:t>dziej wyczerpujący sposób zapoznawał się</w:t>
      </w:r>
      <w:r w:rsidR="00FF009C" w:rsidRPr="00FF009C">
        <w:rPr>
          <w:b/>
          <w:noProof/>
        </w:rPr>
        <w:t xml:space="preserve"> z</w:t>
      </w:r>
      <w:r w:rsidR="00FF009C">
        <w:rPr>
          <w:b/>
          <w:noProof/>
        </w:rPr>
        <w:t> </w:t>
      </w:r>
      <w:r w:rsidR="00FF009C" w:rsidRPr="00FF009C">
        <w:rPr>
          <w:b/>
          <w:noProof/>
        </w:rPr>
        <w:t>inf</w:t>
      </w:r>
      <w:r w:rsidRPr="00FF009C">
        <w:rPr>
          <w:b/>
          <w:noProof/>
        </w:rPr>
        <w:t>ormacjami przechowywanymi wewnętrznie lub</w:t>
      </w:r>
      <w:r w:rsidR="00FF009C" w:rsidRPr="00FF009C">
        <w:rPr>
          <w:b/>
          <w:noProof/>
        </w:rPr>
        <w:t xml:space="preserve"> z</w:t>
      </w:r>
      <w:r w:rsidR="00FF009C">
        <w:rPr>
          <w:b/>
          <w:noProof/>
        </w:rPr>
        <w:t> </w:t>
      </w:r>
      <w:r w:rsidR="00FF009C" w:rsidRPr="00FF009C">
        <w:rPr>
          <w:b/>
          <w:noProof/>
        </w:rPr>
        <w:t>inf</w:t>
      </w:r>
      <w:r w:rsidRPr="00FF009C">
        <w:rPr>
          <w:b/>
          <w:noProof/>
        </w:rPr>
        <w:t>ormacjami pochodzącymi</w:t>
      </w:r>
      <w:r w:rsidR="00FF009C" w:rsidRPr="00FF009C">
        <w:rPr>
          <w:b/>
          <w:noProof/>
        </w:rPr>
        <w:t xml:space="preserve"> z</w:t>
      </w:r>
      <w:r w:rsidR="00FF009C">
        <w:rPr>
          <w:b/>
          <w:noProof/>
        </w:rPr>
        <w:t> </w:t>
      </w:r>
      <w:r w:rsidR="00FF009C" w:rsidRPr="00FF009C">
        <w:rPr>
          <w:b/>
          <w:noProof/>
        </w:rPr>
        <w:t>zew</w:t>
      </w:r>
      <w:r w:rsidRPr="00FF009C">
        <w:rPr>
          <w:b/>
          <w:noProof/>
        </w:rPr>
        <w:t>nętrznych baz danych</w:t>
      </w:r>
      <w:r w:rsidRPr="00FF009C">
        <w:rPr>
          <w:noProof/>
        </w:rPr>
        <w:t xml:space="preserve"> takich jak wielkoskalowe systemy informatyczne</w:t>
      </w:r>
      <w:r w:rsidR="00FF009C" w:rsidRPr="00FF009C">
        <w:rPr>
          <w:noProof/>
        </w:rPr>
        <w:t xml:space="preserve"> w</w:t>
      </w:r>
      <w:r w:rsidR="00FF009C">
        <w:rPr>
          <w:noProof/>
        </w:rPr>
        <w:t> </w:t>
      </w:r>
      <w:r w:rsidR="00FF009C" w:rsidRPr="00FF009C">
        <w:rPr>
          <w:noProof/>
        </w:rPr>
        <w:t>dzi</w:t>
      </w:r>
      <w:r w:rsidRPr="00FF009C">
        <w:rPr>
          <w:noProof/>
        </w:rPr>
        <w:t>edzinie WSiSW. Działalność Europolu związana</w:t>
      </w:r>
      <w:r w:rsidR="00FF009C" w:rsidRPr="00FF009C">
        <w:rPr>
          <w:noProof/>
        </w:rPr>
        <w:t xml:space="preserve"> z</w:t>
      </w:r>
      <w:r w:rsidR="00FF009C">
        <w:rPr>
          <w:noProof/>
        </w:rPr>
        <w:t> </w:t>
      </w:r>
      <w:r w:rsidR="00FF009C" w:rsidRPr="00FF009C">
        <w:rPr>
          <w:noProof/>
        </w:rPr>
        <w:t>koo</w:t>
      </w:r>
      <w:r w:rsidRPr="00FF009C">
        <w:rPr>
          <w:noProof/>
        </w:rPr>
        <w:t>rdynowaniem operacji prowadzonych przez państwa członkowskie</w:t>
      </w:r>
      <w:r w:rsidR="00FF009C" w:rsidRPr="00FF009C">
        <w:rPr>
          <w:noProof/>
        </w:rPr>
        <w:t xml:space="preserve"> i</w:t>
      </w:r>
      <w:r w:rsidR="00FF009C">
        <w:rPr>
          <w:noProof/>
        </w:rPr>
        <w:t> </w:t>
      </w:r>
      <w:r w:rsidR="00FF009C" w:rsidRPr="00FF009C">
        <w:rPr>
          <w:noProof/>
        </w:rPr>
        <w:t>wno</w:t>
      </w:r>
      <w:r w:rsidRPr="00FF009C">
        <w:rPr>
          <w:noProof/>
        </w:rPr>
        <w:t>szeniem wkładu</w:t>
      </w:r>
      <w:r w:rsidR="00FF009C" w:rsidRPr="00FF009C">
        <w:rPr>
          <w:noProof/>
        </w:rPr>
        <w:t xml:space="preserve"> w</w:t>
      </w:r>
      <w:r w:rsidR="00FF009C">
        <w:rPr>
          <w:noProof/>
        </w:rPr>
        <w:t> </w:t>
      </w:r>
      <w:r w:rsidR="00FF009C" w:rsidRPr="00FF009C">
        <w:rPr>
          <w:noProof/>
        </w:rPr>
        <w:t>rea</w:t>
      </w:r>
      <w:r w:rsidRPr="00FF009C">
        <w:rPr>
          <w:noProof/>
        </w:rPr>
        <w:t>lizację tych operacji zostanie usprawniona</w:t>
      </w:r>
      <w:r w:rsidR="00FF009C" w:rsidRPr="00FF009C">
        <w:rPr>
          <w:noProof/>
        </w:rPr>
        <w:t xml:space="preserve"> i</w:t>
      </w:r>
      <w:r w:rsidR="00FF009C">
        <w:rPr>
          <w:noProof/>
        </w:rPr>
        <w:t> </w:t>
      </w:r>
      <w:r w:rsidR="00FF009C" w:rsidRPr="00FF009C">
        <w:rPr>
          <w:noProof/>
        </w:rPr>
        <w:t>będ</w:t>
      </w:r>
      <w:r w:rsidRPr="00FF009C">
        <w:rPr>
          <w:noProof/>
        </w:rPr>
        <w:t xml:space="preserve">zie lepiej ukierunkowana dzięki </w:t>
      </w:r>
      <w:r w:rsidRPr="00FF009C">
        <w:rPr>
          <w:b/>
          <w:noProof/>
        </w:rPr>
        <w:t>wykorzystywaniu informacji biometrycznych</w:t>
      </w:r>
      <w:r w:rsidRPr="00FF009C">
        <w:rPr>
          <w:noProof/>
        </w:rPr>
        <w:t>.</w:t>
      </w:r>
      <w:r w:rsidR="00FF009C" w:rsidRPr="00FF009C">
        <w:rPr>
          <w:noProof/>
        </w:rPr>
        <w:t xml:space="preserve"> </w:t>
      </w:r>
    </w:p>
    <w:p w14:paraId="4A500622" w14:textId="77777777"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 xml:space="preserve">Aby przyczynić się do osiągnięcia tego celu, Europol musiałby: </w:t>
      </w:r>
    </w:p>
    <w:p w14:paraId="7B08176C" w14:textId="77777777"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 xml:space="preserve">W odniesieniu do SIENA: </w:t>
      </w:r>
    </w:p>
    <w:p w14:paraId="0077789C" w14:textId="765AC636"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wspierać wdrażanie usług sieciowych SIENA</w:t>
      </w:r>
      <w:r w:rsidR="00FF009C" w:rsidRPr="00FF009C">
        <w:rPr>
          <w:noProof/>
        </w:rPr>
        <w:t xml:space="preserve"> w</w:t>
      </w:r>
      <w:r w:rsidR="00FF009C">
        <w:rPr>
          <w:noProof/>
        </w:rPr>
        <w:t> </w:t>
      </w:r>
      <w:r w:rsidR="00FF009C" w:rsidRPr="00FF009C">
        <w:rPr>
          <w:noProof/>
        </w:rPr>
        <w:t>pań</w:t>
      </w:r>
      <w:r w:rsidRPr="00FF009C">
        <w:rPr>
          <w:noProof/>
        </w:rPr>
        <w:t>stwach członkowskich</w:t>
      </w:r>
      <w:r w:rsidR="00FF009C" w:rsidRPr="00FF009C">
        <w:rPr>
          <w:noProof/>
        </w:rPr>
        <w:t xml:space="preserve"> i</w:t>
      </w:r>
      <w:r w:rsidR="00FF009C">
        <w:rPr>
          <w:noProof/>
        </w:rPr>
        <w:t> </w:t>
      </w:r>
      <w:r w:rsidR="00FF009C" w:rsidRPr="00FF009C">
        <w:rPr>
          <w:noProof/>
        </w:rPr>
        <w:t>wśr</w:t>
      </w:r>
      <w:r w:rsidRPr="00FF009C">
        <w:rPr>
          <w:noProof/>
        </w:rPr>
        <w:t xml:space="preserve">ód innych właściwych operacyjnych współpracujących partnerów będących osobami trzecimi; </w:t>
      </w:r>
      <w:r w:rsidRPr="00FF009C">
        <w:rPr>
          <w:b/>
          <w:noProof/>
        </w:rPr>
        <w:t>zapewnić wysoką dostępność usług SIENA (na poziomie 99,9</w:t>
      </w:r>
      <w:r w:rsidR="00FF009C" w:rsidRPr="00FF009C">
        <w:rPr>
          <w:b/>
          <w:noProof/>
        </w:rPr>
        <w:t> </w:t>
      </w:r>
      <w:r w:rsidRPr="00FF009C">
        <w:rPr>
          <w:b/>
          <w:noProof/>
        </w:rPr>
        <w:t>%);</w:t>
      </w:r>
      <w:r w:rsidRPr="00FF009C">
        <w:rPr>
          <w:noProof/>
        </w:rPr>
        <w:t xml:space="preserve"> </w:t>
      </w:r>
    </w:p>
    <w:p w14:paraId="025A9B38" w14:textId="38C14AF2"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wspierać proces upowszechniania usług wyższego szczebla (np. usługi tłumaczenia, ekstrakcji encji, usługi związane</w:t>
      </w:r>
      <w:r w:rsidR="00FF009C" w:rsidRPr="00FF009C">
        <w:rPr>
          <w:noProof/>
        </w:rPr>
        <w:t xml:space="preserve"> z</w:t>
      </w:r>
      <w:r w:rsidR="00FF009C">
        <w:rPr>
          <w:noProof/>
        </w:rPr>
        <w:t> </w:t>
      </w:r>
      <w:r w:rsidR="00FF009C" w:rsidRPr="00FF009C">
        <w:rPr>
          <w:noProof/>
        </w:rPr>
        <w:t>uni</w:t>
      </w:r>
      <w:r w:rsidRPr="00FF009C">
        <w:rPr>
          <w:noProof/>
        </w:rPr>
        <w:t>wersalnym formatem wiadomości)</w:t>
      </w:r>
      <w:r w:rsidR="00FF009C" w:rsidRPr="00FF009C">
        <w:rPr>
          <w:noProof/>
        </w:rPr>
        <w:t xml:space="preserve"> i</w:t>
      </w:r>
      <w:r w:rsidR="00FF009C">
        <w:rPr>
          <w:noProof/>
        </w:rPr>
        <w:t> </w:t>
      </w:r>
      <w:r w:rsidR="00FF009C" w:rsidRPr="00FF009C">
        <w:rPr>
          <w:noProof/>
        </w:rPr>
        <w:t>usł</w:t>
      </w:r>
      <w:r w:rsidRPr="00FF009C">
        <w:rPr>
          <w:noProof/>
        </w:rPr>
        <w:t>ug niższego szczebla (np. platforma analizy danych, koncepcja wspólnej analizy operacyjnej) oraz wywierania wpływu na te usługi;</w:t>
      </w:r>
    </w:p>
    <w:p w14:paraId="69015CB4" w14:textId="04D48DCC"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b/>
          <w:noProof/>
        </w:rPr>
        <w:t>zapewnić zwiększenie stopnia wykorzystania zasięgu SIENA przez wkomponowanie tej aplikacji</w:t>
      </w:r>
      <w:r w:rsidR="00FF009C" w:rsidRPr="00FF009C">
        <w:rPr>
          <w:b/>
          <w:noProof/>
        </w:rPr>
        <w:t xml:space="preserve"> w</w:t>
      </w:r>
      <w:r w:rsidR="00FF009C">
        <w:rPr>
          <w:b/>
          <w:noProof/>
        </w:rPr>
        <w:t> </w:t>
      </w:r>
      <w:r w:rsidR="00FF009C" w:rsidRPr="00FF009C">
        <w:rPr>
          <w:b/>
          <w:noProof/>
        </w:rPr>
        <w:t>hol</w:t>
      </w:r>
      <w:r w:rsidRPr="00FF009C">
        <w:rPr>
          <w:b/>
          <w:noProof/>
        </w:rPr>
        <w:t>istyczną architekturę informatyczną</w:t>
      </w:r>
      <w:r w:rsidRPr="00FF009C">
        <w:rPr>
          <w:noProof/>
        </w:rPr>
        <w:t xml:space="preserve"> (np. przetwarzanie danych SIENA</w:t>
      </w:r>
      <w:r w:rsidR="00FF009C" w:rsidRPr="00FF009C">
        <w:rPr>
          <w:noProof/>
        </w:rPr>
        <w:t xml:space="preserve"> w</w:t>
      </w:r>
      <w:r w:rsidR="00FF009C">
        <w:rPr>
          <w:noProof/>
        </w:rPr>
        <w:t> </w:t>
      </w:r>
      <w:r w:rsidR="00FF009C" w:rsidRPr="00FF009C">
        <w:rPr>
          <w:noProof/>
        </w:rPr>
        <w:t>sys</w:t>
      </w:r>
      <w:r w:rsidRPr="00FF009C">
        <w:rPr>
          <w:noProof/>
        </w:rPr>
        <w:t>temie informacyjnym Europolu), zagwarantować specjalne wsparcie na rzecz zaspokojenia potrzeb poszerzonej społeczności użytkowników (jednostki krajowe ds. przemytu migrantów) oraz udzielać odpowiedniego wsparcia państwom członkowskim</w:t>
      </w:r>
      <w:r w:rsidR="00FF009C" w:rsidRPr="00FF009C">
        <w:rPr>
          <w:noProof/>
        </w:rPr>
        <w:t xml:space="preserve"> i</w:t>
      </w:r>
      <w:r w:rsidR="00FF009C">
        <w:rPr>
          <w:noProof/>
        </w:rPr>
        <w:t> </w:t>
      </w:r>
      <w:r w:rsidR="00FF009C" w:rsidRPr="00FF009C">
        <w:rPr>
          <w:noProof/>
        </w:rPr>
        <w:t>wła</w:t>
      </w:r>
      <w:r w:rsidRPr="00FF009C">
        <w:rPr>
          <w:noProof/>
        </w:rPr>
        <w:t xml:space="preserve">ściwym operacyjnym osobom trzecim. </w:t>
      </w:r>
    </w:p>
    <w:p w14:paraId="744E54EB" w14:textId="51A8AFE8"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Realizacja tych celów wiązałaby się</w:t>
      </w:r>
      <w:r w:rsidR="00FF009C" w:rsidRPr="00FF009C">
        <w:rPr>
          <w:noProof/>
        </w:rPr>
        <w:t xml:space="preserve"> z</w:t>
      </w:r>
      <w:r w:rsidR="00FF009C">
        <w:rPr>
          <w:noProof/>
        </w:rPr>
        <w:t> </w:t>
      </w:r>
      <w:r w:rsidR="00FF009C" w:rsidRPr="00FF009C">
        <w:rPr>
          <w:noProof/>
        </w:rPr>
        <w:t>kon</w:t>
      </w:r>
      <w:r w:rsidRPr="00FF009C">
        <w:rPr>
          <w:noProof/>
        </w:rPr>
        <w:t>iecznością zwiększenia liczby pracowników (uwzględniając pewną ograniczoną liczbę wykonawców),</w:t>
      </w:r>
      <w:r w:rsidR="00FF009C" w:rsidRPr="00FF009C">
        <w:rPr>
          <w:noProof/>
        </w:rPr>
        <w:t xml:space="preserve"> w</w:t>
      </w:r>
      <w:r w:rsidR="00FF009C">
        <w:rPr>
          <w:noProof/>
        </w:rPr>
        <w:t> </w:t>
      </w:r>
      <w:r w:rsidR="00FF009C" w:rsidRPr="00FF009C">
        <w:rPr>
          <w:noProof/>
        </w:rPr>
        <w:t>szc</w:t>
      </w:r>
      <w:r w:rsidRPr="00FF009C">
        <w:rPr>
          <w:noProof/>
        </w:rPr>
        <w:t>zególności jeżeli chodzi</w:t>
      </w:r>
      <w:r w:rsidR="00FF009C" w:rsidRPr="00FF009C">
        <w:rPr>
          <w:noProof/>
        </w:rPr>
        <w:t xml:space="preserve"> o</w:t>
      </w:r>
      <w:r w:rsidR="00FF009C">
        <w:rPr>
          <w:noProof/>
        </w:rPr>
        <w:t> </w:t>
      </w:r>
      <w:r w:rsidR="00FF009C" w:rsidRPr="00FF009C">
        <w:rPr>
          <w:noProof/>
        </w:rPr>
        <w:t>dzi</w:t>
      </w:r>
      <w:r w:rsidRPr="00FF009C">
        <w:rPr>
          <w:noProof/>
        </w:rPr>
        <w:t>ałania</w:t>
      </w:r>
      <w:r w:rsidR="00FF009C" w:rsidRPr="00FF009C">
        <w:rPr>
          <w:noProof/>
        </w:rPr>
        <w:t xml:space="preserve"> w</w:t>
      </w:r>
      <w:r w:rsidR="00FF009C">
        <w:rPr>
          <w:noProof/>
        </w:rPr>
        <w:t> </w:t>
      </w:r>
      <w:r w:rsidR="00FF009C" w:rsidRPr="00FF009C">
        <w:rPr>
          <w:noProof/>
        </w:rPr>
        <w:t>zak</w:t>
      </w:r>
      <w:r w:rsidRPr="00FF009C">
        <w:rPr>
          <w:noProof/>
        </w:rPr>
        <w:t>resie opracowywania wymogów, architektury, bezpieczeństwa, ochrony danych, rozwoju, zarządzania projektami</w:t>
      </w:r>
      <w:r w:rsidR="00FF009C" w:rsidRPr="00FF009C">
        <w:rPr>
          <w:noProof/>
        </w:rPr>
        <w:t xml:space="preserve"> i</w:t>
      </w:r>
      <w:r w:rsidR="00FF009C">
        <w:rPr>
          <w:noProof/>
        </w:rPr>
        <w:t> </w:t>
      </w:r>
      <w:r w:rsidR="00FF009C" w:rsidRPr="00FF009C">
        <w:rPr>
          <w:noProof/>
        </w:rPr>
        <w:t>utr</w:t>
      </w:r>
      <w:r w:rsidRPr="00FF009C">
        <w:rPr>
          <w:noProof/>
        </w:rPr>
        <w:t>zymania nowych zdolności.</w:t>
      </w:r>
    </w:p>
    <w:p w14:paraId="7C1C9FB2" w14:textId="77777777"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p>
    <w:p w14:paraId="71277841" w14:textId="77777777"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 xml:space="preserve">W odniesieniu do biometrii: </w:t>
      </w:r>
    </w:p>
    <w:p w14:paraId="123D5AEA" w14:textId="09B0A891"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b/>
          <w:noProof/>
        </w:rPr>
        <w:t>w sposób istotny zmodernizować zautomatyzowany system identyfikacji daktyloskopijnej (AFIS) lub zamówić opracowanie nowego systemu tego rodzaju</w:t>
      </w:r>
      <w:r w:rsidRPr="00FF009C">
        <w:rPr>
          <w:noProof/>
        </w:rPr>
        <w:t xml:space="preserve"> (kwestie związane</w:t>
      </w:r>
      <w:r w:rsidR="00FF009C" w:rsidRPr="00FF009C">
        <w:rPr>
          <w:noProof/>
        </w:rPr>
        <w:t xml:space="preserve"> z</w:t>
      </w:r>
      <w:r w:rsidR="00FF009C">
        <w:rPr>
          <w:noProof/>
        </w:rPr>
        <w:t> </w:t>
      </w:r>
      <w:r w:rsidR="00FF009C" w:rsidRPr="00FF009C">
        <w:rPr>
          <w:noProof/>
        </w:rPr>
        <w:t>wyd</w:t>
      </w:r>
      <w:r w:rsidRPr="00FF009C">
        <w:rPr>
          <w:noProof/>
        </w:rPr>
        <w:t>ajnością, dostępnymi funkcjami</w:t>
      </w:r>
      <w:r w:rsidR="00FF009C" w:rsidRPr="00FF009C">
        <w:rPr>
          <w:noProof/>
        </w:rPr>
        <w:t xml:space="preserve"> i</w:t>
      </w:r>
      <w:r w:rsidR="00FF009C">
        <w:rPr>
          <w:noProof/>
        </w:rPr>
        <w:t> </w:t>
      </w:r>
      <w:r w:rsidR="00FF009C" w:rsidRPr="00FF009C">
        <w:rPr>
          <w:noProof/>
        </w:rPr>
        <w:t>ska</w:t>
      </w:r>
      <w:r w:rsidRPr="00FF009C">
        <w:rPr>
          <w:noProof/>
        </w:rPr>
        <w:t>lowalnością), aby wesprzeć wdrażanie inicjatywy służącej przeciwdziałaniu przemytu migrantów</w:t>
      </w:r>
      <w:r w:rsidR="00FF009C" w:rsidRPr="00FF009C">
        <w:rPr>
          <w:noProof/>
        </w:rPr>
        <w:t xml:space="preserve"> i</w:t>
      </w:r>
      <w:r w:rsidR="00FF009C">
        <w:rPr>
          <w:noProof/>
        </w:rPr>
        <w:t> </w:t>
      </w:r>
      <w:r w:rsidR="00FF009C" w:rsidRPr="00FF009C">
        <w:rPr>
          <w:noProof/>
        </w:rPr>
        <w:t>han</w:t>
      </w:r>
      <w:r w:rsidRPr="00FF009C">
        <w:rPr>
          <w:noProof/>
        </w:rPr>
        <w:t>dlu ludźmi (oprócz osiągnięcia interoperacyjności UE);</w:t>
      </w:r>
    </w:p>
    <w:p w14:paraId="56D57BE1" w14:textId="1D0CD44F"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zwiększyć wydajność</w:t>
      </w:r>
      <w:r w:rsidR="00FF009C" w:rsidRPr="00FF009C">
        <w:rPr>
          <w:noProof/>
        </w:rPr>
        <w:t xml:space="preserve"> i</w:t>
      </w:r>
      <w:r w:rsidR="00FF009C">
        <w:rPr>
          <w:noProof/>
        </w:rPr>
        <w:t> </w:t>
      </w:r>
      <w:r w:rsidR="00FF009C" w:rsidRPr="00FF009C">
        <w:rPr>
          <w:noProof/>
        </w:rPr>
        <w:t>fun</w:t>
      </w:r>
      <w:r w:rsidRPr="00FF009C">
        <w:rPr>
          <w:noProof/>
        </w:rPr>
        <w:t>kcjonalność nowego rozwiązania umożliwiającego rozpoznawanie twarzy (FACE) oraz zagwarantować pełne zintegrowanie AFIS</w:t>
      </w:r>
      <w:r w:rsidR="00FF009C" w:rsidRPr="00FF009C">
        <w:rPr>
          <w:noProof/>
        </w:rPr>
        <w:t xml:space="preserve"> i</w:t>
      </w:r>
      <w:r w:rsidR="00FF009C">
        <w:rPr>
          <w:noProof/>
        </w:rPr>
        <w:t> </w:t>
      </w:r>
      <w:r w:rsidR="00FF009C" w:rsidRPr="00FF009C">
        <w:rPr>
          <w:noProof/>
        </w:rPr>
        <w:t>now</w:t>
      </w:r>
      <w:r w:rsidRPr="00FF009C">
        <w:rPr>
          <w:noProof/>
        </w:rPr>
        <w:t>ego rozwiązania FACE</w:t>
      </w:r>
      <w:r w:rsidR="00FF009C" w:rsidRPr="00FF009C">
        <w:rPr>
          <w:noProof/>
        </w:rPr>
        <w:t xml:space="preserve"> z</w:t>
      </w:r>
      <w:r w:rsidR="00FF009C">
        <w:rPr>
          <w:noProof/>
        </w:rPr>
        <w:t> </w:t>
      </w:r>
      <w:r w:rsidR="00FF009C" w:rsidRPr="00FF009C">
        <w:rPr>
          <w:noProof/>
        </w:rPr>
        <w:t>pro</w:t>
      </w:r>
      <w:r w:rsidRPr="00FF009C">
        <w:rPr>
          <w:noProof/>
        </w:rPr>
        <w:t>cesami działań Europolu związanymi</w:t>
      </w:r>
      <w:r w:rsidR="00FF009C" w:rsidRPr="00FF009C">
        <w:rPr>
          <w:noProof/>
        </w:rPr>
        <w:t xml:space="preserve"> z</w:t>
      </w:r>
      <w:r w:rsidR="00FF009C">
        <w:rPr>
          <w:noProof/>
        </w:rPr>
        <w:t> </w:t>
      </w:r>
      <w:r w:rsidR="00FF009C" w:rsidRPr="00FF009C">
        <w:rPr>
          <w:noProof/>
        </w:rPr>
        <w:t>zar</w:t>
      </w:r>
      <w:r w:rsidRPr="00FF009C">
        <w:rPr>
          <w:noProof/>
        </w:rPr>
        <w:t>ządzaniem danymi;</w:t>
      </w:r>
    </w:p>
    <w:p w14:paraId="56FE3B68" w14:textId="232E33A5"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b/>
          <w:noProof/>
        </w:rPr>
        <w:t>usprawnić istniejące procesy działań związane</w:t>
      </w:r>
      <w:r w:rsidR="00FF009C" w:rsidRPr="00FF009C">
        <w:rPr>
          <w:b/>
          <w:noProof/>
        </w:rPr>
        <w:t xml:space="preserve"> z</w:t>
      </w:r>
      <w:r w:rsidR="00FF009C">
        <w:rPr>
          <w:b/>
          <w:noProof/>
        </w:rPr>
        <w:t> </w:t>
      </w:r>
      <w:r w:rsidR="00FF009C" w:rsidRPr="00FF009C">
        <w:rPr>
          <w:b/>
          <w:noProof/>
        </w:rPr>
        <w:t>bio</w:t>
      </w:r>
      <w:r w:rsidRPr="00FF009C">
        <w:rPr>
          <w:b/>
          <w:noProof/>
        </w:rPr>
        <w:t>metrią, aby zapewnić pełne wykorzystywanie danych biometrycznych</w:t>
      </w:r>
      <w:r w:rsidR="00FF009C" w:rsidRPr="00FF009C">
        <w:rPr>
          <w:b/>
          <w:noProof/>
        </w:rPr>
        <w:t xml:space="preserve"> i</w:t>
      </w:r>
      <w:r w:rsidR="00FF009C">
        <w:rPr>
          <w:b/>
          <w:noProof/>
        </w:rPr>
        <w:t> </w:t>
      </w:r>
      <w:r w:rsidR="00FF009C" w:rsidRPr="00FF009C">
        <w:rPr>
          <w:b/>
          <w:noProof/>
        </w:rPr>
        <w:t>ogr</w:t>
      </w:r>
      <w:r w:rsidRPr="00FF009C">
        <w:rPr>
          <w:b/>
          <w:noProof/>
        </w:rPr>
        <w:t>aniczyć ilość pracy, która musi być wykonywana ręcznie</w:t>
      </w:r>
      <w:r w:rsidRPr="00FF009C">
        <w:rPr>
          <w:noProof/>
        </w:rPr>
        <w:t>;</w:t>
      </w:r>
    </w:p>
    <w:p w14:paraId="7239E85C" w14:textId="77777777"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b/>
          <w:noProof/>
        </w:rPr>
        <w:t>rozwijać zdolność przetwarzania profili DNA</w:t>
      </w:r>
      <w:r w:rsidRPr="00FF009C">
        <w:rPr>
          <w:noProof/>
        </w:rPr>
        <w:t>;</w:t>
      </w:r>
    </w:p>
    <w:p w14:paraId="3293FA9F" w14:textId="368F7297"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b/>
          <w:noProof/>
        </w:rPr>
        <w:t>dokonać przeglądu systemu informacyjnego Europolu, SIENA oraz funkcji związanych</w:t>
      </w:r>
      <w:r w:rsidR="00FF009C" w:rsidRPr="00FF009C">
        <w:rPr>
          <w:b/>
          <w:noProof/>
        </w:rPr>
        <w:t xml:space="preserve"> z</w:t>
      </w:r>
      <w:r w:rsidR="00FF009C">
        <w:rPr>
          <w:b/>
          <w:noProof/>
        </w:rPr>
        <w:t> </w:t>
      </w:r>
      <w:r w:rsidR="00FF009C" w:rsidRPr="00FF009C">
        <w:rPr>
          <w:b/>
          <w:noProof/>
        </w:rPr>
        <w:t>wpr</w:t>
      </w:r>
      <w:r w:rsidRPr="00FF009C">
        <w:rPr>
          <w:b/>
          <w:noProof/>
        </w:rPr>
        <w:t>owadzaniem danych biometrycznych</w:t>
      </w:r>
      <w:r w:rsidRPr="00FF009C">
        <w:rPr>
          <w:noProof/>
        </w:rPr>
        <w:t xml:space="preserve">; </w:t>
      </w:r>
    </w:p>
    <w:p w14:paraId="7202807F" w14:textId="738E2821"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 xml:space="preserve">rozwijać funkcje </w:t>
      </w:r>
      <w:r w:rsidRPr="00FF009C">
        <w:rPr>
          <w:b/>
          <w:noProof/>
        </w:rPr>
        <w:t>wyszukiwania danych biometrycznych</w:t>
      </w:r>
      <w:r w:rsidR="00FF009C" w:rsidRPr="00FF009C">
        <w:rPr>
          <w:b/>
          <w:noProof/>
        </w:rPr>
        <w:t xml:space="preserve"> w</w:t>
      </w:r>
      <w:r w:rsidR="00FF009C">
        <w:rPr>
          <w:b/>
          <w:noProof/>
        </w:rPr>
        <w:t> </w:t>
      </w:r>
      <w:r w:rsidR="00FF009C" w:rsidRPr="00FF009C">
        <w:rPr>
          <w:b/>
          <w:noProof/>
        </w:rPr>
        <w:t>sys</w:t>
      </w:r>
      <w:r w:rsidRPr="00FF009C">
        <w:rPr>
          <w:b/>
          <w:noProof/>
        </w:rPr>
        <w:t>temie informacyjnym Europolu</w:t>
      </w:r>
      <w:r w:rsidRPr="00FF009C">
        <w:rPr>
          <w:noProof/>
        </w:rPr>
        <w:t xml:space="preserve"> i za pośrednictwem Kwerendy</w:t>
      </w:r>
      <w:r w:rsidR="00FF009C" w:rsidRPr="00FF009C">
        <w:rPr>
          <w:noProof/>
        </w:rPr>
        <w:t xml:space="preserve"> w</w:t>
      </w:r>
      <w:r w:rsidR="00FF009C">
        <w:rPr>
          <w:noProof/>
        </w:rPr>
        <w:t> </w:t>
      </w:r>
      <w:r w:rsidR="00FF009C" w:rsidRPr="00FF009C">
        <w:rPr>
          <w:noProof/>
        </w:rPr>
        <w:t>sys</w:t>
      </w:r>
      <w:r w:rsidRPr="00FF009C">
        <w:rPr>
          <w:noProof/>
        </w:rPr>
        <w:t xml:space="preserve">temach Europolu (QUEST); </w:t>
      </w:r>
    </w:p>
    <w:p w14:paraId="65088710" w14:textId="01BC0755"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zaktualizować portal analizy danych na potrzeby danych biometrycznych; zmienić/uwzględnić wymogi</w:t>
      </w:r>
      <w:r w:rsidR="00FF009C" w:rsidRPr="00FF009C">
        <w:rPr>
          <w:noProof/>
        </w:rPr>
        <w:t xml:space="preserve"> w</w:t>
      </w:r>
      <w:r w:rsidR="00FF009C">
        <w:rPr>
          <w:noProof/>
        </w:rPr>
        <w:t> </w:t>
      </w:r>
      <w:r w:rsidR="00FF009C" w:rsidRPr="00FF009C">
        <w:rPr>
          <w:noProof/>
        </w:rPr>
        <w:t>zak</w:t>
      </w:r>
      <w:r w:rsidRPr="00FF009C">
        <w:rPr>
          <w:noProof/>
        </w:rPr>
        <w:t>resie przeglądu</w:t>
      </w:r>
      <w:r w:rsidR="00FF009C" w:rsidRPr="00FF009C">
        <w:rPr>
          <w:noProof/>
        </w:rPr>
        <w:t xml:space="preserve"> i</w:t>
      </w:r>
      <w:r w:rsidR="00FF009C">
        <w:rPr>
          <w:noProof/>
        </w:rPr>
        <w:t> </w:t>
      </w:r>
      <w:r w:rsidR="00FF009C" w:rsidRPr="00FF009C">
        <w:rPr>
          <w:noProof/>
        </w:rPr>
        <w:t>zat</w:t>
      </w:r>
      <w:r w:rsidRPr="00FF009C">
        <w:rPr>
          <w:noProof/>
        </w:rPr>
        <w:t>rzymywania danych dotyczące danych biometrycznych we wszystkich rozwiązaniach.</w:t>
      </w:r>
    </w:p>
    <w:p w14:paraId="133265A1" w14:textId="77777777"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Aby osiągnąć te cele:</w:t>
      </w:r>
    </w:p>
    <w:p w14:paraId="0F718BC9" w14:textId="46E1FB83"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należy zwiększyć liczbę pracowników,</w:t>
      </w:r>
      <w:r w:rsidR="00FF009C" w:rsidRPr="00FF009C">
        <w:rPr>
          <w:noProof/>
        </w:rPr>
        <w:t xml:space="preserve"> w</w:t>
      </w:r>
      <w:r w:rsidR="00FF009C">
        <w:rPr>
          <w:noProof/>
        </w:rPr>
        <w:t> </w:t>
      </w:r>
      <w:r w:rsidR="00FF009C" w:rsidRPr="00FF009C">
        <w:rPr>
          <w:noProof/>
        </w:rPr>
        <w:t>szc</w:t>
      </w:r>
      <w:r w:rsidRPr="00FF009C">
        <w:rPr>
          <w:noProof/>
        </w:rPr>
        <w:t>zególności jeżeli chodzi</w:t>
      </w:r>
      <w:r w:rsidR="00FF009C" w:rsidRPr="00FF009C">
        <w:rPr>
          <w:noProof/>
        </w:rPr>
        <w:t xml:space="preserve"> o</w:t>
      </w:r>
      <w:r w:rsidR="00FF009C">
        <w:rPr>
          <w:noProof/>
        </w:rPr>
        <w:t> </w:t>
      </w:r>
      <w:r w:rsidR="00FF009C" w:rsidRPr="00FF009C">
        <w:rPr>
          <w:noProof/>
        </w:rPr>
        <w:t>dzi</w:t>
      </w:r>
      <w:r w:rsidRPr="00FF009C">
        <w:rPr>
          <w:noProof/>
        </w:rPr>
        <w:t>ałania</w:t>
      </w:r>
      <w:r w:rsidR="00FF009C" w:rsidRPr="00FF009C">
        <w:rPr>
          <w:noProof/>
        </w:rPr>
        <w:t xml:space="preserve"> w</w:t>
      </w:r>
      <w:r w:rsidR="00FF009C">
        <w:rPr>
          <w:noProof/>
        </w:rPr>
        <w:t> </w:t>
      </w:r>
      <w:r w:rsidR="00FF009C" w:rsidRPr="00FF009C">
        <w:rPr>
          <w:noProof/>
        </w:rPr>
        <w:t>zak</w:t>
      </w:r>
      <w:r w:rsidRPr="00FF009C">
        <w:rPr>
          <w:noProof/>
        </w:rPr>
        <w:t>resie opracowywania wymogów, architektury, bezpieczeństwa, ochrony danych, rozwoju, zarządzania projektami</w:t>
      </w:r>
      <w:r w:rsidR="00FF009C" w:rsidRPr="00FF009C">
        <w:rPr>
          <w:noProof/>
        </w:rPr>
        <w:t xml:space="preserve"> i</w:t>
      </w:r>
      <w:r w:rsidR="00FF009C">
        <w:rPr>
          <w:noProof/>
        </w:rPr>
        <w:t> </w:t>
      </w:r>
      <w:r w:rsidR="00FF009C" w:rsidRPr="00FF009C">
        <w:rPr>
          <w:noProof/>
        </w:rPr>
        <w:t>utr</w:t>
      </w:r>
      <w:r w:rsidRPr="00FF009C">
        <w:rPr>
          <w:noProof/>
        </w:rPr>
        <w:t>zymania (zarówno funkcjonalnego, jak</w:t>
      </w:r>
      <w:r w:rsidR="00FF009C" w:rsidRPr="00FF009C">
        <w:rPr>
          <w:noProof/>
        </w:rPr>
        <w:t xml:space="preserve"> i</w:t>
      </w:r>
      <w:r w:rsidR="00FF009C">
        <w:rPr>
          <w:noProof/>
        </w:rPr>
        <w:t> </w:t>
      </w:r>
      <w:r w:rsidR="00FF009C" w:rsidRPr="00FF009C">
        <w:rPr>
          <w:noProof/>
        </w:rPr>
        <w:t>inf</w:t>
      </w:r>
      <w:r w:rsidRPr="00FF009C">
        <w:rPr>
          <w:noProof/>
        </w:rPr>
        <w:t>rastrukturalnego) nowych zdolności.</w:t>
      </w:r>
    </w:p>
    <w:p w14:paraId="120C5DA3" w14:textId="07F41F05"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Należy zapewnić finansowanie (środki budżetowe) niezbędne do pokrycia kosztów zamówień na sprzęt</w:t>
      </w:r>
      <w:r w:rsidR="00FF009C" w:rsidRPr="00FF009C">
        <w:rPr>
          <w:noProof/>
        </w:rPr>
        <w:t xml:space="preserve"> i</w:t>
      </w:r>
      <w:r w:rsidR="00FF009C">
        <w:rPr>
          <w:noProof/>
        </w:rPr>
        <w:t> </w:t>
      </w:r>
      <w:r w:rsidR="00FF009C" w:rsidRPr="00FF009C">
        <w:rPr>
          <w:noProof/>
        </w:rPr>
        <w:t>opr</w:t>
      </w:r>
      <w:r w:rsidRPr="00FF009C">
        <w:rPr>
          <w:noProof/>
        </w:rPr>
        <w:t>ogramowanie oraz zatrudnienia ograniczonej liczby wykonawców</w:t>
      </w:r>
      <w:r w:rsidR="00FF009C" w:rsidRPr="00FF009C">
        <w:rPr>
          <w:noProof/>
        </w:rPr>
        <w:t xml:space="preserve"> w</w:t>
      </w:r>
      <w:r w:rsidR="00FF009C">
        <w:rPr>
          <w:noProof/>
        </w:rPr>
        <w:t> </w:t>
      </w:r>
      <w:r w:rsidR="00FF009C" w:rsidRPr="00FF009C">
        <w:rPr>
          <w:noProof/>
        </w:rPr>
        <w:t>kon</w:t>
      </w:r>
      <w:r w:rsidRPr="00FF009C">
        <w:rPr>
          <w:noProof/>
        </w:rPr>
        <w:t>tekście modernizacji SIENA</w:t>
      </w:r>
      <w:r w:rsidR="00FF009C" w:rsidRPr="00FF009C">
        <w:rPr>
          <w:noProof/>
        </w:rPr>
        <w:t xml:space="preserve"> i</w:t>
      </w:r>
      <w:r w:rsidR="00FF009C">
        <w:rPr>
          <w:noProof/>
        </w:rPr>
        <w:t> </w:t>
      </w:r>
      <w:r w:rsidR="00FF009C" w:rsidRPr="00FF009C">
        <w:rPr>
          <w:noProof/>
        </w:rPr>
        <w:t>roz</w:t>
      </w:r>
      <w:r w:rsidRPr="00FF009C">
        <w:rPr>
          <w:noProof/>
        </w:rPr>
        <w:t>woju zdolności biometrycznych; po opracowaniu stosownych rozwiązań należy zapewnić budżet na pokrycie kosztów utrzymania infrastruktury</w:t>
      </w:r>
      <w:r w:rsidR="00FF009C" w:rsidRPr="00FF009C">
        <w:rPr>
          <w:noProof/>
        </w:rPr>
        <w:t xml:space="preserve"> i</w:t>
      </w:r>
      <w:r w:rsidR="00FF009C">
        <w:rPr>
          <w:noProof/>
        </w:rPr>
        <w:t> </w:t>
      </w:r>
      <w:r w:rsidR="00FF009C" w:rsidRPr="00FF009C">
        <w:rPr>
          <w:noProof/>
        </w:rPr>
        <w:t>opr</w:t>
      </w:r>
      <w:r w:rsidRPr="00FF009C">
        <w:rPr>
          <w:noProof/>
        </w:rPr>
        <w:t>ogramowania (np. licencji) i na wspieranie wykonawców będących ekspertami,</w:t>
      </w:r>
      <w:r w:rsidR="00FF009C" w:rsidRPr="00FF009C">
        <w:rPr>
          <w:noProof/>
        </w:rPr>
        <w:t xml:space="preserve"> w</w:t>
      </w:r>
      <w:r w:rsidR="00FF009C">
        <w:rPr>
          <w:noProof/>
        </w:rPr>
        <w:t> </w:t>
      </w:r>
      <w:r w:rsidR="00FF009C" w:rsidRPr="00FF009C">
        <w:rPr>
          <w:noProof/>
        </w:rPr>
        <w:t>szc</w:t>
      </w:r>
      <w:r w:rsidRPr="00FF009C">
        <w:rPr>
          <w:noProof/>
        </w:rPr>
        <w:t>zególności jeżeli chodzi</w:t>
      </w:r>
      <w:r w:rsidR="00FF009C" w:rsidRPr="00FF009C">
        <w:rPr>
          <w:noProof/>
        </w:rPr>
        <w:t xml:space="preserve"> o</w:t>
      </w:r>
      <w:r w:rsidR="00FF009C">
        <w:rPr>
          <w:noProof/>
        </w:rPr>
        <w:t> </w:t>
      </w:r>
      <w:r w:rsidR="00FF009C" w:rsidRPr="00FF009C">
        <w:rPr>
          <w:noProof/>
        </w:rPr>
        <w:t>wyd</w:t>
      </w:r>
      <w:r w:rsidRPr="00FF009C">
        <w:rPr>
          <w:noProof/>
        </w:rPr>
        <w:t>ajność biometryczną, która będzie musiała utrzymywać się na określonym poziomie</w:t>
      </w:r>
      <w:r w:rsidR="00FF009C" w:rsidRPr="00FF009C">
        <w:rPr>
          <w:noProof/>
        </w:rPr>
        <w:t xml:space="preserve"> w</w:t>
      </w:r>
      <w:r w:rsidR="00FF009C">
        <w:rPr>
          <w:noProof/>
        </w:rPr>
        <w:t> </w:t>
      </w:r>
      <w:r w:rsidR="00FF009C" w:rsidRPr="00FF009C">
        <w:rPr>
          <w:noProof/>
        </w:rPr>
        <w:t>per</w:t>
      </w:r>
      <w:r w:rsidRPr="00FF009C">
        <w:rPr>
          <w:noProof/>
        </w:rPr>
        <w:t xml:space="preserve">spektywie długoterminowej. </w:t>
      </w:r>
    </w:p>
    <w:p w14:paraId="7F70F1DB" w14:textId="33BE8B47"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Należy zapewnić finansowanie (środki budżetowe) na udzielanie państwom członkowskim wsparcia finansowego</w:t>
      </w:r>
      <w:r w:rsidR="00FF009C" w:rsidRPr="00FF009C">
        <w:rPr>
          <w:noProof/>
        </w:rPr>
        <w:t xml:space="preserve"> w</w:t>
      </w:r>
      <w:r w:rsidR="00FF009C">
        <w:rPr>
          <w:noProof/>
        </w:rPr>
        <w:t> </w:t>
      </w:r>
      <w:r w:rsidR="00FF009C" w:rsidRPr="00FF009C">
        <w:rPr>
          <w:noProof/>
        </w:rPr>
        <w:t>zak</w:t>
      </w:r>
      <w:r w:rsidRPr="00FF009C">
        <w:rPr>
          <w:noProof/>
        </w:rPr>
        <w:t>resie połączenia</w:t>
      </w:r>
      <w:r w:rsidR="00FF009C" w:rsidRPr="00FF009C">
        <w:rPr>
          <w:noProof/>
        </w:rPr>
        <w:t xml:space="preserve"> z</w:t>
      </w:r>
      <w:r w:rsidR="00FF009C">
        <w:rPr>
          <w:noProof/>
        </w:rPr>
        <w:t> </w:t>
      </w:r>
      <w:r w:rsidR="00FF009C" w:rsidRPr="00FF009C">
        <w:rPr>
          <w:noProof/>
        </w:rPr>
        <w:t>usł</w:t>
      </w:r>
      <w:r w:rsidRPr="00FF009C">
        <w:rPr>
          <w:noProof/>
        </w:rPr>
        <w:t>ugami sieciowymi SIENA lub integracji</w:t>
      </w:r>
      <w:r w:rsidR="00FF009C" w:rsidRPr="00FF009C">
        <w:rPr>
          <w:noProof/>
        </w:rPr>
        <w:t xml:space="preserve"> z</w:t>
      </w:r>
      <w:r w:rsidR="00FF009C">
        <w:rPr>
          <w:noProof/>
        </w:rPr>
        <w:t> </w:t>
      </w:r>
      <w:r w:rsidR="00FF009C" w:rsidRPr="00FF009C">
        <w:rPr>
          <w:noProof/>
        </w:rPr>
        <w:t>tym</w:t>
      </w:r>
      <w:r w:rsidRPr="00FF009C">
        <w:rPr>
          <w:noProof/>
        </w:rPr>
        <w:t>i usługami.</w:t>
      </w:r>
    </w:p>
    <w:p w14:paraId="2AFB4EE1" w14:textId="77777777"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p>
    <w:p w14:paraId="060DCC02" w14:textId="7E31649F" w:rsidR="00AB4A6F" w:rsidRPr="00FF009C" w:rsidRDefault="00AB4A6F" w:rsidP="00AB4A6F">
      <w:pPr>
        <w:pStyle w:val="Text1"/>
        <w:pBdr>
          <w:top w:val="single" w:sz="4" w:space="1" w:color="auto"/>
          <w:left w:val="single" w:sz="4" w:space="4" w:color="auto"/>
          <w:bottom w:val="single" w:sz="4" w:space="1" w:color="auto"/>
          <w:right w:val="single" w:sz="4" w:space="4" w:color="auto"/>
        </w:pBdr>
        <w:rPr>
          <w:b/>
          <w:bCs/>
          <w:noProof/>
        </w:rPr>
      </w:pPr>
      <w:r w:rsidRPr="00FF009C">
        <w:rPr>
          <w:b/>
          <w:noProof/>
        </w:rPr>
        <w:t>Cel szczegółowy nr</w:t>
      </w:r>
      <w:r w:rsidR="00FF009C" w:rsidRPr="00FF009C">
        <w:rPr>
          <w:b/>
          <w:noProof/>
        </w:rPr>
        <w:t> </w:t>
      </w:r>
      <w:r w:rsidRPr="00FF009C">
        <w:rPr>
          <w:b/>
          <w:noProof/>
        </w:rPr>
        <w:t>4: zapewnienie państwom członkowskim narzędzi niezbędnych do przeciwdziałania przemytowi migrantów</w:t>
      </w:r>
      <w:r w:rsidR="00FF009C" w:rsidRPr="00FF009C">
        <w:rPr>
          <w:b/>
          <w:noProof/>
        </w:rPr>
        <w:t xml:space="preserve"> i</w:t>
      </w:r>
      <w:r w:rsidR="00FF009C">
        <w:rPr>
          <w:b/>
          <w:noProof/>
        </w:rPr>
        <w:t> </w:t>
      </w:r>
      <w:r w:rsidR="00FF009C" w:rsidRPr="00FF009C">
        <w:rPr>
          <w:b/>
          <w:noProof/>
        </w:rPr>
        <w:t>han</w:t>
      </w:r>
      <w:r w:rsidRPr="00FF009C">
        <w:rPr>
          <w:b/>
          <w:noProof/>
        </w:rPr>
        <w:t>dlowi ludźmi oraz innym przestępstwom wchodzącym</w:t>
      </w:r>
      <w:r w:rsidR="00FF009C" w:rsidRPr="00FF009C">
        <w:rPr>
          <w:b/>
          <w:noProof/>
        </w:rPr>
        <w:t xml:space="preserve"> w</w:t>
      </w:r>
      <w:r w:rsidR="00FF009C">
        <w:rPr>
          <w:b/>
          <w:noProof/>
        </w:rPr>
        <w:t> </w:t>
      </w:r>
      <w:r w:rsidR="00FF009C" w:rsidRPr="00FF009C">
        <w:rPr>
          <w:b/>
          <w:noProof/>
        </w:rPr>
        <w:t>zak</w:t>
      </w:r>
      <w:r w:rsidRPr="00FF009C">
        <w:rPr>
          <w:b/>
          <w:noProof/>
        </w:rPr>
        <w:t>res celów Europolu oraz zwalczania tych przestępstw</w:t>
      </w:r>
    </w:p>
    <w:p w14:paraId="5A581A07" w14:textId="0781A974"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 xml:space="preserve">Celem jest </w:t>
      </w:r>
      <w:r w:rsidRPr="00FF009C">
        <w:rPr>
          <w:b/>
          <w:noProof/>
        </w:rPr>
        <w:t>zwiększenie zdolności Europolu do udzielania państwom członkowskim bezpośredniego</w:t>
      </w:r>
      <w:r w:rsidR="00FF009C" w:rsidRPr="00FF009C">
        <w:rPr>
          <w:b/>
          <w:noProof/>
        </w:rPr>
        <w:t xml:space="preserve"> i</w:t>
      </w:r>
      <w:r w:rsidR="00FF009C">
        <w:rPr>
          <w:b/>
          <w:noProof/>
        </w:rPr>
        <w:t> </w:t>
      </w:r>
      <w:r w:rsidR="00FF009C" w:rsidRPr="00FF009C">
        <w:rPr>
          <w:b/>
          <w:noProof/>
        </w:rPr>
        <w:t>ope</w:t>
      </w:r>
      <w:r w:rsidRPr="00FF009C">
        <w:rPr>
          <w:b/>
          <w:noProof/>
        </w:rPr>
        <w:t>racyjnego –</w:t>
      </w:r>
      <w:r w:rsidR="00FF009C" w:rsidRPr="00FF009C">
        <w:rPr>
          <w:b/>
          <w:noProof/>
        </w:rPr>
        <w:t xml:space="preserve"> w</w:t>
      </w:r>
      <w:r w:rsidR="00FF009C">
        <w:rPr>
          <w:b/>
          <w:noProof/>
        </w:rPr>
        <w:t> </w:t>
      </w:r>
      <w:r w:rsidR="00FF009C" w:rsidRPr="00FF009C">
        <w:rPr>
          <w:b/>
          <w:noProof/>
        </w:rPr>
        <w:t>tym</w:t>
      </w:r>
      <w:r w:rsidRPr="00FF009C">
        <w:rPr>
          <w:b/>
          <w:noProof/>
        </w:rPr>
        <w:t xml:space="preserve"> technicznego – wsparcia</w:t>
      </w:r>
      <w:r w:rsidRPr="00FF009C">
        <w:rPr>
          <w:noProof/>
        </w:rPr>
        <w:t xml:space="preserve"> na rzecz zwalczania przemytu migrantów</w:t>
      </w:r>
      <w:r w:rsidR="00FF009C" w:rsidRPr="00FF009C">
        <w:rPr>
          <w:noProof/>
        </w:rPr>
        <w:t xml:space="preserve"> i</w:t>
      </w:r>
      <w:r w:rsidR="00FF009C">
        <w:rPr>
          <w:noProof/>
        </w:rPr>
        <w:t> </w:t>
      </w:r>
      <w:r w:rsidR="00FF009C" w:rsidRPr="00FF009C">
        <w:rPr>
          <w:noProof/>
        </w:rPr>
        <w:t>han</w:t>
      </w:r>
      <w:r w:rsidRPr="00FF009C">
        <w:rPr>
          <w:noProof/>
        </w:rPr>
        <w:t>dlu ludźmi. Dzięki temu państwa członkowskie będą mogły</w:t>
      </w:r>
      <w:r w:rsidR="00FF009C" w:rsidRPr="00FF009C">
        <w:rPr>
          <w:noProof/>
        </w:rPr>
        <w:t xml:space="preserve"> w</w:t>
      </w:r>
      <w:r w:rsidR="00FF009C">
        <w:rPr>
          <w:noProof/>
        </w:rPr>
        <w:t> </w:t>
      </w:r>
      <w:r w:rsidR="00FF009C" w:rsidRPr="00FF009C">
        <w:rPr>
          <w:noProof/>
        </w:rPr>
        <w:t>peł</w:t>
      </w:r>
      <w:r w:rsidRPr="00FF009C">
        <w:rPr>
          <w:noProof/>
        </w:rPr>
        <w:t>ni wykorzystywać nowo wprowadzone rozwiązania</w:t>
      </w:r>
      <w:r w:rsidR="00FF009C" w:rsidRPr="00FF009C">
        <w:rPr>
          <w:noProof/>
        </w:rPr>
        <w:t xml:space="preserve"> w</w:t>
      </w:r>
      <w:r w:rsidR="00FF009C">
        <w:rPr>
          <w:noProof/>
        </w:rPr>
        <w:t> </w:t>
      </w:r>
      <w:r w:rsidR="00FF009C" w:rsidRPr="00FF009C">
        <w:rPr>
          <w:noProof/>
        </w:rPr>
        <w:t>pos</w:t>
      </w:r>
      <w:r w:rsidRPr="00FF009C">
        <w:rPr>
          <w:noProof/>
        </w:rPr>
        <w:t xml:space="preserve">taci </w:t>
      </w:r>
      <w:r w:rsidRPr="00FF009C">
        <w:rPr>
          <w:b/>
          <w:noProof/>
        </w:rPr>
        <w:t>operacyjnych grup zadaniowych</w:t>
      </w:r>
      <w:r w:rsidR="00FF009C" w:rsidRPr="00FF009C">
        <w:rPr>
          <w:noProof/>
        </w:rPr>
        <w:t xml:space="preserve"> i</w:t>
      </w:r>
      <w:r w:rsidR="00FF009C">
        <w:rPr>
          <w:noProof/>
        </w:rPr>
        <w:t> </w:t>
      </w:r>
      <w:r w:rsidR="00FF009C" w:rsidRPr="00FF009C">
        <w:rPr>
          <w:b/>
          <w:noProof/>
        </w:rPr>
        <w:t>roz</w:t>
      </w:r>
      <w:r w:rsidRPr="00FF009C">
        <w:rPr>
          <w:b/>
          <w:noProof/>
        </w:rPr>
        <w:t>mieszczania pracowników Europolu</w:t>
      </w:r>
      <w:r w:rsidR="00FF009C" w:rsidRPr="00FF009C">
        <w:rPr>
          <w:b/>
          <w:noProof/>
        </w:rPr>
        <w:t xml:space="preserve"> w</w:t>
      </w:r>
      <w:r w:rsidR="00FF009C">
        <w:rPr>
          <w:b/>
          <w:noProof/>
        </w:rPr>
        <w:t> </w:t>
      </w:r>
      <w:r w:rsidR="00FF009C" w:rsidRPr="00FF009C">
        <w:rPr>
          <w:b/>
          <w:noProof/>
        </w:rPr>
        <w:t>ram</w:t>
      </w:r>
      <w:r w:rsidRPr="00FF009C">
        <w:rPr>
          <w:b/>
          <w:noProof/>
        </w:rPr>
        <w:t>ach wsparcia operacyjnego,</w:t>
      </w:r>
      <w:r w:rsidR="00FF009C" w:rsidRPr="00FF009C">
        <w:rPr>
          <w:b/>
          <w:noProof/>
        </w:rPr>
        <w:t xml:space="preserve"> a</w:t>
      </w:r>
      <w:r w:rsidR="00FF009C">
        <w:rPr>
          <w:b/>
          <w:noProof/>
        </w:rPr>
        <w:t> </w:t>
      </w:r>
      <w:r w:rsidR="00FF009C" w:rsidRPr="00FF009C">
        <w:rPr>
          <w:b/>
          <w:noProof/>
        </w:rPr>
        <w:t>tak</w:t>
      </w:r>
      <w:r w:rsidRPr="00FF009C">
        <w:rPr>
          <w:b/>
          <w:noProof/>
        </w:rPr>
        <w:t>że korzystać ze wsparcia technicznego, kryminalistycznego</w:t>
      </w:r>
      <w:r w:rsidR="00FF009C" w:rsidRPr="00FF009C">
        <w:rPr>
          <w:b/>
          <w:noProof/>
        </w:rPr>
        <w:t xml:space="preserve"> i</w:t>
      </w:r>
      <w:r w:rsidR="00FF009C">
        <w:rPr>
          <w:b/>
          <w:noProof/>
        </w:rPr>
        <w:t> </w:t>
      </w:r>
      <w:r w:rsidR="00FF009C" w:rsidRPr="00FF009C">
        <w:rPr>
          <w:b/>
          <w:noProof/>
        </w:rPr>
        <w:t>fin</w:t>
      </w:r>
      <w:r w:rsidRPr="00FF009C">
        <w:rPr>
          <w:b/>
          <w:noProof/>
        </w:rPr>
        <w:t>ansowego udzielanego przez Europol</w:t>
      </w:r>
      <w:r w:rsidRPr="00FF009C">
        <w:rPr>
          <w:noProof/>
        </w:rPr>
        <w:t xml:space="preserve">. </w:t>
      </w:r>
    </w:p>
    <w:p w14:paraId="00EB6C51" w14:textId="77777777"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 xml:space="preserve">Aby przyczynić się do osiągnięcia tego celu, należy zapewnić dodatkowe zasoby, które: </w:t>
      </w:r>
    </w:p>
    <w:p w14:paraId="62A716DF" w14:textId="3F64CF60"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b/>
          <w:noProof/>
        </w:rPr>
        <w:t>umożliwią rekrutowanie oddelegowanych ekspertów krajowych</w:t>
      </w:r>
      <w:r w:rsidR="00FF009C" w:rsidRPr="00FF009C">
        <w:rPr>
          <w:b/>
          <w:noProof/>
        </w:rPr>
        <w:t xml:space="preserve"> w</w:t>
      </w:r>
      <w:r w:rsidR="00FF009C">
        <w:rPr>
          <w:b/>
          <w:noProof/>
        </w:rPr>
        <w:t> </w:t>
      </w:r>
      <w:r w:rsidR="00FF009C" w:rsidRPr="00FF009C">
        <w:rPr>
          <w:b/>
          <w:noProof/>
        </w:rPr>
        <w:t>per</w:t>
      </w:r>
      <w:r w:rsidRPr="00FF009C">
        <w:rPr>
          <w:b/>
          <w:noProof/>
        </w:rPr>
        <w:t>spektywie krótkoterminowej</w:t>
      </w:r>
      <w:r w:rsidRPr="00FF009C">
        <w:rPr>
          <w:rStyle w:val="FootnoteReference0"/>
          <w:noProof/>
        </w:rPr>
        <w:footnoteReference w:id="33"/>
      </w:r>
      <w:r w:rsidRPr="00FF009C">
        <w:rPr>
          <w:noProof/>
        </w:rPr>
        <w:t xml:space="preserve"> na potrzeby wspierania postępowań przygotowawczych prowadzonych przez państwa członkowskie</w:t>
      </w:r>
      <w:r w:rsidR="00FF009C" w:rsidRPr="00FF009C">
        <w:rPr>
          <w:noProof/>
        </w:rPr>
        <w:t xml:space="preserve"> w</w:t>
      </w:r>
      <w:r w:rsidR="00FF009C">
        <w:rPr>
          <w:noProof/>
        </w:rPr>
        <w:t> </w:t>
      </w:r>
      <w:r w:rsidR="00FF009C" w:rsidRPr="00FF009C">
        <w:rPr>
          <w:noProof/>
        </w:rPr>
        <w:t>ram</w:t>
      </w:r>
      <w:r w:rsidRPr="00FF009C">
        <w:rPr>
          <w:noProof/>
        </w:rPr>
        <w:t>ach operacyjnych grup zadaniowych</w:t>
      </w:r>
      <w:r w:rsidR="00FF009C" w:rsidRPr="00FF009C">
        <w:rPr>
          <w:noProof/>
        </w:rPr>
        <w:t xml:space="preserve"> i</w:t>
      </w:r>
      <w:r w:rsidR="00FF009C">
        <w:rPr>
          <w:noProof/>
        </w:rPr>
        <w:t> </w:t>
      </w:r>
      <w:r w:rsidR="00FF009C" w:rsidRPr="00FF009C">
        <w:rPr>
          <w:noProof/>
        </w:rPr>
        <w:t>dot</w:t>
      </w:r>
      <w:r w:rsidRPr="00FF009C">
        <w:rPr>
          <w:noProof/>
        </w:rPr>
        <w:t>yczących zorganizowanego przemytu migrantów oraz powiązanych przestępstw</w:t>
      </w:r>
      <w:r w:rsidR="00FF009C" w:rsidRPr="00FF009C">
        <w:rPr>
          <w:noProof/>
        </w:rPr>
        <w:t xml:space="preserve"> z</w:t>
      </w:r>
      <w:r w:rsidR="00FF009C">
        <w:rPr>
          <w:noProof/>
        </w:rPr>
        <w:t> </w:t>
      </w:r>
      <w:r w:rsidR="00FF009C" w:rsidRPr="00FF009C">
        <w:rPr>
          <w:noProof/>
        </w:rPr>
        <w:t>sie</w:t>
      </w:r>
      <w:r w:rsidRPr="00FF009C">
        <w:rPr>
          <w:noProof/>
        </w:rPr>
        <w:t>dziby głównej Europolu</w:t>
      </w:r>
      <w:r w:rsidR="00FF009C" w:rsidRPr="00FF009C">
        <w:rPr>
          <w:noProof/>
        </w:rPr>
        <w:t xml:space="preserve"> i</w:t>
      </w:r>
      <w:r w:rsidR="00FF009C">
        <w:rPr>
          <w:noProof/>
        </w:rPr>
        <w:t> </w:t>
      </w:r>
      <w:r w:rsidR="00FF009C" w:rsidRPr="00FF009C">
        <w:rPr>
          <w:noProof/>
        </w:rPr>
        <w:t>w</w:t>
      </w:r>
      <w:r w:rsidR="00FF009C">
        <w:rPr>
          <w:noProof/>
        </w:rPr>
        <w:t> </w:t>
      </w:r>
      <w:r w:rsidR="00FF009C" w:rsidRPr="00FF009C">
        <w:rPr>
          <w:noProof/>
        </w:rPr>
        <w:t>pań</w:t>
      </w:r>
      <w:r w:rsidRPr="00FF009C">
        <w:rPr>
          <w:noProof/>
        </w:rPr>
        <w:t>stwach pochodzenia</w:t>
      </w:r>
      <w:r w:rsidR="00FF009C" w:rsidRPr="00FF009C">
        <w:rPr>
          <w:noProof/>
        </w:rPr>
        <w:t xml:space="preserve"> i</w:t>
      </w:r>
      <w:r w:rsidR="00FF009C">
        <w:rPr>
          <w:noProof/>
        </w:rPr>
        <w:t> </w:t>
      </w:r>
      <w:r w:rsidR="00FF009C" w:rsidRPr="00FF009C">
        <w:rPr>
          <w:noProof/>
        </w:rPr>
        <w:t>tra</w:t>
      </w:r>
      <w:r w:rsidRPr="00FF009C">
        <w:rPr>
          <w:noProof/>
        </w:rPr>
        <w:t>nzytu oraz</w:t>
      </w:r>
      <w:r w:rsidR="00FF009C" w:rsidRPr="00FF009C">
        <w:rPr>
          <w:noProof/>
        </w:rPr>
        <w:t xml:space="preserve"> w</w:t>
      </w:r>
      <w:r w:rsidR="00FF009C">
        <w:rPr>
          <w:noProof/>
        </w:rPr>
        <w:t> </w:t>
      </w:r>
      <w:r w:rsidR="00FF009C" w:rsidRPr="00FF009C">
        <w:rPr>
          <w:noProof/>
        </w:rPr>
        <w:t>pań</w:t>
      </w:r>
      <w:r w:rsidRPr="00FF009C">
        <w:rPr>
          <w:noProof/>
        </w:rPr>
        <w:t>stwach przyjmujących, uwzględniając zarówno państwa członkowskie, jak</w:t>
      </w:r>
      <w:r w:rsidR="00FF009C" w:rsidRPr="00FF009C">
        <w:rPr>
          <w:noProof/>
        </w:rPr>
        <w:t xml:space="preserve"> i</w:t>
      </w:r>
      <w:r w:rsidR="00FF009C">
        <w:rPr>
          <w:noProof/>
        </w:rPr>
        <w:t> </w:t>
      </w:r>
      <w:r w:rsidR="00FF009C" w:rsidRPr="00FF009C">
        <w:rPr>
          <w:noProof/>
        </w:rPr>
        <w:t>pań</w:t>
      </w:r>
      <w:r w:rsidRPr="00FF009C">
        <w:rPr>
          <w:noProof/>
        </w:rPr>
        <w:t>stwa trzecie;</w:t>
      </w:r>
    </w:p>
    <w:p w14:paraId="3F2552BD" w14:textId="4FDE93E4"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b/>
          <w:noProof/>
        </w:rPr>
        <w:t>zasilą budżet przeznaczony na rozmieszczenia, aby umożliwić rozmieszczanie pracowników Europolu</w:t>
      </w:r>
      <w:r w:rsidR="00FF009C" w:rsidRPr="00FF009C">
        <w:rPr>
          <w:b/>
          <w:noProof/>
        </w:rPr>
        <w:t xml:space="preserve"> i</w:t>
      </w:r>
      <w:r w:rsidR="00FF009C">
        <w:rPr>
          <w:b/>
          <w:noProof/>
        </w:rPr>
        <w:t> </w:t>
      </w:r>
      <w:r w:rsidR="00FF009C" w:rsidRPr="00FF009C">
        <w:rPr>
          <w:b/>
          <w:noProof/>
        </w:rPr>
        <w:t>zap</w:t>
      </w:r>
      <w:r w:rsidRPr="00FF009C">
        <w:rPr>
          <w:b/>
          <w:noProof/>
        </w:rPr>
        <w:t>roszonych funkcjonariuszy</w:t>
      </w:r>
      <w:r w:rsidR="00FF009C" w:rsidRPr="00FF009C">
        <w:rPr>
          <w:noProof/>
        </w:rPr>
        <w:t xml:space="preserve"> w</w:t>
      </w:r>
      <w:r w:rsidR="00FF009C">
        <w:rPr>
          <w:noProof/>
        </w:rPr>
        <w:t> </w:t>
      </w:r>
      <w:r w:rsidR="00FF009C" w:rsidRPr="00FF009C">
        <w:rPr>
          <w:noProof/>
        </w:rPr>
        <w:t>ram</w:t>
      </w:r>
      <w:r w:rsidRPr="00FF009C">
        <w:rPr>
          <w:noProof/>
        </w:rPr>
        <w:t xml:space="preserve">ach wsparcia operacyjnego; </w:t>
      </w:r>
    </w:p>
    <w:p w14:paraId="15E3E6EB" w14:textId="2443B3C5"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b/>
          <w:noProof/>
        </w:rPr>
        <w:t>zasilą budżet przeznaczony na dotacje na rzecz operacyjnych grup zadaniowych</w:t>
      </w:r>
      <w:r w:rsidRPr="00FF009C">
        <w:rPr>
          <w:rStyle w:val="FootnoteReference0"/>
          <w:noProof/>
        </w:rPr>
        <w:footnoteReference w:id="34"/>
      </w:r>
      <w:r w:rsidRPr="00FF009C">
        <w:rPr>
          <w:noProof/>
        </w:rPr>
        <w:t>;</w:t>
      </w:r>
      <w:r w:rsidR="00FF009C" w:rsidRPr="00FF009C">
        <w:rPr>
          <w:noProof/>
        </w:rPr>
        <w:t xml:space="preserve"> </w:t>
      </w:r>
    </w:p>
    <w:p w14:paraId="631E7912" w14:textId="41BD1A49"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b/>
          <w:noProof/>
        </w:rPr>
        <w:t>zasilą budżet EMPACT</w:t>
      </w:r>
      <w:r w:rsidR="00FF009C" w:rsidRPr="00FF009C">
        <w:rPr>
          <w:noProof/>
        </w:rPr>
        <w:t xml:space="preserve"> w</w:t>
      </w:r>
      <w:r w:rsidR="00FF009C">
        <w:rPr>
          <w:noProof/>
        </w:rPr>
        <w:t> </w:t>
      </w:r>
      <w:r w:rsidR="00FF009C" w:rsidRPr="00FF009C">
        <w:rPr>
          <w:noProof/>
        </w:rPr>
        <w:t>ram</w:t>
      </w:r>
      <w:r w:rsidRPr="00FF009C">
        <w:rPr>
          <w:noProof/>
        </w:rPr>
        <w:t>ach budżetu Europolu, aby umożliwić zwiększenie wsparcia udostępnianego za pośrednictwem dotacji</w:t>
      </w:r>
      <w:r w:rsidR="00FF009C" w:rsidRPr="00FF009C">
        <w:rPr>
          <w:noProof/>
        </w:rPr>
        <w:t xml:space="preserve"> o</w:t>
      </w:r>
      <w:r w:rsidR="00FF009C">
        <w:rPr>
          <w:noProof/>
        </w:rPr>
        <w:t> </w:t>
      </w:r>
      <w:r w:rsidR="00FF009C" w:rsidRPr="00FF009C">
        <w:rPr>
          <w:noProof/>
        </w:rPr>
        <w:t>wys</w:t>
      </w:r>
      <w:r w:rsidRPr="00FF009C">
        <w:rPr>
          <w:noProof/>
        </w:rPr>
        <w:t>okiej wartości</w:t>
      </w:r>
      <w:r w:rsidR="00FF009C" w:rsidRPr="00FF009C">
        <w:rPr>
          <w:noProof/>
        </w:rPr>
        <w:t xml:space="preserve"> i</w:t>
      </w:r>
      <w:r w:rsidR="00FF009C">
        <w:rPr>
          <w:noProof/>
        </w:rPr>
        <w:t> </w:t>
      </w:r>
      <w:r w:rsidR="00FF009C" w:rsidRPr="00FF009C">
        <w:rPr>
          <w:noProof/>
        </w:rPr>
        <w:t>dot</w:t>
      </w:r>
      <w:r w:rsidRPr="00FF009C">
        <w:rPr>
          <w:noProof/>
        </w:rPr>
        <w:t>acji</w:t>
      </w:r>
      <w:r w:rsidR="00FF009C" w:rsidRPr="00FF009C">
        <w:rPr>
          <w:noProof/>
        </w:rPr>
        <w:t xml:space="preserve"> o</w:t>
      </w:r>
      <w:r w:rsidR="00FF009C">
        <w:rPr>
          <w:noProof/>
        </w:rPr>
        <w:t> </w:t>
      </w:r>
      <w:r w:rsidR="00FF009C" w:rsidRPr="00FF009C">
        <w:rPr>
          <w:noProof/>
        </w:rPr>
        <w:t>nis</w:t>
      </w:r>
      <w:r w:rsidRPr="00FF009C">
        <w:rPr>
          <w:noProof/>
        </w:rPr>
        <w:t>kiej wartości</w:t>
      </w:r>
      <w:r w:rsidRPr="00FF009C">
        <w:rPr>
          <w:rStyle w:val="FootnoteReference0"/>
          <w:noProof/>
        </w:rPr>
        <w:footnoteReference w:id="35"/>
      </w:r>
      <w:r w:rsidRPr="00FF009C">
        <w:rPr>
          <w:noProof/>
        </w:rPr>
        <w:t xml:space="preserve"> oraz pokryć koszty organizacji posiedzeń strategicznych</w:t>
      </w:r>
      <w:r w:rsidR="00FF009C" w:rsidRPr="00FF009C">
        <w:rPr>
          <w:noProof/>
        </w:rPr>
        <w:t xml:space="preserve"> i</w:t>
      </w:r>
      <w:r w:rsidR="00FF009C">
        <w:rPr>
          <w:noProof/>
        </w:rPr>
        <w:t> </w:t>
      </w:r>
      <w:r w:rsidR="00FF009C" w:rsidRPr="00FF009C">
        <w:rPr>
          <w:noProof/>
        </w:rPr>
        <w:t>ope</w:t>
      </w:r>
      <w:r w:rsidRPr="00FF009C">
        <w:rPr>
          <w:noProof/>
        </w:rPr>
        <w:t>racyjnych dotyczących działań podejmowanych</w:t>
      </w:r>
      <w:r w:rsidR="00FF009C" w:rsidRPr="00FF009C">
        <w:rPr>
          <w:noProof/>
        </w:rPr>
        <w:t xml:space="preserve"> w</w:t>
      </w:r>
      <w:r w:rsidR="00FF009C">
        <w:rPr>
          <w:noProof/>
        </w:rPr>
        <w:t> </w:t>
      </w:r>
      <w:r w:rsidR="00FF009C" w:rsidRPr="00FF009C">
        <w:rPr>
          <w:noProof/>
        </w:rPr>
        <w:t>ram</w:t>
      </w:r>
      <w:r w:rsidRPr="00FF009C">
        <w:rPr>
          <w:noProof/>
        </w:rPr>
        <w:t>ach planów działań operacyjnych EMPACT przyjmowanych przez Radę</w:t>
      </w:r>
      <w:r w:rsidR="00FF009C" w:rsidRPr="00FF009C">
        <w:rPr>
          <w:noProof/>
        </w:rPr>
        <w:t xml:space="preserve"> w</w:t>
      </w:r>
      <w:r w:rsidR="00FF009C">
        <w:rPr>
          <w:noProof/>
        </w:rPr>
        <w:t> </w:t>
      </w:r>
      <w:r w:rsidR="00FF009C" w:rsidRPr="00FF009C">
        <w:rPr>
          <w:noProof/>
        </w:rPr>
        <w:t>cel</w:t>
      </w:r>
      <w:r w:rsidRPr="00FF009C">
        <w:rPr>
          <w:noProof/>
        </w:rPr>
        <w:t>u zwalczania siatek przestępczych (wysokiego ryzyka) parających się przemytem migrantów</w:t>
      </w:r>
      <w:r w:rsidR="00FF009C" w:rsidRPr="00FF009C">
        <w:rPr>
          <w:noProof/>
        </w:rPr>
        <w:t xml:space="preserve"> i</w:t>
      </w:r>
      <w:r w:rsidR="00FF009C">
        <w:rPr>
          <w:noProof/>
        </w:rPr>
        <w:t> </w:t>
      </w:r>
      <w:r w:rsidR="00FF009C" w:rsidRPr="00FF009C">
        <w:rPr>
          <w:noProof/>
        </w:rPr>
        <w:t>han</w:t>
      </w:r>
      <w:r w:rsidRPr="00FF009C">
        <w:rPr>
          <w:noProof/>
        </w:rPr>
        <w:t>dlem ludźmi oraz zakłócania ich funkcjonowania,</w:t>
      </w:r>
      <w:r w:rsidR="00FF009C" w:rsidRPr="00FF009C">
        <w:rPr>
          <w:noProof/>
        </w:rPr>
        <w:t xml:space="preserve"> a</w:t>
      </w:r>
      <w:r w:rsidR="00FF009C">
        <w:rPr>
          <w:noProof/>
        </w:rPr>
        <w:t> </w:t>
      </w:r>
      <w:r w:rsidR="00FF009C" w:rsidRPr="00FF009C">
        <w:rPr>
          <w:noProof/>
        </w:rPr>
        <w:t>tak</w:t>
      </w:r>
      <w:r w:rsidRPr="00FF009C">
        <w:rPr>
          <w:noProof/>
        </w:rPr>
        <w:t>że</w:t>
      </w:r>
      <w:r w:rsidR="00FF009C" w:rsidRPr="00FF009C">
        <w:rPr>
          <w:noProof/>
        </w:rPr>
        <w:t xml:space="preserve"> w</w:t>
      </w:r>
      <w:r w:rsidR="00FF009C">
        <w:rPr>
          <w:noProof/>
        </w:rPr>
        <w:t> </w:t>
      </w:r>
      <w:r w:rsidR="00FF009C" w:rsidRPr="00FF009C">
        <w:rPr>
          <w:noProof/>
        </w:rPr>
        <w:t>cel</w:t>
      </w:r>
      <w:r w:rsidRPr="00FF009C">
        <w:rPr>
          <w:noProof/>
        </w:rPr>
        <w:t>u zwalczania innych stosownych rodzajów przestępstw oraz przestępstw ułatwiających popełnianie innych przestępstw.</w:t>
      </w:r>
    </w:p>
    <w:p w14:paraId="23178E1E" w14:textId="25D7B842" w:rsidR="00AB4A6F" w:rsidRPr="00FF009C" w:rsidRDefault="00AB4A6F">
      <w:pPr>
        <w:pStyle w:val="ManualHeading3"/>
        <w:rPr>
          <w:noProof/>
        </w:rPr>
      </w:pPr>
      <w:bookmarkStart w:id="21" w:name="_Toc514938666"/>
      <w:bookmarkStart w:id="22" w:name="_Toc155952148"/>
      <w:r w:rsidRPr="00FF009C">
        <w:rPr>
          <w:noProof/>
        </w:rPr>
        <w:t>1.4.3.</w:t>
      </w:r>
      <w:r w:rsidRPr="00FF009C">
        <w:rPr>
          <w:noProof/>
        </w:rPr>
        <w:tab/>
        <w:t>Oczekiwane wyniki</w:t>
      </w:r>
      <w:r w:rsidR="00FF009C" w:rsidRPr="00FF009C">
        <w:rPr>
          <w:noProof/>
        </w:rPr>
        <w:t xml:space="preserve"> i</w:t>
      </w:r>
      <w:r w:rsidR="00FF009C">
        <w:rPr>
          <w:noProof/>
        </w:rPr>
        <w:t> </w:t>
      </w:r>
      <w:r w:rsidR="00FF009C" w:rsidRPr="00FF009C">
        <w:rPr>
          <w:noProof/>
        </w:rPr>
        <w:t>wpł</w:t>
      </w:r>
      <w:r w:rsidRPr="00FF009C">
        <w:rPr>
          <w:noProof/>
        </w:rPr>
        <w:t>yw</w:t>
      </w:r>
      <w:bookmarkEnd w:id="21"/>
      <w:bookmarkEnd w:id="22"/>
    </w:p>
    <w:p w14:paraId="59B3E1EC" w14:textId="77777777" w:rsidR="00AB4A6F" w:rsidRPr="00FF009C" w:rsidRDefault="00AB4A6F" w:rsidP="00AB4A6F">
      <w:pPr>
        <w:pStyle w:val="Text1"/>
        <w:rPr>
          <w:i/>
          <w:noProof/>
          <w:sz w:val="20"/>
        </w:rPr>
      </w:pPr>
      <w:r w:rsidRPr="00FF009C">
        <w:rPr>
          <w:i/>
          <w:noProof/>
          <w:sz w:val="20"/>
        </w:rPr>
        <w:t>Należy wskazać, jakie efekty przyniesie wniosek/inicjatywa beneficjentom/grupie docelowej.</w:t>
      </w:r>
    </w:p>
    <w:p w14:paraId="64EF1072" w14:textId="21CE5819" w:rsidR="00AB4A6F" w:rsidRPr="00FF009C" w:rsidRDefault="00AB4A6F" w:rsidP="00AB4A6F">
      <w:pPr>
        <w:pStyle w:val="Text1"/>
        <w:pBdr>
          <w:top w:val="single" w:sz="4" w:space="1" w:color="000000"/>
          <w:left w:val="single" w:sz="4" w:space="4" w:color="000000"/>
          <w:bottom w:val="single" w:sz="4" w:space="1" w:color="000000"/>
          <w:right w:val="single" w:sz="4" w:space="4" w:color="000000"/>
        </w:pBdr>
        <w:rPr>
          <w:noProof/>
        </w:rPr>
      </w:pPr>
      <w:r w:rsidRPr="00FF009C">
        <w:rPr>
          <w:noProof/>
        </w:rPr>
        <w:t>Dzięki przyczynieniu się do zakłócania funkcjonowania przestępczych działalności gospodarczych</w:t>
      </w:r>
      <w:r w:rsidR="00FF009C" w:rsidRPr="00FF009C">
        <w:rPr>
          <w:noProof/>
        </w:rPr>
        <w:t xml:space="preserve"> i</w:t>
      </w:r>
      <w:r w:rsidR="00FF009C">
        <w:rPr>
          <w:noProof/>
        </w:rPr>
        <w:t> </w:t>
      </w:r>
      <w:r w:rsidR="00FF009C" w:rsidRPr="00FF009C">
        <w:rPr>
          <w:noProof/>
        </w:rPr>
        <w:t>str</w:t>
      </w:r>
      <w:r w:rsidRPr="00FF009C">
        <w:rPr>
          <w:noProof/>
        </w:rPr>
        <w:t>uktur przestępczości zorganizowanej niniejszy wniosek pozwoli zapobiec ofiarom wśród migrantów, ograniczy skalę niebezpiecznej migracji nieuregulowanej oraz usprawni proces wdrażania zrównoważonej unijnej polityki migracyjnej,</w:t>
      </w:r>
      <w:r w:rsidR="00FF009C" w:rsidRPr="00FF009C">
        <w:rPr>
          <w:noProof/>
        </w:rPr>
        <w:t xml:space="preserve"> a</w:t>
      </w:r>
      <w:r w:rsidR="00FF009C">
        <w:rPr>
          <w:noProof/>
        </w:rPr>
        <w:t> </w:t>
      </w:r>
      <w:r w:rsidR="00FF009C" w:rsidRPr="00FF009C">
        <w:rPr>
          <w:noProof/>
        </w:rPr>
        <w:t>tak</w:t>
      </w:r>
      <w:r w:rsidRPr="00FF009C">
        <w:rPr>
          <w:noProof/>
        </w:rPr>
        <w:t>że wniesie wkład</w:t>
      </w:r>
      <w:r w:rsidR="00FF009C" w:rsidRPr="00FF009C">
        <w:rPr>
          <w:noProof/>
        </w:rPr>
        <w:t xml:space="preserve"> w</w:t>
      </w:r>
      <w:r w:rsidR="00FF009C">
        <w:rPr>
          <w:noProof/>
        </w:rPr>
        <w:t> </w:t>
      </w:r>
      <w:r w:rsidR="00FF009C" w:rsidRPr="00FF009C">
        <w:rPr>
          <w:noProof/>
        </w:rPr>
        <w:t>prz</w:t>
      </w:r>
      <w:r w:rsidRPr="00FF009C">
        <w:rPr>
          <w:noProof/>
        </w:rPr>
        <w:t xml:space="preserve">eciwdziałanie wykorzystywaniu ludzi. </w:t>
      </w:r>
    </w:p>
    <w:p w14:paraId="4256CCF7" w14:textId="687A8454"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Wniosek przyniesie korzyści także osobom fizycznym</w:t>
      </w:r>
      <w:r w:rsidR="00FF009C" w:rsidRPr="00FF009C">
        <w:rPr>
          <w:noProof/>
        </w:rPr>
        <w:t xml:space="preserve"> i</w:t>
      </w:r>
      <w:r w:rsidR="00FF009C">
        <w:rPr>
          <w:noProof/>
        </w:rPr>
        <w:t> </w:t>
      </w:r>
      <w:r w:rsidR="00FF009C" w:rsidRPr="00FF009C">
        <w:rPr>
          <w:noProof/>
        </w:rPr>
        <w:t>cał</w:t>
      </w:r>
      <w:r w:rsidRPr="00FF009C">
        <w:rPr>
          <w:noProof/>
        </w:rPr>
        <w:t>emu społeczeństwu, ponieważ zapewni Europolowi możliwość lepszego wsparcia państw członkowskich</w:t>
      </w:r>
      <w:r w:rsidR="00FF009C" w:rsidRPr="00FF009C">
        <w:rPr>
          <w:noProof/>
        </w:rPr>
        <w:t xml:space="preserve"> w</w:t>
      </w:r>
      <w:r w:rsidR="00FF009C">
        <w:rPr>
          <w:noProof/>
        </w:rPr>
        <w:t> </w:t>
      </w:r>
      <w:r w:rsidR="00FF009C" w:rsidRPr="00FF009C">
        <w:rPr>
          <w:noProof/>
        </w:rPr>
        <w:t>wal</w:t>
      </w:r>
      <w:r w:rsidRPr="00FF009C">
        <w:rPr>
          <w:noProof/>
        </w:rPr>
        <w:t>ce</w:t>
      </w:r>
      <w:r w:rsidR="00FF009C" w:rsidRPr="00FF009C">
        <w:rPr>
          <w:noProof/>
        </w:rPr>
        <w:t xml:space="preserve"> z</w:t>
      </w:r>
      <w:r w:rsidR="00FF009C">
        <w:rPr>
          <w:noProof/>
        </w:rPr>
        <w:t> </w:t>
      </w:r>
      <w:r w:rsidR="00FF009C" w:rsidRPr="00FF009C">
        <w:rPr>
          <w:noProof/>
        </w:rPr>
        <w:t>prz</w:t>
      </w:r>
      <w:r w:rsidRPr="00FF009C">
        <w:rPr>
          <w:noProof/>
        </w:rPr>
        <w:t>estępczością oraz</w:t>
      </w:r>
      <w:r w:rsidR="00FF009C" w:rsidRPr="00FF009C">
        <w:rPr>
          <w:noProof/>
        </w:rPr>
        <w:t xml:space="preserve"> w</w:t>
      </w:r>
      <w:r w:rsidR="00FF009C">
        <w:rPr>
          <w:noProof/>
        </w:rPr>
        <w:t> </w:t>
      </w:r>
      <w:r w:rsidR="00FF009C" w:rsidRPr="00FF009C">
        <w:rPr>
          <w:noProof/>
        </w:rPr>
        <w:t>zap</w:t>
      </w:r>
      <w:r w:rsidRPr="00FF009C">
        <w:rPr>
          <w:noProof/>
        </w:rPr>
        <w:t xml:space="preserve">ewnianiu ochrony obywatelom Unii. </w:t>
      </w:r>
    </w:p>
    <w:p w14:paraId="1701FA9F" w14:textId="767AD199"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Wniosek przyczyni się do utworzenia korzyści skali dla administracji, ponieważ wpływ na zasoby wynikający</w:t>
      </w:r>
      <w:r w:rsidR="00FF009C" w:rsidRPr="00FF009C">
        <w:rPr>
          <w:noProof/>
        </w:rPr>
        <w:t xml:space="preserve"> z</w:t>
      </w:r>
      <w:r w:rsidR="00FF009C">
        <w:rPr>
          <w:noProof/>
        </w:rPr>
        <w:t> </w:t>
      </w:r>
      <w:r w:rsidR="00FF009C" w:rsidRPr="00FF009C">
        <w:rPr>
          <w:noProof/>
        </w:rPr>
        <w:t>rea</w:t>
      </w:r>
      <w:r w:rsidRPr="00FF009C">
        <w:rPr>
          <w:noProof/>
        </w:rPr>
        <w:t>lizacji działań będących celem wniosku zostanie przeniesiony ze szczebla krajowego na szczebel UE. Organy publiczne</w:t>
      </w:r>
      <w:r w:rsidR="00FF009C" w:rsidRPr="00FF009C">
        <w:rPr>
          <w:noProof/>
        </w:rPr>
        <w:t xml:space="preserve"> w</w:t>
      </w:r>
      <w:r w:rsidR="00FF009C">
        <w:rPr>
          <w:noProof/>
        </w:rPr>
        <w:t> </w:t>
      </w:r>
      <w:r w:rsidR="00FF009C" w:rsidRPr="00FF009C">
        <w:rPr>
          <w:noProof/>
        </w:rPr>
        <w:t>pań</w:t>
      </w:r>
      <w:r w:rsidRPr="00FF009C">
        <w:rPr>
          <w:noProof/>
        </w:rPr>
        <w:t>stwach członkowskich odczują bezpośrednie korzyści</w:t>
      </w:r>
      <w:r w:rsidR="00FF009C" w:rsidRPr="00FF009C">
        <w:rPr>
          <w:noProof/>
        </w:rPr>
        <w:t xml:space="preserve"> z</w:t>
      </w:r>
      <w:r w:rsidR="00FF009C">
        <w:rPr>
          <w:noProof/>
        </w:rPr>
        <w:t> </w:t>
      </w:r>
      <w:r w:rsidR="00FF009C" w:rsidRPr="00FF009C">
        <w:rPr>
          <w:noProof/>
        </w:rPr>
        <w:t>prz</w:t>
      </w:r>
      <w:r w:rsidRPr="00FF009C">
        <w:rPr>
          <w:noProof/>
        </w:rPr>
        <w:t xml:space="preserve">yjęcia wniosku dzięki korzyściom skali, które pozwolą na oszczędności kosztów administracyjnych. </w:t>
      </w:r>
    </w:p>
    <w:p w14:paraId="41F865E7" w14:textId="77777777"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p>
    <w:p w14:paraId="716A14F9" w14:textId="77777777" w:rsidR="00AB4A6F" w:rsidRPr="00FF009C" w:rsidRDefault="00AB4A6F">
      <w:pPr>
        <w:pStyle w:val="ManualHeading3"/>
        <w:rPr>
          <w:noProof/>
        </w:rPr>
      </w:pPr>
      <w:bookmarkStart w:id="23" w:name="_Toc514938667"/>
      <w:bookmarkStart w:id="24" w:name="_Toc155952149"/>
      <w:r w:rsidRPr="00FF009C">
        <w:rPr>
          <w:noProof/>
        </w:rPr>
        <w:t>1.4.4.</w:t>
      </w:r>
      <w:r w:rsidRPr="00FF009C">
        <w:rPr>
          <w:noProof/>
        </w:rPr>
        <w:tab/>
        <w:t>Wskaźniki dotyczące realizacji celów</w:t>
      </w:r>
      <w:bookmarkEnd w:id="23"/>
      <w:bookmarkEnd w:id="24"/>
      <w:r w:rsidRPr="00FF009C">
        <w:rPr>
          <w:noProof/>
        </w:rPr>
        <w:t xml:space="preserve"> </w:t>
      </w:r>
    </w:p>
    <w:p w14:paraId="0DB38E4B" w14:textId="427F859F" w:rsidR="00AB4A6F" w:rsidRPr="00FF009C" w:rsidRDefault="00AB4A6F" w:rsidP="00AB4A6F">
      <w:pPr>
        <w:pStyle w:val="Text1"/>
        <w:rPr>
          <w:i/>
          <w:noProof/>
          <w:sz w:val="20"/>
        </w:rPr>
      </w:pPr>
      <w:r w:rsidRPr="00FF009C">
        <w:rPr>
          <w:i/>
          <w:noProof/>
          <w:sz w:val="20"/>
        </w:rPr>
        <w:t>Należy wskazać wskaźniki stosowane do monitorowania postępów</w:t>
      </w:r>
      <w:r w:rsidR="00FF009C" w:rsidRPr="00FF009C">
        <w:rPr>
          <w:i/>
          <w:noProof/>
          <w:sz w:val="20"/>
        </w:rPr>
        <w:t xml:space="preserve"> i</w:t>
      </w:r>
      <w:r w:rsidR="00FF009C">
        <w:rPr>
          <w:i/>
          <w:noProof/>
          <w:sz w:val="20"/>
        </w:rPr>
        <w:t> </w:t>
      </w:r>
      <w:r w:rsidR="00FF009C" w:rsidRPr="00FF009C">
        <w:rPr>
          <w:i/>
          <w:noProof/>
          <w:sz w:val="20"/>
        </w:rPr>
        <w:t>osi</w:t>
      </w:r>
      <w:r w:rsidRPr="00FF009C">
        <w:rPr>
          <w:i/>
          <w:noProof/>
          <w:sz w:val="20"/>
        </w:rPr>
        <w:t>ągnięć.</w:t>
      </w:r>
    </w:p>
    <w:p w14:paraId="3C669436" w14:textId="51B8DD3C" w:rsidR="00AB4A6F" w:rsidRPr="00FF009C" w:rsidRDefault="00AB4A6F" w:rsidP="00AB4A6F">
      <w:pPr>
        <w:pStyle w:val="Text1"/>
        <w:pBdr>
          <w:top w:val="single" w:sz="4" w:space="1" w:color="auto"/>
          <w:left w:val="single" w:sz="4" w:space="1" w:color="auto"/>
          <w:bottom w:val="single" w:sz="4" w:space="1" w:color="auto"/>
          <w:right w:val="single" w:sz="4" w:space="1" w:color="auto"/>
        </w:pBdr>
        <w:rPr>
          <w:b/>
          <w:bCs/>
          <w:noProof/>
        </w:rPr>
      </w:pPr>
      <w:r w:rsidRPr="00FF009C">
        <w:rPr>
          <w:b/>
          <w:noProof/>
        </w:rPr>
        <w:t>Cel szczegółowy nr</w:t>
      </w:r>
      <w:r w:rsidR="00FF009C" w:rsidRPr="00FF009C">
        <w:rPr>
          <w:b/>
          <w:noProof/>
        </w:rPr>
        <w:t> </w:t>
      </w:r>
      <w:r w:rsidRPr="00FF009C">
        <w:rPr>
          <w:b/>
          <w:noProof/>
        </w:rPr>
        <w:t>1: zwiększenie roli Europolu</w:t>
      </w:r>
      <w:r w:rsidR="00FF009C" w:rsidRPr="00FF009C">
        <w:rPr>
          <w:b/>
          <w:noProof/>
        </w:rPr>
        <w:t xml:space="preserve"> i</w:t>
      </w:r>
      <w:r w:rsidR="00FF009C">
        <w:rPr>
          <w:b/>
          <w:noProof/>
        </w:rPr>
        <w:t> </w:t>
      </w:r>
      <w:r w:rsidR="00FF009C" w:rsidRPr="00FF009C">
        <w:rPr>
          <w:b/>
          <w:noProof/>
        </w:rPr>
        <w:t>jeg</w:t>
      </w:r>
      <w:r w:rsidRPr="00FF009C">
        <w:rPr>
          <w:b/>
          <w:noProof/>
        </w:rPr>
        <w:t>o Europejskiego Centrum Zwalczania Przemytu Migrantów jako środka ciężkości dla działań procesowych</w:t>
      </w:r>
      <w:r w:rsidR="00FF009C" w:rsidRPr="00FF009C">
        <w:rPr>
          <w:b/>
          <w:noProof/>
        </w:rPr>
        <w:t xml:space="preserve"> i</w:t>
      </w:r>
      <w:r w:rsidR="00FF009C">
        <w:rPr>
          <w:b/>
          <w:noProof/>
        </w:rPr>
        <w:t> </w:t>
      </w:r>
      <w:r w:rsidR="00FF009C" w:rsidRPr="00FF009C">
        <w:rPr>
          <w:b/>
          <w:noProof/>
        </w:rPr>
        <w:t>ope</w:t>
      </w:r>
      <w:r w:rsidRPr="00FF009C">
        <w:rPr>
          <w:b/>
          <w:noProof/>
        </w:rPr>
        <w:t>racyjnych oraz analiz strategicznych przeprowadzanych na szczeblu UE</w:t>
      </w:r>
    </w:p>
    <w:p w14:paraId="4650A19A" w14:textId="7317EB4C" w:rsidR="00AB4A6F" w:rsidRPr="00FF009C" w:rsidRDefault="00AB4A6F" w:rsidP="00AB4A6F">
      <w:pPr>
        <w:pStyle w:val="Text1"/>
        <w:pBdr>
          <w:top w:val="single" w:sz="4" w:space="1" w:color="auto"/>
          <w:left w:val="single" w:sz="4" w:space="1" w:color="auto"/>
          <w:bottom w:val="single" w:sz="4" w:space="1" w:color="auto"/>
          <w:right w:val="single" w:sz="4" w:space="1" w:color="auto"/>
        </w:pBdr>
        <w:rPr>
          <w:noProof/>
        </w:rPr>
      </w:pPr>
      <w:r w:rsidRPr="00FF009C">
        <w:rPr>
          <w:noProof/>
        </w:rPr>
        <w:t>Liczba/odsetek wspólnych sprawozdań strategicznych dotyczących przemytu migrantów sporządzonych we współpracy</w:t>
      </w:r>
      <w:r w:rsidR="00FF009C" w:rsidRPr="00FF009C">
        <w:rPr>
          <w:noProof/>
        </w:rPr>
        <w:t xml:space="preserve"> z</w:t>
      </w:r>
      <w:r w:rsidR="00FF009C">
        <w:rPr>
          <w:noProof/>
        </w:rPr>
        <w:t> </w:t>
      </w:r>
      <w:r w:rsidR="00FF009C" w:rsidRPr="00FF009C">
        <w:rPr>
          <w:noProof/>
        </w:rPr>
        <w:t>inn</w:t>
      </w:r>
      <w:r w:rsidRPr="00FF009C">
        <w:rPr>
          <w:noProof/>
        </w:rPr>
        <w:t>ymi agencjami UE [wartość docelowa: 90</w:t>
      </w:r>
      <w:r w:rsidR="00FF009C" w:rsidRPr="00FF009C">
        <w:rPr>
          <w:noProof/>
        </w:rPr>
        <w:t> </w:t>
      </w:r>
      <w:r w:rsidRPr="00FF009C">
        <w:rPr>
          <w:noProof/>
        </w:rPr>
        <w:t>%]</w:t>
      </w:r>
    </w:p>
    <w:p w14:paraId="1E545D73" w14:textId="4CC73E8F" w:rsidR="00AB4A6F" w:rsidRPr="00FF009C" w:rsidRDefault="00AB4A6F" w:rsidP="00AB4A6F">
      <w:pPr>
        <w:pStyle w:val="Text1"/>
        <w:pBdr>
          <w:top w:val="single" w:sz="4" w:space="1" w:color="auto"/>
          <w:left w:val="single" w:sz="4" w:space="1" w:color="auto"/>
          <w:bottom w:val="single" w:sz="4" w:space="1" w:color="auto"/>
          <w:right w:val="single" w:sz="4" w:space="1" w:color="auto"/>
        </w:pBdr>
        <w:rPr>
          <w:noProof/>
        </w:rPr>
      </w:pPr>
      <w:r w:rsidRPr="00FF009C">
        <w:rPr>
          <w:noProof/>
        </w:rPr>
        <w:t>Liczba/odsetek wspólnych sprawozdań operacyjnych dotyczących przemytu migrantów sporządzonych we współpracy</w:t>
      </w:r>
      <w:r w:rsidR="00FF009C" w:rsidRPr="00FF009C">
        <w:rPr>
          <w:noProof/>
        </w:rPr>
        <w:t xml:space="preserve"> z</w:t>
      </w:r>
      <w:r w:rsidR="00FF009C">
        <w:rPr>
          <w:noProof/>
        </w:rPr>
        <w:t> </w:t>
      </w:r>
      <w:r w:rsidR="00FF009C" w:rsidRPr="00FF009C">
        <w:rPr>
          <w:noProof/>
        </w:rPr>
        <w:t>inn</w:t>
      </w:r>
      <w:r w:rsidRPr="00FF009C">
        <w:rPr>
          <w:noProof/>
        </w:rPr>
        <w:t>ymi agencjami UE [wartość docelowa: 70</w:t>
      </w:r>
      <w:r w:rsidR="00FF009C" w:rsidRPr="00FF009C">
        <w:rPr>
          <w:noProof/>
        </w:rPr>
        <w:t> </w:t>
      </w:r>
      <w:r w:rsidRPr="00FF009C">
        <w:rPr>
          <w:noProof/>
        </w:rPr>
        <w:t>%]</w:t>
      </w:r>
    </w:p>
    <w:p w14:paraId="2591C9B7" w14:textId="77777777" w:rsidR="00AB4A6F" w:rsidRPr="00FF009C" w:rsidRDefault="00AB4A6F" w:rsidP="00AB4A6F">
      <w:pPr>
        <w:pStyle w:val="Text1"/>
        <w:pBdr>
          <w:top w:val="single" w:sz="4" w:space="1" w:color="auto"/>
          <w:left w:val="single" w:sz="4" w:space="1" w:color="auto"/>
          <w:bottom w:val="single" w:sz="4" w:space="1" w:color="auto"/>
          <w:right w:val="single" w:sz="4" w:space="1" w:color="auto"/>
        </w:pBdr>
        <w:rPr>
          <w:noProof/>
        </w:rPr>
      </w:pPr>
      <w:r w:rsidRPr="00FF009C">
        <w:rPr>
          <w:noProof/>
        </w:rPr>
        <w:t>Liczba sprawozdań operacyjnych przekazanych przez Europejskie Centrum Zwalczania Przemytu Migrantów</w:t>
      </w:r>
    </w:p>
    <w:p w14:paraId="64F42926" w14:textId="77777777" w:rsidR="00AB4A6F" w:rsidRPr="00FF009C" w:rsidRDefault="00AB4A6F" w:rsidP="00AB4A6F">
      <w:pPr>
        <w:pStyle w:val="Text1"/>
        <w:pBdr>
          <w:top w:val="single" w:sz="4" w:space="1" w:color="auto"/>
          <w:left w:val="single" w:sz="4" w:space="1" w:color="auto"/>
          <w:bottom w:val="single" w:sz="4" w:space="1" w:color="auto"/>
          <w:right w:val="single" w:sz="4" w:space="1" w:color="auto"/>
        </w:pBdr>
        <w:rPr>
          <w:noProof/>
        </w:rPr>
      </w:pPr>
      <w:r w:rsidRPr="00FF009C">
        <w:rPr>
          <w:noProof/>
        </w:rPr>
        <w:t>Liczba operacji objętych wsparciem Europejskiego Centrum Zwalczania Przemytu Migrantów</w:t>
      </w:r>
    </w:p>
    <w:p w14:paraId="05DB9570" w14:textId="77777777" w:rsidR="00AB4A6F" w:rsidRPr="00FF009C" w:rsidRDefault="00AB4A6F" w:rsidP="00AB4A6F">
      <w:pPr>
        <w:pStyle w:val="Text1"/>
        <w:pBdr>
          <w:top w:val="single" w:sz="4" w:space="1" w:color="auto"/>
          <w:left w:val="single" w:sz="4" w:space="1" w:color="auto"/>
          <w:bottom w:val="single" w:sz="4" w:space="1" w:color="auto"/>
          <w:right w:val="single" w:sz="4" w:space="1" w:color="auto"/>
        </w:pBdr>
        <w:rPr>
          <w:noProof/>
        </w:rPr>
      </w:pPr>
    </w:p>
    <w:p w14:paraId="54009C1D" w14:textId="053FA694" w:rsidR="00AB4A6F" w:rsidRPr="00FF009C" w:rsidRDefault="00AB4A6F" w:rsidP="00AB4A6F">
      <w:pPr>
        <w:pStyle w:val="Text1"/>
        <w:pBdr>
          <w:top w:val="single" w:sz="4" w:space="1" w:color="auto"/>
          <w:left w:val="single" w:sz="4" w:space="1" w:color="auto"/>
          <w:bottom w:val="single" w:sz="4" w:space="1" w:color="auto"/>
          <w:right w:val="single" w:sz="4" w:space="1" w:color="auto"/>
        </w:pBdr>
        <w:rPr>
          <w:b/>
          <w:bCs/>
          <w:noProof/>
        </w:rPr>
      </w:pPr>
      <w:r w:rsidRPr="00FF009C">
        <w:rPr>
          <w:b/>
          <w:noProof/>
        </w:rPr>
        <w:t>Cel szczegółowy nr</w:t>
      </w:r>
      <w:r w:rsidR="00FF009C" w:rsidRPr="00FF009C">
        <w:rPr>
          <w:b/>
          <w:noProof/>
        </w:rPr>
        <w:t> </w:t>
      </w:r>
      <w:r w:rsidRPr="00FF009C">
        <w:rPr>
          <w:b/>
          <w:noProof/>
        </w:rPr>
        <w:t xml:space="preserve">2: </w:t>
      </w:r>
      <w:bookmarkStart w:id="25" w:name="_Hlk150816699"/>
      <w:r w:rsidRPr="00FF009C">
        <w:rPr>
          <w:b/>
          <w:noProof/>
        </w:rPr>
        <w:t>zacieśnianie współpracy</w:t>
      </w:r>
      <w:r w:rsidR="00FF009C" w:rsidRPr="00FF009C">
        <w:rPr>
          <w:b/>
          <w:noProof/>
        </w:rPr>
        <w:t xml:space="preserve"> i</w:t>
      </w:r>
      <w:r w:rsidR="00FF009C">
        <w:rPr>
          <w:b/>
          <w:noProof/>
        </w:rPr>
        <w:t> </w:t>
      </w:r>
      <w:r w:rsidR="00FF009C" w:rsidRPr="00FF009C">
        <w:rPr>
          <w:b/>
          <w:noProof/>
        </w:rPr>
        <w:t>pop</w:t>
      </w:r>
      <w:r w:rsidRPr="00FF009C">
        <w:rPr>
          <w:b/>
          <w:noProof/>
        </w:rPr>
        <w:t>rawa koordynacji między państwami członkowskimi, Europolem</w:t>
      </w:r>
      <w:r w:rsidR="00FF009C" w:rsidRPr="00FF009C">
        <w:rPr>
          <w:b/>
          <w:noProof/>
        </w:rPr>
        <w:t xml:space="preserve"> i</w:t>
      </w:r>
      <w:r w:rsidR="00FF009C">
        <w:rPr>
          <w:b/>
          <w:noProof/>
        </w:rPr>
        <w:t> </w:t>
      </w:r>
      <w:r w:rsidR="00FF009C" w:rsidRPr="00FF009C">
        <w:rPr>
          <w:b/>
          <w:noProof/>
        </w:rPr>
        <w:t>inn</w:t>
      </w:r>
      <w:r w:rsidRPr="00FF009C">
        <w:rPr>
          <w:b/>
          <w:noProof/>
        </w:rPr>
        <w:t>ymi agencjami Unii</w:t>
      </w:r>
    </w:p>
    <w:p w14:paraId="3671E7BE" w14:textId="657B1D80" w:rsidR="00AB4A6F" w:rsidRPr="00FF009C" w:rsidRDefault="00AB4A6F" w:rsidP="00AB4A6F">
      <w:pPr>
        <w:pStyle w:val="Text1"/>
        <w:pBdr>
          <w:top w:val="single" w:sz="4" w:space="1" w:color="auto"/>
          <w:left w:val="single" w:sz="4" w:space="1" w:color="auto"/>
          <w:bottom w:val="single" w:sz="4" w:space="1" w:color="auto"/>
          <w:right w:val="single" w:sz="4" w:space="1" w:color="auto"/>
        </w:pBdr>
        <w:rPr>
          <w:noProof/>
        </w:rPr>
      </w:pPr>
      <w:r w:rsidRPr="00FF009C">
        <w:rPr>
          <w:noProof/>
        </w:rPr>
        <w:t>Liczba postępowań przygotowawczych dotyczących przemytu migrantów,</w:t>
      </w:r>
      <w:r w:rsidR="00FF009C" w:rsidRPr="00FF009C">
        <w:rPr>
          <w:noProof/>
        </w:rPr>
        <w:t xml:space="preserve"> w</w:t>
      </w:r>
      <w:r w:rsidR="00FF009C">
        <w:rPr>
          <w:noProof/>
        </w:rPr>
        <w:t> </w:t>
      </w:r>
      <w:r w:rsidR="00FF009C" w:rsidRPr="00FF009C">
        <w:rPr>
          <w:noProof/>
        </w:rPr>
        <w:t>prz</w:t>
      </w:r>
      <w:r w:rsidRPr="00FF009C">
        <w:rPr>
          <w:noProof/>
        </w:rPr>
        <w:t xml:space="preserve">ypadku których Europol wspierał prowadzone równolegle dochodzenie finansowe </w:t>
      </w:r>
    </w:p>
    <w:p w14:paraId="4AD42A61" w14:textId="21123B6E" w:rsidR="00AB4A6F" w:rsidRPr="00FF009C" w:rsidRDefault="00AB4A6F" w:rsidP="00AB4A6F">
      <w:pPr>
        <w:pStyle w:val="Text1"/>
        <w:pBdr>
          <w:top w:val="single" w:sz="4" w:space="1" w:color="auto"/>
          <w:left w:val="single" w:sz="4" w:space="1" w:color="auto"/>
          <w:bottom w:val="single" w:sz="4" w:space="1" w:color="auto"/>
          <w:right w:val="single" w:sz="4" w:space="1" w:color="auto"/>
        </w:pBdr>
        <w:rPr>
          <w:noProof/>
        </w:rPr>
      </w:pPr>
      <w:r w:rsidRPr="00FF009C">
        <w:rPr>
          <w:noProof/>
        </w:rPr>
        <w:t>Liczba powiadomień</w:t>
      </w:r>
      <w:r w:rsidR="00FF009C" w:rsidRPr="00FF009C">
        <w:rPr>
          <w:noProof/>
        </w:rPr>
        <w:t xml:space="preserve"> w</w:t>
      </w:r>
      <w:r w:rsidR="00FF009C">
        <w:rPr>
          <w:noProof/>
        </w:rPr>
        <w:t> </w:t>
      </w:r>
      <w:r w:rsidR="00FF009C" w:rsidRPr="00FF009C">
        <w:rPr>
          <w:noProof/>
        </w:rPr>
        <w:t>ram</w:t>
      </w:r>
      <w:r w:rsidRPr="00FF009C">
        <w:rPr>
          <w:noProof/>
        </w:rPr>
        <w:t>ach systemu wczesnego ostrzegania wystosowanych</w:t>
      </w:r>
      <w:r w:rsidR="00FF009C" w:rsidRPr="00FF009C">
        <w:rPr>
          <w:noProof/>
        </w:rPr>
        <w:t xml:space="preserve"> w</w:t>
      </w:r>
      <w:r w:rsidR="00FF009C">
        <w:rPr>
          <w:noProof/>
        </w:rPr>
        <w:t> </w:t>
      </w:r>
      <w:r w:rsidR="00FF009C" w:rsidRPr="00FF009C">
        <w:rPr>
          <w:noProof/>
        </w:rPr>
        <w:t>zwi</w:t>
      </w:r>
      <w:r w:rsidRPr="00FF009C">
        <w:rPr>
          <w:noProof/>
        </w:rPr>
        <w:t>ązku</w:t>
      </w:r>
      <w:r w:rsidR="00FF009C" w:rsidRPr="00FF009C">
        <w:rPr>
          <w:noProof/>
        </w:rPr>
        <w:t xml:space="preserve"> z</w:t>
      </w:r>
      <w:r w:rsidR="00FF009C">
        <w:rPr>
          <w:noProof/>
        </w:rPr>
        <w:t> </w:t>
      </w:r>
      <w:r w:rsidR="00FF009C" w:rsidRPr="00FF009C">
        <w:rPr>
          <w:noProof/>
        </w:rPr>
        <w:t>prz</w:t>
      </w:r>
      <w:r w:rsidRPr="00FF009C">
        <w:rPr>
          <w:noProof/>
        </w:rPr>
        <w:t>emytem migrantów</w:t>
      </w:r>
    </w:p>
    <w:p w14:paraId="486ABA95" w14:textId="24D7BC91" w:rsidR="00AB4A6F" w:rsidRPr="00FF009C" w:rsidRDefault="00AB4A6F" w:rsidP="00AB4A6F">
      <w:pPr>
        <w:pStyle w:val="Text1"/>
        <w:pBdr>
          <w:top w:val="single" w:sz="4" w:space="1" w:color="auto"/>
          <w:left w:val="single" w:sz="4" w:space="1" w:color="auto"/>
          <w:bottom w:val="single" w:sz="4" w:space="1" w:color="auto"/>
          <w:right w:val="single" w:sz="4" w:space="1" w:color="auto"/>
        </w:pBdr>
        <w:rPr>
          <w:noProof/>
        </w:rPr>
      </w:pPr>
      <w:r w:rsidRPr="00FF009C">
        <w:rPr>
          <w:noProof/>
        </w:rPr>
        <w:t>Liczba postępowań przygotowawczych dotyczących przemytu migrantów koordynowanych przez Eurojust,</w:t>
      </w:r>
      <w:r w:rsidR="00FF009C" w:rsidRPr="00FF009C">
        <w:rPr>
          <w:noProof/>
        </w:rPr>
        <w:t xml:space="preserve"> w</w:t>
      </w:r>
      <w:r w:rsidR="00FF009C">
        <w:rPr>
          <w:noProof/>
        </w:rPr>
        <w:t> </w:t>
      </w:r>
      <w:r w:rsidR="00FF009C" w:rsidRPr="00FF009C">
        <w:rPr>
          <w:noProof/>
        </w:rPr>
        <w:t>ram</w:t>
      </w:r>
      <w:r w:rsidRPr="00FF009C">
        <w:rPr>
          <w:noProof/>
        </w:rPr>
        <w:t>ach których Eurojust przeszukiwał informacje znajdujące się</w:t>
      </w:r>
      <w:r w:rsidR="00FF009C" w:rsidRPr="00FF009C">
        <w:rPr>
          <w:noProof/>
        </w:rPr>
        <w:t xml:space="preserve"> w</w:t>
      </w:r>
      <w:r w:rsidR="00FF009C">
        <w:rPr>
          <w:noProof/>
        </w:rPr>
        <w:t> </w:t>
      </w:r>
      <w:r w:rsidR="00FF009C" w:rsidRPr="00FF009C">
        <w:rPr>
          <w:noProof/>
        </w:rPr>
        <w:t>pos</w:t>
      </w:r>
      <w:r w:rsidRPr="00FF009C">
        <w:rPr>
          <w:noProof/>
        </w:rPr>
        <w:t>iadaniu Europolu</w:t>
      </w:r>
      <w:r w:rsidR="00FF009C" w:rsidRPr="00FF009C">
        <w:rPr>
          <w:noProof/>
        </w:rPr>
        <w:t xml:space="preserve"> w</w:t>
      </w:r>
      <w:r w:rsidR="00FF009C">
        <w:rPr>
          <w:noProof/>
        </w:rPr>
        <w:t> </w:t>
      </w:r>
      <w:r w:rsidR="00FF009C" w:rsidRPr="00FF009C">
        <w:rPr>
          <w:noProof/>
        </w:rPr>
        <w:t>syt</w:t>
      </w:r>
      <w:r w:rsidRPr="00FF009C">
        <w:rPr>
          <w:noProof/>
        </w:rPr>
        <w:t>uacjach,</w:t>
      </w:r>
      <w:r w:rsidR="00FF009C" w:rsidRPr="00FF009C">
        <w:rPr>
          <w:noProof/>
        </w:rPr>
        <w:t xml:space="preserve"> w</w:t>
      </w:r>
      <w:r w:rsidR="00FF009C">
        <w:rPr>
          <w:noProof/>
        </w:rPr>
        <w:t> </w:t>
      </w:r>
      <w:r w:rsidR="00FF009C" w:rsidRPr="00FF009C">
        <w:rPr>
          <w:noProof/>
        </w:rPr>
        <w:t>któ</w:t>
      </w:r>
      <w:r w:rsidRPr="00FF009C">
        <w:rPr>
          <w:noProof/>
        </w:rPr>
        <w:t>rych było to możliwe zgodnie</w:t>
      </w:r>
      <w:r w:rsidR="00FF009C" w:rsidRPr="00FF009C">
        <w:rPr>
          <w:noProof/>
        </w:rPr>
        <w:t xml:space="preserve"> z</w:t>
      </w:r>
      <w:r w:rsidR="00FF009C">
        <w:rPr>
          <w:noProof/>
        </w:rPr>
        <w:t> </w:t>
      </w:r>
      <w:r w:rsidR="00FF009C" w:rsidRPr="00FF009C">
        <w:rPr>
          <w:noProof/>
        </w:rPr>
        <w:t>obo</w:t>
      </w:r>
      <w:r w:rsidRPr="00FF009C">
        <w:rPr>
          <w:noProof/>
        </w:rPr>
        <w:t>wiązującymi przepisami [wartość bazowa: 0, wartość docelowa 100</w:t>
      </w:r>
      <w:r w:rsidR="00FF009C" w:rsidRPr="00FF009C">
        <w:rPr>
          <w:noProof/>
        </w:rPr>
        <w:t> </w:t>
      </w:r>
      <w:r w:rsidRPr="00FF009C">
        <w:rPr>
          <w:noProof/>
        </w:rPr>
        <w:t>%]</w:t>
      </w:r>
    </w:p>
    <w:p w14:paraId="4184BCD2" w14:textId="2B714E92" w:rsidR="00AB4A6F" w:rsidRPr="00FF009C" w:rsidRDefault="00AB4A6F" w:rsidP="00AB4A6F">
      <w:pPr>
        <w:pStyle w:val="Text1"/>
        <w:pBdr>
          <w:top w:val="single" w:sz="4" w:space="1" w:color="auto"/>
          <w:left w:val="single" w:sz="4" w:space="1" w:color="auto"/>
          <w:bottom w:val="single" w:sz="4" w:space="1" w:color="auto"/>
          <w:right w:val="single" w:sz="4" w:space="1" w:color="auto"/>
        </w:pBdr>
        <w:rPr>
          <w:noProof/>
        </w:rPr>
      </w:pPr>
      <w:r w:rsidRPr="00FF009C">
        <w:rPr>
          <w:noProof/>
        </w:rPr>
        <w:t>Odsetek postępowań przygotowawczych dotyczących przemytu migrantów koordynowanych przez Europol,</w:t>
      </w:r>
      <w:r w:rsidR="00FF009C" w:rsidRPr="00FF009C">
        <w:rPr>
          <w:noProof/>
        </w:rPr>
        <w:t xml:space="preserve"> w</w:t>
      </w:r>
      <w:r w:rsidR="00FF009C">
        <w:rPr>
          <w:noProof/>
        </w:rPr>
        <w:t> </w:t>
      </w:r>
      <w:r w:rsidR="00FF009C" w:rsidRPr="00FF009C">
        <w:rPr>
          <w:noProof/>
        </w:rPr>
        <w:t>ram</w:t>
      </w:r>
      <w:r w:rsidRPr="00FF009C">
        <w:rPr>
          <w:noProof/>
        </w:rPr>
        <w:t>ach których Europol przeszukiwał informacje przekazane Eurojustowi</w:t>
      </w:r>
      <w:r w:rsidR="00FF009C" w:rsidRPr="00FF009C">
        <w:rPr>
          <w:noProof/>
        </w:rPr>
        <w:t xml:space="preserve"> w</w:t>
      </w:r>
      <w:r w:rsidR="00FF009C">
        <w:rPr>
          <w:noProof/>
        </w:rPr>
        <w:t> </w:t>
      </w:r>
      <w:r w:rsidR="00FF009C" w:rsidRPr="00FF009C">
        <w:rPr>
          <w:noProof/>
        </w:rPr>
        <w:t>syt</w:t>
      </w:r>
      <w:r w:rsidRPr="00FF009C">
        <w:rPr>
          <w:noProof/>
        </w:rPr>
        <w:t>uacjach,</w:t>
      </w:r>
      <w:r w:rsidR="00FF009C" w:rsidRPr="00FF009C">
        <w:rPr>
          <w:noProof/>
        </w:rPr>
        <w:t xml:space="preserve"> w</w:t>
      </w:r>
      <w:r w:rsidR="00FF009C">
        <w:rPr>
          <w:noProof/>
        </w:rPr>
        <w:t> </w:t>
      </w:r>
      <w:r w:rsidR="00FF009C" w:rsidRPr="00FF009C">
        <w:rPr>
          <w:noProof/>
        </w:rPr>
        <w:t>któ</w:t>
      </w:r>
      <w:r w:rsidRPr="00FF009C">
        <w:rPr>
          <w:noProof/>
        </w:rPr>
        <w:t>rych było to możliwe zgodnie</w:t>
      </w:r>
      <w:r w:rsidR="00FF009C" w:rsidRPr="00FF009C">
        <w:rPr>
          <w:noProof/>
        </w:rPr>
        <w:t xml:space="preserve"> z</w:t>
      </w:r>
      <w:r w:rsidR="00FF009C">
        <w:rPr>
          <w:noProof/>
        </w:rPr>
        <w:t> </w:t>
      </w:r>
      <w:r w:rsidR="00FF009C" w:rsidRPr="00FF009C">
        <w:rPr>
          <w:noProof/>
        </w:rPr>
        <w:t>obo</w:t>
      </w:r>
      <w:r w:rsidRPr="00FF009C">
        <w:rPr>
          <w:noProof/>
        </w:rPr>
        <w:t>wiązującymi przepisami [wartość bazowa: 0, wartość docelowa 100</w:t>
      </w:r>
      <w:r w:rsidR="00FF009C" w:rsidRPr="00FF009C">
        <w:rPr>
          <w:noProof/>
        </w:rPr>
        <w:t> </w:t>
      </w:r>
      <w:r w:rsidRPr="00FF009C">
        <w:rPr>
          <w:noProof/>
        </w:rPr>
        <w:t>%]</w:t>
      </w:r>
    </w:p>
    <w:p w14:paraId="1C4CA433" w14:textId="43BBCEDF" w:rsidR="00AB4A6F" w:rsidRPr="00FF009C" w:rsidRDefault="00AB4A6F" w:rsidP="00AB4A6F">
      <w:pPr>
        <w:pStyle w:val="Text1"/>
        <w:pBdr>
          <w:top w:val="single" w:sz="4" w:space="1" w:color="auto"/>
          <w:left w:val="single" w:sz="4" w:space="1" w:color="auto"/>
          <w:bottom w:val="single" w:sz="4" w:space="1" w:color="auto"/>
          <w:right w:val="single" w:sz="4" w:space="1" w:color="auto"/>
        </w:pBdr>
        <w:rPr>
          <w:noProof/>
        </w:rPr>
      </w:pPr>
      <w:r w:rsidRPr="00FF009C">
        <w:rPr>
          <w:noProof/>
        </w:rPr>
        <w:t>Liczba komunikatów SIENA dotyczących przemytu migrantów, które wymieniono między Europolem</w:t>
      </w:r>
      <w:r w:rsidR="00FF009C" w:rsidRPr="00FF009C">
        <w:rPr>
          <w:noProof/>
        </w:rPr>
        <w:t xml:space="preserve"> a</w:t>
      </w:r>
      <w:r w:rsidR="00FF009C">
        <w:rPr>
          <w:noProof/>
        </w:rPr>
        <w:t> </w:t>
      </w:r>
      <w:r w:rsidR="00FF009C" w:rsidRPr="00FF009C">
        <w:rPr>
          <w:noProof/>
        </w:rPr>
        <w:t>Fro</w:t>
      </w:r>
      <w:r w:rsidRPr="00FF009C">
        <w:rPr>
          <w:noProof/>
        </w:rPr>
        <w:t>nteksem</w:t>
      </w:r>
    </w:p>
    <w:p w14:paraId="4343FF2F" w14:textId="5B139758" w:rsidR="00AB4A6F" w:rsidRPr="00FF009C" w:rsidRDefault="00AB4A6F" w:rsidP="00AB4A6F">
      <w:pPr>
        <w:pStyle w:val="Text1"/>
        <w:pBdr>
          <w:top w:val="single" w:sz="4" w:space="1" w:color="auto"/>
          <w:left w:val="single" w:sz="4" w:space="1" w:color="auto"/>
          <w:bottom w:val="single" w:sz="4" w:space="1" w:color="auto"/>
          <w:right w:val="single" w:sz="4" w:space="1" w:color="auto"/>
        </w:pBdr>
        <w:rPr>
          <w:noProof/>
        </w:rPr>
      </w:pPr>
      <w:r w:rsidRPr="00FF009C">
        <w:rPr>
          <w:noProof/>
        </w:rPr>
        <w:t>Liczba komunikatów SIENA dotyczących przemytu migrantów, które wymieniono między Europolem</w:t>
      </w:r>
      <w:r w:rsidR="00FF009C" w:rsidRPr="00FF009C">
        <w:rPr>
          <w:noProof/>
        </w:rPr>
        <w:t xml:space="preserve"> a</w:t>
      </w:r>
      <w:r w:rsidR="00FF009C">
        <w:rPr>
          <w:noProof/>
        </w:rPr>
        <w:t> </w:t>
      </w:r>
      <w:r w:rsidR="00FF009C" w:rsidRPr="00FF009C">
        <w:rPr>
          <w:noProof/>
        </w:rPr>
        <w:t>Eur</w:t>
      </w:r>
      <w:r w:rsidRPr="00FF009C">
        <w:rPr>
          <w:noProof/>
        </w:rPr>
        <w:t>ojustem</w:t>
      </w:r>
    </w:p>
    <w:p w14:paraId="22A192EE" w14:textId="77777777" w:rsidR="00AB4A6F" w:rsidRPr="00FF009C" w:rsidRDefault="00AB4A6F" w:rsidP="00AB4A6F">
      <w:pPr>
        <w:pStyle w:val="Text1"/>
        <w:pBdr>
          <w:top w:val="single" w:sz="4" w:space="1" w:color="auto"/>
          <w:left w:val="single" w:sz="4" w:space="1" w:color="auto"/>
          <w:bottom w:val="single" w:sz="4" w:space="1" w:color="auto"/>
          <w:right w:val="single" w:sz="4" w:space="1" w:color="auto"/>
        </w:pBdr>
        <w:rPr>
          <w:noProof/>
        </w:rPr>
      </w:pPr>
    </w:p>
    <w:p w14:paraId="2B8E7AAC" w14:textId="77777777" w:rsidR="00AB4A6F" w:rsidRPr="00FF009C" w:rsidRDefault="00AB4A6F" w:rsidP="00AB4A6F">
      <w:pPr>
        <w:pStyle w:val="Text1"/>
        <w:pBdr>
          <w:top w:val="single" w:sz="4" w:space="1" w:color="auto"/>
          <w:left w:val="single" w:sz="4" w:space="1" w:color="auto"/>
          <w:bottom w:val="single" w:sz="4" w:space="1" w:color="auto"/>
          <w:right w:val="single" w:sz="4" w:space="1" w:color="auto"/>
        </w:pBdr>
        <w:rPr>
          <w:noProof/>
        </w:rPr>
      </w:pPr>
      <w:r w:rsidRPr="00FF009C">
        <w:rPr>
          <w:noProof/>
        </w:rPr>
        <w:t>Liczba nowych wspólnych zespołów dochodzeniowo-śledczych zajmujących się problematyką przemytu migrantów, które objęto wsparciem Europolu</w:t>
      </w:r>
      <w:r w:rsidRPr="00FF009C">
        <w:rPr>
          <w:noProof/>
        </w:rPr>
        <w:tab/>
      </w:r>
      <w:bookmarkEnd w:id="25"/>
    </w:p>
    <w:p w14:paraId="1404D388" w14:textId="77777777" w:rsidR="00AB4A6F" w:rsidRPr="00FF009C" w:rsidRDefault="00AB4A6F" w:rsidP="00AB4A6F">
      <w:pPr>
        <w:pStyle w:val="Text1"/>
        <w:pBdr>
          <w:top w:val="single" w:sz="4" w:space="1" w:color="auto"/>
          <w:left w:val="single" w:sz="4" w:space="1" w:color="auto"/>
          <w:bottom w:val="single" w:sz="4" w:space="1" w:color="auto"/>
          <w:right w:val="single" w:sz="4" w:space="1" w:color="auto"/>
        </w:pBdr>
        <w:rPr>
          <w:noProof/>
        </w:rPr>
      </w:pPr>
    </w:p>
    <w:p w14:paraId="1833C0FB" w14:textId="02C30BB7" w:rsidR="00AB4A6F" w:rsidRPr="00FF009C" w:rsidRDefault="00AB4A6F" w:rsidP="00AB4A6F">
      <w:pPr>
        <w:pStyle w:val="Text1"/>
        <w:pBdr>
          <w:top w:val="single" w:sz="4" w:space="1" w:color="auto"/>
          <w:left w:val="single" w:sz="4" w:space="1" w:color="auto"/>
          <w:bottom w:val="single" w:sz="4" w:space="1" w:color="auto"/>
          <w:right w:val="single" w:sz="4" w:space="1" w:color="auto"/>
        </w:pBdr>
        <w:rPr>
          <w:b/>
          <w:bCs/>
          <w:noProof/>
        </w:rPr>
      </w:pPr>
      <w:r w:rsidRPr="00FF009C">
        <w:rPr>
          <w:b/>
          <w:noProof/>
        </w:rPr>
        <w:t>Cel szczegółowy nr</w:t>
      </w:r>
      <w:r w:rsidR="00FF009C" w:rsidRPr="00FF009C">
        <w:rPr>
          <w:b/>
          <w:noProof/>
        </w:rPr>
        <w:t> </w:t>
      </w:r>
      <w:r w:rsidRPr="00FF009C">
        <w:rPr>
          <w:b/>
          <w:noProof/>
        </w:rPr>
        <w:t>3: wzmocnienie Europolu jako unijnego centrum informacji kryminalnych dotyczących przemytu migrantów,</w:t>
      </w:r>
      <w:r w:rsidR="00FF009C" w:rsidRPr="00FF009C">
        <w:rPr>
          <w:b/>
          <w:noProof/>
        </w:rPr>
        <w:t xml:space="preserve"> a</w:t>
      </w:r>
      <w:r w:rsidR="00FF009C">
        <w:rPr>
          <w:b/>
          <w:noProof/>
        </w:rPr>
        <w:t> </w:t>
      </w:r>
      <w:r w:rsidR="00FF009C" w:rsidRPr="00FF009C">
        <w:rPr>
          <w:b/>
          <w:noProof/>
        </w:rPr>
        <w:t>tak</w:t>
      </w:r>
      <w:r w:rsidRPr="00FF009C">
        <w:rPr>
          <w:b/>
          <w:noProof/>
        </w:rPr>
        <w:t xml:space="preserve">że pełne rozwinięcie wymiany informacji między państwami członkowskimi, Europolem, innymi agencjami UE oraz państwami trzecimi </w:t>
      </w:r>
    </w:p>
    <w:p w14:paraId="147F15FB" w14:textId="25A5581E" w:rsidR="00AB4A6F" w:rsidRPr="00FF009C" w:rsidRDefault="00AB4A6F" w:rsidP="00AB4A6F">
      <w:pPr>
        <w:pStyle w:val="Text1"/>
        <w:pBdr>
          <w:top w:val="single" w:sz="4" w:space="1" w:color="auto"/>
          <w:left w:val="single" w:sz="4" w:space="1" w:color="auto"/>
          <w:bottom w:val="single" w:sz="4" w:space="1" w:color="auto"/>
          <w:right w:val="single" w:sz="4" w:space="1" w:color="auto"/>
        </w:pBdr>
        <w:rPr>
          <w:noProof/>
        </w:rPr>
      </w:pPr>
      <w:r w:rsidRPr="00FF009C">
        <w:rPr>
          <w:noProof/>
        </w:rPr>
        <w:t>Liczba wyspecjalizowanych służb krajowych połączonych</w:t>
      </w:r>
      <w:r w:rsidR="00FF009C" w:rsidRPr="00FF009C">
        <w:rPr>
          <w:noProof/>
        </w:rPr>
        <w:t xml:space="preserve"> z</w:t>
      </w:r>
      <w:r w:rsidR="00FF009C">
        <w:rPr>
          <w:noProof/>
        </w:rPr>
        <w:t> </w:t>
      </w:r>
      <w:r w:rsidR="00FF009C" w:rsidRPr="00FF009C">
        <w:rPr>
          <w:noProof/>
        </w:rPr>
        <w:t>apl</w:t>
      </w:r>
      <w:r w:rsidRPr="00FF009C">
        <w:rPr>
          <w:noProof/>
        </w:rPr>
        <w:t xml:space="preserve">ikacją SIENA [wartość docelowa: 27] </w:t>
      </w:r>
    </w:p>
    <w:p w14:paraId="6A7B0BE2" w14:textId="72A9A496" w:rsidR="00AB4A6F" w:rsidRPr="00FF009C" w:rsidRDefault="00AB4A6F" w:rsidP="00AB4A6F">
      <w:pPr>
        <w:pStyle w:val="Text1"/>
        <w:pBdr>
          <w:top w:val="single" w:sz="4" w:space="1" w:color="auto"/>
          <w:left w:val="single" w:sz="4" w:space="1" w:color="auto"/>
          <w:bottom w:val="single" w:sz="4" w:space="1" w:color="auto"/>
          <w:right w:val="single" w:sz="4" w:space="1" w:color="auto"/>
        </w:pBdr>
        <w:rPr>
          <w:noProof/>
        </w:rPr>
      </w:pPr>
      <w:r w:rsidRPr="00FF009C">
        <w:rPr>
          <w:noProof/>
        </w:rPr>
        <w:t>Odsetek urzędników łącznikowych ds. imigracji</w:t>
      </w:r>
      <w:r w:rsidR="00FF009C" w:rsidRPr="00FF009C">
        <w:rPr>
          <w:noProof/>
        </w:rPr>
        <w:t xml:space="preserve"> w</w:t>
      </w:r>
      <w:r w:rsidR="00FF009C">
        <w:rPr>
          <w:noProof/>
        </w:rPr>
        <w:t> </w:t>
      </w:r>
      <w:r w:rsidR="00FF009C" w:rsidRPr="00FF009C">
        <w:rPr>
          <w:noProof/>
        </w:rPr>
        <w:t>pań</w:t>
      </w:r>
      <w:r w:rsidRPr="00FF009C">
        <w:rPr>
          <w:noProof/>
        </w:rPr>
        <w:t>stwach trzecich połączonych</w:t>
      </w:r>
      <w:r w:rsidR="00FF009C" w:rsidRPr="00FF009C">
        <w:rPr>
          <w:noProof/>
        </w:rPr>
        <w:t xml:space="preserve"> z</w:t>
      </w:r>
      <w:r w:rsidR="00FF009C">
        <w:rPr>
          <w:noProof/>
        </w:rPr>
        <w:t> </w:t>
      </w:r>
      <w:r w:rsidR="00FF009C" w:rsidRPr="00FF009C">
        <w:rPr>
          <w:noProof/>
        </w:rPr>
        <w:t>apl</w:t>
      </w:r>
      <w:r w:rsidRPr="00FF009C">
        <w:rPr>
          <w:noProof/>
        </w:rPr>
        <w:t>ikacją SIENA [wartość docelowa: 100</w:t>
      </w:r>
      <w:r w:rsidR="00FF009C" w:rsidRPr="00FF009C">
        <w:rPr>
          <w:noProof/>
        </w:rPr>
        <w:t> </w:t>
      </w:r>
      <w:r w:rsidRPr="00FF009C">
        <w:rPr>
          <w:noProof/>
        </w:rPr>
        <w:t>%]</w:t>
      </w:r>
    </w:p>
    <w:p w14:paraId="0D83C4CE" w14:textId="09CED8EF" w:rsidR="00AB4A6F" w:rsidRPr="00FF009C" w:rsidRDefault="00AB4A6F" w:rsidP="00AB4A6F">
      <w:pPr>
        <w:pStyle w:val="Text1"/>
        <w:pBdr>
          <w:top w:val="single" w:sz="4" w:space="1" w:color="auto"/>
          <w:left w:val="single" w:sz="4" w:space="1" w:color="auto"/>
          <w:bottom w:val="single" w:sz="4" w:space="1" w:color="auto"/>
          <w:right w:val="single" w:sz="4" w:space="1" w:color="auto"/>
        </w:pBdr>
        <w:rPr>
          <w:noProof/>
        </w:rPr>
      </w:pPr>
      <w:r w:rsidRPr="00FF009C">
        <w:rPr>
          <w:noProof/>
        </w:rPr>
        <w:t>Odsetek komunikatów SIENA otrzymywanych od urzędników łącznikowych ds. imigracji</w:t>
      </w:r>
      <w:r w:rsidR="00FF009C" w:rsidRPr="00FF009C">
        <w:rPr>
          <w:noProof/>
        </w:rPr>
        <w:t xml:space="preserve"> w</w:t>
      </w:r>
      <w:r w:rsidR="00FF009C">
        <w:rPr>
          <w:noProof/>
        </w:rPr>
        <w:t> </w:t>
      </w:r>
      <w:r w:rsidR="00FF009C" w:rsidRPr="00FF009C">
        <w:rPr>
          <w:noProof/>
        </w:rPr>
        <w:t>pań</w:t>
      </w:r>
      <w:r w:rsidRPr="00FF009C">
        <w:rPr>
          <w:noProof/>
        </w:rPr>
        <w:t>stwach trzecich [wartość docelowa: 100</w:t>
      </w:r>
      <w:r w:rsidR="00FF009C" w:rsidRPr="00FF009C">
        <w:rPr>
          <w:noProof/>
        </w:rPr>
        <w:t> </w:t>
      </w:r>
      <w:r w:rsidRPr="00FF009C">
        <w:rPr>
          <w:noProof/>
        </w:rPr>
        <w:t>%]</w:t>
      </w:r>
    </w:p>
    <w:p w14:paraId="1321D54D" w14:textId="6FF7868C" w:rsidR="00AB4A6F" w:rsidRPr="00FF009C" w:rsidRDefault="00AB4A6F" w:rsidP="00AB4A6F">
      <w:pPr>
        <w:pStyle w:val="Text1"/>
        <w:pBdr>
          <w:top w:val="single" w:sz="4" w:space="1" w:color="auto"/>
          <w:left w:val="single" w:sz="4" w:space="1" w:color="auto"/>
          <w:bottom w:val="single" w:sz="4" w:space="1" w:color="auto"/>
          <w:right w:val="single" w:sz="4" w:space="1" w:color="auto"/>
        </w:pBdr>
        <w:rPr>
          <w:noProof/>
        </w:rPr>
      </w:pPr>
      <w:r w:rsidRPr="00FF009C">
        <w:rPr>
          <w:noProof/>
        </w:rPr>
        <w:t>Odsetek komunikatów SIENA związanych</w:t>
      </w:r>
      <w:r w:rsidR="00FF009C" w:rsidRPr="00FF009C">
        <w:rPr>
          <w:noProof/>
        </w:rPr>
        <w:t xml:space="preserve"> z</w:t>
      </w:r>
      <w:r w:rsidR="00FF009C">
        <w:rPr>
          <w:noProof/>
        </w:rPr>
        <w:t> </w:t>
      </w:r>
      <w:r w:rsidR="00FF009C" w:rsidRPr="00FF009C">
        <w:rPr>
          <w:noProof/>
        </w:rPr>
        <w:t>prz</w:t>
      </w:r>
      <w:r w:rsidRPr="00FF009C">
        <w:rPr>
          <w:noProof/>
        </w:rPr>
        <w:t>emytem migrantów</w:t>
      </w:r>
      <w:r w:rsidR="00FF009C" w:rsidRPr="00FF009C">
        <w:rPr>
          <w:noProof/>
        </w:rPr>
        <w:t xml:space="preserve"> i</w:t>
      </w:r>
      <w:r w:rsidR="00FF009C">
        <w:rPr>
          <w:noProof/>
        </w:rPr>
        <w:t> </w:t>
      </w:r>
      <w:r w:rsidR="00FF009C" w:rsidRPr="00FF009C">
        <w:rPr>
          <w:noProof/>
        </w:rPr>
        <w:t>z</w:t>
      </w:r>
      <w:r w:rsidR="00FF009C">
        <w:rPr>
          <w:noProof/>
        </w:rPr>
        <w:t> </w:t>
      </w:r>
      <w:r w:rsidR="00FF009C" w:rsidRPr="00FF009C">
        <w:rPr>
          <w:noProof/>
        </w:rPr>
        <w:t>enc</w:t>
      </w:r>
      <w:r w:rsidRPr="00FF009C">
        <w:rPr>
          <w:noProof/>
        </w:rPr>
        <w:t>jami „Osoba”,</w:t>
      </w:r>
      <w:r w:rsidR="00FF009C" w:rsidRPr="00FF009C">
        <w:rPr>
          <w:noProof/>
        </w:rPr>
        <w:t xml:space="preserve"> z</w:t>
      </w:r>
      <w:r w:rsidR="00FF009C">
        <w:rPr>
          <w:noProof/>
        </w:rPr>
        <w:t> </w:t>
      </w:r>
      <w:r w:rsidR="00FF009C" w:rsidRPr="00FF009C">
        <w:rPr>
          <w:noProof/>
        </w:rPr>
        <w:t>któ</w:t>
      </w:r>
      <w:r w:rsidRPr="00FF009C">
        <w:rPr>
          <w:noProof/>
        </w:rPr>
        <w:t>rymi powiązane są dane biometryczne [brak wartości docelowej]</w:t>
      </w:r>
    </w:p>
    <w:p w14:paraId="1400A2DF" w14:textId="75CBB00C" w:rsidR="00AB4A6F" w:rsidRPr="00FF009C" w:rsidRDefault="00AB4A6F" w:rsidP="00AB4A6F">
      <w:pPr>
        <w:pStyle w:val="Text1"/>
        <w:pBdr>
          <w:top w:val="single" w:sz="4" w:space="1" w:color="auto"/>
          <w:left w:val="single" w:sz="4" w:space="1" w:color="auto"/>
          <w:bottom w:val="single" w:sz="4" w:space="1" w:color="auto"/>
          <w:right w:val="single" w:sz="4" w:space="1" w:color="auto"/>
        </w:pBdr>
        <w:rPr>
          <w:noProof/>
        </w:rPr>
      </w:pPr>
      <w:r w:rsidRPr="00FF009C">
        <w:rPr>
          <w:noProof/>
        </w:rPr>
        <w:t>Odsetek wymienianych między państwami członkowskimi komunikatów SIENA dotyczących przemytu migrantów,</w:t>
      </w:r>
      <w:r w:rsidR="00FF009C" w:rsidRPr="00FF009C">
        <w:rPr>
          <w:noProof/>
        </w:rPr>
        <w:t xml:space="preserve"> w</w:t>
      </w:r>
      <w:r w:rsidR="00FF009C">
        <w:rPr>
          <w:noProof/>
        </w:rPr>
        <w:t> </w:t>
      </w:r>
      <w:r w:rsidR="00FF009C" w:rsidRPr="00FF009C">
        <w:rPr>
          <w:noProof/>
        </w:rPr>
        <w:t>prz</w:t>
      </w:r>
      <w:r w:rsidRPr="00FF009C">
        <w:rPr>
          <w:noProof/>
        </w:rPr>
        <w:t>ypadku których Europolowi przekazano kopię stosownego komunikatu [wartość bazowa</w:t>
      </w:r>
      <w:r w:rsidR="00FF009C" w:rsidRPr="00FF009C">
        <w:rPr>
          <w:noProof/>
        </w:rPr>
        <w:t xml:space="preserve"> w</w:t>
      </w:r>
      <w:r w:rsidR="00FF009C">
        <w:rPr>
          <w:noProof/>
        </w:rPr>
        <w:t> </w:t>
      </w:r>
      <w:r w:rsidR="00FF009C" w:rsidRPr="00FF009C">
        <w:rPr>
          <w:noProof/>
        </w:rPr>
        <w:t>2</w:t>
      </w:r>
      <w:r w:rsidRPr="00FF009C">
        <w:rPr>
          <w:noProof/>
        </w:rPr>
        <w:t>019</w:t>
      </w:r>
      <w:r w:rsidR="00FF009C" w:rsidRPr="00FF009C">
        <w:rPr>
          <w:noProof/>
        </w:rPr>
        <w:t> </w:t>
      </w:r>
      <w:r w:rsidRPr="00FF009C">
        <w:rPr>
          <w:noProof/>
        </w:rPr>
        <w:t>r.: 48</w:t>
      </w:r>
      <w:r w:rsidR="00FF009C" w:rsidRPr="00FF009C">
        <w:rPr>
          <w:noProof/>
        </w:rPr>
        <w:t> </w:t>
      </w:r>
      <w:r w:rsidRPr="00FF009C">
        <w:rPr>
          <w:noProof/>
        </w:rPr>
        <w:t>%; wartość docelowa: 90 %]</w:t>
      </w:r>
    </w:p>
    <w:p w14:paraId="77750BD1" w14:textId="3C8957FA" w:rsidR="00AB4A6F" w:rsidRPr="00FF009C" w:rsidRDefault="00AB4A6F" w:rsidP="00AB4A6F">
      <w:pPr>
        <w:pStyle w:val="Text1"/>
        <w:pBdr>
          <w:top w:val="single" w:sz="4" w:space="1" w:color="auto"/>
          <w:left w:val="single" w:sz="4" w:space="1" w:color="auto"/>
          <w:bottom w:val="single" w:sz="4" w:space="1" w:color="auto"/>
          <w:right w:val="single" w:sz="4" w:space="1" w:color="auto"/>
        </w:pBdr>
        <w:rPr>
          <w:noProof/>
        </w:rPr>
      </w:pPr>
      <w:r w:rsidRPr="00FF009C">
        <w:rPr>
          <w:noProof/>
        </w:rPr>
        <w:t>Odsetek otrzymanych przez Europol komunikatów SIENA dotyczących przemytu migrantów, którymi wymieniały się państwa członkowskie</w:t>
      </w:r>
      <w:r w:rsidR="00FF009C" w:rsidRPr="00FF009C">
        <w:rPr>
          <w:noProof/>
        </w:rPr>
        <w:t xml:space="preserve"> i</w:t>
      </w:r>
      <w:r w:rsidR="00FF009C">
        <w:rPr>
          <w:noProof/>
        </w:rPr>
        <w:t> </w:t>
      </w:r>
      <w:r w:rsidR="00FF009C" w:rsidRPr="00FF009C">
        <w:rPr>
          <w:noProof/>
        </w:rPr>
        <w:t>któ</w:t>
      </w:r>
      <w:r w:rsidRPr="00FF009C">
        <w:rPr>
          <w:noProof/>
        </w:rPr>
        <w:t>re zostały poddane kontroli krzyżowej przez Europol [wartość docelowa: 100</w:t>
      </w:r>
      <w:r w:rsidR="00FF009C" w:rsidRPr="00FF009C">
        <w:rPr>
          <w:noProof/>
        </w:rPr>
        <w:t> </w:t>
      </w:r>
      <w:r w:rsidRPr="00FF009C">
        <w:rPr>
          <w:noProof/>
        </w:rPr>
        <w:t>%]</w:t>
      </w:r>
    </w:p>
    <w:p w14:paraId="605343B7" w14:textId="70A0F4A8" w:rsidR="00AB4A6F" w:rsidRPr="00FF009C" w:rsidRDefault="00AB4A6F" w:rsidP="00AB4A6F">
      <w:pPr>
        <w:pStyle w:val="Text1"/>
        <w:pBdr>
          <w:top w:val="single" w:sz="4" w:space="1" w:color="auto"/>
          <w:left w:val="single" w:sz="4" w:space="1" w:color="auto"/>
          <w:bottom w:val="single" w:sz="4" w:space="1" w:color="auto"/>
          <w:right w:val="single" w:sz="4" w:space="1" w:color="auto"/>
        </w:pBdr>
        <w:rPr>
          <w:noProof/>
        </w:rPr>
      </w:pPr>
      <w:r w:rsidRPr="00FF009C">
        <w:rPr>
          <w:noProof/>
        </w:rPr>
        <w:t>Odsetek otrzymanych przez Europol komunikatów SIENA dotyczących przemytu migrantów, którymi wymieniały się państwa członkowskie, które zostały poddane kontroli krzyżowej przez Europol</w:t>
      </w:r>
      <w:r w:rsidR="00FF009C" w:rsidRPr="00FF009C">
        <w:rPr>
          <w:noProof/>
        </w:rPr>
        <w:t xml:space="preserve"> i</w:t>
      </w:r>
      <w:r w:rsidR="00FF009C">
        <w:rPr>
          <w:noProof/>
        </w:rPr>
        <w:t> </w:t>
      </w:r>
      <w:r w:rsidR="00FF009C" w:rsidRPr="00FF009C">
        <w:rPr>
          <w:noProof/>
        </w:rPr>
        <w:t>któ</w:t>
      </w:r>
      <w:r w:rsidRPr="00FF009C">
        <w:rPr>
          <w:noProof/>
        </w:rPr>
        <w:t>re doprowadziły do potwierdzenia istnienia związku [brak wartości docelowej]</w:t>
      </w:r>
    </w:p>
    <w:p w14:paraId="7559A7CE" w14:textId="4DD3AD5D" w:rsidR="00AB4A6F" w:rsidRPr="00FF009C" w:rsidRDefault="00AB4A6F" w:rsidP="00AB4A6F">
      <w:pPr>
        <w:pStyle w:val="Text1"/>
        <w:pBdr>
          <w:top w:val="single" w:sz="4" w:space="1" w:color="auto"/>
          <w:left w:val="single" w:sz="4" w:space="1" w:color="auto"/>
          <w:bottom w:val="single" w:sz="4" w:space="1" w:color="auto"/>
          <w:right w:val="single" w:sz="4" w:space="1" w:color="auto"/>
        </w:pBdr>
        <w:rPr>
          <w:noProof/>
        </w:rPr>
      </w:pPr>
      <w:r w:rsidRPr="00FF009C">
        <w:rPr>
          <w:noProof/>
        </w:rPr>
        <w:t>Odsetek otrzymanych przez Europol komunikatów SIENA dotyczących przemytu migrantów zawierających informacje biometryczne, którymi wymieniały się państwa członkowskie</w:t>
      </w:r>
      <w:r w:rsidR="00FF009C" w:rsidRPr="00FF009C">
        <w:rPr>
          <w:noProof/>
        </w:rPr>
        <w:t xml:space="preserve"> i</w:t>
      </w:r>
      <w:r w:rsidR="00FF009C">
        <w:rPr>
          <w:noProof/>
        </w:rPr>
        <w:t> </w:t>
      </w:r>
      <w:r w:rsidR="00FF009C" w:rsidRPr="00FF009C">
        <w:rPr>
          <w:noProof/>
        </w:rPr>
        <w:t>któ</w:t>
      </w:r>
      <w:r w:rsidRPr="00FF009C">
        <w:rPr>
          <w:noProof/>
        </w:rPr>
        <w:t>re zostały wykorzystane przez Europol na potrzeby kontroli krzyżowych [wartość docelowa: 100</w:t>
      </w:r>
      <w:r w:rsidR="00FF009C" w:rsidRPr="00FF009C">
        <w:rPr>
          <w:noProof/>
        </w:rPr>
        <w:t> </w:t>
      </w:r>
      <w:r w:rsidRPr="00FF009C">
        <w:rPr>
          <w:noProof/>
        </w:rPr>
        <w:t>%]</w:t>
      </w:r>
    </w:p>
    <w:p w14:paraId="0B87925C" w14:textId="66E75220" w:rsidR="00AB4A6F" w:rsidRPr="00FF009C" w:rsidRDefault="00AB4A6F" w:rsidP="00AB4A6F">
      <w:pPr>
        <w:pStyle w:val="Text1"/>
        <w:pBdr>
          <w:top w:val="single" w:sz="4" w:space="1" w:color="auto"/>
          <w:left w:val="single" w:sz="4" w:space="1" w:color="auto"/>
          <w:bottom w:val="single" w:sz="4" w:space="1" w:color="auto"/>
          <w:right w:val="single" w:sz="4" w:space="1" w:color="auto"/>
        </w:pBdr>
        <w:rPr>
          <w:noProof/>
        </w:rPr>
      </w:pPr>
      <w:r w:rsidRPr="00FF009C">
        <w:rPr>
          <w:noProof/>
        </w:rPr>
        <w:t>Odsetek otrzymanych przez Europol komunikatów SIENA dotyczących przemytu migrantów zawierających informacje biometryczne, którymi wymieniały się państwa członkowskie, które zostały wykorzystane przez Europol na potrzeb kontroli krzyżowych</w:t>
      </w:r>
      <w:r w:rsidR="00FF009C" w:rsidRPr="00FF009C">
        <w:rPr>
          <w:noProof/>
        </w:rPr>
        <w:t xml:space="preserve"> i</w:t>
      </w:r>
      <w:r w:rsidR="00FF009C">
        <w:rPr>
          <w:noProof/>
        </w:rPr>
        <w:t> </w:t>
      </w:r>
      <w:r w:rsidR="00FF009C" w:rsidRPr="00FF009C">
        <w:rPr>
          <w:noProof/>
        </w:rPr>
        <w:t>któ</w:t>
      </w:r>
      <w:r w:rsidRPr="00FF009C">
        <w:rPr>
          <w:noProof/>
        </w:rPr>
        <w:t>re doprowadziły do potwierdzenia istnienia związku [brak wartości docelowej]</w:t>
      </w:r>
    </w:p>
    <w:p w14:paraId="6B068519" w14:textId="2FB1E612" w:rsidR="00AB4A6F" w:rsidRPr="00FF009C" w:rsidRDefault="00AB4A6F" w:rsidP="00AB4A6F">
      <w:pPr>
        <w:pStyle w:val="Text1"/>
        <w:pBdr>
          <w:top w:val="single" w:sz="4" w:space="1" w:color="auto"/>
          <w:left w:val="single" w:sz="4" w:space="1" w:color="auto"/>
          <w:bottom w:val="single" w:sz="4" w:space="1" w:color="auto"/>
          <w:right w:val="single" w:sz="4" w:space="1" w:color="auto"/>
        </w:pBdr>
        <w:rPr>
          <w:noProof/>
        </w:rPr>
      </w:pPr>
      <w:r w:rsidRPr="00FF009C">
        <w:rPr>
          <w:noProof/>
        </w:rPr>
        <w:t>Liczba nowych encji „Osoba” związanych</w:t>
      </w:r>
      <w:r w:rsidR="00FF009C" w:rsidRPr="00FF009C">
        <w:rPr>
          <w:noProof/>
        </w:rPr>
        <w:t xml:space="preserve"> z</w:t>
      </w:r>
      <w:r w:rsidR="00FF009C">
        <w:rPr>
          <w:noProof/>
        </w:rPr>
        <w:t> </w:t>
      </w:r>
      <w:r w:rsidR="00FF009C" w:rsidRPr="00FF009C">
        <w:rPr>
          <w:noProof/>
        </w:rPr>
        <w:t>prz</w:t>
      </w:r>
      <w:r w:rsidRPr="00FF009C">
        <w:rPr>
          <w:noProof/>
        </w:rPr>
        <w:t>emytem migrantów załadowanych przez państwa członkowskie do systemu informacyjnego Europolu. Odsetek tych encji „Osoba”,</w:t>
      </w:r>
      <w:r w:rsidR="00FF009C" w:rsidRPr="00FF009C">
        <w:rPr>
          <w:noProof/>
        </w:rPr>
        <w:t xml:space="preserve"> w</w:t>
      </w:r>
      <w:r w:rsidR="00FF009C">
        <w:rPr>
          <w:noProof/>
        </w:rPr>
        <w:t> </w:t>
      </w:r>
      <w:r w:rsidR="00FF009C" w:rsidRPr="00FF009C">
        <w:rPr>
          <w:noProof/>
        </w:rPr>
        <w:t>odn</w:t>
      </w:r>
      <w:r w:rsidRPr="00FF009C">
        <w:rPr>
          <w:noProof/>
        </w:rPr>
        <w:t xml:space="preserve">iesieniu do których załadowano informacje biometryczne </w:t>
      </w:r>
    </w:p>
    <w:p w14:paraId="742CFA54" w14:textId="5DA5A079" w:rsidR="00AB4A6F" w:rsidRPr="00FF009C" w:rsidRDefault="00AB4A6F" w:rsidP="00AB4A6F">
      <w:pPr>
        <w:pStyle w:val="Text1"/>
        <w:pBdr>
          <w:top w:val="single" w:sz="4" w:space="1" w:color="auto"/>
          <w:left w:val="single" w:sz="4" w:space="1" w:color="auto"/>
          <w:bottom w:val="single" w:sz="4" w:space="1" w:color="auto"/>
          <w:right w:val="single" w:sz="4" w:space="1" w:color="auto"/>
        </w:pBdr>
        <w:rPr>
          <w:noProof/>
        </w:rPr>
      </w:pPr>
      <w:r w:rsidRPr="00FF009C">
        <w:rPr>
          <w:noProof/>
        </w:rPr>
        <w:t>Liczba nowych przypadków przemytu migrantów [wartość bazowa</w:t>
      </w:r>
      <w:r w:rsidR="00FF009C" w:rsidRPr="00FF009C">
        <w:rPr>
          <w:noProof/>
        </w:rPr>
        <w:t xml:space="preserve"> w</w:t>
      </w:r>
      <w:r w:rsidR="00FF009C">
        <w:rPr>
          <w:noProof/>
        </w:rPr>
        <w:t> </w:t>
      </w:r>
      <w:r w:rsidR="00FF009C" w:rsidRPr="00FF009C">
        <w:rPr>
          <w:noProof/>
        </w:rPr>
        <w:t>2</w:t>
      </w:r>
      <w:r w:rsidRPr="00FF009C">
        <w:rPr>
          <w:noProof/>
        </w:rPr>
        <w:t>022</w:t>
      </w:r>
      <w:r w:rsidR="00FF009C" w:rsidRPr="00FF009C">
        <w:rPr>
          <w:noProof/>
        </w:rPr>
        <w:t> </w:t>
      </w:r>
      <w:r w:rsidRPr="00FF009C">
        <w:rPr>
          <w:noProof/>
        </w:rPr>
        <w:t>r.: 4889; brak wartości docelowej]</w:t>
      </w:r>
    </w:p>
    <w:p w14:paraId="7C8C583B" w14:textId="3936E005" w:rsidR="00AB4A6F" w:rsidRPr="00FF009C" w:rsidRDefault="00AB4A6F" w:rsidP="00AB4A6F">
      <w:pPr>
        <w:pStyle w:val="Text1"/>
        <w:pBdr>
          <w:top w:val="single" w:sz="4" w:space="1" w:color="auto"/>
          <w:left w:val="single" w:sz="4" w:space="1" w:color="auto"/>
          <w:bottom w:val="single" w:sz="4" w:space="1" w:color="auto"/>
          <w:right w:val="single" w:sz="4" w:space="1" w:color="auto"/>
        </w:pBdr>
        <w:rPr>
          <w:noProof/>
        </w:rPr>
      </w:pPr>
      <w:r w:rsidRPr="00FF009C">
        <w:rPr>
          <w:noProof/>
        </w:rPr>
        <w:t>Liczba nowych podejrzanych</w:t>
      </w:r>
      <w:r w:rsidR="00FF009C" w:rsidRPr="00FF009C">
        <w:rPr>
          <w:noProof/>
        </w:rPr>
        <w:t xml:space="preserve"> o</w:t>
      </w:r>
      <w:r w:rsidR="00FF009C">
        <w:rPr>
          <w:noProof/>
        </w:rPr>
        <w:t> </w:t>
      </w:r>
      <w:r w:rsidR="00FF009C" w:rsidRPr="00FF009C">
        <w:rPr>
          <w:noProof/>
        </w:rPr>
        <w:t>dop</w:t>
      </w:r>
      <w:r w:rsidRPr="00FF009C">
        <w:rPr>
          <w:noProof/>
        </w:rPr>
        <w:t>uszczanie się przemytu migrantów [wartość bazowa</w:t>
      </w:r>
      <w:r w:rsidR="00FF009C" w:rsidRPr="00FF009C">
        <w:rPr>
          <w:noProof/>
        </w:rPr>
        <w:t xml:space="preserve"> w</w:t>
      </w:r>
      <w:r w:rsidR="00FF009C">
        <w:rPr>
          <w:noProof/>
        </w:rPr>
        <w:t> </w:t>
      </w:r>
      <w:r w:rsidR="00FF009C" w:rsidRPr="00FF009C">
        <w:rPr>
          <w:noProof/>
        </w:rPr>
        <w:t>2</w:t>
      </w:r>
      <w:r w:rsidRPr="00FF009C">
        <w:rPr>
          <w:noProof/>
        </w:rPr>
        <w:t>019</w:t>
      </w:r>
      <w:r w:rsidR="00FF009C" w:rsidRPr="00FF009C">
        <w:rPr>
          <w:noProof/>
        </w:rPr>
        <w:t> </w:t>
      </w:r>
      <w:r w:rsidRPr="00FF009C">
        <w:rPr>
          <w:noProof/>
        </w:rPr>
        <w:t xml:space="preserve">r.: 10989; brak wartości docelowej] </w:t>
      </w:r>
    </w:p>
    <w:p w14:paraId="2F21C90B" w14:textId="5958C0B5" w:rsidR="00AB4A6F" w:rsidRPr="00FF009C" w:rsidRDefault="00AB4A6F" w:rsidP="00AB4A6F">
      <w:pPr>
        <w:pStyle w:val="Text1"/>
        <w:pBdr>
          <w:top w:val="single" w:sz="4" w:space="1" w:color="auto"/>
          <w:left w:val="single" w:sz="4" w:space="1" w:color="auto"/>
          <w:bottom w:val="single" w:sz="4" w:space="1" w:color="auto"/>
          <w:right w:val="single" w:sz="4" w:space="1" w:color="auto"/>
        </w:pBdr>
        <w:rPr>
          <w:noProof/>
        </w:rPr>
      </w:pPr>
      <w:r w:rsidRPr="00FF009C">
        <w:rPr>
          <w:noProof/>
        </w:rPr>
        <w:t>Liczba wniosków</w:t>
      </w:r>
      <w:r w:rsidR="00FF009C" w:rsidRPr="00FF009C">
        <w:rPr>
          <w:noProof/>
        </w:rPr>
        <w:t xml:space="preserve"> o</w:t>
      </w:r>
      <w:r w:rsidR="00FF009C">
        <w:rPr>
          <w:noProof/>
        </w:rPr>
        <w:t> </w:t>
      </w:r>
      <w:r w:rsidR="00FF009C" w:rsidRPr="00FF009C">
        <w:rPr>
          <w:noProof/>
        </w:rPr>
        <w:t>wsz</w:t>
      </w:r>
      <w:r w:rsidRPr="00FF009C">
        <w:rPr>
          <w:noProof/>
        </w:rPr>
        <w:t>częcie postępowania przygotowawczego</w:t>
      </w:r>
      <w:r w:rsidR="00FF009C" w:rsidRPr="00FF009C">
        <w:rPr>
          <w:noProof/>
        </w:rPr>
        <w:t xml:space="preserve"> w</w:t>
      </w:r>
      <w:r w:rsidR="00FF009C">
        <w:rPr>
          <w:noProof/>
        </w:rPr>
        <w:t> </w:t>
      </w:r>
      <w:r w:rsidR="00FF009C" w:rsidRPr="00FF009C">
        <w:rPr>
          <w:noProof/>
        </w:rPr>
        <w:t>spr</w:t>
      </w:r>
      <w:r w:rsidRPr="00FF009C">
        <w:rPr>
          <w:noProof/>
        </w:rPr>
        <w:t>awie przemytu migrantów złożonych przez Europol [brak wartości docelowej]</w:t>
      </w:r>
    </w:p>
    <w:p w14:paraId="3E2A7D58" w14:textId="5F0100DD" w:rsidR="00AB4A6F" w:rsidRPr="00FF009C" w:rsidRDefault="00AB4A6F" w:rsidP="00AB4A6F">
      <w:pPr>
        <w:pStyle w:val="Text1"/>
        <w:pBdr>
          <w:top w:val="single" w:sz="4" w:space="1" w:color="auto"/>
          <w:left w:val="single" w:sz="4" w:space="1" w:color="auto"/>
          <w:bottom w:val="single" w:sz="4" w:space="1" w:color="auto"/>
          <w:right w:val="single" w:sz="4" w:space="1" w:color="auto"/>
        </w:pBdr>
        <w:rPr>
          <w:noProof/>
        </w:rPr>
      </w:pPr>
      <w:r w:rsidRPr="00FF009C">
        <w:rPr>
          <w:b/>
          <w:noProof/>
        </w:rPr>
        <w:t>Cel szczegółowy nr</w:t>
      </w:r>
      <w:r w:rsidR="00FF009C" w:rsidRPr="00FF009C">
        <w:rPr>
          <w:b/>
          <w:noProof/>
        </w:rPr>
        <w:t> </w:t>
      </w:r>
      <w:r w:rsidRPr="00FF009C">
        <w:rPr>
          <w:b/>
          <w:noProof/>
        </w:rPr>
        <w:t>4: zapewnienie państwom członkowskim narzędzi niezbędnych do przeciwdziałania przemytowi migrantów</w:t>
      </w:r>
      <w:r w:rsidR="00FF009C" w:rsidRPr="00FF009C">
        <w:rPr>
          <w:b/>
          <w:noProof/>
        </w:rPr>
        <w:t xml:space="preserve"> i</w:t>
      </w:r>
      <w:r w:rsidR="00FF009C">
        <w:rPr>
          <w:b/>
          <w:noProof/>
        </w:rPr>
        <w:t> </w:t>
      </w:r>
      <w:r w:rsidR="00FF009C" w:rsidRPr="00FF009C">
        <w:rPr>
          <w:b/>
          <w:noProof/>
        </w:rPr>
        <w:t>inn</w:t>
      </w:r>
      <w:r w:rsidRPr="00FF009C">
        <w:rPr>
          <w:b/>
          <w:noProof/>
        </w:rPr>
        <w:t>ym przestępstwom wchodzącym</w:t>
      </w:r>
      <w:r w:rsidR="00FF009C" w:rsidRPr="00FF009C">
        <w:rPr>
          <w:b/>
          <w:noProof/>
        </w:rPr>
        <w:t xml:space="preserve"> w</w:t>
      </w:r>
      <w:r w:rsidR="00FF009C">
        <w:rPr>
          <w:b/>
          <w:noProof/>
        </w:rPr>
        <w:t> </w:t>
      </w:r>
      <w:r w:rsidR="00FF009C" w:rsidRPr="00FF009C">
        <w:rPr>
          <w:b/>
          <w:noProof/>
        </w:rPr>
        <w:t>zak</w:t>
      </w:r>
      <w:r w:rsidRPr="00FF009C">
        <w:rPr>
          <w:b/>
          <w:noProof/>
        </w:rPr>
        <w:t>res celów Europolu oraz zwalczania tych przestępstw</w:t>
      </w:r>
    </w:p>
    <w:p w14:paraId="7F176458" w14:textId="77777777" w:rsidR="00AB4A6F" w:rsidRPr="00FF009C" w:rsidRDefault="00AB4A6F" w:rsidP="00AB4A6F">
      <w:pPr>
        <w:pStyle w:val="Text1"/>
        <w:pBdr>
          <w:top w:val="single" w:sz="4" w:space="1" w:color="auto"/>
          <w:left w:val="single" w:sz="4" w:space="1" w:color="auto"/>
          <w:bottom w:val="single" w:sz="4" w:space="1" w:color="auto"/>
          <w:right w:val="single" w:sz="4" w:space="1" w:color="auto"/>
        </w:pBdr>
        <w:rPr>
          <w:noProof/>
        </w:rPr>
      </w:pPr>
      <w:r w:rsidRPr="00FF009C">
        <w:rPr>
          <w:noProof/>
        </w:rPr>
        <w:t>Liczba dni (wspólnych) działań koordynowanych/wspieranych przez Europejskie Centrum Zwalczania Przemytu Migrantów</w:t>
      </w:r>
    </w:p>
    <w:p w14:paraId="3F7179D5" w14:textId="77777777" w:rsidR="00AB4A6F" w:rsidRPr="00FF009C" w:rsidRDefault="00AB4A6F" w:rsidP="00AB4A6F">
      <w:pPr>
        <w:pStyle w:val="Text1"/>
        <w:pBdr>
          <w:top w:val="single" w:sz="4" w:space="1" w:color="auto"/>
          <w:left w:val="single" w:sz="4" w:space="1" w:color="auto"/>
          <w:bottom w:val="single" w:sz="4" w:space="1" w:color="auto"/>
          <w:right w:val="single" w:sz="4" w:space="1" w:color="auto"/>
        </w:pBdr>
        <w:rPr>
          <w:noProof/>
        </w:rPr>
      </w:pPr>
      <w:r w:rsidRPr="00FF009C">
        <w:rPr>
          <w:noProof/>
        </w:rPr>
        <w:t>Liczba powołanych operacyjnych grup zadaniowych zajmujących się problematyką przemytu migrantów</w:t>
      </w:r>
    </w:p>
    <w:p w14:paraId="7F5BAF93" w14:textId="77777777" w:rsidR="00AB4A6F" w:rsidRPr="00FF009C" w:rsidRDefault="00AB4A6F" w:rsidP="00AB4A6F">
      <w:pPr>
        <w:pStyle w:val="Text1"/>
        <w:pBdr>
          <w:top w:val="single" w:sz="4" w:space="1" w:color="auto"/>
          <w:left w:val="single" w:sz="4" w:space="1" w:color="auto"/>
          <w:bottom w:val="single" w:sz="4" w:space="1" w:color="auto"/>
          <w:right w:val="single" w:sz="4" w:space="1" w:color="auto"/>
        </w:pBdr>
        <w:rPr>
          <w:noProof/>
        </w:rPr>
      </w:pPr>
      <w:r w:rsidRPr="00FF009C">
        <w:rPr>
          <w:noProof/>
        </w:rPr>
        <w:t>Liczba powołanych operacyjnych grup zadaniowych zajmujących się problematyką handlu ludźmi</w:t>
      </w:r>
    </w:p>
    <w:p w14:paraId="7B6B9A60" w14:textId="44A6C857" w:rsidR="00AB4A6F" w:rsidRPr="00FF009C" w:rsidRDefault="00AB4A6F" w:rsidP="00AB4A6F">
      <w:pPr>
        <w:pStyle w:val="Text1"/>
        <w:pBdr>
          <w:top w:val="single" w:sz="4" w:space="1" w:color="auto"/>
          <w:left w:val="single" w:sz="4" w:space="1" w:color="auto"/>
          <w:bottom w:val="single" w:sz="4" w:space="1" w:color="auto"/>
          <w:right w:val="single" w:sz="4" w:space="1" w:color="auto"/>
        </w:pBdr>
        <w:rPr>
          <w:noProof/>
        </w:rPr>
      </w:pPr>
      <w:r w:rsidRPr="00FF009C">
        <w:rPr>
          <w:noProof/>
        </w:rPr>
        <w:t>Liczba zidentyfikowanych aktywnych celów</w:t>
      </w:r>
      <w:r w:rsidR="00FF009C" w:rsidRPr="00FF009C">
        <w:rPr>
          <w:noProof/>
        </w:rPr>
        <w:t xml:space="preserve"> o</w:t>
      </w:r>
      <w:r w:rsidR="00FF009C">
        <w:rPr>
          <w:noProof/>
        </w:rPr>
        <w:t> </w:t>
      </w:r>
      <w:r w:rsidR="00FF009C" w:rsidRPr="00FF009C">
        <w:rPr>
          <w:noProof/>
        </w:rPr>
        <w:t>duż</w:t>
      </w:r>
      <w:r w:rsidRPr="00FF009C">
        <w:rPr>
          <w:noProof/>
        </w:rPr>
        <w:t>ym znaczeniu [wartość bazowa</w:t>
      </w:r>
      <w:r w:rsidR="00FF009C" w:rsidRPr="00FF009C">
        <w:rPr>
          <w:noProof/>
        </w:rPr>
        <w:t xml:space="preserve"> w</w:t>
      </w:r>
      <w:r w:rsidR="00FF009C">
        <w:rPr>
          <w:noProof/>
        </w:rPr>
        <w:t> </w:t>
      </w:r>
      <w:r w:rsidR="00FF009C" w:rsidRPr="00FF009C">
        <w:rPr>
          <w:noProof/>
        </w:rPr>
        <w:t>2</w:t>
      </w:r>
      <w:r w:rsidRPr="00FF009C">
        <w:rPr>
          <w:noProof/>
        </w:rPr>
        <w:t>022</w:t>
      </w:r>
      <w:r w:rsidR="00FF009C" w:rsidRPr="00FF009C">
        <w:rPr>
          <w:noProof/>
        </w:rPr>
        <w:t> </w:t>
      </w:r>
      <w:r w:rsidRPr="00FF009C">
        <w:rPr>
          <w:noProof/>
        </w:rPr>
        <w:t>r.: 24; brak wartości docelowej]/Liczba aresztowanych lub unieszkodliwionych celów</w:t>
      </w:r>
      <w:r w:rsidR="00FF009C" w:rsidRPr="00FF009C">
        <w:rPr>
          <w:noProof/>
        </w:rPr>
        <w:t xml:space="preserve"> o</w:t>
      </w:r>
      <w:r w:rsidR="00FF009C">
        <w:rPr>
          <w:noProof/>
        </w:rPr>
        <w:t> </w:t>
      </w:r>
      <w:r w:rsidR="00FF009C" w:rsidRPr="00FF009C">
        <w:rPr>
          <w:noProof/>
        </w:rPr>
        <w:t>duż</w:t>
      </w:r>
      <w:r w:rsidRPr="00FF009C">
        <w:rPr>
          <w:noProof/>
        </w:rPr>
        <w:t>ym znaczeniu</w:t>
      </w:r>
      <w:r w:rsidR="00FF009C" w:rsidRPr="00FF009C">
        <w:rPr>
          <w:noProof/>
        </w:rPr>
        <w:t xml:space="preserve"> w</w:t>
      </w:r>
      <w:r w:rsidR="00FF009C">
        <w:rPr>
          <w:noProof/>
        </w:rPr>
        <w:t> </w:t>
      </w:r>
      <w:r w:rsidR="00FF009C" w:rsidRPr="00FF009C">
        <w:rPr>
          <w:noProof/>
        </w:rPr>
        <w:t>obs</w:t>
      </w:r>
      <w:r w:rsidRPr="00FF009C">
        <w:rPr>
          <w:noProof/>
        </w:rPr>
        <w:t>zarze przemytu migrantów</w:t>
      </w:r>
      <w:r w:rsidR="00FF009C" w:rsidRPr="00FF009C">
        <w:rPr>
          <w:noProof/>
        </w:rPr>
        <w:t xml:space="preserve"> i</w:t>
      </w:r>
      <w:r w:rsidR="00FF009C">
        <w:rPr>
          <w:noProof/>
        </w:rPr>
        <w:t> </w:t>
      </w:r>
      <w:r w:rsidR="00FF009C" w:rsidRPr="00FF009C">
        <w:rPr>
          <w:noProof/>
        </w:rPr>
        <w:t>han</w:t>
      </w:r>
      <w:r w:rsidRPr="00FF009C">
        <w:rPr>
          <w:noProof/>
        </w:rPr>
        <w:t xml:space="preserve">dlu ludźmi </w:t>
      </w:r>
    </w:p>
    <w:p w14:paraId="6A0E5E5E" w14:textId="05D43129" w:rsidR="00AB4A6F" w:rsidRPr="00FF009C" w:rsidRDefault="00AB4A6F" w:rsidP="00AB4A6F">
      <w:pPr>
        <w:pStyle w:val="Text1"/>
        <w:pBdr>
          <w:top w:val="single" w:sz="4" w:space="1" w:color="auto"/>
          <w:left w:val="single" w:sz="4" w:space="1" w:color="auto"/>
          <w:bottom w:val="single" w:sz="4" w:space="1" w:color="auto"/>
          <w:right w:val="single" w:sz="4" w:space="1" w:color="auto"/>
        </w:pBdr>
        <w:rPr>
          <w:noProof/>
        </w:rPr>
      </w:pPr>
      <w:r w:rsidRPr="00FF009C">
        <w:rPr>
          <w:noProof/>
        </w:rPr>
        <w:t>Liczba państw członkowskich wchodzących</w:t>
      </w:r>
      <w:r w:rsidR="00FF009C" w:rsidRPr="00FF009C">
        <w:rPr>
          <w:noProof/>
        </w:rPr>
        <w:t xml:space="preserve"> w</w:t>
      </w:r>
      <w:r w:rsidR="00FF009C">
        <w:rPr>
          <w:noProof/>
        </w:rPr>
        <w:t> </w:t>
      </w:r>
      <w:r w:rsidR="00FF009C" w:rsidRPr="00FF009C">
        <w:rPr>
          <w:noProof/>
        </w:rPr>
        <w:t>skł</w:t>
      </w:r>
      <w:r w:rsidRPr="00FF009C">
        <w:rPr>
          <w:noProof/>
        </w:rPr>
        <w:t>ad grupy zadaniowej zajmującej się problematyką przemytu migrantów lub handlu ludźmi</w:t>
      </w:r>
    </w:p>
    <w:p w14:paraId="444721FA" w14:textId="77777777" w:rsidR="00AB4A6F" w:rsidRPr="00FF009C" w:rsidRDefault="00AB4A6F" w:rsidP="00AB4A6F">
      <w:pPr>
        <w:pStyle w:val="Text1"/>
        <w:pBdr>
          <w:top w:val="single" w:sz="4" w:space="1" w:color="auto"/>
          <w:left w:val="single" w:sz="4" w:space="1" w:color="auto"/>
          <w:bottom w:val="single" w:sz="4" w:space="1" w:color="auto"/>
          <w:right w:val="single" w:sz="4" w:space="1" w:color="auto"/>
        </w:pBdr>
        <w:rPr>
          <w:noProof/>
        </w:rPr>
      </w:pPr>
      <w:r w:rsidRPr="00FF009C">
        <w:rPr>
          <w:noProof/>
        </w:rPr>
        <w:t>Liczba rozmieszczeń zaproszonych funkcjonariuszy (liczba miesięcy rozmieszczenia)</w:t>
      </w:r>
    </w:p>
    <w:p w14:paraId="77EF47E3" w14:textId="77777777" w:rsidR="00AB4A6F" w:rsidRPr="00FF009C" w:rsidRDefault="00AB4A6F" w:rsidP="00AB4A6F">
      <w:pPr>
        <w:pStyle w:val="Text1"/>
        <w:pBdr>
          <w:top w:val="single" w:sz="4" w:space="1" w:color="auto"/>
          <w:left w:val="single" w:sz="4" w:space="1" w:color="auto"/>
          <w:bottom w:val="single" w:sz="4" w:space="1" w:color="auto"/>
          <w:right w:val="single" w:sz="4" w:space="1" w:color="auto"/>
        </w:pBdr>
        <w:rPr>
          <w:noProof/>
        </w:rPr>
      </w:pPr>
      <w:r w:rsidRPr="00FF009C">
        <w:rPr>
          <w:noProof/>
        </w:rPr>
        <w:t>Liczba oddelegowanych ekspertów krajowych wybranych do oddelegowania krótkoterminowego</w:t>
      </w:r>
    </w:p>
    <w:p w14:paraId="31A5C807" w14:textId="7E386B9D" w:rsidR="00AB4A6F" w:rsidRPr="00FF009C" w:rsidRDefault="00AB4A6F" w:rsidP="00AB4A6F">
      <w:pPr>
        <w:pStyle w:val="Text1"/>
        <w:pBdr>
          <w:top w:val="single" w:sz="4" w:space="1" w:color="auto"/>
          <w:left w:val="single" w:sz="4" w:space="1" w:color="auto"/>
          <w:bottom w:val="single" w:sz="4" w:space="1" w:color="auto"/>
          <w:right w:val="single" w:sz="4" w:space="1" w:color="auto"/>
        </w:pBdr>
        <w:rPr>
          <w:noProof/>
        </w:rPr>
      </w:pPr>
      <w:r w:rsidRPr="00FF009C">
        <w:rPr>
          <w:noProof/>
        </w:rPr>
        <w:t>Liczba wniosków</w:t>
      </w:r>
      <w:r w:rsidR="00FF009C" w:rsidRPr="00FF009C">
        <w:rPr>
          <w:noProof/>
        </w:rPr>
        <w:t xml:space="preserve"> o</w:t>
      </w:r>
      <w:r w:rsidR="00FF009C">
        <w:rPr>
          <w:noProof/>
        </w:rPr>
        <w:t> </w:t>
      </w:r>
      <w:r w:rsidR="00FF009C" w:rsidRPr="00FF009C">
        <w:rPr>
          <w:noProof/>
        </w:rPr>
        <w:t>dok</w:t>
      </w:r>
      <w:r w:rsidRPr="00FF009C">
        <w:rPr>
          <w:noProof/>
        </w:rPr>
        <w:t>onanie rozmieszczenia</w:t>
      </w:r>
      <w:r w:rsidR="00FF009C" w:rsidRPr="00FF009C">
        <w:rPr>
          <w:noProof/>
        </w:rPr>
        <w:t xml:space="preserve"> i</w:t>
      </w:r>
      <w:r w:rsidR="00FF009C">
        <w:rPr>
          <w:noProof/>
        </w:rPr>
        <w:t> </w:t>
      </w:r>
      <w:r w:rsidR="00FF009C" w:rsidRPr="00FF009C">
        <w:rPr>
          <w:noProof/>
        </w:rPr>
        <w:t>lic</w:t>
      </w:r>
      <w:r w:rsidRPr="00FF009C">
        <w:rPr>
          <w:noProof/>
        </w:rPr>
        <w:t>zba rozmieszczeń dokonanych</w:t>
      </w:r>
      <w:r w:rsidR="00FF009C" w:rsidRPr="00FF009C">
        <w:rPr>
          <w:noProof/>
        </w:rPr>
        <w:t xml:space="preserve"> w</w:t>
      </w:r>
      <w:r w:rsidR="00FF009C">
        <w:rPr>
          <w:noProof/>
        </w:rPr>
        <w:t> </w:t>
      </w:r>
      <w:r w:rsidR="00FF009C" w:rsidRPr="00FF009C">
        <w:rPr>
          <w:noProof/>
        </w:rPr>
        <w:t>ram</w:t>
      </w:r>
      <w:r w:rsidRPr="00FF009C">
        <w:rPr>
          <w:noProof/>
        </w:rPr>
        <w:t>ach wsparcia operacyjnego</w:t>
      </w:r>
      <w:r w:rsidR="00FF009C" w:rsidRPr="00FF009C">
        <w:rPr>
          <w:noProof/>
        </w:rPr>
        <w:t xml:space="preserve"> w</w:t>
      </w:r>
      <w:r w:rsidR="00FF009C">
        <w:rPr>
          <w:noProof/>
        </w:rPr>
        <w:t> </w:t>
      </w:r>
      <w:r w:rsidR="00FF009C" w:rsidRPr="00FF009C">
        <w:rPr>
          <w:noProof/>
        </w:rPr>
        <w:t>zwi</w:t>
      </w:r>
      <w:r w:rsidRPr="00FF009C">
        <w:rPr>
          <w:noProof/>
        </w:rPr>
        <w:t>ązku</w:t>
      </w:r>
      <w:r w:rsidR="00FF009C" w:rsidRPr="00FF009C">
        <w:rPr>
          <w:noProof/>
        </w:rPr>
        <w:t xml:space="preserve"> z</w:t>
      </w:r>
      <w:r w:rsidR="00FF009C">
        <w:rPr>
          <w:noProof/>
        </w:rPr>
        <w:t> </w:t>
      </w:r>
      <w:r w:rsidR="00FF009C" w:rsidRPr="00FF009C">
        <w:rPr>
          <w:noProof/>
        </w:rPr>
        <w:t>prz</w:t>
      </w:r>
      <w:r w:rsidRPr="00FF009C">
        <w:rPr>
          <w:noProof/>
        </w:rPr>
        <w:t>emytem migrantów</w:t>
      </w:r>
      <w:r w:rsidR="00FF009C" w:rsidRPr="00FF009C">
        <w:rPr>
          <w:noProof/>
        </w:rPr>
        <w:t xml:space="preserve"> i</w:t>
      </w:r>
      <w:r w:rsidR="00FF009C">
        <w:rPr>
          <w:noProof/>
        </w:rPr>
        <w:t> </w:t>
      </w:r>
      <w:r w:rsidR="00FF009C" w:rsidRPr="00FF009C">
        <w:rPr>
          <w:noProof/>
        </w:rPr>
        <w:t>han</w:t>
      </w:r>
      <w:r w:rsidRPr="00FF009C">
        <w:rPr>
          <w:noProof/>
        </w:rPr>
        <w:t>dlem ludźmi</w:t>
      </w:r>
    </w:p>
    <w:p w14:paraId="3FF7720F" w14:textId="5DF35776" w:rsidR="00AB4A6F" w:rsidRPr="00FF009C" w:rsidRDefault="00AB4A6F" w:rsidP="00AB4A6F">
      <w:pPr>
        <w:pStyle w:val="Text1"/>
        <w:pBdr>
          <w:top w:val="single" w:sz="4" w:space="1" w:color="auto"/>
          <w:left w:val="single" w:sz="4" w:space="1" w:color="auto"/>
          <w:bottom w:val="single" w:sz="4" w:space="1" w:color="auto"/>
          <w:right w:val="single" w:sz="4" w:space="1" w:color="auto"/>
        </w:pBdr>
        <w:rPr>
          <w:noProof/>
        </w:rPr>
      </w:pPr>
      <w:r w:rsidRPr="00FF009C">
        <w:rPr>
          <w:noProof/>
        </w:rPr>
        <w:t>Ilość treści związanych</w:t>
      </w:r>
      <w:r w:rsidR="00FF009C" w:rsidRPr="00FF009C">
        <w:rPr>
          <w:noProof/>
        </w:rPr>
        <w:t xml:space="preserve"> z</w:t>
      </w:r>
      <w:r w:rsidR="00FF009C">
        <w:rPr>
          <w:noProof/>
        </w:rPr>
        <w:t> </w:t>
      </w:r>
      <w:r w:rsidR="00FF009C" w:rsidRPr="00FF009C">
        <w:rPr>
          <w:noProof/>
        </w:rPr>
        <w:t>prz</w:t>
      </w:r>
      <w:r w:rsidRPr="00FF009C">
        <w:rPr>
          <w:noProof/>
        </w:rPr>
        <w:t>emytem migrantów, handlem ludźmi</w:t>
      </w:r>
      <w:r w:rsidR="00FF009C" w:rsidRPr="00FF009C">
        <w:rPr>
          <w:noProof/>
        </w:rPr>
        <w:t xml:space="preserve"> i</w:t>
      </w:r>
      <w:r w:rsidR="00FF009C">
        <w:rPr>
          <w:noProof/>
        </w:rPr>
        <w:t> </w:t>
      </w:r>
      <w:r w:rsidR="00FF009C" w:rsidRPr="00FF009C">
        <w:rPr>
          <w:noProof/>
        </w:rPr>
        <w:t>inn</w:t>
      </w:r>
      <w:r w:rsidRPr="00FF009C">
        <w:rPr>
          <w:noProof/>
        </w:rPr>
        <w:t>ymi powiązanymi przestępstwami ocenionych przez unijną jednostkę ds. zgłaszania podejrzanych treści</w:t>
      </w:r>
      <w:r w:rsidR="00FF009C" w:rsidRPr="00FF009C">
        <w:rPr>
          <w:noProof/>
        </w:rPr>
        <w:t xml:space="preserve"> w</w:t>
      </w:r>
      <w:r w:rsidR="00FF009C">
        <w:rPr>
          <w:noProof/>
        </w:rPr>
        <w:t> </w:t>
      </w:r>
      <w:r w:rsidR="00FF009C" w:rsidRPr="00FF009C">
        <w:rPr>
          <w:noProof/>
        </w:rPr>
        <w:t>int</w:t>
      </w:r>
      <w:r w:rsidRPr="00FF009C">
        <w:rPr>
          <w:noProof/>
        </w:rPr>
        <w:t>ernecie</w:t>
      </w:r>
    </w:p>
    <w:p w14:paraId="12DF8829" w14:textId="67FD9983" w:rsidR="00AB4A6F" w:rsidRPr="00FF009C" w:rsidRDefault="00AB4A6F" w:rsidP="00AB4A6F">
      <w:pPr>
        <w:pStyle w:val="Text1"/>
        <w:pBdr>
          <w:top w:val="single" w:sz="4" w:space="1" w:color="auto"/>
          <w:left w:val="single" w:sz="4" w:space="1" w:color="auto"/>
          <w:bottom w:val="single" w:sz="4" w:space="1" w:color="auto"/>
          <w:right w:val="single" w:sz="4" w:space="1" w:color="auto"/>
        </w:pBdr>
        <w:rPr>
          <w:noProof/>
        </w:rPr>
      </w:pPr>
      <w:r w:rsidRPr="00FF009C">
        <w:rPr>
          <w:noProof/>
        </w:rPr>
        <w:t>Liczba wniosków</w:t>
      </w:r>
      <w:r w:rsidR="00FF009C" w:rsidRPr="00FF009C">
        <w:rPr>
          <w:noProof/>
        </w:rPr>
        <w:t xml:space="preserve"> o</w:t>
      </w:r>
      <w:r w:rsidR="00FF009C">
        <w:rPr>
          <w:noProof/>
        </w:rPr>
        <w:t> </w:t>
      </w:r>
      <w:r w:rsidR="00FF009C" w:rsidRPr="00FF009C">
        <w:rPr>
          <w:noProof/>
        </w:rPr>
        <w:t>udz</w:t>
      </w:r>
      <w:r w:rsidRPr="00FF009C">
        <w:rPr>
          <w:noProof/>
        </w:rPr>
        <w:t>ielenie dotacji na potrzeby operacyjnych grup zadaniowych zajmujących się problematyką przemytu migrantów</w:t>
      </w:r>
      <w:r w:rsidR="00FF009C" w:rsidRPr="00FF009C">
        <w:rPr>
          <w:noProof/>
        </w:rPr>
        <w:t xml:space="preserve"> i</w:t>
      </w:r>
      <w:r w:rsidR="00FF009C">
        <w:rPr>
          <w:noProof/>
        </w:rPr>
        <w:t> </w:t>
      </w:r>
      <w:r w:rsidR="00FF009C" w:rsidRPr="00FF009C">
        <w:rPr>
          <w:noProof/>
        </w:rPr>
        <w:t>han</w:t>
      </w:r>
      <w:r w:rsidRPr="00FF009C">
        <w:rPr>
          <w:noProof/>
        </w:rPr>
        <w:t>dlu ludźmi</w:t>
      </w:r>
    </w:p>
    <w:p w14:paraId="24775727" w14:textId="3671C637" w:rsidR="00AB4A6F" w:rsidRPr="00FF009C" w:rsidRDefault="00AB4A6F" w:rsidP="00AB4A6F">
      <w:pPr>
        <w:pStyle w:val="Text1"/>
        <w:pBdr>
          <w:top w:val="single" w:sz="4" w:space="1" w:color="auto"/>
          <w:left w:val="single" w:sz="4" w:space="1" w:color="auto"/>
          <w:bottom w:val="single" w:sz="4" w:space="1" w:color="auto"/>
          <w:right w:val="single" w:sz="4" w:space="1" w:color="auto"/>
        </w:pBdr>
        <w:rPr>
          <w:noProof/>
        </w:rPr>
      </w:pPr>
      <w:r w:rsidRPr="00FF009C">
        <w:rPr>
          <w:noProof/>
        </w:rPr>
        <w:t>Liczba działań operacyjnych opracowanych</w:t>
      </w:r>
      <w:r w:rsidR="00FF009C" w:rsidRPr="00FF009C">
        <w:rPr>
          <w:noProof/>
        </w:rPr>
        <w:t xml:space="preserve"> i</w:t>
      </w:r>
      <w:r w:rsidR="00FF009C">
        <w:rPr>
          <w:noProof/>
        </w:rPr>
        <w:t> </w:t>
      </w:r>
      <w:r w:rsidR="00FF009C" w:rsidRPr="00FF009C">
        <w:rPr>
          <w:noProof/>
        </w:rPr>
        <w:t>obj</w:t>
      </w:r>
      <w:r w:rsidRPr="00FF009C">
        <w:rPr>
          <w:noProof/>
        </w:rPr>
        <w:t>ętych wsparciem</w:t>
      </w:r>
      <w:r w:rsidR="00FF009C" w:rsidRPr="00FF009C">
        <w:rPr>
          <w:noProof/>
        </w:rPr>
        <w:t xml:space="preserve"> w</w:t>
      </w:r>
      <w:r w:rsidR="00FF009C">
        <w:rPr>
          <w:noProof/>
        </w:rPr>
        <w:t> </w:t>
      </w:r>
      <w:r w:rsidR="00FF009C" w:rsidRPr="00FF009C">
        <w:rPr>
          <w:noProof/>
        </w:rPr>
        <w:t>ram</w:t>
      </w:r>
      <w:r w:rsidRPr="00FF009C">
        <w:rPr>
          <w:noProof/>
        </w:rPr>
        <w:t>ach odpowiednich planów działań operacyjnych EMPACT</w:t>
      </w:r>
    </w:p>
    <w:p w14:paraId="115726DF" w14:textId="164D449F" w:rsidR="00AB4A6F" w:rsidRPr="00FF009C" w:rsidRDefault="00AB4A6F" w:rsidP="00AB4A6F">
      <w:pPr>
        <w:pStyle w:val="Text1"/>
        <w:pBdr>
          <w:top w:val="single" w:sz="4" w:space="1" w:color="auto"/>
          <w:left w:val="single" w:sz="4" w:space="1" w:color="auto"/>
          <w:bottom w:val="single" w:sz="4" w:space="1" w:color="auto"/>
          <w:right w:val="single" w:sz="4" w:space="1" w:color="auto"/>
        </w:pBdr>
        <w:rPr>
          <w:noProof/>
        </w:rPr>
      </w:pPr>
      <w:r w:rsidRPr="00FF009C">
        <w:rPr>
          <w:noProof/>
        </w:rPr>
        <w:t>Liczba złożonych, przetworzonych</w:t>
      </w:r>
      <w:r w:rsidR="00FF009C" w:rsidRPr="00FF009C">
        <w:rPr>
          <w:noProof/>
        </w:rPr>
        <w:t xml:space="preserve"> i</w:t>
      </w:r>
      <w:r w:rsidR="00FF009C">
        <w:rPr>
          <w:noProof/>
        </w:rPr>
        <w:t> </w:t>
      </w:r>
      <w:r w:rsidR="00FF009C" w:rsidRPr="00FF009C">
        <w:rPr>
          <w:noProof/>
        </w:rPr>
        <w:t>poz</w:t>
      </w:r>
      <w:r w:rsidRPr="00FF009C">
        <w:rPr>
          <w:noProof/>
        </w:rPr>
        <w:t>ytywnie rozpatrzonych wniosków</w:t>
      </w:r>
      <w:r w:rsidR="00FF009C" w:rsidRPr="00FF009C">
        <w:rPr>
          <w:noProof/>
        </w:rPr>
        <w:t xml:space="preserve"> o</w:t>
      </w:r>
      <w:r w:rsidR="00FF009C">
        <w:rPr>
          <w:noProof/>
        </w:rPr>
        <w:t> </w:t>
      </w:r>
      <w:r w:rsidR="00FF009C" w:rsidRPr="00FF009C">
        <w:rPr>
          <w:noProof/>
        </w:rPr>
        <w:t>udz</w:t>
      </w:r>
      <w:r w:rsidRPr="00FF009C">
        <w:rPr>
          <w:noProof/>
        </w:rPr>
        <w:t>ielenie dotacji</w:t>
      </w:r>
      <w:r w:rsidR="00FF009C" w:rsidRPr="00FF009C">
        <w:rPr>
          <w:noProof/>
        </w:rPr>
        <w:t xml:space="preserve"> w</w:t>
      </w:r>
      <w:r w:rsidR="00FF009C">
        <w:rPr>
          <w:noProof/>
        </w:rPr>
        <w:t> </w:t>
      </w:r>
      <w:r w:rsidR="00FF009C" w:rsidRPr="00FF009C">
        <w:rPr>
          <w:noProof/>
        </w:rPr>
        <w:t>ram</w:t>
      </w:r>
      <w:r w:rsidRPr="00FF009C">
        <w:rPr>
          <w:noProof/>
        </w:rPr>
        <w:t>ach EMPACT (dotacje</w:t>
      </w:r>
      <w:r w:rsidR="00FF009C" w:rsidRPr="00FF009C">
        <w:rPr>
          <w:noProof/>
        </w:rPr>
        <w:t xml:space="preserve"> o</w:t>
      </w:r>
      <w:r w:rsidR="00FF009C">
        <w:rPr>
          <w:noProof/>
        </w:rPr>
        <w:t> </w:t>
      </w:r>
      <w:r w:rsidR="00FF009C" w:rsidRPr="00FF009C">
        <w:rPr>
          <w:noProof/>
        </w:rPr>
        <w:t>wys</w:t>
      </w:r>
      <w:r w:rsidRPr="00FF009C">
        <w:rPr>
          <w:noProof/>
        </w:rPr>
        <w:t>okiej wartości</w:t>
      </w:r>
      <w:r w:rsidR="00FF009C" w:rsidRPr="00FF009C">
        <w:rPr>
          <w:noProof/>
        </w:rPr>
        <w:t xml:space="preserve"> i</w:t>
      </w:r>
      <w:r w:rsidR="00FF009C">
        <w:rPr>
          <w:noProof/>
        </w:rPr>
        <w:t> </w:t>
      </w:r>
      <w:r w:rsidR="00FF009C" w:rsidRPr="00FF009C">
        <w:rPr>
          <w:noProof/>
        </w:rPr>
        <w:t>dot</w:t>
      </w:r>
      <w:r w:rsidRPr="00FF009C">
        <w:rPr>
          <w:noProof/>
        </w:rPr>
        <w:t>acje</w:t>
      </w:r>
      <w:r w:rsidR="00FF009C" w:rsidRPr="00FF009C">
        <w:rPr>
          <w:noProof/>
        </w:rPr>
        <w:t xml:space="preserve"> o</w:t>
      </w:r>
      <w:r w:rsidR="00FF009C">
        <w:rPr>
          <w:noProof/>
        </w:rPr>
        <w:t> </w:t>
      </w:r>
      <w:r w:rsidR="00FF009C" w:rsidRPr="00FF009C">
        <w:rPr>
          <w:noProof/>
        </w:rPr>
        <w:t>nis</w:t>
      </w:r>
      <w:r w:rsidRPr="00FF009C">
        <w:rPr>
          <w:noProof/>
        </w:rPr>
        <w:t>kiej wartości),</w:t>
      </w:r>
      <w:r w:rsidR="00FF009C" w:rsidRPr="00FF009C">
        <w:rPr>
          <w:noProof/>
        </w:rPr>
        <w:t xml:space="preserve"> z</w:t>
      </w:r>
      <w:r w:rsidR="00FF009C">
        <w:rPr>
          <w:noProof/>
        </w:rPr>
        <w:t> </w:t>
      </w:r>
      <w:r w:rsidR="00FF009C" w:rsidRPr="00FF009C">
        <w:rPr>
          <w:noProof/>
        </w:rPr>
        <w:t>uwz</w:t>
      </w:r>
      <w:r w:rsidRPr="00FF009C">
        <w:rPr>
          <w:noProof/>
        </w:rPr>
        <w:t>ględnieniem szczegółowych informacji na temat kwot przyznanych</w:t>
      </w:r>
      <w:r w:rsidR="00FF009C" w:rsidRPr="00FF009C">
        <w:rPr>
          <w:noProof/>
        </w:rPr>
        <w:t xml:space="preserve"> w</w:t>
      </w:r>
      <w:r w:rsidR="00FF009C">
        <w:rPr>
          <w:noProof/>
        </w:rPr>
        <w:t> </w:t>
      </w:r>
      <w:r w:rsidR="00FF009C" w:rsidRPr="00FF009C">
        <w:rPr>
          <w:noProof/>
        </w:rPr>
        <w:t>obs</w:t>
      </w:r>
      <w:r w:rsidRPr="00FF009C">
        <w:rPr>
          <w:noProof/>
        </w:rPr>
        <w:t>zarze przemytu migrantów</w:t>
      </w:r>
      <w:r w:rsidR="00FF009C" w:rsidRPr="00FF009C">
        <w:rPr>
          <w:noProof/>
        </w:rPr>
        <w:t xml:space="preserve"> i</w:t>
      </w:r>
      <w:r w:rsidR="00FF009C">
        <w:rPr>
          <w:noProof/>
        </w:rPr>
        <w:t> </w:t>
      </w:r>
      <w:r w:rsidR="00FF009C" w:rsidRPr="00FF009C">
        <w:rPr>
          <w:noProof/>
        </w:rPr>
        <w:t>han</w:t>
      </w:r>
      <w:r w:rsidRPr="00FF009C">
        <w:rPr>
          <w:noProof/>
        </w:rPr>
        <w:t>dlu ludźmi</w:t>
      </w:r>
    </w:p>
    <w:p w14:paraId="577AF939" w14:textId="77777777" w:rsidR="00AB4A6F" w:rsidRPr="00FF009C" w:rsidRDefault="00AB4A6F" w:rsidP="00AB4A6F">
      <w:pPr>
        <w:pStyle w:val="Text1"/>
        <w:pBdr>
          <w:top w:val="single" w:sz="4" w:space="1" w:color="auto"/>
          <w:left w:val="single" w:sz="4" w:space="1" w:color="auto"/>
          <w:bottom w:val="single" w:sz="4" w:space="1" w:color="auto"/>
          <w:right w:val="single" w:sz="4" w:space="1" w:color="auto"/>
        </w:pBdr>
        <w:rPr>
          <w:noProof/>
        </w:rPr>
      </w:pPr>
    </w:p>
    <w:p w14:paraId="23B7F319" w14:textId="785F6DFF" w:rsidR="00AB4A6F" w:rsidRPr="00FF009C" w:rsidRDefault="00AB4A6F" w:rsidP="00AB4A6F">
      <w:pPr>
        <w:pStyle w:val="Text1"/>
        <w:pBdr>
          <w:top w:val="single" w:sz="4" w:space="1" w:color="auto"/>
          <w:left w:val="single" w:sz="4" w:space="1" w:color="auto"/>
          <w:bottom w:val="single" w:sz="4" w:space="1" w:color="auto"/>
          <w:right w:val="single" w:sz="4" w:space="1" w:color="auto"/>
        </w:pBdr>
        <w:rPr>
          <w:noProof/>
        </w:rPr>
      </w:pPr>
      <w:r w:rsidRPr="00FF009C">
        <w:rPr>
          <w:noProof/>
        </w:rPr>
        <w:t>Zgodnie</w:t>
      </w:r>
      <w:r w:rsidR="00FF009C" w:rsidRPr="00FF009C">
        <w:rPr>
          <w:noProof/>
        </w:rPr>
        <w:t xml:space="preserve"> z</w:t>
      </w:r>
      <w:r w:rsidR="00FF009C">
        <w:rPr>
          <w:noProof/>
        </w:rPr>
        <w:t> </w:t>
      </w:r>
      <w:r w:rsidR="00FF009C" w:rsidRPr="00FF009C">
        <w:rPr>
          <w:noProof/>
        </w:rPr>
        <w:t>art</w:t>
      </w:r>
      <w:r w:rsidRPr="00FF009C">
        <w:rPr>
          <w:noProof/>
        </w:rPr>
        <w:t>.</w:t>
      </w:r>
      <w:r w:rsidR="00FF009C" w:rsidRPr="00FF009C">
        <w:rPr>
          <w:noProof/>
        </w:rPr>
        <w:t> </w:t>
      </w:r>
      <w:r w:rsidRPr="00FF009C">
        <w:rPr>
          <w:noProof/>
        </w:rPr>
        <w:t>28 ramowego rozporządzenia finansowego oraz</w:t>
      </w:r>
      <w:r w:rsidR="00FF009C" w:rsidRPr="00FF009C">
        <w:rPr>
          <w:noProof/>
        </w:rPr>
        <w:t xml:space="preserve"> w</w:t>
      </w:r>
      <w:r w:rsidR="00FF009C">
        <w:rPr>
          <w:noProof/>
        </w:rPr>
        <w:t> </w:t>
      </w:r>
      <w:r w:rsidR="00FF009C" w:rsidRPr="00FF009C">
        <w:rPr>
          <w:noProof/>
        </w:rPr>
        <w:t>cel</w:t>
      </w:r>
      <w:r w:rsidRPr="00FF009C">
        <w:rPr>
          <w:noProof/>
        </w:rPr>
        <w:t>u zapewnienia należytego zarządzania finansami Europol już monitoruje postępy</w:t>
      </w:r>
      <w:r w:rsidR="00FF009C" w:rsidRPr="00FF009C">
        <w:rPr>
          <w:noProof/>
        </w:rPr>
        <w:t xml:space="preserve"> w</w:t>
      </w:r>
      <w:r w:rsidR="00FF009C">
        <w:rPr>
          <w:noProof/>
        </w:rPr>
        <w:t> </w:t>
      </w:r>
      <w:r w:rsidR="00FF009C" w:rsidRPr="00FF009C">
        <w:rPr>
          <w:noProof/>
        </w:rPr>
        <w:t>osi</w:t>
      </w:r>
      <w:r w:rsidRPr="00FF009C">
        <w:rPr>
          <w:noProof/>
        </w:rPr>
        <w:t>ąganiu swoich celów przy pomocy wskaźników wykonania. Agencja stosuje obecnie 18 kluczowych wskaźników skuteczności działania, uzupełnionych dodatkowo</w:t>
      </w:r>
      <w:r w:rsidR="00FF009C" w:rsidRPr="00FF009C">
        <w:rPr>
          <w:noProof/>
        </w:rPr>
        <w:t xml:space="preserve"> o</w:t>
      </w:r>
      <w:r w:rsidR="00FF009C">
        <w:rPr>
          <w:noProof/>
        </w:rPr>
        <w:t> </w:t>
      </w:r>
      <w:r w:rsidR="00FF009C" w:rsidRPr="00FF009C">
        <w:rPr>
          <w:noProof/>
        </w:rPr>
        <w:t>5</w:t>
      </w:r>
      <w:r w:rsidRPr="00FF009C">
        <w:rPr>
          <w:noProof/>
        </w:rPr>
        <w:t>6 własnych wskaźników skuteczności działania. Wskaźniki te podlegają zgłoszeniu</w:t>
      </w:r>
      <w:r w:rsidR="00FF009C" w:rsidRPr="00FF009C">
        <w:rPr>
          <w:noProof/>
        </w:rPr>
        <w:t xml:space="preserve"> w</w:t>
      </w:r>
      <w:r w:rsidR="00FF009C">
        <w:rPr>
          <w:noProof/>
        </w:rPr>
        <w:t> </w:t>
      </w:r>
      <w:r w:rsidR="00FF009C" w:rsidRPr="00FF009C">
        <w:rPr>
          <w:noProof/>
        </w:rPr>
        <w:t>sko</w:t>
      </w:r>
      <w:r w:rsidRPr="00FF009C">
        <w:rPr>
          <w:noProof/>
        </w:rPr>
        <w:t>nsolidowanym rocznym sprawozdaniu</w:t>
      </w:r>
      <w:r w:rsidR="00FF009C" w:rsidRPr="00FF009C">
        <w:rPr>
          <w:noProof/>
        </w:rPr>
        <w:t xml:space="preserve"> z</w:t>
      </w:r>
      <w:r w:rsidR="00FF009C">
        <w:rPr>
          <w:noProof/>
        </w:rPr>
        <w:t> </w:t>
      </w:r>
      <w:r w:rsidR="00FF009C" w:rsidRPr="00FF009C">
        <w:rPr>
          <w:noProof/>
        </w:rPr>
        <w:t>dzi</w:t>
      </w:r>
      <w:r w:rsidRPr="00FF009C">
        <w:rPr>
          <w:noProof/>
        </w:rPr>
        <w:t>ałalności Europolu – obejmują one przejrzyste monitorowanie osiągnięcia celu przed końcem roku oraz porównanie</w:t>
      </w:r>
      <w:r w:rsidR="00FF009C" w:rsidRPr="00FF009C">
        <w:rPr>
          <w:noProof/>
        </w:rPr>
        <w:t xml:space="preserve"> z</w:t>
      </w:r>
      <w:r w:rsidR="00FF009C">
        <w:rPr>
          <w:noProof/>
        </w:rPr>
        <w:t> </w:t>
      </w:r>
      <w:r w:rsidR="00FF009C" w:rsidRPr="00FF009C">
        <w:rPr>
          <w:noProof/>
        </w:rPr>
        <w:t>rok</w:t>
      </w:r>
      <w:r w:rsidRPr="00FF009C">
        <w:rPr>
          <w:noProof/>
        </w:rPr>
        <w:t>iem poprzednim. Wskaźniki te zostaną dostosowane</w:t>
      </w:r>
      <w:r w:rsidR="00FF009C" w:rsidRPr="00FF009C">
        <w:rPr>
          <w:noProof/>
        </w:rPr>
        <w:t xml:space="preserve"> w</w:t>
      </w:r>
      <w:r w:rsidR="00FF009C">
        <w:rPr>
          <w:noProof/>
        </w:rPr>
        <w:t> </w:t>
      </w:r>
      <w:r w:rsidR="00FF009C" w:rsidRPr="00FF009C">
        <w:rPr>
          <w:noProof/>
        </w:rPr>
        <w:t>mia</w:t>
      </w:r>
      <w:r w:rsidRPr="00FF009C">
        <w:rPr>
          <w:noProof/>
        </w:rPr>
        <w:t>rę potrzeb po przyjęciu wniosku.</w:t>
      </w:r>
    </w:p>
    <w:p w14:paraId="62F5D56E" w14:textId="77777777" w:rsidR="00AB4A6F" w:rsidRPr="00FF009C" w:rsidRDefault="00AB4A6F" w:rsidP="00AB4A6F">
      <w:pPr>
        <w:pStyle w:val="Text1"/>
        <w:pBdr>
          <w:top w:val="single" w:sz="4" w:space="1" w:color="auto"/>
          <w:left w:val="single" w:sz="4" w:space="1" w:color="auto"/>
          <w:bottom w:val="single" w:sz="4" w:space="1" w:color="auto"/>
          <w:right w:val="single" w:sz="4" w:space="1" w:color="auto"/>
        </w:pBdr>
        <w:rPr>
          <w:noProof/>
        </w:rPr>
      </w:pPr>
    </w:p>
    <w:p w14:paraId="0C09C484" w14:textId="77777777" w:rsidR="00AB4A6F" w:rsidRPr="00FF009C" w:rsidRDefault="00AB4A6F" w:rsidP="00AB4A6F">
      <w:pPr>
        <w:pStyle w:val="Point1"/>
        <w:rPr>
          <w:noProof/>
        </w:rPr>
      </w:pPr>
    </w:p>
    <w:p w14:paraId="6DC4B07A" w14:textId="77777777" w:rsidR="00AB4A6F" w:rsidRPr="00FF009C" w:rsidRDefault="00AB4A6F">
      <w:pPr>
        <w:pStyle w:val="ManualHeading2"/>
        <w:rPr>
          <w:noProof/>
        </w:rPr>
      </w:pPr>
      <w:bookmarkStart w:id="26" w:name="_Toc514938668"/>
      <w:bookmarkStart w:id="27" w:name="_Toc155952150"/>
      <w:r w:rsidRPr="00FF009C">
        <w:rPr>
          <w:noProof/>
        </w:rPr>
        <w:t>1.5.</w:t>
      </w:r>
      <w:r w:rsidRPr="00FF009C">
        <w:rPr>
          <w:noProof/>
        </w:rPr>
        <w:tab/>
        <w:t>Uzasadnienie wniosku/inicjatywy</w:t>
      </w:r>
      <w:bookmarkEnd w:id="26"/>
      <w:bookmarkEnd w:id="27"/>
      <w:r w:rsidRPr="00FF009C">
        <w:rPr>
          <w:noProof/>
        </w:rPr>
        <w:t xml:space="preserve"> </w:t>
      </w:r>
    </w:p>
    <w:p w14:paraId="2DB31ED3" w14:textId="7DB1B009" w:rsidR="00AB4A6F" w:rsidRPr="00FF009C" w:rsidRDefault="00AB4A6F" w:rsidP="00AB4A6F">
      <w:pPr>
        <w:pStyle w:val="ManualHeading3"/>
        <w:rPr>
          <w:noProof/>
        </w:rPr>
      </w:pPr>
      <w:bookmarkStart w:id="28" w:name="_Toc514938669"/>
      <w:bookmarkStart w:id="29" w:name="_Toc155952151"/>
      <w:r w:rsidRPr="00FF009C">
        <w:rPr>
          <w:noProof/>
        </w:rPr>
        <w:t>1.5.1.</w:t>
      </w:r>
      <w:r w:rsidRPr="00FF009C">
        <w:rPr>
          <w:noProof/>
        </w:rPr>
        <w:tab/>
        <w:t>Potrzeby, które należy zaspokoić</w:t>
      </w:r>
      <w:r w:rsidR="00FF009C" w:rsidRPr="00FF009C">
        <w:rPr>
          <w:noProof/>
        </w:rPr>
        <w:t xml:space="preserve"> w</w:t>
      </w:r>
      <w:r w:rsidR="00FF009C">
        <w:rPr>
          <w:noProof/>
        </w:rPr>
        <w:t> </w:t>
      </w:r>
      <w:r w:rsidR="00FF009C" w:rsidRPr="00FF009C">
        <w:rPr>
          <w:noProof/>
        </w:rPr>
        <w:t>per</w:t>
      </w:r>
      <w:r w:rsidRPr="00FF009C">
        <w:rPr>
          <w:noProof/>
        </w:rPr>
        <w:t>spektywie krótko- lub długoterminowej,</w:t>
      </w:r>
      <w:r w:rsidR="00FF009C" w:rsidRPr="00FF009C">
        <w:rPr>
          <w:noProof/>
        </w:rPr>
        <w:t xml:space="preserve"> w</w:t>
      </w:r>
      <w:r w:rsidR="00FF009C">
        <w:rPr>
          <w:noProof/>
        </w:rPr>
        <w:t> </w:t>
      </w:r>
      <w:r w:rsidR="00FF009C" w:rsidRPr="00FF009C">
        <w:rPr>
          <w:noProof/>
        </w:rPr>
        <w:t>tym</w:t>
      </w:r>
      <w:r w:rsidRPr="00FF009C">
        <w:rPr>
          <w:noProof/>
        </w:rPr>
        <w:t xml:space="preserve"> szczegółowy terminarz przebiegu realizacji inicjatywy</w:t>
      </w:r>
      <w:bookmarkEnd w:id="28"/>
      <w:bookmarkEnd w:id="29"/>
    </w:p>
    <w:p w14:paraId="4BB24AB6" w14:textId="6E64B576" w:rsidR="00AB4A6F" w:rsidRPr="00FF009C" w:rsidRDefault="00AB4A6F" w:rsidP="00AB4A6F">
      <w:pPr>
        <w:pStyle w:val="Text1"/>
        <w:pBdr>
          <w:top w:val="single" w:sz="4" w:space="1" w:color="000000"/>
          <w:left w:val="single" w:sz="4" w:space="4" w:color="000000"/>
          <w:bottom w:val="single" w:sz="4" w:space="1" w:color="000000"/>
          <w:right w:val="single" w:sz="4" w:space="4" w:color="000000"/>
        </w:pBdr>
        <w:rPr>
          <w:noProof/>
        </w:rPr>
      </w:pPr>
      <w:r w:rsidRPr="00FF009C">
        <w:rPr>
          <w:noProof/>
        </w:rPr>
        <w:t>Rozpoczęcie wdrażania inicjatywy ustawodawczej –</w:t>
      </w:r>
      <w:r w:rsidR="00FF009C" w:rsidRPr="00FF009C">
        <w:rPr>
          <w:noProof/>
        </w:rPr>
        <w:t xml:space="preserve"> w</w:t>
      </w:r>
      <w:r w:rsidR="00FF009C">
        <w:rPr>
          <w:noProof/>
        </w:rPr>
        <w:t> </w:t>
      </w:r>
      <w:r w:rsidR="00FF009C" w:rsidRPr="00FF009C">
        <w:rPr>
          <w:noProof/>
        </w:rPr>
        <w:t>szc</w:t>
      </w:r>
      <w:r w:rsidRPr="00FF009C">
        <w:rPr>
          <w:noProof/>
        </w:rPr>
        <w:t>zególności jeżeli chodzi</w:t>
      </w:r>
      <w:r w:rsidR="00FF009C" w:rsidRPr="00FF009C">
        <w:rPr>
          <w:noProof/>
        </w:rPr>
        <w:t xml:space="preserve"> o</w:t>
      </w:r>
      <w:r w:rsidR="00FF009C">
        <w:rPr>
          <w:noProof/>
        </w:rPr>
        <w:t> </w:t>
      </w:r>
      <w:r w:rsidR="00FF009C" w:rsidRPr="00FF009C">
        <w:rPr>
          <w:noProof/>
        </w:rPr>
        <w:t>cel</w:t>
      </w:r>
      <w:r w:rsidRPr="00FF009C">
        <w:rPr>
          <w:noProof/>
        </w:rPr>
        <w:t xml:space="preserve"> szczegółowy nr</w:t>
      </w:r>
      <w:r w:rsidR="00FF009C" w:rsidRPr="00FF009C">
        <w:rPr>
          <w:noProof/>
        </w:rPr>
        <w:t> </w:t>
      </w:r>
      <w:r w:rsidRPr="00FF009C">
        <w:rPr>
          <w:noProof/>
        </w:rPr>
        <w:t>3 – wymaga wprowadzenia środków technicznych</w:t>
      </w:r>
      <w:r w:rsidR="00FF009C" w:rsidRPr="00FF009C">
        <w:rPr>
          <w:noProof/>
        </w:rPr>
        <w:t xml:space="preserve"> i</w:t>
      </w:r>
      <w:r w:rsidR="00FF009C">
        <w:rPr>
          <w:noProof/>
        </w:rPr>
        <w:t> </w:t>
      </w:r>
      <w:r w:rsidR="00FF009C" w:rsidRPr="00FF009C">
        <w:rPr>
          <w:noProof/>
        </w:rPr>
        <w:t>pro</w:t>
      </w:r>
      <w:r w:rsidRPr="00FF009C">
        <w:rPr>
          <w:noProof/>
        </w:rPr>
        <w:t>ceduralnych na poziomie UE oraz na poziomie krajowym, których realizacja powinna rozpocząć się wraz</w:t>
      </w:r>
      <w:r w:rsidR="00FF009C" w:rsidRPr="00FF009C">
        <w:rPr>
          <w:noProof/>
        </w:rPr>
        <w:t xml:space="preserve"> z</w:t>
      </w:r>
      <w:r w:rsidR="00FF009C">
        <w:rPr>
          <w:noProof/>
        </w:rPr>
        <w:t> </w:t>
      </w:r>
      <w:r w:rsidR="00FF009C" w:rsidRPr="00FF009C">
        <w:rPr>
          <w:noProof/>
        </w:rPr>
        <w:t>wej</w:t>
      </w:r>
      <w:r w:rsidRPr="00FF009C">
        <w:rPr>
          <w:noProof/>
        </w:rPr>
        <w:t>ściem</w:t>
      </w:r>
      <w:r w:rsidR="00FF009C" w:rsidRPr="00FF009C">
        <w:rPr>
          <w:noProof/>
        </w:rPr>
        <w:t xml:space="preserve"> w</w:t>
      </w:r>
      <w:r w:rsidR="00FF009C">
        <w:rPr>
          <w:noProof/>
        </w:rPr>
        <w:t> </w:t>
      </w:r>
      <w:r w:rsidR="00FF009C" w:rsidRPr="00FF009C">
        <w:rPr>
          <w:noProof/>
        </w:rPr>
        <w:t>życ</w:t>
      </w:r>
      <w:r w:rsidRPr="00FF009C">
        <w:rPr>
          <w:noProof/>
        </w:rPr>
        <w:t>ie zmienianych przepisów:</w:t>
      </w:r>
    </w:p>
    <w:p w14:paraId="11E8FB97" w14:textId="39944462" w:rsidR="00AB4A6F" w:rsidRPr="00FF009C" w:rsidRDefault="00AB4A6F" w:rsidP="00AB4A6F">
      <w:pPr>
        <w:pStyle w:val="Text1"/>
        <w:pBdr>
          <w:top w:val="single" w:sz="4" w:space="1" w:color="000000"/>
          <w:left w:val="single" w:sz="4" w:space="4" w:color="000000"/>
          <w:bottom w:val="single" w:sz="4" w:space="1" w:color="000000"/>
          <w:right w:val="single" w:sz="4" w:space="4" w:color="000000"/>
        </w:pBdr>
        <w:rPr>
          <w:noProof/>
        </w:rPr>
      </w:pPr>
      <w:r w:rsidRPr="00FF009C">
        <w:rPr>
          <w:noProof/>
        </w:rPr>
        <w:t xml:space="preserve"> </w:t>
      </w:r>
      <w:r w:rsidRPr="00FF009C">
        <w:rPr>
          <w:noProof/>
        </w:rPr>
        <w:br/>
        <w:t xml:space="preserve">(i) do dnia </w:t>
      </w:r>
      <w:r w:rsidRPr="00FF009C">
        <w:rPr>
          <w:noProof/>
          <w:u w:val="single"/>
        </w:rPr>
        <w:t>12 grudnia 2024</w:t>
      </w:r>
      <w:r w:rsidR="00FF009C" w:rsidRPr="00FF009C">
        <w:rPr>
          <w:noProof/>
          <w:u w:val="single"/>
        </w:rPr>
        <w:t> </w:t>
      </w:r>
      <w:r w:rsidRPr="00FF009C">
        <w:rPr>
          <w:noProof/>
          <w:u w:val="single"/>
        </w:rPr>
        <w:t xml:space="preserve">r. </w:t>
      </w:r>
      <w:r w:rsidRPr="00FF009C">
        <w:rPr>
          <w:noProof/>
        </w:rPr>
        <w:t>państwa członkowskie muszą wywiązać się</w:t>
      </w:r>
      <w:r w:rsidR="00FF009C" w:rsidRPr="00FF009C">
        <w:rPr>
          <w:noProof/>
        </w:rPr>
        <w:t xml:space="preserve"> z</w:t>
      </w:r>
      <w:r w:rsidR="00FF009C">
        <w:rPr>
          <w:noProof/>
        </w:rPr>
        <w:t> </w:t>
      </w:r>
      <w:r w:rsidR="00FF009C" w:rsidRPr="00FF009C">
        <w:rPr>
          <w:noProof/>
        </w:rPr>
        <w:t>ust</w:t>
      </w:r>
      <w:r w:rsidRPr="00FF009C">
        <w:rPr>
          <w:noProof/>
        </w:rPr>
        <w:t>anowionych</w:t>
      </w:r>
      <w:r w:rsidR="00FF009C" w:rsidRPr="00FF009C">
        <w:rPr>
          <w:noProof/>
        </w:rPr>
        <w:t xml:space="preserve"> w</w:t>
      </w:r>
      <w:r w:rsidR="00FF009C">
        <w:rPr>
          <w:noProof/>
        </w:rPr>
        <w:t> </w:t>
      </w:r>
      <w:r w:rsidR="00FF009C" w:rsidRPr="00FF009C">
        <w:rPr>
          <w:noProof/>
        </w:rPr>
        <w:t>dyr</w:t>
      </w:r>
      <w:r w:rsidRPr="00FF009C">
        <w:rPr>
          <w:noProof/>
        </w:rPr>
        <w:t>ektywie zobowiązań</w:t>
      </w:r>
      <w:r w:rsidR="00FF009C" w:rsidRPr="00FF009C">
        <w:rPr>
          <w:noProof/>
        </w:rPr>
        <w:t xml:space="preserve"> w</w:t>
      </w:r>
      <w:r w:rsidR="00FF009C">
        <w:rPr>
          <w:noProof/>
        </w:rPr>
        <w:t> </w:t>
      </w:r>
      <w:r w:rsidR="00FF009C" w:rsidRPr="00FF009C">
        <w:rPr>
          <w:noProof/>
        </w:rPr>
        <w:t>zak</w:t>
      </w:r>
      <w:r w:rsidRPr="00FF009C">
        <w:rPr>
          <w:noProof/>
        </w:rPr>
        <w:t>resie wymiany informacji dotyczących pełnej operacyjności ich platform wymiany informacji kryminalistycznych tworzonych przy ich krajowych pojedynczych punktach kontaktowych</w:t>
      </w:r>
      <w:r w:rsidR="00FF009C" w:rsidRPr="00FF009C">
        <w:rPr>
          <w:noProof/>
        </w:rPr>
        <w:t xml:space="preserve"> i</w:t>
      </w:r>
      <w:r w:rsidR="00FF009C">
        <w:rPr>
          <w:noProof/>
        </w:rPr>
        <w:t> </w:t>
      </w:r>
      <w:r w:rsidR="00FF009C" w:rsidRPr="00FF009C">
        <w:rPr>
          <w:noProof/>
        </w:rPr>
        <w:t>spr</w:t>
      </w:r>
      <w:r w:rsidRPr="00FF009C">
        <w:rPr>
          <w:noProof/>
        </w:rPr>
        <w:t>awnego funkcjonowania ich zautomatyzowanych systemów zarządzania sprawami;</w:t>
      </w:r>
    </w:p>
    <w:p w14:paraId="320890AB" w14:textId="099010DD" w:rsidR="00AB4A6F" w:rsidRPr="00FF009C" w:rsidRDefault="00AB4A6F" w:rsidP="00AB4A6F">
      <w:pPr>
        <w:pStyle w:val="Text1"/>
        <w:pBdr>
          <w:top w:val="single" w:sz="4" w:space="1" w:color="000000"/>
          <w:left w:val="single" w:sz="4" w:space="4" w:color="000000"/>
          <w:bottom w:val="single" w:sz="4" w:space="1" w:color="000000"/>
          <w:right w:val="single" w:sz="4" w:space="4" w:color="000000"/>
        </w:pBdr>
        <w:rPr>
          <w:noProof/>
        </w:rPr>
      </w:pPr>
      <w:r w:rsidRPr="00FF009C">
        <w:rPr>
          <w:noProof/>
        </w:rPr>
        <w:t>(ii)</w:t>
      </w:r>
      <w:r w:rsidR="00FF009C" w:rsidRPr="00FF009C">
        <w:rPr>
          <w:noProof/>
        </w:rPr>
        <w:t xml:space="preserve"> w</w:t>
      </w:r>
      <w:r w:rsidR="00FF009C">
        <w:rPr>
          <w:noProof/>
        </w:rPr>
        <w:t> </w:t>
      </w:r>
      <w:r w:rsidR="00FF009C" w:rsidRPr="00FF009C">
        <w:rPr>
          <w:noProof/>
        </w:rPr>
        <w:t>lat</w:t>
      </w:r>
      <w:r w:rsidRPr="00FF009C">
        <w:rPr>
          <w:noProof/>
        </w:rPr>
        <w:t>ach 2025–2027 państwa członkowskie będą sukcesywnie aktualizowały swoje wewnętrzne procedury operacyjne</w:t>
      </w:r>
      <w:r w:rsidR="00FF009C" w:rsidRPr="00FF009C">
        <w:rPr>
          <w:noProof/>
        </w:rPr>
        <w:t xml:space="preserve"> i</w:t>
      </w:r>
      <w:r w:rsidR="00FF009C">
        <w:rPr>
          <w:noProof/>
        </w:rPr>
        <w:t> </w:t>
      </w:r>
      <w:r w:rsidR="00FF009C" w:rsidRPr="00FF009C">
        <w:rPr>
          <w:noProof/>
        </w:rPr>
        <w:t>odp</w:t>
      </w:r>
      <w:r w:rsidRPr="00FF009C">
        <w:rPr>
          <w:noProof/>
        </w:rPr>
        <w:t>owiednio wdrażały stosowne środki komunikacyjne (połączenia</w:t>
      </w:r>
      <w:r w:rsidR="00FF009C" w:rsidRPr="00FF009C">
        <w:rPr>
          <w:noProof/>
        </w:rPr>
        <w:t xml:space="preserve"> z</w:t>
      </w:r>
      <w:r w:rsidR="00FF009C">
        <w:rPr>
          <w:noProof/>
        </w:rPr>
        <w:t> </w:t>
      </w:r>
      <w:r w:rsidR="00FF009C" w:rsidRPr="00FF009C">
        <w:rPr>
          <w:noProof/>
        </w:rPr>
        <w:t>apl</w:t>
      </w:r>
      <w:r w:rsidRPr="00FF009C">
        <w:rPr>
          <w:noProof/>
        </w:rPr>
        <w:t>ikacją SIENA)</w:t>
      </w:r>
      <w:r w:rsidR="00FF009C" w:rsidRPr="00FF009C">
        <w:rPr>
          <w:noProof/>
        </w:rPr>
        <w:t xml:space="preserve"> i</w:t>
      </w:r>
      <w:r w:rsidR="00FF009C">
        <w:rPr>
          <w:noProof/>
        </w:rPr>
        <w:t> </w:t>
      </w:r>
      <w:r w:rsidR="00FF009C" w:rsidRPr="00FF009C">
        <w:rPr>
          <w:noProof/>
        </w:rPr>
        <w:t>nar</w:t>
      </w:r>
      <w:r w:rsidRPr="00FF009C">
        <w:rPr>
          <w:noProof/>
        </w:rPr>
        <w:t>zędzia (automatyczne systemy ładowania danych</w:t>
      </w:r>
      <w:r w:rsidR="00FF009C" w:rsidRPr="00FF009C">
        <w:rPr>
          <w:noProof/>
        </w:rPr>
        <w:t xml:space="preserve"> i</w:t>
      </w:r>
      <w:r w:rsidR="00FF009C">
        <w:rPr>
          <w:noProof/>
        </w:rPr>
        <w:t> </w:t>
      </w:r>
      <w:r w:rsidR="00FF009C" w:rsidRPr="00FF009C">
        <w:rPr>
          <w:noProof/>
        </w:rPr>
        <w:t>nar</w:t>
      </w:r>
      <w:r w:rsidRPr="00FF009C">
        <w:rPr>
          <w:noProof/>
        </w:rPr>
        <w:t>zędzie QUEST) zarówno na szczeblu centralnym (pojedynczy punkt kontaktowy, wyspecjalizowane jednostki krajowe), jak</w:t>
      </w:r>
      <w:r w:rsidR="00FF009C" w:rsidRPr="00FF009C">
        <w:rPr>
          <w:noProof/>
        </w:rPr>
        <w:t xml:space="preserve"> i</w:t>
      </w:r>
      <w:r w:rsidR="00FF009C">
        <w:rPr>
          <w:noProof/>
        </w:rPr>
        <w:t> </w:t>
      </w:r>
      <w:r w:rsidR="00FF009C" w:rsidRPr="00FF009C">
        <w:rPr>
          <w:noProof/>
        </w:rPr>
        <w:t>w</w:t>
      </w:r>
      <w:r w:rsidR="00FF009C">
        <w:rPr>
          <w:noProof/>
        </w:rPr>
        <w:t> </w:t>
      </w:r>
      <w:r w:rsidR="00FF009C" w:rsidRPr="00FF009C">
        <w:rPr>
          <w:noProof/>
        </w:rPr>
        <w:t>ter</w:t>
      </w:r>
      <w:r w:rsidRPr="00FF009C">
        <w:rPr>
          <w:noProof/>
        </w:rPr>
        <w:t>enie (urzędnicy imigracyjni</w:t>
      </w:r>
      <w:r w:rsidR="00FF009C" w:rsidRPr="00FF009C">
        <w:rPr>
          <w:noProof/>
        </w:rPr>
        <w:t xml:space="preserve"> w</w:t>
      </w:r>
      <w:r w:rsidR="00FF009C">
        <w:rPr>
          <w:noProof/>
        </w:rPr>
        <w:t> </w:t>
      </w:r>
      <w:r w:rsidR="00FF009C" w:rsidRPr="00FF009C">
        <w:rPr>
          <w:noProof/>
        </w:rPr>
        <w:t>pań</w:t>
      </w:r>
      <w:r w:rsidRPr="00FF009C">
        <w:rPr>
          <w:noProof/>
        </w:rPr>
        <w:t>stwach trzecich), aby zwiększyć efektywność wymiany informacji dotyczących przemytu migrantów oraz zwiększyć zdolność przekazywania Europolowi dużych ilości różnego rodzaju informacji, jak</w:t>
      </w:r>
      <w:r w:rsidR="00FF009C" w:rsidRPr="00FF009C">
        <w:rPr>
          <w:noProof/>
        </w:rPr>
        <w:t xml:space="preserve"> i</w:t>
      </w:r>
      <w:r w:rsidR="00FF009C">
        <w:rPr>
          <w:noProof/>
        </w:rPr>
        <w:t> </w:t>
      </w:r>
      <w:r w:rsidR="00FF009C" w:rsidRPr="00FF009C">
        <w:rPr>
          <w:noProof/>
        </w:rPr>
        <w:t>prz</w:t>
      </w:r>
      <w:r w:rsidRPr="00FF009C">
        <w:rPr>
          <w:noProof/>
        </w:rPr>
        <w:t>ekazywania mu informacji na temat postępowań przygotowawczych będących obecnie</w:t>
      </w:r>
      <w:r w:rsidR="00FF009C" w:rsidRPr="00FF009C">
        <w:rPr>
          <w:noProof/>
        </w:rPr>
        <w:t xml:space="preserve"> w</w:t>
      </w:r>
      <w:r w:rsidR="00FF009C">
        <w:rPr>
          <w:noProof/>
        </w:rPr>
        <w:t> </w:t>
      </w:r>
      <w:r w:rsidR="00FF009C" w:rsidRPr="00FF009C">
        <w:rPr>
          <w:noProof/>
        </w:rPr>
        <w:t>tok</w:t>
      </w:r>
      <w:r w:rsidRPr="00FF009C">
        <w:rPr>
          <w:noProof/>
        </w:rPr>
        <w:t>u,</w:t>
      </w:r>
      <w:r w:rsidR="00FF009C" w:rsidRPr="00FF009C">
        <w:rPr>
          <w:noProof/>
        </w:rPr>
        <w:t xml:space="preserve"> a</w:t>
      </w:r>
      <w:r w:rsidR="00FF009C">
        <w:rPr>
          <w:noProof/>
        </w:rPr>
        <w:t> </w:t>
      </w:r>
      <w:r w:rsidR="00FF009C" w:rsidRPr="00FF009C">
        <w:rPr>
          <w:noProof/>
        </w:rPr>
        <w:t>tak</w:t>
      </w:r>
      <w:r w:rsidRPr="00FF009C">
        <w:rPr>
          <w:noProof/>
        </w:rPr>
        <w:t>że konsultowania takich informacji</w:t>
      </w:r>
      <w:r w:rsidR="00FF009C" w:rsidRPr="00FF009C">
        <w:rPr>
          <w:noProof/>
        </w:rPr>
        <w:t xml:space="preserve"> z</w:t>
      </w:r>
      <w:r w:rsidR="00FF009C">
        <w:rPr>
          <w:noProof/>
        </w:rPr>
        <w:t> </w:t>
      </w:r>
      <w:r w:rsidR="00FF009C" w:rsidRPr="00FF009C">
        <w:rPr>
          <w:noProof/>
        </w:rPr>
        <w:t>Eur</w:t>
      </w:r>
      <w:r w:rsidRPr="00FF009C">
        <w:rPr>
          <w:noProof/>
        </w:rPr>
        <w:t>opolem. Tego rodzaju aktualizacje</w:t>
      </w:r>
      <w:r w:rsidR="00FF009C" w:rsidRPr="00FF009C">
        <w:rPr>
          <w:noProof/>
        </w:rPr>
        <w:t xml:space="preserve"> i</w:t>
      </w:r>
      <w:r w:rsidR="00FF009C">
        <w:rPr>
          <w:noProof/>
        </w:rPr>
        <w:t> </w:t>
      </w:r>
      <w:r w:rsidR="00FF009C" w:rsidRPr="00FF009C">
        <w:rPr>
          <w:noProof/>
        </w:rPr>
        <w:t>mod</w:t>
      </w:r>
      <w:r w:rsidRPr="00FF009C">
        <w:rPr>
          <w:noProof/>
        </w:rPr>
        <w:t>ernizacje powinny koncentrować się</w:t>
      </w:r>
      <w:r w:rsidR="00FF009C" w:rsidRPr="00FF009C">
        <w:rPr>
          <w:noProof/>
        </w:rPr>
        <w:t xml:space="preserve"> w</w:t>
      </w:r>
      <w:r w:rsidR="00FF009C">
        <w:rPr>
          <w:noProof/>
        </w:rPr>
        <w:t> </w:t>
      </w:r>
      <w:r w:rsidR="00FF009C" w:rsidRPr="00FF009C">
        <w:rPr>
          <w:noProof/>
        </w:rPr>
        <w:t>szc</w:t>
      </w:r>
      <w:r w:rsidRPr="00FF009C">
        <w:rPr>
          <w:noProof/>
        </w:rPr>
        <w:t>zególności na danych biometrycznych.</w:t>
      </w:r>
    </w:p>
    <w:p w14:paraId="0DA2CE89" w14:textId="78C9AC26" w:rsidR="00AB4A6F" w:rsidRPr="00FF009C" w:rsidRDefault="00AB4A6F" w:rsidP="00AB4A6F">
      <w:pPr>
        <w:pStyle w:val="Text1"/>
        <w:pBdr>
          <w:top w:val="single" w:sz="4" w:space="1" w:color="000000"/>
          <w:left w:val="single" w:sz="4" w:space="4" w:color="000000"/>
          <w:bottom w:val="single" w:sz="4" w:space="1" w:color="000000"/>
          <w:right w:val="single" w:sz="4" w:space="4" w:color="000000"/>
        </w:pBdr>
        <w:rPr>
          <w:noProof/>
        </w:rPr>
      </w:pPr>
      <w:r w:rsidRPr="00FF009C">
        <w:rPr>
          <w:noProof/>
        </w:rPr>
        <w:t>Europol musi zwiększyć swoje zdolności techniczne zarówno</w:t>
      </w:r>
      <w:r w:rsidR="00FF009C" w:rsidRPr="00FF009C">
        <w:rPr>
          <w:noProof/>
        </w:rPr>
        <w:t xml:space="preserve"> w</w:t>
      </w:r>
      <w:r w:rsidR="00FF009C">
        <w:rPr>
          <w:noProof/>
        </w:rPr>
        <w:t> </w:t>
      </w:r>
      <w:r w:rsidR="00FF009C" w:rsidRPr="00FF009C">
        <w:rPr>
          <w:noProof/>
        </w:rPr>
        <w:t>dzi</w:t>
      </w:r>
      <w:r w:rsidRPr="00FF009C">
        <w:rPr>
          <w:noProof/>
        </w:rPr>
        <w:t>edzinie biometrii, jak</w:t>
      </w:r>
      <w:r w:rsidR="00FF009C" w:rsidRPr="00FF009C">
        <w:rPr>
          <w:noProof/>
        </w:rPr>
        <w:t xml:space="preserve"> i</w:t>
      </w:r>
      <w:r w:rsidR="00FF009C">
        <w:rPr>
          <w:noProof/>
        </w:rPr>
        <w:t> </w:t>
      </w:r>
      <w:r w:rsidR="00FF009C" w:rsidRPr="00FF009C">
        <w:rPr>
          <w:noProof/>
        </w:rPr>
        <w:t>wym</w:t>
      </w:r>
      <w:r w:rsidRPr="00FF009C">
        <w:rPr>
          <w:noProof/>
        </w:rPr>
        <w:t>iany informacji (zob.</w:t>
      </w:r>
      <w:r w:rsidR="00FF009C" w:rsidRPr="00FF009C">
        <w:rPr>
          <w:noProof/>
        </w:rPr>
        <w:t xml:space="preserve"> w</w:t>
      </w:r>
      <w:r w:rsidR="00FF009C">
        <w:rPr>
          <w:noProof/>
        </w:rPr>
        <w:t> </w:t>
      </w:r>
      <w:r w:rsidR="00FF009C" w:rsidRPr="00FF009C">
        <w:rPr>
          <w:noProof/>
        </w:rPr>
        <w:t>szc</w:t>
      </w:r>
      <w:r w:rsidRPr="00FF009C">
        <w:rPr>
          <w:noProof/>
        </w:rPr>
        <w:t>zególności działania przewidziane</w:t>
      </w:r>
      <w:r w:rsidR="00FF009C" w:rsidRPr="00FF009C">
        <w:rPr>
          <w:noProof/>
        </w:rPr>
        <w:t xml:space="preserve"> w</w:t>
      </w:r>
      <w:r w:rsidR="00FF009C">
        <w:rPr>
          <w:noProof/>
        </w:rPr>
        <w:t> </w:t>
      </w:r>
      <w:r w:rsidR="00FF009C" w:rsidRPr="00FF009C">
        <w:rPr>
          <w:noProof/>
        </w:rPr>
        <w:t>ram</w:t>
      </w:r>
      <w:r w:rsidRPr="00FF009C">
        <w:rPr>
          <w:noProof/>
        </w:rPr>
        <w:t>ach celu szczegółowego nr</w:t>
      </w:r>
      <w:r w:rsidR="00FF009C" w:rsidRPr="00FF009C">
        <w:rPr>
          <w:noProof/>
        </w:rPr>
        <w:t> </w:t>
      </w:r>
      <w:r w:rsidRPr="00FF009C">
        <w:rPr>
          <w:noProof/>
        </w:rPr>
        <w:t>3);</w:t>
      </w:r>
    </w:p>
    <w:p w14:paraId="39DA0C27" w14:textId="5B83DC58" w:rsidR="00AB4A6F" w:rsidRPr="00FF009C" w:rsidRDefault="00AB4A6F" w:rsidP="00AB4A6F">
      <w:pPr>
        <w:pStyle w:val="Text1"/>
        <w:pBdr>
          <w:top w:val="single" w:sz="4" w:space="1" w:color="000000"/>
          <w:left w:val="single" w:sz="4" w:space="4" w:color="000000"/>
          <w:bottom w:val="single" w:sz="4" w:space="1" w:color="000000"/>
          <w:right w:val="single" w:sz="4" w:space="4" w:color="000000"/>
        </w:pBdr>
        <w:rPr>
          <w:noProof/>
        </w:rPr>
      </w:pPr>
      <w:r w:rsidRPr="00FF009C">
        <w:rPr>
          <w:noProof/>
        </w:rPr>
        <w:t>(iii) do</w:t>
      </w:r>
      <w:r w:rsidR="00FF009C" w:rsidRPr="00FF009C">
        <w:rPr>
          <w:noProof/>
        </w:rPr>
        <w:t> </w:t>
      </w:r>
      <w:r w:rsidRPr="00FF009C">
        <w:rPr>
          <w:noProof/>
        </w:rPr>
        <w:t>2026</w:t>
      </w:r>
      <w:r w:rsidR="00FF009C" w:rsidRPr="00FF009C">
        <w:rPr>
          <w:noProof/>
        </w:rPr>
        <w:t> </w:t>
      </w:r>
      <w:r w:rsidRPr="00FF009C">
        <w:rPr>
          <w:noProof/>
        </w:rPr>
        <w:t>r.: należy zmodernizować systemy AFIS i FACE</w:t>
      </w:r>
      <w:r w:rsidR="00FF009C" w:rsidRPr="00FF009C">
        <w:rPr>
          <w:noProof/>
        </w:rPr>
        <w:t xml:space="preserve"> i</w:t>
      </w:r>
      <w:r w:rsidR="00FF009C">
        <w:rPr>
          <w:noProof/>
        </w:rPr>
        <w:t> </w:t>
      </w:r>
      <w:r w:rsidR="00FF009C" w:rsidRPr="00FF009C">
        <w:rPr>
          <w:noProof/>
        </w:rPr>
        <w:t>zwi</w:t>
      </w:r>
      <w:r w:rsidRPr="00FF009C">
        <w:rPr>
          <w:noProof/>
        </w:rPr>
        <w:t>ększyć zdolności</w:t>
      </w:r>
      <w:r w:rsidR="00FF009C" w:rsidRPr="00FF009C">
        <w:rPr>
          <w:noProof/>
        </w:rPr>
        <w:t xml:space="preserve"> w</w:t>
      </w:r>
      <w:r w:rsidR="00FF009C">
        <w:rPr>
          <w:noProof/>
        </w:rPr>
        <w:t> </w:t>
      </w:r>
      <w:r w:rsidR="00FF009C" w:rsidRPr="00FF009C">
        <w:rPr>
          <w:noProof/>
        </w:rPr>
        <w:t>zak</w:t>
      </w:r>
      <w:r w:rsidRPr="00FF009C">
        <w:rPr>
          <w:noProof/>
        </w:rPr>
        <w:t>resie analizy DNA;</w:t>
      </w:r>
    </w:p>
    <w:p w14:paraId="7D10F859" w14:textId="6FA7CB22" w:rsidR="00AB4A6F" w:rsidRPr="00FF009C" w:rsidRDefault="00AB4A6F" w:rsidP="00AB4A6F">
      <w:pPr>
        <w:pStyle w:val="Text1"/>
        <w:pBdr>
          <w:top w:val="single" w:sz="4" w:space="1" w:color="000000"/>
          <w:left w:val="single" w:sz="4" w:space="4" w:color="000000"/>
          <w:bottom w:val="single" w:sz="4" w:space="1" w:color="000000"/>
          <w:right w:val="single" w:sz="4" w:space="4" w:color="000000"/>
        </w:pBdr>
        <w:rPr>
          <w:noProof/>
        </w:rPr>
      </w:pPr>
      <w:r w:rsidRPr="00FF009C">
        <w:rPr>
          <w:noProof/>
        </w:rPr>
        <w:t>(iv) do</w:t>
      </w:r>
      <w:r w:rsidR="00FF009C" w:rsidRPr="00FF009C">
        <w:rPr>
          <w:noProof/>
        </w:rPr>
        <w:t> </w:t>
      </w:r>
      <w:r w:rsidRPr="00FF009C">
        <w:rPr>
          <w:noProof/>
        </w:rPr>
        <w:t>2027</w:t>
      </w:r>
      <w:r w:rsidR="00FF009C" w:rsidRPr="00FF009C">
        <w:rPr>
          <w:noProof/>
        </w:rPr>
        <w:t> </w:t>
      </w:r>
      <w:r w:rsidRPr="00FF009C">
        <w:rPr>
          <w:noProof/>
        </w:rPr>
        <w:t>r.: należy zautomatyzować procesy działań związane</w:t>
      </w:r>
      <w:r w:rsidR="00FF009C" w:rsidRPr="00FF009C">
        <w:rPr>
          <w:noProof/>
        </w:rPr>
        <w:t xml:space="preserve"> z</w:t>
      </w:r>
      <w:r w:rsidR="00FF009C">
        <w:rPr>
          <w:noProof/>
        </w:rPr>
        <w:t> </w:t>
      </w:r>
      <w:r w:rsidR="00FF009C" w:rsidRPr="00FF009C">
        <w:rPr>
          <w:noProof/>
        </w:rPr>
        <w:t>bio</w:t>
      </w:r>
      <w:r w:rsidRPr="00FF009C">
        <w:rPr>
          <w:noProof/>
        </w:rPr>
        <w:t>metrią oraz wprowadzanie danych biometrycznych m.in. za pośrednictwem SIENA, DAP i QUEST.</w:t>
      </w:r>
    </w:p>
    <w:p w14:paraId="0F1479C7" w14:textId="6D4CBD94"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Odpowiednie zasoby –</w:t>
      </w:r>
      <w:r w:rsidR="00FF009C" w:rsidRPr="00FF009C">
        <w:rPr>
          <w:noProof/>
        </w:rPr>
        <w:t xml:space="preserve"> w</w:t>
      </w:r>
      <w:r w:rsidR="00FF009C">
        <w:rPr>
          <w:noProof/>
        </w:rPr>
        <w:t> </w:t>
      </w:r>
      <w:r w:rsidR="00FF009C" w:rsidRPr="00FF009C">
        <w:rPr>
          <w:noProof/>
        </w:rPr>
        <w:t>szc</w:t>
      </w:r>
      <w:r w:rsidRPr="00FF009C">
        <w:rPr>
          <w:noProof/>
        </w:rPr>
        <w:t>zególności zasoby ludzkie – powinny być</w:t>
      </w:r>
      <w:r w:rsidR="00FF009C" w:rsidRPr="00FF009C">
        <w:rPr>
          <w:noProof/>
        </w:rPr>
        <w:t xml:space="preserve"> z</w:t>
      </w:r>
      <w:r w:rsidR="00FF009C">
        <w:rPr>
          <w:noProof/>
        </w:rPr>
        <w:t> </w:t>
      </w:r>
      <w:r w:rsidR="00FF009C" w:rsidRPr="00FF009C">
        <w:rPr>
          <w:noProof/>
        </w:rPr>
        <w:t>cza</w:t>
      </w:r>
      <w:r w:rsidRPr="00FF009C">
        <w:rPr>
          <w:noProof/>
        </w:rPr>
        <w:t xml:space="preserve">sem zwiększane wraz ze wzrostem popytu na usługi Europolu. </w:t>
      </w:r>
    </w:p>
    <w:p w14:paraId="1F907C1F" w14:textId="63C0D6E3"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Po wejściu</w:t>
      </w:r>
      <w:r w:rsidR="00FF009C" w:rsidRPr="00FF009C">
        <w:rPr>
          <w:noProof/>
        </w:rPr>
        <w:t xml:space="preserve"> w</w:t>
      </w:r>
      <w:r w:rsidR="00FF009C">
        <w:rPr>
          <w:noProof/>
        </w:rPr>
        <w:t> </w:t>
      </w:r>
      <w:r w:rsidR="00FF009C" w:rsidRPr="00FF009C">
        <w:rPr>
          <w:noProof/>
        </w:rPr>
        <w:t>życ</w:t>
      </w:r>
      <w:r w:rsidRPr="00FF009C">
        <w:rPr>
          <w:noProof/>
        </w:rPr>
        <w:t>ie działania będą realizowane zgodnie</w:t>
      </w:r>
      <w:r w:rsidR="00FF009C" w:rsidRPr="00FF009C">
        <w:rPr>
          <w:noProof/>
        </w:rPr>
        <w:t xml:space="preserve"> z</w:t>
      </w:r>
      <w:r w:rsidR="00FF009C">
        <w:rPr>
          <w:noProof/>
        </w:rPr>
        <w:t> </w:t>
      </w:r>
      <w:r w:rsidR="00FF009C" w:rsidRPr="00FF009C">
        <w:rPr>
          <w:noProof/>
        </w:rPr>
        <w:t>har</w:t>
      </w:r>
      <w:r w:rsidRPr="00FF009C">
        <w:rPr>
          <w:noProof/>
        </w:rPr>
        <w:t>monogramem zakładającym stopniowe wdrażanie, aby odzwierciedlać oczekiwany stopniowy wzrost zapotrzebowania na usługi</w:t>
      </w:r>
      <w:r w:rsidR="00FF009C" w:rsidRPr="00FF009C">
        <w:rPr>
          <w:noProof/>
        </w:rPr>
        <w:t xml:space="preserve"> i</w:t>
      </w:r>
      <w:r w:rsidR="00FF009C">
        <w:rPr>
          <w:noProof/>
        </w:rPr>
        <w:t> </w:t>
      </w:r>
      <w:r w:rsidR="00FF009C" w:rsidRPr="00FF009C">
        <w:rPr>
          <w:noProof/>
        </w:rPr>
        <w:t>dzi</w:t>
      </w:r>
      <w:r w:rsidRPr="00FF009C">
        <w:rPr>
          <w:noProof/>
        </w:rPr>
        <w:t>ałania Europolu oraz czas konieczny do absorpcji nowych zasobów.</w:t>
      </w:r>
    </w:p>
    <w:p w14:paraId="04F666EA" w14:textId="4C0235FF" w:rsidR="00AB4A6F" w:rsidRPr="00FF009C" w:rsidRDefault="00AB4A6F">
      <w:pPr>
        <w:pStyle w:val="ManualHeading3"/>
        <w:rPr>
          <w:noProof/>
        </w:rPr>
      </w:pPr>
      <w:bookmarkStart w:id="30" w:name="_Toc514938670"/>
      <w:bookmarkStart w:id="31" w:name="_Toc155952152"/>
      <w:r w:rsidRPr="00FF009C">
        <w:rPr>
          <w:noProof/>
        </w:rPr>
        <w:t>1.5.2.</w:t>
      </w:r>
      <w:r w:rsidRPr="00FF009C">
        <w:rPr>
          <w:noProof/>
        </w:rPr>
        <w:tab/>
        <w:t>Wartość dodana</w:t>
      </w:r>
      <w:r w:rsidR="00FF009C" w:rsidRPr="00FF009C">
        <w:rPr>
          <w:noProof/>
        </w:rPr>
        <w:t xml:space="preserve"> z</w:t>
      </w:r>
      <w:r w:rsidR="00FF009C">
        <w:rPr>
          <w:noProof/>
        </w:rPr>
        <w:t> </w:t>
      </w:r>
      <w:r w:rsidR="00FF009C" w:rsidRPr="00FF009C">
        <w:rPr>
          <w:noProof/>
        </w:rPr>
        <w:t>tyt</w:t>
      </w:r>
      <w:r w:rsidRPr="00FF009C">
        <w:rPr>
          <w:noProof/>
        </w:rPr>
        <w:t>ułu zaangażowania Unii Europejskiej (może wynikać</w:t>
      </w:r>
      <w:r w:rsidR="00FF009C" w:rsidRPr="00FF009C">
        <w:rPr>
          <w:noProof/>
        </w:rPr>
        <w:t xml:space="preserve"> z</w:t>
      </w:r>
      <w:r w:rsidR="00FF009C">
        <w:rPr>
          <w:noProof/>
        </w:rPr>
        <w:t> </w:t>
      </w:r>
      <w:r w:rsidR="00FF009C" w:rsidRPr="00FF009C">
        <w:rPr>
          <w:noProof/>
        </w:rPr>
        <w:t>róż</w:t>
      </w:r>
      <w:r w:rsidRPr="00FF009C">
        <w:rPr>
          <w:noProof/>
        </w:rPr>
        <w:t>nych czynników, na przykład korzyści koordynacyjnych, pewności prawa, większej efektywności lub komplementarności). Na potrzeby tego punktu „wartość dodaną</w:t>
      </w:r>
      <w:r w:rsidR="00FF009C" w:rsidRPr="00FF009C">
        <w:rPr>
          <w:noProof/>
        </w:rPr>
        <w:t xml:space="preserve"> z</w:t>
      </w:r>
      <w:r w:rsidR="00FF009C">
        <w:rPr>
          <w:noProof/>
        </w:rPr>
        <w:t> </w:t>
      </w:r>
      <w:r w:rsidR="00FF009C" w:rsidRPr="00FF009C">
        <w:rPr>
          <w:noProof/>
        </w:rPr>
        <w:t>tyt</w:t>
      </w:r>
      <w:r w:rsidRPr="00FF009C">
        <w:rPr>
          <w:noProof/>
        </w:rPr>
        <w:t>ułu zaangażowania Unii” należy rozumieć jako wartość wynikającą</w:t>
      </w:r>
      <w:r w:rsidR="00FF009C" w:rsidRPr="00FF009C">
        <w:rPr>
          <w:noProof/>
        </w:rPr>
        <w:t xml:space="preserve"> z</w:t>
      </w:r>
      <w:r w:rsidR="00FF009C">
        <w:rPr>
          <w:noProof/>
        </w:rPr>
        <w:t> </w:t>
      </w:r>
      <w:r w:rsidR="00FF009C" w:rsidRPr="00FF009C">
        <w:rPr>
          <w:noProof/>
        </w:rPr>
        <w:t>uni</w:t>
      </w:r>
      <w:r w:rsidRPr="00FF009C">
        <w:rPr>
          <w:noProof/>
        </w:rPr>
        <w:t>jnej interwencji, wykraczającą poza wartość, która zostałaby wytworzona przez same państwa członkowskie.</w:t>
      </w:r>
      <w:bookmarkEnd w:id="30"/>
      <w:bookmarkEnd w:id="31"/>
    </w:p>
    <w:p w14:paraId="7BD6D494" w14:textId="1FD3B478"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Struktury przestępczości zorganizowanej zdolne do przeprowadzania wyrafinowanych operacji obejmujących pełny zakres usług</w:t>
      </w:r>
      <w:r w:rsidR="00FF009C" w:rsidRPr="00FF009C">
        <w:rPr>
          <w:noProof/>
        </w:rPr>
        <w:t xml:space="preserve"> w</w:t>
      </w:r>
      <w:r w:rsidR="00FF009C">
        <w:rPr>
          <w:noProof/>
        </w:rPr>
        <w:t> </w:t>
      </w:r>
      <w:r w:rsidR="00FF009C" w:rsidRPr="00FF009C">
        <w:rPr>
          <w:noProof/>
        </w:rPr>
        <w:t>zak</w:t>
      </w:r>
      <w:r w:rsidRPr="00FF009C">
        <w:rPr>
          <w:noProof/>
        </w:rPr>
        <w:t>resie przemytu migrantów</w:t>
      </w:r>
      <w:r w:rsidR="00FF009C" w:rsidRPr="00FF009C">
        <w:rPr>
          <w:noProof/>
        </w:rPr>
        <w:t xml:space="preserve"> i</w:t>
      </w:r>
      <w:r w:rsidR="00FF009C">
        <w:rPr>
          <w:noProof/>
        </w:rPr>
        <w:t> </w:t>
      </w:r>
      <w:r w:rsidR="00FF009C" w:rsidRPr="00FF009C">
        <w:rPr>
          <w:noProof/>
        </w:rPr>
        <w:t>han</w:t>
      </w:r>
      <w:r w:rsidRPr="00FF009C">
        <w:rPr>
          <w:noProof/>
        </w:rPr>
        <w:t xml:space="preserve">dlu ludźmi stanowią </w:t>
      </w:r>
      <w:r w:rsidRPr="00FF009C">
        <w:rPr>
          <w:b/>
          <w:noProof/>
        </w:rPr>
        <w:t>znaczące zagrożenie dla bezpieczeństwa Europy</w:t>
      </w:r>
      <w:r w:rsidRPr="00FF009C">
        <w:rPr>
          <w:noProof/>
        </w:rPr>
        <w:t>. Zgodnie</w:t>
      </w:r>
      <w:r w:rsidR="00FF009C" w:rsidRPr="00FF009C">
        <w:rPr>
          <w:noProof/>
        </w:rPr>
        <w:t xml:space="preserve"> z</w:t>
      </w:r>
      <w:r w:rsidR="00FF009C">
        <w:rPr>
          <w:noProof/>
        </w:rPr>
        <w:t> </w:t>
      </w:r>
      <w:r w:rsidR="00FF009C" w:rsidRPr="00FF009C">
        <w:rPr>
          <w:noProof/>
        </w:rPr>
        <w:t>wyn</w:t>
      </w:r>
      <w:r w:rsidRPr="00FF009C">
        <w:rPr>
          <w:noProof/>
        </w:rPr>
        <w:t>ikami oceny zagrożenia poważną</w:t>
      </w:r>
      <w:r w:rsidR="00FF009C" w:rsidRPr="00FF009C">
        <w:rPr>
          <w:noProof/>
        </w:rPr>
        <w:t xml:space="preserve"> i</w:t>
      </w:r>
      <w:r w:rsidR="00FF009C">
        <w:rPr>
          <w:noProof/>
        </w:rPr>
        <w:t> </w:t>
      </w:r>
      <w:r w:rsidR="00FF009C" w:rsidRPr="00FF009C">
        <w:rPr>
          <w:noProof/>
        </w:rPr>
        <w:t>zor</w:t>
      </w:r>
      <w:r w:rsidRPr="00FF009C">
        <w:rPr>
          <w:noProof/>
        </w:rPr>
        <w:t>ganizowaną przestępczością</w:t>
      </w:r>
      <w:r w:rsidR="00FF009C" w:rsidRPr="00FF009C">
        <w:rPr>
          <w:noProof/>
        </w:rPr>
        <w:t xml:space="preserve"> w</w:t>
      </w:r>
      <w:r w:rsidR="00FF009C">
        <w:rPr>
          <w:noProof/>
        </w:rPr>
        <w:t> </w:t>
      </w:r>
      <w:r w:rsidR="00FF009C" w:rsidRPr="00FF009C">
        <w:rPr>
          <w:noProof/>
        </w:rPr>
        <w:t>Uni</w:t>
      </w:r>
      <w:r w:rsidRPr="00FF009C">
        <w:rPr>
          <w:noProof/>
        </w:rPr>
        <w:t xml:space="preserve">i Europejskiej (EU SOCTA) około </w:t>
      </w:r>
      <w:r w:rsidRPr="00FF009C">
        <w:rPr>
          <w:b/>
          <w:noProof/>
        </w:rPr>
        <w:t>50</w:t>
      </w:r>
      <w:r w:rsidR="00FF009C" w:rsidRPr="00FF009C">
        <w:rPr>
          <w:b/>
          <w:noProof/>
        </w:rPr>
        <w:t> </w:t>
      </w:r>
      <w:r w:rsidRPr="00FF009C">
        <w:rPr>
          <w:b/>
          <w:noProof/>
        </w:rPr>
        <w:t>% siatek prowadzących przemyt migrantów zajmuje się przestępczością wielorodzajową</w:t>
      </w:r>
      <w:r w:rsidRPr="00FF009C">
        <w:rPr>
          <w:noProof/>
        </w:rPr>
        <w:t>, gdyż angażują się one również</w:t>
      </w:r>
      <w:r w:rsidR="00FF009C" w:rsidRPr="00FF009C">
        <w:rPr>
          <w:noProof/>
        </w:rPr>
        <w:t xml:space="preserve"> w</w:t>
      </w:r>
      <w:r w:rsidR="00FF009C">
        <w:rPr>
          <w:noProof/>
        </w:rPr>
        <w:t> </w:t>
      </w:r>
      <w:r w:rsidR="00FF009C" w:rsidRPr="00FF009C">
        <w:rPr>
          <w:noProof/>
        </w:rPr>
        <w:t>han</w:t>
      </w:r>
      <w:r w:rsidRPr="00FF009C">
        <w:rPr>
          <w:noProof/>
        </w:rPr>
        <w:t>del ludźmi, nielegalny obrót środkami odurzającymi, przestępstwa dotyczące akcyzy, nielegalny handel bronią</w:t>
      </w:r>
      <w:r w:rsidR="00FF009C" w:rsidRPr="00FF009C">
        <w:rPr>
          <w:noProof/>
        </w:rPr>
        <w:t xml:space="preserve"> i</w:t>
      </w:r>
      <w:r w:rsidR="00FF009C">
        <w:rPr>
          <w:noProof/>
        </w:rPr>
        <w:t> </w:t>
      </w:r>
      <w:r w:rsidR="00FF009C" w:rsidRPr="00FF009C">
        <w:rPr>
          <w:noProof/>
        </w:rPr>
        <w:t>pra</w:t>
      </w:r>
      <w:r w:rsidRPr="00FF009C">
        <w:rPr>
          <w:noProof/>
        </w:rPr>
        <w:t>nie pieniędzy. Wszystkie te rodzaje działalności przestępczej mają charakter transgraniczny. Dlatego też działania jedynie na szczeblu krajowym nie są wystarczające, by skutecznie im przeciwdziałać</w:t>
      </w:r>
      <w:r w:rsidR="00FF009C" w:rsidRPr="00FF009C">
        <w:rPr>
          <w:noProof/>
        </w:rPr>
        <w:t>. Z</w:t>
      </w:r>
      <w:r w:rsidR="00FF009C">
        <w:rPr>
          <w:noProof/>
        </w:rPr>
        <w:t> </w:t>
      </w:r>
      <w:r w:rsidR="00FF009C" w:rsidRPr="00FF009C">
        <w:rPr>
          <w:noProof/>
        </w:rPr>
        <w:t>teg</w:t>
      </w:r>
      <w:r w:rsidRPr="00FF009C">
        <w:rPr>
          <w:noProof/>
        </w:rPr>
        <w:t>o powodu państwa członkowskie zdecydowały się podjąć współpracę</w:t>
      </w:r>
      <w:r w:rsidR="00FF009C" w:rsidRPr="00FF009C">
        <w:rPr>
          <w:noProof/>
        </w:rPr>
        <w:t xml:space="preserve"> w</w:t>
      </w:r>
      <w:r w:rsidR="00FF009C">
        <w:rPr>
          <w:noProof/>
        </w:rPr>
        <w:t> </w:t>
      </w:r>
      <w:r w:rsidR="00FF009C" w:rsidRPr="00FF009C">
        <w:rPr>
          <w:noProof/>
        </w:rPr>
        <w:t>ram</w:t>
      </w:r>
      <w:r w:rsidRPr="00FF009C">
        <w:rPr>
          <w:noProof/>
        </w:rPr>
        <w:t>ach UE,</w:t>
      </w:r>
      <w:r w:rsidR="00FF009C" w:rsidRPr="00FF009C">
        <w:rPr>
          <w:noProof/>
        </w:rPr>
        <w:t xml:space="preserve"> w</w:t>
      </w:r>
      <w:r w:rsidR="00FF009C">
        <w:rPr>
          <w:noProof/>
        </w:rPr>
        <w:t> </w:t>
      </w:r>
      <w:r w:rsidR="00FF009C" w:rsidRPr="00FF009C">
        <w:rPr>
          <w:noProof/>
        </w:rPr>
        <w:t>szc</w:t>
      </w:r>
      <w:r w:rsidRPr="00FF009C">
        <w:rPr>
          <w:noProof/>
        </w:rPr>
        <w:t>zególności za pośrednictwem europejskiej multidyscyplinarnej platformy przeciwko zagrożeniom przestępstwami (EMPACT)</w:t>
      </w:r>
      <w:r w:rsidRPr="00FF009C">
        <w:rPr>
          <w:rStyle w:val="FootnoteReference0"/>
          <w:noProof/>
        </w:rPr>
        <w:footnoteReference w:id="36"/>
      </w:r>
      <w:r w:rsidRPr="00FF009C">
        <w:rPr>
          <w:noProof/>
        </w:rPr>
        <w:t>, aby zwalczać zagrożenia wynikające</w:t>
      </w:r>
      <w:r w:rsidR="00FF009C" w:rsidRPr="00FF009C">
        <w:rPr>
          <w:noProof/>
        </w:rPr>
        <w:t xml:space="preserve"> z</w:t>
      </w:r>
      <w:r w:rsidR="00FF009C">
        <w:rPr>
          <w:noProof/>
        </w:rPr>
        <w:t> </w:t>
      </w:r>
      <w:r w:rsidR="00FF009C" w:rsidRPr="00FF009C">
        <w:rPr>
          <w:noProof/>
        </w:rPr>
        <w:t>tyc</w:t>
      </w:r>
      <w:r w:rsidRPr="00FF009C">
        <w:rPr>
          <w:noProof/>
        </w:rPr>
        <w:t>h form poważnej przestępczości.</w:t>
      </w:r>
    </w:p>
    <w:p w14:paraId="7BA62D18" w14:textId="6CD71941"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 xml:space="preserve">Ponadto zmieniające się zagrożenia dla bezpieczeństwa, podsycane przez przestępców wykorzystujących korzyści, jakie przynosi </w:t>
      </w:r>
      <w:r w:rsidRPr="00FF009C">
        <w:rPr>
          <w:b/>
          <w:noProof/>
        </w:rPr>
        <w:t>transformacja cyfrowa</w:t>
      </w:r>
      <w:r w:rsidRPr="00FF009C">
        <w:rPr>
          <w:noProof/>
        </w:rPr>
        <w:t>, globalizacja</w:t>
      </w:r>
      <w:r w:rsidR="00FF009C" w:rsidRPr="00FF009C">
        <w:rPr>
          <w:noProof/>
        </w:rPr>
        <w:t xml:space="preserve"> i</w:t>
      </w:r>
      <w:r w:rsidR="00FF009C">
        <w:rPr>
          <w:noProof/>
        </w:rPr>
        <w:t> </w:t>
      </w:r>
      <w:r w:rsidR="00FF009C" w:rsidRPr="00FF009C">
        <w:rPr>
          <w:noProof/>
        </w:rPr>
        <w:t>mob</w:t>
      </w:r>
      <w:r w:rsidRPr="00FF009C">
        <w:rPr>
          <w:noProof/>
        </w:rPr>
        <w:t xml:space="preserve">ilność, również </w:t>
      </w:r>
      <w:r w:rsidRPr="00FF009C">
        <w:rPr>
          <w:b/>
          <w:noProof/>
        </w:rPr>
        <w:t>wymagają objęcia działań realizowanych przez krajowe organy ścigania skutecznym wsparciem na poziomie UE</w:t>
      </w:r>
      <w:r w:rsidR="00FF009C" w:rsidRPr="00FF009C">
        <w:rPr>
          <w:noProof/>
        </w:rPr>
        <w:t>. W</w:t>
      </w:r>
      <w:r w:rsidR="00FF009C">
        <w:rPr>
          <w:noProof/>
        </w:rPr>
        <w:t> </w:t>
      </w:r>
      <w:r w:rsidR="00FF009C" w:rsidRPr="00FF009C">
        <w:rPr>
          <w:noProof/>
        </w:rPr>
        <w:t>ram</w:t>
      </w:r>
      <w:r w:rsidRPr="00FF009C">
        <w:rPr>
          <w:noProof/>
        </w:rPr>
        <w:t>ach działań UE zapewnia się skuteczny</w:t>
      </w:r>
      <w:r w:rsidR="00FF009C" w:rsidRPr="00FF009C">
        <w:rPr>
          <w:noProof/>
        </w:rPr>
        <w:t xml:space="preserve"> i</w:t>
      </w:r>
      <w:r w:rsidR="00FF009C">
        <w:rPr>
          <w:noProof/>
        </w:rPr>
        <w:t> </w:t>
      </w:r>
      <w:r w:rsidR="00FF009C" w:rsidRPr="00FF009C">
        <w:rPr>
          <w:noProof/>
        </w:rPr>
        <w:t>wyd</w:t>
      </w:r>
      <w:r w:rsidRPr="00FF009C">
        <w:rPr>
          <w:noProof/>
        </w:rPr>
        <w:t>ajny sposób zwiększenia wsparcia dla państw członkowskich</w:t>
      </w:r>
      <w:r w:rsidR="00FF009C" w:rsidRPr="00FF009C">
        <w:rPr>
          <w:noProof/>
        </w:rPr>
        <w:t xml:space="preserve"> w</w:t>
      </w:r>
      <w:r w:rsidR="00FF009C">
        <w:rPr>
          <w:noProof/>
        </w:rPr>
        <w:t> </w:t>
      </w:r>
      <w:r w:rsidR="00FF009C" w:rsidRPr="00FF009C">
        <w:rPr>
          <w:noProof/>
        </w:rPr>
        <w:t>wal</w:t>
      </w:r>
      <w:r w:rsidRPr="00FF009C">
        <w:rPr>
          <w:noProof/>
        </w:rPr>
        <w:t>ce</w:t>
      </w:r>
      <w:r w:rsidR="00FF009C" w:rsidRPr="00FF009C">
        <w:rPr>
          <w:noProof/>
        </w:rPr>
        <w:t xml:space="preserve"> z</w:t>
      </w:r>
      <w:r w:rsidR="00FF009C">
        <w:rPr>
          <w:noProof/>
        </w:rPr>
        <w:t> </w:t>
      </w:r>
      <w:r w:rsidR="00FF009C" w:rsidRPr="00FF009C">
        <w:rPr>
          <w:noProof/>
        </w:rPr>
        <w:t>prz</w:t>
      </w:r>
      <w:r w:rsidRPr="00FF009C">
        <w:rPr>
          <w:noProof/>
        </w:rPr>
        <w:t>emytem migrantów pozostającym poważnym wyzwaniem, któremu należy</w:t>
      </w:r>
      <w:r w:rsidR="00FF009C" w:rsidRPr="00FF009C">
        <w:rPr>
          <w:noProof/>
        </w:rPr>
        <w:t xml:space="preserve"> w</w:t>
      </w:r>
      <w:r w:rsidR="00FF009C">
        <w:rPr>
          <w:noProof/>
        </w:rPr>
        <w:t> </w:t>
      </w:r>
      <w:r w:rsidR="00FF009C" w:rsidRPr="00FF009C">
        <w:rPr>
          <w:noProof/>
        </w:rPr>
        <w:t>dal</w:t>
      </w:r>
      <w:r w:rsidRPr="00FF009C">
        <w:rPr>
          <w:noProof/>
        </w:rPr>
        <w:t>szym ciągu nieustannie,</w:t>
      </w:r>
      <w:r w:rsidR="00FF009C" w:rsidRPr="00FF009C">
        <w:rPr>
          <w:noProof/>
        </w:rPr>
        <w:t xml:space="preserve"> w</w:t>
      </w:r>
      <w:r w:rsidR="00FF009C">
        <w:rPr>
          <w:noProof/>
        </w:rPr>
        <w:t> </w:t>
      </w:r>
      <w:r w:rsidR="00FF009C" w:rsidRPr="00FF009C">
        <w:rPr>
          <w:noProof/>
        </w:rPr>
        <w:t>sko</w:t>
      </w:r>
      <w:r w:rsidRPr="00FF009C">
        <w:rPr>
          <w:noProof/>
        </w:rPr>
        <w:t>ordynowany sposób</w:t>
      </w:r>
      <w:r w:rsidR="00FF009C" w:rsidRPr="00FF009C">
        <w:rPr>
          <w:noProof/>
        </w:rPr>
        <w:t xml:space="preserve"> i</w:t>
      </w:r>
      <w:r w:rsidR="00FF009C">
        <w:rPr>
          <w:noProof/>
        </w:rPr>
        <w:t> </w:t>
      </w:r>
      <w:r w:rsidR="00FF009C" w:rsidRPr="00FF009C">
        <w:rPr>
          <w:noProof/>
        </w:rPr>
        <w:t>wsp</w:t>
      </w:r>
      <w:r w:rsidRPr="00FF009C">
        <w:rPr>
          <w:noProof/>
        </w:rPr>
        <w:t>ólnie stawiać czoła.</w:t>
      </w:r>
    </w:p>
    <w:p w14:paraId="311CF153" w14:textId="5E4F7472"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Niniejszy wniosek przyczyni się do wytworzenia znacznych korzyści skali na szczeblu UE, ponieważ zadania</w:t>
      </w:r>
      <w:r w:rsidR="00FF009C" w:rsidRPr="00FF009C">
        <w:rPr>
          <w:noProof/>
        </w:rPr>
        <w:t xml:space="preserve"> i</w:t>
      </w:r>
      <w:r w:rsidR="00FF009C">
        <w:rPr>
          <w:noProof/>
        </w:rPr>
        <w:t> </w:t>
      </w:r>
      <w:r w:rsidR="00FF009C" w:rsidRPr="00FF009C">
        <w:rPr>
          <w:noProof/>
        </w:rPr>
        <w:t>usł</w:t>
      </w:r>
      <w:r w:rsidRPr="00FF009C">
        <w:rPr>
          <w:noProof/>
        </w:rPr>
        <w:t>ugi realizowane na szczeblu krajowym, które można skuteczniej realizować na szczeblu UE, zostaną przejęte przez Europol</w:t>
      </w:r>
      <w:r w:rsidR="00FF009C" w:rsidRPr="00FF009C">
        <w:rPr>
          <w:noProof/>
        </w:rPr>
        <w:t>. W</w:t>
      </w:r>
      <w:r w:rsidR="00FF009C">
        <w:rPr>
          <w:noProof/>
        </w:rPr>
        <w:t> </w:t>
      </w:r>
      <w:r w:rsidR="00FF009C" w:rsidRPr="00FF009C">
        <w:rPr>
          <w:noProof/>
        </w:rPr>
        <w:t>zwi</w:t>
      </w:r>
      <w:r w:rsidRPr="00FF009C">
        <w:rPr>
          <w:noProof/>
        </w:rPr>
        <w:t>ązku</w:t>
      </w:r>
      <w:r w:rsidR="00FF009C" w:rsidRPr="00FF009C">
        <w:rPr>
          <w:noProof/>
        </w:rPr>
        <w:t xml:space="preserve"> z</w:t>
      </w:r>
      <w:r w:rsidR="00FF009C">
        <w:rPr>
          <w:noProof/>
        </w:rPr>
        <w:t> </w:t>
      </w:r>
      <w:r w:rsidR="00FF009C" w:rsidRPr="00FF009C">
        <w:rPr>
          <w:noProof/>
        </w:rPr>
        <w:t>tym</w:t>
      </w:r>
      <w:r w:rsidRPr="00FF009C">
        <w:rPr>
          <w:noProof/>
        </w:rPr>
        <w:t xml:space="preserve"> wniosek zawiera skuteczne rozwiązania</w:t>
      </w:r>
      <w:r w:rsidR="00FF009C" w:rsidRPr="00FF009C">
        <w:rPr>
          <w:noProof/>
        </w:rPr>
        <w:t xml:space="preserve"> w</w:t>
      </w:r>
      <w:r w:rsidR="00FF009C">
        <w:rPr>
          <w:noProof/>
        </w:rPr>
        <w:t> </w:t>
      </w:r>
      <w:r w:rsidR="00FF009C" w:rsidRPr="00FF009C">
        <w:rPr>
          <w:noProof/>
        </w:rPr>
        <w:t>zak</w:t>
      </w:r>
      <w:r w:rsidRPr="00FF009C">
        <w:rPr>
          <w:noProof/>
        </w:rPr>
        <w:t>resie przeciwdziałania wyzwaniom, którym stawienie czoła na szczeblu krajowym</w:t>
      </w:r>
      <w:r w:rsidR="00FF009C" w:rsidRPr="00FF009C">
        <w:rPr>
          <w:noProof/>
        </w:rPr>
        <w:t xml:space="preserve"> w</w:t>
      </w:r>
      <w:r w:rsidR="00FF009C">
        <w:rPr>
          <w:noProof/>
        </w:rPr>
        <w:t> </w:t>
      </w:r>
      <w:r w:rsidR="00FF009C" w:rsidRPr="00FF009C">
        <w:rPr>
          <w:noProof/>
        </w:rPr>
        <w:t>ogó</w:t>
      </w:r>
      <w:r w:rsidRPr="00FF009C">
        <w:rPr>
          <w:noProof/>
        </w:rPr>
        <w:t>le nie jest możliwe ze względu na ich transgraniczny charakter.</w:t>
      </w:r>
    </w:p>
    <w:p w14:paraId="3E62BD84" w14:textId="77777777"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 xml:space="preserve"> </w:t>
      </w:r>
    </w:p>
    <w:p w14:paraId="6D0D4BEA" w14:textId="51FED1D5" w:rsidR="00AB4A6F" w:rsidRPr="00FF009C" w:rsidRDefault="00AB4A6F" w:rsidP="00AB4A6F">
      <w:pPr>
        <w:pStyle w:val="ManualHeading3"/>
        <w:rPr>
          <w:noProof/>
        </w:rPr>
      </w:pPr>
      <w:bookmarkStart w:id="32" w:name="_Toc514938671"/>
      <w:bookmarkStart w:id="33" w:name="_Toc155952153"/>
      <w:r w:rsidRPr="00FF009C">
        <w:rPr>
          <w:noProof/>
        </w:rPr>
        <w:t>1.5.3.</w:t>
      </w:r>
      <w:r w:rsidRPr="00FF009C">
        <w:rPr>
          <w:noProof/>
        </w:rPr>
        <w:tab/>
        <w:t>Główne wnioski wyciągnięte</w:t>
      </w:r>
      <w:r w:rsidR="00FF009C" w:rsidRPr="00FF009C">
        <w:rPr>
          <w:noProof/>
        </w:rPr>
        <w:t xml:space="preserve"> z</w:t>
      </w:r>
      <w:r w:rsidR="00FF009C">
        <w:rPr>
          <w:noProof/>
        </w:rPr>
        <w:t> </w:t>
      </w:r>
      <w:r w:rsidR="00FF009C" w:rsidRPr="00FF009C">
        <w:rPr>
          <w:noProof/>
        </w:rPr>
        <w:t>pod</w:t>
      </w:r>
      <w:r w:rsidRPr="00FF009C">
        <w:rPr>
          <w:noProof/>
        </w:rPr>
        <w:t>obnych działań</w:t>
      </w:r>
      <w:bookmarkEnd w:id="32"/>
      <w:bookmarkEnd w:id="33"/>
    </w:p>
    <w:p w14:paraId="32263D7B" w14:textId="0B855A45"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 xml:space="preserve">U podstaw wniosku leży konieczność zajęcia się problemem </w:t>
      </w:r>
      <w:r w:rsidRPr="00FF009C">
        <w:rPr>
          <w:b/>
          <w:noProof/>
        </w:rPr>
        <w:t>przemytu migrantów, który stanowi dynamiczny, elastyczny</w:t>
      </w:r>
      <w:r w:rsidR="00FF009C" w:rsidRPr="00FF009C">
        <w:rPr>
          <w:b/>
          <w:noProof/>
        </w:rPr>
        <w:t xml:space="preserve"> i</w:t>
      </w:r>
      <w:r w:rsidR="00FF009C">
        <w:rPr>
          <w:b/>
          <w:noProof/>
        </w:rPr>
        <w:t> </w:t>
      </w:r>
      <w:r w:rsidR="00FF009C" w:rsidRPr="00FF009C">
        <w:rPr>
          <w:b/>
          <w:noProof/>
        </w:rPr>
        <w:t>cor</w:t>
      </w:r>
      <w:r w:rsidRPr="00FF009C">
        <w:rPr>
          <w:b/>
          <w:noProof/>
        </w:rPr>
        <w:t>az bardziej złożony rodzaj działalności przestępczej wywierający wpływ na bezpieczeństwo wewnętrzne UE</w:t>
      </w:r>
      <w:r w:rsidRPr="00FF009C">
        <w:rPr>
          <w:noProof/>
        </w:rPr>
        <w:t xml:space="preserve">. </w:t>
      </w:r>
    </w:p>
    <w:p w14:paraId="001159B3" w14:textId="60F5311C"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Rynek usług przemytu migrantów do UE</w:t>
      </w:r>
      <w:r w:rsidR="00FF009C" w:rsidRPr="00FF009C">
        <w:rPr>
          <w:noProof/>
        </w:rPr>
        <w:t xml:space="preserve"> i</w:t>
      </w:r>
      <w:r w:rsidR="00FF009C">
        <w:rPr>
          <w:noProof/>
        </w:rPr>
        <w:t> </w:t>
      </w:r>
      <w:r w:rsidR="00FF009C" w:rsidRPr="00FF009C">
        <w:rPr>
          <w:noProof/>
        </w:rPr>
        <w:t>wew</w:t>
      </w:r>
      <w:r w:rsidRPr="00FF009C">
        <w:rPr>
          <w:noProof/>
        </w:rPr>
        <w:t>nątrz UE jeszcze nigdy nie był tak duży, a do jego dalszego wzrostu przyczyniają się nowe</w:t>
      </w:r>
      <w:r w:rsidR="00FF009C" w:rsidRPr="00FF009C">
        <w:rPr>
          <w:noProof/>
        </w:rPr>
        <w:t xml:space="preserve"> i</w:t>
      </w:r>
      <w:r w:rsidR="00FF009C">
        <w:rPr>
          <w:noProof/>
        </w:rPr>
        <w:t> </w:t>
      </w:r>
      <w:r w:rsidR="00FF009C" w:rsidRPr="00FF009C">
        <w:rPr>
          <w:noProof/>
        </w:rPr>
        <w:t>cor</w:t>
      </w:r>
      <w:r w:rsidRPr="00FF009C">
        <w:rPr>
          <w:noProof/>
        </w:rPr>
        <w:t>az dotkliwsze kryzysy,</w:t>
      </w:r>
      <w:r w:rsidR="00FF009C" w:rsidRPr="00FF009C">
        <w:rPr>
          <w:noProof/>
        </w:rPr>
        <w:t xml:space="preserve"> w</w:t>
      </w:r>
      <w:r w:rsidR="00FF009C">
        <w:rPr>
          <w:noProof/>
        </w:rPr>
        <w:t> </w:t>
      </w:r>
      <w:r w:rsidR="00FF009C" w:rsidRPr="00FF009C">
        <w:rPr>
          <w:noProof/>
        </w:rPr>
        <w:t>szc</w:t>
      </w:r>
      <w:r w:rsidRPr="00FF009C">
        <w:rPr>
          <w:noProof/>
        </w:rPr>
        <w:t>zególności recesje gospodarcze, kryzysy środowiskowe spowodowane zmianą klimatu,</w:t>
      </w:r>
      <w:r w:rsidR="00FF009C" w:rsidRPr="00FF009C">
        <w:rPr>
          <w:noProof/>
        </w:rPr>
        <w:t xml:space="preserve"> a</w:t>
      </w:r>
      <w:r w:rsidR="00FF009C">
        <w:rPr>
          <w:noProof/>
        </w:rPr>
        <w:t> </w:t>
      </w:r>
      <w:r w:rsidR="00FF009C" w:rsidRPr="00FF009C">
        <w:rPr>
          <w:noProof/>
        </w:rPr>
        <w:t>tak</w:t>
      </w:r>
      <w:r w:rsidRPr="00FF009C">
        <w:rPr>
          <w:noProof/>
        </w:rPr>
        <w:t>że konflikty</w:t>
      </w:r>
      <w:r w:rsidR="00FF009C" w:rsidRPr="00FF009C">
        <w:rPr>
          <w:noProof/>
        </w:rPr>
        <w:t xml:space="preserve"> i</w:t>
      </w:r>
      <w:r w:rsidR="00FF009C">
        <w:rPr>
          <w:noProof/>
        </w:rPr>
        <w:t> </w:t>
      </w:r>
      <w:r w:rsidR="00FF009C" w:rsidRPr="00FF009C">
        <w:rPr>
          <w:noProof/>
        </w:rPr>
        <w:t>pre</w:t>
      </w:r>
      <w:r w:rsidRPr="00FF009C">
        <w:rPr>
          <w:noProof/>
        </w:rPr>
        <w:t>sja demograficzna</w:t>
      </w:r>
      <w:r w:rsidR="00FF009C" w:rsidRPr="00FF009C">
        <w:rPr>
          <w:noProof/>
        </w:rPr>
        <w:t xml:space="preserve"> w</w:t>
      </w:r>
      <w:r w:rsidR="00FF009C">
        <w:rPr>
          <w:noProof/>
        </w:rPr>
        <w:t> </w:t>
      </w:r>
      <w:r w:rsidR="00FF009C" w:rsidRPr="00FF009C">
        <w:rPr>
          <w:noProof/>
        </w:rPr>
        <w:t>wie</w:t>
      </w:r>
      <w:r w:rsidRPr="00FF009C">
        <w:rPr>
          <w:noProof/>
        </w:rPr>
        <w:t xml:space="preserve">lu państwach pochodzenia. </w:t>
      </w:r>
    </w:p>
    <w:p w14:paraId="34AADC7A" w14:textId="3E6281E0"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b/>
          <w:noProof/>
        </w:rPr>
        <w:t>Przemyt migrantów to przestępstwo występujące na całym świecie, które zagraża życiu migrantów</w:t>
      </w:r>
      <w:r w:rsidR="00FF009C" w:rsidRPr="00FF009C">
        <w:rPr>
          <w:noProof/>
        </w:rPr>
        <w:t xml:space="preserve"> i</w:t>
      </w:r>
      <w:r w:rsidR="00FF009C">
        <w:rPr>
          <w:noProof/>
        </w:rPr>
        <w:t> </w:t>
      </w:r>
      <w:r w:rsidR="00FF009C" w:rsidRPr="00FF009C">
        <w:rPr>
          <w:noProof/>
        </w:rPr>
        <w:t>int</w:t>
      </w:r>
      <w:r w:rsidRPr="00FF009C">
        <w:rPr>
          <w:noProof/>
        </w:rPr>
        <w:t xml:space="preserve">egralności granic międzynarodowych. Jest to </w:t>
      </w:r>
      <w:r w:rsidRPr="00FF009C">
        <w:rPr>
          <w:b/>
          <w:noProof/>
        </w:rPr>
        <w:t xml:space="preserve">lukratywny rodzaj działalności przestępczej </w:t>
      </w:r>
      <w:r w:rsidRPr="00FF009C">
        <w:rPr>
          <w:noProof/>
        </w:rPr>
        <w:t>dla zorganizowanych grup przestępczych, który na przestrzeni ostatnich lat stanowił poważne zagrożenie humanitarne</w:t>
      </w:r>
      <w:r w:rsidR="00FF009C" w:rsidRPr="00FF009C">
        <w:rPr>
          <w:noProof/>
        </w:rPr>
        <w:t xml:space="preserve"> i</w:t>
      </w:r>
      <w:r w:rsidR="00FF009C">
        <w:rPr>
          <w:noProof/>
        </w:rPr>
        <w:t> </w:t>
      </w:r>
      <w:r w:rsidR="00FF009C" w:rsidRPr="00FF009C">
        <w:rPr>
          <w:noProof/>
        </w:rPr>
        <w:t>zag</w:t>
      </w:r>
      <w:r w:rsidRPr="00FF009C">
        <w:rPr>
          <w:noProof/>
        </w:rPr>
        <w:t>rożenie bezpieczeństwa dla UE.</w:t>
      </w:r>
    </w:p>
    <w:p w14:paraId="19D913DC" w14:textId="77777777"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 xml:space="preserve">Te zmieniające się zagrożenia dla bezpieczeństwa wymagają objęcia działań realizowanych przez krajowe organy ścigania skutecznym wsparciem na poziomie UE. </w:t>
      </w:r>
    </w:p>
    <w:p w14:paraId="37DB9060" w14:textId="6A4E8BE3"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Niniejszy wniosek opiera się również na wnioskach wyciągniętych</w:t>
      </w:r>
      <w:r w:rsidR="00FF009C" w:rsidRPr="00FF009C">
        <w:rPr>
          <w:noProof/>
        </w:rPr>
        <w:t xml:space="preserve"> i</w:t>
      </w:r>
      <w:r w:rsidR="00FF009C">
        <w:rPr>
          <w:noProof/>
        </w:rPr>
        <w:t> </w:t>
      </w:r>
      <w:r w:rsidR="00FF009C" w:rsidRPr="00FF009C">
        <w:rPr>
          <w:noProof/>
        </w:rPr>
        <w:t>pos</w:t>
      </w:r>
      <w:r w:rsidRPr="00FF009C">
        <w:rPr>
          <w:noProof/>
        </w:rPr>
        <w:t>tępach poczynionych od czasu przyjęcia odnowionego unijnego planu działania przeciwko przemytowi migrantów (na lata 2021–2025),</w:t>
      </w:r>
      <w:r w:rsidR="00FF009C" w:rsidRPr="00FF009C">
        <w:rPr>
          <w:noProof/>
        </w:rPr>
        <w:t xml:space="preserve"> w</w:t>
      </w:r>
      <w:r w:rsidR="00FF009C">
        <w:rPr>
          <w:noProof/>
        </w:rPr>
        <w:t> </w:t>
      </w:r>
      <w:r w:rsidR="00FF009C" w:rsidRPr="00FF009C">
        <w:rPr>
          <w:noProof/>
        </w:rPr>
        <w:t>któ</w:t>
      </w:r>
      <w:r w:rsidRPr="00FF009C">
        <w:rPr>
          <w:noProof/>
        </w:rPr>
        <w:t>rym dodatkowo wzmocniono współpracę operacyjną</w:t>
      </w:r>
      <w:r w:rsidR="00FF009C" w:rsidRPr="00FF009C">
        <w:rPr>
          <w:noProof/>
        </w:rPr>
        <w:t xml:space="preserve"> i</w:t>
      </w:r>
      <w:r w:rsidR="00FF009C">
        <w:rPr>
          <w:noProof/>
        </w:rPr>
        <w:t> </w:t>
      </w:r>
      <w:r w:rsidR="00FF009C" w:rsidRPr="00FF009C">
        <w:rPr>
          <w:noProof/>
        </w:rPr>
        <w:t>wym</w:t>
      </w:r>
      <w:r w:rsidRPr="00FF009C">
        <w:rPr>
          <w:noProof/>
        </w:rPr>
        <w:t>ianę informacji między państwami członkowskimi UE</w:t>
      </w:r>
      <w:r w:rsidR="00FF009C" w:rsidRPr="00FF009C">
        <w:rPr>
          <w:noProof/>
        </w:rPr>
        <w:t xml:space="preserve"> a</w:t>
      </w:r>
      <w:r w:rsidR="00FF009C">
        <w:rPr>
          <w:noProof/>
        </w:rPr>
        <w:t> </w:t>
      </w:r>
      <w:r w:rsidR="00FF009C" w:rsidRPr="00FF009C">
        <w:rPr>
          <w:noProof/>
        </w:rPr>
        <w:t>uni</w:t>
      </w:r>
      <w:r w:rsidRPr="00FF009C">
        <w:rPr>
          <w:noProof/>
        </w:rPr>
        <w:t>jnymi organami ścigania</w:t>
      </w:r>
      <w:r w:rsidR="00FF009C" w:rsidRPr="00FF009C">
        <w:rPr>
          <w:noProof/>
        </w:rPr>
        <w:t xml:space="preserve"> w</w:t>
      </w:r>
      <w:r w:rsidR="00FF009C">
        <w:rPr>
          <w:noProof/>
        </w:rPr>
        <w:t> </w:t>
      </w:r>
      <w:r w:rsidR="00FF009C" w:rsidRPr="00FF009C">
        <w:rPr>
          <w:noProof/>
        </w:rPr>
        <w:t>zak</w:t>
      </w:r>
      <w:r w:rsidRPr="00FF009C">
        <w:rPr>
          <w:noProof/>
        </w:rPr>
        <w:t>resie prowadzenia postępowań przygotowawczych</w:t>
      </w:r>
      <w:r w:rsidR="00FF009C" w:rsidRPr="00FF009C">
        <w:rPr>
          <w:noProof/>
        </w:rPr>
        <w:t xml:space="preserve"> w</w:t>
      </w:r>
      <w:r w:rsidR="00FF009C">
        <w:rPr>
          <w:noProof/>
        </w:rPr>
        <w:t> </w:t>
      </w:r>
      <w:r w:rsidR="00FF009C" w:rsidRPr="00FF009C">
        <w:rPr>
          <w:noProof/>
        </w:rPr>
        <w:t>spr</w:t>
      </w:r>
      <w:r w:rsidRPr="00FF009C">
        <w:rPr>
          <w:noProof/>
        </w:rPr>
        <w:t>awach dotyczących siatek przemytu migrantów</w:t>
      </w:r>
      <w:r w:rsidR="00FF009C" w:rsidRPr="00FF009C">
        <w:rPr>
          <w:noProof/>
        </w:rPr>
        <w:t xml:space="preserve"> i</w:t>
      </w:r>
      <w:r w:rsidR="00FF009C">
        <w:rPr>
          <w:noProof/>
        </w:rPr>
        <w:t> </w:t>
      </w:r>
      <w:r w:rsidR="00FF009C" w:rsidRPr="00FF009C">
        <w:rPr>
          <w:noProof/>
        </w:rPr>
        <w:t>ści</w:t>
      </w:r>
      <w:r w:rsidRPr="00FF009C">
        <w:rPr>
          <w:noProof/>
        </w:rPr>
        <w:t xml:space="preserve">gania członków tych siatek. </w:t>
      </w:r>
    </w:p>
    <w:p w14:paraId="7D3E8837" w14:textId="1E4D56D0"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We wniosku uwzględniono ponadto zalecenia Europejskiego Trybunału Obrachunkowego przedstawione</w:t>
      </w:r>
      <w:r w:rsidR="00FF009C" w:rsidRPr="00FF009C">
        <w:rPr>
          <w:noProof/>
        </w:rPr>
        <w:t xml:space="preserve"> w</w:t>
      </w:r>
      <w:r w:rsidR="00FF009C">
        <w:rPr>
          <w:noProof/>
        </w:rPr>
        <w:t> </w:t>
      </w:r>
      <w:r w:rsidR="00FF009C" w:rsidRPr="00FF009C">
        <w:rPr>
          <w:noProof/>
        </w:rPr>
        <w:t>jeg</w:t>
      </w:r>
      <w:r w:rsidRPr="00FF009C">
        <w:rPr>
          <w:noProof/>
        </w:rPr>
        <w:t>o sprawozdaniu specjalnym</w:t>
      </w:r>
      <w:r w:rsidR="00FF009C" w:rsidRPr="00FF009C">
        <w:rPr>
          <w:noProof/>
        </w:rPr>
        <w:t xml:space="preserve"> z</w:t>
      </w:r>
      <w:r w:rsidR="00FF009C">
        <w:rPr>
          <w:noProof/>
        </w:rPr>
        <w:t> </w:t>
      </w:r>
      <w:r w:rsidR="00FF009C" w:rsidRPr="00FF009C">
        <w:rPr>
          <w:noProof/>
        </w:rPr>
        <w:t>2</w:t>
      </w:r>
      <w:r w:rsidRPr="00FF009C">
        <w:rPr>
          <w:noProof/>
        </w:rPr>
        <w:t>021</w:t>
      </w:r>
      <w:r w:rsidR="00FF009C" w:rsidRPr="00FF009C">
        <w:rPr>
          <w:noProof/>
        </w:rPr>
        <w:t> </w:t>
      </w:r>
      <w:r w:rsidRPr="00FF009C">
        <w:rPr>
          <w:noProof/>
        </w:rPr>
        <w:t>r. pt. „Europol – cenne wsparcie</w:t>
      </w:r>
      <w:r w:rsidR="00FF009C" w:rsidRPr="00FF009C">
        <w:rPr>
          <w:noProof/>
        </w:rPr>
        <w:t xml:space="preserve"> w</w:t>
      </w:r>
      <w:r w:rsidR="00FF009C">
        <w:rPr>
          <w:noProof/>
        </w:rPr>
        <w:t> </w:t>
      </w:r>
      <w:r w:rsidR="00FF009C" w:rsidRPr="00FF009C">
        <w:rPr>
          <w:noProof/>
        </w:rPr>
        <w:t>zwa</w:t>
      </w:r>
      <w:r w:rsidRPr="00FF009C">
        <w:rPr>
          <w:noProof/>
        </w:rPr>
        <w:t>lczaniu przemytu migrantów mimo niewystarczającego wykorzystywania źródeł danych</w:t>
      </w:r>
      <w:r w:rsidR="00FF009C" w:rsidRPr="00FF009C">
        <w:rPr>
          <w:noProof/>
        </w:rPr>
        <w:t xml:space="preserve"> i</w:t>
      </w:r>
      <w:r w:rsidR="00FF009C">
        <w:rPr>
          <w:noProof/>
        </w:rPr>
        <w:t> </w:t>
      </w:r>
      <w:r w:rsidR="00FF009C" w:rsidRPr="00FF009C">
        <w:rPr>
          <w:noProof/>
        </w:rPr>
        <w:t>pom</w:t>
      </w:r>
      <w:r w:rsidRPr="00FF009C">
        <w:rPr>
          <w:noProof/>
        </w:rPr>
        <w:t>iaru rezultatów”.</w:t>
      </w:r>
      <w:r w:rsidR="00FF009C" w:rsidRPr="00FF009C">
        <w:rPr>
          <w:noProof/>
        </w:rPr>
        <w:t xml:space="preserve"> </w:t>
      </w:r>
    </w:p>
    <w:p w14:paraId="62FCA1E9" w14:textId="007F9DA9" w:rsidR="00AB4A6F" w:rsidRPr="00FF009C" w:rsidRDefault="00AB4A6F" w:rsidP="00AB4A6F">
      <w:pPr>
        <w:pStyle w:val="Text1"/>
        <w:pBdr>
          <w:top w:val="single" w:sz="4" w:space="1" w:color="auto"/>
          <w:left w:val="single" w:sz="4" w:space="4" w:color="auto"/>
          <w:bottom w:val="single" w:sz="4" w:space="1" w:color="auto"/>
          <w:right w:val="single" w:sz="4" w:space="4" w:color="auto"/>
        </w:pBdr>
        <w:rPr>
          <w:b/>
          <w:bCs/>
          <w:noProof/>
        </w:rPr>
      </w:pPr>
      <w:r w:rsidRPr="00FF009C">
        <w:rPr>
          <w:noProof/>
        </w:rPr>
        <w:t>Poprzednie przeglądy zakresu działania Europolu oraz rosnące zapotrzebowanie na usługi ze strony państw członkowskich,</w:t>
      </w:r>
      <w:r w:rsidR="00FF009C" w:rsidRPr="00FF009C">
        <w:rPr>
          <w:noProof/>
        </w:rPr>
        <w:t xml:space="preserve"> a</w:t>
      </w:r>
      <w:r w:rsidR="00FF009C">
        <w:rPr>
          <w:noProof/>
        </w:rPr>
        <w:t> </w:t>
      </w:r>
      <w:r w:rsidR="00FF009C" w:rsidRPr="00FF009C">
        <w:rPr>
          <w:noProof/>
        </w:rPr>
        <w:t>tak</w:t>
      </w:r>
      <w:r w:rsidRPr="00FF009C">
        <w:rPr>
          <w:noProof/>
        </w:rPr>
        <w:t>że kluczowa rola odgrywana przez Europol</w:t>
      </w:r>
      <w:r w:rsidR="00FF009C" w:rsidRPr="00FF009C">
        <w:rPr>
          <w:noProof/>
        </w:rPr>
        <w:t xml:space="preserve"> w</w:t>
      </w:r>
      <w:r w:rsidR="00FF009C">
        <w:rPr>
          <w:noProof/>
        </w:rPr>
        <w:t> </w:t>
      </w:r>
      <w:r w:rsidR="00FF009C" w:rsidRPr="00FF009C">
        <w:rPr>
          <w:noProof/>
        </w:rPr>
        <w:t>uni</w:t>
      </w:r>
      <w:r w:rsidRPr="00FF009C">
        <w:rPr>
          <w:noProof/>
        </w:rPr>
        <w:t xml:space="preserve">jnej architekturze bezpieczeństwa wewnętrznego, wyraźnie wskazują również, że </w:t>
      </w:r>
      <w:r w:rsidRPr="00FF009C">
        <w:rPr>
          <w:b/>
          <w:noProof/>
        </w:rPr>
        <w:t>zadania Europolu należy wesprzeć przy pomocy odpowiednich zasobów finansowych</w:t>
      </w:r>
      <w:r w:rsidR="00FF009C" w:rsidRPr="00FF009C">
        <w:rPr>
          <w:b/>
          <w:noProof/>
        </w:rPr>
        <w:t xml:space="preserve"> i</w:t>
      </w:r>
      <w:r w:rsidR="00FF009C">
        <w:rPr>
          <w:b/>
          <w:noProof/>
        </w:rPr>
        <w:t> </w:t>
      </w:r>
      <w:r w:rsidR="00FF009C" w:rsidRPr="00FF009C">
        <w:rPr>
          <w:b/>
          <w:noProof/>
        </w:rPr>
        <w:t>lud</w:t>
      </w:r>
      <w:r w:rsidRPr="00FF009C">
        <w:rPr>
          <w:b/>
          <w:noProof/>
        </w:rPr>
        <w:t>zkich.</w:t>
      </w:r>
    </w:p>
    <w:p w14:paraId="10DC5245" w14:textId="77777777"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p>
    <w:p w14:paraId="6F4CE6BF" w14:textId="06F81D1F" w:rsidR="00AB4A6F" w:rsidRPr="00FF009C" w:rsidRDefault="00AB4A6F" w:rsidP="00AB4A6F">
      <w:pPr>
        <w:pStyle w:val="ManualHeading3"/>
        <w:rPr>
          <w:noProof/>
        </w:rPr>
      </w:pPr>
      <w:bookmarkStart w:id="34" w:name="_Toc514938672"/>
      <w:bookmarkStart w:id="35" w:name="_Toc155952154"/>
      <w:r w:rsidRPr="00FF009C">
        <w:rPr>
          <w:noProof/>
        </w:rPr>
        <w:t>1.5.4.</w:t>
      </w:r>
      <w:r w:rsidRPr="00FF009C">
        <w:rPr>
          <w:noProof/>
        </w:rPr>
        <w:tab/>
        <w:t>Spójność</w:t>
      </w:r>
      <w:r w:rsidR="00FF009C" w:rsidRPr="00FF009C">
        <w:rPr>
          <w:noProof/>
        </w:rPr>
        <w:t xml:space="preserve"> z</w:t>
      </w:r>
      <w:r w:rsidR="00FF009C">
        <w:rPr>
          <w:noProof/>
        </w:rPr>
        <w:t> </w:t>
      </w:r>
      <w:r w:rsidR="00FF009C" w:rsidRPr="00FF009C">
        <w:rPr>
          <w:noProof/>
        </w:rPr>
        <w:t>wie</w:t>
      </w:r>
      <w:r w:rsidRPr="00FF009C">
        <w:rPr>
          <w:noProof/>
        </w:rPr>
        <w:t>loletnimi ramami finansowymi oraz możliwa synergia</w:t>
      </w:r>
      <w:r w:rsidR="00FF009C" w:rsidRPr="00FF009C">
        <w:rPr>
          <w:noProof/>
        </w:rPr>
        <w:t xml:space="preserve"> z</w:t>
      </w:r>
      <w:r w:rsidR="00FF009C">
        <w:rPr>
          <w:noProof/>
        </w:rPr>
        <w:t> </w:t>
      </w:r>
      <w:r w:rsidR="00FF009C" w:rsidRPr="00FF009C">
        <w:rPr>
          <w:noProof/>
        </w:rPr>
        <w:t>inn</w:t>
      </w:r>
      <w:r w:rsidRPr="00FF009C">
        <w:rPr>
          <w:noProof/>
        </w:rPr>
        <w:t>ymi właściwymi instrumentami</w:t>
      </w:r>
      <w:bookmarkEnd w:id="34"/>
      <w:bookmarkEnd w:id="35"/>
    </w:p>
    <w:p w14:paraId="743D2ABD" w14:textId="3A39550F"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Wniosek stanowi odpowiedź na szybko zmieniającą się sytuację</w:t>
      </w:r>
      <w:r w:rsidR="00FF009C" w:rsidRPr="00FF009C">
        <w:rPr>
          <w:noProof/>
        </w:rPr>
        <w:t xml:space="preserve"> w</w:t>
      </w:r>
      <w:r w:rsidR="00FF009C">
        <w:rPr>
          <w:noProof/>
        </w:rPr>
        <w:t> </w:t>
      </w:r>
      <w:r w:rsidR="00FF009C" w:rsidRPr="00FF009C">
        <w:rPr>
          <w:noProof/>
        </w:rPr>
        <w:t>zak</w:t>
      </w:r>
      <w:r w:rsidRPr="00FF009C">
        <w:rPr>
          <w:noProof/>
        </w:rPr>
        <w:t>resie bezpieczeństwa, ponieważ dzięki niemu Europol zostanie wyposażony</w:t>
      </w:r>
      <w:r w:rsidR="00FF009C" w:rsidRPr="00FF009C">
        <w:rPr>
          <w:noProof/>
        </w:rPr>
        <w:t xml:space="preserve"> w</w:t>
      </w:r>
      <w:r w:rsidR="00FF009C">
        <w:rPr>
          <w:noProof/>
        </w:rPr>
        <w:t> </w:t>
      </w:r>
      <w:r w:rsidR="00FF009C" w:rsidRPr="00FF009C">
        <w:rPr>
          <w:noProof/>
        </w:rPr>
        <w:t>pot</w:t>
      </w:r>
      <w:r w:rsidRPr="00FF009C">
        <w:rPr>
          <w:noProof/>
        </w:rPr>
        <w:t>rzebne zdolności</w:t>
      </w:r>
      <w:r w:rsidR="00FF009C" w:rsidRPr="00FF009C">
        <w:rPr>
          <w:noProof/>
        </w:rPr>
        <w:t xml:space="preserve"> i</w:t>
      </w:r>
      <w:r w:rsidR="00FF009C">
        <w:rPr>
          <w:noProof/>
        </w:rPr>
        <w:t> </w:t>
      </w:r>
      <w:r w:rsidR="00FF009C" w:rsidRPr="00FF009C">
        <w:rPr>
          <w:noProof/>
        </w:rPr>
        <w:t>nar</w:t>
      </w:r>
      <w:r w:rsidRPr="00FF009C">
        <w:rPr>
          <w:noProof/>
        </w:rPr>
        <w:t>zędzia na potrzeby skutecznego wsparcia państw członkowskich</w:t>
      </w:r>
      <w:r w:rsidR="00FF009C" w:rsidRPr="00FF009C">
        <w:rPr>
          <w:noProof/>
        </w:rPr>
        <w:t xml:space="preserve"> w</w:t>
      </w:r>
      <w:r w:rsidR="00FF009C">
        <w:rPr>
          <w:noProof/>
        </w:rPr>
        <w:t> </w:t>
      </w:r>
      <w:r w:rsidR="00FF009C" w:rsidRPr="00FF009C">
        <w:rPr>
          <w:noProof/>
        </w:rPr>
        <w:t>wal</w:t>
      </w:r>
      <w:r w:rsidRPr="00FF009C">
        <w:rPr>
          <w:noProof/>
        </w:rPr>
        <w:t>ce</w:t>
      </w:r>
      <w:r w:rsidR="00FF009C" w:rsidRPr="00FF009C">
        <w:rPr>
          <w:noProof/>
        </w:rPr>
        <w:t xml:space="preserve"> z</w:t>
      </w:r>
      <w:r w:rsidR="00FF009C">
        <w:rPr>
          <w:noProof/>
        </w:rPr>
        <w:t> </w:t>
      </w:r>
      <w:r w:rsidR="00FF009C" w:rsidRPr="00FF009C">
        <w:rPr>
          <w:noProof/>
        </w:rPr>
        <w:t>prz</w:t>
      </w:r>
      <w:r w:rsidRPr="00FF009C">
        <w:rPr>
          <w:noProof/>
        </w:rPr>
        <w:t>emytem migrantów, handlem ludźmi oraz innymi formami poważnej przestępczości. Wniosek jest</w:t>
      </w:r>
      <w:r w:rsidR="00FF009C" w:rsidRPr="00FF009C">
        <w:rPr>
          <w:noProof/>
        </w:rPr>
        <w:t xml:space="preserve"> w</w:t>
      </w:r>
      <w:r w:rsidR="00FF009C">
        <w:rPr>
          <w:noProof/>
        </w:rPr>
        <w:t> </w:t>
      </w:r>
      <w:r w:rsidR="00FF009C" w:rsidRPr="00FF009C">
        <w:rPr>
          <w:noProof/>
        </w:rPr>
        <w:t>peł</w:t>
      </w:r>
      <w:r w:rsidRPr="00FF009C">
        <w:rPr>
          <w:noProof/>
        </w:rPr>
        <w:t xml:space="preserve">ni zgodny z </w:t>
      </w:r>
      <w:r w:rsidRPr="00FF009C">
        <w:rPr>
          <w:b/>
          <w:noProof/>
        </w:rPr>
        <w:t>„nowymi przepisami</w:t>
      </w:r>
      <w:r w:rsidR="00FF009C" w:rsidRPr="00FF009C">
        <w:rPr>
          <w:b/>
          <w:noProof/>
        </w:rPr>
        <w:t xml:space="preserve"> i</w:t>
      </w:r>
      <w:r w:rsidR="00FF009C">
        <w:rPr>
          <w:b/>
          <w:noProof/>
        </w:rPr>
        <w:t> </w:t>
      </w:r>
      <w:r w:rsidR="00FF009C" w:rsidRPr="00FF009C">
        <w:rPr>
          <w:b/>
          <w:noProof/>
        </w:rPr>
        <w:t>now</w:t>
      </w:r>
      <w:r w:rsidRPr="00FF009C">
        <w:rPr>
          <w:b/>
          <w:noProof/>
        </w:rPr>
        <w:t>ą strukturą zarządzania” służącymi zwalczaniu przemytników migrantów</w:t>
      </w:r>
      <w:r w:rsidRPr="00FF009C">
        <w:rPr>
          <w:noProof/>
        </w:rPr>
        <w:t xml:space="preserve"> ogłoszonymi przez przewodniczącą Ursulę von der Leyen</w:t>
      </w:r>
      <w:r w:rsidR="00FF009C" w:rsidRPr="00FF009C">
        <w:rPr>
          <w:noProof/>
        </w:rPr>
        <w:t xml:space="preserve"> w</w:t>
      </w:r>
      <w:r w:rsidR="00FF009C">
        <w:rPr>
          <w:noProof/>
        </w:rPr>
        <w:t> </w:t>
      </w:r>
      <w:r w:rsidR="00FF009C" w:rsidRPr="00FF009C">
        <w:rPr>
          <w:noProof/>
        </w:rPr>
        <w:t>jej</w:t>
      </w:r>
      <w:r w:rsidRPr="00FF009C">
        <w:rPr>
          <w:noProof/>
        </w:rPr>
        <w:t xml:space="preserve"> </w:t>
      </w:r>
      <w:r w:rsidRPr="00FF009C">
        <w:rPr>
          <w:b/>
          <w:noProof/>
        </w:rPr>
        <w:t>orędziu</w:t>
      </w:r>
      <w:r w:rsidR="00FF009C" w:rsidRPr="00FF009C">
        <w:rPr>
          <w:b/>
          <w:noProof/>
        </w:rPr>
        <w:t xml:space="preserve"> o</w:t>
      </w:r>
      <w:r w:rsidR="00FF009C">
        <w:rPr>
          <w:b/>
          <w:noProof/>
        </w:rPr>
        <w:t> </w:t>
      </w:r>
      <w:r w:rsidR="00FF009C" w:rsidRPr="00FF009C">
        <w:rPr>
          <w:b/>
          <w:noProof/>
        </w:rPr>
        <w:t>sta</w:t>
      </w:r>
      <w:r w:rsidRPr="00FF009C">
        <w:rPr>
          <w:b/>
          <w:noProof/>
        </w:rPr>
        <w:t>nie Unii</w:t>
      </w:r>
      <w:r w:rsidR="00FF009C" w:rsidRPr="00FF009C">
        <w:rPr>
          <w:b/>
          <w:noProof/>
        </w:rPr>
        <w:t xml:space="preserve"> z</w:t>
      </w:r>
      <w:r w:rsidR="00FF009C">
        <w:rPr>
          <w:b/>
          <w:noProof/>
        </w:rPr>
        <w:t> </w:t>
      </w:r>
      <w:r w:rsidR="00FF009C" w:rsidRPr="00FF009C">
        <w:rPr>
          <w:b/>
          <w:noProof/>
        </w:rPr>
        <w:t>2</w:t>
      </w:r>
      <w:r w:rsidRPr="00FF009C">
        <w:rPr>
          <w:b/>
          <w:noProof/>
        </w:rPr>
        <w:t>023</w:t>
      </w:r>
      <w:r w:rsidR="00FF009C" w:rsidRPr="00FF009C">
        <w:rPr>
          <w:b/>
          <w:noProof/>
        </w:rPr>
        <w:t> </w:t>
      </w:r>
      <w:r w:rsidRPr="00FF009C">
        <w:rPr>
          <w:b/>
          <w:noProof/>
        </w:rPr>
        <w:t>r.</w:t>
      </w:r>
      <w:r w:rsidRPr="00FF009C">
        <w:rPr>
          <w:noProof/>
        </w:rPr>
        <w:t xml:space="preserve"> Jest on również</w:t>
      </w:r>
      <w:r w:rsidR="00FF009C" w:rsidRPr="00FF009C">
        <w:rPr>
          <w:noProof/>
        </w:rPr>
        <w:t xml:space="preserve"> w</w:t>
      </w:r>
      <w:r w:rsidR="00FF009C">
        <w:rPr>
          <w:noProof/>
        </w:rPr>
        <w:t> </w:t>
      </w:r>
      <w:r w:rsidR="00FF009C" w:rsidRPr="00FF009C">
        <w:rPr>
          <w:noProof/>
        </w:rPr>
        <w:t>peł</w:t>
      </w:r>
      <w:r w:rsidRPr="00FF009C">
        <w:rPr>
          <w:noProof/>
        </w:rPr>
        <w:t>ni zgodny</w:t>
      </w:r>
      <w:r w:rsidR="00FF009C" w:rsidRPr="00FF009C">
        <w:rPr>
          <w:noProof/>
        </w:rPr>
        <w:t xml:space="preserve"> z</w:t>
      </w:r>
      <w:r w:rsidR="00FF009C">
        <w:rPr>
          <w:noProof/>
        </w:rPr>
        <w:t> </w:t>
      </w:r>
      <w:r w:rsidR="00FF009C" w:rsidRPr="00FF009C">
        <w:rPr>
          <w:b/>
          <w:noProof/>
        </w:rPr>
        <w:t>pro</w:t>
      </w:r>
      <w:r w:rsidRPr="00FF009C">
        <w:rPr>
          <w:b/>
          <w:noProof/>
        </w:rPr>
        <w:t>gramem prac Komisji na</w:t>
      </w:r>
      <w:r w:rsidR="00FF009C" w:rsidRPr="00FF009C">
        <w:rPr>
          <w:b/>
          <w:noProof/>
        </w:rPr>
        <w:t> </w:t>
      </w:r>
      <w:r w:rsidRPr="00FF009C">
        <w:rPr>
          <w:b/>
          <w:noProof/>
        </w:rPr>
        <w:t>2024</w:t>
      </w:r>
      <w:r w:rsidR="00FF009C" w:rsidRPr="00FF009C">
        <w:rPr>
          <w:b/>
          <w:noProof/>
        </w:rPr>
        <w:t> </w:t>
      </w:r>
      <w:r w:rsidRPr="00FF009C">
        <w:rPr>
          <w:b/>
          <w:noProof/>
        </w:rPr>
        <w:t>r.</w:t>
      </w:r>
      <w:r w:rsidRPr="00FF009C">
        <w:rPr>
          <w:noProof/>
        </w:rPr>
        <w:t>,</w:t>
      </w:r>
      <w:r w:rsidR="00FF009C" w:rsidRPr="00FF009C">
        <w:rPr>
          <w:noProof/>
        </w:rPr>
        <w:t xml:space="preserve"> w</w:t>
      </w:r>
      <w:r w:rsidR="00FF009C">
        <w:rPr>
          <w:noProof/>
        </w:rPr>
        <w:t> </w:t>
      </w:r>
      <w:r w:rsidR="00FF009C" w:rsidRPr="00FF009C">
        <w:rPr>
          <w:noProof/>
        </w:rPr>
        <w:t>któ</w:t>
      </w:r>
      <w:r w:rsidRPr="00FF009C">
        <w:rPr>
          <w:noProof/>
        </w:rPr>
        <w:t>rym zapowiedziano podjęcie do końca 2023</w:t>
      </w:r>
      <w:r w:rsidR="00FF009C" w:rsidRPr="00FF009C">
        <w:rPr>
          <w:noProof/>
        </w:rPr>
        <w:t> </w:t>
      </w:r>
      <w:r w:rsidRPr="00FF009C">
        <w:rPr>
          <w:noProof/>
        </w:rPr>
        <w:t>r. inicjatywy ustawodawczej służącej „modernizacji ram prawnych pod kątem walki</w:t>
      </w:r>
      <w:r w:rsidR="00FF009C" w:rsidRPr="00FF009C">
        <w:rPr>
          <w:noProof/>
        </w:rPr>
        <w:t xml:space="preserve"> z</w:t>
      </w:r>
      <w:r w:rsidR="00FF009C">
        <w:rPr>
          <w:noProof/>
        </w:rPr>
        <w:t> </w:t>
      </w:r>
      <w:r w:rsidR="00FF009C" w:rsidRPr="00FF009C">
        <w:rPr>
          <w:noProof/>
        </w:rPr>
        <w:t>prz</w:t>
      </w:r>
      <w:r w:rsidRPr="00FF009C">
        <w:rPr>
          <w:noProof/>
        </w:rPr>
        <w:t>emytem migrantów, aby zapewnić nam narzędzia prawne</w:t>
      </w:r>
      <w:r w:rsidR="00FF009C" w:rsidRPr="00FF009C">
        <w:rPr>
          <w:noProof/>
        </w:rPr>
        <w:t xml:space="preserve"> i</w:t>
      </w:r>
      <w:r w:rsidR="00FF009C">
        <w:rPr>
          <w:noProof/>
        </w:rPr>
        <w:t> </w:t>
      </w:r>
      <w:r w:rsidR="00FF009C" w:rsidRPr="00FF009C">
        <w:rPr>
          <w:noProof/>
        </w:rPr>
        <w:t>ope</w:t>
      </w:r>
      <w:r w:rsidRPr="00FF009C">
        <w:rPr>
          <w:noProof/>
        </w:rPr>
        <w:t>racyjne niezbędne do reagowania na nowe sposoby działania przemytników”. Jest on ponadto</w:t>
      </w:r>
      <w:r w:rsidR="00FF009C" w:rsidRPr="00FF009C">
        <w:rPr>
          <w:noProof/>
        </w:rPr>
        <w:t xml:space="preserve"> w</w:t>
      </w:r>
      <w:r w:rsidR="00FF009C">
        <w:rPr>
          <w:noProof/>
        </w:rPr>
        <w:t> </w:t>
      </w:r>
      <w:r w:rsidR="00FF009C" w:rsidRPr="00FF009C">
        <w:rPr>
          <w:noProof/>
        </w:rPr>
        <w:t>peł</w:t>
      </w:r>
      <w:r w:rsidRPr="00FF009C">
        <w:rPr>
          <w:noProof/>
        </w:rPr>
        <w:t>ni zgodny</w:t>
      </w:r>
      <w:r w:rsidR="00FF009C" w:rsidRPr="00FF009C">
        <w:rPr>
          <w:noProof/>
        </w:rPr>
        <w:t xml:space="preserve"> z</w:t>
      </w:r>
      <w:r w:rsidR="00FF009C">
        <w:rPr>
          <w:noProof/>
        </w:rPr>
        <w:t> </w:t>
      </w:r>
      <w:r w:rsidR="00FF009C" w:rsidRPr="00FF009C">
        <w:rPr>
          <w:b/>
          <w:noProof/>
        </w:rPr>
        <w:t>pis</w:t>
      </w:r>
      <w:r w:rsidRPr="00FF009C">
        <w:rPr>
          <w:b/>
          <w:noProof/>
        </w:rPr>
        <w:t>mem przesłanym wszystkim szefom państw lub rządów przed posiedzeniem Rady Europejskiej</w:t>
      </w:r>
      <w:r w:rsidRPr="00FF009C">
        <w:rPr>
          <w:noProof/>
        </w:rPr>
        <w:t xml:space="preserve"> (które odbyło się</w:t>
      </w:r>
      <w:r w:rsidR="00FF009C" w:rsidRPr="00FF009C">
        <w:rPr>
          <w:noProof/>
        </w:rPr>
        <w:t xml:space="preserve"> w</w:t>
      </w:r>
      <w:r w:rsidR="00FF009C">
        <w:rPr>
          <w:noProof/>
        </w:rPr>
        <w:t> </w:t>
      </w:r>
      <w:r w:rsidR="00FF009C" w:rsidRPr="00FF009C">
        <w:rPr>
          <w:noProof/>
        </w:rPr>
        <w:t>dni</w:t>
      </w:r>
      <w:r w:rsidRPr="00FF009C">
        <w:rPr>
          <w:noProof/>
        </w:rPr>
        <w:t>ach 26–27 października),</w:t>
      </w:r>
      <w:r w:rsidR="00FF009C" w:rsidRPr="00FF009C">
        <w:rPr>
          <w:noProof/>
        </w:rPr>
        <w:t xml:space="preserve"> w</w:t>
      </w:r>
      <w:r w:rsidR="00FF009C">
        <w:rPr>
          <w:noProof/>
        </w:rPr>
        <w:t> </w:t>
      </w:r>
      <w:r w:rsidR="00FF009C" w:rsidRPr="00FF009C">
        <w:rPr>
          <w:noProof/>
        </w:rPr>
        <w:t>któ</w:t>
      </w:r>
      <w:r w:rsidRPr="00FF009C">
        <w:rPr>
          <w:noProof/>
        </w:rPr>
        <w:t>rym przewodnicząca Ursula von der Leyen ogłosiła, że „pod koniec przyszłego miesiąca [listopada] Komisja przedstawi wnioski</w:t>
      </w:r>
      <w:r w:rsidR="00FF009C" w:rsidRPr="00FF009C">
        <w:rPr>
          <w:noProof/>
        </w:rPr>
        <w:t xml:space="preserve"> w</w:t>
      </w:r>
      <w:r w:rsidR="00FF009C">
        <w:rPr>
          <w:noProof/>
        </w:rPr>
        <w:t> </w:t>
      </w:r>
      <w:r w:rsidR="00FF009C" w:rsidRPr="00FF009C">
        <w:rPr>
          <w:noProof/>
        </w:rPr>
        <w:t>spr</w:t>
      </w:r>
      <w:r w:rsidRPr="00FF009C">
        <w:rPr>
          <w:noProof/>
        </w:rPr>
        <w:t>awie aktualizacji ram legislacyjnych</w:t>
      </w:r>
      <w:r w:rsidR="00FF009C" w:rsidRPr="00FF009C">
        <w:rPr>
          <w:noProof/>
        </w:rPr>
        <w:t xml:space="preserve"> w</w:t>
      </w:r>
      <w:r w:rsidR="00FF009C">
        <w:rPr>
          <w:noProof/>
        </w:rPr>
        <w:t> </w:t>
      </w:r>
      <w:r w:rsidR="00FF009C" w:rsidRPr="00FF009C">
        <w:rPr>
          <w:noProof/>
        </w:rPr>
        <w:t>tak</w:t>
      </w:r>
      <w:r w:rsidRPr="00FF009C">
        <w:rPr>
          <w:noProof/>
        </w:rPr>
        <w:t>i sposób, aby wzmocnić wspólne działania</w:t>
      </w:r>
      <w:r w:rsidR="00FF009C" w:rsidRPr="00FF009C">
        <w:rPr>
          <w:noProof/>
        </w:rPr>
        <w:t xml:space="preserve"> w</w:t>
      </w:r>
      <w:r w:rsidR="00FF009C">
        <w:rPr>
          <w:noProof/>
        </w:rPr>
        <w:t> </w:t>
      </w:r>
      <w:r w:rsidR="00FF009C" w:rsidRPr="00FF009C">
        <w:rPr>
          <w:noProof/>
        </w:rPr>
        <w:t>obs</w:t>
      </w:r>
      <w:r w:rsidRPr="00FF009C">
        <w:rPr>
          <w:noProof/>
        </w:rPr>
        <w:t>zarze przemytu migrantów, koncentrując się</w:t>
      </w:r>
      <w:r w:rsidR="00FF009C" w:rsidRPr="00FF009C">
        <w:rPr>
          <w:noProof/>
        </w:rPr>
        <w:t xml:space="preserve"> w</w:t>
      </w:r>
      <w:r w:rsidR="00FF009C">
        <w:rPr>
          <w:noProof/>
        </w:rPr>
        <w:t> </w:t>
      </w:r>
      <w:r w:rsidR="00FF009C" w:rsidRPr="00FF009C">
        <w:rPr>
          <w:noProof/>
        </w:rPr>
        <w:t>szc</w:t>
      </w:r>
      <w:r w:rsidRPr="00FF009C">
        <w:rPr>
          <w:noProof/>
        </w:rPr>
        <w:t xml:space="preserve">zególności na maksymalizacji wpływu Europolu”. </w:t>
      </w:r>
    </w:p>
    <w:p w14:paraId="699D9084" w14:textId="2003A06C" w:rsidR="00C6529F" w:rsidRPr="00FF009C" w:rsidRDefault="00C6529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Niniejszy wniosek jest także</w:t>
      </w:r>
      <w:r w:rsidR="00FF009C" w:rsidRPr="00FF009C">
        <w:rPr>
          <w:noProof/>
        </w:rPr>
        <w:t xml:space="preserve"> w</w:t>
      </w:r>
      <w:r w:rsidR="00FF009C">
        <w:rPr>
          <w:noProof/>
        </w:rPr>
        <w:t> </w:t>
      </w:r>
      <w:r w:rsidR="00FF009C" w:rsidRPr="00FF009C">
        <w:rPr>
          <w:noProof/>
        </w:rPr>
        <w:t>peł</w:t>
      </w:r>
      <w:r w:rsidRPr="00FF009C">
        <w:rPr>
          <w:noProof/>
        </w:rPr>
        <w:t>ni zgodny z WRF, ponieważ wspiera pewne działania służące przeciwdziałaniu przemytowi zaplanowane</w:t>
      </w:r>
      <w:r w:rsidR="00FF009C" w:rsidRPr="00FF009C">
        <w:rPr>
          <w:noProof/>
        </w:rPr>
        <w:t xml:space="preserve"> w</w:t>
      </w:r>
      <w:r w:rsidR="00FF009C">
        <w:rPr>
          <w:noProof/>
        </w:rPr>
        <w:t> </w:t>
      </w:r>
      <w:r w:rsidR="00FF009C" w:rsidRPr="00FF009C">
        <w:rPr>
          <w:noProof/>
        </w:rPr>
        <w:t>pro</w:t>
      </w:r>
      <w:r w:rsidRPr="00FF009C">
        <w:rPr>
          <w:noProof/>
        </w:rPr>
        <w:t>gramie prac instrumentu tematycznego</w:t>
      </w:r>
      <w:r w:rsidR="00FF009C" w:rsidRPr="00FF009C">
        <w:rPr>
          <w:noProof/>
        </w:rPr>
        <w:t xml:space="preserve"> w</w:t>
      </w:r>
      <w:r w:rsidR="00FF009C">
        <w:rPr>
          <w:noProof/>
        </w:rPr>
        <w:t> </w:t>
      </w:r>
      <w:r w:rsidR="00FF009C" w:rsidRPr="00FF009C">
        <w:rPr>
          <w:noProof/>
        </w:rPr>
        <w:t>ram</w:t>
      </w:r>
      <w:r w:rsidRPr="00FF009C">
        <w:rPr>
          <w:noProof/>
        </w:rPr>
        <w:t>ach Funduszu Bezpieczeństwa Wewnętrznego na lata 2023, 2024</w:t>
      </w:r>
      <w:r w:rsidR="00FF009C" w:rsidRPr="00FF009C">
        <w:rPr>
          <w:noProof/>
        </w:rPr>
        <w:t xml:space="preserve"> i</w:t>
      </w:r>
      <w:r w:rsidR="00FF009C">
        <w:rPr>
          <w:noProof/>
        </w:rPr>
        <w:t> </w:t>
      </w:r>
      <w:r w:rsidR="00FF009C" w:rsidRPr="00FF009C">
        <w:rPr>
          <w:noProof/>
        </w:rPr>
        <w:t>2</w:t>
      </w:r>
      <w:r w:rsidRPr="00FF009C">
        <w:rPr>
          <w:noProof/>
        </w:rPr>
        <w:t>025. W 2025</w:t>
      </w:r>
      <w:r w:rsidR="00FF009C" w:rsidRPr="00FF009C">
        <w:rPr>
          <w:noProof/>
        </w:rPr>
        <w:t> </w:t>
      </w:r>
      <w:r w:rsidRPr="00FF009C">
        <w:rPr>
          <w:noProof/>
        </w:rPr>
        <w:t>r. Komisja zorganizuje zaproszenie do składania wniosków mające na celu wniesienie wkładu</w:t>
      </w:r>
      <w:r w:rsidR="00FF009C" w:rsidRPr="00FF009C">
        <w:rPr>
          <w:noProof/>
        </w:rPr>
        <w:t xml:space="preserve"> w</w:t>
      </w:r>
      <w:r w:rsidR="00FF009C">
        <w:rPr>
          <w:noProof/>
        </w:rPr>
        <w:t> </w:t>
      </w:r>
      <w:r w:rsidR="00FF009C" w:rsidRPr="00FF009C">
        <w:rPr>
          <w:noProof/>
        </w:rPr>
        <w:t>zap</w:t>
      </w:r>
      <w:r w:rsidRPr="00FF009C">
        <w:rPr>
          <w:noProof/>
        </w:rPr>
        <w:t>obieganie przemytowi migrantów</w:t>
      </w:r>
      <w:r w:rsidR="00FF009C" w:rsidRPr="00FF009C">
        <w:rPr>
          <w:noProof/>
        </w:rPr>
        <w:t xml:space="preserve"> i</w:t>
      </w:r>
      <w:r w:rsidR="00FF009C">
        <w:rPr>
          <w:noProof/>
        </w:rPr>
        <w:t> </w:t>
      </w:r>
      <w:r w:rsidR="00FF009C" w:rsidRPr="00FF009C">
        <w:rPr>
          <w:noProof/>
        </w:rPr>
        <w:t>wal</w:t>
      </w:r>
      <w:r w:rsidRPr="00FF009C">
        <w:rPr>
          <w:noProof/>
        </w:rPr>
        <w:t>kę</w:t>
      </w:r>
      <w:r w:rsidR="00FF009C" w:rsidRPr="00FF009C">
        <w:rPr>
          <w:noProof/>
        </w:rPr>
        <w:t xml:space="preserve"> z</w:t>
      </w:r>
      <w:r w:rsidR="00FF009C">
        <w:rPr>
          <w:noProof/>
        </w:rPr>
        <w:t> </w:t>
      </w:r>
      <w:r w:rsidR="00FF009C" w:rsidRPr="00FF009C">
        <w:rPr>
          <w:noProof/>
        </w:rPr>
        <w:t>prz</w:t>
      </w:r>
      <w:r w:rsidRPr="00FF009C">
        <w:rPr>
          <w:noProof/>
        </w:rPr>
        <w:t>emytem migrantów przez ustanowienie wspólnych partnerstw operacyjnych. Działania</w:t>
      </w:r>
      <w:r w:rsidR="00FF009C" w:rsidRPr="00FF009C">
        <w:rPr>
          <w:noProof/>
        </w:rPr>
        <w:t xml:space="preserve"> w</w:t>
      </w:r>
      <w:r w:rsidR="00FF009C">
        <w:rPr>
          <w:noProof/>
        </w:rPr>
        <w:t> </w:t>
      </w:r>
      <w:r w:rsidR="00FF009C" w:rsidRPr="00FF009C">
        <w:rPr>
          <w:noProof/>
        </w:rPr>
        <w:t>tym</w:t>
      </w:r>
      <w:r w:rsidRPr="00FF009C">
        <w:rPr>
          <w:noProof/>
        </w:rPr>
        <w:t xml:space="preserve"> zakresie wzmocnią ustrukturyzowaną współpracę między organami ścigania, organami wymiaru sprawiedliwości oraz innymi odpowiednimi służbami uczestniczących państw członkowskich</w:t>
      </w:r>
      <w:r w:rsidR="00FF009C" w:rsidRPr="00FF009C">
        <w:rPr>
          <w:noProof/>
        </w:rPr>
        <w:t xml:space="preserve"> i</w:t>
      </w:r>
      <w:r w:rsidR="00FF009C">
        <w:rPr>
          <w:noProof/>
        </w:rPr>
        <w:t> </w:t>
      </w:r>
      <w:r w:rsidR="00FF009C" w:rsidRPr="00FF009C">
        <w:rPr>
          <w:noProof/>
        </w:rPr>
        <w:t>pań</w:t>
      </w:r>
      <w:r w:rsidRPr="00FF009C">
        <w:rPr>
          <w:noProof/>
        </w:rPr>
        <w:t>stw trzecich.</w:t>
      </w:r>
    </w:p>
    <w:p w14:paraId="5CBDFB88" w14:textId="58A273A5"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Przyczyniając się do rozbicia działalności przestępczej, niniejszy wniosek wspiera również cele strategii UE</w:t>
      </w:r>
      <w:r w:rsidR="00FF009C" w:rsidRPr="00FF009C">
        <w:rPr>
          <w:noProof/>
        </w:rPr>
        <w:t xml:space="preserve"> w</w:t>
      </w:r>
      <w:r w:rsidR="00FF009C">
        <w:rPr>
          <w:noProof/>
        </w:rPr>
        <w:t> </w:t>
      </w:r>
      <w:r w:rsidR="00FF009C" w:rsidRPr="00FF009C">
        <w:rPr>
          <w:noProof/>
        </w:rPr>
        <w:t>zak</w:t>
      </w:r>
      <w:r w:rsidRPr="00FF009C">
        <w:rPr>
          <w:noProof/>
        </w:rPr>
        <w:t>resie unii bezpieczeństwa oraz unijnej strategii zwalczania przestępczości zorganizowanej 2021–2025</w:t>
      </w:r>
      <w:r w:rsidR="00FF009C" w:rsidRPr="00FF009C">
        <w:rPr>
          <w:noProof/>
        </w:rPr>
        <w:t xml:space="preserve"> i</w:t>
      </w:r>
      <w:r w:rsidR="00FF009C">
        <w:rPr>
          <w:noProof/>
        </w:rPr>
        <w:t> </w:t>
      </w:r>
      <w:r w:rsidR="00FF009C" w:rsidRPr="00FF009C">
        <w:rPr>
          <w:noProof/>
        </w:rPr>
        <w:t>Str</w:t>
      </w:r>
      <w:r w:rsidRPr="00FF009C">
        <w:rPr>
          <w:noProof/>
        </w:rPr>
        <w:t>ategii UE</w:t>
      </w:r>
      <w:r w:rsidR="00FF009C" w:rsidRPr="00FF009C">
        <w:rPr>
          <w:noProof/>
        </w:rPr>
        <w:t xml:space="preserve"> w</w:t>
      </w:r>
      <w:r w:rsidR="00FF009C">
        <w:rPr>
          <w:noProof/>
        </w:rPr>
        <w:t> </w:t>
      </w:r>
      <w:r w:rsidR="00FF009C" w:rsidRPr="00FF009C">
        <w:rPr>
          <w:noProof/>
        </w:rPr>
        <w:t>zak</w:t>
      </w:r>
      <w:r w:rsidRPr="00FF009C">
        <w:rPr>
          <w:noProof/>
        </w:rPr>
        <w:t>resie zwalczania handlu ludźmi na lata 2021–2025, które będą realizowane</w:t>
      </w:r>
      <w:r w:rsidR="00FF009C" w:rsidRPr="00FF009C">
        <w:rPr>
          <w:noProof/>
        </w:rPr>
        <w:t xml:space="preserve"> w</w:t>
      </w:r>
      <w:r w:rsidR="00FF009C">
        <w:rPr>
          <w:noProof/>
        </w:rPr>
        <w:t> </w:t>
      </w:r>
      <w:r w:rsidR="00FF009C" w:rsidRPr="00FF009C">
        <w:rPr>
          <w:noProof/>
        </w:rPr>
        <w:t>peł</w:t>
      </w:r>
      <w:r w:rsidRPr="00FF009C">
        <w:rPr>
          <w:noProof/>
        </w:rPr>
        <w:t>nej synergii.</w:t>
      </w:r>
    </w:p>
    <w:p w14:paraId="7F67799A" w14:textId="663B55C1" w:rsidR="00AB4A6F" w:rsidRPr="00FF009C" w:rsidRDefault="00AB4A6F" w:rsidP="00AB4A6F">
      <w:pPr>
        <w:pStyle w:val="Text1"/>
        <w:pBdr>
          <w:top w:val="single" w:sz="4" w:space="1" w:color="auto"/>
          <w:left w:val="single" w:sz="4" w:space="4" w:color="auto"/>
          <w:bottom w:val="single" w:sz="4" w:space="1" w:color="auto"/>
          <w:right w:val="single" w:sz="4" w:space="4" w:color="auto"/>
        </w:pBdr>
        <w:rPr>
          <w:b/>
          <w:bCs/>
          <w:noProof/>
        </w:rPr>
      </w:pPr>
      <w:r w:rsidRPr="00FF009C">
        <w:rPr>
          <w:noProof/>
        </w:rPr>
        <w:t>Zdecydowana reakcja europejska na przemyt migrantów wewnątrz UE</w:t>
      </w:r>
      <w:r w:rsidR="00FF009C" w:rsidRPr="00FF009C">
        <w:rPr>
          <w:noProof/>
        </w:rPr>
        <w:t xml:space="preserve"> i</w:t>
      </w:r>
      <w:r w:rsidR="00FF009C">
        <w:rPr>
          <w:noProof/>
        </w:rPr>
        <w:t> </w:t>
      </w:r>
      <w:r w:rsidR="00FF009C" w:rsidRPr="00FF009C">
        <w:rPr>
          <w:noProof/>
        </w:rPr>
        <w:t>poz</w:t>
      </w:r>
      <w:r w:rsidRPr="00FF009C">
        <w:rPr>
          <w:noProof/>
        </w:rPr>
        <w:t>a jej granicami jest też kluczowym elementem kompleksowego podejścia do kwestii migracji przedstawionego</w:t>
      </w:r>
      <w:r w:rsidR="00FF009C" w:rsidRPr="00FF009C">
        <w:rPr>
          <w:noProof/>
        </w:rPr>
        <w:t xml:space="preserve"> w</w:t>
      </w:r>
      <w:r w:rsidR="00FF009C">
        <w:rPr>
          <w:noProof/>
        </w:rPr>
        <w:t> </w:t>
      </w:r>
      <w:r w:rsidR="00FF009C" w:rsidRPr="00FF009C">
        <w:rPr>
          <w:b/>
          <w:noProof/>
        </w:rPr>
        <w:t>now</w:t>
      </w:r>
      <w:r w:rsidRPr="00FF009C">
        <w:rPr>
          <w:b/>
          <w:noProof/>
        </w:rPr>
        <w:t>ym pakcie</w:t>
      </w:r>
      <w:r w:rsidR="00FF009C" w:rsidRPr="00FF009C">
        <w:rPr>
          <w:b/>
          <w:noProof/>
        </w:rPr>
        <w:t xml:space="preserve"> o</w:t>
      </w:r>
      <w:r w:rsidR="00FF009C">
        <w:rPr>
          <w:b/>
          <w:noProof/>
        </w:rPr>
        <w:t> </w:t>
      </w:r>
      <w:r w:rsidR="00FF009C" w:rsidRPr="00FF009C">
        <w:rPr>
          <w:b/>
          <w:noProof/>
        </w:rPr>
        <w:t>mig</w:t>
      </w:r>
      <w:r w:rsidRPr="00FF009C">
        <w:rPr>
          <w:b/>
          <w:noProof/>
        </w:rPr>
        <w:t>racji</w:t>
      </w:r>
      <w:r w:rsidR="00FF009C" w:rsidRPr="00FF009C">
        <w:rPr>
          <w:b/>
          <w:noProof/>
        </w:rPr>
        <w:t xml:space="preserve"> i</w:t>
      </w:r>
      <w:r w:rsidR="00FF009C">
        <w:rPr>
          <w:b/>
          <w:noProof/>
        </w:rPr>
        <w:t> </w:t>
      </w:r>
      <w:r w:rsidR="00FF009C" w:rsidRPr="00FF009C">
        <w:rPr>
          <w:b/>
          <w:noProof/>
        </w:rPr>
        <w:t>azy</w:t>
      </w:r>
      <w:r w:rsidRPr="00FF009C">
        <w:rPr>
          <w:b/>
          <w:noProof/>
        </w:rPr>
        <w:t>lu</w:t>
      </w:r>
      <w:r w:rsidRPr="00FF009C">
        <w:rPr>
          <w:noProof/>
        </w:rPr>
        <w:t>.</w:t>
      </w:r>
    </w:p>
    <w:p w14:paraId="4A9990C6" w14:textId="77777777" w:rsidR="00795745"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 xml:space="preserve">Wniosek doprowadzi również do wytworzenia </w:t>
      </w:r>
      <w:r w:rsidRPr="00FF009C">
        <w:rPr>
          <w:b/>
          <w:noProof/>
        </w:rPr>
        <w:t>synergii</w:t>
      </w:r>
      <w:r w:rsidR="00FF009C" w:rsidRPr="00FF009C">
        <w:rPr>
          <w:b/>
          <w:noProof/>
        </w:rPr>
        <w:t xml:space="preserve"> z</w:t>
      </w:r>
      <w:r w:rsidR="00FF009C">
        <w:rPr>
          <w:b/>
          <w:noProof/>
        </w:rPr>
        <w:t> </w:t>
      </w:r>
      <w:r w:rsidR="00FF009C" w:rsidRPr="00FF009C">
        <w:rPr>
          <w:b/>
          <w:noProof/>
        </w:rPr>
        <w:t>dzi</w:t>
      </w:r>
      <w:r w:rsidRPr="00FF009C">
        <w:rPr>
          <w:b/>
          <w:noProof/>
        </w:rPr>
        <w:t>ałaniami agencji UE</w:t>
      </w:r>
      <w:r w:rsidRPr="00FF009C">
        <w:rPr>
          <w:noProof/>
        </w:rPr>
        <w:t>,</w:t>
      </w:r>
      <w:r w:rsidR="00FF009C" w:rsidRPr="00FF009C">
        <w:rPr>
          <w:noProof/>
        </w:rPr>
        <w:t xml:space="preserve"> w</w:t>
      </w:r>
      <w:r w:rsidR="00FF009C">
        <w:rPr>
          <w:noProof/>
        </w:rPr>
        <w:t> </w:t>
      </w:r>
      <w:r w:rsidR="00FF009C" w:rsidRPr="00FF009C">
        <w:rPr>
          <w:noProof/>
        </w:rPr>
        <w:t>szc</w:t>
      </w:r>
      <w:r w:rsidRPr="00FF009C">
        <w:rPr>
          <w:noProof/>
        </w:rPr>
        <w:t>zególności Europejskiej Agencji Straży Granicznej</w:t>
      </w:r>
      <w:r w:rsidR="00FF009C" w:rsidRPr="00FF009C">
        <w:rPr>
          <w:noProof/>
        </w:rPr>
        <w:t xml:space="preserve"> i</w:t>
      </w:r>
      <w:r w:rsidR="00FF009C">
        <w:rPr>
          <w:noProof/>
        </w:rPr>
        <w:t> </w:t>
      </w:r>
      <w:r w:rsidR="00FF009C" w:rsidRPr="00FF009C">
        <w:rPr>
          <w:noProof/>
        </w:rPr>
        <w:t>Prz</w:t>
      </w:r>
      <w:r w:rsidRPr="00FF009C">
        <w:rPr>
          <w:noProof/>
        </w:rPr>
        <w:t>ybrzeżnej, Eurojustu oraz –</w:t>
      </w:r>
      <w:r w:rsidR="00FF009C" w:rsidRPr="00FF009C">
        <w:rPr>
          <w:noProof/>
        </w:rPr>
        <w:t xml:space="preserve"> w</w:t>
      </w:r>
      <w:r w:rsidR="00FF009C">
        <w:rPr>
          <w:noProof/>
        </w:rPr>
        <w:t> </w:t>
      </w:r>
      <w:r w:rsidR="00FF009C" w:rsidRPr="00FF009C">
        <w:rPr>
          <w:noProof/>
        </w:rPr>
        <w:t>sto</w:t>
      </w:r>
      <w:r w:rsidRPr="00FF009C">
        <w:rPr>
          <w:noProof/>
        </w:rPr>
        <w:t>sownych przypadkach – innych właściwych organów lub agencji Unii, wzmacniając ogólną współpracę</w:t>
      </w:r>
      <w:r w:rsidR="00FF009C" w:rsidRPr="00FF009C">
        <w:rPr>
          <w:noProof/>
        </w:rPr>
        <w:t xml:space="preserve"> z</w:t>
      </w:r>
      <w:r w:rsidR="00FF009C">
        <w:rPr>
          <w:noProof/>
        </w:rPr>
        <w:t> </w:t>
      </w:r>
      <w:r w:rsidR="00FF009C" w:rsidRPr="00FF009C">
        <w:rPr>
          <w:noProof/>
        </w:rPr>
        <w:t>Eur</w:t>
      </w:r>
      <w:r w:rsidRPr="00FF009C">
        <w:rPr>
          <w:noProof/>
        </w:rPr>
        <w:t>opolem zgodnie</w:t>
      </w:r>
      <w:r w:rsidR="00FF009C" w:rsidRPr="00FF009C">
        <w:rPr>
          <w:noProof/>
        </w:rPr>
        <w:t xml:space="preserve"> z</w:t>
      </w:r>
      <w:r w:rsidR="00FF009C">
        <w:rPr>
          <w:noProof/>
        </w:rPr>
        <w:t> </w:t>
      </w:r>
      <w:r w:rsidR="00FF009C" w:rsidRPr="00FF009C">
        <w:rPr>
          <w:noProof/>
        </w:rPr>
        <w:t>odp</w:t>
      </w:r>
      <w:r w:rsidRPr="00FF009C">
        <w:rPr>
          <w:noProof/>
        </w:rPr>
        <w:t>owiednim zakresem uprawnień tych organów lub agencji</w:t>
      </w:r>
      <w:r w:rsidR="00FF009C" w:rsidRPr="00FF009C">
        <w:rPr>
          <w:noProof/>
        </w:rPr>
        <w:t xml:space="preserve"> i</w:t>
      </w:r>
      <w:r w:rsidR="00FF009C">
        <w:rPr>
          <w:noProof/>
        </w:rPr>
        <w:t> </w:t>
      </w:r>
      <w:r w:rsidR="00FF009C" w:rsidRPr="00FF009C">
        <w:rPr>
          <w:noProof/>
        </w:rPr>
        <w:t>prz</w:t>
      </w:r>
      <w:r w:rsidRPr="00FF009C">
        <w:rPr>
          <w:noProof/>
        </w:rPr>
        <w:t>ysługującymi im kompetencjami.</w:t>
      </w:r>
    </w:p>
    <w:p w14:paraId="3FB10A0C" w14:textId="0053D865"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p>
    <w:p w14:paraId="05DB4701" w14:textId="2936362A" w:rsidR="00AB4A6F" w:rsidRPr="00FF009C" w:rsidRDefault="00AB4A6F" w:rsidP="00AB4A6F">
      <w:pPr>
        <w:pStyle w:val="ManualHeading3"/>
        <w:rPr>
          <w:noProof/>
        </w:rPr>
      </w:pPr>
      <w:bookmarkStart w:id="36" w:name="_Toc514938673"/>
      <w:bookmarkStart w:id="37" w:name="_Toc155952155"/>
      <w:r w:rsidRPr="00FF009C">
        <w:rPr>
          <w:noProof/>
        </w:rPr>
        <w:t>1.5.5.</w:t>
      </w:r>
      <w:r w:rsidRPr="00FF009C">
        <w:rPr>
          <w:noProof/>
        </w:rPr>
        <w:tab/>
        <w:t>Ocena różnych dostępnych możliwości finansowania,</w:t>
      </w:r>
      <w:r w:rsidR="00FF009C" w:rsidRPr="00FF009C">
        <w:rPr>
          <w:noProof/>
        </w:rPr>
        <w:t xml:space="preserve"> w</w:t>
      </w:r>
      <w:r w:rsidR="00FF009C">
        <w:rPr>
          <w:noProof/>
        </w:rPr>
        <w:t> </w:t>
      </w:r>
      <w:r w:rsidR="00FF009C" w:rsidRPr="00FF009C">
        <w:rPr>
          <w:noProof/>
        </w:rPr>
        <w:t>tym</w:t>
      </w:r>
      <w:r w:rsidRPr="00FF009C">
        <w:rPr>
          <w:noProof/>
        </w:rPr>
        <w:t xml:space="preserve"> zakresu przegrupowania środków</w:t>
      </w:r>
      <w:bookmarkEnd w:id="36"/>
      <w:bookmarkEnd w:id="37"/>
    </w:p>
    <w:p w14:paraId="483FA045" w14:textId="2DAEEF6E"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Od 2022</w:t>
      </w:r>
      <w:r w:rsidR="00FF009C" w:rsidRPr="00FF009C">
        <w:rPr>
          <w:noProof/>
        </w:rPr>
        <w:t> </w:t>
      </w:r>
      <w:r w:rsidRPr="00FF009C">
        <w:rPr>
          <w:noProof/>
        </w:rPr>
        <w:t>r. oraz od czasu ostatniej zmiany uprawnień Europolu panuje tendencja objawiająca się wykładniczym wzrostem przepływów danych Agencji oraz zapotrzebowania na jej usługi przed wszystkim</w:t>
      </w:r>
      <w:r w:rsidR="00FF009C" w:rsidRPr="00FF009C">
        <w:rPr>
          <w:noProof/>
        </w:rPr>
        <w:t xml:space="preserve"> w</w:t>
      </w:r>
      <w:r w:rsidR="00FF009C">
        <w:rPr>
          <w:noProof/>
        </w:rPr>
        <w:t> </w:t>
      </w:r>
      <w:r w:rsidR="00FF009C" w:rsidRPr="00FF009C">
        <w:rPr>
          <w:noProof/>
        </w:rPr>
        <w:t>zak</w:t>
      </w:r>
      <w:r w:rsidRPr="00FF009C">
        <w:rPr>
          <w:noProof/>
        </w:rPr>
        <w:t>resie kwestii przemytu migrantów,</w:t>
      </w:r>
      <w:r w:rsidR="00FF009C" w:rsidRPr="00FF009C">
        <w:rPr>
          <w:noProof/>
        </w:rPr>
        <w:t xml:space="preserve"> w</w:t>
      </w:r>
      <w:r w:rsidR="00FF009C">
        <w:rPr>
          <w:noProof/>
        </w:rPr>
        <w:t> </w:t>
      </w:r>
      <w:r w:rsidR="00FF009C" w:rsidRPr="00FF009C">
        <w:rPr>
          <w:noProof/>
        </w:rPr>
        <w:t>wyn</w:t>
      </w:r>
      <w:r w:rsidRPr="00FF009C">
        <w:rPr>
          <w:noProof/>
        </w:rPr>
        <w:t>iku czego poziom zwiększenia rocznego budżetu</w:t>
      </w:r>
      <w:r w:rsidR="00FF009C" w:rsidRPr="00FF009C">
        <w:rPr>
          <w:noProof/>
        </w:rPr>
        <w:t xml:space="preserve"> i</w:t>
      </w:r>
      <w:r w:rsidR="00FF009C">
        <w:rPr>
          <w:noProof/>
        </w:rPr>
        <w:t> </w:t>
      </w:r>
      <w:r w:rsidR="00FF009C" w:rsidRPr="00FF009C">
        <w:rPr>
          <w:noProof/>
        </w:rPr>
        <w:t>lic</w:t>
      </w:r>
      <w:r w:rsidRPr="00FF009C">
        <w:rPr>
          <w:noProof/>
        </w:rPr>
        <w:t>zby pracowników przewyższa wstępnie założone poziomy</w:t>
      </w:r>
      <w:r w:rsidR="00FF009C" w:rsidRPr="00FF009C">
        <w:rPr>
          <w:noProof/>
        </w:rPr>
        <w:t>. Z</w:t>
      </w:r>
      <w:r w:rsidR="00FF009C">
        <w:rPr>
          <w:noProof/>
        </w:rPr>
        <w:t> </w:t>
      </w:r>
      <w:r w:rsidR="00FF009C" w:rsidRPr="00FF009C">
        <w:rPr>
          <w:noProof/>
        </w:rPr>
        <w:t>uwa</w:t>
      </w:r>
      <w:r w:rsidRPr="00FF009C">
        <w:rPr>
          <w:noProof/>
        </w:rPr>
        <w:t>gi na to, że wniosek przyczyni się do dodania nowych zadań do rozporządzenia</w:t>
      </w:r>
      <w:r w:rsidR="00FF009C" w:rsidRPr="00FF009C">
        <w:rPr>
          <w:noProof/>
        </w:rPr>
        <w:t xml:space="preserve"> w</w:t>
      </w:r>
      <w:r w:rsidR="00FF009C">
        <w:rPr>
          <w:noProof/>
        </w:rPr>
        <w:t> </w:t>
      </w:r>
      <w:r w:rsidR="00FF009C" w:rsidRPr="00FF009C">
        <w:rPr>
          <w:noProof/>
        </w:rPr>
        <w:t>spr</w:t>
      </w:r>
      <w:r w:rsidRPr="00FF009C">
        <w:rPr>
          <w:noProof/>
        </w:rPr>
        <w:t>awie Europolu,</w:t>
      </w:r>
      <w:r w:rsidR="00FF009C" w:rsidRPr="00FF009C">
        <w:rPr>
          <w:noProof/>
        </w:rPr>
        <w:t xml:space="preserve"> a</w:t>
      </w:r>
      <w:r w:rsidR="00FF009C">
        <w:rPr>
          <w:noProof/>
        </w:rPr>
        <w:t> </w:t>
      </w:r>
      <w:r w:rsidR="00FF009C" w:rsidRPr="00FF009C">
        <w:rPr>
          <w:noProof/>
        </w:rPr>
        <w:t>tak</w:t>
      </w:r>
      <w:r w:rsidRPr="00FF009C">
        <w:rPr>
          <w:noProof/>
        </w:rPr>
        <w:t>że do doprecyzowania, kodyfikacji</w:t>
      </w:r>
      <w:r w:rsidR="00FF009C" w:rsidRPr="00FF009C">
        <w:rPr>
          <w:noProof/>
        </w:rPr>
        <w:t xml:space="preserve"> i</w:t>
      </w:r>
      <w:r w:rsidR="00FF009C">
        <w:rPr>
          <w:noProof/>
        </w:rPr>
        <w:t> </w:t>
      </w:r>
      <w:r w:rsidR="00FF009C" w:rsidRPr="00FF009C">
        <w:rPr>
          <w:noProof/>
        </w:rPr>
        <w:t>usz</w:t>
      </w:r>
      <w:r w:rsidRPr="00FF009C">
        <w:rPr>
          <w:noProof/>
        </w:rPr>
        <w:t>czegółowienia innych zadań</w:t>
      </w:r>
      <w:r w:rsidR="00FF009C" w:rsidRPr="00FF009C">
        <w:rPr>
          <w:noProof/>
        </w:rPr>
        <w:t xml:space="preserve"> i</w:t>
      </w:r>
      <w:r w:rsidR="00FF009C">
        <w:rPr>
          <w:noProof/>
        </w:rPr>
        <w:t> </w:t>
      </w:r>
      <w:r w:rsidR="00FF009C" w:rsidRPr="00FF009C">
        <w:rPr>
          <w:noProof/>
        </w:rPr>
        <w:t>nar</w:t>
      </w:r>
      <w:r w:rsidRPr="00FF009C">
        <w:rPr>
          <w:noProof/>
        </w:rPr>
        <w:t>zędzi, tym samym rozszerzając zdolności Europolu</w:t>
      </w:r>
      <w:r w:rsidR="00FF009C" w:rsidRPr="00FF009C">
        <w:rPr>
          <w:noProof/>
        </w:rPr>
        <w:t xml:space="preserve"> w</w:t>
      </w:r>
      <w:r w:rsidR="00FF009C">
        <w:rPr>
          <w:noProof/>
        </w:rPr>
        <w:t> </w:t>
      </w:r>
      <w:r w:rsidR="00FF009C" w:rsidRPr="00FF009C">
        <w:rPr>
          <w:noProof/>
        </w:rPr>
        <w:t>kon</w:t>
      </w:r>
      <w:r w:rsidRPr="00FF009C">
        <w:rPr>
          <w:noProof/>
        </w:rPr>
        <w:t>tekście Traktatów, nie może być on objęty stałym poziomem zasobów. Wniosek należy wesprzeć przy pomocy wzmocnionych zasobów finansowych</w:t>
      </w:r>
      <w:r w:rsidR="00FF009C" w:rsidRPr="00FF009C">
        <w:rPr>
          <w:noProof/>
        </w:rPr>
        <w:t xml:space="preserve"> i</w:t>
      </w:r>
      <w:r w:rsidR="00FF009C">
        <w:rPr>
          <w:noProof/>
        </w:rPr>
        <w:t> </w:t>
      </w:r>
      <w:r w:rsidR="00FF009C" w:rsidRPr="00FF009C">
        <w:rPr>
          <w:noProof/>
        </w:rPr>
        <w:t>lud</w:t>
      </w:r>
      <w:r w:rsidRPr="00FF009C">
        <w:rPr>
          <w:noProof/>
        </w:rPr>
        <w:t>zkich.</w:t>
      </w:r>
    </w:p>
    <w:p w14:paraId="4BF445AA" w14:textId="4B645813" w:rsidR="00AB4A6F" w:rsidRPr="00FF009C" w:rsidRDefault="009C6209"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Wpływ na budżet dodatkowych środków finansowych zostanie częściowo zrównoważony przez udostępnienie marginesów</w:t>
      </w:r>
      <w:r w:rsidR="00FF009C" w:rsidRPr="00FF009C">
        <w:rPr>
          <w:noProof/>
        </w:rPr>
        <w:t xml:space="preserve"> i</w:t>
      </w:r>
      <w:r w:rsidR="00FF009C">
        <w:rPr>
          <w:noProof/>
        </w:rPr>
        <w:t> </w:t>
      </w:r>
      <w:r w:rsidR="00FF009C" w:rsidRPr="00FF009C">
        <w:rPr>
          <w:noProof/>
        </w:rPr>
        <w:t>pot</w:t>
      </w:r>
      <w:r w:rsidRPr="00FF009C">
        <w:rPr>
          <w:noProof/>
        </w:rPr>
        <w:t>rącenia budżetowe</w:t>
      </w:r>
      <w:r w:rsidR="00FF009C" w:rsidRPr="00FF009C">
        <w:rPr>
          <w:noProof/>
        </w:rPr>
        <w:t xml:space="preserve"> z</w:t>
      </w:r>
      <w:r w:rsidR="00FF009C">
        <w:rPr>
          <w:noProof/>
        </w:rPr>
        <w:t> </w:t>
      </w:r>
      <w:r w:rsidR="00FF009C" w:rsidRPr="00FF009C">
        <w:rPr>
          <w:noProof/>
        </w:rPr>
        <w:t>pro</w:t>
      </w:r>
      <w:r w:rsidRPr="00FF009C">
        <w:rPr>
          <w:noProof/>
        </w:rPr>
        <w:t>gramów IZGW i FBW.</w:t>
      </w:r>
    </w:p>
    <w:p w14:paraId="27A6191E" w14:textId="77777777" w:rsidR="00795745" w:rsidRDefault="00795745" w:rsidP="00AB4A6F">
      <w:pPr>
        <w:pStyle w:val="Text1"/>
        <w:rPr>
          <w:noProof/>
        </w:rPr>
      </w:pPr>
    </w:p>
    <w:p w14:paraId="20394F6F" w14:textId="6B0EACB8" w:rsidR="00AB4A6F" w:rsidRPr="00795745" w:rsidRDefault="00795745" w:rsidP="00795745">
      <w:pPr>
        <w:pStyle w:val="ManualHeading2"/>
        <w:rPr>
          <w:noProof/>
        </w:rPr>
      </w:pPr>
      <w:r>
        <w:rPr>
          <w:noProof/>
        </w:rPr>
        <w:br w:type="page"/>
      </w:r>
      <w:bookmarkStart w:id="38" w:name="_Toc514938674"/>
      <w:bookmarkStart w:id="39" w:name="_Toc155952156"/>
      <w:r w:rsidR="00AB4A6F" w:rsidRPr="00795745">
        <w:rPr>
          <w:noProof/>
        </w:rPr>
        <w:t>1.6.</w:t>
      </w:r>
      <w:r w:rsidR="00AB4A6F" w:rsidRPr="00795745">
        <w:rPr>
          <w:noProof/>
        </w:rPr>
        <w:tab/>
        <w:t>Czas trwania</w:t>
      </w:r>
      <w:r w:rsidR="00FF009C" w:rsidRPr="00795745">
        <w:rPr>
          <w:noProof/>
        </w:rPr>
        <w:t xml:space="preserve"> i wpł</w:t>
      </w:r>
      <w:r w:rsidR="00AB4A6F" w:rsidRPr="00795745">
        <w:rPr>
          <w:noProof/>
        </w:rPr>
        <w:t>yw finansowy wniosku/inicjatywy</w:t>
      </w:r>
      <w:bookmarkEnd w:id="38"/>
      <w:bookmarkEnd w:id="39"/>
    </w:p>
    <w:p w14:paraId="51A911CA" w14:textId="77777777" w:rsidR="00AB4A6F" w:rsidRPr="00FF009C" w:rsidRDefault="00AB4A6F" w:rsidP="00AB4A6F">
      <w:pPr>
        <w:pStyle w:val="Text1"/>
        <w:rPr>
          <w:noProof/>
        </w:rPr>
      </w:pPr>
      <w:r w:rsidRPr="00FF009C">
        <w:rPr>
          <w:rFonts w:ascii="Wingdings" w:hAnsi="Wingdings"/>
          <w:noProof/>
        </w:rPr>
        <w:t></w:t>
      </w:r>
      <w:r w:rsidRPr="00FF009C">
        <w:rPr>
          <w:b/>
          <w:noProof/>
        </w:rPr>
        <w:t xml:space="preserve">Ograniczony czas trwania </w:t>
      </w:r>
    </w:p>
    <w:p w14:paraId="5E1C62A0" w14:textId="77777777" w:rsidR="00AB4A6F" w:rsidRPr="00FF009C" w:rsidRDefault="00AB4A6F" w:rsidP="002073EE">
      <w:pPr>
        <w:pStyle w:val="ListDash2"/>
        <w:numPr>
          <w:ilvl w:val="0"/>
          <w:numId w:val="20"/>
        </w:numPr>
        <w:rPr>
          <w:noProof/>
        </w:rPr>
      </w:pPr>
      <w:r w:rsidRPr="00FF009C">
        <w:rPr>
          <w:rFonts w:ascii="Wingdings" w:hAnsi="Wingdings"/>
          <w:noProof/>
        </w:rPr>
        <w:t></w:t>
      </w:r>
      <w:r w:rsidRPr="00FF009C">
        <w:rPr>
          <w:noProof/>
        </w:rPr>
        <w:tab/>
        <w:t xml:space="preserve">Okres trwania wniosku/inicjatywy: od [DD/MM]RRRR r. do [DD/MM]RRRR r. </w:t>
      </w:r>
    </w:p>
    <w:p w14:paraId="020071B7" w14:textId="77777777" w:rsidR="00AB4A6F" w:rsidRPr="00FF009C" w:rsidRDefault="00AB4A6F" w:rsidP="002073EE">
      <w:pPr>
        <w:pStyle w:val="ListDash2"/>
        <w:numPr>
          <w:ilvl w:val="0"/>
          <w:numId w:val="20"/>
        </w:numPr>
        <w:rPr>
          <w:noProof/>
        </w:rPr>
      </w:pPr>
      <w:r w:rsidRPr="00FF009C">
        <w:rPr>
          <w:rFonts w:ascii="Wingdings" w:hAnsi="Wingdings"/>
          <w:noProof/>
        </w:rPr>
        <w:t></w:t>
      </w:r>
      <w:r w:rsidRPr="00FF009C">
        <w:rPr>
          <w:noProof/>
        </w:rPr>
        <w:tab/>
        <w:t>Okres trwania wpływu finansowego: od RRRR r. do RRRR r.</w:t>
      </w:r>
    </w:p>
    <w:p w14:paraId="661727EF" w14:textId="77777777" w:rsidR="00AB4A6F" w:rsidRPr="00FF009C" w:rsidRDefault="00AB4A6F" w:rsidP="00AB4A6F">
      <w:pPr>
        <w:pStyle w:val="Text1"/>
        <w:rPr>
          <w:noProof/>
        </w:rPr>
      </w:pPr>
      <w:r w:rsidRPr="00FF009C">
        <w:rPr>
          <w:rFonts w:ascii="Wingdings" w:hAnsi="Wingdings"/>
          <w:noProof/>
        </w:rPr>
        <w:t></w:t>
      </w:r>
      <w:r w:rsidRPr="00FF009C">
        <w:rPr>
          <w:b/>
          <w:noProof/>
        </w:rPr>
        <w:t>Nieograniczony czas trwania</w:t>
      </w:r>
    </w:p>
    <w:p w14:paraId="2163ED58" w14:textId="4A3F4958" w:rsidR="00AB4A6F" w:rsidRPr="00FF009C" w:rsidRDefault="00AB4A6F" w:rsidP="002073EE">
      <w:pPr>
        <w:pStyle w:val="ListDash1"/>
        <w:numPr>
          <w:ilvl w:val="0"/>
          <w:numId w:val="19"/>
        </w:numPr>
        <w:rPr>
          <w:noProof/>
        </w:rPr>
      </w:pPr>
      <w:r w:rsidRPr="00FF009C">
        <w:rPr>
          <w:noProof/>
        </w:rPr>
        <w:t>Wprowadzenie</w:t>
      </w:r>
      <w:r w:rsidR="00FF009C" w:rsidRPr="00FF009C">
        <w:rPr>
          <w:noProof/>
        </w:rPr>
        <w:t xml:space="preserve"> w</w:t>
      </w:r>
      <w:r w:rsidR="00FF009C">
        <w:rPr>
          <w:noProof/>
        </w:rPr>
        <w:t> </w:t>
      </w:r>
      <w:r w:rsidR="00FF009C" w:rsidRPr="00FF009C">
        <w:rPr>
          <w:noProof/>
        </w:rPr>
        <w:t>życ</w:t>
      </w:r>
      <w:r w:rsidRPr="00FF009C">
        <w:rPr>
          <w:noProof/>
        </w:rPr>
        <w:t>ie</w:t>
      </w:r>
      <w:r w:rsidR="00FF009C" w:rsidRPr="00FF009C">
        <w:rPr>
          <w:noProof/>
        </w:rPr>
        <w:t xml:space="preserve"> z</w:t>
      </w:r>
      <w:r w:rsidR="00FF009C">
        <w:rPr>
          <w:noProof/>
        </w:rPr>
        <w:t> </w:t>
      </w:r>
      <w:r w:rsidR="00FF009C" w:rsidRPr="00FF009C">
        <w:rPr>
          <w:noProof/>
        </w:rPr>
        <w:t>okr</w:t>
      </w:r>
      <w:r w:rsidRPr="00FF009C">
        <w:rPr>
          <w:noProof/>
        </w:rPr>
        <w:t>esem rozruchu od 2025 r. do 2027 r.,</w:t>
      </w:r>
    </w:p>
    <w:p w14:paraId="11951A92" w14:textId="77777777" w:rsidR="00AB4A6F" w:rsidRPr="00FF009C" w:rsidRDefault="00AB4A6F" w:rsidP="002073EE">
      <w:pPr>
        <w:pStyle w:val="ListDash1"/>
        <w:numPr>
          <w:ilvl w:val="0"/>
          <w:numId w:val="19"/>
        </w:numPr>
        <w:rPr>
          <w:noProof/>
        </w:rPr>
      </w:pPr>
      <w:r w:rsidRPr="00FF009C">
        <w:rPr>
          <w:noProof/>
        </w:rPr>
        <w:t>po którym następuje faza operacyjna.</w:t>
      </w:r>
    </w:p>
    <w:p w14:paraId="2028FF19" w14:textId="005E5989" w:rsidR="00AB4A6F" w:rsidRPr="00FF009C" w:rsidRDefault="00AB4A6F">
      <w:pPr>
        <w:pStyle w:val="ManualHeading2"/>
        <w:rPr>
          <w:noProof/>
        </w:rPr>
      </w:pPr>
      <w:bookmarkStart w:id="40" w:name="_Toc514938675"/>
      <w:bookmarkStart w:id="41" w:name="_Toc155952157"/>
      <w:r w:rsidRPr="00FF009C">
        <w:rPr>
          <w:noProof/>
        </w:rPr>
        <w:t>1.7.</w:t>
      </w:r>
      <w:r w:rsidRPr="00FF009C">
        <w:rPr>
          <w:noProof/>
        </w:rPr>
        <w:tab/>
        <w:t>Planowane metody wykonania budżetu</w:t>
      </w:r>
      <w:r w:rsidRPr="00FF009C">
        <w:rPr>
          <w:rStyle w:val="FootnoteReference0"/>
          <w:noProof/>
        </w:rPr>
        <w:footnoteReference w:id="37"/>
      </w:r>
      <w:bookmarkEnd w:id="40"/>
      <w:bookmarkEnd w:id="41"/>
      <w:r w:rsidR="00FF009C" w:rsidRPr="00FF009C">
        <w:rPr>
          <w:rStyle w:val="FootnoteReference0"/>
          <w:noProof/>
        </w:rPr>
        <w:t xml:space="preserve"> </w:t>
      </w:r>
    </w:p>
    <w:p w14:paraId="5FCF346D" w14:textId="77777777" w:rsidR="00AB4A6F" w:rsidRPr="00FF009C" w:rsidRDefault="00AB4A6F" w:rsidP="00AB4A6F">
      <w:pPr>
        <w:pStyle w:val="Text1"/>
        <w:rPr>
          <w:noProof/>
        </w:rPr>
      </w:pPr>
      <w:r w:rsidRPr="00FF009C">
        <w:rPr>
          <w:rFonts w:ascii="Wingdings" w:hAnsi="Wingdings"/>
          <w:noProof/>
        </w:rPr>
        <w:t></w:t>
      </w:r>
      <w:r w:rsidRPr="00FF009C">
        <w:rPr>
          <w:i/>
          <w:noProof/>
        </w:rPr>
        <w:t xml:space="preserve"> </w:t>
      </w:r>
      <w:r w:rsidRPr="00FF009C">
        <w:rPr>
          <w:b/>
          <w:noProof/>
        </w:rPr>
        <w:t>Zarządzanie bezpośrednie</w:t>
      </w:r>
      <w:r w:rsidRPr="00FF009C">
        <w:rPr>
          <w:noProof/>
        </w:rPr>
        <w:t xml:space="preserve"> przez Komisję przez</w:t>
      </w:r>
    </w:p>
    <w:p w14:paraId="2B1B2B57" w14:textId="77777777" w:rsidR="00AB4A6F" w:rsidRPr="00FF009C" w:rsidRDefault="00AB4A6F" w:rsidP="002073EE">
      <w:pPr>
        <w:pStyle w:val="ListDash2"/>
        <w:numPr>
          <w:ilvl w:val="0"/>
          <w:numId w:val="20"/>
        </w:numPr>
        <w:rPr>
          <w:noProof/>
        </w:rPr>
      </w:pPr>
      <w:r w:rsidRPr="00FF009C">
        <w:rPr>
          <w:rFonts w:ascii="Wingdings" w:hAnsi="Wingdings"/>
          <w:noProof/>
        </w:rPr>
        <w:t></w:t>
      </w:r>
      <w:r w:rsidRPr="00FF009C">
        <w:rPr>
          <w:noProof/>
        </w:rPr>
        <w:tab/>
        <w:t xml:space="preserve">przez agencje wykonawcze; </w:t>
      </w:r>
    </w:p>
    <w:p w14:paraId="4C5A781B" w14:textId="37F1F054" w:rsidR="00AB4A6F" w:rsidRPr="00FF009C" w:rsidRDefault="00AB4A6F" w:rsidP="00AB4A6F">
      <w:pPr>
        <w:pStyle w:val="Text1"/>
        <w:rPr>
          <w:noProof/>
        </w:rPr>
      </w:pPr>
      <w:r w:rsidRPr="00FF009C">
        <w:rPr>
          <w:rFonts w:ascii="Wingdings" w:hAnsi="Wingdings"/>
          <w:noProof/>
        </w:rPr>
        <w:t></w:t>
      </w:r>
      <w:r w:rsidRPr="00FF009C">
        <w:rPr>
          <w:b/>
          <w:i/>
          <w:noProof/>
        </w:rPr>
        <w:t xml:space="preserve"> </w:t>
      </w:r>
      <w:r w:rsidRPr="00FF009C">
        <w:rPr>
          <w:b/>
          <w:noProof/>
        </w:rPr>
        <w:t>Zarządzanie dzielone</w:t>
      </w:r>
      <w:r w:rsidR="00FF009C" w:rsidRPr="00FF009C">
        <w:rPr>
          <w:noProof/>
        </w:rPr>
        <w:t xml:space="preserve"> z</w:t>
      </w:r>
      <w:r w:rsidR="00FF009C">
        <w:rPr>
          <w:noProof/>
        </w:rPr>
        <w:t> </w:t>
      </w:r>
      <w:r w:rsidR="00FF009C" w:rsidRPr="00FF009C">
        <w:rPr>
          <w:noProof/>
        </w:rPr>
        <w:t>pań</w:t>
      </w:r>
      <w:r w:rsidRPr="00FF009C">
        <w:rPr>
          <w:noProof/>
        </w:rPr>
        <w:t xml:space="preserve">stwami członkowskimi </w:t>
      </w:r>
    </w:p>
    <w:p w14:paraId="45BE72EF" w14:textId="1A785A33" w:rsidR="00AB4A6F" w:rsidRPr="00FF009C" w:rsidRDefault="00AB4A6F" w:rsidP="00AB4A6F">
      <w:pPr>
        <w:pStyle w:val="Text1"/>
        <w:rPr>
          <w:noProof/>
        </w:rPr>
      </w:pPr>
      <w:r w:rsidRPr="00FF009C">
        <w:rPr>
          <w:rFonts w:ascii="Wingdings" w:hAnsi="Wingdings"/>
          <w:noProof/>
        </w:rPr>
        <w:t></w:t>
      </w:r>
      <w:r w:rsidRPr="00FF009C">
        <w:rPr>
          <w:rFonts w:ascii="Wingdings" w:hAnsi="Wingdings"/>
          <w:noProof/>
        </w:rPr>
        <w:t></w:t>
      </w:r>
      <w:r w:rsidRPr="00FF009C">
        <w:rPr>
          <w:b/>
          <w:noProof/>
        </w:rPr>
        <w:t>Zarządzanie pośrednie</w:t>
      </w:r>
      <w:r w:rsidRPr="00FF009C">
        <w:rPr>
          <w:noProof/>
        </w:rPr>
        <w:t xml:space="preserve"> poprzez przekazanie zadań związanych</w:t>
      </w:r>
      <w:r w:rsidR="00FF009C" w:rsidRPr="00FF009C">
        <w:rPr>
          <w:noProof/>
        </w:rPr>
        <w:t xml:space="preserve"> z</w:t>
      </w:r>
      <w:r w:rsidR="00FF009C">
        <w:rPr>
          <w:noProof/>
        </w:rPr>
        <w:t> </w:t>
      </w:r>
      <w:r w:rsidR="00FF009C" w:rsidRPr="00FF009C">
        <w:rPr>
          <w:noProof/>
        </w:rPr>
        <w:t>wyk</w:t>
      </w:r>
      <w:r w:rsidRPr="00FF009C">
        <w:rPr>
          <w:noProof/>
        </w:rPr>
        <w:t>onaniem budżetu:</w:t>
      </w:r>
    </w:p>
    <w:p w14:paraId="364C0D79" w14:textId="5A26B8A2" w:rsidR="00AB4A6F" w:rsidRPr="00FF009C" w:rsidRDefault="00AB4A6F" w:rsidP="00AB4A6F">
      <w:pPr>
        <w:pStyle w:val="Text1"/>
        <w:rPr>
          <w:noProof/>
        </w:rPr>
      </w:pPr>
      <w:r w:rsidRPr="00FF009C">
        <w:rPr>
          <w:rFonts w:ascii="Wingdings" w:hAnsi="Wingdings"/>
          <w:noProof/>
        </w:rPr>
        <w:t></w:t>
      </w:r>
      <w:r w:rsidRPr="00FF009C">
        <w:rPr>
          <w:noProof/>
        </w:rPr>
        <w:t xml:space="preserve"> organizacjom międzynarodowym</w:t>
      </w:r>
      <w:r w:rsidR="00FF009C" w:rsidRPr="00FF009C">
        <w:rPr>
          <w:noProof/>
        </w:rPr>
        <w:t xml:space="preserve"> i</w:t>
      </w:r>
      <w:r w:rsidR="00FF009C">
        <w:rPr>
          <w:noProof/>
        </w:rPr>
        <w:t> </w:t>
      </w:r>
      <w:r w:rsidR="00FF009C" w:rsidRPr="00FF009C">
        <w:rPr>
          <w:noProof/>
        </w:rPr>
        <w:t>ich</w:t>
      </w:r>
      <w:r w:rsidRPr="00FF009C">
        <w:rPr>
          <w:noProof/>
        </w:rPr>
        <w:t xml:space="preserve"> agencjom (należy wyszczególnić);</w:t>
      </w:r>
    </w:p>
    <w:p w14:paraId="1EAD9BD9" w14:textId="77777777" w:rsidR="00AB4A6F" w:rsidRPr="00FF009C" w:rsidRDefault="00AB4A6F" w:rsidP="00AB4A6F">
      <w:pPr>
        <w:pStyle w:val="Text1"/>
        <w:rPr>
          <w:noProof/>
        </w:rPr>
      </w:pPr>
      <w:r w:rsidRPr="00FF009C">
        <w:rPr>
          <w:rFonts w:ascii="Wingdings" w:hAnsi="Wingdings"/>
          <w:noProof/>
        </w:rPr>
        <w:t></w:t>
      </w:r>
      <w:r w:rsidRPr="00FF009C">
        <w:rPr>
          <w:noProof/>
        </w:rPr>
        <w:t>EBI oraz Europejskiemu Funduszowi Inwestycyjnemu;</w:t>
      </w:r>
    </w:p>
    <w:p w14:paraId="054092DA" w14:textId="50F51313" w:rsidR="00AB4A6F" w:rsidRPr="00FF009C" w:rsidRDefault="00AB4A6F" w:rsidP="00AB4A6F">
      <w:pPr>
        <w:pStyle w:val="Text1"/>
        <w:rPr>
          <w:noProof/>
        </w:rPr>
      </w:pPr>
      <w:r w:rsidRPr="00FF009C">
        <w:rPr>
          <w:rFonts w:ascii="Wingdings" w:hAnsi="Wingdings"/>
          <w:noProof/>
        </w:rPr>
        <w:t></w:t>
      </w:r>
      <w:r w:rsidRPr="00FF009C">
        <w:rPr>
          <w:rFonts w:ascii="Wingdings" w:hAnsi="Wingdings"/>
          <w:noProof/>
        </w:rPr>
        <w:t></w:t>
      </w:r>
      <w:r w:rsidRPr="00FF009C">
        <w:rPr>
          <w:noProof/>
        </w:rPr>
        <w:t>organom,</w:t>
      </w:r>
      <w:r w:rsidR="00FF009C" w:rsidRPr="00FF009C">
        <w:rPr>
          <w:noProof/>
        </w:rPr>
        <w:t xml:space="preserve"> o</w:t>
      </w:r>
      <w:r w:rsidR="00FF009C">
        <w:rPr>
          <w:noProof/>
        </w:rPr>
        <w:t> </w:t>
      </w:r>
      <w:r w:rsidR="00FF009C" w:rsidRPr="00FF009C">
        <w:rPr>
          <w:noProof/>
        </w:rPr>
        <w:t>któ</w:t>
      </w:r>
      <w:r w:rsidRPr="00FF009C">
        <w:rPr>
          <w:noProof/>
        </w:rPr>
        <w:t>rych mowa</w:t>
      </w:r>
      <w:r w:rsidR="00FF009C" w:rsidRPr="00FF009C">
        <w:rPr>
          <w:noProof/>
        </w:rPr>
        <w:t xml:space="preserve"> w</w:t>
      </w:r>
      <w:r w:rsidR="00FF009C">
        <w:rPr>
          <w:noProof/>
        </w:rPr>
        <w:t> </w:t>
      </w:r>
      <w:r w:rsidR="00FF009C" w:rsidRPr="00FF009C">
        <w:rPr>
          <w:noProof/>
        </w:rPr>
        <w:t>art</w:t>
      </w:r>
      <w:r w:rsidRPr="00FF009C">
        <w:rPr>
          <w:noProof/>
        </w:rPr>
        <w:t>.</w:t>
      </w:r>
      <w:r w:rsidR="00FF009C" w:rsidRPr="00FF009C">
        <w:rPr>
          <w:noProof/>
        </w:rPr>
        <w:t> </w:t>
      </w:r>
      <w:r w:rsidRPr="00FF009C">
        <w:rPr>
          <w:noProof/>
        </w:rPr>
        <w:t>70</w:t>
      </w:r>
      <w:r w:rsidR="00FF009C" w:rsidRPr="00FF009C">
        <w:rPr>
          <w:noProof/>
        </w:rPr>
        <w:t xml:space="preserve"> i</w:t>
      </w:r>
      <w:r w:rsidR="00FF009C">
        <w:rPr>
          <w:noProof/>
        </w:rPr>
        <w:t> </w:t>
      </w:r>
      <w:r w:rsidR="00FF009C" w:rsidRPr="00FF009C">
        <w:rPr>
          <w:noProof/>
        </w:rPr>
        <w:t>7</w:t>
      </w:r>
      <w:r w:rsidRPr="00FF009C">
        <w:rPr>
          <w:noProof/>
        </w:rPr>
        <w:t>1;</w:t>
      </w:r>
    </w:p>
    <w:p w14:paraId="194E5F75" w14:textId="77777777" w:rsidR="00AB4A6F" w:rsidRPr="00FF009C" w:rsidRDefault="00AB4A6F" w:rsidP="00AB4A6F">
      <w:pPr>
        <w:pStyle w:val="Text1"/>
        <w:rPr>
          <w:noProof/>
        </w:rPr>
      </w:pPr>
      <w:r w:rsidRPr="00FF009C">
        <w:rPr>
          <w:rFonts w:ascii="Wingdings" w:hAnsi="Wingdings"/>
          <w:noProof/>
        </w:rPr>
        <w:t></w:t>
      </w:r>
      <w:r w:rsidRPr="00FF009C">
        <w:rPr>
          <w:noProof/>
        </w:rPr>
        <w:t xml:space="preserve"> organom prawa publicznego;</w:t>
      </w:r>
    </w:p>
    <w:p w14:paraId="6EB0D010" w14:textId="5F4FBDCA" w:rsidR="00AB4A6F" w:rsidRPr="00FF009C" w:rsidRDefault="00AB4A6F" w:rsidP="00AB4A6F">
      <w:pPr>
        <w:pStyle w:val="Text1"/>
        <w:rPr>
          <w:noProof/>
        </w:rPr>
      </w:pPr>
      <w:r w:rsidRPr="00FF009C">
        <w:rPr>
          <w:rFonts w:ascii="Wingdings" w:hAnsi="Wingdings"/>
          <w:noProof/>
        </w:rPr>
        <w:t></w:t>
      </w:r>
      <w:r w:rsidRPr="00FF009C">
        <w:rPr>
          <w:noProof/>
        </w:rPr>
        <w:t xml:space="preserve"> podmiotom podlegającym prawu prywatnemu, które świadczą usługi użyteczności publicznej,</w:t>
      </w:r>
      <w:r w:rsidR="00FF009C" w:rsidRPr="00FF009C">
        <w:rPr>
          <w:noProof/>
        </w:rPr>
        <w:t xml:space="preserve"> o</w:t>
      </w:r>
      <w:r w:rsidR="00FF009C">
        <w:rPr>
          <w:noProof/>
        </w:rPr>
        <w:t> </w:t>
      </w:r>
      <w:r w:rsidR="00FF009C" w:rsidRPr="00FF009C">
        <w:rPr>
          <w:noProof/>
        </w:rPr>
        <w:t>ile</w:t>
      </w:r>
      <w:r w:rsidRPr="00FF009C">
        <w:rPr>
          <w:noProof/>
        </w:rPr>
        <w:t xml:space="preserve"> są im zapewnione odpowiednie gwarancje finansowe;</w:t>
      </w:r>
    </w:p>
    <w:p w14:paraId="102AD75F" w14:textId="1B6F6D45" w:rsidR="00AB4A6F" w:rsidRPr="00FF009C" w:rsidRDefault="00AB4A6F" w:rsidP="00AB4A6F">
      <w:pPr>
        <w:pStyle w:val="Text1"/>
        <w:rPr>
          <w:noProof/>
        </w:rPr>
      </w:pPr>
      <w:r w:rsidRPr="00FF009C">
        <w:rPr>
          <w:rFonts w:ascii="Wingdings" w:hAnsi="Wingdings"/>
          <w:noProof/>
        </w:rPr>
        <w:t></w:t>
      </w:r>
      <w:r w:rsidRPr="00FF009C">
        <w:rPr>
          <w:noProof/>
        </w:rPr>
        <w:t xml:space="preserve"> podmiotom podlegającym prawu prywatnemu państwa członkowskiego, którym powierzono realizację partnerstwa publiczno-prywatnego</w:t>
      </w:r>
      <w:r w:rsidR="00FF009C" w:rsidRPr="00FF009C">
        <w:rPr>
          <w:noProof/>
        </w:rPr>
        <w:t xml:space="preserve"> i</w:t>
      </w:r>
      <w:r w:rsidR="00FF009C">
        <w:rPr>
          <w:noProof/>
        </w:rPr>
        <w:t> </w:t>
      </w:r>
      <w:r w:rsidR="00FF009C" w:rsidRPr="00FF009C">
        <w:rPr>
          <w:noProof/>
        </w:rPr>
        <w:t>zap</w:t>
      </w:r>
      <w:r w:rsidRPr="00FF009C">
        <w:rPr>
          <w:noProof/>
        </w:rPr>
        <w:t>ewniono odpowiednie gwarancje finansowe;</w:t>
      </w:r>
    </w:p>
    <w:p w14:paraId="56951E2B" w14:textId="17E5CCD8" w:rsidR="00AB4A6F" w:rsidRPr="00FF009C" w:rsidRDefault="00AB4A6F" w:rsidP="00AB4A6F">
      <w:pPr>
        <w:pStyle w:val="Text1"/>
        <w:rPr>
          <w:noProof/>
        </w:rPr>
      </w:pPr>
      <w:r w:rsidRPr="00FF009C">
        <w:rPr>
          <w:rFonts w:ascii="Wingdings" w:hAnsi="Wingdings"/>
          <w:noProof/>
        </w:rPr>
        <w:t></w:t>
      </w:r>
      <w:r w:rsidRPr="00FF009C">
        <w:rPr>
          <w:noProof/>
        </w:rPr>
        <w:t xml:space="preserve"> podmiotom lub osobom odpowiedzialnym za wykonanie określonych działań</w:t>
      </w:r>
      <w:r w:rsidR="00FF009C" w:rsidRPr="00FF009C">
        <w:rPr>
          <w:noProof/>
        </w:rPr>
        <w:t xml:space="preserve"> w</w:t>
      </w:r>
      <w:r w:rsidR="00FF009C">
        <w:rPr>
          <w:noProof/>
        </w:rPr>
        <w:t> </w:t>
      </w:r>
      <w:r w:rsidR="00FF009C" w:rsidRPr="00FF009C">
        <w:rPr>
          <w:noProof/>
        </w:rPr>
        <w:t>dzi</w:t>
      </w:r>
      <w:r w:rsidRPr="00FF009C">
        <w:rPr>
          <w:noProof/>
        </w:rPr>
        <w:t>edzinie wspólnej polityki zagranicznej</w:t>
      </w:r>
      <w:r w:rsidR="00FF009C" w:rsidRPr="00FF009C">
        <w:rPr>
          <w:noProof/>
        </w:rPr>
        <w:t xml:space="preserve"> i</w:t>
      </w:r>
      <w:r w:rsidR="00FF009C">
        <w:rPr>
          <w:noProof/>
        </w:rPr>
        <w:t> </w:t>
      </w:r>
      <w:r w:rsidR="00FF009C" w:rsidRPr="00FF009C">
        <w:rPr>
          <w:noProof/>
        </w:rPr>
        <w:t>bez</w:t>
      </w:r>
      <w:r w:rsidRPr="00FF009C">
        <w:rPr>
          <w:noProof/>
        </w:rPr>
        <w:t>pieczeństwa na mocy tytułu V Traktatu</w:t>
      </w:r>
      <w:r w:rsidR="00FF009C" w:rsidRPr="00FF009C">
        <w:rPr>
          <w:noProof/>
        </w:rPr>
        <w:t xml:space="preserve"> o</w:t>
      </w:r>
      <w:r w:rsidR="00FF009C">
        <w:rPr>
          <w:noProof/>
        </w:rPr>
        <w:t> </w:t>
      </w:r>
      <w:r w:rsidR="00FF009C" w:rsidRPr="00FF009C">
        <w:rPr>
          <w:noProof/>
        </w:rPr>
        <w:t>Uni</w:t>
      </w:r>
      <w:r w:rsidRPr="00FF009C">
        <w:rPr>
          <w:noProof/>
        </w:rPr>
        <w:t>i Europejskiej oraz określonym we właściwym podstawowym akcie prawnym.</w:t>
      </w:r>
    </w:p>
    <w:p w14:paraId="31B33C7A" w14:textId="77777777" w:rsidR="00AB4A6F" w:rsidRPr="00FF009C" w:rsidRDefault="00AB4A6F" w:rsidP="00AB4A6F">
      <w:pPr>
        <w:rPr>
          <w:noProof/>
        </w:rPr>
      </w:pPr>
      <w:r w:rsidRPr="00FF009C">
        <w:rPr>
          <w:noProof/>
        </w:rPr>
        <w:t>Uwagi</w:t>
      </w:r>
    </w:p>
    <w:p w14:paraId="4423DA87" w14:textId="77777777" w:rsidR="00AB4A6F" w:rsidRPr="00FF009C" w:rsidRDefault="00AB4A6F" w:rsidP="00AB4A6F">
      <w:pPr>
        <w:pBdr>
          <w:top w:val="single" w:sz="4" w:space="1" w:color="auto"/>
          <w:left w:val="single" w:sz="4" w:space="4" w:color="auto"/>
          <w:bottom w:val="single" w:sz="4" w:space="1" w:color="auto"/>
          <w:right w:val="single" w:sz="4" w:space="4" w:color="auto"/>
        </w:pBdr>
        <w:rPr>
          <w:noProof/>
        </w:rPr>
      </w:pPr>
    </w:p>
    <w:p w14:paraId="2E834E73" w14:textId="77777777" w:rsidR="00AB4A6F" w:rsidRPr="00FF009C" w:rsidRDefault="00AB4A6F" w:rsidP="00AB4A6F">
      <w:pPr>
        <w:pBdr>
          <w:top w:val="single" w:sz="4" w:space="1" w:color="auto"/>
          <w:left w:val="single" w:sz="4" w:space="4" w:color="auto"/>
          <w:bottom w:val="single" w:sz="4" w:space="1" w:color="auto"/>
          <w:right w:val="single" w:sz="4" w:space="4" w:color="auto"/>
        </w:pBdr>
        <w:rPr>
          <w:noProof/>
        </w:rPr>
      </w:pPr>
    </w:p>
    <w:p w14:paraId="14A1D547" w14:textId="77777777" w:rsidR="00AB4A6F" w:rsidRPr="00FF009C" w:rsidRDefault="00AB4A6F" w:rsidP="00AB4A6F">
      <w:pPr>
        <w:rPr>
          <w:noProof/>
        </w:rPr>
        <w:sectPr w:rsidR="00AB4A6F" w:rsidRPr="00FF009C" w:rsidSect="004E3534">
          <w:pgSz w:w="12240" w:h="15840"/>
          <w:pgMar w:top="794" w:right="907" w:bottom="851" w:left="1361" w:header="510" w:footer="454" w:gutter="0"/>
          <w:cols w:space="720"/>
          <w:docGrid w:linePitch="326"/>
        </w:sectPr>
      </w:pPr>
    </w:p>
    <w:p w14:paraId="1F7FD2A5" w14:textId="77777777" w:rsidR="00AB4A6F" w:rsidRPr="00FF009C" w:rsidRDefault="00AB4A6F">
      <w:pPr>
        <w:pStyle w:val="ManualHeading1"/>
        <w:rPr>
          <w:noProof/>
        </w:rPr>
      </w:pPr>
      <w:bookmarkStart w:id="42" w:name="_Toc514938676"/>
      <w:bookmarkStart w:id="43" w:name="_Toc155952158"/>
      <w:r w:rsidRPr="00FF009C">
        <w:rPr>
          <w:noProof/>
        </w:rPr>
        <w:t>2.</w:t>
      </w:r>
      <w:r w:rsidRPr="00FF009C">
        <w:rPr>
          <w:noProof/>
        </w:rPr>
        <w:tab/>
        <w:t>ŚRODKI ZARZĄDZANIA</w:t>
      </w:r>
      <w:bookmarkEnd w:id="42"/>
      <w:bookmarkEnd w:id="43"/>
      <w:r w:rsidRPr="00FF009C">
        <w:rPr>
          <w:noProof/>
        </w:rPr>
        <w:t xml:space="preserve"> </w:t>
      </w:r>
    </w:p>
    <w:p w14:paraId="05C0D338" w14:textId="64BC54FA" w:rsidR="00AB4A6F" w:rsidRPr="00FF009C" w:rsidRDefault="00AB4A6F">
      <w:pPr>
        <w:pStyle w:val="ManualHeading2"/>
        <w:rPr>
          <w:noProof/>
        </w:rPr>
      </w:pPr>
      <w:bookmarkStart w:id="44" w:name="_Toc514938677"/>
      <w:bookmarkStart w:id="45" w:name="_Toc155952159"/>
      <w:r w:rsidRPr="00FF009C">
        <w:rPr>
          <w:noProof/>
        </w:rPr>
        <w:t>2.1.</w:t>
      </w:r>
      <w:r w:rsidRPr="00FF009C">
        <w:rPr>
          <w:noProof/>
        </w:rPr>
        <w:tab/>
        <w:t>Zasady nadzoru</w:t>
      </w:r>
      <w:r w:rsidR="00FF009C" w:rsidRPr="00FF009C">
        <w:rPr>
          <w:noProof/>
        </w:rPr>
        <w:t xml:space="preserve"> i</w:t>
      </w:r>
      <w:r w:rsidR="00FF009C">
        <w:rPr>
          <w:noProof/>
        </w:rPr>
        <w:t> </w:t>
      </w:r>
      <w:r w:rsidR="00FF009C" w:rsidRPr="00FF009C">
        <w:rPr>
          <w:noProof/>
        </w:rPr>
        <w:t>spr</w:t>
      </w:r>
      <w:r w:rsidRPr="00FF009C">
        <w:rPr>
          <w:noProof/>
        </w:rPr>
        <w:t>awozdawczości</w:t>
      </w:r>
      <w:bookmarkEnd w:id="44"/>
      <w:bookmarkEnd w:id="45"/>
      <w:r w:rsidRPr="00FF009C">
        <w:rPr>
          <w:noProof/>
        </w:rPr>
        <w:t xml:space="preserve"> </w:t>
      </w:r>
    </w:p>
    <w:p w14:paraId="5173C590" w14:textId="3E4B9798" w:rsidR="00AB4A6F" w:rsidRPr="00FF009C" w:rsidRDefault="00AB4A6F" w:rsidP="00AB4A6F">
      <w:pPr>
        <w:pStyle w:val="Text1"/>
        <w:rPr>
          <w:i/>
          <w:noProof/>
          <w:sz w:val="20"/>
        </w:rPr>
      </w:pPr>
      <w:r w:rsidRPr="00FF009C">
        <w:rPr>
          <w:i/>
          <w:noProof/>
          <w:sz w:val="20"/>
        </w:rPr>
        <w:t>Określić częstotliwość</w:t>
      </w:r>
      <w:r w:rsidR="00FF009C" w:rsidRPr="00FF009C">
        <w:rPr>
          <w:i/>
          <w:noProof/>
          <w:sz w:val="20"/>
        </w:rPr>
        <w:t xml:space="preserve"> i</w:t>
      </w:r>
      <w:r w:rsidR="00FF009C">
        <w:rPr>
          <w:i/>
          <w:noProof/>
          <w:sz w:val="20"/>
        </w:rPr>
        <w:t> </w:t>
      </w:r>
      <w:r w:rsidR="00FF009C" w:rsidRPr="00FF009C">
        <w:rPr>
          <w:i/>
          <w:noProof/>
          <w:sz w:val="20"/>
        </w:rPr>
        <w:t>war</w:t>
      </w:r>
      <w:r w:rsidRPr="00FF009C">
        <w:rPr>
          <w:i/>
          <w:noProof/>
          <w:sz w:val="20"/>
        </w:rPr>
        <w:t>unki.</w:t>
      </w:r>
    </w:p>
    <w:p w14:paraId="616F0452" w14:textId="66085C59"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Monitorowanie</w:t>
      </w:r>
      <w:r w:rsidR="00FF009C" w:rsidRPr="00FF009C">
        <w:rPr>
          <w:noProof/>
        </w:rPr>
        <w:t xml:space="preserve"> i</w:t>
      </w:r>
      <w:r w:rsidR="00FF009C">
        <w:rPr>
          <w:noProof/>
        </w:rPr>
        <w:t> </w:t>
      </w:r>
      <w:r w:rsidR="00FF009C" w:rsidRPr="00FF009C">
        <w:rPr>
          <w:noProof/>
        </w:rPr>
        <w:t>spr</w:t>
      </w:r>
      <w:r w:rsidRPr="00FF009C">
        <w:rPr>
          <w:noProof/>
        </w:rPr>
        <w:t>awozdawczość</w:t>
      </w:r>
      <w:r w:rsidR="00FF009C" w:rsidRPr="00FF009C">
        <w:rPr>
          <w:noProof/>
        </w:rPr>
        <w:t xml:space="preserve"> w</w:t>
      </w:r>
      <w:r w:rsidR="00FF009C">
        <w:rPr>
          <w:noProof/>
        </w:rPr>
        <w:t> </w:t>
      </w:r>
      <w:r w:rsidR="00FF009C" w:rsidRPr="00FF009C">
        <w:rPr>
          <w:noProof/>
        </w:rPr>
        <w:t>zak</w:t>
      </w:r>
      <w:r w:rsidRPr="00FF009C">
        <w:rPr>
          <w:noProof/>
        </w:rPr>
        <w:t>resie realizacji założeń wniosku będą odbywały się zgodne</w:t>
      </w:r>
      <w:r w:rsidR="00FF009C" w:rsidRPr="00FF009C">
        <w:rPr>
          <w:noProof/>
        </w:rPr>
        <w:t xml:space="preserve"> z</w:t>
      </w:r>
      <w:r w:rsidR="00FF009C">
        <w:rPr>
          <w:noProof/>
        </w:rPr>
        <w:t> </w:t>
      </w:r>
      <w:r w:rsidR="00FF009C" w:rsidRPr="00FF009C">
        <w:rPr>
          <w:noProof/>
        </w:rPr>
        <w:t>zas</w:t>
      </w:r>
      <w:r w:rsidRPr="00FF009C">
        <w:rPr>
          <w:noProof/>
        </w:rPr>
        <w:t>adami określonymi</w:t>
      </w:r>
      <w:r w:rsidR="00FF009C" w:rsidRPr="00FF009C">
        <w:rPr>
          <w:noProof/>
        </w:rPr>
        <w:t xml:space="preserve"> w</w:t>
      </w:r>
      <w:r w:rsidR="00FF009C">
        <w:rPr>
          <w:noProof/>
        </w:rPr>
        <w:t> </w:t>
      </w:r>
      <w:r w:rsidR="00FF009C" w:rsidRPr="00FF009C">
        <w:rPr>
          <w:noProof/>
        </w:rPr>
        <w:t>roz</w:t>
      </w:r>
      <w:r w:rsidRPr="00FF009C">
        <w:rPr>
          <w:noProof/>
        </w:rPr>
        <w:t>porządzeniu</w:t>
      </w:r>
      <w:r w:rsidR="00FF009C" w:rsidRPr="00FF009C">
        <w:rPr>
          <w:noProof/>
        </w:rPr>
        <w:t xml:space="preserve"> w</w:t>
      </w:r>
      <w:r w:rsidR="00FF009C">
        <w:rPr>
          <w:noProof/>
        </w:rPr>
        <w:t> </w:t>
      </w:r>
      <w:r w:rsidR="00FF009C" w:rsidRPr="00FF009C">
        <w:rPr>
          <w:noProof/>
        </w:rPr>
        <w:t>spr</w:t>
      </w:r>
      <w:r w:rsidRPr="00FF009C">
        <w:rPr>
          <w:noProof/>
        </w:rPr>
        <w:t>awie Europolu</w:t>
      </w:r>
      <w:r w:rsidRPr="00FF009C">
        <w:rPr>
          <w:rStyle w:val="FootnoteReference0"/>
          <w:noProof/>
        </w:rPr>
        <w:footnoteReference w:id="38"/>
      </w:r>
      <w:r w:rsidR="00FF009C" w:rsidRPr="00FF009C">
        <w:rPr>
          <w:noProof/>
        </w:rPr>
        <w:t xml:space="preserve"> i</w:t>
      </w:r>
      <w:r w:rsidR="00FF009C">
        <w:rPr>
          <w:noProof/>
        </w:rPr>
        <w:t> </w:t>
      </w:r>
      <w:r w:rsidR="00FF009C" w:rsidRPr="00FF009C">
        <w:rPr>
          <w:noProof/>
        </w:rPr>
        <w:t>reg</w:t>
      </w:r>
      <w:r w:rsidRPr="00FF009C">
        <w:rPr>
          <w:noProof/>
        </w:rPr>
        <w:t>ulaminie finansowym</w:t>
      </w:r>
      <w:r w:rsidRPr="00FF009C">
        <w:rPr>
          <w:rStyle w:val="FootnoteReference0"/>
          <w:noProof/>
        </w:rPr>
        <w:footnoteReference w:id="39"/>
      </w:r>
      <w:r w:rsidRPr="00FF009C">
        <w:rPr>
          <w:noProof/>
        </w:rPr>
        <w:t xml:space="preserve"> oraz zgodnie ze wspólnym podejściem do zdecentralizowanych agencji</w:t>
      </w:r>
      <w:r w:rsidRPr="00FF009C">
        <w:rPr>
          <w:rStyle w:val="FootnoteReference0"/>
          <w:noProof/>
        </w:rPr>
        <w:footnoteReference w:id="40"/>
      </w:r>
      <w:r w:rsidRPr="00FF009C">
        <w:rPr>
          <w:noProof/>
        </w:rPr>
        <w:t xml:space="preserve">. </w:t>
      </w:r>
    </w:p>
    <w:p w14:paraId="7B05A3EA" w14:textId="2985B055"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W szczególności Europol musi co roku przesyłać Komisji, Parlamentowi Europejskiemu</w:t>
      </w:r>
      <w:r w:rsidR="00FF009C" w:rsidRPr="00FF009C">
        <w:rPr>
          <w:noProof/>
        </w:rPr>
        <w:t xml:space="preserve"> i</w:t>
      </w:r>
      <w:r w:rsidR="00FF009C">
        <w:rPr>
          <w:noProof/>
        </w:rPr>
        <w:t> </w:t>
      </w:r>
      <w:r w:rsidR="00FF009C" w:rsidRPr="00FF009C">
        <w:rPr>
          <w:noProof/>
        </w:rPr>
        <w:t>Rad</w:t>
      </w:r>
      <w:r w:rsidRPr="00FF009C">
        <w:rPr>
          <w:noProof/>
        </w:rPr>
        <w:t>zie jednolity dokument programowy zawierający wieloletni program prac</w:t>
      </w:r>
      <w:r w:rsidR="00FF009C" w:rsidRPr="00FF009C">
        <w:rPr>
          <w:noProof/>
        </w:rPr>
        <w:t xml:space="preserve"> i</w:t>
      </w:r>
      <w:r w:rsidR="00FF009C">
        <w:rPr>
          <w:noProof/>
        </w:rPr>
        <w:t> </w:t>
      </w:r>
      <w:r w:rsidR="00FF009C" w:rsidRPr="00FF009C">
        <w:rPr>
          <w:noProof/>
        </w:rPr>
        <w:t>roc</w:t>
      </w:r>
      <w:r w:rsidRPr="00FF009C">
        <w:rPr>
          <w:noProof/>
        </w:rPr>
        <w:t>zne programy prac oraz dokument programowy dotyczący zasobów</w:t>
      </w:r>
      <w:r w:rsidR="00FF009C" w:rsidRPr="00FF009C">
        <w:rPr>
          <w:noProof/>
        </w:rPr>
        <w:t>. W</w:t>
      </w:r>
      <w:r w:rsidR="00FF009C">
        <w:rPr>
          <w:noProof/>
        </w:rPr>
        <w:t> </w:t>
      </w:r>
      <w:r w:rsidR="00FF009C" w:rsidRPr="00FF009C">
        <w:rPr>
          <w:noProof/>
        </w:rPr>
        <w:t>dok</w:t>
      </w:r>
      <w:r w:rsidRPr="00FF009C">
        <w:rPr>
          <w:noProof/>
        </w:rPr>
        <w:t>umencie tym określa się cele, oczekiwane rezultaty oraz wskaźniki wykonania na potrzeby monitorowania osiągania celów</w:t>
      </w:r>
      <w:r w:rsidR="00FF009C" w:rsidRPr="00FF009C">
        <w:rPr>
          <w:noProof/>
        </w:rPr>
        <w:t xml:space="preserve"> i</w:t>
      </w:r>
      <w:r w:rsidR="00FF009C">
        <w:rPr>
          <w:noProof/>
        </w:rPr>
        <w:t> </w:t>
      </w:r>
      <w:r w:rsidR="00FF009C" w:rsidRPr="00FF009C">
        <w:rPr>
          <w:noProof/>
        </w:rPr>
        <w:t>wyn</w:t>
      </w:r>
      <w:r w:rsidRPr="00FF009C">
        <w:rPr>
          <w:noProof/>
        </w:rPr>
        <w:t>ików. Europol musi również przekazywać zarządowi skonsolidowane roczne sprawozdanie</w:t>
      </w:r>
      <w:r w:rsidR="00FF009C" w:rsidRPr="00FF009C">
        <w:rPr>
          <w:noProof/>
        </w:rPr>
        <w:t xml:space="preserve"> z</w:t>
      </w:r>
      <w:r w:rsidR="00FF009C">
        <w:rPr>
          <w:noProof/>
        </w:rPr>
        <w:t> </w:t>
      </w:r>
      <w:r w:rsidR="00FF009C" w:rsidRPr="00FF009C">
        <w:rPr>
          <w:noProof/>
        </w:rPr>
        <w:t>dzi</w:t>
      </w:r>
      <w:r w:rsidRPr="00FF009C">
        <w:rPr>
          <w:noProof/>
        </w:rPr>
        <w:t>ałalności. Sprawozdanie to zawiera</w:t>
      </w:r>
      <w:r w:rsidR="00FF009C" w:rsidRPr="00FF009C">
        <w:rPr>
          <w:noProof/>
        </w:rPr>
        <w:t xml:space="preserve"> w</w:t>
      </w:r>
      <w:r w:rsidR="00FF009C">
        <w:rPr>
          <w:noProof/>
        </w:rPr>
        <w:t> </w:t>
      </w:r>
      <w:r w:rsidR="00FF009C" w:rsidRPr="00FF009C">
        <w:rPr>
          <w:noProof/>
        </w:rPr>
        <w:t>szc</w:t>
      </w:r>
      <w:r w:rsidRPr="00FF009C">
        <w:rPr>
          <w:noProof/>
        </w:rPr>
        <w:t>zególności informacje dotyczące osiągania celów</w:t>
      </w:r>
      <w:r w:rsidR="00FF009C" w:rsidRPr="00FF009C">
        <w:rPr>
          <w:noProof/>
        </w:rPr>
        <w:t xml:space="preserve"> i</w:t>
      </w:r>
      <w:r w:rsidR="00FF009C">
        <w:rPr>
          <w:noProof/>
        </w:rPr>
        <w:t> </w:t>
      </w:r>
      <w:r w:rsidR="00FF009C" w:rsidRPr="00FF009C">
        <w:rPr>
          <w:noProof/>
        </w:rPr>
        <w:t>wyn</w:t>
      </w:r>
      <w:r w:rsidRPr="00FF009C">
        <w:rPr>
          <w:noProof/>
        </w:rPr>
        <w:t>ików określonych</w:t>
      </w:r>
      <w:r w:rsidR="00FF009C" w:rsidRPr="00FF009C">
        <w:rPr>
          <w:noProof/>
        </w:rPr>
        <w:t xml:space="preserve"> w</w:t>
      </w:r>
      <w:r w:rsidR="00FF009C">
        <w:rPr>
          <w:noProof/>
        </w:rPr>
        <w:t> </w:t>
      </w:r>
      <w:r w:rsidR="00FF009C" w:rsidRPr="00FF009C">
        <w:rPr>
          <w:noProof/>
        </w:rPr>
        <w:t>jed</w:t>
      </w:r>
      <w:r w:rsidRPr="00FF009C">
        <w:rPr>
          <w:noProof/>
        </w:rPr>
        <w:t>nolitym dokumencie programowym. Sprawozdanie należy również przesłać Komisji, Parlamentowi Europejskiemu</w:t>
      </w:r>
      <w:r w:rsidR="00FF009C" w:rsidRPr="00FF009C">
        <w:rPr>
          <w:noProof/>
        </w:rPr>
        <w:t xml:space="preserve"> i</w:t>
      </w:r>
      <w:r w:rsidR="00FF009C">
        <w:rPr>
          <w:noProof/>
        </w:rPr>
        <w:t> </w:t>
      </w:r>
      <w:r w:rsidR="00FF009C" w:rsidRPr="00FF009C">
        <w:rPr>
          <w:noProof/>
        </w:rPr>
        <w:t>Rad</w:t>
      </w:r>
      <w:r w:rsidRPr="00FF009C">
        <w:rPr>
          <w:noProof/>
        </w:rPr>
        <w:t xml:space="preserve">zie. </w:t>
      </w:r>
    </w:p>
    <w:p w14:paraId="226E37F4" w14:textId="5BDBCE2E"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Ponadto, jak wskazano</w:t>
      </w:r>
      <w:r w:rsidR="00FF009C" w:rsidRPr="00FF009C">
        <w:rPr>
          <w:noProof/>
        </w:rPr>
        <w:t xml:space="preserve"> w</w:t>
      </w:r>
      <w:r w:rsidR="00FF009C">
        <w:rPr>
          <w:noProof/>
        </w:rPr>
        <w:t> </w:t>
      </w:r>
      <w:r w:rsidR="00FF009C" w:rsidRPr="00FF009C">
        <w:rPr>
          <w:noProof/>
        </w:rPr>
        <w:t>art</w:t>
      </w:r>
      <w:r w:rsidRPr="00FF009C">
        <w:rPr>
          <w:noProof/>
        </w:rPr>
        <w:t>.</w:t>
      </w:r>
      <w:r w:rsidR="00FF009C" w:rsidRPr="00FF009C">
        <w:rPr>
          <w:noProof/>
        </w:rPr>
        <w:t> </w:t>
      </w:r>
      <w:r w:rsidRPr="00FF009C">
        <w:rPr>
          <w:noProof/>
        </w:rPr>
        <w:t>68 rozporządzenia</w:t>
      </w:r>
      <w:r w:rsidR="00FF009C" w:rsidRPr="00FF009C">
        <w:rPr>
          <w:noProof/>
        </w:rPr>
        <w:t xml:space="preserve"> w</w:t>
      </w:r>
      <w:r w:rsidR="00FF009C">
        <w:rPr>
          <w:noProof/>
        </w:rPr>
        <w:t> </w:t>
      </w:r>
      <w:r w:rsidR="00FF009C" w:rsidRPr="00FF009C">
        <w:rPr>
          <w:noProof/>
        </w:rPr>
        <w:t>spr</w:t>
      </w:r>
      <w:r w:rsidRPr="00FF009C">
        <w:rPr>
          <w:noProof/>
        </w:rPr>
        <w:t>awie Europolu, Komisja musi zlecić przeprowadzenie oceny Europolu do dnia 29 czerwca 2027</w:t>
      </w:r>
      <w:r w:rsidR="00FF009C" w:rsidRPr="00FF009C">
        <w:rPr>
          <w:noProof/>
        </w:rPr>
        <w:t> </w:t>
      </w:r>
      <w:r w:rsidRPr="00FF009C">
        <w:rPr>
          <w:noProof/>
        </w:rPr>
        <w:t>r.,</w:t>
      </w:r>
      <w:r w:rsidR="00FF009C" w:rsidRPr="00FF009C">
        <w:rPr>
          <w:noProof/>
        </w:rPr>
        <w:t xml:space="preserve"> a</w:t>
      </w:r>
      <w:r w:rsidR="00FF009C">
        <w:rPr>
          <w:noProof/>
        </w:rPr>
        <w:t> </w:t>
      </w:r>
      <w:r w:rsidR="00FF009C" w:rsidRPr="00FF009C">
        <w:rPr>
          <w:noProof/>
        </w:rPr>
        <w:t>nas</w:t>
      </w:r>
      <w:r w:rsidRPr="00FF009C">
        <w:rPr>
          <w:noProof/>
        </w:rPr>
        <w:t>tępnie co pięć lat. Ocena ta dotyczy</w:t>
      </w:r>
      <w:r w:rsidR="00FF009C" w:rsidRPr="00FF009C">
        <w:rPr>
          <w:noProof/>
        </w:rPr>
        <w:t xml:space="preserve"> w</w:t>
      </w:r>
      <w:r w:rsidR="00FF009C">
        <w:rPr>
          <w:noProof/>
        </w:rPr>
        <w:t> </w:t>
      </w:r>
      <w:r w:rsidR="00FF009C" w:rsidRPr="00FF009C">
        <w:rPr>
          <w:noProof/>
        </w:rPr>
        <w:t>szc</w:t>
      </w:r>
      <w:r w:rsidRPr="00FF009C">
        <w:rPr>
          <w:noProof/>
        </w:rPr>
        <w:t>zególności wpływu, skuteczności</w:t>
      </w:r>
      <w:r w:rsidR="00FF009C" w:rsidRPr="00FF009C">
        <w:rPr>
          <w:noProof/>
        </w:rPr>
        <w:t xml:space="preserve"> i</w:t>
      </w:r>
      <w:r w:rsidR="00FF009C">
        <w:rPr>
          <w:noProof/>
        </w:rPr>
        <w:t> </w:t>
      </w:r>
      <w:r w:rsidR="00FF009C" w:rsidRPr="00FF009C">
        <w:rPr>
          <w:noProof/>
        </w:rPr>
        <w:t>efe</w:t>
      </w:r>
      <w:r w:rsidRPr="00FF009C">
        <w:rPr>
          <w:noProof/>
        </w:rPr>
        <w:t>ktywności Europolu</w:t>
      </w:r>
      <w:r w:rsidR="00FF009C" w:rsidRPr="00FF009C">
        <w:rPr>
          <w:noProof/>
        </w:rPr>
        <w:t xml:space="preserve"> i</w:t>
      </w:r>
      <w:r w:rsidR="00FF009C">
        <w:rPr>
          <w:noProof/>
        </w:rPr>
        <w:t> </w:t>
      </w:r>
      <w:r w:rsidR="00FF009C" w:rsidRPr="00FF009C">
        <w:rPr>
          <w:noProof/>
        </w:rPr>
        <w:t>jeg</w:t>
      </w:r>
      <w:r w:rsidRPr="00FF009C">
        <w:rPr>
          <w:noProof/>
        </w:rPr>
        <w:t>o praktyk roboczych. Sprawozdania oceniające należy przedkładać wyspecjalizowanej grupie ds. wspólnej kontroli parlamentarnej, która monitoruje pod względem politycznym działania Europolu służące realizacji jego zadań,</w:t>
      </w:r>
      <w:r w:rsidR="00FF009C" w:rsidRPr="00FF009C">
        <w:rPr>
          <w:noProof/>
        </w:rPr>
        <w:t xml:space="preserve"> w</w:t>
      </w:r>
      <w:r w:rsidR="00FF009C">
        <w:rPr>
          <w:noProof/>
        </w:rPr>
        <w:t> </w:t>
      </w:r>
      <w:r w:rsidR="00FF009C" w:rsidRPr="00FF009C">
        <w:rPr>
          <w:noProof/>
        </w:rPr>
        <w:t>tym</w:t>
      </w:r>
      <w:r w:rsidRPr="00FF009C">
        <w:rPr>
          <w:noProof/>
        </w:rPr>
        <w:t xml:space="preserve"> wpływ tych działań na podstawowe prawa</w:t>
      </w:r>
      <w:r w:rsidR="00FF009C" w:rsidRPr="00FF009C">
        <w:rPr>
          <w:noProof/>
        </w:rPr>
        <w:t xml:space="preserve"> i</w:t>
      </w:r>
      <w:r w:rsidR="00FF009C">
        <w:rPr>
          <w:noProof/>
        </w:rPr>
        <w:t> </w:t>
      </w:r>
      <w:r w:rsidR="00FF009C" w:rsidRPr="00FF009C">
        <w:rPr>
          <w:noProof/>
        </w:rPr>
        <w:t>wol</w:t>
      </w:r>
      <w:r w:rsidRPr="00FF009C">
        <w:rPr>
          <w:noProof/>
        </w:rPr>
        <w:t>ności osób fizycznych. Sprawozdania te są również przekazywane Radzie, parlamentom narodowym</w:t>
      </w:r>
      <w:r w:rsidR="00FF009C" w:rsidRPr="00FF009C">
        <w:rPr>
          <w:noProof/>
        </w:rPr>
        <w:t xml:space="preserve"> i</w:t>
      </w:r>
      <w:r w:rsidR="00FF009C">
        <w:rPr>
          <w:noProof/>
        </w:rPr>
        <w:t> </w:t>
      </w:r>
      <w:r w:rsidR="00FF009C" w:rsidRPr="00FF009C">
        <w:rPr>
          <w:noProof/>
        </w:rPr>
        <w:t>zar</w:t>
      </w:r>
      <w:r w:rsidRPr="00FF009C">
        <w:rPr>
          <w:noProof/>
        </w:rPr>
        <w:t>ządowi Europolu</w:t>
      </w:r>
      <w:r w:rsidR="00FF009C" w:rsidRPr="00FF009C">
        <w:rPr>
          <w:noProof/>
        </w:rPr>
        <w:t>. W</w:t>
      </w:r>
      <w:r w:rsidR="00FF009C">
        <w:rPr>
          <w:noProof/>
        </w:rPr>
        <w:t> </w:t>
      </w:r>
      <w:r w:rsidR="00FF009C" w:rsidRPr="00FF009C">
        <w:rPr>
          <w:noProof/>
        </w:rPr>
        <w:t>sto</w:t>
      </w:r>
      <w:r w:rsidRPr="00FF009C">
        <w:rPr>
          <w:noProof/>
        </w:rPr>
        <w:t xml:space="preserve">sownych przypadkach główne ustalenia sprawozdań oceniających podaje się do wiadomości publicznej. </w:t>
      </w:r>
    </w:p>
    <w:p w14:paraId="79654D80" w14:textId="5659F25C"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W celu regularnego monitorowania przekazywania informacji przez państwa członkowskie Europol będzie również co roku składał Komisji, Parlamentowi Europejskiemu, Radzie</w:t>
      </w:r>
      <w:r w:rsidR="00FF009C" w:rsidRPr="00FF009C">
        <w:rPr>
          <w:noProof/>
        </w:rPr>
        <w:t xml:space="preserve"> i</w:t>
      </w:r>
      <w:r w:rsidR="00FF009C">
        <w:rPr>
          <w:noProof/>
        </w:rPr>
        <w:t> </w:t>
      </w:r>
      <w:r w:rsidR="00FF009C" w:rsidRPr="00FF009C">
        <w:rPr>
          <w:noProof/>
        </w:rPr>
        <w:t>par</w:t>
      </w:r>
      <w:r w:rsidRPr="00FF009C">
        <w:rPr>
          <w:noProof/>
        </w:rPr>
        <w:t>lamentom narodowym sprawozdania dotyczące informacji dostarczanych przez każde państwo członkowskie niezbędnych Europolowi do realizacji jego celów,</w:t>
      </w:r>
      <w:r w:rsidR="00FF009C" w:rsidRPr="00FF009C">
        <w:rPr>
          <w:noProof/>
        </w:rPr>
        <w:t xml:space="preserve"> w</w:t>
      </w:r>
      <w:r w:rsidR="00FF009C">
        <w:rPr>
          <w:noProof/>
        </w:rPr>
        <w:t> </w:t>
      </w:r>
      <w:r w:rsidR="00FF009C" w:rsidRPr="00FF009C">
        <w:rPr>
          <w:noProof/>
        </w:rPr>
        <w:t>tym</w:t>
      </w:r>
      <w:r w:rsidRPr="00FF009C">
        <w:rPr>
          <w:noProof/>
        </w:rPr>
        <w:t xml:space="preserve"> informacji dotyczących form przestępczości, którym zapobieganie lub których zwalczanie jest uznawane przez Unię za priorytet. Sprawozdania sporządza się na podstawie ilościowych</w:t>
      </w:r>
      <w:r w:rsidR="00FF009C" w:rsidRPr="00FF009C">
        <w:rPr>
          <w:noProof/>
        </w:rPr>
        <w:t xml:space="preserve"> i</w:t>
      </w:r>
      <w:r w:rsidR="00FF009C">
        <w:rPr>
          <w:noProof/>
        </w:rPr>
        <w:t> </w:t>
      </w:r>
      <w:r w:rsidR="00FF009C" w:rsidRPr="00FF009C">
        <w:rPr>
          <w:noProof/>
        </w:rPr>
        <w:t>jak</w:t>
      </w:r>
      <w:r w:rsidRPr="00FF009C">
        <w:rPr>
          <w:noProof/>
        </w:rPr>
        <w:t xml:space="preserve">ościowych kryteriów oceny określonych przez zarząd Europolu. </w:t>
      </w:r>
    </w:p>
    <w:p w14:paraId="3E5B1ABD" w14:textId="77777777"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p>
    <w:p w14:paraId="481DAC96" w14:textId="5CD1D88C" w:rsidR="00AB4A6F" w:rsidRPr="00FF009C" w:rsidRDefault="00AB4A6F">
      <w:pPr>
        <w:pStyle w:val="ManualHeading2"/>
        <w:rPr>
          <w:noProof/>
        </w:rPr>
      </w:pPr>
      <w:bookmarkStart w:id="46" w:name="_Toc514938678"/>
      <w:bookmarkStart w:id="47" w:name="_Toc155952160"/>
      <w:r w:rsidRPr="00FF009C">
        <w:rPr>
          <w:noProof/>
        </w:rPr>
        <w:t>2.2.</w:t>
      </w:r>
      <w:r w:rsidRPr="00FF009C">
        <w:rPr>
          <w:noProof/>
        </w:rPr>
        <w:tab/>
        <w:t>System zarządzania</w:t>
      </w:r>
      <w:r w:rsidR="00FF009C" w:rsidRPr="00FF009C">
        <w:rPr>
          <w:noProof/>
        </w:rPr>
        <w:t xml:space="preserve"> i</w:t>
      </w:r>
      <w:r w:rsidR="00FF009C">
        <w:rPr>
          <w:noProof/>
        </w:rPr>
        <w:t> </w:t>
      </w:r>
      <w:r w:rsidR="00FF009C" w:rsidRPr="00FF009C">
        <w:rPr>
          <w:noProof/>
        </w:rPr>
        <w:t>kon</w:t>
      </w:r>
      <w:r w:rsidRPr="00FF009C">
        <w:rPr>
          <w:noProof/>
        </w:rPr>
        <w:t>troli</w:t>
      </w:r>
      <w:bookmarkEnd w:id="46"/>
      <w:bookmarkEnd w:id="47"/>
      <w:r w:rsidRPr="00FF009C">
        <w:rPr>
          <w:noProof/>
        </w:rPr>
        <w:t xml:space="preserve"> </w:t>
      </w:r>
    </w:p>
    <w:p w14:paraId="3572CDDC" w14:textId="729FDF28" w:rsidR="00AB4A6F" w:rsidRPr="00FF009C" w:rsidRDefault="00AB4A6F" w:rsidP="00AB4A6F">
      <w:pPr>
        <w:pStyle w:val="ManualHeading3"/>
        <w:rPr>
          <w:noProof/>
        </w:rPr>
      </w:pPr>
      <w:bookmarkStart w:id="48" w:name="_Toc514938679"/>
      <w:bookmarkStart w:id="49" w:name="_Toc155952161"/>
      <w:r w:rsidRPr="00FF009C">
        <w:rPr>
          <w:noProof/>
        </w:rPr>
        <w:t>2.2.1.</w:t>
      </w:r>
      <w:r w:rsidRPr="00FF009C">
        <w:rPr>
          <w:noProof/>
        </w:rPr>
        <w:tab/>
        <w:t>Uzasadnienie dla systemu zarządzania, mechanizmów finansowania wykonania, warunków płatności</w:t>
      </w:r>
      <w:r w:rsidR="00FF009C" w:rsidRPr="00FF009C">
        <w:rPr>
          <w:noProof/>
        </w:rPr>
        <w:t xml:space="preserve"> i</w:t>
      </w:r>
      <w:r w:rsidR="00FF009C">
        <w:rPr>
          <w:noProof/>
        </w:rPr>
        <w:t> </w:t>
      </w:r>
      <w:r w:rsidR="00FF009C" w:rsidRPr="00FF009C">
        <w:rPr>
          <w:noProof/>
        </w:rPr>
        <w:t>pro</w:t>
      </w:r>
      <w:r w:rsidRPr="00FF009C">
        <w:rPr>
          <w:noProof/>
        </w:rPr>
        <w:t>ponowanej strategii kontroli</w:t>
      </w:r>
      <w:bookmarkEnd w:id="48"/>
      <w:bookmarkEnd w:id="49"/>
    </w:p>
    <w:p w14:paraId="105042D2" w14:textId="3CAB4D22"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Biorąc pod uwagę, że wniosek ma wpływ na roczny udział UE</w:t>
      </w:r>
      <w:r w:rsidR="00FF009C" w:rsidRPr="00FF009C">
        <w:rPr>
          <w:noProof/>
        </w:rPr>
        <w:t xml:space="preserve"> w</w:t>
      </w:r>
      <w:r w:rsidR="00FF009C">
        <w:rPr>
          <w:noProof/>
        </w:rPr>
        <w:t> </w:t>
      </w:r>
      <w:r w:rsidR="00FF009C" w:rsidRPr="00FF009C">
        <w:rPr>
          <w:noProof/>
        </w:rPr>
        <w:t>fin</w:t>
      </w:r>
      <w:r w:rsidRPr="00FF009C">
        <w:rPr>
          <w:noProof/>
        </w:rPr>
        <w:t>ansowaniu Europolu, budżet UE zostanie wykonany</w:t>
      </w:r>
      <w:r w:rsidR="00FF009C" w:rsidRPr="00FF009C">
        <w:rPr>
          <w:noProof/>
        </w:rPr>
        <w:t xml:space="preserve"> w</w:t>
      </w:r>
      <w:r w:rsidR="00FF009C">
        <w:rPr>
          <w:noProof/>
        </w:rPr>
        <w:t> </w:t>
      </w:r>
      <w:r w:rsidR="00FF009C" w:rsidRPr="00FF009C">
        <w:rPr>
          <w:noProof/>
        </w:rPr>
        <w:t>try</w:t>
      </w:r>
      <w:r w:rsidRPr="00FF009C">
        <w:rPr>
          <w:noProof/>
        </w:rPr>
        <w:t>bie zarządzania pośredniego.</w:t>
      </w:r>
    </w:p>
    <w:p w14:paraId="72203A38" w14:textId="5A5F4F09"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Zgodnie</w:t>
      </w:r>
      <w:r w:rsidR="00FF009C" w:rsidRPr="00FF009C">
        <w:rPr>
          <w:noProof/>
        </w:rPr>
        <w:t xml:space="preserve"> z</w:t>
      </w:r>
      <w:r w:rsidR="00FF009C">
        <w:rPr>
          <w:noProof/>
        </w:rPr>
        <w:t> </w:t>
      </w:r>
      <w:r w:rsidR="00FF009C" w:rsidRPr="00FF009C">
        <w:rPr>
          <w:noProof/>
        </w:rPr>
        <w:t>zas</w:t>
      </w:r>
      <w:r w:rsidRPr="00FF009C">
        <w:rPr>
          <w:noProof/>
        </w:rPr>
        <w:t>adą należytego zarządzania finansami budżet organu Europolu wykonuje się przy zapewnieniu skutecznej</w:t>
      </w:r>
      <w:r w:rsidR="00FF009C" w:rsidRPr="00FF009C">
        <w:rPr>
          <w:noProof/>
        </w:rPr>
        <w:t xml:space="preserve"> i</w:t>
      </w:r>
      <w:r w:rsidR="00FF009C">
        <w:rPr>
          <w:noProof/>
        </w:rPr>
        <w:t> </w:t>
      </w:r>
      <w:r w:rsidR="00FF009C" w:rsidRPr="00FF009C">
        <w:rPr>
          <w:noProof/>
        </w:rPr>
        <w:t>efe</w:t>
      </w:r>
      <w:r w:rsidRPr="00FF009C">
        <w:rPr>
          <w:noProof/>
        </w:rPr>
        <w:t>ktywnej kontroli wewnętrznej. Europol jest zatem zobowiązany do wdrożenia odpowiedniej strategii</w:t>
      </w:r>
      <w:r w:rsidR="00FF009C" w:rsidRPr="00FF009C">
        <w:rPr>
          <w:noProof/>
        </w:rPr>
        <w:t xml:space="preserve"> w</w:t>
      </w:r>
      <w:r w:rsidR="00FF009C">
        <w:rPr>
          <w:noProof/>
        </w:rPr>
        <w:t> </w:t>
      </w:r>
      <w:r w:rsidR="00FF009C" w:rsidRPr="00FF009C">
        <w:rPr>
          <w:noProof/>
        </w:rPr>
        <w:t>zak</w:t>
      </w:r>
      <w:r w:rsidRPr="00FF009C">
        <w:rPr>
          <w:noProof/>
        </w:rPr>
        <w:t>resie zarządzania ryzykiem</w:t>
      </w:r>
      <w:r w:rsidR="00FF009C" w:rsidRPr="00FF009C">
        <w:rPr>
          <w:noProof/>
        </w:rPr>
        <w:t xml:space="preserve"> i</w:t>
      </w:r>
      <w:r w:rsidR="00FF009C">
        <w:rPr>
          <w:noProof/>
        </w:rPr>
        <w:t> </w:t>
      </w:r>
      <w:r w:rsidR="00FF009C" w:rsidRPr="00FF009C">
        <w:rPr>
          <w:noProof/>
        </w:rPr>
        <w:t>kon</w:t>
      </w:r>
      <w:r w:rsidRPr="00FF009C">
        <w:rPr>
          <w:noProof/>
        </w:rPr>
        <w:t>troli skoordynowanej przez odpowiednich uczestników łańcucha kontroli.</w:t>
      </w:r>
    </w:p>
    <w:p w14:paraId="59665E91" w14:textId="040C7AE9"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Jeżeli chodzi</w:t>
      </w:r>
      <w:r w:rsidR="00FF009C" w:rsidRPr="00FF009C">
        <w:rPr>
          <w:noProof/>
        </w:rPr>
        <w:t xml:space="preserve"> o</w:t>
      </w:r>
      <w:r w:rsidR="00FF009C">
        <w:rPr>
          <w:noProof/>
        </w:rPr>
        <w:t> </w:t>
      </w:r>
      <w:r w:rsidR="00FF009C" w:rsidRPr="00FF009C">
        <w:rPr>
          <w:noProof/>
        </w:rPr>
        <w:t>kon</w:t>
      </w:r>
      <w:r w:rsidRPr="00FF009C">
        <w:rPr>
          <w:noProof/>
        </w:rPr>
        <w:t>trole ex post, Europol – jako agencja zdecentralizowana – jest przedmiotem przede wszystkim:</w:t>
      </w:r>
    </w:p>
    <w:p w14:paraId="4746D3FE" w14:textId="77777777"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 audytu wewnętrznego przeprowadzanego przez Służbę Audytu Wewnętrznego Komisji</w:t>
      </w:r>
    </w:p>
    <w:p w14:paraId="033F7FA9" w14:textId="2AF1805D"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 rocznych sprawozdań Europejskiego Trybunału Obrachunkowego,</w:t>
      </w:r>
      <w:r w:rsidR="00FF009C" w:rsidRPr="00FF009C">
        <w:rPr>
          <w:noProof/>
        </w:rPr>
        <w:t xml:space="preserve"> w</w:t>
      </w:r>
      <w:r w:rsidR="00FF009C">
        <w:rPr>
          <w:noProof/>
        </w:rPr>
        <w:t> </w:t>
      </w:r>
      <w:r w:rsidR="00FF009C" w:rsidRPr="00FF009C">
        <w:rPr>
          <w:noProof/>
        </w:rPr>
        <w:t>któ</w:t>
      </w:r>
      <w:r w:rsidRPr="00FF009C">
        <w:rPr>
          <w:noProof/>
        </w:rPr>
        <w:t>rych poświadcza się wiarygodność rocznych sprawozdań finansowych, jak również legalność</w:t>
      </w:r>
      <w:r w:rsidR="00FF009C" w:rsidRPr="00FF009C">
        <w:rPr>
          <w:noProof/>
        </w:rPr>
        <w:t xml:space="preserve"> i</w:t>
      </w:r>
      <w:r w:rsidR="00FF009C">
        <w:rPr>
          <w:noProof/>
        </w:rPr>
        <w:t> </w:t>
      </w:r>
      <w:r w:rsidR="00FF009C" w:rsidRPr="00FF009C">
        <w:rPr>
          <w:noProof/>
        </w:rPr>
        <w:t>pra</w:t>
      </w:r>
      <w:r w:rsidRPr="00FF009C">
        <w:rPr>
          <w:noProof/>
        </w:rPr>
        <w:t>widłowość operacji leżących</w:t>
      </w:r>
      <w:r w:rsidR="00FF009C" w:rsidRPr="00FF009C">
        <w:rPr>
          <w:noProof/>
        </w:rPr>
        <w:t xml:space="preserve"> u</w:t>
      </w:r>
      <w:r w:rsidR="00FF009C">
        <w:rPr>
          <w:noProof/>
        </w:rPr>
        <w:t> </w:t>
      </w:r>
      <w:r w:rsidR="00FF009C" w:rsidRPr="00FF009C">
        <w:rPr>
          <w:noProof/>
        </w:rPr>
        <w:t>ich</w:t>
      </w:r>
      <w:r w:rsidRPr="00FF009C">
        <w:rPr>
          <w:noProof/>
        </w:rPr>
        <w:t xml:space="preserve"> podstaw</w:t>
      </w:r>
    </w:p>
    <w:p w14:paraId="36111557" w14:textId="77777777"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 corocznego absolutorium udzielanego przez Parlament Europejski</w:t>
      </w:r>
    </w:p>
    <w:p w14:paraId="486C851F" w14:textId="52CD3D63"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 ewentualnych dochodzeń prowadzonych przez OLAF</w:t>
      </w:r>
      <w:r w:rsidR="00FF009C" w:rsidRPr="00FF009C">
        <w:rPr>
          <w:noProof/>
        </w:rPr>
        <w:t xml:space="preserve"> w</w:t>
      </w:r>
      <w:r w:rsidR="00FF009C">
        <w:rPr>
          <w:noProof/>
        </w:rPr>
        <w:t> </w:t>
      </w:r>
      <w:r w:rsidR="00FF009C" w:rsidRPr="00FF009C">
        <w:rPr>
          <w:noProof/>
        </w:rPr>
        <w:t>cel</w:t>
      </w:r>
      <w:r w:rsidRPr="00FF009C">
        <w:rPr>
          <w:noProof/>
        </w:rPr>
        <w:t>u zapewnienia,</w:t>
      </w:r>
      <w:r w:rsidR="00FF009C" w:rsidRPr="00FF009C">
        <w:rPr>
          <w:noProof/>
        </w:rPr>
        <w:t xml:space="preserve"> w</w:t>
      </w:r>
      <w:r w:rsidR="00FF009C">
        <w:rPr>
          <w:noProof/>
        </w:rPr>
        <w:t> </w:t>
      </w:r>
      <w:r w:rsidR="00FF009C" w:rsidRPr="00FF009C">
        <w:rPr>
          <w:noProof/>
        </w:rPr>
        <w:t>szc</w:t>
      </w:r>
      <w:r w:rsidRPr="00FF009C">
        <w:rPr>
          <w:noProof/>
        </w:rPr>
        <w:t>zególności, prawidłowego wykorzystania zasobów przypisanych agencjom.</w:t>
      </w:r>
    </w:p>
    <w:p w14:paraId="063BD0EE" w14:textId="67538DFB"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DG HOME, jako partnerska dyrekcja generalna Europolu, wdroży swoją strategię kontroli agencji zdecentralizowanych</w:t>
      </w:r>
      <w:r w:rsidR="00FF009C" w:rsidRPr="00FF009C">
        <w:rPr>
          <w:noProof/>
        </w:rPr>
        <w:t xml:space="preserve"> w</w:t>
      </w:r>
      <w:r w:rsidR="00FF009C">
        <w:rPr>
          <w:noProof/>
        </w:rPr>
        <w:t> </w:t>
      </w:r>
      <w:r w:rsidR="00FF009C" w:rsidRPr="00FF009C">
        <w:rPr>
          <w:noProof/>
        </w:rPr>
        <w:t>cel</w:t>
      </w:r>
      <w:r w:rsidRPr="00FF009C">
        <w:rPr>
          <w:noProof/>
        </w:rPr>
        <w:t>u zapewnienia wiarygodnej sprawozdawczości</w:t>
      </w:r>
      <w:r w:rsidR="00FF009C" w:rsidRPr="00FF009C">
        <w:rPr>
          <w:noProof/>
        </w:rPr>
        <w:t xml:space="preserve"> w</w:t>
      </w:r>
      <w:r w:rsidR="00FF009C">
        <w:rPr>
          <w:noProof/>
        </w:rPr>
        <w:t> </w:t>
      </w:r>
      <w:r w:rsidR="00FF009C" w:rsidRPr="00FF009C">
        <w:rPr>
          <w:noProof/>
        </w:rPr>
        <w:t>ram</w:t>
      </w:r>
      <w:r w:rsidRPr="00FF009C">
        <w:rPr>
          <w:noProof/>
        </w:rPr>
        <w:t>ach swojego rocznego sprawozdania</w:t>
      </w:r>
      <w:r w:rsidR="00FF009C" w:rsidRPr="00FF009C">
        <w:rPr>
          <w:noProof/>
        </w:rPr>
        <w:t xml:space="preserve"> z</w:t>
      </w:r>
      <w:r w:rsidR="00FF009C">
        <w:rPr>
          <w:noProof/>
        </w:rPr>
        <w:t> </w:t>
      </w:r>
      <w:r w:rsidR="00FF009C" w:rsidRPr="00FF009C">
        <w:rPr>
          <w:noProof/>
        </w:rPr>
        <w:t>dzi</w:t>
      </w:r>
      <w:r w:rsidRPr="00FF009C">
        <w:rPr>
          <w:noProof/>
        </w:rPr>
        <w:t>ałalności. Agencje zdecentralizowane ponoszą pełną odpowiedzialność za realizację swojego budżetu, natomiast DG HOME ponosi odpowiedzialność za regularną wypłatę corocznych środków na finansowanie ich działalności, których wysokość określa władza budżetowa.</w:t>
      </w:r>
    </w:p>
    <w:p w14:paraId="3FCAE5B2" w14:textId="37AEA2D4"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Ponadto Europejski Rzecznik Praw Obywatelskich zapewnia dodatkową warstwę kontroli</w:t>
      </w:r>
      <w:r w:rsidR="00FF009C" w:rsidRPr="00FF009C">
        <w:rPr>
          <w:noProof/>
        </w:rPr>
        <w:t xml:space="preserve"> i</w:t>
      </w:r>
      <w:r w:rsidR="00FF009C">
        <w:rPr>
          <w:noProof/>
        </w:rPr>
        <w:t> </w:t>
      </w:r>
      <w:r w:rsidR="00FF009C" w:rsidRPr="00FF009C">
        <w:rPr>
          <w:noProof/>
        </w:rPr>
        <w:t>roz</w:t>
      </w:r>
      <w:r w:rsidRPr="00FF009C">
        <w:rPr>
          <w:noProof/>
        </w:rPr>
        <w:t>liczalności Europolu.</w:t>
      </w:r>
    </w:p>
    <w:p w14:paraId="65DAB015" w14:textId="77777777"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p>
    <w:p w14:paraId="11A20E57" w14:textId="1877EF3D" w:rsidR="00AB4A6F" w:rsidRPr="00FF009C" w:rsidRDefault="00AB4A6F" w:rsidP="00AB4A6F">
      <w:pPr>
        <w:pStyle w:val="ManualHeading3"/>
        <w:rPr>
          <w:noProof/>
        </w:rPr>
      </w:pPr>
      <w:bookmarkStart w:id="50" w:name="_Toc514938680"/>
      <w:bookmarkStart w:id="51" w:name="_Toc155952162"/>
      <w:r w:rsidRPr="00FF009C">
        <w:rPr>
          <w:noProof/>
        </w:rPr>
        <w:t>2.2.2.</w:t>
      </w:r>
      <w:r w:rsidRPr="00FF009C">
        <w:rPr>
          <w:noProof/>
        </w:rPr>
        <w:tab/>
        <w:t>Informacje dotyczące zidentyfikowanego ryzyka</w:t>
      </w:r>
      <w:r w:rsidR="00FF009C" w:rsidRPr="00FF009C">
        <w:rPr>
          <w:noProof/>
        </w:rPr>
        <w:t xml:space="preserve"> i</w:t>
      </w:r>
      <w:r w:rsidR="00FF009C">
        <w:rPr>
          <w:noProof/>
        </w:rPr>
        <w:t> </w:t>
      </w:r>
      <w:r w:rsidR="00FF009C" w:rsidRPr="00FF009C">
        <w:rPr>
          <w:noProof/>
        </w:rPr>
        <w:t>sys</w:t>
      </w:r>
      <w:r w:rsidRPr="00FF009C">
        <w:rPr>
          <w:noProof/>
        </w:rPr>
        <w:t>temów kontroli wewnętrznej ustanowionych</w:t>
      </w:r>
      <w:r w:rsidR="00FF009C" w:rsidRPr="00FF009C">
        <w:rPr>
          <w:noProof/>
        </w:rPr>
        <w:t xml:space="preserve"> w</w:t>
      </w:r>
      <w:r w:rsidR="00FF009C">
        <w:rPr>
          <w:noProof/>
        </w:rPr>
        <w:t> </w:t>
      </w:r>
      <w:r w:rsidR="00FF009C" w:rsidRPr="00FF009C">
        <w:rPr>
          <w:noProof/>
        </w:rPr>
        <w:t>cel</w:t>
      </w:r>
      <w:r w:rsidRPr="00FF009C">
        <w:rPr>
          <w:noProof/>
        </w:rPr>
        <w:t>u jego ograniczenia</w:t>
      </w:r>
      <w:bookmarkEnd w:id="50"/>
      <w:bookmarkEnd w:id="51"/>
    </w:p>
    <w:p w14:paraId="110CEAFD" w14:textId="77777777"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Zidentyfikowano następujące czynniki ryzyka:</w:t>
      </w:r>
    </w:p>
    <w:p w14:paraId="379F950C" w14:textId="62308679"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 ograniczone zasoby operacyjne spowodowane rosnącymi potrzebami operacyjnymi państw członkowskich oraz nieustannie ewoluującym krajobrazem działalności przestępczej</w:t>
      </w:r>
      <w:r w:rsidR="00FF009C" w:rsidRPr="00FF009C">
        <w:rPr>
          <w:noProof/>
        </w:rPr>
        <w:t xml:space="preserve"> w</w:t>
      </w:r>
      <w:r w:rsidR="00FF009C">
        <w:rPr>
          <w:noProof/>
        </w:rPr>
        <w:t> </w:t>
      </w:r>
      <w:r w:rsidR="00FF009C" w:rsidRPr="00FF009C">
        <w:rPr>
          <w:noProof/>
        </w:rPr>
        <w:t>obs</w:t>
      </w:r>
      <w:r w:rsidRPr="00FF009C">
        <w:rPr>
          <w:noProof/>
        </w:rPr>
        <w:t>zarze przemytu migrantów</w:t>
      </w:r>
      <w:r w:rsidR="00FF009C" w:rsidRPr="00FF009C">
        <w:rPr>
          <w:noProof/>
        </w:rPr>
        <w:t xml:space="preserve"> i</w:t>
      </w:r>
      <w:r w:rsidR="00FF009C">
        <w:rPr>
          <w:noProof/>
        </w:rPr>
        <w:t> </w:t>
      </w:r>
      <w:r w:rsidR="00FF009C" w:rsidRPr="00FF009C">
        <w:rPr>
          <w:noProof/>
        </w:rPr>
        <w:t>han</w:t>
      </w:r>
      <w:r w:rsidRPr="00FF009C">
        <w:rPr>
          <w:noProof/>
        </w:rPr>
        <w:t>dlu ludźmi</w:t>
      </w:r>
    </w:p>
    <w:p w14:paraId="0025BC7D" w14:textId="532BBA30"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 rozdrobniony charakter głównej działalności Europolu wynikający ze wzrostu liczby zadań</w:t>
      </w:r>
      <w:r w:rsidR="00FF009C" w:rsidRPr="00FF009C">
        <w:rPr>
          <w:noProof/>
        </w:rPr>
        <w:t xml:space="preserve"> i</w:t>
      </w:r>
      <w:r w:rsidR="00FF009C">
        <w:rPr>
          <w:noProof/>
        </w:rPr>
        <w:t> </w:t>
      </w:r>
      <w:r w:rsidR="00FF009C" w:rsidRPr="00FF009C">
        <w:rPr>
          <w:noProof/>
        </w:rPr>
        <w:t>wni</w:t>
      </w:r>
      <w:r w:rsidRPr="00FF009C">
        <w:rPr>
          <w:noProof/>
        </w:rPr>
        <w:t xml:space="preserve">osków </w:t>
      </w:r>
    </w:p>
    <w:p w14:paraId="42BCB3B1" w14:textId="653BCDD5"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 brak odpowiedniego poziomu zasobów finansowych</w:t>
      </w:r>
      <w:r w:rsidR="00FF009C" w:rsidRPr="00FF009C">
        <w:rPr>
          <w:noProof/>
        </w:rPr>
        <w:t xml:space="preserve"> i</w:t>
      </w:r>
      <w:r w:rsidR="00FF009C">
        <w:rPr>
          <w:noProof/>
        </w:rPr>
        <w:t> </w:t>
      </w:r>
      <w:r w:rsidR="00FF009C" w:rsidRPr="00FF009C">
        <w:rPr>
          <w:noProof/>
        </w:rPr>
        <w:t>lud</w:t>
      </w:r>
      <w:r w:rsidRPr="00FF009C">
        <w:rPr>
          <w:noProof/>
        </w:rPr>
        <w:t>zkich, aby zaspokoić potrzeby operacyjne</w:t>
      </w:r>
    </w:p>
    <w:p w14:paraId="08810DBE" w14:textId="1BB5FC73" w:rsidR="00AB4A6F" w:rsidRPr="00FF009C" w:rsidRDefault="00AB4A6F" w:rsidP="008B6A93">
      <w:pPr>
        <w:pStyle w:val="Text1"/>
        <w:pBdr>
          <w:top w:val="single" w:sz="4" w:space="1" w:color="auto"/>
          <w:left w:val="single" w:sz="4" w:space="4" w:color="auto"/>
          <w:bottom w:val="single" w:sz="4" w:space="1" w:color="auto"/>
          <w:right w:val="single" w:sz="4" w:space="4" w:color="auto"/>
        </w:pBdr>
        <w:rPr>
          <w:noProof/>
        </w:rPr>
      </w:pPr>
      <w:r w:rsidRPr="00FF009C">
        <w:rPr>
          <w:noProof/>
        </w:rPr>
        <w:t>– brak zasobów ICT, który skutkuje opóźnieniami pod względem wprowadzania koniecznych zmian</w:t>
      </w:r>
      <w:r w:rsidR="00FF009C" w:rsidRPr="00FF009C">
        <w:rPr>
          <w:noProof/>
        </w:rPr>
        <w:t xml:space="preserve"> i</w:t>
      </w:r>
      <w:r w:rsidR="00FF009C">
        <w:rPr>
          <w:noProof/>
        </w:rPr>
        <w:t> </w:t>
      </w:r>
      <w:r w:rsidR="00FF009C" w:rsidRPr="00FF009C">
        <w:rPr>
          <w:noProof/>
        </w:rPr>
        <w:t>akt</w:t>
      </w:r>
      <w:r w:rsidRPr="00FF009C">
        <w:rPr>
          <w:noProof/>
        </w:rPr>
        <w:t>ualizacji do głównego systemu</w:t>
      </w:r>
    </w:p>
    <w:p w14:paraId="59F8DE9B" w14:textId="273C35B0" w:rsidR="00AB4A6F" w:rsidRPr="00FF009C" w:rsidRDefault="00AB4A6F" w:rsidP="00AB4A6F">
      <w:pPr>
        <w:pStyle w:val="ManualHeading3"/>
        <w:rPr>
          <w:noProof/>
        </w:rPr>
      </w:pPr>
      <w:bookmarkStart w:id="52" w:name="_Toc514938681"/>
      <w:bookmarkStart w:id="53" w:name="_Toc155952163"/>
      <w:r w:rsidRPr="00FF009C">
        <w:rPr>
          <w:noProof/>
        </w:rPr>
        <w:t>2.2.3.</w:t>
      </w:r>
      <w:r w:rsidRPr="00FF009C">
        <w:rPr>
          <w:noProof/>
        </w:rPr>
        <w:tab/>
        <w:t>Oszacowanie</w:t>
      </w:r>
      <w:r w:rsidR="00FF009C" w:rsidRPr="00FF009C">
        <w:rPr>
          <w:noProof/>
        </w:rPr>
        <w:t xml:space="preserve"> i</w:t>
      </w:r>
      <w:r w:rsidR="00FF009C">
        <w:rPr>
          <w:noProof/>
        </w:rPr>
        <w:t> </w:t>
      </w:r>
      <w:r w:rsidR="00FF009C" w:rsidRPr="00FF009C">
        <w:rPr>
          <w:noProof/>
        </w:rPr>
        <w:t>uza</w:t>
      </w:r>
      <w:r w:rsidRPr="00FF009C">
        <w:rPr>
          <w:noProof/>
        </w:rPr>
        <w:t>sadnienie efektywności kosztowej kontroli (relacja kosztów kontroli do wartości zarządzanych funduszy powiązanych) oraz ocena prawdopodobnego ryzyka błędu (przy płatności</w:t>
      </w:r>
      <w:r w:rsidR="00FF009C" w:rsidRPr="00FF009C">
        <w:rPr>
          <w:noProof/>
        </w:rPr>
        <w:t xml:space="preserve"> i</w:t>
      </w:r>
      <w:r w:rsidR="00FF009C">
        <w:rPr>
          <w:noProof/>
        </w:rPr>
        <w:t> </w:t>
      </w:r>
      <w:r w:rsidR="00FF009C" w:rsidRPr="00FF009C">
        <w:rPr>
          <w:noProof/>
        </w:rPr>
        <w:t>prz</w:t>
      </w:r>
      <w:r w:rsidRPr="00FF009C">
        <w:rPr>
          <w:noProof/>
        </w:rPr>
        <w:t>y zamykaniu)</w:t>
      </w:r>
      <w:bookmarkEnd w:id="52"/>
      <w:bookmarkEnd w:id="53"/>
      <w:r w:rsidRPr="00FF009C">
        <w:rPr>
          <w:noProof/>
        </w:rPr>
        <w:t xml:space="preserve"> </w:t>
      </w:r>
    </w:p>
    <w:p w14:paraId="3B80BD12" w14:textId="10A0AE77" w:rsidR="00AB4A6F" w:rsidRPr="00FF009C" w:rsidRDefault="00AB4A6F" w:rsidP="00AB4A6F">
      <w:pPr>
        <w:pBdr>
          <w:top w:val="single" w:sz="4" w:space="1" w:color="auto"/>
          <w:left w:val="single" w:sz="4" w:space="0" w:color="auto"/>
          <w:bottom w:val="single" w:sz="4" w:space="1" w:color="auto"/>
          <w:right w:val="single" w:sz="4" w:space="4" w:color="auto"/>
        </w:pBdr>
        <w:rPr>
          <w:noProof/>
        </w:rPr>
      </w:pPr>
      <w:r w:rsidRPr="00FF009C">
        <w:rPr>
          <w:noProof/>
        </w:rPr>
        <w:t>Komisja przedstawia sprawozdania dotyczące stosunku „kosztów kontroli do wartości</w:t>
      </w:r>
      <w:r w:rsidR="00FF009C" w:rsidRPr="00FF009C">
        <w:rPr>
          <w:noProof/>
        </w:rPr>
        <w:t xml:space="preserve"> w</w:t>
      </w:r>
      <w:r w:rsidR="00FF009C">
        <w:rPr>
          <w:noProof/>
        </w:rPr>
        <w:t> </w:t>
      </w:r>
      <w:r w:rsidR="00FF009C" w:rsidRPr="00FF009C">
        <w:rPr>
          <w:noProof/>
        </w:rPr>
        <w:t>odn</w:t>
      </w:r>
      <w:r w:rsidRPr="00FF009C">
        <w:rPr>
          <w:noProof/>
        </w:rPr>
        <w:t>iesieniu do podmiotów, którym powierzono zarządzanie pośrednie,</w:t>
      </w:r>
      <w:r w:rsidR="00FF009C" w:rsidRPr="00FF009C">
        <w:rPr>
          <w:noProof/>
        </w:rPr>
        <w:t xml:space="preserve"> i</w:t>
      </w:r>
      <w:r w:rsidR="00FF009C">
        <w:rPr>
          <w:noProof/>
        </w:rPr>
        <w:t> </w:t>
      </w:r>
      <w:r w:rsidR="00FF009C" w:rsidRPr="00FF009C">
        <w:rPr>
          <w:noProof/>
        </w:rPr>
        <w:t>age</w:t>
      </w:r>
      <w:r w:rsidRPr="00FF009C">
        <w:rPr>
          <w:noProof/>
        </w:rPr>
        <w:t>ncji zdecentralizowanych,</w:t>
      </w:r>
      <w:r w:rsidR="00FF009C" w:rsidRPr="00FF009C">
        <w:rPr>
          <w:noProof/>
        </w:rPr>
        <w:t xml:space="preserve"> w</w:t>
      </w:r>
      <w:r w:rsidR="00FF009C">
        <w:rPr>
          <w:noProof/>
        </w:rPr>
        <w:t> </w:t>
      </w:r>
      <w:r w:rsidR="00FF009C" w:rsidRPr="00FF009C">
        <w:rPr>
          <w:noProof/>
        </w:rPr>
        <w:t>tym</w:t>
      </w:r>
      <w:r w:rsidRPr="00FF009C">
        <w:rPr>
          <w:noProof/>
        </w:rPr>
        <w:t xml:space="preserve"> Europolu” –</w:t>
      </w:r>
      <w:r w:rsidR="00FF009C" w:rsidRPr="00FF009C">
        <w:rPr>
          <w:noProof/>
        </w:rPr>
        <w:t xml:space="preserve"> w</w:t>
      </w:r>
      <w:r w:rsidR="00FF009C">
        <w:rPr>
          <w:noProof/>
        </w:rPr>
        <w:t> </w:t>
      </w:r>
      <w:r w:rsidR="00FF009C" w:rsidRPr="00FF009C">
        <w:rPr>
          <w:noProof/>
        </w:rPr>
        <w:t>2</w:t>
      </w:r>
      <w:r w:rsidRPr="00FF009C">
        <w:rPr>
          <w:noProof/>
        </w:rPr>
        <w:t>022</w:t>
      </w:r>
      <w:r w:rsidR="00FF009C" w:rsidRPr="00FF009C">
        <w:rPr>
          <w:noProof/>
        </w:rPr>
        <w:t> </w:t>
      </w:r>
      <w:r w:rsidRPr="00FF009C">
        <w:rPr>
          <w:noProof/>
        </w:rPr>
        <w:t>r. stosunek ten wyniósł 0,12</w:t>
      </w:r>
      <w:r w:rsidR="00FF009C" w:rsidRPr="00FF009C">
        <w:rPr>
          <w:noProof/>
        </w:rPr>
        <w:t> </w:t>
      </w:r>
      <w:r w:rsidRPr="00FF009C">
        <w:rPr>
          <w:noProof/>
        </w:rPr>
        <w:t>%.</w:t>
      </w:r>
    </w:p>
    <w:p w14:paraId="54E2306F" w14:textId="622C438B" w:rsidR="00AB4A6F" w:rsidRPr="00FF009C" w:rsidRDefault="00AB4A6F" w:rsidP="00AB4A6F">
      <w:pPr>
        <w:pBdr>
          <w:top w:val="single" w:sz="4" w:space="1" w:color="auto"/>
          <w:left w:val="single" w:sz="4" w:space="0" w:color="auto"/>
          <w:bottom w:val="single" w:sz="4" w:space="1" w:color="auto"/>
          <w:right w:val="single" w:sz="4" w:space="4" w:color="auto"/>
        </w:pBdr>
        <w:rPr>
          <w:noProof/>
        </w:rPr>
      </w:pPr>
      <w:r w:rsidRPr="00FF009C">
        <w:rPr>
          <w:noProof/>
        </w:rPr>
        <w:t>Europejski Trybunał Obrachunkowy potwierdził prawidłowość</w:t>
      </w:r>
      <w:r w:rsidR="00FF009C" w:rsidRPr="00FF009C">
        <w:rPr>
          <w:noProof/>
        </w:rPr>
        <w:t xml:space="preserve"> i</w:t>
      </w:r>
      <w:r w:rsidR="00FF009C">
        <w:rPr>
          <w:noProof/>
        </w:rPr>
        <w:t> </w:t>
      </w:r>
      <w:r w:rsidR="00FF009C" w:rsidRPr="00FF009C">
        <w:rPr>
          <w:noProof/>
        </w:rPr>
        <w:t>leg</w:t>
      </w:r>
      <w:r w:rsidRPr="00FF009C">
        <w:rPr>
          <w:noProof/>
        </w:rPr>
        <w:t>alność rocznego sprawozdania finansowego Europolu za</w:t>
      </w:r>
      <w:r w:rsidR="00FF009C" w:rsidRPr="00FF009C">
        <w:rPr>
          <w:noProof/>
        </w:rPr>
        <w:t> </w:t>
      </w:r>
      <w:r w:rsidRPr="00FF009C">
        <w:rPr>
          <w:noProof/>
        </w:rPr>
        <w:t>2022</w:t>
      </w:r>
      <w:r w:rsidR="00FF009C" w:rsidRPr="00FF009C">
        <w:rPr>
          <w:noProof/>
        </w:rPr>
        <w:t> </w:t>
      </w:r>
      <w:r w:rsidRPr="00FF009C">
        <w:rPr>
          <w:noProof/>
        </w:rPr>
        <w:t>r., co oznacza, że poziom błędu wynosi poniżej 2</w:t>
      </w:r>
      <w:r w:rsidR="00FF009C" w:rsidRPr="00FF009C">
        <w:rPr>
          <w:noProof/>
        </w:rPr>
        <w:t> </w:t>
      </w:r>
      <w:r w:rsidRPr="00FF009C">
        <w:rPr>
          <w:noProof/>
        </w:rPr>
        <w:t>%. Nie ma przesłanek wskazujących, że poziom błędu ulegnie pogorszeniu</w:t>
      </w:r>
      <w:r w:rsidR="00FF009C" w:rsidRPr="00FF009C">
        <w:rPr>
          <w:noProof/>
        </w:rPr>
        <w:t xml:space="preserve"> w</w:t>
      </w:r>
      <w:r w:rsidR="00FF009C">
        <w:rPr>
          <w:noProof/>
        </w:rPr>
        <w:t> </w:t>
      </w:r>
      <w:r w:rsidR="00FF009C" w:rsidRPr="00FF009C">
        <w:rPr>
          <w:noProof/>
        </w:rPr>
        <w:t>nad</w:t>
      </w:r>
      <w:r w:rsidRPr="00FF009C">
        <w:rPr>
          <w:noProof/>
        </w:rPr>
        <w:t>chodzących latach.</w:t>
      </w:r>
    </w:p>
    <w:p w14:paraId="0468E473" w14:textId="35B9B1C1" w:rsidR="00AB4A6F" w:rsidRPr="00FF009C" w:rsidRDefault="00AB4A6F" w:rsidP="00AB4A6F">
      <w:pPr>
        <w:pBdr>
          <w:top w:val="single" w:sz="4" w:space="1" w:color="auto"/>
          <w:left w:val="single" w:sz="4" w:space="0" w:color="auto"/>
          <w:bottom w:val="single" w:sz="4" w:space="1" w:color="auto"/>
          <w:right w:val="single" w:sz="4" w:space="4" w:color="auto"/>
        </w:pBdr>
        <w:rPr>
          <w:noProof/>
        </w:rPr>
      </w:pPr>
      <w:r w:rsidRPr="00FF009C">
        <w:rPr>
          <w:noProof/>
        </w:rPr>
        <w:t>Ponadto</w:t>
      </w:r>
      <w:r w:rsidR="00FF009C" w:rsidRPr="00FF009C">
        <w:rPr>
          <w:noProof/>
        </w:rPr>
        <w:t xml:space="preserve"> w</w:t>
      </w:r>
      <w:r w:rsidR="00FF009C">
        <w:rPr>
          <w:noProof/>
        </w:rPr>
        <w:t> </w:t>
      </w:r>
      <w:r w:rsidR="00FF009C" w:rsidRPr="00FF009C">
        <w:rPr>
          <w:noProof/>
        </w:rPr>
        <w:t>art</w:t>
      </w:r>
      <w:r w:rsidRPr="00FF009C">
        <w:rPr>
          <w:noProof/>
        </w:rPr>
        <w:t>.</w:t>
      </w:r>
      <w:r w:rsidR="00FF009C" w:rsidRPr="00FF009C">
        <w:rPr>
          <w:noProof/>
        </w:rPr>
        <w:t> </w:t>
      </w:r>
      <w:r w:rsidRPr="00FF009C">
        <w:rPr>
          <w:noProof/>
        </w:rPr>
        <w:t>80 regulaminu finansowego Europolu przewidziano możliwość udostępniania przez Agencję jednostki audytu wewnętrznego innym organom unijnym prowadzącym działalność</w:t>
      </w:r>
      <w:r w:rsidR="00FF009C" w:rsidRPr="00FF009C">
        <w:rPr>
          <w:noProof/>
        </w:rPr>
        <w:t xml:space="preserve"> w</w:t>
      </w:r>
      <w:r w:rsidR="00FF009C">
        <w:rPr>
          <w:noProof/>
        </w:rPr>
        <w:t> </w:t>
      </w:r>
      <w:r w:rsidR="00FF009C" w:rsidRPr="00FF009C">
        <w:rPr>
          <w:noProof/>
        </w:rPr>
        <w:t>tym</w:t>
      </w:r>
      <w:r w:rsidRPr="00FF009C">
        <w:rPr>
          <w:noProof/>
        </w:rPr>
        <w:t xml:space="preserve"> samym obszarze polityki, jeżeli jednostka audytu wewnętrznego jednego organu Unii nie jest opłacalna.</w:t>
      </w:r>
    </w:p>
    <w:p w14:paraId="4710C640" w14:textId="77777777" w:rsidR="00AB4A6F" w:rsidRPr="00FF009C" w:rsidRDefault="00AB4A6F" w:rsidP="00AB4A6F">
      <w:pPr>
        <w:pBdr>
          <w:top w:val="single" w:sz="4" w:space="1" w:color="auto"/>
          <w:left w:val="single" w:sz="4" w:space="0" w:color="auto"/>
          <w:bottom w:val="single" w:sz="4" w:space="1" w:color="auto"/>
          <w:right w:val="single" w:sz="4" w:space="4" w:color="auto"/>
        </w:pBdr>
        <w:rPr>
          <w:noProof/>
        </w:rPr>
      </w:pPr>
    </w:p>
    <w:p w14:paraId="057753B3" w14:textId="31261DB3" w:rsidR="00AB4A6F" w:rsidRPr="00FF009C" w:rsidRDefault="00FF009C" w:rsidP="00AB4A6F">
      <w:pPr>
        <w:spacing w:before="0" w:after="200" w:line="276" w:lineRule="auto"/>
        <w:jc w:val="left"/>
        <w:rPr>
          <w:rFonts w:eastAsiaTheme="majorEastAsia"/>
          <w:b/>
          <w:bCs/>
          <w:noProof/>
          <w:szCs w:val="26"/>
        </w:rPr>
      </w:pPr>
      <w:bookmarkStart w:id="54" w:name="_Toc514938682"/>
      <w:r w:rsidRPr="00FF009C">
        <w:rPr>
          <w:rFonts w:eastAsiaTheme="majorEastAsia"/>
          <w:b/>
          <w:bCs/>
          <w:noProof/>
          <w:szCs w:val="26"/>
        </w:rPr>
        <w:br w:type="page"/>
      </w:r>
    </w:p>
    <w:p w14:paraId="2FA46389" w14:textId="2ACB291C" w:rsidR="00AB4A6F" w:rsidRPr="00FF009C" w:rsidRDefault="00AB4A6F">
      <w:pPr>
        <w:pStyle w:val="ManualHeading2"/>
        <w:rPr>
          <w:noProof/>
        </w:rPr>
      </w:pPr>
      <w:bookmarkStart w:id="55" w:name="_Toc155952164"/>
      <w:r w:rsidRPr="00FF009C">
        <w:rPr>
          <w:noProof/>
        </w:rPr>
        <w:t>2.3.</w:t>
      </w:r>
      <w:r w:rsidRPr="00FF009C">
        <w:rPr>
          <w:noProof/>
        </w:rPr>
        <w:tab/>
        <w:t>Środki zapobiegania nadużyciom finansowym</w:t>
      </w:r>
      <w:r w:rsidR="00FF009C" w:rsidRPr="00FF009C">
        <w:rPr>
          <w:noProof/>
        </w:rPr>
        <w:t xml:space="preserve"> i</w:t>
      </w:r>
      <w:r w:rsidR="00FF009C">
        <w:rPr>
          <w:noProof/>
        </w:rPr>
        <w:t> </w:t>
      </w:r>
      <w:r w:rsidR="00FF009C" w:rsidRPr="00FF009C">
        <w:rPr>
          <w:noProof/>
        </w:rPr>
        <w:t>nie</w:t>
      </w:r>
      <w:r w:rsidRPr="00FF009C">
        <w:rPr>
          <w:noProof/>
        </w:rPr>
        <w:t>prawidłowościom</w:t>
      </w:r>
      <w:bookmarkEnd w:id="54"/>
      <w:bookmarkEnd w:id="55"/>
      <w:r w:rsidRPr="00FF009C">
        <w:rPr>
          <w:noProof/>
        </w:rPr>
        <w:t xml:space="preserve"> </w:t>
      </w:r>
    </w:p>
    <w:p w14:paraId="508B5BFB" w14:textId="085632C3" w:rsidR="00AB4A6F" w:rsidRPr="00FF009C" w:rsidRDefault="00AB4A6F" w:rsidP="00AB4A6F">
      <w:pPr>
        <w:pStyle w:val="Text1"/>
        <w:rPr>
          <w:i/>
          <w:noProof/>
          <w:sz w:val="20"/>
        </w:rPr>
      </w:pPr>
      <w:r w:rsidRPr="00FF009C">
        <w:rPr>
          <w:i/>
          <w:noProof/>
          <w:sz w:val="20"/>
        </w:rPr>
        <w:t>Określić istniejące lub przewidywane środki zapobiegania</w:t>
      </w:r>
      <w:r w:rsidR="00FF009C" w:rsidRPr="00FF009C">
        <w:rPr>
          <w:i/>
          <w:noProof/>
          <w:sz w:val="20"/>
        </w:rPr>
        <w:t xml:space="preserve"> i</w:t>
      </w:r>
      <w:r w:rsidR="00FF009C">
        <w:rPr>
          <w:i/>
          <w:noProof/>
          <w:sz w:val="20"/>
        </w:rPr>
        <w:t> </w:t>
      </w:r>
      <w:r w:rsidR="00FF009C" w:rsidRPr="00FF009C">
        <w:rPr>
          <w:i/>
          <w:noProof/>
          <w:sz w:val="20"/>
        </w:rPr>
        <w:t>och</w:t>
      </w:r>
      <w:r w:rsidRPr="00FF009C">
        <w:rPr>
          <w:i/>
          <w:noProof/>
          <w:sz w:val="20"/>
        </w:rPr>
        <w:t>rony, np. ze strategii zwalczania nadużyć finansowych.</w:t>
      </w:r>
    </w:p>
    <w:p w14:paraId="0D548487" w14:textId="0DEB471A"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Środki związane ze zwalczaniem nadużyć finansowych, korupcji</w:t>
      </w:r>
      <w:r w:rsidR="00FF009C" w:rsidRPr="00FF009C">
        <w:rPr>
          <w:noProof/>
        </w:rPr>
        <w:t xml:space="preserve"> i</w:t>
      </w:r>
      <w:r w:rsidR="00FF009C">
        <w:rPr>
          <w:noProof/>
        </w:rPr>
        <w:t> </w:t>
      </w:r>
      <w:r w:rsidR="00FF009C" w:rsidRPr="00FF009C">
        <w:rPr>
          <w:noProof/>
        </w:rPr>
        <w:t>inn</w:t>
      </w:r>
      <w:r w:rsidRPr="00FF009C">
        <w:rPr>
          <w:noProof/>
        </w:rPr>
        <w:t>ych nielegalnych działań określono m.in.</w:t>
      </w:r>
      <w:r w:rsidR="00FF009C" w:rsidRPr="00FF009C">
        <w:rPr>
          <w:noProof/>
        </w:rPr>
        <w:t xml:space="preserve"> w</w:t>
      </w:r>
      <w:r w:rsidR="00FF009C">
        <w:rPr>
          <w:noProof/>
        </w:rPr>
        <w:t> </w:t>
      </w:r>
      <w:r w:rsidR="00FF009C" w:rsidRPr="00FF009C">
        <w:rPr>
          <w:noProof/>
        </w:rPr>
        <w:t>art</w:t>
      </w:r>
      <w:r w:rsidRPr="00FF009C">
        <w:rPr>
          <w:noProof/>
        </w:rPr>
        <w:t>.</w:t>
      </w:r>
      <w:r w:rsidR="00FF009C" w:rsidRPr="00FF009C">
        <w:rPr>
          <w:noProof/>
        </w:rPr>
        <w:t> </w:t>
      </w:r>
      <w:r w:rsidRPr="00FF009C">
        <w:rPr>
          <w:noProof/>
        </w:rPr>
        <w:t>66 rozporządzenia</w:t>
      </w:r>
      <w:r w:rsidR="00FF009C" w:rsidRPr="00FF009C">
        <w:rPr>
          <w:noProof/>
        </w:rPr>
        <w:t xml:space="preserve"> w</w:t>
      </w:r>
      <w:r w:rsidR="00FF009C">
        <w:rPr>
          <w:noProof/>
        </w:rPr>
        <w:t> </w:t>
      </w:r>
      <w:r w:rsidR="00FF009C" w:rsidRPr="00FF009C">
        <w:rPr>
          <w:noProof/>
        </w:rPr>
        <w:t>spr</w:t>
      </w:r>
      <w:r w:rsidRPr="00FF009C">
        <w:rPr>
          <w:noProof/>
        </w:rPr>
        <w:t>awie Europolu oraz</w:t>
      </w:r>
      <w:r w:rsidR="00FF009C" w:rsidRPr="00FF009C">
        <w:rPr>
          <w:noProof/>
        </w:rPr>
        <w:t xml:space="preserve"> w</w:t>
      </w:r>
      <w:r w:rsidR="00FF009C">
        <w:rPr>
          <w:noProof/>
        </w:rPr>
        <w:t> </w:t>
      </w:r>
      <w:r w:rsidR="00FF009C" w:rsidRPr="00FF009C">
        <w:rPr>
          <w:noProof/>
        </w:rPr>
        <w:t>tyt</w:t>
      </w:r>
      <w:r w:rsidRPr="00FF009C">
        <w:rPr>
          <w:noProof/>
        </w:rPr>
        <w:t>ule X regulaminu finansowego Europolu.</w:t>
      </w:r>
    </w:p>
    <w:p w14:paraId="7E6CE86F" w14:textId="2C290F5E"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Europol uczestniczy</w:t>
      </w:r>
      <w:r w:rsidR="00FF009C" w:rsidRPr="00FF009C">
        <w:rPr>
          <w:noProof/>
        </w:rPr>
        <w:t xml:space="preserve"> w</w:t>
      </w:r>
      <w:r w:rsidR="00FF009C">
        <w:rPr>
          <w:noProof/>
        </w:rPr>
        <w:t> </w:t>
      </w:r>
      <w:r w:rsidR="00FF009C" w:rsidRPr="00FF009C">
        <w:rPr>
          <w:noProof/>
        </w:rPr>
        <w:t>szc</w:t>
      </w:r>
      <w:r w:rsidRPr="00FF009C">
        <w:rPr>
          <w:noProof/>
        </w:rPr>
        <w:t>zególności</w:t>
      </w:r>
      <w:r w:rsidR="00FF009C" w:rsidRPr="00FF009C">
        <w:rPr>
          <w:noProof/>
        </w:rPr>
        <w:t xml:space="preserve"> w</w:t>
      </w:r>
      <w:r w:rsidR="00FF009C">
        <w:rPr>
          <w:noProof/>
        </w:rPr>
        <w:t> </w:t>
      </w:r>
      <w:r w:rsidR="00FF009C" w:rsidRPr="00FF009C">
        <w:rPr>
          <w:noProof/>
        </w:rPr>
        <w:t>dzi</w:t>
      </w:r>
      <w:r w:rsidRPr="00FF009C">
        <w:rPr>
          <w:noProof/>
        </w:rPr>
        <w:t>ałaniach na rzecz zapobiegania nadużyciom finansowym prowadzonym przez Europejski Urząd ds. Zwalczania Nadużyć Finansowych</w:t>
      </w:r>
      <w:r w:rsidR="00FF009C" w:rsidRPr="00FF009C">
        <w:rPr>
          <w:noProof/>
        </w:rPr>
        <w:t xml:space="preserve"> i</w:t>
      </w:r>
      <w:r w:rsidR="00FF009C">
        <w:rPr>
          <w:noProof/>
        </w:rPr>
        <w:t> </w:t>
      </w:r>
      <w:r w:rsidR="00FF009C" w:rsidRPr="00FF009C">
        <w:rPr>
          <w:noProof/>
        </w:rPr>
        <w:t>nie</w:t>
      </w:r>
      <w:r w:rsidRPr="00FF009C">
        <w:rPr>
          <w:noProof/>
        </w:rPr>
        <w:t>zwłocznie informuje Komisję</w:t>
      </w:r>
      <w:r w:rsidR="00FF009C" w:rsidRPr="00FF009C">
        <w:rPr>
          <w:noProof/>
        </w:rPr>
        <w:t xml:space="preserve"> o</w:t>
      </w:r>
      <w:r w:rsidR="00FF009C">
        <w:rPr>
          <w:noProof/>
        </w:rPr>
        <w:t> </w:t>
      </w:r>
      <w:r w:rsidR="00FF009C" w:rsidRPr="00FF009C">
        <w:rPr>
          <w:noProof/>
        </w:rPr>
        <w:t>prz</w:t>
      </w:r>
      <w:r w:rsidRPr="00FF009C">
        <w:rPr>
          <w:noProof/>
        </w:rPr>
        <w:t>ypadkach podejrzenia wystąpienia nadużyć finansowych</w:t>
      </w:r>
      <w:r w:rsidR="00FF009C" w:rsidRPr="00FF009C">
        <w:rPr>
          <w:noProof/>
        </w:rPr>
        <w:t xml:space="preserve"> i</w:t>
      </w:r>
      <w:r w:rsidR="00FF009C">
        <w:rPr>
          <w:noProof/>
        </w:rPr>
        <w:t> </w:t>
      </w:r>
      <w:r w:rsidR="00FF009C" w:rsidRPr="00FF009C">
        <w:rPr>
          <w:noProof/>
        </w:rPr>
        <w:t>inn</w:t>
      </w:r>
      <w:r w:rsidRPr="00FF009C">
        <w:rPr>
          <w:noProof/>
        </w:rPr>
        <w:t>ych nieprawidłowości finansowych – zgodnie ze swoją wewnętrzną strategią zwalczania nadużyć finansowych.</w:t>
      </w:r>
    </w:p>
    <w:p w14:paraId="331DEFC6" w14:textId="44304581"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Zarząd zatwierdził zmienioną strategię zwalczania nadużyć finansowych Europolu na lata 2022–2024 na swoim posiedzeniu zorganizowanym</w:t>
      </w:r>
      <w:r w:rsidR="00FF009C" w:rsidRPr="00FF009C">
        <w:rPr>
          <w:noProof/>
        </w:rPr>
        <w:t xml:space="preserve"> w</w:t>
      </w:r>
      <w:r w:rsidR="00FF009C">
        <w:rPr>
          <w:noProof/>
        </w:rPr>
        <w:t> </w:t>
      </w:r>
      <w:r w:rsidR="00FF009C" w:rsidRPr="00FF009C">
        <w:rPr>
          <w:noProof/>
        </w:rPr>
        <w:t>mar</w:t>
      </w:r>
      <w:r w:rsidRPr="00FF009C">
        <w:rPr>
          <w:noProof/>
        </w:rPr>
        <w:t>cu 2022</w:t>
      </w:r>
      <w:r w:rsidR="00FF009C" w:rsidRPr="00FF009C">
        <w:rPr>
          <w:noProof/>
        </w:rPr>
        <w:t> </w:t>
      </w:r>
      <w:r w:rsidRPr="00FF009C">
        <w:rPr>
          <w:noProof/>
        </w:rPr>
        <w:t>r.</w:t>
      </w:r>
    </w:p>
    <w:p w14:paraId="1E8445BD" w14:textId="5F06E329"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Ponadto DG HOME, jako partnerska dyrekcja generalna Europolu, opracowała</w:t>
      </w:r>
      <w:r w:rsidR="00FF009C" w:rsidRPr="00FF009C">
        <w:rPr>
          <w:noProof/>
        </w:rPr>
        <w:t xml:space="preserve"> i</w:t>
      </w:r>
      <w:r w:rsidR="00FF009C">
        <w:rPr>
          <w:noProof/>
        </w:rPr>
        <w:t> </w:t>
      </w:r>
      <w:r w:rsidR="00FF009C" w:rsidRPr="00FF009C">
        <w:rPr>
          <w:noProof/>
        </w:rPr>
        <w:t>wdr</w:t>
      </w:r>
      <w:r w:rsidRPr="00FF009C">
        <w:rPr>
          <w:noProof/>
        </w:rPr>
        <w:t>ożyła własną strategię zwalczania nadużyć finansowych, opierając się na metodyce przedstawionej przez OLAF. Agencje zdecentralizowane,</w:t>
      </w:r>
      <w:r w:rsidR="00FF009C" w:rsidRPr="00FF009C">
        <w:rPr>
          <w:noProof/>
        </w:rPr>
        <w:t xml:space="preserve"> w</w:t>
      </w:r>
      <w:r w:rsidR="00FF009C">
        <w:rPr>
          <w:noProof/>
        </w:rPr>
        <w:t> </w:t>
      </w:r>
      <w:r w:rsidR="00FF009C" w:rsidRPr="00FF009C">
        <w:rPr>
          <w:noProof/>
        </w:rPr>
        <w:t>tym</w:t>
      </w:r>
      <w:r w:rsidRPr="00FF009C">
        <w:rPr>
          <w:noProof/>
        </w:rPr>
        <w:t xml:space="preserve"> Europol, są objęte zakresem tej strategii. </w:t>
      </w:r>
    </w:p>
    <w:p w14:paraId="53743016" w14:textId="531D9D0F"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DG HOME opracowała własną strategię zwalczania nadużyć finansowych, którą wdraża od</w:t>
      </w:r>
      <w:r w:rsidR="00FF009C" w:rsidRPr="00FF009C">
        <w:rPr>
          <w:noProof/>
        </w:rPr>
        <w:t> </w:t>
      </w:r>
      <w:r w:rsidRPr="00FF009C">
        <w:rPr>
          <w:noProof/>
        </w:rPr>
        <w:t>2013</w:t>
      </w:r>
      <w:r w:rsidR="00FF009C" w:rsidRPr="00FF009C">
        <w:rPr>
          <w:noProof/>
        </w:rPr>
        <w:t> </w:t>
      </w:r>
      <w:r w:rsidRPr="00FF009C">
        <w:rPr>
          <w:noProof/>
        </w:rPr>
        <w:t xml:space="preserve">r., na podstawie metodyki przedstawionej przez OLAF. </w:t>
      </w:r>
    </w:p>
    <w:p w14:paraId="2B65A053" w14:textId="385035AD"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r w:rsidRPr="00FF009C">
        <w:rPr>
          <w:noProof/>
        </w:rPr>
        <w:t>Na podstawie dostępnych informacji</w:t>
      </w:r>
      <w:r w:rsidR="00FF009C" w:rsidRPr="00FF009C">
        <w:rPr>
          <w:noProof/>
        </w:rPr>
        <w:t xml:space="preserve"> w</w:t>
      </w:r>
      <w:r w:rsidR="00FF009C">
        <w:rPr>
          <w:noProof/>
        </w:rPr>
        <w:t> </w:t>
      </w:r>
      <w:r w:rsidR="00FF009C" w:rsidRPr="00FF009C">
        <w:rPr>
          <w:noProof/>
        </w:rPr>
        <w:t>roc</w:t>
      </w:r>
      <w:r w:rsidRPr="00FF009C">
        <w:rPr>
          <w:noProof/>
        </w:rPr>
        <w:t>znym sprawozdaniu</w:t>
      </w:r>
      <w:r w:rsidR="00FF009C" w:rsidRPr="00FF009C">
        <w:rPr>
          <w:noProof/>
        </w:rPr>
        <w:t xml:space="preserve"> z</w:t>
      </w:r>
      <w:r w:rsidR="00FF009C">
        <w:rPr>
          <w:noProof/>
        </w:rPr>
        <w:t> </w:t>
      </w:r>
      <w:r w:rsidR="00FF009C" w:rsidRPr="00FF009C">
        <w:rPr>
          <w:noProof/>
        </w:rPr>
        <w:t>dzi</w:t>
      </w:r>
      <w:r w:rsidRPr="00FF009C">
        <w:rPr>
          <w:noProof/>
        </w:rPr>
        <w:t>ałalności DG HOME za</w:t>
      </w:r>
      <w:r w:rsidR="00FF009C" w:rsidRPr="00FF009C">
        <w:rPr>
          <w:noProof/>
        </w:rPr>
        <w:t> </w:t>
      </w:r>
      <w:r w:rsidRPr="00FF009C">
        <w:rPr>
          <w:noProof/>
        </w:rPr>
        <w:t>2022</w:t>
      </w:r>
      <w:r w:rsidR="00FF009C" w:rsidRPr="00FF009C">
        <w:rPr>
          <w:noProof/>
        </w:rPr>
        <w:t> </w:t>
      </w:r>
      <w:r w:rsidRPr="00FF009C">
        <w:rPr>
          <w:noProof/>
        </w:rPr>
        <w:t>r. stwierdzono, że stosowane środki zwalczania nadużyć finansowych są zasadniczo skuteczne.</w:t>
      </w:r>
    </w:p>
    <w:p w14:paraId="74C44BF1" w14:textId="77777777" w:rsidR="00AB4A6F" w:rsidRPr="00FF009C" w:rsidRDefault="00AB4A6F" w:rsidP="00AB4A6F">
      <w:pPr>
        <w:pStyle w:val="Text1"/>
        <w:pBdr>
          <w:top w:val="single" w:sz="4" w:space="1" w:color="auto"/>
          <w:left w:val="single" w:sz="4" w:space="4" w:color="auto"/>
          <w:bottom w:val="single" w:sz="4" w:space="1" w:color="auto"/>
          <w:right w:val="single" w:sz="4" w:space="4" w:color="auto"/>
        </w:pBdr>
        <w:rPr>
          <w:noProof/>
        </w:rPr>
      </w:pPr>
    </w:p>
    <w:p w14:paraId="29A25ACF" w14:textId="77777777" w:rsidR="0014309B" w:rsidRPr="00FF009C" w:rsidRDefault="0014309B">
      <w:pPr>
        <w:pStyle w:val="ManualHeading1"/>
        <w:rPr>
          <w:noProof/>
        </w:rPr>
      </w:pPr>
      <w:bookmarkStart w:id="56" w:name="_Toc514938683"/>
      <w:bookmarkStart w:id="57" w:name="_Toc155952165"/>
      <w:r w:rsidRPr="00FF009C">
        <w:rPr>
          <w:noProof/>
        </w:rPr>
        <w:t>3.</w:t>
      </w:r>
      <w:r w:rsidRPr="00FF009C">
        <w:rPr>
          <w:noProof/>
        </w:rPr>
        <w:tab/>
        <w:t>SZACUNKOWY WPŁYW FINANSOWY WNIOSKU/INICJATYWY</w:t>
      </w:r>
      <w:bookmarkEnd w:id="56"/>
      <w:bookmarkEnd w:id="57"/>
      <w:r w:rsidRPr="00FF009C">
        <w:rPr>
          <w:noProof/>
        </w:rPr>
        <w:t xml:space="preserve"> </w:t>
      </w:r>
    </w:p>
    <w:p w14:paraId="54826D39" w14:textId="2EBAFF48" w:rsidR="0014309B" w:rsidRPr="00FF009C" w:rsidRDefault="0014309B">
      <w:pPr>
        <w:pStyle w:val="ManualHeading2"/>
        <w:rPr>
          <w:noProof/>
        </w:rPr>
      </w:pPr>
      <w:bookmarkStart w:id="58" w:name="_Toc514938684"/>
      <w:bookmarkStart w:id="59" w:name="_Toc155952166"/>
      <w:r w:rsidRPr="00FF009C">
        <w:rPr>
          <w:noProof/>
        </w:rPr>
        <w:t>3.1.</w:t>
      </w:r>
      <w:r w:rsidRPr="00FF009C">
        <w:rPr>
          <w:noProof/>
        </w:rPr>
        <w:tab/>
        <w:t>Działy wieloletnich ram finansowych</w:t>
      </w:r>
      <w:r w:rsidR="00FF009C" w:rsidRPr="00FF009C">
        <w:rPr>
          <w:noProof/>
        </w:rPr>
        <w:t xml:space="preserve"> i</w:t>
      </w:r>
      <w:r w:rsidR="00FF009C">
        <w:rPr>
          <w:noProof/>
        </w:rPr>
        <w:t> </w:t>
      </w:r>
      <w:r w:rsidR="00FF009C" w:rsidRPr="00FF009C">
        <w:rPr>
          <w:noProof/>
        </w:rPr>
        <w:t>lin</w:t>
      </w:r>
      <w:r w:rsidRPr="00FF009C">
        <w:rPr>
          <w:noProof/>
        </w:rPr>
        <w:t>ie budżetowe po stronie wydatków, na które wniosek/inicjatywa ma wpływ</w:t>
      </w:r>
      <w:bookmarkEnd w:id="58"/>
      <w:bookmarkEnd w:id="59"/>
      <w:r w:rsidRPr="00FF009C">
        <w:rPr>
          <w:noProof/>
        </w:rPr>
        <w:t xml:space="preserve"> </w:t>
      </w:r>
    </w:p>
    <w:p w14:paraId="2AA4FC20" w14:textId="77777777" w:rsidR="0014309B" w:rsidRPr="00FF009C" w:rsidRDefault="0014309B" w:rsidP="002073EE">
      <w:pPr>
        <w:pStyle w:val="ListBullet1"/>
        <w:numPr>
          <w:ilvl w:val="0"/>
          <w:numId w:val="18"/>
        </w:numPr>
        <w:rPr>
          <w:noProof/>
        </w:rPr>
      </w:pPr>
      <w:r w:rsidRPr="00FF009C">
        <w:rPr>
          <w:noProof/>
        </w:rPr>
        <w:t xml:space="preserve">Istniejące linie budżetowe </w:t>
      </w:r>
    </w:p>
    <w:p w14:paraId="166917FE" w14:textId="38921C21" w:rsidR="0014309B" w:rsidRPr="00FF009C" w:rsidRDefault="0014309B" w:rsidP="0014309B">
      <w:pPr>
        <w:pStyle w:val="Text1"/>
        <w:rPr>
          <w:noProof/>
        </w:rPr>
      </w:pPr>
      <w:r w:rsidRPr="00FF009C">
        <w:rPr>
          <w:noProof/>
          <w:u w:val="single"/>
        </w:rPr>
        <w:t>Według</w:t>
      </w:r>
      <w:r w:rsidRPr="00FF009C">
        <w:rPr>
          <w:noProof/>
        </w:rPr>
        <w:t xml:space="preserve"> działów wieloletnich ram finansowych</w:t>
      </w:r>
      <w:r w:rsidR="00FF009C" w:rsidRPr="00FF009C">
        <w:rPr>
          <w:noProof/>
        </w:rPr>
        <w:t xml:space="preserve"> i</w:t>
      </w:r>
      <w:r w:rsidR="00FF009C">
        <w:rPr>
          <w:noProof/>
        </w:rPr>
        <w:t> </w:t>
      </w:r>
      <w:r w:rsidR="00FF009C" w:rsidRPr="00FF009C">
        <w:rPr>
          <w:noProof/>
        </w:rPr>
        <w:t>lin</w:t>
      </w:r>
      <w:r w:rsidRPr="00FF009C">
        <w:rPr>
          <w:noProof/>
        </w:rPr>
        <w:t>ii budżetowych.</w:t>
      </w:r>
    </w:p>
    <w:tbl>
      <w:tblPr>
        <w:tblW w:w="106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377138" w:rsidRPr="00FF009C" w14:paraId="0B234810" w14:textId="77777777" w:rsidTr="5E6929C4">
        <w:tc>
          <w:tcPr>
            <w:tcW w:w="1080" w:type="dxa"/>
            <w:vMerge w:val="restart"/>
            <w:vAlign w:val="center"/>
          </w:tcPr>
          <w:p w14:paraId="58CA1FDF" w14:textId="77777777" w:rsidR="0014309B" w:rsidRPr="00FF009C" w:rsidRDefault="0014309B" w:rsidP="002467B1">
            <w:pPr>
              <w:spacing w:before="60" w:after="60"/>
              <w:jc w:val="center"/>
              <w:rPr>
                <w:noProof/>
                <w:sz w:val="18"/>
              </w:rPr>
            </w:pPr>
            <w:r w:rsidRPr="00FF009C">
              <w:rPr>
                <w:noProof/>
                <w:sz w:val="18"/>
              </w:rPr>
              <w:t>Dział wieloletnich ram finansowych</w:t>
            </w:r>
          </w:p>
        </w:tc>
        <w:tc>
          <w:tcPr>
            <w:tcW w:w="3960" w:type="dxa"/>
            <w:vAlign w:val="center"/>
          </w:tcPr>
          <w:p w14:paraId="5D359B7B" w14:textId="77777777" w:rsidR="0014309B" w:rsidRPr="00FF009C" w:rsidRDefault="0014309B" w:rsidP="002467B1">
            <w:pPr>
              <w:spacing w:before="60" w:after="60"/>
              <w:jc w:val="center"/>
              <w:rPr>
                <w:noProof/>
              </w:rPr>
            </w:pPr>
            <w:r w:rsidRPr="00FF009C">
              <w:rPr>
                <w:noProof/>
                <w:sz w:val="20"/>
              </w:rPr>
              <w:t>Linia budżetowa</w:t>
            </w:r>
          </w:p>
        </w:tc>
        <w:tc>
          <w:tcPr>
            <w:tcW w:w="1080" w:type="dxa"/>
            <w:vAlign w:val="center"/>
          </w:tcPr>
          <w:p w14:paraId="6C9AA5FB" w14:textId="77777777" w:rsidR="0014309B" w:rsidRPr="00FF009C" w:rsidRDefault="0014309B" w:rsidP="002467B1">
            <w:pPr>
              <w:spacing w:before="60" w:after="60"/>
              <w:jc w:val="center"/>
              <w:rPr>
                <w:noProof/>
              </w:rPr>
            </w:pPr>
            <w:r w:rsidRPr="00FF009C">
              <w:rPr>
                <w:noProof/>
                <w:sz w:val="18"/>
              </w:rPr>
              <w:t xml:space="preserve">Rodzaj </w:t>
            </w:r>
            <w:r w:rsidRPr="00FF009C">
              <w:rPr>
                <w:noProof/>
                <w:sz w:val="22"/>
              </w:rPr>
              <w:br/>
            </w:r>
            <w:r w:rsidRPr="00FF009C">
              <w:rPr>
                <w:noProof/>
                <w:sz w:val="18"/>
              </w:rPr>
              <w:t>wydatków</w:t>
            </w:r>
          </w:p>
        </w:tc>
        <w:tc>
          <w:tcPr>
            <w:tcW w:w="4556" w:type="dxa"/>
            <w:gridSpan w:val="4"/>
            <w:vAlign w:val="center"/>
          </w:tcPr>
          <w:p w14:paraId="03DE8865" w14:textId="77777777" w:rsidR="0014309B" w:rsidRPr="00FF009C" w:rsidRDefault="0014309B" w:rsidP="002467B1">
            <w:pPr>
              <w:spacing w:before="60" w:after="60"/>
              <w:jc w:val="center"/>
              <w:rPr>
                <w:noProof/>
              </w:rPr>
            </w:pPr>
            <w:r w:rsidRPr="00FF009C">
              <w:rPr>
                <w:noProof/>
                <w:sz w:val="20"/>
              </w:rPr>
              <w:t xml:space="preserve">Wkład </w:t>
            </w:r>
          </w:p>
        </w:tc>
      </w:tr>
      <w:tr w:rsidR="00377138" w:rsidRPr="00FF009C" w14:paraId="0D82A2C9" w14:textId="77777777" w:rsidTr="5E6929C4">
        <w:tc>
          <w:tcPr>
            <w:tcW w:w="1080" w:type="dxa"/>
            <w:vMerge/>
            <w:vAlign w:val="center"/>
          </w:tcPr>
          <w:p w14:paraId="63903838" w14:textId="77777777" w:rsidR="0014309B" w:rsidRPr="00FF009C" w:rsidRDefault="0014309B" w:rsidP="002467B1">
            <w:pPr>
              <w:rPr>
                <w:noProof/>
                <w:sz w:val="18"/>
              </w:rPr>
            </w:pPr>
          </w:p>
        </w:tc>
        <w:tc>
          <w:tcPr>
            <w:tcW w:w="3960" w:type="dxa"/>
            <w:vAlign w:val="center"/>
          </w:tcPr>
          <w:p w14:paraId="2EC9B534" w14:textId="77777777" w:rsidR="0014309B" w:rsidRPr="00FF009C" w:rsidRDefault="0014309B" w:rsidP="002467B1">
            <w:pPr>
              <w:rPr>
                <w:noProof/>
              </w:rPr>
            </w:pPr>
            <w:r w:rsidRPr="00FF009C">
              <w:rPr>
                <w:noProof/>
                <w:sz w:val="20"/>
              </w:rPr>
              <w:t xml:space="preserve">Numer </w:t>
            </w:r>
            <w:r w:rsidRPr="00FF009C">
              <w:rPr>
                <w:noProof/>
                <w:sz w:val="22"/>
              </w:rPr>
              <w:br/>
            </w:r>
          </w:p>
        </w:tc>
        <w:tc>
          <w:tcPr>
            <w:tcW w:w="1080" w:type="dxa"/>
            <w:vAlign w:val="center"/>
          </w:tcPr>
          <w:p w14:paraId="0B396535" w14:textId="77777777" w:rsidR="0014309B" w:rsidRPr="00FF009C" w:rsidRDefault="0014309B" w:rsidP="002467B1">
            <w:pPr>
              <w:jc w:val="center"/>
              <w:rPr>
                <w:noProof/>
              </w:rPr>
            </w:pPr>
            <w:r w:rsidRPr="00FF009C">
              <w:rPr>
                <w:noProof/>
                <w:sz w:val="18"/>
              </w:rPr>
              <w:t>Zróżn./ niezróżn.</w:t>
            </w:r>
            <w:r w:rsidRPr="00FF009C">
              <w:rPr>
                <w:rStyle w:val="FootnoteReference0"/>
                <w:noProof/>
                <w:sz w:val="18"/>
                <w:szCs w:val="18"/>
              </w:rPr>
              <w:footnoteReference w:id="41"/>
            </w:r>
          </w:p>
        </w:tc>
        <w:tc>
          <w:tcPr>
            <w:tcW w:w="956" w:type="dxa"/>
            <w:vAlign w:val="center"/>
          </w:tcPr>
          <w:p w14:paraId="33EC6983" w14:textId="77777777" w:rsidR="0014309B" w:rsidRPr="00FF009C" w:rsidRDefault="0014309B" w:rsidP="002467B1">
            <w:pPr>
              <w:jc w:val="center"/>
              <w:rPr>
                <w:noProof/>
              </w:rPr>
            </w:pPr>
            <w:r w:rsidRPr="00FF009C">
              <w:rPr>
                <w:noProof/>
                <w:sz w:val="18"/>
              </w:rPr>
              <w:t>państw EFTA</w:t>
            </w:r>
            <w:r w:rsidRPr="00FF009C">
              <w:rPr>
                <w:rStyle w:val="FootnoteReference0"/>
                <w:noProof/>
                <w:sz w:val="18"/>
                <w:szCs w:val="18"/>
              </w:rPr>
              <w:footnoteReference w:id="42"/>
            </w:r>
          </w:p>
        </w:tc>
        <w:tc>
          <w:tcPr>
            <w:tcW w:w="1080" w:type="dxa"/>
            <w:vAlign w:val="center"/>
          </w:tcPr>
          <w:p w14:paraId="0F989677" w14:textId="723BBDCA" w:rsidR="0014309B" w:rsidRPr="00FF009C" w:rsidRDefault="0014309B" w:rsidP="002467B1">
            <w:pPr>
              <w:jc w:val="center"/>
              <w:rPr>
                <w:noProof/>
                <w:sz w:val="18"/>
              </w:rPr>
            </w:pPr>
            <w:r w:rsidRPr="00FF009C">
              <w:rPr>
                <w:noProof/>
                <w:sz w:val="18"/>
              </w:rPr>
              <w:t>krajów kandydujących</w:t>
            </w:r>
            <w:r w:rsidR="00FF009C" w:rsidRPr="00FF009C">
              <w:rPr>
                <w:noProof/>
                <w:sz w:val="18"/>
              </w:rPr>
              <w:t xml:space="preserve"> i</w:t>
            </w:r>
            <w:r w:rsidR="00FF009C">
              <w:rPr>
                <w:noProof/>
                <w:sz w:val="18"/>
              </w:rPr>
              <w:t> </w:t>
            </w:r>
            <w:r w:rsidR="00FF009C" w:rsidRPr="00FF009C">
              <w:rPr>
                <w:noProof/>
                <w:sz w:val="18"/>
              </w:rPr>
              <w:t>pot</w:t>
            </w:r>
            <w:r w:rsidRPr="00FF009C">
              <w:rPr>
                <w:noProof/>
                <w:sz w:val="18"/>
              </w:rPr>
              <w:t>encjalnych krajów kandydujących</w:t>
            </w:r>
            <w:r w:rsidRPr="00FF009C">
              <w:rPr>
                <w:rStyle w:val="FootnoteReference0"/>
                <w:noProof/>
                <w:sz w:val="18"/>
                <w:szCs w:val="18"/>
              </w:rPr>
              <w:footnoteReference w:id="43"/>
            </w:r>
          </w:p>
        </w:tc>
        <w:tc>
          <w:tcPr>
            <w:tcW w:w="956" w:type="dxa"/>
            <w:vAlign w:val="center"/>
          </w:tcPr>
          <w:p w14:paraId="6BD11ED5" w14:textId="77777777" w:rsidR="0014309B" w:rsidRPr="00FF009C" w:rsidRDefault="0014309B" w:rsidP="002467B1">
            <w:pPr>
              <w:jc w:val="center"/>
              <w:rPr>
                <w:noProof/>
                <w:sz w:val="18"/>
              </w:rPr>
            </w:pPr>
            <w:r w:rsidRPr="00FF009C">
              <w:rPr>
                <w:noProof/>
                <w:sz w:val="18"/>
              </w:rPr>
              <w:t>innych państw trzecich</w:t>
            </w:r>
          </w:p>
        </w:tc>
        <w:tc>
          <w:tcPr>
            <w:tcW w:w="1564" w:type="dxa"/>
            <w:vAlign w:val="center"/>
          </w:tcPr>
          <w:p w14:paraId="5098B5C8" w14:textId="30FCD9C3" w:rsidR="0014309B" w:rsidRPr="00FF009C" w:rsidRDefault="0014309B" w:rsidP="002467B1">
            <w:pPr>
              <w:jc w:val="center"/>
              <w:rPr>
                <w:noProof/>
                <w:sz w:val="16"/>
                <w:szCs w:val="16"/>
              </w:rPr>
            </w:pPr>
            <w:r w:rsidRPr="00FF009C">
              <w:rPr>
                <w:noProof/>
                <w:sz w:val="16"/>
              </w:rPr>
              <w:t>pochodzący</w:t>
            </w:r>
            <w:r w:rsidR="00FF009C" w:rsidRPr="00FF009C">
              <w:rPr>
                <w:noProof/>
                <w:sz w:val="16"/>
              </w:rPr>
              <w:t xml:space="preserve"> z</w:t>
            </w:r>
            <w:r w:rsidR="00FF009C">
              <w:rPr>
                <w:noProof/>
                <w:sz w:val="16"/>
              </w:rPr>
              <w:t> </w:t>
            </w:r>
            <w:r w:rsidR="00FF009C" w:rsidRPr="00FF009C">
              <w:rPr>
                <w:noProof/>
                <w:sz w:val="16"/>
              </w:rPr>
              <w:t>poz</w:t>
            </w:r>
            <w:r w:rsidRPr="00FF009C">
              <w:rPr>
                <w:noProof/>
                <w:sz w:val="16"/>
              </w:rPr>
              <w:t xml:space="preserve">ostałych dochodów przeznaczonych na określony cel </w:t>
            </w:r>
          </w:p>
        </w:tc>
      </w:tr>
      <w:tr w:rsidR="00354128" w:rsidRPr="00FF009C" w14:paraId="2BCDAE00" w14:textId="77777777" w:rsidTr="5E6929C4">
        <w:tc>
          <w:tcPr>
            <w:tcW w:w="1080" w:type="dxa"/>
            <w:vAlign w:val="center"/>
          </w:tcPr>
          <w:p w14:paraId="67ABA66D" w14:textId="77777777" w:rsidR="0014309B" w:rsidRPr="00FF009C" w:rsidRDefault="0014309B" w:rsidP="002467B1">
            <w:pPr>
              <w:jc w:val="center"/>
              <w:rPr>
                <w:noProof/>
              </w:rPr>
            </w:pPr>
            <w:r w:rsidRPr="00FF009C">
              <w:rPr>
                <w:noProof/>
              </w:rPr>
              <w:t>5</w:t>
            </w:r>
          </w:p>
        </w:tc>
        <w:tc>
          <w:tcPr>
            <w:tcW w:w="3960" w:type="dxa"/>
            <w:vAlign w:val="center"/>
          </w:tcPr>
          <w:p w14:paraId="3F1C8049" w14:textId="77777777" w:rsidR="0014309B" w:rsidRPr="00FF009C" w:rsidRDefault="0014309B" w:rsidP="002467B1">
            <w:pPr>
              <w:spacing w:before="60"/>
              <w:rPr>
                <w:noProof/>
              </w:rPr>
            </w:pPr>
            <w:r w:rsidRPr="00FF009C">
              <w:rPr>
                <w:noProof/>
              </w:rPr>
              <w:t>12 10 01</w:t>
            </w:r>
          </w:p>
        </w:tc>
        <w:tc>
          <w:tcPr>
            <w:tcW w:w="1080" w:type="dxa"/>
            <w:vAlign w:val="center"/>
          </w:tcPr>
          <w:p w14:paraId="43723E72" w14:textId="77777777" w:rsidR="0014309B" w:rsidRPr="00FF009C" w:rsidRDefault="0014309B" w:rsidP="002467B1">
            <w:pPr>
              <w:jc w:val="center"/>
              <w:rPr>
                <w:noProof/>
              </w:rPr>
            </w:pPr>
            <w:r w:rsidRPr="00FF009C">
              <w:rPr>
                <w:noProof/>
                <w:sz w:val="18"/>
              </w:rPr>
              <w:t>Zróżn.</w:t>
            </w:r>
          </w:p>
        </w:tc>
        <w:tc>
          <w:tcPr>
            <w:tcW w:w="956" w:type="dxa"/>
            <w:vAlign w:val="center"/>
          </w:tcPr>
          <w:p w14:paraId="10D271A9" w14:textId="77777777" w:rsidR="0014309B" w:rsidRPr="00FF009C" w:rsidRDefault="0014309B" w:rsidP="002467B1">
            <w:pPr>
              <w:jc w:val="center"/>
              <w:rPr>
                <w:noProof/>
                <w:sz w:val="18"/>
                <w:szCs w:val="20"/>
              </w:rPr>
            </w:pPr>
            <w:r w:rsidRPr="00FF009C">
              <w:rPr>
                <w:noProof/>
                <w:sz w:val="18"/>
              </w:rPr>
              <w:t>TAK/ NIE</w:t>
            </w:r>
          </w:p>
        </w:tc>
        <w:tc>
          <w:tcPr>
            <w:tcW w:w="1080" w:type="dxa"/>
            <w:vAlign w:val="center"/>
          </w:tcPr>
          <w:p w14:paraId="745F167D" w14:textId="77777777" w:rsidR="0014309B" w:rsidRPr="00FF009C" w:rsidRDefault="0014309B" w:rsidP="002467B1">
            <w:pPr>
              <w:jc w:val="center"/>
              <w:rPr>
                <w:noProof/>
                <w:sz w:val="18"/>
                <w:szCs w:val="20"/>
              </w:rPr>
            </w:pPr>
            <w:r w:rsidRPr="00FF009C">
              <w:rPr>
                <w:noProof/>
                <w:sz w:val="18"/>
              </w:rPr>
              <w:t>TAK/ NIE</w:t>
            </w:r>
          </w:p>
        </w:tc>
        <w:tc>
          <w:tcPr>
            <w:tcW w:w="956" w:type="dxa"/>
            <w:vAlign w:val="center"/>
          </w:tcPr>
          <w:p w14:paraId="7EEEBF27" w14:textId="77777777" w:rsidR="0014309B" w:rsidRPr="00FF009C" w:rsidRDefault="0014309B" w:rsidP="002467B1">
            <w:pPr>
              <w:jc w:val="center"/>
              <w:rPr>
                <w:noProof/>
                <w:sz w:val="18"/>
                <w:szCs w:val="20"/>
              </w:rPr>
            </w:pPr>
            <w:r w:rsidRPr="00FF009C">
              <w:rPr>
                <w:noProof/>
                <w:sz w:val="18"/>
              </w:rPr>
              <w:t>TAK/ NIE</w:t>
            </w:r>
          </w:p>
        </w:tc>
        <w:tc>
          <w:tcPr>
            <w:tcW w:w="1564" w:type="dxa"/>
            <w:vAlign w:val="center"/>
          </w:tcPr>
          <w:p w14:paraId="28284437" w14:textId="77777777" w:rsidR="0014309B" w:rsidRPr="00FF009C" w:rsidRDefault="0014309B" w:rsidP="002467B1">
            <w:pPr>
              <w:jc w:val="center"/>
              <w:rPr>
                <w:noProof/>
                <w:sz w:val="18"/>
                <w:szCs w:val="20"/>
              </w:rPr>
            </w:pPr>
            <w:r w:rsidRPr="00FF009C">
              <w:rPr>
                <w:noProof/>
                <w:sz w:val="18"/>
              </w:rPr>
              <w:t>TAK/ NIE</w:t>
            </w:r>
          </w:p>
        </w:tc>
      </w:tr>
    </w:tbl>
    <w:p w14:paraId="0C98FC70" w14:textId="77777777" w:rsidR="0014309B" w:rsidRPr="00FF009C" w:rsidRDefault="0014309B" w:rsidP="0014309B">
      <w:pPr>
        <w:rPr>
          <w:noProof/>
        </w:rPr>
        <w:sectPr w:rsidR="0014309B" w:rsidRPr="00FF009C" w:rsidSect="004E3534">
          <w:pgSz w:w="12240" w:h="15840"/>
          <w:pgMar w:top="794" w:right="907" w:bottom="851" w:left="1361" w:header="510" w:footer="454" w:gutter="0"/>
          <w:cols w:space="720"/>
          <w:docGrid w:linePitch="326"/>
        </w:sectPr>
      </w:pPr>
    </w:p>
    <w:p w14:paraId="6418FE45" w14:textId="77777777" w:rsidR="0014309B" w:rsidRPr="00FF009C" w:rsidRDefault="0014309B">
      <w:pPr>
        <w:pStyle w:val="ManualHeading2"/>
        <w:rPr>
          <w:noProof/>
        </w:rPr>
      </w:pPr>
      <w:bookmarkStart w:id="60" w:name="_Toc514938685"/>
      <w:bookmarkStart w:id="61" w:name="_Toc155952167"/>
      <w:r w:rsidRPr="00FF009C">
        <w:rPr>
          <w:noProof/>
        </w:rPr>
        <w:t>3.2.</w:t>
      </w:r>
      <w:r w:rsidRPr="00FF009C">
        <w:rPr>
          <w:noProof/>
        </w:rPr>
        <w:tab/>
        <w:t>Szacunkowy wpływ na wydatki</w:t>
      </w:r>
      <w:bookmarkEnd w:id="60"/>
      <w:bookmarkEnd w:id="61"/>
      <w:r w:rsidRPr="00FF009C">
        <w:rPr>
          <w:noProof/>
        </w:rPr>
        <w:t xml:space="preserve"> </w:t>
      </w:r>
    </w:p>
    <w:p w14:paraId="2DDF9601" w14:textId="77777777" w:rsidR="0014309B" w:rsidRPr="00FF009C" w:rsidRDefault="0014309B">
      <w:pPr>
        <w:pStyle w:val="ManualHeading3"/>
        <w:rPr>
          <w:noProof/>
        </w:rPr>
      </w:pPr>
      <w:bookmarkStart w:id="62" w:name="_Toc514938686"/>
      <w:bookmarkStart w:id="63" w:name="_Toc155952168"/>
      <w:r w:rsidRPr="00FF009C">
        <w:rPr>
          <w:noProof/>
        </w:rPr>
        <w:t>3.2.1.</w:t>
      </w:r>
      <w:r w:rsidRPr="00FF009C">
        <w:rPr>
          <w:noProof/>
        </w:rPr>
        <w:tab/>
        <w:t>Synteza szacunkowego wpływu na wydatki</w:t>
      </w:r>
      <w:bookmarkEnd w:id="62"/>
      <w:bookmarkEnd w:id="63"/>
      <w:r w:rsidRPr="00FF009C">
        <w:rPr>
          <w:noProof/>
        </w:rPr>
        <w:t xml:space="preserve"> </w:t>
      </w:r>
    </w:p>
    <w:p w14:paraId="758A5E48" w14:textId="77777777" w:rsidR="0014309B" w:rsidRPr="00FF009C" w:rsidRDefault="0014309B" w:rsidP="0014309B">
      <w:pPr>
        <w:ind w:firstLine="720"/>
        <w:rPr>
          <w:noProof/>
          <w:sz w:val="20"/>
        </w:rPr>
      </w:pPr>
      <w:r w:rsidRPr="00FF009C">
        <w:rPr>
          <w:noProof/>
          <w:sz w:val="20"/>
        </w:rPr>
        <w:t>w mln EUR (do trzech miejsc po przecinku)</w:t>
      </w:r>
    </w:p>
    <w:tbl>
      <w:tblPr>
        <w:tblStyle w:val="TableGrid"/>
        <w:tblW w:w="0" w:type="auto"/>
        <w:jc w:val="center"/>
        <w:tblLook w:val="04A0" w:firstRow="1" w:lastRow="0" w:firstColumn="1" w:lastColumn="0" w:noHBand="0" w:noVBand="1"/>
      </w:tblPr>
      <w:tblGrid>
        <w:gridCol w:w="3901"/>
        <w:gridCol w:w="3460"/>
        <w:gridCol w:w="995"/>
        <w:gridCol w:w="1316"/>
        <w:gridCol w:w="1316"/>
        <w:gridCol w:w="1316"/>
        <w:gridCol w:w="1316"/>
      </w:tblGrid>
      <w:tr w:rsidR="000717DA" w:rsidRPr="00FF009C" w14:paraId="0805DFF6" w14:textId="77777777" w:rsidTr="00977077">
        <w:trPr>
          <w:trHeight w:val="585"/>
          <w:jc w:val="center"/>
        </w:trPr>
        <w:tc>
          <w:tcPr>
            <w:tcW w:w="3901" w:type="dxa"/>
            <w:vAlign w:val="center"/>
            <w:hideMark/>
          </w:tcPr>
          <w:p w14:paraId="584FD9A7" w14:textId="77777777" w:rsidR="000717DA" w:rsidRPr="00FF009C" w:rsidRDefault="000717DA" w:rsidP="00977077">
            <w:pPr>
              <w:spacing w:before="0" w:after="0"/>
              <w:jc w:val="center"/>
              <w:rPr>
                <w:b/>
                <w:bCs/>
                <w:noProof/>
                <w:sz w:val="22"/>
                <w:szCs w:val="22"/>
                <w:lang w:eastAsia="en-IE"/>
              </w:rPr>
            </w:pPr>
          </w:p>
        </w:tc>
        <w:tc>
          <w:tcPr>
            <w:tcW w:w="3460" w:type="dxa"/>
            <w:vAlign w:val="center"/>
            <w:hideMark/>
          </w:tcPr>
          <w:p w14:paraId="0A5DD248" w14:textId="77777777" w:rsidR="000717DA" w:rsidRPr="00FF009C" w:rsidRDefault="000717DA" w:rsidP="00977077">
            <w:pPr>
              <w:spacing w:before="0" w:after="0"/>
              <w:jc w:val="center"/>
              <w:rPr>
                <w:b/>
                <w:bCs/>
                <w:noProof/>
                <w:sz w:val="22"/>
                <w:szCs w:val="22"/>
                <w:lang w:eastAsia="en-IE"/>
              </w:rPr>
            </w:pPr>
          </w:p>
        </w:tc>
        <w:tc>
          <w:tcPr>
            <w:tcW w:w="6259" w:type="dxa"/>
            <w:gridSpan w:val="5"/>
            <w:vAlign w:val="center"/>
            <w:hideMark/>
          </w:tcPr>
          <w:p w14:paraId="4C58DC3D" w14:textId="77777777" w:rsidR="000717DA" w:rsidRPr="00FF009C" w:rsidRDefault="000717DA" w:rsidP="00977077">
            <w:pPr>
              <w:spacing w:before="0" w:after="0"/>
              <w:jc w:val="center"/>
              <w:rPr>
                <w:b/>
                <w:bCs/>
                <w:noProof/>
                <w:sz w:val="22"/>
                <w:szCs w:val="22"/>
                <w:lang w:eastAsia="en-IE"/>
              </w:rPr>
            </w:pPr>
          </w:p>
        </w:tc>
      </w:tr>
      <w:tr w:rsidR="000717DA" w:rsidRPr="00FF009C" w14:paraId="561D9D40" w14:textId="77777777" w:rsidTr="00977077">
        <w:trPr>
          <w:trHeight w:val="585"/>
          <w:jc w:val="center"/>
        </w:trPr>
        <w:tc>
          <w:tcPr>
            <w:tcW w:w="3901" w:type="dxa"/>
            <w:vAlign w:val="center"/>
            <w:hideMark/>
          </w:tcPr>
          <w:p w14:paraId="646DA500" w14:textId="77777777" w:rsidR="000717DA" w:rsidRPr="00FF009C" w:rsidRDefault="000717DA" w:rsidP="00977077">
            <w:pPr>
              <w:spacing w:before="0" w:after="0"/>
              <w:jc w:val="center"/>
              <w:rPr>
                <w:b/>
                <w:bCs/>
                <w:noProof/>
                <w:sz w:val="22"/>
                <w:szCs w:val="22"/>
              </w:rPr>
            </w:pPr>
            <w:r w:rsidRPr="00FF009C">
              <w:rPr>
                <w:b/>
                <w:noProof/>
                <w:sz w:val="22"/>
              </w:rPr>
              <w:t>Dział wieloletnich ram finansowych</w:t>
            </w:r>
          </w:p>
        </w:tc>
        <w:tc>
          <w:tcPr>
            <w:tcW w:w="3460" w:type="dxa"/>
            <w:vAlign w:val="center"/>
            <w:hideMark/>
          </w:tcPr>
          <w:p w14:paraId="5D5FD986" w14:textId="77777777" w:rsidR="000717DA" w:rsidRPr="00FF009C" w:rsidRDefault="000717DA" w:rsidP="00977077">
            <w:pPr>
              <w:spacing w:before="0" w:after="0"/>
              <w:jc w:val="center"/>
              <w:rPr>
                <w:b/>
                <w:bCs/>
                <w:noProof/>
                <w:sz w:val="22"/>
                <w:szCs w:val="22"/>
              </w:rPr>
            </w:pPr>
            <w:r w:rsidRPr="00FF009C">
              <w:rPr>
                <w:b/>
                <w:noProof/>
                <w:sz w:val="22"/>
              </w:rPr>
              <w:t>5</w:t>
            </w:r>
          </w:p>
        </w:tc>
        <w:tc>
          <w:tcPr>
            <w:tcW w:w="6259" w:type="dxa"/>
            <w:gridSpan w:val="5"/>
            <w:vAlign w:val="center"/>
            <w:hideMark/>
          </w:tcPr>
          <w:p w14:paraId="4128D26E" w14:textId="3B7A2DF7" w:rsidR="000717DA" w:rsidRPr="00FF009C" w:rsidRDefault="000717DA" w:rsidP="00977077">
            <w:pPr>
              <w:spacing w:before="0" w:after="0"/>
              <w:jc w:val="center"/>
              <w:rPr>
                <w:b/>
                <w:bCs/>
                <w:noProof/>
                <w:sz w:val="22"/>
                <w:szCs w:val="22"/>
              </w:rPr>
            </w:pPr>
            <w:r w:rsidRPr="00FF009C">
              <w:rPr>
                <w:b/>
                <w:noProof/>
                <w:sz w:val="22"/>
              </w:rPr>
              <w:t>Bezpieczeństwo</w:t>
            </w:r>
            <w:r w:rsidR="00FF009C" w:rsidRPr="00FF009C">
              <w:rPr>
                <w:b/>
                <w:noProof/>
                <w:sz w:val="22"/>
              </w:rPr>
              <w:t xml:space="preserve"> i</w:t>
            </w:r>
            <w:r w:rsidR="00FF009C">
              <w:rPr>
                <w:b/>
                <w:noProof/>
                <w:sz w:val="22"/>
              </w:rPr>
              <w:t> </w:t>
            </w:r>
            <w:r w:rsidR="00FF009C" w:rsidRPr="00FF009C">
              <w:rPr>
                <w:b/>
                <w:noProof/>
                <w:sz w:val="22"/>
              </w:rPr>
              <w:t>obr</w:t>
            </w:r>
            <w:r w:rsidRPr="00FF009C">
              <w:rPr>
                <w:b/>
                <w:noProof/>
                <w:sz w:val="22"/>
              </w:rPr>
              <w:t>ona</w:t>
            </w:r>
          </w:p>
        </w:tc>
      </w:tr>
      <w:tr w:rsidR="000717DA" w:rsidRPr="00FF009C" w14:paraId="3A6FB739" w14:textId="77777777" w:rsidTr="00977077">
        <w:trPr>
          <w:trHeight w:val="300"/>
          <w:jc w:val="center"/>
        </w:trPr>
        <w:tc>
          <w:tcPr>
            <w:tcW w:w="3901" w:type="dxa"/>
            <w:hideMark/>
          </w:tcPr>
          <w:p w14:paraId="4926918B" w14:textId="77777777" w:rsidR="000717DA" w:rsidRPr="00FF009C" w:rsidRDefault="000717DA">
            <w:pPr>
              <w:spacing w:before="60" w:after="60"/>
              <w:jc w:val="center"/>
              <w:rPr>
                <w:bCs/>
                <w:noProof/>
                <w:sz w:val="22"/>
              </w:rPr>
            </w:pPr>
            <w:r w:rsidRPr="00FF009C">
              <w:rPr>
                <w:noProof/>
                <w:sz w:val="22"/>
              </w:rPr>
              <w:t>Europol</w:t>
            </w:r>
          </w:p>
        </w:tc>
        <w:tc>
          <w:tcPr>
            <w:tcW w:w="3460" w:type="dxa"/>
            <w:hideMark/>
          </w:tcPr>
          <w:p w14:paraId="67AA4D8C" w14:textId="77777777" w:rsidR="000717DA" w:rsidRPr="00FF009C" w:rsidRDefault="000717DA">
            <w:pPr>
              <w:spacing w:before="60" w:after="60"/>
              <w:jc w:val="center"/>
              <w:rPr>
                <w:b/>
                <w:noProof/>
                <w:sz w:val="22"/>
              </w:rPr>
            </w:pPr>
            <w:r w:rsidRPr="00FF009C">
              <w:rPr>
                <w:b/>
                <w:noProof/>
                <w:sz w:val="22"/>
              </w:rPr>
              <w:t> </w:t>
            </w:r>
          </w:p>
        </w:tc>
        <w:tc>
          <w:tcPr>
            <w:tcW w:w="995" w:type="dxa"/>
            <w:noWrap/>
            <w:hideMark/>
          </w:tcPr>
          <w:p w14:paraId="0B6DDBB7" w14:textId="77777777" w:rsidR="000717DA" w:rsidRPr="00FF009C" w:rsidRDefault="000717DA">
            <w:pPr>
              <w:spacing w:before="60" w:after="60"/>
              <w:jc w:val="center"/>
              <w:rPr>
                <w:b/>
                <w:noProof/>
                <w:sz w:val="20"/>
              </w:rPr>
            </w:pPr>
            <w:r w:rsidRPr="00FF009C">
              <w:rPr>
                <w:b/>
                <w:noProof/>
                <w:sz w:val="20"/>
              </w:rPr>
              <w:t>2024</w:t>
            </w:r>
          </w:p>
        </w:tc>
        <w:tc>
          <w:tcPr>
            <w:tcW w:w="1316" w:type="dxa"/>
            <w:noWrap/>
            <w:hideMark/>
          </w:tcPr>
          <w:p w14:paraId="1092A585" w14:textId="77777777" w:rsidR="000717DA" w:rsidRPr="00FF009C" w:rsidRDefault="000717DA">
            <w:pPr>
              <w:spacing w:before="60" w:after="60"/>
              <w:jc w:val="center"/>
              <w:rPr>
                <w:b/>
                <w:noProof/>
                <w:sz w:val="20"/>
              </w:rPr>
            </w:pPr>
            <w:r w:rsidRPr="00FF009C">
              <w:rPr>
                <w:b/>
                <w:noProof/>
                <w:sz w:val="20"/>
              </w:rPr>
              <w:t>2025</w:t>
            </w:r>
          </w:p>
        </w:tc>
        <w:tc>
          <w:tcPr>
            <w:tcW w:w="1316" w:type="dxa"/>
            <w:noWrap/>
            <w:hideMark/>
          </w:tcPr>
          <w:p w14:paraId="64E48EF8" w14:textId="77777777" w:rsidR="000717DA" w:rsidRPr="00FF009C" w:rsidRDefault="000717DA">
            <w:pPr>
              <w:spacing w:before="60" w:after="60"/>
              <w:jc w:val="center"/>
              <w:rPr>
                <w:b/>
                <w:noProof/>
                <w:sz w:val="20"/>
              </w:rPr>
            </w:pPr>
            <w:r w:rsidRPr="00FF009C">
              <w:rPr>
                <w:b/>
                <w:noProof/>
                <w:sz w:val="20"/>
              </w:rPr>
              <w:t>2026</w:t>
            </w:r>
          </w:p>
        </w:tc>
        <w:tc>
          <w:tcPr>
            <w:tcW w:w="1316" w:type="dxa"/>
            <w:noWrap/>
            <w:hideMark/>
          </w:tcPr>
          <w:p w14:paraId="2F4DAE04" w14:textId="77777777" w:rsidR="000717DA" w:rsidRPr="00FF009C" w:rsidRDefault="000717DA">
            <w:pPr>
              <w:spacing w:before="60" w:after="60"/>
              <w:jc w:val="center"/>
              <w:rPr>
                <w:b/>
                <w:noProof/>
                <w:sz w:val="20"/>
              </w:rPr>
            </w:pPr>
            <w:r w:rsidRPr="00FF009C">
              <w:rPr>
                <w:b/>
                <w:noProof/>
                <w:sz w:val="20"/>
              </w:rPr>
              <w:t>2027</w:t>
            </w:r>
          </w:p>
        </w:tc>
        <w:tc>
          <w:tcPr>
            <w:tcW w:w="1316" w:type="dxa"/>
            <w:noWrap/>
            <w:hideMark/>
          </w:tcPr>
          <w:p w14:paraId="521994D6" w14:textId="77777777" w:rsidR="000717DA" w:rsidRPr="00FF009C" w:rsidRDefault="000717DA">
            <w:pPr>
              <w:spacing w:before="60" w:after="60"/>
              <w:jc w:val="center"/>
              <w:rPr>
                <w:b/>
                <w:bCs/>
                <w:noProof/>
                <w:sz w:val="20"/>
              </w:rPr>
            </w:pPr>
            <w:r w:rsidRPr="00FF009C">
              <w:rPr>
                <w:b/>
                <w:noProof/>
                <w:sz w:val="20"/>
              </w:rPr>
              <w:t>OGÓŁEM</w:t>
            </w:r>
          </w:p>
        </w:tc>
      </w:tr>
      <w:tr w:rsidR="000717DA" w:rsidRPr="00FF009C" w14:paraId="7DA4BB6A" w14:textId="77777777" w:rsidTr="00977077">
        <w:trPr>
          <w:trHeight w:val="300"/>
          <w:jc w:val="center"/>
        </w:trPr>
        <w:tc>
          <w:tcPr>
            <w:tcW w:w="3901" w:type="dxa"/>
            <w:vMerge w:val="restart"/>
            <w:hideMark/>
          </w:tcPr>
          <w:p w14:paraId="6AD4EB9B" w14:textId="77777777" w:rsidR="000717DA" w:rsidRPr="00FF009C" w:rsidRDefault="000717DA">
            <w:pPr>
              <w:spacing w:before="60" w:after="60"/>
              <w:jc w:val="center"/>
              <w:rPr>
                <w:b/>
                <w:bCs/>
                <w:noProof/>
                <w:sz w:val="22"/>
              </w:rPr>
            </w:pPr>
            <w:r w:rsidRPr="00FF009C">
              <w:rPr>
                <w:b/>
                <w:noProof/>
                <w:sz w:val="22"/>
              </w:rPr>
              <w:t>OGÓŁEM środki dla Europolu</w:t>
            </w:r>
          </w:p>
        </w:tc>
        <w:tc>
          <w:tcPr>
            <w:tcW w:w="3460" w:type="dxa"/>
            <w:hideMark/>
          </w:tcPr>
          <w:p w14:paraId="055F9AB7" w14:textId="77777777" w:rsidR="000717DA" w:rsidRPr="00FF009C" w:rsidRDefault="000717DA">
            <w:pPr>
              <w:spacing w:before="60" w:after="60"/>
              <w:jc w:val="center"/>
              <w:rPr>
                <w:bCs/>
                <w:noProof/>
                <w:sz w:val="18"/>
                <w:szCs w:val="18"/>
              </w:rPr>
            </w:pPr>
            <w:r w:rsidRPr="00FF009C">
              <w:rPr>
                <w:noProof/>
                <w:sz w:val="18"/>
              </w:rPr>
              <w:t>Środki na zobowiązania</w:t>
            </w:r>
          </w:p>
        </w:tc>
        <w:tc>
          <w:tcPr>
            <w:tcW w:w="995" w:type="dxa"/>
            <w:noWrap/>
            <w:hideMark/>
          </w:tcPr>
          <w:p w14:paraId="3FBF0645" w14:textId="77777777" w:rsidR="000717DA" w:rsidRPr="00FF009C" w:rsidRDefault="000717DA">
            <w:pPr>
              <w:spacing w:before="60" w:after="60"/>
              <w:jc w:val="center"/>
              <w:rPr>
                <w:bCs/>
                <w:noProof/>
                <w:sz w:val="20"/>
              </w:rPr>
            </w:pPr>
            <w:r w:rsidRPr="00FF009C">
              <w:rPr>
                <w:noProof/>
                <w:sz w:val="20"/>
              </w:rPr>
              <w:t>-</w:t>
            </w:r>
          </w:p>
        </w:tc>
        <w:tc>
          <w:tcPr>
            <w:tcW w:w="1316" w:type="dxa"/>
            <w:noWrap/>
            <w:hideMark/>
          </w:tcPr>
          <w:p w14:paraId="1E6049DA" w14:textId="77777777" w:rsidR="000717DA" w:rsidRPr="00FF009C" w:rsidRDefault="000717DA">
            <w:pPr>
              <w:spacing w:before="60" w:after="60"/>
              <w:jc w:val="right"/>
              <w:rPr>
                <w:bCs/>
                <w:noProof/>
                <w:sz w:val="20"/>
              </w:rPr>
            </w:pPr>
            <w:r w:rsidRPr="00FF009C">
              <w:rPr>
                <w:noProof/>
                <w:sz w:val="20"/>
              </w:rPr>
              <w:t>15,758</w:t>
            </w:r>
          </w:p>
        </w:tc>
        <w:tc>
          <w:tcPr>
            <w:tcW w:w="1316" w:type="dxa"/>
            <w:noWrap/>
            <w:hideMark/>
          </w:tcPr>
          <w:p w14:paraId="6EFE004B" w14:textId="77777777" w:rsidR="000717DA" w:rsidRPr="00FF009C" w:rsidRDefault="000717DA">
            <w:pPr>
              <w:spacing w:before="60" w:after="60"/>
              <w:jc w:val="right"/>
              <w:rPr>
                <w:bCs/>
                <w:noProof/>
                <w:sz w:val="20"/>
              </w:rPr>
            </w:pPr>
            <w:r w:rsidRPr="00FF009C">
              <w:rPr>
                <w:noProof/>
                <w:sz w:val="20"/>
              </w:rPr>
              <w:t>19,678</w:t>
            </w:r>
          </w:p>
        </w:tc>
        <w:tc>
          <w:tcPr>
            <w:tcW w:w="1316" w:type="dxa"/>
            <w:noWrap/>
            <w:hideMark/>
          </w:tcPr>
          <w:p w14:paraId="215E1DC2" w14:textId="77777777" w:rsidR="000717DA" w:rsidRPr="00FF009C" w:rsidRDefault="000717DA">
            <w:pPr>
              <w:spacing w:before="60" w:after="60"/>
              <w:jc w:val="right"/>
              <w:rPr>
                <w:bCs/>
                <w:noProof/>
                <w:sz w:val="20"/>
              </w:rPr>
            </w:pPr>
            <w:r w:rsidRPr="00FF009C">
              <w:rPr>
                <w:noProof/>
                <w:sz w:val="20"/>
              </w:rPr>
              <w:t>13,457</w:t>
            </w:r>
          </w:p>
        </w:tc>
        <w:tc>
          <w:tcPr>
            <w:tcW w:w="1316" w:type="dxa"/>
            <w:noWrap/>
            <w:hideMark/>
          </w:tcPr>
          <w:p w14:paraId="32A84D28" w14:textId="77777777" w:rsidR="000717DA" w:rsidRPr="00FF009C" w:rsidRDefault="000717DA">
            <w:pPr>
              <w:spacing w:before="60" w:after="60"/>
              <w:jc w:val="right"/>
              <w:rPr>
                <w:b/>
                <w:bCs/>
                <w:noProof/>
                <w:sz w:val="20"/>
              </w:rPr>
            </w:pPr>
            <w:r w:rsidRPr="00FF009C">
              <w:rPr>
                <w:b/>
                <w:noProof/>
                <w:sz w:val="20"/>
              </w:rPr>
              <w:t>48,892</w:t>
            </w:r>
          </w:p>
        </w:tc>
      </w:tr>
      <w:tr w:rsidR="000717DA" w:rsidRPr="00FF009C" w14:paraId="6723568F" w14:textId="77777777" w:rsidTr="00977077">
        <w:trPr>
          <w:trHeight w:val="300"/>
          <w:jc w:val="center"/>
        </w:trPr>
        <w:tc>
          <w:tcPr>
            <w:tcW w:w="3901" w:type="dxa"/>
            <w:vMerge/>
            <w:hideMark/>
          </w:tcPr>
          <w:p w14:paraId="33B6C114" w14:textId="77777777" w:rsidR="000717DA" w:rsidRPr="00FF009C" w:rsidRDefault="000717DA">
            <w:pPr>
              <w:spacing w:before="60" w:after="60"/>
              <w:jc w:val="center"/>
              <w:rPr>
                <w:b/>
                <w:bCs/>
                <w:noProof/>
                <w:sz w:val="22"/>
              </w:rPr>
            </w:pPr>
          </w:p>
        </w:tc>
        <w:tc>
          <w:tcPr>
            <w:tcW w:w="3460" w:type="dxa"/>
            <w:hideMark/>
          </w:tcPr>
          <w:p w14:paraId="0519E194" w14:textId="77777777" w:rsidR="000717DA" w:rsidRPr="00FF009C" w:rsidRDefault="000717DA">
            <w:pPr>
              <w:spacing w:before="60" w:after="60"/>
              <w:jc w:val="center"/>
              <w:rPr>
                <w:bCs/>
                <w:noProof/>
                <w:sz w:val="18"/>
                <w:szCs w:val="18"/>
              </w:rPr>
            </w:pPr>
            <w:r w:rsidRPr="00FF009C">
              <w:rPr>
                <w:noProof/>
                <w:sz w:val="18"/>
              </w:rPr>
              <w:t>Środki na płatności</w:t>
            </w:r>
          </w:p>
        </w:tc>
        <w:tc>
          <w:tcPr>
            <w:tcW w:w="995" w:type="dxa"/>
            <w:noWrap/>
            <w:hideMark/>
          </w:tcPr>
          <w:p w14:paraId="4CEF9EEA" w14:textId="77777777" w:rsidR="000717DA" w:rsidRPr="00FF009C" w:rsidRDefault="000717DA">
            <w:pPr>
              <w:spacing w:before="60" w:after="60"/>
              <w:jc w:val="center"/>
              <w:rPr>
                <w:bCs/>
                <w:noProof/>
                <w:sz w:val="20"/>
              </w:rPr>
            </w:pPr>
            <w:r w:rsidRPr="00FF009C">
              <w:rPr>
                <w:noProof/>
                <w:sz w:val="20"/>
              </w:rPr>
              <w:t>-</w:t>
            </w:r>
          </w:p>
        </w:tc>
        <w:tc>
          <w:tcPr>
            <w:tcW w:w="1316" w:type="dxa"/>
            <w:noWrap/>
            <w:hideMark/>
          </w:tcPr>
          <w:p w14:paraId="1FB06109" w14:textId="77777777" w:rsidR="000717DA" w:rsidRPr="00FF009C" w:rsidRDefault="000717DA">
            <w:pPr>
              <w:spacing w:before="60" w:after="60"/>
              <w:jc w:val="right"/>
              <w:rPr>
                <w:bCs/>
                <w:noProof/>
                <w:sz w:val="20"/>
              </w:rPr>
            </w:pPr>
            <w:r w:rsidRPr="00FF009C">
              <w:rPr>
                <w:noProof/>
                <w:sz w:val="20"/>
              </w:rPr>
              <w:t xml:space="preserve">15,758 </w:t>
            </w:r>
          </w:p>
        </w:tc>
        <w:tc>
          <w:tcPr>
            <w:tcW w:w="1316" w:type="dxa"/>
            <w:noWrap/>
            <w:hideMark/>
          </w:tcPr>
          <w:p w14:paraId="4C874A92" w14:textId="77777777" w:rsidR="000717DA" w:rsidRPr="00FF009C" w:rsidRDefault="000717DA">
            <w:pPr>
              <w:spacing w:before="60" w:after="60"/>
              <w:jc w:val="right"/>
              <w:rPr>
                <w:bCs/>
                <w:noProof/>
                <w:sz w:val="20"/>
              </w:rPr>
            </w:pPr>
            <w:r w:rsidRPr="00FF009C">
              <w:rPr>
                <w:noProof/>
                <w:sz w:val="20"/>
              </w:rPr>
              <w:t>19,678</w:t>
            </w:r>
          </w:p>
        </w:tc>
        <w:tc>
          <w:tcPr>
            <w:tcW w:w="1316" w:type="dxa"/>
            <w:noWrap/>
            <w:hideMark/>
          </w:tcPr>
          <w:p w14:paraId="7D4494A2" w14:textId="77777777" w:rsidR="000717DA" w:rsidRPr="00FF009C" w:rsidRDefault="000717DA">
            <w:pPr>
              <w:spacing w:before="60" w:after="60"/>
              <w:jc w:val="right"/>
              <w:rPr>
                <w:bCs/>
                <w:noProof/>
                <w:sz w:val="20"/>
              </w:rPr>
            </w:pPr>
            <w:r w:rsidRPr="00FF009C">
              <w:rPr>
                <w:noProof/>
                <w:sz w:val="20"/>
              </w:rPr>
              <w:t>13,457</w:t>
            </w:r>
          </w:p>
        </w:tc>
        <w:tc>
          <w:tcPr>
            <w:tcW w:w="1316" w:type="dxa"/>
            <w:noWrap/>
            <w:hideMark/>
          </w:tcPr>
          <w:p w14:paraId="4B0703A3" w14:textId="77777777" w:rsidR="000717DA" w:rsidRPr="00FF009C" w:rsidRDefault="000717DA">
            <w:pPr>
              <w:spacing w:before="60" w:after="60"/>
              <w:jc w:val="right"/>
              <w:rPr>
                <w:b/>
                <w:bCs/>
                <w:noProof/>
                <w:sz w:val="20"/>
              </w:rPr>
            </w:pPr>
            <w:r w:rsidRPr="00FF009C">
              <w:rPr>
                <w:b/>
                <w:noProof/>
                <w:sz w:val="20"/>
              </w:rPr>
              <w:t>48,892</w:t>
            </w:r>
          </w:p>
        </w:tc>
      </w:tr>
    </w:tbl>
    <w:tbl>
      <w:tblPr>
        <w:tblW w:w="12800" w:type="dxa"/>
        <w:jc w:val="center"/>
        <w:tblLook w:val="04A0" w:firstRow="1" w:lastRow="0" w:firstColumn="1" w:lastColumn="0" w:noHBand="0" w:noVBand="1"/>
      </w:tblPr>
      <w:tblGrid>
        <w:gridCol w:w="3899"/>
        <w:gridCol w:w="3460"/>
        <w:gridCol w:w="1067"/>
        <w:gridCol w:w="1067"/>
        <w:gridCol w:w="1067"/>
        <w:gridCol w:w="1067"/>
        <w:gridCol w:w="1173"/>
      </w:tblGrid>
      <w:tr w:rsidR="007502D3" w:rsidRPr="00FF009C" w14:paraId="10F7993B" w14:textId="77777777">
        <w:trPr>
          <w:trHeight w:val="567"/>
          <w:jc w:val="center"/>
        </w:trPr>
        <w:tc>
          <w:tcPr>
            <w:tcW w:w="3899" w:type="dxa"/>
            <w:tcBorders>
              <w:top w:val="single" w:sz="4" w:space="0" w:color="auto"/>
              <w:left w:val="single" w:sz="4" w:space="0" w:color="auto"/>
              <w:bottom w:val="single" w:sz="4" w:space="0" w:color="auto"/>
              <w:right w:val="single" w:sz="4" w:space="0" w:color="auto"/>
            </w:tcBorders>
            <w:shd w:val="clear" w:color="auto" w:fill="F1F1F1"/>
            <w:vAlign w:val="center"/>
            <w:hideMark/>
          </w:tcPr>
          <w:p w14:paraId="51BC9DB1" w14:textId="77777777" w:rsidR="000717DA" w:rsidRPr="00FF009C" w:rsidRDefault="000717DA" w:rsidP="00977077">
            <w:pPr>
              <w:spacing w:before="0" w:after="0"/>
              <w:jc w:val="center"/>
              <w:rPr>
                <w:rFonts w:eastAsia="Times New Roman"/>
                <w:b/>
                <w:bCs/>
                <w:noProof/>
                <w:sz w:val="22"/>
              </w:rPr>
            </w:pPr>
            <w:r w:rsidRPr="00FF009C">
              <w:rPr>
                <w:b/>
                <w:noProof/>
                <w:sz w:val="22"/>
              </w:rPr>
              <w:t xml:space="preserve">Dział wieloletnich ram finansowych </w:t>
            </w:r>
          </w:p>
        </w:tc>
        <w:tc>
          <w:tcPr>
            <w:tcW w:w="3460" w:type="dxa"/>
            <w:tcBorders>
              <w:top w:val="single" w:sz="4" w:space="0" w:color="auto"/>
              <w:left w:val="nil"/>
              <w:bottom w:val="single" w:sz="4" w:space="0" w:color="auto"/>
              <w:right w:val="single" w:sz="4" w:space="0" w:color="auto"/>
            </w:tcBorders>
            <w:shd w:val="clear" w:color="auto" w:fill="F1F1F1"/>
            <w:vAlign w:val="center"/>
            <w:hideMark/>
          </w:tcPr>
          <w:p w14:paraId="4BFA5ECD" w14:textId="77777777" w:rsidR="000717DA" w:rsidRPr="00FF009C" w:rsidRDefault="000717DA" w:rsidP="00977077">
            <w:pPr>
              <w:spacing w:before="0" w:after="0"/>
              <w:jc w:val="center"/>
              <w:rPr>
                <w:rFonts w:eastAsia="Times New Roman"/>
                <w:b/>
                <w:bCs/>
                <w:noProof/>
                <w:sz w:val="22"/>
              </w:rPr>
            </w:pPr>
            <w:r w:rsidRPr="00FF009C">
              <w:rPr>
                <w:b/>
                <w:noProof/>
                <w:sz w:val="22"/>
              </w:rPr>
              <w:t>7</w:t>
            </w:r>
          </w:p>
        </w:tc>
        <w:tc>
          <w:tcPr>
            <w:tcW w:w="5441" w:type="dxa"/>
            <w:gridSpan w:val="5"/>
            <w:tcBorders>
              <w:top w:val="single" w:sz="4" w:space="0" w:color="auto"/>
              <w:left w:val="nil"/>
              <w:bottom w:val="single" w:sz="4" w:space="0" w:color="auto"/>
              <w:right w:val="single" w:sz="4" w:space="0" w:color="auto"/>
            </w:tcBorders>
            <w:shd w:val="clear" w:color="auto" w:fill="auto"/>
            <w:vAlign w:val="center"/>
            <w:hideMark/>
          </w:tcPr>
          <w:p w14:paraId="5F13AD98" w14:textId="77777777" w:rsidR="000717DA" w:rsidRPr="00FF009C" w:rsidRDefault="000717DA">
            <w:pPr>
              <w:spacing w:before="0" w:after="0"/>
              <w:jc w:val="center"/>
              <w:rPr>
                <w:rFonts w:eastAsia="Times New Roman"/>
                <w:b/>
                <w:bCs/>
                <w:noProof/>
                <w:sz w:val="22"/>
              </w:rPr>
            </w:pPr>
            <w:r w:rsidRPr="00FF009C">
              <w:rPr>
                <w:noProof/>
                <w:sz w:val="22"/>
              </w:rPr>
              <w:t>Wydatki administracyjne</w:t>
            </w:r>
          </w:p>
        </w:tc>
      </w:tr>
      <w:tr w:rsidR="007502D3" w:rsidRPr="00FF009C" w14:paraId="434A140D" w14:textId="77777777">
        <w:trPr>
          <w:trHeight w:val="300"/>
          <w:jc w:val="center"/>
        </w:trPr>
        <w:tc>
          <w:tcPr>
            <w:tcW w:w="3899" w:type="dxa"/>
            <w:tcBorders>
              <w:top w:val="nil"/>
              <w:left w:val="single" w:sz="4" w:space="0" w:color="auto"/>
              <w:bottom w:val="single" w:sz="4" w:space="0" w:color="auto"/>
              <w:right w:val="single" w:sz="4" w:space="0" w:color="auto"/>
            </w:tcBorders>
            <w:shd w:val="clear" w:color="auto" w:fill="auto"/>
            <w:vAlign w:val="center"/>
            <w:hideMark/>
          </w:tcPr>
          <w:p w14:paraId="05BE2D53" w14:textId="721BB48A" w:rsidR="000717DA" w:rsidRPr="00FF009C" w:rsidRDefault="000717DA" w:rsidP="00977077">
            <w:pPr>
              <w:spacing w:before="0" w:after="0"/>
              <w:jc w:val="center"/>
              <w:rPr>
                <w:rFonts w:eastAsia="Times New Roman"/>
                <w:noProof/>
                <w:sz w:val="22"/>
              </w:rPr>
            </w:pPr>
            <w:r w:rsidRPr="00FF009C">
              <w:rPr>
                <w:noProof/>
                <w:sz w:val="22"/>
              </w:rPr>
              <w:t>DG ds. Migracji</w:t>
            </w:r>
            <w:r w:rsidR="00FF009C" w:rsidRPr="00FF009C">
              <w:rPr>
                <w:noProof/>
                <w:sz w:val="22"/>
              </w:rPr>
              <w:t xml:space="preserve"> i</w:t>
            </w:r>
            <w:r w:rsidR="00FF009C">
              <w:rPr>
                <w:noProof/>
                <w:sz w:val="22"/>
              </w:rPr>
              <w:t> </w:t>
            </w:r>
            <w:r w:rsidR="00FF009C" w:rsidRPr="00FF009C">
              <w:rPr>
                <w:noProof/>
                <w:sz w:val="22"/>
              </w:rPr>
              <w:t>Spr</w:t>
            </w:r>
            <w:r w:rsidRPr="00FF009C">
              <w:rPr>
                <w:noProof/>
                <w:sz w:val="22"/>
              </w:rPr>
              <w:t>aw Wewnętrznych</w:t>
            </w:r>
          </w:p>
        </w:tc>
        <w:tc>
          <w:tcPr>
            <w:tcW w:w="3460" w:type="dxa"/>
            <w:tcBorders>
              <w:top w:val="nil"/>
              <w:left w:val="nil"/>
              <w:bottom w:val="single" w:sz="4" w:space="0" w:color="auto"/>
              <w:right w:val="single" w:sz="4" w:space="0" w:color="auto"/>
            </w:tcBorders>
            <w:shd w:val="clear" w:color="auto" w:fill="auto"/>
            <w:vAlign w:val="center"/>
            <w:hideMark/>
          </w:tcPr>
          <w:p w14:paraId="6BDD882A" w14:textId="77777777" w:rsidR="000717DA" w:rsidRPr="00FF009C" w:rsidRDefault="000717DA">
            <w:pPr>
              <w:spacing w:before="0" w:after="0"/>
              <w:jc w:val="left"/>
              <w:rPr>
                <w:rFonts w:eastAsia="Times New Roman"/>
                <w:noProof/>
                <w:sz w:val="20"/>
                <w:szCs w:val="20"/>
              </w:rPr>
            </w:pPr>
            <w:r w:rsidRPr="00FF009C">
              <w:rPr>
                <w:noProof/>
                <w:sz w:val="20"/>
              </w:rPr>
              <w:t> </w:t>
            </w:r>
          </w:p>
        </w:tc>
        <w:tc>
          <w:tcPr>
            <w:tcW w:w="1067" w:type="dxa"/>
            <w:tcBorders>
              <w:top w:val="nil"/>
              <w:left w:val="nil"/>
              <w:bottom w:val="single" w:sz="4" w:space="0" w:color="auto"/>
              <w:right w:val="single" w:sz="4" w:space="0" w:color="auto"/>
            </w:tcBorders>
            <w:shd w:val="clear" w:color="auto" w:fill="auto"/>
            <w:noWrap/>
            <w:vAlign w:val="center"/>
            <w:hideMark/>
          </w:tcPr>
          <w:p w14:paraId="2CBDAA3F" w14:textId="77777777" w:rsidR="000717DA" w:rsidRPr="00FF009C" w:rsidRDefault="000717DA">
            <w:pPr>
              <w:spacing w:before="0" w:after="0"/>
              <w:jc w:val="center"/>
              <w:rPr>
                <w:rFonts w:eastAsia="Times New Roman"/>
                <w:noProof/>
                <w:sz w:val="20"/>
                <w:szCs w:val="20"/>
              </w:rPr>
            </w:pPr>
            <w:r w:rsidRPr="00FF009C">
              <w:rPr>
                <w:b/>
                <w:noProof/>
                <w:sz w:val="20"/>
              </w:rPr>
              <w:t>2024</w:t>
            </w:r>
          </w:p>
        </w:tc>
        <w:tc>
          <w:tcPr>
            <w:tcW w:w="1067" w:type="dxa"/>
            <w:tcBorders>
              <w:top w:val="nil"/>
              <w:left w:val="nil"/>
              <w:bottom w:val="single" w:sz="4" w:space="0" w:color="auto"/>
              <w:right w:val="single" w:sz="4" w:space="0" w:color="auto"/>
            </w:tcBorders>
            <w:shd w:val="clear" w:color="auto" w:fill="auto"/>
            <w:noWrap/>
            <w:vAlign w:val="center"/>
            <w:hideMark/>
          </w:tcPr>
          <w:p w14:paraId="0338F773" w14:textId="77777777" w:rsidR="000717DA" w:rsidRPr="00FF009C" w:rsidRDefault="000717DA">
            <w:pPr>
              <w:spacing w:before="0" w:after="0"/>
              <w:jc w:val="center"/>
              <w:rPr>
                <w:rFonts w:eastAsia="Times New Roman"/>
                <w:noProof/>
                <w:sz w:val="20"/>
                <w:szCs w:val="20"/>
              </w:rPr>
            </w:pPr>
            <w:r w:rsidRPr="00FF009C">
              <w:rPr>
                <w:b/>
                <w:noProof/>
                <w:sz w:val="20"/>
              </w:rPr>
              <w:t>2025</w:t>
            </w:r>
          </w:p>
        </w:tc>
        <w:tc>
          <w:tcPr>
            <w:tcW w:w="1067" w:type="dxa"/>
            <w:tcBorders>
              <w:top w:val="nil"/>
              <w:left w:val="nil"/>
              <w:bottom w:val="single" w:sz="4" w:space="0" w:color="auto"/>
              <w:right w:val="single" w:sz="4" w:space="0" w:color="auto"/>
            </w:tcBorders>
            <w:shd w:val="clear" w:color="auto" w:fill="auto"/>
            <w:noWrap/>
            <w:vAlign w:val="center"/>
            <w:hideMark/>
          </w:tcPr>
          <w:p w14:paraId="3B79B1F9" w14:textId="77777777" w:rsidR="000717DA" w:rsidRPr="00FF009C" w:rsidRDefault="000717DA">
            <w:pPr>
              <w:spacing w:before="0" w:after="0"/>
              <w:jc w:val="center"/>
              <w:rPr>
                <w:rFonts w:eastAsia="Times New Roman"/>
                <w:noProof/>
                <w:sz w:val="20"/>
                <w:szCs w:val="20"/>
              </w:rPr>
            </w:pPr>
            <w:r w:rsidRPr="00FF009C">
              <w:rPr>
                <w:b/>
                <w:noProof/>
                <w:sz w:val="20"/>
              </w:rPr>
              <w:t>2026</w:t>
            </w:r>
          </w:p>
        </w:tc>
        <w:tc>
          <w:tcPr>
            <w:tcW w:w="1067" w:type="dxa"/>
            <w:tcBorders>
              <w:top w:val="nil"/>
              <w:left w:val="nil"/>
              <w:bottom w:val="single" w:sz="4" w:space="0" w:color="auto"/>
              <w:right w:val="single" w:sz="4" w:space="0" w:color="auto"/>
            </w:tcBorders>
            <w:shd w:val="clear" w:color="auto" w:fill="auto"/>
            <w:noWrap/>
            <w:vAlign w:val="center"/>
            <w:hideMark/>
          </w:tcPr>
          <w:p w14:paraId="46AD63F8" w14:textId="77777777" w:rsidR="000717DA" w:rsidRPr="00FF009C" w:rsidRDefault="000717DA">
            <w:pPr>
              <w:spacing w:before="0" w:after="0"/>
              <w:jc w:val="center"/>
              <w:rPr>
                <w:rFonts w:eastAsia="Times New Roman"/>
                <w:noProof/>
                <w:sz w:val="20"/>
                <w:szCs w:val="20"/>
              </w:rPr>
            </w:pPr>
            <w:r w:rsidRPr="00FF009C">
              <w:rPr>
                <w:b/>
                <w:noProof/>
                <w:sz w:val="20"/>
              </w:rPr>
              <w:t>2027</w:t>
            </w:r>
          </w:p>
        </w:tc>
        <w:tc>
          <w:tcPr>
            <w:tcW w:w="1173" w:type="dxa"/>
            <w:tcBorders>
              <w:top w:val="nil"/>
              <w:left w:val="nil"/>
              <w:bottom w:val="single" w:sz="4" w:space="0" w:color="auto"/>
              <w:right w:val="single" w:sz="4" w:space="0" w:color="auto"/>
            </w:tcBorders>
            <w:shd w:val="clear" w:color="auto" w:fill="auto"/>
            <w:noWrap/>
            <w:vAlign w:val="center"/>
            <w:hideMark/>
          </w:tcPr>
          <w:p w14:paraId="04E0E8A7" w14:textId="77777777" w:rsidR="000717DA" w:rsidRPr="00FF009C" w:rsidRDefault="000717DA">
            <w:pPr>
              <w:spacing w:before="0" w:after="0"/>
              <w:jc w:val="center"/>
              <w:rPr>
                <w:rFonts w:eastAsia="Times New Roman"/>
                <w:b/>
                <w:bCs/>
                <w:noProof/>
                <w:sz w:val="20"/>
                <w:szCs w:val="20"/>
              </w:rPr>
            </w:pPr>
            <w:r w:rsidRPr="00FF009C">
              <w:rPr>
                <w:b/>
                <w:noProof/>
                <w:sz w:val="20"/>
              </w:rPr>
              <w:t>OGÓŁEM</w:t>
            </w:r>
          </w:p>
        </w:tc>
      </w:tr>
      <w:tr w:rsidR="007502D3" w:rsidRPr="00FF009C" w14:paraId="29FCDF60" w14:textId="77777777">
        <w:trPr>
          <w:trHeight w:val="300"/>
          <w:jc w:val="center"/>
        </w:trPr>
        <w:tc>
          <w:tcPr>
            <w:tcW w:w="3899" w:type="dxa"/>
            <w:tcBorders>
              <w:top w:val="nil"/>
              <w:left w:val="single" w:sz="4" w:space="0" w:color="auto"/>
              <w:bottom w:val="single" w:sz="4" w:space="0" w:color="auto"/>
              <w:right w:val="single" w:sz="4" w:space="0" w:color="auto"/>
            </w:tcBorders>
            <w:shd w:val="clear" w:color="auto" w:fill="auto"/>
            <w:vAlign w:val="center"/>
            <w:hideMark/>
          </w:tcPr>
          <w:p w14:paraId="0BF01835" w14:textId="77777777" w:rsidR="000717DA" w:rsidRPr="00FF009C" w:rsidRDefault="000717DA" w:rsidP="00977077">
            <w:pPr>
              <w:spacing w:before="0" w:after="0"/>
              <w:jc w:val="left"/>
              <w:rPr>
                <w:rFonts w:ascii="Wingdings" w:eastAsia="Times New Roman" w:hAnsi="Wingdings" w:cs="Calibri"/>
                <w:noProof/>
                <w:sz w:val="22"/>
              </w:rPr>
            </w:pPr>
            <w:r w:rsidRPr="00FF009C">
              <w:rPr>
                <w:rFonts w:ascii="Wingdings" w:hAnsi="Wingdings"/>
                <w:noProof/>
                <w:sz w:val="22"/>
              </w:rPr>
              <w:t></w:t>
            </w:r>
            <w:r w:rsidRPr="00FF009C">
              <w:rPr>
                <w:noProof/>
              </w:rPr>
              <w:t xml:space="preserve"> </w:t>
            </w:r>
            <w:r w:rsidRPr="00FF009C">
              <w:rPr>
                <w:noProof/>
                <w:sz w:val="22"/>
              </w:rPr>
              <w:t xml:space="preserve">Zasoby ludzkie </w:t>
            </w:r>
          </w:p>
        </w:tc>
        <w:tc>
          <w:tcPr>
            <w:tcW w:w="3460" w:type="dxa"/>
            <w:tcBorders>
              <w:top w:val="nil"/>
              <w:left w:val="nil"/>
              <w:bottom w:val="single" w:sz="4" w:space="0" w:color="auto"/>
              <w:right w:val="single" w:sz="4" w:space="0" w:color="auto"/>
            </w:tcBorders>
            <w:shd w:val="clear" w:color="auto" w:fill="auto"/>
            <w:vAlign w:val="center"/>
            <w:hideMark/>
          </w:tcPr>
          <w:p w14:paraId="14DD68CC" w14:textId="77777777" w:rsidR="000717DA" w:rsidRPr="00FF009C" w:rsidRDefault="000717DA" w:rsidP="00977077">
            <w:pPr>
              <w:spacing w:before="0" w:after="0"/>
              <w:jc w:val="left"/>
              <w:rPr>
                <w:rFonts w:ascii="Wingdings" w:eastAsia="Times New Roman" w:hAnsi="Wingdings" w:cs="Calibri"/>
                <w:noProof/>
                <w:sz w:val="22"/>
              </w:rPr>
            </w:pPr>
            <w:r w:rsidRPr="00FF009C">
              <w:rPr>
                <w:rFonts w:ascii="Wingdings"/>
                <w:noProof/>
                <w:sz w:val="22"/>
              </w:rPr>
              <w:t></w:t>
            </w:r>
          </w:p>
        </w:tc>
        <w:tc>
          <w:tcPr>
            <w:tcW w:w="1067" w:type="dxa"/>
            <w:tcBorders>
              <w:top w:val="nil"/>
              <w:left w:val="nil"/>
              <w:bottom w:val="single" w:sz="4" w:space="0" w:color="auto"/>
              <w:right w:val="single" w:sz="4" w:space="0" w:color="auto"/>
            </w:tcBorders>
            <w:shd w:val="clear" w:color="auto" w:fill="auto"/>
            <w:noWrap/>
            <w:vAlign w:val="center"/>
            <w:hideMark/>
          </w:tcPr>
          <w:p w14:paraId="0D0A0ECA" w14:textId="77777777" w:rsidR="000717DA" w:rsidRPr="00FF009C" w:rsidRDefault="000717DA">
            <w:pPr>
              <w:spacing w:before="0" w:after="0"/>
              <w:jc w:val="right"/>
              <w:rPr>
                <w:rFonts w:eastAsia="Times New Roman"/>
                <w:noProof/>
                <w:sz w:val="20"/>
                <w:szCs w:val="20"/>
              </w:rPr>
            </w:pPr>
            <w:r w:rsidRPr="00FF009C">
              <w:rPr>
                <w:noProof/>
                <w:sz w:val="20"/>
              </w:rPr>
              <w:t>-</w:t>
            </w:r>
          </w:p>
        </w:tc>
        <w:tc>
          <w:tcPr>
            <w:tcW w:w="1067" w:type="dxa"/>
            <w:tcBorders>
              <w:top w:val="nil"/>
              <w:left w:val="nil"/>
              <w:bottom w:val="single" w:sz="4" w:space="0" w:color="auto"/>
              <w:right w:val="single" w:sz="4" w:space="0" w:color="auto"/>
            </w:tcBorders>
            <w:shd w:val="clear" w:color="auto" w:fill="auto"/>
            <w:noWrap/>
            <w:vAlign w:val="center"/>
            <w:hideMark/>
          </w:tcPr>
          <w:p w14:paraId="55E60318" w14:textId="77777777" w:rsidR="000717DA" w:rsidRPr="00FF009C" w:rsidRDefault="000717DA">
            <w:pPr>
              <w:spacing w:before="0" w:after="0"/>
              <w:jc w:val="right"/>
              <w:rPr>
                <w:rFonts w:eastAsia="Times New Roman"/>
                <w:noProof/>
                <w:sz w:val="20"/>
                <w:szCs w:val="20"/>
              </w:rPr>
            </w:pPr>
            <w:r w:rsidRPr="00FF009C">
              <w:rPr>
                <w:noProof/>
                <w:sz w:val="20"/>
              </w:rPr>
              <w:t>0,132</w:t>
            </w:r>
          </w:p>
        </w:tc>
        <w:tc>
          <w:tcPr>
            <w:tcW w:w="1067" w:type="dxa"/>
            <w:tcBorders>
              <w:top w:val="nil"/>
              <w:left w:val="nil"/>
              <w:bottom w:val="single" w:sz="4" w:space="0" w:color="auto"/>
              <w:right w:val="single" w:sz="4" w:space="0" w:color="auto"/>
            </w:tcBorders>
            <w:shd w:val="clear" w:color="auto" w:fill="auto"/>
            <w:noWrap/>
            <w:vAlign w:val="center"/>
            <w:hideMark/>
          </w:tcPr>
          <w:p w14:paraId="741193E5" w14:textId="77777777" w:rsidR="000717DA" w:rsidRPr="00FF009C" w:rsidRDefault="000717DA">
            <w:pPr>
              <w:spacing w:before="0" w:after="0"/>
              <w:jc w:val="right"/>
              <w:rPr>
                <w:rFonts w:eastAsia="Times New Roman"/>
                <w:noProof/>
                <w:sz w:val="20"/>
                <w:szCs w:val="20"/>
              </w:rPr>
            </w:pPr>
            <w:r w:rsidRPr="00FF009C">
              <w:rPr>
                <w:noProof/>
                <w:sz w:val="20"/>
              </w:rPr>
              <w:t>0,435</w:t>
            </w:r>
          </w:p>
        </w:tc>
        <w:tc>
          <w:tcPr>
            <w:tcW w:w="1067" w:type="dxa"/>
            <w:tcBorders>
              <w:top w:val="nil"/>
              <w:left w:val="nil"/>
              <w:bottom w:val="single" w:sz="4" w:space="0" w:color="auto"/>
              <w:right w:val="single" w:sz="4" w:space="0" w:color="auto"/>
            </w:tcBorders>
            <w:shd w:val="clear" w:color="auto" w:fill="auto"/>
            <w:noWrap/>
            <w:vAlign w:val="center"/>
            <w:hideMark/>
          </w:tcPr>
          <w:p w14:paraId="6163B2C6" w14:textId="77777777" w:rsidR="000717DA" w:rsidRPr="00FF009C" w:rsidRDefault="000717DA">
            <w:pPr>
              <w:spacing w:before="0" w:after="0"/>
              <w:jc w:val="right"/>
              <w:rPr>
                <w:rFonts w:eastAsia="Times New Roman"/>
                <w:noProof/>
                <w:sz w:val="20"/>
                <w:szCs w:val="20"/>
              </w:rPr>
            </w:pPr>
            <w:r w:rsidRPr="00FF009C">
              <w:rPr>
                <w:noProof/>
                <w:sz w:val="20"/>
              </w:rPr>
              <w:t>0,606</w:t>
            </w:r>
          </w:p>
        </w:tc>
        <w:tc>
          <w:tcPr>
            <w:tcW w:w="1173" w:type="dxa"/>
            <w:tcBorders>
              <w:top w:val="nil"/>
              <w:left w:val="nil"/>
              <w:bottom w:val="single" w:sz="4" w:space="0" w:color="auto"/>
              <w:right w:val="single" w:sz="4" w:space="0" w:color="auto"/>
            </w:tcBorders>
            <w:shd w:val="clear" w:color="auto" w:fill="auto"/>
            <w:noWrap/>
            <w:vAlign w:val="center"/>
            <w:hideMark/>
          </w:tcPr>
          <w:p w14:paraId="48CE3610" w14:textId="77777777" w:rsidR="000717DA" w:rsidRPr="00FF009C" w:rsidRDefault="000717DA">
            <w:pPr>
              <w:spacing w:before="0" w:after="0"/>
              <w:jc w:val="right"/>
              <w:rPr>
                <w:rFonts w:eastAsia="Times New Roman"/>
                <w:b/>
                <w:bCs/>
                <w:noProof/>
                <w:sz w:val="20"/>
                <w:szCs w:val="20"/>
              </w:rPr>
            </w:pPr>
            <w:r w:rsidRPr="00FF009C">
              <w:rPr>
                <w:b/>
                <w:noProof/>
                <w:sz w:val="20"/>
              </w:rPr>
              <w:t>1,173</w:t>
            </w:r>
          </w:p>
        </w:tc>
      </w:tr>
      <w:tr w:rsidR="007502D3" w:rsidRPr="00FF009C" w14:paraId="17C80191" w14:textId="77777777">
        <w:trPr>
          <w:trHeight w:val="300"/>
          <w:jc w:val="center"/>
        </w:trPr>
        <w:tc>
          <w:tcPr>
            <w:tcW w:w="3899" w:type="dxa"/>
            <w:tcBorders>
              <w:top w:val="nil"/>
              <w:left w:val="single" w:sz="4" w:space="0" w:color="auto"/>
              <w:bottom w:val="single" w:sz="4" w:space="0" w:color="auto"/>
              <w:right w:val="single" w:sz="4" w:space="0" w:color="auto"/>
            </w:tcBorders>
            <w:shd w:val="clear" w:color="auto" w:fill="auto"/>
            <w:vAlign w:val="center"/>
            <w:hideMark/>
          </w:tcPr>
          <w:p w14:paraId="65123E5D" w14:textId="77777777" w:rsidR="000717DA" w:rsidRPr="00FF009C" w:rsidRDefault="000717DA" w:rsidP="00977077">
            <w:pPr>
              <w:spacing w:before="0" w:after="0"/>
              <w:jc w:val="left"/>
              <w:rPr>
                <w:rFonts w:ascii="Wingdings" w:eastAsia="Times New Roman" w:hAnsi="Wingdings" w:cs="Calibri"/>
                <w:noProof/>
                <w:sz w:val="22"/>
              </w:rPr>
            </w:pPr>
            <w:r w:rsidRPr="00FF009C">
              <w:rPr>
                <w:rFonts w:ascii="Wingdings" w:hAnsi="Wingdings"/>
                <w:noProof/>
                <w:sz w:val="22"/>
              </w:rPr>
              <w:t></w:t>
            </w:r>
            <w:r w:rsidRPr="00FF009C">
              <w:rPr>
                <w:noProof/>
              </w:rPr>
              <w:t xml:space="preserve"> </w:t>
            </w:r>
            <w:r w:rsidRPr="00FF009C">
              <w:rPr>
                <w:noProof/>
                <w:sz w:val="22"/>
              </w:rPr>
              <w:t xml:space="preserve">Pozostałe wydatki administracyjne </w:t>
            </w:r>
          </w:p>
        </w:tc>
        <w:tc>
          <w:tcPr>
            <w:tcW w:w="3460" w:type="dxa"/>
            <w:tcBorders>
              <w:top w:val="nil"/>
              <w:left w:val="nil"/>
              <w:bottom w:val="single" w:sz="4" w:space="0" w:color="auto"/>
              <w:right w:val="single" w:sz="4" w:space="0" w:color="auto"/>
            </w:tcBorders>
            <w:shd w:val="clear" w:color="auto" w:fill="auto"/>
            <w:vAlign w:val="center"/>
            <w:hideMark/>
          </w:tcPr>
          <w:p w14:paraId="07EF637C" w14:textId="77777777" w:rsidR="000717DA" w:rsidRPr="00FF009C" w:rsidRDefault="000717DA" w:rsidP="00977077">
            <w:pPr>
              <w:spacing w:before="0" w:after="0"/>
              <w:jc w:val="left"/>
              <w:rPr>
                <w:rFonts w:ascii="Wingdings" w:eastAsia="Times New Roman" w:hAnsi="Wingdings" w:cs="Calibri"/>
                <w:noProof/>
                <w:sz w:val="22"/>
              </w:rPr>
            </w:pPr>
            <w:r w:rsidRPr="00FF009C">
              <w:rPr>
                <w:rFonts w:ascii="Wingdings"/>
                <w:noProof/>
                <w:sz w:val="22"/>
              </w:rPr>
              <w:t></w:t>
            </w:r>
          </w:p>
        </w:tc>
        <w:tc>
          <w:tcPr>
            <w:tcW w:w="1067" w:type="dxa"/>
            <w:tcBorders>
              <w:top w:val="nil"/>
              <w:left w:val="nil"/>
              <w:bottom w:val="single" w:sz="4" w:space="0" w:color="auto"/>
              <w:right w:val="single" w:sz="4" w:space="0" w:color="auto"/>
            </w:tcBorders>
            <w:shd w:val="clear" w:color="auto" w:fill="auto"/>
            <w:noWrap/>
            <w:vAlign w:val="center"/>
            <w:hideMark/>
          </w:tcPr>
          <w:p w14:paraId="05C83C88" w14:textId="77777777" w:rsidR="000717DA" w:rsidRPr="00FF009C" w:rsidRDefault="000717DA">
            <w:pPr>
              <w:spacing w:before="0" w:after="0"/>
              <w:jc w:val="right"/>
              <w:rPr>
                <w:rFonts w:eastAsia="Times New Roman"/>
                <w:noProof/>
                <w:sz w:val="20"/>
                <w:szCs w:val="20"/>
              </w:rPr>
            </w:pPr>
            <w:r w:rsidRPr="00FF009C">
              <w:rPr>
                <w:noProof/>
                <w:sz w:val="20"/>
              </w:rPr>
              <w:t>0,002</w:t>
            </w:r>
          </w:p>
        </w:tc>
        <w:tc>
          <w:tcPr>
            <w:tcW w:w="1067" w:type="dxa"/>
            <w:tcBorders>
              <w:top w:val="nil"/>
              <w:left w:val="nil"/>
              <w:bottom w:val="single" w:sz="4" w:space="0" w:color="auto"/>
              <w:right w:val="single" w:sz="4" w:space="0" w:color="auto"/>
            </w:tcBorders>
            <w:shd w:val="clear" w:color="auto" w:fill="auto"/>
            <w:noWrap/>
            <w:vAlign w:val="center"/>
            <w:hideMark/>
          </w:tcPr>
          <w:p w14:paraId="6DC6CE86" w14:textId="77777777" w:rsidR="000717DA" w:rsidRPr="00FF009C" w:rsidRDefault="000717DA">
            <w:pPr>
              <w:spacing w:before="0" w:after="0"/>
              <w:jc w:val="right"/>
              <w:rPr>
                <w:rFonts w:eastAsia="Times New Roman"/>
                <w:noProof/>
                <w:sz w:val="20"/>
                <w:szCs w:val="20"/>
              </w:rPr>
            </w:pPr>
            <w:r w:rsidRPr="00FF009C">
              <w:rPr>
                <w:noProof/>
                <w:sz w:val="20"/>
              </w:rPr>
              <w:t>0,002</w:t>
            </w:r>
          </w:p>
        </w:tc>
        <w:tc>
          <w:tcPr>
            <w:tcW w:w="1067" w:type="dxa"/>
            <w:tcBorders>
              <w:top w:val="nil"/>
              <w:left w:val="nil"/>
              <w:bottom w:val="single" w:sz="4" w:space="0" w:color="auto"/>
              <w:right w:val="single" w:sz="4" w:space="0" w:color="auto"/>
            </w:tcBorders>
            <w:shd w:val="clear" w:color="auto" w:fill="auto"/>
            <w:noWrap/>
            <w:vAlign w:val="center"/>
            <w:hideMark/>
          </w:tcPr>
          <w:p w14:paraId="7EEDCF74" w14:textId="77777777" w:rsidR="000717DA" w:rsidRPr="00FF009C" w:rsidRDefault="000717DA">
            <w:pPr>
              <w:spacing w:before="0" w:after="0"/>
              <w:jc w:val="right"/>
              <w:rPr>
                <w:rFonts w:eastAsia="Times New Roman"/>
                <w:noProof/>
                <w:sz w:val="20"/>
                <w:szCs w:val="20"/>
              </w:rPr>
            </w:pPr>
            <w:r w:rsidRPr="00FF009C">
              <w:rPr>
                <w:noProof/>
                <w:sz w:val="20"/>
              </w:rPr>
              <w:t>0,002</w:t>
            </w:r>
          </w:p>
        </w:tc>
        <w:tc>
          <w:tcPr>
            <w:tcW w:w="1067" w:type="dxa"/>
            <w:tcBorders>
              <w:top w:val="nil"/>
              <w:left w:val="nil"/>
              <w:bottom w:val="single" w:sz="4" w:space="0" w:color="auto"/>
              <w:right w:val="single" w:sz="4" w:space="0" w:color="auto"/>
            </w:tcBorders>
            <w:shd w:val="clear" w:color="auto" w:fill="auto"/>
            <w:noWrap/>
            <w:vAlign w:val="center"/>
            <w:hideMark/>
          </w:tcPr>
          <w:p w14:paraId="043CA130" w14:textId="77777777" w:rsidR="000717DA" w:rsidRPr="00FF009C" w:rsidRDefault="000717DA">
            <w:pPr>
              <w:spacing w:before="0" w:after="0"/>
              <w:jc w:val="right"/>
              <w:rPr>
                <w:rFonts w:eastAsia="Times New Roman"/>
                <w:noProof/>
                <w:sz w:val="20"/>
                <w:szCs w:val="20"/>
              </w:rPr>
            </w:pPr>
            <w:r w:rsidRPr="00FF009C">
              <w:rPr>
                <w:noProof/>
                <w:sz w:val="20"/>
              </w:rPr>
              <w:t>0,002</w:t>
            </w:r>
          </w:p>
        </w:tc>
        <w:tc>
          <w:tcPr>
            <w:tcW w:w="1173" w:type="dxa"/>
            <w:tcBorders>
              <w:top w:val="nil"/>
              <w:left w:val="nil"/>
              <w:bottom w:val="single" w:sz="4" w:space="0" w:color="auto"/>
              <w:right w:val="single" w:sz="4" w:space="0" w:color="auto"/>
            </w:tcBorders>
            <w:shd w:val="clear" w:color="auto" w:fill="auto"/>
            <w:noWrap/>
            <w:vAlign w:val="center"/>
            <w:hideMark/>
          </w:tcPr>
          <w:p w14:paraId="25004E49" w14:textId="77777777" w:rsidR="000717DA" w:rsidRPr="00FF009C" w:rsidRDefault="000717DA">
            <w:pPr>
              <w:spacing w:before="0" w:after="0"/>
              <w:jc w:val="right"/>
              <w:rPr>
                <w:rFonts w:eastAsia="Times New Roman"/>
                <w:b/>
                <w:bCs/>
                <w:noProof/>
                <w:sz w:val="20"/>
                <w:szCs w:val="20"/>
              </w:rPr>
            </w:pPr>
            <w:r w:rsidRPr="00FF009C">
              <w:rPr>
                <w:b/>
                <w:noProof/>
                <w:sz w:val="20"/>
              </w:rPr>
              <w:t>0,008</w:t>
            </w:r>
          </w:p>
        </w:tc>
      </w:tr>
      <w:tr w:rsidR="000717DA" w:rsidRPr="00FF009C" w14:paraId="15D85531" w14:textId="77777777" w:rsidTr="00977077">
        <w:trPr>
          <w:trHeight w:val="315"/>
          <w:jc w:val="center"/>
        </w:trPr>
        <w:tc>
          <w:tcPr>
            <w:tcW w:w="3899" w:type="dxa"/>
            <w:tcBorders>
              <w:top w:val="nil"/>
              <w:left w:val="single" w:sz="4" w:space="0" w:color="auto"/>
              <w:bottom w:val="single" w:sz="4" w:space="0" w:color="auto"/>
              <w:right w:val="single" w:sz="4" w:space="0" w:color="auto"/>
            </w:tcBorders>
            <w:shd w:val="clear" w:color="auto" w:fill="auto"/>
            <w:vAlign w:val="center"/>
            <w:hideMark/>
          </w:tcPr>
          <w:p w14:paraId="6EF0D03E" w14:textId="77777777" w:rsidR="000717DA" w:rsidRPr="00FF009C" w:rsidRDefault="000717DA" w:rsidP="00977077">
            <w:pPr>
              <w:spacing w:before="0" w:after="0"/>
              <w:jc w:val="center"/>
              <w:rPr>
                <w:rFonts w:eastAsia="Times New Roman"/>
                <w:b/>
                <w:bCs/>
                <w:noProof/>
                <w:sz w:val="22"/>
              </w:rPr>
            </w:pPr>
            <w:r w:rsidRPr="00FF009C">
              <w:rPr>
                <w:b/>
                <w:noProof/>
                <w:sz w:val="22"/>
              </w:rPr>
              <w:t>OGÓŁEM DG</w:t>
            </w:r>
            <w:r w:rsidRPr="00FF009C">
              <w:rPr>
                <w:noProof/>
                <w:sz w:val="22"/>
              </w:rPr>
              <w:t xml:space="preserve"> HOME</w:t>
            </w:r>
          </w:p>
        </w:tc>
        <w:tc>
          <w:tcPr>
            <w:tcW w:w="3460" w:type="dxa"/>
            <w:tcBorders>
              <w:top w:val="nil"/>
              <w:left w:val="nil"/>
              <w:bottom w:val="single" w:sz="4" w:space="0" w:color="auto"/>
              <w:right w:val="single" w:sz="4" w:space="0" w:color="auto"/>
            </w:tcBorders>
            <w:shd w:val="clear" w:color="auto" w:fill="auto"/>
            <w:vAlign w:val="center"/>
            <w:hideMark/>
          </w:tcPr>
          <w:p w14:paraId="2771E00C" w14:textId="77777777" w:rsidR="000717DA" w:rsidRPr="00FF009C" w:rsidRDefault="000717DA">
            <w:pPr>
              <w:spacing w:before="0" w:after="0"/>
              <w:jc w:val="left"/>
              <w:rPr>
                <w:rFonts w:eastAsia="Times New Roman"/>
                <w:noProof/>
                <w:sz w:val="18"/>
                <w:szCs w:val="18"/>
              </w:rPr>
            </w:pPr>
            <w:r w:rsidRPr="00FF009C">
              <w:rPr>
                <w:noProof/>
                <w:sz w:val="18"/>
              </w:rPr>
              <w:t xml:space="preserve">Środki </w:t>
            </w:r>
          </w:p>
        </w:tc>
        <w:tc>
          <w:tcPr>
            <w:tcW w:w="1067" w:type="dxa"/>
            <w:tcBorders>
              <w:top w:val="nil"/>
              <w:left w:val="nil"/>
              <w:bottom w:val="single" w:sz="4" w:space="0" w:color="auto"/>
              <w:right w:val="single" w:sz="4" w:space="0" w:color="auto"/>
            </w:tcBorders>
            <w:shd w:val="clear" w:color="auto" w:fill="auto"/>
            <w:noWrap/>
            <w:vAlign w:val="center"/>
            <w:hideMark/>
          </w:tcPr>
          <w:p w14:paraId="56ACFA35" w14:textId="77777777" w:rsidR="000717DA" w:rsidRPr="00FF009C" w:rsidRDefault="000717DA">
            <w:pPr>
              <w:spacing w:before="0" w:after="0"/>
              <w:jc w:val="right"/>
              <w:rPr>
                <w:rFonts w:eastAsia="Times New Roman"/>
                <w:noProof/>
                <w:sz w:val="20"/>
                <w:szCs w:val="20"/>
              </w:rPr>
            </w:pPr>
            <w:r w:rsidRPr="00FF009C">
              <w:rPr>
                <w:noProof/>
                <w:sz w:val="20"/>
              </w:rPr>
              <w:t>0,002</w:t>
            </w:r>
          </w:p>
        </w:tc>
        <w:tc>
          <w:tcPr>
            <w:tcW w:w="1067" w:type="dxa"/>
            <w:tcBorders>
              <w:top w:val="nil"/>
              <w:left w:val="nil"/>
              <w:bottom w:val="single" w:sz="4" w:space="0" w:color="auto"/>
              <w:right w:val="single" w:sz="4" w:space="0" w:color="auto"/>
            </w:tcBorders>
            <w:shd w:val="clear" w:color="auto" w:fill="auto"/>
            <w:noWrap/>
            <w:vAlign w:val="center"/>
            <w:hideMark/>
          </w:tcPr>
          <w:p w14:paraId="4507B8E4" w14:textId="77777777" w:rsidR="000717DA" w:rsidRPr="00FF009C" w:rsidRDefault="000717DA">
            <w:pPr>
              <w:spacing w:before="0" w:after="0"/>
              <w:jc w:val="right"/>
              <w:rPr>
                <w:rFonts w:eastAsia="Times New Roman"/>
                <w:noProof/>
                <w:sz w:val="20"/>
                <w:szCs w:val="20"/>
              </w:rPr>
            </w:pPr>
            <w:r w:rsidRPr="00FF009C">
              <w:rPr>
                <w:noProof/>
                <w:sz w:val="20"/>
              </w:rPr>
              <w:t>0,134</w:t>
            </w:r>
          </w:p>
        </w:tc>
        <w:tc>
          <w:tcPr>
            <w:tcW w:w="1067" w:type="dxa"/>
            <w:tcBorders>
              <w:top w:val="nil"/>
              <w:left w:val="nil"/>
              <w:bottom w:val="single" w:sz="4" w:space="0" w:color="auto"/>
              <w:right w:val="single" w:sz="4" w:space="0" w:color="auto"/>
            </w:tcBorders>
            <w:shd w:val="clear" w:color="auto" w:fill="auto"/>
            <w:noWrap/>
            <w:vAlign w:val="center"/>
            <w:hideMark/>
          </w:tcPr>
          <w:p w14:paraId="544CE369" w14:textId="77777777" w:rsidR="000717DA" w:rsidRPr="00FF009C" w:rsidRDefault="000717DA">
            <w:pPr>
              <w:spacing w:before="0" w:after="0"/>
              <w:jc w:val="right"/>
              <w:rPr>
                <w:rFonts w:eastAsia="Times New Roman"/>
                <w:noProof/>
                <w:sz w:val="20"/>
                <w:szCs w:val="20"/>
              </w:rPr>
            </w:pPr>
            <w:r w:rsidRPr="00FF009C">
              <w:rPr>
                <w:noProof/>
                <w:sz w:val="20"/>
              </w:rPr>
              <w:t>0,437</w:t>
            </w:r>
          </w:p>
        </w:tc>
        <w:tc>
          <w:tcPr>
            <w:tcW w:w="1067" w:type="dxa"/>
            <w:tcBorders>
              <w:top w:val="nil"/>
              <w:left w:val="nil"/>
              <w:bottom w:val="single" w:sz="4" w:space="0" w:color="auto"/>
              <w:right w:val="single" w:sz="4" w:space="0" w:color="auto"/>
            </w:tcBorders>
            <w:shd w:val="clear" w:color="auto" w:fill="auto"/>
            <w:noWrap/>
            <w:vAlign w:val="center"/>
            <w:hideMark/>
          </w:tcPr>
          <w:p w14:paraId="24BD1228" w14:textId="77777777" w:rsidR="000717DA" w:rsidRPr="00FF009C" w:rsidRDefault="000717DA">
            <w:pPr>
              <w:spacing w:before="0" w:after="0"/>
              <w:jc w:val="right"/>
              <w:rPr>
                <w:rFonts w:eastAsia="Times New Roman"/>
                <w:noProof/>
                <w:sz w:val="20"/>
                <w:szCs w:val="20"/>
              </w:rPr>
            </w:pPr>
            <w:r w:rsidRPr="00FF009C">
              <w:rPr>
                <w:noProof/>
                <w:sz w:val="20"/>
              </w:rPr>
              <w:t>0,608</w:t>
            </w:r>
          </w:p>
        </w:tc>
        <w:tc>
          <w:tcPr>
            <w:tcW w:w="1173" w:type="dxa"/>
            <w:tcBorders>
              <w:top w:val="nil"/>
              <w:left w:val="nil"/>
              <w:bottom w:val="single" w:sz="4" w:space="0" w:color="auto"/>
              <w:right w:val="single" w:sz="4" w:space="0" w:color="auto"/>
            </w:tcBorders>
            <w:shd w:val="clear" w:color="auto" w:fill="auto"/>
            <w:noWrap/>
            <w:vAlign w:val="center"/>
            <w:hideMark/>
          </w:tcPr>
          <w:p w14:paraId="046E484D" w14:textId="77777777" w:rsidR="000717DA" w:rsidRPr="00FF009C" w:rsidRDefault="000717DA">
            <w:pPr>
              <w:spacing w:before="0" w:after="0"/>
              <w:jc w:val="right"/>
              <w:rPr>
                <w:rFonts w:eastAsia="Times New Roman"/>
                <w:b/>
                <w:bCs/>
                <w:noProof/>
                <w:sz w:val="20"/>
                <w:szCs w:val="20"/>
              </w:rPr>
            </w:pPr>
            <w:r w:rsidRPr="00FF009C">
              <w:rPr>
                <w:b/>
                <w:noProof/>
                <w:sz w:val="20"/>
              </w:rPr>
              <w:t>1,181</w:t>
            </w:r>
          </w:p>
        </w:tc>
      </w:tr>
    </w:tbl>
    <w:tbl>
      <w:tblPr>
        <w:tblStyle w:val="TableGrid"/>
        <w:tblW w:w="0" w:type="auto"/>
        <w:jc w:val="center"/>
        <w:tblLook w:val="04A0" w:firstRow="1" w:lastRow="0" w:firstColumn="1" w:lastColumn="0" w:noHBand="0" w:noVBand="1"/>
      </w:tblPr>
      <w:tblGrid>
        <w:gridCol w:w="3900"/>
        <w:gridCol w:w="3460"/>
        <w:gridCol w:w="1060"/>
        <w:gridCol w:w="1060"/>
        <w:gridCol w:w="1060"/>
        <w:gridCol w:w="1060"/>
        <w:gridCol w:w="1200"/>
      </w:tblGrid>
      <w:tr w:rsidR="000717DA" w:rsidRPr="00FF009C" w14:paraId="4BF7CF9F" w14:textId="77777777" w:rsidTr="00977077">
        <w:trPr>
          <w:trHeight w:val="855"/>
          <w:jc w:val="center"/>
        </w:trPr>
        <w:tc>
          <w:tcPr>
            <w:tcW w:w="3900" w:type="dxa"/>
            <w:vAlign w:val="center"/>
            <w:hideMark/>
          </w:tcPr>
          <w:p w14:paraId="2748FA84" w14:textId="77777777" w:rsidR="000717DA" w:rsidRPr="00FF009C" w:rsidRDefault="000717DA">
            <w:pPr>
              <w:spacing w:before="0" w:after="0"/>
              <w:jc w:val="center"/>
              <w:rPr>
                <w:b/>
                <w:bCs/>
                <w:noProof/>
                <w:sz w:val="22"/>
              </w:rPr>
            </w:pPr>
            <w:r w:rsidRPr="00FF009C">
              <w:rPr>
                <w:b/>
                <w:noProof/>
                <w:sz w:val="22"/>
              </w:rPr>
              <w:t xml:space="preserve">OGÓŁEM środki na DZIAŁ 7 wieloletnich ram finansowych </w:t>
            </w:r>
          </w:p>
        </w:tc>
        <w:tc>
          <w:tcPr>
            <w:tcW w:w="3460" w:type="dxa"/>
            <w:vAlign w:val="center"/>
            <w:hideMark/>
          </w:tcPr>
          <w:p w14:paraId="35BF58E5" w14:textId="77777777" w:rsidR="000717DA" w:rsidRPr="00FF009C" w:rsidRDefault="000717DA">
            <w:pPr>
              <w:spacing w:before="0" w:after="0"/>
              <w:jc w:val="center"/>
              <w:rPr>
                <w:bCs/>
                <w:noProof/>
                <w:sz w:val="22"/>
              </w:rPr>
            </w:pPr>
            <w:r w:rsidRPr="00FF009C">
              <w:rPr>
                <w:noProof/>
                <w:sz w:val="18"/>
              </w:rPr>
              <w:t>(Środki na zobowiązania ogółem = środki na płatności ogółem)</w:t>
            </w:r>
          </w:p>
        </w:tc>
        <w:tc>
          <w:tcPr>
            <w:tcW w:w="1060" w:type="dxa"/>
            <w:tcBorders>
              <w:top w:val="nil"/>
              <w:left w:val="nil"/>
              <w:bottom w:val="single" w:sz="4" w:space="0" w:color="auto"/>
              <w:right w:val="single" w:sz="4" w:space="0" w:color="auto"/>
            </w:tcBorders>
            <w:shd w:val="clear" w:color="auto" w:fill="auto"/>
            <w:noWrap/>
            <w:vAlign w:val="center"/>
            <w:hideMark/>
          </w:tcPr>
          <w:p w14:paraId="08C212DA" w14:textId="77777777" w:rsidR="000717DA" w:rsidRPr="00FF009C" w:rsidRDefault="000717DA" w:rsidP="00977077">
            <w:pPr>
              <w:spacing w:before="0" w:after="0"/>
              <w:jc w:val="right"/>
              <w:rPr>
                <w:noProof/>
                <w:sz w:val="20"/>
              </w:rPr>
            </w:pPr>
            <w:r w:rsidRPr="00FF009C">
              <w:rPr>
                <w:noProof/>
                <w:sz w:val="20"/>
              </w:rPr>
              <w:t>0,002</w:t>
            </w:r>
          </w:p>
        </w:tc>
        <w:tc>
          <w:tcPr>
            <w:tcW w:w="1060" w:type="dxa"/>
            <w:tcBorders>
              <w:top w:val="nil"/>
              <w:left w:val="nil"/>
              <w:bottom w:val="single" w:sz="4" w:space="0" w:color="auto"/>
              <w:right w:val="single" w:sz="4" w:space="0" w:color="auto"/>
            </w:tcBorders>
            <w:shd w:val="clear" w:color="auto" w:fill="auto"/>
            <w:noWrap/>
            <w:vAlign w:val="center"/>
            <w:hideMark/>
          </w:tcPr>
          <w:p w14:paraId="1859D784" w14:textId="77777777" w:rsidR="000717DA" w:rsidRPr="00FF009C" w:rsidRDefault="000717DA" w:rsidP="00977077">
            <w:pPr>
              <w:spacing w:before="0" w:after="0"/>
              <w:jc w:val="right"/>
              <w:rPr>
                <w:noProof/>
                <w:sz w:val="20"/>
              </w:rPr>
            </w:pPr>
            <w:r w:rsidRPr="00FF009C">
              <w:rPr>
                <w:noProof/>
                <w:sz w:val="20"/>
              </w:rPr>
              <w:t>0,134</w:t>
            </w:r>
          </w:p>
        </w:tc>
        <w:tc>
          <w:tcPr>
            <w:tcW w:w="1060" w:type="dxa"/>
            <w:tcBorders>
              <w:top w:val="nil"/>
              <w:left w:val="nil"/>
              <w:bottom w:val="single" w:sz="4" w:space="0" w:color="auto"/>
              <w:right w:val="single" w:sz="4" w:space="0" w:color="auto"/>
            </w:tcBorders>
            <w:shd w:val="clear" w:color="auto" w:fill="auto"/>
            <w:noWrap/>
            <w:vAlign w:val="center"/>
            <w:hideMark/>
          </w:tcPr>
          <w:p w14:paraId="49AD9DC6" w14:textId="77777777" w:rsidR="000717DA" w:rsidRPr="00FF009C" w:rsidRDefault="000717DA" w:rsidP="00977077">
            <w:pPr>
              <w:spacing w:before="0" w:after="0"/>
              <w:jc w:val="right"/>
              <w:rPr>
                <w:noProof/>
                <w:sz w:val="20"/>
              </w:rPr>
            </w:pPr>
            <w:r w:rsidRPr="00FF009C">
              <w:rPr>
                <w:noProof/>
                <w:sz w:val="20"/>
              </w:rPr>
              <w:t>0,437</w:t>
            </w:r>
          </w:p>
        </w:tc>
        <w:tc>
          <w:tcPr>
            <w:tcW w:w="1060" w:type="dxa"/>
            <w:tcBorders>
              <w:top w:val="nil"/>
              <w:left w:val="nil"/>
              <w:bottom w:val="single" w:sz="4" w:space="0" w:color="auto"/>
              <w:right w:val="single" w:sz="4" w:space="0" w:color="auto"/>
            </w:tcBorders>
            <w:shd w:val="clear" w:color="auto" w:fill="auto"/>
            <w:noWrap/>
            <w:vAlign w:val="center"/>
            <w:hideMark/>
          </w:tcPr>
          <w:p w14:paraId="248A7EF6" w14:textId="77777777" w:rsidR="000717DA" w:rsidRPr="00FF009C" w:rsidRDefault="000717DA" w:rsidP="00977077">
            <w:pPr>
              <w:spacing w:before="0" w:after="0"/>
              <w:jc w:val="right"/>
              <w:rPr>
                <w:noProof/>
                <w:sz w:val="20"/>
              </w:rPr>
            </w:pPr>
            <w:r w:rsidRPr="00FF009C">
              <w:rPr>
                <w:noProof/>
                <w:sz w:val="20"/>
              </w:rPr>
              <w:t>0,608</w:t>
            </w:r>
          </w:p>
        </w:tc>
        <w:tc>
          <w:tcPr>
            <w:tcW w:w="1200" w:type="dxa"/>
            <w:tcBorders>
              <w:top w:val="nil"/>
              <w:left w:val="nil"/>
              <w:bottom w:val="single" w:sz="4" w:space="0" w:color="auto"/>
              <w:right w:val="single" w:sz="4" w:space="0" w:color="auto"/>
            </w:tcBorders>
            <w:shd w:val="clear" w:color="auto" w:fill="auto"/>
            <w:noWrap/>
            <w:vAlign w:val="center"/>
            <w:hideMark/>
          </w:tcPr>
          <w:p w14:paraId="70356886" w14:textId="77777777" w:rsidR="000717DA" w:rsidRPr="00FF009C" w:rsidRDefault="000717DA" w:rsidP="00977077">
            <w:pPr>
              <w:spacing w:before="0" w:after="0"/>
              <w:jc w:val="right"/>
              <w:rPr>
                <w:b/>
                <w:bCs/>
                <w:noProof/>
                <w:sz w:val="20"/>
              </w:rPr>
            </w:pPr>
            <w:r w:rsidRPr="00FF009C">
              <w:rPr>
                <w:b/>
                <w:noProof/>
                <w:sz w:val="20"/>
              </w:rPr>
              <w:t>1,181</w:t>
            </w:r>
          </w:p>
        </w:tc>
      </w:tr>
      <w:tr w:rsidR="000717DA" w:rsidRPr="00FF009C" w14:paraId="552F335E" w14:textId="77777777" w:rsidTr="00977077">
        <w:trPr>
          <w:trHeight w:val="301"/>
          <w:jc w:val="center"/>
        </w:trPr>
        <w:tc>
          <w:tcPr>
            <w:tcW w:w="3900" w:type="dxa"/>
            <w:vAlign w:val="center"/>
            <w:hideMark/>
          </w:tcPr>
          <w:p w14:paraId="7CE4D2CF" w14:textId="77777777" w:rsidR="000717DA" w:rsidRPr="00FF009C" w:rsidRDefault="000717DA">
            <w:pPr>
              <w:spacing w:before="0" w:after="0"/>
              <w:jc w:val="center"/>
              <w:rPr>
                <w:noProof/>
              </w:rPr>
            </w:pPr>
            <w:r w:rsidRPr="00FF009C">
              <w:rPr>
                <w:noProof/>
              </w:rPr>
              <w:t> </w:t>
            </w:r>
          </w:p>
        </w:tc>
        <w:tc>
          <w:tcPr>
            <w:tcW w:w="3460" w:type="dxa"/>
            <w:vAlign w:val="center"/>
            <w:hideMark/>
          </w:tcPr>
          <w:p w14:paraId="71785D69" w14:textId="77777777" w:rsidR="000717DA" w:rsidRPr="00FF009C" w:rsidRDefault="000717DA">
            <w:pPr>
              <w:spacing w:before="0" w:after="0"/>
              <w:jc w:val="center"/>
              <w:rPr>
                <w:noProof/>
              </w:rPr>
            </w:pPr>
            <w:r w:rsidRPr="00FF009C">
              <w:rPr>
                <w:noProof/>
              </w:rPr>
              <w:t> </w:t>
            </w:r>
          </w:p>
        </w:tc>
        <w:tc>
          <w:tcPr>
            <w:tcW w:w="1060" w:type="dxa"/>
            <w:noWrap/>
            <w:vAlign w:val="center"/>
            <w:hideMark/>
          </w:tcPr>
          <w:p w14:paraId="31A47C0F" w14:textId="77777777" w:rsidR="000717DA" w:rsidRPr="00FF009C" w:rsidRDefault="000717DA">
            <w:pPr>
              <w:spacing w:before="0" w:after="0"/>
              <w:jc w:val="center"/>
              <w:rPr>
                <w:b/>
                <w:bCs/>
                <w:noProof/>
                <w:sz w:val="20"/>
                <w:szCs w:val="18"/>
              </w:rPr>
            </w:pPr>
            <w:r w:rsidRPr="00FF009C">
              <w:rPr>
                <w:b/>
                <w:noProof/>
                <w:sz w:val="20"/>
              </w:rPr>
              <w:t>2024</w:t>
            </w:r>
          </w:p>
        </w:tc>
        <w:tc>
          <w:tcPr>
            <w:tcW w:w="1060" w:type="dxa"/>
            <w:noWrap/>
            <w:vAlign w:val="center"/>
            <w:hideMark/>
          </w:tcPr>
          <w:p w14:paraId="0E38091E" w14:textId="77777777" w:rsidR="000717DA" w:rsidRPr="00FF009C" w:rsidRDefault="000717DA">
            <w:pPr>
              <w:spacing w:before="0" w:after="0"/>
              <w:jc w:val="center"/>
              <w:rPr>
                <w:b/>
                <w:bCs/>
                <w:noProof/>
                <w:sz w:val="20"/>
                <w:szCs w:val="18"/>
              </w:rPr>
            </w:pPr>
            <w:r w:rsidRPr="00FF009C">
              <w:rPr>
                <w:b/>
                <w:noProof/>
                <w:sz w:val="20"/>
              </w:rPr>
              <w:t>2025</w:t>
            </w:r>
          </w:p>
        </w:tc>
        <w:tc>
          <w:tcPr>
            <w:tcW w:w="1060" w:type="dxa"/>
            <w:noWrap/>
            <w:vAlign w:val="center"/>
            <w:hideMark/>
          </w:tcPr>
          <w:p w14:paraId="16C28A2F" w14:textId="77777777" w:rsidR="000717DA" w:rsidRPr="00FF009C" w:rsidRDefault="000717DA">
            <w:pPr>
              <w:spacing w:before="0" w:after="0"/>
              <w:jc w:val="center"/>
              <w:rPr>
                <w:b/>
                <w:bCs/>
                <w:noProof/>
                <w:sz w:val="20"/>
                <w:szCs w:val="18"/>
              </w:rPr>
            </w:pPr>
            <w:r w:rsidRPr="00FF009C">
              <w:rPr>
                <w:b/>
                <w:noProof/>
                <w:sz w:val="20"/>
              </w:rPr>
              <w:t>2026</w:t>
            </w:r>
          </w:p>
        </w:tc>
        <w:tc>
          <w:tcPr>
            <w:tcW w:w="1060" w:type="dxa"/>
            <w:noWrap/>
            <w:vAlign w:val="center"/>
            <w:hideMark/>
          </w:tcPr>
          <w:p w14:paraId="403BEF16" w14:textId="77777777" w:rsidR="000717DA" w:rsidRPr="00FF009C" w:rsidRDefault="000717DA">
            <w:pPr>
              <w:spacing w:before="0" w:after="0"/>
              <w:jc w:val="center"/>
              <w:rPr>
                <w:b/>
                <w:bCs/>
                <w:noProof/>
                <w:sz w:val="20"/>
                <w:szCs w:val="18"/>
              </w:rPr>
            </w:pPr>
            <w:r w:rsidRPr="00FF009C">
              <w:rPr>
                <w:b/>
                <w:noProof/>
                <w:sz w:val="20"/>
              </w:rPr>
              <w:t>2027</w:t>
            </w:r>
          </w:p>
        </w:tc>
        <w:tc>
          <w:tcPr>
            <w:tcW w:w="1200" w:type="dxa"/>
            <w:noWrap/>
            <w:vAlign w:val="center"/>
            <w:hideMark/>
          </w:tcPr>
          <w:p w14:paraId="564FF9CE" w14:textId="77777777" w:rsidR="000717DA" w:rsidRPr="00FF009C" w:rsidRDefault="000717DA">
            <w:pPr>
              <w:spacing w:before="0" w:after="0"/>
              <w:jc w:val="center"/>
              <w:rPr>
                <w:b/>
                <w:bCs/>
                <w:noProof/>
                <w:sz w:val="20"/>
                <w:szCs w:val="18"/>
              </w:rPr>
            </w:pPr>
            <w:r w:rsidRPr="00FF009C">
              <w:rPr>
                <w:b/>
                <w:noProof/>
                <w:sz w:val="20"/>
              </w:rPr>
              <w:t>OGÓŁEM</w:t>
            </w:r>
          </w:p>
        </w:tc>
      </w:tr>
      <w:tr w:rsidR="000717DA" w:rsidRPr="00FF009C" w14:paraId="5EF9AEDC" w14:textId="77777777" w:rsidTr="00977077">
        <w:trPr>
          <w:trHeight w:val="301"/>
          <w:jc w:val="center"/>
        </w:trPr>
        <w:tc>
          <w:tcPr>
            <w:tcW w:w="3900" w:type="dxa"/>
            <w:vMerge w:val="restart"/>
            <w:vAlign w:val="center"/>
            <w:hideMark/>
          </w:tcPr>
          <w:p w14:paraId="0ED28DB2" w14:textId="3E066B5A" w:rsidR="000717DA" w:rsidRPr="00FF009C" w:rsidRDefault="000717DA">
            <w:pPr>
              <w:spacing w:before="0" w:after="0"/>
              <w:jc w:val="center"/>
              <w:rPr>
                <w:b/>
                <w:bCs/>
                <w:noProof/>
              </w:rPr>
            </w:pPr>
            <w:r w:rsidRPr="00FF009C">
              <w:rPr>
                <w:b/>
                <w:noProof/>
                <w:sz w:val="22"/>
              </w:rPr>
              <w:t>OGÓŁEM środki na DZIAŁY od</w:t>
            </w:r>
            <w:r w:rsidR="00FF009C" w:rsidRPr="00FF009C">
              <w:rPr>
                <w:b/>
                <w:noProof/>
                <w:sz w:val="22"/>
              </w:rPr>
              <w:t> </w:t>
            </w:r>
            <w:r w:rsidRPr="00FF009C">
              <w:rPr>
                <w:b/>
                <w:noProof/>
                <w:sz w:val="22"/>
              </w:rPr>
              <w:t>1 do</w:t>
            </w:r>
            <w:r w:rsidR="00FF009C" w:rsidRPr="00FF009C">
              <w:rPr>
                <w:b/>
                <w:noProof/>
                <w:sz w:val="22"/>
              </w:rPr>
              <w:t> </w:t>
            </w:r>
            <w:r w:rsidRPr="00FF009C">
              <w:rPr>
                <w:b/>
                <w:noProof/>
                <w:sz w:val="22"/>
              </w:rPr>
              <w:t xml:space="preserve">7 wieloletnich ram finansowych </w:t>
            </w:r>
          </w:p>
        </w:tc>
        <w:tc>
          <w:tcPr>
            <w:tcW w:w="3460" w:type="dxa"/>
            <w:vAlign w:val="center"/>
            <w:hideMark/>
          </w:tcPr>
          <w:p w14:paraId="3E929266" w14:textId="77777777" w:rsidR="000717DA" w:rsidRPr="00FF009C" w:rsidRDefault="000717DA">
            <w:pPr>
              <w:spacing w:before="0" w:after="0"/>
              <w:jc w:val="center"/>
              <w:rPr>
                <w:noProof/>
                <w:sz w:val="18"/>
                <w:szCs w:val="16"/>
              </w:rPr>
            </w:pPr>
            <w:r w:rsidRPr="00FF009C">
              <w:rPr>
                <w:noProof/>
                <w:sz w:val="18"/>
              </w:rPr>
              <w:t>Środki na zobowiązania</w:t>
            </w:r>
          </w:p>
        </w:tc>
        <w:tc>
          <w:tcPr>
            <w:tcW w:w="1060" w:type="dxa"/>
            <w:noWrap/>
            <w:vAlign w:val="center"/>
            <w:hideMark/>
          </w:tcPr>
          <w:p w14:paraId="18071764" w14:textId="77777777" w:rsidR="000717DA" w:rsidRPr="00FF009C" w:rsidRDefault="000717DA">
            <w:pPr>
              <w:spacing w:before="0" w:after="0"/>
              <w:jc w:val="right"/>
              <w:rPr>
                <w:noProof/>
                <w:sz w:val="20"/>
                <w:szCs w:val="18"/>
              </w:rPr>
            </w:pPr>
            <w:r w:rsidRPr="00FF009C">
              <w:rPr>
                <w:noProof/>
                <w:sz w:val="20"/>
              </w:rPr>
              <w:t>0,002</w:t>
            </w:r>
          </w:p>
        </w:tc>
        <w:tc>
          <w:tcPr>
            <w:tcW w:w="1060" w:type="dxa"/>
            <w:noWrap/>
            <w:vAlign w:val="center"/>
            <w:hideMark/>
          </w:tcPr>
          <w:p w14:paraId="631923FA" w14:textId="77777777" w:rsidR="000717DA" w:rsidRPr="00FF009C" w:rsidRDefault="000717DA">
            <w:pPr>
              <w:spacing w:before="0" w:after="0"/>
              <w:jc w:val="right"/>
              <w:rPr>
                <w:noProof/>
                <w:sz w:val="20"/>
                <w:szCs w:val="18"/>
              </w:rPr>
            </w:pPr>
            <w:r w:rsidRPr="00FF009C">
              <w:rPr>
                <w:noProof/>
                <w:sz w:val="20"/>
              </w:rPr>
              <w:t>15,892</w:t>
            </w:r>
          </w:p>
        </w:tc>
        <w:tc>
          <w:tcPr>
            <w:tcW w:w="1060" w:type="dxa"/>
            <w:noWrap/>
            <w:vAlign w:val="center"/>
            <w:hideMark/>
          </w:tcPr>
          <w:p w14:paraId="5686270E" w14:textId="77777777" w:rsidR="000717DA" w:rsidRPr="00FF009C" w:rsidRDefault="000717DA">
            <w:pPr>
              <w:spacing w:before="0" w:after="0"/>
              <w:jc w:val="right"/>
              <w:rPr>
                <w:noProof/>
                <w:sz w:val="20"/>
                <w:szCs w:val="18"/>
              </w:rPr>
            </w:pPr>
            <w:r w:rsidRPr="00FF009C">
              <w:rPr>
                <w:noProof/>
                <w:sz w:val="20"/>
              </w:rPr>
              <w:t>20,115</w:t>
            </w:r>
          </w:p>
        </w:tc>
        <w:tc>
          <w:tcPr>
            <w:tcW w:w="1060" w:type="dxa"/>
            <w:noWrap/>
            <w:vAlign w:val="center"/>
            <w:hideMark/>
          </w:tcPr>
          <w:p w14:paraId="739519E0" w14:textId="77777777" w:rsidR="000717DA" w:rsidRPr="00FF009C" w:rsidRDefault="000717DA">
            <w:pPr>
              <w:spacing w:before="0" w:after="0"/>
              <w:jc w:val="right"/>
              <w:rPr>
                <w:noProof/>
                <w:sz w:val="20"/>
                <w:szCs w:val="18"/>
              </w:rPr>
            </w:pPr>
            <w:r w:rsidRPr="00FF009C">
              <w:rPr>
                <w:noProof/>
                <w:sz w:val="20"/>
              </w:rPr>
              <w:t>14,065</w:t>
            </w:r>
          </w:p>
        </w:tc>
        <w:tc>
          <w:tcPr>
            <w:tcW w:w="1200" w:type="dxa"/>
            <w:noWrap/>
            <w:vAlign w:val="center"/>
            <w:hideMark/>
          </w:tcPr>
          <w:p w14:paraId="3A0EA5C1" w14:textId="77777777" w:rsidR="000717DA" w:rsidRPr="00FF009C" w:rsidRDefault="000717DA">
            <w:pPr>
              <w:spacing w:before="0" w:after="0"/>
              <w:jc w:val="right"/>
              <w:rPr>
                <w:b/>
                <w:bCs/>
                <w:noProof/>
                <w:sz w:val="20"/>
                <w:szCs w:val="18"/>
              </w:rPr>
            </w:pPr>
            <w:r w:rsidRPr="00FF009C">
              <w:rPr>
                <w:b/>
                <w:noProof/>
                <w:sz w:val="20"/>
              </w:rPr>
              <w:t>50,073</w:t>
            </w:r>
          </w:p>
        </w:tc>
      </w:tr>
      <w:tr w:rsidR="000717DA" w:rsidRPr="00FF009C" w14:paraId="2F9BEFF6" w14:textId="77777777" w:rsidTr="00977077">
        <w:trPr>
          <w:trHeight w:val="301"/>
          <w:jc w:val="center"/>
        </w:trPr>
        <w:tc>
          <w:tcPr>
            <w:tcW w:w="3900" w:type="dxa"/>
            <w:vMerge/>
            <w:vAlign w:val="center"/>
            <w:hideMark/>
          </w:tcPr>
          <w:p w14:paraId="2BB60E48" w14:textId="77777777" w:rsidR="000717DA" w:rsidRPr="00FF009C" w:rsidRDefault="000717DA">
            <w:pPr>
              <w:spacing w:before="0" w:after="0"/>
              <w:jc w:val="center"/>
              <w:rPr>
                <w:b/>
                <w:bCs/>
                <w:noProof/>
              </w:rPr>
            </w:pPr>
          </w:p>
        </w:tc>
        <w:tc>
          <w:tcPr>
            <w:tcW w:w="3460" w:type="dxa"/>
            <w:vAlign w:val="center"/>
            <w:hideMark/>
          </w:tcPr>
          <w:p w14:paraId="024EAA44" w14:textId="77777777" w:rsidR="000717DA" w:rsidRPr="00FF009C" w:rsidRDefault="000717DA">
            <w:pPr>
              <w:spacing w:before="0" w:after="0"/>
              <w:jc w:val="center"/>
              <w:rPr>
                <w:noProof/>
                <w:sz w:val="18"/>
                <w:szCs w:val="16"/>
              </w:rPr>
            </w:pPr>
            <w:r w:rsidRPr="00FF009C">
              <w:rPr>
                <w:noProof/>
                <w:sz w:val="18"/>
              </w:rPr>
              <w:t>Środki na płatności</w:t>
            </w:r>
          </w:p>
        </w:tc>
        <w:tc>
          <w:tcPr>
            <w:tcW w:w="1060" w:type="dxa"/>
            <w:noWrap/>
            <w:vAlign w:val="center"/>
            <w:hideMark/>
          </w:tcPr>
          <w:p w14:paraId="1EE69878" w14:textId="77777777" w:rsidR="000717DA" w:rsidRPr="00FF009C" w:rsidRDefault="000717DA">
            <w:pPr>
              <w:spacing w:before="0" w:after="0"/>
              <w:jc w:val="right"/>
              <w:rPr>
                <w:noProof/>
                <w:sz w:val="20"/>
                <w:szCs w:val="18"/>
              </w:rPr>
            </w:pPr>
            <w:r w:rsidRPr="00FF009C">
              <w:rPr>
                <w:noProof/>
                <w:sz w:val="20"/>
              </w:rPr>
              <w:t>0,002</w:t>
            </w:r>
          </w:p>
        </w:tc>
        <w:tc>
          <w:tcPr>
            <w:tcW w:w="1060" w:type="dxa"/>
            <w:noWrap/>
            <w:vAlign w:val="center"/>
            <w:hideMark/>
          </w:tcPr>
          <w:p w14:paraId="0F73FC0E" w14:textId="77777777" w:rsidR="000717DA" w:rsidRPr="00FF009C" w:rsidRDefault="000717DA">
            <w:pPr>
              <w:spacing w:before="0" w:after="0"/>
              <w:jc w:val="right"/>
              <w:rPr>
                <w:noProof/>
                <w:sz w:val="20"/>
                <w:szCs w:val="18"/>
              </w:rPr>
            </w:pPr>
            <w:r w:rsidRPr="00FF009C">
              <w:rPr>
                <w:noProof/>
                <w:sz w:val="20"/>
              </w:rPr>
              <w:t>15,892</w:t>
            </w:r>
          </w:p>
        </w:tc>
        <w:tc>
          <w:tcPr>
            <w:tcW w:w="1060" w:type="dxa"/>
            <w:noWrap/>
            <w:vAlign w:val="center"/>
            <w:hideMark/>
          </w:tcPr>
          <w:p w14:paraId="6F996200" w14:textId="77777777" w:rsidR="000717DA" w:rsidRPr="00FF009C" w:rsidRDefault="000717DA">
            <w:pPr>
              <w:spacing w:before="0" w:after="0"/>
              <w:jc w:val="right"/>
              <w:rPr>
                <w:noProof/>
                <w:sz w:val="20"/>
                <w:szCs w:val="18"/>
              </w:rPr>
            </w:pPr>
            <w:r w:rsidRPr="00FF009C">
              <w:rPr>
                <w:noProof/>
                <w:sz w:val="20"/>
              </w:rPr>
              <w:t>20,115</w:t>
            </w:r>
          </w:p>
        </w:tc>
        <w:tc>
          <w:tcPr>
            <w:tcW w:w="1060" w:type="dxa"/>
            <w:noWrap/>
            <w:vAlign w:val="center"/>
            <w:hideMark/>
          </w:tcPr>
          <w:p w14:paraId="6A518DB0" w14:textId="77777777" w:rsidR="000717DA" w:rsidRPr="00FF009C" w:rsidRDefault="000717DA">
            <w:pPr>
              <w:spacing w:before="0" w:after="0"/>
              <w:jc w:val="right"/>
              <w:rPr>
                <w:noProof/>
                <w:sz w:val="20"/>
                <w:szCs w:val="18"/>
              </w:rPr>
            </w:pPr>
            <w:r w:rsidRPr="00FF009C">
              <w:rPr>
                <w:noProof/>
                <w:sz w:val="20"/>
              </w:rPr>
              <w:t>14,065</w:t>
            </w:r>
          </w:p>
        </w:tc>
        <w:tc>
          <w:tcPr>
            <w:tcW w:w="1200" w:type="dxa"/>
            <w:noWrap/>
            <w:vAlign w:val="center"/>
            <w:hideMark/>
          </w:tcPr>
          <w:p w14:paraId="55B58429" w14:textId="77777777" w:rsidR="000717DA" w:rsidRPr="00FF009C" w:rsidRDefault="000717DA">
            <w:pPr>
              <w:spacing w:before="0" w:after="0"/>
              <w:jc w:val="right"/>
              <w:rPr>
                <w:b/>
                <w:bCs/>
                <w:noProof/>
                <w:sz w:val="20"/>
                <w:szCs w:val="18"/>
              </w:rPr>
            </w:pPr>
            <w:r w:rsidRPr="00FF009C">
              <w:rPr>
                <w:b/>
                <w:noProof/>
                <w:sz w:val="20"/>
              </w:rPr>
              <w:t>50,073</w:t>
            </w:r>
          </w:p>
        </w:tc>
      </w:tr>
    </w:tbl>
    <w:p w14:paraId="0C518CC2" w14:textId="77777777" w:rsidR="00C90469" w:rsidRPr="00FF009C" w:rsidRDefault="00C90469" w:rsidP="0014309B">
      <w:pPr>
        <w:ind w:firstLine="720"/>
        <w:rPr>
          <w:noProof/>
          <w:sz w:val="20"/>
        </w:rPr>
      </w:pPr>
    </w:p>
    <w:p w14:paraId="2F91A088" w14:textId="232ACCF4" w:rsidR="00412725" w:rsidRPr="00FF009C" w:rsidRDefault="00E32163" w:rsidP="0014309B">
      <w:pPr>
        <w:ind w:firstLine="720"/>
        <w:rPr>
          <w:noProof/>
          <w:sz w:val="20"/>
        </w:rPr>
      </w:pPr>
      <w:r w:rsidRPr="00FF009C">
        <w:rPr>
          <w:noProof/>
          <w:sz w:val="18"/>
        </w:rPr>
        <w:t>Potrzeby</w:t>
      </w:r>
      <w:r w:rsidR="00FF009C" w:rsidRPr="00FF009C">
        <w:rPr>
          <w:noProof/>
          <w:sz w:val="18"/>
        </w:rPr>
        <w:t xml:space="preserve"> w</w:t>
      </w:r>
      <w:r w:rsidR="00FF009C">
        <w:rPr>
          <w:noProof/>
          <w:sz w:val="18"/>
        </w:rPr>
        <w:t> </w:t>
      </w:r>
      <w:r w:rsidR="00FF009C" w:rsidRPr="00FF009C">
        <w:rPr>
          <w:noProof/>
          <w:sz w:val="18"/>
        </w:rPr>
        <w:t>zak</w:t>
      </w:r>
      <w:r w:rsidRPr="00FF009C">
        <w:rPr>
          <w:noProof/>
          <w:sz w:val="18"/>
        </w:rPr>
        <w:t>resie środków na zasoby ludzkie</w:t>
      </w:r>
      <w:r w:rsidR="00FF009C" w:rsidRPr="00FF009C">
        <w:rPr>
          <w:noProof/>
          <w:sz w:val="18"/>
        </w:rPr>
        <w:t xml:space="preserve"> i</w:t>
      </w:r>
      <w:r w:rsidR="00FF009C">
        <w:rPr>
          <w:noProof/>
          <w:sz w:val="18"/>
        </w:rPr>
        <w:t> </w:t>
      </w:r>
      <w:r w:rsidR="00FF009C" w:rsidRPr="00FF009C">
        <w:rPr>
          <w:noProof/>
          <w:sz w:val="18"/>
        </w:rPr>
        <w:t>inn</w:t>
      </w:r>
      <w:r w:rsidRPr="00FF009C">
        <w:rPr>
          <w:noProof/>
          <w:sz w:val="18"/>
        </w:rPr>
        <w:t>e wydatki</w:t>
      </w:r>
      <w:r w:rsidR="00FF009C" w:rsidRPr="00FF009C">
        <w:rPr>
          <w:noProof/>
          <w:sz w:val="18"/>
        </w:rPr>
        <w:t xml:space="preserve"> o</w:t>
      </w:r>
      <w:r w:rsidR="00FF009C">
        <w:rPr>
          <w:noProof/>
          <w:sz w:val="18"/>
        </w:rPr>
        <w:t> </w:t>
      </w:r>
      <w:r w:rsidR="00FF009C" w:rsidRPr="00FF009C">
        <w:rPr>
          <w:noProof/>
          <w:sz w:val="18"/>
        </w:rPr>
        <w:t>cha</w:t>
      </w:r>
      <w:r w:rsidRPr="00FF009C">
        <w:rPr>
          <w:noProof/>
          <w:sz w:val="18"/>
        </w:rPr>
        <w:t>rakterze administracyjnym zostaną pokryte</w:t>
      </w:r>
      <w:r w:rsidR="00FF009C" w:rsidRPr="00FF009C">
        <w:rPr>
          <w:noProof/>
          <w:sz w:val="18"/>
        </w:rPr>
        <w:t xml:space="preserve"> z</w:t>
      </w:r>
      <w:r w:rsidR="00FF009C">
        <w:rPr>
          <w:noProof/>
          <w:sz w:val="18"/>
        </w:rPr>
        <w:t> </w:t>
      </w:r>
      <w:r w:rsidR="00FF009C" w:rsidRPr="00FF009C">
        <w:rPr>
          <w:noProof/>
          <w:sz w:val="18"/>
        </w:rPr>
        <w:t>zas</w:t>
      </w:r>
      <w:r w:rsidRPr="00FF009C">
        <w:rPr>
          <w:noProof/>
          <w:sz w:val="18"/>
        </w:rPr>
        <w:t>obów dyrekcji generalnej już przydzielonych na zarządzanie tym działaniem lub przesuniętych</w:t>
      </w:r>
      <w:r w:rsidR="00FF009C" w:rsidRPr="00FF009C">
        <w:rPr>
          <w:noProof/>
          <w:sz w:val="18"/>
        </w:rPr>
        <w:t xml:space="preserve"> w</w:t>
      </w:r>
      <w:r w:rsidR="00FF009C">
        <w:rPr>
          <w:noProof/>
          <w:sz w:val="18"/>
        </w:rPr>
        <w:t> </w:t>
      </w:r>
      <w:r w:rsidR="00FF009C" w:rsidRPr="00FF009C">
        <w:rPr>
          <w:noProof/>
          <w:sz w:val="18"/>
        </w:rPr>
        <w:t>ram</w:t>
      </w:r>
      <w:r w:rsidRPr="00FF009C">
        <w:rPr>
          <w:noProof/>
          <w:sz w:val="18"/>
        </w:rPr>
        <w:t>ach dyrekcji generalnej, uzupełnionych</w:t>
      </w:r>
      <w:r w:rsidR="00FF009C" w:rsidRPr="00FF009C">
        <w:rPr>
          <w:noProof/>
          <w:sz w:val="18"/>
        </w:rPr>
        <w:t xml:space="preserve"> w</w:t>
      </w:r>
      <w:r w:rsidR="00FF009C">
        <w:rPr>
          <w:noProof/>
          <w:sz w:val="18"/>
        </w:rPr>
        <w:t> </w:t>
      </w:r>
      <w:r w:rsidR="00FF009C" w:rsidRPr="00FF009C">
        <w:rPr>
          <w:noProof/>
          <w:sz w:val="18"/>
        </w:rPr>
        <w:t>raz</w:t>
      </w:r>
      <w:r w:rsidRPr="00FF009C">
        <w:rPr>
          <w:noProof/>
          <w:sz w:val="18"/>
        </w:rPr>
        <w:t>ie potrzeby wszelkimi dodatkowymi zasobami, które mogą zostać przydzielone zarządzającej dyrekcji generalnej</w:t>
      </w:r>
      <w:r w:rsidR="00FF009C" w:rsidRPr="00FF009C">
        <w:rPr>
          <w:noProof/>
          <w:sz w:val="18"/>
        </w:rPr>
        <w:t xml:space="preserve"> w</w:t>
      </w:r>
      <w:r w:rsidR="00FF009C">
        <w:rPr>
          <w:noProof/>
          <w:sz w:val="18"/>
        </w:rPr>
        <w:t> </w:t>
      </w:r>
      <w:r w:rsidR="00FF009C" w:rsidRPr="00FF009C">
        <w:rPr>
          <w:noProof/>
          <w:sz w:val="18"/>
        </w:rPr>
        <w:t>ram</w:t>
      </w:r>
      <w:r w:rsidRPr="00FF009C">
        <w:rPr>
          <w:noProof/>
          <w:sz w:val="18"/>
        </w:rPr>
        <w:t>ach procedury rocznego przydziału środków oraz</w:t>
      </w:r>
      <w:r w:rsidR="00FF009C" w:rsidRPr="00FF009C">
        <w:rPr>
          <w:noProof/>
          <w:sz w:val="18"/>
        </w:rPr>
        <w:t xml:space="preserve"> w</w:t>
      </w:r>
      <w:r w:rsidR="00FF009C">
        <w:rPr>
          <w:noProof/>
          <w:sz w:val="18"/>
        </w:rPr>
        <w:t> </w:t>
      </w:r>
      <w:r w:rsidR="00FF009C" w:rsidRPr="00FF009C">
        <w:rPr>
          <w:noProof/>
          <w:sz w:val="18"/>
        </w:rPr>
        <w:t>świ</w:t>
      </w:r>
      <w:r w:rsidRPr="00FF009C">
        <w:rPr>
          <w:noProof/>
          <w:sz w:val="18"/>
        </w:rPr>
        <w:t>etle istniejących ograniczeń budżetowych.</w:t>
      </w:r>
    </w:p>
    <w:p w14:paraId="00C841C6" w14:textId="77777777" w:rsidR="00C90469" w:rsidRPr="00FF009C" w:rsidRDefault="00C90469" w:rsidP="0014309B">
      <w:pPr>
        <w:ind w:firstLine="720"/>
        <w:rPr>
          <w:noProof/>
          <w:sz w:val="20"/>
        </w:rPr>
      </w:pPr>
    </w:p>
    <w:p w14:paraId="1D8FFD88" w14:textId="77777777" w:rsidR="0014309B" w:rsidRPr="00FF009C" w:rsidRDefault="0014309B" w:rsidP="0014309B">
      <w:pPr>
        <w:rPr>
          <w:noProof/>
        </w:rPr>
        <w:sectPr w:rsidR="0014309B" w:rsidRPr="00FF009C" w:rsidSect="004E3534">
          <w:headerReference w:type="default" r:id="rId13"/>
          <w:footerReference w:type="default" r:id="rId14"/>
          <w:headerReference w:type="first" r:id="rId15"/>
          <w:footerReference w:type="first" r:id="rId16"/>
          <w:pgSz w:w="15840" w:h="12240" w:orient="landscape"/>
          <w:pgMar w:top="1134" w:right="1077" w:bottom="902" w:left="1247" w:header="709" w:footer="510" w:gutter="0"/>
          <w:cols w:space="720"/>
          <w:docGrid w:linePitch="326"/>
        </w:sectPr>
      </w:pPr>
    </w:p>
    <w:p w14:paraId="37FE1184" w14:textId="77777777" w:rsidR="0014309B" w:rsidRPr="00FF009C" w:rsidRDefault="0014309B">
      <w:pPr>
        <w:pStyle w:val="ManualHeading3"/>
        <w:ind w:left="851" w:hanging="851"/>
        <w:rPr>
          <w:noProof/>
        </w:rPr>
      </w:pPr>
      <w:bookmarkStart w:id="64" w:name="_Toc514938687"/>
      <w:bookmarkStart w:id="65" w:name="_Toc155952169"/>
      <w:bookmarkStart w:id="66" w:name="_Hlk151388701"/>
      <w:r w:rsidRPr="00FF009C">
        <w:rPr>
          <w:noProof/>
        </w:rPr>
        <w:t>3.2.2.</w:t>
      </w:r>
      <w:r w:rsidRPr="00FF009C">
        <w:rPr>
          <w:noProof/>
        </w:rPr>
        <w:tab/>
        <w:t>Szacunkowy wpływ na środki Europolu</w:t>
      </w:r>
      <w:bookmarkEnd w:id="64"/>
      <w:bookmarkEnd w:id="65"/>
      <w:r w:rsidRPr="00FF009C">
        <w:rPr>
          <w:noProof/>
        </w:rPr>
        <w:t xml:space="preserve"> </w:t>
      </w:r>
    </w:p>
    <w:p w14:paraId="28F2C265" w14:textId="63343E10" w:rsidR="0014309B" w:rsidRPr="00FF009C" w:rsidRDefault="0014309B" w:rsidP="002073EE">
      <w:pPr>
        <w:pStyle w:val="ListDash1"/>
        <w:numPr>
          <w:ilvl w:val="0"/>
          <w:numId w:val="19"/>
        </w:numPr>
        <w:rPr>
          <w:noProof/>
        </w:rPr>
      </w:pPr>
      <w:r w:rsidRPr="00FF009C">
        <w:rPr>
          <w:rFonts w:ascii="Wingdings" w:hAnsi="Wingdings"/>
          <w:noProof/>
        </w:rPr>
        <w:t></w:t>
      </w:r>
      <w:r w:rsidRPr="00FF009C">
        <w:rPr>
          <w:noProof/>
        </w:rPr>
        <w:tab/>
        <w:t>Wniosek/inicjatywa nie wiąże się</w:t>
      </w:r>
      <w:r w:rsidR="00FF009C" w:rsidRPr="00FF009C">
        <w:rPr>
          <w:noProof/>
        </w:rPr>
        <w:t xml:space="preserve"> z</w:t>
      </w:r>
      <w:r w:rsidR="00FF009C">
        <w:rPr>
          <w:noProof/>
        </w:rPr>
        <w:t> </w:t>
      </w:r>
      <w:r w:rsidR="00FF009C" w:rsidRPr="00FF009C">
        <w:rPr>
          <w:noProof/>
        </w:rPr>
        <w:t>kon</w:t>
      </w:r>
      <w:r w:rsidRPr="00FF009C">
        <w:rPr>
          <w:noProof/>
        </w:rPr>
        <w:t xml:space="preserve">iecznością wykorzystania środków operacyjnych </w:t>
      </w:r>
    </w:p>
    <w:p w14:paraId="041858CA" w14:textId="009E0309" w:rsidR="0014309B" w:rsidRPr="00FF009C" w:rsidRDefault="0014309B" w:rsidP="002073EE">
      <w:pPr>
        <w:pStyle w:val="ListDash1"/>
        <w:numPr>
          <w:ilvl w:val="0"/>
          <w:numId w:val="19"/>
        </w:numPr>
        <w:ind w:left="1135" w:hanging="284"/>
        <w:rPr>
          <w:noProof/>
        </w:rPr>
      </w:pPr>
      <w:r w:rsidRPr="00FF009C">
        <w:rPr>
          <w:rFonts w:ascii="Wingdings" w:hAnsi="Wingdings"/>
          <w:noProof/>
        </w:rPr>
        <w:t></w:t>
      </w:r>
      <w:r w:rsidRPr="00FF009C">
        <w:rPr>
          <w:noProof/>
        </w:rPr>
        <w:tab/>
        <w:t>Wniosek/inicjatywa wiąże się</w:t>
      </w:r>
      <w:r w:rsidR="00FF009C" w:rsidRPr="00FF009C">
        <w:rPr>
          <w:noProof/>
        </w:rPr>
        <w:t xml:space="preserve"> z</w:t>
      </w:r>
      <w:r w:rsidR="00FF009C">
        <w:rPr>
          <w:noProof/>
        </w:rPr>
        <w:t> </w:t>
      </w:r>
      <w:r w:rsidR="00FF009C" w:rsidRPr="00FF009C">
        <w:rPr>
          <w:noProof/>
        </w:rPr>
        <w:t>kon</w:t>
      </w:r>
      <w:r w:rsidRPr="00FF009C">
        <w:rPr>
          <w:noProof/>
        </w:rPr>
        <w:t>iecznością wykorzystania środków operacyjnych, jak określono poniżej:</w:t>
      </w:r>
    </w:p>
    <w:p w14:paraId="3512E46C" w14:textId="55720E80" w:rsidR="0014309B" w:rsidRPr="00FF009C" w:rsidRDefault="0014309B" w:rsidP="0014309B">
      <w:pPr>
        <w:tabs>
          <w:tab w:val="left" w:pos="2552"/>
        </w:tabs>
        <w:rPr>
          <w:noProof/>
          <w:sz w:val="20"/>
        </w:rPr>
      </w:pPr>
      <w:r w:rsidRPr="00FF009C">
        <w:rPr>
          <w:noProof/>
          <w:sz w:val="20"/>
        </w:rPr>
        <w:tab/>
      </w:r>
      <w:r w:rsidRPr="00FF009C">
        <w:rPr>
          <w:noProof/>
          <w:sz w:val="20"/>
        </w:rPr>
        <w:tab/>
      </w:r>
      <w:r w:rsidRPr="00FF009C">
        <w:rPr>
          <w:noProof/>
          <w:sz w:val="20"/>
        </w:rPr>
        <w:tab/>
      </w:r>
      <w:r w:rsidRPr="00FF009C">
        <w:rPr>
          <w:noProof/>
          <w:sz w:val="20"/>
        </w:rPr>
        <w:tab/>
      </w:r>
      <w:r w:rsidRPr="00FF009C">
        <w:rPr>
          <w:noProof/>
          <w:sz w:val="20"/>
        </w:rPr>
        <w:tab/>
      </w:r>
      <w:r w:rsidRPr="00FF009C">
        <w:rPr>
          <w:noProof/>
          <w:sz w:val="20"/>
        </w:rPr>
        <w:tab/>
      </w:r>
      <w:r w:rsidRPr="00FF009C">
        <w:rPr>
          <w:noProof/>
          <w:sz w:val="20"/>
        </w:rPr>
        <w:tab/>
      </w:r>
      <w:r w:rsidRPr="00FF009C">
        <w:rPr>
          <w:noProof/>
          <w:sz w:val="20"/>
        </w:rPr>
        <w:tab/>
      </w:r>
      <w:r w:rsidRPr="00FF009C">
        <w:rPr>
          <w:noProof/>
          <w:sz w:val="20"/>
        </w:rPr>
        <w:tab/>
        <w:t>kwoty</w:t>
      </w:r>
      <w:r w:rsidR="00FF009C" w:rsidRPr="00FF009C">
        <w:rPr>
          <w:noProof/>
          <w:sz w:val="20"/>
        </w:rPr>
        <w:t xml:space="preserve"> w</w:t>
      </w:r>
      <w:r w:rsidR="00FF009C">
        <w:rPr>
          <w:noProof/>
          <w:sz w:val="20"/>
        </w:rPr>
        <w:t> </w:t>
      </w:r>
      <w:r w:rsidR="00FF009C" w:rsidRPr="00FF009C">
        <w:rPr>
          <w:noProof/>
          <w:sz w:val="20"/>
        </w:rPr>
        <w:t>mln</w:t>
      </w:r>
      <w:r w:rsidRPr="00FF009C">
        <w:rPr>
          <w:noProof/>
          <w:sz w:val="20"/>
        </w:rPr>
        <w:t xml:space="preserve"> EUR (do trzech miejsc po przecinku)</w:t>
      </w:r>
    </w:p>
    <w:tbl>
      <w:tblPr>
        <w:tblW w:w="10741" w:type="dxa"/>
        <w:jc w:val="center"/>
        <w:tblLook w:val="04A0" w:firstRow="1" w:lastRow="0" w:firstColumn="1" w:lastColumn="0" w:noHBand="0" w:noVBand="1"/>
      </w:tblPr>
      <w:tblGrid>
        <w:gridCol w:w="787"/>
        <w:gridCol w:w="4380"/>
        <w:gridCol w:w="820"/>
        <w:gridCol w:w="1206"/>
        <w:gridCol w:w="1206"/>
        <w:gridCol w:w="1206"/>
        <w:gridCol w:w="1206"/>
      </w:tblGrid>
      <w:tr w:rsidR="007502D3" w:rsidRPr="00FF009C" w14:paraId="483B5EDD" w14:textId="77777777" w:rsidTr="003B0D94">
        <w:trPr>
          <w:trHeight w:val="267"/>
          <w:jc w:val="center"/>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1CF10" w14:textId="77777777" w:rsidR="0014309B" w:rsidRPr="00FF009C" w:rsidRDefault="0014309B" w:rsidP="002467B1">
            <w:pPr>
              <w:spacing w:before="0" w:after="0"/>
              <w:jc w:val="center"/>
              <w:rPr>
                <w:rFonts w:eastAsia="Times New Roman"/>
                <w:b/>
                <w:bCs/>
                <w:noProof/>
                <w:sz w:val="18"/>
                <w:szCs w:val="18"/>
              </w:rPr>
            </w:pPr>
            <w:bookmarkStart w:id="67" w:name="RANGE!A2:N3"/>
            <w:bookmarkEnd w:id="66"/>
            <w:r w:rsidRPr="00FF009C">
              <w:rPr>
                <w:b/>
                <w:noProof/>
                <w:sz w:val="18"/>
              </w:rPr>
              <w:t> </w:t>
            </w:r>
            <w:bookmarkEnd w:id="67"/>
          </w:p>
        </w:tc>
        <w:tc>
          <w:tcPr>
            <w:tcW w:w="4380" w:type="dxa"/>
            <w:tcBorders>
              <w:top w:val="single" w:sz="4" w:space="0" w:color="auto"/>
              <w:left w:val="nil"/>
              <w:bottom w:val="single" w:sz="4" w:space="0" w:color="auto"/>
              <w:right w:val="single" w:sz="4" w:space="0" w:color="auto"/>
            </w:tcBorders>
            <w:shd w:val="clear" w:color="auto" w:fill="auto"/>
            <w:noWrap/>
            <w:vAlign w:val="center"/>
            <w:hideMark/>
          </w:tcPr>
          <w:p w14:paraId="7C016BC1" w14:textId="0BD7ED63" w:rsidR="0014309B" w:rsidRPr="00FF009C" w:rsidRDefault="0014309B" w:rsidP="002467B1">
            <w:pPr>
              <w:spacing w:before="0" w:after="0"/>
              <w:jc w:val="center"/>
              <w:rPr>
                <w:rFonts w:eastAsia="Times New Roman"/>
                <w:b/>
                <w:bCs/>
                <w:noProof/>
                <w:sz w:val="18"/>
                <w:szCs w:val="18"/>
              </w:rPr>
            </w:pPr>
            <w:r w:rsidRPr="00FF009C">
              <w:rPr>
                <w:b/>
                <w:noProof/>
                <w:sz w:val="18"/>
              </w:rPr>
              <w:t>Określić cele</w:t>
            </w:r>
            <w:r w:rsidR="00FF009C" w:rsidRPr="00FF009C">
              <w:rPr>
                <w:b/>
                <w:noProof/>
                <w:sz w:val="18"/>
              </w:rPr>
              <w:t xml:space="preserve"> i</w:t>
            </w:r>
            <w:r w:rsidR="00FF009C">
              <w:rPr>
                <w:b/>
                <w:noProof/>
                <w:sz w:val="18"/>
              </w:rPr>
              <w:t> </w:t>
            </w:r>
            <w:r w:rsidR="00FF009C" w:rsidRPr="00FF009C">
              <w:rPr>
                <w:b/>
                <w:noProof/>
                <w:sz w:val="18"/>
              </w:rPr>
              <w:t>pro</w:t>
            </w:r>
            <w:r w:rsidRPr="00FF009C">
              <w:rPr>
                <w:b/>
                <w:noProof/>
                <w:sz w:val="18"/>
              </w:rPr>
              <w:t xml:space="preserve">dukty </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5D8FCE3C" w14:textId="77777777" w:rsidR="0014309B" w:rsidRPr="00FF009C" w:rsidRDefault="0014309B" w:rsidP="002467B1">
            <w:pPr>
              <w:spacing w:before="0" w:after="0"/>
              <w:jc w:val="center"/>
              <w:rPr>
                <w:rFonts w:eastAsia="Times New Roman"/>
                <w:b/>
                <w:bCs/>
                <w:noProof/>
                <w:sz w:val="18"/>
                <w:szCs w:val="18"/>
              </w:rPr>
            </w:pPr>
            <w:r w:rsidRPr="00FF009C">
              <w:rPr>
                <w:b/>
                <w:noProof/>
                <w:sz w:val="18"/>
              </w:rPr>
              <w:t>2024</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70E7CF33" w14:textId="77777777" w:rsidR="0014309B" w:rsidRPr="00FF009C" w:rsidRDefault="0014309B" w:rsidP="002467B1">
            <w:pPr>
              <w:spacing w:before="0" w:after="0"/>
              <w:jc w:val="center"/>
              <w:rPr>
                <w:rFonts w:eastAsia="Times New Roman"/>
                <w:b/>
                <w:bCs/>
                <w:noProof/>
                <w:sz w:val="18"/>
                <w:szCs w:val="18"/>
              </w:rPr>
            </w:pPr>
            <w:r w:rsidRPr="00FF009C">
              <w:rPr>
                <w:b/>
                <w:noProof/>
                <w:sz w:val="18"/>
              </w:rPr>
              <w:t>2025</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0804DDF4" w14:textId="77777777" w:rsidR="0014309B" w:rsidRPr="00FF009C" w:rsidRDefault="0014309B" w:rsidP="002467B1">
            <w:pPr>
              <w:spacing w:before="0" w:after="0"/>
              <w:jc w:val="center"/>
              <w:rPr>
                <w:rFonts w:eastAsia="Times New Roman"/>
                <w:b/>
                <w:bCs/>
                <w:noProof/>
                <w:sz w:val="18"/>
                <w:szCs w:val="18"/>
              </w:rPr>
            </w:pPr>
            <w:r w:rsidRPr="00FF009C">
              <w:rPr>
                <w:b/>
                <w:noProof/>
                <w:sz w:val="18"/>
              </w:rPr>
              <w:t>2026</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3DC38806" w14:textId="77777777" w:rsidR="0014309B" w:rsidRPr="00FF009C" w:rsidRDefault="0014309B" w:rsidP="002467B1">
            <w:pPr>
              <w:spacing w:before="0" w:after="0"/>
              <w:jc w:val="center"/>
              <w:rPr>
                <w:rFonts w:eastAsia="Times New Roman"/>
                <w:b/>
                <w:bCs/>
                <w:noProof/>
                <w:sz w:val="18"/>
                <w:szCs w:val="18"/>
              </w:rPr>
            </w:pPr>
            <w:r w:rsidRPr="00FF009C">
              <w:rPr>
                <w:b/>
                <w:noProof/>
                <w:sz w:val="18"/>
              </w:rPr>
              <w:t>2027</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14:paraId="1146125E" w14:textId="77777777" w:rsidR="0014309B" w:rsidRPr="00FF009C" w:rsidRDefault="0014309B" w:rsidP="002467B1">
            <w:pPr>
              <w:spacing w:before="0" w:after="0"/>
              <w:jc w:val="center"/>
              <w:rPr>
                <w:rFonts w:eastAsia="Times New Roman"/>
                <w:b/>
                <w:bCs/>
                <w:noProof/>
                <w:sz w:val="18"/>
                <w:szCs w:val="18"/>
              </w:rPr>
            </w:pPr>
            <w:r w:rsidRPr="00FF009C">
              <w:rPr>
                <w:b/>
                <w:noProof/>
                <w:sz w:val="18"/>
              </w:rPr>
              <w:t>OGÓŁEM</w:t>
            </w:r>
          </w:p>
        </w:tc>
      </w:tr>
      <w:tr w:rsidR="007502D3" w:rsidRPr="00FF009C" w14:paraId="338600AA" w14:textId="77777777" w:rsidTr="003B0D94">
        <w:trPr>
          <w:trHeight w:val="284"/>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28B31F66" w14:textId="77777777" w:rsidR="0014309B" w:rsidRPr="00FF009C" w:rsidRDefault="0014309B" w:rsidP="002467B1">
            <w:pPr>
              <w:spacing w:before="0" w:after="0"/>
              <w:jc w:val="center"/>
              <w:rPr>
                <w:rFonts w:ascii="Wingdings" w:eastAsia="Times New Roman" w:hAnsi="Wingdings" w:cs="Calibri"/>
                <w:noProof/>
                <w:sz w:val="18"/>
                <w:szCs w:val="18"/>
              </w:rPr>
            </w:pPr>
            <w:r w:rsidRPr="00FF009C">
              <w:rPr>
                <w:rFonts w:ascii="Wingdings" w:hAnsi="Wingdings"/>
                <w:noProof/>
                <w:sz w:val="18"/>
              </w:rPr>
              <w:t></w:t>
            </w:r>
          </w:p>
        </w:tc>
        <w:tc>
          <w:tcPr>
            <w:tcW w:w="4380" w:type="dxa"/>
            <w:tcBorders>
              <w:top w:val="nil"/>
              <w:left w:val="nil"/>
              <w:bottom w:val="single" w:sz="4" w:space="0" w:color="auto"/>
              <w:right w:val="single" w:sz="4" w:space="0" w:color="auto"/>
            </w:tcBorders>
            <w:shd w:val="clear" w:color="auto" w:fill="auto"/>
            <w:vAlign w:val="center"/>
            <w:hideMark/>
          </w:tcPr>
          <w:p w14:paraId="7AC86118" w14:textId="77777777" w:rsidR="0014309B" w:rsidRPr="00FF009C" w:rsidRDefault="0014309B" w:rsidP="002467B1">
            <w:pPr>
              <w:spacing w:before="0" w:after="0"/>
              <w:jc w:val="center"/>
              <w:rPr>
                <w:rFonts w:eastAsia="Times New Roman"/>
                <w:noProof/>
                <w:sz w:val="18"/>
                <w:szCs w:val="18"/>
              </w:rPr>
            </w:pPr>
            <w:r w:rsidRPr="00FF009C">
              <w:rPr>
                <w:noProof/>
                <w:sz w:val="18"/>
              </w:rPr>
              <w:t>Rodzaj</w:t>
            </w:r>
          </w:p>
        </w:tc>
        <w:tc>
          <w:tcPr>
            <w:tcW w:w="820" w:type="dxa"/>
            <w:tcBorders>
              <w:top w:val="nil"/>
              <w:left w:val="nil"/>
              <w:bottom w:val="single" w:sz="4" w:space="0" w:color="auto"/>
              <w:right w:val="single" w:sz="4" w:space="0" w:color="auto"/>
            </w:tcBorders>
            <w:shd w:val="clear" w:color="auto" w:fill="auto"/>
            <w:vAlign w:val="center"/>
            <w:hideMark/>
          </w:tcPr>
          <w:p w14:paraId="7441DC23" w14:textId="77777777" w:rsidR="0014309B" w:rsidRPr="00FF009C" w:rsidRDefault="0014309B" w:rsidP="002467B1">
            <w:pPr>
              <w:spacing w:before="0" w:after="0"/>
              <w:jc w:val="center"/>
              <w:rPr>
                <w:rFonts w:eastAsia="Times New Roman"/>
                <w:noProof/>
                <w:sz w:val="18"/>
                <w:szCs w:val="18"/>
              </w:rPr>
            </w:pPr>
            <w:r w:rsidRPr="00FF009C">
              <w:rPr>
                <w:noProof/>
                <w:sz w:val="18"/>
              </w:rPr>
              <w:t>Koszt</w:t>
            </w:r>
          </w:p>
        </w:tc>
        <w:tc>
          <w:tcPr>
            <w:tcW w:w="1206" w:type="dxa"/>
            <w:tcBorders>
              <w:top w:val="nil"/>
              <w:left w:val="nil"/>
              <w:bottom w:val="single" w:sz="4" w:space="0" w:color="auto"/>
              <w:right w:val="single" w:sz="4" w:space="0" w:color="auto"/>
            </w:tcBorders>
            <w:shd w:val="clear" w:color="auto" w:fill="auto"/>
            <w:vAlign w:val="center"/>
            <w:hideMark/>
          </w:tcPr>
          <w:p w14:paraId="1DA725D3" w14:textId="77777777" w:rsidR="0014309B" w:rsidRPr="00FF009C" w:rsidRDefault="0014309B" w:rsidP="002467B1">
            <w:pPr>
              <w:spacing w:before="0" w:after="0"/>
              <w:jc w:val="center"/>
              <w:rPr>
                <w:rFonts w:eastAsia="Times New Roman"/>
                <w:noProof/>
                <w:sz w:val="18"/>
                <w:szCs w:val="18"/>
              </w:rPr>
            </w:pPr>
            <w:r w:rsidRPr="00FF009C">
              <w:rPr>
                <w:noProof/>
                <w:sz w:val="18"/>
              </w:rPr>
              <w:t>Koszt</w:t>
            </w:r>
          </w:p>
        </w:tc>
        <w:tc>
          <w:tcPr>
            <w:tcW w:w="1206" w:type="dxa"/>
            <w:tcBorders>
              <w:top w:val="nil"/>
              <w:left w:val="nil"/>
              <w:bottom w:val="single" w:sz="4" w:space="0" w:color="auto"/>
              <w:right w:val="single" w:sz="4" w:space="0" w:color="auto"/>
            </w:tcBorders>
            <w:shd w:val="clear" w:color="auto" w:fill="auto"/>
            <w:vAlign w:val="center"/>
            <w:hideMark/>
          </w:tcPr>
          <w:p w14:paraId="3062D3EA" w14:textId="77777777" w:rsidR="0014309B" w:rsidRPr="00FF009C" w:rsidRDefault="0014309B" w:rsidP="002467B1">
            <w:pPr>
              <w:spacing w:before="0" w:after="0"/>
              <w:jc w:val="center"/>
              <w:rPr>
                <w:rFonts w:eastAsia="Times New Roman"/>
                <w:noProof/>
                <w:sz w:val="18"/>
                <w:szCs w:val="18"/>
              </w:rPr>
            </w:pPr>
            <w:r w:rsidRPr="00FF009C">
              <w:rPr>
                <w:noProof/>
                <w:sz w:val="18"/>
              </w:rPr>
              <w:t>Koszt</w:t>
            </w:r>
          </w:p>
        </w:tc>
        <w:tc>
          <w:tcPr>
            <w:tcW w:w="1206" w:type="dxa"/>
            <w:tcBorders>
              <w:top w:val="nil"/>
              <w:left w:val="nil"/>
              <w:bottom w:val="single" w:sz="4" w:space="0" w:color="auto"/>
              <w:right w:val="single" w:sz="4" w:space="0" w:color="auto"/>
            </w:tcBorders>
            <w:shd w:val="clear" w:color="auto" w:fill="auto"/>
            <w:vAlign w:val="center"/>
            <w:hideMark/>
          </w:tcPr>
          <w:p w14:paraId="5A687DB1" w14:textId="77777777" w:rsidR="0014309B" w:rsidRPr="00FF009C" w:rsidRDefault="0014309B" w:rsidP="002467B1">
            <w:pPr>
              <w:spacing w:before="0" w:after="0"/>
              <w:jc w:val="center"/>
              <w:rPr>
                <w:rFonts w:eastAsia="Times New Roman"/>
                <w:noProof/>
                <w:sz w:val="18"/>
                <w:szCs w:val="18"/>
              </w:rPr>
            </w:pPr>
            <w:r w:rsidRPr="00FF009C">
              <w:rPr>
                <w:noProof/>
                <w:sz w:val="18"/>
              </w:rPr>
              <w:t>Koszt</w:t>
            </w:r>
          </w:p>
        </w:tc>
        <w:tc>
          <w:tcPr>
            <w:tcW w:w="1206" w:type="dxa"/>
            <w:tcBorders>
              <w:top w:val="nil"/>
              <w:left w:val="nil"/>
              <w:bottom w:val="single" w:sz="4" w:space="0" w:color="auto"/>
              <w:right w:val="single" w:sz="4" w:space="0" w:color="auto"/>
            </w:tcBorders>
            <w:shd w:val="clear" w:color="auto" w:fill="auto"/>
            <w:vAlign w:val="center"/>
            <w:hideMark/>
          </w:tcPr>
          <w:p w14:paraId="75AAC64A" w14:textId="77777777" w:rsidR="0014309B" w:rsidRPr="00FF009C" w:rsidRDefault="0014309B" w:rsidP="002467B1">
            <w:pPr>
              <w:spacing w:before="0" w:after="0"/>
              <w:jc w:val="center"/>
              <w:rPr>
                <w:rFonts w:eastAsia="Times New Roman"/>
                <w:noProof/>
                <w:sz w:val="18"/>
                <w:szCs w:val="18"/>
              </w:rPr>
            </w:pPr>
            <w:r w:rsidRPr="00FF009C">
              <w:rPr>
                <w:noProof/>
                <w:sz w:val="18"/>
              </w:rPr>
              <w:t>Koszt</w:t>
            </w:r>
          </w:p>
        </w:tc>
      </w:tr>
      <w:tr w:rsidR="007502D3" w:rsidRPr="00FF009C" w14:paraId="0AFF619A" w14:textId="77777777" w:rsidTr="003B0D94">
        <w:trPr>
          <w:trHeight w:val="510"/>
          <w:jc w:val="center"/>
        </w:trPr>
        <w:tc>
          <w:tcPr>
            <w:tcW w:w="1074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6D4564C" w14:textId="6565CDB7" w:rsidR="0014309B" w:rsidRPr="00FF009C" w:rsidRDefault="0014309B" w:rsidP="002467B1">
            <w:pPr>
              <w:spacing w:before="0" w:after="0"/>
              <w:jc w:val="left"/>
              <w:rPr>
                <w:rFonts w:eastAsia="Times New Roman"/>
                <w:noProof/>
                <w:sz w:val="20"/>
                <w:szCs w:val="20"/>
              </w:rPr>
            </w:pPr>
            <w:r w:rsidRPr="00FF009C">
              <w:rPr>
                <w:noProof/>
                <w:sz w:val="20"/>
              </w:rPr>
              <w:t>CEL SZCZEGÓŁOWY NR 1:</w:t>
            </w:r>
            <w:r w:rsidR="00FF009C" w:rsidRPr="00FF009C">
              <w:rPr>
                <w:noProof/>
                <w:sz w:val="20"/>
              </w:rPr>
              <w:t xml:space="preserve"> </w:t>
            </w:r>
            <w:r w:rsidRPr="00FF009C">
              <w:rPr>
                <w:noProof/>
                <w:sz w:val="20"/>
              </w:rPr>
              <w:t>zwiększenie roli Europolu</w:t>
            </w:r>
            <w:r w:rsidR="00FF009C" w:rsidRPr="00FF009C">
              <w:rPr>
                <w:noProof/>
                <w:sz w:val="20"/>
              </w:rPr>
              <w:t xml:space="preserve"> i</w:t>
            </w:r>
            <w:r w:rsidR="00FF009C">
              <w:rPr>
                <w:noProof/>
                <w:sz w:val="20"/>
              </w:rPr>
              <w:t> </w:t>
            </w:r>
            <w:r w:rsidR="00FF009C" w:rsidRPr="00FF009C">
              <w:rPr>
                <w:noProof/>
                <w:sz w:val="20"/>
              </w:rPr>
              <w:t>jeg</w:t>
            </w:r>
            <w:r w:rsidRPr="00FF009C">
              <w:rPr>
                <w:noProof/>
                <w:sz w:val="20"/>
              </w:rPr>
              <w:t>o Europejskiego Centrum Zwalczania Przemytu Migrantów jako środka ciężkości dla działań procesowych</w:t>
            </w:r>
            <w:r w:rsidR="00FF009C" w:rsidRPr="00FF009C">
              <w:rPr>
                <w:noProof/>
                <w:sz w:val="20"/>
              </w:rPr>
              <w:t xml:space="preserve"> i</w:t>
            </w:r>
            <w:r w:rsidR="00FF009C">
              <w:rPr>
                <w:noProof/>
                <w:sz w:val="20"/>
              </w:rPr>
              <w:t> </w:t>
            </w:r>
            <w:r w:rsidR="00FF009C" w:rsidRPr="00FF009C">
              <w:rPr>
                <w:noProof/>
                <w:sz w:val="20"/>
              </w:rPr>
              <w:t>ope</w:t>
            </w:r>
            <w:r w:rsidRPr="00FF009C">
              <w:rPr>
                <w:noProof/>
                <w:sz w:val="20"/>
              </w:rPr>
              <w:t>racyjnych oraz analiz strategicznych przeprowadzanych na szczeblu UE</w:t>
            </w:r>
          </w:p>
        </w:tc>
      </w:tr>
      <w:tr w:rsidR="007502D3" w:rsidRPr="00FF009C" w14:paraId="5E8C05ED" w14:textId="77777777" w:rsidTr="003B0D94">
        <w:trPr>
          <w:trHeight w:val="480"/>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02500912" w14:textId="77777777" w:rsidR="0014309B" w:rsidRPr="00FF009C" w:rsidRDefault="0014309B" w:rsidP="002467B1">
            <w:pPr>
              <w:spacing w:before="0" w:after="0"/>
              <w:jc w:val="left"/>
              <w:rPr>
                <w:rFonts w:eastAsia="Times New Roman"/>
                <w:noProof/>
                <w:sz w:val="18"/>
                <w:szCs w:val="18"/>
              </w:rPr>
            </w:pPr>
            <w:r w:rsidRPr="00FF009C">
              <w:rPr>
                <w:noProof/>
                <w:sz w:val="18"/>
              </w:rPr>
              <w:t xml:space="preserve"> Produkt</w:t>
            </w:r>
          </w:p>
        </w:tc>
        <w:tc>
          <w:tcPr>
            <w:tcW w:w="4380" w:type="dxa"/>
            <w:tcBorders>
              <w:top w:val="nil"/>
              <w:left w:val="nil"/>
              <w:bottom w:val="single" w:sz="4" w:space="0" w:color="auto"/>
              <w:right w:val="single" w:sz="4" w:space="0" w:color="auto"/>
            </w:tcBorders>
            <w:shd w:val="clear" w:color="auto" w:fill="auto"/>
            <w:vAlign w:val="center"/>
            <w:hideMark/>
          </w:tcPr>
          <w:p w14:paraId="5378ACE3" w14:textId="064BE30F" w:rsidR="0014309B" w:rsidRPr="00FF009C" w:rsidRDefault="0014309B" w:rsidP="002467B1">
            <w:pPr>
              <w:spacing w:before="0" w:after="0"/>
              <w:jc w:val="left"/>
              <w:rPr>
                <w:rFonts w:eastAsia="Times New Roman"/>
                <w:noProof/>
                <w:sz w:val="18"/>
                <w:szCs w:val="18"/>
              </w:rPr>
            </w:pPr>
            <w:r w:rsidRPr="00FF009C">
              <w:rPr>
                <w:noProof/>
                <w:sz w:val="18"/>
              </w:rPr>
              <w:t>Wzmocnienie Europejskiego Centrum Zwalczania Przemytu Migrantów</w:t>
            </w:r>
            <w:r w:rsidR="00FF009C" w:rsidRPr="00FF009C">
              <w:rPr>
                <w:noProof/>
                <w:sz w:val="18"/>
              </w:rPr>
              <w:t xml:space="preserve"> i</w:t>
            </w:r>
            <w:r w:rsidR="00FF009C">
              <w:rPr>
                <w:noProof/>
                <w:sz w:val="18"/>
              </w:rPr>
              <w:t> </w:t>
            </w:r>
            <w:r w:rsidR="00FF009C" w:rsidRPr="00FF009C">
              <w:rPr>
                <w:noProof/>
                <w:sz w:val="18"/>
              </w:rPr>
              <w:t>poz</w:t>
            </w:r>
            <w:r w:rsidRPr="00FF009C">
              <w:rPr>
                <w:noProof/>
                <w:sz w:val="18"/>
              </w:rPr>
              <w:t xml:space="preserve">ostałych podmiotów zajmujących się problematyką przemytu migrantów </w:t>
            </w:r>
          </w:p>
        </w:tc>
        <w:tc>
          <w:tcPr>
            <w:tcW w:w="820" w:type="dxa"/>
            <w:tcBorders>
              <w:top w:val="nil"/>
              <w:left w:val="nil"/>
              <w:bottom w:val="single" w:sz="4" w:space="0" w:color="auto"/>
              <w:right w:val="single" w:sz="4" w:space="0" w:color="auto"/>
            </w:tcBorders>
            <w:shd w:val="clear" w:color="auto" w:fill="auto"/>
            <w:noWrap/>
            <w:vAlign w:val="center"/>
            <w:hideMark/>
          </w:tcPr>
          <w:p w14:paraId="578D66E5" w14:textId="77777777" w:rsidR="0014309B" w:rsidRPr="00FF009C" w:rsidRDefault="0014309B" w:rsidP="002467B1">
            <w:pPr>
              <w:spacing w:before="0" w:after="0"/>
              <w:jc w:val="center"/>
              <w:rPr>
                <w:rFonts w:eastAsia="Times New Roman"/>
                <w:noProof/>
                <w:sz w:val="18"/>
                <w:szCs w:val="18"/>
              </w:rPr>
            </w:pPr>
            <w:r w:rsidRPr="00FF009C">
              <w:rPr>
                <w:noProof/>
                <w:sz w:val="18"/>
              </w:rPr>
              <w:t>-</w:t>
            </w:r>
          </w:p>
        </w:tc>
        <w:tc>
          <w:tcPr>
            <w:tcW w:w="1206" w:type="dxa"/>
            <w:tcBorders>
              <w:top w:val="nil"/>
              <w:left w:val="nil"/>
              <w:bottom w:val="single" w:sz="4" w:space="0" w:color="auto"/>
              <w:right w:val="single" w:sz="4" w:space="0" w:color="auto"/>
            </w:tcBorders>
            <w:shd w:val="clear" w:color="auto" w:fill="auto"/>
            <w:noWrap/>
            <w:vAlign w:val="center"/>
            <w:hideMark/>
          </w:tcPr>
          <w:p w14:paraId="66B13548" w14:textId="77777777" w:rsidR="0014309B" w:rsidRPr="00FF009C" w:rsidRDefault="00180FC7" w:rsidP="002467B1">
            <w:pPr>
              <w:spacing w:before="0" w:after="0"/>
              <w:jc w:val="center"/>
              <w:rPr>
                <w:rFonts w:eastAsia="Times New Roman"/>
                <w:noProof/>
                <w:sz w:val="18"/>
                <w:szCs w:val="18"/>
              </w:rPr>
            </w:pPr>
            <w:r w:rsidRPr="00FF009C">
              <w:rPr>
                <w:noProof/>
                <w:sz w:val="18"/>
              </w:rPr>
              <w:t xml:space="preserve">1,186 </w:t>
            </w:r>
          </w:p>
        </w:tc>
        <w:tc>
          <w:tcPr>
            <w:tcW w:w="1206" w:type="dxa"/>
            <w:tcBorders>
              <w:top w:val="nil"/>
              <w:left w:val="nil"/>
              <w:bottom w:val="single" w:sz="4" w:space="0" w:color="auto"/>
              <w:right w:val="single" w:sz="4" w:space="0" w:color="auto"/>
            </w:tcBorders>
            <w:shd w:val="clear" w:color="auto" w:fill="auto"/>
            <w:noWrap/>
            <w:vAlign w:val="center"/>
            <w:hideMark/>
          </w:tcPr>
          <w:p w14:paraId="3756000C" w14:textId="77777777" w:rsidR="0014309B" w:rsidRPr="00FF009C" w:rsidRDefault="00180FC7" w:rsidP="002467B1">
            <w:pPr>
              <w:spacing w:before="0" w:after="0"/>
              <w:jc w:val="center"/>
              <w:rPr>
                <w:rFonts w:eastAsia="Times New Roman"/>
                <w:noProof/>
                <w:sz w:val="18"/>
                <w:szCs w:val="18"/>
              </w:rPr>
            </w:pPr>
            <w:r w:rsidRPr="00FF009C">
              <w:rPr>
                <w:noProof/>
                <w:sz w:val="18"/>
              </w:rPr>
              <w:t xml:space="preserve">2,628 </w:t>
            </w:r>
          </w:p>
        </w:tc>
        <w:tc>
          <w:tcPr>
            <w:tcW w:w="1206" w:type="dxa"/>
            <w:tcBorders>
              <w:top w:val="nil"/>
              <w:left w:val="nil"/>
              <w:bottom w:val="single" w:sz="4" w:space="0" w:color="auto"/>
              <w:right w:val="single" w:sz="4" w:space="0" w:color="auto"/>
            </w:tcBorders>
            <w:shd w:val="clear" w:color="auto" w:fill="auto"/>
            <w:noWrap/>
            <w:vAlign w:val="center"/>
            <w:hideMark/>
          </w:tcPr>
          <w:p w14:paraId="794C8D9E" w14:textId="77777777" w:rsidR="0014309B" w:rsidRPr="00FF009C" w:rsidRDefault="00180FC7" w:rsidP="002467B1">
            <w:pPr>
              <w:spacing w:before="0" w:after="0"/>
              <w:jc w:val="center"/>
              <w:rPr>
                <w:rFonts w:eastAsia="Times New Roman"/>
                <w:noProof/>
                <w:sz w:val="18"/>
                <w:szCs w:val="18"/>
              </w:rPr>
            </w:pPr>
            <w:r w:rsidRPr="00FF009C">
              <w:rPr>
                <w:noProof/>
                <w:sz w:val="18"/>
              </w:rPr>
              <w:t xml:space="preserve">2,673 </w:t>
            </w:r>
          </w:p>
        </w:tc>
        <w:tc>
          <w:tcPr>
            <w:tcW w:w="1206" w:type="dxa"/>
            <w:tcBorders>
              <w:top w:val="nil"/>
              <w:left w:val="nil"/>
              <w:bottom w:val="single" w:sz="4" w:space="0" w:color="auto"/>
              <w:right w:val="single" w:sz="4" w:space="0" w:color="auto"/>
            </w:tcBorders>
            <w:shd w:val="clear" w:color="auto" w:fill="auto"/>
            <w:noWrap/>
            <w:vAlign w:val="center"/>
            <w:hideMark/>
          </w:tcPr>
          <w:p w14:paraId="08E1EE9F" w14:textId="77777777" w:rsidR="0014309B" w:rsidRPr="00FF009C" w:rsidRDefault="00180FC7" w:rsidP="002467B1">
            <w:pPr>
              <w:spacing w:before="0" w:after="0"/>
              <w:jc w:val="center"/>
              <w:rPr>
                <w:rFonts w:eastAsia="Times New Roman"/>
                <w:noProof/>
                <w:sz w:val="18"/>
                <w:szCs w:val="18"/>
              </w:rPr>
            </w:pPr>
            <w:r w:rsidRPr="00FF009C">
              <w:rPr>
                <w:noProof/>
                <w:sz w:val="18"/>
              </w:rPr>
              <w:t xml:space="preserve">6,487 </w:t>
            </w:r>
          </w:p>
        </w:tc>
      </w:tr>
      <w:tr w:rsidR="007502D3" w:rsidRPr="00FF009C" w14:paraId="352C217E" w14:textId="77777777" w:rsidTr="003B0D94">
        <w:trPr>
          <w:trHeight w:val="300"/>
          <w:jc w:val="center"/>
        </w:trPr>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CC4FD5" w14:textId="221513B8" w:rsidR="0014309B" w:rsidRPr="00FF009C" w:rsidRDefault="0014309B" w:rsidP="6E5A1C8C">
            <w:pPr>
              <w:spacing w:before="0" w:after="0"/>
              <w:jc w:val="right"/>
              <w:rPr>
                <w:rFonts w:eastAsia="Times New Roman"/>
                <w:i/>
                <w:iCs/>
                <w:noProof/>
                <w:sz w:val="18"/>
                <w:szCs w:val="18"/>
              </w:rPr>
            </w:pPr>
            <w:r w:rsidRPr="00FF009C">
              <w:rPr>
                <w:i/>
                <w:noProof/>
                <w:sz w:val="18"/>
              </w:rPr>
              <w:t>Cel szczegółowy nr</w:t>
            </w:r>
            <w:r w:rsidR="00FF009C" w:rsidRPr="00FF009C">
              <w:rPr>
                <w:i/>
                <w:noProof/>
                <w:sz w:val="18"/>
              </w:rPr>
              <w:t> </w:t>
            </w:r>
            <w:r w:rsidRPr="00FF009C">
              <w:rPr>
                <w:i/>
                <w:noProof/>
                <w:sz w:val="18"/>
              </w:rPr>
              <w:t>1 – suma cząstkowa</w:t>
            </w:r>
          </w:p>
        </w:tc>
        <w:tc>
          <w:tcPr>
            <w:tcW w:w="820" w:type="dxa"/>
            <w:tcBorders>
              <w:top w:val="nil"/>
              <w:left w:val="nil"/>
              <w:bottom w:val="single" w:sz="4" w:space="0" w:color="auto"/>
              <w:right w:val="single" w:sz="4" w:space="0" w:color="auto"/>
            </w:tcBorders>
            <w:shd w:val="clear" w:color="auto" w:fill="auto"/>
            <w:noWrap/>
            <w:vAlign w:val="center"/>
            <w:hideMark/>
          </w:tcPr>
          <w:p w14:paraId="051F6617" w14:textId="77777777" w:rsidR="0014309B" w:rsidRPr="00FF009C" w:rsidRDefault="0014309B" w:rsidP="6E5A1C8C">
            <w:pPr>
              <w:spacing w:before="0" w:after="0"/>
              <w:jc w:val="center"/>
              <w:rPr>
                <w:rFonts w:eastAsia="Times New Roman"/>
                <w:i/>
                <w:iCs/>
                <w:noProof/>
                <w:sz w:val="18"/>
                <w:szCs w:val="18"/>
              </w:rPr>
            </w:pPr>
            <w:r w:rsidRPr="00FF009C">
              <w:rPr>
                <w:i/>
                <w:noProof/>
                <w:sz w:val="18"/>
              </w:rPr>
              <w:t>-</w:t>
            </w:r>
          </w:p>
        </w:tc>
        <w:tc>
          <w:tcPr>
            <w:tcW w:w="1206" w:type="dxa"/>
            <w:tcBorders>
              <w:top w:val="nil"/>
              <w:left w:val="nil"/>
              <w:bottom w:val="single" w:sz="4" w:space="0" w:color="auto"/>
              <w:right w:val="single" w:sz="4" w:space="0" w:color="auto"/>
            </w:tcBorders>
            <w:shd w:val="clear" w:color="auto" w:fill="auto"/>
            <w:noWrap/>
            <w:vAlign w:val="center"/>
            <w:hideMark/>
          </w:tcPr>
          <w:p w14:paraId="209C2D51" w14:textId="77777777" w:rsidR="0014309B" w:rsidRPr="00FF009C" w:rsidRDefault="00481D31" w:rsidP="6E5A1C8C">
            <w:pPr>
              <w:spacing w:before="0" w:after="0"/>
              <w:jc w:val="center"/>
              <w:rPr>
                <w:rFonts w:eastAsia="Times New Roman"/>
                <w:i/>
                <w:iCs/>
                <w:noProof/>
                <w:sz w:val="18"/>
                <w:szCs w:val="18"/>
              </w:rPr>
            </w:pPr>
            <w:r w:rsidRPr="00FF009C">
              <w:rPr>
                <w:i/>
                <w:noProof/>
                <w:sz w:val="18"/>
              </w:rPr>
              <w:t xml:space="preserve">1,186 </w:t>
            </w:r>
          </w:p>
        </w:tc>
        <w:tc>
          <w:tcPr>
            <w:tcW w:w="1206" w:type="dxa"/>
            <w:tcBorders>
              <w:top w:val="nil"/>
              <w:left w:val="nil"/>
              <w:bottom w:val="single" w:sz="4" w:space="0" w:color="auto"/>
              <w:right w:val="single" w:sz="4" w:space="0" w:color="auto"/>
            </w:tcBorders>
            <w:shd w:val="clear" w:color="auto" w:fill="auto"/>
            <w:noWrap/>
            <w:vAlign w:val="center"/>
            <w:hideMark/>
          </w:tcPr>
          <w:p w14:paraId="22832F4E" w14:textId="77777777" w:rsidR="0014309B" w:rsidRPr="00FF009C" w:rsidRDefault="00481D31" w:rsidP="6E5A1C8C">
            <w:pPr>
              <w:spacing w:before="0" w:after="0"/>
              <w:jc w:val="center"/>
              <w:rPr>
                <w:rFonts w:eastAsia="Times New Roman"/>
                <w:i/>
                <w:iCs/>
                <w:noProof/>
                <w:sz w:val="18"/>
                <w:szCs w:val="18"/>
              </w:rPr>
            </w:pPr>
            <w:r w:rsidRPr="00FF009C">
              <w:rPr>
                <w:i/>
                <w:noProof/>
                <w:sz w:val="18"/>
              </w:rPr>
              <w:t xml:space="preserve">2,628 </w:t>
            </w:r>
          </w:p>
        </w:tc>
        <w:tc>
          <w:tcPr>
            <w:tcW w:w="1206" w:type="dxa"/>
            <w:tcBorders>
              <w:top w:val="nil"/>
              <w:left w:val="nil"/>
              <w:bottom w:val="single" w:sz="4" w:space="0" w:color="auto"/>
              <w:right w:val="single" w:sz="4" w:space="0" w:color="auto"/>
            </w:tcBorders>
            <w:shd w:val="clear" w:color="auto" w:fill="auto"/>
            <w:noWrap/>
            <w:vAlign w:val="center"/>
            <w:hideMark/>
          </w:tcPr>
          <w:p w14:paraId="1DBA83A0" w14:textId="77777777" w:rsidR="0014309B" w:rsidRPr="00FF009C" w:rsidRDefault="00481D31" w:rsidP="6E5A1C8C">
            <w:pPr>
              <w:spacing w:before="0" w:after="0"/>
              <w:jc w:val="center"/>
              <w:rPr>
                <w:rFonts w:eastAsia="Times New Roman"/>
                <w:i/>
                <w:iCs/>
                <w:noProof/>
                <w:sz w:val="18"/>
                <w:szCs w:val="18"/>
              </w:rPr>
            </w:pPr>
            <w:r w:rsidRPr="00FF009C">
              <w:rPr>
                <w:i/>
                <w:noProof/>
                <w:sz w:val="18"/>
              </w:rPr>
              <w:t xml:space="preserve">2,673 </w:t>
            </w:r>
          </w:p>
        </w:tc>
        <w:tc>
          <w:tcPr>
            <w:tcW w:w="1206" w:type="dxa"/>
            <w:tcBorders>
              <w:top w:val="nil"/>
              <w:left w:val="nil"/>
              <w:bottom w:val="single" w:sz="4" w:space="0" w:color="auto"/>
              <w:right w:val="single" w:sz="4" w:space="0" w:color="auto"/>
            </w:tcBorders>
            <w:shd w:val="clear" w:color="auto" w:fill="auto"/>
            <w:noWrap/>
            <w:vAlign w:val="center"/>
            <w:hideMark/>
          </w:tcPr>
          <w:p w14:paraId="1758651F" w14:textId="77777777" w:rsidR="0014309B" w:rsidRPr="00FF009C" w:rsidRDefault="00D92EDA" w:rsidP="6E5A1C8C">
            <w:pPr>
              <w:spacing w:before="0" w:after="0"/>
              <w:jc w:val="center"/>
              <w:rPr>
                <w:rFonts w:eastAsia="Times New Roman"/>
                <w:i/>
                <w:iCs/>
                <w:noProof/>
                <w:sz w:val="18"/>
                <w:szCs w:val="18"/>
              </w:rPr>
            </w:pPr>
            <w:r w:rsidRPr="00FF009C">
              <w:rPr>
                <w:i/>
                <w:noProof/>
                <w:sz w:val="18"/>
              </w:rPr>
              <w:t xml:space="preserve">6,487 </w:t>
            </w:r>
          </w:p>
        </w:tc>
      </w:tr>
      <w:tr w:rsidR="007502D3" w:rsidRPr="00FF009C" w14:paraId="1ACCDA9C" w14:textId="77777777" w:rsidTr="003B0D94">
        <w:trPr>
          <w:trHeight w:val="510"/>
          <w:jc w:val="center"/>
        </w:trPr>
        <w:tc>
          <w:tcPr>
            <w:tcW w:w="1074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90DA055" w14:textId="273EDDD5" w:rsidR="0014309B" w:rsidRPr="00FF009C" w:rsidRDefault="0014309B" w:rsidP="002467B1">
            <w:pPr>
              <w:spacing w:before="0" w:after="0"/>
              <w:jc w:val="left"/>
              <w:rPr>
                <w:rFonts w:eastAsia="Times New Roman"/>
                <w:noProof/>
                <w:sz w:val="20"/>
                <w:szCs w:val="20"/>
              </w:rPr>
            </w:pPr>
            <w:r w:rsidRPr="00FF009C">
              <w:rPr>
                <w:noProof/>
                <w:sz w:val="20"/>
              </w:rPr>
              <w:t>CEL SZCZEGÓŁOWY NR 2: zacieśnianie współpracy</w:t>
            </w:r>
            <w:r w:rsidR="00FF009C" w:rsidRPr="00FF009C">
              <w:rPr>
                <w:noProof/>
                <w:sz w:val="20"/>
              </w:rPr>
              <w:t xml:space="preserve"> i</w:t>
            </w:r>
            <w:r w:rsidR="00FF009C">
              <w:rPr>
                <w:noProof/>
                <w:sz w:val="20"/>
              </w:rPr>
              <w:t> </w:t>
            </w:r>
            <w:r w:rsidR="00FF009C" w:rsidRPr="00FF009C">
              <w:rPr>
                <w:noProof/>
                <w:sz w:val="20"/>
              </w:rPr>
              <w:t>pop</w:t>
            </w:r>
            <w:r w:rsidRPr="00FF009C">
              <w:rPr>
                <w:noProof/>
                <w:sz w:val="20"/>
              </w:rPr>
              <w:t>rawa koordynacji między państwami członkowskimi, Europolem</w:t>
            </w:r>
            <w:r w:rsidR="00FF009C" w:rsidRPr="00FF009C">
              <w:rPr>
                <w:noProof/>
                <w:sz w:val="20"/>
              </w:rPr>
              <w:t xml:space="preserve"> i</w:t>
            </w:r>
            <w:r w:rsidR="00FF009C">
              <w:rPr>
                <w:noProof/>
                <w:sz w:val="20"/>
              </w:rPr>
              <w:t> </w:t>
            </w:r>
            <w:r w:rsidR="00FF009C" w:rsidRPr="00FF009C">
              <w:rPr>
                <w:noProof/>
                <w:sz w:val="20"/>
              </w:rPr>
              <w:t>inn</w:t>
            </w:r>
            <w:r w:rsidRPr="00FF009C">
              <w:rPr>
                <w:noProof/>
                <w:sz w:val="20"/>
              </w:rPr>
              <w:t>ymi agencjami Unii</w:t>
            </w:r>
          </w:p>
        </w:tc>
      </w:tr>
      <w:tr w:rsidR="007502D3" w:rsidRPr="00FF009C" w14:paraId="7CE400E3" w14:textId="77777777" w:rsidTr="003B0D94">
        <w:trPr>
          <w:trHeight w:val="480"/>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3FEB64B8" w14:textId="77777777" w:rsidR="0014309B" w:rsidRPr="00FF009C" w:rsidRDefault="0014309B" w:rsidP="002467B1">
            <w:pPr>
              <w:spacing w:before="0" w:after="0"/>
              <w:jc w:val="left"/>
              <w:rPr>
                <w:rFonts w:eastAsia="Times New Roman"/>
                <w:noProof/>
                <w:sz w:val="18"/>
                <w:szCs w:val="18"/>
              </w:rPr>
            </w:pPr>
            <w:r w:rsidRPr="00FF009C">
              <w:rPr>
                <w:noProof/>
                <w:sz w:val="18"/>
              </w:rPr>
              <w:t xml:space="preserve"> Produkt</w:t>
            </w:r>
          </w:p>
        </w:tc>
        <w:tc>
          <w:tcPr>
            <w:tcW w:w="4380" w:type="dxa"/>
            <w:tcBorders>
              <w:top w:val="nil"/>
              <w:left w:val="nil"/>
              <w:bottom w:val="single" w:sz="4" w:space="0" w:color="auto"/>
              <w:right w:val="single" w:sz="4" w:space="0" w:color="auto"/>
            </w:tcBorders>
            <w:shd w:val="clear" w:color="auto" w:fill="auto"/>
            <w:vAlign w:val="center"/>
            <w:hideMark/>
          </w:tcPr>
          <w:p w14:paraId="4483BCB6" w14:textId="0B347622" w:rsidR="0014309B" w:rsidRPr="00FF009C" w:rsidRDefault="0014309B" w:rsidP="002467B1">
            <w:pPr>
              <w:spacing w:before="0" w:after="0"/>
              <w:jc w:val="left"/>
              <w:rPr>
                <w:rFonts w:eastAsia="Times New Roman"/>
                <w:noProof/>
                <w:sz w:val="18"/>
                <w:szCs w:val="18"/>
              </w:rPr>
            </w:pPr>
            <w:r w:rsidRPr="00FF009C">
              <w:rPr>
                <w:noProof/>
                <w:sz w:val="18"/>
              </w:rPr>
              <w:t>Ustanowienie struktury zarządzania sprzyjającej skutecznej współpracy międzyagencyjnej oraz nadawaniu kierunku</w:t>
            </w:r>
            <w:r w:rsidR="00FF009C" w:rsidRPr="00FF009C">
              <w:rPr>
                <w:noProof/>
                <w:sz w:val="18"/>
              </w:rPr>
              <w:t xml:space="preserve"> i</w:t>
            </w:r>
            <w:r w:rsidR="00FF009C">
              <w:rPr>
                <w:noProof/>
                <w:sz w:val="18"/>
              </w:rPr>
              <w:t> </w:t>
            </w:r>
            <w:r w:rsidR="00FF009C" w:rsidRPr="00FF009C">
              <w:rPr>
                <w:noProof/>
                <w:sz w:val="18"/>
              </w:rPr>
              <w:t>koo</w:t>
            </w:r>
            <w:r w:rsidRPr="00FF009C">
              <w:rPr>
                <w:noProof/>
                <w:sz w:val="18"/>
              </w:rPr>
              <w:t>rdynowaniu działań międzyagencyjnych</w:t>
            </w:r>
          </w:p>
        </w:tc>
        <w:tc>
          <w:tcPr>
            <w:tcW w:w="820" w:type="dxa"/>
            <w:tcBorders>
              <w:top w:val="nil"/>
              <w:left w:val="nil"/>
              <w:bottom w:val="single" w:sz="4" w:space="0" w:color="auto"/>
              <w:right w:val="single" w:sz="4" w:space="0" w:color="auto"/>
            </w:tcBorders>
            <w:shd w:val="clear" w:color="auto" w:fill="auto"/>
            <w:noWrap/>
            <w:vAlign w:val="center"/>
            <w:hideMark/>
          </w:tcPr>
          <w:p w14:paraId="0CEB721B" w14:textId="77777777" w:rsidR="0014309B" w:rsidRPr="00FF009C" w:rsidRDefault="0014309B" w:rsidP="002467B1">
            <w:pPr>
              <w:spacing w:before="0" w:after="0"/>
              <w:jc w:val="center"/>
              <w:rPr>
                <w:rFonts w:eastAsia="Times New Roman"/>
                <w:noProof/>
                <w:sz w:val="18"/>
                <w:szCs w:val="18"/>
              </w:rPr>
            </w:pPr>
            <w:r w:rsidRPr="00FF009C">
              <w:rPr>
                <w:noProof/>
                <w:sz w:val="18"/>
              </w:rPr>
              <w:t>-</w:t>
            </w:r>
          </w:p>
        </w:tc>
        <w:tc>
          <w:tcPr>
            <w:tcW w:w="1206" w:type="dxa"/>
            <w:tcBorders>
              <w:top w:val="nil"/>
              <w:left w:val="nil"/>
              <w:bottom w:val="single" w:sz="4" w:space="0" w:color="auto"/>
              <w:right w:val="single" w:sz="4" w:space="0" w:color="auto"/>
            </w:tcBorders>
            <w:shd w:val="clear" w:color="auto" w:fill="auto"/>
            <w:noWrap/>
            <w:vAlign w:val="center"/>
            <w:hideMark/>
          </w:tcPr>
          <w:p w14:paraId="3F851D12" w14:textId="77777777" w:rsidR="0014309B" w:rsidRPr="00FF009C" w:rsidRDefault="00D92EDA" w:rsidP="002467B1">
            <w:pPr>
              <w:spacing w:before="0" w:after="0"/>
              <w:jc w:val="center"/>
              <w:rPr>
                <w:rFonts w:eastAsia="Times New Roman"/>
                <w:noProof/>
                <w:sz w:val="18"/>
                <w:szCs w:val="18"/>
              </w:rPr>
            </w:pPr>
            <w:r w:rsidRPr="00FF009C">
              <w:rPr>
                <w:noProof/>
                <w:sz w:val="18"/>
              </w:rPr>
              <w:t xml:space="preserve">0,075 </w:t>
            </w:r>
          </w:p>
        </w:tc>
        <w:tc>
          <w:tcPr>
            <w:tcW w:w="1206" w:type="dxa"/>
            <w:tcBorders>
              <w:top w:val="nil"/>
              <w:left w:val="nil"/>
              <w:bottom w:val="single" w:sz="4" w:space="0" w:color="auto"/>
              <w:right w:val="single" w:sz="4" w:space="0" w:color="auto"/>
            </w:tcBorders>
            <w:shd w:val="clear" w:color="auto" w:fill="auto"/>
            <w:noWrap/>
            <w:vAlign w:val="center"/>
            <w:hideMark/>
          </w:tcPr>
          <w:p w14:paraId="70B91C45" w14:textId="77777777" w:rsidR="0014309B" w:rsidRPr="00FF009C" w:rsidRDefault="00D92EDA" w:rsidP="002467B1">
            <w:pPr>
              <w:spacing w:before="0" w:after="0"/>
              <w:jc w:val="center"/>
              <w:rPr>
                <w:rFonts w:eastAsia="Times New Roman"/>
                <w:noProof/>
                <w:sz w:val="18"/>
                <w:szCs w:val="18"/>
              </w:rPr>
            </w:pPr>
            <w:r w:rsidRPr="00FF009C">
              <w:rPr>
                <w:noProof/>
                <w:sz w:val="18"/>
              </w:rPr>
              <w:t xml:space="preserve">0,242 </w:t>
            </w:r>
          </w:p>
        </w:tc>
        <w:tc>
          <w:tcPr>
            <w:tcW w:w="1206" w:type="dxa"/>
            <w:tcBorders>
              <w:top w:val="nil"/>
              <w:left w:val="nil"/>
              <w:bottom w:val="single" w:sz="4" w:space="0" w:color="auto"/>
              <w:right w:val="single" w:sz="4" w:space="0" w:color="auto"/>
            </w:tcBorders>
            <w:shd w:val="clear" w:color="auto" w:fill="auto"/>
            <w:noWrap/>
            <w:vAlign w:val="center"/>
            <w:hideMark/>
          </w:tcPr>
          <w:p w14:paraId="087E7004" w14:textId="77777777" w:rsidR="0014309B" w:rsidRPr="00FF009C" w:rsidRDefault="00D92EDA" w:rsidP="002467B1">
            <w:pPr>
              <w:spacing w:before="0" w:after="0"/>
              <w:jc w:val="center"/>
              <w:rPr>
                <w:rFonts w:eastAsia="Times New Roman"/>
                <w:noProof/>
                <w:sz w:val="18"/>
                <w:szCs w:val="18"/>
              </w:rPr>
            </w:pPr>
            <w:r w:rsidRPr="00FF009C">
              <w:rPr>
                <w:noProof/>
                <w:sz w:val="18"/>
              </w:rPr>
              <w:t xml:space="preserve">0,410 </w:t>
            </w:r>
          </w:p>
        </w:tc>
        <w:tc>
          <w:tcPr>
            <w:tcW w:w="1206" w:type="dxa"/>
            <w:tcBorders>
              <w:top w:val="nil"/>
              <w:left w:val="nil"/>
              <w:bottom w:val="single" w:sz="4" w:space="0" w:color="auto"/>
              <w:right w:val="single" w:sz="4" w:space="0" w:color="auto"/>
            </w:tcBorders>
            <w:shd w:val="clear" w:color="auto" w:fill="auto"/>
            <w:noWrap/>
            <w:vAlign w:val="center"/>
            <w:hideMark/>
          </w:tcPr>
          <w:p w14:paraId="759C011F" w14:textId="77777777" w:rsidR="0014309B" w:rsidRPr="00FF009C" w:rsidRDefault="00D92EDA" w:rsidP="002467B1">
            <w:pPr>
              <w:spacing w:before="0" w:after="0"/>
              <w:jc w:val="center"/>
              <w:rPr>
                <w:rFonts w:eastAsia="Times New Roman"/>
                <w:noProof/>
                <w:sz w:val="18"/>
                <w:szCs w:val="18"/>
              </w:rPr>
            </w:pPr>
            <w:r w:rsidRPr="00FF009C">
              <w:rPr>
                <w:noProof/>
                <w:sz w:val="18"/>
              </w:rPr>
              <w:t xml:space="preserve">0,727 </w:t>
            </w:r>
          </w:p>
        </w:tc>
      </w:tr>
      <w:tr w:rsidR="007502D3" w:rsidRPr="00FF009C" w14:paraId="562DAE12" w14:textId="77777777" w:rsidTr="003B0D94">
        <w:trPr>
          <w:trHeight w:val="300"/>
          <w:jc w:val="center"/>
        </w:trPr>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0303C4" w14:textId="740199D1" w:rsidR="0014309B" w:rsidRPr="00FF009C" w:rsidRDefault="0014309B" w:rsidP="6E5A1C8C">
            <w:pPr>
              <w:spacing w:before="0" w:after="0"/>
              <w:jc w:val="right"/>
              <w:rPr>
                <w:rFonts w:eastAsia="Times New Roman"/>
                <w:i/>
                <w:iCs/>
                <w:noProof/>
                <w:sz w:val="18"/>
                <w:szCs w:val="18"/>
              </w:rPr>
            </w:pPr>
            <w:r w:rsidRPr="00FF009C">
              <w:rPr>
                <w:i/>
                <w:noProof/>
                <w:sz w:val="18"/>
              </w:rPr>
              <w:t>Cel szczegółowy nr</w:t>
            </w:r>
            <w:r w:rsidR="00FF009C" w:rsidRPr="00FF009C">
              <w:rPr>
                <w:i/>
                <w:noProof/>
                <w:sz w:val="18"/>
              </w:rPr>
              <w:t> </w:t>
            </w:r>
            <w:r w:rsidRPr="00FF009C">
              <w:rPr>
                <w:i/>
                <w:noProof/>
                <w:sz w:val="18"/>
              </w:rPr>
              <w:t>2 – suma cząstkowa</w:t>
            </w:r>
          </w:p>
        </w:tc>
        <w:tc>
          <w:tcPr>
            <w:tcW w:w="820" w:type="dxa"/>
            <w:tcBorders>
              <w:top w:val="nil"/>
              <w:left w:val="nil"/>
              <w:bottom w:val="single" w:sz="4" w:space="0" w:color="auto"/>
              <w:right w:val="single" w:sz="4" w:space="0" w:color="auto"/>
            </w:tcBorders>
            <w:shd w:val="clear" w:color="auto" w:fill="auto"/>
            <w:noWrap/>
            <w:vAlign w:val="center"/>
            <w:hideMark/>
          </w:tcPr>
          <w:p w14:paraId="58B4676B" w14:textId="77777777" w:rsidR="0014309B" w:rsidRPr="00FF009C" w:rsidRDefault="0014309B" w:rsidP="6E5A1C8C">
            <w:pPr>
              <w:spacing w:before="0" w:after="0"/>
              <w:jc w:val="center"/>
              <w:rPr>
                <w:rFonts w:eastAsia="Times New Roman"/>
                <w:i/>
                <w:iCs/>
                <w:noProof/>
                <w:sz w:val="18"/>
                <w:szCs w:val="18"/>
              </w:rPr>
            </w:pPr>
            <w:r w:rsidRPr="00FF009C">
              <w:rPr>
                <w:i/>
                <w:noProof/>
                <w:sz w:val="18"/>
              </w:rPr>
              <w:t>-</w:t>
            </w:r>
          </w:p>
        </w:tc>
        <w:tc>
          <w:tcPr>
            <w:tcW w:w="1206" w:type="dxa"/>
            <w:tcBorders>
              <w:top w:val="nil"/>
              <w:left w:val="nil"/>
              <w:bottom w:val="single" w:sz="4" w:space="0" w:color="auto"/>
              <w:right w:val="single" w:sz="4" w:space="0" w:color="auto"/>
            </w:tcBorders>
            <w:shd w:val="clear" w:color="auto" w:fill="auto"/>
            <w:noWrap/>
            <w:vAlign w:val="center"/>
            <w:hideMark/>
          </w:tcPr>
          <w:p w14:paraId="1BF05F52" w14:textId="77777777" w:rsidR="0014309B" w:rsidRPr="00FF009C" w:rsidRDefault="00D92EDA" w:rsidP="6E5A1C8C">
            <w:pPr>
              <w:spacing w:before="0" w:after="0"/>
              <w:jc w:val="center"/>
              <w:rPr>
                <w:rFonts w:eastAsia="Times New Roman"/>
                <w:i/>
                <w:iCs/>
                <w:noProof/>
                <w:sz w:val="18"/>
                <w:szCs w:val="18"/>
              </w:rPr>
            </w:pPr>
            <w:r w:rsidRPr="00FF009C">
              <w:rPr>
                <w:i/>
                <w:noProof/>
                <w:sz w:val="18"/>
              </w:rPr>
              <w:t xml:space="preserve">0,075 </w:t>
            </w:r>
          </w:p>
        </w:tc>
        <w:tc>
          <w:tcPr>
            <w:tcW w:w="1206" w:type="dxa"/>
            <w:tcBorders>
              <w:top w:val="nil"/>
              <w:left w:val="nil"/>
              <w:bottom w:val="single" w:sz="4" w:space="0" w:color="auto"/>
              <w:right w:val="single" w:sz="4" w:space="0" w:color="auto"/>
            </w:tcBorders>
            <w:shd w:val="clear" w:color="auto" w:fill="auto"/>
            <w:noWrap/>
            <w:vAlign w:val="center"/>
            <w:hideMark/>
          </w:tcPr>
          <w:p w14:paraId="6F859265" w14:textId="77777777" w:rsidR="0014309B" w:rsidRPr="00FF009C" w:rsidRDefault="00D92EDA" w:rsidP="6E5A1C8C">
            <w:pPr>
              <w:spacing w:before="0" w:after="0"/>
              <w:jc w:val="center"/>
              <w:rPr>
                <w:rFonts w:eastAsia="Times New Roman"/>
                <w:i/>
                <w:iCs/>
                <w:noProof/>
                <w:sz w:val="18"/>
                <w:szCs w:val="18"/>
              </w:rPr>
            </w:pPr>
            <w:r w:rsidRPr="00FF009C">
              <w:rPr>
                <w:i/>
                <w:noProof/>
                <w:sz w:val="18"/>
              </w:rPr>
              <w:t xml:space="preserve">0,242 </w:t>
            </w:r>
          </w:p>
        </w:tc>
        <w:tc>
          <w:tcPr>
            <w:tcW w:w="1206" w:type="dxa"/>
            <w:tcBorders>
              <w:top w:val="nil"/>
              <w:left w:val="nil"/>
              <w:bottom w:val="single" w:sz="4" w:space="0" w:color="auto"/>
              <w:right w:val="single" w:sz="4" w:space="0" w:color="auto"/>
            </w:tcBorders>
            <w:shd w:val="clear" w:color="auto" w:fill="auto"/>
            <w:noWrap/>
            <w:vAlign w:val="center"/>
            <w:hideMark/>
          </w:tcPr>
          <w:p w14:paraId="724E2313" w14:textId="77777777" w:rsidR="0014309B" w:rsidRPr="00FF009C" w:rsidRDefault="00D92EDA" w:rsidP="6E5A1C8C">
            <w:pPr>
              <w:spacing w:before="0" w:after="0"/>
              <w:jc w:val="center"/>
              <w:rPr>
                <w:rFonts w:eastAsia="Times New Roman"/>
                <w:i/>
                <w:iCs/>
                <w:noProof/>
                <w:sz w:val="18"/>
                <w:szCs w:val="18"/>
              </w:rPr>
            </w:pPr>
            <w:r w:rsidRPr="00FF009C">
              <w:rPr>
                <w:i/>
                <w:noProof/>
                <w:sz w:val="18"/>
              </w:rPr>
              <w:t xml:space="preserve">0,410 </w:t>
            </w:r>
          </w:p>
        </w:tc>
        <w:tc>
          <w:tcPr>
            <w:tcW w:w="1206" w:type="dxa"/>
            <w:tcBorders>
              <w:top w:val="nil"/>
              <w:left w:val="nil"/>
              <w:bottom w:val="single" w:sz="4" w:space="0" w:color="auto"/>
              <w:right w:val="single" w:sz="4" w:space="0" w:color="auto"/>
            </w:tcBorders>
            <w:shd w:val="clear" w:color="auto" w:fill="auto"/>
            <w:noWrap/>
            <w:vAlign w:val="center"/>
            <w:hideMark/>
          </w:tcPr>
          <w:p w14:paraId="3AA48FCE" w14:textId="77777777" w:rsidR="0014309B" w:rsidRPr="00FF009C" w:rsidRDefault="00D92EDA" w:rsidP="6E5A1C8C">
            <w:pPr>
              <w:spacing w:before="0" w:after="0"/>
              <w:jc w:val="center"/>
              <w:rPr>
                <w:rFonts w:eastAsia="Times New Roman"/>
                <w:i/>
                <w:iCs/>
                <w:noProof/>
                <w:sz w:val="18"/>
                <w:szCs w:val="18"/>
              </w:rPr>
            </w:pPr>
            <w:r w:rsidRPr="00FF009C">
              <w:rPr>
                <w:i/>
                <w:noProof/>
                <w:sz w:val="18"/>
              </w:rPr>
              <w:t xml:space="preserve">0,727 </w:t>
            </w:r>
          </w:p>
        </w:tc>
      </w:tr>
      <w:tr w:rsidR="007502D3" w:rsidRPr="00FF009C" w14:paraId="774F4D34" w14:textId="77777777" w:rsidTr="003B0D94">
        <w:trPr>
          <w:trHeight w:val="510"/>
          <w:jc w:val="center"/>
        </w:trPr>
        <w:tc>
          <w:tcPr>
            <w:tcW w:w="1074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17BD962" w14:textId="24C88E72" w:rsidR="0014309B" w:rsidRPr="00FF009C" w:rsidRDefault="0014309B" w:rsidP="002467B1">
            <w:pPr>
              <w:spacing w:before="0" w:after="0"/>
              <w:jc w:val="left"/>
              <w:rPr>
                <w:rFonts w:eastAsia="Times New Roman"/>
                <w:noProof/>
                <w:sz w:val="20"/>
                <w:szCs w:val="20"/>
              </w:rPr>
            </w:pPr>
            <w:r w:rsidRPr="00FF009C">
              <w:rPr>
                <w:noProof/>
                <w:sz w:val="20"/>
              </w:rPr>
              <w:t>CEL SZCZEGÓŁOWY NR 3: wzmocnienie Europolu jako unijnego centrum informacji kryminalnych dotyczących przemytu migrantów</w:t>
            </w:r>
            <w:r w:rsidR="00FF009C" w:rsidRPr="00FF009C">
              <w:rPr>
                <w:noProof/>
                <w:sz w:val="20"/>
              </w:rPr>
              <w:t xml:space="preserve"> i</w:t>
            </w:r>
            <w:r w:rsidR="00FF009C">
              <w:rPr>
                <w:noProof/>
                <w:sz w:val="20"/>
              </w:rPr>
              <w:t> </w:t>
            </w:r>
            <w:r w:rsidR="00FF009C" w:rsidRPr="00FF009C">
              <w:rPr>
                <w:noProof/>
                <w:sz w:val="20"/>
              </w:rPr>
              <w:t>han</w:t>
            </w:r>
            <w:r w:rsidRPr="00FF009C">
              <w:rPr>
                <w:noProof/>
                <w:sz w:val="20"/>
              </w:rPr>
              <w:t>dlu ludźmi,</w:t>
            </w:r>
            <w:r w:rsidR="00FF009C" w:rsidRPr="00FF009C">
              <w:rPr>
                <w:noProof/>
                <w:sz w:val="20"/>
              </w:rPr>
              <w:t xml:space="preserve"> a</w:t>
            </w:r>
            <w:r w:rsidR="00FF009C">
              <w:rPr>
                <w:noProof/>
                <w:sz w:val="20"/>
              </w:rPr>
              <w:t> </w:t>
            </w:r>
            <w:r w:rsidR="00FF009C" w:rsidRPr="00FF009C">
              <w:rPr>
                <w:noProof/>
                <w:sz w:val="20"/>
              </w:rPr>
              <w:t>tak</w:t>
            </w:r>
            <w:r w:rsidRPr="00FF009C">
              <w:rPr>
                <w:noProof/>
                <w:sz w:val="20"/>
              </w:rPr>
              <w:t>że pełne rozwinięcie wymiany informacji między państwami członkowskimi, Europolem, innymi agencjami UE oraz państwami trzecimi</w:t>
            </w:r>
          </w:p>
        </w:tc>
      </w:tr>
      <w:tr w:rsidR="007502D3" w:rsidRPr="00FF009C" w14:paraId="0F79EBDD" w14:textId="77777777" w:rsidTr="003B0D94">
        <w:trPr>
          <w:trHeight w:val="480"/>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3851C478" w14:textId="77777777" w:rsidR="0014309B" w:rsidRPr="00FF009C" w:rsidRDefault="0014309B" w:rsidP="002467B1">
            <w:pPr>
              <w:spacing w:before="0" w:after="0"/>
              <w:jc w:val="center"/>
              <w:rPr>
                <w:rFonts w:eastAsia="Times New Roman"/>
                <w:noProof/>
                <w:sz w:val="18"/>
                <w:szCs w:val="18"/>
              </w:rPr>
            </w:pPr>
            <w:r w:rsidRPr="00FF009C">
              <w:rPr>
                <w:noProof/>
                <w:sz w:val="18"/>
              </w:rPr>
              <w:t>- Produkt</w:t>
            </w:r>
          </w:p>
        </w:tc>
        <w:tc>
          <w:tcPr>
            <w:tcW w:w="4380" w:type="dxa"/>
            <w:tcBorders>
              <w:top w:val="nil"/>
              <w:left w:val="nil"/>
              <w:bottom w:val="single" w:sz="4" w:space="0" w:color="auto"/>
              <w:right w:val="single" w:sz="4" w:space="0" w:color="auto"/>
            </w:tcBorders>
            <w:shd w:val="clear" w:color="auto" w:fill="auto"/>
            <w:vAlign w:val="center"/>
            <w:hideMark/>
          </w:tcPr>
          <w:p w14:paraId="33EAFDBF" w14:textId="2BC3AC50" w:rsidR="0014309B" w:rsidRPr="00FF009C" w:rsidRDefault="0014309B" w:rsidP="002467B1">
            <w:pPr>
              <w:spacing w:before="0" w:after="0"/>
              <w:jc w:val="left"/>
              <w:rPr>
                <w:rFonts w:eastAsia="Times New Roman"/>
                <w:noProof/>
                <w:sz w:val="18"/>
                <w:szCs w:val="18"/>
              </w:rPr>
            </w:pPr>
            <w:r w:rsidRPr="00FF009C">
              <w:rPr>
                <w:noProof/>
                <w:sz w:val="18"/>
              </w:rPr>
              <w:t>Biometria – rozwój systemów</w:t>
            </w:r>
            <w:r w:rsidR="00FF009C" w:rsidRPr="00FF009C">
              <w:rPr>
                <w:noProof/>
                <w:sz w:val="18"/>
              </w:rPr>
              <w:t xml:space="preserve"> i</w:t>
            </w:r>
            <w:r w:rsidR="00FF009C">
              <w:rPr>
                <w:noProof/>
                <w:sz w:val="18"/>
              </w:rPr>
              <w:t> </w:t>
            </w:r>
            <w:r w:rsidR="00FF009C" w:rsidRPr="00FF009C">
              <w:rPr>
                <w:noProof/>
                <w:sz w:val="18"/>
              </w:rPr>
              <w:t>mod</w:t>
            </w:r>
            <w:r w:rsidRPr="00FF009C">
              <w:rPr>
                <w:noProof/>
                <w:sz w:val="18"/>
              </w:rPr>
              <w:t>ernizacja SIENA (sprzęt, oprogramowanie, doradztwo)</w:t>
            </w:r>
          </w:p>
        </w:tc>
        <w:tc>
          <w:tcPr>
            <w:tcW w:w="820" w:type="dxa"/>
            <w:tcBorders>
              <w:top w:val="nil"/>
              <w:left w:val="nil"/>
              <w:bottom w:val="single" w:sz="4" w:space="0" w:color="auto"/>
              <w:right w:val="single" w:sz="4" w:space="0" w:color="auto"/>
            </w:tcBorders>
            <w:shd w:val="clear" w:color="auto" w:fill="auto"/>
            <w:noWrap/>
            <w:vAlign w:val="center"/>
            <w:hideMark/>
          </w:tcPr>
          <w:p w14:paraId="59154D2B" w14:textId="77777777" w:rsidR="0014309B" w:rsidRPr="00FF009C" w:rsidRDefault="0014309B" w:rsidP="002467B1">
            <w:pPr>
              <w:spacing w:before="0" w:after="0"/>
              <w:jc w:val="center"/>
              <w:rPr>
                <w:rFonts w:eastAsia="Times New Roman"/>
                <w:noProof/>
                <w:sz w:val="18"/>
                <w:szCs w:val="18"/>
              </w:rPr>
            </w:pPr>
            <w:r w:rsidRPr="00FF009C">
              <w:rPr>
                <w:noProof/>
                <w:sz w:val="18"/>
              </w:rPr>
              <w:t>-</w:t>
            </w:r>
          </w:p>
        </w:tc>
        <w:tc>
          <w:tcPr>
            <w:tcW w:w="1206" w:type="dxa"/>
            <w:tcBorders>
              <w:top w:val="nil"/>
              <w:left w:val="nil"/>
              <w:bottom w:val="single" w:sz="4" w:space="0" w:color="auto"/>
              <w:right w:val="single" w:sz="4" w:space="0" w:color="auto"/>
            </w:tcBorders>
            <w:shd w:val="clear" w:color="auto" w:fill="auto"/>
            <w:noWrap/>
            <w:vAlign w:val="center"/>
            <w:hideMark/>
          </w:tcPr>
          <w:p w14:paraId="213E6116" w14:textId="77777777" w:rsidR="0014309B" w:rsidRPr="00FF009C" w:rsidRDefault="00D92EDA" w:rsidP="002467B1">
            <w:pPr>
              <w:spacing w:before="0" w:after="0"/>
              <w:jc w:val="center"/>
              <w:rPr>
                <w:rFonts w:eastAsia="Times New Roman"/>
                <w:noProof/>
                <w:sz w:val="18"/>
                <w:szCs w:val="18"/>
              </w:rPr>
            </w:pPr>
            <w:r w:rsidRPr="00FF009C">
              <w:rPr>
                <w:noProof/>
                <w:sz w:val="18"/>
              </w:rPr>
              <w:t xml:space="preserve">8,765 </w:t>
            </w:r>
          </w:p>
        </w:tc>
        <w:tc>
          <w:tcPr>
            <w:tcW w:w="1206" w:type="dxa"/>
            <w:tcBorders>
              <w:top w:val="nil"/>
              <w:left w:val="nil"/>
              <w:bottom w:val="single" w:sz="4" w:space="0" w:color="auto"/>
              <w:right w:val="single" w:sz="4" w:space="0" w:color="auto"/>
            </w:tcBorders>
            <w:shd w:val="clear" w:color="auto" w:fill="auto"/>
            <w:noWrap/>
            <w:vAlign w:val="center"/>
            <w:hideMark/>
          </w:tcPr>
          <w:p w14:paraId="711F4322" w14:textId="77777777" w:rsidR="0014309B" w:rsidRPr="00FF009C" w:rsidRDefault="00D92EDA" w:rsidP="002467B1">
            <w:pPr>
              <w:spacing w:before="0" w:after="0"/>
              <w:jc w:val="center"/>
              <w:rPr>
                <w:rFonts w:eastAsia="Times New Roman"/>
                <w:noProof/>
                <w:sz w:val="18"/>
                <w:szCs w:val="18"/>
              </w:rPr>
            </w:pPr>
            <w:r w:rsidRPr="00FF009C">
              <w:rPr>
                <w:noProof/>
                <w:sz w:val="18"/>
              </w:rPr>
              <w:t xml:space="preserve">9,526 </w:t>
            </w:r>
          </w:p>
        </w:tc>
        <w:tc>
          <w:tcPr>
            <w:tcW w:w="1206" w:type="dxa"/>
            <w:tcBorders>
              <w:top w:val="nil"/>
              <w:left w:val="nil"/>
              <w:bottom w:val="single" w:sz="4" w:space="0" w:color="auto"/>
              <w:right w:val="single" w:sz="4" w:space="0" w:color="auto"/>
            </w:tcBorders>
            <w:shd w:val="clear" w:color="auto" w:fill="auto"/>
            <w:noWrap/>
            <w:vAlign w:val="center"/>
            <w:hideMark/>
          </w:tcPr>
          <w:p w14:paraId="575F6DC1" w14:textId="77777777" w:rsidR="0014309B" w:rsidRPr="00FF009C" w:rsidRDefault="00D92EDA" w:rsidP="002467B1">
            <w:pPr>
              <w:spacing w:before="0" w:after="0"/>
              <w:jc w:val="center"/>
              <w:rPr>
                <w:rFonts w:eastAsia="Times New Roman"/>
                <w:noProof/>
                <w:sz w:val="18"/>
                <w:szCs w:val="18"/>
              </w:rPr>
            </w:pPr>
            <w:r w:rsidRPr="00FF009C">
              <w:rPr>
                <w:noProof/>
                <w:sz w:val="18"/>
              </w:rPr>
              <w:t xml:space="preserve">3,372 </w:t>
            </w:r>
          </w:p>
        </w:tc>
        <w:tc>
          <w:tcPr>
            <w:tcW w:w="1206" w:type="dxa"/>
            <w:tcBorders>
              <w:top w:val="nil"/>
              <w:left w:val="nil"/>
              <w:bottom w:val="single" w:sz="4" w:space="0" w:color="auto"/>
              <w:right w:val="single" w:sz="4" w:space="0" w:color="auto"/>
            </w:tcBorders>
            <w:shd w:val="clear" w:color="auto" w:fill="auto"/>
            <w:noWrap/>
            <w:vAlign w:val="center"/>
            <w:hideMark/>
          </w:tcPr>
          <w:p w14:paraId="03026F71" w14:textId="77777777" w:rsidR="0014309B" w:rsidRPr="00FF009C" w:rsidRDefault="00D92EDA" w:rsidP="002467B1">
            <w:pPr>
              <w:spacing w:before="0" w:after="0"/>
              <w:jc w:val="center"/>
              <w:rPr>
                <w:rFonts w:eastAsia="Times New Roman"/>
                <w:noProof/>
                <w:sz w:val="18"/>
                <w:szCs w:val="18"/>
              </w:rPr>
            </w:pPr>
            <w:r w:rsidRPr="00FF009C">
              <w:rPr>
                <w:noProof/>
                <w:sz w:val="18"/>
              </w:rPr>
              <w:t xml:space="preserve">21,662 </w:t>
            </w:r>
          </w:p>
        </w:tc>
      </w:tr>
      <w:tr w:rsidR="007502D3" w:rsidRPr="00FF009C" w14:paraId="1C360A08" w14:textId="77777777" w:rsidTr="003B0D94">
        <w:trPr>
          <w:trHeight w:val="480"/>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535A3E66" w14:textId="77777777" w:rsidR="0014309B" w:rsidRPr="00FF009C" w:rsidRDefault="0014309B" w:rsidP="002467B1">
            <w:pPr>
              <w:spacing w:before="0" w:after="0"/>
              <w:jc w:val="center"/>
              <w:rPr>
                <w:rFonts w:eastAsia="Times New Roman"/>
                <w:noProof/>
                <w:sz w:val="18"/>
                <w:szCs w:val="18"/>
              </w:rPr>
            </w:pPr>
            <w:r w:rsidRPr="00FF009C">
              <w:rPr>
                <w:noProof/>
                <w:sz w:val="18"/>
              </w:rPr>
              <w:t>- Produkt</w:t>
            </w:r>
          </w:p>
        </w:tc>
        <w:tc>
          <w:tcPr>
            <w:tcW w:w="4380" w:type="dxa"/>
            <w:tcBorders>
              <w:top w:val="nil"/>
              <w:left w:val="nil"/>
              <w:bottom w:val="single" w:sz="4" w:space="0" w:color="auto"/>
              <w:right w:val="single" w:sz="4" w:space="0" w:color="auto"/>
            </w:tcBorders>
            <w:shd w:val="clear" w:color="auto" w:fill="auto"/>
            <w:vAlign w:val="center"/>
            <w:hideMark/>
          </w:tcPr>
          <w:p w14:paraId="4818B9FA" w14:textId="5996F07E" w:rsidR="0014309B" w:rsidRPr="00FF009C" w:rsidRDefault="0014309B" w:rsidP="002467B1">
            <w:pPr>
              <w:spacing w:before="0" w:after="0"/>
              <w:jc w:val="left"/>
              <w:rPr>
                <w:rFonts w:eastAsia="Times New Roman"/>
                <w:noProof/>
                <w:sz w:val="18"/>
                <w:szCs w:val="18"/>
              </w:rPr>
            </w:pPr>
            <w:r w:rsidRPr="00FF009C">
              <w:rPr>
                <w:noProof/>
                <w:sz w:val="18"/>
              </w:rPr>
              <w:t>Integracje</w:t>
            </w:r>
            <w:r w:rsidR="00FF009C" w:rsidRPr="00FF009C">
              <w:rPr>
                <w:noProof/>
                <w:sz w:val="18"/>
              </w:rPr>
              <w:t xml:space="preserve"> z</w:t>
            </w:r>
            <w:r w:rsidR="00FF009C">
              <w:rPr>
                <w:noProof/>
                <w:sz w:val="18"/>
              </w:rPr>
              <w:t> </w:t>
            </w:r>
            <w:r w:rsidR="00FF009C" w:rsidRPr="00FF009C">
              <w:rPr>
                <w:noProof/>
                <w:sz w:val="18"/>
              </w:rPr>
              <w:t>opr</w:t>
            </w:r>
            <w:r w:rsidRPr="00FF009C">
              <w:rPr>
                <w:noProof/>
                <w:sz w:val="18"/>
              </w:rPr>
              <w:t>ogramowaniem SIENA (aplikacją sieci bezpiecznej wymiany informacji)</w:t>
            </w:r>
          </w:p>
        </w:tc>
        <w:tc>
          <w:tcPr>
            <w:tcW w:w="820" w:type="dxa"/>
            <w:tcBorders>
              <w:top w:val="nil"/>
              <w:left w:val="nil"/>
              <w:bottom w:val="single" w:sz="4" w:space="0" w:color="auto"/>
              <w:right w:val="single" w:sz="4" w:space="0" w:color="auto"/>
            </w:tcBorders>
            <w:shd w:val="clear" w:color="auto" w:fill="auto"/>
            <w:noWrap/>
            <w:vAlign w:val="center"/>
            <w:hideMark/>
          </w:tcPr>
          <w:p w14:paraId="77A38D60" w14:textId="77777777" w:rsidR="0014309B" w:rsidRPr="00FF009C" w:rsidRDefault="0014309B" w:rsidP="002467B1">
            <w:pPr>
              <w:spacing w:before="0" w:after="0"/>
              <w:jc w:val="center"/>
              <w:rPr>
                <w:rFonts w:eastAsia="Times New Roman"/>
                <w:noProof/>
                <w:sz w:val="18"/>
                <w:szCs w:val="18"/>
              </w:rPr>
            </w:pPr>
            <w:r w:rsidRPr="00FF009C">
              <w:rPr>
                <w:noProof/>
                <w:sz w:val="18"/>
              </w:rPr>
              <w:t>-</w:t>
            </w:r>
          </w:p>
        </w:tc>
        <w:tc>
          <w:tcPr>
            <w:tcW w:w="1206" w:type="dxa"/>
            <w:tcBorders>
              <w:top w:val="nil"/>
              <w:left w:val="nil"/>
              <w:bottom w:val="single" w:sz="4" w:space="0" w:color="auto"/>
              <w:right w:val="single" w:sz="4" w:space="0" w:color="auto"/>
            </w:tcBorders>
            <w:shd w:val="clear" w:color="auto" w:fill="auto"/>
            <w:noWrap/>
            <w:vAlign w:val="center"/>
            <w:hideMark/>
          </w:tcPr>
          <w:p w14:paraId="587388BF" w14:textId="77777777" w:rsidR="0014309B" w:rsidRPr="00FF009C" w:rsidRDefault="00D92EDA" w:rsidP="002467B1">
            <w:pPr>
              <w:spacing w:before="0" w:after="0"/>
              <w:jc w:val="center"/>
              <w:rPr>
                <w:rFonts w:eastAsia="Times New Roman"/>
                <w:noProof/>
                <w:sz w:val="18"/>
                <w:szCs w:val="18"/>
              </w:rPr>
            </w:pPr>
            <w:r w:rsidRPr="00FF009C">
              <w:rPr>
                <w:noProof/>
                <w:sz w:val="18"/>
              </w:rPr>
              <w:t xml:space="preserve">1,137 </w:t>
            </w:r>
          </w:p>
        </w:tc>
        <w:tc>
          <w:tcPr>
            <w:tcW w:w="1206" w:type="dxa"/>
            <w:tcBorders>
              <w:top w:val="nil"/>
              <w:left w:val="nil"/>
              <w:bottom w:val="single" w:sz="4" w:space="0" w:color="auto"/>
              <w:right w:val="single" w:sz="4" w:space="0" w:color="auto"/>
            </w:tcBorders>
            <w:shd w:val="clear" w:color="auto" w:fill="auto"/>
            <w:noWrap/>
            <w:vAlign w:val="center"/>
            <w:hideMark/>
          </w:tcPr>
          <w:p w14:paraId="6351DE60" w14:textId="77777777" w:rsidR="0014309B" w:rsidRPr="00FF009C" w:rsidRDefault="00D92EDA" w:rsidP="002467B1">
            <w:pPr>
              <w:spacing w:before="0" w:after="0"/>
              <w:jc w:val="center"/>
              <w:rPr>
                <w:rFonts w:eastAsia="Times New Roman"/>
                <w:noProof/>
                <w:sz w:val="18"/>
                <w:szCs w:val="18"/>
              </w:rPr>
            </w:pPr>
            <w:r w:rsidRPr="00FF009C">
              <w:rPr>
                <w:noProof/>
                <w:sz w:val="18"/>
              </w:rPr>
              <w:t xml:space="preserve">1,345 </w:t>
            </w:r>
          </w:p>
        </w:tc>
        <w:tc>
          <w:tcPr>
            <w:tcW w:w="1206" w:type="dxa"/>
            <w:tcBorders>
              <w:top w:val="nil"/>
              <w:left w:val="nil"/>
              <w:bottom w:val="single" w:sz="4" w:space="0" w:color="auto"/>
              <w:right w:val="single" w:sz="4" w:space="0" w:color="auto"/>
            </w:tcBorders>
            <w:shd w:val="clear" w:color="auto" w:fill="auto"/>
            <w:noWrap/>
            <w:vAlign w:val="center"/>
            <w:hideMark/>
          </w:tcPr>
          <w:p w14:paraId="56CD04A8" w14:textId="77777777" w:rsidR="0014309B" w:rsidRPr="00FF009C" w:rsidRDefault="00D92EDA" w:rsidP="002467B1">
            <w:pPr>
              <w:spacing w:before="0" w:after="0"/>
              <w:jc w:val="center"/>
              <w:rPr>
                <w:rFonts w:eastAsia="Times New Roman"/>
                <w:noProof/>
                <w:sz w:val="18"/>
                <w:szCs w:val="18"/>
              </w:rPr>
            </w:pPr>
            <w:r w:rsidRPr="00FF009C">
              <w:rPr>
                <w:noProof/>
                <w:sz w:val="18"/>
              </w:rPr>
              <w:t xml:space="preserve">0,876 </w:t>
            </w:r>
          </w:p>
        </w:tc>
        <w:tc>
          <w:tcPr>
            <w:tcW w:w="1206" w:type="dxa"/>
            <w:tcBorders>
              <w:top w:val="nil"/>
              <w:left w:val="nil"/>
              <w:bottom w:val="single" w:sz="4" w:space="0" w:color="auto"/>
              <w:right w:val="single" w:sz="4" w:space="0" w:color="auto"/>
            </w:tcBorders>
            <w:shd w:val="clear" w:color="auto" w:fill="auto"/>
            <w:noWrap/>
            <w:vAlign w:val="center"/>
            <w:hideMark/>
          </w:tcPr>
          <w:p w14:paraId="12387D92" w14:textId="77777777" w:rsidR="0014309B" w:rsidRPr="00FF009C" w:rsidRDefault="00EF068F" w:rsidP="002467B1">
            <w:pPr>
              <w:spacing w:before="0" w:after="0"/>
              <w:jc w:val="center"/>
              <w:rPr>
                <w:rFonts w:eastAsia="Times New Roman"/>
                <w:noProof/>
                <w:sz w:val="18"/>
                <w:szCs w:val="18"/>
              </w:rPr>
            </w:pPr>
            <w:r w:rsidRPr="00FF009C">
              <w:rPr>
                <w:noProof/>
                <w:sz w:val="18"/>
              </w:rPr>
              <w:t>3,358</w:t>
            </w:r>
          </w:p>
        </w:tc>
      </w:tr>
      <w:tr w:rsidR="007502D3" w:rsidRPr="00FF009C" w14:paraId="6F447FD3" w14:textId="77777777" w:rsidTr="003B0D94">
        <w:trPr>
          <w:trHeight w:val="300"/>
          <w:jc w:val="center"/>
        </w:trPr>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2B8D07" w14:textId="77BEB80B" w:rsidR="0014309B" w:rsidRPr="00FF009C" w:rsidRDefault="0014309B" w:rsidP="6E5A1C8C">
            <w:pPr>
              <w:spacing w:before="0" w:after="0"/>
              <w:jc w:val="right"/>
              <w:rPr>
                <w:rFonts w:eastAsia="Times New Roman"/>
                <w:i/>
                <w:iCs/>
                <w:noProof/>
                <w:sz w:val="18"/>
                <w:szCs w:val="18"/>
              </w:rPr>
            </w:pPr>
            <w:r w:rsidRPr="00FF009C">
              <w:rPr>
                <w:i/>
                <w:noProof/>
                <w:sz w:val="18"/>
              </w:rPr>
              <w:t>Cel szczegółowy nr</w:t>
            </w:r>
            <w:r w:rsidR="00FF009C" w:rsidRPr="00FF009C">
              <w:rPr>
                <w:i/>
                <w:noProof/>
                <w:sz w:val="18"/>
              </w:rPr>
              <w:t> </w:t>
            </w:r>
            <w:r w:rsidRPr="00FF009C">
              <w:rPr>
                <w:i/>
                <w:noProof/>
                <w:sz w:val="18"/>
              </w:rPr>
              <w:t>3 – suma cząstkowa</w:t>
            </w:r>
          </w:p>
        </w:tc>
        <w:tc>
          <w:tcPr>
            <w:tcW w:w="820" w:type="dxa"/>
            <w:tcBorders>
              <w:top w:val="nil"/>
              <w:left w:val="nil"/>
              <w:bottom w:val="single" w:sz="4" w:space="0" w:color="auto"/>
              <w:right w:val="single" w:sz="4" w:space="0" w:color="auto"/>
            </w:tcBorders>
            <w:shd w:val="clear" w:color="auto" w:fill="auto"/>
            <w:noWrap/>
            <w:vAlign w:val="center"/>
            <w:hideMark/>
          </w:tcPr>
          <w:p w14:paraId="01CE2142" w14:textId="77777777" w:rsidR="0014309B" w:rsidRPr="00FF009C" w:rsidRDefault="0014309B" w:rsidP="6E5A1C8C">
            <w:pPr>
              <w:spacing w:before="0" w:after="0"/>
              <w:jc w:val="center"/>
              <w:rPr>
                <w:rFonts w:eastAsia="Times New Roman"/>
                <w:i/>
                <w:iCs/>
                <w:noProof/>
                <w:sz w:val="18"/>
                <w:szCs w:val="18"/>
              </w:rPr>
            </w:pPr>
            <w:r w:rsidRPr="00FF009C">
              <w:rPr>
                <w:i/>
                <w:noProof/>
                <w:sz w:val="18"/>
              </w:rPr>
              <w:t>-</w:t>
            </w:r>
          </w:p>
        </w:tc>
        <w:tc>
          <w:tcPr>
            <w:tcW w:w="1206" w:type="dxa"/>
            <w:tcBorders>
              <w:top w:val="nil"/>
              <w:left w:val="nil"/>
              <w:bottom w:val="single" w:sz="4" w:space="0" w:color="auto"/>
              <w:right w:val="single" w:sz="4" w:space="0" w:color="auto"/>
            </w:tcBorders>
            <w:shd w:val="clear" w:color="auto" w:fill="auto"/>
            <w:noWrap/>
            <w:vAlign w:val="center"/>
            <w:hideMark/>
          </w:tcPr>
          <w:p w14:paraId="5BDEA10A" w14:textId="77777777" w:rsidR="0014309B" w:rsidRPr="00FF009C" w:rsidRDefault="00D92EDA" w:rsidP="6E5A1C8C">
            <w:pPr>
              <w:spacing w:before="0" w:after="0"/>
              <w:jc w:val="center"/>
              <w:rPr>
                <w:rFonts w:eastAsia="Times New Roman"/>
                <w:i/>
                <w:iCs/>
                <w:noProof/>
                <w:sz w:val="18"/>
                <w:szCs w:val="18"/>
              </w:rPr>
            </w:pPr>
            <w:r w:rsidRPr="00FF009C">
              <w:rPr>
                <w:i/>
                <w:noProof/>
                <w:sz w:val="18"/>
              </w:rPr>
              <w:t xml:space="preserve">9,902 </w:t>
            </w:r>
          </w:p>
        </w:tc>
        <w:tc>
          <w:tcPr>
            <w:tcW w:w="1206" w:type="dxa"/>
            <w:tcBorders>
              <w:top w:val="nil"/>
              <w:left w:val="nil"/>
              <w:bottom w:val="single" w:sz="4" w:space="0" w:color="auto"/>
              <w:right w:val="single" w:sz="4" w:space="0" w:color="auto"/>
            </w:tcBorders>
            <w:shd w:val="clear" w:color="auto" w:fill="auto"/>
            <w:noWrap/>
            <w:vAlign w:val="center"/>
            <w:hideMark/>
          </w:tcPr>
          <w:p w14:paraId="06D4E218" w14:textId="77777777" w:rsidR="0014309B" w:rsidRPr="00FF009C" w:rsidRDefault="00D92EDA" w:rsidP="6E5A1C8C">
            <w:pPr>
              <w:spacing w:before="0" w:after="0"/>
              <w:jc w:val="center"/>
              <w:rPr>
                <w:rFonts w:eastAsia="Times New Roman"/>
                <w:i/>
                <w:iCs/>
                <w:noProof/>
                <w:sz w:val="18"/>
                <w:szCs w:val="18"/>
              </w:rPr>
            </w:pPr>
            <w:r w:rsidRPr="00FF009C">
              <w:rPr>
                <w:i/>
                <w:noProof/>
                <w:sz w:val="18"/>
              </w:rPr>
              <w:t xml:space="preserve">10,871 </w:t>
            </w:r>
          </w:p>
        </w:tc>
        <w:tc>
          <w:tcPr>
            <w:tcW w:w="1206" w:type="dxa"/>
            <w:tcBorders>
              <w:top w:val="nil"/>
              <w:left w:val="nil"/>
              <w:bottom w:val="single" w:sz="4" w:space="0" w:color="auto"/>
              <w:right w:val="single" w:sz="4" w:space="0" w:color="auto"/>
            </w:tcBorders>
            <w:shd w:val="clear" w:color="auto" w:fill="auto"/>
            <w:noWrap/>
            <w:vAlign w:val="center"/>
            <w:hideMark/>
          </w:tcPr>
          <w:p w14:paraId="2FF25496" w14:textId="77777777" w:rsidR="0014309B" w:rsidRPr="00FF009C" w:rsidRDefault="00D92EDA" w:rsidP="6E5A1C8C">
            <w:pPr>
              <w:spacing w:before="0" w:after="0"/>
              <w:jc w:val="center"/>
              <w:rPr>
                <w:rFonts w:eastAsia="Times New Roman"/>
                <w:i/>
                <w:iCs/>
                <w:noProof/>
                <w:sz w:val="18"/>
                <w:szCs w:val="18"/>
              </w:rPr>
            </w:pPr>
            <w:r w:rsidRPr="00FF009C">
              <w:rPr>
                <w:i/>
                <w:noProof/>
                <w:sz w:val="18"/>
              </w:rPr>
              <w:t xml:space="preserve">4,248 </w:t>
            </w:r>
          </w:p>
        </w:tc>
        <w:tc>
          <w:tcPr>
            <w:tcW w:w="1206" w:type="dxa"/>
            <w:tcBorders>
              <w:top w:val="nil"/>
              <w:left w:val="nil"/>
              <w:bottom w:val="single" w:sz="4" w:space="0" w:color="auto"/>
              <w:right w:val="single" w:sz="4" w:space="0" w:color="auto"/>
            </w:tcBorders>
            <w:shd w:val="clear" w:color="auto" w:fill="auto"/>
            <w:noWrap/>
            <w:vAlign w:val="center"/>
            <w:hideMark/>
          </w:tcPr>
          <w:p w14:paraId="7EA3DC39" w14:textId="77777777" w:rsidR="0014309B" w:rsidRPr="00FF009C" w:rsidRDefault="00324F67" w:rsidP="6E5A1C8C">
            <w:pPr>
              <w:spacing w:before="0" w:after="0"/>
              <w:jc w:val="center"/>
              <w:rPr>
                <w:rFonts w:eastAsia="Times New Roman"/>
                <w:i/>
                <w:iCs/>
                <w:noProof/>
                <w:sz w:val="18"/>
                <w:szCs w:val="18"/>
              </w:rPr>
            </w:pPr>
            <w:r w:rsidRPr="00FF009C">
              <w:rPr>
                <w:i/>
                <w:noProof/>
                <w:sz w:val="18"/>
              </w:rPr>
              <w:t>25,021</w:t>
            </w:r>
          </w:p>
        </w:tc>
      </w:tr>
      <w:tr w:rsidR="007502D3" w:rsidRPr="00FF009C" w14:paraId="45F7E79F" w14:textId="77777777" w:rsidTr="003B0D94">
        <w:trPr>
          <w:trHeight w:val="510"/>
          <w:jc w:val="center"/>
        </w:trPr>
        <w:tc>
          <w:tcPr>
            <w:tcW w:w="1074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1E8AB14" w14:textId="01CFF023" w:rsidR="0014309B" w:rsidRPr="00FF009C" w:rsidRDefault="0014309B" w:rsidP="002467B1">
            <w:pPr>
              <w:spacing w:before="0" w:after="0"/>
              <w:jc w:val="left"/>
              <w:rPr>
                <w:rFonts w:eastAsia="Times New Roman"/>
                <w:noProof/>
                <w:sz w:val="20"/>
                <w:szCs w:val="20"/>
              </w:rPr>
            </w:pPr>
            <w:r w:rsidRPr="00FF009C">
              <w:rPr>
                <w:noProof/>
                <w:sz w:val="20"/>
              </w:rPr>
              <w:t>CEL SZCZEGÓŁOWY NR 4: zapewnienie Europolowi narzędzi niezbędnych do przeciwdziałania przemytowi migrantów</w:t>
            </w:r>
            <w:r w:rsidR="00FF009C" w:rsidRPr="00FF009C">
              <w:rPr>
                <w:noProof/>
                <w:sz w:val="20"/>
              </w:rPr>
              <w:t xml:space="preserve"> i</w:t>
            </w:r>
            <w:r w:rsidR="00FF009C">
              <w:rPr>
                <w:noProof/>
                <w:sz w:val="20"/>
              </w:rPr>
              <w:t> </w:t>
            </w:r>
            <w:r w:rsidR="00FF009C" w:rsidRPr="00FF009C">
              <w:rPr>
                <w:noProof/>
                <w:sz w:val="20"/>
              </w:rPr>
              <w:t>inn</w:t>
            </w:r>
            <w:r w:rsidRPr="00FF009C">
              <w:rPr>
                <w:noProof/>
                <w:sz w:val="20"/>
              </w:rPr>
              <w:t>ym przestępstwom wchodzącym</w:t>
            </w:r>
            <w:r w:rsidR="00FF009C" w:rsidRPr="00FF009C">
              <w:rPr>
                <w:noProof/>
                <w:sz w:val="20"/>
              </w:rPr>
              <w:t xml:space="preserve"> w</w:t>
            </w:r>
            <w:r w:rsidR="00FF009C">
              <w:rPr>
                <w:noProof/>
                <w:sz w:val="20"/>
              </w:rPr>
              <w:t> </w:t>
            </w:r>
            <w:r w:rsidR="00FF009C" w:rsidRPr="00FF009C">
              <w:rPr>
                <w:noProof/>
                <w:sz w:val="20"/>
              </w:rPr>
              <w:t>zak</w:t>
            </w:r>
            <w:r w:rsidRPr="00FF009C">
              <w:rPr>
                <w:noProof/>
                <w:sz w:val="20"/>
              </w:rPr>
              <w:t>res celów Europolu oraz zwalczania tych przestępstw</w:t>
            </w:r>
          </w:p>
        </w:tc>
      </w:tr>
      <w:tr w:rsidR="007502D3" w:rsidRPr="00FF009C" w14:paraId="1B6EEDAB" w14:textId="77777777" w:rsidTr="003B0D94">
        <w:trPr>
          <w:trHeight w:val="300"/>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527D91EE" w14:textId="77777777" w:rsidR="0014309B" w:rsidRPr="00FF009C" w:rsidRDefault="0014309B" w:rsidP="002467B1">
            <w:pPr>
              <w:spacing w:before="0" w:after="0"/>
              <w:jc w:val="center"/>
              <w:rPr>
                <w:rFonts w:eastAsia="Times New Roman"/>
                <w:noProof/>
                <w:sz w:val="18"/>
                <w:szCs w:val="18"/>
              </w:rPr>
            </w:pPr>
            <w:r w:rsidRPr="00FF009C">
              <w:rPr>
                <w:noProof/>
                <w:sz w:val="18"/>
              </w:rPr>
              <w:t>- Produkt</w:t>
            </w:r>
          </w:p>
        </w:tc>
        <w:tc>
          <w:tcPr>
            <w:tcW w:w="4380" w:type="dxa"/>
            <w:tcBorders>
              <w:top w:val="nil"/>
              <w:left w:val="nil"/>
              <w:bottom w:val="single" w:sz="4" w:space="0" w:color="auto"/>
              <w:right w:val="single" w:sz="4" w:space="0" w:color="auto"/>
            </w:tcBorders>
            <w:shd w:val="clear" w:color="auto" w:fill="auto"/>
            <w:vAlign w:val="center"/>
            <w:hideMark/>
          </w:tcPr>
          <w:p w14:paraId="36544921" w14:textId="025254FB" w:rsidR="0014309B" w:rsidRPr="00FF009C" w:rsidRDefault="0014309B" w:rsidP="002467B1">
            <w:pPr>
              <w:spacing w:before="0" w:after="0"/>
              <w:jc w:val="left"/>
              <w:rPr>
                <w:rFonts w:eastAsia="Times New Roman"/>
                <w:noProof/>
                <w:sz w:val="18"/>
                <w:szCs w:val="18"/>
              </w:rPr>
            </w:pPr>
            <w:r w:rsidRPr="00FF009C">
              <w:rPr>
                <w:noProof/>
                <w:sz w:val="18"/>
              </w:rPr>
              <w:t>Dotacja EMPACT – przemyt migrantów</w:t>
            </w:r>
            <w:r w:rsidR="00FF009C" w:rsidRPr="00FF009C">
              <w:rPr>
                <w:noProof/>
                <w:sz w:val="18"/>
              </w:rPr>
              <w:t xml:space="preserve"> i</w:t>
            </w:r>
            <w:r w:rsidR="00FF009C">
              <w:rPr>
                <w:noProof/>
                <w:sz w:val="18"/>
              </w:rPr>
              <w:t> </w:t>
            </w:r>
            <w:r w:rsidR="00FF009C" w:rsidRPr="00FF009C">
              <w:rPr>
                <w:noProof/>
                <w:sz w:val="18"/>
              </w:rPr>
              <w:t>pow</w:t>
            </w:r>
            <w:r w:rsidRPr="00FF009C">
              <w:rPr>
                <w:noProof/>
                <w:sz w:val="18"/>
              </w:rPr>
              <w:t xml:space="preserve">iązane przestępstwa </w:t>
            </w:r>
          </w:p>
        </w:tc>
        <w:tc>
          <w:tcPr>
            <w:tcW w:w="820" w:type="dxa"/>
            <w:tcBorders>
              <w:top w:val="nil"/>
              <w:left w:val="nil"/>
              <w:bottom w:val="single" w:sz="4" w:space="0" w:color="auto"/>
              <w:right w:val="single" w:sz="4" w:space="0" w:color="auto"/>
            </w:tcBorders>
            <w:shd w:val="clear" w:color="auto" w:fill="auto"/>
            <w:noWrap/>
            <w:vAlign w:val="center"/>
            <w:hideMark/>
          </w:tcPr>
          <w:p w14:paraId="5A863F84" w14:textId="77777777" w:rsidR="0014309B" w:rsidRPr="00FF009C" w:rsidRDefault="0014309B" w:rsidP="002467B1">
            <w:pPr>
              <w:spacing w:before="0" w:after="0"/>
              <w:jc w:val="center"/>
              <w:rPr>
                <w:rFonts w:eastAsia="Times New Roman"/>
                <w:noProof/>
                <w:sz w:val="18"/>
                <w:szCs w:val="18"/>
              </w:rPr>
            </w:pPr>
            <w:r w:rsidRPr="00FF009C">
              <w:rPr>
                <w:noProof/>
                <w:sz w:val="18"/>
              </w:rPr>
              <w:t>-</w:t>
            </w:r>
          </w:p>
        </w:tc>
        <w:tc>
          <w:tcPr>
            <w:tcW w:w="1206" w:type="dxa"/>
            <w:tcBorders>
              <w:top w:val="nil"/>
              <w:left w:val="nil"/>
              <w:bottom w:val="single" w:sz="4" w:space="0" w:color="auto"/>
              <w:right w:val="single" w:sz="4" w:space="0" w:color="auto"/>
            </w:tcBorders>
            <w:shd w:val="clear" w:color="auto" w:fill="auto"/>
            <w:noWrap/>
            <w:vAlign w:val="center"/>
            <w:hideMark/>
          </w:tcPr>
          <w:p w14:paraId="6B3FA48F" w14:textId="77777777" w:rsidR="0014309B" w:rsidRPr="00FF009C" w:rsidRDefault="0014309B" w:rsidP="002467B1">
            <w:pPr>
              <w:spacing w:before="0" w:after="0"/>
              <w:jc w:val="center"/>
              <w:rPr>
                <w:rFonts w:eastAsia="Times New Roman"/>
                <w:noProof/>
                <w:sz w:val="18"/>
                <w:szCs w:val="18"/>
              </w:rPr>
            </w:pPr>
            <w:r w:rsidRPr="00FF009C">
              <w:rPr>
                <w:noProof/>
                <w:sz w:val="18"/>
              </w:rPr>
              <w:t xml:space="preserve">2,000 </w:t>
            </w:r>
          </w:p>
        </w:tc>
        <w:tc>
          <w:tcPr>
            <w:tcW w:w="1206" w:type="dxa"/>
            <w:tcBorders>
              <w:top w:val="nil"/>
              <w:left w:val="nil"/>
              <w:bottom w:val="single" w:sz="4" w:space="0" w:color="auto"/>
              <w:right w:val="single" w:sz="4" w:space="0" w:color="auto"/>
            </w:tcBorders>
            <w:shd w:val="clear" w:color="auto" w:fill="auto"/>
            <w:noWrap/>
            <w:vAlign w:val="center"/>
            <w:hideMark/>
          </w:tcPr>
          <w:p w14:paraId="0398FA96" w14:textId="77777777" w:rsidR="0014309B" w:rsidRPr="00FF009C" w:rsidRDefault="0014309B" w:rsidP="002467B1">
            <w:pPr>
              <w:spacing w:before="0" w:after="0"/>
              <w:jc w:val="center"/>
              <w:rPr>
                <w:rFonts w:eastAsia="Times New Roman"/>
                <w:noProof/>
                <w:sz w:val="18"/>
                <w:szCs w:val="18"/>
              </w:rPr>
            </w:pPr>
            <w:r w:rsidRPr="00FF009C">
              <w:rPr>
                <w:noProof/>
                <w:sz w:val="18"/>
              </w:rPr>
              <w:t xml:space="preserve">2,000 </w:t>
            </w:r>
          </w:p>
        </w:tc>
        <w:tc>
          <w:tcPr>
            <w:tcW w:w="1206" w:type="dxa"/>
            <w:tcBorders>
              <w:top w:val="nil"/>
              <w:left w:val="nil"/>
              <w:bottom w:val="single" w:sz="4" w:space="0" w:color="auto"/>
              <w:right w:val="single" w:sz="4" w:space="0" w:color="auto"/>
            </w:tcBorders>
            <w:shd w:val="clear" w:color="auto" w:fill="auto"/>
            <w:noWrap/>
            <w:vAlign w:val="center"/>
            <w:hideMark/>
          </w:tcPr>
          <w:p w14:paraId="1ED2110E" w14:textId="77777777" w:rsidR="0014309B" w:rsidRPr="00FF009C" w:rsidRDefault="0014309B" w:rsidP="002467B1">
            <w:pPr>
              <w:spacing w:before="0" w:after="0"/>
              <w:jc w:val="center"/>
              <w:rPr>
                <w:rFonts w:eastAsia="Times New Roman"/>
                <w:noProof/>
                <w:sz w:val="18"/>
                <w:szCs w:val="18"/>
              </w:rPr>
            </w:pPr>
            <w:r w:rsidRPr="00FF009C">
              <w:rPr>
                <w:noProof/>
                <w:sz w:val="18"/>
              </w:rPr>
              <w:t xml:space="preserve">2,000 </w:t>
            </w:r>
          </w:p>
        </w:tc>
        <w:tc>
          <w:tcPr>
            <w:tcW w:w="1206" w:type="dxa"/>
            <w:tcBorders>
              <w:top w:val="nil"/>
              <w:left w:val="nil"/>
              <w:bottom w:val="single" w:sz="4" w:space="0" w:color="auto"/>
              <w:right w:val="single" w:sz="4" w:space="0" w:color="auto"/>
            </w:tcBorders>
            <w:shd w:val="clear" w:color="auto" w:fill="auto"/>
            <w:noWrap/>
            <w:vAlign w:val="center"/>
            <w:hideMark/>
          </w:tcPr>
          <w:p w14:paraId="7BE50147" w14:textId="77777777" w:rsidR="0014309B" w:rsidRPr="00FF009C" w:rsidRDefault="0014309B" w:rsidP="002467B1">
            <w:pPr>
              <w:spacing w:before="0" w:after="0"/>
              <w:jc w:val="center"/>
              <w:rPr>
                <w:rFonts w:eastAsia="Times New Roman"/>
                <w:noProof/>
                <w:sz w:val="18"/>
                <w:szCs w:val="18"/>
              </w:rPr>
            </w:pPr>
            <w:r w:rsidRPr="00FF009C">
              <w:rPr>
                <w:noProof/>
                <w:sz w:val="18"/>
              </w:rPr>
              <w:t xml:space="preserve">6,000 </w:t>
            </w:r>
          </w:p>
        </w:tc>
      </w:tr>
      <w:tr w:rsidR="007502D3" w:rsidRPr="00FF009C" w14:paraId="55614249" w14:textId="77777777" w:rsidTr="003B0D94">
        <w:trPr>
          <w:trHeight w:val="300"/>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09A069C1" w14:textId="77777777" w:rsidR="0014309B" w:rsidRPr="00FF009C" w:rsidRDefault="0014309B" w:rsidP="002467B1">
            <w:pPr>
              <w:spacing w:before="0" w:after="0"/>
              <w:jc w:val="center"/>
              <w:rPr>
                <w:rFonts w:eastAsia="Times New Roman"/>
                <w:noProof/>
                <w:sz w:val="18"/>
                <w:szCs w:val="18"/>
              </w:rPr>
            </w:pPr>
            <w:r w:rsidRPr="00FF009C">
              <w:rPr>
                <w:noProof/>
                <w:sz w:val="18"/>
              </w:rPr>
              <w:t>- Produkt</w:t>
            </w:r>
          </w:p>
        </w:tc>
        <w:tc>
          <w:tcPr>
            <w:tcW w:w="4380" w:type="dxa"/>
            <w:tcBorders>
              <w:top w:val="nil"/>
              <w:left w:val="nil"/>
              <w:bottom w:val="single" w:sz="4" w:space="0" w:color="auto"/>
              <w:right w:val="single" w:sz="4" w:space="0" w:color="auto"/>
            </w:tcBorders>
            <w:shd w:val="clear" w:color="auto" w:fill="auto"/>
            <w:vAlign w:val="center"/>
            <w:hideMark/>
          </w:tcPr>
          <w:p w14:paraId="6A05C02A" w14:textId="77777777" w:rsidR="0014309B" w:rsidRPr="00FF009C" w:rsidRDefault="0014309B" w:rsidP="002467B1">
            <w:pPr>
              <w:spacing w:before="0" w:after="0"/>
              <w:jc w:val="left"/>
              <w:rPr>
                <w:rFonts w:eastAsia="Times New Roman"/>
                <w:noProof/>
                <w:sz w:val="18"/>
                <w:szCs w:val="18"/>
              </w:rPr>
            </w:pPr>
            <w:r w:rsidRPr="00FF009C">
              <w:rPr>
                <w:noProof/>
                <w:sz w:val="18"/>
              </w:rPr>
              <w:t>Dotacja na rzecz operacyjnej grupy zadaniowej</w:t>
            </w:r>
          </w:p>
        </w:tc>
        <w:tc>
          <w:tcPr>
            <w:tcW w:w="820" w:type="dxa"/>
            <w:tcBorders>
              <w:top w:val="nil"/>
              <w:left w:val="nil"/>
              <w:bottom w:val="single" w:sz="4" w:space="0" w:color="auto"/>
              <w:right w:val="single" w:sz="4" w:space="0" w:color="auto"/>
            </w:tcBorders>
            <w:shd w:val="clear" w:color="auto" w:fill="auto"/>
            <w:noWrap/>
            <w:vAlign w:val="center"/>
            <w:hideMark/>
          </w:tcPr>
          <w:p w14:paraId="79AA0E28" w14:textId="77777777" w:rsidR="0014309B" w:rsidRPr="00FF009C" w:rsidRDefault="0014309B" w:rsidP="002467B1">
            <w:pPr>
              <w:spacing w:before="0" w:after="0"/>
              <w:jc w:val="center"/>
              <w:rPr>
                <w:rFonts w:eastAsia="Times New Roman"/>
                <w:noProof/>
                <w:sz w:val="18"/>
                <w:szCs w:val="18"/>
              </w:rPr>
            </w:pPr>
            <w:r w:rsidRPr="00FF009C">
              <w:rPr>
                <w:noProof/>
                <w:sz w:val="18"/>
              </w:rPr>
              <w:t>-</w:t>
            </w:r>
          </w:p>
        </w:tc>
        <w:tc>
          <w:tcPr>
            <w:tcW w:w="1206" w:type="dxa"/>
            <w:tcBorders>
              <w:top w:val="nil"/>
              <w:left w:val="nil"/>
              <w:bottom w:val="single" w:sz="4" w:space="0" w:color="auto"/>
              <w:right w:val="single" w:sz="4" w:space="0" w:color="auto"/>
            </w:tcBorders>
            <w:shd w:val="clear" w:color="auto" w:fill="auto"/>
            <w:noWrap/>
            <w:vAlign w:val="center"/>
            <w:hideMark/>
          </w:tcPr>
          <w:p w14:paraId="0BEDFAE3" w14:textId="77777777" w:rsidR="0014309B" w:rsidRPr="00FF009C" w:rsidRDefault="00744EA5" w:rsidP="002467B1">
            <w:pPr>
              <w:spacing w:before="0" w:after="0"/>
              <w:jc w:val="center"/>
              <w:rPr>
                <w:rFonts w:eastAsia="Times New Roman"/>
                <w:noProof/>
                <w:sz w:val="18"/>
                <w:szCs w:val="18"/>
              </w:rPr>
            </w:pPr>
            <w:r w:rsidRPr="00FF009C">
              <w:rPr>
                <w:noProof/>
                <w:sz w:val="18"/>
              </w:rPr>
              <w:t xml:space="preserve">2,000 </w:t>
            </w:r>
          </w:p>
        </w:tc>
        <w:tc>
          <w:tcPr>
            <w:tcW w:w="1206" w:type="dxa"/>
            <w:tcBorders>
              <w:top w:val="nil"/>
              <w:left w:val="nil"/>
              <w:bottom w:val="single" w:sz="4" w:space="0" w:color="auto"/>
              <w:right w:val="single" w:sz="4" w:space="0" w:color="auto"/>
            </w:tcBorders>
            <w:shd w:val="clear" w:color="auto" w:fill="auto"/>
            <w:noWrap/>
            <w:vAlign w:val="center"/>
            <w:hideMark/>
          </w:tcPr>
          <w:p w14:paraId="43BE8EBC" w14:textId="77777777" w:rsidR="0014309B" w:rsidRPr="00FF009C" w:rsidRDefault="0014309B" w:rsidP="002467B1">
            <w:pPr>
              <w:spacing w:before="0" w:after="0"/>
              <w:jc w:val="center"/>
              <w:rPr>
                <w:rFonts w:eastAsia="Times New Roman"/>
                <w:noProof/>
                <w:sz w:val="18"/>
                <w:szCs w:val="18"/>
              </w:rPr>
            </w:pPr>
            <w:r w:rsidRPr="00FF009C">
              <w:rPr>
                <w:noProof/>
                <w:sz w:val="18"/>
              </w:rPr>
              <w:t xml:space="preserve">3,000 </w:t>
            </w:r>
          </w:p>
        </w:tc>
        <w:tc>
          <w:tcPr>
            <w:tcW w:w="1206" w:type="dxa"/>
            <w:tcBorders>
              <w:top w:val="nil"/>
              <w:left w:val="nil"/>
              <w:bottom w:val="single" w:sz="4" w:space="0" w:color="auto"/>
              <w:right w:val="single" w:sz="4" w:space="0" w:color="auto"/>
            </w:tcBorders>
            <w:shd w:val="clear" w:color="auto" w:fill="auto"/>
            <w:noWrap/>
            <w:vAlign w:val="center"/>
            <w:hideMark/>
          </w:tcPr>
          <w:p w14:paraId="0076ABF3" w14:textId="77777777" w:rsidR="0014309B" w:rsidRPr="00FF009C" w:rsidRDefault="0014309B" w:rsidP="002467B1">
            <w:pPr>
              <w:spacing w:before="0" w:after="0"/>
              <w:jc w:val="center"/>
              <w:rPr>
                <w:rFonts w:eastAsia="Times New Roman"/>
                <w:noProof/>
                <w:sz w:val="18"/>
                <w:szCs w:val="18"/>
              </w:rPr>
            </w:pPr>
            <w:r w:rsidRPr="00FF009C">
              <w:rPr>
                <w:noProof/>
                <w:sz w:val="18"/>
              </w:rPr>
              <w:t xml:space="preserve">3,000 </w:t>
            </w:r>
          </w:p>
        </w:tc>
        <w:tc>
          <w:tcPr>
            <w:tcW w:w="1206" w:type="dxa"/>
            <w:tcBorders>
              <w:top w:val="nil"/>
              <w:left w:val="nil"/>
              <w:bottom w:val="single" w:sz="4" w:space="0" w:color="auto"/>
              <w:right w:val="single" w:sz="4" w:space="0" w:color="auto"/>
            </w:tcBorders>
            <w:shd w:val="clear" w:color="auto" w:fill="auto"/>
            <w:noWrap/>
            <w:vAlign w:val="center"/>
            <w:hideMark/>
          </w:tcPr>
          <w:p w14:paraId="63AF4119" w14:textId="77777777" w:rsidR="0014309B" w:rsidRPr="00FF009C" w:rsidRDefault="00744EA5" w:rsidP="002467B1">
            <w:pPr>
              <w:spacing w:before="0" w:after="0"/>
              <w:jc w:val="center"/>
              <w:rPr>
                <w:rFonts w:eastAsia="Times New Roman"/>
                <w:noProof/>
                <w:sz w:val="18"/>
                <w:szCs w:val="18"/>
              </w:rPr>
            </w:pPr>
            <w:r w:rsidRPr="00FF009C">
              <w:rPr>
                <w:noProof/>
                <w:sz w:val="18"/>
              </w:rPr>
              <w:t xml:space="preserve">8,000 </w:t>
            </w:r>
          </w:p>
        </w:tc>
      </w:tr>
      <w:tr w:rsidR="007502D3" w:rsidRPr="00FF009C" w14:paraId="0FB8EC19" w14:textId="77777777" w:rsidTr="003B0D94">
        <w:trPr>
          <w:trHeight w:val="300"/>
          <w:jc w:val="center"/>
        </w:trPr>
        <w:tc>
          <w:tcPr>
            <w:tcW w:w="717" w:type="dxa"/>
            <w:tcBorders>
              <w:top w:val="nil"/>
              <w:left w:val="single" w:sz="4" w:space="0" w:color="auto"/>
              <w:bottom w:val="single" w:sz="4" w:space="0" w:color="auto"/>
              <w:right w:val="single" w:sz="4" w:space="0" w:color="auto"/>
            </w:tcBorders>
            <w:shd w:val="clear" w:color="auto" w:fill="auto"/>
            <w:vAlign w:val="center"/>
            <w:hideMark/>
          </w:tcPr>
          <w:p w14:paraId="0F38C689" w14:textId="77777777" w:rsidR="0014309B" w:rsidRPr="00FF009C" w:rsidRDefault="0014309B" w:rsidP="002467B1">
            <w:pPr>
              <w:spacing w:before="0" w:after="0"/>
              <w:jc w:val="center"/>
              <w:rPr>
                <w:rFonts w:eastAsia="Times New Roman"/>
                <w:noProof/>
                <w:sz w:val="18"/>
                <w:szCs w:val="18"/>
              </w:rPr>
            </w:pPr>
            <w:r w:rsidRPr="00FF009C">
              <w:rPr>
                <w:noProof/>
                <w:sz w:val="18"/>
              </w:rPr>
              <w:t>- Produkt</w:t>
            </w:r>
          </w:p>
        </w:tc>
        <w:tc>
          <w:tcPr>
            <w:tcW w:w="4380" w:type="dxa"/>
            <w:tcBorders>
              <w:top w:val="nil"/>
              <w:left w:val="nil"/>
              <w:bottom w:val="single" w:sz="4" w:space="0" w:color="auto"/>
              <w:right w:val="single" w:sz="4" w:space="0" w:color="auto"/>
            </w:tcBorders>
            <w:shd w:val="clear" w:color="auto" w:fill="auto"/>
            <w:vAlign w:val="center"/>
            <w:hideMark/>
          </w:tcPr>
          <w:p w14:paraId="10252B59" w14:textId="77777777" w:rsidR="0014309B" w:rsidRPr="00FF009C" w:rsidRDefault="0014309B" w:rsidP="002467B1">
            <w:pPr>
              <w:spacing w:before="0" w:after="0"/>
              <w:jc w:val="left"/>
              <w:rPr>
                <w:rFonts w:eastAsia="Times New Roman"/>
                <w:noProof/>
                <w:sz w:val="18"/>
                <w:szCs w:val="18"/>
              </w:rPr>
            </w:pPr>
            <w:r w:rsidRPr="00FF009C">
              <w:rPr>
                <w:noProof/>
                <w:sz w:val="18"/>
              </w:rPr>
              <w:t>Wsparcie dla operacyjnych grup zadaniowych zajmujących się problematyką przemytu migrantów</w:t>
            </w:r>
          </w:p>
        </w:tc>
        <w:tc>
          <w:tcPr>
            <w:tcW w:w="820" w:type="dxa"/>
            <w:tcBorders>
              <w:top w:val="nil"/>
              <w:left w:val="nil"/>
              <w:bottom w:val="single" w:sz="4" w:space="0" w:color="auto"/>
              <w:right w:val="single" w:sz="4" w:space="0" w:color="auto"/>
            </w:tcBorders>
            <w:shd w:val="clear" w:color="auto" w:fill="auto"/>
            <w:noWrap/>
            <w:vAlign w:val="center"/>
            <w:hideMark/>
          </w:tcPr>
          <w:p w14:paraId="7CFCA3EF" w14:textId="77777777" w:rsidR="0014309B" w:rsidRPr="00FF009C" w:rsidRDefault="0014309B" w:rsidP="002467B1">
            <w:pPr>
              <w:spacing w:before="0" w:after="0"/>
              <w:jc w:val="center"/>
              <w:rPr>
                <w:rFonts w:eastAsia="Times New Roman"/>
                <w:noProof/>
                <w:sz w:val="18"/>
                <w:szCs w:val="18"/>
              </w:rPr>
            </w:pPr>
            <w:r w:rsidRPr="00FF009C">
              <w:rPr>
                <w:noProof/>
                <w:sz w:val="18"/>
              </w:rPr>
              <w:t>-</w:t>
            </w:r>
          </w:p>
        </w:tc>
        <w:tc>
          <w:tcPr>
            <w:tcW w:w="1206" w:type="dxa"/>
            <w:tcBorders>
              <w:top w:val="nil"/>
              <w:left w:val="nil"/>
              <w:bottom w:val="single" w:sz="4" w:space="0" w:color="auto"/>
              <w:right w:val="single" w:sz="4" w:space="0" w:color="auto"/>
            </w:tcBorders>
            <w:shd w:val="clear" w:color="auto" w:fill="auto"/>
            <w:noWrap/>
            <w:vAlign w:val="center"/>
            <w:hideMark/>
          </w:tcPr>
          <w:p w14:paraId="032A0748" w14:textId="77777777" w:rsidR="0014309B" w:rsidRPr="00FF009C" w:rsidRDefault="0014309B" w:rsidP="002467B1">
            <w:pPr>
              <w:spacing w:before="0" w:after="0"/>
              <w:jc w:val="center"/>
              <w:rPr>
                <w:rFonts w:eastAsia="Times New Roman"/>
                <w:noProof/>
                <w:sz w:val="18"/>
                <w:szCs w:val="18"/>
              </w:rPr>
            </w:pPr>
            <w:r w:rsidRPr="00FF009C">
              <w:rPr>
                <w:noProof/>
                <w:sz w:val="18"/>
              </w:rPr>
              <w:t xml:space="preserve">0,595 </w:t>
            </w:r>
          </w:p>
        </w:tc>
        <w:tc>
          <w:tcPr>
            <w:tcW w:w="1206" w:type="dxa"/>
            <w:tcBorders>
              <w:top w:val="nil"/>
              <w:left w:val="nil"/>
              <w:bottom w:val="single" w:sz="4" w:space="0" w:color="auto"/>
              <w:right w:val="single" w:sz="4" w:space="0" w:color="auto"/>
            </w:tcBorders>
            <w:shd w:val="clear" w:color="auto" w:fill="auto"/>
            <w:noWrap/>
            <w:vAlign w:val="center"/>
            <w:hideMark/>
          </w:tcPr>
          <w:p w14:paraId="7E660794" w14:textId="77777777" w:rsidR="0014309B" w:rsidRPr="00FF009C" w:rsidRDefault="0014309B" w:rsidP="002467B1">
            <w:pPr>
              <w:spacing w:before="0" w:after="0"/>
              <w:jc w:val="center"/>
              <w:rPr>
                <w:rFonts w:eastAsia="Times New Roman"/>
                <w:noProof/>
                <w:sz w:val="18"/>
                <w:szCs w:val="18"/>
              </w:rPr>
            </w:pPr>
            <w:r w:rsidRPr="00FF009C">
              <w:rPr>
                <w:noProof/>
                <w:sz w:val="18"/>
              </w:rPr>
              <w:t xml:space="preserve">0,938 </w:t>
            </w:r>
          </w:p>
        </w:tc>
        <w:tc>
          <w:tcPr>
            <w:tcW w:w="1206" w:type="dxa"/>
            <w:tcBorders>
              <w:top w:val="nil"/>
              <w:left w:val="nil"/>
              <w:bottom w:val="single" w:sz="4" w:space="0" w:color="auto"/>
              <w:right w:val="single" w:sz="4" w:space="0" w:color="auto"/>
            </w:tcBorders>
            <w:shd w:val="clear" w:color="auto" w:fill="auto"/>
            <w:noWrap/>
            <w:vAlign w:val="center"/>
            <w:hideMark/>
          </w:tcPr>
          <w:p w14:paraId="2B3DC257" w14:textId="77777777" w:rsidR="0014309B" w:rsidRPr="00FF009C" w:rsidRDefault="0014309B" w:rsidP="002467B1">
            <w:pPr>
              <w:spacing w:before="0" w:after="0"/>
              <w:jc w:val="center"/>
              <w:rPr>
                <w:rFonts w:eastAsia="Times New Roman"/>
                <w:noProof/>
                <w:sz w:val="18"/>
                <w:szCs w:val="18"/>
              </w:rPr>
            </w:pPr>
            <w:r w:rsidRPr="00FF009C">
              <w:rPr>
                <w:noProof/>
                <w:sz w:val="18"/>
              </w:rPr>
              <w:t xml:space="preserve">1,125 </w:t>
            </w:r>
          </w:p>
        </w:tc>
        <w:tc>
          <w:tcPr>
            <w:tcW w:w="1206" w:type="dxa"/>
            <w:tcBorders>
              <w:top w:val="nil"/>
              <w:left w:val="nil"/>
              <w:bottom w:val="single" w:sz="4" w:space="0" w:color="auto"/>
              <w:right w:val="single" w:sz="4" w:space="0" w:color="auto"/>
            </w:tcBorders>
            <w:shd w:val="clear" w:color="auto" w:fill="auto"/>
            <w:noWrap/>
            <w:vAlign w:val="center"/>
            <w:hideMark/>
          </w:tcPr>
          <w:p w14:paraId="7B553AAD" w14:textId="77777777" w:rsidR="0014309B" w:rsidRPr="00FF009C" w:rsidRDefault="0014309B" w:rsidP="002467B1">
            <w:pPr>
              <w:spacing w:before="0" w:after="0"/>
              <w:jc w:val="center"/>
              <w:rPr>
                <w:rFonts w:eastAsia="Times New Roman"/>
                <w:noProof/>
                <w:sz w:val="18"/>
                <w:szCs w:val="18"/>
              </w:rPr>
            </w:pPr>
            <w:r w:rsidRPr="00FF009C">
              <w:rPr>
                <w:noProof/>
                <w:sz w:val="18"/>
              </w:rPr>
              <w:t xml:space="preserve">2,658 </w:t>
            </w:r>
          </w:p>
        </w:tc>
      </w:tr>
      <w:tr w:rsidR="007502D3" w:rsidRPr="00FF009C" w14:paraId="1E00972F" w14:textId="77777777" w:rsidTr="003B0D94">
        <w:trPr>
          <w:trHeight w:val="300"/>
          <w:jc w:val="center"/>
        </w:trPr>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462844" w14:textId="3617427C" w:rsidR="0014309B" w:rsidRPr="00FF009C" w:rsidRDefault="0014309B" w:rsidP="6E5A1C8C">
            <w:pPr>
              <w:spacing w:before="0" w:after="0"/>
              <w:jc w:val="right"/>
              <w:rPr>
                <w:rFonts w:eastAsia="Times New Roman"/>
                <w:i/>
                <w:iCs/>
                <w:noProof/>
                <w:sz w:val="18"/>
                <w:szCs w:val="18"/>
              </w:rPr>
            </w:pPr>
            <w:r w:rsidRPr="00FF009C">
              <w:rPr>
                <w:i/>
                <w:noProof/>
                <w:sz w:val="18"/>
              </w:rPr>
              <w:t>Cel szczegółowy nr</w:t>
            </w:r>
            <w:r w:rsidR="00FF009C" w:rsidRPr="00FF009C">
              <w:rPr>
                <w:i/>
                <w:noProof/>
                <w:sz w:val="18"/>
              </w:rPr>
              <w:t> </w:t>
            </w:r>
            <w:r w:rsidRPr="00FF009C">
              <w:rPr>
                <w:i/>
                <w:noProof/>
                <w:sz w:val="18"/>
              </w:rPr>
              <w:t>4 – suma cząstkowa</w:t>
            </w:r>
          </w:p>
        </w:tc>
        <w:tc>
          <w:tcPr>
            <w:tcW w:w="820" w:type="dxa"/>
            <w:tcBorders>
              <w:top w:val="nil"/>
              <w:left w:val="nil"/>
              <w:bottom w:val="single" w:sz="4" w:space="0" w:color="auto"/>
              <w:right w:val="single" w:sz="4" w:space="0" w:color="auto"/>
            </w:tcBorders>
            <w:shd w:val="clear" w:color="auto" w:fill="auto"/>
            <w:noWrap/>
            <w:vAlign w:val="center"/>
            <w:hideMark/>
          </w:tcPr>
          <w:p w14:paraId="5283807C" w14:textId="77777777" w:rsidR="0014309B" w:rsidRPr="00FF009C" w:rsidRDefault="0014309B" w:rsidP="6E5A1C8C">
            <w:pPr>
              <w:spacing w:before="0" w:after="0"/>
              <w:jc w:val="center"/>
              <w:rPr>
                <w:rFonts w:eastAsia="Times New Roman"/>
                <w:i/>
                <w:iCs/>
                <w:noProof/>
                <w:sz w:val="18"/>
                <w:szCs w:val="18"/>
              </w:rPr>
            </w:pPr>
            <w:r w:rsidRPr="00FF009C">
              <w:rPr>
                <w:i/>
                <w:noProof/>
                <w:sz w:val="18"/>
              </w:rPr>
              <w:t>-</w:t>
            </w:r>
          </w:p>
        </w:tc>
        <w:tc>
          <w:tcPr>
            <w:tcW w:w="1206" w:type="dxa"/>
            <w:tcBorders>
              <w:top w:val="nil"/>
              <w:left w:val="nil"/>
              <w:bottom w:val="single" w:sz="4" w:space="0" w:color="auto"/>
              <w:right w:val="single" w:sz="4" w:space="0" w:color="auto"/>
            </w:tcBorders>
            <w:shd w:val="clear" w:color="auto" w:fill="auto"/>
            <w:noWrap/>
            <w:vAlign w:val="center"/>
            <w:hideMark/>
          </w:tcPr>
          <w:p w14:paraId="19E4EF57" w14:textId="77777777" w:rsidR="0014309B" w:rsidRPr="00FF009C" w:rsidRDefault="00744EA5" w:rsidP="6E5A1C8C">
            <w:pPr>
              <w:spacing w:before="0" w:after="0"/>
              <w:jc w:val="center"/>
              <w:rPr>
                <w:rFonts w:eastAsia="Times New Roman"/>
                <w:i/>
                <w:iCs/>
                <w:noProof/>
                <w:sz w:val="18"/>
                <w:szCs w:val="18"/>
              </w:rPr>
            </w:pPr>
            <w:r w:rsidRPr="00FF009C">
              <w:rPr>
                <w:i/>
                <w:noProof/>
                <w:sz w:val="18"/>
              </w:rPr>
              <w:t xml:space="preserve">4,595 </w:t>
            </w:r>
          </w:p>
        </w:tc>
        <w:tc>
          <w:tcPr>
            <w:tcW w:w="1206" w:type="dxa"/>
            <w:tcBorders>
              <w:top w:val="nil"/>
              <w:left w:val="nil"/>
              <w:bottom w:val="single" w:sz="4" w:space="0" w:color="auto"/>
              <w:right w:val="single" w:sz="4" w:space="0" w:color="auto"/>
            </w:tcBorders>
            <w:shd w:val="clear" w:color="auto" w:fill="auto"/>
            <w:noWrap/>
            <w:vAlign w:val="center"/>
            <w:hideMark/>
          </w:tcPr>
          <w:p w14:paraId="7EBE8B5B" w14:textId="77777777" w:rsidR="0014309B" w:rsidRPr="00FF009C" w:rsidRDefault="0014309B" w:rsidP="6E5A1C8C">
            <w:pPr>
              <w:spacing w:before="0" w:after="0"/>
              <w:jc w:val="center"/>
              <w:rPr>
                <w:rFonts w:eastAsia="Times New Roman"/>
                <w:i/>
                <w:iCs/>
                <w:noProof/>
                <w:sz w:val="18"/>
                <w:szCs w:val="18"/>
              </w:rPr>
            </w:pPr>
            <w:r w:rsidRPr="00FF009C">
              <w:rPr>
                <w:i/>
                <w:noProof/>
                <w:sz w:val="18"/>
              </w:rPr>
              <w:t xml:space="preserve">5,938 </w:t>
            </w:r>
          </w:p>
        </w:tc>
        <w:tc>
          <w:tcPr>
            <w:tcW w:w="1206" w:type="dxa"/>
            <w:tcBorders>
              <w:top w:val="nil"/>
              <w:left w:val="nil"/>
              <w:bottom w:val="single" w:sz="4" w:space="0" w:color="auto"/>
              <w:right w:val="single" w:sz="4" w:space="0" w:color="auto"/>
            </w:tcBorders>
            <w:shd w:val="clear" w:color="auto" w:fill="auto"/>
            <w:noWrap/>
            <w:vAlign w:val="center"/>
            <w:hideMark/>
          </w:tcPr>
          <w:p w14:paraId="6EF52F72" w14:textId="77777777" w:rsidR="0014309B" w:rsidRPr="00FF009C" w:rsidRDefault="0014309B" w:rsidP="6E5A1C8C">
            <w:pPr>
              <w:spacing w:before="0" w:after="0"/>
              <w:jc w:val="center"/>
              <w:rPr>
                <w:rFonts w:eastAsia="Times New Roman"/>
                <w:i/>
                <w:iCs/>
                <w:noProof/>
                <w:sz w:val="18"/>
                <w:szCs w:val="18"/>
              </w:rPr>
            </w:pPr>
            <w:r w:rsidRPr="00FF009C">
              <w:rPr>
                <w:i/>
                <w:noProof/>
                <w:sz w:val="18"/>
              </w:rPr>
              <w:t xml:space="preserve">6,125 </w:t>
            </w:r>
          </w:p>
        </w:tc>
        <w:tc>
          <w:tcPr>
            <w:tcW w:w="1206" w:type="dxa"/>
            <w:tcBorders>
              <w:top w:val="nil"/>
              <w:left w:val="nil"/>
              <w:bottom w:val="single" w:sz="4" w:space="0" w:color="auto"/>
              <w:right w:val="single" w:sz="4" w:space="0" w:color="auto"/>
            </w:tcBorders>
            <w:shd w:val="clear" w:color="auto" w:fill="auto"/>
            <w:noWrap/>
            <w:vAlign w:val="center"/>
            <w:hideMark/>
          </w:tcPr>
          <w:p w14:paraId="4F2A1F53" w14:textId="77777777" w:rsidR="0014309B" w:rsidRPr="00FF009C" w:rsidRDefault="00744EA5" w:rsidP="6E5A1C8C">
            <w:pPr>
              <w:spacing w:before="0" w:after="0"/>
              <w:jc w:val="center"/>
              <w:rPr>
                <w:rFonts w:eastAsia="Times New Roman"/>
                <w:i/>
                <w:iCs/>
                <w:noProof/>
                <w:sz w:val="18"/>
                <w:szCs w:val="18"/>
              </w:rPr>
            </w:pPr>
            <w:r w:rsidRPr="00FF009C">
              <w:rPr>
                <w:i/>
                <w:noProof/>
                <w:sz w:val="18"/>
              </w:rPr>
              <w:t xml:space="preserve">16,658 </w:t>
            </w:r>
          </w:p>
        </w:tc>
      </w:tr>
      <w:tr w:rsidR="007502D3" w:rsidRPr="00FF009C" w14:paraId="08D1FDCA" w14:textId="77777777" w:rsidTr="003B0D94">
        <w:trPr>
          <w:trHeight w:val="300"/>
          <w:jc w:val="center"/>
        </w:trPr>
        <w:tc>
          <w:tcPr>
            <w:tcW w:w="50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B4AC5C" w14:textId="7E0AEAC0" w:rsidR="0014309B" w:rsidRPr="00FF009C" w:rsidRDefault="0014309B" w:rsidP="002467B1">
            <w:pPr>
              <w:spacing w:before="0" w:after="0"/>
              <w:jc w:val="center"/>
              <w:rPr>
                <w:rFonts w:eastAsia="Times New Roman"/>
                <w:b/>
                <w:bCs/>
                <w:noProof/>
                <w:sz w:val="18"/>
                <w:szCs w:val="18"/>
              </w:rPr>
            </w:pPr>
            <w:r w:rsidRPr="00FF009C">
              <w:rPr>
                <w:b/>
                <w:noProof/>
                <w:sz w:val="18"/>
              </w:rPr>
              <w:t>OGÓŁEM cele szczegółowe 1 do</w:t>
            </w:r>
            <w:r w:rsidR="00FF009C" w:rsidRPr="00FF009C">
              <w:rPr>
                <w:b/>
                <w:noProof/>
                <w:sz w:val="18"/>
              </w:rPr>
              <w:t> </w:t>
            </w:r>
            <w:r w:rsidRPr="00FF009C">
              <w:rPr>
                <w:b/>
                <w:noProof/>
                <w:sz w:val="18"/>
              </w:rPr>
              <w:t>4</w:t>
            </w:r>
          </w:p>
        </w:tc>
        <w:tc>
          <w:tcPr>
            <w:tcW w:w="820" w:type="dxa"/>
            <w:tcBorders>
              <w:top w:val="nil"/>
              <w:left w:val="nil"/>
              <w:bottom w:val="single" w:sz="4" w:space="0" w:color="auto"/>
              <w:right w:val="single" w:sz="4" w:space="0" w:color="auto"/>
            </w:tcBorders>
            <w:shd w:val="clear" w:color="auto" w:fill="auto"/>
            <w:noWrap/>
            <w:vAlign w:val="center"/>
            <w:hideMark/>
          </w:tcPr>
          <w:p w14:paraId="09450770" w14:textId="77777777" w:rsidR="0014309B" w:rsidRPr="00FF009C" w:rsidRDefault="0014309B" w:rsidP="002467B1">
            <w:pPr>
              <w:spacing w:before="0" w:after="0"/>
              <w:jc w:val="center"/>
              <w:rPr>
                <w:rFonts w:eastAsia="Times New Roman"/>
                <w:b/>
                <w:bCs/>
                <w:noProof/>
                <w:sz w:val="18"/>
                <w:szCs w:val="18"/>
              </w:rPr>
            </w:pPr>
            <w:r w:rsidRPr="00FF009C">
              <w:rPr>
                <w:b/>
                <w:noProof/>
                <w:sz w:val="18"/>
              </w:rPr>
              <w:t>-</w:t>
            </w:r>
          </w:p>
        </w:tc>
        <w:tc>
          <w:tcPr>
            <w:tcW w:w="1206" w:type="dxa"/>
            <w:tcBorders>
              <w:top w:val="nil"/>
              <w:left w:val="nil"/>
              <w:bottom w:val="single" w:sz="4" w:space="0" w:color="auto"/>
              <w:right w:val="single" w:sz="4" w:space="0" w:color="auto"/>
            </w:tcBorders>
            <w:shd w:val="clear" w:color="auto" w:fill="auto"/>
            <w:noWrap/>
            <w:vAlign w:val="center"/>
            <w:hideMark/>
          </w:tcPr>
          <w:p w14:paraId="383B0823" w14:textId="77777777" w:rsidR="0014309B" w:rsidRPr="00FF009C" w:rsidRDefault="00744EA5" w:rsidP="002467B1">
            <w:pPr>
              <w:spacing w:before="0" w:after="0"/>
              <w:jc w:val="center"/>
              <w:rPr>
                <w:rFonts w:eastAsia="Times New Roman"/>
                <w:b/>
                <w:bCs/>
                <w:noProof/>
                <w:sz w:val="18"/>
                <w:szCs w:val="18"/>
              </w:rPr>
            </w:pPr>
            <w:r w:rsidRPr="00FF009C">
              <w:rPr>
                <w:b/>
                <w:noProof/>
                <w:sz w:val="18"/>
              </w:rPr>
              <w:t xml:space="preserve">15,758 </w:t>
            </w:r>
          </w:p>
        </w:tc>
        <w:tc>
          <w:tcPr>
            <w:tcW w:w="1206" w:type="dxa"/>
            <w:tcBorders>
              <w:top w:val="nil"/>
              <w:left w:val="nil"/>
              <w:bottom w:val="single" w:sz="4" w:space="0" w:color="auto"/>
              <w:right w:val="single" w:sz="4" w:space="0" w:color="auto"/>
            </w:tcBorders>
            <w:shd w:val="clear" w:color="auto" w:fill="auto"/>
            <w:noWrap/>
            <w:vAlign w:val="center"/>
            <w:hideMark/>
          </w:tcPr>
          <w:p w14:paraId="4BB4063F" w14:textId="77777777" w:rsidR="0014309B" w:rsidRPr="00FF009C" w:rsidRDefault="00744EA5" w:rsidP="002467B1">
            <w:pPr>
              <w:spacing w:before="0" w:after="0"/>
              <w:jc w:val="center"/>
              <w:rPr>
                <w:rFonts w:eastAsia="Times New Roman"/>
                <w:b/>
                <w:bCs/>
                <w:noProof/>
                <w:sz w:val="18"/>
                <w:szCs w:val="18"/>
              </w:rPr>
            </w:pPr>
            <w:r w:rsidRPr="00FF009C">
              <w:rPr>
                <w:b/>
                <w:noProof/>
                <w:sz w:val="18"/>
              </w:rPr>
              <w:t xml:space="preserve">19,678 </w:t>
            </w:r>
          </w:p>
        </w:tc>
        <w:tc>
          <w:tcPr>
            <w:tcW w:w="1206" w:type="dxa"/>
            <w:tcBorders>
              <w:top w:val="nil"/>
              <w:left w:val="nil"/>
              <w:bottom w:val="single" w:sz="4" w:space="0" w:color="auto"/>
              <w:right w:val="single" w:sz="4" w:space="0" w:color="auto"/>
            </w:tcBorders>
            <w:shd w:val="clear" w:color="auto" w:fill="auto"/>
            <w:noWrap/>
            <w:vAlign w:val="center"/>
            <w:hideMark/>
          </w:tcPr>
          <w:p w14:paraId="54608F6E" w14:textId="77777777" w:rsidR="0014309B" w:rsidRPr="00FF009C" w:rsidRDefault="00744EA5" w:rsidP="002467B1">
            <w:pPr>
              <w:spacing w:before="0" w:after="0"/>
              <w:jc w:val="center"/>
              <w:rPr>
                <w:rFonts w:eastAsia="Times New Roman"/>
                <w:b/>
                <w:bCs/>
                <w:noProof/>
                <w:sz w:val="18"/>
                <w:szCs w:val="18"/>
              </w:rPr>
            </w:pPr>
            <w:r w:rsidRPr="00FF009C">
              <w:rPr>
                <w:b/>
                <w:noProof/>
                <w:sz w:val="18"/>
              </w:rPr>
              <w:t xml:space="preserve">13,457 </w:t>
            </w:r>
          </w:p>
        </w:tc>
        <w:tc>
          <w:tcPr>
            <w:tcW w:w="1206" w:type="dxa"/>
            <w:tcBorders>
              <w:top w:val="nil"/>
              <w:left w:val="nil"/>
              <w:bottom w:val="single" w:sz="4" w:space="0" w:color="auto"/>
              <w:right w:val="single" w:sz="4" w:space="0" w:color="auto"/>
            </w:tcBorders>
            <w:shd w:val="clear" w:color="auto" w:fill="auto"/>
            <w:noWrap/>
            <w:vAlign w:val="center"/>
            <w:hideMark/>
          </w:tcPr>
          <w:p w14:paraId="176B420F" w14:textId="77777777" w:rsidR="0014309B" w:rsidRPr="00FF009C" w:rsidRDefault="00744EA5" w:rsidP="002467B1">
            <w:pPr>
              <w:spacing w:before="0" w:after="0"/>
              <w:jc w:val="center"/>
              <w:rPr>
                <w:rFonts w:eastAsia="Times New Roman"/>
                <w:b/>
                <w:bCs/>
                <w:noProof/>
                <w:sz w:val="18"/>
                <w:szCs w:val="18"/>
              </w:rPr>
            </w:pPr>
            <w:r w:rsidRPr="00FF009C">
              <w:rPr>
                <w:b/>
                <w:noProof/>
                <w:sz w:val="18"/>
              </w:rPr>
              <w:t xml:space="preserve">48,892 </w:t>
            </w:r>
          </w:p>
        </w:tc>
      </w:tr>
    </w:tbl>
    <w:p w14:paraId="7B01D4AB" w14:textId="77777777" w:rsidR="003B0D94" w:rsidRPr="00FF009C" w:rsidRDefault="003B0D94" w:rsidP="003B0D94">
      <w:pPr>
        <w:tabs>
          <w:tab w:val="left" w:pos="2552"/>
        </w:tabs>
        <w:rPr>
          <w:noProof/>
          <w:sz w:val="20"/>
          <w:szCs w:val="20"/>
        </w:rPr>
      </w:pPr>
    </w:p>
    <w:p w14:paraId="10489D5C" w14:textId="77777777" w:rsidR="00AA4021" w:rsidRPr="00FF009C" w:rsidRDefault="00AA4021" w:rsidP="0014309B">
      <w:pPr>
        <w:jc w:val="left"/>
        <w:rPr>
          <w:noProof/>
          <w:sz w:val="20"/>
          <w:szCs w:val="20"/>
        </w:rPr>
      </w:pPr>
    </w:p>
    <w:p w14:paraId="4CC98200" w14:textId="0CDF5A6F" w:rsidR="0014309B" w:rsidRPr="00FF009C" w:rsidRDefault="0014309B" w:rsidP="0014309B">
      <w:pPr>
        <w:jc w:val="left"/>
        <w:rPr>
          <w:noProof/>
          <w:sz w:val="20"/>
          <w:szCs w:val="20"/>
        </w:rPr>
        <w:sectPr w:rsidR="0014309B" w:rsidRPr="00FF009C" w:rsidSect="004E3534">
          <w:pgSz w:w="15840" w:h="12240" w:orient="landscape"/>
          <w:pgMar w:top="1418" w:right="902" w:bottom="902" w:left="567" w:header="709" w:footer="709" w:gutter="0"/>
          <w:cols w:space="720"/>
          <w:docGrid w:linePitch="326"/>
        </w:sectPr>
      </w:pPr>
      <w:r w:rsidRPr="00FF009C">
        <w:rPr>
          <w:noProof/>
          <w:sz w:val="20"/>
        </w:rPr>
        <w:t>W stosownych przypadkach kwoty odzwierciedlają sumę wkładu Unii na rzecz agencji</w:t>
      </w:r>
      <w:r w:rsidR="00FF009C" w:rsidRPr="00FF009C">
        <w:rPr>
          <w:noProof/>
          <w:sz w:val="20"/>
        </w:rPr>
        <w:t xml:space="preserve"> i</w:t>
      </w:r>
      <w:r w:rsidR="00FF009C">
        <w:rPr>
          <w:noProof/>
          <w:sz w:val="20"/>
        </w:rPr>
        <w:t> </w:t>
      </w:r>
      <w:r w:rsidR="00FF009C" w:rsidRPr="00FF009C">
        <w:rPr>
          <w:noProof/>
          <w:sz w:val="20"/>
        </w:rPr>
        <w:t>inn</w:t>
      </w:r>
      <w:r w:rsidRPr="00FF009C">
        <w:rPr>
          <w:noProof/>
          <w:sz w:val="20"/>
        </w:rPr>
        <w:t>ych dochodów agencji (opłat</w:t>
      </w:r>
      <w:r w:rsidR="00FF009C" w:rsidRPr="00FF009C">
        <w:rPr>
          <w:noProof/>
          <w:sz w:val="20"/>
        </w:rPr>
        <w:t xml:space="preserve"> i</w:t>
      </w:r>
      <w:r w:rsidR="00FF009C">
        <w:rPr>
          <w:noProof/>
          <w:sz w:val="20"/>
        </w:rPr>
        <w:t> </w:t>
      </w:r>
      <w:r w:rsidR="00FF009C" w:rsidRPr="00FF009C">
        <w:rPr>
          <w:noProof/>
          <w:sz w:val="20"/>
        </w:rPr>
        <w:t>nal</w:t>
      </w:r>
      <w:r w:rsidRPr="00FF009C">
        <w:rPr>
          <w:noProof/>
          <w:sz w:val="20"/>
        </w:rPr>
        <w:t>eżności).</w:t>
      </w:r>
    </w:p>
    <w:p w14:paraId="698D20F3" w14:textId="77777777" w:rsidR="0014309B" w:rsidRPr="00FF009C" w:rsidRDefault="0014309B">
      <w:pPr>
        <w:pStyle w:val="ManualHeading3"/>
        <w:rPr>
          <w:noProof/>
        </w:rPr>
      </w:pPr>
      <w:bookmarkStart w:id="68" w:name="_Toc514938688"/>
      <w:bookmarkStart w:id="69" w:name="_Toc155952170"/>
      <w:r w:rsidRPr="00FF009C">
        <w:rPr>
          <w:noProof/>
        </w:rPr>
        <w:t>3.2.3.</w:t>
      </w:r>
      <w:r w:rsidRPr="00FF009C">
        <w:rPr>
          <w:noProof/>
        </w:rPr>
        <w:tab/>
        <w:t>Szacunkowy wpływ na zasoby ludzkie Europolu</w:t>
      </w:r>
      <w:bookmarkEnd w:id="68"/>
      <w:bookmarkEnd w:id="69"/>
      <w:r w:rsidRPr="00FF009C">
        <w:rPr>
          <w:noProof/>
        </w:rPr>
        <w:t xml:space="preserve"> </w:t>
      </w:r>
    </w:p>
    <w:p w14:paraId="6635FA25" w14:textId="77777777" w:rsidR="0014309B" w:rsidRPr="00FF009C" w:rsidRDefault="0014309B">
      <w:pPr>
        <w:pStyle w:val="ManualHeading4"/>
        <w:rPr>
          <w:noProof/>
        </w:rPr>
      </w:pPr>
      <w:r w:rsidRPr="00FF009C">
        <w:rPr>
          <w:noProof/>
        </w:rPr>
        <w:t>3.2.3.1.</w:t>
      </w:r>
      <w:r w:rsidRPr="00FF009C">
        <w:rPr>
          <w:noProof/>
        </w:rPr>
        <w:tab/>
        <w:t xml:space="preserve">Streszczenie </w:t>
      </w:r>
    </w:p>
    <w:p w14:paraId="3FCA3E8C" w14:textId="70845F3E" w:rsidR="0014309B" w:rsidRPr="00FF009C" w:rsidRDefault="0014309B" w:rsidP="002073EE">
      <w:pPr>
        <w:pStyle w:val="ListDash1"/>
        <w:numPr>
          <w:ilvl w:val="0"/>
          <w:numId w:val="19"/>
        </w:numPr>
        <w:rPr>
          <w:noProof/>
        </w:rPr>
      </w:pPr>
      <w:r w:rsidRPr="00FF009C">
        <w:rPr>
          <w:rFonts w:ascii="Wingdings" w:hAnsi="Wingdings"/>
          <w:noProof/>
        </w:rPr>
        <w:t></w:t>
      </w:r>
      <w:r w:rsidRPr="00FF009C">
        <w:rPr>
          <w:noProof/>
        </w:rPr>
        <w:tab/>
        <w:t>Wniosek/inicjatywa nie wiąże się</w:t>
      </w:r>
      <w:r w:rsidR="00FF009C" w:rsidRPr="00FF009C">
        <w:rPr>
          <w:noProof/>
        </w:rPr>
        <w:t xml:space="preserve"> z</w:t>
      </w:r>
      <w:r w:rsidR="00FF009C">
        <w:rPr>
          <w:noProof/>
        </w:rPr>
        <w:t> </w:t>
      </w:r>
      <w:r w:rsidR="00FF009C" w:rsidRPr="00FF009C">
        <w:rPr>
          <w:noProof/>
        </w:rPr>
        <w:t>kon</w:t>
      </w:r>
      <w:r w:rsidRPr="00FF009C">
        <w:rPr>
          <w:noProof/>
        </w:rPr>
        <w:t xml:space="preserve">iecznością wykorzystania środków administracyjnych </w:t>
      </w:r>
    </w:p>
    <w:p w14:paraId="4CCE6A48" w14:textId="396E33AC" w:rsidR="0014309B" w:rsidRPr="00FF009C" w:rsidRDefault="0014309B" w:rsidP="002073EE">
      <w:pPr>
        <w:pStyle w:val="ListDash1"/>
        <w:numPr>
          <w:ilvl w:val="0"/>
          <w:numId w:val="19"/>
        </w:numPr>
        <w:rPr>
          <w:noProof/>
        </w:rPr>
      </w:pPr>
      <w:r w:rsidRPr="00FF009C">
        <w:rPr>
          <w:rFonts w:ascii="Wingdings" w:hAnsi="Wingdings"/>
          <w:noProof/>
        </w:rPr>
        <w:t></w:t>
      </w:r>
      <w:r w:rsidRPr="00FF009C">
        <w:rPr>
          <w:noProof/>
        </w:rPr>
        <w:tab/>
        <w:t>Wniosek/inicjatywa wiąże się</w:t>
      </w:r>
      <w:r w:rsidR="00FF009C" w:rsidRPr="00FF009C">
        <w:rPr>
          <w:noProof/>
        </w:rPr>
        <w:t xml:space="preserve"> z</w:t>
      </w:r>
      <w:r w:rsidR="00FF009C">
        <w:rPr>
          <w:noProof/>
        </w:rPr>
        <w:t> </w:t>
      </w:r>
      <w:r w:rsidR="00FF009C" w:rsidRPr="00FF009C">
        <w:rPr>
          <w:noProof/>
        </w:rPr>
        <w:t>kon</w:t>
      </w:r>
      <w:r w:rsidRPr="00FF009C">
        <w:rPr>
          <w:noProof/>
        </w:rPr>
        <w:t>iecznością wykorzystania środków administracyjnych, jak określono poniżej:</w:t>
      </w:r>
    </w:p>
    <w:p w14:paraId="25D03BCD" w14:textId="2B705C89" w:rsidR="0014309B" w:rsidRPr="00FF009C" w:rsidRDefault="0014309B" w:rsidP="0014309B">
      <w:pPr>
        <w:rPr>
          <w:noProof/>
          <w:sz w:val="20"/>
          <w:szCs w:val="20"/>
        </w:rPr>
      </w:pPr>
      <w:r w:rsidRPr="00FF009C">
        <w:rPr>
          <w:noProof/>
          <w:sz w:val="20"/>
        </w:rPr>
        <w:t>w mln EUR (do trzech miejsc po przecinku)</w:t>
      </w:r>
      <w:r w:rsidR="00FF009C" w:rsidRPr="00FF009C">
        <w:rPr>
          <w:noProof/>
          <w:sz w:val="20"/>
        </w:rPr>
        <w:t>. W</w:t>
      </w:r>
      <w:r w:rsidR="00FF009C">
        <w:rPr>
          <w:noProof/>
          <w:sz w:val="20"/>
        </w:rPr>
        <w:t> </w:t>
      </w:r>
      <w:r w:rsidR="00FF009C" w:rsidRPr="00FF009C">
        <w:rPr>
          <w:noProof/>
          <w:sz w:val="20"/>
        </w:rPr>
        <w:t>sto</w:t>
      </w:r>
      <w:r w:rsidRPr="00FF009C">
        <w:rPr>
          <w:noProof/>
          <w:sz w:val="20"/>
        </w:rPr>
        <w:t>sownych przypadkach kwoty odzwierciedlają sumę wkładu Unii na rzecz agencji</w:t>
      </w:r>
      <w:r w:rsidR="00FF009C" w:rsidRPr="00FF009C">
        <w:rPr>
          <w:noProof/>
          <w:sz w:val="20"/>
        </w:rPr>
        <w:t xml:space="preserve"> i</w:t>
      </w:r>
      <w:r w:rsidR="00FF009C">
        <w:rPr>
          <w:noProof/>
          <w:sz w:val="20"/>
        </w:rPr>
        <w:t> </w:t>
      </w:r>
      <w:r w:rsidR="00FF009C" w:rsidRPr="00FF009C">
        <w:rPr>
          <w:noProof/>
          <w:sz w:val="20"/>
        </w:rPr>
        <w:t>inn</w:t>
      </w:r>
      <w:r w:rsidRPr="00FF009C">
        <w:rPr>
          <w:noProof/>
          <w:sz w:val="20"/>
        </w:rPr>
        <w:t>ych dochodów agencji (opłat</w:t>
      </w:r>
      <w:r w:rsidR="00FF009C" w:rsidRPr="00FF009C">
        <w:rPr>
          <w:noProof/>
          <w:sz w:val="20"/>
        </w:rPr>
        <w:t xml:space="preserve"> i</w:t>
      </w:r>
      <w:r w:rsidR="00FF009C">
        <w:rPr>
          <w:noProof/>
          <w:sz w:val="20"/>
        </w:rPr>
        <w:t> </w:t>
      </w:r>
      <w:r w:rsidR="00FF009C" w:rsidRPr="00FF009C">
        <w:rPr>
          <w:noProof/>
          <w:sz w:val="20"/>
        </w:rPr>
        <w:t>nal</w:t>
      </w:r>
      <w:r w:rsidRPr="00FF009C">
        <w:rPr>
          <w:noProof/>
          <w:sz w:val="20"/>
        </w:rPr>
        <w:t>eżności).</w:t>
      </w:r>
    </w:p>
    <w:tbl>
      <w:tblPr>
        <w:tblW w:w="7980" w:type="dxa"/>
        <w:tblInd w:w="113" w:type="dxa"/>
        <w:tblLayout w:type="fixed"/>
        <w:tblLook w:val="04A0" w:firstRow="1" w:lastRow="0" w:firstColumn="1" w:lastColumn="0" w:noHBand="0" w:noVBand="1"/>
      </w:tblPr>
      <w:tblGrid>
        <w:gridCol w:w="2900"/>
        <w:gridCol w:w="1300"/>
        <w:gridCol w:w="1300"/>
        <w:gridCol w:w="1300"/>
        <w:gridCol w:w="1180"/>
      </w:tblGrid>
      <w:tr w:rsidR="007502D3" w:rsidRPr="00FF009C" w14:paraId="56175B2B" w14:textId="77777777" w:rsidTr="6E5A1C8C">
        <w:trPr>
          <w:trHeight w:val="300"/>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2F3AD" w14:textId="77777777" w:rsidR="0014309B" w:rsidRPr="00FF009C" w:rsidRDefault="0014309B" w:rsidP="002467B1">
            <w:pPr>
              <w:spacing w:before="0" w:after="0"/>
              <w:rPr>
                <w:rFonts w:eastAsia="Times New Roman"/>
                <w:noProof/>
                <w:sz w:val="20"/>
                <w:szCs w:val="20"/>
              </w:rPr>
            </w:pPr>
            <w:r w:rsidRPr="00FF009C">
              <w:rPr>
                <w:noProof/>
                <w:sz w:val="20"/>
              </w:rPr>
              <w:t>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09B0345" w14:textId="77777777" w:rsidR="0014309B" w:rsidRPr="00FF009C" w:rsidRDefault="0014309B" w:rsidP="002467B1">
            <w:pPr>
              <w:spacing w:before="0" w:after="0"/>
              <w:jc w:val="center"/>
              <w:rPr>
                <w:rFonts w:eastAsia="Times New Roman"/>
                <w:noProof/>
                <w:sz w:val="20"/>
                <w:szCs w:val="20"/>
              </w:rPr>
            </w:pPr>
            <w:r w:rsidRPr="00FF009C">
              <w:rPr>
                <w:noProof/>
                <w:sz w:val="20"/>
              </w:rPr>
              <w:t>2025</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5D95C96" w14:textId="77777777" w:rsidR="0014309B" w:rsidRPr="00FF009C" w:rsidRDefault="0014309B" w:rsidP="002467B1">
            <w:pPr>
              <w:spacing w:before="0" w:after="0"/>
              <w:jc w:val="center"/>
              <w:rPr>
                <w:rFonts w:eastAsia="Times New Roman"/>
                <w:noProof/>
                <w:sz w:val="20"/>
                <w:szCs w:val="20"/>
              </w:rPr>
            </w:pPr>
            <w:r w:rsidRPr="00FF009C">
              <w:rPr>
                <w:noProof/>
                <w:sz w:val="20"/>
              </w:rPr>
              <w:t>2026</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EC1BD42" w14:textId="77777777" w:rsidR="0014309B" w:rsidRPr="00FF009C" w:rsidRDefault="0014309B" w:rsidP="002467B1">
            <w:pPr>
              <w:spacing w:before="0" w:after="0"/>
              <w:jc w:val="center"/>
              <w:rPr>
                <w:rFonts w:eastAsia="Times New Roman"/>
                <w:noProof/>
                <w:sz w:val="20"/>
                <w:szCs w:val="20"/>
              </w:rPr>
            </w:pPr>
            <w:r w:rsidRPr="00FF009C">
              <w:rPr>
                <w:noProof/>
                <w:sz w:val="20"/>
              </w:rPr>
              <w:t>2027</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98673DB" w14:textId="77777777" w:rsidR="0014309B" w:rsidRPr="00FF009C" w:rsidRDefault="0014309B" w:rsidP="002467B1">
            <w:pPr>
              <w:spacing w:before="0" w:after="0"/>
              <w:jc w:val="center"/>
              <w:rPr>
                <w:rFonts w:eastAsia="Times New Roman"/>
                <w:b/>
                <w:bCs/>
                <w:noProof/>
                <w:sz w:val="20"/>
                <w:szCs w:val="20"/>
              </w:rPr>
            </w:pPr>
            <w:r w:rsidRPr="00FF009C">
              <w:rPr>
                <w:b/>
                <w:noProof/>
                <w:sz w:val="20"/>
              </w:rPr>
              <w:t>OGÓŁEM</w:t>
            </w:r>
          </w:p>
        </w:tc>
      </w:tr>
      <w:tr w:rsidR="007502D3" w:rsidRPr="00FF009C" w14:paraId="4CED6453" w14:textId="77777777" w:rsidTr="6E5A1C8C">
        <w:trPr>
          <w:trHeight w:val="300"/>
        </w:trPr>
        <w:tc>
          <w:tcPr>
            <w:tcW w:w="290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9116CD1" w14:textId="77777777" w:rsidR="0014309B" w:rsidRPr="00FF009C" w:rsidRDefault="0014309B" w:rsidP="002467B1">
            <w:pPr>
              <w:spacing w:before="0" w:after="0"/>
              <w:jc w:val="left"/>
              <w:rPr>
                <w:rFonts w:eastAsia="Times New Roman"/>
                <w:noProof/>
                <w:sz w:val="18"/>
                <w:szCs w:val="18"/>
              </w:rPr>
            </w:pPr>
            <w:r w:rsidRPr="00FF009C">
              <w:rPr>
                <w:noProof/>
                <w:sz w:val="18"/>
              </w:rPr>
              <w:t>Pracownicy zatrudnieni na czas określony (grupy funkcyjne AD)</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872DC" w14:textId="77777777" w:rsidR="0014309B" w:rsidRPr="00FF009C" w:rsidRDefault="00D32FC0" w:rsidP="002467B1">
            <w:pPr>
              <w:spacing w:before="0" w:after="0"/>
              <w:jc w:val="right"/>
              <w:rPr>
                <w:rFonts w:eastAsia="Times New Roman"/>
                <w:noProof/>
                <w:sz w:val="20"/>
                <w:szCs w:val="20"/>
              </w:rPr>
            </w:pPr>
            <w:r w:rsidRPr="00FF009C">
              <w:rPr>
                <w:noProof/>
                <w:sz w:val="20"/>
              </w:rPr>
              <w:t>0,298</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69AB08BC" w14:textId="77777777" w:rsidR="0014309B" w:rsidRPr="00FF009C" w:rsidRDefault="00D32FC0" w:rsidP="002467B1">
            <w:pPr>
              <w:spacing w:before="0" w:after="0"/>
              <w:jc w:val="right"/>
              <w:rPr>
                <w:rFonts w:eastAsia="Times New Roman"/>
                <w:noProof/>
                <w:sz w:val="20"/>
                <w:szCs w:val="20"/>
              </w:rPr>
            </w:pPr>
            <w:r w:rsidRPr="00FF009C">
              <w:rPr>
                <w:noProof/>
                <w:sz w:val="20"/>
              </w:rPr>
              <w:t>1,014</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617AF195" w14:textId="77777777" w:rsidR="0014309B" w:rsidRPr="00FF009C" w:rsidRDefault="00D32FC0" w:rsidP="002467B1">
            <w:pPr>
              <w:spacing w:before="0" w:after="0"/>
              <w:jc w:val="right"/>
              <w:rPr>
                <w:rFonts w:eastAsia="Times New Roman"/>
                <w:noProof/>
                <w:sz w:val="20"/>
                <w:szCs w:val="20"/>
              </w:rPr>
            </w:pPr>
            <w:r w:rsidRPr="00FF009C">
              <w:rPr>
                <w:noProof/>
                <w:sz w:val="20"/>
              </w:rPr>
              <w:t>1,759</w:t>
            </w:r>
          </w:p>
        </w:tc>
        <w:tc>
          <w:tcPr>
            <w:tcW w:w="1180" w:type="dxa"/>
            <w:tcBorders>
              <w:top w:val="nil"/>
              <w:left w:val="nil"/>
              <w:bottom w:val="single" w:sz="4" w:space="0" w:color="auto"/>
              <w:right w:val="single" w:sz="4" w:space="0" w:color="auto"/>
            </w:tcBorders>
            <w:shd w:val="clear" w:color="auto" w:fill="auto"/>
            <w:noWrap/>
            <w:vAlign w:val="center"/>
            <w:hideMark/>
          </w:tcPr>
          <w:p w14:paraId="4492C070" w14:textId="77777777" w:rsidR="0014309B" w:rsidRPr="00FF009C" w:rsidRDefault="00D32FC0" w:rsidP="002467B1">
            <w:pPr>
              <w:spacing w:before="0" w:after="0"/>
              <w:jc w:val="right"/>
              <w:rPr>
                <w:rFonts w:eastAsia="Times New Roman"/>
                <w:b/>
                <w:bCs/>
                <w:noProof/>
                <w:sz w:val="20"/>
                <w:szCs w:val="20"/>
              </w:rPr>
            </w:pPr>
            <w:r w:rsidRPr="00FF009C">
              <w:rPr>
                <w:b/>
                <w:noProof/>
                <w:sz w:val="20"/>
              </w:rPr>
              <w:t>3,072</w:t>
            </w:r>
          </w:p>
        </w:tc>
      </w:tr>
      <w:tr w:rsidR="007502D3" w:rsidRPr="00FF009C" w14:paraId="5D245B22" w14:textId="77777777" w:rsidTr="6E5A1C8C">
        <w:trPr>
          <w:trHeight w:val="300"/>
        </w:trPr>
        <w:tc>
          <w:tcPr>
            <w:tcW w:w="290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A2EA39C" w14:textId="77777777" w:rsidR="0014309B" w:rsidRPr="00FF009C" w:rsidRDefault="0014309B" w:rsidP="002467B1">
            <w:pPr>
              <w:spacing w:before="0" w:after="0"/>
              <w:jc w:val="left"/>
              <w:rPr>
                <w:rFonts w:eastAsia="Times New Roman"/>
                <w:noProof/>
                <w:sz w:val="18"/>
                <w:szCs w:val="18"/>
              </w:rPr>
            </w:pPr>
            <w:r w:rsidRPr="00FF009C">
              <w:rPr>
                <w:noProof/>
                <w:sz w:val="18"/>
              </w:rPr>
              <w:t>Pracownicy zatrudnieni na czas określony (grupy funkcyjne AST)</w:t>
            </w:r>
          </w:p>
        </w:tc>
        <w:tc>
          <w:tcPr>
            <w:tcW w:w="1300" w:type="dxa"/>
            <w:tcBorders>
              <w:top w:val="nil"/>
              <w:left w:val="nil"/>
              <w:bottom w:val="single" w:sz="4" w:space="0" w:color="auto"/>
              <w:right w:val="single" w:sz="4" w:space="0" w:color="auto"/>
            </w:tcBorders>
            <w:shd w:val="clear" w:color="auto" w:fill="auto"/>
            <w:noWrap/>
            <w:vAlign w:val="center"/>
            <w:hideMark/>
          </w:tcPr>
          <w:p w14:paraId="7A47813E" w14:textId="77777777" w:rsidR="0014309B" w:rsidRPr="00FF009C" w:rsidRDefault="0014309B" w:rsidP="002467B1">
            <w:pPr>
              <w:spacing w:before="0" w:after="0"/>
              <w:jc w:val="right"/>
              <w:rPr>
                <w:rFonts w:eastAsia="Times New Roman"/>
                <w:noProof/>
                <w:sz w:val="20"/>
                <w:szCs w:val="20"/>
              </w:rPr>
            </w:pPr>
            <w:r w:rsidRPr="00FF009C">
              <w:rPr>
                <w:noProof/>
                <w:sz w:val="20"/>
              </w:rPr>
              <w:t>0</w:t>
            </w:r>
          </w:p>
        </w:tc>
        <w:tc>
          <w:tcPr>
            <w:tcW w:w="1300" w:type="dxa"/>
            <w:tcBorders>
              <w:top w:val="nil"/>
              <w:left w:val="nil"/>
              <w:bottom w:val="single" w:sz="4" w:space="0" w:color="auto"/>
              <w:right w:val="single" w:sz="4" w:space="0" w:color="auto"/>
            </w:tcBorders>
            <w:shd w:val="clear" w:color="auto" w:fill="auto"/>
            <w:noWrap/>
            <w:vAlign w:val="center"/>
            <w:hideMark/>
          </w:tcPr>
          <w:p w14:paraId="2436251B" w14:textId="77777777" w:rsidR="0014309B" w:rsidRPr="00FF009C" w:rsidRDefault="0014309B" w:rsidP="002467B1">
            <w:pPr>
              <w:spacing w:before="0" w:after="0"/>
              <w:jc w:val="right"/>
              <w:rPr>
                <w:rFonts w:eastAsia="Times New Roman"/>
                <w:noProof/>
                <w:sz w:val="20"/>
                <w:szCs w:val="20"/>
              </w:rPr>
            </w:pPr>
            <w:r w:rsidRPr="00FF009C">
              <w:rPr>
                <w:noProof/>
                <w:sz w:val="20"/>
              </w:rPr>
              <w:t>0</w:t>
            </w:r>
          </w:p>
        </w:tc>
        <w:tc>
          <w:tcPr>
            <w:tcW w:w="1300" w:type="dxa"/>
            <w:tcBorders>
              <w:top w:val="nil"/>
              <w:left w:val="nil"/>
              <w:bottom w:val="single" w:sz="4" w:space="0" w:color="auto"/>
              <w:right w:val="single" w:sz="4" w:space="0" w:color="auto"/>
            </w:tcBorders>
            <w:shd w:val="clear" w:color="auto" w:fill="auto"/>
            <w:noWrap/>
            <w:vAlign w:val="center"/>
            <w:hideMark/>
          </w:tcPr>
          <w:p w14:paraId="4C3A40C5" w14:textId="77777777" w:rsidR="0014309B" w:rsidRPr="00FF009C" w:rsidRDefault="0014309B" w:rsidP="002467B1">
            <w:pPr>
              <w:spacing w:before="0" w:after="0"/>
              <w:jc w:val="right"/>
              <w:rPr>
                <w:rFonts w:eastAsia="Times New Roman"/>
                <w:noProof/>
                <w:sz w:val="20"/>
                <w:szCs w:val="20"/>
              </w:rPr>
            </w:pPr>
            <w:r w:rsidRPr="00FF009C">
              <w:rPr>
                <w:noProof/>
                <w:sz w:val="20"/>
              </w:rPr>
              <w:t>0</w:t>
            </w:r>
          </w:p>
        </w:tc>
        <w:tc>
          <w:tcPr>
            <w:tcW w:w="1180" w:type="dxa"/>
            <w:tcBorders>
              <w:top w:val="nil"/>
              <w:left w:val="nil"/>
              <w:bottom w:val="single" w:sz="4" w:space="0" w:color="auto"/>
              <w:right w:val="single" w:sz="4" w:space="0" w:color="auto"/>
            </w:tcBorders>
            <w:shd w:val="clear" w:color="auto" w:fill="auto"/>
            <w:noWrap/>
            <w:vAlign w:val="center"/>
            <w:hideMark/>
          </w:tcPr>
          <w:p w14:paraId="71D395BD" w14:textId="77777777" w:rsidR="0014309B" w:rsidRPr="00FF009C" w:rsidRDefault="0014309B" w:rsidP="002467B1">
            <w:pPr>
              <w:spacing w:before="0" w:after="0"/>
              <w:jc w:val="right"/>
              <w:rPr>
                <w:rFonts w:eastAsia="Times New Roman"/>
                <w:b/>
                <w:bCs/>
                <w:noProof/>
                <w:sz w:val="20"/>
                <w:szCs w:val="20"/>
              </w:rPr>
            </w:pPr>
            <w:r w:rsidRPr="00FF009C">
              <w:rPr>
                <w:b/>
                <w:noProof/>
                <w:sz w:val="20"/>
              </w:rPr>
              <w:t>0</w:t>
            </w:r>
          </w:p>
        </w:tc>
      </w:tr>
      <w:tr w:rsidR="007502D3" w:rsidRPr="00FF009C" w14:paraId="3E43E2CE" w14:textId="77777777" w:rsidTr="6E5A1C8C">
        <w:trPr>
          <w:trHeight w:val="300"/>
        </w:trPr>
        <w:tc>
          <w:tcPr>
            <w:tcW w:w="290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6C921B5" w14:textId="77777777" w:rsidR="0014309B" w:rsidRPr="00FF009C" w:rsidRDefault="0014309B" w:rsidP="002467B1">
            <w:pPr>
              <w:spacing w:before="0" w:after="0"/>
              <w:jc w:val="left"/>
              <w:rPr>
                <w:rFonts w:eastAsia="Times New Roman"/>
                <w:noProof/>
                <w:sz w:val="18"/>
                <w:szCs w:val="18"/>
              </w:rPr>
            </w:pPr>
            <w:r w:rsidRPr="00FF009C">
              <w:rPr>
                <w:noProof/>
                <w:sz w:val="18"/>
              </w:rPr>
              <w:t>Pracownicy kontraktowi</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F0E57" w14:textId="77777777" w:rsidR="0014309B" w:rsidRPr="00FF009C" w:rsidRDefault="00D32FC0" w:rsidP="002467B1">
            <w:pPr>
              <w:spacing w:before="0" w:after="0"/>
              <w:jc w:val="right"/>
              <w:rPr>
                <w:rFonts w:eastAsia="Times New Roman"/>
                <w:noProof/>
                <w:sz w:val="20"/>
                <w:szCs w:val="20"/>
              </w:rPr>
            </w:pPr>
            <w:r w:rsidRPr="00FF009C">
              <w:rPr>
                <w:noProof/>
                <w:sz w:val="20"/>
              </w:rPr>
              <w:t>0,265</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2B762DE5" w14:textId="77777777" w:rsidR="0014309B" w:rsidRPr="00FF009C" w:rsidRDefault="00D32FC0" w:rsidP="002467B1">
            <w:pPr>
              <w:spacing w:before="0" w:after="0"/>
              <w:jc w:val="right"/>
              <w:rPr>
                <w:rFonts w:eastAsia="Times New Roman"/>
                <w:noProof/>
                <w:sz w:val="20"/>
                <w:szCs w:val="20"/>
              </w:rPr>
            </w:pPr>
            <w:r w:rsidRPr="00FF009C">
              <w:rPr>
                <w:noProof/>
                <w:sz w:val="20"/>
              </w:rPr>
              <w:t>1,026</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6FCB81A1" w14:textId="77777777" w:rsidR="0014309B" w:rsidRPr="00FF009C" w:rsidRDefault="00D32FC0" w:rsidP="002467B1">
            <w:pPr>
              <w:spacing w:before="0" w:after="0"/>
              <w:jc w:val="right"/>
              <w:rPr>
                <w:rFonts w:eastAsia="Times New Roman"/>
                <w:noProof/>
                <w:sz w:val="20"/>
                <w:szCs w:val="20"/>
              </w:rPr>
            </w:pPr>
            <w:r w:rsidRPr="00FF009C">
              <w:rPr>
                <w:noProof/>
                <w:sz w:val="20"/>
              </w:rPr>
              <w:t>1,872</w:t>
            </w:r>
          </w:p>
        </w:tc>
        <w:tc>
          <w:tcPr>
            <w:tcW w:w="1180" w:type="dxa"/>
            <w:tcBorders>
              <w:top w:val="nil"/>
              <w:left w:val="nil"/>
              <w:bottom w:val="single" w:sz="4" w:space="0" w:color="auto"/>
              <w:right w:val="single" w:sz="4" w:space="0" w:color="auto"/>
            </w:tcBorders>
            <w:shd w:val="clear" w:color="auto" w:fill="auto"/>
            <w:noWrap/>
            <w:vAlign w:val="center"/>
            <w:hideMark/>
          </w:tcPr>
          <w:p w14:paraId="6D38FCB7" w14:textId="77777777" w:rsidR="0014309B" w:rsidRPr="00FF009C" w:rsidRDefault="00D32FC0" w:rsidP="002467B1">
            <w:pPr>
              <w:spacing w:before="0" w:after="0"/>
              <w:jc w:val="right"/>
              <w:rPr>
                <w:rFonts w:eastAsia="Times New Roman"/>
                <w:b/>
                <w:bCs/>
                <w:noProof/>
                <w:sz w:val="20"/>
                <w:szCs w:val="20"/>
              </w:rPr>
            </w:pPr>
            <w:r w:rsidRPr="00FF009C">
              <w:rPr>
                <w:b/>
                <w:noProof/>
                <w:sz w:val="20"/>
              </w:rPr>
              <w:t>3,162</w:t>
            </w:r>
          </w:p>
        </w:tc>
      </w:tr>
      <w:tr w:rsidR="007502D3" w:rsidRPr="00FF009C" w14:paraId="062A9725" w14:textId="77777777" w:rsidTr="6E5A1C8C">
        <w:trPr>
          <w:trHeight w:val="300"/>
        </w:trPr>
        <w:tc>
          <w:tcPr>
            <w:tcW w:w="290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D60C915" w14:textId="77777777" w:rsidR="0014309B" w:rsidRPr="00FF009C" w:rsidRDefault="0014309B" w:rsidP="002467B1">
            <w:pPr>
              <w:spacing w:before="0" w:after="0"/>
              <w:jc w:val="left"/>
              <w:rPr>
                <w:rFonts w:eastAsia="Times New Roman"/>
                <w:noProof/>
                <w:sz w:val="18"/>
                <w:szCs w:val="18"/>
              </w:rPr>
            </w:pPr>
            <w:r w:rsidRPr="00FF009C">
              <w:rPr>
                <w:noProof/>
                <w:sz w:val="18"/>
              </w:rPr>
              <w:t>Oddelegowani eksperci krajowi</w:t>
            </w:r>
          </w:p>
        </w:tc>
        <w:tc>
          <w:tcPr>
            <w:tcW w:w="1300" w:type="dxa"/>
            <w:tcBorders>
              <w:top w:val="nil"/>
              <w:left w:val="nil"/>
              <w:bottom w:val="single" w:sz="4" w:space="0" w:color="auto"/>
              <w:right w:val="single" w:sz="4" w:space="0" w:color="auto"/>
            </w:tcBorders>
            <w:shd w:val="clear" w:color="auto" w:fill="auto"/>
            <w:noWrap/>
            <w:vAlign w:val="center"/>
            <w:hideMark/>
          </w:tcPr>
          <w:p w14:paraId="150F1913" w14:textId="77777777" w:rsidR="0014309B" w:rsidRPr="00FF009C" w:rsidRDefault="0014309B" w:rsidP="002467B1">
            <w:pPr>
              <w:spacing w:before="0" w:after="0"/>
              <w:jc w:val="right"/>
              <w:rPr>
                <w:rFonts w:eastAsia="Times New Roman"/>
                <w:noProof/>
                <w:sz w:val="20"/>
                <w:szCs w:val="20"/>
              </w:rPr>
            </w:pPr>
            <w:r w:rsidRPr="00FF009C">
              <w:rPr>
                <w:noProof/>
                <w:sz w:val="20"/>
              </w:rPr>
              <w:t>0,595</w:t>
            </w:r>
          </w:p>
        </w:tc>
        <w:tc>
          <w:tcPr>
            <w:tcW w:w="1300" w:type="dxa"/>
            <w:tcBorders>
              <w:top w:val="nil"/>
              <w:left w:val="nil"/>
              <w:bottom w:val="single" w:sz="4" w:space="0" w:color="auto"/>
              <w:right w:val="single" w:sz="4" w:space="0" w:color="auto"/>
            </w:tcBorders>
            <w:shd w:val="clear" w:color="auto" w:fill="auto"/>
            <w:noWrap/>
            <w:vAlign w:val="center"/>
            <w:hideMark/>
          </w:tcPr>
          <w:p w14:paraId="7F41BDB3" w14:textId="77777777" w:rsidR="0014309B" w:rsidRPr="00FF009C" w:rsidRDefault="0014309B" w:rsidP="002467B1">
            <w:pPr>
              <w:spacing w:before="0" w:after="0"/>
              <w:jc w:val="right"/>
              <w:rPr>
                <w:rFonts w:eastAsia="Times New Roman"/>
                <w:noProof/>
                <w:sz w:val="20"/>
                <w:szCs w:val="20"/>
              </w:rPr>
            </w:pPr>
            <w:r w:rsidRPr="00FF009C">
              <w:rPr>
                <w:noProof/>
                <w:sz w:val="20"/>
              </w:rPr>
              <w:t>0,938</w:t>
            </w:r>
          </w:p>
        </w:tc>
        <w:tc>
          <w:tcPr>
            <w:tcW w:w="1300" w:type="dxa"/>
            <w:tcBorders>
              <w:top w:val="nil"/>
              <w:left w:val="nil"/>
              <w:bottom w:val="single" w:sz="4" w:space="0" w:color="auto"/>
              <w:right w:val="single" w:sz="4" w:space="0" w:color="auto"/>
            </w:tcBorders>
            <w:shd w:val="clear" w:color="auto" w:fill="auto"/>
            <w:noWrap/>
            <w:vAlign w:val="center"/>
            <w:hideMark/>
          </w:tcPr>
          <w:p w14:paraId="18176707" w14:textId="77777777" w:rsidR="0014309B" w:rsidRPr="00FF009C" w:rsidRDefault="0014309B" w:rsidP="002467B1">
            <w:pPr>
              <w:spacing w:before="0" w:after="0"/>
              <w:jc w:val="right"/>
              <w:rPr>
                <w:rFonts w:eastAsia="Times New Roman"/>
                <w:noProof/>
                <w:sz w:val="20"/>
                <w:szCs w:val="20"/>
              </w:rPr>
            </w:pPr>
            <w:r w:rsidRPr="00FF009C">
              <w:rPr>
                <w:noProof/>
                <w:sz w:val="20"/>
              </w:rPr>
              <w:t>1,125</w:t>
            </w:r>
          </w:p>
        </w:tc>
        <w:tc>
          <w:tcPr>
            <w:tcW w:w="1180" w:type="dxa"/>
            <w:tcBorders>
              <w:top w:val="nil"/>
              <w:left w:val="nil"/>
              <w:bottom w:val="single" w:sz="4" w:space="0" w:color="auto"/>
              <w:right w:val="single" w:sz="4" w:space="0" w:color="auto"/>
            </w:tcBorders>
            <w:shd w:val="clear" w:color="auto" w:fill="auto"/>
            <w:noWrap/>
            <w:vAlign w:val="center"/>
            <w:hideMark/>
          </w:tcPr>
          <w:p w14:paraId="54D839B4" w14:textId="77777777" w:rsidR="0014309B" w:rsidRPr="00FF009C" w:rsidRDefault="0014309B" w:rsidP="002467B1">
            <w:pPr>
              <w:spacing w:before="0" w:after="0"/>
              <w:jc w:val="right"/>
              <w:rPr>
                <w:rFonts w:eastAsia="Times New Roman"/>
                <w:b/>
                <w:bCs/>
                <w:noProof/>
                <w:sz w:val="20"/>
                <w:szCs w:val="20"/>
              </w:rPr>
            </w:pPr>
            <w:r w:rsidRPr="00FF009C">
              <w:rPr>
                <w:b/>
                <w:noProof/>
                <w:sz w:val="20"/>
              </w:rPr>
              <w:t>2,658</w:t>
            </w:r>
          </w:p>
        </w:tc>
      </w:tr>
      <w:tr w:rsidR="0014309B" w:rsidRPr="00FF009C" w14:paraId="4C72A4BE" w14:textId="77777777" w:rsidTr="00977077">
        <w:trPr>
          <w:trHeight w:val="300"/>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2AF5175F" w14:textId="77777777" w:rsidR="0014309B" w:rsidRPr="00FF009C" w:rsidRDefault="0014309B" w:rsidP="002467B1">
            <w:pPr>
              <w:spacing w:before="0" w:after="0"/>
              <w:jc w:val="center"/>
              <w:rPr>
                <w:rFonts w:eastAsia="Times New Roman"/>
                <w:b/>
                <w:bCs/>
                <w:noProof/>
                <w:sz w:val="20"/>
                <w:szCs w:val="20"/>
              </w:rPr>
            </w:pPr>
            <w:r w:rsidRPr="00FF009C">
              <w:rPr>
                <w:b/>
                <w:noProof/>
                <w:sz w:val="20"/>
              </w:rPr>
              <w:t>OGÓŁEM</w:t>
            </w:r>
            <w:r w:rsidRPr="00FF009C">
              <w:rPr>
                <w:rStyle w:val="FootnoteReference0"/>
                <w:rFonts w:eastAsia="Times New Roman"/>
                <w:b/>
                <w:noProof/>
                <w:sz w:val="20"/>
                <w:szCs w:val="20"/>
                <w:lang w:eastAsia="en-IE"/>
              </w:rPr>
              <w:footnoteReference w:id="44"/>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E6271" w14:textId="77777777" w:rsidR="0014309B" w:rsidRPr="00FF009C" w:rsidRDefault="00D32FC0" w:rsidP="002467B1">
            <w:pPr>
              <w:spacing w:before="0" w:after="0"/>
              <w:jc w:val="right"/>
              <w:rPr>
                <w:rFonts w:eastAsia="Times New Roman"/>
                <w:b/>
                <w:bCs/>
                <w:noProof/>
                <w:sz w:val="20"/>
                <w:szCs w:val="20"/>
              </w:rPr>
            </w:pPr>
            <w:r w:rsidRPr="00FF009C">
              <w:rPr>
                <w:b/>
                <w:noProof/>
                <w:sz w:val="20"/>
              </w:rPr>
              <w:t>1,158</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4C63551A" w14:textId="77777777" w:rsidR="0014309B" w:rsidRPr="00FF009C" w:rsidRDefault="00D32FC0" w:rsidP="002467B1">
            <w:pPr>
              <w:spacing w:before="0" w:after="0"/>
              <w:jc w:val="right"/>
              <w:rPr>
                <w:rFonts w:eastAsia="Times New Roman"/>
                <w:b/>
                <w:bCs/>
                <w:noProof/>
                <w:sz w:val="20"/>
                <w:szCs w:val="20"/>
              </w:rPr>
            </w:pPr>
            <w:r w:rsidRPr="00FF009C">
              <w:rPr>
                <w:b/>
                <w:noProof/>
                <w:sz w:val="20"/>
              </w:rPr>
              <w:t>2,978</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19C4AE4C" w14:textId="77777777" w:rsidR="0014309B" w:rsidRPr="00FF009C" w:rsidRDefault="00D32FC0" w:rsidP="002467B1">
            <w:pPr>
              <w:spacing w:before="0" w:after="0"/>
              <w:jc w:val="right"/>
              <w:rPr>
                <w:rFonts w:eastAsia="Times New Roman"/>
                <w:b/>
                <w:bCs/>
                <w:noProof/>
                <w:sz w:val="20"/>
                <w:szCs w:val="20"/>
              </w:rPr>
            </w:pPr>
            <w:r w:rsidRPr="00FF009C">
              <w:rPr>
                <w:b/>
                <w:noProof/>
                <w:sz w:val="20"/>
              </w:rPr>
              <w:t>4,757</w:t>
            </w:r>
          </w:p>
        </w:tc>
        <w:tc>
          <w:tcPr>
            <w:tcW w:w="1180" w:type="dxa"/>
            <w:tcBorders>
              <w:top w:val="nil"/>
              <w:left w:val="nil"/>
              <w:bottom w:val="single" w:sz="4" w:space="0" w:color="auto"/>
              <w:right w:val="single" w:sz="4" w:space="0" w:color="auto"/>
            </w:tcBorders>
            <w:shd w:val="clear" w:color="auto" w:fill="auto"/>
            <w:noWrap/>
            <w:vAlign w:val="center"/>
            <w:hideMark/>
          </w:tcPr>
          <w:p w14:paraId="295F6A02" w14:textId="77777777" w:rsidR="0014309B" w:rsidRPr="00FF009C" w:rsidRDefault="00D32FC0" w:rsidP="002467B1">
            <w:pPr>
              <w:spacing w:before="0" w:after="0"/>
              <w:jc w:val="right"/>
              <w:rPr>
                <w:rFonts w:eastAsia="Times New Roman"/>
                <w:b/>
                <w:bCs/>
                <w:noProof/>
                <w:sz w:val="20"/>
                <w:szCs w:val="20"/>
              </w:rPr>
            </w:pPr>
            <w:r w:rsidRPr="00FF009C">
              <w:rPr>
                <w:b/>
                <w:noProof/>
                <w:sz w:val="20"/>
              </w:rPr>
              <w:t>8,892</w:t>
            </w:r>
          </w:p>
        </w:tc>
      </w:tr>
    </w:tbl>
    <w:p w14:paraId="6526FAF1" w14:textId="77777777" w:rsidR="0014309B" w:rsidRPr="00FF009C" w:rsidRDefault="0014309B" w:rsidP="0014309B">
      <w:pPr>
        <w:rPr>
          <w:noProof/>
          <w:u w:val="single"/>
        </w:rPr>
      </w:pPr>
    </w:p>
    <w:p w14:paraId="2375DB4D" w14:textId="77777777" w:rsidR="0014309B" w:rsidRPr="00FF009C" w:rsidRDefault="0014309B" w:rsidP="0014309B">
      <w:pPr>
        <w:rPr>
          <w:noProof/>
          <w:sz w:val="20"/>
        </w:rPr>
      </w:pPr>
      <w:r w:rsidRPr="00FF009C">
        <w:rPr>
          <w:noProof/>
          <w:sz w:val="20"/>
        </w:rPr>
        <w:t>Zapotrzebowanie na pracowników (EPC)</w:t>
      </w:r>
      <w:r w:rsidR="001F2F1F" w:rsidRPr="00FF009C">
        <w:rPr>
          <w:rStyle w:val="FootnoteReference0"/>
          <w:noProof/>
          <w:sz w:val="20"/>
        </w:rPr>
        <w:footnoteReference w:id="45"/>
      </w:r>
      <w:r w:rsidRPr="00FF009C">
        <w:rPr>
          <w:noProof/>
          <w:sz w:val="20"/>
        </w:rPr>
        <w:t>:</w:t>
      </w:r>
    </w:p>
    <w:tbl>
      <w:tblPr>
        <w:tblW w:w="7980" w:type="dxa"/>
        <w:tblInd w:w="113" w:type="dxa"/>
        <w:tblLayout w:type="fixed"/>
        <w:tblLook w:val="04A0" w:firstRow="1" w:lastRow="0" w:firstColumn="1" w:lastColumn="0" w:noHBand="0" w:noVBand="1"/>
      </w:tblPr>
      <w:tblGrid>
        <w:gridCol w:w="2900"/>
        <w:gridCol w:w="1300"/>
        <w:gridCol w:w="1300"/>
        <w:gridCol w:w="1300"/>
        <w:gridCol w:w="1180"/>
      </w:tblGrid>
      <w:tr w:rsidR="007502D3" w:rsidRPr="00FF009C" w14:paraId="0F4857EE" w14:textId="77777777" w:rsidTr="6E5A1C8C">
        <w:trPr>
          <w:trHeight w:val="300"/>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AD416" w14:textId="77777777" w:rsidR="0014309B" w:rsidRPr="00FF009C" w:rsidRDefault="0014309B" w:rsidP="002467B1">
            <w:pPr>
              <w:spacing w:before="0" w:after="0"/>
              <w:rPr>
                <w:rFonts w:eastAsia="Times New Roman"/>
                <w:noProof/>
                <w:sz w:val="20"/>
                <w:szCs w:val="20"/>
              </w:rPr>
            </w:pPr>
            <w:r w:rsidRPr="00FF009C">
              <w:rPr>
                <w:noProof/>
                <w:sz w:val="20"/>
              </w:rPr>
              <w:t>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C575C42" w14:textId="77777777" w:rsidR="0014309B" w:rsidRPr="00FF009C" w:rsidRDefault="0014309B" w:rsidP="002467B1">
            <w:pPr>
              <w:spacing w:before="0" w:after="0"/>
              <w:jc w:val="center"/>
              <w:rPr>
                <w:rFonts w:eastAsia="Times New Roman"/>
                <w:noProof/>
                <w:sz w:val="20"/>
                <w:szCs w:val="20"/>
              </w:rPr>
            </w:pPr>
            <w:r w:rsidRPr="00FF009C">
              <w:rPr>
                <w:noProof/>
                <w:sz w:val="20"/>
              </w:rPr>
              <w:t>2025</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E7B2B04" w14:textId="77777777" w:rsidR="0014309B" w:rsidRPr="00FF009C" w:rsidRDefault="0014309B" w:rsidP="002467B1">
            <w:pPr>
              <w:spacing w:before="0" w:after="0"/>
              <w:jc w:val="center"/>
              <w:rPr>
                <w:rFonts w:eastAsia="Times New Roman"/>
                <w:noProof/>
                <w:sz w:val="20"/>
                <w:szCs w:val="20"/>
              </w:rPr>
            </w:pPr>
            <w:r w:rsidRPr="00FF009C">
              <w:rPr>
                <w:noProof/>
                <w:sz w:val="20"/>
              </w:rPr>
              <w:t>2026</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62E0687" w14:textId="77777777" w:rsidR="0014309B" w:rsidRPr="00FF009C" w:rsidRDefault="0014309B" w:rsidP="002467B1">
            <w:pPr>
              <w:spacing w:before="0" w:after="0"/>
              <w:jc w:val="center"/>
              <w:rPr>
                <w:rFonts w:eastAsia="Times New Roman"/>
                <w:noProof/>
                <w:sz w:val="20"/>
                <w:szCs w:val="20"/>
              </w:rPr>
            </w:pPr>
            <w:r w:rsidRPr="00FF009C">
              <w:rPr>
                <w:noProof/>
                <w:sz w:val="20"/>
              </w:rPr>
              <w:t>2027</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0EBD4D3A" w14:textId="77777777" w:rsidR="0014309B" w:rsidRPr="00FF009C" w:rsidRDefault="0014309B" w:rsidP="002467B1">
            <w:pPr>
              <w:spacing w:before="0" w:after="0"/>
              <w:jc w:val="right"/>
              <w:rPr>
                <w:rFonts w:eastAsia="Times New Roman"/>
                <w:b/>
                <w:bCs/>
                <w:noProof/>
                <w:sz w:val="20"/>
                <w:szCs w:val="20"/>
              </w:rPr>
            </w:pPr>
            <w:r w:rsidRPr="00FF009C">
              <w:rPr>
                <w:b/>
                <w:noProof/>
                <w:sz w:val="20"/>
              </w:rPr>
              <w:t>OGÓŁEM</w:t>
            </w:r>
          </w:p>
        </w:tc>
      </w:tr>
      <w:tr w:rsidR="007502D3" w:rsidRPr="00FF009C" w14:paraId="7ED40938" w14:textId="77777777" w:rsidTr="6E5A1C8C">
        <w:trPr>
          <w:trHeight w:val="300"/>
        </w:trPr>
        <w:tc>
          <w:tcPr>
            <w:tcW w:w="290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561FF3B" w14:textId="77777777" w:rsidR="0014309B" w:rsidRPr="00FF009C" w:rsidRDefault="0014309B" w:rsidP="002467B1">
            <w:pPr>
              <w:spacing w:before="0" w:after="0"/>
              <w:jc w:val="left"/>
              <w:rPr>
                <w:rFonts w:eastAsia="Times New Roman"/>
                <w:noProof/>
                <w:sz w:val="18"/>
                <w:szCs w:val="18"/>
              </w:rPr>
            </w:pPr>
            <w:r w:rsidRPr="00FF009C">
              <w:rPr>
                <w:noProof/>
                <w:sz w:val="18"/>
              </w:rPr>
              <w:t>Pracownicy zatrudnieni na czas określony (grupy funkcyjne AD)</w:t>
            </w:r>
          </w:p>
        </w:tc>
        <w:tc>
          <w:tcPr>
            <w:tcW w:w="1300" w:type="dxa"/>
            <w:tcBorders>
              <w:top w:val="nil"/>
              <w:left w:val="nil"/>
              <w:bottom w:val="single" w:sz="4" w:space="0" w:color="auto"/>
              <w:right w:val="single" w:sz="4" w:space="0" w:color="auto"/>
            </w:tcBorders>
            <w:shd w:val="clear" w:color="auto" w:fill="auto"/>
            <w:noWrap/>
            <w:vAlign w:val="center"/>
            <w:hideMark/>
          </w:tcPr>
          <w:p w14:paraId="7B8955FE" w14:textId="77777777" w:rsidR="0014309B" w:rsidRPr="00FF009C" w:rsidRDefault="00137DF1" w:rsidP="002467B1">
            <w:pPr>
              <w:spacing w:before="0" w:after="0"/>
              <w:jc w:val="right"/>
              <w:rPr>
                <w:rFonts w:eastAsia="Times New Roman"/>
                <w:noProof/>
                <w:sz w:val="20"/>
                <w:szCs w:val="20"/>
              </w:rPr>
            </w:pPr>
            <w:r w:rsidRPr="00FF009C">
              <w:rPr>
                <w:noProof/>
                <w:sz w:val="20"/>
              </w:rPr>
              <w:t>3</w:t>
            </w:r>
          </w:p>
        </w:tc>
        <w:tc>
          <w:tcPr>
            <w:tcW w:w="1300" w:type="dxa"/>
            <w:tcBorders>
              <w:top w:val="nil"/>
              <w:left w:val="nil"/>
              <w:bottom w:val="single" w:sz="4" w:space="0" w:color="auto"/>
              <w:right w:val="single" w:sz="4" w:space="0" w:color="auto"/>
            </w:tcBorders>
            <w:shd w:val="clear" w:color="auto" w:fill="auto"/>
            <w:noWrap/>
            <w:vAlign w:val="center"/>
            <w:hideMark/>
          </w:tcPr>
          <w:p w14:paraId="5EB4F020" w14:textId="77777777" w:rsidR="0014309B" w:rsidRPr="00FF009C" w:rsidRDefault="00137DF1" w:rsidP="002467B1">
            <w:pPr>
              <w:spacing w:before="0" w:after="0"/>
              <w:jc w:val="right"/>
              <w:rPr>
                <w:rFonts w:eastAsia="Times New Roman"/>
                <w:noProof/>
                <w:sz w:val="20"/>
                <w:szCs w:val="20"/>
              </w:rPr>
            </w:pPr>
            <w:r w:rsidRPr="00FF009C">
              <w:rPr>
                <w:noProof/>
                <w:sz w:val="20"/>
              </w:rPr>
              <w:t>7</w:t>
            </w:r>
          </w:p>
        </w:tc>
        <w:tc>
          <w:tcPr>
            <w:tcW w:w="1300" w:type="dxa"/>
            <w:tcBorders>
              <w:top w:val="nil"/>
              <w:left w:val="nil"/>
              <w:bottom w:val="single" w:sz="4" w:space="0" w:color="auto"/>
              <w:right w:val="single" w:sz="4" w:space="0" w:color="auto"/>
            </w:tcBorders>
            <w:shd w:val="clear" w:color="auto" w:fill="auto"/>
            <w:noWrap/>
            <w:vAlign w:val="center"/>
            <w:hideMark/>
          </w:tcPr>
          <w:p w14:paraId="5E6CE965" w14:textId="77777777" w:rsidR="0014309B" w:rsidRPr="00FF009C" w:rsidRDefault="00137DF1" w:rsidP="002467B1">
            <w:pPr>
              <w:spacing w:before="0" w:after="0"/>
              <w:jc w:val="right"/>
              <w:rPr>
                <w:rFonts w:eastAsia="Times New Roman"/>
                <w:noProof/>
                <w:sz w:val="20"/>
                <w:szCs w:val="20"/>
              </w:rPr>
            </w:pPr>
            <w:r w:rsidRPr="00FF009C">
              <w:rPr>
                <w:noProof/>
                <w:sz w:val="20"/>
              </w:rPr>
              <w:t>10</w:t>
            </w:r>
          </w:p>
        </w:tc>
        <w:tc>
          <w:tcPr>
            <w:tcW w:w="1180" w:type="dxa"/>
            <w:tcBorders>
              <w:top w:val="nil"/>
              <w:left w:val="nil"/>
              <w:bottom w:val="single" w:sz="4" w:space="0" w:color="auto"/>
              <w:right w:val="single" w:sz="4" w:space="0" w:color="auto"/>
            </w:tcBorders>
            <w:shd w:val="clear" w:color="auto" w:fill="auto"/>
            <w:noWrap/>
            <w:vAlign w:val="center"/>
            <w:hideMark/>
          </w:tcPr>
          <w:p w14:paraId="1342A581" w14:textId="77777777" w:rsidR="0014309B" w:rsidRPr="00FF009C" w:rsidRDefault="00137DF1" w:rsidP="002467B1">
            <w:pPr>
              <w:spacing w:before="0" w:after="0"/>
              <w:jc w:val="right"/>
              <w:rPr>
                <w:rFonts w:eastAsia="Times New Roman"/>
                <w:b/>
                <w:bCs/>
                <w:noProof/>
                <w:sz w:val="20"/>
                <w:szCs w:val="20"/>
              </w:rPr>
            </w:pPr>
            <w:r w:rsidRPr="00FF009C">
              <w:rPr>
                <w:b/>
                <w:noProof/>
                <w:sz w:val="20"/>
              </w:rPr>
              <w:t>10</w:t>
            </w:r>
          </w:p>
        </w:tc>
      </w:tr>
      <w:tr w:rsidR="007502D3" w:rsidRPr="00FF009C" w14:paraId="7E4DB501" w14:textId="77777777" w:rsidTr="6E5A1C8C">
        <w:trPr>
          <w:trHeight w:val="300"/>
        </w:trPr>
        <w:tc>
          <w:tcPr>
            <w:tcW w:w="290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772B4DD" w14:textId="77777777" w:rsidR="0014309B" w:rsidRPr="00FF009C" w:rsidRDefault="0014309B" w:rsidP="002467B1">
            <w:pPr>
              <w:spacing w:before="0" w:after="0"/>
              <w:jc w:val="left"/>
              <w:rPr>
                <w:rFonts w:eastAsia="Times New Roman"/>
                <w:noProof/>
                <w:sz w:val="18"/>
                <w:szCs w:val="18"/>
              </w:rPr>
            </w:pPr>
            <w:r w:rsidRPr="00FF009C">
              <w:rPr>
                <w:noProof/>
                <w:sz w:val="18"/>
              </w:rPr>
              <w:t>Pracownicy zatrudnieni na czas określony (grupy funkcyjne AST)</w:t>
            </w:r>
          </w:p>
        </w:tc>
        <w:tc>
          <w:tcPr>
            <w:tcW w:w="1300" w:type="dxa"/>
            <w:tcBorders>
              <w:top w:val="nil"/>
              <w:left w:val="nil"/>
              <w:bottom w:val="single" w:sz="4" w:space="0" w:color="auto"/>
              <w:right w:val="single" w:sz="4" w:space="0" w:color="auto"/>
            </w:tcBorders>
            <w:shd w:val="clear" w:color="auto" w:fill="auto"/>
            <w:noWrap/>
            <w:vAlign w:val="center"/>
            <w:hideMark/>
          </w:tcPr>
          <w:p w14:paraId="76913E26" w14:textId="77777777" w:rsidR="0014309B" w:rsidRPr="00FF009C" w:rsidRDefault="0014309B" w:rsidP="002467B1">
            <w:pPr>
              <w:spacing w:before="0" w:after="0"/>
              <w:jc w:val="right"/>
              <w:rPr>
                <w:rFonts w:eastAsia="Times New Roman"/>
                <w:noProof/>
                <w:sz w:val="20"/>
                <w:szCs w:val="20"/>
              </w:rPr>
            </w:pPr>
            <w:r w:rsidRPr="00FF009C">
              <w:rPr>
                <w:noProof/>
                <w:sz w:val="20"/>
              </w:rPr>
              <w:t>0</w:t>
            </w:r>
          </w:p>
        </w:tc>
        <w:tc>
          <w:tcPr>
            <w:tcW w:w="1300" w:type="dxa"/>
            <w:tcBorders>
              <w:top w:val="nil"/>
              <w:left w:val="nil"/>
              <w:bottom w:val="single" w:sz="4" w:space="0" w:color="auto"/>
              <w:right w:val="single" w:sz="4" w:space="0" w:color="auto"/>
            </w:tcBorders>
            <w:shd w:val="clear" w:color="auto" w:fill="auto"/>
            <w:noWrap/>
            <w:vAlign w:val="center"/>
            <w:hideMark/>
          </w:tcPr>
          <w:p w14:paraId="3D0A3D07" w14:textId="77777777" w:rsidR="0014309B" w:rsidRPr="00FF009C" w:rsidRDefault="0014309B" w:rsidP="002467B1">
            <w:pPr>
              <w:spacing w:before="0" w:after="0"/>
              <w:jc w:val="right"/>
              <w:rPr>
                <w:rFonts w:eastAsia="Times New Roman"/>
                <w:noProof/>
                <w:sz w:val="20"/>
                <w:szCs w:val="20"/>
              </w:rPr>
            </w:pPr>
            <w:r w:rsidRPr="00FF009C">
              <w:rPr>
                <w:noProof/>
                <w:sz w:val="20"/>
              </w:rPr>
              <w:t>0</w:t>
            </w:r>
          </w:p>
        </w:tc>
        <w:tc>
          <w:tcPr>
            <w:tcW w:w="1300" w:type="dxa"/>
            <w:tcBorders>
              <w:top w:val="nil"/>
              <w:left w:val="nil"/>
              <w:bottom w:val="single" w:sz="4" w:space="0" w:color="auto"/>
              <w:right w:val="single" w:sz="4" w:space="0" w:color="auto"/>
            </w:tcBorders>
            <w:shd w:val="clear" w:color="auto" w:fill="auto"/>
            <w:noWrap/>
            <w:vAlign w:val="center"/>
            <w:hideMark/>
          </w:tcPr>
          <w:p w14:paraId="4CD40DE2" w14:textId="77777777" w:rsidR="0014309B" w:rsidRPr="00FF009C" w:rsidRDefault="0014309B" w:rsidP="002467B1">
            <w:pPr>
              <w:spacing w:before="0" w:after="0"/>
              <w:jc w:val="right"/>
              <w:rPr>
                <w:rFonts w:eastAsia="Times New Roman"/>
                <w:noProof/>
                <w:sz w:val="20"/>
                <w:szCs w:val="20"/>
              </w:rPr>
            </w:pPr>
            <w:r w:rsidRPr="00FF009C">
              <w:rPr>
                <w:noProof/>
                <w:sz w:val="20"/>
              </w:rPr>
              <w:t>0</w:t>
            </w:r>
          </w:p>
        </w:tc>
        <w:tc>
          <w:tcPr>
            <w:tcW w:w="1180" w:type="dxa"/>
            <w:tcBorders>
              <w:top w:val="nil"/>
              <w:left w:val="nil"/>
              <w:bottom w:val="single" w:sz="4" w:space="0" w:color="auto"/>
              <w:right w:val="single" w:sz="4" w:space="0" w:color="auto"/>
            </w:tcBorders>
            <w:shd w:val="clear" w:color="auto" w:fill="auto"/>
            <w:noWrap/>
            <w:vAlign w:val="center"/>
            <w:hideMark/>
          </w:tcPr>
          <w:p w14:paraId="7E2576DB" w14:textId="77777777" w:rsidR="0014309B" w:rsidRPr="00FF009C" w:rsidRDefault="0014309B" w:rsidP="002467B1">
            <w:pPr>
              <w:spacing w:before="0" w:after="0"/>
              <w:jc w:val="right"/>
              <w:rPr>
                <w:rFonts w:eastAsia="Times New Roman"/>
                <w:b/>
                <w:bCs/>
                <w:noProof/>
                <w:sz w:val="20"/>
                <w:szCs w:val="20"/>
              </w:rPr>
            </w:pPr>
            <w:r w:rsidRPr="00FF009C">
              <w:rPr>
                <w:b/>
                <w:noProof/>
                <w:sz w:val="20"/>
              </w:rPr>
              <w:t>0</w:t>
            </w:r>
          </w:p>
        </w:tc>
      </w:tr>
      <w:tr w:rsidR="007502D3" w:rsidRPr="00FF009C" w14:paraId="4B3A4760" w14:textId="77777777" w:rsidTr="6E5A1C8C">
        <w:trPr>
          <w:trHeight w:val="300"/>
        </w:trPr>
        <w:tc>
          <w:tcPr>
            <w:tcW w:w="290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625D48A" w14:textId="77777777" w:rsidR="0014309B" w:rsidRPr="00FF009C" w:rsidRDefault="0014309B" w:rsidP="002467B1">
            <w:pPr>
              <w:spacing w:before="0" w:after="0"/>
              <w:jc w:val="left"/>
              <w:rPr>
                <w:rFonts w:eastAsia="Times New Roman"/>
                <w:noProof/>
                <w:sz w:val="18"/>
                <w:szCs w:val="18"/>
              </w:rPr>
            </w:pPr>
            <w:r w:rsidRPr="00FF009C">
              <w:rPr>
                <w:noProof/>
                <w:sz w:val="18"/>
              </w:rPr>
              <w:t>Pracownicy kontraktowi</w:t>
            </w:r>
          </w:p>
        </w:tc>
        <w:tc>
          <w:tcPr>
            <w:tcW w:w="1300" w:type="dxa"/>
            <w:tcBorders>
              <w:top w:val="nil"/>
              <w:left w:val="nil"/>
              <w:bottom w:val="single" w:sz="4" w:space="0" w:color="auto"/>
              <w:right w:val="single" w:sz="4" w:space="0" w:color="auto"/>
            </w:tcBorders>
            <w:shd w:val="clear" w:color="auto" w:fill="auto"/>
            <w:noWrap/>
            <w:vAlign w:val="center"/>
            <w:hideMark/>
          </w:tcPr>
          <w:p w14:paraId="74575845" w14:textId="77777777" w:rsidR="0014309B" w:rsidRPr="00FF009C" w:rsidRDefault="00137DF1" w:rsidP="002467B1">
            <w:pPr>
              <w:spacing w:before="0" w:after="0"/>
              <w:jc w:val="right"/>
              <w:rPr>
                <w:rFonts w:eastAsia="Times New Roman"/>
                <w:noProof/>
                <w:sz w:val="20"/>
                <w:szCs w:val="20"/>
              </w:rPr>
            </w:pPr>
            <w:r w:rsidRPr="00FF009C">
              <w:rPr>
                <w:noProof/>
                <w:sz w:val="20"/>
              </w:rPr>
              <w:t>5</w:t>
            </w:r>
          </w:p>
        </w:tc>
        <w:tc>
          <w:tcPr>
            <w:tcW w:w="1300" w:type="dxa"/>
            <w:tcBorders>
              <w:top w:val="nil"/>
              <w:left w:val="nil"/>
              <w:bottom w:val="single" w:sz="4" w:space="0" w:color="auto"/>
              <w:right w:val="single" w:sz="4" w:space="0" w:color="auto"/>
            </w:tcBorders>
            <w:shd w:val="clear" w:color="auto" w:fill="auto"/>
            <w:noWrap/>
            <w:vAlign w:val="center"/>
            <w:hideMark/>
          </w:tcPr>
          <w:p w14:paraId="55E23A5D" w14:textId="77777777" w:rsidR="0014309B" w:rsidRPr="00FF009C" w:rsidRDefault="00137DF1" w:rsidP="002467B1">
            <w:pPr>
              <w:spacing w:before="0" w:after="0"/>
              <w:jc w:val="right"/>
              <w:rPr>
                <w:rFonts w:eastAsia="Times New Roman"/>
                <w:noProof/>
                <w:sz w:val="20"/>
                <w:szCs w:val="20"/>
              </w:rPr>
            </w:pPr>
            <w:r w:rsidRPr="00FF009C">
              <w:rPr>
                <w:noProof/>
                <w:sz w:val="20"/>
              </w:rPr>
              <w:t>14</w:t>
            </w:r>
          </w:p>
        </w:tc>
        <w:tc>
          <w:tcPr>
            <w:tcW w:w="1300" w:type="dxa"/>
            <w:tcBorders>
              <w:top w:val="nil"/>
              <w:left w:val="nil"/>
              <w:bottom w:val="single" w:sz="4" w:space="0" w:color="auto"/>
              <w:right w:val="single" w:sz="4" w:space="0" w:color="auto"/>
            </w:tcBorders>
            <w:shd w:val="clear" w:color="auto" w:fill="auto"/>
            <w:noWrap/>
            <w:vAlign w:val="center"/>
            <w:hideMark/>
          </w:tcPr>
          <w:p w14:paraId="62E5DFD1" w14:textId="77777777" w:rsidR="0014309B" w:rsidRPr="00FF009C" w:rsidRDefault="00137DF1" w:rsidP="002467B1">
            <w:pPr>
              <w:spacing w:before="0" w:after="0"/>
              <w:jc w:val="right"/>
              <w:rPr>
                <w:rFonts w:eastAsia="Times New Roman"/>
                <w:noProof/>
                <w:sz w:val="20"/>
                <w:szCs w:val="20"/>
              </w:rPr>
            </w:pPr>
            <w:r w:rsidRPr="00FF009C">
              <w:rPr>
                <w:noProof/>
                <w:sz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27C8538E" w14:textId="77777777" w:rsidR="0014309B" w:rsidRPr="00FF009C" w:rsidRDefault="00137DF1" w:rsidP="002467B1">
            <w:pPr>
              <w:spacing w:before="0" w:after="0"/>
              <w:jc w:val="right"/>
              <w:rPr>
                <w:rFonts w:eastAsia="Times New Roman"/>
                <w:b/>
                <w:bCs/>
                <w:noProof/>
                <w:sz w:val="20"/>
                <w:szCs w:val="20"/>
              </w:rPr>
            </w:pPr>
            <w:r w:rsidRPr="00FF009C">
              <w:rPr>
                <w:b/>
                <w:noProof/>
                <w:sz w:val="20"/>
              </w:rPr>
              <w:t>20</w:t>
            </w:r>
          </w:p>
        </w:tc>
      </w:tr>
      <w:tr w:rsidR="007502D3" w:rsidRPr="00FF009C" w14:paraId="20DE089A" w14:textId="77777777" w:rsidTr="6E5A1C8C">
        <w:trPr>
          <w:trHeight w:val="300"/>
        </w:trPr>
        <w:tc>
          <w:tcPr>
            <w:tcW w:w="290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5D11115" w14:textId="77777777" w:rsidR="0014309B" w:rsidRPr="00FF009C" w:rsidRDefault="0014309B" w:rsidP="002467B1">
            <w:pPr>
              <w:spacing w:before="0" w:after="0"/>
              <w:jc w:val="left"/>
              <w:rPr>
                <w:rFonts w:eastAsia="Times New Roman"/>
                <w:noProof/>
                <w:sz w:val="18"/>
                <w:szCs w:val="18"/>
              </w:rPr>
            </w:pPr>
            <w:r w:rsidRPr="00FF009C">
              <w:rPr>
                <w:noProof/>
                <w:sz w:val="18"/>
              </w:rPr>
              <w:t>Oddelegowani eksperci krajowi</w:t>
            </w:r>
          </w:p>
        </w:tc>
        <w:tc>
          <w:tcPr>
            <w:tcW w:w="1300" w:type="dxa"/>
            <w:tcBorders>
              <w:top w:val="nil"/>
              <w:left w:val="nil"/>
              <w:bottom w:val="single" w:sz="4" w:space="0" w:color="auto"/>
              <w:right w:val="single" w:sz="4" w:space="0" w:color="auto"/>
            </w:tcBorders>
            <w:shd w:val="clear" w:color="auto" w:fill="auto"/>
            <w:noWrap/>
            <w:vAlign w:val="center"/>
            <w:hideMark/>
          </w:tcPr>
          <w:p w14:paraId="108918FD" w14:textId="77777777" w:rsidR="0014309B" w:rsidRPr="00FF009C" w:rsidRDefault="0014309B" w:rsidP="002467B1">
            <w:pPr>
              <w:spacing w:before="0" w:after="0"/>
              <w:jc w:val="right"/>
              <w:rPr>
                <w:rFonts w:eastAsia="Times New Roman"/>
                <w:noProof/>
                <w:sz w:val="20"/>
                <w:szCs w:val="20"/>
              </w:rPr>
            </w:pPr>
            <w:r w:rsidRPr="00FF009C">
              <w:rPr>
                <w:noProof/>
                <w:sz w:val="20"/>
              </w:rPr>
              <w:t>11</w:t>
            </w:r>
          </w:p>
        </w:tc>
        <w:tc>
          <w:tcPr>
            <w:tcW w:w="1300" w:type="dxa"/>
            <w:tcBorders>
              <w:top w:val="nil"/>
              <w:left w:val="nil"/>
              <w:bottom w:val="single" w:sz="4" w:space="0" w:color="auto"/>
              <w:right w:val="single" w:sz="4" w:space="0" w:color="auto"/>
            </w:tcBorders>
            <w:shd w:val="clear" w:color="auto" w:fill="auto"/>
            <w:noWrap/>
            <w:vAlign w:val="center"/>
            <w:hideMark/>
          </w:tcPr>
          <w:p w14:paraId="76906AE3" w14:textId="77777777" w:rsidR="0014309B" w:rsidRPr="00FF009C" w:rsidRDefault="0014309B" w:rsidP="002467B1">
            <w:pPr>
              <w:spacing w:before="0" w:after="0"/>
              <w:jc w:val="right"/>
              <w:rPr>
                <w:rFonts w:eastAsia="Times New Roman"/>
                <w:noProof/>
                <w:sz w:val="20"/>
                <w:szCs w:val="20"/>
              </w:rPr>
            </w:pPr>
            <w:r w:rsidRPr="00FF009C">
              <w:rPr>
                <w:noProof/>
                <w:sz w:val="20"/>
              </w:rPr>
              <w:t>17</w:t>
            </w:r>
          </w:p>
        </w:tc>
        <w:tc>
          <w:tcPr>
            <w:tcW w:w="1300" w:type="dxa"/>
            <w:tcBorders>
              <w:top w:val="nil"/>
              <w:left w:val="nil"/>
              <w:bottom w:val="single" w:sz="4" w:space="0" w:color="auto"/>
              <w:right w:val="single" w:sz="4" w:space="0" w:color="auto"/>
            </w:tcBorders>
            <w:shd w:val="clear" w:color="auto" w:fill="auto"/>
            <w:noWrap/>
            <w:vAlign w:val="center"/>
            <w:hideMark/>
          </w:tcPr>
          <w:p w14:paraId="1D618386" w14:textId="77777777" w:rsidR="0014309B" w:rsidRPr="00FF009C" w:rsidRDefault="0014309B" w:rsidP="002467B1">
            <w:pPr>
              <w:spacing w:before="0" w:after="0"/>
              <w:jc w:val="right"/>
              <w:rPr>
                <w:rFonts w:eastAsia="Times New Roman"/>
                <w:noProof/>
                <w:sz w:val="20"/>
                <w:szCs w:val="20"/>
              </w:rPr>
            </w:pPr>
            <w:r w:rsidRPr="00FF009C">
              <w:rPr>
                <w:noProof/>
                <w:sz w:val="20"/>
              </w:rPr>
              <w:t>20</w:t>
            </w:r>
          </w:p>
        </w:tc>
        <w:tc>
          <w:tcPr>
            <w:tcW w:w="1180" w:type="dxa"/>
            <w:tcBorders>
              <w:top w:val="nil"/>
              <w:left w:val="nil"/>
              <w:bottom w:val="single" w:sz="4" w:space="0" w:color="auto"/>
              <w:right w:val="single" w:sz="4" w:space="0" w:color="auto"/>
            </w:tcBorders>
            <w:shd w:val="clear" w:color="auto" w:fill="auto"/>
            <w:noWrap/>
            <w:vAlign w:val="center"/>
            <w:hideMark/>
          </w:tcPr>
          <w:p w14:paraId="40FF654D" w14:textId="77777777" w:rsidR="0014309B" w:rsidRPr="00FF009C" w:rsidRDefault="0014309B" w:rsidP="002467B1">
            <w:pPr>
              <w:spacing w:before="0" w:after="0"/>
              <w:jc w:val="right"/>
              <w:rPr>
                <w:rFonts w:eastAsia="Times New Roman"/>
                <w:b/>
                <w:bCs/>
                <w:noProof/>
                <w:sz w:val="20"/>
                <w:szCs w:val="20"/>
              </w:rPr>
            </w:pPr>
            <w:r w:rsidRPr="00FF009C">
              <w:rPr>
                <w:b/>
                <w:noProof/>
                <w:sz w:val="20"/>
              </w:rPr>
              <w:t>20</w:t>
            </w:r>
          </w:p>
        </w:tc>
      </w:tr>
      <w:tr w:rsidR="0014309B" w:rsidRPr="00FF009C" w14:paraId="48E7D46F" w14:textId="77777777" w:rsidTr="00977077">
        <w:trPr>
          <w:trHeight w:val="300"/>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00FCB652" w14:textId="77777777" w:rsidR="0014309B" w:rsidRPr="00FF009C" w:rsidRDefault="0014309B" w:rsidP="002467B1">
            <w:pPr>
              <w:spacing w:before="0" w:after="0"/>
              <w:jc w:val="center"/>
              <w:rPr>
                <w:rFonts w:eastAsia="Times New Roman"/>
                <w:b/>
                <w:bCs/>
                <w:noProof/>
                <w:sz w:val="20"/>
                <w:szCs w:val="20"/>
              </w:rPr>
            </w:pPr>
            <w:r w:rsidRPr="00FF009C">
              <w:rPr>
                <w:b/>
                <w:noProof/>
                <w:sz w:val="20"/>
              </w:rPr>
              <w:t>OGÓŁEM</w:t>
            </w:r>
          </w:p>
        </w:tc>
        <w:tc>
          <w:tcPr>
            <w:tcW w:w="1300" w:type="dxa"/>
            <w:tcBorders>
              <w:top w:val="nil"/>
              <w:left w:val="nil"/>
              <w:bottom w:val="single" w:sz="4" w:space="0" w:color="auto"/>
              <w:right w:val="single" w:sz="4" w:space="0" w:color="auto"/>
            </w:tcBorders>
            <w:shd w:val="clear" w:color="auto" w:fill="auto"/>
            <w:noWrap/>
            <w:vAlign w:val="center"/>
            <w:hideMark/>
          </w:tcPr>
          <w:p w14:paraId="79EB0801" w14:textId="77777777" w:rsidR="0014309B" w:rsidRPr="00FF009C" w:rsidRDefault="00137DF1" w:rsidP="002467B1">
            <w:pPr>
              <w:spacing w:before="0" w:after="0"/>
              <w:jc w:val="right"/>
              <w:rPr>
                <w:rFonts w:eastAsia="Times New Roman"/>
                <w:b/>
                <w:bCs/>
                <w:noProof/>
                <w:sz w:val="20"/>
                <w:szCs w:val="20"/>
              </w:rPr>
            </w:pPr>
            <w:r w:rsidRPr="00FF009C">
              <w:rPr>
                <w:b/>
                <w:noProof/>
                <w:sz w:val="20"/>
              </w:rPr>
              <w:t>19</w:t>
            </w:r>
          </w:p>
        </w:tc>
        <w:tc>
          <w:tcPr>
            <w:tcW w:w="1300" w:type="dxa"/>
            <w:tcBorders>
              <w:top w:val="nil"/>
              <w:left w:val="nil"/>
              <w:bottom w:val="single" w:sz="4" w:space="0" w:color="auto"/>
              <w:right w:val="single" w:sz="4" w:space="0" w:color="auto"/>
            </w:tcBorders>
            <w:shd w:val="clear" w:color="auto" w:fill="auto"/>
            <w:noWrap/>
            <w:vAlign w:val="center"/>
            <w:hideMark/>
          </w:tcPr>
          <w:p w14:paraId="489F129D" w14:textId="77777777" w:rsidR="0014309B" w:rsidRPr="00FF009C" w:rsidRDefault="00137DF1" w:rsidP="002467B1">
            <w:pPr>
              <w:spacing w:before="0" w:after="0"/>
              <w:jc w:val="right"/>
              <w:rPr>
                <w:rFonts w:eastAsia="Times New Roman"/>
                <w:b/>
                <w:bCs/>
                <w:noProof/>
                <w:sz w:val="20"/>
                <w:szCs w:val="20"/>
              </w:rPr>
            </w:pPr>
            <w:r w:rsidRPr="00FF009C">
              <w:rPr>
                <w:b/>
                <w:noProof/>
                <w:sz w:val="20"/>
              </w:rPr>
              <w:t>38</w:t>
            </w:r>
          </w:p>
        </w:tc>
        <w:tc>
          <w:tcPr>
            <w:tcW w:w="1300" w:type="dxa"/>
            <w:tcBorders>
              <w:top w:val="nil"/>
              <w:left w:val="nil"/>
              <w:bottom w:val="single" w:sz="4" w:space="0" w:color="auto"/>
              <w:right w:val="single" w:sz="4" w:space="0" w:color="auto"/>
            </w:tcBorders>
            <w:shd w:val="clear" w:color="auto" w:fill="auto"/>
            <w:noWrap/>
            <w:vAlign w:val="center"/>
            <w:hideMark/>
          </w:tcPr>
          <w:p w14:paraId="1999E6FB" w14:textId="77777777" w:rsidR="0014309B" w:rsidRPr="00FF009C" w:rsidRDefault="00137DF1" w:rsidP="002467B1">
            <w:pPr>
              <w:spacing w:before="0" w:after="0"/>
              <w:jc w:val="right"/>
              <w:rPr>
                <w:rFonts w:eastAsia="Times New Roman"/>
                <w:b/>
                <w:bCs/>
                <w:noProof/>
                <w:sz w:val="20"/>
                <w:szCs w:val="20"/>
              </w:rPr>
            </w:pPr>
            <w:r w:rsidRPr="00FF009C">
              <w:rPr>
                <w:b/>
                <w:noProof/>
                <w:sz w:val="20"/>
              </w:rPr>
              <w:t>50</w:t>
            </w:r>
          </w:p>
        </w:tc>
        <w:tc>
          <w:tcPr>
            <w:tcW w:w="1180" w:type="dxa"/>
            <w:tcBorders>
              <w:top w:val="nil"/>
              <w:left w:val="nil"/>
              <w:bottom w:val="single" w:sz="4" w:space="0" w:color="auto"/>
              <w:right w:val="single" w:sz="4" w:space="0" w:color="auto"/>
            </w:tcBorders>
            <w:shd w:val="clear" w:color="auto" w:fill="auto"/>
            <w:noWrap/>
            <w:vAlign w:val="center"/>
            <w:hideMark/>
          </w:tcPr>
          <w:p w14:paraId="403EEBC6" w14:textId="77777777" w:rsidR="0014309B" w:rsidRPr="00FF009C" w:rsidRDefault="00137DF1" w:rsidP="002467B1">
            <w:pPr>
              <w:spacing w:before="0" w:after="0"/>
              <w:jc w:val="right"/>
              <w:rPr>
                <w:rFonts w:eastAsia="Times New Roman"/>
                <w:b/>
                <w:bCs/>
                <w:noProof/>
                <w:sz w:val="20"/>
                <w:szCs w:val="20"/>
              </w:rPr>
            </w:pPr>
            <w:r w:rsidRPr="00FF009C">
              <w:rPr>
                <w:b/>
                <w:noProof/>
                <w:sz w:val="20"/>
              </w:rPr>
              <w:t>50</w:t>
            </w:r>
          </w:p>
        </w:tc>
      </w:tr>
    </w:tbl>
    <w:p w14:paraId="00CD876F" w14:textId="77777777" w:rsidR="0014309B" w:rsidRPr="00FF009C" w:rsidRDefault="0014309B" w:rsidP="0014309B">
      <w:pPr>
        <w:rPr>
          <w:noProof/>
          <w:u w:val="single"/>
        </w:rPr>
      </w:pPr>
    </w:p>
    <w:p w14:paraId="67D17062" w14:textId="77777777" w:rsidR="0014309B" w:rsidRPr="00FF009C" w:rsidRDefault="0014309B" w:rsidP="0014309B">
      <w:pPr>
        <w:rPr>
          <w:noProof/>
        </w:rPr>
      </w:pPr>
    </w:p>
    <w:p w14:paraId="68D14F3E" w14:textId="77777777" w:rsidR="0014309B" w:rsidRPr="00FF009C" w:rsidRDefault="0014309B" w:rsidP="0014309B">
      <w:pPr>
        <w:rPr>
          <w:noProof/>
        </w:rPr>
      </w:pPr>
      <w:r w:rsidRPr="00FF009C">
        <w:rPr>
          <w:noProof/>
        </w:rPr>
        <w:t>Szczegółowe informacje na temat zwiększenia liczby pracowników</w:t>
      </w:r>
    </w:p>
    <w:p w14:paraId="40D9FB8E" w14:textId="77777777" w:rsidR="0014309B" w:rsidRPr="00FF009C" w:rsidRDefault="0014309B" w:rsidP="0014309B">
      <w:pPr>
        <w:rPr>
          <w:noProof/>
        </w:rPr>
      </w:pPr>
    </w:p>
    <w:tbl>
      <w:tblPr>
        <w:tblStyle w:val="TableGrid"/>
        <w:tblW w:w="10037" w:type="dxa"/>
        <w:tblLook w:val="04A0" w:firstRow="1" w:lastRow="0" w:firstColumn="1" w:lastColumn="0" w:noHBand="0" w:noVBand="1"/>
      </w:tblPr>
      <w:tblGrid>
        <w:gridCol w:w="2376"/>
        <w:gridCol w:w="4314"/>
        <w:gridCol w:w="3347"/>
      </w:tblGrid>
      <w:tr w:rsidR="0014309B" w:rsidRPr="00FF009C" w14:paraId="0B69E3DA" w14:textId="77777777" w:rsidTr="6E5A1C8C">
        <w:trPr>
          <w:trHeight w:val="563"/>
        </w:trPr>
        <w:tc>
          <w:tcPr>
            <w:tcW w:w="2376" w:type="dxa"/>
            <w:shd w:val="clear" w:color="auto" w:fill="A6A6A6" w:themeFill="background1" w:themeFillShade="A6"/>
          </w:tcPr>
          <w:p w14:paraId="05943DFF" w14:textId="77777777" w:rsidR="0014309B" w:rsidRPr="00FF009C" w:rsidRDefault="0014309B" w:rsidP="002467B1">
            <w:pPr>
              <w:rPr>
                <w:noProof/>
              </w:rPr>
            </w:pPr>
            <w:r w:rsidRPr="00FF009C">
              <w:rPr>
                <w:noProof/>
              </w:rPr>
              <w:t>Cel szczegółowy</w:t>
            </w:r>
          </w:p>
        </w:tc>
        <w:tc>
          <w:tcPr>
            <w:tcW w:w="4314" w:type="dxa"/>
            <w:shd w:val="clear" w:color="auto" w:fill="A6A6A6" w:themeFill="background1" w:themeFillShade="A6"/>
          </w:tcPr>
          <w:p w14:paraId="231B1716" w14:textId="77777777" w:rsidR="0014309B" w:rsidRPr="00FF009C" w:rsidRDefault="0014309B" w:rsidP="002467B1">
            <w:pPr>
              <w:rPr>
                <w:noProof/>
              </w:rPr>
            </w:pPr>
            <w:r w:rsidRPr="00FF009C">
              <w:rPr>
                <w:noProof/>
              </w:rPr>
              <w:t>Pracownicy dodatkowi</w:t>
            </w:r>
          </w:p>
        </w:tc>
        <w:tc>
          <w:tcPr>
            <w:tcW w:w="3347" w:type="dxa"/>
            <w:shd w:val="clear" w:color="auto" w:fill="A6A6A6" w:themeFill="background1" w:themeFillShade="A6"/>
          </w:tcPr>
          <w:p w14:paraId="61516A5A" w14:textId="2D7F314F" w:rsidR="0014309B" w:rsidRPr="00FF009C" w:rsidRDefault="0014309B" w:rsidP="002467B1">
            <w:pPr>
              <w:rPr>
                <w:noProof/>
              </w:rPr>
            </w:pPr>
            <w:r w:rsidRPr="00FF009C">
              <w:rPr>
                <w:noProof/>
              </w:rPr>
              <w:t>Przydział</w:t>
            </w:r>
            <w:r w:rsidR="00FF009C" w:rsidRPr="00FF009C">
              <w:rPr>
                <w:noProof/>
              </w:rPr>
              <w:t xml:space="preserve"> w</w:t>
            </w:r>
            <w:r w:rsidR="00FF009C">
              <w:rPr>
                <w:noProof/>
              </w:rPr>
              <w:t> </w:t>
            </w:r>
            <w:r w:rsidR="00FF009C" w:rsidRPr="00FF009C">
              <w:rPr>
                <w:noProof/>
              </w:rPr>
              <w:t>Eur</w:t>
            </w:r>
            <w:r w:rsidRPr="00FF009C">
              <w:rPr>
                <w:noProof/>
              </w:rPr>
              <w:t>opolu</w:t>
            </w:r>
          </w:p>
        </w:tc>
      </w:tr>
      <w:tr w:rsidR="0014309B" w:rsidRPr="00FF009C" w14:paraId="6FF38A41" w14:textId="77777777" w:rsidTr="6E5A1C8C">
        <w:trPr>
          <w:trHeight w:val="552"/>
        </w:trPr>
        <w:tc>
          <w:tcPr>
            <w:tcW w:w="2376" w:type="dxa"/>
          </w:tcPr>
          <w:p w14:paraId="7856DDE9" w14:textId="48378A14" w:rsidR="0014309B" w:rsidRPr="00FF009C" w:rsidRDefault="0014309B" w:rsidP="002467B1">
            <w:pPr>
              <w:rPr>
                <w:noProof/>
              </w:rPr>
            </w:pPr>
            <w:r w:rsidRPr="00FF009C">
              <w:rPr>
                <w:noProof/>
              </w:rPr>
              <w:t>Cel szczegółowy nr</w:t>
            </w:r>
            <w:r w:rsidR="00FF009C" w:rsidRPr="00FF009C">
              <w:rPr>
                <w:noProof/>
              </w:rPr>
              <w:t> </w:t>
            </w:r>
            <w:r w:rsidRPr="00FF009C">
              <w:rPr>
                <w:noProof/>
              </w:rPr>
              <w:t>1</w:t>
            </w:r>
          </w:p>
        </w:tc>
        <w:tc>
          <w:tcPr>
            <w:tcW w:w="4314" w:type="dxa"/>
          </w:tcPr>
          <w:p w14:paraId="378C2AEE" w14:textId="13962348" w:rsidR="0014309B" w:rsidRPr="00FF009C" w:rsidRDefault="0014309B" w:rsidP="002467B1">
            <w:pPr>
              <w:rPr>
                <w:noProof/>
              </w:rPr>
            </w:pPr>
            <w:r w:rsidRPr="00FF009C">
              <w:rPr>
                <w:noProof/>
              </w:rPr>
              <w:t>Dodatkowi pracownicy niezbędni do wsparcia Europejskiego Centrum Zwalczania Przemytu Migrantów oraz do zwiększenia liczby objętych wsparciem Europolu operacyjnych grup zadaniowych</w:t>
            </w:r>
            <w:r w:rsidR="00FF009C" w:rsidRPr="00FF009C">
              <w:rPr>
                <w:noProof/>
              </w:rPr>
              <w:t xml:space="preserve"> i</w:t>
            </w:r>
            <w:r w:rsidR="00FF009C">
              <w:rPr>
                <w:noProof/>
              </w:rPr>
              <w:t> </w:t>
            </w:r>
            <w:r w:rsidR="00FF009C" w:rsidRPr="00FF009C">
              <w:rPr>
                <w:noProof/>
              </w:rPr>
              <w:t>inn</w:t>
            </w:r>
            <w:r w:rsidRPr="00FF009C">
              <w:rPr>
                <w:noProof/>
              </w:rPr>
              <w:t>ych postępowań przygotowawczych dotyczących zorganizowanego przemytu migrantów</w:t>
            </w:r>
            <w:r w:rsidR="00FF009C" w:rsidRPr="00FF009C">
              <w:rPr>
                <w:noProof/>
              </w:rPr>
              <w:t xml:space="preserve"> i</w:t>
            </w:r>
            <w:r w:rsidR="00FF009C">
              <w:rPr>
                <w:noProof/>
              </w:rPr>
              <w:t> </w:t>
            </w:r>
            <w:r w:rsidR="00FF009C" w:rsidRPr="00FF009C">
              <w:rPr>
                <w:noProof/>
              </w:rPr>
              <w:t>pow</w:t>
            </w:r>
            <w:r w:rsidRPr="00FF009C">
              <w:rPr>
                <w:noProof/>
              </w:rPr>
              <w:t>iązanych przestępstw, uwzględnienia internetowego wymiaru postępowań przygotowawczych oraz zapewnienia możliwości udzielania wsparcia technicznego</w:t>
            </w:r>
            <w:r w:rsidR="00FF009C" w:rsidRPr="00FF009C">
              <w:rPr>
                <w:noProof/>
              </w:rPr>
              <w:t xml:space="preserve"> i</w:t>
            </w:r>
            <w:r w:rsidR="00FF009C">
              <w:rPr>
                <w:noProof/>
              </w:rPr>
              <w:t> </w:t>
            </w:r>
            <w:r w:rsidR="00FF009C" w:rsidRPr="00FF009C">
              <w:rPr>
                <w:noProof/>
              </w:rPr>
              <w:t>kry</w:t>
            </w:r>
            <w:r w:rsidRPr="00FF009C">
              <w:rPr>
                <w:noProof/>
              </w:rPr>
              <w:t>minalistycznego dzięki zagwarantowaniu ekstrakcji</w:t>
            </w:r>
            <w:r w:rsidR="00FF009C" w:rsidRPr="00FF009C">
              <w:rPr>
                <w:noProof/>
              </w:rPr>
              <w:t xml:space="preserve"> i</w:t>
            </w:r>
            <w:r w:rsidR="00FF009C">
              <w:rPr>
                <w:noProof/>
              </w:rPr>
              <w:t> </w:t>
            </w:r>
            <w:r w:rsidR="00FF009C" w:rsidRPr="00FF009C">
              <w:rPr>
                <w:noProof/>
              </w:rPr>
              <w:t>prz</w:t>
            </w:r>
            <w:r w:rsidRPr="00FF009C">
              <w:rPr>
                <w:noProof/>
              </w:rPr>
              <w:t>etwarzania dużych</w:t>
            </w:r>
            <w:r w:rsidR="00FF009C" w:rsidRPr="00FF009C">
              <w:rPr>
                <w:noProof/>
              </w:rPr>
              <w:t xml:space="preserve"> i</w:t>
            </w:r>
            <w:r w:rsidR="00FF009C">
              <w:rPr>
                <w:noProof/>
              </w:rPr>
              <w:t> </w:t>
            </w:r>
            <w:r w:rsidR="00FF009C" w:rsidRPr="00FF009C">
              <w:rPr>
                <w:noProof/>
              </w:rPr>
              <w:t>zło</w:t>
            </w:r>
            <w:r w:rsidRPr="00FF009C">
              <w:rPr>
                <w:noProof/>
              </w:rPr>
              <w:t>żonych zbiorów danych otrzymywanych od państw członkowskich</w:t>
            </w:r>
            <w:r w:rsidR="00FF009C" w:rsidRPr="00FF009C">
              <w:rPr>
                <w:noProof/>
              </w:rPr>
              <w:t xml:space="preserve"> i</w:t>
            </w:r>
            <w:r w:rsidR="00FF009C">
              <w:rPr>
                <w:noProof/>
              </w:rPr>
              <w:t> </w:t>
            </w:r>
            <w:r w:rsidR="00FF009C" w:rsidRPr="00FF009C">
              <w:rPr>
                <w:noProof/>
              </w:rPr>
              <w:t>pań</w:t>
            </w:r>
            <w:r w:rsidRPr="00FF009C">
              <w:rPr>
                <w:noProof/>
              </w:rPr>
              <w:t>stw trzecich.</w:t>
            </w:r>
          </w:p>
          <w:p w14:paraId="1757CCE5" w14:textId="77777777" w:rsidR="0014309B" w:rsidRPr="00FF009C" w:rsidRDefault="0014309B" w:rsidP="002467B1">
            <w:pPr>
              <w:rPr>
                <w:noProof/>
              </w:rPr>
            </w:pPr>
            <w:r w:rsidRPr="00FF009C">
              <w:rPr>
                <w:noProof/>
              </w:rPr>
              <w:t>Szacowane zapotrzebowanie na EPC – dodatkowe EPC do zatrudnienia rocznie (nieskumulowane):</w:t>
            </w:r>
          </w:p>
          <w:p w14:paraId="1E5C3E44" w14:textId="64E4EF4A" w:rsidR="0014309B" w:rsidRPr="00FF009C" w:rsidRDefault="0014309B" w:rsidP="002467B1">
            <w:pPr>
              <w:rPr>
                <w:noProof/>
              </w:rPr>
            </w:pPr>
            <w:r w:rsidRPr="00FF009C">
              <w:rPr>
                <w:noProof/>
              </w:rPr>
              <w:t>Specjaliści ds. postępowań przygotowawczych</w:t>
            </w:r>
            <w:r w:rsidR="00FF009C" w:rsidRPr="00FF009C">
              <w:rPr>
                <w:noProof/>
              </w:rPr>
              <w:t xml:space="preserve"> i</w:t>
            </w:r>
            <w:r w:rsidR="00FF009C">
              <w:rPr>
                <w:noProof/>
              </w:rPr>
              <w:t> </w:t>
            </w:r>
            <w:r w:rsidR="00FF009C" w:rsidRPr="00FF009C">
              <w:rPr>
                <w:noProof/>
              </w:rPr>
              <w:t>ana</w:t>
            </w:r>
            <w:r w:rsidRPr="00FF009C">
              <w:rPr>
                <w:noProof/>
              </w:rPr>
              <w:t>litycy danych:</w:t>
            </w:r>
          </w:p>
          <w:p w14:paraId="53CD7EB5" w14:textId="77777777" w:rsidR="0014309B" w:rsidRPr="00FF009C" w:rsidRDefault="0014309B" w:rsidP="002467B1">
            <w:pPr>
              <w:rPr>
                <w:noProof/>
              </w:rPr>
            </w:pPr>
            <w:r w:rsidRPr="00FF009C">
              <w:rPr>
                <w:noProof/>
              </w:rPr>
              <w:t xml:space="preserve"> 2025: +3; 2026: +4; 2027: +4</w:t>
            </w:r>
          </w:p>
          <w:p w14:paraId="0D82D4F3" w14:textId="18A85E2D" w:rsidR="0014309B" w:rsidRPr="00FF009C" w:rsidRDefault="0014309B" w:rsidP="002467B1">
            <w:pPr>
              <w:rPr>
                <w:noProof/>
              </w:rPr>
            </w:pPr>
            <w:r w:rsidRPr="00FF009C">
              <w:rPr>
                <w:noProof/>
              </w:rPr>
              <w:t>Specjaliści ds. OSINT/monitorowania mediów:</w:t>
            </w:r>
            <w:r w:rsidR="00FF009C" w:rsidRPr="00FF009C">
              <w:rPr>
                <w:noProof/>
              </w:rPr>
              <w:t xml:space="preserve"> </w:t>
            </w:r>
            <w:r w:rsidRPr="00FF009C">
              <w:rPr>
                <w:noProof/>
              </w:rPr>
              <w:t>2025: +1; 2026: +2; 2027: +2</w:t>
            </w:r>
          </w:p>
          <w:p w14:paraId="6F303708" w14:textId="6A27A693" w:rsidR="0014309B" w:rsidRPr="00FF009C" w:rsidRDefault="0014309B" w:rsidP="002467B1">
            <w:pPr>
              <w:rPr>
                <w:noProof/>
              </w:rPr>
            </w:pPr>
            <w:r w:rsidRPr="00FF009C">
              <w:rPr>
                <w:noProof/>
              </w:rPr>
              <w:t>Specjaliści</w:t>
            </w:r>
            <w:r w:rsidR="00FF009C" w:rsidRPr="00FF009C">
              <w:rPr>
                <w:noProof/>
              </w:rPr>
              <w:t xml:space="preserve"> w</w:t>
            </w:r>
            <w:r w:rsidR="00FF009C">
              <w:rPr>
                <w:noProof/>
              </w:rPr>
              <w:t> </w:t>
            </w:r>
            <w:r w:rsidR="00FF009C" w:rsidRPr="00FF009C">
              <w:rPr>
                <w:noProof/>
              </w:rPr>
              <w:t>dzi</w:t>
            </w:r>
            <w:r w:rsidRPr="00FF009C">
              <w:rPr>
                <w:noProof/>
              </w:rPr>
              <w:t>edzinie kryminalistyki, deszyfrowania</w:t>
            </w:r>
            <w:r w:rsidR="00FF009C" w:rsidRPr="00FF009C">
              <w:rPr>
                <w:noProof/>
              </w:rPr>
              <w:t xml:space="preserve"> i</w:t>
            </w:r>
            <w:r w:rsidR="00FF009C">
              <w:rPr>
                <w:noProof/>
              </w:rPr>
              <w:t> </w:t>
            </w:r>
            <w:r w:rsidR="00FF009C" w:rsidRPr="00FF009C">
              <w:rPr>
                <w:noProof/>
              </w:rPr>
              <w:t>dan</w:t>
            </w:r>
            <w:r w:rsidRPr="00FF009C">
              <w:rPr>
                <w:noProof/>
              </w:rPr>
              <w:t>ych:</w:t>
            </w:r>
          </w:p>
          <w:p w14:paraId="27BC160F" w14:textId="77777777" w:rsidR="0014309B" w:rsidRPr="00FF009C" w:rsidRDefault="0014309B" w:rsidP="002467B1">
            <w:pPr>
              <w:rPr>
                <w:noProof/>
              </w:rPr>
            </w:pPr>
            <w:r w:rsidRPr="00FF009C">
              <w:rPr>
                <w:noProof/>
              </w:rPr>
              <w:t>2025: +1; 2026: +2; 2027: +1</w:t>
            </w:r>
          </w:p>
        </w:tc>
        <w:tc>
          <w:tcPr>
            <w:tcW w:w="3347" w:type="dxa"/>
          </w:tcPr>
          <w:p w14:paraId="75A70381" w14:textId="77777777" w:rsidR="0014309B" w:rsidRPr="00FF009C" w:rsidRDefault="0014309B" w:rsidP="002467B1">
            <w:pPr>
              <w:rPr>
                <w:noProof/>
              </w:rPr>
            </w:pPr>
            <w:r w:rsidRPr="00FF009C">
              <w:rPr>
                <w:noProof/>
              </w:rPr>
              <w:t xml:space="preserve">Dyrekcja ds. Operacji </w:t>
            </w:r>
          </w:p>
          <w:p w14:paraId="233E65B3" w14:textId="77777777" w:rsidR="0014309B" w:rsidRPr="00FF009C" w:rsidRDefault="0014309B" w:rsidP="002467B1">
            <w:pPr>
              <w:rPr>
                <w:noProof/>
              </w:rPr>
            </w:pPr>
          </w:p>
          <w:p w14:paraId="2BD044FE" w14:textId="77777777" w:rsidR="0014309B" w:rsidRPr="00FF009C" w:rsidRDefault="0014309B" w:rsidP="002467B1">
            <w:pPr>
              <w:rPr>
                <w:noProof/>
              </w:rPr>
            </w:pPr>
          </w:p>
        </w:tc>
      </w:tr>
      <w:tr w:rsidR="0014309B" w:rsidRPr="00FF009C" w14:paraId="6D36DBFA" w14:textId="77777777" w:rsidTr="6E5A1C8C">
        <w:trPr>
          <w:trHeight w:val="563"/>
        </w:trPr>
        <w:tc>
          <w:tcPr>
            <w:tcW w:w="2376" w:type="dxa"/>
          </w:tcPr>
          <w:p w14:paraId="6D0BD27A" w14:textId="7643986F" w:rsidR="0014309B" w:rsidRPr="00FF009C" w:rsidRDefault="0014309B" w:rsidP="002467B1">
            <w:pPr>
              <w:rPr>
                <w:noProof/>
              </w:rPr>
            </w:pPr>
            <w:r w:rsidRPr="00FF009C">
              <w:rPr>
                <w:noProof/>
              </w:rPr>
              <w:t>Cel szczegółowy nr</w:t>
            </w:r>
            <w:r w:rsidR="00FF009C" w:rsidRPr="00FF009C">
              <w:rPr>
                <w:noProof/>
              </w:rPr>
              <w:t> </w:t>
            </w:r>
            <w:r w:rsidRPr="00FF009C">
              <w:rPr>
                <w:noProof/>
              </w:rPr>
              <w:t>2</w:t>
            </w:r>
          </w:p>
        </w:tc>
        <w:tc>
          <w:tcPr>
            <w:tcW w:w="4314" w:type="dxa"/>
          </w:tcPr>
          <w:p w14:paraId="79967DB0" w14:textId="7E27AAC1" w:rsidR="0014309B" w:rsidRPr="00FF009C" w:rsidRDefault="0014309B" w:rsidP="002467B1">
            <w:pPr>
              <w:rPr>
                <w:noProof/>
              </w:rPr>
            </w:pPr>
            <w:r w:rsidRPr="00FF009C">
              <w:rPr>
                <w:noProof/>
              </w:rPr>
              <w:t>Dodatkowi pracownicy na potrzeby zapewnienia dostępu do wiedzy fachowej</w:t>
            </w:r>
            <w:r w:rsidR="00FF009C" w:rsidRPr="00FF009C">
              <w:rPr>
                <w:noProof/>
              </w:rPr>
              <w:t xml:space="preserve"> w</w:t>
            </w:r>
            <w:r w:rsidR="00FF009C">
              <w:rPr>
                <w:noProof/>
              </w:rPr>
              <w:t> </w:t>
            </w:r>
            <w:r w:rsidR="00FF009C" w:rsidRPr="00FF009C">
              <w:rPr>
                <w:noProof/>
              </w:rPr>
              <w:t>zak</w:t>
            </w:r>
            <w:r w:rsidRPr="00FF009C">
              <w:rPr>
                <w:noProof/>
              </w:rPr>
              <w:t>resie śledzenia mienia</w:t>
            </w:r>
            <w:r w:rsidR="00FF009C" w:rsidRPr="00FF009C">
              <w:rPr>
                <w:noProof/>
              </w:rPr>
              <w:t xml:space="preserve"> i</w:t>
            </w:r>
            <w:r w:rsidR="00FF009C">
              <w:rPr>
                <w:noProof/>
              </w:rPr>
              <w:t> </w:t>
            </w:r>
            <w:r w:rsidR="00FF009C" w:rsidRPr="00FF009C">
              <w:rPr>
                <w:noProof/>
              </w:rPr>
              <w:t>fin</w:t>
            </w:r>
            <w:r w:rsidRPr="00FF009C">
              <w:rPr>
                <w:noProof/>
              </w:rPr>
              <w:t>ansów oraz powiązanych usług analitycznych</w:t>
            </w:r>
            <w:r w:rsidR="00FF009C" w:rsidRPr="00FF009C">
              <w:rPr>
                <w:noProof/>
              </w:rPr>
              <w:t xml:space="preserve"> w</w:t>
            </w:r>
            <w:r w:rsidR="00FF009C">
              <w:rPr>
                <w:noProof/>
              </w:rPr>
              <w:t> </w:t>
            </w:r>
            <w:r w:rsidR="00FF009C" w:rsidRPr="00FF009C">
              <w:rPr>
                <w:noProof/>
              </w:rPr>
              <w:t>cel</w:t>
            </w:r>
            <w:r w:rsidRPr="00FF009C">
              <w:rPr>
                <w:noProof/>
              </w:rPr>
              <w:t>u wspierania prowadzonych przez państwa członkowskie postępowań przygotowawczych dotyczących przemytu migrantów, handlu ludźmi</w:t>
            </w:r>
            <w:r w:rsidR="00FF009C" w:rsidRPr="00FF009C">
              <w:rPr>
                <w:noProof/>
              </w:rPr>
              <w:t xml:space="preserve"> i</w:t>
            </w:r>
            <w:r w:rsidR="00FF009C">
              <w:rPr>
                <w:noProof/>
              </w:rPr>
              <w:t> </w:t>
            </w:r>
            <w:r w:rsidR="00FF009C" w:rsidRPr="00FF009C">
              <w:rPr>
                <w:noProof/>
              </w:rPr>
              <w:t>pow</w:t>
            </w:r>
            <w:r w:rsidRPr="00FF009C">
              <w:rPr>
                <w:noProof/>
              </w:rPr>
              <w:t>iązanych przestępstw,</w:t>
            </w:r>
            <w:r w:rsidR="00FF009C" w:rsidRPr="00FF009C">
              <w:rPr>
                <w:noProof/>
              </w:rPr>
              <w:t xml:space="preserve"> a</w:t>
            </w:r>
            <w:r w:rsidR="00FF009C">
              <w:rPr>
                <w:noProof/>
              </w:rPr>
              <w:t> </w:t>
            </w:r>
            <w:r w:rsidR="00FF009C" w:rsidRPr="00FF009C">
              <w:rPr>
                <w:noProof/>
              </w:rPr>
              <w:t>tak</w:t>
            </w:r>
            <w:r w:rsidRPr="00FF009C">
              <w:rPr>
                <w:noProof/>
              </w:rPr>
              <w:t>że na potrzeby wsparcia prowadzonych przez państwa członkowskie postępowań przygotowawczych oraz procesu ustalania hierarchii działań strategicznych</w:t>
            </w:r>
            <w:r w:rsidR="00FF009C" w:rsidRPr="00FF009C">
              <w:rPr>
                <w:noProof/>
              </w:rPr>
              <w:t xml:space="preserve"> i</w:t>
            </w:r>
            <w:r w:rsidR="00FF009C">
              <w:rPr>
                <w:noProof/>
              </w:rPr>
              <w:t> </w:t>
            </w:r>
            <w:r w:rsidR="00FF009C" w:rsidRPr="00FF009C">
              <w:rPr>
                <w:noProof/>
              </w:rPr>
              <w:t>ope</w:t>
            </w:r>
            <w:r w:rsidRPr="00FF009C">
              <w:rPr>
                <w:noProof/>
              </w:rPr>
              <w:t>racyjnych, wnoszenia wkładu</w:t>
            </w:r>
            <w:r w:rsidR="00FF009C" w:rsidRPr="00FF009C">
              <w:rPr>
                <w:noProof/>
              </w:rPr>
              <w:t xml:space="preserve"> w</w:t>
            </w:r>
            <w:r w:rsidR="00FF009C">
              <w:rPr>
                <w:noProof/>
              </w:rPr>
              <w:t> </w:t>
            </w:r>
            <w:r w:rsidR="00FF009C" w:rsidRPr="00FF009C">
              <w:rPr>
                <w:noProof/>
              </w:rPr>
              <w:t>zap</w:t>
            </w:r>
            <w:r w:rsidRPr="00FF009C">
              <w:rPr>
                <w:noProof/>
              </w:rPr>
              <w:t>obieganie przestępstwom</w:t>
            </w:r>
            <w:r w:rsidR="00FF009C" w:rsidRPr="00FF009C">
              <w:rPr>
                <w:noProof/>
              </w:rPr>
              <w:t xml:space="preserve"> i</w:t>
            </w:r>
            <w:r w:rsidR="00FF009C">
              <w:rPr>
                <w:noProof/>
              </w:rPr>
              <w:t> </w:t>
            </w:r>
            <w:r w:rsidR="00FF009C" w:rsidRPr="00FF009C">
              <w:rPr>
                <w:noProof/>
              </w:rPr>
              <w:t>mon</w:t>
            </w:r>
            <w:r w:rsidRPr="00FF009C">
              <w:rPr>
                <w:noProof/>
              </w:rPr>
              <w:t>itorowania tendencji</w:t>
            </w:r>
            <w:r w:rsidR="00FF009C" w:rsidRPr="00FF009C">
              <w:rPr>
                <w:noProof/>
              </w:rPr>
              <w:t xml:space="preserve"> w</w:t>
            </w:r>
            <w:r w:rsidR="00FF009C">
              <w:rPr>
                <w:noProof/>
              </w:rPr>
              <w:t> </w:t>
            </w:r>
            <w:r w:rsidR="00FF009C" w:rsidRPr="00FF009C">
              <w:rPr>
                <w:noProof/>
              </w:rPr>
              <w:t>obs</w:t>
            </w:r>
            <w:r w:rsidRPr="00FF009C">
              <w:rPr>
                <w:noProof/>
              </w:rPr>
              <w:t>zarze przestępczości związanej ze zorganizowanym przemytem migrantów</w:t>
            </w:r>
            <w:r w:rsidR="00FF009C" w:rsidRPr="00FF009C">
              <w:rPr>
                <w:noProof/>
              </w:rPr>
              <w:t xml:space="preserve"> i</w:t>
            </w:r>
            <w:r w:rsidR="00FF009C">
              <w:rPr>
                <w:noProof/>
              </w:rPr>
              <w:t> </w:t>
            </w:r>
            <w:r w:rsidR="00FF009C" w:rsidRPr="00FF009C">
              <w:rPr>
                <w:noProof/>
              </w:rPr>
              <w:t>pow</w:t>
            </w:r>
            <w:r w:rsidRPr="00FF009C">
              <w:rPr>
                <w:noProof/>
              </w:rPr>
              <w:t>iązanymi przestępstwami, przez świadczenie usług</w:t>
            </w:r>
            <w:r w:rsidR="00FF009C" w:rsidRPr="00FF009C">
              <w:rPr>
                <w:noProof/>
              </w:rPr>
              <w:t xml:space="preserve"> w</w:t>
            </w:r>
            <w:r w:rsidR="00FF009C">
              <w:rPr>
                <w:noProof/>
              </w:rPr>
              <w:t> </w:t>
            </w:r>
            <w:r w:rsidR="00FF009C" w:rsidRPr="00FF009C">
              <w:rPr>
                <w:noProof/>
              </w:rPr>
              <w:t>zak</w:t>
            </w:r>
            <w:r w:rsidRPr="00FF009C">
              <w:rPr>
                <w:noProof/>
              </w:rPr>
              <w:t>resie analizy strategicznej.</w:t>
            </w:r>
          </w:p>
          <w:p w14:paraId="1D60D462" w14:textId="77777777" w:rsidR="0014309B" w:rsidRPr="00FF009C" w:rsidRDefault="0014309B" w:rsidP="002467B1">
            <w:pPr>
              <w:rPr>
                <w:noProof/>
              </w:rPr>
            </w:pPr>
            <w:r w:rsidRPr="00FF009C">
              <w:rPr>
                <w:noProof/>
              </w:rPr>
              <w:t>Szacowane zapotrzebowanie na EPC – dodatkowe EPC do zatrudnienia rocznie (nieskumulowane):</w:t>
            </w:r>
          </w:p>
          <w:p w14:paraId="26C0686E" w14:textId="1D8F95AC" w:rsidR="0014309B" w:rsidRPr="00FF009C" w:rsidRDefault="0014309B" w:rsidP="002467B1">
            <w:pPr>
              <w:rPr>
                <w:noProof/>
              </w:rPr>
            </w:pPr>
            <w:r w:rsidRPr="00FF009C">
              <w:rPr>
                <w:noProof/>
              </w:rPr>
              <w:t>specjaliści</w:t>
            </w:r>
            <w:r w:rsidR="00FF009C" w:rsidRPr="00FF009C">
              <w:rPr>
                <w:noProof/>
              </w:rPr>
              <w:t xml:space="preserve"> i</w:t>
            </w:r>
            <w:r w:rsidR="00FF009C">
              <w:rPr>
                <w:noProof/>
              </w:rPr>
              <w:t> </w:t>
            </w:r>
            <w:r w:rsidR="00FF009C" w:rsidRPr="00FF009C">
              <w:rPr>
                <w:noProof/>
              </w:rPr>
              <w:t>ana</w:t>
            </w:r>
            <w:r w:rsidRPr="00FF009C">
              <w:rPr>
                <w:noProof/>
              </w:rPr>
              <w:t>litycy</w:t>
            </w:r>
            <w:r w:rsidR="00FF009C" w:rsidRPr="00FF009C">
              <w:rPr>
                <w:noProof/>
              </w:rPr>
              <w:t xml:space="preserve"> w</w:t>
            </w:r>
            <w:r w:rsidR="00FF009C">
              <w:rPr>
                <w:noProof/>
              </w:rPr>
              <w:t> </w:t>
            </w:r>
            <w:r w:rsidR="00FF009C" w:rsidRPr="00FF009C">
              <w:rPr>
                <w:noProof/>
              </w:rPr>
              <w:t>dzi</w:t>
            </w:r>
            <w:r w:rsidRPr="00FF009C">
              <w:rPr>
                <w:noProof/>
              </w:rPr>
              <w:t>edzinie śledzenia mienia</w:t>
            </w:r>
            <w:r w:rsidR="00FF009C" w:rsidRPr="00FF009C">
              <w:rPr>
                <w:noProof/>
              </w:rPr>
              <w:t xml:space="preserve"> i</w:t>
            </w:r>
            <w:r w:rsidR="00FF009C">
              <w:rPr>
                <w:noProof/>
              </w:rPr>
              <w:t> </w:t>
            </w:r>
            <w:r w:rsidR="00FF009C" w:rsidRPr="00FF009C">
              <w:rPr>
                <w:noProof/>
              </w:rPr>
              <w:t>pro</w:t>
            </w:r>
            <w:r w:rsidRPr="00FF009C">
              <w:rPr>
                <w:noProof/>
              </w:rPr>
              <w:t>wadzenia dochodzeń finansowych:</w:t>
            </w:r>
          </w:p>
          <w:p w14:paraId="3E72F99C" w14:textId="77777777" w:rsidR="0014309B" w:rsidRPr="00FF009C" w:rsidRDefault="0014309B" w:rsidP="002467B1">
            <w:pPr>
              <w:rPr>
                <w:noProof/>
              </w:rPr>
            </w:pPr>
            <w:r w:rsidRPr="00FF009C">
              <w:rPr>
                <w:noProof/>
              </w:rPr>
              <w:t xml:space="preserve"> 2025: +1; 2026: +1; 2027: +1</w:t>
            </w:r>
          </w:p>
          <w:p w14:paraId="5BDEB19C" w14:textId="6DDC016C" w:rsidR="0014309B" w:rsidRPr="00FF009C" w:rsidRDefault="0014309B" w:rsidP="002467B1">
            <w:pPr>
              <w:rPr>
                <w:noProof/>
              </w:rPr>
            </w:pPr>
            <w:r w:rsidRPr="00FF009C">
              <w:rPr>
                <w:noProof/>
              </w:rPr>
              <w:t>analitycy strategiczni</w:t>
            </w:r>
            <w:r w:rsidR="00FF009C" w:rsidRPr="00FF009C">
              <w:rPr>
                <w:noProof/>
              </w:rPr>
              <w:t xml:space="preserve"> i</w:t>
            </w:r>
            <w:r w:rsidR="00FF009C">
              <w:rPr>
                <w:noProof/>
              </w:rPr>
              <w:t> </w:t>
            </w:r>
            <w:r w:rsidR="00FF009C" w:rsidRPr="00FF009C">
              <w:rPr>
                <w:noProof/>
              </w:rPr>
              <w:t>spe</w:t>
            </w:r>
            <w:r w:rsidRPr="00FF009C">
              <w:rPr>
                <w:noProof/>
              </w:rPr>
              <w:t>cjaliści ds. danych:</w:t>
            </w:r>
          </w:p>
          <w:p w14:paraId="095082A5" w14:textId="77777777" w:rsidR="0014309B" w:rsidRPr="00FF009C" w:rsidRDefault="0014309B" w:rsidP="002467B1">
            <w:pPr>
              <w:rPr>
                <w:noProof/>
              </w:rPr>
            </w:pPr>
            <w:r w:rsidRPr="00FF009C">
              <w:rPr>
                <w:noProof/>
              </w:rPr>
              <w:t>2025: +1; 2026: +2; 2027: +1</w:t>
            </w:r>
          </w:p>
        </w:tc>
        <w:tc>
          <w:tcPr>
            <w:tcW w:w="3347" w:type="dxa"/>
          </w:tcPr>
          <w:p w14:paraId="70B0A6AA" w14:textId="77777777" w:rsidR="0014309B" w:rsidRPr="00FF009C" w:rsidRDefault="0014309B" w:rsidP="002467B1">
            <w:pPr>
              <w:rPr>
                <w:noProof/>
              </w:rPr>
            </w:pPr>
            <w:r w:rsidRPr="00FF009C">
              <w:rPr>
                <w:noProof/>
              </w:rPr>
              <w:t xml:space="preserve">Dyrekcja ds. Operacji </w:t>
            </w:r>
          </w:p>
          <w:p w14:paraId="43F6C6D6" w14:textId="77777777" w:rsidR="0014309B" w:rsidRPr="00FF009C" w:rsidRDefault="0014309B" w:rsidP="002467B1">
            <w:pPr>
              <w:rPr>
                <w:noProof/>
              </w:rPr>
            </w:pPr>
          </w:p>
        </w:tc>
      </w:tr>
      <w:tr w:rsidR="0014309B" w:rsidRPr="00FF009C" w14:paraId="2C4766CF" w14:textId="77777777" w:rsidTr="6E5A1C8C">
        <w:trPr>
          <w:trHeight w:val="552"/>
        </w:trPr>
        <w:tc>
          <w:tcPr>
            <w:tcW w:w="2376" w:type="dxa"/>
          </w:tcPr>
          <w:p w14:paraId="6CA1F6A9" w14:textId="016CCA8F" w:rsidR="0014309B" w:rsidRPr="00FF009C" w:rsidRDefault="0014309B" w:rsidP="002467B1">
            <w:pPr>
              <w:rPr>
                <w:noProof/>
              </w:rPr>
            </w:pPr>
            <w:r w:rsidRPr="00FF009C">
              <w:rPr>
                <w:noProof/>
              </w:rPr>
              <w:t>Cel szczegółowy nr</w:t>
            </w:r>
            <w:r w:rsidR="00FF009C" w:rsidRPr="00FF009C">
              <w:rPr>
                <w:noProof/>
              </w:rPr>
              <w:t> </w:t>
            </w:r>
            <w:r w:rsidRPr="00FF009C">
              <w:rPr>
                <w:noProof/>
              </w:rPr>
              <w:t>3</w:t>
            </w:r>
          </w:p>
        </w:tc>
        <w:tc>
          <w:tcPr>
            <w:tcW w:w="4314" w:type="dxa"/>
          </w:tcPr>
          <w:p w14:paraId="1C80A084" w14:textId="46899069" w:rsidR="0014309B" w:rsidRPr="00FF009C" w:rsidRDefault="0014309B" w:rsidP="002467B1">
            <w:pPr>
              <w:rPr>
                <w:noProof/>
              </w:rPr>
            </w:pPr>
            <w:r w:rsidRPr="00FF009C">
              <w:rPr>
                <w:noProof/>
              </w:rPr>
              <w:t>Dodatkowi pracownicy na potrzeby zapewniania państwom członkowskim skutecznego wsparcia technicznego umożliwiającego im wykorzystywanie SIENA</w:t>
            </w:r>
            <w:r w:rsidR="00FF009C" w:rsidRPr="00FF009C">
              <w:rPr>
                <w:noProof/>
              </w:rPr>
              <w:t xml:space="preserve"> w</w:t>
            </w:r>
            <w:r w:rsidR="00FF009C">
              <w:rPr>
                <w:noProof/>
              </w:rPr>
              <w:t> </w:t>
            </w:r>
            <w:r w:rsidR="00FF009C" w:rsidRPr="00FF009C">
              <w:rPr>
                <w:noProof/>
              </w:rPr>
              <w:t>cha</w:t>
            </w:r>
            <w:r w:rsidRPr="00FF009C">
              <w:rPr>
                <w:noProof/>
              </w:rPr>
              <w:t>rakterze domyślnego kanału komunikacji</w:t>
            </w:r>
          </w:p>
          <w:p w14:paraId="0D9AA9D2" w14:textId="77777777" w:rsidR="0014309B" w:rsidRPr="00FF009C" w:rsidRDefault="0014309B" w:rsidP="002467B1">
            <w:pPr>
              <w:rPr>
                <w:noProof/>
              </w:rPr>
            </w:pPr>
            <w:r w:rsidRPr="00FF009C">
              <w:rPr>
                <w:noProof/>
              </w:rPr>
              <w:t>Szacowane zapotrzebowanie na EPC – dodatkowe EPC do zatrudnienia rocznie (nieskumulowane):</w:t>
            </w:r>
          </w:p>
          <w:p w14:paraId="017183CE" w14:textId="77777777" w:rsidR="0014309B" w:rsidRPr="00FF009C" w:rsidRDefault="0014309B" w:rsidP="002467B1">
            <w:pPr>
              <w:rPr>
                <w:noProof/>
              </w:rPr>
            </w:pPr>
            <w:r w:rsidRPr="00FF009C">
              <w:rPr>
                <w:noProof/>
              </w:rPr>
              <w:t>2025: 0; 2026: +1; 2027: 0</w:t>
            </w:r>
          </w:p>
          <w:p w14:paraId="7ADA373F" w14:textId="18542D91" w:rsidR="0014309B" w:rsidRPr="00FF009C" w:rsidRDefault="0014309B" w:rsidP="002467B1">
            <w:pPr>
              <w:rPr>
                <w:noProof/>
              </w:rPr>
            </w:pPr>
            <w:r w:rsidRPr="00FF009C">
              <w:rPr>
                <w:noProof/>
              </w:rPr>
              <w:t>dodatkowi pracownicy odpowiedzialni za działania</w:t>
            </w:r>
            <w:r w:rsidR="00FF009C" w:rsidRPr="00FF009C">
              <w:rPr>
                <w:noProof/>
              </w:rPr>
              <w:t xml:space="preserve"> w</w:t>
            </w:r>
            <w:r w:rsidR="00FF009C">
              <w:rPr>
                <w:noProof/>
              </w:rPr>
              <w:t> </w:t>
            </w:r>
            <w:r w:rsidR="00FF009C" w:rsidRPr="00FF009C">
              <w:rPr>
                <w:noProof/>
              </w:rPr>
              <w:t>zak</w:t>
            </w:r>
            <w:r w:rsidRPr="00FF009C">
              <w:rPr>
                <w:noProof/>
              </w:rPr>
              <w:t>resie opracowywania wymogów, architektury, bezpieczeństwa, ochrony danych, rozwoju, zarządzania projektami</w:t>
            </w:r>
            <w:r w:rsidR="00FF009C" w:rsidRPr="00FF009C">
              <w:rPr>
                <w:noProof/>
              </w:rPr>
              <w:t xml:space="preserve"> i</w:t>
            </w:r>
            <w:r w:rsidR="00FF009C">
              <w:rPr>
                <w:noProof/>
              </w:rPr>
              <w:t> </w:t>
            </w:r>
            <w:r w:rsidR="00FF009C" w:rsidRPr="00FF009C">
              <w:rPr>
                <w:noProof/>
              </w:rPr>
              <w:t>utr</w:t>
            </w:r>
            <w:r w:rsidRPr="00FF009C">
              <w:rPr>
                <w:noProof/>
              </w:rPr>
              <w:t>zymania (zarówno funkcjonalnego, jak</w:t>
            </w:r>
            <w:r w:rsidR="00FF009C" w:rsidRPr="00FF009C">
              <w:rPr>
                <w:noProof/>
              </w:rPr>
              <w:t xml:space="preserve"> i</w:t>
            </w:r>
            <w:r w:rsidR="00FF009C">
              <w:rPr>
                <w:noProof/>
              </w:rPr>
              <w:t> </w:t>
            </w:r>
            <w:r w:rsidR="00FF009C" w:rsidRPr="00FF009C">
              <w:rPr>
                <w:noProof/>
              </w:rPr>
              <w:t>inf</w:t>
            </w:r>
            <w:r w:rsidRPr="00FF009C">
              <w:rPr>
                <w:noProof/>
              </w:rPr>
              <w:t>rastrukturalnego) nowych zdolności</w:t>
            </w:r>
            <w:r w:rsidR="00FF009C" w:rsidRPr="00FF009C">
              <w:rPr>
                <w:noProof/>
              </w:rPr>
              <w:t xml:space="preserve"> w</w:t>
            </w:r>
            <w:r w:rsidR="00FF009C">
              <w:rPr>
                <w:noProof/>
              </w:rPr>
              <w:t> </w:t>
            </w:r>
            <w:r w:rsidR="00FF009C" w:rsidRPr="00FF009C">
              <w:rPr>
                <w:noProof/>
              </w:rPr>
              <w:t>dzi</w:t>
            </w:r>
            <w:r w:rsidRPr="00FF009C">
              <w:rPr>
                <w:noProof/>
              </w:rPr>
              <w:t>edzinie biometrii.</w:t>
            </w:r>
          </w:p>
          <w:p w14:paraId="20865BAF" w14:textId="77777777" w:rsidR="0014309B" w:rsidRPr="00FF009C" w:rsidRDefault="0014309B" w:rsidP="002467B1">
            <w:pPr>
              <w:rPr>
                <w:noProof/>
              </w:rPr>
            </w:pPr>
            <w:r w:rsidRPr="00FF009C">
              <w:rPr>
                <w:noProof/>
              </w:rPr>
              <w:t>Szacowane zapotrzebowanie na EPC – dodatkowe EPC do zatrudnienia rocznie (nieskumulowane):</w:t>
            </w:r>
          </w:p>
          <w:p w14:paraId="5D7807E3" w14:textId="77777777" w:rsidR="0014309B" w:rsidRPr="00FF009C" w:rsidRDefault="0014309B" w:rsidP="002467B1">
            <w:pPr>
              <w:rPr>
                <w:noProof/>
              </w:rPr>
            </w:pPr>
            <w:r w:rsidRPr="00FF009C">
              <w:rPr>
                <w:noProof/>
              </w:rPr>
              <w:t>2025: +1; 2026: +1; 2027: 0</w:t>
            </w:r>
          </w:p>
        </w:tc>
        <w:tc>
          <w:tcPr>
            <w:tcW w:w="3347" w:type="dxa"/>
          </w:tcPr>
          <w:p w14:paraId="60D37BF6" w14:textId="77777777" w:rsidR="0014309B" w:rsidRPr="00FF009C" w:rsidRDefault="0014309B" w:rsidP="002467B1">
            <w:pPr>
              <w:rPr>
                <w:noProof/>
              </w:rPr>
            </w:pPr>
            <w:r w:rsidRPr="00FF009C">
              <w:rPr>
                <w:noProof/>
              </w:rPr>
              <w:t>Jednostki związane ze zdolnością</w:t>
            </w:r>
          </w:p>
        </w:tc>
      </w:tr>
      <w:tr w:rsidR="0014309B" w:rsidRPr="00FF009C" w14:paraId="74535236" w14:textId="77777777" w:rsidTr="6E5A1C8C">
        <w:trPr>
          <w:trHeight w:val="563"/>
        </w:trPr>
        <w:tc>
          <w:tcPr>
            <w:tcW w:w="2376" w:type="dxa"/>
          </w:tcPr>
          <w:p w14:paraId="4A3FCFE4" w14:textId="2F48C380" w:rsidR="0014309B" w:rsidRPr="00FF009C" w:rsidRDefault="0014309B" w:rsidP="002467B1">
            <w:pPr>
              <w:rPr>
                <w:noProof/>
              </w:rPr>
            </w:pPr>
            <w:r w:rsidRPr="00FF009C">
              <w:rPr>
                <w:noProof/>
              </w:rPr>
              <w:t>Cel szczegółowy nr</w:t>
            </w:r>
            <w:r w:rsidR="00FF009C" w:rsidRPr="00FF009C">
              <w:rPr>
                <w:noProof/>
              </w:rPr>
              <w:t> </w:t>
            </w:r>
            <w:r w:rsidRPr="00FF009C">
              <w:rPr>
                <w:noProof/>
              </w:rPr>
              <w:t>4</w:t>
            </w:r>
          </w:p>
        </w:tc>
        <w:tc>
          <w:tcPr>
            <w:tcW w:w="4314" w:type="dxa"/>
          </w:tcPr>
          <w:p w14:paraId="0D173C9E" w14:textId="2CACDF42" w:rsidR="0014309B" w:rsidRPr="00FF009C" w:rsidRDefault="0014309B" w:rsidP="002467B1">
            <w:pPr>
              <w:rPr>
                <w:noProof/>
              </w:rPr>
            </w:pPr>
            <w:r w:rsidRPr="00FF009C">
              <w:rPr>
                <w:noProof/>
              </w:rPr>
              <w:t>Dodatkowi pracownicy (oddelegowani eksperci krajowi, których zatrudnienie wiąże się</w:t>
            </w:r>
            <w:r w:rsidR="00FF009C" w:rsidRPr="00FF009C">
              <w:rPr>
                <w:noProof/>
              </w:rPr>
              <w:t xml:space="preserve"> z</w:t>
            </w:r>
            <w:r w:rsidR="00FF009C">
              <w:rPr>
                <w:noProof/>
              </w:rPr>
              <w:t> </w:t>
            </w:r>
            <w:r w:rsidR="00FF009C" w:rsidRPr="00FF009C">
              <w:rPr>
                <w:noProof/>
              </w:rPr>
              <w:t>kon</w:t>
            </w:r>
            <w:r w:rsidRPr="00FF009C">
              <w:rPr>
                <w:noProof/>
              </w:rPr>
              <w:t>iecznością poniesienia kosztów</w:t>
            </w:r>
            <w:r w:rsidR="00FF009C" w:rsidRPr="00FF009C">
              <w:rPr>
                <w:noProof/>
              </w:rPr>
              <w:t xml:space="preserve"> w</w:t>
            </w:r>
            <w:r w:rsidR="00FF009C">
              <w:rPr>
                <w:noProof/>
              </w:rPr>
              <w:t> </w:t>
            </w:r>
            <w:r w:rsidR="00FF009C" w:rsidRPr="00FF009C">
              <w:rPr>
                <w:noProof/>
              </w:rPr>
              <w:t>per</w:t>
            </w:r>
            <w:r w:rsidRPr="00FF009C">
              <w:rPr>
                <w:noProof/>
              </w:rPr>
              <w:t>spektywie krótkoterminowej) na potrzeby wspierania postępowań przygotowawczych prowadzonych przez państwa członkowskie</w:t>
            </w:r>
            <w:r w:rsidR="00FF009C" w:rsidRPr="00FF009C">
              <w:rPr>
                <w:noProof/>
              </w:rPr>
              <w:t xml:space="preserve"> w</w:t>
            </w:r>
            <w:r w:rsidR="00FF009C">
              <w:rPr>
                <w:noProof/>
              </w:rPr>
              <w:t> </w:t>
            </w:r>
            <w:r w:rsidR="00FF009C" w:rsidRPr="00FF009C">
              <w:rPr>
                <w:noProof/>
              </w:rPr>
              <w:t>ram</w:t>
            </w:r>
            <w:r w:rsidRPr="00FF009C">
              <w:rPr>
                <w:noProof/>
              </w:rPr>
              <w:t>ach operacyjnych grup zadaniowych</w:t>
            </w:r>
            <w:r w:rsidR="00FF009C" w:rsidRPr="00FF009C">
              <w:rPr>
                <w:noProof/>
              </w:rPr>
              <w:t xml:space="preserve"> i</w:t>
            </w:r>
            <w:r w:rsidR="00FF009C">
              <w:rPr>
                <w:noProof/>
              </w:rPr>
              <w:t> </w:t>
            </w:r>
            <w:r w:rsidR="00FF009C" w:rsidRPr="00FF009C">
              <w:rPr>
                <w:noProof/>
              </w:rPr>
              <w:t>dot</w:t>
            </w:r>
            <w:r w:rsidRPr="00FF009C">
              <w:rPr>
                <w:noProof/>
              </w:rPr>
              <w:t>yczących</w:t>
            </w:r>
            <w:r w:rsidR="00FF009C" w:rsidRPr="00FF009C">
              <w:rPr>
                <w:noProof/>
              </w:rPr>
              <w:t xml:space="preserve"> w</w:t>
            </w:r>
            <w:r w:rsidR="00FF009C">
              <w:rPr>
                <w:noProof/>
              </w:rPr>
              <w:t> </w:t>
            </w:r>
            <w:r w:rsidR="00FF009C" w:rsidRPr="00FF009C">
              <w:rPr>
                <w:noProof/>
              </w:rPr>
              <w:t>szc</w:t>
            </w:r>
            <w:r w:rsidRPr="00FF009C">
              <w:rPr>
                <w:noProof/>
              </w:rPr>
              <w:t>zególności zorganizowanego przemytu migrantów oraz powiązanych przestępstw</w:t>
            </w:r>
            <w:r w:rsidR="00FF009C" w:rsidRPr="00FF009C">
              <w:rPr>
                <w:noProof/>
              </w:rPr>
              <w:t xml:space="preserve"> z</w:t>
            </w:r>
            <w:r w:rsidR="00FF009C">
              <w:rPr>
                <w:noProof/>
              </w:rPr>
              <w:t> </w:t>
            </w:r>
            <w:r w:rsidR="00FF009C" w:rsidRPr="00FF009C">
              <w:rPr>
                <w:noProof/>
              </w:rPr>
              <w:t>sie</w:t>
            </w:r>
            <w:r w:rsidRPr="00FF009C">
              <w:rPr>
                <w:noProof/>
              </w:rPr>
              <w:t>dziby głównej Europolu</w:t>
            </w:r>
            <w:r w:rsidR="00FF009C" w:rsidRPr="00FF009C">
              <w:rPr>
                <w:noProof/>
              </w:rPr>
              <w:t xml:space="preserve"> i</w:t>
            </w:r>
            <w:r w:rsidR="00FF009C">
              <w:rPr>
                <w:noProof/>
              </w:rPr>
              <w:t> </w:t>
            </w:r>
            <w:r w:rsidR="00FF009C" w:rsidRPr="00FF009C">
              <w:rPr>
                <w:noProof/>
              </w:rPr>
              <w:t>w</w:t>
            </w:r>
            <w:r w:rsidR="00FF009C">
              <w:rPr>
                <w:noProof/>
              </w:rPr>
              <w:t> </w:t>
            </w:r>
            <w:r w:rsidR="00FF009C" w:rsidRPr="00FF009C">
              <w:rPr>
                <w:noProof/>
              </w:rPr>
              <w:t>pań</w:t>
            </w:r>
            <w:r w:rsidRPr="00FF009C">
              <w:rPr>
                <w:noProof/>
              </w:rPr>
              <w:t>stwach pochodzenia</w:t>
            </w:r>
            <w:r w:rsidR="00FF009C" w:rsidRPr="00FF009C">
              <w:rPr>
                <w:noProof/>
              </w:rPr>
              <w:t xml:space="preserve"> i</w:t>
            </w:r>
            <w:r w:rsidR="00FF009C">
              <w:rPr>
                <w:noProof/>
              </w:rPr>
              <w:t> </w:t>
            </w:r>
            <w:r w:rsidR="00FF009C" w:rsidRPr="00FF009C">
              <w:rPr>
                <w:noProof/>
              </w:rPr>
              <w:t>tra</w:t>
            </w:r>
            <w:r w:rsidRPr="00FF009C">
              <w:rPr>
                <w:noProof/>
              </w:rPr>
              <w:t>nzytu oraz</w:t>
            </w:r>
            <w:r w:rsidR="00FF009C" w:rsidRPr="00FF009C">
              <w:rPr>
                <w:noProof/>
              </w:rPr>
              <w:t xml:space="preserve"> w</w:t>
            </w:r>
            <w:r w:rsidR="00FF009C">
              <w:rPr>
                <w:noProof/>
              </w:rPr>
              <w:t> </w:t>
            </w:r>
            <w:r w:rsidR="00FF009C" w:rsidRPr="00FF009C">
              <w:rPr>
                <w:noProof/>
              </w:rPr>
              <w:t>pań</w:t>
            </w:r>
            <w:r w:rsidRPr="00FF009C">
              <w:rPr>
                <w:noProof/>
              </w:rPr>
              <w:t>stwach przyjmujących, uwzględniając zarówno państwa członkowskie, jak</w:t>
            </w:r>
            <w:r w:rsidR="00FF009C" w:rsidRPr="00FF009C">
              <w:rPr>
                <w:noProof/>
              </w:rPr>
              <w:t xml:space="preserve"> i</w:t>
            </w:r>
            <w:r w:rsidR="00FF009C">
              <w:rPr>
                <w:noProof/>
              </w:rPr>
              <w:t> </w:t>
            </w:r>
            <w:r w:rsidR="00FF009C" w:rsidRPr="00FF009C">
              <w:rPr>
                <w:noProof/>
              </w:rPr>
              <w:t>pań</w:t>
            </w:r>
            <w:r w:rsidRPr="00FF009C">
              <w:rPr>
                <w:noProof/>
              </w:rPr>
              <w:t xml:space="preserve">stwa trzecie </w:t>
            </w:r>
          </w:p>
          <w:p w14:paraId="4F7D2442" w14:textId="77777777" w:rsidR="0014309B" w:rsidRPr="00FF009C" w:rsidRDefault="0014309B" w:rsidP="002467B1">
            <w:pPr>
              <w:rPr>
                <w:noProof/>
              </w:rPr>
            </w:pPr>
            <w:r w:rsidRPr="00FF009C">
              <w:rPr>
                <w:noProof/>
              </w:rPr>
              <w:t>Szacowane zapotrzebowanie na EPC – dodatkowe EPC do zatrudnienia rocznie (nieskumulowane):</w:t>
            </w:r>
          </w:p>
          <w:p w14:paraId="0EE4CDEC" w14:textId="77777777" w:rsidR="0014309B" w:rsidRPr="00FF009C" w:rsidRDefault="0014309B" w:rsidP="002467B1">
            <w:pPr>
              <w:rPr>
                <w:noProof/>
              </w:rPr>
            </w:pPr>
            <w:r w:rsidRPr="00FF009C">
              <w:rPr>
                <w:noProof/>
              </w:rPr>
              <w:t>2025: +11; 2026: +6; 2027: +3</w:t>
            </w:r>
          </w:p>
        </w:tc>
        <w:tc>
          <w:tcPr>
            <w:tcW w:w="3347" w:type="dxa"/>
          </w:tcPr>
          <w:p w14:paraId="7ABC9752" w14:textId="77777777" w:rsidR="0014309B" w:rsidRPr="00FF009C" w:rsidRDefault="0014309B" w:rsidP="002467B1">
            <w:pPr>
              <w:rPr>
                <w:noProof/>
              </w:rPr>
            </w:pPr>
            <w:r w:rsidRPr="00FF009C">
              <w:rPr>
                <w:noProof/>
              </w:rPr>
              <w:t xml:space="preserve">Dyrekcja ds. Operacji </w:t>
            </w:r>
          </w:p>
          <w:p w14:paraId="300614A9" w14:textId="77777777" w:rsidR="0014309B" w:rsidRPr="00FF009C" w:rsidRDefault="0014309B" w:rsidP="002467B1">
            <w:pPr>
              <w:rPr>
                <w:noProof/>
              </w:rPr>
            </w:pPr>
          </w:p>
        </w:tc>
      </w:tr>
    </w:tbl>
    <w:p w14:paraId="3B85D203" w14:textId="77777777" w:rsidR="0014309B" w:rsidRPr="00FF009C" w:rsidRDefault="0014309B" w:rsidP="0014309B">
      <w:pPr>
        <w:rPr>
          <w:noProof/>
        </w:rPr>
        <w:sectPr w:rsidR="0014309B" w:rsidRPr="00FF009C" w:rsidSect="004E3534">
          <w:headerReference w:type="default" r:id="rId17"/>
          <w:footerReference w:type="default" r:id="rId18"/>
          <w:headerReference w:type="first" r:id="rId19"/>
          <w:footerReference w:type="first" r:id="rId20"/>
          <w:pgSz w:w="11907" w:h="16839"/>
          <w:pgMar w:top="1134" w:right="1417" w:bottom="1134" w:left="1417" w:header="709" w:footer="709" w:gutter="0"/>
          <w:cols w:space="720"/>
          <w:docGrid w:linePitch="326"/>
        </w:sectPr>
      </w:pPr>
    </w:p>
    <w:p w14:paraId="17D68240" w14:textId="77777777" w:rsidR="0014309B" w:rsidRPr="00FF009C" w:rsidRDefault="0014309B">
      <w:pPr>
        <w:pStyle w:val="ManualHeading4"/>
        <w:rPr>
          <w:noProof/>
        </w:rPr>
      </w:pPr>
      <w:r w:rsidRPr="00FF009C">
        <w:rPr>
          <w:noProof/>
        </w:rPr>
        <w:t>3.2.3.2.</w:t>
      </w:r>
      <w:r w:rsidRPr="00FF009C">
        <w:rPr>
          <w:noProof/>
        </w:rPr>
        <w:tab/>
        <w:t>Szacowane zapotrzebowanie na zasoby ludzkie macierzystej DG</w:t>
      </w:r>
    </w:p>
    <w:p w14:paraId="1B4F9DD4" w14:textId="421FECF7" w:rsidR="0014309B" w:rsidRPr="00FF009C" w:rsidRDefault="0014309B" w:rsidP="002073EE">
      <w:pPr>
        <w:pStyle w:val="ListDash1"/>
        <w:numPr>
          <w:ilvl w:val="0"/>
          <w:numId w:val="19"/>
        </w:numPr>
        <w:rPr>
          <w:noProof/>
        </w:rPr>
      </w:pPr>
      <w:r w:rsidRPr="00FF009C">
        <w:rPr>
          <w:rFonts w:ascii="Wingdings" w:hAnsi="Wingdings"/>
          <w:noProof/>
        </w:rPr>
        <w:t></w:t>
      </w:r>
      <w:r w:rsidRPr="00FF009C">
        <w:rPr>
          <w:noProof/>
        </w:rPr>
        <w:tab/>
        <w:t>Wniosek/inicjatywa nie wiąże się</w:t>
      </w:r>
      <w:r w:rsidR="00FF009C" w:rsidRPr="00FF009C">
        <w:rPr>
          <w:noProof/>
        </w:rPr>
        <w:t xml:space="preserve"> z</w:t>
      </w:r>
      <w:r w:rsidR="00FF009C">
        <w:rPr>
          <w:noProof/>
        </w:rPr>
        <w:t> </w:t>
      </w:r>
      <w:r w:rsidR="00FF009C" w:rsidRPr="00FF009C">
        <w:rPr>
          <w:noProof/>
        </w:rPr>
        <w:t>kon</w:t>
      </w:r>
      <w:r w:rsidRPr="00FF009C">
        <w:rPr>
          <w:noProof/>
        </w:rPr>
        <w:t xml:space="preserve">iecznością wykorzystania zasobów ludzkich. </w:t>
      </w:r>
    </w:p>
    <w:p w14:paraId="586699EB" w14:textId="57B28F18" w:rsidR="0014309B" w:rsidRPr="00FF009C" w:rsidRDefault="0014309B" w:rsidP="002073EE">
      <w:pPr>
        <w:pStyle w:val="ListDash1"/>
        <w:numPr>
          <w:ilvl w:val="0"/>
          <w:numId w:val="19"/>
        </w:numPr>
        <w:rPr>
          <w:noProof/>
        </w:rPr>
      </w:pPr>
      <w:r w:rsidRPr="00FF009C">
        <w:rPr>
          <w:rFonts w:ascii="Wingdings" w:hAnsi="Wingdings"/>
          <w:noProof/>
        </w:rPr>
        <w:t></w:t>
      </w:r>
      <w:r w:rsidRPr="00FF009C">
        <w:rPr>
          <w:noProof/>
        </w:rPr>
        <w:tab/>
        <w:t>Wniosek/inicjatywa wiąże się</w:t>
      </w:r>
      <w:r w:rsidR="00FF009C" w:rsidRPr="00FF009C">
        <w:rPr>
          <w:noProof/>
        </w:rPr>
        <w:t xml:space="preserve"> z</w:t>
      </w:r>
      <w:r w:rsidR="00FF009C">
        <w:rPr>
          <w:noProof/>
        </w:rPr>
        <w:t> </w:t>
      </w:r>
      <w:r w:rsidR="00FF009C" w:rsidRPr="00FF009C">
        <w:rPr>
          <w:noProof/>
        </w:rPr>
        <w:t>kon</w:t>
      </w:r>
      <w:r w:rsidRPr="00FF009C">
        <w:rPr>
          <w:noProof/>
        </w:rPr>
        <w:t>iecznością wykorzystania zasobów ludzkich, jak określono poniżej:</w:t>
      </w:r>
    </w:p>
    <w:p w14:paraId="732BA648" w14:textId="32155C21" w:rsidR="0014309B" w:rsidRPr="00FF009C" w:rsidRDefault="0014309B" w:rsidP="0014309B">
      <w:pPr>
        <w:spacing w:after="60"/>
        <w:jc w:val="right"/>
        <w:rPr>
          <w:i/>
          <w:noProof/>
          <w:sz w:val="20"/>
        </w:rPr>
      </w:pPr>
      <w:r w:rsidRPr="00FF009C">
        <w:rPr>
          <w:i/>
          <w:noProof/>
          <w:sz w:val="20"/>
        </w:rPr>
        <w:t>Wartości szacunkowe należy wyrazić</w:t>
      </w:r>
      <w:r w:rsidR="00FF009C" w:rsidRPr="00FF009C">
        <w:rPr>
          <w:i/>
          <w:noProof/>
          <w:sz w:val="20"/>
        </w:rPr>
        <w:t xml:space="preserve"> w</w:t>
      </w:r>
      <w:r w:rsidR="00FF009C">
        <w:rPr>
          <w:i/>
          <w:noProof/>
          <w:sz w:val="20"/>
        </w:rPr>
        <w:t> </w:t>
      </w:r>
      <w:r w:rsidR="00FF009C" w:rsidRPr="00FF009C">
        <w:rPr>
          <w:i/>
          <w:noProof/>
          <w:sz w:val="20"/>
        </w:rPr>
        <w:t>ekw</w:t>
      </w:r>
      <w:r w:rsidRPr="00FF009C">
        <w:rPr>
          <w:i/>
          <w:noProof/>
          <w:sz w:val="20"/>
        </w:rPr>
        <w:t>iwalentach pełnego czasu pracy (lub</w:t>
      </w:r>
      <w:r w:rsidR="00FF009C" w:rsidRPr="00FF009C">
        <w:rPr>
          <w:i/>
          <w:noProof/>
          <w:sz w:val="20"/>
        </w:rPr>
        <w:t xml:space="preserve"> z</w:t>
      </w:r>
      <w:r w:rsidR="00FF009C">
        <w:rPr>
          <w:i/>
          <w:noProof/>
          <w:sz w:val="20"/>
        </w:rPr>
        <w:t> </w:t>
      </w:r>
      <w:r w:rsidR="00FF009C" w:rsidRPr="00FF009C">
        <w:rPr>
          <w:i/>
          <w:noProof/>
          <w:sz w:val="20"/>
        </w:rPr>
        <w:t>dok</w:t>
      </w:r>
      <w:r w:rsidRPr="00FF009C">
        <w:rPr>
          <w:i/>
          <w:noProof/>
          <w:sz w:val="20"/>
        </w:rPr>
        <w:t>ładnością najwyżej do jednego miejsca po przecinku)</w:t>
      </w:r>
    </w:p>
    <w:tbl>
      <w:tblPr>
        <w:tblW w:w="6780" w:type="dxa"/>
        <w:jc w:val="center"/>
        <w:tblLook w:val="04A0" w:firstRow="1" w:lastRow="0" w:firstColumn="1" w:lastColumn="0" w:noHBand="0" w:noVBand="1"/>
      </w:tblPr>
      <w:tblGrid>
        <w:gridCol w:w="2780"/>
        <w:gridCol w:w="1000"/>
        <w:gridCol w:w="1000"/>
        <w:gridCol w:w="1000"/>
        <w:gridCol w:w="1000"/>
      </w:tblGrid>
      <w:tr w:rsidR="0014309B" w:rsidRPr="00FF009C" w14:paraId="37787523" w14:textId="77777777" w:rsidTr="00977077">
        <w:trPr>
          <w:trHeight w:val="300"/>
          <w:jc w:val="center"/>
        </w:trPr>
        <w:tc>
          <w:tcPr>
            <w:tcW w:w="27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971728" w14:textId="77777777" w:rsidR="0014309B" w:rsidRPr="00FF009C" w:rsidRDefault="0014309B" w:rsidP="002467B1">
            <w:pPr>
              <w:spacing w:before="0" w:after="0"/>
              <w:jc w:val="left"/>
              <w:rPr>
                <w:rFonts w:eastAsia="Times New Roman"/>
                <w:noProof/>
                <w:sz w:val="16"/>
                <w:szCs w:val="16"/>
              </w:rPr>
            </w:pPr>
            <w:r w:rsidRPr="00FF009C">
              <w:rPr>
                <w:noProof/>
                <w:sz w:val="16"/>
              </w:rPr>
              <w:t> </w:t>
            </w:r>
          </w:p>
        </w:tc>
        <w:tc>
          <w:tcPr>
            <w:tcW w:w="100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B60553C" w14:textId="77777777" w:rsidR="0014309B" w:rsidRPr="00FF009C" w:rsidRDefault="0014309B" w:rsidP="002467B1">
            <w:pPr>
              <w:spacing w:before="0" w:after="0"/>
              <w:jc w:val="center"/>
              <w:rPr>
                <w:rFonts w:eastAsia="Times New Roman"/>
                <w:b/>
                <w:bCs/>
                <w:noProof/>
                <w:sz w:val="16"/>
                <w:szCs w:val="16"/>
              </w:rPr>
            </w:pPr>
            <w:r w:rsidRPr="00FF009C">
              <w:rPr>
                <w:b/>
                <w:noProof/>
                <w:sz w:val="16"/>
              </w:rPr>
              <w:t>2024</w:t>
            </w:r>
          </w:p>
        </w:tc>
        <w:tc>
          <w:tcPr>
            <w:tcW w:w="100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B2DACE" w14:textId="77777777" w:rsidR="0014309B" w:rsidRPr="00FF009C" w:rsidRDefault="0014309B" w:rsidP="002467B1">
            <w:pPr>
              <w:spacing w:before="0" w:after="0"/>
              <w:jc w:val="center"/>
              <w:rPr>
                <w:rFonts w:eastAsia="Times New Roman"/>
                <w:b/>
                <w:bCs/>
                <w:noProof/>
                <w:sz w:val="16"/>
                <w:szCs w:val="16"/>
              </w:rPr>
            </w:pPr>
            <w:r w:rsidRPr="00FF009C">
              <w:rPr>
                <w:b/>
                <w:noProof/>
                <w:sz w:val="16"/>
              </w:rPr>
              <w:t>2025</w:t>
            </w:r>
          </w:p>
        </w:tc>
        <w:tc>
          <w:tcPr>
            <w:tcW w:w="100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80DBFE" w14:textId="77777777" w:rsidR="0014309B" w:rsidRPr="00FF009C" w:rsidRDefault="0014309B" w:rsidP="002467B1">
            <w:pPr>
              <w:spacing w:before="0" w:after="0"/>
              <w:jc w:val="center"/>
              <w:rPr>
                <w:rFonts w:eastAsia="Times New Roman"/>
                <w:b/>
                <w:bCs/>
                <w:noProof/>
                <w:sz w:val="16"/>
                <w:szCs w:val="16"/>
              </w:rPr>
            </w:pPr>
            <w:r w:rsidRPr="00FF009C">
              <w:rPr>
                <w:b/>
                <w:noProof/>
                <w:sz w:val="16"/>
              </w:rPr>
              <w:t>2026</w:t>
            </w:r>
          </w:p>
        </w:tc>
        <w:tc>
          <w:tcPr>
            <w:tcW w:w="100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38459DD" w14:textId="77777777" w:rsidR="0014309B" w:rsidRPr="00FF009C" w:rsidRDefault="0014309B" w:rsidP="002467B1">
            <w:pPr>
              <w:spacing w:before="0" w:after="0"/>
              <w:jc w:val="center"/>
              <w:rPr>
                <w:rFonts w:eastAsia="Times New Roman"/>
                <w:b/>
                <w:bCs/>
                <w:noProof/>
                <w:sz w:val="16"/>
                <w:szCs w:val="16"/>
              </w:rPr>
            </w:pPr>
            <w:r w:rsidRPr="00FF009C">
              <w:rPr>
                <w:b/>
                <w:noProof/>
                <w:sz w:val="16"/>
              </w:rPr>
              <w:t>2027</w:t>
            </w:r>
          </w:p>
        </w:tc>
      </w:tr>
      <w:tr w:rsidR="0014309B" w:rsidRPr="00FF009C" w14:paraId="65FD7C7B" w14:textId="77777777" w:rsidTr="00977077">
        <w:trPr>
          <w:trHeight w:val="300"/>
          <w:jc w:val="center"/>
        </w:trPr>
        <w:tc>
          <w:tcPr>
            <w:tcW w:w="67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29150" w14:textId="4AEE53ED" w:rsidR="0014309B" w:rsidRPr="00FF009C" w:rsidRDefault="0014309B" w:rsidP="002467B1">
            <w:pPr>
              <w:spacing w:before="0" w:after="0"/>
              <w:jc w:val="left"/>
              <w:rPr>
                <w:rFonts w:eastAsia="Times New Roman"/>
                <w:b/>
                <w:bCs/>
                <w:noProof/>
                <w:sz w:val="16"/>
                <w:szCs w:val="16"/>
              </w:rPr>
            </w:pPr>
            <w:r w:rsidRPr="00FF009C">
              <w:rPr>
                <w:b/>
                <w:noProof/>
                <w:sz w:val="16"/>
              </w:rPr>
              <w:t>Stanowiska przewidziane</w:t>
            </w:r>
            <w:r w:rsidR="00FF009C" w:rsidRPr="00FF009C">
              <w:rPr>
                <w:b/>
                <w:noProof/>
                <w:sz w:val="16"/>
              </w:rPr>
              <w:t xml:space="preserve"> w</w:t>
            </w:r>
            <w:r w:rsidR="00FF009C">
              <w:rPr>
                <w:b/>
                <w:noProof/>
                <w:sz w:val="16"/>
              </w:rPr>
              <w:t> </w:t>
            </w:r>
            <w:r w:rsidR="00FF009C" w:rsidRPr="00FF009C">
              <w:rPr>
                <w:b/>
                <w:noProof/>
                <w:sz w:val="16"/>
              </w:rPr>
              <w:t>pla</w:t>
            </w:r>
            <w:r w:rsidRPr="00FF009C">
              <w:rPr>
                <w:b/>
                <w:noProof/>
                <w:sz w:val="16"/>
              </w:rPr>
              <w:t>nie zatrudnienia (stanowiska urzędników</w:t>
            </w:r>
            <w:r w:rsidR="00FF009C" w:rsidRPr="00FF009C">
              <w:rPr>
                <w:b/>
                <w:noProof/>
                <w:sz w:val="16"/>
              </w:rPr>
              <w:t xml:space="preserve"> i</w:t>
            </w:r>
            <w:r w:rsidR="00FF009C">
              <w:rPr>
                <w:b/>
                <w:noProof/>
                <w:sz w:val="16"/>
              </w:rPr>
              <w:t> </w:t>
            </w:r>
            <w:r w:rsidR="00FF009C" w:rsidRPr="00FF009C">
              <w:rPr>
                <w:b/>
                <w:noProof/>
                <w:sz w:val="16"/>
              </w:rPr>
              <w:t>pra</w:t>
            </w:r>
            <w:r w:rsidRPr="00FF009C">
              <w:rPr>
                <w:b/>
                <w:noProof/>
                <w:sz w:val="16"/>
              </w:rPr>
              <w:t>cowników zatrudnionych na czas określony)</w:t>
            </w:r>
          </w:p>
        </w:tc>
      </w:tr>
      <w:tr w:rsidR="007502D3" w:rsidRPr="00FF009C" w14:paraId="1EBD4A97" w14:textId="77777777" w:rsidTr="6E5A1C8C">
        <w:trPr>
          <w:trHeight w:val="750"/>
          <w:jc w:val="center"/>
        </w:trPr>
        <w:tc>
          <w:tcPr>
            <w:tcW w:w="27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D7365" w14:textId="2A020279" w:rsidR="0014309B" w:rsidRPr="00FF009C" w:rsidRDefault="0014309B" w:rsidP="002467B1">
            <w:pPr>
              <w:spacing w:before="0" w:after="0"/>
              <w:jc w:val="left"/>
              <w:rPr>
                <w:rFonts w:eastAsia="Times New Roman"/>
                <w:noProof/>
                <w:sz w:val="16"/>
                <w:szCs w:val="16"/>
              </w:rPr>
            </w:pPr>
            <w:r w:rsidRPr="00FF009C">
              <w:rPr>
                <w:noProof/>
                <w:sz w:val="16"/>
              </w:rPr>
              <w:t>20 01 02 01</w:t>
            </w:r>
            <w:r w:rsidR="00FF009C" w:rsidRPr="00FF009C">
              <w:rPr>
                <w:noProof/>
                <w:sz w:val="16"/>
              </w:rPr>
              <w:t xml:space="preserve"> i</w:t>
            </w:r>
            <w:r w:rsidR="00FF009C">
              <w:rPr>
                <w:noProof/>
                <w:sz w:val="16"/>
              </w:rPr>
              <w:t> </w:t>
            </w:r>
            <w:r w:rsidR="00FF009C" w:rsidRPr="00FF009C">
              <w:rPr>
                <w:noProof/>
                <w:sz w:val="16"/>
              </w:rPr>
              <w:t>2</w:t>
            </w:r>
            <w:r w:rsidRPr="00FF009C">
              <w:rPr>
                <w:noProof/>
                <w:sz w:val="16"/>
              </w:rPr>
              <w:t>0 01 02 02 (w centrali</w:t>
            </w:r>
            <w:r w:rsidR="00FF009C" w:rsidRPr="00FF009C">
              <w:rPr>
                <w:noProof/>
                <w:sz w:val="16"/>
              </w:rPr>
              <w:t xml:space="preserve"> i</w:t>
            </w:r>
            <w:r w:rsidR="00FF009C">
              <w:rPr>
                <w:noProof/>
                <w:sz w:val="16"/>
              </w:rPr>
              <w:t> </w:t>
            </w:r>
            <w:r w:rsidR="00FF009C" w:rsidRPr="00FF009C">
              <w:rPr>
                <w:noProof/>
                <w:sz w:val="16"/>
              </w:rPr>
              <w:t>w</w:t>
            </w:r>
            <w:r w:rsidR="00FF009C">
              <w:rPr>
                <w:noProof/>
                <w:sz w:val="16"/>
              </w:rPr>
              <w:t> </w:t>
            </w:r>
            <w:r w:rsidR="00FF009C" w:rsidRPr="00FF009C">
              <w:rPr>
                <w:noProof/>
                <w:sz w:val="16"/>
              </w:rPr>
              <w:t>biu</w:t>
            </w:r>
            <w:r w:rsidRPr="00FF009C">
              <w:rPr>
                <w:noProof/>
                <w:sz w:val="16"/>
              </w:rPr>
              <w:t>rach przedstawicielstw Komisji)</w:t>
            </w:r>
          </w:p>
        </w:tc>
        <w:tc>
          <w:tcPr>
            <w:tcW w:w="1000" w:type="dxa"/>
            <w:tcBorders>
              <w:top w:val="nil"/>
              <w:left w:val="nil"/>
              <w:bottom w:val="single" w:sz="4" w:space="0" w:color="auto"/>
              <w:right w:val="single" w:sz="4" w:space="0" w:color="auto"/>
            </w:tcBorders>
            <w:shd w:val="clear" w:color="auto" w:fill="auto"/>
            <w:vAlign w:val="center"/>
            <w:hideMark/>
          </w:tcPr>
          <w:p w14:paraId="5B60B511" w14:textId="77777777" w:rsidR="0014309B" w:rsidRPr="00FF009C" w:rsidRDefault="0014309B" w:rsidP="002467B1">
            <w:pPr>
              <w:spacing w:before="0" w:after="0"/>
              <w:jc w:val="center"/>
              <w:rPr>
                <w:rFonts w:eastAsia="Times New Roman"/>
                <w:noProof/>
                <w:sz w:val="16"/>
                <w:szCs w:val="16"/>
                <w:lang w:eastAsia="en-IE"/>
              </w:rPr>
            </w:pPr>
          </w:p>
        </w:tc>
        <w:tc>
          <w:tcPr>
            <w:tcW w:w="1000" w:type="dxa"/>
            <w:tcBorders>
              <w:top w:val="nil"/>
              <w:left w:val="nil"/>
              <w:bottom w:val="single" w:sz="4" w:space="0" w:color="auto"/>
              <w:right w:val="single" w:sz="4" w:space="0" w:color="auto"/>
            </w:tcBorders>
            <w:shd w:val="clear" w:color="auto" w:fill="auto"/>
            <w:vAlign w:val="center"/>
            <w:hideMark/>
          </w:tcPr>
          <w:p w14:paraId="280F430A" w14:textId="77777777" w:rsidR="0014309B" w:rsidRPr="00FF009C" w:rsidRDefault="0014309B" w:rsidP="002467B1">
            <w:pPr>
              <w:spacing w:before="0" w:after="0"/>
              <w:jc w:val="center"/>
              <w:rPr>
                <w:rFonts w:eastAsia="Times New Roman"/>
                <w:noProof/>
                <w:sz w:val="16"/>
                <w:szCs w:val="16"/>
              </w:rPr>
            </w:pPr>
            <w:r w:rsidRPr="00FF009C">
              <w:rPr>
                <w:noProof/>
                <w:sz w:val="16"/>
              </w:rPr>
              <w:t>1</w:t>
            </w:r>
          </w:p>
        </w:tc>
        <w:tc>
          <w:tcPr>
            <w:tcW w:w="1000" w:type="dxa"/>
            <w:tcBorders>
              <w:top w:val="nil"/>
              <w:left w:val="nil"/>
              <w:bottom w:val="single" w:sz="4" w:space="0" w:color="auto"/>
              <w:right w:val="single" w:sz="4" w:space="0" w:color="auto"/>
            </w:tcBorders>
            <w:shd w:val="clear" w:color="auto" w:fill="auto"/>
            <w:vAlign w:val="center"/>
            <w:hideMark/>
          </w:tcPr>
          <w:p w14:paraId="6C8BA5C1" w14:textId="77777777" w:rsidR="0014309B" w:rsidRPr="00FF009C" w:rsidRDefault="0014309B" w:rsidP="002467B1">
            <w:pPr>
              <w:spacing w:before="0" w:after="0"/>
              <w:jc w:val="center"/>
              <w:rPr>
                <w:rFonts w:eastAsia="Times New Roman"/>
                <w:noProof/>
                <w:sz w:val="16"/>
                <w:szCs w:val="16"/>
              </w:rPr>
            </w:pPr>
            <w:r w:rsidRPr="00FF009C">
              <w:rPr>
                <w:noProof/>
                <w:sz w:val="16"/>
              </w:rPr>
              <w:t>3</w:t>
            </w:r>
          </w:p>
        </w:tc>
        <w:tc>
          <w:tcPr>
            <w:tcW w:w="1000" w:type="dxa"/>
            <w:tcBorders>
              <w:top w:val="nil"/>
              <w:left w:val="nil"/>
              <w:bottom w:val="single" w:sz="4" w:space="0" w:color="auto"/>
              <w:right w:val="single" w:sz="4" w:space="0" w:color="auto"/>
            </w:tcBorders>
            <w:shd w:val="clear" w:color="auto" w:fill="auto"/>
            <w:vAlign w:val="center"/>
            <w:hideMark/>
          </w:tcPr>
          <w:p w14:paraId="4462D61F" w14:textId="77777777" w:rsidR="0014309B" w:rsidRPr="00FF009C" w:rsidRDefault="0014309B" w:rsidP="002467B1">
            <w:pPr>
              <w:spacing w:before="0" w:after="0"/>
              <w:jc w:val="center"/>
              <w:rPr>
                <w:rFonts w:eastAsia="Times New Roman"/>
                <w:noProof/>
                <w:sz w:val="16"/>
                <w:szCs w:val="16"/>
              </w:rPr>
            </w:pPr>
            <w:r w:rsidRPr="00FF009C">
              <w:rPr>
                <w:noProof/>
                <w:sz w:val="16"/>
              </w:rPr>
              <w:t>3</w:t>
            </w:r>
          </w:p>
        </w:tc>
      </w:tr>
      <w:tr w:rsidR="0014309B" w:rsidRPr="00FF009C" w14:paraId="6F0C3B96" w14:textId="77777777" w:rsidTr="00977077">
        <w:trPr>
          <w:trHeight w:val="300"/>
          <w:jc w:val="center"/>
        </w:trPr>
        <w:tc>
          <w:tcPr>
            <w:tcW w:w="27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EE348D6" w14:textId="77777777" w:rsidR="0014309B" w:rsidRPr="00FF009C" w:rsidRDefault="0014309B" w:rsidP="002467B1">
            <w:pPr>
              <w:spacing w:before="0" w:after="0"/>
              <w:jc w:val="left"/>
              <w:rPr>
                <w:rFonts w:eastAsia="Times New Roman"/>
                <w:noProof/>
                <w:sz w:val="16"/>
                <w:szCs w:val="16"/>
              </w:rPr>
            </w:pPr>
            <w:r w:rsidRPr="00FF009C">
              <w:rPr>
                <w:noProof/>
                <w:sz w:val="16"/>
              </w:rPr>
              <w:t>20 01 02 03 (w delegaturach)</w:t>
            </w:r>
          </w:p>
        </w:tc>
        <w:tc>
          <w:tcPr>
            <w:tcW w:w="1000" w:type="dxa"/>
            <w:tcBorders>
              <w:top w:val="nil"/>
              <w:left w:val="nil"/>
              <w:bottom w:val="single" w:sz="4" w:space="0" w:color="auto"/>
              <w:right w:val="single" w:sz="4" w:space="0" w:color="auto"/>
            </w:tcBorders>
            <w:shd w:val="clear" w:color="auto" w:fill="auto"/>
            <w:vAlign w:val="center"/>
            <w:hideMark/>
          </w:tcPr>
          <w:p w14:paraId="506E2C9B" w14:textId="77777777" w:rsidR="0014309B" w:rsidRPr="00FF009C" w:rsidRDefault="0014309B" w:rsidP="002467B1">
            <w:pPr>
              <w:spacing w:before="0" w:after="0"/>
              <w:jc w:val="center"/>
              <w:rPr>
                <w:rFonts w:eastAsia="Times New Roman"/>
                <w:noProof/>
                <w:sz w:val="16"/>
                <w:szCs w:val="16"/>
              </w:rPr>
            </w:pPr>
            <w:r w:rsidRPr="00FF009C">
              <w:rPr>
                <w:noProof/>
                <w:sz w:val="16"/>
              </w:rPr>
              <w:t> </w:t>
            </w:r>
          </w:p>
        </w:tc>
        <w:tc>
          <w:tcPr>
            <w:tcW w:w="1000" w:type="dxa"/>
            <w:tcBorders>
              <w:top w:val="nil"/>
              <w:left w:val="nil"/>
              <w:bottom w:val="single" w:sz="4" w:space="0" w:color="auto"/>
              <w:right w:val="single" w:sz="4" w:space="0" w:color="auto"/>
            </w:tcBorders>
            <w:shd w:val="clear" w:color="auto" w:fill="auto"/>
            <w:vAlign w:val="center"/>
            <w:hideMark/>
          </w:tcPr>
          <w:p w14:paraId="2DB2219B" w14:textId="77777777" w:rsidR="0014309B" w:rsidRPr="00FF009C" w:rsidRDefault="0014309B" w:rsidP="002467B1">
            <w:pPr>
              <w:spacing w:before="0" w:after="0"/>
              <w:jc w:val="center"/>
              <w:rPr>
                <w:rFonts w:eastAsia="Times New Roman"/>
                <w:noProof/>
                <w:sz w:val="16"/>
                <w:szCs w:val="16"/>
              </w:rPr>
            </w:pPr>
            <w:r w:rsidRPr="00FF009C">
              <w:rPr>
                <w:noProof/>
                <w:sz w:val="16"/>
              </w:rPr>
              <w:t> </w:t>
            </w:r>
          </w:p>
        </w:tc>
        <w:tc>
          <w:tcPr>
            <w:tcW w:w="1000" w:type="dxa"/>
            <w:tcBorders>
              <w:top w:val="nil"/>
              <w:left w:val="nil"/>
              <w:bottom w:val="single" w:sz="4" w:space="0" w:color="auto"/>
              <w:right w:val="single" w:sz="4" w:space="0" w:color="auto"/>
            </w:tcBorders>
            <w:shd w:val="clear" w:color="auto" w:fill="auto"/>
            <w:vAlign w:val="center"/>
            <w:hideMark/>
          </w:tcPr>
          <w:p w14:paraId="25C01558" w14:textId="77777777" w:rsidR="0014309B" w:rsidRPr="00FF009C" w:rsidRDefault="0014309B" w:rsidP="002467B1">
            <w:pPr>
              <w:spacing w:before="0" w:after="0"/>
              <w:jc w:val="center"/>
              <w:rPr>
                <w:rFonts w:eastAsia="Times New Roman"/>
                <w:noProof/>
                <w:sz w:val="16"/>
                <w:szCs w:val="16"/>
              </w:rPr>
            </w:pPr>
            <w:r w:rsidRPr="00FF009C">
              <w:rPr>
                <w:noProof/>
                <w:sz w:val="16"/>
              </w:rPr>
              <w:t> </w:t>
            </w:r>
          </w:p>
        </w:tc>
        <w:tc>
          <w:tcPr>
            <w:tcW w:w="1000" w:type="dxa"/>
            <w:tcBorders>
              <w:top w:val="nil"/>
              <w:left w:val="nil"/>
              <w:bottom w:val="single" w:sz="4" w:space="0" w:color="auto"/>
              <w:right w:val="single" w:sz="4" w:space="0" w:color="auto"/>
            </w:tcBorders>
            <w:shd w:val="clear" w:color="auto" w:fill="auto"/>
            <w:vAlign w:val="center"/>
            <w:hideMark/>
          </w:tcPr>
          <w:p w14:paraId="54FFA93C" w14:textId="77777777" w:rsidR="0014309B" w:rsidRPr="00FF009C" w:rsidRDefault="0014309B" w:rsidP="002467B1">
            <w:pPr>
              <w:spacing w:before="0" w:after="0"/>
              <w:jc w:val="center"/>
              <w:rPr>
                <w:rFonts w:eastAsia="Times New Roman"/>
                <w:noProof/>
                <w:sz w:val="16"/>
                <w:szCs w:val="16"/>
              </w:rPr>
            </w:pPr>
            <w:r w:rsidRPr="00FF009C">
              <w:rPr>
                <w:noProof/>
                <w:sz w:val="16"/>
              </w:rPr>
              <w:t> </w:t>
            </w:r>
          </w:p>
        </w:tc>
      </w:tr>
      <w:tr w:rsidR="0014309B" w:rsidRPr="00FF009C" w14:paraId="73F7B562" w14:textId="77777777" w:rsidTr="00977077">
        <w:trPr>
          <w:trHeight w:val="300"/>
          <w:jc w:val="center"/>
        </w:trPr>
        <w:tc>
          <w:tcPr>
            <w:tcW w:w="67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6CCB3" w14:textId="77777777" w:rsidR="0014309B" w:rsidRPr="00FF009C" w:rsidRDefault="0014309B" w:rsidP="002467B1">
            <w:pPr>
              <w:spacing w:before="0" w:after="0"/>
              <w:jc w:val="left"/>
              <w:rPr>
                <w:rFonts w:eastAsia="Times New Roman"/>
                <w:b/>
                <w:bCs/>
                <w:noProof/>
                <w:sz w:val="16"/>
                <w:szCs w:val="16"/>
              </w:rPr>
            </w:pPr>
            <w:r w:rsidRPr="00FF009C">
              <w:rPr>
                <w:b/>
                <w:noProof/>
                <w:sz w:val="16"/>
              </w:rPr>
              <w:t>Personel zewnętrzny (w ekwiwalentach pełnego czasu pracy: EPC)</w:t>
            </w:r>
            <w:r w:rsidRPr="00FF009C">
              <w:rPr>
                <w:rStyle w:val="FootnoteReference0"/>
                <w:b/>
                <w:noProof/>
                <w:sz w:val="20"/>
              </w:rPr>
              <w:t xml:space="preserve"> </w:t>
            </w:r>
            <w:r w:rsidRPr="00FF009C">
              <w:rPr>
                <w:rStyle w:val="FootnoteReference0"/>
                <w:b/>
                <w:bCs/>
                <w:noProof/>
                <w:sz w:val="20"/>
                <w:szCs w:val="20"/>
              </w:rPr>
              <w:footnoteReference w:id="46"/>
            </w:r>
          </w:p>
        </w:tc>
      </w:tr>
      <w:tr w:rsidR="007502D3" w:rsidRPr="00FF009C" w14:paraId="40F87AA8" w14:textId="77777777" w:rsidTr="6E5A1C8C">
        <w:trPr>
          <w:trHeight w:val="585"/>
          <w:jc w:val="center"/>
        </w:trPr>
        <w:tc>
          <w:tcPr>
            <w:tcW w:w="27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0F65FF3" w14:textId="39DF5CE5" w:rsidR="0014309B" w:rsidRPr="00FF009C" w:rsidRDefault="0014309B" w:rsidP="002467B1">
            <w:pPr>
              <w:spacing w:before="0" w:after="0"/>
              <w:jc w:val="left"/>
              <w:rPr>
                <w:rFonts w:eastAsia="Times New Roman"/>
                <w:noProof/>
                <w:sz w:val="16"/>
                <w:szCs w:val="16"/>
              </w:rPr>
            </w:pPr>
            <w:r w:rsidRPr="00FF009C">
              <w:rPr>
                <w:noProof/>
                <w:sz w:val="16"/>
              </w:rPr>
              <w:t>20 02 01 (CA, SNE, INT</w:t>
            </w:r>
            <w:r w:rsidR="00FF009C" w:rsidRPr="00FF009C">
              <w:rPr>
                <w:noProof/>
                <w:sz w:val="16"/>
              </w:rPr>
              <w:t xml:space="preserve"> z</w:t>
            </w:r>
            <w:r w:rsidR="00FF009C">
              <w:rPr>
                <w:noProof/>
                <w:sz w:val="16"/>
              </w:rPr>
              <w:t> </w:t>
            </w:r>
            <w:r w:rsidR="00FF009C" w:rsidRPr="00FF009C">
              <w:rPr>
                <w:noProof/>
                <w:sz w:val="16"/>
              </w:rPr>
              <w:t>glo</w:t>
            </w:r>
            <w:r w:rsidRPr="00FF009C">
              <w:rPr>
                <w:noProof/>
                <w:sz w:val="16"/>
              </w:rPr>
              <w:t>balnej koperty finansowej)</w:t>
            </w:r>
          </w:p>
        </w:tc>
        <w:tc>
          <w:tcPr>
            <w:tcW w:w="1000" w:type="dxa"/>
            <w:tcBorders>
              <w:top w:val="nil"/>
              <w:left w:val="nil"/>
              <w:bottom w:val="single" w:sz="4" w:space="0" w:color="auto"/>
              <w:right w:val="single" w:sz="4" w:space="0" w:color="auto"/>
            </w:tcBorders>
            <w:shd w:val="clear" w:color="auto" w:fill="auto"/>
            <w:vAlign w:val="center"/>
            <w:hideMark/>
          </w:tcPr>
          <w:p w14:paraId="06CB9DC3" w14:textId="77777777" w:rsidR="0014309B" w:rsidRPr="00FF009C" w:rsidRDefault="0014309B" w:rsidP="002467B1">
            <w:pPr>
              <w:spacing w:before="0" w:after="0"/>
              <w:jc w:val="center"/>
              <w:rPr>
                <w:rFonts w:eastAsia="Times New Roman"/>
                <w:noProof/>
                <w:sz w:val="16"/>
                <w:szCs w:val="16"/>
                <w:lang w:eastAsia="en-IE"/>
              </w:rPr>
            </w:pPr>
          </w:p>
        </w:tc>
        <w:tc>
          <w:tcPr>
            <w:tcW w:w="1000" w:type="dxa"/>
            <w:tcBorders>
              <w:top w:val="nil"/>
              <w:left w:val="nil"/>
              <w:bottom w:val="single" w:sz="4" w:space="0" w:color="auto"/>
              <w:right w:val="single" w:sz="4" w:space="0" w:color="auto"/>
            </w:tcBorders>
            <w:shd w:val="clear" w:color="auto" w:fill="auto"/>
            <w:vAlign w:val="center"/>
            <w:hideMark/>
          </w:tcPr>
          <w:p w14:paraId="4C6FE2F5" w14:textId="77777777" w:rsidR="0014309B" w:rsidRPr="00FF009C" w:rsidRDefault="0014309B" w:rsidP="002467B1">
            <w:pPr>
              <w:spacing w:before="0" w:after="0"/>
              <w:jc w:val="center"/>
              <w:rPr>
                <w:rFonts w:eastAsia="Times New Roman"/>
                <w:noProof/>
                <w:sz w:val="16"/>
                <w:szCs w:val="16"/>
              </w:rPr>
            </w:pPr>
            <w:r w:rsidRPr="00FF009C">
              <w:rPr>
                <w:noProof/>
                <w:sz w:val="16"/>
              </w:rPr>
              <w:t>1</w:t>
            </w:r>
          </w:p>
        </w:tc>
        <w:tc>
          <w:tcPr>
            <w:tcW w:w="1000" w:type="dxa"/>
            <w:tcBorders>
              <w:top w:val="nil"/>
              <w:left w:val="nil"/>
              <w:bottom w:val="single" w:sz="4" w:space="0" w:color="auto"/>
              <w:right w:val="single" w:sz="4" w:space="0" w:color="auto"/>
            </w:tcBorders>
            <w:shd w:val="clear" w:color="auto" w:fill="auto"/>
            <w:vAlign w:val="center"/>
            <w:hideMark/>
          </w:tcPr>
          <w:p w14:paraId="7B62C148" w14:textId="77777777" w:rsidR="0014309B" w:rsidRPr="00FF009C" w:rsidRDefault="0014309B" w:rsidP="002467B1">
            <w:pPr>
              <w:spacing w:before="0" w:after="0"/>
              <w:jc w:val="center"/>
              <w:rPr>
                <w:rFonts w:eastAsia="Times New Roman"/>
                <w:noProof/>
                <w:sz w:val="16"/>
                <w:szCs w:val="16"/>
              </w:rPr>
            </w:pPr>
            <w:r w:rsidRPr="00FF009C">
              <w:rPr>
                <w:noProof/>
                <w:sz w:val="16"/>
              </w:rPr>
              <w:t>1</w:t>
            </w:r>
          </w:p>
        </w:tc>
        <w:tc>
          <w:tcPr>
            <w:tcW w:w="1000" w:type="dxa"/>
            <w:tcBorders>
              <w:top w:val="nil"/>
              <w:left w:val="nil"/>
              <w:bottom w:val="single" w:sz="4" w:space="0" w:color="auto"/>
              <w:right w:val="single" w:sz="4" w:space="0" w:color="auto"/>
            </w:tcBorders>
            <w:shd w:val="clear" w:color="auto" w:fill="auto"/>
            <w:vAlign w:val="center"/>
            <w:hideMark/>
          </w:tcPr>
          <w:p w14:paraId="169DDB73" w14:textId="77777777" w:rsidR="0014309B" w:rsidRPr="00FF009C" w:rsidRDefault="0014309B" w:rsidP="002467B1">
            <w:pPr>
              <w:spacing w:before="0" w:after="0"/>
              <w:jc w:val="center"/>
              <w:rPr>
                <w:rFonts w:eastAsia="Times New Roman"/>
                <w:noProof/>
                <w:sz w:val="16"/>
                <w:szCs w:val="16"/>
              </w:rPr>
            </w:pPr>
            <w:r w:rsidRPr="00FF009C">
              <w:rPr>
                <w:noProof/>
                <w:sz w:val="16"/>
              </w:rPr>
              <w:t>1</w:t>
            </w:r>
          </w:p>
        </w:tc>
      </w:tr>
      <w:tr w:rsidR="007502D3" w:rsidRPr="00FF009C" w14:paraId="3A8D252E" w14:textId="77777777" w:rsidTr="6E5A1C8C">
        <w:trPr>
          <w:trHeight w:val="450"/>
          <w:jc w:val="center"/>
        </w:trPr>
        <w:tc>
          <w:tcPr>
            <w:tcW w:w="27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7865B7F" w14:textId="5A0B4B32" w:rsidR="0014309B" w:rsidRPr="00FF009C" w:rsidRDefault="0014309B" w:rsidP="002467B1">
            <w:pPr>
              <w:spacing w:before="0" w:after="0"/>
              <w:jc w:val="left"/>
              <w:rPr>
                <w:rFonts w:eastAsia="Times New Roman"/>
                <w:noProof/>
                <w:sz w:val="16"/>
                <w:szCs w:val="16"/>
              </w:rPr>
            </w:pPr>
            <w:r w:rsidRPr="00FF009C">
              <w:rPr>
                <w:noProof/>
                <w:sz w:val="16"/>
              </w:rPr>
              <w:t>20 02 03 (CA, LA, SNE, INT i JPD</w:t>
            </w:r>
            <w:r w:rsidR="00FF009C" w:rsidRPr="00FF009C">
              <w:rPr>
                <w:noProof/>
                <w:sz w:val="16"/>
              </w:rPr>
              <w:t xml:space="preserve"> w</w:t>
            </w:r>
            <w:r w:rsidR="00FF009C">
              <w:rPr>
                <w:noProof/>
                <w:sz w:val="16"/>
              </w:rPr>
              <w:t> </w:t>
            </w:r>
            <w:r w:rsidR="00FF009C" w:rsidRPr="00FF009C">
              <w:rPr>
                <w:noProof/>
                <w:sz w:val="16"/>
              </w:rPr>
              <w:t>del</w:t>
            </w:r>
            <w:r w:rsidRPr="00FF009C">
              <w:rPr>
                <w:noProof/>
                <w:sz w:val="16"/>
              </w:rPr>
              <w:t>egaturach)</w:t>
            </w:r>
          </w:p>
        </w:tc>
        <w:tc>
          <w:tcPr>
            <w:tcW w:w="1000" w:type="dxa"/>
            <w:tcBorders>
              <w:top w:val="nil"/>
              <w:left w:val="nil"/>
              <w:bottom w:val="single" w:sz="4" w:space="0" w:color="auto"/>
              <w:right w:val="single" w:sz="4" w:space="0" w:color="auto"/>
            </w:tcBorders>
            <w:shd w:val="clear" w:color="auto" w:fill="auto"/>
            <w:vAlign w:val="center"/>
            <w:hideMark/>
          </w:tcPr>
          <w:p w14:paraId="1870D029" w14:textId="77777777" w:rsidR="0014309B" w:rsidRPr="00FF009C" w:rsidRDefault="0014309B" w:rsidP="002467B1">
            <w:pPr>
              <w:spacing w:before="0" w:after="0"/>
              <w:jc w:val="center"/>
              <w:rPr>
                <w:rFonts w:eastAsia="Times New Roman"/>
                <w:noProof/>
                <w:sz w:val="16"/>
                <w:szCs w:val="16"/>
              </w:rPr>
            </w:pPr>
            <w:r w:rsidRPr="00FF009C">
              <w:rPr>
                <w:noProof/>
                <w:sz w:val="16"/>
              </w:rPr>
              <w:t> </w:t>
            </w:r>
          </w:p>
        </w:tc>
        <w:tc>
          <w:tcPr>
            <w:tcW w:w="1000" w:type="dxa"/>
            <w:tcBorders>
              <w:top w:val="nil"/>
              <w:left w:val="nil"/>
              <w:bottom w:val="single" w:sz="4" w:space="0" w:color="auto"/>
              <w:right w:val="single" w:sz="4" w:space="0" w:color="auto"/>
            </w:tcBorders>
            <w:shd w:val="clear" w:color="auto" w:fill="auto"/>
            <w:vAlign w:val="center"/>
            <w:hideMark/>
          </w:tcPr>
          <w:p w14:paraId="3AEE7123" w14:textId="77777777" w:rsidR="0014309B" w:rsidRPr="00FF009C" w:rsidRDefault="0014309B" w:rsidP="002467B1">
            <w:pPr>
              <w:spacing w:before="0" w:after="0"/>
              <w:jc w:val="center"/>
              <w:rPr>
                <w:rFonts w:eastAsia="Times New Roman"/>
                <w:noProof/>
                <w:sz w:val="16"/>
                <w:szCs w:val="16"/>
              </w:rPr>
            </w:pPr>
            <w:r w:rsidRPr="00FF009C">
              <w:rPr>
                <w:noProof/>
                <w:sz w:val="16"/>
              </w:rPr>
              <w:t> </w:t>
            </w:r>
          </w:p>
        </w:tc>
        <w:tc>
          <w:tcPr>
            <w:tcW w:w="1000" w:type="dxa"/>
            <w:tcBorders>
              <w:top w:val="nil"/>
              <w:left w:val="nil"/>
              <w:bottom w:val="single" w:sz="4" w:space="0" w:color="auto"/>
              <w:right w:val="single" w:sz="4" w:space="0" w:color="auto"/>
            </w:tcBorders>
            <w:shd w:val="clear" w:color="auto" w:fill="auto"/>
            <w:vAlign w:val="center"/>
            <w:hideMark/>
          </w:tcPr>
          <w:p w14:paraId="6877270D" w14:textId="77777777" w:rsidR="0014309B" w:rsidRPr="00FF009C" w:rsidRDefault="0014309B" w:rsidP="002467B1">
            <w:pPr>
              <w:spacing w:before="0" w:after="0"/>
              <w:jc w:val="center"/>
              <w:rPr>
                <w:rFonts w:eastAsia="Times New Roman"/>
                <w:noProof/>
                <w:sz w:val="16"/>
                <w:szCs w:val="16"/>
              </w:rPr>
            </w:pPr>
            <w:r w:rsidRPr="00FF009C">
              <w:rPr>
                <w:noProof/>
                <w:sz w:val="16"/>
              </w:rPr>
              <w:t> </w:t>
            </w:r>
          </w:p>
        </w:tc>
        <w:tc>
          <w:tcPr>
            <w:tcW w:w="1000" w:type="dxa"/>
            <w:tcBorders>
              <w:top w:val="nil"/>
              <w:left w:val="nil"/>
              <w:bottom w:val="single" w:sz="4" w:space="0" w:color="auto"/>
              <w:right w:val="single" w:sz="4" w:space="0" w:color="auto"/>
            </w:tcBorders>
            <w:shd w:val="clear" w:color="auto" w:fill="auto"/>
            <w:vAlign w:val="center"/>
            <w:hideMark/>
          </w:tcPr>
          <w:p w14:paraId="3E2207AC" w14:textId="77777777" w:rsidR="0014309B" w:rsidRPr="00FF009C" w:rsidRDefault="0014309B" w:rsidP="002467B1">
            <w:pPr>
              <w:spacing w:before="0" w:after="0"/>
              <w:jc w:val="center"/>
              <w:rPr>
                <w:rFonts w:eastAsia="Times New Roman"/>
                <w:noProof/>
                <w:sz w:val="16"/>
                <w:szCs w:val="16"/>
              </w:rPr>
            </w:pPr>
            <w:r w:rsidRPr="00FF009C">
              <w:rPr>
                <w:noProof/>
                <w:sz w:val="16"/>
              </w:rPr>
              <w:t> </w:t>
            </w:r>
          </w:p>
        </w:tc>
      </w:tr>
      <w:tr w:rsidR="0014309B" w:rsidRPr="00FF009C" w14:paraId="504926AF" w14:textId="77777777" w:rsidTr="00977077">
        <w:trPr>
          <w:trHeight w:val="300"/>
          <w:jc w:val="center"/>
        </w:trPr>
        <w:tc>
          <w:tcPr>
            <w:tcW w:w="278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3D82B6E" w14:textId="77777777" w:rsidR="0014309B" w:rsidRPr="00FF009C" w:rsidRDefault="0014309B" w:rsidP="002467B1">
            <w:pPr>
              <w:spacing w:before="0" w:after="0"/>
              <w:jc w:val="left"/>
              <w:rPr>
                <w:rFonts w:eastAsia="Times New Roman"/>
                <w:b/>
                <w:bCs/>
                <w:noProof/>
                <w:sz w:val="16"/>
                <w:szCs w:val="16"/>
              </w:rPr>
            </w:pPr>
            <w:r w:rsidRPr="00FF009C">
              <w:rPr>
                <w:b/>
                <w:noProof/>
                <w:sz w:val="16"/>
              </w:rPr>
              <w:t>OGÓŁEM</w:t>
            </w:r>
          </w:p>
        </w:tc>
        <w:tc>
          <w:tcPr>
            <w:tcW w:w="1000" w:type="dxa"/>
            <w:tcBorders>
              <w:top w:val="nil"/>
              <w:left w:val="nil"/>
              <w:bottom w:val="single" w:sz="4" w:space="0" w:color="auto"/>
              <w:right w:val="single" w:sz="4" w:space="0" w:color="auto"/>
            </w:tcBorders>
            <w:shd w:val="clear" w:color="auto" w:fill="auto"/>
            <w:noWrap/>
            <w:vAlign w:val="center"/>
            <w:hideMark/>
          </w:tcPr>
          <w:p w14:paraId="2706ED02" w14:textId="77777777" w:rsidR="0014309B" w:rsidRPr="00FF009C" w:rsidRDefault="0014309B" w:rsidP="002467B1">
            <w:pPr>
              <w:spacing w:before="0" w:after="0"/>
              <w:jc w:val="center"/>
              <w:rPr>
                <w:rFonts w:eastAsia="Times New Roman"/>
                <w:b/>
                <w:bCs/>
                <w:noProof/>
                <w:sz w:val="18"/>
                <w:szCs w:val="18"/>
                <w:lang w:eastAsia="en-IE"/>
              </w:rPr>
            </w:pPr>
          </w:p>
        </w:tc>
        <w:tc>
          <w:tcPr>
            <w:tcW w:w="1000" w:type="dxa"/>
            <w:tcBorders>
              <w:top w:val="nil"/>
              <w:left w:val="nil"/>
              <w:bottom w:val="single" w:sz="4" w:space="0" w:color="auto"/>
              <w:right w:val="single" w:sz="4" w:space="0" w:color="auto"/>
            </w:tcBorders>
            <w:shd w:val="clear" w:color="auto" w:fill="auto"/>
            <w:noWrap/>
            <w:vAlign w:val="center"/>
            <w:hideMark/>
          </w:tcPr>
          <w:p w14:paraId="4FBF3B98" w14:textId="77777777" w:rsidR="0014309B" w:rsidRPr="00FF009C" w:rsidRDefault="0014309B" w:rsidP="002467B1">
            <w:pPr>
              <w:spacing w:before="0" w:after="0"/>
              <w:jc w:val="center"/>
              <w:rPr>
                <w:rFonts w:eastAsia="Times New Roman"/>
                <w:b/>
                <w:bCs/>
                <w:noProof/>
                <w:sz w:val="18"/>
                <w:szCs w:val="18"/>
              </w:rPr>
            </w:pPr>
            <w:r w:rsidRPr="00FF009C">
              <w:rPr>
                <w:b/>
                <w:noProof/>
                <w:sz w:val="18"/>
              </w:rPr>
              <w:t>2</w:t>
            </w:r>
          </w:p>
        </w:tc>
        <w:tc>
          <w:tcPr>
            <w:tcW w:w="1000" w:type="dxa"/>
            <w:tcBorders>
              <w:top w:val="nil"/>
              <w:left w:val="nil"/>
              <w:bottom w:val="single" w:sz="4" w:space="0" w:color="auto"/>
              <w:right w:val="single" w:sz="4" w:space="0" w:color="auto"/>
            </w:tcBorders>
            <w:shd w:val="clear" w:color="auto" w:fill="auto"/>
            <w:noWrap/>
            <w:vAlign w:val="center"/>
            <w:hideMark/>
          </w:tcPr>
          <w:p w14:paraId="765E1633" w14:textId="77777777" w:rsidR="0014309B" w:rsidRPr="00FF009C" w:rsidRDefault="0014309B" w:rsidP="002467B1">
            <w:pPr>
              <w:spacing w:before="0" w:after="0"/>
              <w:jc w:val="center"/>
              <w:rPr>
                <w:rFonts w:eastAsia="Times New Roman"/>
                <w:b/>
                <w:bCs/>
                <w:noProof/>
                <w:sz w:val="18"/>
                <w:szCs w:val="18"/>
              </w:rPr>
            </w:pPr>
            <w:r w:rsidRPr="00FF009C">
              <w:rPr>
                <w:b/>
                <w:noProof/>
                <w:sz w:val="18"/>
              </w:rPr>
              <w:t>4</w:t>
            </w:r>
          </w:p>
        </w:tc>
        <w:tc>
          <w:tcPr>
            <w:tcW w:w="1000" w:type="dxa"/>
            <w:tcBorders>
              <w:top w:val="nil"/>
              <w:left w:val="nil"/>
              <w:bottom w:val="single" w:sz="4" w:space="0" w:color="auto"/>
              <w:right w:val="single" w:sz="4" w:space="0" w:color="auto"/>
            </w:tcBorders>
            <w:shd w:val="clear" w:color="auto" w:fill="auto"/>
            <w:noWrap/>
            <w:vAlign w:val="center"/>
            <w:hideMark/>
          </w:tcPr>
          <w:p w14:paraId="12869685" w14:textId="77777777" w:rsidR="0014309B" w:rsidRPr="00FF009C" w:rsidRDefault="0014309B" w:rsidP="002467B1">
            <w:pPr>
              <w:spacing w:before="0" w:after="0"/>
              <w:jc w:val="center"/>
              <w:rPr>
                <w:rFonts w:eastAsia="Times New Roman"/>
                <w:b/>
                <w:bCs/>
                <w:noProof/>
                <w:sz w:val="18"/>
                <w:szCs w:val="18"/>
              </w:rPr>
            </w:pPr>
            <w:r w:rsidRPr="00FF009C">
              <w:rPr>
                <w:b/>
                <w:noProof/>
                <w:sz w:val="18"/>
              </w:rPr>
              <w:t>4</w:t>
            </w:r>
          </w:p>
        </w:tc>
      </w:tr>
    </w:tbl>
    <w:p w14:paraId="215DF486" w14:textId="77777777" w:rsidR="0014309B" w:rsidRPr="00FF009C" w:rsidRDefault="0014309B" w:rsidP="0014309B">
      <w:pPr>
        <w:spacing w:after="60"/>
        <w:jc w:val="right"/>
        <w:rPr>
          <w:i/>
          <w:noProof/>
          <w:sz w:val="20"/>
        </w:rPr>
      </w:pPr>
    </w:p>
    <w:p w14:paraId="2C7A7034" w14:textId="31CDD6D3" w:rsidR="0014309B" w:rsidRPr="00FF009C" w:rsidRDefault="0014309B" w:rsidP="0014309B">
      <w:pPr>
        <w:pStyle w:val="Text1"/>
        <w:rPr>
          <w:noProof/>
          <w:sz w:val="22"/>
        </w:rPr>
      </w:pPr>
      <w:r w:rsidRPr="00FF009C">
        <w:rPr>
          <w:noProof/>
          <w:sz w:val="22"/>
        </w:rPr>
        <w:t>Potrzeby</w:t>
      </w:r>
      <w:r w:rsidR="00FF009C" w:rsidRPr="00FF009C">
        <w:rPr>
          <w:noProof/>
          <w:sz w:val="22"/>
        </w:rPr>
        <w:t xml:space="preserve"> w</w:t>
      </w:r>
      <w:r w:rsidR="00FF009C">
        <w:rPr>
          <w:noProof/>
          <w:sz w:val="22"/>
        </w:rPr>
        <w:t> </w:t>
      </w:r>
      <w:r w:rsidR="00FF009C" w:rsidRPr="00FF009C">
        <w:rPr>
          <w:noProof/>
          <w:sz w:val="22"/>
        </w:rPr>
        <w:t>zak</w:t>
      </w:r>
      <w:r w:rsidRPr="00FF009C">
        <w:rPr>
          <w:noProof/>
          <w:sz w:val="22"/>
        </w:rPr>
        <w:t>resie zasobów ludzkich zostaną pokryte</w:t>
      </w:r>
      <w:r w:rsidR="00FF009C" w:rsidRPr="00FF009C">
        <w:rPr>
          <w:noProof/>
          <w:sz w:val="22"/>
        </w:rPr>
        <w:t xml:space="preserve"> z</w:t>
      </w:r>
      <w:r w:rsidR="00FF009C">
        <w:rPr>
          <w:noProof/>
          <w:sz w:val="22"/>
        </w:rPr>
        <w:t> </w:t>
      </w:r>
      <w:r w:rsidR="00FF009C" w:rsidRPr="00FF009C">
        <w:rPr>
          <w:noProof/>
          <w:sz w:val="22"/>
        </w:rPr>
        <w:t>zas</w:t>
      </w:r>
      <w:r w:rsidRPr="00FF009C">
        <w:rPr>
          <w:noProof/>
          <w:sz w:val="22"/>
        </w:rPr>
        <w:t>obów dyrekcji generalnej już przydzielonych na zarządzanie tym działaniem lub przesuniętych</w:t>
      </w:r>
      <w:r w:rsidR="00FF009C" w:rsidRPr="00FF009C">
        <w:rPr>
          <w:noProof/>
          <w:sz w:val="22"/>
        </w:rPr>
        <w:t xml:space="preserve"> w</w:t>
      </w:r>
      <w:r w:rsidR="00FF009C">
        <w:rPr>
          <w:noProof/>
          <w:sz w:val="22"/>
        </w:rPr>
        <w:t> </w:t>
      </w:r>
      <w:r w:rsidR="00FF009C" w:rsidRPr="00FF009C">
        <w:rPr>
          <w:noProof/>
          <w:sz w:val="22"/>
        </w:rPr>
        <w:t>ram</w:t>
      </w:r>
      <w:r w:rsidRPr="00FF009C">
        <w:rPr>
          <w:noProof/>
          <w:sz w:val="22"/>
        </w:rPr>
        <w:t>ach dyrekcji generalnej, uzupełnionych</w:t>
      </w:r>
      <w:r w:rsidR="00FF009C" w:rsidRPr="00FF009C">
        <w:rPr>
          <w:noProof/>
          <w:sz w:val="22"/>
        </w:rPr>
        <w:t xml:space="preserve"> w</w:t>
      </w:r>
      <w:r w:rsidR="00FF009C">
        <w:rPr>
          <w:noProof/>
          <w:sz w:val="22"/>
        </w:rPr>
        <w:t> </w:t>
      </w:r>
      <w:r w:rsidR="00FF009C" w:rsidRPr="00FF009C">
        <w:rPr>
          <w:noProof/>
          <w:sz w:val="22"/>
        </w:rPr>
        <w:t>raz</w:t>
      </w:r>
      <w:r w:rsidRPr="00FF009C">
        <w:rPr>
          <w:noProof/>
          <w:sz w:val="22"/>
        </w:rPr>
        <w:t>ie potrzeby wszelkimi dodatkowymi zasobami, które mogą zostać przydzielone zarządzającej dyrekcji generalnej</w:t>
      </w:r>
      <w:r w:rsidR="00FF009C" w:rsidRPr="00FF009C">
        <w:rPr>
          <w:noProof/>
          <w:sz w:val="22"/>
        </w:rPr>
        <w:t xml:space="preserve"> w</w:t>
      </w:r>
      <w:r w:rsidR="00FF009C">
        <w:rPr>
          <w:noProof/>
          <w:sz w:val="22"/>
        </w:rPr>
        <w:t> </w:t>
      </w:r>
      <w:r w:rsidR="00FF009C" w:rsidRPr="00FF009C">
        <w:rPr>
          <w:noProof/>
          <w:sz w:val="22"/>
        </w:rPr>
        <w:t>ram</w:t>
      </w:r>
      <w:r w:rsidRPr="00FF009C">
        <w:rPr>
          <w:noProof/>
          <w:sz w:val="22"/>
        </w:rPr>
        <w:t>ach procedury rocznego przydziału środków oraz</w:t>
      </w:r>
      <w:r w:rsidR="00FF009C" w:rsidRPr="00FF009C">
        <w:rPr>
          <w:noProof/>
          <w:sz w:val="22"/>
        </w:rPr>
        <w:t xml:space="preserve"> w</w:t>
      </w:r>
      <w:r w:rsidR="00FF009C">
        <w:rPr>
          <w:noProof/>
          <w:sz w:val="22"/>
        </w:rPr>
        <w:t> </w:t>
      </w:r>
      <w:r w:rsidR="00FF009C" w:rsidRPr="00FF009C">
        <w:rPr>
          <w:noProof/>
          <w:sz w:val="22"/>
        </w:rPr>
        <w:t>świ</w:t>
      </w:r>
      <w:r w:rsidRPr="00FF009C">
        <w:rPr>
          <w:noProof/>
          <w:sz w:val="22"/>
        </w:rPr>
        <w:t>etle istniejących ograniczeń budżetowych.</w:t>
      </w:r>
    </w:p>
    <w:p w14:paraId="702F4538" w14:textId="77777777" w:rsidR="0014309B" w:rsidRPr="00FF009C" w:rsidRDefault="0014309B" w:rsidP="0014309B">
      <w:pPr>
        <w:rPr>
          <w:noProof/>
          <w:sz w:val="20"/>
        </w:rPr>
      </w:pPr>
      <w:r w:rsidRPr="00FF009C">
        <w:rPr>
          <w:noProof/>
          <w:sz w:val="20"/>
        </w:rPr>
        <w:t>Opis zadań do wykonania:</w:t>
      </w:r>
    </w:p>
    <w:tbl>
      <w:tblPr>
        <w:tblW w:w="924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560"/>
        <w:gridCol w:w="7683"/>
      </w:tblGrid>
      <w:tr w:rsidR="0014309B" w:rsidRPr="00FF009C" w14:paraId="061CF0C6" w14:textId="77777777" w:rsidTr="002467B1">
        <w:trPr>
          <w:jc w:val="center"/>
        </w:trPr>
        <w:tc>
          <w:tcPr>
            <w:tcW w:w="1560" w:type="dxa"/>
          </w:tcPr>
          <w:p w14:paraId="607F5660" w14:textId="3403F642" w:rsidR="0014309B" w:rsidRPr="00FF009C" w:rsidRDefault="0014309B" w:rsidP="002467B1">
            <w:pPr>
              <w:rPr>
                <w:noProof/>
                <w:sz w:val="20"/>
              </w:rPr>
            </w:pPr>
            <w:r w:rsidRPr="00FF009C">
              <w:rPr>
                <w:noProof/>
                <w:sz w:val="20"/>
              </w:rPr>
              <w:t>Urzędnicy</w:t>
            </w:r>
            <w:r w:rsidR="00FF009C" w:rsidRPr="00FF009C">
              <w:rPr>
                <w:noProof/>
                <w:sz w:val="20"/>
              </w:rPr>
              <w:t xml:space="preserve"> i</w:t>
            </w:r>
            <w:r w:rsidR="00FF009C">
              <w:rPr>
                <w:noProof/>
                <w:sz w:val="20"/>
              </w:rPr>
              <w:t> </w:t>
            </w:r>
            <w:r w:rsidR="00FF009C" w:rsidRPr="00FF009C">
              <w:rPr>
                <w:noProof/>
                <w:sz w:val="20"/>
              </w:rPr>
              <w:t>pra</w:t>
            </w:r>
            <w:r w:rsidRPr="00FF009C">
              <w:rPr>
                <w:noProof/>
                <w:sz w:val="20"/>
              </w:rPr>
              <w:t>cownicy zatrudnieni na czas określony</w:t>
            </w:r>
          </w:p>
        </w:tc>
        <w:tc>
          <w:tcPr>
            <w:tcW w:w="7683" w:type="dxa"/>
          </w:tcPr>
          <w:p w14:paraId="10218369" w14:textId="099525C3" w:rsidR="0014309B" w:rsidRPr="00FF009C" w:rsidRDefault="0014309B" w:rsidP="002073EE">
            <w:pPr>
              <w:pStyle w:val="ListParagraph"/>
              <w:numPr>
                <w:ilvl w:val="0"/>
                <w:numId w:val="21"/>
              </w:numPr>
              <w:ind w:left="315" w:hanging="284"/>
              <w:rPr>
                <w:noProof/>
                <w:sz w:val="20"/>
              </w:rPr>
            </w:pPr>
            <w:r w:rsidRPr="00FF009C">
              <w:rPr>
                <w:noProof/>
                <w:sz w:val="20"/>
              </w:rPr>
              <w:t>Wdrożenie nowych środków służących przeciwdziałaniu przemytowi migrantów,</w:t>
            </w:r>
            <w:r w:rsidR="00FF009C" w:rsidRPr="00FF009C">
              <w:rPr>
                <w:noProof/>
                <w:sz w:val="20"/>
              </w:rPr>
              <w:t xml:space="preserve"> w</w:t>
            </w:r>
            <w:r w:rsidR="00FF009C">
              <w:rPr>
                <w:noProof/>
                <w:sz w:val="20"/>
              </w:rPr>
              <w:t> </w:t>
            </w:r>
            <w:r w:rsidR="00FF009C" w:rsidRPr="00FF009C">
              <w:rPr>
                <w:noProof/>
                <w:sz w:val="20"/>
              </w:rPr>
              <w:t>tym</w:t>
            </w:r>
            <w:r w:rsidRPr="00FF009C">
              <w:rPr>
                <w:noProof/>
                <w:sz w:val="20"/>
              </w:rPr>
              <w:t xml:space="preserve"> pogłębiony dialog</w:t>
            </w:r>
            <w:r w:rsidR="00FF009C" w:rsidRPr="00FF009C">
              <w:rPr>
                <w:noProof/>
                <w:sz w:val="20"/>
              </w:rPr>
              <w:t xml:space="preserve"> z</w:t>
            </w:r>
            <w:r w:rsidR="00FF009C">
              <w:rPr>
                <w:noProof/>
                <w:sz w:val="20"/>
              </w:rPr>
              <w:t> </w:t>
            </w:r>
            <w:r w:rsidR="00FF009C" w:rsidRPr="00FF009C">
              <w:rPr>
                <w:noProof/>
                <w:sz w:val="20"/>
              </w:rPr>
              <w:t>oso</w:t>
            </w:r>
            <w:r w:rsidRPr="00FF009C">
              <w:rPr>
                <w:noProof/>
                <w:sz w:val="20"/>
              </w:rPr>
              <w:t xml:space="preserve">bami prawnymi, co do których podejrzewa się, </w:t>
            </w:r>
            <w:r w:rsidR="00E50957" w:rsidRPr="00FF009C">
              <w:rPr>
                <w:noProof/>
                <w:sz w:val="20"/>
              </w:rPr>
              <w:t>że</w:t>
            </w:r>
            <w:r w:rsidRPr="00FF009C">
              <w:rPr>
                <w:noProof/>
                <w:sz w:val="20"/>
              </w:rPr>
              <w:t xml:space="preserve"> są wykorzystywane do przemytu migrantów, zgodnie</w:t>
            </w:r>
            <w:r w:rsidR="00FF009C" w:rsidRPr="00FF009C">
              <w:rPr>
                <w:noProof/>
                <w:sz w:val="20"/>
              </w:rPr>
              <w:t xml:space="preserve"> z</w:t>
            </w:r>
            <w:r w:rsidR="00FF009C">
              <w:rPr>
                <w:noProof/>
                <w:sz w:val="20"/>
              </w:rPr>
              <w:t> </w:t>
            </w:r>
            <w:r w:rsidR="00FF009C" w:rsidRPr="00FF009C">
              <w:rPr>
                <w:noProof/>
                <w:sz w:val="20"/>
              </w:rPr>
              <w:t>wni</w:t>
            </w:r>
            <w:r w:rsidRPr="00FF009C">
              <w:rPr>
                <w:noProof/>
                <w:sz w:val="20"/>
              </w:rPr>
              <w:t>oskiem dotyczącym dyrektywy</w:t>
            </w:r>
            <w:r w:rsidR="00FF009C" w:rsidRPr="00FF009C">
              <w:rPr>
                <w:noProof/>
                <w:sz w:val="20"/>
              </w:rPr>
              <w:t xml:space="preserve"> w</w:t>
            </w:r>
            <w:r w:rsidR="00FF009C">
              <w:rPr>
                <w:noProof/>
                <w:sz w:val="20"/>
              </w:rPr>
              <w:t> </w:t>
            </w:r>
            <w:r w:rsidR="00FF009C" w:rsidRPr="00FF009C">
              <w:rPr>
                <w:noProof/>
                <w:sz w:val="20"/>
              </w:rPr>
              <w:t>spr</w:t>
            </w:r>
            <w:r w:rsidRPr="00FF009C">
              <w:rPr>
                <w:noProof/>
                <w:sz w:val="20"/>
              </w:rPr>
              <w:t>awie zapobiegania</w:t>
            </w:r>
            <w:r w:rsidR="00FF009C" w:rsidRPr="00FF009C">
              <w:rPr>
                <w:noProof/>
                <w:sz w:val="20"/>
              </w:rPr>
              <w:t xml:space="preserve"> i</w:t>
            </w:r>
            <w:r w:rsidR="00FF009C">
              <w:rPr>
                <w:noProof/>
                <w:sz w:val="20"/>
              </w:rPr>
              <w:t> </w:t>
            </w:r>
            <w:r w:rsidR="00FF009C" w:rsidRPr="00FF009C">
              <w:rPr>
                <w:noProof/>
                <w:sz w:val="20"/>
              </w:rPr>
              <w:t>prz</w:t>
            </w:r>
            <w:r w:rsidRPr="00FF009C">
              <w:rPr>
                <w:noProof/>
                <w:sz w:val="20"/>
              </w:rPr>
              <w:t>eciwdziałania ułatwianiu niedozwolonego wjazdu do Unii, tranzytu przez jej terytorium</w:t>
            </w:r>
            <w:r w:rsidR="00FF009C" w:rsidRPr="00FF009C">
              <w:rPr>
                <w:noProof/>
                <w:sz w:val="20"/>
              </w:rPr>
              <w:t xml:space="preserve"> i</w:t>
            </w:r>
            <w:r w:rsidR="00FF009C">
              <w:rPr>
                <w:noProof/>
                <w:sz w:val="20"/>
              </w:rPr>
              <w:t> </w:t>
            </w:r>
            <w:r w:rsidR="00FF009C" w:rsidRPr="00FF009C">
              <w:rPr>
                <w:noProof/>
                <w:sz w:val="20"/>
              </w:rPr>
              <w:t>pob</w:t>
            </w:r>
            <w:r w:rsidRPr="00FF009C">
              <w:rPr>
                <w:noProof/>
                <w:sz w:val="20"/>
              </w:rPr>
              <w:t>ytu na nim.</w:t>
            </w:r>
          </w:p>
          <w:p w14:paraId="70BB0126" w14:textId="7775C3AB" w:rsidR="0014309B" w:rsidRPr="00FF009C" w:rsidRDefault="0014309B" w:rsidP="002073EE">
            <w:pPr>
              <w:pStyle w:val="ListParagraph"/>
              <w:numPr>
                <w:ilvl w:val="0"/>
                <w:numId w:val="21"/>
              </w:numPr>
              <w:ind w:left="315" w:hanging="284"/>
              <w:rPr>
                <w:noProof/>
                <w:sz w:val="20"/>
              </w:rPr>
            </w:pPr>
            <w:r w:rsidRPr="00FF009C">
              <w:rPr>
                <w:noProof/>
                <w:sz w:val="20"/>
              </w:rPr>
              <w:t>Zapewnienie należytej obsługi nowych ram zarządzania ustanowionych</w:t>
            </w:r>
            <w:r w:rsidR="00FF009C" w:rsidRPr="00FF009C">
              <w:rPr>
                <w:noProof/>
                <w:sz w:val="20"/>
              </w:rPr>
              <w:t xml:space="preserve"> w</w:t>
            </w:r>
            <w:r w:rsidR="00FF009C">
              <w:rPr>
                <w:noProof/>
                <w:sz w:val="20"/>
              </w:rPr>
              <w:t> </w:t>
            </w:r>
            <w:r w:rsidR="00FF009C" w:rsidRPr="00FF009C">
              <w:rPr>
                <w:noProof/>
                <w:sz w:val="20"/>
              </w:rPr>
              <w:t>Eur</w:t>
            </w:r>
            <w:r w:rsidRPr="00FF009C">
              <w:rPr>
                <w:noProof/>
                <w:sz w:val="20"/>
              </w:rPr>
              <w:t>opejskim Centrum Zwalczania Przemytu Migrantów zgodnie</w:t>
            </w:r>
            <w:r w:rsidR="00FF009C" w:rsidRPr="00FF009C">
              <w:rPr>
                <w:noProof/>
                <w:sz w:val="20"/>
              </w:rPr>
              <w:t xml:space="preserve"> z</w:t>
            </w:r>
            <w:r w:rsidR="00FF009C">
              <w:rPr>
                <w:noProof/>
                <w:sz w:val="20"/>
              </w:rPr>
              <w:t> </w:t>
            </w:r>
            <w:r w:rsidR="00FF009C" w:rsidRPr="00FF009C">
              <w:rPr>
                <w:noProof/>
                <w:sz w:val="20"/>
              </w:rPr>
              <w:t>wni</w:t>
            </w:r>
            <w:r w:rsidRPr="00FF009C">
              <w:rPr>
                <w:noProof/>
                <w:sz w:val="20"/>
              </w:rPr>
              <w:t>oskiem dotyczącym rozporządzenia</w:t>
            </w:r>
            <w:r w:rsidR="00FF009C" w:rsidRPr="00FF009C">
              <w:rPr>
                <w:noProof/>
                <w:sz w:val="20"/>
              </w:rPr>
              <w:t xml:space="preserve"> w</w:t>
            </w:r>
            <w:r w:rsidR="00FF009C">
              <w:rPr>
                <w:noProof/>
                <w:sz w:val="20"/>
              </w:rPr>
              <w:t> </w:t>
            </w:r>
            <w:r w:rsidR="00FF009C" w:rsidRPr="00FF009C">
              <w:rPr>
                <w:noProof/>
                <w:sz w:val="20"/>
              </w:rPr>
              <w:t>spr</w:t>
            </w:r>
            <w:r w:rsidRPr="00FF009C">
              <w:rPr>
                <w:noProof/>
                <w:sz w:val="20"/>
              </w:rPr>
              <w:t xml:space="preserve">awie zwalczania przemytu migrantów. </w:t>
            </w:r>
          </w:p>
          <w:p w14:paraId="5127FCE0" w14:textId="710075FF" w:rsidR="0014309B" w:rsidRPr="00FF009C" w:rsidRDefault="0014309B" w:rsidP="002073EE">
            <w:pPr>
              <w:pStyle w:val="ListParagraph"/>
              <w:numPr>
                <w:ilvl w:val="0"/>
                <w:numId w:val="21"/>
              </w:numPr>
              <w:ind w:left="315" w:hanging="284"/>
              <w:rPr>
                <w:noProof/>
                <w:sz w:val="20"/>
              </w:rPr>
            </w:pPr>
            <w:r w:rsidRPr="00FF009C">
              <w:rPr>
                <w:noProof/>
                <w:sz w:val="20"/>
              </w:rPr>
              <w:t>Usprawnienie monitorowania, gromadzenia, analizowania</w:t>
            </w:r>
            <w:r w:rsidR="00FF009C" w:rsidRPr="00FF009C">
              <w:rPr>
                <w:noProof/>
                <w:sz w:val="20"/>
              </w:rPr>
              <w:t xml:space="preserve"> i</w:t>
            </w:r>
            <w:r w:rsidR="00FF009C">
              <w:rPr>
                <w:noProof/>
                <w:sz w:val="20"/>
              </w:rPr>
              <w:t> </w:t>
            </w:r>
            <w:r w:rsidR="00FF009C" w:rsidRPr="00FF009C">
              <w:rPr>
                <w:noProof/>
                <w:sz w:val="20"/>
              </w:rPr>
              <w:t>udo</w:t>
            </w:r>
            <w:r w:rsidRPr="00FF009C">
              <w:rPr>
                <w:noProof/>
                <w:sz w:val="20"/>
              </w:rPr>
              <w:t>stępniania informacji</w:t>
            </w:r>
            <w:r w:rsidR="00FF009C" w:rsidRPr="00FF009C">
              <w:rPr>
                <w:noProof/>
                <w:sz w:val="20"/>
              </w:rPr>
              <w:t xml:space="preserve"> i</w:t>
            </w:r>
            <w:r w:rsidR="00FF009C">
              <w:rPr>
                <w:noProof/>
                <w:sz w:val="20"/>
              </w:rPr>
              <w:t> </w:t>
            </w:r>
            <w:r w:rsidR="00FF009C" w:rsidRPr="00FF009C">
              <w:rPr>
                <w:noProof/>
                <w:sz w:val="20"/>
              </w:rPr>
              <w:t>dan</w:t>
            </w:r>
            <w:r w:rsidRPr="00FF009C">
              <w:rPr>
                <w:noProof/>
                <w:sz w:val="20"/>
              </w:rPr>
              <w:t>ych dotyczących zapobiegania przemytowi migrantów oraz reakcji organów wymiaru sprawiedliwości</w:t>
            </w:r>
            <w:r w:rsidR="00FF009C" w:rsidRPr="00FF009C">
              <w:rPr>
                <w:noProof/>
                <w:sz w:val="20"/>
              </w:rPr>
              <w:t xml:space="preserve"> i</w:t>
            </w:r>
            <w:r w:rsidR="00FF009C">
              <w:rPr>
                <w:noProof/>
                <w:sz w:val="20"/>
              </w:rPr>
              <w:t> </w:t>
            </w:r>
            <w:r w:rsidR="00FF009C" w:rsidRPr="00FF009C">
              <w:rPr>
                <w:noProof/>
                <w:sz w:val="20"/>
              </w:rPr>
              <w:t>org</w:t>
            </w:r>
            <w:r w:rsidRPr="00FF009C">
              <w:rPr>
                <w:noProof/>
                <w:sz w:val="20"/>
              </w:rPr>
              <w:t>anów ścigania na przemyt migrantów, aby wnieść wkład</w:t>
            </w:r>
            <w:r w:rsidR="00FF009C" w:rsidRPr="00FF009C">
              <w:rPr>
                <w:noProof/>
                <w:sz w:val="20"/>
              </w:rPr>
              <w:t xml:space="preserve"> w</w:t>
            </w:r>
            <w:r w:rsidR="00FF009C">
              <w:rPr>
                <w:noProof/>
                <w:sz w:val="20"/>
              </w:rPr>
              <w:t> </w:t>
            </w:r>
            <w:r w:rsidR="00FF009C" w:rsidRPr="00FF009C">
              <w:rPr>
                <w:noProof/>
                <w:sz w:val="20"/>
              </w:rPr>
              <w:t>pro</w:t>
            </w:r>
            <w:r w:rsidRPr="00FF009C">
              <w:rPr>
                <w:noProof/>
                <w:sz w:val="20"/>
              </w:rPr>
              <w:t>ces opracowywania polityki</w:t>
            </w:r>
            <w:r w:rsidR="00FF009C" w:rsidRPr="00FF009C">
              <w:rPr>
                <w:noProof/>
                <w:sz w:val="20"/>
              </w:rPr>
              <w:t xml:space="preserve"> w</w:t>
            </w:r>
            <w:r w:rsidR="00FF009C">
              <w:rPr>
                <w:noProof/>
                <w:sz w:val="20"/>
              </w:rPr>
              <w:t> </w:t>
            </w:r>
            <w:r w:rsidR="00FF009C" w:rsidRPr="00FF009C">
              <w:rPr>
                <w:noProof/>
                <w:sz w:val="20"/>
              </w:rPr>
              <w:t>opa</w:t>
            </w:r>
            <w:r w:rsidRPr="00FF009C">
              <w:rPr>
                <w:noProof/>
                <w:sz w:val="20"/>
              </w:rPr>
              <w:t>rciu</w:t>
            </w:r>
            <w:r w:rsidR="00FF009C" w:rsidRPr="00FF009C">
              <w:rPr>
                <w:noProof/>
                <w:sz w:val="20"/>
              </w:rPr>
              <w:t xml:space="preserve"> o</w:t>
            </w:r>
            <w:r w:rsidR="00FF009C">
              <w:rPr>
                <w:noProof/>
                <w:sz w:val="20"/>
              </w:rPr>
              <w:t> </w:t>
            </w:r>
            <w:r w:rsidR="00FF009C" w:rsidRPr="00FF009C">
              <w:rPr>
                <w:noProof/>
                <w:sz w:val="20"/>
              </w:rPr>
              <w:t>dow</w:t>
            </w:r>
            <w:r w:rsidRPr="00FF009C">
              <w:rPr>
                <w:noProof/>
                <w:sz w:val="20"/>
              </w:rPr>
              <w:t>ody zgodnie</w:t>
            </w:r>
            <w:r w:rsidR="00FF009C" w:rsidRPr="00FF009C">
              <w:rPr>
                <w:noProof/>
                <w:sz w:val="20"/>
              </w:rPr>
              <w:t xml:space="preserve"> z</w:t>
            </w:r>
            <w:r w:rsidR="00FF009C">
              <w:rPr>
                <w:noProof/>
                <w:sz w:val="20"/>
              </w:rPr>
              <w:t> </w:t>
            </w:r>
            <w:r w:rsidR="00FF009C" w:rsidRPr="00FF009C">
              <w:rPr>
                <w:noProof/>
                <w:sz w:val="20"/>
              </w:rPr>
              <w:t>wni</w:t>
            </w:r>
            <w:r w:rsidRPr="00FF009C">
              <w:rPr>
                <w:noProof/>
                <w:sz w:val="20"/>
              </w:rPr>
              <w:t>oskiem dotyczącym dyrektywy</w:t>
            </w:r>
            <w:r w:rsidR="00FF009C" w:rsidRPr="00FF009C">
              <w:rPr>
                <w:noProof/>
                <w:sz w:val="20"/>
              </w:rPr>
              <w:t xml:space="preserve"> w</w:t>
            </w:r>
            <w:r w:rsidR="00FF009C">
              <w:rPr>
                <w:noProof/>
                <w:sz w:val="20"/>
              </w:rPr>
              <w:t> </w:t>
            </w:r>
            <w:r w:rsidR="00FF009C" w:rsidRPr="00FF009C">
              <w:rPr>
                <w:noProof/>
                <w:sz w:val="20"/>
              </w:rPr>
              <w:t>spr</w:t>
            </w:r>
            <w:r w:rsidRPr="00FF009C">
              <w:rPr>
                <w:noProof/>
                <w:sz w:val="20"/>
              </w:rPr>
              <w:t>awie zapobiegania</w:t>
            </w:r>
            <w:r w:rsidR="00FF009C" w:rsidRPr="00FF009C">
              <w:rPr>
                <w:noProof/>
                <w:sz w:val="20"/>
              </w:rPr>
              <w:t xml:space="preserve"> i</w:t>
            </w:r>
            <w:r w:rsidR="00FF009C">
              <w:rPr>
                <w:noProof/>
                <w:sz w:val="20"/>
              </w:rPr>
              <w:t> </w:t>
            </w:r>
            <w:r w:rsidR="00FF009C" w:rsidRPr="00FF009C">
              <w:rPr>
                <w:noProof/>
                <w:sz w:val="20"/>
              </w:rPr>
              <w:t>zap</w:t>
            </w:r>
            <w:r w:rsidRPr="00FF009C">
              <w:rPr>
                <w:noProof/>
                <w:sz w:val="20"/>
              </w:rPr>
              <w:t>obiegania ułatwianiu niedozwolonego wjazdu do Unii, tranzytu przez jej terytorium</w:t>
            </w:r>
            <w:r w:rsidR="00FF009C" w:rsidRPr="00FF009C">
              <w:rPr>
                <w:noProof/>
                <w:sz w:val="20"/>
              </w:rPr>
              <w:t xml:space="preserve"> i</w:t>
            </w:r>
            <w:r w:rsidR="00FF009C">
              <w:rPr>
                <w:noProof/>
                <w:sz w:val="20"/>
              </w:rPr>
              <w:t> </w:t>
            </w:r>
            <w:r w:rsidR="00FF009C" w:rsidRPr="00FF009C">
              <w:rPr>
                <w:noProof/>
                <w:sz w:val="20"/>
              </w:rPr>
              <w:t>pob</w:t>
            </w:r>
            <w:r w:rsidRPr="00FF009C">
              <w:rPr>
                <w:noProof/>
                <w:sz w:val="20"/>
              </w:rPr>
              <w:t>ytu na nim oraz rozporządzenia</w:t>
            </w:r>
            <w:r w:rsidR="00FF009C" w:rsidRPr="00FF009C">
              <w:rPr>
                <w:noProof/>
                <w:sz w:val="20"/>
              </w:rPr>
              <w:t xml:space="preserve"> w</w:t>
            </w:r>
            <w:r w:rsidR="00FF009C">
              <w:rPr>
                <w:noProof/>
                <w:sz w:val="20"/>
              </w:rPr>
              <w:t> </w:t>
            </w:r>
            <w:r w:rsidR="00FF009C" w:rsidRPr="00FF009C">
              <w:rPr>
                <w:noProof/>
                <w:sz w:val="20"/>
              </w:rPr>
              <w:t>spr</w:t>
            </w:r>
            <w:r w:rsidRPr="00FF009C">
              <w:rPr>
                <w:noProof/>
                <w:sz w:val="20"/>
              </w:rPr>
              <w:t>awie zwalczania przemytu migrantów.</w:t>
            </w:r>
          </w:p>
        </w:tc>
      </w:tr>
      <w:tr w:rsidR="0014309B" w:rsidRPr="00FF009C" w14:paraId="5093163C" w14:textId="77777777" w:rsidTr="002467B1">
        <w:trPr>
          <w:jc w:val="center"/>
        </w:trPr>
        <w:tc>
          <w:tcPr>
            <w:tcW w:w="1560" w:type="dxa"/>
          </w:tcPr>
          <w:p w14:paraId="1F4D95C7" w14:textId="77777777" w:rsidR="0014309B" w:rsidRPr="00FF009C" w:rsidRDefault="0014309B" w:rsidP="002467B1">
            <w:pPr>
              <w:spacing w:before="60" w:after="60"/>
              <w:rPr>
                <w:noProof/>
                <w:sz w:val="20"/>
              </w:rPr>
            </w:pPr>
            <w:r w:rsidRPr="00FF009C">
              <w:rPr>
                <w:noProof/>
                <w:sz w:val="20"/>
              </w:rPr>
              <w:t>Personel zewnętrzny</w:t>
            </w:r>
          </w:p>
        </w:tc>
        <w:tc>
          <w:tcPr>
            <w:tcW w:w="7683" w:type="dxa"/>
          </w:tcPr>
          <w:p w14:paraId="7E77AF75" w14:textId="4C99E9F0" w:rsidR="0014309B" w:rsidRPr="00FF009C" w:rsidRDefault="0014309B" w:rsidP="002467B1">
            <w:pPr>
              <w:rPr>
                <w:noProof/>
                <w:sz w:val="20"/>
              </w:rPr>
            </w:pPr>
            <w:r w:rsidRPr="00FF009C">
              <w:rPr>
                <w:noProof/>
                <w:sz w:val="20"/>
              </w:rPr>
              <w:t>Wzmocnienie poszerzonych ram operacyjnych ustanowionych na potrzeby wspierania państw członkowskich przez Europol</w:t>
            </w:r>
            <w:r w:rsidR="00FF009C" w:rsidRPr="00FF009C">
              <w:rPr>
                <w:noProof/>
                <w:sz w:val="20"/>
              </w:rPr>
              <w:t xml:space="preserve"> w</w:t>
            </w:r>
            <w:r w:rsidR="00FF009C">
              <w:rPr>
                <w:noProof/>
                <w:sz w:val="20"/>
              </w:rPr>
              <w:t> </w:t>
            </w:r>
            <w:r w:rsidR="00FF009C" w:rsidRPr="00FF009C">
              <w:rPr>
                <w:noProof/>
                <w:sz w:val="20"/>
              </w:rPr>
              <w:t>kwe</w:t>
            </w:r>
            <w:r w:rsidRPr="00FF009C">
              <w:rPr>
                <w:noProof/>
                <w:sz w:val="20"/>
              </w:rPr>
              <w:t>stiach dotyczących przemytu migrantów, organizowania odpowiednich operacyjnych grup zadaniowych</w:t>
            </w:r>
            <w:r w:rsidR="00FF009C" w:rsidRPr="00FF009C">
              <w:rPr>
                <w:noProof/>
                <w:sz w:val="20"/>
              </w:rPr>
              <w:t xml:space="preserve"> i</w:t>
            </w:r>
            <w:r w:rsidR="00FF009C">
              <w:rPr>
                <w:noProof/>
                <w:sz w:val="20"/>
              </w:rPr>
              <w:t> </w:t>
            </w:r>
            <w:r w:rsidR="00FF009C" w:rsidRPr="00FF009C">
              <w:rPr>
                <w:noProof/>
                <w:sz w:val="20"/>
              </w:rPr>
              <w:t>zar</w:t>
            </w:r>
            <w:r w:rsidRPr="00FF009C">
              <w:rPr>
                <w:noProof/>
                <w:sz w:val="20"/>
              </w:rPr>
              <w:t>ządzania nimi, rozmieszczania pracowników Europolu</w:t>
            </w:r>
            <w:r w:rsidR="00FF009C" w:rsidRPr="00FF009C">
              <w:rPr>
                <w:noProof/>
                <w:sz w:val="20"/>
              </w:rPr>
              <w:t xml:space="preserve"> w</w:t>
            </w:r>
            <w:r w:rsidR="00FF009C">
              <w:rPr>
                <w:noProof/>
                <w:sz w:val="20"/>
              </w:rPr>
              <w:t> </w:t>
            </w:r>
            <w:r w:rsidR="00FF009C" w:rsidRPr="00FF009C">
              <w:rPr>
                <w:noProof/>
                <w:sz w:val="20"/>
              </w:rPr>
              <w:t>ram</w:t>
            </w:r>
            <w:r w:rsidRPr="00FF009C">
              <w:rPr>
                <w:noProof/>
                <w:sz w:val="20"/>
              </w:rPr>
              <w:t>ach wsparcia operacyjnego oraz działań podejmowanych</w:t>
            </w:r>
            <w:r w:rsidR="00FF009C" w:rsidRPr="00FF009C">
              <w:rPr>
                <w:noProof/>
                <w:sz w:val="20"/>
              </w:rPr>
              <w:t xml:space="preserve"> w</w:t>
            </w:r>
            <w:r w:rsidR="00FF009C">
              <w:rPr>
                <w:noProof/>
                <w:sz w:val="20"/>
              </w:rPr>
              <w:t> </w:t>
            </w:r>
            <w:r w:rsidR="00FF009C" w:rsidRPr="00FF009C">
              <w:rPr>
                <w:noProof/>
                <w:sz w:val="20"/>
              </w:rPr>
              <w:t>ram</w:t>
            </w:r>
            <w:r w:rsidRPr="00FF009C">
              <w:rPr>
                <w:noProof/>
                <w:sz w:val="20"/>
              </w:rPr>
              <w:t>ach EMPACT zgodnie</w:t>
            </w:r>
            <w:r w:rsidR="00FF009C" w:rsidRPr="00FF009C">
              <w:rPr>
                <w:noProof/>
                <w:sz w:val="20"/>
              </w:rPr>
              <w:t xml:space="preserve"> z</w:t>
            </w:r>
            <w:r w:rsidR="00FF009C">
              <w:rPr>
                <w:noProof/>
                <w:sz w:val="20"/>
              </w:rPr>
              <w:t> </w:t>
            </w:r>
            <w:r w:rsidR="00FF009C" w:rsidRPr="00FF009C">
              <w:rPr>
                <w:noProof/>
                <w:sz w:val="20"/>
              </w:rPr>
              <w:t>wni</w:t>
            </w:r>
            <w:r w:rsidRPr="00FF009C">
              <w:rPr>
                <w:noProof/>
                <w:sz w:val="20"/>
              </w:rPr>
              <w:t>oskiem dotyczącym rozporządzenia</w:t>
            </w:r>
            <w:r w:rsidR="00FF009C" w:rsidRPr="00FF009C">
              <w:rPr>
                <w:noProof/>
                <w:sz w:val="20"/>
              </w:rPr>
              <w:t xml:space="preserve"> w</w:t>
            </w:r>
            <w:r w:rsidR="00FF009C">
              <w:rPr>
                <w:noProof/>
                <w:sz w:val="20"/>
              </w:rPr>
              <w:t> </w:t>
            </w:r>
            <w:r w:rsidR="00FF009C" w:rsidRPr="00FF009C">
              <w:rPr>
                <w:noProof/>
                <w:sz w:val="20"/>
              </w:rPr>
              <w:t>spr</w:t>
            </w:r>
            <w:r w:rsidRPr="00FF009C">
              <w:rPr>
                <w:noProof/>
                <w:sz w:val="20"/>
              </w:rPr>
              <w:t>awie zwalczania przemytu migrantów.</w:t>
            </w:r>
          </w:p>
        </w:tc>
      </w:tr>
    </w:tbl>
    <w:p w14:paraId="35C8EA04" w14:textId="77777777" w:rsidR="0014309B" w:rsidRPr="00FF009C" w:rsidRDefault="0014309B" w:rsidP="0014309B">
      <w:pPr>
        <w:rPr>
          <w:noProof/>
        </w:rPr>
        <w:sectPr w:rsidR="0014309B" w:rsidRPr="00FF009C" w:rsidSect="004E3534">
          <w:pgSz w:w="11907" w:h="16839"/>
          <w:pgMar w:top="1134" w:right="1417" w:bottom="1134" w:left="1417" w:header="709" w:footer="709" w:gutter="0"/>
          <w:cols w:space="720"/>
          <w:docGrid w:linePitch="326"/>
        </w:sectPr>
      </w:pPr>
    </w:p>
    <w:p w14:paraId="77C67CB5" w14:textId="1F4EABC9" w:rsidR="0014309B" w:rsidRPr="00FF009C" w:rsidRDefault="0014309B">
      <w:pPr>
        <w:pStyle w:val="ManualHeading3"/>
        <w:rPr>
          <w:noProof/>
        </w:rPr>
      </w:pPr>
      <w:bookmarkStart w:id="70" w:name="_Toc514938689"/>
      <w:bookmarkStart w:id="71" w:name="_Toc155952171"/>
      <w:r w:rsidRPr="00FF009C">
        <w:rPr>
          <w:noProof/>
        </w:rPr>
        <w:t>3.2.4.</w:t>
      </w:r>
      <w:r w:rsidRPr="00FF009C">
        <w:rPr>
          <w:noProof/>
        </w:rPr>
        <w:tab/>
        <w:t>Zgodność</w:t>
      </w:r>
      <w:r w:rsidR="00FF009C" w:rsidRPr="00FF009C">
        <w:rPr>
          <w:noProof/>
        </w:rPr>
        <w:t xml:space="preserve"> z</w:t>
      </w:r>
      <w:r w:rsidR="00FF009C">
        <w:rPr>
          <w:noProof/>
        </w:rPr>
        <w:t> </w:t>
      </w:r>
      <w:r w:rsidR="00FF009C" w:rsidRPr="00FF009C">
        <w:rPr>
          <w:noProof/>
        </w:rPr>
        <w:t>obo</w:t>
      </w:r>
      <w:r w:rsidRPr="00FF009C">
        <w:rPr>
          <w:noProof/>
        </w:rPr>
        <w:t>wiązującymi wieloletnimi ramami finansowymi</w:t>
      </w:r>
      <w:bookmarkEnd w:id="70"/>
      <w:bookmarkEnd w:id="71"/>
      <w:r w:rsidRPr="00FF009C">
        <w:rPr>
          <w:noProof/>
        </w:rPr>
        <w:t xml:space="preserve"> </w:t>
      </w:r>
    </w:p>
    <w:p w14:paraId="14AB231E" w14:textId="1A3374C5" w:rsidR="0014309B" w:rsidRPr="00FF009C" w:rsidRDefault="0014309B" w:rsidP="002073EE">
      <w:pPr>
        <w:pStyle w:val="ListDash1"/>
        <w:numPr>
          <w:ilvl w:val="0"/>
          <w:numId w:val="19"/>
        </w:numPr>
        <w:rPr>
          <w:noProof/>
        </w:rPr>
      </w:pPr>
      <w:r w:rsidRPr="00FF009C">
        <w:rPr>
          <w:rFonts w:ascii="Wingdings" w:hAnsi="Wingdings"/>
          <w:noProof/>
        </w:rPr>
        <w:t></w:t>
      </w:r>
      <w:r w:rsidRPr="00FF009C">
        <w:rPr>
          <w:noProof/>
        </w:rPr>
        <w:tab/>
        <w:t>Wniosek/inicjatywa jest zgodny(-a)</w:t>
      </w:r>
      <w:r w:rsidR="00FF009C" w:rsidRPr="00FF009C">
        <w:rPr>
          <w:noProof/>
        </w:rPr>
        <w:t xml:space="preserve"> z</w:t>
      </w:r>
      <w:r w:rsidR="00FF009C">
        <w:rPr>
          <w:noProof/>
        </w:rPr>
        <w:t> </w:t>
      </w:r>
      <w:r w:rsidR="00FF009C" w:rsidRPr="00FF009C">
        <w:rPr>
          <w:noProof/>
        </w:rPr>
        <w:t>obo</w:t>
      </w:r>
      <w:r w:rsidRPr="00FF009C">
        <w:rPr>
          <w:noProof/>
        </w:rPr>
        <w:t>wiązującymi wieloletnimi ramami finansowymi.</w:t>
      </w:r>
    </w:p>
    <w:p w14:paraId="046EF704" w14:textId="3546C225" w:rsidR="0014309B" w:rsidRPr="00FF009C" w:rsidRDefault="0014309B" w:rsidP="002073EE">
      <w:pPr>
        <w:pStyle w:val="ListDash1"/>
        <w:numPr>
          <w:ilvl w:val="0"/>
          <w:numId w:val="19"/>
        </w:numPr>
        <w:rPr>
          <w:noProof/>
        </w:rPr>
      </w:pPr>
      <w:r w:rsidRPr="00FF009C">
        <w:rPr>
          <w:rFonts w:ascii="Wingdings" w:hAnsi="Wingdings"/>
          <w:noProof/>
        </w:rPr>
        <w:sym w:font="Wingdings" w:char="F0FE"/>
      </w:r>
      <w:r w:rsidRPr="00FF009C">
        <w:rPr>
          <w:noProof/>
        </w:rPr>
        <w:tab/>
        <w:t>Wniosek/inicjatywa wymaga przeprogramowania odpowiedniego działu</w:t>
      </w:r>
      <w:r w:rsidR="00FF009C" w:rsidRPr="00FF009C">
        <w:rPr>
          <w:noProof/>
        </w:rPr>
        <w:t xml:space="preserve"> w</w:t>
      </w:r>
      <w:r w:rsidR="00FF009C">
        <w:rPr>
          <w:noProof/>
        </w:rPr>
        <w:t> </w:t>
      </w:r>
      <w:r w:rsidR="00FF009C" w:rsidRPr="00FF009C">
        <w:rPr>
          <w:noProof/>
        </w:rPr>
        <w:t>wie</w:t>
      </w:r>
      <w:r w:rsidRPr="00FF009C">
        <w:rPr>
          <w:noProof/>
        </w:rPr>
        <w:t>loletnich ramach finansowych.</w:t>
      </w:r>
    </w:p>
    <w:p w14:paraId="30070203" w14:textId="65F84F97" w:rsidR="0014309B" w:rsidRPr="00FF009C" w:rsidRDefault="00212420" w:rsidP="0014309B">
      <w:pPr>
        <w:pStyle w:val="Text1"/>
        <w:pBdr>
          <w:top w:val="single" w:sz="4" w:space="1" w:color="auto"/>
          <w:left w:val="single" w:sz="4" w:space="4" w:color="auto"/>
          <w:bottom w:val="single" w:sz="4" w:space="1" w:color="auto"/>
          <w:right w:val="single" w:sz="4" w:space="4" w:color="auto"/>
        </w:pBdr>
        <w:rPr>
          <w:noProof/>
          <w:sz w:val="20"/>
        </w:rPr>
      </w:pPr>
      <w:r w:rsidRPr="00FF009C">
        <w:rPr>
          <w:noProof/>
          <w:sz w:val="20"/>
        </w:rPr>
        <w:t>Wpływ na budżet dodatkowych środków finansowych zostanie częściowo zrównoważony przez udostępnienie marginesów (20 mln EUR)</w:t>
      </w:r>
      <w:r w:rsidR="00FF009C" w:rsidRPr="00FF009C">
        <w:rPr>
          <w:noProof/>
          <w:sz w:val="20"/>
        </w:rPr>
        <w:t xml:space="preserve"> i</w:t>
      </w:r>
      <w:r w:rsidR="00FF009C">
        <w:rPr>
          <w:noProof/>
          <w:sz w:val="20"/>
        </w:rPr>
        <w:t> </w:t>
      </w:r>
      <w:r w:rsidR="00FF009C" w:rsidRPr="00FF009C">
        <w:rPr>
          <w:noProof/>
          <w:sz w:val="20"/>
        </w:rPr>
        <w:t>pot</w:t>
      </w:r>
      <w:r w:rsidRPr="00FF009C">
        <w:rPr>
          <w:noProof/>
          <w:sz w:val="20"/>
        </w:rPr>
        <w:t>rącenia budżetowe</w:t>
      </w:r>
      <w:r w:rsidR="00FF009C" w:rsidRPr="00FF009C">
        <w:rPr>
          <w:noProof/>
          <w:sz w:val="20"/>
        </w:rPr>
        <w:t xml:space="preserve"> z</w:t>
      </w:r>
      <w:r w:rsidR="00FF009C">
        <w:rPr>
          <w:noProof/>
          <w:sz w:val="20"/>
        </w:rPr>
        <w:t> </w:t>
      </w:r>
      <w:r w:rsidR="00FF009C" w:rsidRPr="00FF009C">
        <w:rPr>
          <w:noProof/>
          <w:sz w:val="20"/>
        </w:rPr>
        <w:t>pro</w:t>
      </w:r>
      <w:r w:rsidRPr="00FF009C">
        <w:rPr>
          <w:noProof/>
          <w:sz w:val="20"/>
        </w:rPr>
        <w:t>gramów IZGW i FBW.</w:t>
      </w:r>
    </w:p>
    <w:p w14:paraId="17E4F15A" w14:textId="77777777" w:rsidR="0014309B" w:rsidRPr="00FF009C" w:rsidRDefault="0014309B" w:rsidP="002073EE">
      <w:pPr>
        <w:pStyle w:val="ListDash1"/>
        <w:numPr>
          <w:ilvl w:val="0"/>
          <w:numId w:val="19"/>
        </w:numPr>
        <w:rPr>
          <w:noProof/>
        </w:rPr>
      </w:pPr>
      <w:r w:rsidRPr="00FF009C">
        <w:rPr>
          <w:rFonts w:ascii="Wingdings" w:hAnsi="Wingdings"/>
          <w:noProof/>
        </w:rPr>
        <w:t></w:t>
      </w:r>
      <w:r w:rsidRPr="00FF009C">
        <w:rPr>
          <w:noProof/>
        </w:rPr>
        <w:tab/>
        <w:t>Wniosek/inicjatywa wymaga zastosowania instrumentu elastyczności lub zmiany wieloletnich ram finansowych</w:t>
      </w:r>
      <w:r w:rsidRPr="00FF009C">
        <w:rPr>
          <w:rStyle w:val="FootnoteReference0"/>
          <w:noProof/>
        </w:rPr>
        <w:footnoteReference w:id="47"/>
      </w:r>
      <w:r w:rsidRPr="00FF009C">
        <w:rPr>
          <w:noProof/>
        </w:rPr>
        <w:t>.</w:t>
      </w:r>
    </w:p>
    <w:p w14:paraId="450BCF61" w14:textId="77777777" w:rsidR="0014309B" w:rsidRPr="00FF009C" w:rsidRDefault="0014309B" w:rsidP="0014309B">
      <w:pPr>
        <w:pStyle w:val="Text1"/>
        <w:pBdr>
          <w:top w:val="single" w:sz="4" w:space="1" w:color="auto"/>
          <w:left w:val="single" w:sz="4" w:space="4" w:color="auto"/>
          <w:bottom w:val="single" w:sz="4" w:space="1" w:color="auto"/>
          <w:right w:val="single" w:sz="4" w:space="4" w:color="auto"/>
        </w:pBdr>
        <w:rPr>
          <w:noProof/>
          <w:sz w:val="20"/>
        </w:rPr>
      </w:pPr>
    </w:p>
    <w:p w14:paraId="711F933A" w14:textId="0D5EED85" w:rsidR="0014309B" w:rsidRPr="00FF009C" w:rsidRDefault="0014309B">
      <w:pPr>
        <w:pStyle w:val="ManualHeading3"/>
        <w:rPr>
          <w:noProof/>
        </w:rPr>
      </w:pPr>
      <w:bookmarkStart w:id="72" w:name="_Toc514938690"/>
      <w:bookmarkStart w:id="73" w:name="_Toc155952172"/>
      <w:r w:rsidRPr="00FF009C">
        <w:rPr>
          <w:noProof/>
        </w:rPr>
        <w:t>3.2.5.</w:t>
      </w:r>
      <w:r w:rsidRPr="00FF009C">
        <w:rPr>
          <w:noProof/>
        </w:rPr>
        <w:tab/>
        <w:t>Udział osób trzecich</w:t>
      </w:r>
      <w:r w:rsidR="00FF009C" w:rsidRPr="00FF009C">
        <w:rPr>
          <w:noProof/>
        </w:rPr>
        <w:t xml:space="preserve"> w</w:t>
      </w:r>
      <w:r w:rsidR="00FF009C">
        <w:rPr>
          <w:noProof/>
        </w:rPr>
        <w:t> </w:t>
      </w:r>
      <w:r w:rsidR="00FF009C" w:rsidRPr="00FF009C">
        <w:rPr>
          <w:noProof/>
        </w:rPr>
        <w:t>fin</w:t>
      </w:r>
      <w:r w:rsidRPr="00FF009C">
        <w:rPr>
          <w:noProof/>
        </w:rPr>
        <w:t>ansowaniu</w:t>
      </w:r>
      <w:bookmarkEnd w:id="72"/>
      <w:bookmarkEnd w:id="73"/>
      <w:r w:rsidRPr="00FF009C">
        <w:rPr>
          <w:noProof/>
        </w:rPr>
        <w:t xml:space="preserve"> </w:t>
      </w:r>
    </w:p>
    <w:p w14:paraId="636013DA" w14:textId="77777777" w:rsidR="0014309B" w:rsidRPr="00FF009C" w:rsidRDefault="0014309B" w:rsidP="002073EE">
      <w:pPr>
        <w:pStyle w:val="ListDash1"/>
        <w:numPr>
          <w:ilvl w:val="0"/>
          <w:numId w:val="19"/>
        </w:numPr>
        <w:rPr>
          <w:noProof/>
        </w:rPr>
      </w:pPr>
      <w:r w:rsidRPr="00FF009C">
        <w:rPr>
          <w:noProof/>
        </w:rPr>
        <w:t xml:space="preserve">Wniosek/inicjatywa nie przewiduje współfinansowania ze strony osób trzecich </w:t>
      </w:r>
    </w:p>
    <w:p w14:paraId="77E66EBB" w14:textId="67B034C9" w:rsidR="0014309B" w:rsidRPr="00FF009C" w:rsidRDefault="0014309B" w:rsidP="002073EE">
      <w:pPr>
        <w:pStyle w:val="ListDash1"/>
        <w:numPr>
          <w:ilvl w:val="0"/>
          <w:numId w:val="19"/>
        </w:numPr>
        <w:rPr>
          <w:noProof/>
        </w:rPr>
      </w:pPr>
      <w:r w:rsidRPr="00FF009C">
        <w:rPr>
          <w:noProof/>
        </w:rPr>
        <w:t>Wniosek/inicjatywa przewiduje współfinansowanie szacowane zgodnie</w:t>
      </w:r>
      <w:r w:rsidR="00FF009C" w:rsidRPr="00FF009C">
        <w:rPr>
          <w:noProof/>
        </w:rPr>
        <w:t xml:space="preserve"> z</w:t>
      </w:r>
      <w:r w:rsidR="00FF009C">
        <w:rPr>
          <w:noProof/>
        </w:rPr>
        <w:t> </w:t>
      </w:r>
      <w:r w:rsidR="00FF009C" w:rsidRPr="00FF009C">
        <w:rPr>
          <w:noProof/>
        </w:rPr>
        <w:t>pon</w:t>
      </w:r>
      <w:r w:rsidRPr="00FF009C">
        <w:rPr>
          <w:noProof/>
        </w:rPr>
        <w:t>iższym:</w:t>
      </w:r>
    </w:p>
    <w:p w14:paraId="5E32E249" w14:textId="77777777" w:rsidR="0014309B" w:rsidRPr="00FF009C" w:rsidRDefault="0014309B" w:rsidP="0014309B">
      <w:pPr>
        <w:rPr>
          <w:noProof/>
        </w:rPr>
      </w:pPr>
    </w:p>
    <w:p w14:paraId="611FE927" w14:textId="77777777" w:rsidR="0014309B" w:rsidRPr="00FF009C" w:rsidRDefault="0014309B">
      <w:pPr>
        <w:pStyle w:val="ManualHeading2"/>
        <w:rPr>
          <w:noProof/>
        </w:rPr>
      </w:pPr>
      <w:r w:rsidRPr="00FF009C">
        <w:rPr>
          <w:noProof/>
        </w:rPr>
        <w:br w:type="page"/>
      </w:r>
      <w:bookmarkStart w:id="74" w:name="_Toc514938691"/>
      <w:bookmarkStart w:id="75" w:name="_Toc155952173"/>
      <w:r w:rsidRPr="00FF009C">
        <w:rPr>
          <w:noProof/>
        </w:rPr>
        <w:t>3.3.</w:t>
      </w:r>
      <w:r w:rsidRPr="00FF009C">
        <w:rPr>
          <w:noProof/>
        </w:rPr>
        <w:tab/>
        <w:t>Szacunkowy wpływ na dochody</w:t>
      </w:r>
      <w:bookmarkEnd w:id="74"/>
      <w:bookmarkEnd w:id="75"/>
      <w:r w:rsidRPr="00FF009C">
        <w:rPr>
          <w:noProof/>
        </w:rPr>
        <w:t xml:space="preserve"> </w:t>
      </w:r>
    </w:p>
    <w:p w14:paraId="204066D2" w14:textId="77777777" w:rsidR="0014309B" w:rsidRPr="00FF009C" w:rsidRDefault="0014309B" w:rsidP="002073EE">
      <w:pPr>
        <w:pStyle w:val="ListDash1"/>
        <w:numPr>
          <w:ilvl w:val="0"/>
          <w:numId w:val="19"/>
        </w:numPr>
        <w:rPr>
          <w:noProof/>
        </w:rPr>
      </w:pPr>
      <w:r w:rsidRPr="00FF009C">
        <w:rPr>
          <w:rFonts w:ascii="Wingdings" w:hAnsi="Wingdings"/>
          <w:noProof/>
        </w:rPr>
        <w:t></w:t>
      </w:r>
      <w:r w:rsidRPr="00FF009C">
        <w:rPr>
          <w:noProof/>
        </w:rPr>
        <w:tab/>
        <w:t>Wniosek/inicjatywa nie ma wpływu finansowego na dochody.</w:t>
      </w:r>
    </w:p>
    <w:p w14:paraId="61B53E1C" w14:textId="77777777" w:rsidR="0014309B" w:rsidRPr="00FF009C" w:rsidRDefault="0014309B" w:rsidP="002073EE">
      <w:pPr>
        <w:pStyle w:val="ListDash1"/>
        <w:numPr>
          <w:ilvl w:val="0"/>
          <w:numId w:val="19"/>
        </w:numPr>
        <w:rPr>
          <w:noProof/>
        </w:rPr>
      </w:pPr>
      <w:r w:rsidRPr="00FF009C">
        <w:rPr>
          <w:rFonts w:ascii="Wingdings" w:hAnsi="Wingdings"/>
          <w:noProof/>
        </w:rPr>
        <w:t></w:t>
      </w:r>
      <w:r w:rsidRPr="00FF009C">
        <w:rPr>
          <w:noProof/>
        </w:rPr>
        <w:tab/>
        <w:t>Wniosek/inicjatywa ma wpływ finansowy określony poniżej:</w:t>
      </w:r>
    </w:p>
    <w:p w14:paraId="011C9E61" w14:textId="77777777" w:rsidR="0014309B" w:rsidRPr="00FF009C" w:rsidRDefault="0014309B" w:rsidP="002073EE">
      <w:pPr>
        <w:pStyle w:val="ListNumberLevel3"/>
        <w:numPr>
          <w:ilvl w:val="2"/>
          <w:numId w:val="17"/>
        </w:numPr>
        <w:rPr>
          <w:noProof/>
        </w:rPr>
      </w:pPr>
      <w:r w:rsidRPr="00FF009C">
        <w:rPr>
          <w:rFonts w:ascii="Wingdings" w:hAnsi="Wingdings"/>
          <w:noProof/>
        </w:rPr>
        <w:t></w:t>
      </w:r>
      <w:r w:rsidRPr="00FF009C">
        <w:rPr>
          <w:noProof/>
        </w:rPr>
        <w:tab/>
        <w:t xml:space="preserve">wpływ na zasoby własne </w:t>
      </w:r>
    </w:p>
    <w:p w14:paraId="41F4996C" w14:textId="77777777" w:rsidR="0014309B" w:rsidRPr="00FF009C" w:rsidRDefault="0014309B" w:rsidP="002073EE">
      <w:pPr>
        <w:pStyle w:val="ListNumberLevel3"/>
        <w:numPr>
          <w:ilvl w:val="2"/>
          <w:numId w:val="17"/>
        </w:numPr>
        <w:rPr>
          <w:noProof/>
        </w:rPr>
      </w:pPr>
      <w:r w:rsidRPr="00FF009C">
        <w:rPr>
          <w:rFonts w:ascii="Wingdings" w:hAnsi="Wingdings"/>
          <w:noProof/>
        </w:rPr>
        <w:t></w:t>
      </w:r>
      <w:r w:rsidRPr="00FF009C">
        <w:rPr>
          <w:noProof/>
        </w:rPr>
        <w:tab/>
        <w:t xml:space="preserve">wpływ na dochody inne </w:t>
      </w:r>
    </w:p>
    <w:p w14:paraId="5FAEA830" w14:textId="7A05D9B0" w:rsidR="0014309B" w:rsidRPr="00FF009C" w:rsidRDefault="0014309B" w:rsidP="002073EE">
      <w:pPr>
        <w:pStyle w:val="ListNumberLevel3"/>
        <w:numPr>
          <w:ilvl w:val="2"/>
          <w:numId w:val="17"/>
        </w:numPr>
        <w:rPr>
          <w:noProof/>
        </w:rPr>
      </w:pPr>
      <w:r w:rsidRPr="00FF009C">
        <w:rPr>
          <w:noProof/>
        </w:rPr>
        <w:t xml:space="preserve">Wskazać, czy dochody są przypisane do linii budżetowej po stronie wydatków </w:t>
      </w:r>
      <w:r w:rsidRPr="00FF009C">
        <w:rPr>
          <w:rFonts w:ascii="Wingdings" w:hAnsi="Wingdings"/>
          <w:noProof/>
        </w:rPr>
        <w:t></w:t>
      </w:r>
    </w:p>
    <w:sectPr w:rsidR="0014309B" w:rsidRPr="00FF009C" w:rsidSect="004E3534">
      <w:pgSz w:w="12240" w:h="15840"/>
      <w:pgMar w:top="794" w:right="907" w:bottom="851" w:left="1361" w:header="510"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19B4D" w14:textId="77777777" w:rsidR="00800AA9" w:rsidRPr="00FF009C" w:rsidRDefault="00800AA9" w:rsidP="0043039B">
      <w:pPr>
        <w:spacing w:before="0" w:after="0"/>
      </w:pPr>
      <w:r w:rsidRPr="00FF009C">
        <w:separator/>
      </w:r>
    </w:p>
  </w:endnote>
  <w:endnote w:type="continuationSeparator" w:id="0">
    <w:p w14:paraId="0F228FA6" w14:textId="77777777" w:rsidR="00800AA9" w:rsidRPr="00FF009C" w:rsidRDefault="00800AA9" w:rsidP="0043039B">
      <w:pPr>
        <w:spacing w:before="0" w:after="0"/>
      </w:pPr>
      <w:r w:rsidRPr="00FF009C">
        <w:continuationSeparator/>
      </w:r>
    </w:p>
  </w:endnote>
  <w:endnote w:type="continuationNotice" w:id="1">
    <w:p w14:paraId="22A614D7" w14:textId="77777777" w:rsidR="00800AA9" w:rsidRPr="00FF009C" w:rsidRDefault="00800AA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04A67" w14:textId="41F19750" w:rsidR="00C66276" w:rsidRPr="004E3534" w:rsidRDefault="004E3534" w:rsidP="004E3534">
    <w:pPr>
      <w:pStyle w:val="Footer"/>
      <w:rPr>
        <w:rFonts w:ascii="Arial" w:hAnsi="Arial" w:cs="Arial"/>
        <w:b/>
        <w:sz w:val="48"/>
      </w:rPr>
    </w:pPr>
    <w:r w:rsidRPr="004E3534">
      <w:rPr>
        <w:rFonts w:ascii="Arial" w:hAnsi="Arial" w:cs="Arial"/>
        <w:b/>
        <w:sz w:val="48"/>
      </w:rPr>
      <w:t>PL</w:t>
    </w:r>
    <w:r w:rsidRPr="004E3534">
      <w:rPr>
        <w:rFonts w:ascii="Arial" w:hAnsi="Arial" w:cs="Arial"/>
        <w:b/>
        <w:sz w:val="48"/>
      </w:rPr>
      <w:tab/>
    </w:r>
    <w:r w:rsidRPr="004E3534">
      <w:rPr>
        <w:rFonts w:ascii="Arial" w:hAnsi="Arial" w:cs="Arial"/>
        <w:b/>
        <w:sz w:val="48"/>
      </w:rPr>
      <w:tab/>
    </w:r>
    <w:r w:rsidRPr="004E3534">
      <w:tab/>
    </w:r>
    <w:r w:rsidRPr="004E3534">
      <w:rPr>
        <w:rFonts w:ascii="Arial" w:hAnsi="Arial" w:cs="Arial"/>
        <w:b/>
        <w:sz w:val="48"/>
      </w:rPr>
      <w:t>PL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0ABCB" w14:textId="68304B0E" w:rsidR="004E3534" w:rsidRPr="004E3534" w:rsidRDefault="004E3534" w:rsidP="004E3534">
    <w:pPr>
      <w:pStyle w:val="Footer"/>
      <w:rPr>
        <w:rFonts w:ascii="Arial" w:hAnsi="Arial" w:cs="Arial"/>
        <w:b/>
        <w:sz w:val="48"/>
      </w:rPr>
    </w:pPr>
    <w:r w:rsidRPr="004E3534">
      <w:rPr>
        <w:rFonts w:ascii="Arial" w:hAnsi="Arial" w:cs="Arial"/>
        <w:b/>
        <w:sz w:val="48"/>
      </w:rPr>
      <w:t>PL</w:t>
    </w:r>
    <w:r w:rsidRPr="004E3534">
      <w:rPr>
        <w:rFonts w:ascii="Arial" w:hAnsi="Arial" w:cs="Arial"/>
        <w:b/>
        <w:sz w:val="48"/>
      </w:rPr>
      <w:tab/>
    </w:r>
    <w:r>
      <w:fldChar w:fldCharType="begin"/>
    </w:r>
    <w:r>
      <w:instrText xml:space="preserve"> PAGE  \* MERGEFORMAT </w:instrText>
    </w:r>
    <w:r>
      <w:fldChar w:fldCharType="separate"/>
    </w:r>
    <w:r w:rsidR="00D35655">
      <w:rPr>
        <w:noProof/>
      </w:rPr>
      <w:t>33</w:t>
    </w:r>
    <w:r>
      <w:fldChar w:fldCharType="end"/>
    </w:r>
    <w:r>
      <w:tab/>
    </w:r>
    <w:r w:rsidRPr="004E3534">
      <w:tab/>
    </w:r>
    <w:r w:rsidRPr="004E3534">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D0D4D" w14:textId="77777777" w:rsidR="004E3534" w:rsidRPr="004E3534" w:rsidRDefault="004E3534" w:rsidP="004E35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D130A" w14:textId="49A1C330" w:rsidR="00996686" w:rsidRPr="004E3534" w:rsidRDefault="004E3534" w:rsidP="004E3534">
    <w:pPr>
      <w:pStyle w:val="FooterLandscape"/>
      <w:rPr>
        <w:rFonts w:ascii="Arial" w:hAnsi="Arial" w:cs="Arial"/>
        <w:b/>
        <w:sz w:val="48"/>
      </w:rPr>
    </w:pPr>
    <w:r w:rsidRPr="004E3534">
      <w:rPr>
        <w:rFonts w:ascii="Arial" w:hAnsi="Arial" w:cs="Arial"/>
        <w:b/>
        <w:sz w:val="48"/>
      </w:rPr>
      <w:t>PL</w:t>
    </w:r>
    <w:r w:rsidRPr="004E3534">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4E3534">
      <w:tab/>
    </w:r>
    <w:r w:rsidRPr="004E3534">
      <w:rPr>
        <w:rFonts w:ascii="Arial" w:hAnsi="Arial" w:cs="Arial"/>
        <w:b/>
        <w:sz w:val="48"/>
      </w:rPr>
      <w:t>PL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0416E" w14:textId="77777777" w:rsidR="004E3534" w:rsidRPr="004E3534" w:rsidRDefault="004E3534" w:rsidP="004E3534">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BA5D5" w14:textId="488BD484" w:rsidR="00C66276" w:rsidRPr="004E3534" w:rsidRDefault="004E3534" w:rsidP="004E3534">
    <w:pPr>
      <w:pStyle w:val="Footer"/>
      <w:rPr>
        <w:rFonts w:ascii="Arial" w:hAnsi="Arial" w:cs="Arial"/>
        <w:b/>
        <w:sz w:val="48"/>
      </w:rPr>
    </w:pPr>
    <w:r w:rsidRPr="004E3534">
      <w:rPr>
        <w:rFonts w:ascii="Arial" w:hAnsi="Arial" w:cs="Arial"/>
        <w:b/>
        <w:sz w:val="48"/>
      </w:rPr>
      <w:t>PL</w:t>
    </w:r>
    <w:r w:rsidRPr="004E3534">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4E3534">
      <w:tab/>
    </w:r>
    <w:r w:rsidRPr="004E3534">
      <w:rPr>
        <w:rFonts w:ascii="Arial" w:hAnsi="Arial" w:cs="Arial"/>
        <w:b/>
        <w:sz w:val="48"/>
      </w:rPr>
      <w:t>PL</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DDA41" w14:textId="77777777" w:rsidR="004E3534" w:rsidRPr="004E3534" w:rsidRDefault="004E3534" w:rsidP="004E3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F5B2A" w14:textId="77777777" w:rsidR="00800AA9" w:rsidRPr="00FF009C" w:rsidRDefault="00800AA9" w:rsidP="0043039B">
      <w:pPr>
        <w:spacing w:before="0" w:after="0"/>
      </w:pPr>
      <w:r w:rsidRPr="00FF009C">
        <w:separator/>
      </w:r>
    </w:p>
  </w:footnote>
  <w:footnote w:type="continuationSeparator" w:id="0">
    <w:p w14:paraId="25027293" w14:textId="77777777" w:rsidR="00800AA9" w:rsidRPr="00FF009C" w:rsidRDefault="00800AA9" w:rsidP="0043039B">
      <w:pPr>
        <w:spacing w:before="0" w:after="0"/>
      </w:pPr>
      <w:r w:rsidRPr="00FF009C">
        <w:continuationSeparator/>
      </w:r>
    </w:p>
  </w:footnote>
  <w:footnote w:type="continuationNotice" w:id="1">
    <w:p w14:paraId="0B6C1E2C" w14:textId="77777777" w:rsidR="00800AA9" w:rsidRPr="00FF009C" w:rsidRDefault="00800AA9">
      <w:pPr>
        <w:spacing w:before="0" w:after="0"/>
      </w:pPr>
    </w:p>
  </w:footnote>
  <w:footnote w:id="2">
    <w:p w14:paraId="1F31FE07" w14:textId="69B1C8D6" w:rsidR="2AF5DC7D" w:rsidRPr="00FF009C" w:rsidRDefault="2AF5DC7D" w:rsidP="00977077">
      <w:pPr>
        <w:pStyle w:val="FootnoteText"/>
      </w:pPr>
      <w:r w:rsidRPr="00FF009C">
        <w:rPr>
          <w:rStyle w:val="FootnoteReference0"/>
        </w:rPr>
        <w:footnoteRef/>
      </w:r>
      <w:r w:rsidRPr="00FF009C">
        <w:tab/>
        <w:t>Analiza ryzyka Fronteksu na lata 2023/2024.</w:t>
      </w:r>
    </w:p>
  </w:footnote>
  <w:footnote w:id="3">
    <w:p w14:paraId="5BEB208B" w14:textId="6D97B72D" w:rsidR="6A6D82B3" w:rsidRPr="00FF009C" w:rsidRDefault="6A6D82B3" w:rsidP="00977077">
      <w:pPr>
        <w:pStyle w:val="FootnoteText"/>
      </w:pPr>
      <w:r w:rsidRPr="00FF009C">
        <w:rPr>
          <w:rStyle w:val="FootnoteReference0"/>
        </w:rPr>
        <w:footnoteRef/>
      </w:r>
      <w:r w:rsidRPr="00FF009C">
        <w:tab/>
        <w:t>Analiza ryzyka Fronteksu na lata 2023/2024.</w:t>
      </w:r>
    </w:p>
  </w:footnote>
  <w:footnote w:id="4">
    <w:p w14:paraId="664C51B4" w14:textId="0791FACC" w:rsidR="57DE9612" w:rsidRPr="00FF009C" w:rsidRDefault="57DE9612" w:rsidP="00977077">
      <w:pPr>
        <w:pStyle w:val="FootnoteText"/>
      </w:pPr>
      <w:r w:rsidRPr="00FF009C">
        <w:rPr>
          <w:rStyle w:val="FootnoteReference0"/>
        </w:rPr>
        <w:footnoteRef/>
      </w:r>
      <w:r w:rsidRPr="00FF009C">
        <w:tab/>
        <w:t>Global study on smuggling of migrants [Globalne badanie na temat przemytu migrantów] (Biuro Narodów Zjednoczonych ds. Narkotyków</w:t>
      </w:r>
      <w:r w:rsidR="00FF009C" w:rsidRPr="00FF009C">
        <w:t xml:space="preserve"> i</w:t>
      </w:r>
      <w:r w:rsidR="00FF009C">
        <w:t> </w:t>
      </w:r>
      <w:r w:rsidR="00FF009C" w:rsidRPr="00FF009C">
        <w:t>Prz</w:t>
      </w:r>
      <w:r w:rsidRPr="00FF009C">
        <w:t>estępczości, 2018).</w:t>
      </w:r>
    </w:p>
  </w:footnote>
  <w:footnote w:id="5">
    <w:p w14:paraId="18E76519" w14:textId="66063E6E" w:rsidR="0C14B892" w:rsidRPr="00FF009C" w:rsidRDefault="0C14B892" w:rsidP="0C14B892">
      <w:pPr>
        <w:pStyle w:val="FootnoteText"/>
      </w:pPr>
      <w:r w:rsidRPr="00FF009C">
        <w:rPr>
          <w:rStyle w:val="FootnoteReference0"/>
        </w:rPr>
        <w:footnoteRef/>
      </w:r>
      <w:r w:rsidRPr="00FF009C">
        <w:tab/>
        <w:t>Projekt IOM na rzecz zaginionych migrantów, https://missingmigrants.iom.int/region/mediterranean.</w:t>
      </w:r>
    </w:p>
  </w:footnote>
  <w:footnote w:id="6">
    <w:p w14:paraId="001E297B" w14:textId="59E362C9" w:rsidR="6ACE6E23" w:rsidRPr="00FF009C" w:rsidRDefault="6ACE6E23" w:rsidP="00977077">
      <w:pPr>
        <w:pStyle w:val="FootnoteText"/>
      </w:pPr>
      <w:r w:rsidRPr="00FF009C">
        <w:rPr>
          <w:rStyle w:val="FootnoteReference0"/>
        </w:rPr>
        <w:footnoteRef/>
      </w:r>
      <w:r w:rsidRPr="00FF009C">
        <w:tab/>
        <w:t>Szacunki Europolu.</w:t>
      </w:r>
    </w:p>
  </w:footnote>
  <w:footnote w:id="7">
    <w:p w14:paraId="202A0C68" w14:textId="749447E4" w:rsidR="73005767" w:rsidRPr="00FF009C" w:rsidRDefault="73005767" w:rsidP="00977077">
      <w:pPr>
        <w:pStyle w:val="FootnoteText"/>
      </w:pPr>
      <w:r w:rsidRPr="00FF009C">
        <w:rPr>
          <w:rStyle w:val="FootnoteReference0"/>
        </w:rPr>
        <w:footnoteRef/>
      </w:r>
      <w:r w:rsidRPr="00FF009C">
        <w:tab/>
        <w:t>Europol Spotlight (2023), „Criminal Networks in Migrant Smuggling” [„Siatki przestępcze zajmujące się przemytem migrantów”].</w:t>
      </w:r>
    </w:p>
  </w:footnote>
  <w:footnote w:id="8">
    <w:p w14:paraId="082AB885" w14:textId="2DFD6D41" w:rsidR="4DC4906B" w:rsidRPr="00FF009C" w:rsidRDefault="4DC4906B" w:rsidP="00977077">
      <w:pPr>
        <w:pStyle w:val="FootnoteText"/>
      </w:pPr>
      <w:r w:rsidRPr="00FF009C">
        <w:rPr>
          <w:rStyle w:val="FootnoteReference0"/>
        </w:rPr>
        <w:footnoteRef/>
      </w:r>
      <w:r w:rsidRPr="00FF009C">
        <w:tab/>
        <w:t>Analiza ryzyka Fronteksu na lata 2023/2024.</w:t>
      </w:r>
    </w:p>
  </w:footnote>
  <w:footnote w:id="9">
    <w:p w14:paraId="69F573CC" w14:textId="3308771F" w:rsidR="3E39569E" w:rsidRPr="00FF009C" w:rsidRDefault="3E39569E" w:rsidP="00977077">
      <w:pPr>
        <w:pStyle w:val="FootnoteText"/>
      </w:pPr>
      <w:r w:rsidRPr="00FF009C">
        <w:rPr>
          <w:rStyle w:val="FootnoteReference0"/>
        </w:rPr>
        <w:footnoteRef/>
      </w:r>
      <w:r w:rsidRPr="00FF009C">
        <w:tab/>
        <w:t>Europol Spotlight (2023), „Criminal Networks in Migrant Smuggling” [„Siatki przestępcze zajmujące się przemytem migrantów”].</w:t>
      </w:r>
    </w:p>
  </w:footnote>
  <w:footnote w:id="10">
    <w:p w14:paraId="08683CC5" w14:textId="3AE18482" w:rsidR="007E0CD5" w:rsidRPr="00FF009C" w:rsidRDefault="007E0CD5" w:rsidP="00D92F07">
      <w:pPr>
        <w:pStyle w:val="title-bold"/>
        <w:shd w:val="clear" w:color="auto" w:fill="FFFFFF"/>
        <w:spacing w:before="0" w:beforeAutospacing="0" w:after="0" w:afterAutospacing="0"/>
        <w:ind w:left="425" w:hanging="425"/>
        <w:jc w:val="both"/>
      </w:pPr>
      <w:r w:rsidRPr="00FF009C">
        <w:rPr>
          <w:rStyle w:val="FootnoteReference0"/>
        </w:rPr>
        <w:footnoteRef/>
      </w:r>
      <w:r w:rsidRPr="00FF009C">
        <w:tab/>
      </w:r>
      <w:r w:rsidRPr="00FF009C">
        <w:rPr>
          <w:sz w:val="20"/>
        </w:rPr>
        <w:t>Rozporządzenie Parlamentu Europejskiego</w:t>
      </w:r>
      <w:r w:rsidR="00FF009C" w:rsidRPr="00FF009C">
        <w:rPr>
          <w:sz w:val="20"/>
        </w:rPr>
        <w:t xml:space="preserve"> i</w:t>
      </w:r>
      <w:r w:rsidR="00FF009C">
        <w:rPr>
          <w:sz w:val="20"/>
        </w:rPr>
        <w:t> </w:t>
      </w:r>
      <w:r w:rsidR="00FF009C" w:rsidRPr="00FF009C">
        <w:rPr>
          <w:sz w:val="20"/>
        </w:rPr>
        <w:t>Rad</w:t>
      </w:r>
      <w:r w:rsidRPr="00FF009C">
        <w:rPr>
          <w:sz w:val="20"/>
        </w:rPr>
        <w:t>y (UE) 2018/1727</w:t>
      </w:r>
      <w:r w:rsidR="00FF009C" w:rsidRPr="00FF009C">
        <w:rPr>
          <w:sz w:val="20"/>
        </w:rPr>
        <w:t xml:space="preserve"> z</w:t>
      </w:r>
      <w:r w:rsidR="00FF009C">
        <w:rPr>
          <w:sz w:val="20"/>
        </w:rPr>
        <w:t> </w:t>
      </w:r>
      <w:r w:rsidR="00FF009C" w:rsidRPr="00FF009C">
        <w:rPr>
          <w:sz w:val="20"/>
        </w:rPr>
        <w:t>dni</w:t>
      </w:r>
      <w:r w:rsidRPr="00FF009C">
        <w:rPr>
          <w:sz w:val="20"/>
        </w:rPr>
        <w:t>a 14 listopada 2018 r.</w:t>
      </w:r>
      <w:r w:rsidR="00FF009C" w:rsidRPr="00FF009C">
        <w:rPr>
          <w:sz w:val="20"/>
        </w:rPr>
        <w:t xml:space="preserve"> w</w:t>
      </w:r>
      <w:r w:rsidR="00FF009C">
        <w:rPr>
          <w:sz w:val="20"/>
        </w:rPr>
        <w:t> </w:t>
      </w:r>
      <w:r w:rsidR="00FF009C" w:rsidRPr="00FF009C">
        <w:rPr>
          <w:sz w:val="20"/>
        </w:rPr>
        <w:t>spr</w:t>
      </w:r>
      <w:r w:rsidRPr="00FF009C">
        <w:rPr>
          <w:sz w:val="20"/>
        </w:rPr>
        <w:t>awie Agencji Unii Europejskiej ds. Współpracy Wymiarów Sprawiedliwości</w:t>
      </w:r>
      <w:r w:rsidR="00FF009C" w:rsidRPr="00FF009C">
        <w:rPr>
          <w:sz w:val="20"/>
        </w:rPr>
        <w:t xml:space="preserve"> w</w:t>
      </w:r>
      <w:r w:rsidR="00FF009C">
        <w:rPr>
          <w:sz w:val="20"/>
        </w:rPr>
        <w:t> </w:t>
      </w:r>
      <w:r w:rsidR="00FF009C" w:rsidRPr="00FF009C">
        <w:rPr>
          <w:sz w:val="20"/>
        </w:rPr>
        <w:t>Spr</w:t>
      </w:r>
      <w:r w:rsidRPr="00FF009C">
        <w:rPr>
          <w:sz w:val="20"/>
        </w:rPr>
        <w:t>awach Karnych (Eurojust) oraz zastąpienia</w:t>
      </w:r>
      <w:r w:rsidR="00FF009C" w:rsidRPr="00FF009C">
        <w:rPr>
          <w:sz w:val="20"/>
        </w:rPr>
        <w:t xml:space="preserve"> i</w:t>
      </w:r>
      <w:r w:rsidR="00FF009C">
        <w:rPr>
          <w:sz w:val="20"/>
        </w:rPr>
        <w:t> </w:t>
      </w:r>
      <w:r w:rsidR="00FF009C" w:rsidRPr="00FF009C">
        <w:rPr>
          <w:sz w:val="20"/>
        </w:rPr>
        <w:t>uch</w:t>
      </w:r>
      <w:r w:rsidRPr="00FF009C">
        <w:rPr>
          <w:sz w:val="20"/>
        </w:rPr>
        <w:t>ylenia decyzji Rady 2002/187/WSiSW, PE/37/2018/REV/1,</w:t>
      </w:r>
      <w:r w:rsidRPr="00FF009C">
        <w:rPr>
          <w:rStyle w:val="Emphasis"/>
          <w:color w:val="333333"/>
          <w:sz w:val="20"/>
        </w:rPr>
        <w:t xml:space="preserve"> </w:t>
      </w:r>
      <w:r w:rsidRPr="00FF009C">
        <w:rPr>
          <w:sz w:val="20"/>
        </w:rPr>
        <w:t>Dz.U. L 295</w:t>
      </w:r>
      <w:r w:rsidR="00FF009C" w:rsidRPr="00FF009C">
        <w:rPr>
          <w:sz w:val="20"/>
        </w:rPr>
        <w:t xml:space="preserve"> z</w:t>
      </w:r>
      <w:r w:rsidR="00FF009C">
        <w:rPr>
          <w:sz w:val="20"/>
        </w:rPr>
        <w:t> </w:t>
      </w:r>
      <w:r w:rsidR="00FF009C" w:rsidRPr="00FF009C">
        <w:rPr>
          <w:sz w:val="20"/>
        </w:rPr>
        <w:t>2</w:t>
      </w:r>
      <w:r w:rsidRPr="00FF009C">
        <w:rPr>
          <w:sz w:val="20"/>
        </w:rPr>
        <w:t>1.11.2018, s. 138.</w:t>
      </w:r>
      <w:r w:rsidRPr="00FF009C">
        <w:rPr>
          <w:rStyle w:val="Emphasis"/>
          <w:color w:val="333333"/>
          <w:sz w:val="20"/>
        </w:rPr>
        <w:t xml:space="preserve"> </w:t>
      </w:r>
    </w:p>
  </w:footnote>
  <w:footnote w:id="11">
    <w:p w14:paraId="21EFF502" w14:textId="1C46E8A9" w:rsidR="003971C9" w:rsidRPr="00FF009C" w:rsidRDefault="00E803BC" w:rsidP="00D92F07">
      <w:pPr>
        <w:pStyle w:val="title-bold"/>
        <w:shd w:val="clear" w:color="auto" w:fill="FFFFFF"/>
        <w:spacing w:before="0" w:beforeAutospacing="0" w:after="0" w:afterAutospacing="0"/>
        <w:ind w:left="425" w:hanging="425"/>
        <w:rPr>
          <w:rFonts w:eastAsiaTheme="minorHAnsi"/>
          <w:i/>
          <w:sz w:val="20"/>
        </w:rPr>
      </w:pPr>
      <w:r w:rsidRPr="00FF009C">
        <w:rPr>
          <w:rStyle w:val="FootnoteReference0"/>
        </w:rPr>
        <w:footnoteRef/>
      </w:r>
      <w:r w:rsidRPr="00FF009C">
        <w:tab/>
      </w:r>
      <w:r w:rsidRPr="00FF009C">
        <w:rPr>
          <w:sz w:val="20"/>
        </w:rPr>
        <w:t>Decyzja ramowa Rady</w:t>
      </w:r>
      <w:r w:rsidR="00FF009C" w:rsidRPr="00FF009C">
        <w:rPr>
          <w:sz w:val="20"/>
        </w:rPr>
        <w:t xml:space="preserve"> z</w:t>
      </w:r>
      <w:r w:rsidR="00FF009C">
        <w:rPr>
          <w:sz w:val="20"/>
        </w:rPr>
        <w:t> </w:t>
      </w:r>
      <w:r w:rsidR="00FF009C" w:rsidRPr="00FF009C">
        <w:rPr>
          <w:sz w:val="20"/>
        </w:rPr>
        <w:t>dni</w:t>
      </w:r>
      <w:r w:rsidRPr="00FF009C">
        <w:rPr>
          <w:sz w:val="20"/>
        </w:rPr>
        <w:t>a 13 czerwca 2002</w:t>
      </w:r>
      <w:r w:rsidR="00FF009C" w:rsidRPr="00FF009C">
        <w:rPr>
          <w:sz w:val="20"/>
        </w:rPr>
        <w:t> </w:t>
      </w:r>
      <w:r w:rsidRPr="00FF009C">
        <w:rPr>
          <w:sz w:val="20"/>
        </w:rPr>
        <w:t>r.</w:t>
      </w:r>
      <w:r w:rsidR="00FF009C" w:rsidRPr="00FF009C">
        <w:rPr>
          <w:sz w:val="20"/>
        </w:rPr>
        <w:t xml:space="preserve"> w</w:t>
      </w:r>
      <w:r w:rsidR="00FF009C">
        <w:rPr>
          <w:sz w:val="20"/>
        </w:rPr>
        <w:t> </w:t>
      </w:r>
      <w:r w:rsidR="00FF009C" w:rsidRPr="00FF009C">
        <w:rPr>
          <w:sz w:val="20"/>
        </w:rPr>
        <w:t>spr</w:t>
      </w:r>
      <w:r w:rsidRPr="00FF009C">
        <w:rPr>
          <w:sz w:val="20"/>
        </w:rPr>
        <w:t>awie wspólnych zespołów dochodzeniowo-śledczych (Dz.U. L 162</w:t>
      </w:r>
      <w:r w:rsidR="00FF009C" w:rsidRPr="00FF009C">
        <w:rPr>
          <w:sz w:val="20"/>
        </w:rPr>
        <w:t xml:space="preserve"> z</w:t>
      </w:r>
      <w:r w:rsidR="00FF009C">
        <w:rPr>
          <w:sz w:val="20"/>
        </w:rPr>
        <w:t> </w:t>
      </w:r>
      <w:r w:rsidR="00FF009C" w:rsidRPr="00FF009C">
        <w:rPr>
          <w:sz w:val="20"/>
        </w:rPr>
        <w:t>2</w:t>
      </w:r>
      <w:r w:rsidRPr="00FF009C">
        <w:rPr>
          <w:sz w:val="20"/>
        </w:rPr>
        <w:t>0.6.2002, s.</w:t>
      </w:r>
      <w:r w:rsidRPr="00FF009C">
        <w:rPr>
          <w:i/>
          <w:sz w:val="20"/>
        </w:rPr>
        <w:t xml:space="preserve"> </w:t>
      </w:r>
      <w:r w:rsidRPr="00FF009C">
        <w:rPr>
          <w:sz w:val="20"/>
        </w:rPr>
        <w:t>1).</w:t>
      </w:r>
      <w:r w:rsidRPr="00FF009C">
        <w:rPr>
          <w:i/>
          <w:sz w:val="20"/>
        </w:rPr>
        <w:t xml:space="preserve"> </w:t>
      </w:r>
    </w:p>
    <w:p w14:paraId="0D972459" w14:textId="77777777" w:rsidR="00E803BC" w:rsidRPr="00FF009C" w:rsidRDefault="00E803BC">
      <w:pPr>
        <w:pStyle w:val="FootnoteText"/>
      </w:pPr>
    </w:p>
  </w:footnote>
  <w:footnote w:id="12">
    <w:p w14:paraId="7A5A1CE8" w14:textId="77777777" w:rsidR="00E8324F" w:rsidRPr="00FF009C" w:rsidRDefault="00E8324F" w:rsidP="00D92F07">
      <w:pPr>
        <w:pStyle w:val="FootnoteText"/>
        <w:tabs>
          <w:tab w:val="left" w:pos="426"/>
        </w:tabs>
        <w:ind w:left="425" w:hanging="425"/>
      </w:pPr>
      <w:r w:rsidRPr="00FF009C">
        <w:rPr>
          <w:rStyle w:val="FootnoteReference0"/>
        </w:rPr>
        <w:footnoteRef/>
      </w:r>
      <w:r w:rsidRPr="00FF009C">
        <w:tab/>
        <w:t xml:space="preserve">Art. 72 TFUE. </w:t>
      </w:r>
    </w:p>
  </w:footnote>
  <w:footnote w:id="13">
    <w:p w14:paraId="6E13E16C" w14:textId="46DCC61F" w:rsidR="00E8324F" w:rsidRPr="00FF009C" w:rsidRDefault="00E8324F" w:rsidP="0043039B">
      <w:pPr>
        <w:pStyle w:val="FootnoteText"/>
        <w:tabs>
          <w:tab w:val="left" w:pos="426"/>
        </w:tabs>
        <w:ind w:left="426" w:hanging="426"/>
      </w:pPr>
      <w:r w:rsidRPr="00FF009C">
        <w:rPr>
          <w:rStyle w:val="FootnoteReference0"/>
        </w:rPr>
        <w:footnoteRef/>
      </w:r>
      <w:r w:rsidRPr="00FF009C">
        <w:tab/>
        <w:t>Art. 4 ust.</w:t>
      </w:r>
      <w:r w:rsidR="00FF009C" w:rsidRPr="00FF009C">
        <w:t> </w:t>
      </w:r>
      <w:r w:rsidRPr="00FF009C">
        <w:t xml:space="preserve">2 TFUE. </w:t>
      </w:r>
    </w:p>
  </w:footnote>
  <w:footnote w:id="14">
    <w:p w14:paraId="0BBBD0DE" w14:textId="77777777" w:rsidR="00E8324F" w:rsidRPr="00FF009C" w:rsidRDefault="00E8324F" w:rsidP="0043039B">
      <w:pPr>
        <w:tabs>
          <w:tab w:val="left" w:pos="426"/>
        </w:tabs>
        <w:autoSpaceDE w:val="0"/>
        <w:autoSpaceDN w:val="0"/>
        <w:adjustRightInd w:val="0"/>
        <w:spacing w:before="0" w:after="0"/>
        <w:ind w:left="426" w:hanging="426"/>
        <w:jc w:val="left"/>
      </w:pPr>
      <w:r w:rsidRPr="00FF009C">
        <w:rPr>
          <w:rStyle w:val="FootnoteReference0"/>
        </w:rPr>
        <w:footnoteRef/>
      </w:r>
      <w:r w:rsidRPr="00FF009C">
        <w:rPr>
          <w:sz w:val="20"/>
        </w:rPr>
        <w:tab/>
        <w:t>Europol (2023), „Criminal Networks in Migrant Smuggling” [„Siatki przestępcze zajmujące się przemytem migrantów”], seria sprawozdań Europol Spotlight, Urząd Publikacji Unii Europejskiej, Luksemburg.</w:t>
      </w:r>
    </w:p>
  </w:footnote>
  <w:footnote w:id="15">
    <w:p w14:paraId="3F488607" w14:textId="66F0576A" w:rsidR="00E8324F" w:rsidRPr="00FF009C" w:rsidRDefault="00E8324F" w:rsidP="0043039B">
      <w:pPr>
        <w:pStyle w:val="FootnoteText"/>
        <w:ind w:left="426" w:hanging="426"/>
      </w:pPr>
      <w:r w:rsidRPr="00FF009C">
        <w:rPr>
          <w:rStyle w:val="FootnoteReference0"/>
        </w:rPr>
        <w:footnoteRef/>
      </w:r>
      <w:r w:rsidRPr="00FF009C">
        <w:tab/>
      </w:r>
      <w:r w:rsidRPr="00FF009C">
        <w:rPr>
          <w:color w:val="333333"/>
          <w:sz w:val="19"/>
          <w:shd w:val="clear" w:color="auto" w:fill="FFFFFF"/>
        </w:rPr>
        <w:t>Art. 67 ust.</w:t>
      </w:r>
      <w:r w:rsidR="00FF009C" w:rsidRPr="00FF009C">
        <w:rPr>
          <w:color w:val="333333"/>
          <w:sz w:val="19"/>
          <w:shd w:val="clear" w:color="auto" w:fill="FFFFFF"/>
        </w:rPr>
        <w:t> </w:t>
      </w:r>
      <w:r w:rsidRPr="00FF009C">
        <w:rPr>
          <w:color w:val="333333"/>
          <w:sz w:val="19"/>
          <w:shd w:val="clear" w:color="auto" w:fill="FFFFFF"/>
        </w:rPr>
        <w:t>1 TFUE.</w:t>
      </w:r>
    </w:p>
  </w:footnote>
  <w:footnote w:id="16">
    <w:p w14:paraId="5C4A88EB" w14:textId="0DC23752" w:rsidR="00E8324F" w:rsidRPr="00FF009C" w:rsidRDefault="00E8324F" w:rsidP="0043039B">
      <w:pPr>
        <w:pStyle w:val="FootnoteText"/>
        <w:tabs>
          <w:tab w:val="left" w:pos="567"/>
        </w:tabs>
        <w:ind w:left="426" w:hanging="426"/>
      </w:pPr>
      <w:r w:rsidRPr="00FF009C">
        <w:rPr>
          <w:rStyle w:val="FootnoteReference0"/>
        </w:rPr>
        <w:footnoteRef/>
      </w:r>
      <w:r w:rsidRPr="00FF009C">
        <w:tab/>
        <w:t>Europol – cenne wsparcie</w:t>
      </w:r>
      <w:r w:rsidR="00FF009C" w:rsidRPr="00FF009C">
        <w:t xml:space="preserve"> w</w:t>
      </w:r>
      <w:r w:rsidR="00FF009C">
        <w:t> </w:t>
      </w:r>
      <w:r w:rsidR="00FF009C" w:rsidRPr="00FF009C">
        <w:t>zwa</w:t>
      </w:r>
      <w:r w:rsidRPr="00FF009C">
        <w:t>lczaniu przemytu migrantów mimo niewystarczającego wykorzystywania źródeł danych</w:t>
      </w:r>
      <w:r w:rsidR="00FF009C" w:rsidRPr="00FF009C">
        <w:t xml:space="preserve"> i</w:t>
      </w:r>
      <w:r w:rsidR="00FF009C">
        <w:t> </w:t>
      </w:r>
      <w:r w:rsidR="00FF009C" w:rsidRPr="00FF009C">
        <w:t>pom</w:t>
      </w:r>
      <w:r w:rsidRPr="00FF009C">
        <w:t>iaru rezultatów. Europejski Trybunał Obrachunkowy, 2021.</w:t>
      </w:r>
    </w:p>
  </w:footnote>
  <w:footnote w:id="17">
    <w:p w14:paraId="32737910" w14:textId="77777777" w:rsidR="00E8324F" w:rsidRPr="00FF009C" w:rsidRDefault="00E8324F" w:rsidP="0043039B">
      <w:pPr>
        <w:pStyle w:val="FootnoteText"/>
        <w:ind w:left="426" w:hanging="426"/>
      </w:pPr>
      <w:r w:rsidRPr="00FF009C">
        <w:rPr>
          <w:rStyle w:val="FootnoteReference0"/>
        </w:rPr>
        <w:footnoteRef/>
      </w:r>
      <w:r w:rsidRPr="00FF009C">
        <w:tab/>
      </w:r>
      <w:r w:rsidRPr="00FF009C">
        <w:rPr>
          <w:color w:val="333333"/>
          <w:sz w:val="19"/>
          <w:shd w:val="clear" w:color="auto" w:fill="FFFFFF"/>
        </w:rPr>
        <w:t>Art. 8 Karty praw podstawowych Unii Europejskiej (dalej „Karta”).</w:t>
      </w:r>
    </w:p>
  </w:footnote>
  <w:footnote w:id="18">
    <w:p w14:paraId="12F81E8D" w14:textId="77777777" w:rsidR="00E8324F" w:rsidRPr="00FF009C" w:rsidRDefault="00E8324F" w:rsidP="0043039B">
      <w:pPr>
        <w:pStyle w:val="FootnoteText"/>
        <w:ind w:left="426" w:hanging="426"/>
      </w:pPr>
      <w:r w:rsidRPr="00FF009C">
        <w:rPr>
          <w:rStyle w:val="FootnoteReference0"/>
        </w:rPr>
        <w:footnoteRef/>
      </w:r>
      <w:r w:rsidRPr="00FF009C">
        <w:tab/>
      </w:r>
      <w:r w:rsidRPr="00FF009C">
        <w:rPr>
          <w:color w:val="333333"/>
          <w:sz w:val="19"/>
          <w:shd w:val="clear" w:color="auto" w:fill="FFFFFF"/>
        </w:rPr>
        <w:t>Art. 8 Karty praw podstawowych Unii Europejskiej (dalej „Karta”).</w:t>
      </w:r>
    </w:p>
  </w:footnote>
  <w:footnote w:id="19">
    <w:p w14:paraId="53B8C27D" w14:textId="5C83A4AB" w:rsidR="00EB2962" w:rsidRPr="00FF009C" w:rsidRDefault="00EB2962" w:rsidP="005237B3">
      <w:pPr>
        <w:pStyle w:val="FootnoteText"/>
        <w:ind w:left="425" w:hanging="425"/>
      </w:pPr>
      <w:r w:rsidRPr="00FF009C">
        <w:rPr>
          <w:rStyle w:val="FootnoteReference0"/>
        </w:rPr>
        <w:footnoteRef/>
      </w:r>
      <w:r w:rsidRPr="00FF009C">
        <w:tab/>
        <w:t>Na podstawie planu zatrudnienia Europolu na</w:t>
      </w:r>
      <w:r w:rsidR="00FF009C" w:rsidRPr="00FF009C">
        <w:t> </w:t>
      </w:r>
      <w:r w:rsidRPr="00FF009C">
        <w:t>2023</w:t>
      </w:r>
      <w:r w:rsidR="00FF009C" w:rsidRPr="00FF009C">
        <w:t> </w:t>
      </w:r>
      <w:r w:rsidRPr="00FF009C">
        <w:t>r.</w:t>
      </w:r>
      <w:r w:rsidR="00FF009C" w:rsidRPr="00FF009C">
        <w:t xml:space="preserve"> i</w:t>
      </w:r>
      <w:r w:rsidR="00FF009C">
        <w:t> </w:t>
      </w:r>
      <w:r w:rsidR="00FF009C" w:rsidRPr="00FF009C">
        <w:t>prz</w:t>
      </w:r>
      <w:r w:rsidRPr="00FF009C">
        <w:t>ydziału zasobów na działanie</w:t>
      </w:r>
      <w:r w:rsidR="00FF009C" w:rsidRPr="00FF009C">
        <w:t xml:space="preserve"> w</w:t>
      </w:r>
      <w:r w:rsidR="00FF009C">
        <w:t> </w:t>
      </w:r>
      <w:r w:rsidR="00FF009C" w:rsidRPr="00FF009C">
        <w:t>dok</w:t>
      </w:r>
      <w:r w:rsidRPr="00FF009C">
        <w:t>umencie programowym Europolu na lata 2023–2025.</w:t>
      </w:r>
    </w:p>
  </w:footnote>
  <w:footnote w:id="20">
    <w:p w14:paraId="4461EA6A" w14:textId="0829641B" w:rsidR="008015B9" w:rsidRPr="00FF009C" w:rsidRDefault="008015B9" w:rsidP="005237B3">
      <w:pPr>
        <w:pStyle w:val="FootnoteText"/>
        <w:ind w:left="425" w:hanging="425"/>
      </w:pPr>
      <w:r w:rsidRPr="00FF009C">
        <w:rPr>
          <w:rStyle w:val="FootnoteReference0"/>
        </w:rPr>
        <w:footnoteRef/>
      </w:r>
      <w:r w:rsidRPr="00FF009C">
        <w:tab/>
        <w:t>COM(2022) 684 final (2.12.2022).</w:t>
      </w:r>
    </w:p>
  </w:footnote>
  <w:footnote w:id="21">
    <w:p w14:paraId="720A293F" w14:textId="26DDD5FD" w:rsidR="00E8324F" w:rsidRPr="00FF009C" w:rsidRDefault="00E8324F" w:rsidP="0043039B">
      <w:pPr>
        <w:pStyle w:val="FootnoteText"/>
        <w:ind w:left="426" w:hanging="426"/>
      </w:pPr>
      <w:r w:rsidRPr="00FF009C">
        <w:rPr>
          <w:rStyle w:val="FootnoteReference0"/>
        </w:rPr>
        <w:footnoteRef/>
      </w:r>
      <w:r w:rsidRPr="00FF009C">
        <w:tab/>
        <w:t>Rozporządzenie Parlamentu Europejskiego</w:t>
      </w:r>
      <w:r w:rsidR="00FF009C" w:rsidRPr="00FF009C">
        <w:t xml:space="preserve"> i</w:t>
      </w:r>
      <w:r w:rsidR="00FF009C">
        <w:t> </w:t>
      </w:r>
      <w:r w:rsidR="00FF009C" w:rsidRPr="00FF009C">
        <w:t>Rad</w:t>
      </w:r>
      <w:r w:rsidRPr="00FF009C">
        <w:t>y (UE) 2016/794</w:t>
      </w:r>
      <w:r w:rsidR="00FF009C" w:rsidRPr="00FF009C">
        <w:t xml:space="preserve"> z</w:t>
      </w:r>
      <w:r w:rsidR="00FF009C">
        <w:t> </w:t>
      </w:r>
      <w:r w:rsidR="00FF009C" w:rsidRPr="00FF009C">
        <w:t>dni</w:t>
      </w:r>
      <w:r w:rsidRPr="00FF009C">
        <w:t>a 11 maja 2016</w:t>
      </w:r>
      <w:r w:rsidR="00FF009C" w:rsidRPr="00FF009C">
        <w:t> </w:t>
      </w:r>
      <w:r w:rsidRPr="00FF009C">
        <w:t>r.</w:t>
      </w:r>
      <w:r w:rsidR="00FF009C" w:rsidRPr="00FF009C">
        <w:t xml:space="preserve"> w</w:t>
      </w:r>
      <w:r w:rsidR="00FF009C">
        <w:t> </w:t>
      </w:r>
      <w:r w:rsidR="00FF009C" w:rsidRPr="00FF009C">
        <w:t>spr</w:t>
      </w:r>
      <w:r w:rsidRPr="00FF009C">
        <w:t>awie Agencji Unii Europejskiej ds. Współpracy Organów Ścigania (Europol), zastępujące</w:t>
      </w:r>
      <w:r w:rsidR="00FF009C" w:rsidRPr="00FF009C">
        <w:t xml:space="preserve"> i</w:t>
      </w:r>
      <w:r w:rsidR="00FF009C">
        <w:t> </w:t>
      </w:r>
      <w:r w:rsidR="00FF009C" w:rsidRPr="00FF009C">
        <w:t>uch</w:t>
      </w:r>
      <w:r w:rsidRPr="00FF009C">
        <w:t>ylające decyzje Rady 2009/371/WSiSW, 2009/934/WSiSW, 2009/935/WSiSW, 2009/936/WSiSW</w:t>
      </w:r>
      <w:r w:rsidR="00FF009C" w:rsidRPr="00FF009C">
        <w:t xml:space="preserve"> i</w:t>
      </w:r>
      <w:r w:rsidR="00FF009C">
        <w:t> </w:t>
      </w:r>
      <w:r w:rsidR="00FF009C" w:rsidRPr="00FF009C">
        <w:t>2</w:t>
      </w:r>
      <w:r w:rsidRPr="00FF009C">
        <w:t>009/968/WSiSW, Dz.U. L 135</w:t>
      </w:r>
      <w:r w:rsidR="00FF009C" w:rsidRPr="00FF009C">
        <w:t xml:space="preserve"> z</w:t>
      </w:r>
      <w:r w:rsidR="00FF009C">
        <w:t> </w:t>
      </w:r>
      <w:r w:rsidR="00FF009C" w:rsidRPr="00FF009C">
        <w:t>2</w:t>
      </w:r>
      <w:r w:rsidRPr="00FF009C">
        <w:t xml:space="preserve">4.5.2016, s. 53, ELI: </w:t>
      </w:r>
      <w:hyperlink r:id="rId1" w:tooltip="Dostęp do dokumentu przez identyfikator URI w systemie ELI." w:history="1">
        <w:r w:rsidRPr="00FF009C">
          <w:rPr>
            <w:rStyle w:val="Hyperlink"/>
          </w:rPr>
          <w:t>http://data.europa.eu/eli/reg/2016/794/oj</w:t>
        </w:r>
      </w:hyperlink>
      <w:r w:rsidRPr="00FF009C">
        <w:t>.</w:t>
      </w:r>
    </w:p>
  </w:footnote>
  <w:footnote w:id="22">
    <w:p w14:paraId="0ADD4F0D" w14:textId="1D0483E2" w:rsidR="00E8324F" w:rsidRPr="00FF009C" w:rsidRDefault="00E8324F" w:rsidP="00977077">
      <w:pPr>
        <w:pStyle w:val="title-bold"/>
        <w:shd w:val="clear" w:color="auto" w:fill="FFFFFF" w:themeFill="background1"/>
        <w:tabs>
          <w:tab w:val="left" w:pos="426"/>
        </w:tabs>
        <w:spacing w:before="0" w:beforeAutospacing="0" w:after="75" w:afterAutospacing="0"/>
        <w:ind w:left="426" w:hanging="426"/>
        <w:jc w:val="both"/>
        <w:rPr>
          <w:color w:val="333333"/>
          <w:sz w:val="20"/>
          <w:szCs w:val="20"/>
        </w:rPr>
      </w:pPr>
      <w:r w:rsidRPr="00FF009C">
        <w:rPr>
          <w:rStyle w:val="FootnoteReference0"/>
        </w:rPr>
        <w:footnoteRef/>
      </w:r>
      <w:r w:rsidRPr="00FF009C">
        <w:rPr>
          <w:color w:val="333333"/>
          <w:sz w:val="20"/>
        </w:rPr>
        <w:tab/>
      </w:r>
      <w:r w:rsidRPr="00FF009C">
        <w:rPr>
          <w:sz w:val="20"/>
        </w:rPr>
        <w:t>Rozporządzenie Parlamentu Europejskiego</w:t>
      </w:r>
      <w:r w:rsidR="00FF009C" w:rsidRPr="00FF009C">
        <w:rPr>
          <w:sz w:val="20"/>
        </w:rPr>
        <w:t xml:space="preserve"> i</w:t>
      </w:r>
      <w:r w:rsidR="00FF009C">
        <w:rPr>
          <w:sz w:val="20"/>
        </w:rPr>
        <w:t> </w:t>
      </w:r>
      <w:r w:rsidR="00FF009C" w:rsidRPr="00FF009C">
        <w:rPr>
          <w:sz w:val="20"/>
        </w:rPr>
        <w:t>Rad</w:t>
      </w:r>
      <w:r w:rsidRPr="00FF009C">
        <w:rPr>
          <w:sz w:val="20"/>
        </w:rPr>
        <w:t>y (UE) 2019/1896</w:t>
      </w:r>
      <w:r w:rsidR="00FF009C" w:rsidRPr="00FF009C">
        <w:rPr>
          <w:sz w:val="20"/>
        </w:rPr>
        <w:t xml:space="preserve"> z</w:t>
      </w:r>
      <w:r w:rsidR="00FF009C">
        <w:rPr>
          <w:sz w:val="20"/>
        </w:rPr>
        <w:t> </w:t>
      </w:r>
      <w:r w:rsidR="00FF009C" w:rsidRPr="00FF009C">
        <w:rPr>
          <w:sz w:val="20"/>
        </w:rPr>
        <w:t>dni</w:t>
      </w:r>
      <w:r w:rsidRPr="00FF009C">
        <w:rPr>
          <w:sz w:val="20"/>
        </w:rPr>
        <w:t>a 13 listopada 2019 r.</w:t>
      </w:r>
      <w:r w:rsidR="00FF009C" w:rsidRPr="00FF009C">
        <w:rPr>
          <w:sz w:val="20"/>
        </w:rPr>
        <w:t xml:space="preserve"> w</w:t>
      </w:r>
      <w:r w:rsidR="00FF009C">
        <w:rPr>
          <w:sz w:val="20"/>
        </w:rPr>
        <w:t> </w:t>
      </w:r>
      <w:r w:rsidR="00FF009C" w:rsidRPr="00FF009C">
        <w:rPr>
          <w:sz w:val="20"/>
        </w:rPr>
        <w:t>spr</w:t>
      </w:r>
      <w:r w:rsidRPr="00FF009C">
        <w:rPr>
          <w:sz w:val="20"/>
        </w:rPr>
        <w:t>awie Europejskiej Straży Granicznej</w:t>
      </w:r>
      <w:r w:rsidR="00FF009C" w:rsidRPr="00FF009C">
        <w:rPr>
          <w:sz w:val="20"/>
        </w:rPr>
        <w:t xml:space="preserve"> i</w:t>
      </w:r>
      <w:r w:rsidR="00FF009C">
        <w:rPr>
          <w:sz w:val="20"/>
        </w:rPr>
        <w:t> </w:t>
      </w:r>
      <w:r w:rsidR="00FF009C" w:rsidRPr="00FF009C">
        <w:rPr>
          <w:sz w:val="20"/>
        </w:rPr>
        <w:t>Prz</w:t>
      </w:r>
      <w:r w:rsidRPr="00FF009C">
        <w:rPr>
          <w:sz w:val="20"/>
        </w:rPr>
        <w:t>ybrzeżnej oraz uchylenia rozporządzeń (UE) nr 1052/2013 i (UE) 2016/1624 (Dz.U. L 295</w:t>
      </w:r>
      <w:r w:rsidR="00FF009C" w:rsidRPr="00FF009C">
        <w:rPr>
          <w:sz w:val="20"/>
        </w:rPr>
        <w:t xml:space="preserve"> z</w:t>
      </w:r>
      <w:r w:rsidR="00FF009C">
        <w:rPr>
          <w:sz w:val="20"/>
        </w:rPr>
        <w:t> </w:t>
      </w:r>
      <w:r w:rsidR="00FF009C" w:rsidRPr="00FF009C">
        <w:rPr>
          <w:sz w:val="20"/>
        </w:rPr>
        <w:t>1</w:t>
      </w:r>
      <w:r w:rsidRPr="00FF009C">
        <w:rPr>
          <w:sz w:val="20"/>
        </w:rPr>
        <w:t>4.11.2019, s. 1, ELI: </w:t>
      </w:r>
      <w:hyperlink r:id="rId2" w:tooltip="Dostęp do dokumentu przez identyfikator URI w systemie ELI." w:history="1">
        <w:r w:rsidRPr="00FF009C">
          <w:rPr>
            <w:rStyle w:val="Hyperlink"/>
            <w:sz w:val="20"/>
          </w:rPr>
          <w:t>https://eur-lex.europa.eu/eli/reg/2019/1896/oj?locale=pl</w:t>
        </w:r>
      </w:hyperlink>
      <w:r w:rsidRPr="00FF009C">
        <w:rPr>
          <w:sz w:val="20"/>
        </w:rPr>
        <w:t>)</w:t>
      </w:r>
      <w:r w:rsidRPr="00FF009C">
        <w:rPr>
          <w:i/>
          <w:sz w:val="20"/>
        </w:rPr>
        <w:t xml:space="preserve">. </w:t>
      </w:r>
    </w:p>
    <w:p w14:paraId="672E4E42" w14:textId="77777777" w:rsidR="00E8324F" w:rsidRPr="00FF009C" w:rsidRDefault="00E8324F" w:rsidP="0043039B">
      <w:pPr>
        <w:pStyle w:val="FootnoteText"/>
        <w:tabs>
          <w:tab w:val="left" w:pos="426"/>
        </w:tabs>
      </w:pPr>
    </w:p>
  </w:footnote>
  <w:footnote w:id="23">
    <w:p w14:paraId="767D1E14" w14:textId="2DA0AC32" w:rsidR="00E8324F" w:rsidRPr="00FF009C" w:rsidRDefault="00E8324F">
      <w:pPr>
        <w:pStyle w:val="FootnoteText"/>
      </w:pPr>
      <w:r w:rsidRPr="00FF009C">
        <w:rPr>
          <w:rStyle w:val="FootnoteReference0"/>
        </w:rPr>
        <w:footnoteRef/>
      </w:r>
      <w:r w:rsidRPr="00FF009C">
        <w:tab/>
        <w:t>Rozporządzenie Parlamentu Europejskiego</w:t>
      </w:r>
      <w:r w:rsidR="00FF009C" w:rsidRPr="00FF009C">
        <w:t xml:space="preserve"> i</w:t>
      </w:r>
      <w:r w:rsidR="00FF009C">
        <w:t> </w:t>
      </w:r>
      <w:r w:rsidR="00FF009C" w:rsidRPr="00FF009C">
        <w:t>Rad</w:t>
      </w:r>
      <w:r w:rsidRPr="00FF009C">
        <w:t>y (UE) 2018/1725</w:t>
      </w:r>
      <w:r w:rsidR="00FF009C" w:rsidRPr="00FF009C">
        <w:t xml:space="preserve"> z</w:t>
      </w:r>
      <w:r w:rsidR="00FF009C">
        <w:t> </w:t>
      </w:r>
      <w:r w:rsidR="00FF009C" w:rsidRPr="00FF009C">
        <w:t>dni</w:t>
      </w:r>
      <w:r w:rsidRPr="00FF009C">
        <w:t>a 23 października 2018</w:t>
      </w:r>
      <w:r w:rsidR="00FF009C" w:rsidRPr="00FF009C">
        <w:t> </w:t>
      </w:r>
      <w:r w:rsidRPr="00FF009C">
        <w:t>r.</w:t>
      </w:r>
      <w:r w:rsidR="00FF009C" w:rsidRPr="00FF009C">
        <w:t xml:space="preserve"> w</w:t>
      </w:r>
      <w:r w:rsidR="00FF009C">
        <w:t> </w:t>
      </w:r>
      <w:r w:rsidR="00FF009C" w:rsidRPr="00FF009C">
        <w:t>spr</w:t>
      </w:r>
      <w:r w:rsidRPr="00FF009C">
        <w:t>awie ochrony osób fizycznych</w:t>
      </w:r>
      <w:r w:rsidR="00FF009C" w:rsidRPr="00FF009C">
        <w:t xml:space="preserve"> w</w:t>
      </w:r>
      <w:r w:rsidR="00FF009C">
        <w:t> </w:t>
      </w:r>
      <w:r w:rsidR="00FF009C" w:rsidRPr="00FF009C">
        <w:t>zwi</w:t>
      </w:r>
      <w:r w:rsidRPr="00FF009C">
        <w:t>ązku</w:t>
      </w:r>
      <w:r w:rsidR="00FF009C" w:rsidRPr="00FF009C">
        <w:t xml:space="preserve"> z</w:t>
      </w:r>
      <w:r w:rsidR="00FF009C">
        <w:t> </w:t>
      </w:r>
      <w:r w:rsidR="00FF009C" w:rsidRPr="00FF009C">
        <w:t>prz</w:t>
      </w:r>
      <w:r w:rsidRPr="00FF009C">
        <w:t>etwarzaniem danych osobowych przez instytucje, organy</w:t>
      </w:r>
      <w:r w:rsidR="00FF009C" w:rsidRPr="00FF009C">
        <w:t xml:space="preserve"> i</w:t>
      </w:r>
      <w:r w:rsidR="00FF009C">
        <w:t> </w:t>
      </w:r>
      <w:r w:rsidR="00FF009C" w:rsidRPr="00FF009C">
        <w:t>jed</w:t>
      </w:r>
      <w:r w:rsidRPr="00FF009C">
        <w:t>nostki organizacyjne Unii</w:t>
      </w:r>
      <w:r w:rsidR="00FF009C" w:rsidRPr="00FF009C">
        <w:t xml:space="preserve"> i</w:t>
      </w:r>
      <w:r w:rsidR="00FF009C">
        <w:t> </w:t>
      </w:r>
      <w:r w:rsidR="00FF009C" w:rsidRPr="00FF009C">
        <w:t>swo</w:t>
      </w:r>
      <w:r w:rsidRPr="00FF009C">
        <w:t>bodnego przepływu takich danych oraz uchylenia rozporządzenia (WE) nr</w:t>
      </w:r>
      <w:r w:rsidR="00FF009C" w:rsidRPr="00FF009C">
        <w:t> </w:t>
      </w:r>
      <w:r w:rsidRPr="00FF009C">
        <w:t>45/2001</w:t>
      </w:r>
      <w:r w:rsidR="00FF009C" w:rsidRPr="00FF009C">
        <w:t xml:space="preserve"> i</w:t>
      </w:r>
      <w:r w:rsidR="00FF009C">
        <w:t> </w:t>
      </w:r>
      <w:r w:rsidR="00FF009C" w:rsidRPr="00FF009C">
        <w:t>dec</w:t>
      </w:r>
      <w:r w:rsidRPr="00FF009C">
        <w:t>yzji nr</w:t>
      </w:r>
      <w:r w:rsidR="00FF009C" w:rsidRPr="00FF009C">
        <w:t> </w:t>
      </w:r>
      <w:r w:rsidRPr="00FF009C">
        <w:t>1247/2002/WE, Dz.U. L 295</w:t>
      </w:r>
      <w:r w:rsidR="00FF009C" w:rsidRPr="00FF009C">
        <w:t xml:space="preserve"> z</w:t>
      </w:r>
      <w:r w:rsidR="00FF009C">
        <w:t> </w:t>
      </w:r>
      <w:r w:rsidR="00FF009C" w:rsidRPr="00FF009C">
        <w:t>2</w:t>
      </w:r>
      <w:r w:rsidRPr="00FF009C">
        <w:t>1.11.2018, s. 39, ELI: </w:t>
      </w:r>
      <w:hyperlink r:id="rId3" w:tooltip="Dostęp do dokumentu przez identyfikator URI w systemie ELI." w:history="1">
        <w:r w:rsidRPr="00FF009C">
          <w:rPr>
            <w:rStyle w:val="Hyperlink"/>
          </w:rPr>
          <w:t>http://data.europa.eu/eli/reg/2018/1725/oj</w:t>
        </w:r>
      </w:hyperlink>
      <w:r w:rsidRPr="00FF009C">
        <w:t>).</w:t>
      </w:r>
    </w:p>
  </w:footnote>
  <w:footnote w:id="24">
    <w:p w14:paraId="38F7D8E1" w14:textId="77777777" w:rsidR="00E8324F" w:rsidRPr="00FF009C" w:rsidRDefault="00E8324F">
      <w:pPr>
        <w:pStyle w:val="FootnoteText"/>
      </w:pPr>
      <w:r w:rsidRPr="00FF009C">
        <w:rPr>
          <w:rStyle w:val="FootnoteReference0"/>
        </w:rPr>
        <w:footnoteRef/>
      </w:r>
      <w:r w:rsidRPr="00FF009C">
        <w:tab/>
        <w:t>Dz.U. C […] z […], s. […].</w:t>
      </w:r>
    </w:p>
  </w:footnote>
  <w:footnote w:id="25">
    <w:p w14:paraId="17481412" w14:textId="1D771A9C" w:rsidR="00E8324F" w:rsidRPr="00FF009C" w:rsidRDefault="00E8324F">
      <w:pPr>
        <w:pStyle w:val="FootnoteText"/>
      </w:pPr>
      <w:r w:rsidRPr="00FF009C">
        <w:rPr>
          <w:rStyle w:val="FootnoteReference0"/>
        </w:rPr>
        <w:footnoteRef/>
      </w:r>
      <w:r w:rsidRPr="00FF009C">
        <w:tab/>
        <w:t>[wstawić tytuł</w:t>
      </w:r>
      <w:r w:rsidR="00FF009C" w:rsidRPr="00FF009C">
        <w:t xml:space="preserve"> i</w:t>
      </w:r>
      <w:r w:rsidR="00FF009C">
        <w:t> </w:t>
      </w:r>
      <w:r w:rsidR="00FF009C" w:rsidRPr="00FF009C">
        <w:t>ode</w:t>
      </w:r>
      <w:r w:rsidRPr="00FF009C">
        <w:t>słanie do publikacji].</w:t>
      </w:r>
    </w:p>
  </w:footnote>
  <w:footnote w:id="26">
    <w:p w14:paraId="4336B255" w14:textId="44E4FF68" w:rsidR="00E8324F" w:rsidRPr="00FF009C" w:rsidRDefault="00E8324F" w:rsidP="00ED7868">
      <w:pPr>
        <w:pStyle w:val="FootnoteText"/>
      </w:pPr>
      <w:r w:rsidRPr="00FF009C">
        <w:rPr>
          <w:rStyle w:val="FootnoteReference0"/>
        </w:rPr>
        <w:footnoteRef/>
      </w:r>
      <w:r w:rsidRPr="00FF009C">
        <w:tab/>
        <w:t>Dyrektywa Parlamentu Europejskiego</w:t>
      </w:r>
      <w:r w:rsidR="00FF009C" w:rsidRPr="00FF009C">
        <w:t xml:space="preserve"> i</w:t>
      </w:r>
      <w:r w:rsidR="00FF009C">
        <w:t> </w:t>
      </w:r>
      <w:r w:rsidR="00FF009C" w:rsidRPr="00FF009C">
        <w:t>Rad</w:t>
      </w:r>
      <w:r w:rsidRPr="00FF009C">
        <w:t>y 2011/36/UE</w:t>
      </w:r>
      <w:r w:rsidR="00FF009C" w:rsidRPr="00FF009C">
        <w:t xml:space="preserve"> z</w:t>
      </w:r>
      <w:r w:rsidR="00FF009C">
        <w:t> </w:t>
      </w:r>
      <w:r w:rsidR="00FF009C" w:rsidRPr="00FF009C">
        <w:t>dni</w:t>
      </w:r>
      <w:r w:rsidRPr="00FF009C">
        <w:t>a 5 kwietnia 2011 r.</w:t>
      </w:r>
      <w:r w:rsidR="00FF009C" w:rsidRPr="00FF009C">
        <w:t xml:space="preserve"> w</w:t>
      </w:r>
      <w:r w:rsidR="00FF009C">
        <w:t> </w:t>
      </w:r>
      <w:r w:rsidR="00FF009C" w:rsidRPr="00FF009C">
        <w:t>spr</w:t>
      </w:r>
      <w:r w:rsidRPr="00FF009C">
        <w:t>awie zapobiegania handlowi ludźmi</w:t>
      </w:r>
      <w:r w:rsidR="00FF009C" w:rsidRPr="00FF009C">
        <w:t xml:space="preserve"> i</w:t>
      </w:r>
      <w:r w:rsidR="00FF009C">
        <w:t> </w:t>
      </w:r>
      <w:r w:rsidR="00FF009C" w:rsidRPr="00FF009C">
        <w:t>zwa</w:t>
      </w:r>
      <w:r w:rsidRPr="00FF009C">
        <w:t>lczania tego procederu oraz ochrony ofiar, zastępująca decyzję ramową Rady 2002/629/WSiSW, Dz.U. L 101</w:t>
      </w:r>
      <w:r w:rsidR="00FF009C" w:rsidRPr="00FF009C">
        <w:t xml:space="preserve"> z</w:t>
      </w:r>
      <w:r w:rsidR="00FF009C">
        <w:t> </w:t>
      </w:r>
      <w:r w:rsidR="00FF009C" w:rsidRPr="00FF009C">
        <w:t>1</w:t>
      </w:r>
      <w:r w:rsidRPr="00FF009C">
        <w:t>5.4.2011, s. 1, ELI: </w:t>
      </w:r>
      <w:hyperlink r:id="rId4" w:tooltip="Dostęp do dokumentu przez identyfikator URI w systemie ELI." w:history="1">
        <w:r w:rsidRPr="00FF009C">
          <w:rPr>
            <w:rStyle w:val="Hyperlink"/>
          </w:rPr>
          <w:t>http://data.europa.eu/eli/dir/2014/36/oj</w:t>
        </w:r>
      </w:hyperlink>
      <w:r w:rsidRPr="00FF009C">
        <w:t>).</w:t>
      </w:r>
    </w:p>
  </w:footnote>
  <w:footnote w:id="27">
    <w:p w14:paraId="24643EC6" w14:textId="3CFCB594" w:rsidR="00E8324F" w:rsidRPr="00FF009C" w:rsidRDefault="00E8324F" w:rsidP="00C33E4B">
      <w:pPr>
        <w:pStyle w:val="FootnoteText"/>
      </w:pPr>
      <w:r w:rsidRPr="00FF009C">
        <w:rPr>
          <w:rStyle w:val="FootnoteReference0"/>
        </w:rPr>
        <w:footnoteRef/>
      </w:r>
      <w:r w:rsidRPr="00FF009C">
        <w:tab/>
        <w:t>Rozporządzenie Parlamentu Europejskiego</w:t>
      </w:r>
      <w:r w:rsidR="00FF009C" w:rsidRPr="00FF009C">
        <w:t xml:space="preserve"> i</w:t>
      </w:r>
      <w:r w:rsidR="00FF009C">
        <w:t> </w:t>
      </w:r>
      <w:r w:rsidR="00FF009C" w:rsidRPr="00FF009C">
        <w:t>Rad</w:t>
      </w:r>
      <w:r w:rsidRPr="00FF009C">
        <w:t>y (UE) 2018/1727</w:t>
      </w:r>
      <w:r w:rsidR="00FF009C" w:rsidRPr="00FF009C">
        <w:t xml:space="preserve"> z</w:t>
      </w:r>
      <w:r w:rsidR="00FF009C">
        <w:t> </w:t>
      </w:r>
      <w:r w:rsidR="00FF009C" w:rsidRPr="00FF009C">
        <w:t>dni</w:t>
      </w:r>
      <w:r w:rsidRPr="00FF009C">
        <w:t>a 14 listopada 2018 r.</w:t>
      </w:r>
      <w:r w:rsidR="00FF009C" w:rsidRPr="00FF009C">
        <w:t xml:space="preserve"> w</w:t>
      </w:r>
      <w:r w:rsidR="00FF009C">
        <w:t> </w:t>
      </w:r>
      <w:r w:rsidR="00FF009C" w:rsidRPr="00FF009C">
        <w:t>spr</w:t>
      </w:r>
      <w:r w:rsidRPr="00FF009C">
        <w:t>awie Agencji Unii Europejskiej ds. Współpracy Wymiarów Sprawiedliwości</w:t>
      </w:r>
      <w:r w:rsidR="00FF009C" w:rsidRPr="00FF009C">
        <w:t xml:space="preserve"> w</w:t>
      </w:r>
      <w:r w:rsidR="00FF009C">
        <w:t> </w:t>
      </w:r>
      <w:r w:rsidR="00FF009C" w:rsidRPr="00FF009C">
        <w:t>Spr</w:t>
      </w:r>
      <w:r w:rsidRPr="00FF009C">
        <w:t>awach Karnych (Eurojust) oraz zastąpienia</w:t>
      </w:r>
      <w:r w:rsidR="00FF009C" w:rsidRPr="00FF009C">
        <w:t xml:space="preserve"> i</w:t>
      </w:r>
      <w:r w:rsidR="00FF009C">
        <w:t> </w:t>
      </w:r>
      <w:r w:rsidR="00FF009C" w:rsidRPr="00FF009C">
        <w:t>uch</w:t>
      </w:r>
      <w:r w:rsidRPr="00FF009C">
        <w:t>ylenia decyzji Rady 2002/187/WSiSW, Dz.U. L 295</w:t>
      </w:r>
      <w:r w:rsidR="00FF009C" w:rsidRPr="00FF009C">
        <w:t xml:space="preserve"> z</w:t>
      </w:r>
      <w:r w:rsidR="00FF009C">
        <w:t> </w:t>
      </w:r>
      <w:r w:rsidR="00FF009C" w:rsidRPr="00FF009C">
        <w:t>2</w:t>
      </w:r>
      <w:r w:rsidRPr="00FF009C">
        <w:t>1.11.2018, s. 138, ELI: </w:t>
      </w:r>
      <w:hyperlink r:id="rId5" w:tooltip="Dostęp do dokumentu przez identyfikator URI w systemie ELI." w:history="1">
        <w:r w:rsidRPr="00FF009C">
          <w:rPr>
            <w:rStyle w:val="Hyperlink"/>
          </w:rPr>
          <w:t>http://data.europa.eu/eli/reg/2018/1727/oj</w:t>
        </w:r>
      </w:hyperlink>
      <w:r w:rsidRPr="00FF009C">
        <w:t xml:space="preserve">). </w:t>
      </w:r>
    </w:p>
  </w:footnote>
  <w:footnote w:id="28">
    <w:p w14:paraId="34C8E7E1" w14:textId="61310DEF" w:rsidR="00E8324F" w:rsidRPr="00FF009C" w:rsidRDefault="00E8324F" w:rsidP="6E5A1C8C">
      <w:pPr>
        <w:pStyle w:val="FootnoteText"/>
        <w:rPr>
          <w:szCs w:val="24"/>
        </w:rPr>
      </w:pPr>
      <w:r w:rsidRPr="00FF009C">
        <w:rPr>
          <w:rStyle w:val="FootnoteReference0"/>
        </w:rPr>
        <w:footnoteRef/>
      </w:r>
      <w:r w:rsidRPr="00FF009C">
        <w:tab/>
        <w:t>O którym mowa</w:t>
      </w:r>
      <w:r w:rsidR="00FF009C" w:rsidRPr="00FF009C">
        <w:t xml:space="preserve"> w</w:t>
      </w:r>
      <w:r w:rsidR="00FF009C">
        <w:t> </w:t>
      </w:r>
      <w:r w:rsidR="00FF009C" w:rsidRPr="00FF009C">
        <w:t>art</w:t>
      </w:r>
      <w:r w:rsidRPr="00FF009C">
        <w:t>.</w:t>
      </w:r>
      <w:r w:rsidR="00FF009C" w:rsidRPr="00FF009C">
        <w:t> </w:t>
      </w:r>
      <w:r w:rsidRPr="00FF009C">
        <w:t>58 ust.</w:t>
      </w:r>
      <w:r w:rsidR="00FF009C" w:rsidRPr="00FF009C">
        <w:t> </w:t>
      </w:r>
      <w:r w:rsidRPr="00FF009C">
        <w:t>2 lit.</w:t>
      </w:r>
      <w:r w:rsidR="00FF009C" w:rsidRPr="00FF009C">
        <w:t> </w:t>
      </w:r>
      <w:r w:rsidRPr="00FF009C">
        <w:t>a) lub b) rozporządzenia finansowego.</w:t>
      </w:r>
    </w:p>
  </w:footnote>
  <w:footnote w:id="29">
    <w:p w14:paraId="1A747430" w14:textId="77777777" w:rsidR="00E8324F" w:rsidRPr="00FF009C" w:rsidRDefault="00E8324F" w:rsidP="00AB4A6F">
      <w:pPr>
        <w:pStyle w:val="FootnoteText"/>
      </w:pPr>
      <w:r w:rsidRPr="00FF009C">
        <w:rPr>
          <w:rStyle w:val="FootnoteReference0"/>
        </w:rPr>
        <w:footnoteRef/>
      </w:r>
      <w:r w:rsidRPr="00FF009C">
        <w:tab/>
        <w:t>Art. 88 TFUE.</w:t>
      </w:r>
    </w:p>
  </w:footnote>
  <w:footnote w:id="30">
    <w:p w14:paraId="009A19ED" w14:textId="77777777" w:rsidR="00E8324F" w:rsidRPr="00FF009C" w:rsidRDefault="00E8324F" w:rsidP="00AB4A6F">
      <w:pPr>
        <w:pStyle w:val="FootnoteText"/>
      </w:pPr>
      <w:r w:rsidRPr="00FF009C">
        <w:rPr>
          <w:rStyle w:val="FootnoteReference0"/>
        </w:rPr>
        <w:footnoteRef/>
      </w:r>
      <w:r w:rsidRPr="00FF009C">
        <w:tab/>
        <w:t>Art. 87 TFUE.</w:t>
      </w:r>
    </w:p>
  </w:footnote>
  <w:footnote w:id="31">
    <w:p w14:paraId="32E14D53" w14:textId="7A0FEFAA" w:rsidR="00E8324F" w:rsidRPr="00FF009C" w:rsidRDefault="00E8324F" w:rsidP="00AB4A6F">
      <w:pPr>
        <w:pStyle w:val="FootnoteText"/>
      </w:pPr>
      <w:r w:rsidRPr="00FF009C">
        <w:rPr>
          <w:rStyle w:val="FootnoteReference0"/>
        </w:rPr>
        <w:footnoteRef/>
      </w:r>
      <w:r w:rsidRPr="00FF009C">
        <w:tab/>
        <w:t>W 2022</w:t>
      </w:r>
      <w:r w:rsidR="00FF009C" w:rsidRPr="00FF009C">
        <w:t> </w:t>
      </w:r>
      <w:r w:rsidRPr="00FF009C">
        <w:t>r. Europol wsparł łącznie 195 priorytetowych postępowań przygotowawczych dotyczących przemytu migrantów,</w:t>
      </w:r>
      <w:r w:rsidR="00FF009C" w:rsidRPr="00FF009C">
        <w:t xml:space="preserve"> w</w:t>
      </w:r>
      <w:r w:rsidR="00FF009C">
        <w:t> </w:t>
      </w:r>
      <w:r w:rsidR="00FF009C" w:rsidRPr="00FF009C">
        <w:t>tym </w:t>
      </w:r>
      <w:r w:rsidRPr="00FF009C">
        <w:t>9 operacyjnych grup zadaniowych. Powiązane usługi były świadczone głównie przez 34 pracowników Europejskiego Centrum Zwalczania Przemytu Migrantów, którzy pracowali przede wszystkim</w:t>
      </w:r>
      <w:r w:rsidR="00FF009C" w:rsidRPr="00FF009C">
        <w:t xml:space="preserve"> w</w:t>
      </w:r>
      <w:r w:rsidR="00FF009C">
        <w:t> </w:t>
      </w:r>
      <w:r w:rsidR="00FF009C" w:rsidRPr="00FF009C">
        <w:t>sie</w:t>
      </w:r>
      <w:r w:rsidRPr="00FF009C">
        <w:t>dzibie głównej agencji. Należy udostępnić dodatkowe zasoby, aby umożliwić zwiększenie liczby objętych wsparciem postępowań przygotowawczych dotyczących przemytu migrantów</w:t>
      </w:r>
      <w:r w:rsidR="00FF009C" w:rsidRPr="00FF009C">
        <w:t xml:space="preserve"> i</w:t>
      </w:r>
      <w:r w:rsidR="00FF009C">
        <w:t> </w:t>
      </w:r>
      <w:r w:rsidR="00FF009C" w:rsidRPr="00FF009C">
        <w:t>han</w:t>
      </w:r>
      <w:r w:rsidRPr="00FF009C">
        <w:t>dlu ludźmi,</w:t>
      </w:r>
      <w:r w:rsidR="00FF009C" w:rsidRPr="00FF009C">
        <w:t xml:space="preserve"> w</w:t>
      </w:r>
      <w:r w:rsidR="00FF009C">
        <w:t> </w:t>
      </w:r>
      <w:r w:rsidR="00FF009C" w:rsidRPr="00FF009C">
        <w:t>tym</w:t>
      </w:r>
      <w:r w:rsidRPr="00FF009C">
        <w:t xml:space="preserve"> również postępowań prowadzonych przez operacyjne grupy zadaniowe na szczeblu regionalnym. Ogólnie rzecz biorąc, operacyjne grupy zadaniowe stanowią elastyczny instrument –</w:t>
      </w:r>
      <w:r w:rsidR="00FF009C" w:rsidRPr="00FF009C">
        <w:t xml:space="preserve"> z</w:t>
      </w:r>
      <w:r w:rsidR="00FF009C">
        <w:t> </w:t>
      </w:r>
      <w:r w:rsidR="00FF009C" w:rsidRPr="00FF009C">
        <w:t>teg</w:t>
      </w:r>
      <w:r w:rsidRPr="00FF009C">
        <w:t>o względu różnią się one między sobą, jeżeli chodzi</w:t>
      </w:r>
      <w:r w:rsidR="00FF009C" w:rsidRPr="00FF009C">
        <w:t xml:space="preserve"> o</w:t>
      </w:r>
      <w:r w:rsidR="00FF009C">
        <w:t> </w:t>
      </w:r>
      <w:r w:rsidR="00FF009C" w:rsidRPr="00FF009C">
        <w:t>okr</w:t>
      </w:r>
      <w:r w:rsidRPr="00FF009C">
        <w:t>es, na który są powoływane, oraz ich wielkość. Utworzenie operacyjnej grupy zadaniowej to długoterminowe</w:t>
      </w:r>
      <w:r w:rsidR="00FF009C" w:rsidRPr="00FF009C">
        <w:t xml:space="preserve"> i</w:t>
      </w:r>
      <w:r w:rsidR="00FF009C">
        <w:t> </w:t>
      </w:r>
      <w:r w:rsidR="00FF009C" w:rsidRPr="00FF009C">
        <w:t>zas</w:t>
      </w:r>
      <w:r w:rsidRPr="00FF009C">
        <w:t>obochłonne zobowiązanie wiążące się</w:t>
      </w:r>
      <w:r w:rsidR="00FF009C" w:rsidRPr="00FF009C">
        <w:t xml:space="preserve"> z</w:t>
      </w:r>
      <w:r w:rsidR="00FF009C">
        <w:t> </w:t>
      </w:r>
      <w:r w:rsidR="00FF009C" w:rsidRPr="00FF009C">
        <w:t>kon</w:t>
      </w:r>
      <w:r w:rsidRPr="00FF009C">
        <w:t>iecznością zaangażowania od</w:t>
      </w:r>
      <w:r w:rsidR="00FF009C" w:rsidRPr="00FF009C">
        <w:t> </w:t>
      </w:r>
      <w:r w:rsidRPr="00FF009C">
        <w:t>4 do</w:t>
      </w:r>
      <w:r w:rsidR="00FF009C" w:rsidRPr="00FF009C">
        <w:t> </w:t>
      </w:r>
      <w:r w:rsidRPr="00FF009C">
        <w:t>150 pracowników, którzy muszą spełniać określone warunki związane ze specyfiką danej sprawy</w:t>
      </w:r>
      <w:r w:rsidR="00FF009C" w:rsidRPr="00FF009C">
        <w:t xml:space="preserve"> i</w:t>
      </w:r>
      <w:r w:rsidR="00FF009C">
        <w:t> </w:t>
      </w:r>
      <w:r w:rsidR="00FF009C" w:rsidRPr="00FF009C">
        <w:t>mus</w:t>
      </w:r>
      <w:r w:rsidRPr="00FF009C">
        <w:t>zą być</w:t>
      </w:r>
      <w:r w:rsidR="00FF009C" w:rsidRPr="00FF009C">
        <w:t xml:space="preserve"> w</w:t>
      </w:r>
      <w:r w:rsidR="00FF009C">
        <w:t> </w:t>
      </w:r>
      <w:r w:rsidR="00FF009C" w:rsidRPr="00FF009C">
        <w:t>sta</w:t>
      </w:r>
      <w:r w:rsidRPr="00FF009C">
        <w:t>nie poradzić sobie</w:t>
      </w:r>
      <w:r w:rsidR="00FF009C" w:rsidRPr="00FF009C">
        <w:t xml:space="preserve"> z</w:t>
      </w:r>
      <w:r w:rsidR="00FF009C">
        <w:t> </w:t>
      </w:r>
      <w:r w:rsidR="00FF009C" w:rsidRPr="00FF009C">
        <w:t>okr</w:t>
      </w:r>
      <w:r w:rsidRPr="00FF009C">
        <w:t>eślonymi zagrożeniami (np. reagować odpowiednio</w:t>
      </w:r>
      <w:r w:rsidR="00FF009C" w:rsidRPr="00FF009C">
        <w:t xml:space="preserve"> w</w:t>
      </w:r>
      <w:r w:rsidR="00FF009C">
        <w:t> </w:t>
      </w:r>
      <w:r w:rsidR="00FF009C" w:rsidRPr="00FF009C">
        <w:t>syt</w:t>
      </w:r>
      <w:r w:rsidRPr="00FF009C">
        <w:t>uacjach zagrożenia życia).</w:t>
      </w:r>
    </w:p>
  </w:footnote>
  <w:footnote w:id="32">
    <w:p w14:paraId="086033C9" w14:textId="45BB6FA1" w:rsidR="00E8324F" w:rsidRPr="00FF009C" w:rsidRDefault="00E8324F" w:rsidP="00AB4A6F">
      <w:pPr>
        <w:pStyle w:val="FootnoteText"/>
      </w:pPr>
      <w:r w:rsidRPr="00FF009C">
        <w:rPr>
          <w:rStyle w:val="FootnoteReference0"/>
        </w:rPr>
        <w:footnoteRef/>
      </w:r>
      <w:r w:rsidRPr="00FF009C">
        <w:tab/>
        <w:t>-</w:t>
      </w:r>
      <w:r w:rsidRPr="00FF009C">
        <w:tab/>
        <w:t>Obecnie w UE konfiskuje się mniej niż 2</w:t>
      </w:r>
      <w:r w:rsidR="00FF009C" w:rsidRPr="00FF009C">
        <w:t> </w:t>
      </w:r>
      <w:r w:rsidRPr="00FF009C">
        <w:t>% dochodów</w:t>
      </w:r>
      <w:r w:rsidR="00FF009C" w:rsidRPr="00FF009C">
        <w:t xml:space="preserve"> z</w:t>
      </w:r>
      <w:r w:rsidR="00FF009C">
        <w:t> </w:t>
      </w:r>
      <w:r w:rsidR="00FF009C" w:rsidRPr="00FF009C">
        <w:t>prz</w:t>
      </w:r>
      <w:r w:rsidRPr="00FF009C">
        <w:t>estępstwa,</w:t>
      </w:r>
      <w:r w:rsidR="00FF009C" w:rsidRPr="00FF009C">
        <w:t xml:space="preserve"> a</w:t>
      </w:r>
      <w:r w:rsidR="00FF009C">
        <w:t> </w:t>
      </w:r>
      <w:r w:rsidR="00FF009C" w:rsidRPr="00FF009C">
        <w:t>prz</w:t>
      </w:r>
      <w:r w:rsidRPr="00FF009C">
        <w:t>emyt migrantów staje się jednym</w:t>
      </w:r>
      <w:r w:rsidR="00FF009C" w:rsidRPr="00FF009C">
        <w:t xml:space="preserve"> z</w:t>
      </w:r>
      <w:r w:rsidR="00FF009C">
        <w:t> </w:t>
      </w:r>
      <w:r w:rsidR="00FF009C" w:rsidRPr="00FF009C">
        <w:t>naj</w:t>
      </w:r>
      <w:r w:rsidRPr="00FF009C">
        <w:t>bardziej lukratywnych rodzajów nielegalnych działań dla zorganizowanych grup przestępczych. Prowadzenie równoległych dochodzeń finansowych</w:t>
      </w:r>
      <w:r w:rsidR="00FF009C" w:rsidRPr="00FF009C">
        <w:t xml:space="preserve"> w</w:t>
      </w:r>
      <w:r w:rsidR="00FF009C">
        <w:t> </w:t>
      </w:r>
      <w:r w:rsidR="00FF009C" w:rsidRPr="00FF009C">
        <w:t>ram</w:t>
      </w:r>
      <w:r w:rsidRPr="00FF009C">
        <w:t>ach postępowań przygotowawczych dotyczących przestępczości zorganizowanej powinno stanowić regułę,</w:t>
      </w:r>
      <w:r w:rsidR="00FF009C" w:rsidRPr="00FF009C">
        <w:t xml:space="preserve"> a</w:t>
      </w:r>
      <w:r w:rsidR="00FF009C">
        <w:t> </w:t>
      </w:r>
      <w:r w:rsidR="00FF009C" w:rsidRPr="00FF009C">
        <w:t>nie</w:t>
      </w:r>
      <w:r w:rsidRPr="00FF009C">
        <w:t xml:space="preserve"> wyjątek. Dlatego też Europol powinien mieć możliwość wspierania organów państw członkowskich</w:t>
      </w:r>
      <w:r w:rsidR="00FF009C" w:rsidRPr="00FF009C">
        <w:t xml:space="preserve"> w</w:t>
      </w:r>
      <w:r w:rsidR="00FF009C">
        <w:t> </w:t>
      </w:r>
      <w:r w:rsidR="00FF009C" w:rsidRPr="00FF009C">
        <w:t>tok</w:t>
      </w:r>
      <w:r w:rsidRPr="00FF009C">
        <w:t>u podejmowanych przez nie czynności</w:t>
      </w:r>
      <w:r w:rsidR="00FF009C" w:rsidRPr="00FF009C">
        <w:t xml:space="preserve"> w</w:t>
      </w:r>
      <w:r w:rsidR="00FF009C">
        <w:t> </w:t>
      </w:r>
      <w:r w:rsidR="00FF009C" w:rsidRPr="00FF009C">
        <w:t>ram</w:t>
      </w:r>
      <w:r w:rsidRPr="00FF009C">
        <w:t>ach postępowania przygotowawczego za pośrednictwem swoich służb zajmujących się śledzeniem mienia</w:t>
      </w:r>
      <w:r w:rsidR="00FF009C" w:rsidRPr="00FF009C">
        <w:t xml:space="preserve"> i</w:t>
      </w:r>
      <w:r w:rsidR="00FF009C">
        <w:t> </w:t>
      </w:r>
      <w:r w:rsidR="00FF009C" w:rsidRPr="00FF009C">
        <w:t>pro</w:t>
      </w:r>
      <w:r w:rsidRPr="00FF009C">
        <w:t>wadzeniem dochodzeń finansowych;</w:t>
      </w:r>
    </w:p>
  </w:footnote>
  <w:footnote w:id="33">
    <w:p w14:paraId="6DAF61B3" w14:textId="331D7751" w:rsidR="00E8324F" w:rsidRPr="00FF009C" w:rsidRDefault="00E8324F" w:rsidP="00AB4A6F">
      <w:pPr>
        <w:pStyle w:val="FootnoteText"/>
        <w:ind w:left="0" w:firstLine="0"/>
      </w:pPr>
      <w:r w:rsidRPr="00FF009C">
        <w:rPr>
          <w:rStyle w:val="FootnoteReference0"/>
        </w:rPr>
        <w:footnoteRef/>
      </w:r>
      <w:r w:rsidRPr="00FF009C">
        <w:tab/>
        <w:t>Zadania ekspertów krajowych są uzależnione od potrzeb operacyjnych</w:t>
      </w:r>
      <w:r w:rsidR="00FF009C" w:rsidRPr="00FF009C">
        <w:t xml:space="preserve"> i</w:t>
      </w:r>
      <w:r w:rsidR="00FF009C">
        <w:t> </w:t>
      </w:r>
      <w:r w:rsidR="00FF009C" w:rsidRPr="00FF009C">
        <w:t>okr</w:t>
      </w:r>
      <w:r w:rsidRPr="00FF009C">
        <w:t>eśla się je</w:t>
      </w:r>
      <w:r w:rsidR="00FF009C" w:rsidRPr="00FF009C">
        <w:t xml:space="preserve"> w</w:t>
      </w:r>
      <w:r w:rsidR="00FF009C">
        <w:t> </w:t>
      </w:r>
      <w:r w:rsidR="00FF009C" w:rsidRPr="00FF009C">
        <w:t>pla</w:t>
      </w:r>
      <w:r w:rsidRPr="00FF009C">
        <w:t>nach operacyjnych. Mogą one jednak obejmować dzielenie się wiedzą fachową</w:t>
      </w:r>
      <w:r w:rsidR="00FF009C" w:rsidRPr="00FF009C">
        <w:t xml:space="preserve"> w</w:t>
      </w:r>
      <w:r w:rsidR="00FF009C">
        <w:t> </w:t>
      </w:r>
      <w:r w:rsidR="00FF009C" w:rsidRPr="00FF009C">
        <w:t>odp</w:t>
      </w:r>
      <w:r w:rsidRPr="00FF009C">
        <w:t>owiednich językach, sporządzanie analiz strategicznych</w:t>
      </w:r>
      <w:r w:rsidR="00FF009C" w:rsidRPr="00FF009C">
        <w:t xml:space="preserve"> i</w:t>
      </w:r>
      <w:r w:rsidR="00FF009C">
        <w:t> </w:t>
      </w:r>
      <w:r w:rsidR="00FF009C" w:rsidRPr="00FF009C">
        <w:t>ope</w:t>
      </w:r>
      <w:r w:rsidRPr="00FF009C">
        <w:t>racyjnych, monitorowanie OSINT, śledzenie mienia/prowadzenie dochodzeń finansowych,</w:t>
      </w:r>
      <w:r w:rsidR="00FF009C" w:rsidRPr="00FF009C">
        <w:t xml:space="preserve"> a</w:t>
      </w:r>
      <w:r w:rsidR="00FF009C">
        <w:t> </w:t>
      </w:r>
      <w:r w:rsidR="00FF009C" w:rsidRPr="00FF009C">
        <w:t>tak</w:t>
      </w:r>
      <w:r w:rsidRPr="00FF009C">
        <w:t>że zajmowanie się kwestiami dotyczącymi cyberprzestępczości, kryminalistyki informatycznej, operacji nadzorczych</w:t>
      </w:r>
      <w:r w:rsidR="00FF009C" w:rsidRPr="00FF009C">
        <w:t xml:space="preserve"> i</w:t>
      </w:r>
      <w:r w:rsidR="00FF009C">
        <w:t> </w:t>
      </w:r>
      <w:r w:rsidR="00FF009C" w:rsidRPr="00FF009C">
        <w:t>taj</w:t>
      </w:r>
      <w:r w:rsidRPr="00FF009C">
        <w:t>nych operacji, przestępstw przeciwko wiarygodności dokumentów oraz innych określonych obszarów, które uznano za istotne</w:t>
      </w:r>
      <w:r w:rsidR="00FF009C" w:rsidRPr="00FF009C">
        <w:t xml:space="preserve"> z</w:t>
      </w:r>
      <w:r w:rsidR="00FF009C">
        <w:t> </w:t>
      </w:r>
      <w:r w:rsidR="00FF009C" w:rsidRPr="00FF009C">
        <w:t>pun</w:t>
      </w:r>
      <w:r w:rsidRPr="00FF009C">
        <w:t>ktu widzenia krajowych zespołów dochodzeniowo śledczych,</w:t>
      </w:r>
      <w:r w:rsidR="00FF009C" w:rsidRPr="00FF009C">
        <w:t xml:space="preserve"> a</w:t>
      </w:r>
      <w:r w:rsidR="00FF009C">
        <w:t> </w:t>
      </w:r>
      <w:r w:rsidR="00FF009C" w:rsidRPr="00FF009C">
        <w:t>tak</w:t>
      </w:r>
      <w:r w:rsidRPr="00FF009C">
        <w:t>że wspieranie organów państw członkowskich</w:t>
      </w:r>
      <w:r w:rsidR="00FF009C" w:rsidRPr="00FF009C">
        <w:t xml:space="preserve"> w</w:t>
      </w:r>
      <w:r w:rsidR="00FF009C">
        <w:t> </w:t>
      </w:r>
      <w:r w:rsidR="00FF009C" w:rsidRPr="00FF009C">
        <w:t>pod</w:t>
      </w:r>
      <w:r w:rsidRPr="00FF009C">
        <w:t>ejmowaniu czynności</w:t>
      </w:r>
      <w:r w:rsidR="00FF009C" w:rsidRPr="00FF009C">
        <w:t xml:space="preserve"> w</w:t>
      </w:r>
      <w:r w:rsidR="00FF009C">
        <w:t> </w:t>
      </w:r>
      <w:r w:rsidR="00FF009C" w:rsidRPr="00FF009C">
        <w:t>ram</w:t>
      </w:r>
      <w:r w:rsidRPr="00FF009C">
        <w:t>ach postępowania przygotowawczego</w:t>
      </w:r>
      <w:r w:rsidR="00FF009C" w:rsidRPr="00FF009C">
        <w:t xml:space="preserve"> w</w:t>
      </w:r>
      <w:r w:rsidR="00FF009C">
        <w:t> </w:t>
      </w:r>
      <w:r w:rsidR="00FF009C" w:rsidRPr="00FF009C">
        <w:t>ter</w:t>
      </w:r>
      <w:r w:rsidRPr="00FF009C">
        <w:t>enie lub</w:t>
      </w:r>
      <w:r w:rsidR="00FF009C" w:rsidRPr="00FF009C">
        <w:t xml:space="preserve"> w</w:t>
      </w:r>
      <w:r w:rsidR="00FF009C">
        <w:t> </w:t>
      </w:r>
      <w:r w:rsidR="00FF009C" w:rsidRPr="00FF009C">
        <w:t>sie</w:t>
      </w:r>
      <w:r w:rsidRPr="00FF009C">
        <w:t>dzibie głównej Europolu.</w:t>
      </w:r>
    </w:p>
  </w:footnote>
  <w:footnote w:id="34">
    <w:p w14:paraId="7C43F0A5" w14:textId="1E86BC8E" w:rsidR="00E8324F" w:rsidRPr="00FF009C" w:rsidRDefault="00E8324F" w:rsidP="00AB4A6F">
      <w:pPr>
        <w:pStyle w:val="FootnoteText"/>
        <w:ind w:left="0" w:firstLine="0"/>
      </w:pPr>
      <w:r w:rsidRPr="00FF009C">
        <w:rPr>
          <w:rStyle w:val="FootnoteReference0"/>
        </w:rPr>
        <w:footnoteRef/>
      </w:r>
      <w:r w:rsidRPr="00FF009C">
        <w:tab/>
        <w:t>Oczekuje się, że ustanowienie wyspecjalizowanych jednostek ds. przeciwdziałania przemytowi migrantów</w:t>
      </w:r>
      <w:r w:rsidR="00FF009C" w:rsidRPr="00FF009C">
        <w:t xml:space="preserve"> w</w:t>
      </w:r>
      <w:r w:rsidR="00FF009C">
        <w:t> </w:t>
      </w:r>
      <w:r w:rsidR="00FF009C" w:rsidRPr="00FF009C">
        <w:t>każ</w:t>
      </w:r>
      <w:r w:rsidRPr="00FF009C">
        <w:t>dym państwie członkowskim</w:t>
      </w:r>
      <w:r w:rsidR="00FF009C" w:rsidRPr="00FF009C">
        <w:t xml:space="preserve"> i</w:t>
      </w:r>
      <w:r w:rsidR="00FF009C">
        <w:t> </w:t>
      </w:r>
      <w:r w:rsidR="00FF009C" w:rsidRPr="00FF009C">
        <w:t>zap</w:t>
      </w:r>
      <w:r w:rsidRPr="00FF009C">
        <w:t>ewnienie im bezpośredniego połączenia</w:t>
      </w:r>
      <w:r w:rsidR="00FF009C" w:rsidRPr="00FF009C">
        <w:t xml:space="preserve"> z</w:t>
      </w:r>
      <w:r w:rsidR="00FF009C">
        <w:t> </w:t>
      </w:r>
      <w:r w:rsidR="00FF009C" w:rsidRPr="00FF009C">
        <w:t>apl</w:t>
      </w:r>
      <w:r w:rsidRPr="00FF009C">
        <w:t>ikacją SIENA doprowadzi do ponad dwukrotnego wzrostu przekazywanych informacji,</w:t>
      </w:r>
      <w:r w:rsidR="00FF009C" w:rsidRPr="00FF009C">
        <w:t xml:space="preserve"> a</w:t>
      </w:r>
      <w:r w:rsidR="00FF009C">
        <w:t> </w:t>
      </w:r>
      <w:r w:rsidR="00FF009C" w:rsidRPr="00FF009C">
        <w:t>tak</w:t>
      </w:r>
      <w:r w:rsidRPr="00FF009C">
        <w:t>że liczby operacji</w:t>
      </w:r>
      <w:r w:rsidR="00FF009C" w:rsidRPr="00FF009C">
        <w:t xml:space="preserve"> i</w:t>
      </w:r>
      <w:r w:rsidR="00FF009C">
        <w:t> </w:t>
      </w:r>
      <w:r w:rsidR="00FF009C" w:rsidRPr="00FF009C">
        <w:t>ope</w:t>
      </w:r>
      <w:r w:rsidRPr="00FF009C">
        <w:t xml:space="preserve">racyjnych grup zadaniowych. </w:t>
      </w:r>
    </w:p>
  </w:footnote>
  <w:footnote w:id="35">
    <w:p w14:paraId="5573DFA7" w14:textId="18661485" w:rsidR="00E8324F" w:rsidRPr="00FF009C" w:rsidRDefault="00E8324F" w:rsidP="00AB4A6F">
      <w:pPr>
        <w:pStyle w:val="FootnoteText"/>
        <w:ind w:left="0" w:firstLine="0"/>
      </w:pPr>
      <w:r w:rsidRPr="00FF009C">
        <w:rPr>
          <w:rStyle w:val="FootnoteReference0"/>
        </w:rPr>
        <w:footnoteRef/>
      </w:r>
      <w:r w:rsidRPr="00FF009C">
        <w:tab/>
        <w:t>Aby zwiększyć elastyczność wsparcia udzielanego państwom członkowskim</w:t>
      </w:r>
      <w:r w:rsidR="00FF009C" w:rsidRPr="00FF009C">
        <w:t xml:space="preserve"> w</w:t>
      </w:r>
      <w:r w:rsidR="00FF009C">
        <w:t> </w:t>
      </w:r>
      <w:r w:rsidR="00FF009C" w:rsidRPr="00FF009C">
        <w:t>ram</w:t>
      </w:r>
      <w:r w:rsidRPr="00FF009C">
        <w:t>ach EMPACT, Europol wprowadził system finansowania opierający się na dwóch rodzajach dotacji. (I) Dotacji</w:t>
      </w:r>
      <w:r w:rsidR="00FF009C" w:rsidRPr="00FF009C">
        <w:t xml:space="preserve"> o</w:t>
      </w:r>
      <w:r w:rsidR="00FF009C">
        <w:t> </w:t>
      </w:r>
      <w:r w:rsidR="00FF009C" w:rsidRPr="00FF009C">
        <w:t>wys</w:t>
      </w:r>
      <w:r w:rsidRPr="00FF009C">
        <w:t>okiej wartości udziela się</w:t>
      </w:r>
      <w:r w:rsidR="00FF009C" w:rsidRPr="00FF009C">
        <w:t xml:space="preserve"> w</w:t>
      </w:r>
      <w:r w:rsidR="00FF009C">
        <w:t> </w:t>
      </w:r>
      <w:r w:rsidR="00FF009C" w:rsidRPr="00FF009C">
        <w:t>ram</w:t>
      </w:r>
      <w:r w:rsidRPr="00FF009C">
        <w:t>ach tradycyjnego zaproszenia do składania wniosków, wyznaczając konkretny termin na złożenie wniosków</w:t>
      </w:r>
      <w:r w:rsidR="00FF009C" w:rsidRPr="00FF009C">
        <w:t xml:space="preserve"> o</w:t>
      </w:r>
      <w:r w:rsidR="00FF009C">
        <w:t> </w:t>
      </w:r>
      <w:r w:rsidR="00FF009C" w:rsidRPr="00FF009C">
        <w:t>sfi</w:t>
      </w:r>
      <w:r w:rsidRPr="00FF009C">
        <w:t>nansowanie ukierunkowanych działań przewidzianych</w:t>
      </w:r>
      <w:r w:rsidR="00FF009C" w:rsidRPr="00FF009C">
        <w:t xml:space="preserve"> w</w:t>
      </w:r>
      <w:r w:rsidR="00FF009C">
        <w:t> </w:t>
      </w:r>
      <w:r w:rsidR="00FF009C" w:rsidRPr="00FF009C">
        <w:t>pla</w:t>
      </w:r>
      <w:r w:rsidRPr="00FF009C">
        <w:t>nach działań operacyjnych, natomiast (II) dotacji</w:t>
      </w:r>
      <w:r w:rsidR="00FF009C" w:rsidRPr="00FF009C">
        <w:t xml:space="preserve"> o</w:t>
      </w:r>
      <w:r w:rsidR="00FF009C">
        <w:t> </w:t>
      </w:r>
      <w:r w:rsidR="00FF009C" w:rsidRPr="00FF009C">
        <w:t>nis</w:t>
      </w:r>
      <w:r w:rsidRPr="00FF009C">
        <w:t>kiej wartości udziela się</w:t>
      </w:r>
      <w:r w:rsidR="00FF009C" w:rsidRPr="00FF009C">
        <w:t xml:space="preserve"> w</w:t>
      </w:r>
      <w:r w:rsidR="00FF009C">
        <w:t> </w:t>
      </w:r>
      <w:r w:rsidR="00FF009C" w:rsidRPr="00FF009C">
        <w:t>ram</w:t>
      </w:r>
      <w:r w:rsidRPr="00FF009C">
        <w:t>ach procedury otwartej, aby zapewnić krótkoterminowe finansowanie na pokrycie kosztów związanych</w:t>
      </w:r>
      <w:r w:rsidR="00FF009C" w:rsidRPr="00FF009C">
        <w:t xml:space="preserve"> z</w:t>
      </w:r>
      <w:r w:rsidR="00FF009C">
        <w:t> </w:t>
      </w:r>
      <w:r w:rsidR="00FF009C" w:rsidRPr="00FF009C">
        <w:t>prz</w:t>
      </w:r>
      <w:r w:rsidRPr="00FF009C">
        <w:t>ewidzianymi</w:t>
      </w:r>
      <w:r w:rsidR="00FF009C" w:rsidRPr="00FF009C">
        <w:t xml:space="preserve"> w</w:t>
      </w:r>
      <w:r w:rsidR="00FF009C">
        <w:t> </w:t>
      </w:r>
      <w:r w:rsidR="00FF009C" w:rsidRPr="00FF009C">
        <w:t>pla</w:t>
      </w:r>
      <w:r w:rsidRPr="00FF009C">
        <w:t>nach działań operacyjnych czynnościami</w:t>
      </w:r>
      <w:r w:rsidR="00FF009C" w:rsidRPr="00FF009C">
        <w:t xml:space="preserve"> o</w:t>
      </w:r>
      <w:r w:rsidR="00FF009C">
        <w:t> </w:t>
      </w:r>
      <w:r w:rsidR="00FF009C" w:rsidRPr="00FF009C">
        <w:t>wyr</w:t>
      </w:r>
      <w:r w:rsidRPr="00FF009C">
        <w:t>aźnie operacyjnym charakterze. Na przestrzeni ostatnich lat dotacje udzielane</w:t>
      </w:r>
      <w:r w:rsidR="00FF009C" w:rsidRPr="00FF009C">
        <w:t xml:space="preserve"> w</w:t>
      </w:r>
      <w:r w:rsidR="00FF009C">
        <w:t> </w:t>
      </w:r>
      <w:r w:rsidR="00FF009C" w:rsidRPr="00FF009C">
        <w:t>ram</w:t>
      </w:r>
      <w:r w:rsidRPr="00FF009C">
        <w:t>ach EMPACT stały się niezwykle popularne,</w:t>
      </w:r>
      <w:r w:rsidR="00FF009C" w:rsidRPr="00FF009C">
        <w:t xml:space="preserve"> a</w:t>
      </w:r>
      <w:r w:rsidR="00FF009C">
        <w:t> </w:t>
      </w:r>
      <w:r w:rsidR="00FF009C" w:rsidRPr="00FF009C">
        <w:t>pań</w:t>
      </w:r>
      <w:r w:rsidRPr="00FF009C">
        <w:t>stwa członkowskie coraz chętniej</w:t>
      </w:r>
      <w:r w:rsidR="00FF009C" w:rsidRPr="00FF009C">
        <w:t xml:space="preserve"> z</w:t>
      </w:r>
      <w:r w:rsidR="00FF009C">
        <w:t> </w:t>
      </w:r>
      <w:r w:rsidR="00FF009C" w:rsidRPr="00FF009C">
        <w:t>nic</w:t>
      </w:r>
      <w:r w:rsidRPr="00FF009C">
        <w:t>h korzystały, chwaląc ich przydatność</w:t>
      </w:r>
      <w:r w:rsidR="00FF009C" w:rsidRPr="00FF009C">
        <w:t xml:space="preserve"> w</w:t>
      </w:r>
      <w:r w:rsidR="00FF009C">
        <w:t> </w:t>
      </w:r>
      <w:r w:rsidR="00FF009C" w:rsidRPr="00FF009C">
        <w:t>zak</w:t>
      </w:r>
      <w:r w:rsidRPr="00FF009C">
        <w:t>resie wspierania zwalczania przestępczości zorganizowanej</w:t>
      </w:r>
      <w:r w:rsidR="00FF009C" w:rsidRPr="00FF009C">
        <w:t xml:space="preserve"> i</w:t>
      </w:r>
      <w:r w:rsidR="00FF009C">
        <w:t> </w:t>
      </w:r>
      <w:r w:rsidR="00FF009C" w:rsidRPr="00FF009C">
        <w:t>osi</w:t>
      </w:r>
      <w:r w:rsidRPr="00FF009C">
        <w:t>ągania wymiernych rezultatów</w:t>
      </w:r>
      <w:r w:rsidR="00FF009C" w:rsidRPr="00FF009C">
        <w:t xml:space="preserve"> w</w:t>
      </w:r>
      <w:r w:rsidR="00FF009C">
        <w:t> </w:t>
      </w:r>
      <w:r w:rsidR="00FF009C" w:rsidRPr="00FF009C">
        <w:t>tym</w:t>
      </w:r>
      <w:r w:rsidRPr="00FF009C">
        <w:t xml:space="preserve"> obszarze</w:t>
      </w:r>
      <w:r w:rsidR="00FF009C" w:rsidRPr="00FF009C">
        <w:t>. W</w:t>
      </w:r>
      <w:r w:rsidR="00FF009C">
        <w:t> </w:t>
      </w:r>
      <w:r w:rsidR="00FF009C" w:rsidRPr="00FF009C">
        <w:t>ubi</w:t>
      </w:r>
      <w:r w:rsidRPr="00FF009C">
        <w:t>egłym roku pulę środków na dotacje</w:t>
      </w:r>
      <w:r w:rsidR="00FF009C" w:rsidRPr="00FF009C">
        <w:t xml:space="preserve"> o</w:t>
      </w:r>
      <w:r w:rsidR="00FF009C">
        <w:t> </w:t>
      </w:r>
      <w:r w:rsidR="00FF009C" w:rsidRPr="00FF009C">
        <w:t>nis</w:t>
      </w:r>
      <w:r w:rsidRPr="00FF009C">
        <w:t>kiej wartości wyczerpano</w:t>
      </w:r>
      <w:r w:rsidR="00FF009C" w:rsidRPr="00FF009C">
        <w:t xml:space="preserve"> w</w:t>
      </w:r>
      <w:r w:rsidR="00FF009C">
        <w:t> </w:t>
      </w:r>
      <w:r w:rsidR="00FF009C" w:rsidRPr="00FF009C">
        <w:t>lis</w:t>
      </w:r>
      <w:r w:rsidRPr="00FF009C">
        <w:t>topadzie 2022</w:t>
      </w:r>
      <w:r w:rsidR="00FF009C" w:rsidRPr="00FF009C">
        <w:t> </w:t>
      </w:r>
      <w:r w:rsidRPr="00FF009C">
        <w:t>r., natomiast</w:t>
      </w:r>
      <w:r w:rsidR="00FF009C" w:rsidRPr="00FF009C">
        <w:t xml:space="preserve"> w</w:t>
      </w:r>
      <w:r w:rsidR="00FF009C">
        <w:t> </w:t>
      </w:r>
      <w:r w:rsidR="00FF009C" w:rsidRPr="00FF009C">
        <w:t>tym</w:t>
      </w:r>
      <w:r w:rsidRPr="00FF009C">
        <w:t xml:space="preserve"> roku wyczerpano ją już we wrześniu 2023</w:t>
      </w:r>
      <w:r w:rsidR="00FF009C" w:rsidRPr="00FF009C">
        <w:t> </w:t>
      </w:r>
      <w:r w:rsidRPr="00FF009C">
        <w:t>r. –</w:t>
      </w:r>
      <w:r w:rsidR="00FF009C" w:rsidRPr="00FF009C">
        <w:t xml:space="preserve"> w</w:t>
      </w:r>
      <w:r w:rsidR="00FF009C">
        <w:t> </w:t>
      </w:r>
      <w:r w:rsidR="00FF009C" w:rsidRPr="00FF009C">
        <w:t>obu</w:t>
      </w:r>
      <w:r w:rsidRPr="00FF009C">
        <w:t xml:space="preserve"> tych przypadkach doprowadziło to do powstania próżni</w:t>
      </w:r>
      <w:r w:rsidR="00FF009C" w:rsidRPr="00FF009C">
        <w:t xml:space="preserve"> i</w:t>
      </w:r>
      <w:r w:rsidR="00FF009C">
        <w:t> </w:t>
      </w:r>
      <w:r w:rsidR="00FF009C" w:rsidRPr="00FF009C">
        <w:t>odb</w:t>
      </w:r>
      <w:r w:rsidRPr="00FF009C">
        <w:t>iło się niekorzystnie na zdolności Europolu do wspierania państw członkowskich, jak również na możliwości skutecznego prowadzenia postępowań przygotowawczych przez państwa członkowskie.</w:t>
      </w:r>
    </w:p>
  </w:footnote>
  <w:footnote w:id="36">
    <w:p w14:paraId="5957F14B" w14:textId="77777777" w:rsidR="00E8324F" w:rsidRPr="00FF009C" w:rsidRDefault="00E8324F" w:rsidP="00AB4A6F">
      <w:pPr>
        <w:pStyle w:val="FootnoteText"/>
      </w:pPr>
      <w:r w:rsidRPr="00FF009C">
        <w:rPr>
          <w:rStyle w:val="FootnoteReference0"/>
        </w:rPr>
        <w:footnoteRef/>
      </w:r>
      <w:r w:rsidRPr="00FF009C">
        <w:tab/>
      </w:r>
      <w:hyperlink r:id="rId6" w:history="1">
        <w:r w:rsidRPr="00FF009C">
          <w:rPr>
            <w:rStyle w:val="Hyperlink"/>
          </w:rPr>
          <w:t>https://www.europol.europa.eu/crime-areas-and-statistics/empact</w:t>
        </w:r>
      </w:hyperlink>
      <w:r w:rsidRPr="00FF009C">
        <w:t xml:space="preserve"> </w:t>
      </w:r>
    </w:p>
  </w:footnote>
  <w:footnote w:id="37">
    <w:p w14:paraId="1DD0AC1B" w14:textId="77777777" w:rsidR="00E8324F" w:rsidRPr="00FF009C" w:rsidRDefault="00E8324F" w:rsidP="6E5A1C8C">
      <w:pPr>
        <w:pStyle w:val="FootnoteText"/>
        <w:rPr>
          <w:szCs w:val="24"/>
        </w:rPr>
      </w:pPr>
      <w:r w:rsidRPr="00FF009C">
        <w:rPr>
          <w:rStyle w:val="FootnoteReference0"/>
        </w:rPr>
        <w:footnoteRef/>
      </w:r>
      <w:r w:rsidRPr="00FF009C">
        <w:tab/>
        <w:t xml:space="preserve">Szczegóły dotyczące metod wykonania budżetu oraz odniesienia do rozporządzenia finansowego znajdują się na stronie BUDGpedia: </w:t>
      </w:r>
      <w:hyperlink r:id="rId7" w:history="1">
        <w:r w:rsidRPr="00FF009C">
          <w:rPr>
            <w:rStyle w:val="Hyperlink"/>
          </w:rPr>
          <w:t>https://myintracomm.ec.europa.eu/corp/budget/financial-rules/budget-implementation/Pages/implementation-methods.aspx</w:t>
        </w:r>
      </w:hyperlink>
    </w:p>
    <w:p w14:paraId="696743D3" w14:textId="77777777" w:rsidR="00E8324F" w:rsidRPr="00FF009C" w:rsidRDefault="00E8324F" w:rsidP="00AB4A6F">
      <w:pPr>
        <w:pStyle w:val="FootnoteText"/>
        <w:rPr>
          <w:szCs w:val="24"/>
        </w:rPr>
      </w:pPr>
    </w:p>
  </w:footnote>
  <w:footnote w:id="38">
    <w:p w14:paraId="39A1E273" w14:textId="77777777" w:rsidR="00E8324F" w:rsidRPr="00FF009C" w:rsidRDefault="00E8324F" w:rsidP="00AB4A6F">
      <w:pPr>
        <w:pStyle w:val="FootnoteText"/>
      </w:pPr>
      <w:r w:rsidRPr="00FF009C">
        <w:rPr>
          <w:rStyle w:val="FootnoteReference0"/>
        </w:rPr>
        <w:footnoteRef/>
      </w:r>
      <w:r w:rsidRPr="00FF009C">
        <w:tab/>
        <w:t>Rozporządzenie (UE) 2016/794.</w:t>
      </w:r>
    </w:p>
  </w:footnote>
  <w:footnote w:id="39">
    <w:p w14:paraId="127925BB" w14:textId="77777777" w:rsidR="00E8324F" w:rsidRPr="00FF009C" w:rsidRDefault="00E8324F" w:rsidP="00AB4A6F">
      <w:pPr>
        <w:pStyle w:val="FootnoteText"/>
        <w:ind w:left="0" w:firstLine="0"/>
      </w:pPr>
      <w:r w:rsidRPr="00FF009C">
        <w:rPr>
          <w:rStyle w:val="FootnoteReference0"/>
        </w:rPr>
        <w:footnoteRef/>
      </w:r>
      <w:r w:rsidRPr="00FF009C">
        <w:tab/>
      </w:r>
      <w:hyperlink r:id="rId8" w:history="1">
        <w:r w:rsidRPr="00FF009C">
          <w:rPr>
            <w:rStyle w:val="Hyperlink"/>
          </w:rPr>
          <w:t>https://www.europol.europa.eu/sites/default/files/documents/decision_of_the_europol_management_board_on_the_adoption_of_the_financial_regulation_applicable_to_europol_.pdf</w:t>
        </w:r>
      </w:hyperlink>
    </w:p>
  </w:footnote>
  <w:footnote w:id="40">
    <w:p w14:paraId="4CA92324" w14:textId="77777777" w:rsidR="00E8324F" w:rsidRPr="00FF009C" w:rsidRDefault="00E8324F" w:rsidP="00AB4A6F">
      <w:pPr>
        <w:pStyle w:val="FootnoteText"/>
      </w:pPr>
      <w:r w:rsidRPr="00FF009C">
        <w:rPr>
          <w:rStyle w:val="FootnoteReference0"/>
        </w:rPr>
        <w:footnoteRef/>
      </w:r>
      <w:r w:rsidRPr="00FF009C">
        <w:tab/>
      </w:r>
      <w:hyperlink r:id="rId9" w:history="1">
        <w:r w:rsidRPr="00FF009C">
          <w:rPr>
            <w:rStyle w:val="Hyperlink"/>
          </w:rPr>
          <w:t>https://europa.eu/european-union/sites/europaeu/files/docs/body/joint_statement_and_common_approach_2012_pl.pdf</w:t>
        </w:r>
      </w:hyperlink>
    </w:p>
    <w:p w14:paraId="0FB5FC5D" w14:textId="77777777" w:rsidR="00E8324F" w:rsidRPr="00FF009C" w:rsidRDefault="00E8324F" w:rsidP="00AB4A6F">
      <w:pPr>
        <w:pStyle w:val="FootnoteText"/>
      </w:pPr>
    </w:p>
  </w:footnote>
  <w:footnote w:id="41">
    <w:p w14:paraId="539F3EEC" w14:textId="77777777" w:rsidR="00E8324F" w:rsidRPr="00FF009C" w:rsidRDefault="00E8324F" w:rsidP="6E5A1C8C">
      <w:pPr>
        <w:pStyle w:val="FootnoteText"/>
        <w:rPr>
          <w:szCs w:val="24"/>
        </w:rPr>
      </w:pPr>
      <w:r w:rsidRPr="00FF009C">
        <w:rPr>
          <w:rStyle w:val="FootnoteReference0"/>
        </w:rPr>
        <w:footnoteRef/>
      </w:r>
      <w:r w:rsidRPr="00FF009C">
        <w:tab/>
        <w:t>Środki zróżnicowane / środki niezróżnicowane.</w:t>
      </w:r>
    </w:p>
  </w:footnote>
  <w:footnote w:id="42">
    <w:p w14:paraId="1F3DB3FC" w14:textId="77777777" w:rsidR="00E8324F" w:rsidRPr="00FF009C" w:rsidRDefault="00E8324F" w:rsidP="6E5A1C8C">
      <w:pPr>
        <w:pStyle w:val="FootnoteText"/>
        <w:rPr>
          <w:szCs w:val="24"/>
        </w:rPr>
      </w:pPr>
      <w:r w:rsidRPr="00FF009C">
        <w:rPr>
          <w:rStyle w:val="FootnoteReference0"/>
        </w:rPr>
        <w:footnoteRef/>
      </w:r>
      <w:r w:rsidRPr="00FF009C">
        <w:tab/>
        <w:t xml:space="preserve">EFTA: Europejskie Stowarzyszenie Wolnego Handlu. </w:t>
      </w:r>
    </w:p>
  </w:footnote>
  <w:footnote w:id="43">
    <w:p w14:paraId="1D2E92A1" w14:textId="2342F540" w:rsidR="00E8324F" w:rsidRPr="00FF009C" w:rsidRDefault="00E8324F" w:rsidP="6E5A1C8C">
      <w:pPr>
        <w:pStyle w:val="FootnoteText"/>
        <w:rPr>
          <w:szCs w:val="24"/>
        </w:rPr>
      </w:pPr>
      <w:r w:rsidRPr="00FF009C">
        <w:rPr>
          <w:rStyle w:val="FootnoteReference0"/>
        </w:rPr>
        <w:footnoteRef/>
      </w:r>
      <w:r w:rsidRPr="00FF009C">
        <w:tab/>
        <w:t>Kraje kandydujące oraz</w:t>
      </w:r>
      <w:r w:rsidR="00FF009C" w:rsidRPr="00FF009C">
        <w:t xml:space="preserve"> w</w:t>
      </w:r>
      <w:r w:rsidR="00FF009C">
        <w:t> </w:t>
      </w:r>
      <w:r w:rsidR="00FF009C" w:rsidRPr="00FF009C">
        <w:t>sto</w:t>
      </w:r>
      <w:r w:rsidRPr="00FF009C">
        <w:t>sownych przypadkach potencjalne kraje kandydujące Bałkanów Zachodnich.</w:t>
      </w:r>
    </w:p>
  </w:footnote>
  <w:footnote w:id="44">
    <w:p w14:paraId="1EBBFA4A" w14:textId="67C0EA68" w:rsidR="00E8324F" w:rsidRPr="00FF009C" w:rsidRDefault="00E8324F" w:rsidP="0014309B">
      <w:pPr>
        <w:pStyle w:val="FootnoteText"/>
        <w:ind w:left="142" w:hanging="142"/>
      </w:pPr>
      <w:r w:rsidRPr="00FF009C">
        <w:rPr>
          <w:rStyle w:val="FootnoteReference0"/>
        </w:rPr>
        <w:footnoteRef/>
      </w:r>
      <w:r w:rsidRPr="00FF009C">
        <w:tab/>
        <w:t>Poziom zatrudnienia obliczony na podstawie średnich kosztów jednostkowych pracowników stosowanych</w:t>
      </w:r>
      <w:r w:rsidR="00FF009C" w:rsidRPr="00FF009C">
        <w:t xml:space="preserve"> w</w:t>
      </w:r>
      <w:r w:rsidR="00FF009C">
        <w:t> </w:t>
      </w:r>
      <w:r w:rsidR="00FF009C" w:rsidRPr="00FF009C">
        <w:t>oce</w:t>
      </w:r>
      <w:r w:rsidRPr="00FF009C">
        <w:t>nie skutków finansowych regulacji, zindeksowanych na podstawie współczynnika korygującego dla Niderlandów (111,8</w:t>
      </w:r>
      <w:r w:rsidR="00FF009C" w:rsidRPr="00FF009C">
        <w:t> </w:t>
      </w:r>
      <w:r w:rsidRPr="00FF009C">
        <w:t>%).</w:t>
      </w:r>
    </w:p>
  </w:footnote>
  <w:footnote w:id="45">
    <w:p w14:paraId="2C7DAD85" w14:textId="2772BC3A" w:rsidR="001F2F1F" w:rsidRPr="00FF009C" w:rsidRDefault="001F2F1F" w:rsidP="0030015D">
      <w:pPr>
        <w:pStyle w:val="FootnoteText"/>
        <w:ind w:left="142" w:hanging="142"/>
      </w:pPr>
      <w:r w:rsidRPr="00FF009C">
        <w:rPr>
          <w:rStyle w:val="FootnoteReference0"/>
        </w:rPr>
        <w:footnoteRef/>
      </w:r>
      <w:r w:rsidRPr="00FF009C">
        <w:tab/>
        <w:t>Zwiększenie liczby pracowników Europolu,</w:t>
      </w:r>
      <w:r w:rsidR="00FF009C" w:rsidRPr="00FF009C">
        <w:t xml:space="preserve"> o</w:t>
      </w:r>
      <w:r w:rsidR="00FF009C">
        <w:t> </w:t>
      </w:r>
      <w:r w:rsidR="00FF009C" w:rsidRPr="00FF009C">
        <w:t>któ</w:t>
      </w:r>
      <w:r w:rsidRPr="00FF009C">
        <w:t>rym wspomina się we wniosku, zostanie zrównoważone ograniczeniem liczebności przyszłych wzmocnień pracowników Fronteksu. Obie agencje uzgodnią między sobą konkretne warunki transferu pracowników, biorąc pod uwagę kryteria</w:t>
      </w:r>
      <w:r w:rsidR="00FF009C" w:rsidRPr="00FF009C">
        <w:t xml:space="preserve"> i</w:t>
      </w:r>
      <w:r w:rsidR="00FF009C">
        <w:t> </w:t>
      </w:r>
      <w:r w:rsidR="00FF009C" w:rsidRPr="00FF009C">
        <w:t>ter</w:t>
      </w:r>
      <w:r w:rsidRPr="00FF009C">
        <w:t>miny określone przez współprawodawców.</w:t>
      </w:r>
    </w:p>
  </w:footnote>
  <w:footnote w:id="46">
    <w:p w14:paraId="6C76897A" w14:textId="12BB2B43" w:rsidR="00E8324F" w:rsidRPr="00FF009C" w:rsidRDefault="00E8324F" w:rsidP="6E5A1C8C">
      <w:pPr>
        <w:pStyle w:val="FootnoteText"/>
        <w:rPr>
          <w:szCs w:val="24"/>
        </w:rPr>
      </w:pPr>
      <w:r w:rsidRPr="00FF009C">
        <w:rPr>
          <w:rStyle w:val="FootnoteReference0"/>
        </w:rPr>
        <w:footnoteRef/>
      </w:r>
      <w:r w:rsidRPr="00FF009C">
        <w:tab/>
        <w:t>CA = personel kontraktowy; LA = personel miejscowy; SNE = oddelegowany ekspert krajowy; INT = personel tymczasowy; JPD = młodszy specjalista</w:t>
      </w:r>
      <w:r w:rsidR="00FF009C" w:rsidRPr="00FF009C">
        <w:t xml:space="preserve"> w</w:t>
      </w:r>
      <w:r w:rsidR="00FF009C">
        <w:t> </w:t>
      </w:r>
      <w:r w:rsidR="00FF009C" w:rsidRPr="00FF009C">
        <w:t>del</w:t>
      </w:r>
      <w:r w:rsidRPr="00FF009C">
        <w:t xml:space="preserve">egaturze. </w:t>
      </w:r>
    </w:p>
  </w:footnote>
  <w:footnote w:id="47">
    <w:p w14:paraId="1A84F613" w14:textId="189BBA66" w:rsidR="00E8324F" w:rsidRPr="00FF009C" w:rsidRDefault="00E8324F" w:rsidP="6E5A1C8C">
      <w:pPr>
        <w:pStyle w:val="FootnoteText"/>
        <w:rPr>
          <w:szCs w:val="24"/>
        </w:rPr>
      </w:pPr>
      <w:r w:rsidRPr="00FF009C">
        <w:rPr>
          <w:rStyle w:val="FootnoteReference0"/>
        </w:rPr>
        <w:footnoteRef/>
      </w:r>
      <w:r w:rsidRPr="00FF009C">
        <w:tab/>
        <w:t>Zob. art.</w:t>
      </w:r>
      <w:r w:rsidR="00FF009C" w:rsidRPr="00FF009C">
        <w:t> </w:t>
      </w:r>
      <w:r w:rsidRPr="00FF009C">
        <w:t>12</w:t>
      </w:r>
      <w:r w:rsidR="00FF009C" w:rsidRPr="00FF009C">
        <w:t xml:space="preserve"> i</w:t>
      </w:r>
      <w:r w:rsidR="00FF009C">
        <w:t> </w:t>
      </w:r>
      <w:r w:rsidR="00FF009C" w:rsidRPr="00FF009C">
        <w:t>1</w:t>
      </w:r>
      <w:r w:rsidRPr="00FF009C">
        <w:t>3 rozporządzenia Rady (UE, EURATOM) 2093/2020</w:t>
      </w:r>
      <w:r w:rsidR="00FF009C" w:rsidRPr="00FF009C">
        <w:t xml:space="preserve"> z</w:t>
      </w:r>
      <w:r w:rsidR="00FF009C">
        <w:t> </w:t>
      </w:r>
      <w:r w:rsidR="00FF009C" w:rsidRPr="00FF009C">
        <w:t>dni</w:t>
      </w:r>
      <w:r w:rsidRPr="00FF009C">
        <w:t>a 17 grudnia 2020</w:t>
      </w:r>
      <w:r w:rsidR="00FF009C" w:rsidRPr="00FF009C">
        <w:t> </w:t>
      </w:r>
      <w:r w:rsidRPr="00FF009C">
        <w:t>r. określającego wieloletnie ramy finansowe na lata 2021–2027.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E4A8D" w14:textId="77777777" w:rsidR="00996686" w:rsidRPr="00996686" w:rsidRDefault="00996686" w:rsidP="004E3534">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1E1CA" w14:textId="77777777" w:rsidR="004E3534" w:rsidRPr="004E3534" w:rsidRDefault="004E3534" w:rsidP="004E3534">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471FF" w14:textId="77777777" w:rsidR="00C66276" w:rsidRPr="00996686" w:rsidRDefault="00C66276" w:rsidP="004E35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CF55F" w14:textId="77777777" w:rsidR="004E3534" w:rsidRPr="004E3534" w:rsidRDefault="004E3534" w:rsidP="004E3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6970"/>
    <w:multiLevelType w:val="hybridMultilevel"/>
    <w:tmpl w:val="96281158"/>
    <w:lvl w:ilvl="0" w:tplc="CC4E82A6">
      <w:start w:val="1"/>
      <w:numFmt w:val="bullet"/>
      <w:lvlText w:val="-"/>
      <w:lvlJc w:val="left"/>
      <w:pPr>
        <w:ind w:left="1210" w:hanging="360"/>
      </w:pPr>
      <w:rPr>
        <w:rFonts w:ascii="Times New Roman" w:eastAsiaTheme="minorHAnsi" w:hAnsi="Times New Roman" w:cs="Times New Roman" w:hint="default"/>
      </w:rPr>
    </w:lvl>
    <w:lvl w:ilvl="1" w:tplc="18090003" w:tentative="1">
      <w:start w:val="1"/>
      <w:numFmt w:val="bullet"/>
      <w:lvlText w:val="o"/>
      <w:lvlJc w:val="left"/>
      <w:pPr>
        <w:ind w:left="1930" w:hanging="360"/>
      </w:pPr>
      <w:rPr>
        <w:rFonts w:ascii="Courier New" w:hAnsi="Courier New" w:cs="Courier New" w:hint="default"/>
      </w:rPr>
    </w:lvl>
    <w:lvl w:ilvl="2" w:tplc="18090005" w:tentative="1">
      <w:start w:val="1"/>
      <w:numFmt w:val="bullet"/>
      <w:lvlText w:val=""/>
      <w:lvlJc w:val="left"/>
      <w:pPr>
        <w:ind w:left="2650" w:hanging="360"/>
      </w:pPr>
      <w:rPr>
        <w:rFonts w:ascii="Wingdings" w:hAnsi="Wingdings" w:hint="default"/>
      </w:rPr>
    </w:lvl>
    <w:lvl w:ilvl="3" w:tplc="18090001" w:tentative="1">
      <w:start w:val="1"/>
      <w:numFmt w:val="bullet"/>
      <w:lvlText w:val=""/>
      <w:lvlJc w:val="left"/>
      <w:pPr>
        <w:ind w:left="3370" w:hanging="360"/>
      </w:pPr>
      <w:rPr>
        <w:rFonts w:ascii="Symbol" w:hAnsi="Symbol" w:hint="default"/>
      </w:rPr>
    </w:lvl>
    <w:lvl w:ilvl="4" w:tplc="18090003" w:tentative="1">
      <w:start w:val="1"/>
      <w:numFmt w:val="bullet"/>
      <w:lvlText w:val="o"/>
      <w:lvlJc w:val="left"/>
      <w:pPr>
        <w:ind w:left="4090" w:hanging="360"/>
      </w:pPr>
      <w:rPr>
        <w:rFonts w:ascii="Courier New" w:hAnsi="Courier New" w:cs="Courier New" w:hint="default"/>
      </w:rPr>
    </w:lvl>
    <w:lvl w:ilvl="5" w:tplc="18090005" w:tentative="1">
      <w:start w:val="1"/>
      <w:numFmt w:val="bullet"/>
      <w:lvlText w:val=""/>
      <w:lvlJc w:val="left"/>
      <w:pPr>
        <w:ind w:left="4810" w:hanging="360"/>
      </w:pPr>
      <w:rPr>
        <w:rFonts w:ascii="Wingdings" w:hAnsi="Wingdings" w:hint="default"/>
      </w:rPr>
    </w:lvl>
    <w:lvl w:ilvl="6" w:tplc="18090001" w:tentative="1">
      <w:start w:val="1"/>
      <w:numFmt w:val="bullet"/>
      <w:lvlText w:val=""/>
      <w:lvlJc w:val="left"/>
      <w:pPr>
        <w:ind w:left="5530" w:hanging="360"/>
      </w:pPr>
      <w:rPr>
        <w:rFonts w:ascii="Symbol" w:hAnsi="Symbol" w:hint="default"/>
      </w:rPr>
    </w:lvl>
    <w:lvl w:ilvl="7" w:tplc="18090003" w:tentative="1">
      <w:start w:val="1"/>
      <w:numFmt w:val="bullet"/>
      <w:lvlText w:val="o"/>
      <w:lvlJc w:val="left"/>
      <w:pPr>
        <w:ind w:left="6250" w:hanging="360"/>
      </w:pPr>
      <w:rPr>
        <w:rFonts w:ascii="Courier New" w:hAnsi="Courier New" w:cs="Courier New" w:hint="default"/>
      </w:rPr>
    </w:lvl>
    <w:lvl w:ilvl="8" w:tplc="18090005" w:tentative="1">
      <w:start w:val="1"/>
      <w:numFmt w:val="bullet"/>
      <w:lvlText w:val=""/>
      <w:lvlJc w:val="left"/>
      <w:pPr>
        <w:ind w:left="6970" w:hanging="360"/>
      </w:pPr>
      <w:rPr>
        <w:rFonts w:ascii="Wingdings" w:hAnsi="Wingdings" w:hint="default"/>
      </w:rPr>
    </w:lvl>
  </w:abstractNum>
  <w:abstractNum w:abstractNumId="1"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3"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1"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96D67A1"/>
    <w:multiLevelType w:val="singleLevel"/>
    <w:tmpl w:val="9AC8831A"/>
    <w:lvl w:ilvl="0">
      <w:start w:val="1"/>
      <w:numFmt w:val="bullet"/>
      <w:lvlText w:val="–"/>
      <w:lvlJc w:val="left"/>
      <w:pPr>
        <w:tabs>
          <w:tab w:val="num" w:pos="1134"/>
        </w:tabs>
        <w:ind w:left="1134" w:hanging="283"/>
      </w:pPr>
      <w:rPr>
        <w:rFonts w:ascii="Times New Roman" w:hAnsi="Times New Roman"/>
      </w:rPr>
    </w:lvl>
  </w:abstractNum>
  <w:abstractNum w:abstractNumId="21"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2"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6" w15:restartNumberingAfterBreak="0">
    <w:nsid w:val="5F8C3B69"/>
    <w:multiLevelType w:val="multilevel"/>
    <w:tmpl w:val="9B14DAA8"/>
    <w:name w:val="List Number"/>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62A8042C"/>
    <w:multiLevelType w:val="singleLevel"/>
    <w:tmpl w:val="CCF20C06"/>
    <w:lvl w:ilvl="0">
      <w:start w:val="1"/>
      <w:numFmt w:val="bullet"/>
      <w:lvlText w:val="–"/>
      <w:lvlJc w:val="left"/>
      <w:pPr>
        <w:tabs>
          <w:tab w:val="num" w:pos="1134"/>
        </w:tabs>
        <w:ind w:left="1134" w:hanging="283"/>
      </w:pPr>
      <w:rPr>
        <w:rFonts w:ascii="Times New Roman" w:hAnsi="Times New Roman"/>
      </w:rPr>
    </w:lvl>
  </w:abstractNum>
  <w:abstractNum w:abstractNumId="28"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15:restartNumberingAfterBreak="0">
    <w:nsid w:val="6A6901C1"/>
    <w:multiLevelType w:val="singleLevel"/>
    <w:tmpl w:val="208841AE"/>
    <w:lvl w:ilvl="0">
      <w:start w:val="1"/>
      <w:numFmt w:val="bullet"/>
      <w:lvlText w:val=""/>
      <w:lvlJc w:val="left"/>
      <w:pPr>
        <w:tabs>
          <w:tab w:val="num" w:pos="1134"/>
        </w:tabs>
        <w:ind w:left="1134" w:hanging="283"/>
      </w:pPr>
      <w:rPr>
        <w:rFonts w:ascii="Symbol" w:hAnsi="Symbol" w:hint="default"/>
      </w:rPr>
    </w:lvl>
  </w:abstractNum>
  <w:abstractNum w:abstractNumId="31"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33"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21"/>
  </w:num>
  <w:num w:numId="3">
    <w:abstractNumId w:val="8"/>
  </w:num>
  <w:num w:numId="4">
    <w:abstractNumId w:val="17"/>
  </w:num>
  <w:num w:numId="5">
    <w:abstractNumId w:val="16"/>
  </w:num>
  <w:num w:numId="6">
    <w:abstractNumId w:val="31"/>
  </w:num>
  <w:num w:numId="7">
    <w:abstractNumId w:val="25"/>
  </w:num>
  <w:num w:numId="8">
    <w:abstractNumId w:val="32"/>
  </w:num>
  <w:num w:numId="9">
    <w:abstractNumId w:val="33"/>
  </w:num>
  <w:num w:numId="10">
    <w:abstractNumId w:val="2"/>
  </w:num>
  <w:num w:numId="11">
    <w:abstractNumId w:val="10"/>
  </w:num>
  <w:num w:numId="12">
    <w:abstractNumId w:val="3"/>
  </w:num>
  <w:num w:numId="13">
    <w:abstractNumId w:val="11"/>
  </w:num>
  <w:num w:numId="14">
    <w:abstractNumId w:val="9"/>
  </w:num>
  <w:num w:numId="15">
    <w:abstractNumId w:val="18"/>
  </w:num>
  <w:num w:numId="16">
    <w:abstractNumId w:val="15"/>
    <w:lvlOverride w:ilvl="0">
      <w:startOverride w:val="1"/>
    </w:lvlOverride>
  </w:num>
  <w:num w:numId="17">
    <w:abstractNumId w:val="2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7"/>
  </w:num>
  <w:num w:numId="20">
    <w:abstractNumId w:val="20"/>
  </w:num>
  <w:num w:numId="21">
    <w:abstractNumId w:val="0"/>
  </w:num>
  <w:num w:numId="22">
    <w:abstractNumId w:val="24"/>
  </w:num>
  <w:num w:numId="23">
    <w:abstractNumId w:val="12"/>
  </w:num>
  <w:num w:numId="24">
    <w:abstractNumId w:val="29"/>
  </w:num>
  <w:num w:numId="25">
    <w:abstractNumId w:val="7"/>
  </w:num>
  <w:num w:numId="26">
    <w:abstractNumId w:val="13"/>
  </w:num>
  <w:num w:numId="27">
    <w:abstractNumId w:val="14"/>
  </w:num>
  <w:num w:numId="28">
    <w:abstractNumId w:val="5"/>
  </w:num>
  <w:num w:numId="29">
    <w:abstractNumId w:val="28"/>
  </w:num>
  <w:num w:numId="30">
    <w:abstractNumId w:val="4"/>
  </w:num>
  <w:num w:numId="31">
    <w:abstractNumId w:val="15"/>
  </w:num>
  <w:num w:numId="32">
    <w:abstractNumId w:val="22"/>
  </w:num>
  <w:num w:numId="33">
    <w:abstractNumId w:val="23"/>
  </w:num>
  <w:num w:numId="34">
    <w:abstractNumId w:val="6"/>
  </w:num>
  <w:num w:numId="35">
    <w:abstractNumId w:val="19"/>
  </w:num>
  <w:num w:numId="36">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activeWritingStyle w:appName="MSWord" w:lang="de-DE" w:vendorID="64" w:dllVersion="0" w:nlCheck="1" w:checkStyle="0"/>
  <w:activeWritingStyle w:appName="MSWord" w:lang="pl-PL" w:vendorID="64" w:dllVersion="0" w:nlCheck="1" w:checkStyle="0"/>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4-01-15 14:14:34"/>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B0A5E8C1-E173-4E60-B672-7C714C9B6FB9"/>
    <w:docVar w:name="LW_COVERPAGE_TYPE" w:val="1"/>
    <w:docVar w:name="LW_CROSSREFERENCE" w:val="&lt;UNUSED&gt;"/>
    <w:docVar w:name="LW_DocType" w:val="COM"/>
    <w:docVar w:name="LW_EMISSION" w:val="28.11.2023"/>
    <w:docVar w:name="LW_EMISSION_ISODATE" w:val="2023-11-28"/>
    <w:docVar w:name="LW_EMISSION_LOCATION" w:val="BRX"/>
    <w:docVar w:name="LW_EMISSION_PREFIX" w:val="Bruksela, dnia "/>
    <w:docVar w:name="LW_EMISSION_SUFFIX" w:val=" r."/>
    <w:docVar w:name="LW_ID_DOCMODEL" w:val="SJ-023"/>
    <w:docVar w:name="LW_ID_DOCSIGNATURE" w:val="SJ-023"/>
    <w:docVar w:name="LW_ID_DOCSTRUCTURE" w:val="COM/PL/ORG"/>
    <w:docVar w:name="LW_ID_DOCTYPE" w:val="SJ-023"/>
    <w:docVar w:name="LW_ID_STATUT" w:val="SJ-023"/>
    <w:docVar w:name="LW_INSERT_EXP.MOTIFS.NEW" w:val="1"/>
    <w:docVar w:name="LW_INTERETEEE.CP" w:val="&lt;UNUSED&gt;"/>
    <w:docVar w:name="LW_LANGUE" w:val="PL"/>
    <w:docVar w:name="LW_LEVEL_OF_SENSITIVITY" w:val="Standard treatment"/>
    <w:docVar w:name="LW_NOM.INST" w:val="KOMISJA EUROPEJSKA"/>
    <w:docVar w:name="LW_NOM.INST_JOINTDOC" w:val="&lt;EMPTY&gt;"/>
    <w:docVar w:name="LW_PART_NBR" w:val="1"/>
    <w:docVar w:name="LW_PART_NBR_TOTAL" w:val="1"/>
    <w:docVar w:name="LW_REF.II.NEW.CP" w:val="COD"/>
    <w:docVar w:name="LW_REF.II.NEW.CP_NUMBER" w:val="0438"/>
    <w:docVar w:name="LW_REF.II.NEW.CP_YEAR" w:val="2023"/>
    <w:docVar w:name="LW_REF.INST.NEW" w:val="COM"/>
    <w:docVar w:name="LW_REF.INST.NEW_ADOPTED" w:val="final"/>
    <w:docVar w:name="LW_REF.INST.NEW_TEXT" w:val="(2023) 754"/>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Wniosek"/>
    <w:docVar w:name="LW_SUPERTITRE" w:val="&lt;UNUSED&gt;"/>
    <w:docVar w:name="LW_TITRE.OBJ.CP" w:val="w sprawie wzmocnienia współpracy policyjnej w odniesieniu do zapobiegania przemytowi migrantów i handlowi ludźmi, wykrywania tych przestępstw oraz prowadzenia stosownych postępowań przygotowawczych w tym zakresie i w sprawie zwiększenia wsparcia Europolu na rzecz zapobiegania tego rodzaju przestępstwom oraz zmiany rozporządzenia (UE) 2016/794"/>
    <w:docVar w:name="LW_TYPE.DOC.CP" w:val="ROZPORZĄDZENIE PARLAMENTU EUROPEJSKIEGO I RADY"/>
    <w:docVar w:name="LwApiVersions" w:val="LW4CoDe 1.23.2.0; LW 8.0, Build 20211117"/>
  </w:docVars>
  <w:rsids>
    <w:rsidRoot w:val="0043039B"/>
    <w:rsid w:val="000004B6"/>
    <w:rsid w:val="00000914"/>
    <w:rsid w:val="00001E26"/>
    <w:rsid w:val="00002C89"/>
    <w:rsid w:val="00002EB7"/>
    <w:rsid w:val="00003F25"/>
    <w:rsid w:val="00004DA6"/>
    <w:rsid w:val="00005A7B"/>
    <w:rsid w:val="000069C3"/>
    <w:rsid w:val="00006E64"/>
    <w:rsid w:val="000076B6"/>
    <w:rsid w:val="00007EB5"/>
    <w:rsid w:val="00010CA7"/>
    <w:rsid w:val="00011E4C"/>
    <w:rsid w:val="0001204C"/>
    <w:rsid w:val="000124C8"/>
    <w:rsid w:val="0001388A"/>
    <w:rsid w:val="000142B6"/>
    <w:rsid w:val="00014A87"/>
    <w:rsid w:val="00015F44"/>
    <w:rsid w:val="00017383"/>
    <w:rsid w:val="0001743E"/>
    <w:rsid w:val="000228AD"/>
    <w:rsid w:val="00022E70"/>
    <w:rsid w:val="0002387C"/>
    <w:rsid w:val="00023BA3"/>
    <w:rsid w:val="00024CA1"/>
    <w:rsid w:val="000255FD"/>
    <w:rsid w:val="00026AEB"/>
    <w:rsid w:val="00026F09"/>
    <w:rsid w:val="00027109"/>
    <w:rsid w:val="00027CDD"/>
    <w:rsid w:val="000306EC"/>
    <w:rsid w:val="00031075"/>
    <w:rsid w:val="00032DAE"/>
    <w:rsid w:val="00033373"/>
    <w:rsid w:val="00033A45"/>
    <w:rsid w:val="00034292"/>
    <w:rsid w:val="00036E3F"/>
    <w:rsid w:val="000400CB"/>
    <w:rsid w:val="000406B4"/>
    <w:rsid w:val="0004148B"/>
    <w:rsid w:val="000433C7"/>
    <w:rsid w:val="00044275"/>
    <w:rsid w:val="000444F3"/>
    <w:rsid w:val="00044B57"/>
    <w:rsid w:val="00044C7C"/>
    <w:rsid w:val="00044F83"/>
    <w:rsid w:val="0004560B"/>
    <w:rsid w:val="00045779"/>
    <w:rsid w:val="00051D7D"/>
    <w:rsid w:val="000533A3"/>
    <w:rsid w:val="000547E4"/>
    <w:rsid w:val="00055208"/>
    <w:rsid w:val="00055314"/>
    <w:rsid w:val="00055721"/>
    <w:rsid w:val="000557EE"/>
    <w:rsid w:val="00056206"/>
    <w:rsid w:val="00061668"/>
    <w:rsid w:val="000616BD"/>
    <w:rsid w:val="00062903"/>
    <w:rsid w:val="0007025E"/>
    <w:rsid w:val="000709D1"/>
    <w:rsid w:val="00070EDA"/>
    <w:rsid w:val="0007147A"/>
    <w:rsid w:val="000716E8"/>
    <w:rsid w:val="000717DA"/>
    <w:rsid w:val="000720DC"/>
    <w:rsid w:val="0007274A"/>
    <w:rsid w:val="00072919"/>
    <w:rsid w:val="00073B51"/>
    <w:rsid w:val="00074BD4"/>
    <w:rsid w:val="00074CBC"/>
    <w:rsid w:val="00075294"/>
    <w:rsid w:val="00076A1D"/>
    <w:rsid w:val="000770FA"/>
    <w:rsid w:val="00077C2B"/>
    <w:rsid w:val="000801DB"/>
    <w:rsid w:val="00080388"/>
    <w:rsid w:val="000806E9"/>
    <w:rsid w:val="00081791"/>
    <w:rsid w:val="000817F9"/>
    <w:rsid w:val="00081E15"/>
    <w:rsid w:val="00081EAF"/>
    <w:rsid w:val="00082F95"/>
    <w:rsid w:val="00083407"/>
    <w:rsid w:val="00085BB5"/>
    <w:rsid w:val="00086BB9"/>
    <w:rsid w:val="00086D5F"/>
    <w:rsid w:val="00087D6C"/>
    <w:rsid w:val="0009098C"/>
    <w:rsid w:val="000913B7"/>
    <w:rsid w:val="000915BA"/>
    <w:rsid w:val="000939D8"/>
    <w:rsid w:val="000951C0"/>
    <w:rsid w:val="00096E37"/>
    <w:rsid w:val="00097246"/>
    <w:rsid w:val="00097CBD"/>
    <w:rsid w:val="000A0CA9"/>
    <w:rsid w:val="000A10E3"/>
    <w:rsid w:val="000A1916"/>
    <w:rsid w:val="000A3C5E"/>
    <w:rsid w:val="000A6A94"/>
    <w:rsid w:val="000A7365"/>
    <w:rsid w:val="000B087C"/>
    <w:rsid w:val="000B1035"/>
    <w:rsid w:val="000B13AB"/>
    <w:rsid w:val="000B1B31"/>
    <w:rsid w:val="000B206B"/>
    <w:rsid w:val="000B2518"/>
    <w:rsid w:val="000B3A4E"/>
    <w:rsid w:val="000B3CDC"/>
    <w:rsid w:val="000B674E"/>
    <w:rsid w:val="000B6C8C"/>
    <w:rsid w:val="000B7542"/>
    <w:rsid w:val="000C1ECF"/>
    <w:rsid w:val="000C3B30"/>
    <w:rsid w:val="000C42C2"/>
    <w:rsid w:val="000C4D3B"/>
    <w:rsid w:val="000C4F0F"/>
    <w:rsid w:val="000C54C7"/>
    <w:rsid w:val="000C5DB4"/>
    <w:rsid w:val="000C6359"/>
    <w:rsid w:val="000C734C"/>
    <w:rsid w:val="000C7ABF"/>
    <w:rsid w:val="000D00FA"/>
    <w:rsid w:val="000D04B1"/>
    <w:rsid w:val="000D297F"/>
    <w:rsid w:val="000D42CA"/>
    <w:rsid w:val="000D4DB4"/>
    <w:rsid w:val="000D5E09"/>
    <w:rsid w:val="000D609B"/>
    <w:rsid w:val="000D6105"/>
    <w:rsid w:val="000D6293"/>
    <w:rsid w:val="000D70B0"/>
    <w:rsid w:val="000D79FF"/>
    <w:rsid w:val="000D7D99"/>
    <w:rsid w:val="000E0366"/>
    <w:rsid w:val="000E064F"/>
    <w:rsid w:val="000E0D2C"/>
    <w:rsid w:val="000E1166"/>
    <w:rsid w:val="000E2C7B"/>
    <w:rsid w:val="000E35B9"/>
    <w:rsid w:val="000E5E5E"/>
    <w:rsid w:val="000E7C54"/>
    <w:rsid w:val="000F0B39"/>
    <w:rsid w:val="000F0BE1"/>
    <w:rsid w:val="000F112B"/>
    <w:rsid w:val="000F1848"/>
    <w:rsid w:val="000F23BC"/>
    <w:rsid w:val="000F2F1F"/>
    <w:rsid w:val="000F3BD8"/>
    <w:rsid w:val="000F404F"/>
    <w:rsid w:val="000F4DA4"/>
    <w:rsid w:val="000F545B"/>
    <w:rsid w:val="000F57A5"/>
    <w:rsid w:val="000F6D6E"/>
    <w:rsid w:val="000F7DC8"/>
    <w:rsid w:val="001007B9"/>
    <w:rsid w:val="00101051"/>
    <w:rsid w:val="00102C7D"/>
    <w:rsid w:val="00102F96"/>
    <w:rsid w:val="001032CF"/>
    <w:rsid w:val="00105531"/>
    <w:rsid w:val="001065F5"/>
    <w:rsid w:val="001067B0"/>
    <w:rsid w:val="00107482"/>
    <w:rsid w:val="001077CF"/>
    <w:rsid w:val="001105EF"/>
    <w:rsid w:val="0011097B"/>
    <w:rsid w:val="001126B3"/>
    <w:rsid w:val="00113078"/>
    <w:rsid w:val="001136A5"/>
    <w:rsid w:val="001136E3"/>
    <w:rsid w:val="00113AC3"/>
    <w:rsid w:val="00113E86"/>
    <w:rsid w:val="00113E94"/>
    <w:rsid w:val="00120779"/>
    <w:rsid w:val="00120F3C"/>
    <w:rsid w:val="0012105A"/>
    <w:rsid w:val="00121FF5"/>
    <w:rsid w:val="00122971"/>
    <w:rsid w:val="0012372C"/>
    <w:rsid w:val="001238EF"/>
    <w:rsid w:val="00124440"/>
    <w:rsid w:val="001246A9"/>
    <w:rsid w:val="001246CF"/>
    <w:rsid w:val="00124BE8"/>
    <w:rsid w:val="0012527A"/>
    <w:rsid w:val="0012593E"/>
    <w:rsid w:val="00126343"/>
    <w:rsid w:val="0012662E"/>
    <w:rsid w:val="001267A2"/>
    <w:rsid w:val="00127BEB"/>
    <w:rsid w:val="00131823"/>
    <w:rsid w:val="00131F30"/>
    <w:rsid w:val="00132764"/>
    <w:rsid w:val="00132AB7"/>
    <w:rsid w:val="0013326C"/>
    <w:rsid w:val="001338C5"/>
    <w:rsid w:val="00133CC1"/>
    <w:rsid w:val="00134A7C"/>
    <w:rsid w:val="00134C02"/>
    <w:rsid w:val="00134DE6"/>
    <w:rsid w:val="001351E7"/>
    <w:rsid w:val="001364E5"/>
    <w:rsid w:val="001365E0"/>
    <w:rsid w:val="00136F9D"/>
    <w:rsid w:val="00137215"/>
    <w:rsid w:val="00137DF1"/>
    <w:rsid w:val="00140550"/>
    <w:rsid w:val="00140A22"/>
    <w:rsid w:val="00140E00"/>
    <w:rsid w:val="00140E67"/>
    <w:rsid w:val="0014309B"/>
    <w:rsid w:val="00143B9E"/>
    <w:rsid w:val="00146DF5"/>
    <w:rsid w:val="00150613"/>
    <w:rsid w:val="00150902"/>
    <w:rsid w:val="001510EE"/>
    <w:rsid w:val="00151E38"/>
    <w:rsid w:val="001524A9"/>
    <w:rsid w:val="001527FF"/>
    <w:rsid w:val="0015342F"/>
    <w:rsid w:val="0015432D"/>
    <w:rsid w:val="0015487E"/>
    <w:rsid w:val="001551E2"/>
    <w:rsid w:val="001552F1"/>
    <w:rsid w:val="00155FF5"/>
    <w:rsid w:val="00157BF2"/>
    <w:rsid w:val="001600FE"/>
    <w:rsid w:val="00160886"/>
    <w:rsid w:val="00160F55"/>
    <w:rsid w:val="0016101C"/>
    <w:rsid w:val="00161DBD"/>
    <w:rsid w:val="0016409F"/>
    <w:rsid w:val="00165101"/>
    <w:rsid w:val="001660AD"/>
    <w:rsid w:val="00166AD7"/>
    <w:rsid w:val="0016772E"/>
    <w:rsid w:val="001709C3"/>
    <w:rsid w:val="00170FD2"/>
    <w:rsid w:val="00171017"/>
    <w:rsid w:val="001718BA"/>
    <w:rsid w:val="00172150"/>
    <w:rsid w:val="00175E6B"/>
    <w:rsid w:val="0017679A"/>
    <w:rsid w:val="001769EA"/>
    <w:rsid w:val="001803FF"/>
    <w:rsid w:val="00180721"/>
    <w:rsid w:val="00180B47"/>
    <w:rsid w:val="00180FC7"/>
    <w:rsid w:val="00181C11"/>
    <w:rsid w:val="00182616"/>
    <w:rsid w:val="00182F29"/>
    <w:rsid w:val="00183B2B"/>
    <w:rsid w:val="00184250"/>
    <w:rsid w:val="00184371"/>
    <w:rsid w:val="00184690"/>
    <w:rsid w:val="00184CD5"/>
    <w:rsid w:val="001851BB"/>
    <w:rsid w:val="00185714"/>
    <w:rsid w:val="001909EF"/>
    <w:rsid w:val="001924A6"/>
    <w:rsid w:val="0019318C"/>
    <w:rsid w:val="0019322A"/>
    <w:rsid w:val="001938F0"/>
    <w:rsid w:val="00194682"/>
    <w:rsid w:val="001948CB"/>
    <w:rsid w:val="00197613"/>
    <w:rsid w:val="00197F7F"/>
    <w:rsid w:val="001A1078"/>
    <w:rsid w:val="001A1259"/>
    <w:rsid w:val="001A16FC"/>
    <w:rsid w:val="001A1D4C"/>
    <w:rsid w:val="001A34A0"/>
    <w:rsid w:val="001A3571"/>
    <w:rsid w:val="001A3EC8"/>
    <w:rsid w:val="001A411B"/>
    <w:rsid w:val="001A4143"/>
    <w:rsid w:val="001A57AB"/>
    <w:rsid w:val="001A595C"/>
    <w:rsid w:val="001A5CF0"/>
    <w:rsid w:val="001A61E9"/>
    <w:rsid w:val="001B19C9"/>
    <w:rsid w:val="001B1C45"/>
    <w:rsid w:val="001B20D6"/>
    <w:rsid w:val="001B3E1E"/>
    <w:rsid w:val="001B46BE"/>
    <w:rsid w:val="001B5C6C"/>
    <w:rsid w:val="001B6752"/>
    <w:rsid w:val="001B755F"/>
    <w:rsid w:val="001C0044"/>
    <w:rsid w:val="001C2048"/>
    <w:rsid w:val="001C2E89"/>
    <w:rsid w:val="001C3109"/>
    <w:rsid w:val="001C3B9C"/>
    <w:rsid w:val="001C594D"/>
    <w:rsid w:val="001C6103"/>
    <w:rsid w:val="001C7612"/>
    <w:rsid w:val="001C7C87"/>
    <w:rsid w:val="001D18C2"/>
    <w:rsid w:val="001D1B3A"/>
    <w:rsid w:val="001D1ED4"/>
    <w:rsid w:val="001D243A"/>
    <w:rsid w:val="001D2833"/>
    <w:rsid w:val="001D30E8"/>
    <w:rsid w:val="001D341F"/>
    <w:rsid w:val="001D34A9"/>
    <w:rsid w:val="001D3E78"/>
    <w:rsid w:val="001D4399"/>
    <w:rsid w:val="001D55BC"/>
    <w:rsid w:val="001D591C"/>
    <w:rsid w:val="001E0681"/>
    <w:rsid w:val="001E0D31"/>
    <w:rsid w:val="001E0D90"/>
    <w:rsid w:val="001E12BE"/>
    <w:rsid w:val="001E1505"/>
    <w:rsid w:val="001E1AD8"/>
    <w:rsid w:val="001E2302"/>
    <w:rsid w:val="001E2E25"/>
    <w:rsid w:val="001E30BA"/>
    <w:rsid w:val="001E3156"/>
    <w:rsid w:val="001E3C76"/>
    <w:rsid w:val="001E648E"/>
    <w:rsid w:val="001E6904"/>
    <w:rsid w:val="001E6E65"/>
    <w:rsid w:val="001E7DC6"/>
    <w:rsid w:val="001F1275"/>
    <w:rsid w:val="001F27DD"/>
    <w:rsid w:val="001F2B33"/>
    <w:rsid w:val="001F2F1F"/>
    <w:rsid w:val="001F3944"/>
    <w:rsid w:val="001F44F4"/>
    <w:rsid w:val="001F587A"/>
    <w:rsid w:val="001F619F"/>
    <w:rsid w:val="001F730D"/>
    <w:rsid w:val="001F74F3"/>
    <w:rsid w:val="001F7921"/>
    <w:rsid w:val="001F7A1A"/>
    <w:rsid w:val="00200906"/>
    <w:rsid w:val="00201C6D"/>
    <w:rsid w:val="00202732"/>
    <w:rsid w:val="0020325F"/>
    <w:rsid w:val="00203422"/>
    <w:rsid w:val="00203509"/>
    <w:rsid w:val="00203651"/>
    <w:rsid w:val="00203A1B"/>
    <w:rsid w:val="00203B18"/>
    <w:rsid w:val="00205353"/>
    <w:rsid w:val="00205E04"/>
    <w:rsid w:val="0020657D"/>
    <w:rsid w:val="002066CB"/>
    <w:rsid w:val="00206FDA"/>
    <w:rsid w:val="00207127"/>
    <w:rsid w:val="002073EE"/>
    <w:rsid w:val="0021225F"/>
    <w:rsid w:val="00212420"/>
    <w:rsid w:val="00213461"/>
    <w:rsid w:val="002147C3"/>
    <w:rsid w:val="0021549C"/>
    <w:rsid w:val="00216C0D"/>
    <w:rsid w:val="002170AA"/>
    <w:rsid w:val="00221523"/>
    <w:rsid w:val="00221877"/>
    <w:rsid w:val="0022198F"/>
    <w:rsid w:val="0022258C"/>
    <w:rsid w:val="0022289C"/>
    <w:rsid w:val="00222FDF"/>
    <w:rsid w:val="0022320E"/>
    <w:rsid w:val="00223B98"/>
    <w:rsid w:val="0022507E"/>
    <w:rsid w:val="002251E5"/>
    <w:rsid w:val="00225DE3"/>
    <w:rsid w:val="0022621F"/>
    <w:rsid w:val="0022629F"/>
    <w:rsid w:val="002269E8"/>
    <w:rsid w:val="002271EF"/>
    <w:rsid w:val="00227B1B"/>
    <w:rsid w:val="00227BAE"/>
    <w:rsid w:val="002321CB"/>
    <w:rsid w:val="00232445"/>
    <w:rsid w:val="00232C98"/>
    <w:rsid w:val="00233269"/>
    <w:rsid w:val="00233DC7"/>
    <w:rsid w:val="002344E6"/>
    <w:rsid w:val="00237C12"/>
    <w:rsid w:val="00241F27"/>
    <w:rsid w:val="00242286"/>
    <w:rsid w:val="00244D49"/>
    <w:rsid w:val="002460ED"/>
    <w:rsid w:val="002467B1"/>
    <w:rsid w:val="002476BC"/>
    <w:rsid w:val="00247779"/>
    <w:rsid w:val="00247ED6"/>
    <w:rsid w:val="00250BD6"/>
    <w:rsid w:val="00250E50"/>
    <w:rsid w:val="002510B7"/>
    <w:rsid w:val="0025200A"/>
    <w:rsid w:val="002527F5"/>
    <w:rsid w:val="002534BB"/>
    <w:rsid w:val="00253C88"/>
    <w:rsid w:val="002541C7"/>
    <w:rsid w:val="00255900"/>
    <w:rsid w:val="002562C9"/>
    <w:rsid w:val="00256B5B"/>
    <w:rsid w:val="00256F39"/>
    <w:rsid w:val="002601FA"/>
    <w:rsid w:val="0026035C"/>
    <w:rsid w:val="00260D55"/>
    <w:rsid w:val="00261F9C"/>
    <w:rsid w:val="002629AC"/>
    <w:rsid w:val="00262B60"/>
    <w:rsid w:val="00262CF6"/>
    <w:rsid w:val="00263C2B"/>
    <w:rsid w:val="0026446E"/>
    <w:rsid w:val="0026474B"/>
    <w:rsid w:val="002652CF"/>
    <w:rsid w:val="002654A5"/>
    <w:rsid w:val="002654A9"/>
    <w:rsid w:val="00265677"/>
    <w:rsid w:val="00265AC7"/>
    <w:rsid w:val="00265F12"/>
    <w:rsid w:val="00266149"/>
    <w:rsid w:val="002666ED"/>
    <w:rsid w:val="00266E5F"/>
    <w:rsid w:val="00271358"/>
    <w:rsid w:val="00273BF7"/>
    <w:rsid w:val="0027427F"/>
    <w:rsid w:val="00274781"/>
    <w:rsid w:val="0027498E"/>
    <w:rsid w:val="00275741"/>
    <w:rsid w:val="00276D55"/>
    <w:rsid w:val="002807A9"/>
    <w:rsid w:val="002808F3"/>
    <w:rsid w:val="002832C2"/>
    <w:rsid w:val="00283FAA"/>
    <w:rsid w:val="002846A9"/>
    <w:rsid w:val="00285967"/>
    <w:rsid w:val="00285BEE"/>
    <w:rsid w:val="0028650E"/>
    <w:rsid w:val="00287727"/>
    <w:rsid w:val="00290324"/>
    <w:rsid w:val="00291EFA"/>
    <w:rsid w:val="00292556"/>
    <w:rsid w:val="00292F25"/>
    <w:rsid w:val="00293AE1"/>
    <w:rsid w:val="0029533F"/>
    <w:rsid w:val="0029542A"/>
    <w:rsid w:val="002A133C"/>
    <w:rsid w:val="002A1C25"/>
    <w:rsid w:val="002A1DDB"/>
    <w:rsid w:val="002A420B"/>
    <w:rsid w:val="002A5E28"/>
    <w:rsid w:val="002A62CA"/>
    <w:rsid w:val="002A75FF"/>
    <w:rsid w:val="002B0E7A"/>
    <w:rsid w:val="002B11AD"/>
    <w:rsid w:val="002B1ACD"/>
    <w:rsid w:val="002B30AF"/>
    <w:rsid w:val="002B5615"/>
    <w:rsid w:val="002B5F5C"/>
    <w:rsid w:val="002B64A4"/>
    <w:rsid w:val="002B66A4"/>
    <w:rsid w:val="002B7062"/>
    <w:rsid w:val="002C0099"/>
    <w:rsid w:val="002C0970"/>
    <w:rsid w:val="002C0C94"/>
    <w:rsid w:val="002C104E"/>
    <w:rsid w:val="002C1C27"/>
    <w:rsid w:val="002C1E27"/>
    <w:rsid w:val="002C22AF"/>
    <w:rsid w:val="002C2471"/>
    <w:rsid w:val="002C2856"/>
    <w:rsid w:val="002C295A"/>
    <w:rsid w:val="002C3590"/>
    <w:rsid w:val="002C3607"/>
    <w:rsid w:val="002C3FC7"/>
    <w:rsid w:val="002C416A"/>
    <w:rsid w:val="002C4B95"/>
    <w:rsid w:val="002C4ECB"/>
    <w:rsid w:val="002C5927"/>
    <w:rsid w:val="002D0B03"/>
    <w:rsid w:val="002D1731"/>
    <w:rsid w:val="002D245F"/>
    <w:rsid w:val="002D4FF5"/>
    <w:rsid w:val="002D6679"/>
    <w:rsid w:val="002D6EF9"/>
    <w:rsid w:val="002D7B44"/>
    <w:rsid w:val="002D7DE0"/>
    <w:rsid w:val="002E01F1"/>
    <w:rsid w:val="002E0328"/>
    <w:rsid w:val="002E17B4"/>
    <w:rsid w:val="002E354B"/>
    <w:rsid w:val="002E5314"/>
    <w:rsid w:val="002E549F"/>
    <w:rsid w:val="002E73A3"/>
    <w:rsid w:val="002E75E6"/>
    <w:rsid w:val="002F0935"/>
    <w:rsid w:val="002F122E"/>
    <w:rsid w:val="002F313D"/>
    <w:rsid w:val="002F3C89"/>
    <w:rsid w:val="002F478B"/>
    <w:rsid w:val="002F4D53"/>
    <w:rsid w:val="002F511C"/>
    <w:rsid w:val="002F5148"/>
    <w:rsid w:val="002F5626"/>
    <w:rsid w:val="002F5636"/>
    <w:rsid w:val="002F5890"/>
    <w:rsid w:val="002F731D"/>
    <w:rsid w:val="002F782D"/>
    <w:rsid w:val="002F7D3A"/>
    <w:rsid w:val="0030015D"/>
    <w:rsid w:val="00300959"/>
    <w:rsid w:val="003018D1"/>
    <w:rsid w:val="00301CD5"/>
    <w:rsid w:val="00302591"/>
    <w:rsid w:val="00302BF4"/>
    <w:rsid w:val="00303A56"/>
    <w:rsid w:val="00303BC3"/>
    <w:rsid w:val="00304482"/>
    <w:rsid w:val="00305428"/>
    <w:rsid w:val="00305B60"/>
    <w:rsid w:val="00306001"/>
    <w:rsid w:val="00310A38"/>
    <w:rsid w:val="003125C4"/>
    <w:rsid w:val="00313683"/>
    <w:rsid w:val="00314D74"/>
    <w:rsid w:val="00315C1B"/>
    <w:rsid w:val="00321782"/>
    <w:rsid w:val="003238DC"/>
    <w:rsid w:val="00324DF1"/>
    <w:rsid w:val="00324F67"/>
    <w:rsid w:val="00325C0F"/>
    <w:rsid w:val="00330B27"/>
    <w:rsid w:val="003328DB"/>
    <w:rsid w:val="00332986"/>
    <w:rsid w:val="00332A31"/>
    <w:rsid w:val="00332BA7"/>
    <w:rsid w:val="0033344A"/>
    <w:rsid w:val="003374FD"/>
    <w:rsid w:val="00337D73"/>
    <w:rsid w:val="00340CFC"/>
    <w:rsid w:val="00342C1C"/>
    <w:rsid w:val="00343B7E"/>
    <w:rsid w:val="00345F0E"/>
    <w:rsid w:val="00347E08"/>
    <w:rsid w:val="00347F4A"/>
    <w:rsid w:val="003502B5"/>
    <w:rsid w:val="003515B7"/>
    <w:rsid w:val="00351824"/>
    <w:rsid w:val="0035187E"/>
    <w:rsid w:val="003519D5"/>
    <w:rsid w:val="00351D26"/>
    <w:rsid w:val="003530A5"/>
    <w:rsid w:val="00353CA7"/>
    <w:rsid w:val="00354128"/>
    <w:rsid w:val="00354C7B"/>
    <w:rsid w:val="003560DB"/>
    <w:rsid w:val="003562F4"/>
    <w:rsid w:val="00356654"/>
    <w:rsid w:val="00361D47"/>
    <w:rsid w:val="00362897"/>
    <w:rsid w:val="00362D8E"/>
    <w:rsid w:val="00362EC9"/>
    <w:rsid w:val="003630FF"/>
    <w:rsid w:val="00363223"/>
    <w:rsid w:val="003635F6"/>
    <w:rsid w:val="0036457C"/>
    <w:rsid w:val="00364833"/>
    <w:rsid w:val="003648D9"/>
    <w:rsid w:val="00366011"/>
    <w:rsid w:val="00370028"/>
    <w:rsid w:val="00370F8E"/>
    <w:rsid w:val="0037138B"/>
    <w:rsid w:val="00371C7B"/>
    <w:rsid w:val="00372315"/>
    <w:rsid w:val="00373859"/>
    <w:rsid w:val="003749C6"/>
    <w:rsid w:val="0037677A"/>
    <w:rsid w:val="00377008"/>
    <w:rsid w:val="00377138"/>
    <w:rsid w:val="0038033F"/>
    <w:rsid w:val="00380469"/>
    <w:rsid w:val="0038097E"/>
    <w:rsid w:val="003816B8"/>
    <w:rsid w:val="00381A76"/>
    <w:rsid w:val="00382BCA"/>
    <w:rsid w:val="003834D4"/>
    <w:rsid w:val="00385B31"/>
    <w:rsid w:val="00385D6C"/>
    <w:rsid w:val="003861DB"/>
    <w:rsid w:val="00390442"/>
    <w:rsid w:val="00390748"/>
    <w:rsid w:val="0039155F"/>
    <w:rsid w:val="003918EF"/>
    <w:rsid w:val="00391CF0"/>
    <w:rsid w:val="0039608E"/>
    <w:rsid w:val="003971C9"/>
    <w:rsid w:val="0039726D"/>
    <w:rsid w:val="00397AA1"/>
    <w:rsid w:val="00397E15"/>
    <w:rsid w:val="00397EF5"/>
    <w:rsid w:val="003A0D6F"/>
    <w:rsid w:val="003A116A"/>
    <w:rsid w:val="003A13A1"/>
    <w:rsid w:val="003A1E5F"/>
    <w:rsid w:val="003A35C1"/>
    <w:rsid w:val="003A3EEA"/>
    <w:rsid w:val="003A4A5F"/>
    <w:rsid w:val="003A4D43"/>
    <w:rsid w:val="003A5E5C"/>
    <w:rsid w:val="003A762C"/>
    <w:rsid w:val="003A7760"/>
    <w:rsid w:val="003A7A6F"/>
    <w:rsid w:val="003B0CCA"/>
    <w:rsid w:val="003B0D94"/>
    <w:rsid w:val="003B0DD9"/>
    <w:rsid w:val="003B2F50"/>
    <w:rsid w:val="003B3237"/>
    <w:rsid w:val="003B4B9C"/>
    <w:rsid w:val="003B53A4"/>
    <w:rsid w:val="003B56CF"/>
    <w:rsid w:val="003B57D3"/>
    <w:rsid w:val="003B594E"/>
    <w:rsid w:val="003B7DDF"/>
    <w:rsid w:val="003C01D2"/>
    <w:rsid w:val="003C0CB7"/>
    <w:rsid w:val="003C1937"/>
    <w:rsid w:val="003C1B7F"/>
    <w:rsid w:val="003C25DE"/>
    <w:rsid w:val="003C270F"/>
    <w:rsid w:val="003C2FC2"/>
    <w:rsid w:val="003C33E8"/>
    <w:rsid w:val="003C3783"/>
    <w:rsid w:val="003C4481"/>
    <w:rsid w:val="003C7F51"/>
    <w:rsid w:val="003D0BA8"/>
    <w:rsid w:val="003D23ED"/>
    <w:rsid w:val="003D2E6D"/>
    <w:rsid w:val="003D3A54"/>
    <w:rsid w:val="003D3B87"/>
    <w:rsid w:val="003D4491"/>
    <w:rsid w:val="003D52F1"/>
    <w:rsid w:val="003D5B7D"/>
    <w:rsid w:val="003D6AEC"/>
    <w:rsid w:val="003D77B6"/>
    <w:rsid w:val="003E02BA"/>
    <w:rsid w:val="003E0AED"/>
    <w:rsid w:val="003E187D"/>
    <w:rsid w:val="003E2A33"/>
    <w:rsid w:val="003E2FA2"/>
    <w:rsid w:val="003E33D8"/>
    <w:rsid w:val="003E343A"/>
    <w:rsid w:val="003E3E01"/>
    <w:rsid w:val="003E444F"/>
    <w:rsid w:val="003E4752"/>
    <w:rsid w:val="003E5122"/>
    <w:rsid w:val="003E6231"/>
    <w:rsid w:val="003E6F88"/>
    <w:rsid w:val="003E7E43"/>
    <w:rsid w:val="003F04E2"/>
    <w:rsid w:val="003F0875"/>
    <w:rsid w:val="003F0F53"/>
    <w:rsid w:val="003F3315"/>
    <w:rsid w:val="003F359B"/>
    <w:rsid w:val="003F51CC"/>
    <w:rsid w:val="003F5B85"/>
    <w:rsid w:val="004001DE"/>
    <w:rsid w:val="00400853"/>
    <w:rsid w:val="00400B6A"/>
    <w:rsid w:val="0040283E"/>
    <w:rsid w:val="004047B6"/>
    <w:rsid w:val="00407753"/>
    <w:rsid w:val="004122F3"/>
    <w:rsid w:val="004125D8"/>
    <w:rsid w:val="00412725"/>
    <w:rsid w:val="00413553"/>
    <w:rsid w:val="00414A3E"/>
    <w:rsid w:val="0041514D"/>
    <w:rsid w:val="004155B7"/>
    <w:rsid w:val="00417052"/>
    <w:rsid w:val="00417181"/>
    <w:rsid w:val="004171A8"/>
    <w:rsid w:val="004179D4"/>
    <w:rsid w:val="00420AEE"/>
    <w:rsid w:val="004214E5"/>
    <w:rsid w:val="00422952"/>
    <w:rsid w:val="00422E08"/>
    <w:rsid w:val="00424B52"/>
    <w:rsid w:val="0042648E"/>
    <w:rsid w:val="004302F2"/>
    <w:rsid w:val="0043039B"/>
    <w:rsid w:val="0043068D"/>
    <w:rsid w:val="004308A6"/>
    <w:rsid w:val="00430F4E"/>
    <w:rsid w:val="00431506"/>
    <w:rsid w:val="0043202D"/>
    <w:rsid w:val="00432BED"/>
    <w:rsid w:val="00433133"/>
    <w:rsid w:val="0043313A"/>
    <w:rsid w:val="00433851"/>
    <w:rsid w:val="00436674"/>
    <w:rsid w:val="0043683F"/>
    <w:rsid w:val="00436AF2"/>
    <w:rsid w:val="00436C8F"/>
    <w:rsid w:val="00437F6A"/>
    <w:rsid w:val="00440DA0"/>
    <w:rsid w:val="00444E50"/>
    <w:rsid w:val="004450D1"/>
    <w:rsid w:val="004459D5"/>
    <w:rsid w:val="00445AE2"/>
    <w:rsid w:val="00445E5B"/>
    <w:rsid w:val="004461E9"/>
    <w:rsid w:val="00446729"/>
    <w:rsid w:val="00447E1F"/>
    <w:rsid w:val="00450613"/>
    <w:rsid w:val="004513A5"/>
    <w:rsid w:val="0045162F"/>
    <w:rsid w:val="00452A27"/>
    <w:rsid w:val="00453790"/>
    <w:rsid w:val="0045387E"/>
    <w:rsid w:val="00453B7A"/>
    <w:rsid w:val="00453E81"/>
    <w:rsid w:val="00453ED3"/>
    <w:rsid w:val="0045416F"/>
    <w:rsid w:val="00455C5A"/>
    <w:rsid w:val="00456E15"/>
    <w:rsid w:val="00456FC2"/>
    <w:rsid w:val="00457BE4"/>
    <w:rsid w:val="00460339"/>
    <w:rsid w:val="004622AC"/>
    <w:rsid w:val="00462C6B"/>
    <w:rsid w:val="00462EA3"/>
    <w:rsid w:val="00463C33"/>
    <w:rsid w:val="00463E12"/>
    <w:rsid w:val="00463E6C"/>
    <w:rsid w:val="00464186"/>
    <w:rsid w:val="00464328"/>
    <w:rsid w:val="00464345"/>
    <w:rsid w:val="00464552"/>
    <w:rsid w:val="004649DC"/>
    <w:rsid w:val="00466AB2"/>
    <w:rsid w:val="00467D81"/>
    <w:rsid w:val="0047041E"/>
    <w:rsid w:val="00470ACB"/>
    <w:rsid w:val="004719AD"/>
    <w:rsid w:val="00472B1A"/>
    <w:rsid w:val="00473181"/>
    <w:rsid w:val="00473428"/>
    <w:rsid w:val="00473AA1"/>
    <w:rsid w:val="00474E00"/>
    <w:rsid w:val="00476224"/>
    <w:rsid w:val="00476615"/>
    <w:rsid w:val="00476BF6"/>
    <w:rsid w:val="00481713"/>
    <w:rsid w:val="00481D31"/>
    <w:rsid w:val="0048280F"/>
    <w:rsid w:val="00482F3D"/>
    <w:rsid w:val="00486ACE"/>
    <w:rsid w:val="00487029"/>
    <w:rsid w:val="004901F7"/>
    <w:rsid w:val="00490B51"/>
    <w:rsid w:val="00491334"/>
    <w:rsid w:val="00491A61"/>
    <w:rsid w:val="00491BA0"/>
    <w:rsid w:val="0049328C"/>
    <w:rsid w:val="004936D2"/>
    <w:rsid w:val="00494075"/>
    <w:rsid w:val="004942FA"/>
    <w:rsid w:val="00494434"/>
    <w:rsid w:val="00494A9E"/>
    <w:rsid w:val="00494C43"/>
    <w:rsid w:val="004950E9"/>
    <w:rsid w:val="00495E1E"/>
    <w:rsid w:val="00496A4F"/>
    <w:rsid w:val="00496B39"/>
    <w:rsid w:val="004A02E9"/>
    <w:rsid w:val="004A0316"/>
    <w:rsid w:val="004A221D"/>
    <w:rsid w:val="004A24A3"/>
    <w:rsid w:val="004A26B9"/>
    <w:rsid w:val="004A2C3D"/>
    <w:rsid w:val="004A2D10"/>
    <w:rsid w:val="004A4340"/>
    <w:rsid w:val="004A4736"/>
    <w:rsid w:val="004A5B17"/>
    <w:rsid w:val="004A635A"/>
    <w:rsid w:val="004B15E9"/>
    <w:rsid w:val="004B2A60"/>
    <w:rsid w:val="004B3CBD"/>
    <w:rsid w:val="004B50BB"/>
    <w:rsid w:val="004C0254"/>
    <w:rsid w:val="004C11A1"/>
    <w:rsid w:val="004C17A5"/>
    <w:rsid w:val="004C25BD"/>
    <w:rsid w:val="004C2648"/>
    <w:rsid w:val="004C3485"/>
    <w:rsid w:val="004C3534"/>
    <w:rsid w:val="004C3773"/>
    <w:rsid w:val="004C5D95"/>
    <w:rsid w:val="004C665F"/>
    <w:rsid w:val="004C6D04"/>
    <w:rsid w:val="004C7173"/>
    <w:rsid w:val="004C7857"/>
    <w:rsid w:val="004C7B77"/>
    <w:rsid w:val="004D134C"/>
    <w:rsid w:val="004D1464"/>
    <w:rsid w:val="004D1A8D"/>
    <w:rsid w:val="004D2980"/>
    <w:rsid w:val="004D2B44"/>
    <w:rsid w:val="004D5AE2"/>
    <w:rsid w:val="004D6C52"/>
    <w:rsid w:val="004D6E9F"/>
    <w:rsid w:val="004D78D0"/>
    <w:rsid w:val="004E0643"/>
    <w:rsid w:val="004E0B76"/>
    <w:rsid w:val="004E148A"/>
    <w:rsid w:val="004E1B49"/>
    <w:rsid w:val="004E24CA"/>
    <w:rsid w:val="004E3216"/>
    <w:rsid w:val="004E3534"/>
    <w:rsid w:val="004E35B3"/>
    <w:rsid w:val="004E35FF"/>
    <w:rsid w:val="004E3C94"/>
    <w:rsid w:val="004E3FC2"/>
    <w:rsid w:val="004E43C0"/>
    <w:rsid w:val="004E4FCB"/>
    <w:rsid w:val="004E5766"/>
    <w:rsid w:val="004E59AB"/>
    <w:rsid w:val="004E5E33"/>
    <w:rsid w:val="004F09FB"/>
    <w:rsid w:val="004F1DEE"/>
    <w:rsid w:val="004F1EE5"/>
    <w:rsid w:val="004F2172"/>
    <w:rsid w:val="004F22B4"/>
    <w:rsid w:val="004F2617"/>
    <w:rsid w:val="004F2D14"/>
    <w:rsid w:val="004F35E1"/>
    <w:rsid w:val="004F470D"/>
    <w:rsid w:val="004F53A2"/>
    <w:rsid w:val="004F64B8"/>
    <w:rsid w:val="004F7891"/>
    <w:rsid w:val="005007AF"/>
    <w:rsid w:val="00503A2E"/>
    <w:rsid w:val="00504099"/>
    <w:rsid w:val="00505015"/>
    <w:rsid w:val="005063AF"/>
    <w:rsid w:val="00506C00"/>
    <w:rsid w:val="00507A7C"/>
    <w:rsid w:val="0051066B"/>
    <w:rsid w:val="00511479"/>
    <w:rsid w:val="0051373E"/>
    <w:rsid w:val="00514212"/>
    <w:rsid w:val="005147D1"/>
    <w:rsid w:val="005156AD"/>
    <w:rsid w:val="0051647E"/>
    <w:rsid w:val="00516821"/>
    <w:rsid w:val="00516AA9"/>
    <w:rsid w:val="0051739F"/>
    <w:rsid w:val="005177E0"/>
    <w:rsid w:val="00517C63"/>
    <w:rsid w:val="00517D6F"/>
    <w:rsid w:val="00521433"/>
    <w:rsid w:val="00521CD3"/>
    <w:rsid w:val="005230C5"/>
    <w:rsid w:val="0052372B"/>
    <w:rsid w:val="005237B3"/>
    <w:rsid w:val="00524463"/>
    <w:rsid w:val="00524D6B"/>
    <w:rsid w:val="005256F7"/>
    <w:rsid w:val="005263CB"/>
    <w:rsid w:val="0052676E"/>
    <w:rsid w:val="00526E9A"/>
    <w:rsid w:val="00526FF3"/>
    <w:rsid w:val="00527974"/>
    <w:rsid w:val="00527DA8"/>
    <w:rsid w:val="0053149D"/>
    <w:rsid w:val="005317A1"/>
    <w:rsid w:val="005321AC"/>
    <w:rsid w:val="00532DD6"/>
    <w:rsid w:val="00532E86"/>
    <w:rsid w:val="0053549C"/>
    <w:rsid w:val="00535D20"/>
    <w:rsid w:val="00535DA2"/>
    <w:rsid w:val="00537322"/>
    <w:rsid w:val="00537969"/>
    <w:rsid w:val="00540EC4"/>
    <w:rsid w:val="005414A6"/>
    <w:rsid w:val="005416E8"/>
    <w:rsid w:val="00541F8B"/>
    <w:rsid w:val="00542CF6"/>
    <w:rsid w:val="005437BC"/>
    <w:rsid w:val="0054418B"/>
    <w:rsid w:val="005456D8"/>
    <w:rsid w:val="00545AC2"/>
    <w:rsid w:val="00546516"/>
    <w:rsid w:val="00546E7C"/>
    <w:rsid w:val="00547024"/>
    <w:rsid w:val="0055052D"/>
    <w:rsid w:val="005558F6"/>
    <w:rsid w:val="005559E1"/>
    <w:rsid w:val="00555E15"/>
    <w:rsid w:val="00560726"/>
    <w:rsid w:val="00560F69"/>
    <w:rsid w:val="00561342"/>
    <w:rsid w:val="005619EE"/>
    <w:rsid w:val="005625B7"/>
    <w:rsid w:val="0056287A"/>
    <w:rsid w:val="00563D91"/>
    <w:rsid w:val="00564503"/>
    <w:rsid w:val="00565B05"/>
    <w:rsid w:val="00566E38"/>
    <w:rsid w:val="00566EE7"/>
    <w:rsid w:val="00567329"/>
    <w:rsid w:val="00567C48"/>
    <w:rsid w:val="0057065B"/>
    <w:rsid w:val="005711C6"/>
    <w:rsid w:val="0057293D"/>
    <w:rsid w:val="00572AFC"/>
    <w:rsid w:val="005730E4"/>
    <w:rsid w:val="00573DDC"/>
    <w:rsid w:val="00574B90"/>
    <w:rsid w:val="00575B99"/>
    <w:rsid w:val="00576C58"/>
    <w:rsid w:val="00576D72"/>
    <w:rsid w:val="00576E60"/>
    <w:rsid w:val="005775E4"/>
    <w:rsid w:val="005805CF"/>
    <w:rsid w:val="005809DF"/>
    <w:rsid w:val="00581B2E"/>
    <w:rsid w:val="005830DC"/>
    <w:rsid w:val="005834E1"/>
    <w:rsid w:val="0058401D"/>
    <w:rsid w:val="00585213"/>
    <w:rsid w:val="005868CD"/>
    <w:rsid w:val="0058694A"/>
    <w:rsid w:val="00586B48"/>
    <w:rsid w:val="00590346"/>
    <w:rsid w:val="00590654"/>
    <w:rsid w:val="005908FD"/>
    <w:rsid w:val="0059092C"/>
    <w:rsid w:val="005916D3"/>
    <w:rsid w:val="00591D8D"/>
    <w:rsid w:val="00593163"/>
    <w:rsid w:val="00593AB1"/>
    <w:rsid w:val="00594B8F"/>
    <w:rsid w:val="005950AC"/>
    <w:rsid w:val="0059603B"/>
    <w:rsid w:val="005960C4"/>
    <w:rsid w:val="00596ECF"/>
    <w:rsid w:val="00596FDA"/>
    <w:rsid w:val="00597AEC"/>
    <w:rsid w:val="005A02E2"/>
    <w:rsid w:val="005A070B"/>
    <w:rsid w:val="005A22A0"/>
    <w:rsid w:val="005A4D85"/>
    <w:rsid w:val="005A4FAD"/>
    <w:rsid w:val="005A7428"/>
    <w:rsid w:val="005A74CF"/>
    <w:rsid w:val="005B0152"/>
    <w:rsid w:val="005B0652"/>
    <w:rsid w:val="005B07DA"/>
    <w:rsid w:val="005B08EE"/>
    <w:rsid w:val="005B090C"/>
    <w:rsid w:val="005B187D"/>
    <w:rsid w:val="005B1EB6"/>
    <w:rsid w:val="005B278C"/>
    <w:rsid w:val="005B2971"/>
    <w:rsid w:val="005B3CE7"/>
    <w:rsid w:val="005B3DB5"/>
    <w:rsid w:val="005B42EB"/>
    <w:rsid w:val="005B49CC"/>
    <w:rsid w:val="005B5B3D"/>
    <w:rsid w:val="005B685C"/>
    <w:rsid w:val="005B7014"/>
    <w:rsid w:val="005B7D34"/>
    <w:rsid w:val="005C231D"/>
    <w:rsid w:val="005C2A5A"/>
    <w:rsid w:val="005C31C4"/>
    <w:rsid w:val="005C32F6"/>
    <w:rsid w:val="005C4191"/>
    <w:rsid w:val="005C49ED"/>
    <w:rsid w:val="005C5F8F"/>
    <w:rsid w:val="005C6476"/>
    <w:rsid w:val="005C7317"/>
    <w:rsid w:val="005D0AC0"/>
    <w:rsid w:val="005D0D58"/>
    <w:rsid w:val="005D1FBE"/>
    <w:rsid w:val="005D2F62"/>
    <w:rsid w:val="005D628E"/>
    <w:rsid w:val="005D6ABB"/>
    <w:rsid w:val="005D7307"/>
    <w:rsid w:val="005D7F0E"/>
    <w:rsid w:val="005E2364"/>
    <w:rsid w:val="005E2ACA"/>
    <w:rsid w:val="005E2E3C"/>
    <w:rsid w:val="005E2EF0"/>
    <w:rsid w:val="005E313B"/>
    <w:rsid w:val="005E343F"/>
    <w:rsid w:val="005E3855"/>
    <w:rsid w:val="005E4595"/>
    <w:rsid w:val="005E55CC"/>
    <w:rsid w:val="005E6BD8"/>
    <w:rsid w:val="005E7B6A"/>
    <w:rsid w:val="005F0962"/>
    <w:rsid w:val="005F12E2"/>
    <w:rsid w:val="005F1A0D"/>
    <w:rsid w:val="005F2971"/>
    <w:rsid w:val="005F2D82"/>
    <w:rsid w:val="005F3F4A"/>
    <w:rsid w:val="005F4448"/>
    <w:rsid w:val="005F46E1"/>
    <w:rsid w:val="005F5DBD"/>
    <w:rsid w:val="005F674D"/>
    <w:rsid w:val="005F718F"/>
    <w:rsid w:val="005F7236"/>
    <w:rsid w:val="005F75A3"/>
    <w:rsid w:val="005F789E"/>
    <w:rsid w:val="0060088B"/>
    <w:rsid w:val="00600B64"/>
    <w:rsid w:val="0060109E"/>
    <w:rsid w:val="006031E0"/>
    <w:rsid w:val="00603A9F"/>
    <w:rsid w:val="00603E62"/>
    <w:rsid w:val="0060471F"/>
    <w:rsid w:val="00606F0B"/>
    <w:rsid w:val="006077D3"/>
    <w:rsid w:val="00610CED"/>
    <w:rsid w:val="00610EFA"/>
    <w:rsid w:val="00610F7E"/>
    <w:rsid w:val="00611ADA"/>
    <w:rsid w:val="00612169"/>
    <w:rsid w:val="00613328"/>
    <w:rsid w:val="00614AAB"/>
    <w:rsid w:val="0061544F"/>
    <w:rsid w:val="00615E6C"/>
    <w:rsid w:val="006161B9"/>
    <w:rsid w:val="006168FE"/>
    <w:rsid w:val="00616A5C"/>
    <w:rsid w:val="00616D1B"/>
    <w:rsid w:val="006171CA"/>
    <w:rsid w:val="00617359"/>
    <w:rsid w:val="0062035B"/>
    <w:rsid w:val="006207F2"/>
    <w:rsid w:val="00620DC1"/>
    <w:rsid w:val="00621B41"/>
    <w:rsid w:val="0062247B"/>
    <w:rsid w:val="00622723"/>
    <w:rsid w:val="00623E96"/>
    <w:rsid w:val="00624BCA"/>
    <w:rsid w:val="00624CE9"/>
    <w:rsid w:val="006272C3"/>
    <w:rsid w:val="00631D7C"/>
    <w:rsid w:val="0063217A"/>
    <w:rsid w:val="00632ACB"/>
    <w:rsid w:val="00632C86"/>
    <w:rsid w:val="00634FDA"/>
    <w:rsid w:val="006358F8"/>
    <w:rsid w:val="00636004"/>
    <w:rsid w:val="00637206"/>
    <w:rsid w:val="00640221"/>
    <w:rsid w:val="006413E4"/>
    <w:rsid w:val="006422ED"/>
    <w:rsid w:val="0064303F"/>
    <w:rsid w:val="00643C04"/>
    <w:rsid w:val="00644B21"/>
    <w:rsid w:val="0064524E"/>
    <w:rsid w:val="006456CC"/>
    <w:rsid w:val="00646275"/>
    <w:rsid w:val="00646D86"/>
    <w:rsid w:val="00650BDE"/>
    <w:rsid w:val="00651183"/>
    <w:rsid w:val="00652DA5"/>
    <w:rsid w:val="00653656"/>
    <w:rsid w:val="0065402B"/>
    <w:rsid w:val="006546A8"/>
    <w:rsid w:val="0065495F"/>
    <w:rsid w:val="006563EC"/>
    <w:rsid w:val="00657574"/>
    <w:rsid w:val="00657811"/>
    <w:rsid w:val="006609B6"/>
    <w:rsid w:val="00661498"/>
    <w:rsid w:val="0066282D"/>
    <w:rsid w:val="00663207"/>
    <w:rsid w:val="00665288"/>
    <w:rsid w:val="00665C20"/>
    <w:rsid w:val="00665D10"/>
    <w:rsid w:val="00665F7F"/>
    <w:rsid w:val="006667FC"/>
    <w:rsid w:val="0066737C"/>
    <w:rsid w:val="00670590"/>
    <w:rsid w:val="00671137"/>
    <w:rsid w:val="00671F73"/>
    <w:rsid w:val="0067509B"/>
    <w:rsid w:val="0067571C"/>
    <w:rsid w:val="00676D14"/>
    <w:rsid w:val="0067758A"/>
    <w:rsid w:val="006811F7"/>
    <w:rsid w:val="00681441"/>
    <w:rsid w:val="00681D75"/>
    <w:rsid w:val="00681F64"/>
    <w:rsid w:val="00683704"/>
    <w:rsid w:val="00683A5F"/>
    <w:rsid w:val="00683E52"/>
    <w:rsid w:val="006859C1"/>
    <w:rsid w:val="00687C37"/>
    <w:rsid w:val="00690C0D"/>
    <w:rsid w:val="00690E03"/>
    <w:rsid w:val="0069126C"/>
    <w:rsid w:val="00692A9D"/>
    <w:rsid w:val="00693316"/>
    <w:rsid w:val="0069572A"/>
    <w:rsid w:val="0069671E"/>
    <w:rsid w:val="00697E81"/>
    <w:rsid w:val="006A0302"/>
    <w:rsid w:val="006A0BCC"/>
    <w:rsid w:val="006A1082"/>
    <w:rsid w:val="006A1373"/>
    <w:rsid w:val="006A242E"/>
    <w:rsid w:val="006A2BB5"/>
    <w:rsid w:val="006A34E0"/>
    <w:rsid w:val="006A3CB1"/>
    <w:rsid w:val="006A605F"/>
    <w:rsid w:val="006A7EDC"/>
    <w:rsid w:val="006B12D2"/>
    <w:rsid w:val="006B16A5"/>
    <w:rsid w:val="006B1FA9"/>
    <w:rsid w:val="006B2D20"/>
    <w:rsid w:val="006B544E"/>
    <w:rsid w:val="006B5549"/>
    <w:rsid w:val="006B7A88"/>
    <w:rsid w:val="006C0201"/>
    <w:rsid w:val="006C048C"/>
    <w:rsid w:val="006C06FE"/>
    <w:rsid w:val="006C0719"/>
    <w:rsid w:val="006C1CA0"/>
    <w:rsid w:val="006C41BC"/>
    <w:rsid w:val="006C4399"/>
    <w:rsid w:val="006C4A2B"/>
    <w:rsid w:val="006C59C3"/>
    <w:rsid w:val="006C5D69"/>
    <w:rsid w:val="006C663B"/>
    <w:rsid w:val="006C72FC"/>
    <w:rsid w:val="006C7AEB"/>
    <w:rsid w:val="006D106F"/>
    <w:rsid w:val="006D20FC"/>
    <w:rsid w:val="006D2468"/>
    <w:rsid w:val="006D2E43"/>
    <w:rsid w:val="006D38EB"/>
    <w:rsid w:val="006D3DA8"/>
    <w:rsid w:val="006D49F2"/>
    <w:rsid w:val="006D57DE"/>
    <w:rsid w:val="006D5D16"/>
    <w:rsid w:val="006D6145"/>
    <w:rsid w:val="006D63D8"/>
    <w:rsid w:val="006D6631"/>
    <w:rsid w:val="006D67E2"/>
    <w:rsid w:val="006E036D"/>
    <w:rsid w:val="006E0ADC"/>
    <w:rsid w:val="006E11B0"/>
    <w:rsid w:val="006E189F"/>
    <w:rsid w:val="006E1E54"/>
    <w:rsid w:val="006E1FE7"/>
    <w:rsid w:val="006E323B"/>
    <w:rsid w:val="006E49FB"/>
    <w:rsid w:val="006E4B50"/>
    <w:rsid w:val="006E4CDF"/>
    <w:rsid w:val="006E5E56"/>
    <w:rsid w:val="006E611E"/>
    <w:rsid w:val="006E62C9"/>
    <w:rsid w:val="006E6B21"/>
    <w:rsid w:val="006E6DA4"/>
    <w:rsid w:val="006E7D29"/>
    <w:rsid w:val="006F04D3"/>
    <w:rsid w:val="006F094C"/>
    <w:rsid w:val="006F1233"/>
    <w:rsid w:val="006F19ED"/>
    <w:rsid w:val="006F1D3E"/>
    <w:rsid w:val="006F241A"/>
    <w:rsid w:val="006F5F3E"/>
    <w:rsid w:val="006F7C94"/>
    <w:rsid w:val="007006C9"/>
    <w:rsid w:val="00701E72"/>
    <w:rsid w:val="00701FD4"/>
    <w:rsid w:val="00702947"/>
    <w:rsid w:val="00703EC2"/>
    <w:rsid w:val="00704212"/>
    <w:rsid w:val="00704AE0"/>
    <w:rsid w:val="00705CAB"/>
    <w:rsid w:val="00706AC5"/>
    <w:rsid w:val="00707110"/>
    <w:rsid w:val="00707540"/>
    <w:rsid w:val="007107D1"/>
    <w:rsid w:val="00710E01"/>
    <w:rsid w:val="00711CD0"/>
    <w:rsid w:val="007127C0"/>
    <w:rsid w:val="00712A8E"/>
    <w:rsid w:val="00712CF0"/>
    <w:rsid w:val="00712F69"/>
    <w:rsid w:val="00713282"/>
    <w:rsid w:val="00713516"/>
    <w:rsid w:val="00714A02"/>
    <w:rsid w:val="007150EE"/>
    <w:rsid w:val="007154A4"/>
    <w:rsid w:val="00715536"/>
    <w:rsid w:val="00715F64"/>
    <w:rsid w:val="00717885"/>
    <w:rsid w:val="007203A0"/>
    <w:rsid w:val="007208B8"/>
    <w:rsid w:val="00720B43"/>
    <w:rsid w:val="00722212"/>
    <w:rsid w:val="00723178"/>
    <w:rsid w:val="00724ED0"/>
    <w:rsid w:val="007250D4"/>
    <w:rsid w:val="007259C8"/>
    <w:rsid w:val="00725CF2"/>
    <w:rsid w:val="007263D6"/>
    <w:rsid w:val="00727661"/>
    <w:rsid w:val="00727C72"/>
    <w:rsid w:val="007301C1"/>
    <w:rsid w:val="00730926"/>
    <w:rsid w:val="00731AAA"/>
    <w:rsid w:val="0073221D"/>
    <w:rsid w:val="007326A3"/>
    <w:rsid w:val="00734DEE"/>
    <w:rsid w:val="007400D1"/>
    <w:rsid w:val="007401D5"/>
    <w:rsid w:val="0074136F"/>
    <w:rsid w:val="00744502"/>
    <w:rsid w:val="00744EA5"/>
    <w:rsid w:val="007451C6"/>
    <w:rsid w:val="00746D00"/>
    <w:rsid w:val="00746E40"/>
    <w:rsid w:val="00747045"/>
    <w:rsid w:val="007473BD"/>
    <w:rsid w:val="00747BA5"/>
    <w:rsid w:val="0075029D"/>
    <w:rsid w:val="007502D3"/>
    <w:rsid w:val="0075074B"/>
    <w:rsid w:val="00751420"/>
    <w:rsid w:val="00753D34"/>
    <w:rsid w:val="00753EA9"/>
    <w:rsid w:val="00754FB1"/>
    <w:rsid w:val="00755705"/>
    <w:rsid w:val="00757277"/>
    <w:rsid w:val="007577B8"/>
    <w:rsid w:val="00757B97"/>
    <w:rsid w:val="00757F11"/>
    <w:rsid w:val="00760B04"/>
    <w:rsid w:val="00761C4C"/>
    <w:rsid w:val="00761FD7"/>
    <w:rsid w:val="0076210F"/>
    <w:rsid w:val="007629E1"/>
    <w:rsid w:val="00763506"/>
    <w:rsid w:val="00764C9B"/>
    <w:rsid w:val="00765BA2"/>
    <w:rsid w:val="00765BFF"/>
    <w:rsid w:val="00766FE4"/>
    <w:rsid w:val="007671A0"/>
    <w:rsid w:val="007671F1"/>
    <w:rsid w:val="0076763C"/>
    <w:rsid w:val="007676A3"/>
    <w:rsid w:val="00767C74"/>
    <w:rsid w:val="00767E12"/>
    <w:rsid w:val="00773331"/>
    <w:rsid w:val="00773BC2"/>
    <w:rsid w:val="00773C6A"/>
    <w:rsid w:val="007743C4"/>
    <w:rsid w:val="00774482"/>
    <w:rsid w:val="007746FE"/>
    <w:rsid w:val="00774D9C"/>
    <w:rsid w:val="007756B1"/>
    <w:rsid w:val="00775AEC"/>
    <w:rsid w:val="007774B8"/>
    <w:rsid w:val="00777E2C"/>
    <w:rsid w:val="00780335"/>
    <w:rsid w:val="007804AC"/>
    <w:rsid w:val="0078134F"/>
    <w:rsid w:val="007822E9"/>
    <w:rsid w:val="00783B71"/>
    <w:rsid w:val="007841AD"/>
    <w:rsid w:val="00784B9A"/>
    <w:rsid w:val="00785B64"/>
    <w:rsid w:val="00785C77"/>
    <w:rsid w:val="007901AF"/>
    <w:rsid w:val="00790577"/>
    <w:rsid w:val="00790E38"/>
    <w:rsid w:val="00791173"/>
    <w:rsid w:val="007932EF"/>
    <w:rsid w:val="00794F4D"/>
    <w:rsid w:val="00795745"/>
    <w:rsid w:val="00795F51"/>
    <w:rsid w:val="0079678E"/>
    <w:rsid w:val="007A0841"/>
    <w:rsid w:val="007A09E2"/>
    <w:rsid w:val="007A0E29"/>
    <w:rsid w:val="007A18EE"/>
    <w:rsid w:val="007A213F"/>
    <w:rsid w:val="007A26C7"/>
    <w:rsid w:val="007A3209"/>
    <w:rsid w:val="007A3921"/>
    <w:rsid w:val="007A3ED9"/>
    <w:rsid w:val="007A5A2E"/>
    <w:rsid w:val="007A5F9C"/>
    <w:rsid w:val="007A68CF"/>
    <w:rsid w:val="007A719E"/>
    <w:rsid w:val="007A71F1"/>
    <w:rsid w:val="007A757B"/>
    <w:rsid w:val="007B029D"/>
    <w:rsid w:val="007B1019"/>
    <w:rsid w:val="007B14C4"/>
    <w:rsid w:val="007B1A44"/>
    <w:rsid w:val="007B357D"/>
    <w:rsid w:val="007B3B2D"/>
    <w:rsid w:val="007B4914"/>
    <w:rsid w:val="007B51A1"/>
    <w:rsid w:val="007B5453"/>
    <w:rsid w:val="007B5C0A"/>
    <w:rsid w:val="007B5DBF"/>
    <w:rsid w:val="007B6848"/>
    <w:rsid w:val="007B69AA"/>
    <w:rsid w:val="007B7A3E"/>
    <w:rsid w:val="007B7FA8"/>
    <w:rsid w:val="007C10F3"/>
    <w:rsid w:val="007C1AF2"/>
    <w:rsid w:val="007C1DAF"/>
    <w:rsid w:val="007C24FE"/>
    <w:rsid w:val="007C25CA"/>
    <w:rsid w:val="007C2889"/>
    <w:rsid w:val="007C3F90"/>
    <w:rsid w:val="007C4158"/>
    <w:rsid w:val="007C4464"/>
    <w:rsid w:val="007C48B9"/>
    <w:rsid w:val="007C53E6"/>
    <w:rsid w:val="007C6A57"/>
    <w:rsid w:val="007C6BB2"/>
    <w:rsid w:val="007C6BDE"/>
    <w:rsid w:val="007C6D4F"/>
    <w:rsid w:val="007C7259"/>
    <w:rsid w:val="007D08BC"/>
    <w:rsid w:val="007D26AD"/>
    <w:rsid w:val="007D300B"/>
    <w:rsid w:val="007D3497"/>
    <w:rsid w:val="007D358A"/>
    <w:rsid w:val="007D369F"/>
    <w:rsid w:val="007D399C"/>
    <w:rsid w:val="007D39C0"/>
    <w:rsid w:val="007D40E4"/>
    <w:rsid w:val="007D4684"/>
    <w:rsid w:val="007D4EF3"/>
    <w:rsid w:val="007D5777"/>
    <w:rsid w:val="007D5C7E"/>
    <w:rsid w:val="007D6619"/>
    <w:rsid w:val="007E034A"/>
    <w:rsid w:val="007E05B0"/>
    <w:rsid w:val="007E0AF4"/>
    <w:rsid w:val="007E0CD5"/>
    <w:rsid w:val="007E1203"/>
    <w:rsid w:val="007E2850"/>
    <w:rsid w:val="007E28F5"/>
    <w:rsid w:val="007E3638"/>
    <w:rsid w:val="007E442C"/>
    <w:rsid w:val="007E4498"/>
    <w:rsid w:val="007E44C6"/>
    <w:rsid w:val="007E5F37"/>
    <w:rsid w:val="007E646A"/>
    <w:rsid w:val="007E6ED2"/>
    <w:rsid w:val="007E72C2"/>
    <w:rsid w:val="007F2101"/>
    <w:rsid w:val="007F2983"/>
    <w:rsid w:val="007F3491"/>
    <w:rsid w:val="007F5F55"/>
    <w:rsid w:val="007F6605"/>
    <w:rsid w:val="007F67AE"/>
    <w:rsid w:val="00800714"/>
    <w:rsid w:val="00800AA9"/>
    <w:rsid w:val="008015B9"/>
    <w:rsid w:val="00801BD7"/>
    <w:rsid w:val="00801C39"/>
    <w:rsid w:val="00802FFF"/>
    <w:rsid w:val="00804155"/>
    <w:rsid w:val="00805E26"/>
    <w:rsid w:val="00806326"/>
    <w:rsid w:val="00806F0B"/>
    <w:rsid w:val="00807F03"/>
    <w:rsid w:val="00810792"/>
    <w:rsid w:val="00810A81"/>
    <w:rsid w:val="008111BB"/>
    <w:rsid w:val="008130E3"/>
    <w:rsid w:val="0081404D"/>
    <w:rsid w:val="0081423E"/>
    <w:rsid w:val="00814962"/>
    <w:rsid w:val="008150F8"/>
    <w:rsid w:val="00815125"/>
    <w:rsid w:val="008154F6"/>
    <w:rsid w:val="00815CEB"/>
    <w:rsid w:val="00815F3A"/>
    <w:rsid w:val="00816874"/>
    <w:rsid w:val="00816DBB"/>
    <w:rsid w:val="008174D0"/>
    <w:rsid w:val="0081762B"/>
    <w:rsid w:val="00817B73"/>
    <w:rsid w:val="00820BEC"/>
    <w:rsid w:val="00820DBD"/>
    <w:rsid w:val="00821975"/>
    <w:rsid w:val="00821F21"/>
    <w:rsid w:val="00823AAE"/>
    <w:rsid w:val="00825F27"/>
    <w:rsid w:val="00826F47"/>
    <w:rsid w:val="00827025"/>
    <w:rsid w:val="0082741A"/>
    <w:rsid w:val="0082756C"/>
    <w:rsid w:val="0082796F"/>
    <w:rsid w:val="00830423"/>
    <w:rsid w:val="00831C23"/>
    <w:rsid w:val="008330E8"/>
    <w:rsid w:val="0083338F"/>
    <w:rsid w:val="0083367F"/>
    <w:rsid w:val="008342B7"/>
    <w:rsid w:val="008360A1"/>
    <w:rsid w:val="00836AB9"/>
    <w:rsid w:val="00836F1F"/>
    <w:rsid w:val="008371F9"/>
    <w:rsid w:val="008377D3"/>
    <w:rsid w:val="008404A6"/>
    <w:rsid w:val="00840B8B"/>
    <w:rsid w:val="00841CF2"/>
    <w:rsid w:val="0084353C"/>
    <w:rsid w:val="008445B5"/>
    <w:rsid w:val="0084539C"/>
    <w:rsid w:val="0084572F"/>
    <w:rsid w:val="00846246"/>
    <w:rsid w:val="008467ED"/>
    <w:rsid w:val="0084729B"/>
    <w:rsid w:val="008502FA"/>
    <w:rsid w:val="0085099D"/>
    <w:rsid w:val="00850A1A"/>
    <w:rsid w:val="00850B40"/>
    <w:rsid w:val="00850C82"/>
    <w:rsid w:val="00851698"/>
    <w:rsid w:val="00851D41"/>
    <w:rsid w:val="00854866"/>
    <w:rsid w:val="00855265"/>
    <w:rsid w:val="008554CB"/>
    <w:rsid w:val="00855991"/>
    <w:rsid w:val="00861BF8"/>
    <w:rsid w:val="00861C57"/>
    <w:rsid w:val="0086268E"/>
    <w:rsid w:val="00862975"/>
    <w:rsid w:val="00863086"/>
    <w:rsid w:val="00863D9D"/>
    <w:rsid w:val="008646BC"/>
    <w:rsid w:val="00864962"/>
    <w:rsid w:val="0086521F"/>
    <w:rsid w:val="00866283"/>
    <w:rsid w:val="00870B6B"/>
    <w:rsid w:val="00871943"/>
    <w:rsid w:val="0087346B"/>
    <w:rsid w:val="008735ED"/>
    <w:rsid w:val="008749EC"/>
    <w:rsid w:val="00874D22"/>
    <w:rsid w:val="00875379"/>
    <w:rsid w:val="00876731"/>
    <w:rsid w:val="00876971"/>
    <w:rsid w:val="00876C5D"/>
    <w:rsid w:val="00877161"/>
    <w:rsid w:val="00880F99"/>
    <w:rsid w:val="008824ED"/>
    <w:rsid w:val="008827E3"/>
    <w:rsid w:val="008828E8"/>
    <w:rsid w:val="008831B0"/>
    <w:rsid w:val="00884166"/>
    <w:rsid w:val="008843FA"/>
    <w:rsid w:val="0088469B"/>
    <w:rsid w:val="00885421"/>
    <w:rsid w:val="008862C5"/>
    <w:rsid w:val="00886C45"/>
    <w:rsid w:val="00886FA4"/>
    <w:rsid w:val="0088745F"/>
    <w:rsid w:val="00890F70"/>
    <w:rsid w:val="008913F9"/>
    <w:rsid w:val="00891D55"/>
    <w:rsid w:val="00892E24"/>
    <w:rsid w:val="00893183"/>
    <w:rsid w:val="0089468D"/>
    <w:rsid w:val="00894F3F"/>
    <w:rsid w:val="008965BB"/>
    <w:rsid w:val="00897B11"/>
    <w:rsid w:val="008A0047"/>
    <w:rsid w:val="008A02F6"/>
    <w:rsid w:val="008A10C4"/>
    <w:rsid w:val="008A11D5"/>
    <w:rsid w:val="008A124D"/>
    <w:rsid w:val="008A157F"/>
    <w:rsid w:val="008A2199"/>
    <w:rsid w:val="008A2914"/>
    <w:rsid w:val="008A33BC"/>
    <w:rsid w:val="008A3D2C"/>
    <w:rsid w:val="008A3F04"/>
    <w:rsid w:val="008A4F78"/>
    <w:rsid w:val="008A52D4"/>
    <w:rsid w:val="008A5BC5"/>
    <w:rsid w:val="008A630C"/>
    <w:rsid w:val="008A6437"/>
    <w:rsid w:val="008A67B2"/>
    <w:rsid w:val="008A7361"/>
    <w:rsid w:val="008B0935"/>
    <w:rsid w:val="008B0E1E"/>
    <w:rsid w:val="008B2F22"/>
    <w:rsid w:val="008B409C"/>
    <w:rsid w:val="008B6103"/>
    <w:rsid w:val="008B64AD"/>
    <w:rsid w:val="008B6A93"/>
    <w:rsid w:val="008B715F"/>
    <w:rsid w:val="008C055E"/>
    <w:rsid w:val="008C0B5A"/>
    <w:rsid w:val="008C2030"/>
    <w:rsid w:val="008C2C57"/>
    <w:rsid w:val="008C2E6F"/>
    <w:rsid w:val="008C3885"/>
    <w:rsid w:val="008C3A67"/>
    <w:rsid w:val="008C4DCB"/>
    <w:rsid w:val="008C600B"/>
    <w:rsid w:val="008C699F"/>
    <w:rsid w:val="008C6AEC"/>
    <w:rsid w:val="008C712C"/>
    <w:rsid w:val="008C72C4"/>
    <w:rsid w:val="008D1E70"/>
    <w:rsid w:val="008D2F3F"/>
    <w:rsid w:val="008D3EAE"/>
    <w:rsid w:val="008D5C7D"/>
    <w:rsid w:val="008D7085"/>
    <w:rsid w:val="008D74B4"/>
    <w:rsid w:val="008D74BD"/>
    <w:rsid w:val="008D7B09"/>
    <w:rsid w:val="008E07B5"/>
    <w:rsid w:val="008E09B9"/>
    <w:rsid w:val="008E30FC"/>
    <w:rsid w:val="008E34AD"/>
    <w:rsid w:val="008E4D8E"/>
    <w:rsid w:val="008E4FAC"/>
    <w:rsid w:val="008E51AD"/>
    <w:rsid w:val="008E5260"/>
    <w:rsid w:val="008E6BB6"/>
    <w:rsid w:val="008E7230"/>
    <w:rsid w:val="008F26D0"/>
    <w:rsid w:val="008F3C95"/>
    <w:rsid w:val="008F4297"/>
    <w:rsid w:val="008F4626"/>
    <w:rsid w:val="008F4BC9"/>
    <w:rsid w:val="008F663B"/>
    <w:rsid w:val="00903AF8"/>
    <w:rsid w:val="00904DB5"/>
    <w:rsid w:val="00905789"/>
    <w:rsid w:val="009062C9"/>
    <w:rsid w:val="00906413"/>
    <w:rsid w:val="009070D9"/>
    <w:rsid w:val="00910561"/>
    <w:rsid w:val="009111B6"/>
    <w:rsid w:val="009119BE"/>
    <w:rsid w:val="00911BC6"/>
    <w:rsid w:val="0091278D"/>
    <w:rsid w:val="00913087"/>
    <w:rsid w:val="009136CC"/>
    <w:rsid w:val="009164AF"/>
    <w:rsid w:val="00917102"/>
    <w:rsid w:val="00917A5E"/>
    <w:rsid w:val="00920A0F"/>
    <w:rsid w:val="00920A40"/>
    <w:rsid w:val="00921A88"/>
    <w:rsid w:val="0092245D"/>
    <w:rsid w:val="00923559"/>
    <w:rsid w:val="00925CA3"/>
    <w:rsid w:val="00927FDC"/>
    <w:rsid w:val="00932733"/>
    <w:rsid w:val="0093442B"/>
    <w:rsid w:val="009355CA"/>
    <w:rsid w:val="00937C7A"/>
    <w:rsid w:val="00937E25"/>
    <w:rsid w:val="0094029C"/>
    <w:rsid w:val="00940865"/>
    <w:rsid w:val="00940B83"/>
    <w:rsid w:val="009411BA"/>
    <w:rsid w:val="009414CB"/>
    <w:rsid w:val="00942142"/>
    <w:rsid w:val="0094386B"/>
    <w:rsid w:val="00944342"/>
    <w:rsid w:val="009458A2"/>
    <w:rsid w:val="00945A11"/>
    <w:rsid w:val="00945B86"/>
    <w:rsid w:val="00947182"/>
    <w:rsid w:val="00947744"/>
    <w:rsid w:val="0095073F"/>
    <w:rsid w:val="00951A50"/>
    <w:rsid w:val="00951DC5"/>
    <w:rsid w:val="00952571"/>
    <w:rsid w:val="00954245"/>
    <w:rsid w:val="00954D25"/>
    <w:rsid w:val="00955EE8"/>
    <w:rsid w:val="00956ADF"/>
    <w:rsid w:val="00956D45"/>
    <w:rsid w:val="009570EC"/>
    <w:rsid w:val="0095782E"/>
    <w:rsid w:val="00960D65"/>
    <w:rsid w:val="00960FC3"/>
    <w:rsid w:val="009622BB"/>
    <w:rsid w:val="009635DC"/>
    <w:rsid w:val="009640F4"/>
    <w:rsid w:val="009678AE"/>
    <w:rsid w:val="00970E34"/>
    <w:rsid w:val="00971039"/>
    <w:rsid w:val="00972615"/>
    <w:rsid w:val="00973D81"/>
    <w:rsid w:val="00973E91"/>
    <w:rsid w:val="00974026"/>
    <w:rsid w:val="0097403E"/>
    <w:rsid w:val="00974AF0"/>
    <w:rsid w:val="00975294"/>
    <w:rsid w:val="00977077"/>
    <w:rsid w:val="00977161"/>
    <w:rsid w:val="009776D3"/>
    <w:rsid w:val="00980229"/>
    <w:rsid w:val="00980239"/>
    <w:rsid w:val="00981B7D"/>
    <w:rsid w:val="00981C1E"/>
    <w:rsid w:val="00982555"/>
    <w:rsid w:val="00982567"/>
    <w:rsid w:val="0098262B"/>
    <w:rsid w:val="00982D96"/>
    <w:rsid w:val="0098352E"/>
    <w:rsid w:val="00984084"/>
    <w:rsid w:val="00984A4A"/>
    <w:rsid w:val="00985E66"/>
    <w:rsid w:val="00986472"/>
    <w:rsid w:val="00986F9D"/>
    <w:rsid w:val="00991386"/>
    <w:rsid w:val="00991B7B"/>
    <w:rsid w:val="009928A1"/>
    <w:rsid w:val="00992F08"/>
    <w:rsid w:val="00993115"/>
    <w:rsid w:val="0099453F"/>
    <w:rsid w:val="00995D31"/>
    <w:rsid w:val="00996686"/>
    <w:rsid w:val="0099669D"/>
    <w:rsid w:val="009970B7"/>
    <w:rsid w:val="00997595"/>
    <w:rsid w:val="00997FFD"/>
    <w:rsid w:val="009A0066"/>
    <w:rsid w:val="009A0AC7"/>
    <w:rsid w:val="009A1504"/>
    <w:rsid w:val="009A1C32"/>
    <w:rsid w:val="009A3886"/>
    <w:rsid w:val="009A3A6E"/>
    <w:rsid w:val="009A4349"/>
    <w:rsid w:val="009A62F9"/>
    <w:rsid w:val="009A65C8"/>
    <w:rsid w:val="009A7A7D"/>
    <w:rsid w:val="009B0037"/>
    <w:rsid w:val="009B0D7C"/>
    <w:rsid w:val="009B33D4"/>
    <w:rsid w:val="009B4515"/>
    <w:rsid w:val="009B4529"/>
    <w:rsid w:val="009B5449"/>
    <w:rsid w:val="009B6869"/>
    <w:rsid w:val="009B78C5"/>
    <w:rsid w:val="009C036B"/>
    <w:rsid w:val="009C1385"/>
    <w:rsid w:val="009C176C"/>
    <w:rsid w:val="009C2C35"/>
    <w:rsid w:val="009C3C79"/>
    <w:rsid w:val="009C4233"/>
    <w:rsid w:val="009C5A93"/>
    <w:rsid w:val="009C5F3D"/>
    <w:rsid w:val="009C6209"/>
    <w:rsid w:val="009C6724"/>
    <w:rsid w:val="009C6EF6"/>
    <w:rsid w:val="009C781C"/>
    <w:rsid w:val="009C79BE"/>
    <w:rsid w:val="009C7FA6"/>
    <w:rsid w:val="009D2093"/>
    <w:rsid w:val="009D2307"/>
    <w:rsid w:val="009D34B7"/>
    <w:rsid w:val="009D369D"/>
    <w:rsid w:val="009D43DD"/>
    <w:rsid w:val="009D562F"/>
    <w:rsid w:val="009D7E9B"/>
    <w:rsid w:val="009D7F85"/>
    <w:rsid w:val="009E1DB6"/>
    <w:rsid w:val="009E42BA"/>
    <w:rsid w:val="009E45FF"/>
    <w:rsid w:val="009E59CB"/>
    <w:rsid w:val="009E5A8C"/>
    <w:rsid w:val="009E6388"/>
    <w:rsid w:val="009E644F"/>
    <w:rsid w:val="009E7853"/>
    <w:rsid w:val="009E7EAC"/>
    <w:rsid w:val="009F1547"/>
    <w:rsid w:val="009F20C4"/>
    <w:rsid w:val="009F297B"/>
    <w:rsid w:val="009F2E7F"/>
    <w:rsid w:val="009F3914"/>
    <w:rsid w:val="009F4094"/>
    <w:rsid w:val="009F41F8"/>
    <w:rsid w:val="009F594D"/>
    <w:rsid w:val="00A00B82"/>
    <w:rsid w:val="00A014CD"/>
    <w:rsid w:val="00A01F8F"/>
    <w:rsid w:val="00A0206D"/>
    <w:rsid w:val="00A06FF3"/>
    <w:rsid w:val="00A0718B"/>
    <w:rsid w:val="00A0769C"/>
    <w:rsid w:val="00A07AF3"/>
    <w:rsid w:val="00A11360"/>
    <w:rsid w:val="00A12041"/>
    <w:rsid w:val="00A120F6"/>
    <w:rsid w:val="00A122CB"/>
    <w:rsid w:val="00A13711"/>
    <w:rsid w:val="00A1481A"/>
    <w:rsid w:val="00A1578B"/>
    <w:rsid w:val="00A1654E"/>
    <w:rsid w:val="00A202EB"/>
    <w:rsid w:val="00A21AC4"/>
    <w:rsid w:val="00A23135"/>
    <w:rsid w:val="00A2315C"/>
    <w:rsid w:val="00A2626F"/>
    <w:rsid w:val="00A26959"/>
    <w:rsid w:val="00A26A82"/>
    <w:rsid w:val="00A27340"/>
    <w:rsid w:val="00A27677"/>
    <w:rsid w:val="00A31144"/>
    <w:rsid w:val="00A3131A"/>
    <w:rsid w:val="00A31950"/>
    <w:rsid w:val="00A31EEC"/>
    <w:rsid w:val="00A3414C"/>
    <w:rsid w:val="00A3456C"/>
    <w:rsid w:val="00A36837"/>
    <w:rsid w:val="00A36940"/>
    <w:rsid w:val="00A376B1"/>
    <w:rsid w:val="00A37E78"/>
    <w:rsid w:val="00A4044C"/>
    <w:rsid w:val="00A4060F"/>
    <w:rsid w:val="00A40850"/>
    <w:rsid w:val="00A408BD"/>
    <w:rsid w:val="00A411E4"/>
    <w:rsid w:val="00A412A2"/>
    <w:rsid w:val="00A44973"/>
    <w:rsid w:val="00A4498E"/>
    <w:rsid w:val="00A44A85"/>
    <w:rsid w:val="00A44E1E"/>
    <w:rsid w:val="00A47937"/>
    <w:rsid w:val="00A47DA3"/>
    <w:rsid w:val="00A47DC1"/>
    <w:rsid w:val="00A50593"/>
    <w:rsid w:val="00A5147C"/>
    <w:rsid w:val="00A51D25"/>
    <w:rsid w:val="00A52B1A"/>
    <w:rsid w:val="00A53BC4"/>
    <w:rsid w:val="00A53F57"/>
    <w:rsid w:val="00A541D6"/>
    <w:rsid w:val="00A54D1B"/>
    <w:rsid w:val="00A564AF"/>
    <w:rsid w:val="00A5704C"/>
    <w:rsid w:val="00A57BA0"/>
    <w:rsid w:val="00A60143"/>
    <w:rsid w:val="00A60897"/>
    <w:rsid w:val="00A617F1"/>
    <w:rsid w:val="00A621D5"/>
    <w:rsid w:val="00A630AD"/>
    <w:rsid w:val="00A648C0"/>
    <w:rsid w:val="00A64A10"/>
    <w:rsid w:val="00A6508F"/>
    <w:rsid w:val="00A65C1D"/>
    <w:rsid w:val="00A663DA"/>
    <w:rsid w:val="00A713ED"/>
    <w:rsid w:val="00A7210B"/>
    <w:rsid w:val="00A72E52"/>
    <w:rsid w:val="00A72E9F"/>
    <w:rsid w:val="00A742C8"/>
    <w:rsid w:val="00A752ED"/>
    <w:rsid w:val="00A763FF"/>
    <w:rsid w:val="00A765D0"/>
    <w:rsid w:val="00A7676B"/>
    <w:rsid w:val="00A77732"/>
    <w:rsid w:val="00A814E1"/>
    <w:rsid w:val="00A81A2E"/>
    <w:rsid w:val="00A82879"/>
    <w:rsid w:val="00A842AA"/>
    <w:rsid w:val="00A843EB"/>
    <w:rsid w:val="00A84638"/>
    <w:rsid w:val="00A86893"/>
    <w:rsid w:val="00A86D07"/>
    <w:rsid w:val="00A87BFA"/>
    <w:rsid w:val="00A90B2F"/>
    <w:rsid w:val="00A90B83"/>
    <w:rsid w:val="00A90DB1"/>
    <w:rsid w:val="00A91174"/>
    <w:rsid w:val="00A91215"/>
    <w:rsid w:val="00A91CF1"/>
    <w:rsid w:val="00A9228B"/>
    <w:rsid w:val="00A92BCD"/>
    <w:rsid w:val="00A933AA"/>
    <w:rsid w:val="00A93FBC"/>
    <w:rsid w:val="00A95A16"/>
    <w:rsid w:val="00A95F42"/>
    <w:rsid w:val="00A96AB1"/>
    <w:rsid w:val="00A96D04"/>
    <w:rsid w:val="00A97F4E"/>
    <w:rsid w:val="00AA02F7"/>
    <w:rsid w:val="00AA0885"/>
    <w:rsid w:val="00AA0BA8"/>
    <w:rsid w:val="00AA0DE6"/>
    <w:rsid w:val="00AA0F12"/>
    <w:rsid w:val="00AA135D"/>
    <w:rsid w:val="00AA155F"/>
    <w:rsid w:val="00AA1DAB"/>
    <w:rsid w:val="00AA2816"/>
    <w:rsid w:val="00AA2CBA"/>
    <w:rsid w:val="00AA3793"/>
    <w:rsid w:val="00AA3E76"/>
    <w:rsid w:val="00AA4021"/>
    <w:rsid w:val="00AA5362"/>
    <w:rsid w:val="00AB08B2"/>
    <w:rsid w:val="00AB0F10"/>
    <w:rsid w:val="00AB41B2"/>
    <w:rsid w:val="00AB4A6F"/>
    <w:rsid w:val="00AB60A3"/>
    <w:rsid w:val="00AB7D93"/>
    <w:rsid w:val="00AB7EF9"/>
    <w:rsid w:val="00AC1348"/>
    <w:rsid w:val="00AC13DE"/>
    <w:rsid w:val="00AC25E8"/>
    <w:rsid w:val="00AC275C"/>
    <w:rsid w:val="00AC2AFF"/>
    <w:rsid w:val="00AC2D26"/>
    <w:rsid w:val="00AC2FE2"/>
    <w:rsid w:val="00AC3B90"/>
    <w:rsid w:val="00AC3DB5"/>
    <w:rsid w:val="00AC4916"/>
    <w:rsid w:val="00AC4C10"/>
    <w:rsid w:val="00AC5372"/>
    <w:rsid w:val="00AC5380"/>
    <w:rsid w:val="00AC5456"/>
    <w:rsid w:val="00AC5AF4"/>
    <w:rsid w:val="00AC5F9C"/>
    <w:rsid w:val="00AC6661"/>
    <w:rsid w:val="00AC675C"/>
    <w:rsid w:val="00AC77F3"/>
    <w:rsid w:val="00AC7FD9"/>
    <w:rsid w:val="00AD04EC"/>
    <w:rsid w:val="00AD0778"/>
    <w:rsid w:val="00AD0AE3"/>
    <w:rsid w:val="00AD1565"/>
    <w:rsid w:val="00AD37AE"/>
    <w:rsid w:val="00AD3AF1"/>
    <w:rsid w:val="00AD3B30"/>
    <w:rsid w:val="00AD5B29"/>
    <w:rsid w:val="00AD5BA0"/>
    <w:rsid w:val="00AD75FF"/>
    <w:rsid w:val="00AD77C6"/>
    <w:rsid w:val="00AD78BA"/>
    <w:rsid w:val="00AD7FE2"/>
    <w:rsid w:val="00AE197D"/>
    <w:rsid w:val="00AE1F98"/>
    <w:rsid w:val="00AE312F"/>
    <w:rsid w:val="00AE3495"/>
    <w:rsid w:val="00AE4439"/>
    <w:rsid w:val="00AE4A22"/>
    <w:rsid w:val="00AE62AA"/>
    <w:rsid w:val="00AE632A"/>
    <w:rsid w:val="00AE6AD8"/>
    <w:rsid w:val="00AE6C6A"/>
    <w:rsid w:val="00AE6F5C"/>
    <w:rsid w:val="00AE7EA5"/>
    <w:rsid w:val="00AE7EB5"/>
    <w:rsid w:val="00AF0FA8"/>
    <w:rsid w:val="00AF1341"/>
    <w:rsid w:val="00AF24DC"/>
    <w:rsid w:val="00AF2DEE"/>
    <w:rsid w:val="00AF3167"/>
    <w:rsid w:val="00AF34A8"/>
    <w:rsid w:val="00AF4094"/>
    <w:rsid w:val="00AF4CE1"/>
    <w:rsid w:val="00AF5026"/>
    <w:rsid w:val="00AF5CB7"/>
    <w:rsid w:val="00AF611C"/>
    <w:rsid w:val="00AF72C1"/>
    <w:rsid w:val="00AF767A"/>
    <w:rsid w:val="00AF7FBE"/>
    <w:rsid w:val="00B00275"/>
    <w:rsid w:val="00B0285E"/>
    <w:rsid w:val="00B03C37"/>
    <w:rsid w:val="00B048DB"/>
    <w:rsid w:val="00B05315"/>
    <w:rsid w:val="00B069EF"/>
    <w:rsid w:val="00B0768C"/>
    <w:rsid w:val="00B07D6E"/>
    <w:rsid w:val="00B12EB3"/>
    <w:rsid w:val="00B141B8"/>
    <w:rsid w:val="00B17F72"/>
    <w:rsid w:val="00B2001D"/>
    <w:rsid w:val="00B2075F"/>
    <w:rsid w:val="00B22967"/>
    <w:rsid w:val="00B25313"/>
    <w:rsid w:val="00B25985"/>
    <w:rsid w:val="00B268A6"/>
    <w:rsid w:val="00B26DBA"/>
    <w:rsid w:val="00B26E52"/>
    <w:rsid w:val="00B2735A"/>
    <w:rsid w:val="00B27D23"/>
    <w:rsid w:val="00B27F2A"/>
    <w:rsid w:val="00B30941"/>
    <w:rsid w:val="00B30F34"/>
    <w:rsid w:val="00B321B6"/>
    <w:rsid w:val="00B32C4D"/>
    <w:rsid w:val="00B33CD8"/>
    <w:rsid w:val="00B33D15"/>
    <w:rsid w:val="00B3473B"/>
    <w:rsid w:val="00B34A6B"/>
    <w:rsid w:val="00B35C79"/>
    <w:rsid w:val="00B41221"/>
    <w:rsid w:val="00B41FE2"/>
    <w:rsid w:val="00B421DD"/>
    <w:rsid w:val="00B42213"/>
    <w:rsid w:val="00B42C45"/>
    <w:rsid w:val="00B43574"/>
    <w:rsid w:val="00B44BB5"/>
    <w:rsid w:val="00B44F4D"/>
    <w:rsid w:val="00B450B2"/>
    <w:rsid w:val="00B45186"/>
    <w:rsid w:val="00B468C2"/>
    <w:rsid w:val="00B46D6B"/>
    <w:rsid w:val="00B47126"/>
    <w:rsid w:val="00B47C84"/>
    <w:rsid w:val="00B501BA"/>
    <w:rsid w:val="00B516B3"/>
    <w:rsid w:val="00B51D96"/>
    <w:rsid w:val="00B521FE"/>
    <w:rsid w:val="00B527D3"/>
    <w:rsid w:val="00B52D36"/>
    <w:rsid w:val="00B5390A"/>
    <w:rsid w:val="00B545E1"/>
    <w:rsid w:val="00B548A5"/>
    <w:rsid w:val="00B54E93"/>
    <w:rsid w:val="00B55BFE"/>
    <w:rsid w:val="00B56ABD"/>
    <w:rsid w:val="00B56CE3"/>
    <w:rsid w:val="00B56ED7"/>
    <w:rsid w:val="00B57089"/>
    <w:rsid w:val="00B60C0B"/>
    <w:rsid w:val="00B60D72"/>
    <w:rsid w:val="00B61D7D"/>
    <w:rsid w:val="00B627AD"/>
    <w:rsid w:val="00B63733"/>
    <w:rsid w:val="00B639BE"/>
    <w:rsid w:val="00B6545F"/>
    <w:rsid w:val="00B65A72"/>
    <w:rsid w:val="00B67A23"/>
    <w:rsid w:val="00B67AD9"/>
    <w:rsid w:val="00B67B7A"/>
    <w:rsid w:val="00B70EC0"/>
    <w:rsid w:val="00B71492"/>
    <w:rsid w:val="00B71C9F"/>
    <w:rsid w:val="00B734BD"/>
    <w:rsid w:val="00B73637"/>
    <w:rsid w:val="00B7386A"/>
    <w:rsid w:val="00B73B50"/>
    <w:rsid w:val="00B73D0E"/>
    <w:rsid w:val="00B748AD"/>
    <w:rsid w:val="00B74FD5"/>
    <w:rsid w:val="00B75673"/>
    <w:rsid w:val="00B80E9B"/>
    <w:rsid w:val="00B80F12"/>
    <w:rsid w:val="00B82AA5"/>
    <w:rsid w:val="00B83521"/>
    <w:rsid w:val="00B84064"/>
    <w:rsid w:val="00B8582F"/>
    <w:rsid w:val="00B864A4"/>
    <w:rsid w:val="00B86931"/>
    <w:rsid w:val="00B902A6"/>
    <w:rsid w:val="00B9123E"/>
    <w:rsid w:val="00B91586"/>
    <w:rsid w:val="00B915A2"/>
    <w:rsid w:val="00B92039"/>
    <w:rsid w:val="00B92A41"/>
    <w:rsid w:val="00B93A9B"/>
    <w:rsid w:val="00B95F9D"/>
    <w:rsid w:val="00B96BFC"/>
    <w:rsid w:val="00BA2938"/>
    <w:rsid w:val="00BA34F3"/>
    <w:rsid w:val="00BA36C8"/>
    <w:rsid w:val="00BA3BBA"/>
    <w:rsid w:val="00BA40D4"/>
    <w:rsid w:val="00BA4A16"/>
    <w:rsid w:val="00BA5999"/>
    <w:rsid w:val="00BA5ED2"/>
    <w:rsid w:val="00BA666B"/>
    <w:rsid w:val="00BB0008"/>
    <w:rsid w:val="00BB0D17"/>
    <w:rsid w:val="00BB1C4B"/>
    <w:rsid w:val="00BB1C68"/>
    <w:rsid w:val="00BB2481"/>
    <w:rsid w:val="00BB319B"/>
    <w:rsid w:val="00BB3C44"/>
    <w:rsid w:val="00BB3FA0"/>
    <w:rsid w:val="00BB4EFB"/>
    <w:rsid w:val="00BB560F"/>
    <w:rsid w:val="00BB6B1F"/>
    <w:rsid w:val="00BB75C7"/>
    <w:rsid w:val="00BC0BE0"/>
    <w:rsid w:val="00BC15E7"/>
    <w:rsid w:val="00BC1F29"/>
    <w:rsid w:val="00BC2699"/>
    <w:rsid w:val="00BC278D"/>
    <w:rsid w:val="00BC2A6A"/>
    <w:rsid w:val="00BC2AE5"/>
    <w:rsid w:val="00BC32E9"/>
    <w:rsid w:val="00BC4107"/>
    <w:rsid w:val="00BC5831"/>
    <w:rsid w:val="00BC5EBB"/>
    <w:rsid w:val="00BC7057"/>
    <w:rsid w:val="00BD12A8"/>
    <w:rsid w:val="00BD14F8"/>
    <w:rsid w:val="00BD23EE"/>
    <w:rsid w:val="00BD2459"/>
    <w:rsid w:val="00BD28EA"/>
    <w:rsid w:val="00BD2E8E"/>
    <w:rsid w:val="00BD335D"/>
    <w:rsid w:val="00BD34A7"/>
    <w:rsid w:val="00BD39D7"/>
    <w:rsid w:val="00BD3DFE"/>
    <w:rsid w:val="00BD3FB3"/>
    <w:rsid w:val="00BD4E30"/>
    <w:rsid w:val="00BD4FA1"/>
    <w:rsid w:val="00BD5554"/>
    <w:rsid w:val="00BD5BE3"/>
    <w:rsid w:val="00BD6A57"/>
    <w:rsid w:val="00BD6DE7"/>
    <w:rsid w:val="00BD7789"/>
    <w:rsid w:val="00BD7E1E"/>
    <w:rsid w:val="00BE0B59"/>
    <w:rsid w:val="00BE107D"/>
    <w:rsid w:val="00BE12B8"/>
    <w:rsid w:val="00BE1E2D"/>
    <w:rsid w:val="00BE255F"/>
    <w:rsid w:val="00BE48B2"/>
    <w:rsid w:val="00BE67AC"/>
    <w:rsid w:val="00BE737E"/>
    <w:rsid w:val="00BF0109"/>
    <w:rsid w:val="00BF1576"/>
    <w:rsid w:val="00BF1870"/>
    <w:rsid w:val="00BF22CB"/>
    <w:rsid w:val="00BF2769"/>
    <w:rsid w:val="00BF27A3"/>
    <w:rsid w:val="00BF3106"/>
    <w:rsid w:val="00BF43B3"/>
    <w:rsid w:val="00BF4D14"/>
    <w:rsid w:val="00BF735B"/>
    <w:rsid w:val="00C02624"/>
    <w:rsid w:val="00C033D1"/>
    <w:rsid w:val="00C045FF"/>
    <w:rsid w:val="00C06ADD"/>
    <w:rsid w:val="00C06E24"/>
    <w:rsid w:val="00C070AC"/>
    <w:rsid w:val="00C0739D"/>
    <w:rsid w:val="00C07C1E"/>
    <w:rsid w:val="00C102D4"/>
    <w:rsid w:val="00C11751"/>
    <w:rsid w:val="00C117E2"/>
    <w:rsid w:val="00C11A42"/>
    <w:rsid w:val="00C12209"/>
    <w:rsid w:val="00C12301"/>
    <w:rsid w:val="00C124D4"/>
    <w:rsid w:val="00C12B9C"/>
    <w:rsid w:val="00C13271"/>
    <w:rsid w:val="00C14707"/>
    <w:rsid w:val="00C15FF8"/>
    <w:rsid w:val="00C16594"/>
    <w:rsid w:val="00C220DD"/>
    <w:rsid w:val="00C22B06"/>
    <w:rsid w:val="00C22EB8"/>
    <w:rsid w:val="00C237D9"/>
    <w:rsid w:val="00C23E48"/>
    <w:rsid w:val="00C258ED"/>
    <w:rsid w:val="00C267F6"/>
    <w:rsid w:val="00C26911"/>
    <w:rsid w:val="00C26F14"/>
    <w:rsid w:val="00C270CA"/>
    <w:rsid w:val="00C30A98"/>
    <w:rsid w:val="00C30AEF"/>
    <w:rsid w:val="00C31B50"/>
    <w:rsid w:val="00C31E08"/>
    <w:rsid w:val="00C32A13"/>
    <w:rsid w:val="00C33B36"/>
    <w:rsid w:val="00C33E4B"/>
    <w:rsid w:val="00C342DC"/>
    <w:rsid w:val="00C345F5"/>
    <w:rsid w:val="00C35321"/>
    <w:rsid w:val="00C36288"/>
    <w:rsid w:val="00C370FA"/>
    <w:rsid w:val="00C37EC2"/>
    <w:rsid w:val="00C4025B"/>
    <w:rsid w:val="00C40C80"/>
    <w:rsid w:val="00C40DA4"/>
    <w:rsid w:val="00C40DD0"/>
    <w:rsid w:val="00C416FC"/>
    <w:rsid w:val="00C419DB"/>
    <w:rsid w:val="00C41EF7"/>
    <w:rsid w:val="00C4554A"/>
    <w:rsid w:val="00C45957"/>
    <w:rsid w:val="00C46DCB"/>
    <w:rsid w:val="00C50DAF"/>
    <w:rsid w:val="00C51886"/>
    <w:rsid w:val="00C5338F"/>
    <w:rsid w:val="00C53833"/>
    <w:rsid w:val="00C54AC8"/>
    <w:rsid w:val="00C54CA5"/>
    <w:rsid w:val="00C55B97"/>
    <w:rsid w:val="00C5755D"/>
    <w:rsid w:val="00C6045F"/>
    <w:rsid w:val="00C6235F"/>
    <w:rsid w:val="00C62DCB"/>
    <w:rsid w:val="00C6529F"/>
    <w:rsid w:val="00C66276"/>
    <w:rsid w:val="00C66330"/>
    <w:rsid w:val="00C67418"/>
    <w:rsid w:val="00C67609"/>
    <w:rsid w:val="00C67CC9"/>
    <w:rsid w:val="00C70380"/>
    <w:rsid w:val="00C71459"/>
    <w:rsid w:val="00C73390"/>
    <w:rsid w:val="00C73FEB"/>
    <w:rsid w:val="00C74645"/>
    <w:rsid w:val="00C749A0"/>
    <w:rsid w:val="00C74AEF"/>
    <w:rsid w:val="00C75B67"/>
    <w:rsid w:val="00C76524"/>
    <w:rsid w:val="00C76992"/>
    <w:rsid w:val="00C77694"/>
    <w:rsid w:val="00C800FD"/>
    <w:rsid w:val="00C83826"/>
    <w:rsid w:val="00C842D3"/>
    <w:rsid w:val="00C85120"/>
    <w:rsid w:val="00C8533F"/>
    <w:rsid w:val="00C85FA5"/>
    <w:rsid w:val="00C860D6"/>
    <w:rsid w:val="00C90437"/>
    <w:rsid w:val="00C90469"/>
    <w:rsid w:val="00C915C8"/>
    <w:rsid w:val="00C91E2E"/>
    <w:rsid w:val="00C920F8"/>
    <w:rsid w:val="00C92C5A"/>
    <w:rsid w:val="00C92D3A"/>
    <w:rsid w:val="00C92DF6"/>
    <w:rsid w:val="00C94A35"/>
    <w:rsid w:val="00C94C60"/>
    <w:rsid w:val="00C953A9"/>
    <w:rsid w:val="00C96F4B"/>
    <w:rsid w:val="00C97997"/>
    <w:rsid w:val="00C97EA8"/>
    <w:rsid w:val="00CA1DE5"/>
    <w:rsid w:val="00CA2856"/>
    <w:rsid w:val="00CA2E43"/>
    <w:rsid w:val="00CA3599"/>
    <w:rsid w:val="00CA4E84"/>
    <w:rsid w:val="00CA5027"/>
    <w:rsid w:val="00CA5A61"/>
    <w:rsid w:val="00CB103F"/>
    <w:rsid w:val="00CB2979"/>
    <w:rsid w:val="00CB3E56"/>
    <w:rsid w:val="00CB3EF3"/>
    <w:rsid w:val="00CB47A9"/>
    <w:rsid w:val="00CB5F11"/>
    <w:rsid w:val="00CB68EA"/>
    <w:rsid w:val="00CB6923"/>
    <w:rsid w:val="00CB6C0B"/>
    <w:rsid w:val="00CB70C0"/>
    <w:rsid w:val="00CB7336"/>
    <w:rsid w:val="00CC096E"/>
    <w:rsid w:val="00CC1A0B"/>
    <w:rsid w:val="00CC2397"/>
    <w:rsid w:val="00CC27C0"/>
    <w:rsid w:val="00CC29C1"/>
    <w:rsid w:val="00CC350D"/>
    <w:rsid w:val="00CC3B30"/>
    <w:rsid w:val="00CC3D71"/>
    <w:rsid w:val="00CC3E25"/>
    <w:rsid w:val="00CC7A36"/>
    <w:rsid w:val="00CD0FE0"/>
    <w:rsid w:val="00CD29FC"/>
    <w:rsid w:val="00CD2E4A"/>
    <w:rsid w:val="00CD33A9"/>
    <w:rsid w:val="00CD45C3"/>
    <w:rsid w:val="00CD66C8"/>
    <w:rsid w:val="00CD6F4A"/>
    <w:rsid w:val="00CD7772"/>
    <w:rsid w:val="00CE0175"/>
    <w:rsid w:val="00CE01CC"/>
    <w:rsid w:val="00CE0233"/>
    <w:rsid w:val="00CE0C10"/>
    <w:rsid w:val="00CE0E01"/>
    <w:rsid w:val="00CE1986"/>
    <w:rsid w:val="00CE2F16"/>
    <w:rsid w:val="00CE2FAE"/>
    <w:rsid w:val="00CE312A"/>
    <w:rsid w:val="00CE3B6B"/>
    <w:rsid w:val="00CE3EAF"/>
    <w:rsid w:val="00CE5286"/>
    <w:rsid w:val="00CE536F"/>
    <w:rsid w:val="00CE6F68"/>
    <w:rsid w:val="00CE7626"/>
    <w:rsid w:val="00CF04AC"/>
    <w:rsid w:val="00CF12DE"/>
    <w:rsid w:val="00CF1B8A"/>
    <w:rsid w:val="00CF206A"/>
    <w:rsid w:val="00CF5898"/>
    <w:rsid w:val="00CF612E"/>
    <w:rsid w:val="00CF79B8"/>
    <w:rsid w:val="00CF7FB5"/>
    <w:rsid w:val="00D0009E"/>
    <w:rsid w:val="00D01DEE"/>
    <w:rsid w:val="00D03779"/>
    <w:rsid w:val="00D03EDA"/>
    <w:rsid w:val="00D04C80"/>
    <w:rsid w:val="00D05CC2"/>
    <w:rsid w:val="00D05E73"/>
    <w:rsid w:val="00D0642D"/>
    <w:rsid w:val="00D06560"/>
    <w:rsid w:val="00D06C11"/>
    <w:rsid w:val="00D06D61"/>
    <w:rsid w:val="00D07424"/>
    <w:rsid w:val="00D1090C"/>
    <w:rsid w:val="00D12D71"/>
    <w:rsid w:val="00D13770"/>
    <w:rsid w:val="00D13B7C"/>
    <w:rsid w:val="00D13D23"/>
    <w:rsid w:val="00D15533"/>
    <w:rsid w:val="00D161F9"/>
    <w:rsid w:val="00D163A6"/>
    <w:rsid w:val="00D1663C"/>
    <w:rsid w:val="00D17367"/>
    <w:rsid w:val="00D175E5"/>
    <w:rsid w:val="00D17692"/>
    <w:rsid w:val="00D20381"/>
    <w:rsid w:val="00D21046"/>
    <w:rsid w:val="00D233FD"/>
    <w:rsid w:val="00D23484"/>
    <w:rsid w:val="00D24BDC"/>
    <w:rsid w:val="00D24DC9"/>
    <w:rsid w:val="00D250D3"/>
    <w:rsid w:val="00D260F9"/>
    <w:rsid w:val="00D26ACA"/>
    <w:rsid w:val="00D27420"/>
    <w:rsid w:val="00D2791E"/>
    <w:rsid w:val="00D2795D"/>
    <w:rsid w:val="00D31488"/>
    <w:rsid w:val="00D31FBD"/>
    <w:rsid w:val="00D32AD7"/>
    <w:rsid w:val="00D32FC0"/>
    <w:rsid w:val="00D3363D"/>
    <w:rsid w:val="00D33661"/>
    <w:rsid w:val="00D33664"/>
    <w:rsid w:val="00D33CF5"/>
    <w:rsid w:val="00D34543"/>
    <w:rsid w:val="00D34C59"/>
    <w:rsid w:val="00D35655"/>
    <w:rsid w:val="00D35718"/>
    <w:rsid w:val="00D37064"/>
    <w:rsid w:val="00D37F91"/>
    <w:rsid w:val="00D40016"/>
    <w:rsid w:val="00D4007A"/>
    <w:rsid w:val="00D40831"/>
    <w:rsid w:val="00D40C00"/>
    <w:rsid w:val="00D42185"/>
    <w:rsid w:val="00D42A7B"/>
    <w:rsid w:val="00D43876"/>
    <w:rsid w:val="00D43A99"/>
    <w:rsid w:val="00D43E70"/>
    <w:rsid w:val="00D454EA"/>
    <w:rsid w:val="00D45BF5"/>
    <w:rsid w:val="00D469DB"/>
    <w:rsid w:val="00D46A46"/>
    <w:rsid w:val="00D47163"/>
    <w:rsid w:val="00D4745F"/>
    <w:rsid w:val="00D474FC"/>
    <w:rsid w:val="00D50104"/>
    <w:rsid w:val="00D509F7"/>
    <w:rsid w:val="00D51A78"/>
    <w:rsid w:val="00D51C84"/>
    <w:rsid w:val="00D51E94"/>
    <w:rsid w:val="00D5243D"/>
    <w:rsid w:val="00D54910"/>
    <w:rsid w:val="00D55D30"/>
    <w:rsid w:val="00D579EF"/>
    <w:rsid w:val="00D57CA3"/>
    <w:rsid w:val="00D60AFD"/>
    <w:rsid w:val="00D60EA2"/>
    <w:rsid w:val="00D61F3D"/>
    <w:rsid w:val="00D62376"/>
    <w:rsid w:val="00D62B0A"/>
    <w:rsid w:val="00D62EEB"/>
    <w:rsid w:val="00D64A67"/>
    <w:rsid w:val="00D65F50"/>
    <w:rsid w:val="00D66901"/>
    <w:rsid w:val="00D66E5B"/>
    <w:rsid w:val="00D66E84"/>
    <w:rsid w:val="00D67414"/>
    <w:rsid w:val="00D675F7"/>
    <w:rsid w:val="00D72CAA"/>
    <w:rsid w:val="00D72FE8"/>
    <w:rsid w:val="00D73BF1"/>
    <w:rsid w:val="00D740ED"/>
    <w:rsid w:val="00D742C4"/>
    <w:rsid w:val="00D74ABF"/>
    <w:rsid w:val="00D75E2C"/>
    <w:rsid w:val="00D760EC"/>
    <w:rsid w:val="00D76C90"/>
    <w:rsid w:val="00D76F4C"/>
    <w:rsid w:val="00D776CF"/>
    <w:rsid w:val="00D77C9B"/>
    <w:rsid w:val="00D80907"/>
    <w:rsid w:val="00D818AF"/>
    <w:rsid w:val="00D82A75"/>
    <w:rsid w:val="00D82B0F"/>
    <w:rsid w:val="00D83FE5"/>
    <w:rsid w:val="00D84290"/>
    <w:rsid w:val="00D85122"/>
    <w:rsid w:val="00D86B43"/>
    <w:rsid w:val="00D87EAA"/>
    <w:rsid w:val="00D87EAD"/>
    <w:rsid w:val="00D905E7"/>
    <w:rsid w:val="00D90708"/>
    <w:rsid w:val="00D90F35"/>
    <w:rsid w:val="00D912A2"/>
    <w:rsid w:val="00D9231C"/>
    <w:rsid w:val="00D92862"/>
    <w:rsid w:val="00D92EDA"/>
    <w:rsid w:val="00D92F07"/>
    <w:rsid w:val="00D945CF"/>
    <w:rsid w:val="00D947B2"/>
    <w:rsid w:val="00D95A70"/>
    <w:rsid w:val="00D95CAC"/>
    <w:rsid w:val="00D96414"/>
    <w:rsid w:val="00D96720"/>
    <w:rsid w:val="00DA1658"/>
    <w:rsid w:val="00DA32EA"/>
    <w:rsid w:val="00DA3FF0"/>
    <w:rsid w:val="00DA447E"/>
    <w:rsid w:val="00DA4BEB"/>
    <w:rsid w:val="00DA529B"/>
    <w:rsid w:val="00DA5BEA"/>
    <w:rsid w:val="00DA641E"/>
    <w:rsid w:val="00DA6657"/>
    <w:rsid w:val="00DA6A7F"/>
    <w:rsid w:val="00DA7F1D"/>
    <w:rsid w:val="00DB0DB0"/>
    <w:rsid w:val="00DB23A7"/>
    <w:rsid w:val="00DB2BFE"/>
    <w:rsid w:val="00DB3358"/>
    <w:rsid w:val="00DB3891"/>
    <w:rsid w:val="00DB38C4"/>
    <w:rsid w:val="00DB41DC"/>
    <w:rsid w:val="00DB42B7"/>
    <w:rsid w:val="00DB4D06"/>
    <w:rsid w:val="00DB56D9"/>
    <w:rsid w:val="00DB612E"/>
    <w:rsid w:val="00DB72F0"/>
    <w:rsid w:val="00DB7694"/>
    <w:rsid w:val="00DB7E6A"/>
    <w:rsid w:val="00DC03A7"/>
    <w:rsid w:val="00DC0A91"/>
    <w:rsid w:val="00DC1746"/>
    <w:rsid w:val="00DC1C6D"/>
    <w:rsid w:val="00DC2AD6"/>
    <w:rsid w:val="00DC350E"/>
    <w:rsid w:val="00DC46AB"/>
    <w:rsid w:val="00DC4DD5"/>
    <w:rsid w:val="00DC5DFE"/>
    <w:rsid w:val="00DC6339"/>
    <w:rsid w:val="00DD0666"/>
    <w:rsid w:val="00DD1226"/>
    <w:rsid w:val="00DD136C"/>
    <w:rsid w:val="00DD33E1"/>
    <w:rsid w:val="00DD36A5"/>
    <w:rsid w:val="00DD36B7"/>
    <w:rsid w:val="00DD4672"/>
    <w:rsid w:val="00DD6129"/>
    <w:rsid w:val="00DD616C"/>
    <w:rsid w:val="00DD66EB"/>
    <w:rsid w:val="00DD75D8"/>
    <w:rsid w:val="00DD7D95"/>
    <w:rsid w:val="00DE0148"/>
    <w:rsid w:val="00DE0BC2"/>
    <w:rsid w:val="00DE23B7"/>
    <w:rsid w:val="00DE294E"/>
    <w:rsid w:val="00DE36B1"/>
    <w:rsid w:val="00DF1677"/>
    <w:rsid w:val="00DF1D19"/>
    <w:rsid w:val="00DF1E1B"/>
    <w:rsid w:val="00DF24F2"/>
    <w:rsid w:val="00DF2512"/>
    <w:rsid w:val="00DF3E29"/>
    <w:rsid w:val="00DF4F2A"/>
    <w:rsid w:val="00DF52DB"/>
    <w:rsid w:val="00DF5C26"/>
    <w:rsid w:val="00DF5F58"/>
    <w:rsid w:val="00DF649F"/>
    <w:rsid w:val="00DF753A"/>
    <w:rsid w:val="00DF7BAB"/>
    <w:rsid w:val="00E0227F"/>
    <w:rsid w:val="00E024EE"/>
    <w:rsid w:val="00E03023"/>
    <w:rsid w:val="00E03443"/>
    <w:rsid w:val="00E03593"/>
    <w:rsid w:val="00E06034"/>
    <w:rsid w:val="00E07192"/>
    <w:rsid w:val="00E07BC7"/>
    <w:rsid w:val="00E10B6C"/>
    <w:rsid w:val="00E10DF8"/>
    <w:rsid w:val="00E1118C"/>
    <w:rsid w:val="00E11738"/>
    <w:rsid w:val="00E123D2"/>
    <w:rsid w:val="00E12F68"/>
    <w:rsid w:val="00E1426C"/>
    <w:rsid w:val="00E14A95"/>
    <w:rsid w:val="00E15397"/>
    <w:rsid w:val="00E1602F"/>
    <w:rsid w:val="00E1633C"/>
    <w:rsid w:val="00E16DA5"/>
    <w:rsid w:val="00E17CAC"/>
    <w:rsid w:val="00E22A75"/>
    <w:rsid w:val="00E22B1F"/>
    <w:rsid w:val="00E2311A"/>
    <w:rsid w:val="00E2414F"/>
    <w:rsid w:val="00E25456"/>
    <w:rsid w:val="00E275BA"/>
    <w:rsid w:val="00E278C2"/>
    <w:rsid w:val="00E27CB3"/>
    <w:rsid w:val="00E31284"/>
    <w:rsid w:val="00E32162"/>
    <w:rsid w:val="00E32163"/>
    <w:rsid w:val="00E326DD"/>
    <w:rsid w:val="00E374D7"/>
    <w:rsid w:val="00E37B02"/>
    <w:rsid w:val="00E37E63"/>
    <w:rsid w:val="00E37FE7"/>
    <w:rsid w:val="00E40164"/>
    <w:rsid w:val="00E40BF7"/>
    <w:rsid w:val="00E41C9F"/>
    <w:rsid w:val="00E430C3"/>
    <w:rsid w:val="00E43129"/>
    <w:rsid w:val="00E43BAF"/>
    <w:rsid w:val="00E44191"/>
    <w:rsid w:val="00E45090"/>
    <w:rsid w:val="00E45822"/>
    <w:rsid w:val="00E45F49"/>
    <w:rsid w:val="00E46E48"/>
    <w:rsid w:val="00E4723F"/>
    <w:rsid w:val="00E47389"/>
    <w:rsid w:val="00E50113"/>
    <w:rsid w:val="00E5029B"/>
    <w:rsid w:val="00E50957"/>
    <w:rsid w:val="00E524F9"/>
    <w:rsid w:val="00E52A92"/>
    <w:rsid w:val="00E533C1"/>
    <w:rsid w:val="00E53490"/>
    <w:rsid w:val="00E54C7D"/>
    <w:rsid w:val="00E54FF1"/>
    <w:rsid w:val="00E5673E"/>
    <w:rsid w:val="00E60AFA"/>
    <w:rsid w:val="00E62CCC"/>
    <w:rsid w:val="00E64024"/>
    <w:rsid w:val="00E6504C"/>
    <w:rsid w:val="00E65B27"/>
    <w:rsid w:val="00E66B5A"/>
    <w:rsid w:val="00E67E6E"/>
    <w:rsid w:val="00E67EA5"/>
    <w:rsid w:val="00E707D1"/>
    <w:rsid w:val="00E70A50"/>
    <w:rsid w:val="00E71658"/>
    <w:rsid w:val="00E71AD6"/>
    <w:rsid w:val="00E723A5"/>
    <w:rsid w:val="00E728A0"/>
    <w:rsid w:val="00E729F3"/>
    <w:rsid w:val="00E72C42"/>
    <w:rsid w:val="00E74C7C"/>
    <w:rsid w:val="00E75345"/>
    <w:rsid w:val="00E75578"/>
    <w:rsid w:val="00E76842"/>
    <w:rsid w:val="00E76DEA"/>
    <w:rsid w:val="00E7786B"/>
    <w:rsid w:val="00E803BC"/>
    <w:rsid w:val="00E81FED"/>
    <w:rsid w:val="00E8295A"/>
    <w:rsid w:val="00E82BBD"/>
    <w:rsid w:val="00E8324F"/>
    <w:rsid w:val="00E84092"/>
    <w:rsid w:val="00E849C8"/>
    <w:rsid w:val="00E84FDD"/>
    <w:rsid w:val="00E85975"/>
    <w:rsid w:val="00E85F91"/>
    <w:rsid w:val="00E86D22"/>
    <w:rsid w:val="00E90A5E"/>
    <w:rsid w:val="00E90C7D"/>
    <w:rsid w:val="00E91111"/>
    <w:rsid w:val="00E9139A"/>
    <w:rsid w:val="00E9153D"/>
    <w:rsid w:val="00E91D18"/>
    <w:rsid w:val="00E9304F"/>
    <w:rsid w:val="00E9615A"/>
    <w:rsid w:val="00E96892"/>
    <w:rsid w:val="00E9792B"/>
    <w:rsid w:val="00E97AE9"/>
    <w:rsid w:val="00EA067A"/>
    <w:rsid w:val="00EA17EF"/>
    <w:rsid w:val="00EA1BFC"/>
    <w:rsid w:val="00EA21ED"/>
    <w:rsid w:val="00EA2C5A"/>
    <w:rsid w:val="00EA3795"/>
    <w:rsid w:val="00EA44A1"/>
    <w:rsid w:val="00EA5765"/>
    <w:rsid w:val="00EA644E"/>
    <w:rsid w:val="00EA73A6"/>
    <w:rsid w:val="00EB007E"/>
    <w:rsid w:val="00EB19C4"/>
    <w:rsid w:val="00EB19CC"/>
    <w:rsid w:val="00EB2962"/>
    <w:rsid w:val="00EB2FAE"/>
    <w:rsid w:val="00EB384E"/>
    <w:rsid w:val="00EB3A3E"/>
    <w:rsid w:val="00EB3B12"/>
    <w:rsid w:val="00EB406E"/>
    <w:rsid w:val="00EB44C2"/>
    <w:rsid w:val="00EB4BAB"/>
    <w:rsid w:val="00EB696B"/>
    <w:rsid w:val="00EB7095"/>
    <w:rsid w:val="00EB7811"/>
    <w:rsid w:val="00EB78D2"/>
    <w:rsid w:val="00EC0604"/>
    <w:rsid w:val="00EC2D7D"/>
    <w:rsid w:val="00EC3031"/>
    <w:rsid w:val="00EC3B60"/>
    <w:rsid w:val="00EC4564"/>
    <w:rsid w:val="00EC5370"/>
    <w:rsid w:val="00EC5C7B"/>
    <w:rsid w:val="00EC6166"/>
    <w:rsid w:val="00EC67EB"/>
    <w:rsid w:val="00EC6D4B"/>
    <w:rsid w:val="00EC6D94"/>
    <w:rsid w:val="00EC6F13"/>
    <w:rsid w:val="00EC7284"/>
    <w:rsid w:val="00EC7CF6"/>
    <w:rsid w:val="00ECB549"/>
    <w:rsid w:val="00ED0C71"/>
    <w:rsid w:val="00ED17D6"/>
    <w:rsid w:val="00ED304C"/>
    <w:rsid w:val="00ED4085"/>
    <w:rsid w:val="00ED42F9"/>
    <w:rsid w:val="00ED4C8D"/>
    <w:rsid w:val="00ED76BD"/>
    <w:rsid w:val="00ED77B9"/>
    <w:rsid w:val="00ED7868"/>
    <w:rsid w:val="00EE2468"/>
    <w:rsid w:val="00EE4F28"/>
    <w:rsid w:val="00EE730E"/>
    <w:rsid w:val="00EE7436"/>
    <w:rsid w:val="00EF02B9"/>
    <w:rsid w:val="00EF068F"/>
    <w:rsid w:val="00EF0830"/>
    <w:rsid w:val="00EF0E68"/>
    <w:rsid w:val="00EF1214"/>
    <w:rsid w:val="00EF1D16"/>
    <w:rsid w:val="00EF21F7"/>
    <w:rsid w:val="00EF2797"/>
    <w:rsid w:val="00EF2D9A"/>
    <w:rsid w:val="00EF3558"/>
    <w:rsid w:val="00EF3D1B"/>
    <w:rsid w:val="00EF5D20"/>
    <w:rsid w:val="00EF724E"/>
    <w:rsid w:val="00EF79A6"/>
    <w:rsid w:val="00EF7BE3"/>
    <w:rsid w:val="00EF7DC1"/>
    <w:rsid w:val="00F002BA"/>
    <w:rsid w:val="00F01849"/>
    <w:rsid w:val="00F029DB"/>
    <w:rsid w:val="00F03D01"/>
    <w:rsid w:val="00F049B8"/>
    <w:rsid w:val="00F05C69"/>
    <w:rsid w:val="00F05DFC"/>
    <w:rsid w:val="00F06F02"/>
    <w:rsid w:val="00F070B3"/>
    <w:rsid w:val="00F07F46"/>
    <w:rsid w:val="00F1128C"/>
    <w:rsid w:val="00F1168E"/>
    <w:rsid w:val="00F116CC"/>
    <w:rsid w:val="00F117E0"/>
    <w:rsid w:val="00F1187A"/>
    <w:rsid w:val="00F11EBD"/>
    <w:rsid w:val="00F1213D"/>
    <w:rsid w:val="00F1332F"/>
    <w:rsid w:val="00F134F5"/>
    <w:rsid w:val="00F14535"/>
    <w:rsid w:val="00F1518B"/>
    <w:rsid w:val="00F151AC"/>
    <w:rsid w:val="00F15F20"/>
    <w:rsid w:val="00F16B11"/>
    <w:rsid w:val="00F173D8"/>
    <w:rsid w:val="00F17C3D"/>
    <w:rsid w:val="00F21757"/>
    <w:rsid w:val="00F22D0D"/>
    <w:rsid w:val="00F2358E"/>
    <w:rsid w:val="00F23E15"/>
    <w:rsid w:val="00F244FA"/>
    <w:rsid w:val="00F26EB8"/>
    <w:rsid w:val="00F270A3"/>
    <w:rsid w:val="00F30232"/>
    <w:rsid w:val="00F31E4A"/>
    <w:rsid w:val="00F360C8"/>
    <w:rsid w:val="00F36849"/>
    <w:rsid w:val="00F377B0"/>
    <w:rsid w:val="00F377D0"/>
    <w:rsid w:val="00F37AD3"/>
    <w:rsid w:val="00F42948"/>
    <w:rsid w:val="00F429A6"/>
    <w:rsid w:val="00F42C7E"/>
    <w:rsid w:val="00F43AAC"/>
    <w:rsid w:val="00F44538"/>
    <w:rsid w:val="00F46F10"/>
    <w:rsid w:val="00F4752A"/>
    <w:rsid w:val="00F500EE"/>
    <w:rsid w:val="00F50E5A"/>
    <w:rsid w:val="00F51221"/>
    <w:rsid w:val="00F5523D"/>
    <w:rsid w:val="00F5572D"/>
    <w:rsid w:val="00F55A3D"/>
    <w:rsid w:val="00F566B9"/>
    <w:rsid w:val="00F567EB"/>
    <w:rsid w:val="00F5765B"/>
    <w:rsid w:val="00F57779"/>
    <w:rsid w:val="00F60468"/>
    <w:rsid w:val="00F60BBF"/>
    <w:rsid w:val="00F650BA"/>
    <w:rsid w:val="00F65455"/>
    <w:rsid w:val="00F65497"/>
    <w:rsid w:val="00F66CAF"/>
    <w:rsid w:val="00F70D8B"/>
    <w:rsid w:val="00F716FF"/>
    <w:rsid w:val="00F72532"/>
    <w:rsid w:val="00F73953"/>
    <w:rsid w:val="00F739EF"/>
    <w:rsid w:val="00F73D93"/>
    <w:rsid w:val="00F742A1"/>
    <w:rsid w:val="00F76A9A"/>
    <w:rsid w:val="00F76B64"/>
    <w:rsid w:val="00F76E8F"/>
    <w:rsid w:val="00F80214"/>
    <w:rsid w:val="00F80372"/>
    <w:rsid w:val="00F80499"/>
    <w:rsid w:val="00F806B6"/>
    <w:rsid w:val="00F817CB"/>
    <w:rsid w:val="00F81E53"/>
    <w:rsid w:val="00F81E5D"/>
    <w:rsid w:val="00F8272F"/>
    <w:rsid w:val="00F82F2F"/>
    <w:rsid w:val="00F83413"/>
    <w:rsid w:val="00F83F0E"/>
    <w:rsid w:val="00F84979"/>
    <w:rsid w:val="00F851FE"/>
    <w:rsid w:val="00F866B6"/>
    <w:rsid w:val="00F875CA"/>
    <w:rsid w:val="00F9087C"/>
    <w:rsid w:val="00F90F19"/>
    <w:rsid w:val="00F917EC"/>
    <w:rsid w:val="00F91E1D"/>
    <w:rsid w:val="00F927B9"/>
    <w:rsid w:val="00F93B9F"/>
    <w:rsid w:val="00F94D63"/>
    <w:rsid w:val="00F96A8F"/>
    <w:rsid w:val="00F97356"/>
    <w:rsid w:val="00F97C19"/>
    <w:rsid w:val="00FA01FF"/>
    <w:rsid w:val="00FA1BEC"/>
    <w:rsid w:val="00FA1D8D"/>
    <w:rsid w:val="00FA24C1"/>
    <w:rsid w:val="00FA3DEC"/>
    <w:rsid w:val="00FA4321"/>
    <w:rsid w:val="00FA59CD"/>
    <w:rsid w:val="00FA5A8A"/>
    <w:rsid w:val="00FA7365"/>
    <w:rsid w:val="00FB0B16"/>
    <w:rsid w:val="00FB21EB"/>
    <w:rsid w:val="00FB2B47"/>
    <w:rsid w:val="00FB2F28"/>
    <w:rsid w:val="00FB3812"/>
    <w:rsid w:val="00FB61B2"/>
    <w:rsid w:val="00FB6DF8"/>
    <w:rsid w:val="00FB6E6C"/>
    <w:rsid w:val="00FB7972"/>
    <w:rsid w:val="00FB7AF0"/>
    <w:rsid w:val="00FC08CA"/>
    <w:rsid w:val="00FC0A9D"/>
    <w:rsid w:val="00FC1F49"/>
    <w:rsid w:val="00FC1FB4"/>
    <w:rsid w:val="00FC38F8"/>
    <w:rsid w:val="00FC3BC4"/>
    <w:rsid w:val="00FC3ED7"/>
    <w:rsid w:val="00FC553A"/>
    <w:rsid w:val="00FC6CB1"/>
    <w:rsid w:val="00FC6D2A"/>
    <w:rsid w:val="00FC6F69"/>
    <w:rsid w:val="00FC7D5B"/>
    <w:rsid w:val="00FD1C63"/>
    <w:rsid w:val="00FD1D07"/>
    <w:rsid w:val="00FD1D34"/>
    <w:rsid w:val="00FD2181"/>
    <w:rsid w:val="00FD3F50"/>
    <w:rsid w:val="00FD45E4"/>
    <w:rsid w:val="00FD4D34"/>
    <w:rsid w:val="00FD57F3"/>
    <w:rsid w:val="00FD5D47"/>
    <w:rsid w:val="00FD60BA"/>
    <w:rsid w:val="00FD659A"/>
    <w:rsid w:val="00FD65BA"/>
    <w:rsid w:val="00FD79F5"/>
    <w:rsid w:val="00FE09E4"/>
    <w:rsid w:val="00FE507B"/>
    <w:rsid w:val="00FE5447"/>
    <w:rsid w:val="00FE5700"/>
    <w:rsid w:val="00FF009C"/>
    <w:rsid w:val="00FF01D6"/>
    <w:rsid w:val="00FF0557"/>
    <w:rsid w:val="00FF0F0C"/>
    <w:rsid w:val="00FF1BF2"/>
    <w:rsid w:val="00FF28C3"/>
    <w:rsid w:val="00FF2D1A"/>
    <w:rsid w:val="00FF33E6"/>
    <w:rsid w:val="00FF60AC"/>
    <w:rsid w:val="00FF7040"/>
    <w:rsid w:val="00FF716F"/>
    <w:rsid w:val="00FF7C5D"/>
    <w:rsid w:val="012B69F0"/>
    <w:rsid w:val="01BD6ADB"/>
    <w:rsid w:val="02170852"/>
    <w:rsid w:val="03BEE26C"/>
    <w:rsid w:val="042EE66A"/>
    <w:rsid w:val="049EA801"/>
    <w:rsid w:val="052A674F"/>
    <w:rsid w:val="056C2AA6"/>
    <w:rsid w:val="05BA9C42"/>
    <w:rsid w:val="05D4984A"/>
    <w:rsid w:val="0605F201"/>
    <w:rsid w:val="060C4BF0"/>
    <w:rsid w:val="0642BEFC"/>
    <w:rsid w:val="0669D2C9"/>
    <w:rsid w:val="06755C16"/>
    <w:rsid w:val="06A81265"/>
    <w:rsid w:val="06AB6C22"/>
    <w:rsid w:val="06B62AA1"/>
    <w:rsid w:val="06D3AD56"/>
    <w:rsid w:val="0748050A"/>
    <w:rsid w:val="075F3778"/>
    <w:rsid w:val="07634CA0"/>
    <w:rsid w:val="0875EF50"/>
    <w:rsid w:val="08B84F79"/>
    <w:rsid w:val="08F490DC"/>
    <w:rsid w:val="09549AEC"/>
    <w:rsid w:val="0996FE0E"/>
    <w:rsid w:val="09DDB2E8"/>
    <w:rsid w:val="0A324BF9"/>
    <w:rsid w:val="0A803269"/>
    <w:rsid w:val="0AA3168F"/>
    <w:rsid w:val="0B05FBFF"/>
    <w:rsid w:val="0BE4C9CA"/>
    <w:rsid w:val="0BFD399B"/>
    <w:rsid w:val="0C08C97E"/>
    <w:rsid w:val="0C0D12FD"/>
    <w:rsid w:val="0C14B892"/>
    <w:rsid w:val="0C4B2363"/>
    <w:rsid w:val="0C98196D"/>
    <w:rsid w:val="0CD0828B"/>
    <w:rsid w:val="0CD2208D"/>
    <w:rsid w:val="0D60023B"/>
    <w:rsid w:val="0DF86AAC"/>
    <w:rsid w:val="0E1A2B37"/>
    <w:rsid w:val="0E5EB6A8"/>
    <w:rsid w:val="0E61B89A"/>
    <w:rsid w:val="0EEACA96"/>
    <w:rsid w:val="0F3A6D70"/>
    <w:rsid w:val="0F48B711"/>
    <w:rsid w:val="0FF35ECD"/>
    <w:rsid w:val="0FFF5932"/>
    <w:rsid w:val="103B4B14"/>
    <w:rsid w:val="11BC6480"/>
    <w:rsid w:val="11E788DC"/>
    <w:rsid w:val="12791169"/>
    <w:rsid w:val="12E81170"/>
    <w:rsid w:val="12ECE5A6"/>
    <w:rsid w:val="1302FA3B"/>
    <w:rsid w:val="1359BD62"/>
    <w:rsid w:val="13702E4E"/>
    <w:rsid w:val="140B50DE"/>
    <w:rsid w:val="1441FF52"/>
    <w:rsid w:val="154A96B0"/>
    <w:rsid w:val="166E4956"/>
    <w:rsid w:val="16C71891"/>
    <w:rsid w:val="16F8DA67"/>
    <w:rsid w:val="16FFFEAD"/>
    <w:rsid w:val="17ED99A5"/>
    <w:rsid w:val="1873B58D"/>
    <w:rsid w:val="18A24D14"/>
    <w:rsid w:val="198C35BB"/>
    <w:rsid w:val="1AB8C8BA"/>
    <w:rsid w:val="1AE831DB"/>
    <w:rsid w:val="1BDE0E16"/>
    <w:rsid w:val="1C9AEB58"/>
    <w:rsid w:val="1CD7AF27"/>
    <w:rsid w:val="1D8D87E1"/>
    <w:rsid w:val="1DEA7EFF"/>
    <w:rsid w:val="1E8CCB62"/>
    <w:rsid w:val="1EC717A2"/>
    <w:rsid w:val="1ECE80F5"/>
    <w:rsid w:val="1F076CB1"/>
    <w:rsid w:val="1F0EAEFB"/>
    <w:rsid w:val="1F348940"/>
    <w:rsid w:val="20853C8F"/>
    <w:rsid w:val="20976C84"/>
    <w:rsid w:val="2152E6D9"/>
    <w:rsid w:val="21A123CA"/>
    <w:rsid w:val="222DFD3C"/>
    <w:rsid w:val="22EB15A2"/>
    <w:rsid w:val="23F8E018"/>
    <w:rsid w:val="2448E866"/>
    <w:rsid w:val="260F81AB"/>
    <w:rsid w:val="262AE482"/>
    <w:rsid w:val="266BE461"/>
    <w:rsid w:val="26767211"/>
    <w:rsid w:val="26BD5663"/>
    <w:rsid w:val="26FB95BD"/>
    <w:rsid w:val="2719C0E0"/>
    <w:rsid w:val="27360C79"/>
    <w:rsid w:val="281F5CFA"/>
    <w:rsid w:val="288AC2A8"/>
    <w:rsid w:val="2939CCA1"/>
    <w:rsid w:val="2984964B"/>
    <w:rsid w:val="2A06B143"/>
    <w:rsid w:val="2AF5DC7D"/>
    <w:rsid w:val="2B4EF49E"/>
    <w:rsid w:val="2B9B8130"/>
    <w:rsid w:val="2BEEEA93"/>
    <w:rsid w:val="2C109CCF"/>
    <w:rsid w:val="2D136F8A"/>
    <w:rsid w:val="2DB78C7C"/>
    <w:rsid w:val="2E19D607"/>
    <w:rsid w:val="2FBFC776"/>
    <w:rsid w:val="3177174B"/>
    <w:rsid w:val="318D187A"/>
    <w:rsid w:val="323BE3CF"/>
    <w:rsid w:val="32A60D0E"/>
    <w:rsid w:val="32B9139B"/>
    <w:rsid w:val="330DAAEA"/>
    <w:rsid w:val="33272944"/>
    <w:rsid w:val="333439FD"/>
    <w:rsid w:val="33DF5A9D"/>
    <w:rsid w:val="34676FD5"/>
    <w:rsid w:val="349D051A"/>
    <w:rsid w:val="34F13629"/>
    <w:rsid w:val="34FC37BB"/>
    <w:rsid w:val="355B64D8"/>
    <w:rsid w:val="364CF0E6"/>
    <w:rsid w:val="36CE28F8"/>
    <w:rsid w:val="37E2A5FF"/>
    <w:rsid w:val="388FC4D7"/>
    <w:rsid w:val="38ED7B14"/>
    <w:rsid w:val="393F0EDD"/>
    <w:rsid w:val="39403F19"/>
    <w:rsid w:val="39C4F5F3"/>
    <w:rsid w:val="39D21F74"/>
    <w:rsid w:val="3A149FCD"/>
    <w:rsid w:val="3A1DAF9E"/>
    <w:rsid w:val="3AB851B1"/>
    <w:rsid w:val="3B209FB5"/>
    <w:rsid w:val="3C5714F3"/>
    <w:rsid w:val="3D4C204C"/>
    <w:rsid w:val="3E39569E"/>
    <w:rsid w:val="3E6BD8EB"/>
    <w:rsid w:val="3EC99D70"/>
    <w:rsid w:val="407464FF"/>
    <w:rsid w:val="422ADAA6"/>
    <w:rsid w:val="4231310C"/>
    <w:rsid w:val="4290A548"/>
    <w:rsid w:val="42A27A53"/>
    <w:rsid w:val="42BB1962"/>
    <w:rsid w:val="42BF0BFD"/>
    <w:rsid w:val="42C4B59B"/>
    <w:rsid w:val="43C50E0B"/>
    <w:rsid w:val="43ED0A11"/>
    <w:rsid w:val="44147DC5"/>
    <w:rsid w:val="445A1D37"/>
    <w:rsid w:val="4497DB2E"/>
    <w:rsid w:val="44C7ADF5"/>
    <w:rsid w:val="44F516F5"/>
    <w:rsid w:val="45D03A91"/>
    <w:rsid w:val="4621AA91"/>
    <w:rsid w:val="465437B9"/>
    <w:rsid w:val="46578D96"/>
    <w:rsid w:val="46BBD305"/>
    <w:rsid w:val="47903D24"/>
    <w:rsid w:val="47BC5101"/>
    <w:rsid w:val="487C41E0"/>
    <w:rsid w:val="48D5C23F"/>
    <w:rsid w:val="48DAA3FF"/>
    <w:rsid w:val="4943ABA4"/>
    <w:rsid w:val="4A0DEF44"/>
    <w:rsid w:val="4B01BD6E"/>
    <w:rsid w:val="4B7C84B7"/>
    <w:rsid w:val="4B8241C9"/>
    <w:rsid w:val="4B8BBB7A"/>
    <w:rsid w:val="4BF5A077"/>
    <w:rsid w:val="4CD70DD2"/>
    <w:rsid w:val="4D3C5E1A"/>
    <w:rsid w:val="4D996F20"/>
    <w:rsid w:val="4DC4906B"/>
    <w:rsid w:val="4DDCB0D3"/>
    <w:rsid w:val="4DEABEA0"/>
    <w:rsid w:val="4E4ECA56"/>
    <w:rsid w:val="4EECE5DF"/>
    <w:rsid w:val="4F256570"/>
    <w:rsid w:val="50918118"/>
    <w:rsid w:val="50E742E7"/>
    <w:rsid w:val="5151F371"/>
    <w:rsid w:val="51A5A05C"/>
    <w:rsid w:val="51BC6AD9"/>
    <w:rsid w:val="525626F2"/>
    <w:rsid w:val="530816FD"/>
    <w:rsid w:val="53B91137"/>
    <w:rsid w:val="54325794"/>
    <w:rsid w:val="546A7C88"/>
    <w:rsid w:val="54987D00"/>
    <w:rsid w:val="55537CB0"/>
    <w:rsid w:val="563F2047"/>
    <w:rsid w:val="56A7321B"/>
    <w:rsid w:val="56E86A64"/>
    <w:rsid w:val="57784C3D"/>
    <w:rsid w:val="57DE9612"/>
    <w:rsid w:val="57ED6D2D"/>
    <w:rsid w:val="57F8AB91"/>
    <w:rsid w:val="57FC198F"/>
    <w:rsid w:val="580FDED7"/>
    <w:rsid w:val="58308E1D"/>
    <w:rsid w:val="58B0332F"/>
    <w:rsid w:val="59FC17F3"/>
    <w:rsid w:val="5AC2BBBF"/>
    <w:rsid w:val="5B051539"/>
    <w:rsid w:val="5C4992A3"/>
    <w:rsid w:val="5D29DF7D"/>
    <w:rsid w:val="5D64CC75"/>
    <w:rsid w:val="5D76395A"/>
    <w:rsid w:val="5D88363A"/>
    <w:rsid w:val="5E452634"/>
    <w:rsid w:val="5E6929C4"/>
    <w:rsid w:val="5ED51C29"/>
    <w:rsid w:val="5F448EA3"/>
    <w:rsid w:val="5F622015"/>
    <w:rsid w:val="5F7AD39A"/>
    <w:rsid w:val="600558F0"/>
    <w:rsid w:val="60AA2A43"/>
    <w:rsid w:val="60B65ADE"/>
    <w:rsid w:val="60C27E07"/>
    <w:rsid w:val="60CD255B"/>
    <w:rsid w:val="6124897E"/>
    <w:rsid w:val="613EA267"/>
    <w:rsid w:val="61687BE2"/>
    <w:rsid w:val="616A435A"/>
    <w:rsid w:val="6178BCFA"/>
    <w:rsid w:val="61D35325"/>
    <w:rsid w:val="620E6A17"/>
    <w:rsid w:val="6281F21F"/>
    <w:rsid w:val="62B4EAC9"/>
    <w:rsid w:val="63122D1B"/>
    <w:rsid w:val="63476B9E"/>
    <w:rsid w:val="636A1065"/>
    <w:rsid w:val="63F5EF02"/>
    <w:rsid w:val="6503AAC0"/>
    <w:rsid w:val="6640B262"/>
    <w:rsid w:val="66B6253B"/>
    <w:rsid w:val="67DF7F8C"/>
    <w:rsid w:val="684D0BD6"/>
    <w:rsid w:val="68BD03E7"/>
    <w:rsid w:val="69400B81"/>
    <w:rsid w:val="695E56E1"/>
    <w:rsid w:val="6A6D82B3"/>
    <w:rsid w:val="6ACE6E23"/>
    <w:rsid w:val="6BB5E3D5"/>
    <w:rsid w:val="6C50693C"/>
    <w:rsid w:val="6C59EA96"/>
    <w:rsid w:val="6CD9C6A3"/>
    <w:rsid w:val="6D1A02E2"/>
    <w:rsid w:val="6D38E5A5"/>
    <w:rsid w:val="6E04EC58"/>
    <w:rsid w:val="6E5A1C8C"/>
    <w:rsid w:val="6E61880D"/>
    <w:rsid w:val="6ECAC283"/>
    <w:rsid w:val="6F1BA92C"/>
    <w:rsid w:val="6F38EA49"/>
    <w:rsid w:val="7058B20C"/>
    <w:rsid w:val="705FE70C"/>
    <w:rsid w:val="7124AF40"/>
    <w:rsid w:val="712A344E"/>
    <w:rsid w:val="71307C16"/>
    <w:rsid w:val="71D4B53C"/>
    <w:rsid w:val="71EA7F93"/>
    <w:rsid w:val="7208F231"/>
    <w:rsid w:val="72699A9F"/>
    <w:rsid w:val="728EC433"/>
    <w:rsid w:val="73005767"/>
    <w:rsid w:val="734CFD35"/>
    <w:rsid w:val="73BDBCDA"/>
    <w:rsid w:val="7457ACBF"/>
    <w:rsid w:val="7552160E"/>
    <w:rsid w:val="76651D98"/>
    <w:rsid w:val="76A7AB1D"/>
    <w:rsid w:val="76EECD3D"/>
    <w:rsid w:val="770B273E"/>
    <w:rsid w:val="77E0C67F"/>
    <w:rsid w:val="7820B9B4"/>
    <w:rsid w:val="785913E4"/>
    <w:rsid w:val="79D8185B"/>
    <w:rsid w:val="7A5C99DE"/>
    <w:rsid w:val="7AE22932"/>
    <w:rsid w:val="7B1FFCE4"/>
    <w:rsid w:val="7B357133"/>
    <w:rsid w:val="7B8402BE"/>
    <w:rsid w:val="7BB144D4"/>
    <w:rsid w:val="7C0E1F05"/>
    <w:rsid w:val="7CCFDE22"/>
    <w:rsid w:val="7E5C95D5"/>
    <w:rsid w:val="7E8565BE"/>
    <w:rsid w:val="7F50225F"/>
    <w:rsid w:val="7FB1F2B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1B0E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pl-PL"/>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rsid w:val="0043039B"/>
    <w:pPr>
      <w:numPr>
        <w:numId w:val="2"/>
      </w:numPr>
    </w:pPr>
    <w:rPr>
      <w:rFonts w:eastAsia="Times New Roman"/>
      <w:lang w:eastAsia="de-DE"/>
    </w:rPr>
  </w:style>
  <w:style w:type="paragraph" w:styleId="ListNumber">
    <w:name w:val="List Number"/>
    <w:basedOn w:val="Normal"/>
    <w:rsid w:val="0043039B"/>
    <w:pPr>
      <w:numPr>
        <w:numId w:val="6"/>
      </w:numPr>
    </w:pPr>
    <w:rPr>
      <w:rFonts w:eastAsia="Times New Roman"/>
      <w:lang w:eastAsia="de-DE"/>
    </w:rPr>
  </w:style>
  <w:style w:type="paragraph" w:customStyle="1" w:styleId="ListBullet1">
    <w:name w:val="List Bullet 1"/>
    <w:basedOn w:val="Normal"/>
    <w:rsid w:val="0043039B"/>
    <w:pPr>
      <w:numPr>
        <w:numId w:val="1"/>
      </w:numPr>
    </w:pPr>
    <w:rPr>
      <w:rFonts w:eastAsia="Times New Roman"/>
      <w:lang w:eastAsia="de-DE"/>
    </w:rPr>
  </w:style>
  <w:style w:type="paragraph" w:customStyle="1" w:styleId="ListDash">
    <w:name w:val="List Dash"/>
    <w:basedOn w:val="Normal"/>
    <w:rsid w:val="0043039B"/>
    <w:pPr>
      <w:numPr>
        <w:numId w:val="3"/>
      </w:numPr>
    </w:pPr>
    <w:rPr>
      <w:rFonts w:eastAsia="Times New Roman"/>
      <w:lang w:eastAsia="de-DE"/>
    </w:rPr>
  </w:style>
  <w:style w:type="paragraph" w:customStyle="1" w:styleId="ListDash1">
    <w:name w:val="List Dash 1"/>
    <w:basedOn w:val="Normal"/>
    <w:rsid w:val="0043039B"/>
    <w:pPr>
      <w:numPr>
        <w:numId w:val="4"/>
      </w:numPr>
    </w:pPr>
    <w:rPr>
      <w:rFonts w:eastAsia="Times New Roman"/>
      <w:lang w:eastAsia="de-DE"/>
    </w:rPr>
  </w:style>
  <w:style w:type="paragraph" w:customStyle="1" w:styleId="ListDash2">
    <w:name w:val="List Dash 2"/>
    <w:basedOn w:val="Normal"/>
    <w:rsid w:val="0043039B"/>
    <w:pPr>
      <w:numPr>
        <w:numId w:val="5"/>
      </w:numPr>
    </w:pPr>
    <w:rPr>
      <w:rFonts w:eastAsia="Times New Roman"/>
      <w:lang w:eastAsia="de-DE"/>
    </w:rPr>
  </w:style>
  <w:style w:type="paragraph" w:customStyle="1" w:styleId="ListNumberLevel2">
    <w:name w:val="List Number (Level 2)"/>
    <w:basedOn w:val="Normal"/>
    <w:rsid w:val="0043039B"/>
    <w:pPr>
      <w:numPr>
        <w:ilvl w:val="1"/>
        <w:numId w:val="6"/>
      </w:numPr>
    </w:pPr>
    <w:rPr>
      <w:rFonts w:eastAsia="Times New Roman"/>
      <w:lang w:eastAsia="de-DE"/>
    </w:rPr>
  </w:style>
  <w:style w:type="paragraph" w:customStyle="1" w:styleId="ListNumberLevel3">
    <w:name w:val="List Number (Level 3)"/>
    <w:basedOn w:val="Normal"/>
    <w:rsid w:val="0043039B"/>
    <w:pPr>
      <w:numPr>
        <w:ilvl w:val="2"/>
        <w:numId w:val="6"/>
      </w:numPr>
    </w:pPr>
    <w:rPr>
      <w:rFonts w:eastAsia="Times New Roman"/>
      <w:lang w:eastAsia="de-DE"/>
    </w:rPr>
  </w:style>
  <w:style w:type="paragraph" w:customStyle="1" w:styleId="ListNumberLevel4">
    <w:name w:val="List Number (Level 4)"/>
    <w:basedOn w:val="Normal"/>
    <w:rsid w:val="0043039B"/>
    <w:pPr>
      <w:numPr>
        <w:ilvl w:val="3"/>
        <w:numId w:val="6"/>
      </w:numPr>
    </w:pPr>
    <w:rPr>
      <w:rFonts w:eastAsia="Times New Roman"/>
      <w:lang w:eastAsia="de-DE"/>
    </w:rPr>
  </w:style>
  <w:style w:type="table" w:styleId="TableGrid">
    <w:name w:val="Table Grid"/>
    <w:basedOn w:val="TableNormal"/>
    <w:uiPriority w:val="59"/>
    <w:rsid w:val="0043039B"/>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3039B"/>
    <w:rPr>
      <w:color w:val="0000FF"/>
      <w:u w:val="single"/>
    </w:rPr>
  </w:style>
  <w:style w:type="paragraph" w:styleId="ListBullet">
    <w:name w:val="List Bullet"/>
    <w:basedOn w:val="Normal"/>
    <w:rsid w:val="0043039B"/>
    <w:pPr>
      <w:numPr>
        <w:numId w:val="7"/>
      </w:numPr>
    </w:pPr>
    <w:rPr>
      <w:rFonts w:eastAsia="Times New Roman"/>
      <w:lang w:eastAsia="en-GB"/>
    </w:rPr>
  </w:style>
  <w:style w:type="paragraph" w:styleId="ListBullet2">
    <w:name w:val="List Bullet 2"/>
    <w:basedOn w:val="Normal"/>
    <w:rsid w:val="0043039B"/>
    <w:pPr>
      <w:numPr>
        <w:numId w:val="8"/>
      </w:numPr>
    </w:pPr>
    <w:rPr>
      <w:rFonts w:eastAsia="Times New Roman"/>
      <w:lang w:eastAsia="en-GB"/>
    </w:rPr>
  </w:style>
  <w:style w:type="paragraph" w:styleId="ListBullet3">
    <w:name w:val="List Bullet 3"/>
    <w:basedOn w:val="Normal"/>
    <w:rsid w:val="0043039B"/>
    <w:pPr>
      <w:numPr>
        <w:numId w:val="9"/>
      </w:numPr>
    </w:pPr>
    <w:rPr>
      <w:rFonts w:eastAsia="Times New Roman"/>
      <w:lang w:eastAsia="en-GB"/>
    </w:rPr>
  </w:style>
  <w:style w:type="paragraph" w:styleId="ListNumber2">
    <w:name w:val="List Number 2"/>
    <w:basedOn w:val="Normal"/>
    <w:rsid w:val="0043039B"/>
    <w:pPr>
      <w:numPr>
        <w:numId w:val="13"/>
      </w:numPr>
    </w:pPr>
    <w:rPr>
      <w:rFonts w:eastAsia="Times New Roman"/>
      <w:lang w:eastAsia="en-GB"/>
    </w:rPr>
  </w:style>
  <w:style w:type="paragraph" w:styleId="ListNumber3">
    <w:name w:val="List Number 3"/>
    <w:basedOn w:val="Normal"/>
    <w:rsid w:val="0043039B"/>
    <w:pPr>
      <w:numPr>
        <w:numId w:val="14"/>
      </w:numPr>
    </w:pPr>
    <w:rPr>
      <w:rFonts w:eastAsia="Times New Roman"/>
      <w:lang w:eastAsia="en-GB"/>
    </w:rPr>
  </w:style>
  <w:style w:type="paragraph" w:styleId="ListNumber4">
    <w:name w:val="List Number 4"/>
    <w:basedOn w:val="Normal"/>
    <w:rsid w:val="0043039B"/>
    <w:pPr>
      <w:numPr>
        <w:numId w:val="15"/>
      </w:numPr>
    </w:pPr>
    <w:rPr>
      <w:rFonts w:eastAsia="Times New Roman"/>
      <w:lang w:eastAsia="en-GB"/>
    </w:rPr>
  </w:style>
  <w:style w:type="paragraph" w:customStyle="1" w:styleId="ListDash3">
    <w:name w:val="List Dash 3"/>
    <w:basedOn w:val="Normal"/>
    <w:rsid w:val="0043039B"/>
    <w:pPr>
      <w:numPr>
        <w:numId w:val="10"/>
      </w:numPr>
    </w:pPr>
    <w:rPr>
      <w:rFonts w:eastAsia="Times New Roman"/>
      <w:lang w:eastAsia="en-GB"/>
    </w:rPr>
  </w:style>
  <w:style w:type="paragraph" w:customStyle="1" w:styleId="ListDash4">
    <w:name w:val="List Dash 4"/>
    <w:basedOn w:val="Normal"/>
    <w:rsid w:val="0043039B"/>
    <w:pPr>
      <w:numPr>
        <w:numId w:val="11"/>
      </w:numPr>
    </w:pPr>
    <w:rPr>
      <w:rFonts w:eastAsia="Times New Roman"/>
      <w:lang w:eastAsia="en-GB"/>
    </w:rPr>
  </w:style>
  <w:style w:type="paragraph" w:customStyle="1" w:styleId="ListNumber1">
    <w:name w:val="List Number 1"/>
    <w:basedOn w:val="Text1"/>
    <w:rsid w:val="0043039B"/>
    <w:pPr>
      <w:numPr>
        <w:numId w:val="12"/>
      </w:numPr>
    </w:pPr>
    <w:rPr>
      <w:rFonts w:eastAsia="Times New Roman"/>
      <w:lang w:eastAsia="en-GB"/>
    </w:rPr>
  </w:style>
  <w:style w:type="paragraph" w:customStyle="1" w:styleId="ListNumber1Level2">
    <w:name w:val="List Number 1 (Level 2)"/>
    <w:basedOn w:val="Text1"/>
    <w:rsid w:val="0043039B"/>
    <w:pPr>
      <w:numPr>
        <w:ilvl w:val="1"/>
        <w:numId w:val="12"/>
      </w:numPr>
    </w:pPr>
    <w:rPr>
      <w:rFonts w:eastAsia="Times New Roman"/>
      <w:lang w:eastAsia="en-GB"/>
    </w:rPr>
  </w:style>
  <w:style w:type="paragraph" w:customStyle="1" w:styleId="ListNumber2Level2">
    <w:name w:val="List Number 2 (Level 2)"/>
    <w:basedOn w:val="Text2"/>
    <w:rsid w:val="0043039B"/>
    <w:pPr>
      <w:numPr>
        <w:ilvl w:val="1"/>
        <w:numId w:val="13"/>
      </w:numPr>
    </w:pPr>
    <w:rPr>
      <w:rFonts w:eastAsia="Times New Roman"/>
      <w:lang w:eastAsia="en-GB"/>
    </w:rPr>
  </w:style>
  <w:style w:type="paragraph" w:customStyle="1" w:styleId="ListNumber3Level2">
    <w:name w:val="List Number 3 (Level 2)"/>
    <w:basedOn w:val="Text3"/>
    <w:rsid w:val="0043039B"/>
    <w:pPr>
      <w:numPr>
        <w:ilvl w:val="1"/>
        <w:numId w:val="14"/>
      </w:numPr>
    </w:pPr>
    <w:rPr>
      <w:rFonts w:eastAsia="Times New Roman"/>
      <w:lang w:eastAsia="en-GB"/>
    </w:rPr>
  </w:style>
  <w:style w:type="paragraph" w:customStyle="1" w:styleId="ListNumber4Level2">
    <w:name w:val="List Number 4 (Level 2)"/>
    <w:basedOn w:val="Text4"/>
    <w:rsid w:val="0043039B"/>
    <w:pPr>
      <w:numPr>
        <w:ilvl w:val="1"/>
        <w:numId w:val="15"/>
      </w:numPr>
    </w:pPr>
    <w:rPr>
      <w:rFonts w:eastAsia="Times New Roman"/>
      <w:lang w:eastAsia="en-GB"/>
    </w:rPr>
  </w:style>
  <w:style w:type="paragraph" w:customStyle="1" w:styleId="ListNumber1Level3">
    <w:name w:val="List Number 1 (Level 3)"/>
    <w:basedOn w:val="Text1"/>
    <w:rsid w:val="0043039B"/>
    <w:pPr>
      <w:numPr>
        <w:ilvl w:val="2"/>
        <w:numId w:val="12"/>
      </w:numPr>
    </w:pPr>
    <w:rPr>
      <w:rFonts w:eastAsia="Times New Roman"/>
      <w:lang w:eastAsia="en-GB"/>
    </w:rPr>
  </w:style>
  <w:style w:type="paragraph" w:customStyle="1" w:styleId="ListNumber2Level3">
    <w:name w:val="List Number 2 (Level 3)"/>
    <w:basedOn w:val="Text2"/>
    <w:rsid w:val="0043039B"/>
    <w:pPr>
      <w:numPr>
        <w:ilvl w:val="2"/>
        <w:numId w:val="13"/>
      </w:numPr>
    </w:pPr>
    <w:rPr>
      <w:rFonts w:eastAsia="Times New Roman"/>
      <w:lang w:eastAsia="en-GB"/>
    </w:rPr>
  </w:style>
  <w:style w:type="paragraph" w:customStyle="1" w:styleId="ListNumber3Level3">
    <w:name w:val="List Number 3 (Level 3)"/>
    <w:basedOn w:val="Text3"/>
    <w:rsid w:val="0043039B"/>
    <w:pPr>
      <w:numPr>
        <w:ilvl w:val="2"/>
        <w:numId w:val="14"/>
      </w:numPr>
    </w:pPr>
    <w:rPr>
      <w:rFonts w:eastAsia="Times New Roman"/>
      <w:lang w:eastAsia="en-GB"/>
    </w:rPr>
  </w:style>
  <w:style w:type="paragraph" w:customStyle="1" w:styleId="ListNumber4Level3">
    <w:name w:val="List Number 4 (Level 3)"/>
    <w:basedOn w:val="Text4"/>
    <w:rsid w:val="0043039B"/>
    <w:pPr>
      <w:numPr>
        <w:ilvl w:val="2"/>
        <w:numId w:val="15"/>
      </w:numPr>
    </w:pPr>
    <w:rPr>
      <w:rFonts w:eastAsia="Times New Roman"/>
      <w:lang w:eastAsia="en-GB"/>
    </w:rPr>
  </w:style>
  <w:style w:type="paragraph" w:customStyle="1" w:styleId="ListNumber1Level4">
    <w:name w:val="List Number 1 (Level 4)"/>
    <w:basedOn w:val="Text1"/>
    <w:rsid w:val="0043039B"/>
    <w:pPr>
      <w:numPr>
        <w:ilvl w:val="3"/>
        <w:numId w:val="12"/>
      </w:numPr>
    </w:pPr>
    <w:rPr>
      <w:rFonts w:eastAsia="Times New Roman"/>
      <w:lang w:eastAsia="en-GB"/>
    </w:rPr>
  </w:style>
  <w:style w:type="paragraph" w:customStyle="1" w:styleId="ListNumber2Level4">
    <w:name w:val="List Number 2 (Level 4)"/>
    <w:basedOn w:val="Text2"/>
    <w:rsid w:val="0043039B"/>
    <w:pPr>
      <w:numPr>
        <w:ilvl w:val="3"/>
        <w:numId w:val="13"/>
      </w:numPr>
    </w:pPr>
    <w:rPr>
      <w:rFonts w:eastAsia="Times New Roman"/>
      <w:lang w:eastAsia="en-GB"/>
    </w:rPr>
  </w:style>
  <w:style w:type="paragraph" w:customStyle="1" w:styleId="ListNumber3Level4">
    <w:name w:val="List Number 3 (Level 4)"/>
    <w:basedOn w:val="Text3"/>
    <w:rsid w:val="0043039B"/>
    <w:pPr>
      <w:numPr>
        <w:ilvl w:val="3"/>
        <w:numId w:val="14"/>
      </w:numPr>
    </w:pPr>
    <w:rPr>
      <w:rFonts w:eastAsia="Times New Roman"/>
      <w:lang w:eastAsia="en-GB"/>
    </w:rPr>
  </w:style>
  <w:style w:type="paragraph" w:customStyle="1" w:styleId="ListNumber4Level4">
    <w:name w:val="List Number 4 (Level 4)"/>
    <w:basedOn w:val="Text4"/>
    <w:rsid w:val="0043039B"/>
    <w:pPr>
      <w:numPr>
        <w:ilvl w:val="3"/>
        <w:numId w:val="15"/>
      </w:numPr>
    </w:pPr>
    <w:rPr>
      <w:rFonts w:eastAsia="Times New Roman"/>
      <w:lang w:eastAsia="en-GB"/>
    </w:rPr>
  </w:style>
  <w:style w:type="paragraph" w:customStyle="1" w:styleId="Annexetitreacte">
    <w:name w:val="Annexe titre (acte)"/>
    <w:basedOn w:val="Normal"/>
    <w:next w:val="Normal"/>
    <w:rsid w:val="0043039B"/>
    <w:pPr>
      <w:jc w:val="center"/>
    </w:pPr>
    <w:rPr>
      <w:rFonts w:eastAsia="Times New Roman"/>
      <w:b/>
      <w:u w:val="single"/>
      <w:lang w:eastAsia="en-GB"/>
    </w:rPr>
  </w:style>
  <w:style w:type="paragraph" w:customStyle="1" w:styleId="Annexetitreexposglobal">
    <w:name w:val="Annexe titre (exposé global)"/>
    <w:basedOn w:val="Normal"/>
    <w:next w:val="Normal"/>
    <w:rsid w:val="0043039B"/>
    <w:pPr>
      <w:jc w:val="center"/>
    </w:pPr>
    <w:rPr>
      <w:rFonts w:eastAsia="Times New Roman"/>
      <w:b/>
      <w:u w:val="single"/>
      <w:lang w:eastAsia="en-GB"/>
    </w:rPr>
  </w:style>
  <w:style w:type="paragraph" w:customStyle="1" w:styleId="Annexetitrefichefinacte">
    <w:name w:val="Annexe titre (fiche fin. acte)"/>
    <w:basedOn w:val="Normal"/>
    <w:next w:val="Normal"/>
    <w:rsid w:val="0043039B"/>
    <w:pPr>
      <w:jc w:val="center"/>
    </w:pPr>
    <w:rPr>
      <w:rFonts w:eastAsia="Times New Roman"/>
      <w:b/>
      <w:u w:val="single"/>
      <w:lang w:eastAsia="en-GB"/>
    </w:rPr>
  </w:style>
  <w:style w:type="paragraph" w:customStyle="1" w:styleId="Annexetitrefichefinglobale">
    <w:name w:val="Annexe titre (fiche fin. globale)"/>
    <w:basedOn w:val="Normal"/>
    <w:next w:val="Normal"/>
    <w:rsid w:val="0043039B"/>
    <w:pPr>
      <w:jc w:val="center"/>
    </w:pPr>
    <w:rPr>
      <w:rFonts w:eastAsia="Times New Roman"/>
      <w:b/>
      <w:u w:val="single"/>
      <w:lang w:eastAsia="en-GB"/>
    </w:rPr>
  </w:style>
  <w:style w:type="paragraph" w:customStyle="1" w:styleId="Annexetitreglobale">
    <w:name w:val="Annexe titre (globale)"/>
    <w:basedOn w:val="Normal"/>
    <w:next w:val="Normal"/>
    <w:rsid w:val="0043039B"/>
    <w:pPr>
      <w:jc w:val="center"/>
    </w:pPr>
    <w:rPr>
      <w:rFonts w:eastAsia="Times New Roman"/>
      <w:b/>
      <w:u w:val="single"/>
      <w:lang w:eastAsia="en-GB"/>
    </w:rPr>
  </w:style>
  <w:style w:type="paragraph" w:customStyle="1" w:styleId="Exposdesmotifstitreglobal">
    <w:name w:val="Exposé des motifs titre (global)"/>
    <w:basedOn w:val="Normal"/>
    <w:next w:val="Normal"/>
    <w:rsid w:val="0043039B"/>
    <w:pPr>
      <w:jc w:val="center"/>
    </w:pPr>
    <w:rPr>
      <w:rFonts w:eastAsia="Times New Roman"/>
      <w:b/>
      <w:u w:val="single"/>
      <w:lang w:eastAsia="en-GB"/>
    </w:rPr>
  </w:style>
  <w:style w:type="paragraph" w:customStyle="1" w:styleId="Langueoriginale">
    <w:name w:val="Langue originale"/>
    <w:basedOn w:val="Normal"/>
    <w:rsid w:val="0043039B"/>
    <w:pPr>
      <w:spacing w:before="360"/>
      <w:jc w:val="center"/>
    </w:pPr>
    <w:rPr>
      <w:rFonts w:eastAsia="Times New Roman"/>
      <w:caps/>
      <w:lang w:eastAsia="en-GB"/>
    </w:rPr>
  </w:style>
  <w:style w:type="paragraph" w:customStyle="1" w:styleId="Phrasefinale">
    <w:name w:val="Phrase finale"/>
    <w:basedOn w:val="Normal"/>
    <w:next w:val="Normal"/>
    <w:rsid w:val="0043039B"/>
    <w:pPr>
      <w:spacing w:before="360" w:after="0"/>
      <w:jc w:val="center"/>
    </w:pPr>
    <w:rPr>
      <w:rFonts w:eastAsia="Times New Roman"/>
      <w:lang w:eastAsia="en-GB"/>
    </w:rPr>
  </w:style>
  <w:style w:type="paragraph" w:customStyle="1" w:styleId="Prliminairetitre">
    <w:name w:val="Préliminaire titre"/>
    <w:basedOn w:val="Normal"/>
    <w:next w:val="Normal"/>
    <w:rsid w:val="0043039B"/>
    <w:pPr>
      <w:spacing w:before="360" w:after="360"/>
      <w:jc w:val="center"/>
    </w:pPr>
    <w:rPr>
      <w:rFonts w:eastAsia="Times New Roman"/>
      <w:b/>
      <w:lang w:eastAsia="en-GB"/>
    </w:rPr>
  </w:style>
  <w:style w:type="paragraph" w:customStyle="1" w:styleId="Prliminairetype">
    <w:name w:val="Préliminaire type"/>
    <w:basedOn w:val="Normal"/>
    <w:next w:val="Normal"/>
    <w:rsid w:val="0043039B"/>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43039B"/>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43039B"/>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43039B"/>
    <w:pPr>
      <w:spacing w:before="0" w:after="0"/>
      <w:ind w:left="5103"/>
      <w:jc w:val="left"/>
    </w:pPr>
    <w:rPr>
      <w:rFonts w:eastAsia="Times New Roman"/>
      <w:lang w:eastAsia="en-GB"/>
    </w:rPr>
  </w:style>
  <w:style w:type="paragraph" w:customStyle="1" w:styleId="Sous-titreobjetprliminaire">
    <w:name w:val="Sous-titre objet (préliminaire)"/>
    <w:basedOn w:val="Normal"/>
    <w:rsid w:val="0043039B"/>
    <w:pPr>
      <w:spacing w:before="0" w:after="0"/>
      <w:jc w:val="center"/>
    </w:pPr>
    <w:rPr>
      <w:rFonts w:eastAsia="Times New Roman"/>
      <w:b/>
      <w:lang w:eastAsia="en-GB"/>
    </w:rPr>
  </w:style>
  <w:style w:type="paragraph" w:customStyle="1" w:styleId="Statutprliminaire">
    <w:name w:val="Statut (préliminaire)"/>
    <w:basedOn w:val="Normal"/>
    <w:next w:val="Normal"/>
    <w:rsid w:val="0043039B"/>
    <w:pPr>
      <w:spacing w:before="360" w:after="0"/>
      <w:jc w:val="center"/>
    </w:pPr>
    <w:rPr>
      <w:rFonts w:eastAsia="Times New Roman"/>
      <w:lang w:eastAsia="en-GB"/>
    </w:rPr>
  </w:style>
  <w:style w:type="paragraph" w:customStyle="1" w:styleId="Titreobjetprliminaire">
    <w:name w:val="Titre objet (préliminaire)"/>
    <w:basedOn w:val="Normal"/>
    <w:next w:val="Normal"/>
    <w:rsid w:val="0043039B"/>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43039B"/>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43039B"/>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43039B"/>
    <w:pPr>
      <w:jc w:val="center"/>
    </w:pPr>
    <w:rPr>
      <w:rFonts w:eastAsia="Times New Roman"/>
      <w:b/>
      <w:u w:val="single"/>
      <w:lang w:eastAsia="en-GB"/>
    </w:rPr>
  </w:style>
  <w:style w:type="paragraph" w:customStyle="1" w:styleId="Fichefinanciretravailtitre">
    <w:name w:val="Fiche financière (travail) titre"/>
    <w:basedOn w:val="Normal"/>
    <w:next w:val="Normal"/>
    <w:rsid w:val="0043039B"/>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43039B"/>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43039B"/>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43039B"/>
    <w:pPr>
      <w:jc w:val="center"/>
    </w:pPr>
    <w:rPr>
      <w:rFonts w:eastAsia="Times New Roman"/>
      <w:b/>
      <w:u w:val="single"/>
      <w:lang w:eastAsia="en-GB"/>
    </w:rPr>
  </w:style>
  <w:style w:type="character" w:styleId="CommentReference">
    <w:name w:val="annotation reference"/>
    <w:rsid w:val="0043039B"/>
    <w:rPr>
      <w:rFonts w:cs="Times New Roman"/>
      <w:sz w:val="16"/>
      <w:szCs w:val="16"/>
    </w:rPr>
  </w:style>
  <w:style w:type="paragraph" w:styleId="CommentText">
    <w:name w:val="annotation text"/>
    <w:basedOn w:val="Normal"/>
    <w:link w:val="CommentTextChar"/>
    <w:rsid w:val="0043039B"/>
    <w:rPr>
      <w:rFonts w:eastAsia="Times New Roman"/>
      <w:sz w:val="20"/>
      <w:szCs w:val="20"/>
      <w:lang w:eastAsia="en-GB"/>
    </w:rPr>
  </w:style>
  <w:style w:type="character" w:customStyle="1" w:styleId="CommentTextChar">
    <w:name w:val="Comment Text Char"/>
    <w:basedOn w:val="DefaultParagraphFont"/>
    <w:link w:val="CommentText"/>
    <w:rsid w:val="0043039B"/>
    <w:rPr>
      <w:rFonts w:ascii="Times New Roman" w:eastAsia="Times New Roman" w:hAnsi="Times New Roman" w:cs="Times New Roman"/>
      <w:sz w:val="20"/>
      <w:szCs w:val="20"/>
      <w:lang w:val="pl-PL" w:eastAsia="en-GB"/>
    </w:rPr>
  </w:style>
  <w:style w:type="paragraph" w:styleId="CommentSubject">
    <w:name w:val="annotation subject"/>
    <w:basedOn w:val="CommentText"/>
    <w:next w:val="CommentText"/>
    <w:link w:val="CommentSubjectChar"/>
    <w:rsid w:val="0043039B"/>
    <w:rPr>
      <w:b/>
      <w:bCs/>
    </w:rPr>
  </w:style>
  <w:style w:type="character" w:customStyle="1" w:styleId="CommentSubjectChar">
    <w:name w:val="Comment Subject Char"/>
    <w:basedOn w:val="CommentTextChar"/>
    <w:link w:val="CommentSubject"/>
    <w:rsid w:val="0043039B"/>
    <w:rPr>
      <w:rFonts w:ascii="Times New Roman" w:eastAsia="Times New Roman" w:hAnsi="Times New Roman" w:cs="Times New Roman"/>
      <w:b/>
      <w:bCs/>
      <w:sz w:val="20"/>
      <w:szCs w:val="20"/>
      <w:lang w:val="pl-PL" w:eastAsia="en-GB"/>
    </w:rPr>
  </w:style>
  <w:style w:type="paragraph" w:styleId="BalloonText">
    <w:name w:val="Balloon Text"/>
    <w:basedOn w:val="Normal"/>
    <w:link w:val="BalloonTextChar"/>
    <w:rsid w:val="0043039B"/>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43039B"/>
    <w:rPr>
      <w:rFonts w:ascii="Tahoma" w:eastAsia="Times New Roman" w:hAnsi="Tahoma" w:cs="Tahoma"/>
      <w:sz w:val="16"/>
      <w:szCs w:val="16"/>
      <w:lang w:val="pl-PL" w:eastAsia="en-GB"/>
    </w:rPr>
  </w:style>
  <w:style w:type="paragraph" w:styleId="Caption">
    <w:name w:val="caption"/>
    <w:basedOn w:val="Normal"/>
    <w:next w:val="Normal"/>
    <w:qFormat/>
    <w:rsid w:val="0043039B"/>
    <w:rPr>
      <w:rFonts w:eastAsia="Times New Roman"/>
      <w:b/>
      <w:bCs/>
      <w:sz w:val="20"/>
      <w:szCs w:val="20"/>
      <w:lang w:eastAsia="en-GB"/>
    </w:rPr>
  </w:style>
  <w:style w:type="paragraph" w:styleId="TableofFigures">
    <w:name w:val="table of figures"/>
    <w:basedOn w:val="Normal"/>
    <w:next w:val="Normal"/>
    <w:rsid w:val="0043039B"/>
    <w:rPr>
      <w:rFonts w:eastAsia="Times New Roman"/>
      <w:lang w:eastAsia="en-GB"/>
    </w:rPr>
  </w:style>
  <w:style w:type="character" w:styleId="PageNumber">
    <w:name w:val="page number"/>
    <w:rsid w:val="0043039B"/>
  </w:style>
  <w:style w:type="character" w:customStyle="1" w:styleId="tw4winMark">
    <w:name w:val="tw4winMark"/>
    <w:rsid w:val="0043039B"/>
    <w:rPr>
      <w:vanish/>
      <w:color w:val="800080"/>
      <w:vertAlign w:val="subscript"/>
    </w:rPr>
  </w:style>
  <w:style w:type="character" w:styleId="FollowedHyperlink">
    <w:name w:val="FollowedHyperlink"/>
    <w:rsid w:val="0043039B"/>
    <w:rPr>
      <w:color w:val="800080"/>
      <w:u w:val="single"/>
    </w:rPr>
  </w:style>
  <w:style w:type="paragraph" w:customStyle="1" w:styleId="Sous-titreobjet">
    <w:name w:val="Sous-titre objet"/>
    <w:basedOn w:val="Normal"/>
    <w:rsid w:val="0043039B"/>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43039B"/>
  </w:style>
  <w:style w:type="paragraph" w:styleId="Revision">
    <w:name w:val="Revision"/>
    <w:hidden/>
    <w:uiPriority w:val="99"/>
    <w:semiHidden/>
    <w:rsid w:val="0043039B"/>
    <w:rPr>
      <w:rFonts w:ascii="Calibri" w:eastAsia="Calibri" w:hAnsi="Calibri" w:cs="Times New Roman"/>
      <w:sz w:val="24"/>
      <w:lang w:eastAsia="en-GB"/>
    </w:rPr>
  </w:style>
  <w:style w:type="paragraph" w:customStyle="1" w:styleId="FooterCoverPage">
    <w:name w:val="Footer Cover Page"/>
    <w:basedOn w:val="Normal"/>
    <w:link w:val="FooterCoverPageChar"/>
    <w:rsid w:val="0043039B"/>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43039B"/>
    <w:rPr>
      <w:rFonts w:ascii="Times New Roman" w:hAnsi="Times New Roman" w:cs="Times New Roman"/>
      <w:b/>
      <w:sz w:val="28"/>
      <w:lang w:val="pl-PL"/>
    </w:rPr>
  </w:style>
  <w:style w:type="character" w:customStyle="1" w:styleId="FooterCoverPageChar">
    <w:name w:val="Footer Cover Page Char"/>
    <w:link w:val="FooterCoverPage"/>
    <w:rsid w:val="0043039B"/>
    <w:rPr>
      <w:rFonts w:ascii="Times New Roman" w:eastAsia="Calibri" w:hAnsi="Times New Roman" w:cs="Times New Roman"/>
      <w:sz w:val="24"/>
      <w:lang w:val="pl-PL" w:eastAsia="en-GB"/>
    </w:rPr>
  </w:style>
  <w:style w:type="paragraph" w:customStyle="1" w:styleId="HeaderCoverPage">
    <w:name w:val="Header Cover Page"/>
    <w:basedOn w:val="Normal"/>
    <w:link w:val="HeaderCoverPageChar"/>
    <w:rsid w:val="0043039B"/>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43039B"/>
    <w:rPr>
      <w:rFonts w:ascii="Times New Roman" w:eastAsia="Calibri" w:hAnsi="Times New Roman" w:cs="Times New Roman"/>
      <w:sz w:val="24"/>
      <w:lang w:val="pl-PL" w:eastAsia="en-GB"/>
    </w:rPr>
  </w:style>
  <w:style w:type="character" w:customStyle="1" w:styleId="FooterSensitivityChar">
    <w:name w:val="Footer Sensitivity Char"/>
    <w:rsid w:val="0043039B"/>
    <w:rPr>
      <w:rFonts w:ascii="Times New Roman" w:hAnsi="Times New Roman" w:cs="Times New Roman"/>
      <w:b/>
      <w:sz w:val="32"/>
      <w:lang w:val="pl-PL"/>
    </w:rPr>
  </w:style>
  <w:style w:type="character" w:customStyle="1" w:styleId="HeaderSensitivityChar">
    <w:name w:val="Header Sensitivity Char"/>
    <w:rsid w:val="0043039B"/>
    <w:rPr>
      <w:rFonts w:ascii="Times New Roman" w:hAnsi="Times New Roman" w:cs="Times New Roman"/>
      <w:b/>
      <w:sz w:val="32"/>
      <w:lang w:val="pl-PL"/>
    </w:rPr>
  </w:style>
  <w:style w:type="character" w:customStyle="1" w:styleId="HeaderSensitivityRightChar">
    <w:name w:val="Header Sensitivity Right Char"/>
    <w:rsid w:val="0043039B"/>
    <w:rPr>
      <w:rFonts w:ascii="Times New Roman" w:hAnsi="Times New Roman" w:cs="Times New Roman"/>
      <w:sz w:val="28"/>
      <w:lang w:val="pl-PL"/>
    </w:rPr>
  </w:style>
  <w:style w:type="paragraph" w:styleId="ListParagraph">
    <w:name w:val="List Paragraph"/>
    <w:basedOn w:val="Normal"/>
    <w:uiPriority w:val="34"/>
    <w:qFormat/>
    <w:rsid w:val="0043039B"/>
    <w:pPr>
      <w:ind w:left="720"/>
      <w:contextualSpacing/>
    </w:pPr>
  </w:style>
  <w:style w:type="character" w:customStyle="1" w:styleId="cf01">
    <w:name w:val="cf01"/>
    <w:basedOn w:val="DefaultParagraphFont"/>
    <w:rsid w:val="0043039B"/>
    <w:rPr>
      <w:rFonts w:ascii="Segoe UI" w:hAnsi="Segoe UI" w:cs="Segoe UI" w:hint="default"/>
      <w:sz w:val="18"/>
      <w:szCs w:val="18"/>
    </w:rPr>
  </w:style>
  <w:style w:type="character" w:customStyle="1" w:styleId="oj-super">
    <w:name w:val="oj-super"/>
    <w:basedOn w:val="DefaultParagraphFont"/>
    <w:rsid w:val="0043039B"/>
  </w:style>
  <w:style w:type="paragraph" w:customStyle="1" w:styleId="pf0">
    <w:name w:val="pf0"/>
    <w:basedOn w:val="Normal"/>
    <w:rsid w:val="0043039B"/>
    <w:pPr>
      <w:spacing w:before="100" w:beforeAutospacing="1" w:after="100" w:afterAutospacing="1"/>
      <w:jc w:val="left"/>
    </w:pPr>
    <w:rPr>
      <w:rFonts w:eastAsia="Times New Roman"/>
      <w:szCs w:val="24"/>
      <w:lang w:eastAsia="en-IE"/>
    </w:rPr>
  </w:style>
  <w:style w:type="character" w:customStyle="1" w:styleId="footnotereference">
    <w:name w:val="footnotereference"/>
    <w:basedOn w:val="DefaultParagraphFont"/>
    <w:rsid w:val="0043039B"/>
  </w:style>
  <w:style w:type="paragraph" w:customStyle="1" w:styleId="Normal1">
    <w:name w:val="Normal1"/>
    <w:basedOn w:val="Normal"/>
    <w:rsid w:val="0043039B"/>
    <w:pPr>
      <w:spacing w:before="100" w:beforeAutospacing="1" w:after="100" w:afterAutospacing="1"/>
      <w:jc w:val="left"/>
    </w:pPr>
    <w:rPr>
      <w:rFonts w:eastAsia="Times New Roman"/>
      <w:szCs w:val="24"/>
      <w:lang w:eastAsia="en-IE"/>
    </w:rPr>
  </w:style>
  <w:style w:type="paragraph" w:customStyle="1" w:styleId="title-bold">
    <w:name w:val="title-bold"/>
    <w:basedOn w:val="Normal"/>
    <w:rsid w:val="0043039B"/>
    <w:pPr>
      <w:spacing w:before="100" w:beforeAutospacing="1" w:after="100" w:afterAutospacing="1"/>
      <w:jc w:val="left"/>
    </w:pPr>
    <w:rPr>
      <w:rFonts w:eastAsia="Times New Roman"/>
      <w:szCs w:val="24"/>
      <w:lang w:eastAsia="en-IE"/>
    </w:rPr>
  </w:style>
  <w:style w:type="paragraph" w:styleId="NormalWeb">
    <w:name w:val="Normal (Web)"/>
    <w:basedOn w:val="Normal"/>
    <w:uiPriority w:val="99"/>
    <w:semiHidden/>
    <w:unhideWhenUsed/>
    <w:rsid w:val="0043039B"/>
    <w:pPr>
      <w:spacing w:before="100" w:beforeAutospacing="1" w:after="100" w:afterAutospacing="1"/>
      <w:jc w:val="left"/>
    </w:pPr>
    <w:rPr>
      <w:rFonts w:eastAsia="Times New Roman"/>
      <w:szCs w:val="24"/>
      <w:lang w:eastAsia="en-IE"/>
    </w:rPr>
  </w:style>
  <w:style w:type="character" w:styleId="Emphasis">
    <w:name w:val="Emphasis"/>
    <w:basedOn w:val="DefaultParagraphFont"/>
    <w:uiPriority w:val="20"/>
    <w:qFormat/>
    <w:rsid w:val="0043039B"/>
    <w:rPr>
      <w:i/>
      <w:iCs/>
    </w:rPr>
  </w:style>
  <w:style w:type="character" w:styleId="FootnoteReference0">
    <w:name w:val="footnote reference"/>
    <w:basedOn w:val="DefaultParagraphFont"/>
    <w:uiPriority w:val="99"/>
    <w:semiHidden/>
    <w:unhideWhenUsed/>
    <w:rPr>
      <w:shd w:val="clear" w:color="auto" w:fill="auto"/>
      <w:vertAlign w:val="superscript"/>
    </w:rPr>
  </w:style>
  <w:style w:type="character" w:customStyle="1" w:styleId="Mention1">
    <w:name w:val="Mention1"/>
    <w:basedOn w:val="DefaultParagraphFont"/>
    <w:uiPriority w:val="99"/>
    <w:unhideWhenUsed/>
    <w:rsid w:val="008360A1"/>
    <w:rPr>
      <w:color w:val="2B579A"/>
      <w:shd w:val="clear" w:color="auto" w:fill="E1DFDD"/>
    </w:rPr>
  </w:style>
  <w:style w:type="character" w:customStyle="1" w:styleId="UnresolvedMention1">
    <w:name w:val="Unresolved Mention1"/>
    <w:basedOn w:val="DefaultParagraphFont"/>
    <w:uiPriority w:val="99"/>
    <w:semiHidden/>
    <w:unhideWhenUsed/>
    <w:rsid w:val="008360A1"/>
    <w:rPr>
      <w:color w:val="605E5C"/>
      <w:shd w:val="clear" w:color="auto" w:fill="E1DFDD"/>
    </w:rPr>
  </w:style>
  <w:style w:type="character" w:customStyle="1" w:styleId="UnresolvedMention2">
    <w:name w:val="Unresolved Mention2"/>
    <w:basedOn w:val="DefaultParagraphFont"/>
    <w:uiPriority w:val="99"/>
    <w:semiHidden/>
    <w:unhideWhenUsed/>
    <w:rsid w:val="00002C89"/>
    <w:rPr>
      <w:color w:val="605E5C"/>
      <w:shd w:val="clear" w:color="auto" w:fill="E1DFDD"/>
    </w:rPr>
  </w:style>
  <w:style w:type="character" w:customStyle="1" w:styleId="UnresolvedMention3">
    <w:name w:val="Unresolved Mention3"/>
    <w:basedOn w:val="DefaultParagraphFont"/>
    <w:uiPriority w:val="99"/>
    <w:semiHidden/>
    <w:unhideWhenUsed/>
    <w:rsid w:val="00D96720"/>
    <w:rPr>
      <w:color w:val="605E5C"/>
      <w:shd w:val="clear" w:color="auto" w:fill="E1DFDD"/>
    </w:rPr>
  </w:style>
  <w:style w:type="character" w:customStyle="1" w:styleId="Mention2">
    <w:name w:val="Mention2"/>
    <w:basedOn w:val="DefaultParagraphFont"/>
    <w:uiPriority w:val="99"/>
    <w:unhideWhenUsed/>
    <w:rsid w:val="005F1A0D"/>
    <w:rPr>
      <w:color w:val="2B579A"/>
      <w:shd w:val="clear" w:color="auto" w:fill="E6E6E6"/>
    </w:rPr>
  </w:style>
  <w:style w:type="paragraph" w:styleId="Header">
    <w:name w:val="header"/>
    <w:basedOn w:val="Normal"/>
    <w:link w:val="HeaderChar"/>
    <w:uiPriority w:val="99"/>
    <w:unhideWhenUsed/>
    <w:rsid w:val="004E3534"/>
    <w:pPr>
      <w:tabs>
        <w:tab w:val="center" w:pos="4535"/>
        <w:tab w:val="right" w:pos="9071"/>
      </w:tabs>
      <w:spacing w:before="0"/>
    </w:pPr>
  </w:style>
  <w:style w:type="character" w:customStyle="1" w:styleId="HeaderChar">
    <w:name w:val="Header Char"/>
    <w:basedOn w:val="DefaultParagraphFont"/>
    <w:link w:val="Header"/>
    <w:uiPriority w:val="99"/>
    <w:rsid w:val="004E3534"/>
    <w:rPr>
      <w:rFonts w:ascii="Times New Roman" w:hAnsi="Times New Roman" w:cs="Times New Roman"/>
      <w:sz w:val="24"/>
      <w:lang w:val="pl-PL"/>
    </w:rPr>
  </w:style>
  <w:style w:type="paragraph" w:styleId="Footer">
    <w:name w:val="footer"/>
    <w:basedOn w:val="Normal"/>
    <w:link w:val="FooterChar"/>
    <w:uiPriority w:val="99"/>
    <w:unhideWhenUsed/>
    <w:rsid w:val="004E353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4E3534"/>
    <w:rPr>
      <w:rFonts w:ascii="Times New Roman" w:hAnsi="Times New Roman" w:cs="Times New Roman"/>
      <w:sz w:val="24"/>
      <w:lang w:val="pl-P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pl-PL"/>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pl-PL"/>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pl-PL"/>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pl-PL"/>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pl-PL"/>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pl-PL"/>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pl-PL"/>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4E3534"/>
    <w:pPr>
      <w:tabs>
        <w:tab w:val="center" w:pos="7285"/>
        <w:tab w:val="right" w:pos="14003"/>
      </w:tabs>
      <w:spacing w:before="0"/>
    </w:pPr>
  </w:style>
  <w:style w:type="paragraph" w:customStyle="1" w:styleId="FooterLandscape">
    <w:name w:val="FooterLandscape"/>
    <w:basedOn w:val="Normal"/>
    <w:rsid w:val="004E3534"/>
    <w:pPr>
      <w:tabs>
        <w:tab w:val="center" w:pos="7285"/>
        <w:tab w:val="center" w:pos="10913"/>
        <w:tab w:val="right" w:pos="15137"/>
      </w:tabs>
      <w:spacing w:before="360" w:after="0"/>
      <w:ind w:left="-567" w:right="-567"/>
      <w:jc w:val="left"/>
    </w:pPr>
  </w:style>
  <w:style w:type="paragraph" w:customStyle="1" w:styleId="HeaderSensitivity">
    <w:name w:val="Header Sensitivity"/>
    <w:basedOn w:val="Normal"/>
    <w:rsid w:val="004E353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4E3534"/>
    <w:pPr>
      <w:spacing w:before="0"/>
      <w:jc w:val="right"/>
    </w:pPr>
    <w:rPr>
      <w:sz w:val="28"/>
    </w:rPr>
  </w:style>
  <w:style w:type="paragraph" w:customStyle="1" w:styleId="FooterSensitivity">
    <w:name w:val="Footer Sensitivity"/>
    <w:basedOn w:val="Normal"/>
    <w:rsid w:val="004E353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Tiret5">
    <w:name w:val="Tiret 5"/>
    <w:basedOn w:val="Point5"/>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NumPar5">
    <w:name w:val="NumPar 5"/>
    <w:basedOn w:val="Normal"/>
    <w:next w:val="Text2"/>
    <w:pPr>
      <w:numPr>
        <w:ilvl w:val="4"/>
        <w:numId w:val="28"/>
      </w:numPr>
    </w:pPr>
  </w:style>
  <w:style w:type="paragraph" w:customStyle="1" w:styleId="NumPar6">
    <w:name w:val="NumPar 6"/>
    <w:basedOn w:val="Normal"/>
    <w:next w:val="Text2"/>
    <w:pPr>
      <w:numPr>
        <w:ilvl w:val="5"/>
        <w:numId w:val="28"/>
      </w:numPr>
    </w:pPr>
  </w:style>
  <w:style w:type="paragraph" w:customStyle="1" w:styleId="NumPar7">
    <w:name w:val="NumPar 7"/>
    <w:basedOn w:val="Normal"/>
    <w:next w:val="Text2"/>
    <w:pPr>
      <w:numPr>
        <w:ilvl w:val="6"/>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5C5F8F"/>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60680">
      <w:bodyDiv w:val="1"/>
      <w:marLeft w:val="0"/>
      <w:marRight w:val="0"/>
      <w:marTop w:val="0"/>
      <w:marBottom w:val="0"/>
      <w:divBdr>
        <w:top w:val="none" w:sz="0" w:space="0" w:color="auto"/>
        <w:left w:val="none" w:sz="0" w:space="0" w:color="auto"/>
        <w:bottom w:val="none" w:sz="0" w:space="0" w:color="auto"/>
        <w:right w:val="none" w:sz="0" w:space="0" w:color="auto"/>
      </w:divBdr>
    </w:div>
    <w:div w:id="138304498">
      <w:bodyDiv w:val="1"/>
      <w:marLeft w:val="0"/>
      <w:marRight w:val="0"/>
      <w:marTop w:val="0"/>
      <w:marBottom w:val="0"/>
      <w:divBdr>
        <w:top w:val="none" w:sz="0" w:space="0" w:color="auto"/>
        <w:left w:val="none" w:sz="0" w:space="0" w:color="auto"/>
        <w:bottom w:val="none" w:sz="0" w:space="0" w:color="auto"/>
        <w:right w:val="none" w:sz="0" w:space="0" w:color="auto"/>
      </w:divBdr>
    </w:div>
    <w:div w:id="223032771">
      <w:bodyDiv w:val="1"/>
      <w:marLeft w:val="0"/>
      <w:marRight w:val="0"/>
      <w:marTop w:val="0"/>
      <w:marBottom w:val="0"/>
      <w:divBdr>
        <w:top w:val="none" w:sz="0" w:space="0" w:color="auto"/>
        <w:left w:val="none" w:sz="0" w:space="0" w:color="auto"/>
        <w:bottom w:val="none" w:sz="0" w:space="0" w:color="auto"/>
        <w:right w:val="none" w:sz="0" w:space="0" w:color="auto"/>
      </w:divBdr>
    </w:div>
    <w:div w:id="566571111">
      <w:bodyDiv w:val="1"/>
      <w:marLeft w:val="0"/>
      <w:marRight w:val="0"/>
      <w:marTop w:val="0"/>
      <w:marBottom w:val="0"/>
      <w:divBdr>
        <w:top w:val="none" w:sz="0" w:space="0" w:color="auto"/>
        <w:left w:val="none" w:sz="0" w:space="0" w:color="auto"/>
        <w:bottom w:val="none" w:sz="0" w:space="0" w:color="auto"/>
        <w:right w:val="none" w:sz="0" w:space="0" w:color="auto"/>
      </w:divBdr>
    </w:div>
    <w:div w:id="924995215">
      <w:bodyDiv w:val="1"/>
      <w:marLeft w:val="0"/>
      <w:marRight w:val="0"/>
      <w:marTop w:val="0"/>
      <w:marBottom w:val="0"/>
      <w:divBdr>
        <w:top w:val="none" w:sz="0" w:space="0" w:color="auto"/>
        <w:left w:val="none" w:sz="0" w:space="0" w:color="auto"/>
        <w:bottom w:val="none" w:sz="0" w:space="0" w:color="auto"/>
        <w:right w:val="none" w:sz="0" w:space="0" w:color="auto"/>
      </w:divBdr>
    </w:div>
    <w:div w:id="944193576">
      <w:bodyDiv w:val="1"/>
      <w:marLeft w:val="0"/>
      <w:marRight w:val="0"/>
      <w:marTop w:val="0"/>
      <w:marBottom w:val="0"/>
      <w:divBdr>
        <w:top w:val="none" w:sz="0" w:space="0" w:color="auto"/>
        <w:left w:val="none" w:sz="0" w:space="0" w:color="auto"/>
        <w:bottom w:val="none" w:sz="0" w:space="0" w:color="auto"/>
        <w:right w:val="none" w:sz="0" w:space="0" w:color="auto"/>
      </w:divBdr>
    </w:div>
    <w:div w:id="1040478036">
      <w:bodyDiv w:val="1"/>
      <w:marLeft w:val="0"/>
      <w:marRight w:val="0"/>
      <w:marTop w:val="0"/>
      <w:marBottom w:val="0"/>
      <w:divBdr>
        <w:top w:val="none" w:sz="0" w:space="0" w:color="auto"/>
        <w:left w:val="none" w:sz="0" w:space="0" w:color="auto"/>
        <w:bottom w:val="none" w:sz="0" w:space="0" w:color="auto"/>
        <w:right w:val="none" w:sz="0" w:space="0" w:color="auto"/>
      </w:divBdr>
    </w:div>
    <w:div w:id="1124956408">
      <w:bodyDiv w:val="1"/>
      <w:marLeft w:val="0"/>
      <w:marRight w:val="0"/>
      <w:marTop w:val="0"/>
      <w:marBottom w:val="0"/>
      <w:divBdr>
        <w:top w:val="none" w:sz="0" w:space="0" w:color="auto"/>
        <w:left w:val="none" w:sz="0" w:space="0" w:color="auto"/>
        <w:bottom w:val="none" w:sz="0" w:space="0" w:color="auto"/>
        <w:right w:val="none" w:sz="0" w:space="0" w:color="auto"/>
      </w:divBdr>
    </w:div>
    <w:div w:id="1389109497">
      <w:bodyDiv w:val="1"/>
      <w:marLeft w:val="0"/>
      <w:marRight w:val="0"/>
      <w:marTop w:val="0"/>
      <w:marBottom w:val="0"/>
      <w:divBdr>
        <w:top w:val="none" w:sz="0" w:space="0" w:color="auto"/>
        <w:left w:val="none" w:sz="0" w:space="0" w:color="auto"/>
        <w:bottom w:val="none" w:sz="0" w:space="0" w:color="auto"/>
        <w:right w:val="none" w:sz="0" w:space="0" w:color="auto"/>
      </w:divBdr>
    </w:div>
    <w:div w:id="1406992674">
      <w:bodyDiv w:val="1"/>
      <w:marLeft w:val="0"/>
      <w:marRight w:val="0"/>
      <w:marTop w:val="0"/>
      <w:marBottom w:val="0"/>
      <w:divBdr>
        <w:top w:val="none" w:sz="0" w:space="0" w:color="auto"/>
        <w:left w:val="none" w:sz="0" w:space="0" w:color="auto"/>
        <w:bottom w:val="none" w:sz="0" w:space="0" w:color="auto"/>
        <w:right w:val="none" w:sz="0" w:space="0" w:color="auto"/>
      </w:divBdr>
    </w:div>
    <w:div w:id="168690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ur-lex.europa.eu/eli/reg/2019/1896/oj?locale=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uropol.europa.eu/sites/default/files/documents/decision_of_the_europol_management_board_on_the_adoption_of_the_financial_regulation_applicable_to_europol_.pdf" TargetMode="External"/><Relationship Id="rId3" Type="http://schemas.openxmlformats.org/officeDocument/2006/relationships/hyperlink" Target="http://data.europa.eu/eli/reg/2018/1725/oj" TargetMode="External"/><Relationship Id="rId7" Type="http://schemas.openxmlformats.org/officeDocument/2006/relationships/hyperlink" Target="https://myintracomm.ec.europa.eu/corp/budget/financial-rules/budget-implementation/Pages/implementation-methods.aspx" TargetMode="External"/><Relationship Id="rId2" Type="http://schemas.openxmlformats.org/officeDocument/2006/relationships/hyperlink" Target="https://eur-lex.europa.eu/eli/reg/2019/1896/oj?locale=pl" TargetMode="External"/><Relationship Id="rId1" Type="http://schemas.openxmlformats.org/officeDocument/2006/relationships/hyperlink" Target="http://data.europa.eu/eli/reg/2016/794/oj" TargetMode="External"/><Relationship Id="rId6" Type="http://schemas.openxmlformats.org/officeDocument/2006/relationships/hyperlink" Target="https://www.europol.europa.eu/crime-areas-and-statistics/empact" TargetMode="External"/><Relationship Id="rId5" Type="http://schemas.openxmlformats.org/officeDocument/2006/relationships/hyperlink" Target="http://data.europa.eu/eli/reg/2018/1725/oj" TargetMode="External"/><Relationship Id="rId4" Type="http://schemas.openxmlformats.org/officeDocument/2006/relationships/hyperlink" Target="http://data.europa.eu/eli/dir/2014/36/oj" TargetMode="External"/><Relationship Id="rId9" Type="http://schemas.openxmlformats.org/officeDocument/2006/relationships/hyperlink" Target="https://europa.eu/european-union/sites/europaeu/files/docs/body/joint_statement_and_common_approach_2012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84C69-2903-4D73-B9D8-CE0749D9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68</Pages>
  <Words>20261</Words>
  <Characters>141630</Characters>
  <Application>Microsoft Office Word</Application>
  <DocSecurity>0</DocSecurity>
  <Lines>2723</Lines>
  <Paragraphs>993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2023-11-27T18:16:00Z</dcterms:created>
  <dcterms:modified xsi:type="dcterms:W3CDTF">2024-01-15T13:14:00Z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9.0, Build 20230317</vt:lpwstr>
  </property>
  <property fmtid="{D5CDD505-2E9C-101B-9397-08002B2CF9AE}" pid="3" name="MSIP_Label_6bd9ddd1-4d20-43f6-abfa-fc3c07406f94_Enabled">
    <vt:lpwstr>true</vt:lpwstr>
  </property>
  <property fmtid="{D5CDD505-2E9C-101B-9397-08002B2CF9AE}" pid="4" name="MSIP_Label_6bd9ddd1-4d20-43f6-abfa-fc3c07406f94_SetDate">
    <vt:lpwstr>2023-11-25T09:19:27Z</vt:lpwstr>
  </property>
  <property fmtid="{D5CDD505-2E9C-101B-9397-08002B2CF9AE}" pid="5" name="MSIP_Label_6bd9ddd1-4d20-43f6-abfa-fc3c07406f94_Method">
    <vt:lpwstr>Privileged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6aea6113-5fc5-4a3b-a04a-889d628d3e07</vt:lpwstr>
  </property>
  <property fmtid="{D5CDD505-2E9C-101B-9397-08002B2CF9AE}" pid="9" name="MSIP_Label_6bd9ddd1-4d20-43f6-abfa-fc3c07406f94_ContentBits">
    <vt:lpwstr>0</vt:lpwstr>
  </property>
  <property fmtid="{D5CDD505-2E9C-101B-9397-08002B2CF9AE}" pid="10" name="Category">
    <vt:lpwstr>COM/PL/ORG</vt:lpwstr>
  </property>
  <property fmtid="{D5CDD505-2E9C-101B-9397-08002B2CF9AE}" pid="11" name="Level of sensitivity">
    <vt:lpwstr>Standard treatment</vt:lpwstr>
  </property>
  <property fmtid="{D5CDD505-2E9C-101B-9397-08002B2CF9AE}" pid="12" name="Part">
    <vt:lpwstr>1</vt:lpwstr>
  </property>
  <property fmtid="{D5CDD505-2E9C-101B-9397-08002B2CF9AE}" pid="13" name="Total parts">
    <vt:lpwstr>1</vt:lpwstr>
  </property>
  <property fmtid="{D5CDD505-2E9C-101B-9397-08002B2CF9AE}" pid="14" name="LWTemplateID">
    <vt:lpwstr>SJ-023</vt:lpwstr>
  </property>
  <property fmtid="{D5CDD505-2E9C-101B-9397-08002B2CF9AE}" pid="15" name="DQCStatus">
    <vt:lpwstr>Green (DQC version 03)</vt:lpwstr>
  </property>
</Properties>
</file>