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3DA55" w14:textId="5F3CC16E" w:rsidR="00C619B5" w:rsidRPr="00E03D97" w:rsidRDefault="009534AE" w:rsidP="009534AE">
      <w:pPr>
        <w:pStyle w:val="Pagedecouverture"/>
        <w:rPr>
          <w:noProof/>
        </w:rPr>
      </w:pPr>
      <w:bookmarkStart w:id="0" w:name="LW_BM_COVERPAGE"/>
      <w:r>
        <w:rPr>
          <w:noProof/>
        </w:rPr>
        <w:pict w14:anchorId="0B676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697F2E2-ECAC-4E84-917B-DE09856885BE" style="width:455.25pt;height:336.75pt">
            <v:imagedata r:id="rId8" o:title=""/>
          </v:shape>
        </w:pict>
      </w:r>
    </w:p>
    <w:bookmarkEnd w:id="0"/>
    <w:p w14:paraId="54D93261" w14:textId="77777777" w:rsidR="00C619B5" w:rsidRPr="00E03D97" w:rsidRDefault="00C619B5" w:rsidP="00C619B5">
      <w:pPr>
        <w:rPr>
          <w:noProof/>
        </w:rPr>
        <w:sectPr w:rsidR="00C619B5" w:rsidRPr="00E03D97" w:rsidSect="009534A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08FCA05" w14:textId="77777777" w:rsidR="001F1738" w:rsidRPr="00EF5A88"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sv-SE"/>
        </w:rPr>
      </w:pPr>
      <w:bookmarkStart w:id="1" w:name="_GoBack"/>
      <w:bookmarkEnd w:id="1"/>
      <w:r w:rsidRPr="00EF5A88">
        <w:rPr>
          <w:rFonts w:ascii="Times New Roman" w:hAnsi="Times New Roman"/>
          <w:noProof/>
          <w:sz w:val="24"/>
          <w:lang w:val="sv-SE"/>
        </w:rPr>
        <w:lastRenderedPageBreak/>
        <w:t>1. INLEDNING</w:t>
      </w:r>
    </w:p>
    <w:p w14:paraId="0745FB22" w14:textId="546F2A8C"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Europeiska unionen (EU) har gjort stora framsteg när det gäller att stärka sin beredskap att stå emot allvarliga gränsöverskridande hot mot människors hälsa. I december 2023 var det fyra år sedan SARS-CoV-2 upptäcktes för första gången, vilket så småningom ledde till en fullskalig pandemi och en global hälsokris utan motstycke. Sedan dess har många initiativ och lärdomar kommit till uttryck i ny EU-lagstiftning för att stärka vårt kollektiva försvar och vår beredskap mot pandemier och andra allvarliga hot mot hälsan, t.ex. klimatförändringarna.</w:t>
      </w:r>
    </w:p>
    <w:p w14:paraId="22C00E9C" w14:textId="03D3249F"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 december 2023 firas också den första årsdagen av ikraftträdandet av en viktig rättsakt inom EU:s ram för hälsosäkerhet: förordning (EU) 2022/2371 om allvarliga gränsöverskridande hot mot människors hälsa</w:t>
      </w:r>
      <w:r>
        <w:rPr>
          <w:rFonts w:ascii="Times New Roman" w:eastAsia="Times New Roman" w:hAnsi="Times New Roman" w:cs="Times New Roman"/>
          <w:noProof/>
          <w:sz w:val="24"/>
          <w:vertAlign w:val="superscript"/>
        </w:rPr>
        <w:footnoteReference w:id="1"/>
      </w:r>
      <w:r w:rsidRPr="00EF5A88">
        <w:rPr>
          <w:rFonts w:ascii="Times New Roman" w:hAnsi="Times New Roman"/>
          <w:noProof/>
          <w:sz w:val="24"/>
          <w:lang w:val="sv-SE"/>
        </w:rPr>
        <w:t>. Kommissionen föreslog förordningen redan 2020 som en del av den första pelaren i den europeiska hälsounionen, tillsammans med förslag om utökat mandat för två viktiga EU-byråer på hälsoområdet: Europeiska centrumet för förebyggande och kontroll av sjukdomar (ECDC) och Europeiska läkemedelsmyndigheten (EMA). Förordningen har inneburit en uppgradering av de befintliga mekanismerna på EU-nivå för förebyggande, beredskap, övervakning, tidig varning och insatser på folkhälsoområdet och har blivit ryggraden i EU:s hälsosäkerhetsstruktur. Den europeiska hälsounionen – vars grund lades medan vi fortfarande genomgick den exempellösa covid-19-krisen – är nu i drift och ger resultat, bland annat kommissionens myndighet för beredskap och insatser vid hälsokriser (Hera), som inrättades i september 2021</w:t>
      </w:r>
      <w:r>
        <w:rPr>
          <w:rStyle w:val="FootnoteReference"/>
          <w:rFonts w:ascii="Times New Roman" w:eastAsia="Times New Roman" w:hAnsi="Times New Roman" w:cs="Times New Roman"/>
          <w:noProof/>
          <w:sz w:val="24"/>
        </w:rPr>
        <w:footnoteReference w:id="2"/>
      </w:r>
      <w:r w:rsidRPr="00EF5A88">
        <w:rPr>
          <w:rFonts w:ascii="Times New Roman" w:hAnsi="Times New Roman"/>
          <w:noProof/>
          <w:sz w:val="24"/>
          <w:lang w:val="sv-SE"/>
        </w:rPr>
        <w:t>. I denna rapport beskrivs denna viktiga utveckling fram till i dag.</w:t>
      </w:r>
    </w:p>
    <w:p w14:paraId="3CFD468C" w14:textId="7BC2B5DA"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Det politiska åtagandet att utarbeta en årlig rapport om beredskapsnivån för hälsa som visar det övergripande förändrade risklandskapet i EU och beredskapsnivån för hälsa tillkännagavs i kommissionens meddelande </w:t>
      </w:r>
      <w:r w:rsidRPr="00EF5A88">
        <w:rPr>
          <w:rFonts w:ascii="Times New Roman" w:hAnsi="Times New Roman"/>
          <w:i/>
          <w:iCs/>
          <w:noProof/>
          <w:sz w:val="24"/>
          <w:lang w:val="sv-SE"/>
        </w:rPr>
        <w:t>De första lärdomarna från covid-19-pandemin</w:t>
      </w:r>
      <w:r w:rsidRPr="00EF5A88">
        <w:rPr>
          <w:rFonts w:ascii="Times New Roman" w:hAnsi="Times New Roman"/>
          <w:noProof/>
          <w:sz w:val="24"/>
          <w:lang w:val="sv-SE"/>
        </w:rPr>
        <w:t xml:space="preserve"> från 2021</w:t>
      </w:r>
      <w:r>
        <w:rPr>
          <w:rFonts w:ascii="Times New Roman" w:eastAsiaTheme="minorEastAsia" w:hAnsi="Times New Roman" w:cs="Times New Roman"/>
          <w:noProof/>
          <w:sz w:val="24"/>
          <w:vertAlign w:val="superscript"/>
        </w:rPr>
        <w:footnoteReference w:id="3"/>
      </w:r>
      <w:r w:rsidRPr="00EF5A88">
        <w:rPr>
          <w:rFonts w:ascii="Times New Roman" w:hAnsi="Times New Roman"/>
          <w:noProof/>
          <w:sz w:val="24"/>
          <w:lang w:val="sv-SE"/>
        </w:rPr>
        <w:t>. Den första upplagan av rapporten om beredskapsnivån för hälsa</w:t>
      </w:r>
      <w:r>
        <w:rPr>
          <w:rFonts w:ascii="Times New Roman" w:eastAsia="Times New Roman" w:hAnsi="Times New Roman" w:cs="Times New Roman"/>
          <w:noProof/>
          <w:sz w:val="24"/>
          <w:vertAlign w:val="superscript"/>
        </w:rPr>
        <w:footnoteReference w:id="4"/>
      </w:r>
      <w:r w:rsidRPr="00EF5A88">
        <w:rPr>
          <w:rFonts w:ascii="Times New Roman" w:hAnsi="Times New Roman"/>
          <w:noProof/>
          <w:sz w:val="24"/>
          <w:lang w:val="sv-SE"/>
        </w:rPr>
        <w:t xml:space="preserve"> offentliggjordes 2022 och var inriktad på beredskapsförmåga när det gäller medicinska motåtgärder. Det främsta målet med årets rapport är att kartlägga de EU-åtgärder som har vidtagits för att hantera allvarliga gränsöverskridande hot mot människors hälsa, med fokus på åtgärder för genomförande av förordning (EU) 2022/2371 (sådan rapportering är i själva verket ett krav enligt artikel 9</w:t>
      </w:r>
      <w:r>
        <w:rPr>
          <w:rFonts w:ascii="Times New Roman" w:eastAsia="Times New Roman" w:hAnsi="Times New Roman" w:cs="Times New Roman"/>
          <w:noProof/>
          <w:sz w:val="24"/>
          <w:vertAlign w:val="superscript"/>
        </w:rPr>
        <w:footnoteReference w:id="5"/>
      </w:r>
      <w:r w:rsidRPr="00EF5A88">
        <w:rPr>
          <w:rFonts w:ascii="Times New Roman" w:hAnsi="Times New Roman"/>
          <w:noProof/>
          <w:sz w:val="24"/>
          <w:lang w:val="sv-SE"/>
        </w:rPr>
        <w:t>). Det andra målet i 2023 års rapport är att beskriva relevanta pågående initiativ och insatser som har nära kopplingar till varandra men som till exempel samordnas av kommissionens avdelningar utanför folkhälsoområdet. Genom att visa dessa kopplingar kartlägger rapporten EU:s insatser för att öka hälsosäkerheten och betonar vikten av att tillämpa en One health-modell</w:t>
      </w:r>
      <w:r>
        <w:rPr>
          <w:rStyle w:val="FootnoteReference"/>
          <w:rFonts w:ascii="Times New Roman" w:eastAsia="Times New Roman" w:hAnsi="Times New Roman" w:cs="Times New Roman"/>
          <w:noProof/>
          <w:sz w:val="24"/>
        </w:rPr>
        <w:footnoteReference w:id="6"/>
      </w:r>
      <w:r w:rsidRPr="00EF5A88">
        <w:rPr>
          <w:rFonts w:ascii="Times New Roman" w:hAnsi="Times New Roman"/>
          <w:noProof/>
          <w:sz w:val="24"/>
          <w:lang w:val="sv-SE"/>
        </w:rPr>
        <w:t>. EU och många regeringar, organisationer och globala industrier inser värdet av One health-modellen på grund av dess avgörande inverkan på det övergripande arbetet med förebyggande, beredskap och riskbedömning.</w:t>
      </w:r>
    </w:p>
    <w:p w14:paraId="5C54852A" w14:textId="1634DE8E" w:rsidR="00BB0DE4" w:rsidRPr="00EF5A88" w:rsidRDefault="00BB0DE4" w:rsidP="001F1738">
      <w:pPr>
        <w:spacing w:before="100" w:beforeAutospacing="1" w:after="100" w:afterAutospacing="1" w:line="240" w:lineRule="auto"/>
        <w:jc w:val="both"/>
        <w:rPr>
          <w:rFonts w:ascii="Times New Roman" w:eastAsia="Times New Roman" w:hAnsi="Times New Roman" w:cs="Times New Roman"/>
          <w:noProof/>
          <w:sz w:val="24"/>
          <w:lang w:val="sv-SE"/>
        </w:rPr>
      </w:pPr>
    </w:p>
    <w:p w14:paraId="054ABB5E" w14:textId="77777777" w:rsidR="00031422" w:rsidRPr="00EF5A88" w:rsidRDefault="00031422" w:rsidP="001F1738">
      <w:pPr>
        <w:spacing w:before="100" w:beforeAutospacing="1" w:after="100" w:afterAutospacing="1" w:line="240" w:lineRule="auto"/>
        <w:jc w:val="both"/>
        <w:rPr>
          <w:rFonts w:ascii="Times New Roman" w:eastAsia="Times New Roman" w:hAnsi="Times New Roman" w:cs="Times New Roman"/>
          <w:noProof/>
          <w:sz w:val="24"/>
          <w:lang w:val="sv-SE"/>
        </w:rPr>
      </w:pPr>
    </w:p>
    <w:p w14:paraId="13517746" w14:textId="77777777"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2. FÖREBYGGANDE </w:t>
      </w:r>
      <w:bookmarkStart w:id="2" w:name="_Toc145428513"/>
    </w:p>
    <w:p w14:paraId="37597B31" w14:textId="44FA6307" w:rsidR="001F1738" w:rsidRPr="00EF5A88" w:rsidRDefault="001F1738" w:rsidP="001F1738">
      <w:pPr>
        <w:spacing w:before="100" w:beforeAutospacing="1" w:after="100" w:afterAutospacing="1" w:line="240" w:lineRule="auto"/>
        <w:jc w:val="both"/>
        <w:rPr>
          <w:noProof/>
          <w:sz w:val="20"/>
          <w:lang w:val="sv-SE"/>
        </w:rPr>
      </w:pPr>
      <w:r w:rsidRPr="00EF5A88">
        <w:rPr>
          <w:rFonts w:ascii="Times New Roman" w:hAnsi="Times New Roman"/>
          <w:noProof/>
          <w:sz w:val="24"/>
          <w:lang w:val="sv-SE"/>
        </w:rPr>
        <w:t>Förebyggande är ett av de viktigaste stegen i krishanteringscykeln och omfattar alla åtgärder för att minimera bördan av hälsohot och minska riskfaktorerna i samband med dessa. I förordning (EU) 2022/2371 fastställs begreppet förebyggande utöver beredskap och insatser, vilket innebär en stark rättslig grund för att stärka arbetet på detta område. Förordning (EU) 2022/2371 omfattar ett brett spektrum av allvarliga gränsöverskridande hot mot folkhälsan: från smittsamma sjukdomar till kemiska och miljömässiga hot samt hot av okänt ursprung</w:t>
      </w:r>
      <w:r>
        <w:rPr>
          <w:rFonts w:ascii="Times New Roman" w:eastAsia="Times New Roman" w:hAnsi="Times New Roman" w:cs="Times New Roman"/>
          <w:noProof/>
          <w:sz w:val="24"/>
          <w:vertAlign w:val="superscript"/>
        </w:rPr>
        <w:footnoteReference w:id="7"/>
      </w:r>
      <w:r w:rsidRPr="00EF5A88">
        <w:rPr>
          <w:rFonts w:ascii="Times New Roman" w:hAnsi="Times New Roman"/>
          <w:noProof/>
          <w:sz w:val="24"/>
          <w:lang w:val="sv-SE"/>
        </w:rPr>
        <w:t xml:space="preserve">, vilket skapar en övergripande och flexibel ram för beredskap och insatser.  </w:t>
      </w:r>
      <w:bookmarkEnd w:id="2"/>
    </w:p>
    <w:p w14:paraId="7ED7DA91" w14:textId="58E5BBF9" w:rsidR="001F1738" w:rsidRPr="00EF5A88"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sv-SE"/>
        </w:rPr>
      </w:pPr>
      <w:r w:rsidRPr="00EF5A88">
        <w:rPr>
          <w:rFonts w:ascii="Times New Roman" w:hAnsi="Times New Roman"/>
          <w:b/>
          <w:noProof/>
          <w:sz w:val="24"/>
          <w:lang w:val="sv-SE"/>
        </w:rPr>
        <w:t>Vaccinering som en viktig förebyggande åtgärd</w:t>
      </w:r>
    </w:p>
    <w:p w14:paraId="39E8EFBA" w14:textId="2EC1CA16" w:rsidR="001F1738" w:rsidRPr="00EF5A88" w:rsidRDefault="00F82520"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Vaccinering är avgörande för att förhindra spridning av infektionssjukdomar. Under covid-19-pandemin visade det sig att EU:s vaccinstrategi</w:t>
      </w:r>
      <w:r>
        <w:rPr>
          <w:rFonts w:ascii="Times New Roman" w:eastAsia="Times New Roman" w:hAnsi="Times New Roman" w:cs="Times New Roman"/>
          <w:noProof/>
          <w:sz w:val="24"/>
          <w:vertAlign w:val="superscript"/>
        </w:rPr>
        <w:footnoteReference w:id="8"/>
      </w:r>
      <w:r w:rsidRPr="00EF5A88">
        <w:rPr>
          <w:rFonts w:ascii="Times New Roman" w:hAnsi="Times New Roman"/>
          <w:noProof/>
          <w:sz w:val="24"/>
          <w:lang w:val="sv-SE"/>
        </w:rPr>
        <w:t>, som säkerställer stöd till utvecklingen av vacciner och deras tillgänglighet för alla medlemsstater och de nationella vaccinationskampanjerna, avsevärt kunde ändra händelseförloppet och rädda tiotals miljoner liv globalt (uppskattningsvis 20 miljoner liv räddades bara under det första året</w:t>
      </w:r>
      <w:r>
        <w:rPr>
          <w:rFonts w:ascii="Times New Roman" w:eastAsia="Times New Roman" w:hAnsi="Times New Roman" w:cs="Times New Roman"/>
          <w:noProof/>
          <w:sz w:val="24"/>
          <w:vertAlign w:val="superscript"/>
        </w:rPr>
        <w:footnoteReference w:id="9"/>
      </w:r>
      <w:r w:rsidRPr="00EF5A88">
        <w:rPr>
          <w:rFonts w:ascii="Times New Roman" w:hAnsi="Times New Roman"/>
          <w:noProof/>
          <w:sz w:val="24"/>
          <w:lang w:val="sv-SE"/>
        </w:rPr>
        <w:t>). Covid-19 anses inte längre utgöra något internationellt hot mot människors hälsa</w:t>
      </w:r>
      <w:r>
        <w:rPr>
          <w:rFonts w:ascii="Times New Roman" w:eastAsia="Times New Roman" w:hAnsi="Times New Roman" w:cs="Times New Roman"/>
          <w:noProof/>
          <w:sz w:val="24"/>
          <w:vertAlign w:val="superscript"/>
        </w:rPr>
        <w:footnoteReference w:id="10"/>
      </w:r>
      <w:r w:rsidRPr="00EF5A88">
        <w:rPr>
          <w:rFonts w:ascii="Times New Roman" w:hAnsi="Times New Roman"/>
          <w:noProof/>
          <w:sz w:val="24"/>
          <w:lang w:val="sv-SE"/>
        </w:rPr>
        <w:t>, men ECDC betonar att ländernas fortsatta distribution av covid-19-vacciner (särskilt med inriktning på äldre vuxna och andra medicinska riskgrupper) fortfarande är avgörande för att minska allvarlig sjukdom, sjukhusinläggningar och dödsfall till följd av viruset</w:t>
      </w:r>
      <w:r>
        <w:rPr>
          <w:rFonts w:ascii="Times New Roman" w:eastAsia="Times New Roman" w:hAnsi="Times New Roman" w:cs="Times New Roman"/>
          <w:noProof/>
          <w:sz w:val="24"/>
          <w:vertAlign w:val="superscript"/>
        </w:rPr>
        <w:footnoteReference w:id="11"/>
      </w:r>
      <w:r w:rsidRPr="00EF5A88">
        <w:rPr>
          <w:rFonts w:ascii="Times New Roman" w:hAnsi="Times New Roman"/>
          <w:noProof/>
          <w:sz w:val="24"/>
          <w:lang w:val="sv-SE"/>
        </w:rPr>
        <w:t>. Kommissionen hjälper medlemsländerna att säkerställa en fortsatt tillgång till anpassade covid-19-vacciner.</w:t>
      </w:r>
    </w:p>
    <w:p w14:paraId="025FEE48" w14:textId="050D35AE" w:rsidR="00BC7FCB"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Kommissionen fortsätter också att vara aktiv inom vaccinationspolitiken efter covid-19 genom att hjälpa medlemsstaterna att öka sin vaccinationstäckning. I kommissionens meddelande och rådets rekommendation från 2018 om stärkt samarbete mot sjukdomar som kan förebyggas genom vaccination</w:t>
      </w:r>
      <w:r>
        <w:rPr>
          <w:rStyle w:val="FootnoteReference"/>
          <w:rFonts w:ascii="Times New Roman" w:eastAsia="Times New Roman" w:hAnsi="Times New Roman" w:cs="Times New Roman"/>
          <w:noProof/>
          <w:sz w:val="24"/>
        </w:rPr>
        <w:footnoteReference w:id="12"/>
      </w:r>
      <w:r w:rsidRPr="00EF5A88">
        <w:rPr>
          <w:rFonts w:ascii="Times New Roman" w:hAnsi="Times New Roman"/>
          <w:noProof/>
          <w:sz w:val="24"/>
          <w:lang w:val="sv-SE"/>
        </w:rPr>
        <w:t xml:space="preserve"> hänvisas till ett antal prioriteringar på detta område som kommissionen har genomfört på grundval av en allmänt tillgänglig färdplan</w:t>
      </w:r>
      <w:r>
        <w:rPr>
          <w:rFonts w:ascii="Times New Roman" w:eastAsia="Times New Roman" w:hAnsi="Times New Roman" w:cs="Times New Roman"/>
          <w:noProof/>
          <w:sz w:val="24"/>
          <w:vertAlign w:val="superscript"/>
        </w:rPr>
        <w:footnoteReference w:id="13"/>
      </w:r>
      <w:r w:rsidRPr="00EF5A88">
        <w:rPr>
          <w:rFonts w:ascii="Times New Roman" w:hAnsi="Times New Roman"/>
          <w:noProof/>
          <w:sz w:val="24"/>
          <w:lang w:val="sv-SE"/>
        </w:rPr>
        <w:t>. För att till exempel motverka vaccinationstveksamheten bland befolkningen, som utgör en allt större risk för folkhälsan, har kommissionen lanserat olika initiativ, till exempel beteendestudier</w:t>
      </w:r>
      <w:r>
        <w:rPr>
          <w:rFonts w:ascii="Times New Roman" w:eastAsia="Times New Roman" w:hAnsi="Times New Roman" w:cs="Times New Roman"/>
          <w:noProof/>
          <w:sz w:val="24"/>
          <w:vertAlign w:val="superscript"/>
        </w:rPr>
        <w:footnoteReference w:id="14"/>
      </w:r>
      <w:r w:rsidRPr="00EF5A88">
        <w:rPr>
          <w:rFonts w:ascii="Times New Roman" w:hAnsi="Times New Roman"/>
          <w:noProof/>
          <w:sz w:val="24"/>
          <w:vertAlign w:val="superscript"/>
          <w:lang w:val="sv-SE"/>
        </w:rPr>
        <w:t>,</w:t>
      </w:r>
      <w:r>
        <w:rPr>
          <w:rFonts w:ascii="Times New Roman" w:eastAsia="Times New Roman" w:hAnsi="Times New Roman" w:cs="Times New Roman"/>
          <w:noProof/>
          <w:sz w:val="24"/>
          <w:vertAlign w:val="superscript"/>
        </w:rPr>
        <w:footnoteReference w:id="15"/>
      </w:r>
      <w:r w:rsidRPr="00EF5A88">
        <w:rPr>
          <w:rFonts w:ascii="Times New Roman" w:hAnsi="Times New Roman"/>
          <w:noProof/>
          <w:sz w:val="24"/>
          <w:lang w:val="sv-SE"/>
        </w:rPr>
        <w:t>, koalitionen för vaccinering, som sammanför organisationer för hälso- och sjukvårdspersonal och studenter i EU för att förespråka vaccinering, och Europeiska vaccininformationsportalen</w:t>
      </w:r>
      <w:r>
        <w:rPr>
          <w:rFonts w:ascii="Times New Roman" w:eastAsia="Times New Roman" w:hAnsi="Times New Roman" w:cs="Times New Roman"/>
          <w:noProof/>
          <w:sz w:val="24"/>
          <w:vertAlign w:val="superscript"/>
        </w:rPr>
        <w:footnoteReference w:id="16"/>
      </w:r>
      <w:r w:rsidRPr="00EF5A88">
        <w:rPr>
          <w:rFonts w:ascii="Times New Roman" w:hAnsi="Times New Roman"/>
          <w:noProof/>
          <w:sz w:val="24"/>
          <w:lang w:val="sv-SE"/>
        </w:rPr>
        <w:t>, som är en källa till korrekt information om vaccination för allmänheten. För att fortsätta detta arbete ägnar sig en undergrupp till kommissionens expertgrupp för folkhälsa (PHEG)</w:t>
      </w:r>
      <w:r>
        <w:rPr>
          <w:rFonts w:ascii="Times New Roman" w:eastAsia="Times New Roman" w:hAnsi="Times New Roman" w:cs="Times New Roman"/>
          <w:noProof/>
          <w:sz w:val="24"/>
          <w:vertAlign w:val="superscript"/>
        </w:rPr>
        <w:footnoteReference w:id="17"/>
      </w:r>
      <w:r w:rsidRPr="00EF5A88">
        <w:rPr>
          <w:rFonts w:ascii="Times New Roman" w:hAnsi="Times New Roman"/>
          <w:noProof/>
          <w:sz w:val="24"/>
          <w:lang w:val="sv-SE"/>
        </w:rPr>
        <w:t xml:space="preserve"> åt vaccinering. Dessutom erbjuder ECDC numera allmänheten onlineutbildning om vaccinationstveksamhet och desinformation via sin virtuella akademi</w:t>
      </w:r>
      <w:r>
        <w:rPr>
          <w:rFonts w:ascii="Times New Roman" w:eastAsia="Times New Roman" w:hAnsi="Times New Roman" w:cs="Times New Roman"/>
          <w:noProof/>
          <w:sz w:val="24"/>
          <w:vertAlign w:val="superscript"/>
        </w:rPr>
        <w:footnoteReference w:id="18"/>
      </w:r>
      <w:r w:rsidRPr="00EF5A88">
        <w:rPr>
          <w:rFonts w:ascii="Times New Roman" w:hAnsi="Times New Roman"/>
          <w:noProof/>
          <w:sz w:val="24"/>
          <w:lang w:val="sv-SE"/>
        </w:rPr>
        <w:t xml:space="preserve"> och fortsätter att vara värd för samarbetet inom National Immunisation Technical Advisory Group (Nitag) mellan länder i Europeiska ekonomiska samarbetsområdet (EES), som bedömer vaccinationsbehoven och ger nationella regeringar råd om vaccinationsstrategier.</w:t>
      </w:r>
    </w:p>
    <w:p w14:paraId="38418092" w14:textId="556B8FFC"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Kommissionen håller på att utveckla en vaccinstrategi som är inriktad på prioriterade hot för vilka nya vacciner skulle behöva utvecklas eller befintliga vacciner skulle behöva förbättras. Dessutom finns det en stark koppling mellan kommissionens vaccinationsarbete och Europas plan mot cancer</w:t>
      </w:r>
      <w:r>
        <w:rPr>
          <w:rFonts w:ascii="Times New Roman" w:eastAsia="Times New Roman" w:hAnsi="Times New Roman" w:cs="Times New Roman"/>
          <w:noProof/>
          <w:sz w:val="24"/>
          <w:vertAlign w:val="superscript"/>
        </w:rPr>
        <w:footnoteReference w:id="19"/>
      </w:r>
      <w:r w:rsidRPr="00EF5A88">
        <w:rPr>
          <w:rFonts w:ascii="Times New Roman" w:hAnsi="Times New Roman"/>
          <w:noProof/>
          <w:sz w:val="24"/>
          <w:lang w:val="sv-SE"/>
        </w:rPr>
        <w:t xml:space="preserve">, vilket illustreras av ett kommande förslag till rådets rekommendation om cancer som kan förebyggas genom vaccination. </w:t>
      </w:r>
    </w:p>
    <w:p w14:paraId="31ABCBF6" w14:textId="77777777" w:rsidR="00412481" w:rsidRPr="00EF5A88"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Gränsöverskridande utbyte av vaccinationsdata med hälso- och sjukvårdspersonal på deras språk</w:t>
      </w:r>
    </w:p>
    <w:p w14:paraId="1A7FA272" w14:textId="26BC60DB" w:rsidR="00412481" w:rsidRPr="00EF5A88"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MinHälsa@EU lanserades för att göra det möjligt för hälso- och sjukvårdspersonal att på sitt eget språk få tillgång till e-hälsodata, inklusive vaccinationsjournaler, för patienter som reser eller flyttar från sitt hemland till en annan medlemsstat. Målet är att säkerställa kontinuitet i vården. Deltagandet är frivilligt (baserat på direktiv 2011/24/EU om patienträttigheter vid gränsöverskridande hälso- och sjukvård). I juli 2023 var elva medlemsstater redan anslutna till MinHälsa@EU och fler planerar att ansluta sig i framtiden. Enligt kommissionens förslag till förordning om ett europeiskt hälsodataområde, som medlagstiftarna för närvarande förhandlar fram, skulle medlemsstaternas deltagande i infrastrukturen MinHälsa@EU bli obligatoriskt. Inom ramen för arbetsprogrammet för EU4Health 2023 planeras direkta bidrag till medlemsstaternas myndigheter för utveckling och förbättring av MinHälsa@EU:s tjänster, inklusive vaccinationskortstjänster.</w:t>
      </w:r>
    </w:p>
    <w:p w14:paraId="614B0833" w14:textId="77777777" w:rsidR="00412481" w:rsidRPr="00EF5A88" w:rsidRDefault="00412481" w:rsidP="00412481">
      <w:pPr>
        <w:spacing w:after="0" w:line="240" w:lineRule="auto"/>
        <w:jc w:val="center"/>
        <w:rPr>
          <w:rFonts w:ascii="Times New Roman" w:eastAsia="Times New Roman" w:hAnsi="Times New Roman" w:cs="Times New Roman"/>
          <w:b/>
          <w:noProof/>
          <w:sz w:val="4"/>
          <w:lang w:val="sv-SE"/>
        </w:rPr>
      </w:pPr>
    </w:p>
    <w:p w14:paraId="6291086D" w14:textId="78DA1455" w:rsidR="00412481" w:rsidRPr="00EF5A88" w:rsidRDefault="00412481" w:rsidP="00412481">
      <w:pPr>
        <w:pBdr>
          <w:top w:val="single" w:sz="12" w:space="1" w:color="auto"/>
          <w:left w:val="single" w:sz="12" w:space="4" w:color="auto"/>
          <w:bottom w:val="single" w:sz="12" w:space="1" w:color="auto"/>
          <w:right w:val="single" w:sz="12" w:space="4" w:color="auto"/>
        </w:pBdr>
        <w:spacing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Övervakning av vacciner på EU-marknaden</w:t>
      </w:r>
    </w:p>
    <w:p w14:paraId="70FD2C30" w14:textId="77777777" w:rsidR="00412481" w:rsidRPr="00EF5A88"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Erfarenheterna av covid-19 har på nytt visat vikten av att övervaka vacciner efter det att de släppts ut på marknaden. Plattformen för vaccinövervakning lanserades därför som en samarbetsyta mellan ECDC och EMA för att ta itu med forskningsfrågor genom storskaliga EU-omfattande oberoende studier om vaccineffektivitet och säkerhetsövervakning. Det är nödvändigt att bygga upp kapaciteten i medlemsstaterna och skapa infrastrukturer, både på nationell och subnationell nivå, för att möjliggöra den hållbara och långsiktiga övervakning som krävs för att ge underlag för beslut som rör folkhälsa och reglering i fråga om vacciner på EU-marknaden och deras användning i verkliga miljöer.</w:t>
      </w:r>
    </w:p>
    <w:p w14:paraId="4298819D" w14:textId="296E4DF1" w:rsidR="001F1738" w:rsidRPr="00EF5A88" w:rsidRDefault="001F1738" w:rsidP="00031422">
      <w:pPr>
        <w:keepNext/>
        <w:keepLines/>
        <w:spacing w:before="480" w:after="100" w:afterAutospacing="1" w:line="240" w:lineRule="auto"/>
        <w:jc w:val="both"/>
        <w:outlineLvl w:val="2"/>
        <w:rPr>
          <w:rFonts w:ascii="Times New Roman" w:eastAsia="Times New Roman" w:hAnsi="Times New Roman" w:cs="Times New Roman"/>
          <w:noProof/>
          <w:sz w:val="24"/>
          <w:lang w:val="sv-SE"/>
        </w:rPr>
      </w:pPr>
      <w:r w:rsidRPr="00EF5A88">
        <w:rPr>
          <w:rFonts w:ascii="Times New Roman" w:hAnsi="Times New Roman"/>
          <w:b/>
          <w:noProof/>
          <w:sz w:val="24"/>
          <w:lang w:val="sv-SE"/>
        </w:rPr>
        <w:t>Bekämpa antimikrobiell resistens</w:t>
      </w:r>
    </w:p>
    <w:p w14:paraId="6FB1431E" w14:textId="29CA716B"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Antimikrobiell resistens är förmågan hos mikrober, som bakterier, virus och svampar, att utveckla resistens och övermanna de läkemedel som tagits fram för att döda dem. Antimikrobiell resistens hotar att kullkasta den moderna läkarvetenskapen som den ser ut i dag. De kommande åren kommer att bli avgörande när det gäller att säkerställa en återhållsam användning av, tillgång till och utveckling av verksamma antimikrobiella medel och det krävs därför en större medvetenhet om kampen mot antimikrobiell resistens. Uppskattningsvis dör minst 35 000 personer i EU/EES varje år som en direkt följd av resistenta infektioner. Det är fler än som sammanlagt dör av influensa, tuberkulos och hiv/aids, och antalet ökar</w:t>
      </w:r>
      <w:r>
        <w:rPr>
          <w:rFonts w:ascii="Times New Roman" w:eastAsia="Times New Roman" w:hAnsi="Times New Roman" w:cs="Times New Roman"/>
          <w:noProof/>
          <w:sz w:val="24"/>
          <w:vertAlign w:val="superscript"/>
        </w:rPr>
        <w:footnoteReference w:id="20"/>
      </w:r>
      <w:r w:rsidRPr="00EF5A88">
        <w:rPr>
          <w:rFonts w:ascii="Times New Roman" w:hAnsi="Times New Roman"/>
          <w:noProof/>
          <w:sz w:val="24"/>
          <w:lang w:val="sv-SE"/>
        </w:rPr>
        <w:t xml:space="preserve">. Antimikrobiell resistens är i allmänhetens ögon inte lika akut som covid-19 var, men den är inte längre en tyst pandemi och kräver brådskande åtgärder för att förhindra de katastrofala följder som för närvarande förutses. </w:t>
      </w:r>
    </w:p>
    <w:p w14:paraId="140D7619" w14:textId="4D0453F2"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Med utgångspunkt i EU:s handlingsplan mot antimikrobiell resistens</w:t>
      </w:r>
      <w:r>
        <w:rPr>
          <w:rFonts w:ascii="Times New Roman" w:eastAsia="Times New Roman" w:hAnsi="Times New Roman" w:cs="Times New Roman"/>
          <w:noProof/>
          <w:sz w:val="24"/>
          <w:vertAlign w:val="superscript"/>
        </w:rPr>
        <w:footnoteReference w:id="21"/>
      </w:r>
      <w:r w:rsidRPr="00EF5A88">
        <w:rPr>
          <w:rFonts w:ascii="Times New Roman" w:hAnsi="Times New Roman"/>
          <w:noProof/>
          <w:sz w:val="24"/>
          <w:lang w:val="sv-SE"/>
        </w:rPr>
        <w:t xml:space="preserve"> från 2017 föreslog kommissionen i april 2023 en rådsrekommendation som antogs i juni 2023</w:t>
      </w:r>
      <w:r>
        <w:rPr>
          <w:rFonts w:ascii="Times New Roman" w:eastAsia="Times New Roman" w:hAnsi="Times New Roman" w:cs="Times New Roman"/>
          <w:noProof/>
          <w:sz w:val="24"/>
          <w:vertAlign w:val="superscript"/>
        </w:rPr>
        <w:footnoteReference w:id="22"/>
      </w:r>
      <w:r w:rsidRPr="00EF5A88">
        <w:rPr>
          <w:rFonts w:ascii="Times New Roman" w:hAnsi="Times New Roman"/>
          <w:noProof/>
          <w:sz w:val="24"/>
          <w:lang w:val="sv-SE"/>
        </w:rPr>
        <w:t>. I den rekommenderas åtgärder för att med hjälp av One health-modellen bekämpa antimikrobiell resistens när det gäller människors och djurs hälsa och miljön. För första gången i EU innehåller rekommendationen EU-mål och nationella mål för att minska förbrukningen av antimikrobiella läkemedel och kontrollera spridningen av kritiska patogener för människors hälsa. Dessa rekommenderade mål, som utformats med stöd av ECDC, bör fungera som en drivkraft för nationella åtgärder och övervakning av framstegen under de kommande åren.</w:t>
      </w:r>
    </w:p>
    <w:p w14:paraId="2DE3E0DB" w14:textId="77777777" w:rsidR="00412481" w:rsidRPr="00EF5A88"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Fokus på: gemensam åtgärd mot antimikrobiell resistens</w:t>
      </w:r>
    </w:p>
    <w:p w14:paraId="1A360448" w14:textId="77777777" w:rsidR="00412481" w:rsidRPr="00EF5A88"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 mobiliserar också sina finansiella resurser för att stödja effektiva strategier och åtgärder mot antimikrobiell resistens. Inom ramen för programmet EU4Health investerades under de första tre åren (2021–2023) över 57 miljoner euro i kampen mot antimikrobiell resistens – framför allt en ny gemensam åtgärd mot antimikrobiell resistens som ska inledas 2024 och samla alla EU:s medlemsstater, Island, Norge och Ukraina i gemensamma insatser för att bekämpa antimikrobiell resistens inom ramen för One health-modellen.</w:t>
      </w:r>
    </w:p>
    <w:p w14:paraId="63785F3E" w14:textId="1C279E68" w:rsidR="001F1738" w:rsidRPr="00EF5A88" w:rsidRDefault="00C371B7"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För att motverka den ökande antimikrobiella resistensen är det viktigt att säkerställa såväl tillgång till befintliga antimikrobiella medel som utveckling av nya effektiva sådana. Den 26 april 2023 antog kommissionen förslag till ett nytt direktiv och en ny förordning för att se över och ersätta unionens befintliga allmänna läkemedelslagstiftning</w:t>
      </w:r>
      <w:r>
        <w:rPr>
          <w:rFonts w:ascii="Times New Roman" w:eastAsia="Times New Roman" w:hAnsi="Times New Roman" w:cs="Times New Roman"/>
          <w:noProof/>
          <w:sz w:val="24"/>
          <w:vertAlign w:val="superscript"/>
        </w:rPr>
        <w:footnoteReference w:id="23"/>
      </w:r>
      <w:r w:rsidRPr="00EF5A88">
        <w:rPr>
          <w:rFonts w:ascii="Times New Roman" w:hAnsi="Times New Roman"/>
          <w:noProof/>
          <w:sz w:val="24"/>
          <w:lang w:val="sv-SE"/>
        </w:rPr>
        <w:t>. Förslagen innehåller åtgärder för att förbättra innovationen och tillgången till läkemedel i EU, inklusive antimikrobiella medel. Vissa åtgärder är mot bakgrund av rådets ovannämnda rekommendation särskilt inriktade på antimikrobiell resistens och syftar till att främja en återhållsam användning av antimikrobiella medel och inbegriper överförbara vouchers för dataexklusivitet</w:t>
      </w:r>
      <w:r>
        <w:rPr>
          <w:rStyle w:val="FootnoteReference"/>
          <w:rFonts w:ascii="Times New Roman" w:eastAsia="Times New Roman" w:hAnsi="Times New Roman" w:cs="Times New Roman"/>
          <w:noProof/>
          <w:sz w:val="24"/>
        </w:rPr>
        <w:footnoteReference w:id="24"/>
      </w:r>
      <w:r w:rsidRPr="00EF5A88">
        <w:rPr>
          <w:rFonts w:ascii="Times New Roman" w:hAnsi="Times New Roman"/>
          <w:noProof/>
          <w:sz w:val="24"/>
          <w:lang w:val="sv-SE"/>
        </w:rPr>
        <w:t xml:space="preserve"> för att stimulera utvecklingen av nya antibiotika. Möjligheten att omfattas av vouchersystemet skulle begränsas till nya antimikrobiella medel som motverkar antimikrobiell resistens och de prioriterade patogener som erkänts av Världshälsoorganisationen (WHO). I rådets rekommendation om intensifiering av EU:s åtgärder för att bekämpa antimikrobiell resistens välkomnades också kommissionens avsikt att utforma ett multinationellt unionssystem med ”pull-incitament” för bättre innovation, utveckling av nya antimikrobiella medel och tillgång till befintliga och nya antimikrobiella medel, med ekonomiskt stöd från programmet EU4Health</w:t>
      </w:r>
      <w:r>
        <w:rPr>
          <w:rStyle w:val="FootnoteReference"/>
          <w:rFonts w:ascii="Times New Roman" w:eastAsia="Times New Roman" w:hAnsi="Times New Roman" w:cs="Times New Roman"/>
          <w:noProof/>
          <w:sz w:val="24"/>
        </w:rPr>
        <w:footnoteReference w:id="25"/>
      </w:r>
      <w:r w:rsidRPr="00EF5A88">
        <w:rPr>
          <w:rFonts w:ascii="Times New Roman" w:hAnsi="Times New Roman"/>
          <w:noProof/>
          <w:sz w:val="24"/>
          <w:lang w:val="sv-SE"/>
        </w:rPr>
        <w:t xml:space="preserve">. </w:t>
      </w:r>
    </w:p>
    <w:p w14:paraId="2A6557E9" w14:textId="01FEB5E5" w:rsidR="00DC40EF" w:rsidRPr="00EF5A88" w:rsidRDefault="00DC40EF"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När det gäller tillgången till befintliga antibiotika och förebyggande av brist på antibiotika under höst- och vintersäsongen 2023 övervakar kommissionen tillsammans med EMA tillgång och efterfrågan på viktiga antibiotika som används vid behandling av luftvägsinfektioner</w:t>
      </w:r>
      <w:r>
        <w:rPr>
          <w:rStyle w:val="FootnoteReference"/>
          <w:rFonts w:ascii="Times New Roman" w:eastAsia="Times New Roman" w:hAnsi="Times New Roman" w:cs="Times New Roman"/>
          <w:noProof/>
          <w:sz w:val="24"/>
        </w:rPr>
        <w:footnoteReference w:id="26"/>
      </w:r>
      <w:r w:rsidRPr="00EF5A88">
        <w:rPr>
          <w:rFonts w:ascii="Times New Roman" w:hAnsi="Times New Roman"/>
          <w:noProof/>
          <w:sz w:val="24"/>
          <w:lang w:val="sv-SE"/>
        </w:rPr>
        <w:t>. På grundval av resultaten av denna övervakning utfärdade EMA:s verkställande styrgrupp för läkemedelsbrist och läkemedelssäkerhet rekommendationer för att säkerställa tillgången på antibiotika för vilka risk för brist föreligger. Såsom tillkännages i meddelandet om hantering av läkemedelsbrister i EU</w:t>
      </w:r>
      <w:r>
        <w:rPr>
          <w:rStyle w:val="FootnoteReference"/>
          <w:rFonts w:ascii="Times New Roman" w:eastAsia="Times New Roman" w:hAnsi="Times New Roman" w:cs="Times New Roman"/>
          <w:noProof/>
          <w:sz w:val="24"/>
        </w:rPr>
        <w:footnoteReference w:id="27"/>
      </w:r>
      <w:r w:rsidRPr="00EF5A88">
        <w:rPr>
          <w:rFonts w:ascii="Times New Roman" w:hAnsi="Times New Roman"/>
          <w:noProof/>
          <w:sz w:val="24"/>
          <w:lang w:val="sv-SE"/>
        </w:rPr>
        <w:t xml:space="preserve"> kommer kommissionen och EMA att fortsätta att noga övervaka situationen.</w:t>
      </w:r>
    </w:p>
    <w:p w14:paraId="1BEAB647" w14:textId="0679CD0E"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Kommissionen stöder vidare genom sitt arbete utvecklingen av och tillgången till förebyggande, diagnostiska och terapeutiska medicinska motåtgärder mot antimikrobiell resistens. Detta stöd omfattar finansiering av internationella organ som WHO, det globala partnerskapet för forskning och utveckling inom antibiotika</w:t>
      </w:r>
      <w:r>
        <w:rPr>
          <w:rFonts w:ascii="Times New Roman" w:eastAsia="Times New Roman" w:hAnsi="Times New Roman" w:cs="Times New Roman"/>
          <w:noProof/>
          <w:sz w:val="24"/>
          <w:vertAlign w:val="superscript"/>
        </w:rPr>
        <w:footnoteReference w:id="28"/>
      </w:r>
      <w:r w:rsidRPr="00EF5A88">
        <w:rPr>
          <w:rFonts w:ascii="Times New Roman" w:hAnsi="Times New Roman"/>
          <w:noProof/>
          <w:sz w:val="24"/>
          <w:lang w:val="sv-SE"/>
        </w:rPr>
        <w:t xml:space="preserve"> och deras gemensamma initiativ Secure</w:t>
      </w:r>
      <w:r>
        <w:rPr>
          <w:rFonts w:ascii="Times New Roman" w:eastAsia="Times New Roman" w:hAnsi="Times New Roman" w:cs="Times New Roman"/>
          <w:noProof/>
          <w:sz w:val="24"/>
          <w:vertAlign w:val="superscript"/>
        </w:rPr>
        <w:footnoteReference w:id="29"/>
      </w:r>
      <w:r w:rsidRPr="00EF5A88">
        <w:rPr>
          <w:rFonts w:ascii="Times New Roman" w:hAnsi="Times New Roman"/>
          <w:noProof/>
          <w:sz w:val="24"/>
          <w:lang w:val="sv-SE"/>
        </w:rPr>
        <w:t>, som arbetar för att utveckla nya antibiotika</w:t>
      </w:r>
      <w:r>
        <w:rPr>
          <w:rFonts w:ascii="Times New Roman" w:eastAsia="Times New Roman" w:hAnsi="Times New Roman" w:cs="Times New Roman"/>
          <w:noProof/>
          <w:sz w:val="24"/>
          <w:vertAlign w:val="superscript"/>
        </w:rPr>
        <w:footnoteReference w:id="30"/>
      </w:r>
      <w:r w:rsidRPr="00EF5A88">
        <w:rPr>
          <w:rFonts w:ascii="Times New Roman" w:hAnsi="Times New Roman"/>
          <w:noProof/>
          <w:sz w:val="24"/>
          <w:lang w:val="sv-SE"/>
        </w:rPr>
        <w:t xml:space="preserve"> och vacciner mot infektioner med läkemedelsresistenta bakterier</w:t>
      </w:r>
      <w:r>
        <w:rPr>
          <w:rFonts w:ascii="Times New Roman" w:eastAsia="Times New Roman" w:hAnsi="Times New Roman" w:cs="Times New Roman"/>
          <w:noProof/>
          <w:sz w:val="24"/>
          <w:vertAlign w:val="superscript"/>
        </w:rPr>
        <w:footnoteReference w:id="31"/>
      </w:r>
      <w:r w:rsidRPr="00EF5A88">
        <w:rPr>
          <w:rFonts w:ascii="Times New Roman" w:hAnsi="Times New Roman"/>
          <w:noProof/>
          <w:sz w:val="24"/>
          <w:lang w:val="sv-SE"/>
        </w:rPr>
        <w:t>. Hera Invest – ett tillägg till InvestEU-programmet på 100 miljoner euro – som är inriktat på små och medelstora företag som utvecklar medicinska motåtgärder, kommer också att arbeta mot antimikrobiell resistens.</w:t>
      </w:r>
    </w:p>
    <w:p w14:paraId="165F72B9" w14:textId="54549049"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Samtidigt uppfyller EU:s ramprogram för forskning och innovation, Horisont Europa, målen i EU:s handlingsplan från 2017 och rådets rekommendation om antimikrobiell resistens från 2023. Under det gångna året har EU genom en samordnings- och stödåtgärd, DESIGN OH AMR (DESIGN One Health AntiMicrobial Resistance)</w:t>
      </w:r>
      <w:r>
        <w:rPr>
          <w:rFonts w:ascii="Times New Roman" w:eastAsia="Times New Roman" w:hAnsi="Times New Roman" w:cs="Times New Roman"/>
          <w:noProof/>
          <w:sz w:val="24"/>
          <w:vertAlign w:val="superscript"/>
        </w:rPr>
        <w:footnoteReference w:id="32"/>
      </w:r>
      <w:r w:rsidRPr="00EF5A88">
        <w:rPr>
          <w:rFonts w:ascii="Times New Roman" w:hAnsi="Times New Roman"/>
          <w:noProof/>
          <w:sz w:val="24"/>
          <w:lang w:val="sv-SE"/>
        </w:rPr>
        <w:t>, gett stöd för att utveckla ett europeiskt samfinansieringspartnerskap för forskning och innovation om antimikrobiell resistens baserad på One health-modellen, som ska inledas 2025 och till vilket EU förväntas bidra med 100 miljoner euro</w:t>
      </w:r>
      <w:r>
        <w:rPr>
          <w:rStyle w:val="FootnoteReference"/>
          <w:rFonts w:ascii="Times New Roman" w:eastAsiaTheme="minorEastAsia" w:hAnsi="Times New Roman" w:cs="Times New Roman"/>
          <w:noProof/>
          <w:sz w:val="24"/>
        </w:rPr>
        <w:footnoteReference w:id="33"/>
      </w:r>
      <w:r w:rsidRPr="00EF5A88">
        <w:rPr>
          <w:rFonts w:ascii="Times New Roman" w:hAnsi="Times New Roman"/>
          <w:noProof/>
          <w:sz w:val="24"/>
          <w:lang w:val="sv-SE"/>
        </w:rPr>
        <w:t>. EU har också fortsatt att tillhandahålla nästan 200 miljoner euro i finansiering av forsknings- och innovationsåtgärder mot antimikrobiell resistens baserade på One health-modellen sedan Horisont Europa-programmet inleddes</w:t>
      </w:r>
      <w:r>
        <w:rPr>
          <w:rFonts w:ascii="Times New Roman" w:eastAsiaTheme="minorEastAsia" w:hAnsi="Times New Roman" w:cs="Times New Roman"/>
          <w:noProof/>
          <w:sz w:val="24"/>
          <w:vertAlign w:val="superscript"/>
        </w:rPr>
        <w:footnoteReference w:id="34"/>
      </w:r>
      <w:r w:rsidRPr="00EF5A88">
        <w:rPr>
          <w:rFonts w:ascii="Times New Roman" w:hAnsi="Times New Roman"/>
          <w:noProof/>
          <w:sz w:val="24"/>
          <w:lang w:val="sv-SE"/>
        </w:rPr>
        <w:t>.</w:t>
      </w:r>
    </w:p>
    <w:p w14:paraId="7F2FFC58" w14:textId="6763CDD9" w:rsidR="00D00D56" w:rsidRPr="00EF5A88" w:rsidRDefault="001F1738" w:rsidP="00BC7FCB">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Utöver sina insatser för människors och djurs hälsa fortsätter kommissionen att erkänna miljön som en reservoar av resistens om vilken det krävs ytterligare kunskap, vilket konstateras i EU:s strategi om läkemedel i miljön</w:t>
      </w:r>
      <w:r>
        <w:rPr>
          <w:rFonts w:ascii="Times New Roman" w:eastAsia="Times New Roman" w:hAnsi="Times New Roman" w:cs="Times New Roman"/>
          <w:noProof/>
          <w:sz w:val="24"/>
          <w:vertAlign w:val="superscript"/>
        </w:rPr>
        <w:footnoteReference w:id="35"/>
      </w:r>
      <w:r w:rsidRPr="00EF5A88">
        <w:rPr>
          <w:rFonts w:ascii="Times New Roman" w:hAnsi="Times New Roman"/>
          <w:noProof/>
          <w:sz w:val="24"/>
          <w:lang w:val="sv-SE"/>
        </w:rPr>
        <w:t>. Genom initiativ inom ramen för den europeiska gröna given</w:t>
      </w:r>
      <w:r>
        <w:rPr>
          <w:rFonts w:ascii="Times New Roman" w:eastAsia="Times New Roman" w:hAnsi="Times New Roman" w:cs="Times New Roman"/>
          <w:noProof/>
          <w:sz w:val="24"/>
          <w:vertAlign w:val="superscript"/>
        </w:rPr>
        <w:footnoteReference w:id="36"/>
      </w:r>
      <w:r w:rsidRPr="00EF5A88">
        <w:rPr>
          <w:rFonts w:ascii="Times New Roman" w:hAnsi="Times New Roman"/>
          <w:noProof/>
          <w:sz w:val="24"/>
          <w:lang w:val="sv-SE"/>
        </w:rPr>
        <w:t>, i synnerhet handlingsplanen för nollförorening</w:t>
      </w:r>
      <w:r>
        <w:rPr>
          <w:rStyle w:val="FootnoteReference"/>
          <w:rFonts w:ascii="Times New Roman" w:eastAsia="Times New Roman" w:hAnsi="Times New Roman" w:cs="Times New Roman"/>
          <w:noProof/>
          <w:sz w:val="24"/>
        </w:rPr>
        <w:footnoteReference w:id="37"/>
      </w:r>
      <w:r w:rsidRPr="00EF5A88">
        <w:rPr>
          <w:rFonts w:ascii="Times New Roman" w:hAnsi="Times New Roman"/>
          <w:noProof/>
          <w:sz w:val="24"/>
          <w:lang w:val="sv-SE"/>
        </w:rPr>
        <w:t>, har kommissionen agerat på flera miljöområden. När det gäller vatten föreslår kommissionen en översyn av förteckningen över förorenande ämnen i grundvatten och ytvatten</w:t>
      </w:r>
      <w:r>
        <w:rPr>
          <w:rFonts w:ascii="Times New Roman" w:eastAsia="Times New Roman" w:hAnsi="Times New Roman" w:cs="Times New Roman"/>
          <w:noProof/>
          <w:sz w:val="24"/>
          <w:vertAlign w:val="superscript"/>
        </w:rPr>
        <w:footnoteReference w:id="38"/>
      </w:r>
      <w:r w:rsidRPr="00EF5A88">
        <w:rPr>
          <w:rFonts w:ascii="Times New Roman" w:hAnsi="Times New Roman"/>
          <w:noProof/>
          <w:sz w:val="24"/>
          <w:lang w:val="sv-SE"/>
        </w:rPr>
        <w:t>, inklusive ett antal ämnen och gener för antimikrobiell resistens. I kommissionens förslag till omarbetning av direktivet om rening av avloppsvatten från tätbebyggelse</w:t>
      </w:r>
      <w:r>
        <w:rPr>
          <w:rFonts w:ascii="Times New Roman" w:eastAsia="Times New Roman" w:hAnsi="Times New Roman" w:cs="Times New Roman"/>
          <w:noProof/>
          <w:sz w:val="24"/>
          <w:vertAlign w:val="superscript"/>
        </w:rPr>
        <w:footnoteReference w:id="39"/>
      </w:r>
      <w:r w:rsidRPr="00EF5A88">
        <w:rPr>
          <w:rFonts w:ascii="Times New Roman" w:hAnsi="Times New Roman"/>
          <w:noProof/>
          <w:sz w:val="24"/>
          <w:lang w:val="sv-SE"/>
        </w:rPr>
        <w:t xml:space="preserve"> fastställs också bland annat övervakning av hälsoparametrar i avloppsvatten från tätbebyggelse, däribland obligatorisk övervakning av antimikrobiell resistens för att förbättra EU:s beredskap mot pandemier eller andra större hot mot folkhälsan, som för närvarande sker när det gäller covid-19. </w:t>
      </w:r>
    </w:p>
    <w:p w14:paraId="1E81BDED" w14:textId="05E02C6F" w:rsidR="00BC7FCB" w:rsidRPr="00EF5A88" w:rsidRDefault="001F1738" w:rsidP="00BC7FCB">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När det gäller mark undersöker kommissionen med hjälp av markundersökningen Lucas 2018</w:t>
      </w:r>
      <w:r>
        <w:rPr>
          <w:rFonts w:ascii="Times New Roman" w:eastAsiaTheme="minorEastAsia" w:hAnsi="Times New Roman" w:cs="Times New Roman"/>
          <w:noProof/>
          <w:sz w:val="24"/>
          <w:vertAlign w:val="superscript"/>
        </w:rPr>
        <w:footnoteReference w:id="40"/>
      </w:r>
      <w:r w:rsidRPr="00EF5A88">
        <w:rPr>
          <w:rFonts w:ascii="Times New Roman" w:hAnsi="Times New Roman"/>
          <w:noProof/>
          <w:sz w:val="24"/>
          <w:lang w:val="sv-SE"/>
        </w:rPr>
        <w:t xml:space="preserve"> gener för antimikrobiell resistens i mikroorganismer i jordbruksmark. Rapporter väntas i slutet av 2023. De preliminära resultaten visar att över 600 prover innehöll påvisbara nivåer av gener för antimikrobiell resistens</w:t>
      </w:r>
      <w:r>
        <w:rPr>
          <w:rFonts w:ascii="Times New Roman" w:eastAsia="Times New Roman" w:hAnsi="Times New Roman" w:cs="Times New Roman"/>
          <w:noProof/>
          <w:sz w:val="24"/>
          <w:vertAlign w:val="superscript"/>
        </w:rPr>
        <w:footnoteReference w:id="41"/>
      </w:r>
      <w:r w:rsidRPr="00EF5A88">
        <w:rPr>
          <w:rFonts w:ascii="Times New Roman" w:hAnsi="Times New Roman"/>
          <w:noProof/>
          <w:sz w:val="24"/>
          <w:lang w:val="sv-SE"/>
        </w:rPr>
        <w:t>. Genom sitt förslag till förordning om restaurering av natur vill kommissionen också agera för att öka motståndskraften mot sådana gener genom att återställa hälsan hos ekosystem som kan fungera som ett hinder för spridningen av antimikrobiell resistens. Med hjälp av markundersökningen Lucas 2018 undersöker kommissionen dessutom gener för antibiotikasyntes (ABG) i mark som kan bidra till nya läkemedel. Resultaten av både generna för antimikrobiell resistens och antibiotikasyntes kommer att finnas hos EU:s markobservationsorgan (EUSO)</w:t>
      </w:r>
      <w:r>
        <w:rPr>
          <w:rStyle w:val="FootnoteReference"/>
          <w:rFonts w:ascii="Times New Roman" w:eastAsiaTheme="minorEastAsia" w:hAnsi="Times New Roman" w:cs="Times New Roman"/>
          <w:noProof/>
          <w:sz w:val="24"/>
        </w:rPr>
        <w:footnoteReference w:id="42"/>
      </w:r>
      <w:r w:rsidRPr="00EF5A88">
        <w:rPr>
          <w:rFonts w:ascii="Times New Roman" w:hAnsi="Times New Roman"/>
          <w:noProof/>
          <w:sz w:val="24"/>
          <w:lang w:val="sv-SE"/>
        </w:rPr>
        <w:t>.</w:t>
      </w:r>
    </w:p>
    <w:p w14:paraId="333B5703" w14:textId="216D172B" w:rsidR="00BC7FCB" w:rsidRPr="00EF5A88" w:rsidRDefault="001F1738" w:rsidP="00BC7FCB">
      <w:pPr>
        <w:spacing w:before="100" w:beforeAutospacing="1" w:after="100" w:afterAutospacing="1" w:line="240" w:lineRule="auto"/>
        <w:jc w:val="both"/>
        <w:rPr>
          <w:rFonts w:ascii="Times New Roman" w:eastAsia="Times New Roman" w:hAnsi="Times New Roman" w:cs="Times New Roman"/>
          <w:b/>
          <w:noProof/>
          <w:sz w:val="24"/>
          <w:lang w:val="sv-SE"/>
        </w:rPr>
      </w:pPr>
      <w:r w:rsidRPr="00EF5A88">
        <w:rPr>
          <w:rFonts w:ascii="Times New Roman" w:hAnsi="Times New Roman"/>
          <w:b/>
          <w:noProof/>
          <w:sz w:val="24"/>
          <w:lang w:val="sv-SE"/>
        </w:rPr>
        <w:t>Förebyggande av zoonotiska sjukdomar såsom aviär influensa</w:t>
      </w:r>
    </w:p>
    <w:p w14:paraId="3288095E" w14:textId="5850AB44" w:rsidR="00511B09" w:rsidRPr="00EF5A88" w:rsidRDefault="00B57523" w:rsidP="00511B09">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Över 60 % av de framväxande hoten i form av infektionssjukdomar har zoonotiskt ursprung</w:t>
      </w:r>
      <w:r>
        <w:rPr>
          <w:rFonts w:ascii="Times New Roman" w:eastAsia="Times New Roman" w:hAnsi="Times New Roman" w:cs="Times New Roman"/>
          <w:noProof/>
          <w:sz w:val="24"/>
          <w:vertAlign w:val="superscript"/>
        </w:rPr>
        <w:footnoteReference w:id="43"/>
      </w:r>
      <w:r w:rsidRPr="00EF5A88">
        <w:rPr>
          <w:rFonts w:ascii="Times New Roman" w:hAnsi="Times New Roman"/>
          <w:noProof/>
          <w:sz w:val="24"/>
          <w:lang w:val="sv-SE"/>
        </w:rPr>
        <w:t>. Vi måste således fortsätta att vara vaksamma på att nästa pandemi kan komma från djur.</w:t>
      </w:r>
    </w:p>
    <w:p w14:paraId="31904970" w14:textId="29C7456B" w:rsidR="002B1144" w:rsidRPr="00EF5A88" w:rsidRDefault="001F1738" w:rsidP="002B1144">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 har huvudsakligen förlitat sig på två rättsakter för att ta itu med riskerna med infektionssjukdomar från djur. Det rör sig om direktiv 2003/99/EG</w:t>
      </w:r>
      <w:r>
        <w:rPr>
          <w:rFonts w:ascii="Times New Roman" w:eastAsia="Times New Roman" w:hAnsi="Times New Roman" w:cs="Times New Roman"/>
          <w:noProof/>
          <w:sz w:val="24"/>
          <w:vertAlign w:val="superscript"/>
        </w:rPr>
        <w:footnoteReference w:id="44"/>
      </w:r>
      <w:r w:rsidRPr="00EF5A88">
        <w:rPr>
          <w:rFonts w:ascii="Times New Roman" w:hAnsi="Times New Roman"/>
          <w:noProof/>
          <w:sz w:val="24"/>
          <w:lang w:val="sv-SE"/>
        </w:rPr>
        <w:t>, som säkerställer lämplig övervakning och utvärdering av zoonoser, zoonotiska smittämnen och livsmedelsburna utbrott, och förordning (EU) 2016/429</w:t>
      </w:r>
      <w:r>
        <w:rPr>
          <w:rStyle w:val="FootnoteReference"/>
          <w:rFonts w:ascii="Times New Roman" w:eastAsia="Times New Roman" w:hAnsi="Times New Roman" w:cs="Times New Roman"/>
          <w:noProof/>
          <w:sz w:val="24"/>
        </w:rPr>
        <w:footnoteReference w:id="45"/>
      </w:r>
      <w:r w:rsidRPr="00EF5A88">
        <w:rPr>
          <w:rFonts w:ascii="Times New Roman" w:hAnsi="Times New Roman"/>
          <w:noProof/>
          <w:sz w:val="24"/>
          <w:lang w:val="sv-SE"/>
        </w:rPr>
        <w:t xml:space="preserve"> (djurhälsolagen), som fastställer bestämmelser för förebyggande och bekämpning av zoonoser, inbegripet tidigt påvisande, anmälan och rapportering. </w:t>
      </w:r>
    </w:p>
    <w:p w14:paraId="78C8D82D" w14:textId="37D1632C" w:rsidR="002B1144" w:rsidRPr="00EF5A88" w:rsidRDefault="006F7A7A" w:rsidP="002B1144">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EU har redan beaktat One health-modellen i sina åtgärder i årtionden, men covid-19-pandemin har återigen understrukit vikten av denna modell för förebyggande, beredskap och insatser och behovet av optimal samordning mellan sektorer. I förordning (EU) 2022/2371 krävs nu uttryckligen att One health-modellen följs vid hantering av pågående och kommande kriser. </w:t>
      </w:r>
    </w:p>
    <w:p w14:paraId="496EE332" w14:textId="56CF2270" w:rsidR="002B1144" w:rsidRPr="00EF5A88" w:rsidRDefault="001F1738" w:rsidP="002B1144">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Bara några månader efter antagandet av förordning (EU) 2022/2371 höll hälsosäkerhetskommittén</w:t>
      </w:r>
      <w:r>
        <w:rPr>
          <w:rStyle w:val="FootnoteReference"/>
          <w:rFonts w:ascii="Times New Roman" w:eastAsia="Times New Roman" w:hAnsi="Times New Roman" w:cs="Times New Roman"/>
          <w:noProof/>
          <w:sz w:val="24"/>
        </w:rPr>
        <w:footnoteReference w:id="46"/>
      </w:r>
      <w:r w:rsidRPr="00EF5A88">
        <w:rPr>
          <w:rFonts w:ascii="Times New Roman" w:hAnsi="Times New Roman"/>
          <w:noProof/>
          <w:sz w:val="24"/>
          <w:lang w:val="sv-SE"/>
        </w:rPr>
        <w:t xml:space="preserve"> – det viktigaste EU-organ som hanterar hot mot folkhälsan – flera gemensamma möten med EU:s chefer för veterinärmyndigheterna för att diskutera hotet från högpatogen aviär influensa (HPAI) och de åtgärder för djurs och människors hälsa som krävs för att förebygga risken för zoonotisk spridning till människor. HPAI utgör ett stort hälsohot och kräver vaksamhet, tidig upptäckt och snabba och tidiga insatser mot eventuella spridningseffekter i ett tidigt skede. Under säsongen 2022/2023 uppstod en av de hittills största HPAI-epidemierna hos vilda fåglar och fjäderfä i EU och stora utbrott bland däggdjur. Enligt tillämplig EU-lagstiftning</w:t>
      </w:r>
      <w:r>
        <w:rPr>
          <w:rFonts w:ascii="Times New Roman" w:eastAsia="Times New Roman" w:hAnsi="Times New Roman" w:cs="Times New Roman"/>
          <w:noProof/>
          <w:sz w:val="24"/>
          <w:vertAlign w:val="superscript"/>
        </w:rPr>
        <w:footnoteReference w:id="47"/>
      </w:r>
      <w:r w:rsidRPr="00EF5A88">
        <w:rPr>
          <w:rFonts w:ascii="Times New Roman" w:hAnsi="Times New Roman"/>
          <w:noProof/>
          <w:sz w:val="24"/>
          <w:lang w:val="sv-SE"/>
        </w:rPr>
        <w:t xml:space="preserve"> ska alla medlemsstater bedriva övervakning för att möjliggöra tidig upptäckt av HPAI hos fåglar och däggdjur. Djurhälsolagen säkerställer en harmonisering av de åtgärder som alla medlemsstater måste vidta när HPAI-viruset upptäcks hos tamfåglar för att förhindra och kontrollera dess spridning. Den utgör också rättslig grund för de behöriga myndigheterna att vidta nödvändiga åtgärder när viruset upptäcks hos däggdjur.</w:t>
      </w:r>
    </w:p>
    <w:p w14:paraId="61A7FEA1" w14:textId="1E7B5056" w:rsidR="002B1144" w:rsidRPr="00EF5A88" w:rsidRDefault="001F1738" w:rsidP="002B1144">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Sedan september 2017 har Europeiska myndigheten för livsmedelssäkerhet (Efsa) och ECDC fått i uppdrag av kommissionen att tillsammans med EU:s referenslaboratorium för aviär influensa hos djur</w:t>
      </w:r>
      <w:r>
        <w:rPr>
          <w:rFonts w:ascii="Times New Roman" w:eastAsia="Times New Roman" w:hAnsi="Times New Roman" w:cs="Times New Roman"/>
          <w:noProof/>
          <w:sz w:val="24"/>
          <w:vertAlign w:val="superscript"/>
        </w:rPr>
        <w:footnoteReference w:id="48"/>
      </w:r>
      <w:r w:rsidRPr="00EF5A88">
        <w:rPr>
          <w:rFonts w:ascii="Times New Roman" w:hAnsi="Times New Roman"/>
          <w:noProof/>
          <w:sz w:val="24"/>
          <w:lang w:val="sv-SE"/>
        </w:rPr>
        <w:t xml:space="preserve"> regelbundet bedöma den epidemiologiska situationen avseende HPAI och utvecklingen av de genetiska egenskaperna hos HPAI-virus som påvisats hos djur. Vetenskapliga rapporter med resultaten av dessa bedömningar offentliggörs varannan till var tredje månad</w:t>
      </w:r>
      <w:r>
        <w:rPr>
          <w:rFonts w:ascii="Times New Roman" w:eastAsia="Times New Roman" w:hAnsi="Times New Roman" w:cs="Times New Roman"/>
          <w:noProof/>
          <w:sz w:val="24"/>
          <w:vertAlign w:val="superscript"/>
        </w:rPr>
        <w:footnoteReference w:id="49"/>
      </w:r>
      <w:r w:rsidRPr="00EF5A88">
        <w:rPr>
          <w:rFonts w:ascii="Times New Roman" w:hAnsi="Times New Roman"/>
          <w:noProof/>
          <w:sz w:val="24"/>
          <w:lang w:val="sv-SE"/>
        </w:rPr>
        <w:t xml:space="preserve"> och innehåller olika sätt att hantera de risker som konstateras för djurs och människors hälsa. </w:t>
      </w:r>
    </w:p>
    <w:p w14:paraId="6EAC37D7" w14:textId="1AEEFFA3" w:rsidR="001F1738" w:rsidRPr="00EF5A88" w:rsidRDefault="001F1738" w:rsidP="00BC2F11">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Tillsammans med vissa medlemsstater arbetar kommissionen med möjligheten att via mekanismen för gemensam upphandling säkra vacciner mot zoonotisk influensa hos människor. De första sändningarna av ett sådant vaccin till medlemsstaterna planeras till början av 2024. Gemensamma inköp av zoonotiska vacciner skulle stärka medlemsstaternas beredskap inför en (aviär) influensapandemi genom att komplettera de två befintliga ramavtalen – som också ingåtts inom ramen för mekanismen för gemensam upphandling – för att reservera över 110 miljoner doser pandemivaccin. Doser av pandemivaccinet kommer att delas ut till de medlemsstater som deltar i reserveringsavtalen efter det att WHO förklarat att det rör sig om en influensapandemi. </w:t>
      </w:r>
    </w:p>
    <w:p w14:paraId="5FE726F1" w14:textId="2B79DFFD" w:rsidR="001F1738" w:rsidRPr="00EF5A88" w:rsidRDefault="001F1738" w:rsidP="001F1738">
      <w:pPr>
        <w:keepNext/>
        <w:keepLines/>
        <w:spacing w:before="100" w:beforeAutospacing="1" w:after="100" w:afterAutospacing="1" w:line="240" w:lineRule="auto"/>
        <w:outlineLvl w:val="2"/>
        <w:rPr>
          <w:rFonts w:ascii="Times New Roman" w:eastAsia="Times New Roman" w:hAnsi="Times New Roman" w:cs="Times New Roman"/>
          <w:b/>
          <w:noProof/>
          <w:sz w:val="24"/>
          <w:lang w:val="sv-SE"/>
        </w:rPr>
      </w:pPr>
      <w:r w:rsidRPr="00EF5A88">
        <w:rPr>
          <w:rFonts w:ascii="Times New Roman" w:hAnsi="Times New Roman"/>
          <w:b/>
          <w:noProof/>
          <w:sz w:val="24"/>
          <w:lang w:val="sv-SE"/>
        </w:rPr>
        <w:t>Förebyggande av klimat- och miljörelaterade hälsohot och beredskap för dem</w:t>
      </w:r>
    </w:p>
    <w:p w14:paraId="41CDE4DC" w14:textId="57D79053"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Effekterna av klimatförändringar och miljöförstöring var mycket kännbara under sommaren 2023, då extrema väderhändelser orsakade förödande översvämningar i Bulgarien, Kroatien, Grekland, Spanien, Italien, Rumänien och Slovenien och en värmebölja ledde till några av de varmaste temperaturer som någonsin har uppmätts i EU. Folkhälsoåtgärder behövs för att särskilt skydda de mest utsatta och förebygga så många dödsfall som möjligt till följd av hetta. När EU:s klimat snabbt blir allt varmare blir det också alltmer lämpligt för vissa klimatkänsliga infektionssjukdomar, särskilt vektorburna sjukdomar. Dessutom påskyndar klimatförändringarna tiningen av permafrosten, vilket kan släppa ut skadliga långvarigt vilande mikroorganismer.</w:t>
      </w:r>
    </w:p>
    <w:p w14:paraId="12D1A8B0" w14:textId="0B04C3B5"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Hera har identifierat pandemibenägna patogener som också är vektorburna, såsom gula febern, denguefeber, zikafeber, chikungunya och West Nile-feber, som prioriterade hot, och arbete pågår för att utöka arsenalen av medicinska motåtgärder genom att investera i forskning om och utveckling av innovativa medicinska verktyg för pandemiberedskap genom programmen Horisont Europa och EU4Health. Kommissionen finansierar till exempel Coalition for Epidemic Preparedness Innovations (Cepi) genom Horisont Europa-programmet för att genomföra ändamålsenliga och fördjupade vetenskapliga studier för att kunna använda licensierade chikungunyavacciner på barn, personer med nedsatt immunförsvar och gravida kvinnor. Kommissionen undersöker också olika sätt att stödja olika vektorbekämpningsåtgärder (t.ex. metoder med sterila insekter). </w:t>
      </w:r>
    </w:p>
    <w:p w14:paraId="10411679" w14:textId="163685D9" w:rsidR="001F1738" w:rsidRPr="00EF5A88" w:rsidRDefault="00D219E9"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Andra insatser som nyligen gjorts för att främja hälsoberedskapen i samband med klimatförändringar och miljörisker är bland annat följande:</w:t>
      </w:r>
    </w:p>
    <w:p w14:paraId="2C07CBB7" w14:textId="053843F4" w:rsidR="001F1738" w:rsidRPr="00EF5A88"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Nya produkter från </w:t>
      </w:r>
      <w:r w:rsidRPr="00EF5A88">
        <w:rPr>
          <w:rFonts w:ascii="Times New Roman" w:hAnsi="Times New Roman"/>
          <w:b/>
          <w:noProof/>
          <w:sz w:val="24"/>
          <w:lang w:val="sv-SE"/>
        </w:rPr>
        <w:t>Europeiska observatoriet för klimat och hälsa</w:t>
      </w:r>
      <w:r>
        <w:rPr>
          <w:rFonts w:ascii="Times New Roman" w:eastAsia="Times New Roman" w:hAnsi="Times New Roman" w:cs="Times New Roman"/>
          <w:noProof/>
          <w:sz w:val="24"/>
          <w:vertAlign w:val="superscript"/>
        </w:rPr>
        <w:footnoteReference w:id="50"/>
      </w:r>
      <w:r w:rsidRPr="00EF5A88">
        <w:rPr>
          <w:rFonts w:ascii="Times New Roman" w:hAnsi="Times New Roman"/>
          <w:noProof/>
          <w:sz w:val="24"/>
          <w:lang w:val="sv-SE"/>
        </w:rPr>
        <w:t>, som drivs av Europeiska miljöbyrån och Europeiska kommissionen, som lanserades 2023 (till exempel indikatorer, faktablad och prognoser om värme och hälsa, infektionssjukdomar, arbetsmiljö och luftföroreningar).</w:t>
      </w:r>
    </w:p>
    <w:p w14:paraId="421F0851" w14:textId="02286668" w:rsidR="001F1738" w:rsidRPr="00EF5A88"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b/>
          <w:noProof/>
          <w:sz w:val="24"/>
          <w:lang w:val="sv-SE"/>
        </w:rPr>
        <w:t>Deklarationen från den sjunde ministerkonferensen om miljö och hälsa (Budapestdeklarationen)</w:t>
      </w:r>
      <w:r>
        <w:rPr>
          <w:rFonts w:ascii="Times New Roman" w:eastAsia="Times New Roman" w:hAnsi="Times New Roman" w:cs="Times New Roman"/>
          <w:noProof/>
          <w:sz w:val="24"/>
          <w:vertAlign w:val="superscript"/>
        </w:rPr>
        <w:footnoteReference w:id="51"/>
      </w:r>
      <w:r w:rsidRPr="00EF5A88">
        <w:rPr>
          <w:rFonts w:ascii="Times New Roman" w:hAnsi="Times New Roman"/>
          <w:noProof/>
          <w:sz w:val="24"/>
          <w:lang w:val="sv-SE"/>
        </w:rPr>
        <w:t xml:space="preserve"> från juli 2023, som innehåller politiska åtaganden och åtgärder för att hantera de hälsorisker som följer av klimatförändringar, föroreningar och förlust av biologisk mångfald.</w:t>
      </w:r>
    </w:p>
    <w:p w14:paraId="56C33E04" w14:textId="7CB6253A" w:rsidR="007E4F2E" w:rsidRPr="00EF5A88" w:rsidRDefault="007E4F2E"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b/>
          <w:noProof/>
          <w:sz w:val="24"/>
          <w:lang w:val="sv-SE"/>
        </w:rPr>
        <w:t>COP28-deklarationen om klimat och hälsa</w:t>
      </w:r>
      <w:r w:rsidRPr="00EF5A88">
        <w:rPr>
          <w:rFonts w:ascii="Times New Roman" w:hAnsi="Times New Roman"/>
          <w:noProof/>
          <w:sz w:val="24"/>
          <w:lang w:val="sv-SE"/>
        </w:rPr>
        <w:t>, som undertecknades i samband med den första hälsodagen vid den 28:e sessionen av partskonferensen för FN:s ramkonvention om klimatförändringar (COP28) den 2 december 2023</w:t>
      </w:r>
      <w:r>
        <w:rPr>
          <w:rStyle w:val="FootnoteReference"/>
          <w:rFonts w:ascii="Times New Roman" w:eastAsia="Times New Roman" w:hAnsi="Times New Roman" w:cs="Times New Roman"/>
          <w:noProof/>
          <w:sz w:val="24"/>
        </w:rPr>
        <w:footnoteReference w:id="52"/>
      </w:r>
      <w:r w:rsidRPr="00EF5A88">
        <w:rPr>
          <w:rFonts w:ascii="Times New Roman" w:hAnsi="Times New Roman"/>
          <w:noProof/>
          <w:sz w:val="24"/>
          <w:lang w:val="sv-SE"/>
        </w:rPr>
        <w:t>.</w:t>
      </w:r>
    </w:p>
    <w:p w14:paraId="3B8EE74A" w14:textId="443BD1E5" w:rsidR="001F1738" w:rsidRPr="00EF5A88"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Lanseringen av en omfattande uppdatering av </w:t>
      </w:r>
      <w:r w:rsidRPr="00EF5A88">
        <w:rPr>
          <w:rFonts w:ascii="Times New Roman" w:hAnsi="Times New Roman"/>
          <w:b/>
          <w:noProof/>
          <w:sz w:val="24"/>
          <w:lang w:val="sv-SE"/>
        </w:rPr>
        <w:t>vägledningen om handlingsplaner för värme och hälsa för WHO:s Europaregion</w:t>
      </w:r>
      <w:r>
        <w:rPr>
          <w:rFonts w:ascii="Times New Roman" w:eastAsia="Times New Roman" w:hAnsi="Times New Roman" w:cs="Times New Roman"/>
          <w:noProof/>
          <w:sz w:val="24"/>
          <w:vertAlign w:val="superscript"/>
        </w:rPr>
        <w:footnoteReference w:id="53"/>
      </w:r>
      <w:r w:rsidRPr="00EF5A88">
        <w:rPr>
          <w:rFonts w:ascii="Times New Roman" w:hAnsi="Times New Roman"/>
          <w:noProof/>
          <w:sz w:val="24"/>
          <w:lang w:val="sv-SE"/>
        </w:rPr>
        <w:t>, som EU stöder inom ramen för sitt Life-program</w:t>
      </w:r>
      <w:r>
        <w:rPr>
          <w:rStyle w:val="FootnoteReference"/>
          <w:rFonts w:ascii="Times New Roman" w:eastAsia="Times New Roman" w:hAnsi="Times New Roman" w:cs="Times New Roman"/>
          <w:noProof/>
          <w:sz w:val="24"/>
        </w:rPr>
        <w:footnoteReference w:id="54"/>
      </w:r>
      <w:r w:rsidRPr="00EF5A88">
        <w:rPr>
          <w:rFonts w:ascii="Times New Roman" w:hAnsi="Times New Roman"/>
          <w:noProof/>
          <w:sz w:val="24"/>
          <w:lang w:val="sv-SE"/>
        </w:rPr>
        <w:t>.</w:t>
      </w:r>
    </w:p>
    <w:p w14:paraId="0A77858C" w14:textId="45F01AE1" w:rsidR="00750E41" w:rsidRPr="00EF5A88"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Utarbetandet av </w:t>
      </w:r>
      <w:r w:rsidRPr="00EF5A88">
        <w:rPr>
          <w:rFonts w:ascii="Times New Roman" w:hAnsi="Times New Roman"/>
          <w:b/>
          <w:noProof/>
          <w:sz w:val="24"/>
          <w:lang w:val="sv-SE"/>
        </w:rPr>
        <w:t>EU:s första klimatriskbedömning</w:t>
      </w:r>
      <w:r>
        <w:rPr>
          <w:rFonts w:ascii="Times New Roman" w:eastAsia="Times New Roman" w:hAnsi="Times New Roman" w:cs="Times New Roman"/>
          <w:noProof/>
          <w:sz w:val="24"/>
          <w:vertAlign w:val="superscript"/>
        </w:rPr>
        <w:footnoteReference w:id="55"/>
      </w:r>
      <w:r w:rsidRPr="00EF5A88">
        <w:rPr>
          <w:rFonts w:ascii="Times New Roman" w:hAnsi="Times New Roman"/>
          <w:noProof/>
          <w:sz w:val="24"/>
          <w:lang w:val="sv-SE"/>
        </w:rPr>
        <w:t xml:space="preserve"> någonsin, som innehåller särskilda kapitel om hälsa och som planeras att offentliggöras av Europeiska miljöbyrån våren 2024.</w:t>
      </w:r>
    </w:p>
    <w:p w14:paraId="744BCFE1" w14:textId="6BE640A1" w:rsidR="001F1738" w:rsidRPr="00EF5A88" w:rsidRDefault="00750E41"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Offentliggörande av en integrerad </w:t>
      </w:r>
      <w:r w:rsidRPr="00EF5A88">
        <w:rPr>
          <w:rFonts w:ascii="Times New Roman" w:hAnsi="Times New Roman"/>
          <w:b/>
          <w:noProof/>
          <w:sz w:val="24"/>
          <w:lang w:val="sv-SE"/>
        </w:rPr>
        <w:t>övervaknings- och utsiktsrapport om nollförorening</w:t>
      </w:r>
      <w:r w:rsidRPr="00EF5A88">
        <w:rPr>
          <w:rFonts w:ascii="Times New Roman" w:hAnsi="Times New Roman"/>
          <w:noProof/>
          <w:sz w:val="24"/>
          <w:lang w:val="sv-SE"/>
        </w:rPr>
        <w:t xml:space="preserve"> i december 2022. Uppgifterna, som uppdateras två gånger om året, kommer regelbundet att ligga till grund för registret över cancerrelaterad ojämlikhet och demografiatlasen. Syftet är att bättre kunna identifiera trender även när det gäller andra föroreningsrelaterade sjukdomar, göra det möjligt för människor att jämföra hur mycket föroreningarna påverkar deras hälsa i EU:s regioner och bättre rikta insatserna på EU-nivå, nationell nivå och lokal nivå för att öka kostnadseffektiviteten och beredskapen.</w:t>
      </w:r>
    </w:p>
    <w:p w14:paraId="2F3739BA" w14:textId="0C6B0931" w:rsidR="00B554C1" w:rsidRPr="00EF5A88"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sv-SE"/>
        </w:rPr>
      </w:pPr>
    </w:p>
    <w:p w14:paraId="71A9F75E" w14:textId="7CE4DE78" w:rsidR="00B554C1" w:rsidRPr="00EF5A88"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Inom ramen för handlingsplanen för nollförorening har kommissionen vidtagit ytterligare åtgärder för att hantera luft-, vatten- och markföroreningar. Trots att luftkvaliteten förbättrats avsevärt de senaste årtiondena är luftföroreningar fortfarande den största miljörelaterade hälsorisken, med betydande dödlighet (uppskattningsvis över 230 000 förtida dödsfall i EU varje år) och sjuklighet</w:t>
      </w:r>
      <w:r>
        <w:rPr>
          <w:rFonts w:ascii="Times New Roman" w:eastAsia="Times New Roman" w:hAnsi="Times New Roman" w:cs="Times New Roman"/>
          <w:noProof/>
          <w:sz w:val="24"/>
          <w:vertAlign w:val="superscript"/>
        </w:rPr>
        <w:footnoteReference w:id="56"/>
      </w:r>
      <w:r w:rsidRPr="00EF5A88">
        <w:rPr>
          <w:rFonts w:ascii="Times New Roman" w:hAnsi="Times New Roman"/>
          <w:noProof/>
          <w:sz w:val="24"/>
          <w:lang w:val="sv-SE"/>
        </w:rPr>
        <w:t>. Den 26 oktober 2022 föreslog kommissionen att EU:s luftkvalitetsnormer skulle anpassas närmare till WHO:s rekommendationer som en viktig del av dess åtgärdspaket för nollförorening</w:t>
      </w:r>
      <w:r>
        <w:rPr>
          <w:rFonts w:ascii="Times New Roman" w:eastAsia="Times New Roman" w:hAnsi="Times New Roman" w:cs="Times New Roman"/>
          <w:noProof/>
          <w:sz w:val="24"/>
          <w:vertAlign w:val="superscript"/>
        </w:rPr>
        <w:footnoteReference w:id="57"/>
      </w:r>
      <w:r w:rsidRPr="00EF5A88">
        <w:rPr>
          <w:rFonts w:ascii="Times New Roman" w:hAnsi="Times New Roman"/>
          <w:noProof/>
          <w:sz w:val="24"/>
          <w:lang w:val="sv-SE"/>
        </w:rPr>
        <w:t>.</w:t>
      </w:r>
    </w:p>
    <w:p w14:paraId="14605FEC" w14:textId="77777777" w:rsidR="00B554C1" w:rsidRPr="00EF5A88"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sv-SE"/>
        </w:rPr>
      </w:pPr>
    </w:p>
    <w:p w14:paraId="2083D7F2" w14:textId="5C15EFF3" w:rsidR="00B554C1" w:rsidRPr="00EF5A88"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Utöver de redan nämnda förslagen om rening av avloppsvatten och vattenföroreningar</w:t>
      </w:r>
      <w:r>
        <w:rPr>
          <w:rStyle w:val="FootnoteReference"/>
          <w:rFonts w:ascii="Times New Roman" w:eastAsia="Times New Roman" w:hAnsi="Times New Roman" w:cs="Times New Roman"/>
          <w:noProof/>
          <w:sz w:val="24"/>
        </w:rPr>
        <w:footnoteReference w:id="58"/>
      </w:r>
      <w:r w:rsidRPr="00EF5A88">
        <w:rPr>
          <w:rFonts w:ascii="Times New Roman" w:hAnsi="Times New Roman"/>
          <w:noProof/>
          <w:sz w:val="24"/>
          <w:lang w:val="sv-SE"/>
        </w:rPr>
        <w:t xml:space="preserve"> har kommissionen också antagit förslag om översyn av direktivet om industriutsläpp</w:t>
      </w:r>
      <w:r>
        <w:rPr>
          <w:rStyle w:val="FootnoteReference"/>
          <w:rFonts w:ascii="Times New Roman" w:eastAsia="Times New Roman" w:hAnsi="Times New Roman" w:cs="Times New Roman"/>
          <w:noProof/>
          <w:sz w:val="24"/>
        </w:rPr>
        <w:footnoteReference w:id="59"/>
      </w:r>
      <w:r w:rsidRPr="00EF5A88">
        <w:rPr>
          <w:rFonts w:ascii="Times New Roman" w:hAnsi="Times New Roman"/>
          <w:noProof/>
          <w:sz w:val="24"/>
          <w:lang w:val="sv-SE"/>
        </w:rPr>
        <w:t xml:space="preserve"> och ett nytt direktiv om markhälsa och markresiliens</w:t>
      </w:r>
      <w:r>
        <w:rPr>
          <w:rStyle w:val="FootnoteReference"/>
          <w:rFonts w:ascii="Times New Roman" w:eastAsia="Times New Roman" w:hAnsi="Times New Roman" w:cs="Times New Roman"/>
          <w:noProof/>
          <w:sz w:val="24"/>
        </w:rPr>
        <w:footnoteReference w:id="60"/>
      </w:r>
      <w:r w:rsidRPr="00EF5A88">
        <w:rPr>
          <w:rFonts w:ascii="Times New Roman" w:hAnsi="Times New Roman"/>
          <w:noProof/>
          <w:sz w:val="24"/>
          <w:lang w:val="sv-SE"/>
        </w:rPr>
        <w:t xml:space="preserve"> som båda syftar till att ge påtagliga hälsofördelar.</w:t>
      </w:r>
    </w:p>
    <w:p w14:paraId="014C4EEF" w14:textId="4378B8D2" w:rsidR="00B554C1" w:rsidRPr="00EF5A88"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sv-SE"/>
        </w:rPr>
      </w:pPr>
    </w:p>
    <w:p w14:paraId="095728DC" w14:textId="77777777" w:rsidR="00B554C1" w:rsidRPr="00EF5A88" w:rsidRDefault="00B554C1" w:rsidP="00BC2F11">
      <w:pPr>
        <w:spacing w:before="100" w:beforeAutospacing="1" w:after="100" w:afterAutospacing="1" w:line="240" w:lineRule="auto"/>
        <w:contextualSpacing/>
        <w:jc w:val="both"/>
        <w:rPr>
          <w:rFonts w:ascii="Times New Roman" w:eastAsia="Times New Roman" w:hAnsi="Times New Roman" w:cs="Times New Roman"/>
          <w:noProof/>
          <w:sz w:val="24"/>
          <w:lang w:val="sv-SE"/>
        </w:rPr>
      </w:pPr>
    </w:p>
    <w:p w14:paraId="232D4B68" w14:textId="1C273724" w:rsidR="001F1738" w:rsidRPr="00EF5A88"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sv-SE"/>
        </w:rPr>
      </w:pPr>
      <w:bookmarkStart w:id="3" w:name="_Toc145428518"/>
      <w:bookmarkEnd w:id="3"/>
      <w:r w:rsidRPr="00EF5A88">
        <w:rPr>
          <w:rFonts w:ascii="Times New Roman" w:hAnsi="Times New Roman"/>
          <w:noProof/>
          <w:sz w:val="24"/>
          <w:lang w:val="sv-SE"/>
        </w:rPr>
        <w:t>3. BEREDSKAP</w:t>
      </w:r>
    </w:p>
    <w:p w14:paraId="1BB28E2E" w14:textId="277B1F78"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Beredskap – att på nationell nivå och EU-nivå ha de strukturer och den kapacitet som behövs för att effektivt förutse, reagera på och återhämta sig från hot mot folkhälsan – är en viktig del av EU:s hälsosäkerhetsram. Att misslyckas med att förbereda sig är att förbereda sig på att misslyckas. </w:t>
      </w:r>
    </w:p>
    <w:p w14:paraId="2C05336F" w14:textId="77777777"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r w:rsidRPr="00EF5A88">
        <w:rPr>
          <w:rFonts w:ascii="Times New Roman" w:hAnsi="Times New Roman"/>
          <w:b/>
          <w:noProof/>
          <w:sz w:val="24"/>
          <w:lang w:val="sv-SE"/>
        </w:rPr>
        <w:t>Beredskap, rapportering och bedömning: strängare krav</w:t>
      </w:r>
    </w:p>
    <w:p w14:paraId="5E92F00E" w14:textId="5274DCE1" w:rsidR="001F1738" w:rsidRPr="00EF5A88" w:rsidRDefault="00AE1ECF"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Den nyligen antagna förordning (EU) 2022/2371 har gjort det möjligt att stärka beredskapsåtgärderna på EU-nivå och både inom och mellan medlemsstaterna. I förordningen ställs till exempel krav på utökad rapportering om nationell beredskapsplanering och det införs en möjlighet för EU att se över och bedöma den nationella beredskapskapaciteten för att säkerställa att den upprätthålls på lämpligt sätt. En ny rapporteringscykel har införts med utökad rapportering till kommissionen om medlemsstaternas beredskapskapacitet, följt av ECDC:s bedömningar och en rapport från kommissionen till Europaparlamentet och rådet. Den första genomförandeakten enligt förordningen antogs i september 2023 med specifikationer för medlemsstaternas rapportering om planering av förebyggande åtgärder, beredskap och insatser på nationell nivå.</w:t>
      </w:r>
      <w:r>
        <w:rPr>
          <w:rFonts w:ascii="Times New Roman" w:eastAsia="Times New Roman" w:hAnsi="Times New Roman" w:cs="Times New Roman"/>
          <w:noProof/>
          <w:sz w:val="24"/>
          <w:vertAlign w:val="superscript"/>
        </w:rPr>
        <w:footnoteReference w:id="61"/>
      </w:r>
      <w:r w:rsidRPr="00EF5A88">
        <w:rPr>
          <w:rFonts w:ascii="Times New Roman" w:hAnsi="Times New Roman"/>
          <w:noProof/>
          <w:sz w:val="24"/>
          <w:lang w:val="sv-SE"/>
        </w:rPr>
        <w:t xml:space="preserve"> </w:t>
      </w:r>
    </w:p>
    <w:p w14:paraId="461034E8" w14:textId="5432A20D"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Genom förordningen införs också unionsplanen för förebyggande åtgärder, beredskap och insatser, som kommer att utarbetas under 2024. Planen kommer att omfatta arbete och verksamhet som rör beredskap och insatser på hälsoområdet, inom alla kommissionens avdelningar, rådets och EU:s byråer och organ, samt samverkan och samordning med berörda internationella organ. </w:t>
      </w:r>
    </w:p>
    <w:p w14:paraId="76CA90BA" w14:textId="1854C6E1"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 nära samarbete med medlemsstaterna stärker kommissionen också beredskapsplaneringen genom unionens civilskyddsmekanism</w:t>
      </w:r>
      <w:r>
        <w:rPr>
          <w:rFonts w:ascii="Times New Roman" w:eastAsia="Times New Roman" w:hAnsi="Times New Roman" w:cs="Times New Roman"/>
          <w:noProof/>
          <w:sz w:val="24"/>
          <w:vertAlign w:val="superscript"/>
        </w:rPr>
        <w:footnoteReference w:id="62"/>
      </w:r>
      <w:r w:rsidRPr="00EF5A88">
        <w:rPr>
          <w:rFonts w:ascii="Times New Roman" w:hAnsi="Times New Roman"/>
          <w:noProof/>
          <w:sz w:val="24"/>
          <w:lang w:val="sv-SE"/>
        </w:rPr>
        <w:t>. Detta görs genom att utarbeta särskilda krisberedskaps- och åtgärdsplaner för hälsa. Ett exempel är beredskapsplanen för brännskador</w:t>
      </w:r>
      <w:r>
        <w:rPr>
          <w:rFonts w:ascii="Times New Roman" w:eastAsia="Times New Roman" w:hAnsi="Times New Roman" w:cs="Times New Roman"/>
          <w:noProof/>
          <w:sz w:val="24"/>
          <w:vertAlign w:val="superscript"/>
        </w:rPr>
        <w:footnoteReference w:id="63"/>
      </w:r>
      <w:r w:rsidRPr="00EF5A88">
        <w:rPr>
          <w:rFonts w:ascii="Times New Roman" w:hAnsi="Times New Roman"/>
          <w:noProof/>
          <w:sz w:val="24"/>
          <w:lang w:val="sv-SE"/>
        </w:rPr>
        <w:t xml:space="preserve"> som innehåller riktlinjer för medicinsk evakuering som ska följas i händelse av en katastrof med många brännskadepatienter. Dessutom håller kommissionen inom ramen för civilskyddsmekanismen och i nära samarbete med medlemsstaterna på att utarbeta två EU-omfattande katastrofscenarier som helt och hållet är inriktade på hälsokrisscenariet, till exempel en pandemi eller en kärnkraftskatastrof</w:t>
      </w:r>
      <w:r>
        <w:rPr>
          <w:rStyle w:val="FootnoteReference"/>
          <w:rFonts w:ascii="Times New Roman" w:eastAsia="Times New Roman" w:hAnsi="Times New Roman" w:cs="Times New Roman"/>
          <w:noProof/>
          <w:sz w:val="24"/>
        </w:rPr>
        <w:footnoteReference w:id="64"/>
      </w:r>
      <w:r w:rsidRPr="00EF5A88">
        <w:rPr>
          <w:rFonts w:ascii="Times New Roman" w:hAnsi="Times New Roman"/>
          <w:noProof/>
          <w:sz w:val="24"/>
          <w:lang w:val="sv-SE"/>
        </w:rPr>
        <w:t xml:space="preserve">. </w:t>
      </w:r>
    </w:p>
    <w:p w14:paraId="541F37B7" w14:textId="075E7431" w:rsidR="001F1738" w:rsidRPr="00EF5A88" w:rsidRDefault="007D4B14"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Kommissionen underströk också i det meddelande som antogs inom ramen för den europeiska planeringsterminen 2023 om den årliga översikten över hållbar tillväxt 2023</w:t>
      </w:r>
      <w:r>
        <w:rPr>
          <w:rFonts w:ascii="Times New Roman" w:eastAsia="Times New Roman" w:hAnsi="Times New Roman" w:cs="Times New Roman"/>
          <w:noProof/>
          <w:sz w:val="24"/>
          <w:vertAlign w:val="superscript"/>
        </w:rPr>
        <w:footnoteReference w:id="65"/>
      </w:r>
      <w:r w:rsidRPr="00EF5A88">
        <w:rPr>
          <w:rFonts w:ascii="Times New Roman" w:hAnsi="Times New Roman"/>
          <w:noProof/>
          <w:sz w:val="24"/>
          <w:lang w:val="sv-SE"/>
        </w:rPr>
        <w:t xml:space="preserve"> behovet av ökad vaksamhet och ökade investeringar i alla medlemsstater för att säkerställa att hälso- och sjukvårdssystemen är tillräckligt förberedda för att kunna hantera framtida hälsokriser.</w:t>
      </w:r>
    </w:p>
    <w:p w14:paraId="4CA942F8" w14:textId="0740CD0A"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sv-SE"/>
        </w:rPr>
      </w:pPr>
      <w:r w:rsidRPr="00EF5A88">
        <w:rPr>
          <w:rFonts w:ascii="Times New Roman" w:hAnsi="Times New Roman"/>
          <w:b/>
          <w:noProof/>
          <w:sz w:val="24"/>
          <w:lang w:val="sv-SE"/>
        </w:rPr>
        <w:t>Utbildning och testning av beredskapskapacitet</w:t>
      </w:r>
    </w:p>
    <w:p w14:paraId="2814D6B6"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Utbildning och kapacitetsuppbyggnad</w:t>
      </w:r>
    </w:p>
    <w:p w14:paraId="427DCCDF"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EU-projektet Preparedness, som finansieras genom programmet EU4Health, är avsett att utveckla och genomföra ett utbildningsprogram i 30 länder. Det kommer att bidra till att stärka krisberedskaps- och övervakningskapaciteten och underlätta gränsöverskridande samarbete mellan experter inom folkhälsa och andra sektorer.</w:t>
      </w:r>
    </w:p>
    <w:p w14:paraId="6F296F29"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Inom ramen för civilskyddsmekanismen har dessutom ett antal medicinska fältövningar anordnats för att testa samordningen och samverkan mellan akutsjukvårdsgrupper. </w:t>
      </w:r>
    </w:p>
    <w:p w14:paraId="239A642B"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Ett utbildningsprogram om hantering av medicinska motåtgärder som behövs för beredskap inför och insatser vid allvarliga gränsöverskridande hot mot människors hälsa håller också på att utarbetas. Utbildningen kommer inledningsvis att vara inriktad på lagring, upphandling och begränsningar i leveranskedjan och kommer att kompletteras med simuleringsövningar för att testa och förbättra samordnings- och insatsramarna.</w:t>
      </w:r>
    </w:p>
    <w:p w14:paraId="147AF59E" w14:textId="32E0F2F7"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Utbildning och kapacitetsuppbyggnad i medlemsstaterna är aspekter av beredskapen där EU kan erbjuda ett mervärde. Utbildningar anordnas av kommissionen i nära samarbete med relevanta EU-byråer och EU-organ samt yrkes- och patientorganisationer. Dessa utbildningar ger hälso- och sjukvårdspersonal och personal inom folkhälsa de kunskaper och färdigheter de behöver för att utveckla och genomföra de nationella planerna för förebyggande, beredskap och insatser. </w:t>
      </w:r>
    </w:p>
    <w:p w14:paraId="4C2D79DA" w14:textId="3C5214C3"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Dessutom kan testning av hälso- och sjukvårdssystemens motståndskraft mot specifika chockscenarier (t.ex. pandemier, värmeböljor och brist på hälso- och sjukvårdspersonal) förbättra krisberedskapen. Ett projekt, som leds gemensamt av </w:t>
      </w:r>
      <w:r w:rsidRPr="00EF5A88">
        <w:rPr>
          <w:rFonts w:ascii="Times New Roman" w:hAnsi="Times New Roman"/>
          <w:noProof/>
          <w:sz w:val="24"/>
          <w:shd w:val="clear" w:color="auto" w:fill="FFFFFF"/>
          <w:lang w:val="sv-SE"/>
        </w:rPr>
        <w:t>Organisationen för ekonomiskt samarbete och utveckling</w:t>
      </w:r>
      <w:r w:rsidRPr="00EF5A88">
        <w:rPr>
          <w:rFonts w:ascii="Times New Roman" w:hAnsi="Times New Roman"/>
          <w:noProof/>
          <w:sz w:val="24"/>
          <w:lang w:val="sv-SE"/>
        </w:rPr>
        <w:t xml:space="preserve"> (OECD) och Europeiska observationsorganet för hälso- och sjukvård, och stöds av programmet EU4Health, håller på att utveckla en metod för att testa hälso- och sjukvårdssystemens motståndskraft. Med hjälp av metoden kommer medlemsstaterna att regelbundet kunna se över hälsokrisberedskapen och testa sina hälso- och sjukvårdssystems motståndskraft vid särskilda högtrycksscenarier och långsiktiga strukturella utmaningar.</w:t>
      </w:r>
    </w:p>
    <w:p w14:paraId="07A876AB" w14:textId="088B010C"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sv-SE"/>
        </w:rPr>
      </w:pPr>
      <w:bookmarkStart w:id="4" w:name="_Hlk150863393"/>
      <w:r w:rsidRPr="00EF5A88">
        <w:rPr>
          <w:rFonts w:ascii="Times New Roman" w:hAnsi="Times New Roman"/>
          <w:b/>
          <w:noProof/>
          <w:sz w:val="24"/>
          <w:lang w:val="sv-SE"/>
        </w:rPr>
        <w:t>Beredskap när det gäller medicinska motåtgärder</w:t>
      </w:r>
    </w:p>
    <w:p w14:paraId="4609C750" w14:textId="58C0C1A6" w:rsidR="00854E12" w:rsidRPr="00EF5A88" w:rsidRDefault="00854E12" w:rsidP="003836E7">
      <w:pPr>
        <w:spacing w:before="100" w:beforeAutospacing="1" w:after="100" w:afterAutospacing="1" w:line="240" w:lineRule="auto"/>
        <w:jc w:val="both"/>
        <w:rPr>
          <w:rFonts w:ascii="Times New Roman" w:hAnsi="Times New Roman" w:cs="Times New Roman"/>
          <w:noProof/>
          <w:sz w:val="24"/>
          <w:lang w:val="sv-SE"/>
        </w:rPr>
      </w:pPr>
      <w:r w:rsidRPr="00EF5A88">
        <w:rPr>
          <w:rFonts w:ascii="Times New Roman" w:hAnsi="Times New Roman"/>
          <w:noProof/>
          <w:sz w:val="24"/>
          <w:lang w:val="sv-SE"/>
        </w:rPr>
        <w:t>Det krävs strategisk samordning för att kunna utveckla beredskapen när det gäller medicinska motåtgärder. I juli 2022 avslutade kommissionen den första prioriteringen för att identifiera de tre största hälsohot för vilka medicinska motåtgärder bör finnas tillgängliga vid behov, och som kräver samordning av åtgärder på EU-nivå: 1. patogener med hög pandemipotential, 2. kemiska, biologiska, radiologiska och nukleära hot, och 3. hot till följd av antimikrobiell resistens</w:t>
      </w:r>
      <w:r>
        <w:rPr>
          <w:rFonts w:ascii="Times New Roman" w:eastAsia="Times New Roman" w:hAnsi="Times New Roman" w:cs="Times New Roman"/>
          <w:noProof/>
          <w:sz w:val="24"/>
          <w:vertAlign w:val="superscript"/>
        </w:rPr>
        <w:footnoteReference w:id="66"/>
      </w:r>
      <w:r w:rsidRPr="00EF5A88">
        <w:rPr>
          <w:rFonts w:ascii="Times New Roman" w:hAnsi="Times New Roman"/>
          <w:noProof/>
          <w:sz w:val="24"/>
          <w:lang w:val="sv-SE"/>
        </w:rPr>
        <w:t xml:space="preserve">. Kommissionens myndighet Hera har fått i uppdrag att bidra till utveckling, produktion och distribution av medicinska motåtgärder i nödsituationer. Att säkerställa en effektiv upphandling och lagring av medicinska motåtgärder förblir centrala inslag i en god beredskapsstrategi. </w:t>
      </w:r>
    </w:p>
    <w:bookmarkEnd w:id="4"/>
    <w:p w14:paraId="07A423B4" w14:textId="2D06F039" w:rsidR="007D720E"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Avtalet om gemensam upphandling av medicinska motåtgärder, som ingicks 2014 till följd av A/H1N1-influensapandemin, har spelat en viktig roll för att hjälpa medlemsstaterna att få tag på kritiska medicinska produkter och förnödenheter under covid-19-pandemin (behandlingar mot covid-19, personlig skyddsutrustning, respiratorer, vaccinationsmateriel, testutrustning osv.) genom mer än 200 kontrakt till ett totalt värde av över 12 miljarder euro</w:t>
      </w:r>
      <w:r>
        <w:rPr>
          <w:rFonts w:ascii="Times New Roman" w:eastAsia="Times New Roman" w:hAnsi="Times New Roman" w:cs="Times New Roman"/>
          <w:noProof/>
          <w:sz w:val="24"/>
          <w:vertAlign w:val="superscript"/>
        </w:rPr>
        <w:footnoteReference w:id="67"/>
      </w:r>
      <w:r w:rsidRPr="00EF5A88">
        <w:rPr>
          <w:rFonts w:ascii="Times New Roman" w:hAnsi="Times New Roman"/>
          <w:noProof/>
          <w:sz w:val="24"/>
          <w:lang w:val="sv-SE"/>
        </w:rPr>
        <w:t xml:space="preserve">. Kommissionen, medlemsstaterna och andra länder som undertecknat avtalet om gemensam upphandling bygger nu vidare på dessa erfarenheter av samarbete under en nödsituation för att öka användningen av avtalet om gemensam upphandling för beredskap och insatser. Som tillkännagavs i meddelandet om hantering av läkemedelsbrister i EU kommer kommissionen också att undersöka möjligheten att använda gemensamma upphandlingar av antibiotika och behandlingar avseende luftvägsvirus inför vintern 2024/2025.  </w:t>
      </w:r>
    </w:p>
    <w:p w14:paraId="56E801D1"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Gemensam upphandling av influensavacciner</w:t>
      </w:r>
    </w:p>
    <w:p w14:paraId="1D9A9C2C"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De 15 länder som undertecknat avtalet om gemensam upphandling deltar i den gemensamma upphandlingen av vaccin mot högpatogen influensa. Syftet är att vaccinera sårbara grupper, såsom lantbruksarbetare, för att hjälpa till att förhindra att viruset överförs från fåglar och djur till människor och därmed riskerar att leda till ett utbrott av aviär influensa. </w:t>
      </w:r>
    </w:p>
    <w:p w14:paraId="4F661761"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Avtalet om gemensam upphandling förblir också ett viktigt instrument för att gemensamt reservera och säkra beredskapsvaccin mot pandemisk influensa. Det finns inom ramen för avtalet om gemensam upphandling för närvarande två stående avtal om sådana vacciner. Kommissionen kommer före utgången av 2024 att samråda med medlemsstaterna och andra länder som undertecknat avtalet om gemensam upphandling om deras vilja att förlänga dessa avtal inom ramen för avtalet om gemensam upphandling. </w:t>
      </w:r>
    </w:p>
    <w:p w14:paraId="64DD22C2" w14:textId="04EDACB3"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Avtalet om gemensam upphandling kan användas flexibelt och spelar därmed en viktig roll för krisberedskapen på hälsoområdet genom att underlätta kommissionens och medlemsstaternas tillgång till beredskapsrelevanta medicinska motåtgärder, inbegripet nya eller sällsynta medicinska motåtgärder. </w:t>
      </w:r>
    </w:p>
    <w:p w14:paraId="128B65DD" w14:textId="23CC9F79"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Genom förordning (EU) 2022/2371 infördes en förbättrad ram för gemensam upphandling, däribland möjligheten för kommissionen att föreslå en exklusivitetsklausul för en viss gemensam upphandling (som innebär att när länder har valt att delta i en gemensam EU-upphandling måste de avstå från att genomföra en parallell nationell upphandling för samma medicinska motåtgärd). I motiverade fall (och om alla deltagande medlemsstater och andra länder som undertecknat avtalet om gemensam upphandling är överens) bör tillämpningen av exklusivitetsklausulen stärka EU:s förhandlingsposition och försörjningstrygghet. Kommissionen kommer att behöva göra en preliminär bedömning av den gemensamma upphandlingen där den anger de planerade allmänna villkoren för det gemensamma upphandlingsförfarandet, bland annat när det gäller det eventuella behovet av exklusivitet från fall till fall. </w:t>
      </w:r>
    </w:p>
    <w:p w14:paraId="0345EE17" w14:textId="77777777" w:rsidR="00003506" w:rsidRPr="00EF5A88" w:rsidRDefault="001F1738" w:rsidP="00003506">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Att förutse potentiella hot mot och sårbarheter i leveranskedjorna för medicinska motåtgärder är en viktig faktor för beredskapen, liksom lagring och åtgärder för att underlätta utvecklingen av nya och förbättrade medicinska motåtgärder. Under 2022 lanserade kommissionen EU Fab, ett nätverk av ständig kapacitet för vaccintillverkning som snabbt kan aktiveras vid hot mot folkhälsan. Den 30 juni 2023 undertecknades fyra EU Fab-avtal med läkemedelstillverkare för att reservera kapaciteten att tillverka upp till 325 miljoner vacciner av olika typer per år. Kommissionen lagrar också medicinska motåtgärder inom ramen för rescEU – ett EU-finansierat strategiskt beredskapslager som fungerar som en sista utväg och från vilken medlemsländer och associerade länder kan begära bistånd. Hittills har 1,2 miljarder euro investerats i uppbyggnad av lager mot allvarliga gränsöverskridande hot mot människors hälsa, inbegripet kemiska, biologiska, radiologiska och nukleära hot (CBRN). Den första anbudsinfordran 2022 ledde till att Frankrike, Kroatien, Polen och Finland valdes ut för att hysa lagren. Resultatet av den andra anbudsinfordran kommer att tillkännages i slutet av 2023.</w:t>
      </w:r>
    </w:p>
    <w:p w14:paraId="295A19EC" w14:textId="77777777" w:rsidR="00003506" w:rsidRPr="00EF5A88" w:rsidRDefault="001F1738" w:rsidP="00031422">
      <w:pPr>
        <w:spacing w:before="480"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3. SYSTEM FÖR ÖVERVAKNING OCH TIDIG VARNING</w:t>
      </w:r>
      <w:bookmarkStart w:id="5" w:name="_Toc145428521"/>
      <w:bookmarkEnd w:id="5"/>
    </w:p>
    <w:p w14:paraId="2BE0DF8A" w14:textId="77777777" w:rsidR="00003506" w:rsidRPr="00EF5A88" w:rsidRDefault="001F1738" w:rsidP="00003506">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b/>
          <w:noProof/>
          <w:sz w:val="24"/>
          <w:lang w:val="sv-SE"/>
        </w:rPr>
        <w:t xml:space="preserve">Folkhälsoövervakning av smittsamma sjukdomar </w:t>
      </w:r>
    </w:p>
    <w:p w14:paraId="012DD0D9" w14:textId="77777777" w:rsidR="00003506" w:rsidRPr="00EF5A88" w:rsidRDefault="001F1738" w:rsidP="00003506">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Utan folkhälsoövervakning skulle vi inte kunna följa utvecklingen av smittsamma sjukdomar, upptäcka utbrott i ett tidigt skede eller utvärdera hur effektiva folkhälsoåtgärderna och folkhälsopolitiken är. Detta var ännu en viktig folkhälsoaspekt, vars betydelse betonades under covid-19-pandemin. I en nyligen genomförd studie</w:t>
      </w:r>
      <w:r>
        <w:rPr>
          <w:rFonts w:ascii="Times New Roman" w:eastAsia="Times New Roman" w:hAnsi="Times New Roman" w:cs="Times New Roman"/>
          <w:noProof/>
          <w:sz w:val="24"/>
          <w:vertAlign w:val="superscript"/>
        </w:rPr>
        <w:footnoteReference w:id="68"/>
      </w:r>
      <w:r w:rsidRPr="00EF5A88">
        <w:rPr>
          <w:rFonts w:ascii="Times New Roman" w:hAnsi="Times New Roman"/>
          <w:noProof/>
          <w:sz w:val="24"/>
          <w:lang w:val="sv-SE"/>
        </w:rPr>
        <w:t xml:space="preserve"> har man tittat på lärdomarna från övervakningen i EU under covid-19-pandemin. Kvaliteten på de uppgifter som medlemsstaterna rapporterar varierar fortfarande något mellan olika sjukdomsområden, trots ECDC:s insatser för att ge medlemsstaterna metodstöd och rapporteringsprotokoll. Det finns också utrymme för förbättringar när det gäller tekniska framsteg, såsom digitala plattformar för övervakning, trots de stora ansträngningar som gjordes under pandemiåren. </w:t>
      </w:r>
    </w:p>
    <w:p w14:paraId="4F89FD95" w14:textId="55B1D053" w:rsidR="00AE4ED2" w:rsidRPr="00EF5A88" w:rsidRDefault="001F1738" w:rsidP="00003506">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Genom förordning (EU) 2022/2371 införs ett nytt högpresterande system för epidemiologisk övervakning på EU-nivå. Detta inbegriper användning av artificiell intelligens och digitala verktyg för validering, analys och automatiserad rapportering av data, vilket säkerställer korrekta modeller och riskbedömningar. Som komplement till den epidemiologiska övervakningen av smittsamma sjukdomar krävs enligt förordning (EU) 2022/2371 att medlemsstaterna ökar sin rapportering av indikatorer avseende hälso- och sjukvårdssystemen, inbegripet hälso- och sjukvårdssystemens kapacitet (t.ex. tillgång till vårdplatser, kapacitet för specialiserad behandling och intensivvård samt antalet medicinskt utbildad personal). Kommissionen ser över förteckningen över smittsamma sjukdomar och särskilda hälsofrågor (t.ex. antimikrobiell resistens) som är anmälningspliktiga på EU-nivå. Den uppdaterade förteckningen planeras vara på plats i mitten av 2024. Kommissionen stöder uppgraderingen av medlemsstaternas nationella övervakningssystem genom att tillhandahålla nästan 100 miljoner euro i direkta bidrag till infrastrukturutveckling, kapacitetsuppbyggnad och särskilda nationella prioriteringar.</w:t>
      </w:r>
    </w:p>
    <w:p w14:paraId="6CE53E40" w14:textId="77777777" w:rsidR="001F1738" w:rsidRPr="00EF5A88"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sv-SE"/>
        </w:rPr>
      </w:pPr>
      <w:r w:rsidRPr="00EF5A88">
        <w:rPr>
          <w:rFonts w:ascii="Times New Roman" w:hAnsi="Times New Roman"/>
          <w:b/>
          <w:noProof/>
          <w:sz w:val="24"/>
          <w:lang w:val="sv-SE"/>
        </w:rPr>
        <w:t>Stärka laboratoriekapaciteten för övervakning och utveckling av medicinska motåtgärder</w:t>
      </w:r>
    </w:p>
    <w:p w14:paraId="31920660" w14:textId="1D64E4A4" w:rsidR="001F1738" w:rsidRPr="00EF5A88" w:rsidRDefault="002260F0" w:rsidP="001F1738">
      <w:pPr>
        <w:keepNext/>
        <w:keepLines/>
        <w:spacing w:before="100" w:beforeAutospacing="1" w:after="100" w:afterAutospacing="1" w:line="240" w:lineRule="auto"/>
        <w:jc w:val="both"/>
        <w:outlineLvl w:val="2"/>
        <w:rPr>
          <w:rFonts w:ascii="Times New Roman" w:eastAsia="Times New Roman" w:hAnsi="Times New Roman" w:cs="Times New Roman"/>
          <w:i/>
          <w:noProof/>
          <w:sz w:val="24"/>
          <w:lang w:val="sv-SE"/>
        </w:rPr>
      </w:pPr>
      <w:r w:rsidRPr="00EF5A88">
        <w:rPr>
          <w:rFonts w:ascii="Times New Roman" w:hAnsi="Times New Roman"/>
          <w:i/>
          <w:noProof/>
          <w:sz w:val="24"/>
          <w:lang w:val="sv-SE"/>
        </w:rPr>
        <w:t>EU:s referenslaboratorier på folkhälsoområdet</w:t>
      </w:r>
    </w:p>
    <w:p w14:paraId="4A0B64B8" w14:textId="7BD989B9"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Ett annat nytt inslag i förordning (EU) 2022/2371 är inrättandet av EU-referenslaboratorier för folkhälsa. De ska stödja nationella referenslaboratorier och främja god praxis och frivillig anpassning när det gäller diagnostik, testmetoder och användning av vissa tester för enhetlig övervakning, anmälan och rapportering av sjukdomar i medlemsstaterna. Kommissionen och ECDC har ett nära samarbete vid genomförandet av referenslaboratorierna. De första sex EU-referenslaboratorierna kommer att utses i början av 2024 och finansieras inom ramen för programmet EU4Health</w:t>
      </w:r>
      <w:r>
        <w:rPr>
          <w:rStyle w:val="FootnoteReference"/>
          <w:rFonts w:ascii="Times New Roman" w:eastAsia="Times New Roman" w:hAnsi="Times New Roman" w:cs="Times New Roman"/>
          <w:noProof/>
          <w:sz w:val="24"/>
        </w:rPr>
        <w:footnoteReference w:id="69"/>
      </w:r>
      <w:r w:rsidRPr="00EF5A88">
        <w:rPr>
          <w:rFonts w:ascii="Times New Roman" w:hAnsi="Times New Roman"/>
          <w:noProof/>
          <w:sz w:val="24"/>
          <w:lang w:val="sv-SE"/>
        </w:rPr>
        <w:t>.</w:t>
      </w:r>
    </w:p>
    <w:p w14:paraId="3223CA80" w14:textId="5B65B782"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i/>
          <w:noProof/>
          <w:sz w:val="24"/>
          <w:lang w:val="sv-SE"/>
        </w:rPr>
      </w:pPr>
      <w:r w:rsidRPr="00EF5A88">
        <w:rPr>
          <w:rFonts w:ascii="Times New Roman" w:hAnsi="Times New Roman"/>
          <w:i/>
          <w:noProof/>
          <w:sz w:val="24"/>
          <w:lang w:val="sv-SE"/>
        </w:rPr>
        <w:t>Durable</w:t>
      </w:r>
    </w:p>
    <w:p w14:paraId="221C5A4E" w14:textId="3D5B113D"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Kommissionen har lanserat laboratorienätverksprojektet Durable (2023–2027)</w:t>
      </w:r>
      <w:r>
        <w:rPr>
          <w:rFonts w:ascii="Times New Roman" w:eastAsia="Times New Roman" w:hAnsi="Times New Roman" w:cs="Times New Roman"/>
          <w:noProof/>
          <w:sz w:val="24"/>
          <w:vertAlign w:val="superscript"/>
        </w:rPr>
        <w:footnoteReference w:id="70"/>
      </w:r>
      <w:r w:rsidRPr="00EF5A88">
        <w:rPr>
          <w:rFonts w:ascii="Times New Roman" w:hAnsi="Times New Roman"/>
          <w:noProof/>
          <w:sz w:val="24"/>
          <w:lang w:val="sv-SE"/>
        </w:rPr>
        <w:t>, som består av folkhälsolaboratorier och akademiska laboratorier för att stödja forskning om och utveckling av medicinska motåtgärder. Durable, som finansieras inom ramen för programmet EU4Health, mobiliserar medlemmarnas experimentella kapacitet för att påskynda utvecklingen av medicinska motåtgärder, inbegripet diagnostik, behandlingar och vacciner. Durable har ett globalt fokus, tack vare deltagandet av medlemmar med laboratoriekapacitet över hela världen, och kompletterar EU-referenslaboratorierna. </w:t>
      </w:r>
    </w:p>
    <w:p w14:paraId="34C138F4" w14:textId="77777777" w:rsidR="001F1738" w:rsidRPr="00EF5A88"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sv-SE"/>
        </w:rPr>
      </w:pPr>
      <w:r w:rsidRPr="00EF5A88">
        <w:rPr>
          <w:rFonts w:ascii="Times New Roman" w:hAnsi="Times New Roman"/>
          <w:b/>
          <w:noProof/>
          <w:sz w:val="24"/>
          <w:lang w:val="sv-SE"/>
        </w:rPr>
        <w:t>Moderna förbättrade digitala plattformar för övervakning</w:t>
      </w:r>
    </w:p>
    <w:p w14:paraId="73B2C194" w14:textId="6B8FDCBC" w:rsidR="001F1738" w:rsidRPr="00EF5A88"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Den snabba utvecklingen av digitala verktyg underlättar en snabb datainsamling och datadelning. För att stärka EU:s övervakningssystem ökar förordning (EU) 2022/2371 också användningen av digitala plattformar.</w:t>
      </w:r>
    </w:p>
    <w:p w14:paraId="2BB93BE9" w14:textId="16DE2F0E" w:rsidR="001F1738" w:rsidRPr="00EF5A88"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I juni 2021 lanserade ECDC den europeiska övervakningsportalen för infektionssjukdomar (EpiPulse), som är en plattform för realtidsövervakning av infektionssjukdomar</w:t>
      </w:r>
      <w:r>
        <w:rPr>
          <w:rFonts w:ascii="Times New Roman" w:eastAsia="Times New Roman" w:hAnsi="Times New Roman" w:cs="Times New Roman"/>
          <w:noProof/>
          <w:sz w:val="24"/>
          <w:vertAlign w:val="superscript"/>
        </w:rPr>
        <w:footnoteReference w:id="71"/>
      </w:r>
      <w:r w:rsidRPr="00EF5A88">
        <w:rPr>
          <w:rFonts w:ascii="Times New Roman" w:hAnsi="Times New Roman"/>
          <w:noProof/>
          <w:sz w:val="24"/>
          <w:lang w:val="sv-SE"/>
        </w:rPr>
        <w:t>. EpiPulse är en webbportal där folkhälsomyndigheter och partnerorganisationer i EU/EES kan samla in, analysera, dela och diskutera uppgifter om infektionssjukdomar. Den underlättar arbetet med hotidentifiering, övervakning, riskbedömning och insatser vid utbrott. EpiPulse kommer att vidareutvecklas för att ta hänsyn till kraven i förordning (EU) 2022/2371 och kommer också att integrera andra rapporteringsverktyg, till exempel det europeiska övervakningssystemet för indikatorbaserad övervakning (TESSy)</w:t>
      </w:r>
      <w:r>
        <w:rPr>
          <w:rFonts w:ascii="Times New Roman" w:eastAsia="Times New Roman" w:hAnsi="Times New Roman" w:cs="Times New Roman"/>
          <w:noProof/>
          <w:sz w:val="24"/>
          <w:vertAlign w:val="superscript"/>
        </w:rPr>
        <w:footnoteReference w:id="72"/>
      </w:r>
      <w:r w:rsidRPr="00EF5A88">
        <w:rPr>
          <w:rFonts w:ascii="Times New Roman" w:hAnsi="Times New Roman"/>
          <w:noProof/>
          <w:sz w:val="24"/>
          <w:lang w:val="sv-SE"/>
        </w:rPr>
        <w:t>. ECDC arbetar med att integrera Epidemic Intelligence from Open Sources (EIOS) – ett viktigt hotidentifieringsverktyg som har utvecklats i samarbete med WHO</w:t>
      </w:r>
      <w:r>
        <w:rPr>
          <w:rFonts w:ascii="Times New Roman" w:eastAsia="Times New Roman" w:hAnsi="Times New Roman" w:cs="Times New Roman"/>
          <w:noProof/>
          <w:sz w:val="24"/>
          <w:vertAlign w:val="superscript"/>
        </w:rPr>
        <w:footnoteReference w:id="73"/>
      </w:r>
      <w:r w:rsidRPr="00EF5A88">
        <w:rPr>
          <w:rFonts w:ascii="Times New Roman" w:hAnsi="Times New Roman"/>
          <w:noProof/>
          <w:sz w:val="24"/>
          <w:lang w:val="sv-SE"/>
        </w:rPr>
        <w:t xml:space="preserve"> – med EpiPulse för att effektivisera processen för hotidentifiering, övervakning och bedömning. </w:t>
      </w:r>
    </w:p>
    <w:p w14:paraId="7C3C17E8" w14:textId="64BFEDF2"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Kommissionen håller på att utveckla it-systemet Athina (Advanced Technology for Health Intelligence and Action)</w:t>
      </w:r>
      <w:r>
        <w:rPr>
          <w:rFonts w:ascii="Times New Roman" w:eastAsia="Times New Roman" w:hAnsi="Times New Roman" w:cs="Times New Roman"/>
          <w:noProof/>
          <w:sz w:val="24"/>
          <w:vertAlign w:val="superscript"/>
        </w:rPr>
        <w:footnoteReference w:id="74"/>
      </w:r>
      <w:r w:rsidRPr="00EF5A88">
        <w:rPr>
          <w:rFonts w:ascii="Times New Roman" w:hAnsi="Times New Roman"/>
          <w:noProof/>
          <w:sz w:val="24"/>
          <w:lang w:val="sv-SE"/>
        </w:rPr>
        <w:t xml:space="preserve"> för att stödja dess dagliga hotbedömningsverksamhet och skapa nyttiga insikter för beslutsfattandet. Athina kommer att hjälpa kommissionen att upptäcka relevanta signaler om eventuella hälsohot som kräver medicinska motåtgärder på grundval av en analys av leveranskedjan och identifierade sårbarheter i försörjningen av medicinska motåtgärder, inbegripet risken för brister och strategiska beroenden. I detta syfte kommer Athina att samla in underrättelser genom att utbyta uppgifter om medicinska motåtgärder och hot mot folkhälsan med relevanta databaser (t.ex. ECDC:s och EMA:s databaser), återanvända befintliga system (t.ex. WHO:s EIOS-plattform) och andra källor, och säkerställa interoperabilitet mellan digitala lösningar.  </w:t>
      </w:r>
    </w:p>
    <w:p w14:paraId="1E14372C"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bookmarkStart w:id="6" w:name="_Hlk150770134"/>
      <w:bookmarkStart w:id="7" w:name="_Hlk150770135"/>
      <w:bookmarkStart w:id="8" w:name="_Hlk150770142"/>
      <w:bookmarkStart w:id="9" w:name="_Hlk150770143"/>
      <w:bookmarkStart w:id="10" w:name="_Hlk150770144"/>
      <w:bookmarkStart w:id="11" w:name="_Hlk150770145"/>
      <w:bookmarkStart w:id="12" w:name="_Hlk150770146"/>
      <w:bookmarkStart w:id="13" w:name="_Hlk150770147"/>
      <w:bookmarkStart w:id="14" w:name="_Hlk150770148"/>
      <w:bookmarkStart w:id="15" w:name="_Hlk150770149"/>
      <w:bookmarkStart w:id="16" w:name="_Hlk150770150"/>
      <w:bookmarkStart w:id="17" w:name="_Hlk150770151"/>
      <w:r w:rsidRPr="00EF5A88">
        <w:rPr>
          <w:rFonts w:ascii="Times New Roman" w:hAnsi="Times New Roman"/>
          <w:b/>
          <w:noProof/>
          <w:sz w:val="24"/>
          <w:lang w:val="sv-SE"/>
        </w:rPr>
        <w:t>Tillvarata möjligheterna med hälsodata</w:t>
      </w:r>
    </w:p>
    <w:p w14:paraId="08955959"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Förslaget till förordning om ett europeiskt hälsodataområde är avsett att tillvarata möjligheterna med hälsodata genom att göra det möjligt att återanvända e-hälsodata för forskning, innovation, officiell statistik, beslutsfattande och reglering. Detta inbegriper återanvändning av hälsodata för övervakningsändamål för att skydda mot hälsohot eller säkerställa höga kvalitets- och säkerhetsstandarder för hälso- och sjukvård, läkemedel och medicintekniska produkter. För att utveckla och bygga ut EU:s infrastruktur för sekundär användning av hälsodata lanserades Hälsodata@EU i oktober 2022 som ett tvåårigt pilotprojekt. Det kommer att testa infrastrukturen för sekundär användning av hälsodata om användningsfall. Några exempel är att fokusera på övervakning av antimikrobiell resistens och testanvändning, sjukhusvistelser och vaccinationstäckning i sårbara delpopulationer. ECDC kommer också att delta i projektet genom att bedöma användningen av infrastrukturen för folkhälsoövervakning.</w:t>
      </w:r>
    </w:p>
    <w:bookmarkEnd w:id="6"/>
    <w:bookmarkEnd w:id="7"/>
    <w:bookmarkEnd w:id="8"/>
    <w:bookmarkEnd w:id="9"/>
    <w:bookmarkEnd w:id="10"/>
    <w:bookmarkEnd w:id="11"/>
    <w:bookmarkEnd w:id="12"/>
    <w:bookmarkEnd w:id="13"/>
    <w:bookmarkEnd w:id="14"/>
    <w:bookmarkEnd w:id="15"/>
    <w:bookmarkEnd w:id="16"/>
    <w:bookmarkEnd w:id="17"/>
    <w:p w14:paraId="286E1D50" w14:textId="77777777"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r w:rsidRPr="00EF5A88">
        <w:rPr>
          <w:rFonts w:ascii="Times New Roman" w:hAnsi="Times New Roman"/>
          <w:b/>
          <w:noProof/>
          <w:sz w:val="24"/>
          <w:lang w:val="sv-SE"/>
        </w:rPr>
        <w:t xml:space="preserve">Främja integrerade One health-övervakningssystem </w:t>
      </w:r>
    </w:p>
    <w:p w14:paraId="23674D9F" w14:textId="4193C5A3" w:rsidR="001F1738" w:rsidRPr="00EF5A88"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Kommissionen stöder integrerade One health-övervakningssystem som omfattar kopplingarna mellan människors och djurs hälsa och miljön. Ett av dessa är den gemensamma åtgärden ”Union and National Capacity Building for IntegraTED Surveillance (UNITED4Surveillance)”</w:t>
      </w:r>
      <w:r>
        <w:rPr>
          <w:rFonts w:ascii="Times New Roman" w:eastAsia="Times New Roman" w:hAnsi="Times New Roman" w:cs="Times New Roman"/>
          <w:noProof/>
          <w:sz w:val="24"/>
          <w:vertAlign w:val="superscript"/>
        </w:rPr>
        <w:footnoteReference w:id="75"/>
      </w:r>
      <w:r w:rsidRPr="00EF5A88">
        <w:rPr>
          <w:rFonts w:ascii="Times New Roman" w:hAnsi="Times New Roman"/>
          <w:noProof/>
          <w:sz w:val="24"/>
          <w:lang w:val="sv-SE"/>
        </w:rPr>
        <w:t>, med en budget på 7,8 miljoner euro, som finansieras inom ramen för programmet EU4Health. Åtgärden inleddes i februari 2023 tillsammans med nationella behöriga myndigheter för att främja integreringen av övervakningssystem på EU-nivå genom att stödja förbättringar av de nationella övervakningssystemen. UnitED4Surveillance är inriktat på att fastställa riktlinjer för att integrera olika källor till e-hälsodata och digitala register/databaser, stärka övervakningskapaciteten inom och utanför EU och förbättra den globala hälsosäkerheten.</w:t>
      </w:r>
    </w:p>
    <w:p w14:paraId="4D199225" w14:textId="5D11C52C" w:rsidR="001F1738" w:rsidRPr="00EF5A88"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Dessutom har ytterligare 20 miljoner euro i direktstöd ställts till medlemsstaternas förfogande för ett samordnat övervakningssystem inom ramen för One health-modellen för gränsöverskridande patogener</w:t>
      </w:r>
      <w:r>
        <w:rPr>
          <w:rFonts w:ascii="Times New Roman" w:eastAsia="Times New Roman" w:hAnsi="Times New Roman" w:cs="Times New Roman"/>
          <w:noProof/>
          <w:sz w:val="24"/>
          <w:vertAlign w:val="superscript"/>
        </w:rPr>
        <w:footnoteReference w:id="76"/>
      </w:r>
      <w:r w:rsidRPr="00EF5A88">
        <w:rPr>
          <w:rFonts w:ascii="Times New Roman" w:hAnsi="Times New Roman"/>
          <w:noProof/>
          <w:sz w:val="24"/>
          <w:lang w:val="sv-SE"/>
        </w:rPr>
        <w:t>. Detta bidrag kommer att hjälpa medlemsstaternas myndigheter att bidra till inrättandet och utbyggnaden av djur- och miljöövervakningssystem för zoonoser, inbegripet Efsas systematiska fortlöpande insamling och bedömning av data i samarbete med ECDC. Det kommer att tillhandahålla djurhälso- och miljöaspekter som kompletterar ovannämnda åtgärder när det gäller människor, för en integrerad One health-övervakning.</w:t>
      </w:r>
    </w:p>
    <w:p w14:paraId="690876EC" w14:textId="63B799D5" w:rsidR="001F1738" w:rsidRPr="00EF5A88"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Kommissionen kommer i början av 2024 att inleda en genomförbarhetsstudie om integrerade övervakningssystem för antimikrobiell resistens och användning av antimikrobiella medel från human-, veterinär- och miljösektorerna. Studien kommer att hjälpa medlemsstaterna att utveckla integrerade övervakningssystem för att effektivt och snabbt upptäcka nya resistenta infektioner och utbrott. Den kommer också att göra det lättare att fastställa trender och toxicitet när det gäller förekomsten av gener för antimikrobiell resistens och antimikrobiella medel i mark och vatten. Detta kommer att öka förståelsen av antibiotikaresistensens komplexa epidemiologi för att vägleda framtida politiska rekommendationer för att hantera risker för antimikrobiell resistens innan de blir storskaliga nödsituationer.</w:t>
      </w:r>
    </w:p>
    <w:p w14:paraId="66E15B14" w14:textId="6F054140"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textAlignment w:val="baseline"/>
        <w:rPr>
          <w:rFonts w:ascii="Times New Roman" w:eastAsia="Times New Roman" w:hAnsi="Times New Roman" w:cs="Times New Roman"/>
          <w:b/>
          <w:noProof/>
          <w:sz w:val="24"/>
          <w:lang w:val="sv-SE"/>
        </w:rPr>
      </w:pPr>
      <w:r w:rsidRPr="00EF5A88">
        <w:rPr>
          <w:rFonts w:ascii="Times New Roman" w:hAnsi="Times New Roman"/>
          <w:b/>
          <w:noProof/>
          <w:sz w:val="24"/>
          <w:lang w:val="sv-SE"/>
        </w:rPr>
        <w:t>Avloppsvatten: en källa till folkhälsoövervakning</w:t>
      </w:r>
    </w:p>
    <w:p w14:paraId="6E700D91"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Under covid-19-pandemin blev övervakningen av SARS-CoV-2 och dess varianter i avloppsvatten en kraftfull kompletterande källa till information om förekomsten av viruset och för en epidemiologisk undersökning av virusets spridning i EU, som möjliggjordes genom den digitala europeiska utbytesplattformen (DEEP). Hera och det gemensamma forskningscentrumet (JRC) stöder en gemensam åtgärd för att stärka den nationella kapaciteten för prioritering av patogener, provtagning och integrering av data om avloppsvatten i övervakningen för folkhälsobeslut och inrättandet i EU av ett sentinelsystem för testning av avloppsvattenprover vid behov. Dessutom leder Hera processen med att inrätta ett globalt konsortium för övervakning av avloppsvatten för folkhälsan – ett nätverk av berörda parter och myndigheter över hela världen som ska tillhandahålla omfattande realtidsövervakning på strategiska platser som kan hjälpa till att identifiera framväxande risker och möjliggöra snabba åtgärder.</w:t>
      </w:r>
    </w:p>
    <w:p w14:paraId="66624540" w14:textId="14BC70C8" w:rsidR="001F1738" w:rsidRPr="00EF5A88"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sv-SE"/>
        </w:rPr>
      </w:pPr>
      <w:r w:rsidRPr="00EF5A88">
        <w:rPr>
          <w:rFonts w:ascii="Times New Roman" w:hAnsi="Times New Roman"/>
          <w:noProof/>
          <w:sz w:val="24"/>
          <w:lang w:val="sv-SE"/>
        </w:rPr>
        <w:t>Forskningsprojekt inom Horisont 2020 som Mood</w:t>
      </w:r>
      <w:r>
        <w:rPr>
          <w:rFonts w:ascii="Times New Roman" w:eastAsia="Times New Roman" w:hAnsi="Times New Roman" w:cs="Times New Roman"/>
          <w:noProof/>
          <w:sz w:val="24"/>
          <w:vertAlign w:val="superscript"/>
        </w:rPr>
        <w:footnoteReference w:id="77"/>
      </w:r>
      <w:r w:rsidRPr="00EF5A88">
        <w:rPr>
          <w:rFonts w:ascii="Times New Roman" w:hAnsi="Times New Roman"/>
          <w:noProof/>
          <w:sz w:val="24"/>
          <w:lang w:val="sv-SE"/>
        </w:rPr>
        <w:t xml:space="preserve"> och VEO</w:t>
      </w:r>
      <w:r>
        <w:rPr>
          <w:rFonts w:ascii="Times New Roman" w:eastAsia="Times New Roman" w:hAnsi="Times New Roman" w:cs="Times New Roman"/>
          <w:noProof/>
          <w:sz w:val="24"/>
          <w:vertAlign w:val="superscript"/>
        </w:rPr>
        <w:footnoteReference w:id="78"/>
      </w:r>
      <w:r w:rsidRPr="00EF5A88">
        <w:rPr>
          <w:rFonts w:ascii="Times New Roman" w:hAnsi="Times New Roman"/>
          <w:noProof/>
          <w:sz w:val="24"/>
          <w:lang w:val="sv-SE"/>
        </w:rPr>
        <w:t xml:space="preserve"> har bidragit till utvecklingen av innovativa strategier för att förbättra sjukdomsövervakningen med hjälp av en One health-modell, som bygger på stordata från flera källor och data om drivkrafter bakom sjukdomars uppkomst, däribland mänskliga rörelser och klimatförändringar. Phiri</w:t>
      </w:r>
      <w:r>
        <w:rPr>
          <w:rFonts w:ascii="Times New Roman" w:eastAsiaTheme="minorEastAsia" w:hAnsi="Times New Roman" w:cs="Times New Roman"/>
          <w:noProof/>
          <w:sz w:val="24"/>
          <w:vertAlign w:val="superscript"/>
        </w:rPr>
        <w:footnoteReference w:id="79"/>
      </w:r>
      <w:r w:rsidRPr="00EF5A88">
        <w:rPr>
          <w:rFonts w:ascii="Times New Roman" w:hAnsi="Times New Roman"/>
          <w:noProof/>
          <w:sz w:val="24"/>
          <w:lang w:val="sv-SE"/>
        </w:rPr>
        <w:t xml:space="preserve"> har utvecklat en portal för hälsoinformation som centraliserar hälso- och sjukvårdsuppgifter och gör det möjligt för forskare att länka samman och använda olika datakällor från hela EU. </w:t>
      </w:r>
    </w:p>
    <w:p w14:paraId="63079CB0" w14:textId="19998B6B" w:rsidR="001F1738" w:rsidRPr="00EF5A88" w:rsidRDefault="001F1738" w:rsidP="001F1738">
      <w:pPr>
        <w:keepNext/>
        <w:keepLines/>
        <w:spacing w:before="100" w:beforeAutospacing="1" w:after="100" w:afterAutospacing="1" w:line="240" w:lineRule="auto"/>
        <w:jc w:val="both"/>
        <w:outlineLvl w:val="1"/>
        <w:rPr>
          <w:rFonts w:asciiTheme="majorHAnsi" w:eastAsiaTheme="majorEastAsia" w:hAnsiTheme="majorHAnsi" w:cstheme="majorBidi"/>
          <w:noProof/>
          <w:sz w:val="28"/>
          <w:lang w:val="sv-SE"/>
        </w:rPr>
      </w:pPr>
      <w:r w:rsidRPr="00EF5A88">
        <w:rPr>
          <w:rFonts w:ascii="Times New Roman" w:hAnsi="Times New Roman"/>
          <w:b/>
          <w:noProof/>
          <w:sz w:val="24"/>
          <w:lang w:val="sv-SE"/>
        </w:rPr>
        <w:t>System för tidig varning</w:t>
      </w:r>
    </w:p>
    <w:p w14:paraId="07DB9ECA" w14:textId="1FC9AD4D" w:rsidR="0032059A" w:rsidRPr="00EF5A88" w:rsidRDefault="001F1738" w:rsidP="0032059A">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EU:s system för tidig varning och reaktion inrättades 1998 (beslut nr 2119/98/EG)</w:t>
      </w:r>
      <w:r>
        <w:rPr>
          <w:rStyle w:val="FootnoteReference"/>
          <w:rFonts w:ascii="Times New Roman" w:eastAsia="Times New Roman" w:hAnsi="Times New Roman" w:cs="Times New Roman"/>
          <w:noProof/>
          <w:sz w:val="24"/>
        </w:rPr>
        <w:footnoteReference w:id="80"/>
      </w:r>
      <w:r w:rsidRPr="00EF5A88">
        <w:rPr>
          <w:rFonts w:ascii="Times New Roman" w:hAnsi="Times New Roman"/>
          <w:noProof/>
          <w:sz w:val="24"/>
          <w:lang w:val="sv-SE"/>
        </w:rPr>
        <w:t xml:space="preserve">. Det är ett åtkomstbegränsat verktyg som används för att meddela varningar och övervaka hot mot folkhälsan. Under årens lopp har det varit den kanal som använts för att snabbt meddela tusentals varningar. Kommissionen lade ut den första varningen om covid-19 i början av januari 2020. För att anpassa systemet till förordning (EU) 2022/2371 bör systemet för tidig varning och reaktion omstruktureras efter de viktigaste kategorierna av hot mot människors hälsa, dvs. biologiska, kemiska och miljömässiga källor samt källor av okänt ursprung. </w:t>
      </w:r>
    </w:p>
    <w:p w14:paraId="3612F01E" w14:textId="505B380C" w:rsidR="001F1738" w:rsidRPr="00EF5A88" w:rsidRDefault="00072774"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För närvarande genomförs en förberedande åtgärd</w:t>
      </w:r>
      <w:r>
        <w:rPr>
          <w:rStyle w:val="FootnoteReference"/>
          <w:rFonts w:ascii="Times New Roman" w:eastAsia="Times New Roman" w:hAnsi="Times New Roman" w:cs="Times New Roman"/>
          <w:noProof/>
          <w:sz w:val="24"/>
        </w:rPr>
        <w:footnoteReference w:id="81"/>
      </w:r>
      <w:r w:rsidRPr="00EF5A88">
        <w:rPr>
          <w:rFonts w:ascii="Times New Roman" w:hAnsi="Times New Roman"/>
          <w:noProof/>
          <w:sz w:val="24"/>
          <w:lang w:val="sv-SE"/>
        </w:rPr>
        <w:t xml:space="preserve"> för den nya utvecklingen av systemet för tidig varning och reaktion. Syftet är att ta itu med prioriteringarna för den fortsatta utvecklingen av systemet för tidig varning och reaktion i enlighet med förordning (EU) 2022/2371 och införa ny styrning, ny struktur och nya funktioner för att stödja utvidgningen av strukturer och nya användargrupper och roller, stärka säkerheten och dataskyddet efter en konsekvensbedömning av dataskyddet, utveckla nya moduler för att stödja beredskaps- och insatsplanering och rapporterings- och krishanteringsförmåga, samt förbättra användarstödet (utbildning och integrerad användarvägledning). Inom ramen för denna åtgärd håller man för närvarande på att slutföra genomförbarhetsbedömningen för sammankoppling med EU:s och andra internationella varnings- och informationssystem. 13 sådana system har bedömts och tio kommer att prioriteras för sammankoppling med systemet för tidig varning och reaktion. För att säkerställa interoperabilitet med andra varningssystem håller man också på att se över systemets taxonomi för biologiska, kemiska och miljömässiga hot.</w:t>
      </w:r>
    </w:p>
    <w:p w14:paraId="0F92831F" w14:textId="665C0EE1" w:rsidR="001F1738" w:rsidRPr="00EF5A88" w:rsidRDefault="00E57E84"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Samordning med andra varningssystem är nödvändig när man till exempel ställs inför livsmedelsburna patogener (t.ex. fallet med resistent salmonella i chokladägg 2022) eller zoonoser, såsom aviär influensa (som nämns tidigare i denna rapport). Kommande ändringar till följd av förordning (EU) 2022/2371 är bland annat systemets interoperabilitet med andra system såsom i) EU:s informationssystem för djursjukdomar (Adis) för att övervaka smittsamma djursjukdomar, ii) systemet för snabb varning för livsmedel och foder (RASFF) för folkhälsorisker som härrör från livsmedelskedjan, iii) WebECURIE, EU:s system för tidig anmälan och informationsutbyte i händelse av en radiologisk nödsituation, inklusive kärnkraftsolyckor, iv) Raschem för kemiska hot, och v) Safety Gate för biologiska eller kemiska hot i konsumentprodukter som inte är livsmedel. Systemet för tidig varning och reaktion ska också vara kompatibelt med EpiPulse för meddelande av varningar och utbyte av epidemiologiska sammanfattningar eller riskbedömningar som en del av systemets modul för situationsmedvetenhet.</w:t>
      </w:r>
    </w:p>
    <w:p w14:paraId="02BCF609" w14:textId="1B31E58E"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Inom kommissionen är Argus den viktigaste krishanterings- och samordningsmekanismen. Den säkerställer att relevant information från kommissionens avdelningar, EU-byråer och medlemsstaterna samlas in och används för att snabbt skapa en aktuell situationsbild som kan ligga till grund för beredskapsplanering, lämplig samordning och beslutsfattande. Under covid-19-pandemin bidrog Argus till samordningen av kommissionens deltagande i möten i rådets mekanism för integrerad politisk krishantering (IPCR), där kommissionen och medlemsstaterna ingående diskuterade viktiga frågor, bland annat användningen av instrumentet för krisstöd, gröna körfält, hälsoprotokoll för transport och kontaktspårning, åtgärder för resor till och inom EU, Re-Open EU, gemensam upphandling av vacciner och vaccindelning, EU:s digitala covidintyg samt kommunikation och bekämpning av desinformation. Argus har varit sammankopplat med systemet för tidig varning och reaktion sedan 2022, vilket har säkerställt att information om allvarliga gränsöverskridande hot mot människors hälsa har kunnat utbytas med EU:s krisansvariga. Argus var också kanalen för samordning av rapporterna om integrerad situationsmedvetenhet och analys (ISAA), som var ett viktigt instrument för att främja en gemensam situationsmedvetenhet under covid-19-pandemin.</w:t>
      </w:r>
    </w:p>
    <w:p w14:paraId="26376C78" w14:textId="2F1EBD2D" w:rsidR="001F1738" w:rsidRPr="00EF5A88" w:rsidRDefault="001F1738" w:rsidP="001F1738">
      <w:pPr>
        <w:keepNext/>
        <w:keepLines/>
        <w:spacing w:before="100" w:beforeAutospacing="1" w:after="100" w:afterAutospacing="1" w:line="240" w:lineRule="auto"/>
        <w:jc w:val="both"/>
        <w:outlineLvl w:val="1"/>
        <w:rPr>
          <w:rFonts w:ascii="Times New Roman" w:eastAsiaTheme="majorEastAsia" w:hAnsi="Times New Roman" w:cs="Times New Roman"/>
          <w:b/>
          <w:noProof/>
          <w:color w:val="404040" w:themeColor="text1" w:themeTint="BF"/>
          <w:sz w:val="24"/>
          <w:lang w:val="sv-SE"/>
        </w:rPr>
      </w:pPr>
      <w:r w:rsidRPr="00EF5A88">
        <w:rPr>
          <w:rFonts w:ascii="Times New Roman" w:hAnsi="Times New Roman"/>
          <w:b/>
          <w:noProof/>
          <w:sz w:val="24"/>
          <w:lang w:val="sv-SE"/>
        </w:rPr>
        <w:t>Kontaktspårning: Europeiska samordnade nätslusstjänsten och formulär för lokalisering av passagerare</w:t>
      </w:r>
    </w:p>
    <w:p w14:paraId="37491016" w14:textId="65E235BE"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Under covid-19-pandemin lanserade 22 folkhälsomyndigheter nationella spårnings- och varningsappar som en del av ett åtgärdspaket för att förhindra spridningen av viruset. I oktober 2020 lanserade EU:s medlemsstater och kommissionen den europeiska samordnade nätslusstjänsten (EFGS) för att möjliggöra interoperabilitet mellan nationella appar i hela EU. Hösten 2021 utbytte 19 medlemsstater riskkontaktuppgifter via EFGS, vilket motsvarar tiotals miljoner aktiva användare i EU och resten av Europa.</w:t>
      </w:r>
    </w:p>
    <w:p w14:paraId="08FAFA55" w14:textId="4FFBBCF9"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 april 2022 överfördes EFGS till ECDC. Detta stärkte EU:s digitala kontaktspårningskapacitet, i linje med ECDC:s nya mandat, genom att samla nödvändig expertis vid ECDC. EFGS har sedan dess tagits ur drift, men ECDC och kommissionen har utarbetat ett reaktiveringsförfarande för att göra det tillgängligt för EU:s medlemsstater vid behov.</w:t>
      </w:r>
    </w:p>
    <w:p w14:paraId="0383734E" w14:textId="11ADD0D6" w:rsidR="00BB198E" w:rsidRPr="00EF5A88" w:rsidRDefault="00BB198E" w:rsidP="00BB198E">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Mellan den 1 juni 2021 och den 31 maj 2022 lanserades en plattform för utbyte av formulär för lokalisering av passagerare (ePLF)</w:t>
      </w:r>
      <w:r>
        <w:rPr>
          <w:rFonts w:ascii="Times New Roman" w:eastAsia="Times New Roman" w:hAnsi="Times New Roman" w:cs="Times New Roman"/>
          <w:noProof/>
          <w:sz w:val="24"/>
          <w:vertAlign w:val="superscript"/>
        </w:rPr>
        <w:footnoteReference w:id="82"/>
      </w:r>
      <w:r w:rsidRPr="00EF5A88">
        <w:rPr>
          <w:rFonts w:ascii="Times New Roman" w:hAnsi="Times New Roman"/>
          <w:noProof/>
          <w:sz w:val="24"/>
          <w:lang w:val="sv-SE"/>
        </w:rPr>
        <w:t xml:space="preserve"> för att koppla samman medlemsstaterna och möjliggöra ett säkert utbyte av passageraruppgifter för gränsöverskridande kontaktspårning inom alla transportsätt i EU</w:t>
      </w:r>
      <w:r>
        <w:rPr>
          <w:rFonts w:ascii="Times New Roman" w:eastAsia="Times New Roman" w:hAnsi="Times New Roman" w:cs="Times New Roman"/>
          <w:noProof/>
          <w:sz w:val="24"/>
          <w:vertAlign w:val="superscript"/>
        </w:rPr>
        <w:footnoteReference w:id="83"/>
      </w:r>
      <w:r w:rsidRPr="00EF5A88">
        <w:rPr>
          <w:rFonts w:ascii="Times New Roman" w:hAnsi="Times New Roman"/>
          <w:noProof/>
          <w:sz w:val="24"/>
          <w:lang w:val="sv-SE"/>
        </w:rPr>
        <w:t>. Baserat på återkoppling från medlemsstaterna började kommissionen samarbeta med ECDC om den tekniska integreringen mellan funktionen för selektivt utbyte i systemet för tidig varning och reaktion och ePLF, för att på så sätt möjliggöra deras interoperabilitet</w:t>
      </w:r>
      <w:r>
        <w:rPr>
          <w:rFonts w:ascii="Times New Roman" w:eastAsia="Times New Roman" w:hAnsi="Times New Roman" w:cs="Times New Roman"/>
          <w:noProof/>
          <w:sz w:val="24"/>
          <w:vertAlign w:val="superscript"/>
        </w:rPr>
        <w:footnoteReference w:id="84"/>
      </w:r>
      <w:r w:rsidRPr="00EF5A88">
        <w:rPr>
          <w:rFonts w:ascii="Times New Roman" w:hAnsi="Times New Roman"/>
          <w:noProof/>
          <w:sz w:val="24"/>
          <w:lang w:val="sv-SE"/>
        </w:rPr>
        <w:t xml:space="preserve">. Även om själva ePLF har lagts ned gör den nyvunna kunskapen till följd av dess utveckling och integreringen med funktionen för selektivt utbyte i systemet för tidig varning och reaktion EU bättre rustat för eventuella framtida behov. </w:t>
      </w:r>
    </w:p>
    <w:p w14:paraId="15C9A38E" w14:textId="77777777" w:rsidR="001F1738" w:rsidRPr="00EF5A88" w:rsidRDefault="001F1738" w:rsidP="00031422">
      <w:pPr>
        <w:keepNext/>
        <w:keepLines/>
        <w:spacing w:before="480" w:after="100" w:afterAutospacing="1" w:line="240" w:lineRule="auto"/>
        <w:jc w:val="both"/>
        <w:outlineLvl w:val="0"/>
        <w:rPr>
          <w:rFonts w:ascii="Times New Roman" w:eastAsiaTheme="majorEastAsia" w:hAnsi="Times New Roman" w:cs="Times New Roman"/>
          <w:noProof/>
          <w:sz w:val="24"/>
          <w:lang w:val="sv-SE"/>
        </w:rPr>
      </w:pPr>
      <w:r w:rsidRPr="00EF5A88">
        <w:rPr>
          <w:rFonts w:ascii="Times New Roman" w:hAnsi="Times New Roman"/>
          <w:noProof/>
          <w:sz w:val="24"/>
          <w:lang w:val="sv-SE"/>
        </w:rPr>
        <w:t xml:space="preserve">4. INSATSER </w:t>
      </w:r>
    </w:p>
    <w:p w14:paraId="7B43B27A" w14:textId="1EFD22E0" w:rsidR="008C6D1D" w:rsidRPr="00EF5A88" w:rsidRDefault="008C6D1D" w:rsidP="008C6D1D">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I ett mycket tidigt skede av covid-19-pandemin sammankallades krissamordningskommittén via Argus den 23 januari 2020 för att diskutera lägesrapporter och möjliga åtgärder. Krissamordningskommitténs möten leddes av kommissionsledamot Janez Lenarčič och generalsekreteraren, och alla berörda generaldirektorat och EU-organ deltog. Flera ytterligare samordningsmöten har därefter hållits inom ramen för kommissionens krishanteringsmekanism på alla nivåer, alltifrån ordförandens dagliga samtal med berörda kommissionsledamöter till en mer operativ samordning på generaldirektörs- eller avdelningsnivå. </w:t>
      </w:r>
    </w:p>
    <w:p w14:paraId="73943CEC" w14:textId="2F6A076C"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I efterdyningarna av covid-19-pandemin gjordes ett antal förbättringar av EU:s mekanismer för att hantera allvarliga gränsöverskridande hot mot människors hälsa. De viktigaste är baserade på förordning (EU) 2022/2371 och inbegriper en förstärkt roll för EU:s hälsosäkerhetskommitté och en nyinrättad EU-kapacitet att fastställa ett hot mot folkhälsan på EU-nivå.</w:t>
      </w:r>
    </w:p>
    <w:p w14:paraId="18F22EBC" w14:textId="77777777" w:rsidR="001F1738" w:rsidRPr="00EF5A88" w:rsidRDefault="001F1738" w:rsidP="001F1738">
      <w:pPr>
        <w:spacing w:before="100" w:beforeAutospacing="1" w:after="100" w:afterAutospacing="1" w:line="240" w:lineRule="auto"/>
        <w:rPr>
          <w:rFonts w:ascii="Times New Roman" w:eastAsia="Times New Roman" w:hAnsi="Times New Roman" w:cs="Times New Roman"/>
          <w:b/>
          <w:noProof/>
          <w:sz w:val="24"/>
          <w:lang w:val="sv-SE"/>
        </w:rPr>
      </w:pPr>
      <w:bookmarkStart w:id="18" w:name="_Toc145428528"/>
      <w:bookmarkEnd w:id="18"/>
      <w:r w:rsidRPr="00EF5A88">
        <w:rPr>
          <w:rFonts w:ascii="Times New Roman" w:hAnsi="Times New Roman"/>
          <w:b/>
          <w:noProof/>
          <w:sz w:val="24"/>
          <w:lang w:val="sv-SE"/>
        </w:rPr>
        <w:t xml:space="preserve">EU:s hälsosäkerhetskommitté </w:t>
      </w:r>
    </w:p>
    <w:p w14:paraId="1DF7A5A9" w14:textId="580A124D"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EU:s hälsosäkerhetskommitté (HSC) är ett viktigt forum för utbyte av information om allvarliga gränsöverskridande hot mot människors hälsa på EU-nivå. Den består av företrädare för medlemsstaternas hälsomyndigheter. Hälsosäkerhetskommittén inrättades 2001 efter attackerna den 11 september och har under årens lopp underlättat samordningen av folkhälsoåtgärder i hela EU, vilket kulminerade i veckovisa möten när covid-19-pandemin rasade som värst</w:t>
      </w:r>
      <w:r>
        <w:rPr>
          <w:rFonts w:ascii="Times New Roman" w:eastAsiaTheme="minorEastAsia" w:hAnsi="Times New Roman" w:cs="Times New Roman"/>
          <w:noProof/>
          <w:sz w:val="24"/>
          <w:vertAlign w:val="superscript"/>
        </w:rPr>
        <w:footnoteReference w:id="85"/>
      </w:r>
      <w:r w:rsidRPr="00EF5A88">
        <w:rPr>
          <w:rFonts w:ascii="Times New Roman" w:hAnsi="Times New Roman"/>
          <w:noProof/>
          <w:sz w:val="24"/>
          <w:lang w:val="sv-SE"/>
        </w:rPr>
        <w:t xml:space="preserve">. Hälsoskyddskommittén spelade en nyckelroll i beslut om folkhälsoåtgärder. Några exempel under covid-19-pandemin var samordning av vaccinationsstrategier, testning och övervakning samt riskkommunikation. Exempel på senare hälsokriser då hälsosäkerhetskommittén regelbundet sammanträdde och i hög grad bidrog till samordningen av insatserna var ebolautbrottet i Uganda och apkoppsutbrottet i EU 2022 samt den nära samordningen i samband med hotet från aviär influensa 2023 (ofta tillsammans med HSC:s motsvarigheter på djurhälsoområdet, t.ex. EU:s chefer för veterinärmyndigheterna). </w:t>
      </w:r>
    </w:p>
    <w:p w14:paraId="409B032F" w14:textId="2205E7D4"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En ändring som infördes genom förordning (EU) 2022/2371 är HSC:s befogenhet att formellt anta yttranden och vägledning. Under pandemin avgav hälsosäkerhetskommittén ett antal yttranden som gav uttryck för medlemsstaternas synpunkter i specifika frågor. Dessa yttranden låg till grund för de beslut som fattades inom ramen för rådets arrangemang för integrerad politisk krishantering (IPCR), till exempel om samordnade åtgärder för resor från Kina till EU med anledning av den försämrade covid-19-situationen i Kina.</w:t>
      </w:r>
    </w:p>
    <w:p w14:paraId="15D60429" w14:textId="77738B87"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p>
    <w:p w14:paraId="26BCC410" w14:textId="77777777" w:rsidR="00031422" w:rsidRPr="00EF5A88" w:rsidRDefault="00031422" w:rsidP="001F1738">
      <w:pPr>
        <w:spacing w:before="100" w:beforeAutospacing="1" w:after="100" w:afterAutospacing="1" w:line="240" w:lineRule="auto"/>
        <w:jc w:val="both"/>
        <w:rPr>
          <w:rFonts w:ascii="Times New Roman" w:eastAsia="Times New Roman" w:hAnsi="Times New Roman" w:cs="Times New Roman"/>
          <w:noProof/>
          <w:sz w:val="24"/>
          <w:lang w:val="sv-SE"/>
        </w:rPr>
      </w:pPr>
    </w:p>
    <w:p w14:paraId="3B587C34"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Hälsosäkerhetskommitténs första yttrande, bara dagar efter ikraftträdandet av förordning (EU) 2022/2371</w:t>
      </w:r>
    </w:p>
    <w:p w14:paraId="4CA1A03F"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Den första prövningen för den nyligen bemyndigade HSC var de rekordmånga covid-19-fallen i Kina i slutet av 2022 sedan Kina lättat på de inhemska åtgärderna. HSC avgav sitt första yttrande enligt förordningen redan den 5 januari 2023, endast tio dagar efter förordningens ikraftträdande. Det innehöll flera föreslag till åtgärder för att skapa en stegvis och proportionell gemensam EU-strategi för att minska eventuella risker, som sedan låg till grund för ytterligare politiska beslut i rådets IPCR. </w:t>
      </w:r>
    </w:p>
    <w:p w14:paraId="4E6A4374" w14:textId="6BEF39E0"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HSC fokuserar i sitt senaste yttrande</w:t>
      </w:r>
      <w:r>
        <w:rPr>
          <w:rStyle w:val="FootnoteReference"/>
          <w:rFonts w:ascii="Times New Roman" w:eastAsia="Times New Roman" w:hAnsi="Times New Roman" w:cs="Times New Roman"/>
          <w:noProof/>
          <w:sz w:val="24"/>
        </w:rPr>
        <w:footnoteReference w:id="86"/>
      </w:r>
      <w:r w:rsidRPr="00EF5A88">
        <w:rPr>
          <w:rFonts w:ascii="Times New Roman" w:hAnsi="Times New Roman"/>
          <w:noProof/>
          <w:sz w:val="24"/>
          <w:lang w:val="sv-SE"/>
        </w:rPr>
        <w:t xml:space="preserve"> på behovet av fortsatt vaksamhet kring covid-19, säsongsinfluensa och andra virus som sprids under höst- och vintersäsongen.</w:t>
      </w:r>
    </w:p>
    <w:p w14:paraId="5DAA9992" w14:textId="1D718B1E"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bookmarkStart w:id="19" w:name="_Toc145428530"/>
      <w:bookmarkEnd w:id="19"/>
      <w:r w:rsidRPr="00EF5A88">
        <w:rPr>
          <w:rFonts w:ascii="Times New Roman" w:hAnsi="Times New Roman"/>
          <w:b/>
          <w:noProof/>
          <w:sz w:val="24"/>
          <w:lang w:val="sv-SE"/>
        </w:rPr>
        <w:t>Hot mot folkhälsan på unionsnivå</w:t>
      </w:r>
    </w:p>
    <w:p w14:paraId="74D26D79" w14:textId="3B339478"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Fram till 2022 förlitade sig EU helt på WHO:s bedömning av pandemisituationer och fastställande av ett internationellt hot mot folkhälsan. Förordning (EU) 2022/2371 har nu gett kommissionen befogenhet att formellt fastställa ett hot mot folkhälsan på unionsnivå när ett allvarligt gränsöverskridande hot mot människors hälsa anses äventyra folkhälsan i EU. När ett hot mot folkhälsan på unionsnivå fastställs får en eller flera åtgärder i förordning (EU) 2022/2372 aktiveras om det är lämpligt med hänsyn till den ekonomiska situationen. Det handlar bland annat om att inrätta en hälsokrisstyrelse för att säkerställa samordning och integrering av strategier för krisnödvändiga medicinska motåtgärder på EU-nivå. Det kan även handla om att inrätta mekanismer för övervakning, aktivering av krisfinansiering, upphandling och inköp av krisnödvändiga medicinska motåtgärder och råvaror, aktivera EU Fab-faciliteter, aktivera planer för krisforskning och krisinnovation och användning av unionsomfattande nätverk för kliniska prövningar och bestämmelser och plattformar för snabb datadelning, samt åtgärder som rör produktion av krisnödvändiga medicinska motåtgärder. Fastställandet av ett hot mot folkhälsan gör det också möjligt att införa åtgärder som rör läkemedel och medicintekniska produkter i enlighet med förordning (EU) 2022/12, aktivera stöd från ECDC för att mobilisera och utstationera experter till de drabbade områdena inom ramen för EU:s insatsgrupp för hälsofrågor och aktivera rådets IPCR. </w:t>
      </w:r>
    </w:p>
    <w:p w14:paraId="5544E5CB" w14:textId="4A1E5008"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Bedömning av folkhälsorisker</w:t>
      </w:r>
    </w:p>
    <w:p w14:paraId="4F30899E"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Det första steget i hanteringen av ett framväxande gränsöverskridande hot mot människors hälsa är att bedöma hur omfattande hotet är och vilka risker det innebär. Förordning (EU) 2022/2371 innebär ett utökat ansvarsområde för EU:s byråer och organ som deltar i riskbedömningar av folkhälsan och definierar deras roll och bidrag. Förordningen hänvisar till Europeiska centrumet för förebyggande och kontroll av sjukdomar (ECDC), Europeiska läkemedelsmyndigheten (EMA), Europeiska myndigheten för livsmedelssäkerhet (Efsa), Europeiska kemikaliemyndigheten (Echa), Europeiska miljöbyrån (EEA), Europeiska centrumet för kontroll av narkotika och narkotikamissbruk och Europeiska unionens byrå för samarbete inom brottsbekämpning (Europol).</w:t>
      </w:r>
    </w:p>
    <w:p w14:paraId="283C1288" w14:textId="5E659E08" w:rsidR="00FC03C1" w:rsidRPr="00EF5A88" w:rsidRDefault="001F1738" w:rsidP="00FC03C1">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För att stödja kommissionen i beslutsprocessen för formellt fastställande av en sådan händelse föreskrivs i artikel 24 i förordning (EU) 2022/2371 att en rådgivande kommitté för hot mot folkhälsan ska inrättas. Kommissionens beslut om inrättande av rådgivande kommittén antogs i september 2023</w:t>
      </w:r>
      <w:r>
        <w:rPr>
          <w:rFonts w:ascii="Times New Roman" w:eastAsia="Times New Roman" w:hAnsi="Times New Roman" w:cs="Times New Roman"/>
          <w:noProof/>
          <w:sz w:val="24"/>
          <w:vertAlign w:val="superscript"/>
        </w:rPr>
        <w:footnoteReference w:id="87"/>
      </w:r>
      <w:r w:rsidRPr="00EF5A88">
        <w:rPr>
          <w:rFonts w:ascii="Times New Roman" w:hAnsi="Times New Roman"/>
          <w:noProof/>
          <w:sz w:val="24"/>
          <w:lang w:val="sv-SE"/>
        </w:rPr>
        <w:t xml:space="preserve"> och den slutliga utnämningen av kommittén planeras till våren 2024. Rådgivande kommittén kommer att vara en tvärvetenskaplig expertgrupp som kan ge kommissionen och hälsosäkerhetskommittén råd om folkhälsa, biomedicinska, beteendemässiga, sociala, ekonomiska, kulturella och internationella aspekter. Företrädare för ECDC och EMA kommer att ingå i kommittén som ständiga observatörer. Företrädare för WHO får också delta som observatörer. Företrädare för andra EU-byråer och EU-organ som är relevanta för det specifika hotet får delta i rådgivande kommittén som icke-ständiga observatörer. Dessutom får kommissionen tillfälligt bjuda in, eller medlemsstaterna föreslå utnämning av, experter med relevant sakkunskap för att delta i kommitténs arbete, särskilt från länder där hotet har uppstått. </w:t>
      </w:r>
    </w:p>
    <w:p w14:paraId="2C312AE5" w14:textId="6C038132" w:rsidR="00FC03C1" w:rsidRPr="00EF5A88" w:rsidRDefault="001F1738" w:rsidP="00FC03C1">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Dessutom upprätthålls EU:s insatskapacitet vid nödsituationer, inte enbart folkhälsorelaterade sådana, inom ramen för civilskyddsmekanismen, där kommissionen, i nära samarbete med medlemsstaterna, inte bara säkerställer samordning av krisinsatser för produkter och medicintekniska produkter, utan även samordnar fullt utrustade och självförsörjande akutsjukvårdsgrupper på EU-nivå. Om den medicinska kapaciteten i ett land som drabbats av en nödsituation är otillräcklig kan civilskyddsmekanismen mobilisera annat akutmedicinskt stöd från den europeiska civilskyddspoolen, inbegripet akutsjukvårdsgrupper. </w:t>
      </w:r>
    </w:p>
    <w:p w14:paraId="11D8B1FF" w14:textId="255F69C2" w:rsidR="00FC03C1" w:rsidRPr="00EF5A88" w:rsidRDefault="001F1738" w:rsidP="00FC03C1">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Som en del av rescEU har 106,2 miljoner euro anslagits till åtta länder för att utveckla nya akutsjukvårdsgrupper inom rescEU. Målet är att främja akut medicinskt stöd till befolkningsgrupper som drabbats av storskaliga naturkatastrofer eller katastrofer orsakade av människan. Dessa akutsjukvårdsgrupper inom rescEU kommer gradvis att tas i drift från och med 2024 och kommer att möjliggöra insatser i en rad olika katastrofscenarier. Grupperna kommer att kunna arbeta självständigt och stödja befintliga nationella vårdinrättningar om dessa inte kan hantera en viss nödsituation. Dessutom omfattar rescEU också kapacitet för medicinsk evakuering (Medevac) i händelse av akuta behov hos patienter som drabbats av mycket smittsamma sjukdomar, inbegripet särskilda flygplan.</w:t>
      </w:r>
      <w:bookmarkStart w:id="21" w:name="_Toc145428532"/>
      <w:bookmarkEnd w:id="21"/>
    </w:p>
    <w:p w14:paraId="4B3DC508" w14:textId="76ED8741" w:rsidR="001F1738" w:rsidRPr="00EF5A88" w:rsidRDefault="001F1738" w:rsidP="00FC03C1">
      <w:pPr>
        <w:spacing w:before="100" w:beforeAutospacing="1" w:after="100" w:afterAutospacing="1" w:line="240" w:lineRule="auto"/>
        <w:jc w:val="both"/>
        <w:rPr>
          <w:rFonts w:ascii="Times New Roman" w:eastAsia="Times New Roman" w:hAnsi="Times New Roman" w:cs="Times New Roman"/>
          <w:b/>
          <w:noProof/>
          <w:sz w:val="24"/>
          <w:lang w:val="sv-SE"/>
        </w:rPr>
      </w:pPr>
      <w:r w:rsidRPr="00EF5A88">
        <w:rPr>
          <w:rFonts w:ascii="Times New Roman" w:hAnsi="Times New Roman"/>
          <w:b/>
          <w:noProof/>
          <w:sz w:val="24"/>
          <w:lang w:val="sv-SE"/>
        </w:rPr>
        <w:t>Säkra och effektiva läkemedel och medicintekniska produkter</w:t>
      </w:r>
    </w:p>
    <w:p w14:paraId="1BBCB08E" w14:textId="477EF169" w:rsidR="001F1738" w:rsidRPr="00EF5A88" w:rsidRDefault="001F1738" w:rsidP="001F1738">
      <w:pPr>
        <w:autoSpaceDE w:val="0"/>
        <w:autoSpaceDN w:val="0"/>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Covid-19-pandemin gjorde det återigen tydligt hur viktigt det är att säkerställa att medicintekniska produkter, diagnostik och läkemedel är säkra och effektiva samt tillgängliga i tider av hälsokriser. </w:t>
      </w:r>
    </w:p>
    <w:p w14:paraId="30CDF999" w14:textId="5CA3D907" w:rsidR="001F1738" w:rsidRPr="00EF5A88" w:rsidRDefault="001F1738" w:rsidP="001F1738">
      <w:pPr>
        <w:autoSpaceDE w:val="0"/>
        <w:autoSpaceDN w:val="0"/>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Även utanför nödsituationer har förordningarna (EU) 2017/745 och 2017/746 om medicintekniska produkter och diagnostik skapat ett robust regelverk som harmoniserar och skärper kraven på tillverkarna. Dessa förordningar säkerställer att medicintekniska produkter på EU-marknaden är säkra och effektiva. Under covid-19-pandemin översvämmades EU-marknaden med antigentester, som inte behövde genomgå någon oberoende granskning av tredje part. Med det nya regelverket (som gäller sedan maj 2021 för medicintekniska produkter och maj 2022 för diagnostik) måste medicintekniska produkter genomgå en strängare bedömning av överensstämmelse innan de kan släppas ut på EU-marknaden. Samtidigt får medlemsstaterna i undantagsfall bevilja undantag från bedömning av överensstämmelse om detta är befogat av skäl som rör folkhälsan (artikel 59 i förordning (EU) 2017/745 och artikel 54 i förordning (EU) 2017/746).</w:t>
      </w:r>
    </w:p>
    <w:p w14:paraId="68ED3D65" w14:textId="1F4522AC"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Dessutom är läkemedelsförsörjningen ett ständigt problem i EU och påverkar alla medlemsstater även utanför ett fastställt hot mot folkhälsan eller en större händelse. Det finns ett mångfasetterat system för att minska bristerna. Det systemet aktiverades också när EU drabbades av brist på antibiotika under vintern 2022/2023. För att säkerställa att en liknande situation inte upprepas övervakar kommissionen och EMA kontinuerligt den planerade tillgången och uppskattade efterfrågan på en rad viktiga antibiotika, för att proaktivt identifiera eventuella luckor i försörjningskapaciteten. I oktober 2023 antog kommissionen ett meddelande om hantering av läkemedelsbrister i EU, som syftar till att stärka försörjningstryggheten i EU med kompletterande åtgärder för att ytterligare förbättra tillgången till och försörjningstryggheten för läkemedel.</w:t>
      </w:r>
    </w:p>
    <w:p w14:paraId="650C0B0C" w14:textId="4662F110" w:rsidR="00BC7FCB" w:rsidRPr="00EF5A88" w:rsidRDefault="001F1738" w:rsidP="00BC2F11">
      <w:pPr>
        <w:spacing w:before="100" w:beforeAutospacing="1" w:after="100" w:afterAutospacing="1" w:line="240" w:lineRule="auto"/>
        <w:contextualSpacing/>
        <w:jc w:val="both"/>
        <w:rPr>
          <w:rFonts w:ascii="Times New Roman" w:eastAsia="Times New Roman" w:hAnsi="Times New Roman" w:cs="Times New Roman"/>
          <w:noProof/>
          <w:sz w:val="24"/>
          <w:lang w:val="sv-SE"/>
        </w:rPr>
      </w:pPr>
      <w:r w:rsidRPr="00EF5A88">
        <w:rPr>
          <w:rFonts w:ascii="Times New Roman" w:hAnsi="Times New Roman"/>
          <w:noProof/>
          <w:sz w:val="24"/>
          <w:lang w:val="sv-SE"/>
        </w:rPr>
        <w:t>Sedan EMA:s utökade mandat infördes 2022</w:t>
      </w:r>
      <w:r>
        <w:rPr>
          <w:rFonts w:ascii="Times New Roman" w:eastAsia="Times New Roman" w:hAnsi="Times New Roman" w:cs="Times New Roman"/>
          <w:noProof/>
          <w:sz w:val="24"/>
          <w:vertAlign w:val="superscript"/>
        </w:rPr>
        <w:footnoteReference w:id="88"/>
      </w:r>
      <w:r w:rsidRPr="00EF5A88">
        <w:rPr>
          <w:rFonts w:ascii="Times New Roman" w:hAnsi="Times New Roman"/>
          <w:noProof/>
          <w:sz w:val="24"/>
          <w:lang w:val="sv-SE"/>
        </w:rPr>
        <w:t xml:space="preserve"> har EMA inrättat nya organ och strukturer för att snabbt hantera läkemedelsbrister. Den verkställande styrgruppen för läkemedelsbrist och läkemedelssäkerhet och den verkställande styrgruppen för brister på medicintekniska produkter inrättades för att samordna EU:s åtgärder för att minska försörjningsproblemen med läkemedel och medicintekniska produkter. Dessutom finns det nu två arbetsgrupper med en gemensam kontaktpunkt (SPOC) som ska övervaka och rapportera om brister, både när det gäller läkemedelsbrister och brister på medicintekniska produkter. Det finns också ett nätverk av gemensamma kontaktpunkter inom industrin (i-SPOC) som ska ge vägledning till innehavare av godkännanden för försäljning. En europeisk plattform för övervakning av brister väntas stå klar under 2025 för att underlätta insamlingen av information om brister och om tillgång och efterfrågan på läkemedel.</w:t>
      </w:r>
    </w:p>
    <w:p w14:paraId="5CC6C203" w14:textId="500DC6B4" w:rsidR="00003506" w:rsidRPr="00EF5A88" w:rsidRDefault="00003506" w:rsidP="00BC2F11">
      <w:pPr>
        <w:spacing w:before="100" w:beforeAutospacing="1" w:after="100" w:afterAutospacing="1" w:line="240" w:lineRule="auto"/>
        <w:contextualSpacing/>
        <w:jc w:val="both"/>
        <w:rPr>
          <w:rFonts w:ascii="Times New Roman" w:eastAsia="Times New Roman" w:hAnsi="Times New Roman" w:cs="Times New Roman"/>
          <w:noProof/>
          <w:sz w:val="24"/>
          <w:lang w:val="sv-SE"/>
        </w:rPr>
      </w:pPr>
    </w:p>
    <w:p w14:paraId="5F45EA29"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sv-SE"/>
        </w:rPr>
      </w:pPr>
      <w:r w:rsidRPr="00EF5A88">
        <w:rPr>
          <w:rFonts w:ascii="Times New Roman" w:hAnsi="Times New Roman"/>
          <w:b/>
          <w:noProof/>
          <w:sz w:val="24"/>
          <w:lang w:val="sv-SE"/>
        </w:rPr>
        <w:t>EU:s beredskapslager</w:t>
      </w:r>
    </w:p>
    <w:p w14:paraId="1834FEB7"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Inom ramen för civilskyddsmekanismens rescEU-beredskapslager har kommissionen sedan 2020 byggt upp en lagringskapacitet för medicinska motåtgärder för beredskap och insatser vid allvarliga gränsöverskridande hot mot människors hälsa samt kemiska, biologiska, radiologiska och nukleära hot. Det medicinska beredskapslagret gör det möjligt att snabbt leverera medicinsk utrustning som respiratorer och personlig skyddsutrustning. Över 3 miljoner munskydd, respiratorer och annan utrustning från rescEU:s strategiska distributionscentraler distribuerades till de medlemsstater som behövde dem mest. RescEU:s medicinska beredskapslager finns för närvarande i tio medlemsstater (Belgien, Kroatien, Danmark, Tyskland, Grekland, Ungern, Rumänien, Slovenien, Sverige och Nederländerna).</w:t>
      </w:r>
    </w:p>
    <w:p w14:paraId="441C6176" w14:textId="77777777" w:rsidR="00003506" w:rsidRPr="00EF5A88"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I februari 2023 beviljade kommissionen samtidigt 545,6 miljoner euro i bidrag till rescEU-beredskapslager för kemiska, biologiska och radiologiska nödsituationer. I dessa kommer det att finnas motgifter, antibiotika, vacciner, lugnande medel och profylaktiska behandlingar och särskild beredskapsutrustning för kemiska, biologiska, radiologiska och nukleära nödsituationer, till exempel jodtabletter, detektorer och dekontamineringsutrustning och personlig skyddsutrustning. Beredskapslagren kommer successivt att finnas tillgängliga från och med 2023. För att ytterligare öka beredskapen finns det för närvarande en öppen anbudsinfordran för att bygga upp ytterligare medicinska beredskapslager och beredskapslager för kemiska, biologiska, radiologiska och nukleära nödsituationer, med en preliminär budget på 636 miljoner euro, och nio förslag håller för närvarande på att utvärderas. </w:t>
      </w:r>
    </w:p>
    <w:p w14:paraId="6852084B" w14:textId="77777777" w:rsidR="00BE1A6C" w:rsidRPr="00EF5A88" w:rsidRDefault="001F1738" w:rsidP="00BE1A6C">
      <w:pPr>
        <w:spacing w:before="100" w:beforeAutospacing="1" w:after="100" w:afterAutospacing="1" w:line="240" w:lineRule="auto"/>
        <w:jc w:val="both"/>
        <w:rPr>
          <w:rFonts w:ascii="Times New Roman" w:eastAsia="Times New Roman" w:hAnsi="Times New Roman" w:cs="Times New Roman"/>
          <w:b/>
          <w:noProof/>
          <w:sz w:val="24"/>
          <w:lang w:val="sv-SE"/>
        </w:rPr>
      </w:pPr>
      <w:bookmarkStart w:id="22" w:name="_Toc145428534"/>
      <w:bookmarkEnd w:id="22"/>
      <w:r w:rsidRPr="00EF5A88">
        <w:rPr>
          <w:rFonts w:ascii="Times New Roman" w:hAnsi="Times New Roman"/>
          <w:b/>
          <w:noProof/>
          <w:sz w:val="24"/>
          <w:lang w:val="sv-SE"/>
        </w:rPr>
        <w:t>Skydda kritisk infrastruktur och öka kritiska entiteters motståndskraft</w:t>
      </w:r>
      <w:bookmarkStart w:id="23" w:name="_Hlk146274054"/>
    </w:p>
    <w:p w14:paraId="61CAF597" w14:textId="5A283D4B" w:rsidR="00BE1A6C" w:rsidRPr="00EF5A88" w:rsidRDefault="001F1738" w:rsidP="00BE1A6C">
      <w:pPr>
        <w:spacing w:before="100" w:beforeAutospacing="1" w:after="100" w:afterAutospacing="1" w:line="240" w:lineRule="auto"/>
        <w:jc w:val="both"/>
        <w:rPr>
          <w:rFonts w:ascii="Times New Roman" w:eastAsia="Times New Roman" w:hAnsi="Times New Roman" w:cs="Times New Roman"/>
          <w:b/>
          <w:noProof/>
          <w:sz w:val="24"/>
          <w:lang w:val="sv-SE"/>
        </w:rPr>
      </w:pPr>
      <w:r w:rsidRPr="00EF5A88">
        <w:rPr>
          <w:rFonts w:ascii="Times New Roman" w:hAnsi="Times New Roman"/>
          <w:noProof/>
          <w:sz w:val="24"/>
          <w:lang w:val="sv-SE"/>
        </w:rPr>
        <w:t>Direktiv (EU) 2022/2557 om kritiska entiteters motståndskraft</w:t>
      </w:r>
      <w:r>
        <w:rPr>
          <w:rFonts w:ascii="Times New Roman" w:eastAsiaTheme="minorEastAsia" w:hAnsi="Times New Roman" w:cs="Times New Roman"/>
          <w:noProof/>
          <w:sz w:val="24"/>
          <w:vertAlign w:val="superscript"/>
        </w:rPr>
        <w:footnoteReference w:id="89"/>
      </w:r>
      <w:r w:rsidRPr="00EF5A88">
        <w:rPr>
          <w:rFonts w:ascii="Times New Roman" w:hAnsi="Times New Roman"/>
          <w:noProof/>
          <w:sz w:val="24"/>
          <w:lang w:val="sv-SE"/>
        </w:rPr>
        <w:t xml:space="preserve"> (CER-direktivet) trädde i kraft i januari 2023. Det kommer att ersätta direktiv 2008/114/EG om identifiering av, och klassificering som, europeisk kritisk infrastruktur</w:t>
      </w:r>
      <w:r>
        <w:rPr>
          <w:rFonts w:ascii="Times New Roman" w:eastAsia="Times New Roman" w:hAnsi="Times New Roman" w:cs="Times New Roman"/>
          <w:noProof/>
          <w:sz w:val="24"/>
          <w:vertAlign w:val="superscript"/>
        </w:rPr>
        <w:footnoteReference w:id="90"/>
      </w:r>
      <w:r w:rsidRPr="00EF5A88">
        <w:rPr>
          <w:rFonts w:ascii="Times New Roman" w:hAnsi="Times New Roman"/>
          <w:noProof/>
          <w:sz w:val="24"/>
          <w:lang w:val="sv-SE"/>
        </w:rPr>
        <w:t xml:space="preserve"> från och med den 18 oktober 2024. CER-direktivet är tillämpligt på elva sektorer och ökar motståndskraften hos entiteter som tillhandahåller grundläggande tjänster inom dessa sektorer, inbegripet hälso- och sjukvård.</w:t>
      </w:r>
      <w:bookmarkEnd w:id="23"/>
    </w:p>
    <w:p w14:paraId="00D28E75" w14:textId="5EF6676C" w:rsidR="00DE1D36" w:rsidRPr="00EF5A88" w:rsidRDefault="003E6744" w:rsidP="00BE1A6C">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 september 2023 antog kommissionen ett förslag till rådets rekommendation</w:t>
      </w:r>
      <w:r>
        <w:rPr>
          <w:rStyle w:val="FootnoteReference"/>
          <w:rFonts w:ascii="Times New Roman" w:eastAsia="Times New Roman" w:hAnsi="Times New Roman" w:cs="Times New Roman"/>
          <w:noProof/>
          <w:sz w:val="24"/>
        </w:rPr>
        <w:footnoteReference w:id="91"/>
      </w:r>
      <w:r w:rsidRPr="00EF5A88">
        <w:rPr>
          <w:rFonts w:ascii="Times New Roman" w:hAnsi="Times New Roman"/>
          <w:noProof/>
          <w:sz w:val="24"/>
          <w:lang w:val="sv-SE"/>
        </w:rPr>
        <w:t xml:space="preserve"> om en plan för samordnade insatser på unionsnivå vid störningar av kritisk infrastruktur med stor gränsöverskridande betydelse. Denna kommer att komplettera den nuvarande ramen för skydd av kritisk infrastruktur och kritiska entiteters motståndskraft genom att förklara samspelet mellan olika befintliga EU-arrangemang och lägga fram delarna i en samordnad EU-insats i händelse av en betydande incident avseende kritisk infrastruktur. </w:t>
      </w:r>
    </w:p>
    <w:p w14:paraId="64F15539" w14:textId="7FB12C9C"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bookmarkStart w:id="24" w:name="_Toc145428536"/>
      <w:bookmarkStart w:id="25" w:name="_Toc145428538"/>
      <w:bookmarkStart w:id="26" w:name="_Toc145428539"/>
      <w:bookmarkStart w:id="27" w:name="_Toc145428540"/>
      <w:bookmarkStart w:id="28" w:name="_Toc145428541"/>
      <w:bookmarkStart w:id="29" w:name="_Toc145428542"/>
      <w:bookmarkEnd w:id="24"/>
      <w:bookmarkEnd w:id="25"/>
      <w:bookmarkEnd w:id="26"/>
      <w:bookmarkEnd w:id="27"/>
      <w:bookmarkEnd w:id="28"/>
      <w:bookmarkEnd w:id="29"/>
      <w:r w:rsidRPr="00EF5A88">
        <w:rPr>
          <w:rFonts w:ascii="Times New Roman" w:hAnsi="Times New Roman"/>
          <w:b/>
          <w:noProof/>
          <w:sz w:val="24"/>
          <w:lang w:val="sv-SE"/>
        </w:rPr>
        <w:t xml:space="preserve">Krisarbetsgrupper </w:t>
      </w:r>
    </w:p>
    <w:p w14:paraId="195F58A8" w14:textId="77777777"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i/>
          <w:noProof/>
          <w:sz w:val="28"/>
          <w:lang w:val="sv-SE"/>
        </w:rPr>
      </w:pPr>
      <w:r w:rsidRPr="00EF5A88">
        <w:rPr>
          <w:rFonts w:ascii="Times New Roman" w:hAnsi="Times New Roman"/>
          <w:b/>
          <w:i/>
          <w:noProof/>
          <w:sz w:val="24"/>
          <w:lang w:val="sv-SE"/>
        </w:rPr>
        <w:t xml:space="preserve">EU:s insatsgrupp för hälsofrågor </w:t>
      </w:r>
    </w:p>
    <w:p w14:paraId="79D8DC8D" w14:textId="3C25F687"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Enligt förordning (EU) nr 851/2004 om inrättande av ett europeiskt centrum för förebyggande och kontroll av sjukdomar, ändrad genom förordning (EU) 2022/2370, ska ECDC inrätta en insatsgrupp för hälsofrågor som på begäran ska tillhandahålla snabbt stöd i nödsituationer och bistå medlemsstaterna med att utarbeta planer för förebyggande åtgärder, beredskap och insatser, lokala insatser mot utbrott av smittsamma sjukdomar samt reflektioner efter insatser i länder inom och utanför EU, i samarbete med WHO. EU:s insatsgrupp för hälsofrågor kommer att bestå av experter från medlemsstaterna, ECDC:s personal, nuvarande och tidigare stipendiater inom det europeiska programmet för interventionsepidemiologisk utbildning och en ny förteckning över experter. EU:s insatsgrupp för hälsofrågor kan hjälpa både länder i och utanför EU.</w:t>
      </w:r>
    </w:p>
    <w:p w14:paraId="0F91FDEB" w14:textId="5C73D23E" w:rsidR="001F1738" w:rsidRPr="00EF5A88" w:rsidRDefault="00357B1E"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ECDC har inrättat en tillfällig arbetsgrupp (bestående av experter från medlemsstaterna, företrädare för kommissionen och WHO) för att ge ECDC råd om inrättandet av EU:s insatsgrupp för hälsofrågor. När insatsgruppen har kommit igång med sin verksamhet kommer den att inrätta en ständig rådgivande grupp och en grupp som kan samordna arbetet i insatsgruppen för hälsofrågor.</w:t>
      </w:r>
    </w:p>
    <w:p w14:paraId="6EC6DB0A" w14:textId="77777777"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i/>
          <w:noProof/>
          <w:sz w:val="28"/>
          <w:lang w:val="sv-SE"/>
        </w:rPr>
      </w:pPr>
      <w:r w:rsidRPr="00EF5A88">
        <w:rPr>
          <w:rFonts w:ascii="Times New Roman" w:hAnsi="Times New Roman"/>
          <w:b/>
          <w:i/>
          <w:noProof/>
          <w:sz w:val="24"/>
          <w:lang w:val="sv-SE"/>
        </w:rPr>
        <w:t xml:space="preserve">EMA:s krisarbetsgrupp </w:t>
      </w:r>
    </w:p>
    <w:p w14:paraId="5DCDF116" w14:textId="23138940"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EMA:s krisarbetsgrupp är ett rådgivnings- och stödorgan som utför regleringsverksamhet som förberedelse inför och under ett hot mot folkhälsan, t.ex. en pandemi. Genom förordning (EU) 2022/123, som stärkte EMA:s mandat</w:t>
      </w:r>
      <w:r>
        <w:rPr>
          <w:rFonts w:ascii="Times New Roman" w:eastAsia="Times New Roman" w:hAnsi="Times New Roman" w:cs="Times New Roman"/>
          <w:noProof/>
          <w:sz w:val="24"/>
          <w:vertAlign w:val="superscript"/>
        </w:rPr>
        <w:footnoteReference w:id="92"/>
      </w:r>
      <w:r w:rsidRPr="00EF5A88">
        <w:rPr>
          <w:rFonts w:ascii="Times New Roman" w:hAnsi="Times New Roman"/>
          <w:noProof/>
          <w:sz w:val="24"/>
          <w:lang w:val="sv-SE"/>
        </w:rPr>
        <w:t xml:space="preserve"> och trädde i kraft den 1 mars 2022, inrättades EMA:s krisarbetsgrupp som ett formellt rådgivnings- och stödorgan med inriktning på läkemedel vid hot mot folkhälsan och beredskap. I april 2022 tog krisarbetsgruppen över verksamheten i EMA:s arbetsgrupp för covid-19-pandemin, som EMA hade sammankallat i mars 2020 för att hantera covid-19-pandemin. Genom förordning (EU) 2022/123 blev gruppen permanent och fick en viktig roll i krisberedskapen. Under 2023 fortsatte krisarbetsgruppen att stödja EMA:s vetenskapliga kommittéer med godkännanden och säkerhetsövervakning av läkemedel och med rekommendationer om användningen av läkemedel före godkännandet. EMA:s krisarbetsgrupp tittade på olika behandlingsalternativ för att bekämpa covid-19-pandemin och utbrottet av apkoppor, till exempel att underlätta kliniska prövningar och samarbeta med EU-partner.</w:t>
      </w:r>
    </w:p>
    <w:p w14:paraId="5A0FBA0B" w14:textId="77777777" w:rsidR="001F1738" w:rsidRPr="00EF5A88" w:rsidRDefault="001F1738" w:rsidP="00B55BF2">
      <w:pPr>
        <w:spacing w:before="480" w:after="100" w:afterAutospacing="1" w:line="240" w:lineRule="auto"/>
        <w:rPr>
          <w:rFonts w:ascii="Times New Roman" w:eastAsiaTheme="minorEastAsia" w:hAnsi="Times New Roman" w:cs="Times New Roman"/>
          <w:noProof/>
          <w:sz w:val="24"/>
          <w:lang w:val="sv-SE"/>
        </w:rPr>
      </w:pPr>
      <w:r w:rsidRPr="00EF5A88">
        <w:rPr>
          <w:rFonts w:ascii="Times New Roman" w:hAnsi="Times New Roman"/>
          <w:noProof/>
          <w:sz w:val="24"/>
          <w:lang w:val="sv-SE"/>
        </w:rPr>
        <w:t>5. ÅTERHÄMTNING</w:t>
      </w:r>
    </w:p>
    <w:p w14:paraId="28612911" w14:textId="7D9C25F5" w:rsidR="001F1738" w:rsidRPr="00EF5A88" w:rsidRDefault="001F1738" w:rsidP="001F1738">
      <w:pPr>
        <w:keepNext/>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Effekterna av en allvarlig hälsokris kan vara djupgående och långvariga. Covid-19-pandemin utsatte hälso- och sjukvårdssystemen för allvarliga påfrestningar och till och med risk för kollaps. Det är viktigt att stödja återhämtningen i medlemsstaterna och deras respektive hälso- och sjukvårdssystem på alla nivåer. Detta kan ske inte bara genom ekonomisk hjälp, utan också genom direkt hjälp till dem som drabbats hårdast av de åtgärder som vidtagits i kristider. När det gäller covid-19 är det känt att många människors psykiska hälsa försämrades till följd av pandemin och att många fortfarande lider av postcovid. Samtidigt innebär återhämtningen också en granskning av tidigare händelser, så att vi lär oss hur vi ytterligare kan förbättra våra förebyggande åtgärder och vår beredskap för och våra insatser mot allvarliga gränsöverskridande hot mot människors hälsa.</w:t>
      </w:r>
    </w:p>
    <w:p w14:paraId="32712853" w14:textId="77777777"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r w:rsidRPr="00EF5A88">
        <w:rPr>
          <w:rFonts w:ascii="Times New Roman" w:hAnsi="Times New Roman"/>
          <w:b/>
          <w:noProof/>
          <w:sz w:val="24"/>
          <w:lang w:val="sv-SE"/>
        </w:rPr>
        <w:t xml:space="preserve">Återhämtning och folkhälsoåtgärdernas effektivitet </w:t>
      </w:r>
    </w:p>
    <w:p w14:paraId="3A24C601" w14:textId="3E4B1903" w:rsidR="001F1738" w:rsidRPr="00EF5A88" w:rsidRDefault="002D6120"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ECDC fortsätter att bedöma evidensbasen från covid-19-pandemin genom att genomföra systematiska litteraturgranskningar av olika operativa och vetenskapliga frågor som uppstod under pandemin, bland annat de riskreducerande åtgärdernas effektivitet och kostnadseffektivitet, överföringen av SARS-CoV-2 via flygplan, postcovid, användningen av munskydd i offentliga miljöer osv. ECDC har gjort flera reflektioner efter insatser om evidensbaserat beslutsfattande i EU/EEA och EU:s grannländer under covid-19-pandemin med fokus på långtidssjukvård och nedstängningar av skolor. Det har också offentliggjort relevant vägledning</w:t>
      </w:r>
      <w:r>
        <w:rPr>
          <w:rFonts w:ascii="Times New Roman" w:eastAsia="Times New Roman" w:hAnsi="Times New Roman" w:cs="Times New Roman"/>
          <w:noProof/>
          <w:sz w:val="24"/>
          <w:vertAlign w:val="superscript"/>
        </w:rPr>
        <w:footnoteReference w:id="93"/>
      </w:r>
      <w:r w:rsidRPr="00EF5A88">
        <w:rPr>
          <w:rFonts w:ascii="Times New Roman" w:hAnsi="Times New Roman"/>
          <w:noProof/>
          <w:sz w:val="24"/>
          <w:lang w:val="sv-SE"/>
        </w:rPr>
        <w:t xml:space="preserve"> för att hjälpa länderna att utforma sina egna reflektioner efter insatser.</w:t>
      </w:r>
    </w:p>
    <w:p w14:paraId="2FCCE3A4" w14:textId="77777777"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sv-SE"/>
        </w:rPr>
      </w:pPr>
      <w:r w:rsidRPr="00EF5A88">
        <w:rPr>
          <w:rFonts w:ascii="Times New Roman" w:hAnsi="Times New Roman"/>
          <w:b/>
          <w:noProof/>
          <w:sz w:val="24"/>
          <w:lang w:val="sv-SE"/>
        </w:rPr>
        <w:t xml:space="preserve">Hälso- och sjukvårdssystemets återhämtning </w:t>
      </w:r>
    </w:p>
    <w:p w14:paraId="6245C4CC" w14:textId="5709D7BB"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Inom ramen för faciliteten för återhämtning och resiliens har över 43 miljarder euro öronmärkts i 27 nationella återhämtnings- och resiliensplaner för att stärka hälso- och sjukvården. Detta omfattar mer än 14 miljarder euro till åtgärder för att främja den digitala omställningen av hälso- och sjukvårdssystemen. Dessutom kan hälso- och sjukvårdssystemens reformutmaningar (till exempel de som identifieras i de landsspecifika rekommendationerna inom ramen för den europeiska planeringsterminen 2019 och 2020) som inte i tillräcklig utsträckning hanteras inom ramen för återhämtnings- och resiliensplanerna hanteras genom de landsspecifika rekommendationerna inom ramen för den europeiska planeringsterminen. Dessa landsspecifika rekommendationer ligger också till grund för investeringsprioriteringarna för sammanhållningsfonderna. Under den senaste europeiska planeringsterminen (2023) fick sex medlemsstater en landsspecifik rekommendation om hälso- och sjukvård, bland annat om utmaningar i samband med tillgänglighet, arbetskraft och primärvård. Dessutom planerar medlemsländerna att investera omkring 16 miljarder euro i hälso- och sjukvård</w:t>
      </w:r>
      <w:r>
        <w:rPr>
          <w:rFonts w:ascii="Times New Roman" w:eastAsia="Times New Roman" w:hAnsi="Times New Roman" w:cs="Times New Roman"/>
          <w:noProof/>
          <w:sz w:val="24"/>
          <w:vertAlign w:val="superscript"/>
        </w:rPr>
        <w:footnoteReference w:id="94"/>
      </w:r>
      <w:r w:rsidRPr="00EF5A88">
        <w:rPr>
          <w:rFonts w:ascii="Times New Roman" w:hAnsi="Times New Roman"/>
          <w:noProof/>
          <w:sz w:val="24"/>
          <w:lang w:val="sv-SE"/>
        </w:rPr>
        <w:t xml:space="preserve">, varav mer än 2 miljarder euro i den digitala omställningen av hälso- och sjukvårdssystemen. Som nämns i </w:t>
      </w:r>
      <w:r w:rsidRPr="00EF5A88">
        <w:rPr>
          <w:rFonts w:ascii="Times New Roman" w:hAnsi="Times New Roman"/>
          <w:i/>
          <w:iCs/>
          <w:noProof/>
          <w:sz w:val="24"/>
          <w:lang w:val="sv-SE"/>
        </w:rPr>
        <w:t>Health at a Glance:</w:t>
      </w:r>
      <w:r w:rsidRPr="00EF5A88">
        <w:rPr>
          <w:rFonts w:ascii="Times New Roman" w:hAnsi="Times New Roman"/>
          <w:noProof/>
          <w:sz w:val="24"/>
          <w:lang w:val="sv-SE"/>
        </w:rPr>
        <w:t xml:space="preserve"> </w:t>
      </w:r>
      <w:r w:rsidRPr="00EF5A88">
        <w:rPr>
          <w:rFonts w:ascii="Times New Roman" w:hAnsi="Times New Roman"/>
          <w:i/>
          <w:iCs/>
          <w:noProof/>
          <w:sz w:val="24"/>
          <w:lang w:val="sv-SE"/>
        </w:rPr>
        <w:t>Europe 2022</w:t>
      </w:r>
      <w:r>
        <w:rPr>
          <w:rFonts w:ascii="Times New Roman" w:eastAsia="Times New Roman" w:hAnsi="Times New Roman" w:cs="Times New Roman"/>
          <w:noProof/>
          <w:sz w:val="24"/>
          <w:vertAlign w:val="superscript"/>
        </w:rPr>
        <w:footnoteReference w:id="95"/>
      </w:r>
      <w:r w:rsidRPr="00EF5A88">
        <w:rPr>
          <w:rFonts w:ascii="Times New Roman" w:hAnsi="Times New Roman"/>
          <w:noProof/>
          <w:sz w:val="24"/>
          <w:lang w:val="sv-SE"/>
        </w:rPr>
        <w:t xml:space="preserve"> är det viktigt att hälso- och sjukvårdssystemen övervinner den stora chocken och den minskade vårdleveransen under pandemin. Eftersläpningen inom kirurgin är fortfarande betydande i vissa länder. </w:t>
      </w:r>
    </w:p>
    <w:p w14:paraId="299BA51F" w14:textId="146B615E"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r w:rsidRPr="00EF5A88">
        <w:rPr>
          <w:rFonts w:ascii="Times New Roman" w:hAnsi="Times New Roman"/>
          <w:b/>
          <w:noProof/>
          <w:sz w:val="24"/>
          <w:lang w:val="sv-SE"/>
        </w:rPr>
        <w:t xml:space="preserve">Psykisk hälsa och postcovid </w:t>
      </w:r>
    </w:p>
    <w:p w14:paraId="531A5606" w14:textId="69B53F90"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Allt fler människor i EU drabbas av psykisk ohälsa. Redan före covid-19-pandemin drabbades omkring 84 miljoner människor (1 av 6 personer) av psykisk ohälsa till en beräknad kostnad på över 600 miljarder euro (mer än 4 % av BNP). Dessutom fortsätter konsekvenserna av pandemin och andra globala kriser att leda till en ökad förekomst av ångest och depression över hela världen. De förödande effekterna av covid-19-pandemin, Rysslands fullskaliga invasion av Ukraina, klimatkrisen, den ökade digitaliseringen, arbetslösheten och de stigande levnadskostnaderna har ytterligare förvärrat den redan stora psykiska ohälsan. Utsatta grupper och människor i socioekonomiskt mindre gynnade situationer drabbas hårdare än andra. I rapporten </w:t>
      </w:r>
      <w:r w:rsidRPr="00EF5A88">
        <w:rPr>
          <w:rFonts w:ascii="Times New Roman" w:hAnsi="Times New Roman"/>
          <w:i/>
          <w:iCs/>
          <w:noProof/>
          <w:sz w:val="24"/>
          <w:lang w:val="sv-SE"/>
        </w:rPr>
        <w:t>Health at a Glance:</w:t>
      </w:r>
      <w:r w:rsidRPr="00EF5A88">
        <w:rPr>
          <w:rFonts w:ascii="Times New Roman" w:hAnsi="Times New Roman"/>
          <w:noProof/>
          <w:sz w:val="24"/>
          <w:lang w:val="sv-SE"/>
        </w:rPr>
        <w:t xml:space="preserve"> </w:t>
      </w:r>
      <w:r w:rsidRPr="00EF5A88">
        <w:rPr>
          <w:rFonts w:ascii="Times New Roman" w:hAnsi="Times New Roman"/>
          <w:i/>
          <w:iCs/>
          <w:noProof/>
          <w:sz w:val="24"/>
          <w:lang w:val="sv-SE"/>
        </w:rPr>
        <w:t>Europe 2022</w:t>
      </w:r>
      <w:r w:rsidRPr="00EF5A88">
        <w:rPr>
          <w:rFonts w:ascii="Times New Roman" w:hAnsi="Times New Roman"/>
          <w:noProof/>
          <w:sz w:val="24"/>
          <w:lang w:val="sv-SE"/>
        </w:rPr>
        <w:t xml:space="preserve"> betonas att pandemin påverkade ungdomars psykiska hälsa särskilt hårt: varannan ung europé hade enligt egen uppgift icke tillgodosedda vårdbehov, och depressionen bland ungdomar hade mer än fördubblats. År 2022 lanserade WHO en global väckarklocka som riktades till alla länder för att stärka tjänsterna och stödet för psykisk hälsa</w:t>
      </w:r>
      <w:r>
        <w:rPr>
          <w:rFonts w:ascii="Times New Roman" w:eastAsiaTheme="minorEastAsia" w:hAnsi="Times New Roman" w:cs="Times New Roman"/>
          <w:noProof/>
          <w:sz w:val="24"/>
          <w:vertAlign w:val="superscript"/>
        </w:rPr>
        <w:footnoteReference w:id="96"/>
      </w:r>
      <w:r w:rsidRPr="00EF5A88">
        <w:rPr>
          <w:rFonts w:ascii="Times New Roman" w:hAnsi="Times New Roman"/>
          <w:noProof/>
          <w:sz w:val="24"/>
          <w:lang w:val="sv-SE"/>
        </w:rPr>
        <w:t xml:space="preserve">. </w:t>
      </w:r>
    </w:p>
    <w:p w14:paraId="34631420" w14:textId="57AB5AB9"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EU har fastställt en tydlig återhämtningsplan genom att lansera en övergripande strategi för psykisk hälsa</w:t>
      </w:r>
      <w:r>
        <w:rPr>
          <w:rFonts w:ascii="Times New Roman" w:eastAsiaTheme="minorEastAsia" w:hAnsi="Times New Roman" w:cs="Times New Roman"/>
          <w:noProof/>
          <w:sz w:val="24"/>
          <w:vertAlign w:val="superscript"/>
        </w:rPr>
        <w:footnoteReference w:id="97"/>
      </w:r>
      <w:r w:rsidRPr="00EF5A88">
        <w:rPr>
          <w:rFonts w:ascii="Times New Roman" w:hAnsi="Times New Roman"/>
          <w:noProof/>
          <w:sz w:val="24"/>
          <w:lang w:val="sv-SE"/>
        </w:rPr>
        <w:t xml:space="preserve"> och stödja forskning för bättre hälsoberedskap</w:t>
      </w:r>
      <w:r>
        <w:rPr>
          <w:rFonts w:ascii="Times New Roman" w:eastAsiaTheme="minorEastAsia" w:hAnsi="Times New Roman" w:cs="Times New Roman"/>
          <w:noProof/>
          <w:sz w:val="24"/>
          <w:vertAlign w:val="superscript"/>
        </w:rPr>
        <w:footnoteReference w:id="98"/>
      </w:r>
      <w:r w:rsidRPr="00EF5A88">
        <w:rPr>
          <w:rFonts w:ascii="Times New Roman" w:hAnsi="Times New Roman"/>
          <w:noProof/>
          <w:sz w:val="24"/>
          <w:lang w:val="sv-SE"/>
        </w:rPr>
        <w:t>. Efter att ordförande Ursula von der Leyen i sitt tal om tillståndet i unionen 2022 tillkännagett ett nytt initiativ för psykisk hälsa antog kommissionen den 7 juni 2023 ett meddelande om en övergripande strategi för psykisk hälsa</w:t>
      </w:r>
      <w:r>
        <w:rPr>
          <w:rStyle w:val="FootnoteReference"/>
          <w:rFonts w:ascii="Times New Roman" w:eastAsia="Times New Roman" w:hAnsi="Times New Roman" w:cs="Times New Roman"/>
          <w:noProof/>
          <w:sz w:val="24"/>
        </w:rPr>
        <w:footnoteReference w:id="99"/>
      </w:r>
      <w:r w:rsidRPr="00EF5A88">
        <w:rPr>
          <w:rFonts w:ascii="Times New Roman" w:hAnsi="Times New Roman"/>
          <w:noProof/>
          <w:sz w:val="24"/>
          <w:lang w:val="sv-SE"/>
        </w:rPr>
        <w:t>. Detta utgör utgångspunkten för en ny strategi för psykisk hälsa: den sträcker sig utanför hälsoområdet och omfattar i hög grad även områden som utbildning, digitalisering, sysselsättning, forskning, stadsutveckling, miljö och klimat. Meddelandet innehåller 20 flaggskeppsinitiativ, identifierar 1,23 miljarder euro i finansieringsmöjligheter och fokuserar på utsatta grupper (barn, ungdomar och äldre). Ett viktigt flaggskeppsinitiativ handlar till exempel om stöd till psykisk hälsa för människor som fördrivits från Ukraina, och ett annat stöder spridningen av ett minimitjänstepaket för att ge högkvalitativ vård i humanitära nödsituationer. Under genomförandefasen fortsätter kommissionen att ha ett nära samarbete med medlemsländerna (undergruppen för psykisk hälsa inom expertgruppen för folkhälsa) och berörda parter (nätverket i EU:s folkhälsoplattform). Dessutom har rådets ordförandeskapstrio satt psykisk hälsa högt upp på dagordningen och det spanska ordförandeskapet kommer att utarbeta fyra rådsslutsatser (en med en allmän riktlinje och tre om de särskilda politikområdena otrygga anställningar, narkotika och ungdomsfrågor).</w:t>
      </w:r>
    </w:p>
    <w:p w14:paraId="5807D156" w14:textId="59EE12C1" w:rsidR="001F1738" w:rsidRPr="00EF5A88" w:rsidRDefault="001F1738" w:rsidP="001F1738">
      <w:pPr>
        <w:keepNext/>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Kommissionen har inrättat högnivånätverket för expertis om postcovid (NELC), som består av nationella institutioner som fungerar som referenscentrum för andra hälso- och sjukvårdsinstitutioner. Syftet med NELC är att underlätta utbytet av den mest relevanta informationen och bästa praxis för hantering av postcovid med anledning av den senaste vetenskapliga utvecklingen när det gäller postcovid som en växande folkhälsokris</w:t>
      </w:r>
      <w:r>
        <w:rPr>
          <w:rFonts w:ascii="Times New Roman" w:eastAsiaTheme="minorEastAsia" w:hAnsi="Times New Roman" w:cs="Times New Roman"/>
          <w:noProof/>
          <w:sz w:val="24"/>
          <w:vertAlign w:val="superscript"/>
        </w:rPr>
        <w:footnoteReference w:id="100"/>
      </w:r>
      <w:r w:rsidRPr="00EF5A88">
        <w:rPr>
          <w:rFonts w:ascii="Times New Roman" w:hAnsi="Times New Roman"/>
          <w:noProof/>
          <w:sz w:val="24"/>
          <w:lang w:val="sv-SE"/>
        </w:rPr>
        <w:t xml:space="preserve">. Det kommer också att bidra till samordningen av initiativ på nationell nivå, EU-nivå och WHO-nivå. NELC sammanträdde för första gången den 2 maj 2023 för att diskutera inledande idéer och nätverkets prioriteringar. Kartläggningen av behov och luckor inom forskningen, samt utbytet av riktlinjer och underrättelser om diagnos och behandling, konstaterades vara de två mest brådskande frågorna att ta itu med. Dessutom betonade NELC behovet av riktlinjer och kliniska rekommendationer. </w:t>
      </w:r>
    </w:p>
    <w:p w14:paraId="3EF6B58C" w14:textId="7A171235"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Horisont Europa stöder projekt (inklusive stora kohortstudier om covid-19) för att fastställa de långsiktiga konsekvenserna och symtomen av SARS-CoV-2-infektioner för en bättre förståelse, diagnos och potentiell behandling av postcovid.</w:t>
      </w:r>
    </w:p>
    <w:p w14:paraId="17D1E1A3" w14:textId="77777777" w:rsidR="001F1738" w:rsidRPr="00EF5A88" w:rsidRDefault="001F1738" w:rsidP="00B55BF2">
      <w:pPr>
        <w:keepNext/>
        <w:keepLines/>
        <w:spacing w:before="480" w:after="100" w:afterAutospacing="1" w:line="240" w:lineRule="auto"/>
        <w:outlineLvl w:val="0"/>
        <w:rPr>
          <w:rFonts w:ascii="Times New Roman" w:eastAsiaTheme="majorEastAsia" w:hAnsi="Times New Roman" w:cs="Times New Roman"/>
          <w:noProof/>
          <w:sz w:val="24"/>
          <w:lang w:val="sv-SE"/>
        </w:rPr>
      </w:pPr>
      <w:r w:rsidRPr="00EF5A88">
        <w:rPr>
          <w:rFonts w:ascii="Times New Roman" w:hAnsi="Times New Roman"/>
          <w:noProof/>
          <w:sz w:val="24"/>
          <w:lang w:val="sv-SE"/>
        </w:rPr>
        <w:t>6. FORSKNING</w:t>
      </w:r>
    </w:p>
    <w:p w14:paraId="3D0E9698" w14:textId="65ABD0A9" w:rsidR="002F1D2B" w:rsidRPr="00EF5A88" w:rsidRDefault="002F1D2B" w:rsidP="002F1D2B">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Kommissionen finansierar via Horisont Europa och Hera Invest</w:t>
      </w:r>
      <w:r>
        <w:rPr>
          <w:rFonts w:ascii="Times New Roman" w:eastAsiaTheme="minorEastAsia" w:hAnsi="Times New Roman" w:cs="Times New Roman"/>
          <w:noProof/>
          <w:sz w:val="24"/>
          <w:vertAlign w:val="superscript"/>
        </w:rPr>
        <w:footnoteReference w:id="101"/>
      </w:r>
      <w:r w:rsidRPr="00EF5A88">
        <w:rPr>
          <w:rFonts w:ascii="Times New Roman" w:hAnsi="Times New Roman"/>
          <w:noProof/>
          <w:sz w:val="24"/>
          <w:lang w:val="sv-SE"/>
        </w:rPr>
        <w:t xml:space="preserve"> innovation och forskning som är relevant för hälsosäkerheten på en rad områden, t.ex. beredskap och insatser.</w:t>
      </w:r>
    </w:p>
    <w:p w14:paraId="69C9E508" w14:textId="72FEB1A4" w:rsidR="001F1738" w:rsidRPr="00EF5A88"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sv-SE"/>
        </w:rPr>
      </w:pPr>
      <w:r w:rsidRPr="00EF5A88">
        <w:rPr>
          <w:rFonts w:ascii="Times New Roman" w:hAnsi="Times New Roman"/>
          <w:b/>
          <w:noProof/>
          <w:sz w:val="24"/>
          <w:lang w:val="sv-SE"/>
        </w:rPr>
        <w:t xml:space="preserve">Forskning inom beredskap </w:t>
      </w:r>
    </w:p>
    <w:p w14:paraId="51AEF88D" w14:textId="0D60544A" w:rsidR="00BE1A6C"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Horisont Europa-programmet stöder projekt för att öka kunskapen om vaccininducerad immunitet mot virus med hög epidemisk eller pandemisk potential samt för att fastställa en optimal utformning av vacciner mot patogener, där det finns information om interaktion mellan värdorganismer och patogener och virusytstrukturer. Annan forskning om medicinska motåtgärder är inriktad på att främja antivirala föreningar med brett spektrum och på att utveckla nya metoder för utveckling av sådana föreningar som är inriktade på virus med hög epidemisk eller pandemisk potential för EU. </w:t>
      </w:r>
    </w:p>
    <w:p w14:paraId="0102D323" w14:textId="27E7CE84"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Kommissionen har också lanserat Hera Invest för att främja avancerad forskning och utveckling av medicinska motåtgärder och tillhörande teknik för att hantera prioriterade gränsöverskridande hot mot människors hälsa. Som en del av InvestEU</w:t>
      </w:r>
      <w:r>
        <w:rPr>
          <w:rStyle w:val="FootnoteReference"/>
          <w:rFonts w:ascii="Times New Roman" w:eastAsiaTheme="minorEastAsia" w:hAnsi="Times New Roman" w:cs="Times New Roman"/>
          <w:noProof/>
          <w:sz w:val="24"/>
        </w:rPr>
        <w:footnoteReference w:id="102"/>
      </w:r>
      <w:r w:rsidRPr="00EF5A88">
        <w:rPr>
          <w:rFonts w:ascii="Times New Roman" w:hAnsi="Times New Roman"/>
          <w:noProof/>
          <w:sz w:val="24"/>
          <w:lang w:val="sv-SE"/>
        </w:rPr>
        <w:t xml:space="preserve"> – det EU-program som stöder hållbara investeringar,</w:t>
      </w:r>
      <w:r w:rsidRPr="00EF5A88">
        <w:rPr>
          <w:noProof/>
          <w:lang w:val="sv-SE"/>
        </w:rPr>
        <w:t xml:space="preserve"> </w:t>
      </w:r>
      <w:r w:rsidRPr="00EF5A88">
        <w:rPr>
          <w:noProof/>
          <w:lang w:val="sv-SE"/>
        </w:rPr>
        <w:cr/>
      </w:r>
      <w:r w:rsidRPr="00EF5A88">
        <w:rPr>
          <w:noProof/>
          <w:lang w:val="sv-SE"/>
        </w:rPr>
        <w:br/>
      </w:r>
      <w:r w:rsidRPr="00EF5A88">
        <w:rPr>
          <w:rFonts w:ascii="Times New Roman" w:hAnsi="Times New Roman"/>
          <w:noProof/>
          <w:sz w:val="24"/>
          <w:lang w:val="sv-SE"/>
        </w:rPr>
        <w:t>innovation och jobbskapande i Europa – fyller Hera Invest en viktig lucka på området med en budget på 100 miljoner euro för att stödja innovativa små och medelstora företag i de tidiga och sena faserna av kliniska prövningar. Hera Invest syftar till att minska marknadsmisslyckanden och stärka EU:s strategiska oberoende.</w:t>
      </w:r>
    </w:p>
    <w:p w14:paraId="646A8BED" w14:textId="64887093" w:rsidR="001F1738" w:rsidRPr="00EF5A88" w:rsidRDefault="00B00464"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Horisont Europa stöder också utvecklingen av och tillgången till in vitro-diagnostik för upptäckt och karakterisering av patogener med pandemisk potential. Det stöder även tillgången till medicintekniska produkter och medicintekniska produkter för in vitro-diagnostik för gränsöverskridande hot mot människors hälsa. Dessutom främjar kommissionen, genom Europeiska innovationsrådet</w:t>
      </w:r>
      <w:r>
        <w:rPr>
          <w:rFonts w:ascii="Times New Roman" w:eastAsiaTheme="minorEastAsia" w:hAnsi="Times New Roman" w:cs="Times New Roman"/>
          <w:noProof/>
          <w:sz w:val="24"/>
          <w:vertAlign w:val="superscript"/>
        </w:rPr>
        <w:footnoteReference w:id="103"/>
      </w:r>
      <w:r w:rsidRPr="00EF5A88">
        <w:rPr>
          <w:rFonts w:ascii="Times New Roman" w:hAnsi="Times New Roman"/>
          <w:noProof/>
          <w:sz w:val="24"/>
          <w:lang w:val="sv-SE"/>
        </w:rPr>
        <w:t xml:space="preserve"> – Europas flaggskeppsprogram för innovation som inrättats inom ramen för Horisont Europa – utveckling och kommersialisering av tekniska lösningar för hantering av epidemier eller pandemier (till exempel avancerade system för aerosolupptagning, inaktivering av patogener och luftcirkulationsoptimering, nästa generations munskydd och utrustning för snabb ytsanering).</w:t>
      </w:r>
    </w:p>
    <w:p w14:paraId="668700DC" w14:textId="2BFFCD53" w:rsidR="001F1738" w:rsidRPr="00EF5A88"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sv-SE"/>
        </w:rPr>
      </w:pPr>
      <w:r w:rsidRPr="00EF5A88">
        <w:rPr>
          <w:rFonts w:ascii="Times New Roman" w:hAnsi="Times New Roman"/>
          <w:b/>
          <w:noProof/>
          <w:sz w:val="24"/>
          <w:lang w:val="sv-SE"/>
        </w:rPr>
        <w:t>Insats- och krisforskning</w:t>
      </w:r>
    </w:p>
    <w:p w14:paraId="4A95C6A1" w14:textId="3107645B" w:rsidR="00E14569" w:rsidRPr="00EF5A88" w:rsidRDefault="00E14569"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Horisont Europas arbetsprogram för hälsa innehåller fortfarande möjligheten att mobilisera forskningsmedel i händelse av hot mot folkhälsan. Denna möjlighet utnyttjades 2022 för att stödja EU:s RESPONSE-nätverk</w:t>
      </w:r>
      <w:r>
        <w:rPr>
          <w:rFonts w:ascii="Times New Roman" w:eastAsiaTheme="minorEastAsia" w:hAnsi="Times New Roman" w:cs="Times New Roman"/>
          <w:noProof/>
          <w:sz w:val="24"/>
          <w:vertAlign w:val="superscript"/>
        </w:rPr>
        <w:footnoteReference w:id="104"/>
      </w:r>
      <w:r w:rsidRPr="00EF5A88">
        <w:rPr>
          <w:rFonts w:ascii="Times New Roman" w:hAnsi="Times New Roman"/>
          <w:noProof/>
          <w:sz w:val="24"/>
          <w:lang w:val="sv-SE"/>
        </w:rPr>
        <w:t xml:space="preserve"> för genomförandet av en klinisk prövning i syfte att bedöma behandling av apkoppor samt kohorterna från VERDI-projektet</w:t>
      </w:r>
      <w:r>
        <w:rPr>
          <w:rFonts w:ascii="Times New Roman" w:eastAsiaTheme="minorEastAsia" w:hAnsi="Times New Roman" w:cs="Times New Roman"/>
          <w:noProof/>
          <w:sz w:val="24"/>
          <w:vertAlign w:val="superscript"/>
        </w:rPr>
        <w:footnoteReference w:id="105"/>
      </w:r>
      <w:r w:rsidRPr="00EF5A88">
        <w:rPr>
          <w:rFonts w:ascii="Times New Roman" w:hAnsi="Times New Roman"/>
          <w:noProof/>
          <w:sz w:val="24"/>
          <w:lang w:val="sv-SE"/>
        </w:rPr>
        <w:t xml:space="preserve"> för att bättre förstå sjukdomen.</w:t>
      </w:r>
    </w:p>
    <w:p w14:paraId="6438EFE1" w14:textId="1892961E" w:rsidR="001F1738" w:rsidRPr="00EF5A88" w:rsidRDefault="00A96694"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Genom Horisont Europa kommer kommissionen också att bygga vidare på befintliga adaptiva plattformsprövningar och kohortstudier för att upprätthålla och stärka de strategiska samordningsmekanismerna i och utanför EU. Dessa nätverk gör det möjligt att genomföra löpande plattformsprövningar, låta löpande strategiska kohorter utsättas för nya sjukdomar om en epidemi inträffar och skaffa fram vetenskapliga belägg för olika möjliga medicinska motåtgärder.</w:t>
      </w:r>
    </w:p>
    <w:p w14:paraId="77578385" w14:textId="0BD29652" w:rsidR="001F1738" w:rsidRPr="00EF5A88" w:rsidRDefault="00D7634D"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I samarbete med medlemsstaterna deltar kommissionen i den förberedande fasen av EU:s partnerskap för pandemiberedskap. Den kommer att utveckla en konsoliderad forskningsagenda för pandemiberedskap som ska stärka samarbetet mellan medlemsstaterna och förbereda hanteringen av forskningsinsatser under en kris genom att inrätta ett EU-nätverk av ständig kapacitet för prövningsställen och anpassa investeringarna i beredskap och insatser vid pandemier, från grundforskning till preklinisk och klinisk forskning.</w:t>
      </w:r>
    </w:p>
    <w:p w14:paraId="735D7E06" w14:textId="5BAAD030" w:rsidR="001F1738" w:rsidRPr="00EF5A88"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Med tanke på att i en pandemi är ”ingen säker förrän alla är säkra överallt” representerar EU:s strategi för global hälsa</w:t>
      </w:r>
      <w:r>
        <w:rPr>
          <w:rFonts w:ascii="Times New Roman" w:eastAsiaTheme="minorEastAsia" w:hAnsi="Times New Roman" w:cs="Times New Roman"/>
          <w:noProof/>
          <w:sz w:val="24"/>
          <w:vertAlign w:val="superscript"/>
        </w:rPr>
        <w:footnoteReference w:id="106"/>
      </w:r>
      <w:r w:rsidRPr="00EF5A88">
        <w:rPr>
          <w:rFonts w:ascii="Times New Roman" w:hAnsi="Times New Roman"/>
          <w:noProof/>
          <w:sz w:val="24"/>
          <w:lang w:val="sv-SE"/>
        </w:rPr>
        <w:t>, som lanserades i november 2022, den externa dimensionen av den europeiska hälsounionen. EU investerar i att förbättra beredskapen och insatskapaciteten vid pandemier i låg- och medelinkomstländer, med särskilt fokus på Afrika söder om Sahara, med hjälp av olika instrument som en del av Global Gateway-strategin</w:t>
      </w:r>
      <w:r>
        <w:rPr>
          <w:rStyle w:val="FootnoteReference"/>
          <w:rFonts w:ascii="Times New Roman" w:eastAsiaTheme="minorEastAsia" w:hAnsi="Times New Roman" w:cs="Times New Roman"/>
          <w:noProof/>
          <w:sz w:val="24"/>
        </w:rPr>
        <w:footnoteReference w:id="107"/>
      </w:r>
      <w:r w:rsidRPr="00EF5A88">
        <w:rPr>
          <w:rFonts w:ascii="Times New Roman" w:hAnsi="Times New Roman"/>
          <w:noProof/>
          <w:sz w:val="24"/>
          <w:lang w:val="sv-SE"/>
        </w:rPr>
        <w:t>. Det gemensamma företaget för partnerskapet mellan Europa och utvecklingsländerna inom området klinisk prövning</w:t>
      </w:r>
      <w:r>
        <w:rPr>
          <w:rStyle w:val="FootnoteReference"/>
          <w:rFonts w:ascii="Times New Roman" w:eastAsiaTheme="minorEastAsia" w:hAnsi="Times New Roman" w:cs="Times New Roman"/>
          <w:noProof/>
          <w:sz w:val="24"/>
        </w:rPr>
        <w:footnoteReference w:id="108"/>
      </w:r>
      <w:r w:rsidRPr="00EF5A88">
        <w:rPr>
          <w:rFonts w:ascii="Times New Roman" w:hAnsi="Times New Roman"/>
          <w:noProof/>
          <w:sz w:val="24"/>
          <w:lang w:val="sv-SE"/>
        </w:rPr>
        <w:t xml:space="preserve"> finansierar forskning för utveckling och prövning av medicinska motåtgärder. Det utvecklar även nätverk och kohorter för kliniska prövningar, som kopplar samman resultaten av denna forskning med Team Europe-initiativet om tillverkning och tillgång till vacciner, läkemedel och hälsoteknik i Afrika (MAV+) och partnerskapet mellan EU och Latinamerika/Karibien om vaccinproduktion och hälso- och sjukvårdssystemens resiliens.</w:t>
      </w:r>
    </w:p>
    <w:p w14:paraId="64B89DFE" w14:textId="77777777"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p>
    <w:p w14:paraId="1992162E" w14:textId="77777777" w:rsidR="001F1738" w:rsidRPr="00EF5A88"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sv-SE"/>
        </w:rPr>
      </w:pPr>
      <w:r w:rsidRPr="00EF5A88">
        <w:rPr>
          <w:rFonts w:ascii="Times New Roman" w:hAnsi="Times New Roman"/>
          <w:noProof/>
          <w:sz w:val="24"/>
          <w:lang w:val="sv-SE"/>
        </w:rPr>
        <w:t xml:space="preserve">7. INTERNATIONELL DIMENSION </w:t>
      </w:r>
    </w:p>
    <w:p w14:paraId="1469B4AF" w14:textId="4301B726"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sv-SE"/>
        </w:rPr>
      </w:pPr>
      <w:r w:rsidRPr="00EF5A88">
        <w:rPr>
          <w:rFonts w:ascii="Times New Roman" w:hAnsi="Times New Roman"/>
          <w:b/>
          <w:noProof/>
          <w:sz w:val="24"/>
          <w:lang w:val="sv-SE"/>
        </w:rPr>
        <w:t xml:space="preserve">Internationella partnerskap för att stärka ramen för global hälsosäkerhet </w:t>
      </w:r>
    </w:p>
    <w:p w14:paraId="36456C7A" w14:textId="5E675E38"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Tidigare hälsokriser har visat att sjukdomar inte tar hänsyn till några gränser. EU arbetar med att hantera hälsokriser på internationell nivå för att minska den eventuella spridningen av hälsorisker i EU. Den externa dimensionen av den europeiska hälsounionen, EU:s strategi för global hälsa, antogs den 30 november 2022. Den är avsedd att vara vägledande för alla EU-åtgärder för att säkerställa bättre hälsa och välbefinnande för människor under hela livet genom att å ena sidan stärka hälso- och sjukvårdssystemen och främja den allmänna hälso- och sjukvården och å andra sidan förebygga och bekämpa hälsohot, inbegripet pandemier, med hjälp av en One health-modell.</w:t>
      </w:r>
    </w:p>
    <w:p w14:paraId="205F4210" w14:textId="0550330D" w:rsidR="001F1738" w:rsidRPr="00EF5A88"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De tre hälsorelaterade politiska förklaringar som antogs vid FN:s generalförsamlings högnivåmöten i New York i september 2023 om tuberkulos, allmän hälso- och sjukvård och förebyggande av samt beredskap och insatser vid pandemier framhävde det brådskande behovet av åtgärder för att stärka de nationella hälso- och sjukvårdssystemen och förbättra den globala hälsosäkerheten för att uppnå målen för hållbar utveckling på hälsoområdet. Här fortsätter kommissionen att vara starkt engagerad i de pågående förhandlingarna om att inom ramen för WHO anta en konvention, ett avtal eller något annat internationellt instrument om förebyggande av samt beredskap och insatser vid pandemier (</w:t>
      </w:r>
      <w:r w:rsidRPr="00EF5A88">
        <w:rPr>
          <w:rFonts w:ascii="Times New Roman" w:hAnsi="Times New Roman"/>
          <w:i/>
          <w:iCs/>
          <w:noProof/>
          <w:sz w:val="24"/>
          <w:lang w:val="sv-SE"/>
        </w:rPr>
        <w:t>pandemiavtalet</w:t>
      </w:r>
      <w:r w:rsidRPr="00EF5A88">
        <w:rPr>
          <w:rFonts w:ascii="Times New Roman" w:hAnsi="Times New Roman"/>
          <w:noProof/>
          <w:sz w:val="24"/>
          <w:lang w:val="sv-SE"/>
        </w:rPr>
        <w:t xml:space="preserve">) och i de kompletterande förhandlingarna om översynen av det internationella hälsoreglementet. EU har lagt fram ambitiösa förslag som främjar rättvisa och innehåller operativa bestämmelser för hela cykeln för förebyggande, beredskap och insatser, i syfte att åstadkomma betydande och konkreta förbättringar som ligger i allas intresse och gagnar alla. Att i båda processerna uppnå ett framgångsrikt resultat före Världshälsoförsamlingens möte i maj 2024 är en prioriterad fråga för EU. </w:t>
      </w:r>
    </w:p>
    <w:p w14:paraId="1AA16188" w14:textId="4B5600C6" w:rsidR="00681330" w:rsidRPr="00EF5A88"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Dessutom är kommissionen en av grundarna av och bidragsgivare till den pandemifond som inrättades av G20-länderna 2022 och som förvaltas av Världsbanken. Fonden tillhandahåller långsiktig finansiering för att öka förmågan och kapaciteten när det gäller förebyggande av samt beredskap och insatser vid pandemier i låg- och medelinkomstländer och hjälper till att åtgärda kritiska brister med hjälp av investeringar och tekniskt stöd på nationell, regional och global nivå.</w:t>
      </w:r>
    </w:p>
    <w:p w14:paraId="01762D11" w14:textId="0A95D9EF"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EU inser att det här är en viktig möjlighet att stärka de globala åtagandena mot antimikrobiell resistens och har lagt fram ett omfattande förslag till konkreta bestämmelser om antimikrobiell resistens som en del av förhandlingarna om ett internationellt WHO-avtal om förebyggande av samt beredskap och insatser vid pandemier. EU är fast beslutet att samarbeta globalt om antimikrobiell resistens och stod värd för ett möte på plats i den transatlantiska arbetsgruppen för antimikrobiell resistens den 14–15 november 2023. I mötet deltog myndigheter från EU, Förenta staterna, Kanada, Norge och Storbritannien för att samarbeta och utbyta bästa praxis för att stärka inhemska och globala insatser. EU stöder också internationella insatser för att bekämpa antimikrobiell resistens inom ramen för G7 och G20 och deltar i förberedelserna för ett framgångsrikt högnivåmöte i FN:s generalförsamling om antimikrobiell resistens 2024. Genom sitt ekonomiska bidrag till fonden AMR Multi-Partner Trust Fund stöder EU insatser i låg- och medelinkomstländer för att stärka deras förmåga att bekämpa antimikrobiell resistens.</w:t>
      </w:r>
    </w:p>
    <w:p w14:paraId="2DABA311" w14:textId="1D048347"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sv-SE"/>
        </w:rPr>
      </w:pPr>
      <w:r w:rsidRPr="00EF5A88">
        <w:rPr>
          <w:rFonts w:ascii="Times New Roman" w:hAnsi="Times New Roman"/>
          <w:b/>
          <w:noProof/>
          <w:sz w:val="24"/>
          <w:lang w:val="sv-SE"/>
        </w:rPr>
        <w:t>EU:s civilskyddsmekanism</w:t>
      </w:r>
    </w:p>
    <w:p w14:paraId="2C9B9E5E" w14:textId="512D0EB6"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Civilskyddsmekanismen har åtagit sig att ge bistånd till alla länder som begär det, både inom och utanför EU. Hittills under 2023 har tio förfrågningar tagits emot via civilskyddsmekanismen från länder utanför EU om covid-19-relaterade produkter (vacciner, medicinsk utrustning osv.) och alla har tillgodosetts fullt ut med erbjudanden från EU-medlemsstater och stater som deltar i civilskyddsmekanismen. Vid behov kan kommissionen också genom den europeiska insatskapaciteten för humanitärt bistånd direkt stödja humanitära hälso- och sjukvårdspartner genom att tillhandahålla kompletterande nödutrustning (dvs. husrum och hygien- och kolerautrustning) och utplacera hälsoexperter (i nära samarbete med ECDC) i händelse av en humanitär hälsokris.</w:t>
      </w:r>
    </w:p>
    <w:p w14:paraId="69173D4C" w14:textId="77777777"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sv-SE"/>
        </w:rPr>
      </w:pPr>
      <w:r w:rsidRPr="00EF5A88">
        <w:rPr>
          <w:rFonts w:ascii="Times New Roman" w:hAnsi="Times New Roman"/>
          <w:b/>
          <w:noProof/>
          <w:sz w:val="24"/>
          <w:lang w:val="sv-SE"/>
        </w:rPr>
        <w:t>Internationell dimension inom EU-finansierad forskning och innovation</w:t>
      </w:r>
    </w:p>
    <w:p w14:paraId="3B977732" w14:textId="25B83A57"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För att bättre samordna forskningen om beredskap och insatser vid pandemier har EU hjälpt till att inrätta och finansierar det globala forskningssamarbetet för beredskap för infektionssjukdomar (GloPID-R). I dess levande färdplan för samordning av kliniska prövningar anges epidemiberedda nätverk och plattformar för kliniska prövningar, smidiga och effektiva kliniska prövningar och en rättvis forskningsmiljö som kärnan i vägledningen till finansiärer. GloPID-R:s regionala kontaktpunkter i Afrika och i Asien och Stillahavsområdet bidrar till en starkare samordning på regional nivå.</w:t>
      </w:r>
    </w:p>
    <w:p w14:paraId="3CC48E95" w14:textId="434BCE15"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För att främja ett globalt samarbete om kliniska prövningar sammanför den EU-finansierade organisationen EDCTP 26 länder i Afrika och 15 i Europa i ett partnerskap inom området klinisk prövning. Partnerskapet inrättades 2003 för att främja multinationella nätverk för klinisk prövning i Afrika och samarbete med Europa. EDCTP, som för närvarande är inne på sin tredje omgång som ett gemensamt företag, har ökat forskningskapaciteten och påskyndat utvecklingen av nya eller förbättrade medicinska interventioner för identifiering, behandling och förebyggande av fattigdomsrelaterade infektionssjukdomar, inbegripet nya och återkommande sjukdomar i Afrika söder om Sahara, genom alla faser av kliniska prövningar, med tonvikt på fas II- och III-prövningar.</w:t>
      </w:r>
    </w:p>
    <w:p w14:paraId="5B9EC6AA" w14:textId="5F0689ED"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Engagemang och nära samarbete med internationella intressenter är grundläggande för att stärka pandemiberedskapen och insatserna vid pandemier globalt. Under det senaste året har genomförandet av 2022 års administrativa överenskommelse med Förenta staternas administration för strategisk beredskap och insatser (ASPR) fortsatt, bland annat genom ett expertutbyte och ett framväxande partnerskap för finansiering av innovation inom diagnossektorn, särskilt när det gäller teknik för tidig upptäckt av utbrott. Hera utvidgar också samarbetet med partner i Asien och undertecknade nyligen administrativa överenskommelser med Republiken Koreas hälso- och välfärdsministerium och Japans byrå för medicinsk forskning och utveckling. </w:t>
      </w:r>
    </w:p>
    <w:p w14:paraId="75384E1B" w14:textId="7B264729"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Det nära samarbetet fortsätter också med Ukraina och andra grannländer samt partner på södra halvklotet, särskilt i Afrika. De viktigaste målen i beredskapsfasen är att förbättra övervaknings- och sekvenseringskapaciteten, underlätta datautbytet och stödja en hållbar produktions- och distributionskapacitet för relevanta medicinska motåtgärder så att partner i kristider snabbt kan identifiera och karakterisera patogener som ger anledning till oro och har bred och snabb tillgång till medicinska motåtgärder. </w:t>
      </w:r>
    </w:p>
    <w:p w14:paraId="0C1966A9" w14:textId="40328DF9" w:rsidR="001F1738" w:rsidRPr="00EF5A88"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 xml:space="preserve">Detta inbegriper arbete genom internationella partnerskap (t.ex. GH-EDCTP3JU för att främja utvecklingen av medicinska motåtgärder mot infektionssjukdomar som drabbar Afrika). När det gäller globala, regionala eller nationella initiativ för pandemiberedskap har kommissionen investerat omkring 25 miljoner euro från programmet EU4Health. Åtgärderna omfattar stöd till senare skeden av kliniska prövningar av vacciner och behandlingar mot prioriterade hälsohot (t.ex. ebola- och marburgvirus), förbättring av sekvenseringskapaciteten i Afrika i samarbete med Afrikanska centrumet för förebyggande och kontroll av sjukdomar (CDC) och insamling av data om nya patogener i Afrika i samarbete med WHO:s pandemicentrum och WHO AFRO. </w:t>
      </w:r>
    </w:p>
    <w:p w14:paraId="458416D2" w14:textId="6416EC75" w:rsidR="001F1738" w:rsidRPr="00EF5A88"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sv-SE"/>
        </w:rPr>
      </w:pPr>
      <w:r w:rsidRPr="00EF5A88">
        <w:rPr>
          <w:rFonts w:ascii="Times New Roman" w:hAnsi="Times New Roman"/>
          <w:b/>
          <w:noProof/>
          <w:sz w:val="24"/>
          <w:lang w:val="sv-SE"/>
        </w:rPr>
        <w:t>EU:s digitala covidintyg och WHO:s globala nätverk för digitala hälsointyg</w:t>
      </w:r>
    </w:p>
    <w:p w14:paraId="7359B307" w14:textId="76B466CB" w:rsidR="00AC74FE" w:rsidRPr="00EF5A88" w:rsidRDefault="00AC74FE" w:rsidP="00AC74FE">
      <w:pPr>
        <w:spacing w:before="100" w:beforeAutospacing="1" w:after="100" w:afterAutospacing="1" w:line="240" w:lineRule="auto"/>
        <w:jc w:val="both"/>
        <w:rPr>
          <w:rFonts w:ascii="Times New Roman" w:hAnsi="Times New Roman" w:cs="Times New Roman"/>
          <w:noProof/>
          <w:sz w:val="24"/>
          <w:lang w:val="sv-SE"/>
        </w:rPr>
      </w:pPr>
      <w:r w:rsidRPr="00EF5A88">
        <w:rPr>
          <w:rFonts w:ascii="Times New Roman" w:hAnsi="Times New Roman"/>
          <w:noProof/>
          <w:sz w:val="24"/>
          <w:lang w:val="sv-SE"/>
        </w:rPr>
        <w:t xml:space="preserve">Utvecklingen och användningen av EU:s digitala covidintyg har varit avgörande i kampen mot covid-19-pandemin. Under pandemin underlättade EU:s digitala covidintyg resor inom EU när reserestriktioner ansågs nödvändiga. De gjorde det också möjligt att på ett samordnat sätt häva dessa restriktioner när detta blev möjligt. </w:t>
      </w:r>
    </w:p>
    <w:p w14:paraId="7FDC959C" w14:textId="2B986760" w:rsidR="00AC74FE" w:rsidRPr="00EF5A88" w:rsidRDefault="00AC74FE" w:rsidP="00AC74FE">
      <w:pPr>
        <w:spacing w:before="100" w:beforeAutospacing="1" w:after="100" w:afterAutospacing="1" w:line="240" w:lineRule="auto"/>
        <w:jc w:val="both"/>
        <w:rPr>
          <w:rFonts w:ascii="Times New Roman" w:hAnsi="Times New Roman" w:cs="Times New Roman"/>
          <w:noProof/>
          <w:sz w:val="24"/>
          <w:lang w:val="sv-SE"/>
        </w:rPr>
      </w:pPr>
      <w:r w:rsidRPr="00EF5A88">
        <w:rPr>
          <w:rFonts w:ascii="Times New Roman" w:hAnsi="Times New Roman"/>
          <w:noProof/>
          <w:sz w:val="24"/>
          <w:lang w:val="sv-SE"/>
        </w:rPr>
        <w:t xml:space="preserve">EU:s digitala covidintyg hade också en viktig internationell dimension. På grundval av teknik och standarder med öppen källkod möjliggjorde de förbindelser med länder utanför EU som utfärdade intyg i enlighet med standarder och specifikationer för EU:s digitala covidintyg. Med 78 anslutna länder och territorier blev systemet med EU:s digitala covidintyg den mest använda lösningen för utfärdande och kontroll av digitala covid-19-intyg. Genom detta system hade mer än 1,8 miljarder människor tillgång till interoperabla digitala intyg, och bara i EU utfärdades mer än 2,3 miljarder intyg. </w:t>
      </w:r>
    </w:p>
    <w:p w14:paraId="0E795420" w14:textId="4C721827" w:rsidR="001F1738" w:rsidRPr="00EF5A88" w:rsidRDefault="001F1738" w:rsidP="00AC74FE">
      <w:pPr>
        <w:spacing w:before="100" w:beforeAutospacing="1" w:after="100" w:afterAutospacing="1" w:line="240" w:lineRule="auto"/>
        <w:jc w:val="both"/>
        <w:rPr>
          <w:rFonts w:ascii="Times New Roman" w:eastAsiaTheme="minorEastAsia" w:hAnsi="Times New Roman" w:cs="Times New Roman"/>
          <w:noProof/>
          <w:sz w:val="24"/>
          <w:lang w:val="sv-SE"/>
        </w:rPr>
      </w:pPr>
      <w:r w:rsidRPr="00EF5A88">
        <w:rPr>
          <w:rFonts w:ascii="Times New Roman" w:hAnsi="Times New Roman"/>
          <w:noProof/>
          <w:sz w:val="24"/>
          <w:lang w:val="sv-SE"/>
        </w:rPr>
        <w:t>Ända sedan pandemins början samarbetade WHO med alla WHO-regioner för att fastställa övergripande riktlinjer för covid-19-intyg. Man insåg att det fanns en lucka och ett fortsatt behov av en global mekanism som skulle möjliggöra bilateral kontroll av hälsodokumentens ursprung och äkthet för pandemiberedskap och kontinuitet i vården. Med hjälp av erfarenheterna av EU:s digitala covidintyg lanserade WHO i juni 2023 ett globalt nätverk för digitala hälsointyg (GDHCN), som bygger på samma solida grund som EU:s digitala covidintygs ramverk, principer, specifikationer och öppna teknik. WHO och kommissionen har enats om ett partnerskap för att underlätta användningen av EU:s digitala covidintyg och om samarbete i driften och vidareutvecklingen av GDHCN. Med GDHCN kommer världen att kunna dra nytta av konvergensen mellan digitala intyg, samtidigt som man respekterar och främjar gemensamma värden och principerna om transparens och öppenhet, delaktighet, ansvarsskyldighet, dataskydd och integritet, säkerhet, skalbarhet på global nivå och rättvisa. Partnerskapet mellan kommissionen och WHO syftar till att tekniskt utveckla WHO:s system med en stegvis strategi för att täcka ytterligare användningsfall i framtiden (detta kan till exempel omfatta digitaliseringen av det internationella vaccinations- eller profylaxintyget). Att utvidga sådana digitala lösningar kommer att vara avgörande för att bidra till en bättre hälsa för människor världen över.</w:t>
      </w:r>
    </w:p>
    <w:p w14:paraId="5F9D014D" w14:textId="394EBDD2" w:rsidR="001F1738" w:rsidRPr="00EF5A88"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sv-SE"/>
        </w:rPr>
      </w:pPr>
      <w:r w:rsidRPr="00EF5A88">
        <w:rPr>
          <w:rFonts w:ascii="Times New Roman" w:hAnsi="Times New Roman"/>
          <w:b/>
          <w:noProof/>
          <w:sz w:val="24"/>
          <w:lang w:val="sv-SE"/>
        </w:rPr>
        <w:t>EU:s insatser till stöd för Ukraina</w:t>
      </w:r>
    </w:p>
    <w:p w14:paraId="2547D139" w14:textId="0A0519BE" w:rsidR="001F1738" w:rsidRPr="00EF5A88" w:rsidRDefault="004A39FC"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Rysslands krig mot Ukraina har varit en stor humanitär kris som har påverkat Ukrainas hälso- och sjukvårdssystem och skapat risker för folkhälsan både inom och utanför Ukraina. EU:s medlemsstater och kommissionen har via civilskyddsmekanismen skickat medicinska motåtgärder för att skydda mot kemiska, biologiska, radiologiska och nukleära attacker och nödsituationer i Ukraina. Kommissionen har också inrättat ett system för att underlätta logistiken för EU-företag som vill donera medicinska produkter till Ukraina via civilskyddsmekanismen.</w:t>
      </w:r>
    </w:p>
    <w:p w14:paraId="4F3240E9" w14:textId="1BF2A794" w:rsidR="001F1738" w:rsidRPr="00EF5A88" w:rsidRDefault="001F1738" w:rsidP="001F1738">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 xml:space="preserve">Ett system för medicinsk evakuering (Medevac) som inrättats genom civilskyddsmekanismen har varit i drift sedan i mars 2022. Hittills har det gjort det möjligt att säkert evakuera över 2 800 sårade och kritiskt sjuka ukrainska patienter från både Ukraina och grannländerna till sjukhus i 21 europeiska länder. Ett sådant gemensamt Medevac-system saknar motstycke på EU-nivå. Kommissionen har också inrättat en sjukvårdsinrättning vid en särskild knutpunkt i Polen för att öka välbefinnandet för patienter som väntar på transport till europeiska sjukhus och för att göra Medevac mer tillförlitligt och förutsägbart. Sedan Rysslands fullskaliga invasion av Ukraina inleddes har medicinsk utrustning och CBRN-utrustning till ett värde av över 56 miljoner euro från rescEU:s strategiska reserv satts in i Ukraina, däribland munskydd, kaliumjodidtabletter, respiratorer och andra artiklar. </w:t>
      </w:r>
    </w:p>
    <w:p w14:paraId="55F1163E" w14:textId="77777777" w:rsidR="001F1738" w:rsidRPr="00EF5A88" w:rsidRDefault="001F1738" w:rsidP="001F1738">
      <w:pPr>
        <w:spacing w:before="100" w:beforeAutospacing="1" w:after="100" w:afterAutospacing="1" w:line="240" w:lineRule="auto"/>
        <w:rPr>
          <w:rFonts w:eastAsiaTheme="minorEastAsia"/>
          <w:noProof/>
          <w:sz w:val="20"/>
          <w:lang w:val="sv-SE"/>
        </w:rPr>
      </w:pPr>
    </w:p>
    <w:p w14:paraId="1CEF1C12" w14:textId="77777777" w:rsidR="001F1738" w:rsidRPr="00EF5A88"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sv-SE"/>
        </w:rPr>
      </w:pPr>
      <w:r w:rsidRPr="00EF5A88">
        <w:rPr>
          <w:rFonts w:ascii="Times New Roman" w:hAnsi="Times New Roman"/>
          <w:noProof/>
          <w:sz w:val="24"/>
          <w:lang w:val="sv-SE"/>
        </w:rPr>
        <w:t>8. SLUTSATSER</w:t>
      </w:r>
    </w:p>
    <w:p w14:paraId="066CC227" w14:textId="463CC433" w:rsidR="00AD0A7E" w:rsidRPr="00EF5A88" w:rsidRDefault="00AD0A7E">
      <w:pPr>
        <w:spacing w:before="100" w:beforeAutospacing="1" w:after="100" w:afterAutospacing="1" w:line="240" w:lineRule="auto"/>
        <w:jc w:val="both"/>
        <w:rPr>
          <w:rFonts w:ascii="Times New Roman" w:eastAsia="Times New Roman" w:hAnsi="Times New Roman" w:cs="Times New Roman"/>
          <w:noProof/>
          <w:sz w:val="24"/>
          <w:lang w:val="sv-SE"/>
        </w:rPr>
      </w:pPr>
      <w:r w:rsidRPr="00EF5A88">
        <w:rPr>
          <w:rFonts w:ascii="Times New Roman" w:hAnsi="Times New Roman"/>
          <w:noProof/>
          <w:sz w:val="24"/>
          <w:lang w:val="sv-SE"/>
        </w:rPr>
        <w:t>I denna rapport kartläggs EU:s åtgärder och kapacitet för att hantera allvarliga gränsöverskridande hot mot människors hälsa efter covid-19-pandemin med utgångspunkt i EU:s hälsosäkerhetsstruktur före covid-19. Fokus ligger på de åtgärder som genomför förordning (EU) 2022/2371 med anledning av kravet i artikel 9 att rapportera om EU:s planering av förebyggande åtgärder, beredskap och insatser. I denna rapport beskrivs dessutom pågående initiativ och arbete som är nära kopplade till folkhälsan inom andra EU-politiska områden, t.ex. forskning, katastrofbistånd, internationellt samarbete osv.</w:t>
      </w:r>
    </w:p>
    <w:p w14:paraId="7D00F6F0" w14:textId="0DB40E98" w:rsidR="00791D8B" w:rsidRPr="00EF5A88" w:rsidRDefault="001F1738" w:rsidP="00BC2F11">
      <w:pPr>
        <w:spacing w:before="100" w:beforeAutospacing="1" w:after="100" w:afterAutospacing="1" w:line="240" w:lineRule="auto"/>
        <w:jc w:val="both"/>
        <w:rPr>
          <w:noProof/>
          <w:lang w:val="sv-SE"/>
        </w:rPr>
      </w:pPr>
      <w:r w:rsidRPr="00EF5A88">
        <w:rPr>
          <w:rFonts w:ascii="Times New Roman" w:hAnsi="Times New Roman"/>
          <w:noProof/>
          <w:sz w:val="24"/>
          <w:lang w:val="sv-SE"/>
        </w:rPr>
        <w:t>Covid-19-pandemin utlöste stora omvälvningar i våra hälso- och sjukvårdssystem och liv. Den innebar dock också en oväntad möjlighet att förbättra vår hälsosäkerhetsram så att den är bättre rustad att stå emot större framtida hälsohot. Även om vi – trots att vi gjort vad vi kan för att föregripa och planera – kanske inte vet vad som kommer att hända i framtiden har EU infört uppgraderade strukturer för förebyggande, beredskap och insatser, som i hög grad har förbättrat vår gemensamma kapacitet att hantera eventuella framtida nödsituationer. EU:s ram för hälsosäkerhet tillför en viktig extra nivå i medlemsstaternas centrala funktioner på hälsoområdet och tillhandahållandet av hälso- och sjukvård. Hoten mot människors hälsa tar inte hänsyn till några gränser, men tillsammans är vi bättre rustade att bekämpa dem, bland annat genom att delta i partnerskap på global nivå.</w:t>
      </w:r>
    </w:p>
    <w:sectPr w:rsidR="00791D8B" w:rsidRPr="00EF5A88" w:rsidSect="00424884">
      <w:headerReference w:type="even" r:id="rId15"/>
      <w:headerReference w:type="default" r:id="rId16"/>
      <w:footerReference w:type="even" r:id="rId17"/>
      <w:footerReference w:type="default" r:id="rId18"/>
      <w:headerReference w:type="first" r:id="rId19"/>
      <w:footerReference w:type="first" r:id="rId20"/>
      <w:pgSz w:w="11906" w:h="16838"/>
      <w:pgMar w:top="1417" w:right="1200" w:bottom="12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0125" w14:textId="77777777" w:rsidR="00BE758C" w:rsidRDefault="00BE758C" w:rsidP="00C619B5">
      <w:pPr>
        <w:spacing w:after="0" w:line="240" w:lineRule="auto"/>
      </w:pPr>
      <w:r>
        <w:separator/>
      </w:r>
    </w:p>
  </w:endnote>
  <w:endnote w:type="continuationSeparator" w:id="0">
    <w:p w14:paraId="3296D4B9" w14:textId="77777777" w:rsidR="00BE758C" w:rsidRDefault="00BE758C" w:rsidP="00C6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CF32" w14:textId="33DDC37F" w:rsidR="009534AE" w:rsidRPr="009534AE" w:rsidRDefault="009534AE" w:rsidP="009534AE">
    <w:pPr>
      <w:pStyle w:val="FooterCoverPage"/>
      <w:rPr>
        <w:rFonts w:ascii="Arial" w:hAnsi="Arial" w:cs="Arial"/>
        <w:b/>
        <w:sz w:val="48"/>
      </w:rPr>
    </w:pPr>
    <w:r w:rsidRPr="009534AE">
      <w:rPr>
        <w:rFonts w:ascii="Arial" w:hAnsi="Arial" w:cs="Arial"/>
        <w:b/>
        <w:sz w:val="48"/>
      </w:rPr>
      <w:t>SV</w:t>
    </w:r>
    <w:r w:rsidRPr="009534AE">
      <w:rPr>
        <w:rFonts w:ascii="Arial" w:hAnsi="Arial" w:cs="Arial"/>
        <w:b/>
        <w:sz w:val="48"/>
      </w:rPr>
      <w:tab/>
    </w:r>
    <w:r w:rsidRPr="009534AE">
      <w:rPr>
        <w:rFonts w:ascii="Arial" w:hAnsi="Arial" w:cs="Arial"/>
        <w:b/>
        <w:sz w:val="48"/>
      </w:rPr>
      <w:tab/>
    </w:r>
    <w:r w:rsidRPr="009534AE">
      <w:tab/>
    </w:r>
    <w:r w:rsidRPr="009534AE">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77B2C" w14:textId="2D2618A0" w:rsidR="009534AE" w:rsidRPr="009534AE" w:rsidRDefault="009534AE" w:rsidP="009534AE">
    <w:pPr>
      <w:pStyle w:val="FooterCoverPage"/>
      <w:rPr>
        <w:rFonts w:ascii="Arial" w:hAnsi="Arial" w:cs="Arial"/>
        <w:b/>
        <w:sz w:val="48"/>
      </w:rPr>
    </w:pPr>
    <w:r w:rsidRPr="009534AE">
      <w:rPr>
        <w:rFonts w:ascii="Arial" w:hAnsi="Arial" w:cs="Arial"/>
        <w:b/>
        <w:sz w:val="48"/>
      </w:rPr>
      <w:t>SV</w:t>
    </w:r>
    <w:r w:rsidRPr="009534AE">
      <w:rPr>
        <w:rFonts w:ascii="Arial" w:hAnsi="Arial" w:cs="Arial"/>
        <w:b/>
        <w:sz w:val="48"/>
      </w:rPr>
      <w:tab/>
    </w:r>
    <w:r w:rsidRPr="009534AE">
      <w:rPr>
        <w:rFonts w:ascii="Arial" w:hAnsi="Arial" w:cs="Arial"/>
        <w:b/>
        <w:sz w:val="48"/>
      </w:rPr>
      <w:tab/>
    </w:r>
    <w:r w:rsidRPr="009534AE">
      <w:tab/>
    </w:r>
    <w:r w:rsidRPr="009534AE">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03EC" w14:textId="77777777" w:rsidR="009534AE" w:rsidRPr="009534AE" w:rsidRDefault="009534AE" w:rsidP="009534A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4DE8" w14:textId="77777777" w:rsidR="008F1FE4" w:rsidRDefault="009534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42487145"/>
      <w:docPartObj>
        <w:docPartGallery w:val="Page Numbers (Bottom of Page)"/>
        <w:docPartUnique/>
      </w:docPartObj>
    </w:sdtPr>
    <w:sdtEndPr/>
    <w:sdtContent>
      <w:p w14:paraId="539586E7" w14:textId="4FED4606" w:rsidR="008F1FE4" w:rsidRPr="00E03D97" w:rsidRDefault="00DA2496" w:rsidP="00E03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534AE">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0603" w14:textId="77777777" w:rsidR="008F1FE4" w:rsidRDefault="0095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3094" w14:textId="77777777" w:rsidR="00BE758C" w:rsidRDefault="00BE758C" w:rsidP="00C619B5">
      <w:pPr>
        <w:spacing w:after="0" w:line="240" w:lineRule="auto"/>
      </w:pPr>
      <w:r>
        <w:separator/>
      </w:r>
    </w:p>
  </w:footnote>
  <w:footnote w:type="continuationSeparator" w:id="0">
    <w:p w14:paraId="69ACB7FA" w14:textId="77777777" w:rsidR="00BE758C" w:rsidRDefault="00BE758C" w:rsidP="00C619B5">
      <w:pPr>
        <w:spacing w:after="0" w:line="240" w:lineRule="auto"/>
      </w:pPr>
      <w:r>
        <w:continuationSeparator/>
      </w:r>
    </w:p>
  </w:footnote>
  <w:footnote w:id="1">
    <w:p w14:paraId="56E651A9" w14:textId="77777777" w:rsidR="00A02810" w:rsidRPr="00EF5A88" w:rsidRDefault="00A02810"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Europaparlamentets och rådets förordning (EU) 2022/2371 av den 23 november 2022 om allvarliga gränsöverskridande hot mot människors hälsa och om upphävande av beslut nr 1082/2013/EU (EUT L 314, 6.12.2022, s. 26)</w:t>
      </w:r>
      <w:r w:rsidRPr="00EF5A88">
        <w:rPr>
          <w:rStyle w:val="Hyperlink"/>
          <w:rFonts w:ascii="Times New Roman" w:hAnsi="Times New Roman"/>
          <w:lang w:val="sv-SE"/>
        </w:rPr>
        <w:t xml:space="preserve"> (https://eur-lex.europa.eu/eli/reg/2022/2371/oj)</w:t>
      </w:r>
      <w:r w:rsidRPr="00EF5A88">
        <w:rPr>
          <w:rFonts w:ascii="Times New Roman" w:hAnsi="Times New Roman"/>
          <w:lang w:val="sv-SE"/>
        </w:rPr>
        <w:t xml:space="preserve"> .</w:t>
      </w:r>
    </w:p>
  </w:footnote>
  <w:footnote w:id="2">
    <w:p w14:paraId="2FDA17AE" w14:textId="4CF638C7" w:rsidR="00785B9C" w:rsidRPr="00EF5A88" w:rsidRDefault="00785B9C"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Kommissionens beslut om inrättande av myndigheten för beredskap och insatser vid hälsokriser, C(2021) 6712 final.</w:t>
      </w:r>
    </w:p>
  </w:footnote>
  <w:footnote w:id="3">
    <w:p w14:paraId="78C1AA37" w14:textId="28C2A779"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COM(2021) 380 final.</w:t>
      </w:r>
    </w:p>
  </w:footnote>
  <w:footnote w:id="4">
    <w:p w14:paraId="38ABF398" w14:textId="4E9F8FB8"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COM(2022) 669 final.</w:t>
      </w:r>
    </w:p>
  </w:footnote>
  <w:footnote w:id="5">
    <w:p w14:paraId="00E1C705" w14:textId="5D3235F7"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I artikel 9 i förordning (EU) 2022/2371 föreskrivs att kommissionen senast den 27 december 2023, och därefter vart tredje år, ska överlämna en rapport till Europaparlamentet och rådet om läget och framstegen i fråga om planering på EU-nivå av förebyggande, beredskap och insatser.</w:t>
      </w:r>
    </w:p>
  </w:footnote>
  <w:footnote w:id="6">
    <w:p w14:paraId="1CEA60F1" w14:textId="77777777" w:rsidR="005B4CF9" w:rsidRPr="00EF5A88" w:rsidRDefault="005B4CF9"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Enligt definitionen i artikel 3.7 i förordning (EU) 2022/2371: </w:t>
      </w:r>
      <w:r w:rsidRPr="00EF5A88">
        <w:rPr>
          <w:lang w:val="sv-SE"/>
        </w:rPr>
        <w:tab/>
      </w:r>
    </w:p>
    <w:p w14:paraId="6695C808" w14:textId="77777777" w:rsidR="005B4CF9" w:rsidRPr="00EF5A88" w:rsidRDefault="005B4CF9" w:rsidP="00031422">
      <w:pPr>
        <w:pStyle w:val="FootnoteText"/>
        <w:spacing w:line="240" w:lineRule="auto"/>
        <w:jc w:val="both"/>
        <w:rPr>
          <w:rFonts w:ascii="Times New Roman" w:hAnsi="Times New Roman" w:cs="Times New Roman"/>
          <w:lang w:val="sv-SE"/>
        </w:rPr>
      </w:pPr>
      <w:r w:rsidRPr="00EF5A88">
        <w:rPr>
          <w:rFonts w:ascii="Times New Roman" w:hAnsi="Times New Roman"/>
          <w:i/>
          <w:iCs/>
          <w:lang w:val="sv-SE"/>
        </w:rPr>
        <w:t>One health</w:t>
      </w:r>
      <w:r w:rsidRPr="00EF5A88">
        <w:rPr>
          <w:rFonts w:ascii="Times New Roman" w:hAnsi="Times New Roman"/>
          <w:lang w:val="sv-SE"/>
        </w:rPr>
        <w:t>: en sektorsövergripande modell som utgår från att människors hälsa är kopplad till djurs hälsa och till miljön, och att åtgärder för att hantera hot mot människors hälsa måste ta hänsyn till dessa tre dimensioner.</w:t>
      </w:r>
    </w:p>
  </w:footnote>
  <w:footnote w:id="7">
    <w:p w14:paraId="5B74B73D" w14:textId="77777777" w:rsidR="00A02810" w:rsidRPr="00EF5A88" w:rsidRDefault="00A02810"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Se artikel 2.1 i förordning (EU) 2022/2371.</w:t>
      </w:r>
    </w:p>
  </w:footnote>
  <w:footnote w:id="8">
    <w:p w14:paraId="759B40CA" w14:textId="77777777" w:rsidR="00750E41" w:rsidRPr="00EF5A88" w:rsidRDefault="00750E41"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
        <w:r w:rsidRPr="00EF5A88">
          <w:rPr>
            <w:rStyle w:val="Hyperlink"/>
            <w:rFonts w:ascii="Times New Roman" w:hAnsi="Times New Roman"/>
            <w:lang w:val="sv-SE"/>
          </w:rPr>
          <w:t>https://commission.europa.eu/strategy-and-policy/coronavirus-response/public-health/eu-vaccines-strategy_en</w:t>
        </w:r>
      </w:hyperlink>
      <w:r w:rsidRPr="00EF5A88">
        <w:rPr>
          <w:lang w:val="sv-SE"/>
        </w:rPr>
        <w:t>.</w:t>
      </w:r>
      <w:r w:rsidRPr="00EF5A88">
        <w:rPr>
          <w:rFonts w:ascii="Times New Roman" w:hAnsi="Times New Roman"/>
          <w:lang w:val="sv-SE"/>
        </w:rPr>
        <w:t xml:space="preserve"> </w:t>
      </w:r>
    </w:p>
  </w:footnote>
  <w:footnote w:id="9">
    <w:p w14:paraId="37319F25" w14:textId="5D4CEE27"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 w:history="1">
        <w:r w:rsidRPr="00EF5A88">
          <w:rPr>
            <w:rStyle w:val="Hyperlink"/>
            <w:rFonts w:ascii="Times New Roman" w:hAnsi="Times New Roman"/>
            <w:lang w:val="sv-SE"/>
          </w:rPr>
          <w:t>https://www.thelancet.com/journals/laninf/article/PIIS1473-3099(22)00320-6/fulltext</w:t>
        </w:r>
      </w:hyperlink>
      <w:r w:rsidRPr="00EF5A88">
        <w:rPr>
          <w:lang w:val="sv-SE"/>
        </w:rPr>
        <w:t>.</w:t>
      </w:r>
      <w:r w:rsidRPr="00EF5A88">
        <w:rPr>
          <w:rFonts w:ascii="Times New Roman" w:hAnsi="Times New Roman"/>
          <w:lang w:val="sv-SE"/>
        </w:rPr>
        <w:t xml:space="preserve"> </w:t>
      </w:r>
    </w:p>
  </w:footnote>
  <w:footnote w:id="10">
    <w:p w14:paraId="05B311E1" w14:textId="6B59418E"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 w:history="1">
        <w:r w:rsidRPr="00EF5A88">
          <w:rPr>
            <w:rStyle w:val="Hyperlink"/>
            <w:rFonts w:ascii="Times New Roman" w:hAnsi="Times New Roman"/>
            <w:lang w:val="sv-SE"/>
          </w:rPr>
          <w:t>https://www.who.int/publications/i/item/9789241580496</w:t>
        </w:r>
      </w:hyperlink>
      <w:r w:rsidRPr="00EF5A88">
        <w:rPr>
          <w:lang w:val="sv-SE"/>
        </w:rPr>
        <w:t>.</w:t>
      </w:r>
      <w:r w:rsidRPr="00EF5A88">
        <w:rPr>
          <w:rFonts w:ascii="Times New Roman" w:hAnsi="Times New Roman"/>
          <w:lang w:val="sv-SE"/>
        </w:rPr>
        <w:t xml:space="preserve"> </w:t>
      </w:r>
    </w:p>
  </w:footnote>
  <w:footnote w:id="11">
    <w:p w14:paraId="41C1AA7F" w14:textId="5A34DA4C"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 w:history="1">
        <w:r w:rsidRPr="00EF5A88">
          <w:rPr>
            <w:rStyle w:val="Hyperlink"/>
            <w:rFonts w:ascii="Times New Roman" w:hAnsi="Times New Roman"/>
            <w:lang w:val="sv-SE"/>
          </w:rPr>
          <w:t>https://www.ecdc.europa.eu/en/publications-data/interim-public-health-considerations-covid-19-vaccination-roll-out-during-2023</w:t>
        </w:r>
      </w:hyperlink>
      <w:r w:rsidRPr="00EF5A88">
        <w:rPr>
          <w:lang w:val="sv-SE"/>
        </w:rPr>
        <w:t>.</w:t>
      </w:r>
      <w:r w:rsidRPr="00EF5A88">
        <w:rPr>
          <w:rFonts w:ascii="Times New Roman" w:hAnsi="Times New Roman"/>
          <w:lang w:val="sv-SE"/>
        </w:rPr>
        <w:t xml:space="preserve"> </w:t>
      </w:r>
    </w:p>
  </w:footnote>
  <w:footnote w:id="12">
    <w:p w14:paraId="3F4785BA" w14:textId="3399B56D" w:rsidR="00EE3209" w:rsidRPr="00EF5A88" w:rsidRDefault="00EE3209" w:rsidP="00031422">
      <w:pPr>
        <w:pStyle w:val="FootnoteText"/>
        <w:spacing w:line="240" w:lineRule="auto"/>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Rådets rekommendation av den 7 december 2018 om stärkt samarbete mot sjukdomar som kan förebyggas genom vaccination (EUT C 466, 28.12.2018, s. 1) (</w:t>
      </w:r>
      <w:hyperlink r:id="rId5" w:history="1">
        <w:r w:rsidRPr="00EF5A88">
          <w:rPr>
            <w:rStyle w:val="Hyperlink"/>
            <w:rFonts w:ascii="Times New Roman" w:hAnsi="Times New Roman"/>
            <w:lang w:val="sv-SE"/>
          </w:rPr>
          <w:t>https://eur-lex.europa.eu/legal-content/GA/TXT/?uri=OJ%3AJOC_2018_466_R_0001</w:t>
        </w:r>
      </w:hyperlink>
      <w:r w:rsidRPr="00EF5A88">
        <w:rPr>
          <w:rFonts w:ascii="Times New Roman" w:hAnsi="Times New Roman"/>
          <w:lang w:val="sv-SE"/>
        </w:rPr>
        <w:t>).</w:t>
      </w:r>
    </w:p>
  </w:footnote>
  <w:footnote w:id="13">
    <w:p w14:paraId="3DB6A819" w14:textId="38A77D3C"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6" w:history="1">
        <w:r w:rsidRPr="00EF5A88">
          <w:rPr>
            <w:rStyle w:val="Hyperlink"/>
            <w:rFonts w:ascii="Times New Roman" w:hAnsi="Times New Roman"/>
            <w:lang w:val="sv-SE"/>
          </w:rPr>
          <w:t>https://health.ec.europa.eu/system/files/2022-12/2019-2022_roadmap_en.pdf</w:t>
        </w:r>
      </w:hyperlink>
      <w:r w:rsidRPr="00EF5A88">
        <w:rPr>
          <w:lang w:val="sv-SE"/>
        </w:rPr>
        <w:t>.</w:t>
      </w:r>
      <w:r w:rsidRPr="00EF5A88">
        <w:rPr>
          <w:rFonts w:ascii="Times New Roman" w:hAnsi="Times New Roman"/>
          <w:lang w:val="sv-SE"/>
        </w:rPr>
        <w:t xml:space="preserve"> </w:t>
      </w:r>
    </w:p>
  </w:footnote>
  <w:footnote w:id="14">
    <w:p w14:paraId="235B9862" w14:textId="0C7C48A8"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 w:history="1">
        <w:r w:rsidRPr="00EF5A88">
          <w:rPr>
            <w:rStyle w:val="Hyperlink"/>
            <w:rFonts w:ascii="Times New Roman" w:hAnsi="Times New Roman"/>
            <w:lang w:val="sv-SE"/>
          </w:rPr>
          <w:t>https://op.europa.eu/sv/publication-detail/-/publication/8ba3bd75-7c38-11ed-9887-01aa75ed71a1/language-sv</w:t>
        </w:r>
      </w:hyperlink>
      <w:r w:rsidRPr="00EF5A88">
        <w:rPr>
          <w:lang w:val="sv-SE"/>
        </w:rPr>
        <w:t>.</w:t>
      </w:r>
      <w:r w:rsidRPr="00EF5A88">
        <w:rPr>
          <w:rFonts w:ascii="Times New Roman" w:hAnsi="Times New Roman"/>
          <w:lang w:val="sv-SE"/>
        </w:rPr>
        <w:t xml:space="preserve"> </w:t>
      </w:r>
    </w:p>
  </w:footnote>
  <w:footnote w:id="15">
    <w:p w14:paraId="0BF19E27" w14:textId="16FC110D"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 w:history="1">
        <w:r w:rsidRPr="00EF5A88">
          <w:rPr>
            <w:rStyle w:val="Hyperlink"/>
            <w:rFonts w:ascii="Times New Roman" w:hAnsi="Times New Roman"/>
            <w:lang w:val="sv-SE"/>
          </w:rPr>
          <w:t>https://knowledge4policy.ec.europa.eu/projects-activities/behavioural-insights-eu-bi4eu_en</w:t>
        </w:r>
      </w:hyperlink>
      <w:r w:rsidRPr="00EF5A88">
        <w:rPr>
          <w:lang w:val="sv-SE"/>
        </w:rPr>
        <w:t>.</w:t>
      </w:r>
      <w:r w:rsidRPr="00EF5A88">
        <w:rPr>
          <w:rFonts w:ascii="Times New Roman" w:hAnsi="Times New Roman"/>
          <w:lang w:val="sv-SE"/>
        </w:rPr>
        <w:t xml:space="preserve"> </w:t>
      </w:r>
    </w:p>
  </w:footnote>
  <w:footnote w:id="16">
    <w:p w14:paraId="4F4CFAA2" w14:textId="5F26E627"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9" w:history="1">
        <w:r w:rsidRPr="00EF5A88">
          <w:rPr>
            <w:rStyle w:val="Hyperlink"/>
            <w:rFonts w:ascii="Times New Roman" w:hAnsi="Times New Roman"/>
            <w:lang w:val="sv-SE"/>
          </w:rPr>
          <w:t>https://vaccination-info.eu/sv</w:t>
        </w:r>
      </w:hyperlink>
      <w:r w:rsidRPr="00EF5A88">
        <w:rPr>
          <w:lang w:val="sv-SE"/>
        </w:rPr>
        <w:t>.</w:t>
      </w:r>
      <w:r w:rsidRPr="00EF5A88">
        <w:rPr>
          <w:rFonts w:ascii="Times New Roman" w:hAnsi="Times New Roman"/>
          <w:lang w:val="sv-SE"/>
        </w:rPr>
        <w:t xml:space="preserve"> </w:t>
      </w:r>
    </w:p>
  </w:footnote>
  <w:footnote w:id="17">
    <w:p w14:paraId="57380918" w14:textId="72585C7A"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0" w:history="1">
        <w:r w:rsidRPr="00EF5A88">
          <w:rPr>
            <w:rStyle w:val="Hyperlink"/>
            <w:rFonts w:ascii="Times New Roman" w:hAnsi="Times New Roman"/>
            <w:lang w:val="sv-SE"/>
          </w:rPr>
          <w:t>https://health.ec.europa.eu/non-communicable-diseases/expert-group-public-health_sv</w:t>
        </w:r>
      </w:hyperlink>
      <w:r w:rsidRPr="00EF5A88">
        <w:rPr>
          <w:lang w:val="sv-SE"/>
        </w:rPr>
        <w:t>.</w:t>
      </w:r>
      <w:r w:rsidRPr="00EF5A88">
        <w:rPr>
          <w:rFonts w:ascii="Times New Roman" w:hAnsi="Times New Roman"/>
          <w:lang w:val="sv-SE"/>
        </w:rPr>
        <w:t xml:space="preserve"> </w:t>
      </w:r>
    </w:p>
  </w:footnote>
  <w:footnote w:id="18">
    <w:p w14:paraId="7C32239B" w14:textId="77777777" w:rsidR="00A02810" w:rsidRPr="00EF5A88" w:rsidRDefault="00A02810"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1" w:history="1">
        <w:r w:rsidRPr="00EF5A88">
          <w:rPr>
            <w:rStyle w:val="Hyperlink"/>
            <w:rFonts w:ascii="Times New Roman" w:hAnsi="Times New Roman"/>
            <w:lang w:val="sv-SE"/>
          </w:rPr>
          <w:t>https://eva.ecdc.europa.eu/</w:t>
        </w:r>
      </w:hyperlink>
      <w:r w:rsidRPr="00EF5A88">
        <w:rPr>
          <w:lang w:val="sv-SE"/>
        </w:rPr>
        <w:t>.</w:t>
      </w:r>
      <w:r w:rsidRPr="00EF5A88">
        <w:rPr>
          <w:rFonts w:ascii="Times New Roman" w:hAnsi="Times New Roman"/>
          <w:lang w:val="sv-SE"/>
        </w:rPr>
        <w:t xml:space="preserve"> </w:t>
      </w:r>
    </w:p>
  </w:footnote>
  <w:footnote w:id="19">
    <w:p w14:paraId="1BC1BB4F" w14:textId="42E0AD41" w:rsidR="001F1738" w:rsidRPr="00EF5A88" w:rsidRDefault="001F1738" w:rsidP="00031422">
      <w:pPr>
        <w:pStyle w:val="FootnoteText"/>
        <w:spacing w:line="240" w:lineRule="auto"/>
        <w:contextualSpacing/>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2" w:history="1">
        <w:r w:rsidRPr="00EF5A88">
          <w:rPr>
            <w:rStyle w:val="Hyperlink"/>
            <w:rFonts w:ascii="Times New Roman" w:hAnsi="Times New Roman"/>
            <w:lang w:val="sv-SE"/>
          </w:rPr>
          <w:t>https://eur-lex.europa.eu/legal-content/SV/TXT/?uri=COM:2021:44:FIN</w:t>
        </w:r>
      </w:hyperlink>
      <w:r w:rsidRPr="00EF5A88">
        <w:rPr>
          <w:lang w:val="sv-SE"/>
        </w:rPr>
        <w:t>.</w:t>
      </w:r>
      <w:r w:rsidRPr="00EF5A88">
        <w:rPr>
          <w:rFonts w:ascii="Times New Roman" w:hAnsi="Times New Roman"/>
          <w:lang w:val="sv-SE"/>
        </w:rPr>
        <w:t xml:space="preserve"> </w:t>
      </w:r>
    </w:p>
  </w:footnote>
  <w:footnote w:id="20">
    <w:p w14:paraId="6DE3EDAF" w14:textId="09D09FB6" w:rsidR="001F1738" w:rsidRPr="00EF5A88" w:rsidRDefault="001F1738" w:rsidP="00031422">
      <w:pPr>
        <w:pStyle w:val="FootnoteText"/>
        <w:spacing w:line="240" w:lineRule="auto"/>
        <w:contextualSpacing/>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3" w:history="1">
        <w:r w:rsidRPr="00EF5A88">
          <w:rPr>
            <w:rStyle w:val="Hyperlink"/>
            <w:rFonts w:ascii="Times New Roman" w:hAnsi="Times New Roman"/>
            <w:lang w:val="sv-SE"/>
          </w:rPr>
          <w:t>https://www.ecdc.europa.eu/sites/default/files/documents/Health-burden-infections-antibiotic-resistant-bacteria.pdf</w:t>
        </w:r>
      </w:hyperlink>
      <w:r w:rsidRPr="00EF5A88">
        <w:rPr>
          <w:lang w:val="sv-SE"/>
        </w:rPr>
        <w:t>.</w:t>
      </w:r>
    </w:p>
  </w:footnote>
  <w:footnote w:id="21">
    <w:p w14:paraId="5C22339B" w14:textId="238BD1E0" w:rsidR="001F1738" w:rsidRPr="00EF5A88" w:rsidRDefault="001F1738" w:rsidP="00031422">
      <w:pPr>
        <w:pStyle w:val="FootnoteText"/>
        <w:spacing w:line="240" w:lineRule="auto"/>
        <w:contextualSpacing/>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4" w:history="1">
        <w:r w:rsidRPr="00EF5A88">
          <w:rPr>
            <w:rStyle w:val="Hyperlink"/>
            <w:rFonts w:ascii="Times New Roman" w:hAnsi="Times New Roman"/>
            <w:lang w:val="sv-SE"/>
          </w:rPr>
          <w:t>https://eur-lex.europa.eu/legal-content/SV/TXT/PDF/?uri=CELEX:52017DC0339&amp;from=SV</w:t>
        </w:r>
      </w:hyperlink>
      <w:r w:rsidRPr="00EF5A88">
        <w:rPr>
          <w:lang w:val="sv-SE"/>
        </w:rPr>
        <w:t>.</w:t>
      </w:r>
      <w:r w:rsidRPr="00EF5A88">
        <w:rPr>
          <w:rFonts w:ascii="Times New Roman" w:hAnsi="Times New Roman"/>
          <w:lang w:val="sv-SE"/>
        </w:rPr>
        <w:t xml:space="preserve"> </w:t>
      </w:r>
    </w:p>
  </w:footnote>
  <w:footnote w:id="22">
    <w:p w14:paraId="4872EC60" w14:textId="77777777" w:rsidR="002A5AB8" w:rsidRPr="00EF5A88" w:rsidRDefault="001F1738" w:rsidP="00031422">
      <w:pPr>
        <w:pStyle w:val="FootnoteText"/>
        <w:spacing w:line="240" w:lineRule="auto"/>
        <w:contextualSpacing/>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Rådets rekommendation om intensifiering av EU:s åtgärder för att bekämpa antimikrobiell resistens genom en One health-modell (2023/C 220/01), EUT C 220, 22.6.2023, s. 1</w:t>
      </w:r>
    </w:p>
    <w:p w14:paraId="2722A3D7" w14:textId="3AB4E2F0" w:rsidR="001F1738" w:rsidRPr="00EF5A88" w:rsidRDefault="00BA233D" w:rsidP="00031422">
      <w:pPr>
        <w:pStyle w:val="FootnoteText"/>
        <w:spacing w:line="240" w:lineRule="auto"/>
        <w:jc w:val="both"/>
        <w:rPr>
          <w:rFonts w:ascii="Times New Roman" w:hAnsi="Times New Roman" w:cs="Times New Roman"/>
          <w:lang w:val="sv-SE"/>
        </w:rPr>
      </w:pPr>
      <w:r w:rsidRPr="00EF5A88">
        <w:rPr>
          <w:rFonts w:ascii="Times New Roman" w:hAnsi="Times New Roman"/>
          <w:lang w:val="sv-SE"/>
        </w:rPr>
        <w:t xml:space="preserve"> (</w:t>
      </w:r>
      <w:hyperlink r:id="rId15" w:history="1">
        <w:r w:rsidRPr="00EF5A88">
          <w:rPr>
            <w:rStyle w:val="Hyperlink"/>
            <w:rFonts w:ascii="Times New Roman" w:hAnsi="Times New Roman"/>
            <w:lang w:val="sv-SE"/>
          </w:rPr>
          <w:t>https://eur-lex.europa.eu/legal-content/SV/TXT/?uri=CELEX%3A32023H0622%2801%29</w:t>
        </w:r>
      </w:hyperlink>
      <w:r w:rsidRPr="00EF5A88">
        <w:rPr>
          <w:rFonts w:ascii="Times New Roman" w:hAnsi="Times New Roman"/>
          <w:lang w:val="sv-SE"/>
        </w:rPr>
        <w:t xml:space="preserve">). </w:t>
      </w:r>
    </w:p>
  </w:footnote>
  <w:footnote w:id="23">
    <w:p w14:paraId="13CD6708" w14:textId="7CFB6739" w:rsidR="001F1738" w:rsidRPr="00EF5A88" w:rsidRDefault="001F1738"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6" w:history="1">
        <w:r w:rsidRPr="00EF5A88">
          <w:rPr>
            <w:rStyle w:val="Hyperlink"/>
            <w:rFonts w:ascii="Times New Roman" w:hAnsi="Times New Roman"/>
            <w:lang w:val="sv-SE"/>
          </w:rPr>
          <w:t>https://commission.europa.eu/strategy-and-policy/priorities-2019-2024/promoting-our-european-way-life/european-health-union/reform-eu-pharmaceutical-legislation_sv</w:t>
        </w:r>
      </w:hyperlink>
      <w:r w:rsidRPr="00EF5A88">
        <w:rPr>
          <w:lang w:val="sv-SE"/>
        </w:rPr>
        <w:t>.</w:t>
      </w:r>
    </w:p>
  </w:footnote>
  <w:footnote w:id="24">
    <w:p w14:paraId="66185EF0" w14:textId="54D06B3F" w:rsidR="004A3885" w:rsidRPr="00EF5A88" w:rsidRDefault="004A3885"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Vouchern ger utvecklaren ett extra år av dataskydd mot konkurrens för det berörda läkemedlet.</w:t>
      </w:r>
    </w:p>
  </w:footnote>
  <w:footnote w:id="25">
    <w:p w14:paraId="03DE0932" w14:textId="30F7AEA3" w:rsidR="002F4CA6" w:rsidRPr="00EF5A88" w:rsidRDefault="002F4CA6"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7" w:history="1">
        <w:r w:rsidRPr="00EF5A88">
          <w:rPr>
            <w:rStyle w:val="Hyperlink"/>
            <w:rFonts w:ascii="Times New Roman" w:hAnsi="Times New Roman"/>
            <w:lang w:val="sv-SE"/>
          </w:rPr>
          <w:t>https://health.ec.europa.eu/funding/eu4health-programme-2021-2027-vision-healthier-european-union_sv</w:t>
        </w:r>
      </w:hyperlink>
      <w:r w:rsidRPr="00EF5A88">
        <w:rPr>
          <w:lang w:val="sv-SE"/>
        </w:rPr>
        <w:t>.</w:t>
      </w:r>
    </w:p>
  </w:footnote>
  <w:footnote w:id="26">
    <w:p w14:paraId="725E8F96" w14:textId="27D29113" w:rsidR="00831B85" w:rsidRPr="00EF5A88" w:rsidRDefault="00831B85" w:rsidP="00031422">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Se även avsnittet nedan om säkra och effektiva läkemedel och medicintekniska produkter.</w:t>
      </w:r>
    </w:p>
  </w:footnote>
  <w:footnote w:id="27">
    <w:p w14:paraId="24A0A05D" w14:textId="77777777" w:rsidR="009F619B" w:rsidRPr="00EF5A88" w:rsidRDefault="009F619B" w:rsidP="00031422">
      <w:pPr>
        <w:pStyle w:val="FootnoteText"/>
        <w:spacing w:line="240" w:lineRule="auto"/>
        <w:rPr>
          <w:lang w:val="sv-SE"/>
        </w:rPr>
      </w:pPr>
      <w:r>
        <w:rPr>
          <w:rStyle w:val="FootnoteReference"/>
        </w:rPr>
        <w:footnoteRef/>
      </w:r>
      <w:r w:rsidRPr="00EF5A88">
        <w:rPr>
          <w:rFonts w:ascii="Times New Roman" w:hAnsi="Times New Roman"/>
          <w:lang w:val="sv-SE"/>
        </w:rPr>
        <w:t xml:space="preserve"> Meddelande från kommissionen till Europaparlamentet, rådet, Europeiska ekonomiska och sociala kommittén och Regionkommittén: </w:t>
      </w:r>
      <w:r w:rsidRPr="00EF5A88">
        <w:rPr>
          <w:rFonts w:ascii="Times New Roman" w:hAnsi="Times New Roman"/>
          <w:i/>
          <w:iCs/>
          <w:lang w:val="sv-SE"/>
        </w:rPr>
        <w:t>Hantering av läkemedelsbrister i EU</w:t>
      </w:r>
      <w:r w:rsidRPr="00EF5A88">
        <w:rPr>
          <w:rFonts w:ascii="Times New Roman" w:hAnsi="Times New Roman"/>
          <w:lang w:val="sv-SE"/>
        </w:rPr>
        <w:t>, COM(2023) 672 final (</w:t>
      </w:r>
      <w:hyperlink r:id="rId18" w:history="1">
        <w:r w:rsidRPr="00EF5A88">
          <w:rPr>
            <w:rStyle w:val="Hyperlink"/>
            <w:rFonts w:ascii="Times New Roman" w:hAnsi="Times New Roman"/>
            <w:lang w:val="sv-SE"/>
          </w:rPr>
          <w:t>https://eur-lex.europa.eu/legal-content/SV/TXT/?uri=CELEX%3A52023DC0672R%2801%29&amp;qid=1702289257656</w:t>
        </w:r>
      </w:hyperlink>
      <w:r w:rsidRPr="00EF5A88">
        <w:rPr>
          <w:rFonts w:ascii="Times New Roman" w:hAnsi="Times New Roman"/>
          <w:lang w:val="sv-SE"/>
        </w:rPr>
        <w:t xml:space="preserve">). </w:t>
      </w:r>
    </w:p>
  </w:footnote>
  <w:footnote w:id="28">
    <w:p w14:paraId="49F64AF0" w14:textId="53B3FED3"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19" w:history="1">
        <w:r w:rsidRPr="00EF5A88">
          <w:rPr>
            <w:rStyle w:val="Hyperlink"/>
            <w:rFonts w:ascii="Times New Roman" w:hAnsi="Times New Roman"/>
            <w:lang w:val="sv-SE"/>
          </w:rPr>
          <w:t>https://gardp.org/</w:t>
        </w:r>
      </w:hyperlink>
      <w:r w:rsidRPr="00EF5A88">
        <w:rPr>
          <w:lang w:val="sv-SE"/>
        </w:rPr>
        <w:t>.</w:t>
      </w:r>
      <w:r w:rsidRPr="00EF5A88">
        <w:rPr>
          <w:rFonts w:ascii="Times New Roman" w:hAnsi="Times New Roman"/>
          <w:lang w:val="sv-SE"/>
        </w:rPr>
        <w:t xml:space="preserve"> </w:t>
      </w:r>
    </w:p>
  </w:footnote>
  <w:footnote w:id="29">
    <w:p w14:paraId="08A5B966" w14:textId="33459E8C"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0" w:history="1">
        <w:r w:rsidRPr="00EF5A88">
          <w:rPr>
            <w:rStyle w:val="Hyperlink"/>
            <w:rFonts w:ascii="Times New Roman" w:hAnsi="Times New Roman"/>
            <w:lang w:val="sv-SE"/>
          </w:rPr>
          <w:t>https://www.who.int/groups/secure-expanding-sustainable-access-to-antibiotics</w:t>
        </w:r>
      </w:hyperlink>
      <w:r w:rsidRPr="00EF5A88">
        <w:rPr>
          <w:lang w:val="sv-SE"/>
        </w:rPr>
        <w:t>.</w:t>
      </w:r>
    </w:p>
  </w:footnote>
  <w:footnote w:id="30">
    <w:p w14:paraId="58C63A39" w14:textId="0B764C09"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Totalt 8 miljoner euro tillhandahölls inom ramen för åtgärd CP-g-06.7: ”Strengthening preparedness and response to cross-border health threats at global level” (arbetsprogrammet för EU4Health 2021).</w:t>
      </w:r>
    </w:p>
  </w:footnote>
  <w:footnote w:id="31">
    <w:p w14:paraId="47B47113" w14:textId="60737E72" w:rsidR="001F1738" w:rsidRPr="00B769F6" w:rsidRDefault="001F1738" w:rsidP="00BC2F1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Kommissionen har utlyst en anbudsinfordran värd 82 miljoner euro: ”Speed up the Development of and Access to Innovative Medical Countermeasures”.</w:t>
      </w:r>
    </w:p>
  </w:footnote>
  <w:footnote w:id="32">
    <w:p w14:paraId="7062D3F8" w14:textId="49C6BA59" w:rsidR="001F1738" w:rsidRPr="00B769F6" w:rsidRDefault="001F1738" w:rsidP="00BC2F1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1" w:history="1">
        <w:r>
          <w:rPr>
            <w:rStyle w:val="Hyperlink"/>
            <w:rFonts w:ascii="Times New Roman" w:hAnsi="Times New Roman"/>
          </w:rPr>
          <w:t>https://www.jpiamr.eu/activities/one-health-amr/design-oh-amr/</w:t>
        </w:r>
      </w:hyperlink>
      <w:r>
        <w:t>.</w:t>
      </w:r>
      <w:r>
        <w:rPr>
          <w:rFonts w:ascii="Times New Roman" w:hAnsi="Times New Roman"/>
        </w:rPr>
        <w:t xml:space="preserve"> </w:t>
      </w:r>
    </w:p>
  </w:footnote>
  <w:footnote w:id="33">
    <w:p w14:paraId="670F1A99" w14:textId="0E346AF8" w:rsidR="00E14569" w:rsidRPr="00B769F6" w:rsidRDefault="00E14569" w:rsidP="00BC2F11">
      <w:pPr>
        <w:pStyle w:val="FootnoteText"/>
        <w:jc w:val="both"/>
        <w:rPr>
          <w:rFonts w:ascii="Times New Roman" w:hAnsi="Times New Roman" w:cs="Times New Roman"/>
        </w:rPr>
      </w:pPr>
      <w:r>
        <w:rPr>
          <w:rStyle w:val="FootnoteReference"/>
          <w:rFonts w:ascii="Times New Roman" w:hAnsi="Times New Roman" w:cs="Times New Roman"/>
        </w:rPr>
        <w:footnoteRef/>
      </w:r>
      <w:hyperlink r:id="rId22" w:history="1">
        <w:r>
          <w:rPr>
            <w:rStyle w:val="Hyperlink"/>
            <w:rFonts w:ascii="Times New Roman" w:hAnsi="Times New Roman"/>
          </w:rPr>
          <w:t>https://ec.europa.eu/info/funding-tenders/opportunities/portal/screen/opportunities/topic-details/horizon-hlth-2024-disease-09-01</w:t>
        </w:r>
      </w:hyperlink>
      <w:r>
        <w:t>.</w:t>
      </w:r>
      <w:r>
        <w:rPr>
          <w:rFonts w:ascii="Times New Roman" w:hAnsi="Times New Roman"/>
        </w:rPr>
        <w:t xml:space="preserve"> </w:t>
      </w:r>
    </w:p>
  </w:footnote>
  <w:footnote w:id="34">
    <w:p w14:paraId="4DA55DC2" w14:textId="77777777" w:rsidR="002B1144" w:rsidRPr="00EF5A88" w:rsidRDefault="002B1144"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3" w:history="1">
        <w:r w:rsidRPr="00EF5A88">
          <w:rPr>
            <w:rFonts w:ascii="Times New Roman" w:hAnsi="Times New Roman"/>
            <w:color w:val="0000FF"/>
            <w:u w:val="single"/>
            <w:lang w:val="sv-SE"/>
          </w:rPr>
          <w:t>Horisont Europa (europa.eu)</w:t>
        </w:r>
      </w:hyperlink>
      <w:r w:rsidRPr="00EF5A88">
        <w:rPr>
          <w:lang w:val="sv-SE"/>
        </w:rPr>
        <w:t>.</w:t>
      </w:r>
    </w:p>
  </w:footnote>
  <w:footnote w:id="35">
    <w:p w14:paraId="77F0E460" w14:textId="77777777" w:rsidR="00B554C1" w:rsidRPr="00EF5A88" w:rsidRDefault="00B554C1"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4" w:history="1">
        <w:r w:rsidRPr="00EF5A88">
          <w:rPr>
            <w:rStyle w:val="Hyperlink"/>
            <w:rFonts w:ascii="Times New Roman" w:hAnsi="Times New Roman"/>
            <w:lang w:val="sv-SE"/>
          </w:rPr>
          <w:t>https://eur-lex.europa.eu/legal-content/SV/TXT/PDF/?uri=CELEX:52019DC0128</w:t>
        </w:r>
      </w:hyperlink>
      <w:r w:rsidRPr="00EF5A88">
        <w:rPr>
          <w:lang w:val="sv-SE"/>
        </w:rPr>
        <w:t>.</w:t>
      </w:r>
    </w:p>
  </w:footnote>
  <w:footnote w:id="36">
    <w:p w14:paraId="1A6ACAC8" w14:textId="67E7C77D"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5" w:history="1">
        <w:r w:rsidRPr="00EF5A88">
          <w:rPr>
            <w:rStyle w:val="Hyperlink"/>
            <w:rFonts w:ascii="Times New Roman" w:hAnsi="Times New Roman"/>
            <w:lang w:val="sv-SE"/>
          </w:rPr>
          <w:t>https://commission.europa.eu/strategy-and-policy/priorities-2019-2024/european-green-deal_sv</w:t>
        </w:r>
      </w:hyperlink>
      <w:r w:rsidRPr="00EF5A88">
        <w:rPr>
          <w:lang w:val="sv-SE"/>
        </w:rPr>
        <w:t>.</w:t>
      </w:r>
    </w:p>
  </w:footnote>
  <w:footnote w:id="37">
    <w:p w14:paraId="098435AB" w14:textId="740E8A67" w:rsidR="00B554C1" w:rsidRPr="00EF5A88" w:rsidRDefault="00B554C1"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6" w:history="1">
        <w:r w:rsidRPr="00EF5A88">
          <w:rPr>
            <w:rStyle w:val="Hyperlink"/>
            <w:rFonts w:ascii="Times New Roman" w:hAnsi="Times New Roman"/>
            <w:lang w:val="sv-SE"/>
          </w:rPr>
          <w:t>https://eur-lex.europa.eu/legal-content/SV/TXT/?uri=CELEX:52021DC0400</w:t>
        </w:r>
      </w:hyperlink>
      <w:r w:rsidRPr="00EF5A88">
        <w:rPr>
          <w:lang w:val="sv-SE"/>
        </w:rPr>
        <w:t>.</w:t>
      </w:r>
      <w:r w:rsidRPr="00EF5A88">
        <w:rPr>
          <w:rFonts w:ascii="Times New Roman" w:hAnsi="Times New Roman"/>
          <w:lang w:val="sv-SE"/>
        </w:rPr>
        <w:t xml:space="preserve"> </w:t>
      </w:r>
    </w:p>
  </w:footnote>
  <w:footnote w:id="38">
    <w:p w14:paraId="0DF20D89" w14:textId="41DCFA79"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7" w:history="1">
        <w:r w:rsidRPr="00EF5A88">
          <w:rPr>
            <w:rStyle w:val="Hyperlink"/>
            <w:rFonts w:ascii="Times New Roman" w:hAnsi="Times New Roman"/>
            <w:lang w:val="sv-SE"/>
          </w:rPr>
          <w:t>https://environment.ec.europa.eu/publications/proposal-amending-water-directives_sv</w:t>
        </w:r>
      </w:hyperlink>
      <w:r w:rsidRPr="00EF5A88">
        <w:rPr>
          <w:lang w:val="sv-SE"/>
        </w:rPr>
        <w:t>.</w:t>
      </w:r>
    </w:p>
  </w:footnote>
  <w:footnote w:id="39">
    <w:p w14:paraId="19FE0110" w14:textId="5581DBA8"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8" w:history="1">
        <w:r w:rsidRPr="00EF5A88">
          <w:rPr>
            <w:rStyle w:val="Hyperlink"/>
            <w:rFonts w:ascii="Times New Roman" w:hAnsi="Times New Roman"/>
            <w:lang w:val="sv-SE"/>
          </w:rPr>
          <w:t>https://environment.ec.europa.eu/publications/proposal-revised-urban-wastewater-treatment-directive_en</w:t>
        </w:r>
      </w:hyperlink>
      <w:r w:rsidRPr="00EF5A88">
        <w:rPr>
          <w:lang w:val="sv-SE"/>
        </w:rPr>
        <w:t>.</w:t>
      </w:r>
    </w:p>
  </w:footnote>
  <w:footnote w:id="40">
    <w:p w14:paraId="014FFBE9" w14:textId="3567D1DB" w:rsidR="00B57523" w:rsidRPr="00EF5A88" w:rsidRDefault="00B57523"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Den statistiska ramundersökningen av markanvändning och marktäckning (Lucas) är en regelbunden harmoniserad undersökning som anordnas av Europeiska statistikbyrån (Eurostat) i samarbete med andra avdelningar inom kommissionen för att samla in information om markanvändning och marktäckning i alla medlemsstater.</w:t>
      </w:r>
    </w:p>
  </w:footnote>
  <w:footnote w:id="41">
    <w:p w14:paraId="36DACB81" w14:textId="71D4A4DA"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29" w:history="1">
        <w:r w:rsidRPr="00EF5A88">
          <w:rPr>
            <w:rStyle w:val="Hyperlink"/>
            <w:rFonts w:ascii="Times New Roman" w:hAnsi="Times New Roman"/>
            <w:lang w:val="sv-SE"/>
          </w:rPr>
          <w:t>https://esdac.jrc.ec.europa.eu/projects/lucas</w:t>
        </w:r>
      </w:hyperlink>
      <w:r w:rsidRPr="00EF5A88">
        <w:rPr>
          <w:lang w:val="sv-SE"/>
        </w:rPr>
        <w:t>.</w:t>
      </w:r>
    </w:p>
  </w:footnote>
  <w:footnote w:id="42">
    <w:p w14:paraId="2F4B90E3" w14:textId="4312984A" w:rsidR="00D00D56" w:rsidRPr="00EF5A88" w:rsidRDefault="00D00D56"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0" w:history="1">
        <w:r w:rsidRPr="00EF5A88">
          <w:rPr>
            <w:rStyle w:val="Hyperlink"/>
            <w:rFonts w:ascii="Times New Roman" w:hAnsi="Times New Roman"/>
            <w:lang w:val="sv-SE"/>
          </w:rPr>
          <w:t>https://esdac.jrc.ec.europa.eu/</w:t>
        </w:r>
      </w:hyperlink>
      <w:r w:rsidRPr="00EF5A88">
        <w:rPr>
          <w:lang w:val="sv-SE"/>
        </w:rPr>
        <w:t>.</w:t>
      </w:r>
    </w:p>
  </w:footnote>
  <w:footnote w:id="43">
    <w:p w14:paraId="02BDEB3C" w14:textId="05C543D3"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1" w:history="1">
        <w:r w:rsidRPr="00EF5A88">
          <w:rPr>
            <w:rStyle w:val="Hyperlink"/>
            <w:rFonts w:ascii="Times New Roman" w:hAnsi="Times New Roman"/>
            <w:lang w:val="sv-SE"/>
          </w:rPr>
          <w:t>https://www.nature.com/articles/nature06536</w:t>
        </w:r>
      </w:hyperlink>
      <w:r w:rsidRPr="00EF5A88">
        <w:rPr>
          <w:lang w:val="sv-SE"/>
        </w:rPr>
        <w:t>.</w:t>
      </w:r>
      <w:r w:rsidRPr="00EF5A88">
        <w:rPr>
          <w:rFonts w:ascii="Times New Roman" w:hAnsi="Times New Roman"/>
          <w:lang w:val="sv-SE"/>
        </w:rPr>
        <w:t xml:space="preserve"> </w:t>
      </w:r>
    </w:p>
  </w:footnote>
  <w:footnote w:id="44">
    <w:p w14:paraId="4AF60854" w14:textId="5AAF3650"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Europaparlamentets och rådets direktiv 2003/99/EG av den 17 november 2003 om övervakning av zoonoser och zoonotiska smittämnen, om ändring av rådets beslut 90/424/EEG och om upphävande av rådets direktiv 92/117/EEG (EUT L 325, 12.12.2003, s. 31) (</w:t>
      </w:r>
      <w:hyperlink r:id="rId32" w:history="1">
        <w:r w:rsidRPr="00EF5A88">
          <w:rPr>
            <w:rStyle w:val="Hyperlink"/>
            <w:rFonts w:ascii="Times New Roman" w:hAnsi="Times New Roman"/>
            <w:lang w:val="sv-SE"/>
          </w:rPr>
          <w:t>https://eur-lex.europa.eu/legal-content/SV/TXT/?uri=CELEX:32003L0099</w:t>
        </w:r>
      </w:hyperlink>
      <w:r w:rsidRPr="00EF5A88">
        <w:rPr>
          <w:rFonts w:ascii="Times New Roman" w:hAnsi="Times New Roman"/>
          <w:lang w:val="sv-SE"/>
        </w:rPr>
        <w:t>).</w:t>
      </w:r>
    </w:p>
  </w:footnote>
  <w:footnote w:id="45">
    <w:p w14:paraId="7DC4BAC5" w14:textId="6A12E8D9" w:rsidR="00191C05" w:rsidRPr="00EF5A88" w:rsidRDefault="00B56A57" w:rsidP="003225E8">
      <w:pPr>
        <w:pStyle w:val="FootnoteText"/>
        <w:jc w:val="both"/>
        <w:rPr>
          <w:rFonts w:ascii="Times New Roman" w:eastAsia="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Europaparlamentets och rådets förordning (EU) 2016/429 av den 9 mars 2006 om överförbara djursjukdomar och om ändring och upphävande av vissa akter med avseende på djurhälsa (”djurhälsolag”) (EUT L 84, 31.3.2016, s. 1)</w:t>
      </w:r>
    </w:p>
    <w:p w14:paraId="0CAA9BB8" w14:textId="0B9D885A" w:rsidR="00B56A57" w:rsidRPr="00EF5A88" w:rsidRDefault="00B56A57" w:rsidP="003225E8">
      <w:pPr>
        <w:pStyle w:val="FootnoteText"/>
        <w:jc w:val="both"/>
        <w:rPr>
          <w:rFonts w:ascii="Times New Roman" w:hAnsi="Times New Roman" w:cs="Times New Roman"/>
          <w:lang w:val="sv-SE"/>
        </w:rPr>
      </w:pPr>
      <w:r w:rsidRPr="00EF5A88">
        <w:rPr>
          <w:rFonts w:ascii="Times New Roman" w:hAnsi="Times New Roman"/>
          <w:lang w:val="sv-SE"/>
        </w:rPr>
        <w:t>(</w:t>
      </w:r>
      <w:hyperlink r:id="rId33" w:history="1">
        <w:r w:rsidRPr="00EF5A88">
          <w:rPr>
            <w:rStyle w:val="Hyperlink"/>
            <w:rFonts w:ascii="Times New Roman" w:hAnsi="Times New Roman"/>
            <w:lang w:val="sv-SE"/>
          </w:rPr>
          <w:t>https://eur-lex.europa.eu/legal-content/SV/TXT/?uri=CELEX%3A32016R0429&amp;qid=1699617422821</w:t>
        </w:r>
      </w:hyperlink>
      <w:r w:rsidRPr="00EF5A88">
        <w:rPr>
          <w:rFonts w:ascii="Times New Roman" w:hAnsi="Times New Roman"/>
          <w:lang w:val="sv-SE"/>
        </w:rPr>
        <w:t>).</w:t>
      </w:r>
    </w:p>
  </w:footnote>
  <w:footnote w:id="46">
    <w:p w14:paraId="7132E854" w14:textId="31197161" w:rsidR="00831B85" w:rsidRPr="00EF5A88" w:rsidRDefault="00831B85" w:rsidP="00BC2F11">
      <w:pPr>
        <w:pStyle w:val="FootnoteText"/>
        <w:jc w:val="both"/>
        <w:rPr>
          <w:rFonts w:ascii="Times New Roman" w:hAnsi="Times New Roman" w:cs="Times New Roman"/>
          <w:lang w:val="sv-SE"/>
        </w:rPr>
      </w:pPr>
      <w:r>
        <w:rPr>
          <w:rStyle w:val="FootnoteReference"/>
        </w:rPr>
        <w:footnoteRef/>
      </w:r>
      <w:r w:rsidRPr="00EF5A88">
        <w:rPr>
          <w:rFonts w:ascii="Times New Roman" w:hAnsi="Times New Roman"/>
          <w:lang w:val="sv-SE"/>
        </w:rPr>
        <w:t xml:space="preserve"> Se även avsnittet om hälsosäkerhetskommittén nedan.</w:t>
      </w:r>
    </w:p>
  </w:footnote>
  <w:footnote w:id="47">
    <w:p w14:paraId="5BAA6CD0" w14:textId="32DBC940"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4" w:history="1">
        <w:r w:rsidRPr="00EF5A88">
          <w:rPr>
            <w:rStyle w:val="Hyperlink"/>
            <w:rFonts w:ascii="Times New Roman" w:hAnsi="Times New Roman"/>
            <w:lang w:val="sv-SE"/>
          </w:rPr>
          <w:t>https://eur-lex.europa.eu/eli/reg_del/2020/689/oj?locale=sv</w:t>
        </w:r>
      </w:hyperlink>
      <w:r w:rsidRPr="00EF5A88">
        <w:rPr>
          <w:lang w:val="sv-SE"/>
        </w:rPr>
        <w:t>.</w:t>
      </w:r>
      <w:r w:rsidRPr="00EF5A88">
        <w:rPr>
          <w:rFonts w:ascii="Times New Roman" w:hAnsi="Times New Roman"/>
          <w:lang w:val="sv-SE"/>
        </w:rPr>
        <w:t xml:space="preserve"> </w:t>
      </w:r>
    </w:p>
  </w:footnote>
  <w:footnote w:id="48">
    <w:p w14:paraId="341D406E" w14:textId="34C4787D"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5" w:history="1">
        <w:r w:rsidRPr="00EF5A88">
          <w:rPr>
            <w:rStyle w:val="Hyperlink"/>
            <w:rFonts w:ascii="Times New Roman" w:hAnsi="Times New Roman"/>
            <w:lang w:val="sv-SE"/>
          </w:rPr>
          <w:t>https://www.izsvenezie.com/reference-laboratories/avian-influenza-newcastle-disease/</w:t>
        </w:r>
      </w:hyperlink>
      <w:r w:rsidRPr="00EF5A88">
        <w:rPr>
          <w:lang w:val="sv-SE"/>
        </w:rPr>
        <w:t>.</w:t>
      </w:r>
      <w:r w:rsidRPr="00EF5A88">
        <w:rPr>
          <w:rFonts w:ascii="Times New Roman" w:hAnsi="Times New Roman"/>
          <w:lang w:val="sv-SE"/>
        </w:rPr>
        <w:t xml:space="preserve"> </w:t>
      </w:r>
    </w:p>
  </w:footnote>
  <w:footnote w:id="49">
    <w:p w14:paraId="613D7FC5" w14:textId="1C84B7D8"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r w:rsidRPr="00EF5A88">
        <w:rPr>
          <w:rFonts w:ascii="Times New Roman" w:hAnsi="Times New Roman"/>
          <w:color w:val="333333"/>
          <w:shd w:val="clear" w:color="auto" w:fill="FFFFFF"/>
          <w:lang w:val="sv-SE"/>
        </w:rPr>
        <w:t>Kommissionens delegerade förordning (EU) 2020/689 av den 17 december 2019 om komplettering av Europaparlamentets och rådets förordning (EU) 2016/429 vad gäller bestämmelser om övervakning, utrotningsprogram och sjukdomsfri status för vissa förtecknade sjukdomar och nya sjukdomar (EUT L 174, 3.6.2020, s. 211) (</w:t>
      </w:r>
      <w:hyperlink r:id="rId36" w:history="1">
        <w:r w:rsidRPr="00EF5A88">
          <w:rPr>
            <w:rStyle w:val="Hyperlink"/>
            <w:rFonts w:ascii="Times New Roman" w:hAnsi="Times New Roman"/>
            <w:lang w:val="sv-SE"/>
          </w:rPr>
          <w:t>https://eur-lex.europa.eu/legal-content/SV/TXT/?uri=CELEX%3A32020R0689&amp;qid=1699963567960</w:t>
        </w:r>
      </w:hyperlink>
      <w:r w:rsidRPr="00EF5A88">
        <w:rPr>
          <w:rFonts w:ascii="Times New Roman" w:hAnsi="Times New Roman"/>
          <w:lang w:val="sv-SE"/>
        </w:rPr>
        <w:t xml:space="preserve">). </w:t>
      </w:r>
    </w:p>
  </w:footnote>
  <w:footnote w:id="50">
    <w:p w14:paraId="46DCE7FA" w14:textId="263A7C70"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7" w:history="1">
        <w:r w:rsidRPr="00EF5A88">
          <w:rPr>
            <w:rStyle w:val="Hyperlink"/>
            <w:rFonts w:ascii="Times New Roman" w:hAnsi="Times New Roman"/>
            <w:lang w:val="sv-SE"/>
          </w:rPr>
          <w:t>https://climate-adapt.eea.europa.eu/en/observatory</w:t>
        </w:r>
      </w:hyperlink>
      <w:r w:rsidRPr="00EF5A88">
        <w:rPr>
          <w:lang w:val="sv-SE"/>
        </w:rPr>
        <w:t>.</w:t>
      </w:r>
      <w:r w:rsidRPr="00EF5A88">
        <w:rPr>
          <w:rFonts w:ascii="Times New Roman" w:hAnsi="Times New Roman"/>
          <w:lang w:val="sv-SE"/>
        </w:rPr>
        <w:t xml:space="preserve"> </w:t>
      </w:r>
    </w:p>
  </w:footnote>
  <w:footnote w:id="51">
    <w:p w14:paraId="23BC34FE" w14:textId="2CC4889D"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8" w:history="1">
        <w:r w:rsidRPr="00EF5A88">
          <w:rPr>
            <w:rStyle w:val="Hyperlink"/>
            <w:rFonts w:ascii="Times New Roman" w:hAnsi="Times New Roman"/>
            <w:lang w:val="sv-SE"/>
          </w:rPr>
          <w:t>https://www.who.int/europe/publications/i/item/EURO-Budapest2023-6</w:t>
        </w:r>
      </w:hyperlink>
      <w:r w:rsidRPr="00EF5A88">
        <w:rPr>
          <w:lang w:val="sv-SE"/>
        </w:rPr>
        <w:t>.</w:t>
      </w:r>
      <w:r w:rsidRPr="00EF5A88">
        <w:rPr>
          <w:rFonts w:ascii="Times New Roman" w:hAnsi="Times New Roman"/>
          <w:lang w:val="sv-SE"/>
        </w:rPr>
        <w:t xml:space="preserve"> </w:t>
      </w:r>
    </w:p>
  </w:footnote>
  <w:footnote w:id="52">
    <w:p w14:paraId="72BF0F76" w14:textId="6F7B9C2F" w:rsidR="000A69F5" w:rsidRPr="00EF5A88" w:rsidRDefault="000A69F5">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39" w:history="1">
        <w:r w:rsidRPr="00EF5A88">
          <w:rPr>
            <w:rStyle w:val="Hyperlink"/>
            <w:rFonts w:ascii="Times New Roman" w:hAnsi="Times New Roman"/>
            <w:lang w:val="sv-SE"/>
          </w:rPr>
          <w:t>https://www.cop28.com/en/cop28-uae-declaration-on-climate-and-health</w:t>
        </w:r>
      </w:hyperlink>
      <w:r w:rsidRPr="00EF5A88">
        <w:rPr>
          <w:lang w:val="sv-SE"/>
        </w:rPr>
        <w:t>.</w:t>
      </w:r>
      <w:r w:rsidRPr="00EF5A88">
        <w:rPr>
          <w:rFonts w:ascii="Times New Roman" w:hAnsi="Times New Roman"/>
          <w:lang w:val="sv-SE"/>
        </w:rPr>
        <w:t xml:space="preserve"> </w:t>
      </w:r>
    </w:p>
  </w:footnote>
  <w:footnote w:id="53">
    <w:p w14:paraId="0649BF95" w14:textId="0AB9C428" w:rsidR="001F1738" w:rsidRPr="00EF5A88" w:rsidRDefault="001F1738" w:rsidP="00BC2F11">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0" w:history="1">
        <w:r w:rsidRPr="00EF5A88">
          <w:rPr>
            <w:rStyle w:val="Hyperlink"/>
            <w:rFonts w:ascii="Times New Roman" w:hAnsi="Times New Roman"/>
            <w:lang w:val="sv-SE"/>
          </w:rPr>
          <w:t>https://www.who.int/publications/i/item/9789289071918</w:t>
        </w:r>
      </w:hyperlink>
      <w:r w:rsidRPr="00EF5A88">
        <w:rPr>
          <w:lang w:val="sv-SE"/>
        </w:rPr>
        <w:t>.</w:t>
      </w:r>
      <w:r w:rsidRPr="00EF5A88">
        <w:rPr>
          <w:rFonts w:ascii="Times New Roman" w:hAnsi="Times New Roman"/>
          <w:lang w:val="sv-SE"/>
        </w:rPr>
        <w:t xml:space="preserve"> </w:t>
      </w:r>
    </w:p>
  </w:footnote>
  <w:footnote w:id="54">
    <w:p w14:paraId="46EFC43B" w14:textId="2A66B00D" w:rsidR="0003452E" w:rsidRPr="00EF5A88" w:rsidRDefault="0003452E"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1" w:history="1">
        <w:r w:rsidRPr="00EF5A88">
          <w:rPr>
            <w:rStyle w:val="Hyperlink"/>
            <w:rFonts w:ascii="Times New Roman" w:hAnsi="Times New Roman"/>
            <w:lang w:val="sv-SE"/>
          </w:rPr>
          <w:t>https://cinea.ec.europa.eu/programmes/life_en</w:t>
        </w:r>
      </w:hyperlink>
      <w:r w:rsidRPr="00EF5A88">
        <w:rPr>
          <w:lang w:val="sv-SE"/>
        </w:rPr>
        <w:t>.</w:t>
      </w:r>
      <w:r w:rsidRPr="00EF5A88">
        <w:rPr>
          <w:rFonts w:ascii="Times New Roman" w:hAnsi="Times New Roman"/>
          <w:lang w:val="sv-SE"/>
        </w:rPr>
        <w:t xml:space="preserve"> </w:t>
      </w:r>
    </w:p>
  </w:footnote>
  <w:footnote w:id="55">
    <w:p w14:paraId="5647594C" w14:textId="13A6F333" w:rsidR="001F1738" w:rsidRPr="00EF5A88" w:rsidRDefault="001F1738" w:rsidP="00BC2F11">
      <w:pPr>
        <w:pStyle w:val="FootnoteText"/>
        <w:spacing w:line="240" w:lineRule="auto"/>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2" w:history="1">
        <w:r w:rsidRPr="00EF5A88">
          <w:rPr>
            <w:rStyle w:val="Hyperlink"/>
            <w:rFonts w:ascii="Times New Roman" w:hAnsi="Times New Roman"/>
            <w:lang w:val="sv-SE"/>
          </w:rPr>
          <w:t>https://www.eea.europa.eu/en/about/who-we-are/projects-and-cooperation-agreements/european-climate-risk-assessment</w:t>
        </w:r>
      </w:hyperlink>
      <w:r w:rsidRPr="00EF5A88">
        <w:rPr>
          <w:lang w:val="sv-SE"/>
        </w:rPr>
        <w:t>.</w:t>
      </w:r>
      <w:r w:rsidRPr="00EF5A88">
        <w:rPr>
          <w:rFonts w:ascii="Times New Roman" w:hAnsi="Times New Roman"/>
          <w:lang w:val="sv-SE"/>
        </w:rPr>
        <w:t xml:space="preserve"> </w:t>
      </w:r>
    </w:p>
  </w:footnote>
  <w:footnote w:id="56">
    <w:p w14:paraId="0B40A4CA" w14:textId="77777777" w:rsidR="00B554C1" w:rsidRPr="00EF5A88" w:rsidRDefault="00B554C1" w:rsidP="00B554C1">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r w:rsidRPr="00EF5A88">
        <w:rPr>
          <w:rStyle w:val="Hyperlink"/>
          <w:rFonts w:ascii="Times New Roman" w:hAnsi="Times New Roman"/>
          <w:lang w:val="sv-SE"/>
        </w:rPr>
        <w:t>Se t.ex. https://www.eea.europa.eu/publications/air-quality-in-europe-2022/health-impacts-of-air-pollution.</w:t>
      </w:r>
    </w:p>
  </w:footnote>
  <w:footnote w:id="57">
    <w:p w14:paraId="49FE9E3E" w14:textId="36AAEA14" w:rsidR="00B554C1" w:rsidRPr="00EF5A88" w:rsidRDefault="00B554C1" w:rsidP="00B554C1">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3" w:history="1">
        <w:r w:rsidRPr="00EF5A88">
          <w:rPr>
            <w:rStyle w:val="Hyperlink"/>
            <w:rFonts w:ascii="Times New Roman" w:hAnsi="Times New Roman"/>
            <w:lang w:val="sv-SE"/>
          </w:rPr>
          <w:t>https://ec.europa.eu/commission/presscorner/detail/sv/ip_22_6278</w:t>
        </w:r>
      </w:hyperlink>
      <w:r w:rsidRPr="00EF5A88">
        <w:rPr>
          <w:lang w:val="sv-SE"/>
        </w:rPr>
        <w:t>.</w:t>
      </w:r>
      <w:r w:rsidRPr="00EF5A88">
        <w:rPr>
          <w:lang w:val="sv-SE"/>
        </w:rPr>
        <w:tab/>
      </w:r>
    </w:p>
  </w:footnote>
  <w:footnote w:id="58">
    <w:p w14:paraId="36690947" w14:textId="23518021" w:rsidR="00B554C1" w:rsidRPr="00EF5A88" w:rsidRDefault="00B554C1">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Se avsnittet om antimikrobiell resistens ovan.</w:t>
      </w:r>
    </w:p>
  </w:footnote>
  <w:footnote w:id="59">
    <w:p w14:paraId="6317D8D0" w14:textId="0D59F38C" w:rsidR="00DD489A" w:rsidRPr="00EF5A88" w:rsidRDefault="00DD489A">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4" w:history="1">
        <w:r w:rsidRPr="00EF5A88">
          <w:rPr>
            <w:rStyle w:val="Hyperlink"/>
            <w:rFonts w:ascii="Times New Roman" w:hAnsi="Times New Roman"/>
            <w:lang w:val="sv-SE"/>
          </w:rPr>
          <w:t>https://environment.ec.europa.eu/publications/proposal-revision-industrial-emissions-directive_en</w:t>
        </w:r>
      </w:hyperlink>
      <w:r w:rsidRPr="00EF5A88">
        <w:rPr>
          <w:lang w:val="sv-SE"/>
        </w:rPr>
        <w:t>.</w:t>
      </w:r>
    </w:p>
  </w:footnote>
  <w:footnote w:id="60">
    <w:p w14:paraId="50A33709" w14:textId="7F6436F6" w:rsidR="00DD489A" w:rsidRPr="00EF5A88" w:rsidRDefault="00DD489A">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45" w:history="1">
        <w:r w:rsidRPr="00EF5A88">
          <w:rPr>
            <w:rStyle w:val="Hyperlink"/>
            <w:rFonts w:ascii="Times New Roman" w:hAnsi="Times New Roman"/>
            <w:lang w:val="sv-SE"/>
          </w:rPr>
          <w:t>https://environment.ec.europa.eu/topics/soil-and-land/soil-health_en</w:t>
        </w:r>
      </w:hyperlink>
      <w:r w:rsidRPr="00EF5A88">
        <w:rPr>
          <w:lang w:val="sv-SE"/>
        </w:rPr>
        <w:t>.</w:t>
      </w:r>
    </w:p>
  </w:footnote>
  <w:footnote w:id="61">
    <w:p w14:paraId="0A398BDC" w14:textId="06CC95A4" w:rsidR="001F1738" w:rsidRPr="00EF5A88" w:rsidRDefault="001F1738" w:rsidP="00003506">
      <w:pPr>
        <w:spacing w:after="0" w:line="240" w:lineRule="auto"/>
        <w:contextualSpacing/>
        <w:rPr>
          <w:rFonts w:ascii="Times New Roman" w:hAnsi="Times New Roman" w:cs="Times New Roman"/>
          <w:sz w:val="20"/>
          <w:lang w:val="sv-SE"/>
        </w:rPr>
      </w:pPr>
      <w:r>
        <w:rPr>
          <w:rStyle w:val="FootnoteReference"/>
          <w:rFonts w:ascii="Times New Roman" w:hAnsi="Times New Roman" w:cs="Times New Roman"/>
          <w:sz w:val="20"/>
        </w:rPr>
        <w:footnoteRef/>
      </w:r>
      <w:r w:rsidRPr="00EF5A88">
        <w:rPr>
          <w:rFonts w:ascii="Times New Roman" w:hAnsi="Times New Roman"/>
          <w:sz w:val="20"/>
          <w:lang w:val="sv-SE"/>
        </w:rPr>
        <w:t xml:space="preserve"> </w:t>
      </w:r>
      <w:hyperlink r:id="rId46" w:history="1">
        <w:r w:rsidRPr="00EF5A88">
          <w:rPr>
            <w:rStyle w:val="Hyperlink"/>
            <w:rFonts w:ascii="Times New Roman" w:hAnsi="Times New Roman"/>
            <w:sz w:val="20"/>
            <w:lang w:val="sv-SE"/>
          </w:rPr>
          <w:t>https://eur-lex.europa.eu/legal-content/SV/TXT/?uri=OJ:L:2023:234:TOC</w:t>
        </w:r>
      </w:hyperlink>
      <w:r w:rsidRPr="00EF5A88">
        <w:rPr>
          <w:lang w:val="sv-SE"/>
        </w:rPr>
        <w:t>.</w:t>
      </w:r>
    </w:p>
  </w:footnote>
  <w:footnote w:id="62">
    <w:p w14:paraId="5CB722D4" w14:textId="674F39A0" w:rsidR="001F1738" w:rsidRPr="00EF5A88" w:rsidRDefault="001F1738" w:rsidP="00003506">
      <w:pPr>
        <w:pStyle w:val="FootnoteText"/>
        <w:spacing w:line="240" w:lineRule="auto"/>
        <w:contextualSpacing/>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Unionens civilskyddsmekanism omfattar både medlemsstater och tio deltagande stater utanför EU.</w:t>
      </w:r>
    </w:p>
  </w:footnote>
  <w:footnote w:id="63">
    <w:p w14:paraId="78C009C9" w14:textId="5BE06753" w:rsidR="001F1738" w:rsidRPr="00EF5A88" w:rsidRDefault="001F1738" w:rsidP="00003506">
      <w:pPr>
        <w:pStyle w:val="FootnoteText"/>
        <w:spacing w:line="240" w:lineRule="auto"/>
        <w:contextualSpacing/>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SWD(2020) 3 final.</w:t>
      </w:r>
    </w:p>
  </w:footnote>
  <w:footnote w:id="64">
    <w:p w14:paraId="33D352B3" w14:textId="7067823F" w:rsidR="00015AC9" w:rsidRPr="00EF5A88" w:rsidRDefault="00015AC9" w:rsidP="00003506">
      <w:pPr>
        <w:spacing w:after="0" w:line="240" w:lineRule="auto"/>
        <w:contextualSpacing/>
        <w:jc w:val="both"/>
        <w:rPr>
          <w:rFonts w:ascii="Times New Roman" w:hAnsi="Times New Roman" w:cs="Times New Roman"/>
          <w:sz w:val="20"/>
          <w:lang w:val="sv-SE"/>
        </w:rPr>
      </w:pPr>
      <w:r>
        <w:rPr>
          <w:rStyle w:val="FootnoteReference"/>
          <w:rFonts w:ascii="Times New Roman" w:hAnsi="Times New Roman" w:cs="Times New Roman"/>
          <w:sz w:val="20"/>
        </w:rPr>
        <w:footnoteRef/>
      </w:r>
      <w:r w:rsidRPr="00EF5A88">
        <w:rPr>
          <w:lang w:val="sv-SE"/>
        </w:rPr>
        <w:t xml:space="preserve"> </w:t>
      </w:r>
      <w:r w:rsidRPr="00EF5A88">
        <w:rPr>
          <w:rFonts w:ascii="Times New Roman" w:hAnsi="Times New Roman"/>
          <w:sz w:val="20"/>
          <w:lang w:val="sv-SE"/>
        </w:rPr>
        <w:t xml:space="preserve">EU-omfattande katastrofscenarier är ett av flaggskeppsinitiativen i kommissionens mål för resiliens vid katastrofer som infördes i februari 2023: </w:t>
      </w:r>
      <w:hyperlink r:id="rId47" w:history="1">
        <w:r w:rsidRPr="00EF5A88">
          <w:rPr>
            <w:rStyle w:val="Hyperlink"/>
            <w:rFonts w:ascii="Times New Roman" w:hAnsi="Times New Roman"/>
            <w:sz w:val="20"/>
            <w:lang w:val="sv-SE"/>
          </w:rPr>
          <w:t>https://civil-protection-humanitarian-aid.ec.europa.eu/what/civil-protection/european-disaster-risk-management/european-disaster-resilience-goals_en</w:t>
        </w:r>
      </w:hyperlink>
      <w:r w:rsidRPr="00EF5A88">
        <w:rPr>
          <w:rFonts w:ascii="Times New Roman" w:hAnsi="Times New Roman"/>
          <w:sz w:val="20"/>
          <w:lang w:val="sv-SE"/>
        </w:rPr>
        <w:t>.</w:t>
      </w:r>
    </w:p>
  </w:footnote>
  <w:footnote w:id="65">
    <w:p w14:paraId="2F3474A2" w14:textId="1500A07B" w:rsidR="007D4B14" w:rsidRPr="00BC2F11" w:rsidRDefault="007D4B14" w:rsidP="00003506">
      <w:pPr>
        <w:pStyle w:val="FootnoteText"/>
        <w:spacing w:line="240" w:lineRule="auto"/>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COM(2022) 780 final.</w:t>
      </w:r>
    </w:p>
  </w:footnote>
  <w:footnote w:id="66">
    <w:p w14:paraId="2F3D3768" w14:textId="77777777" w:rsidR="00854E12" w:rsidRPr="00B769F6" w:rsidRDefault="00854E12" w:rsidP="00854E1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rPr>
          <w:t>https://health.ec.europa.eu/publications/hera-factsheet-health-union-identifying-top-3-priority-health-threats_en</w:t>
        </w:r>
      </w:hyperlink>
      <w:r>
        <w:t>.</w:t>
      </w:r>
    </w:p>
  </w:footnote>
  <w:footnote w:id="67">
    <w:p w14:paraId="2BD71B1D" w14:textId="4AE8B8BD" w:rsidR="001F1738" w:rsidRPr="00BC2F11" w:rsidRDefault="001F1738" w:rsidP="00BC2F11">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9" w:anchor="ensuringtheavailabilityofsuppliesandequipment" w:history="1">
        <w:r>
          <w:rPr>
            <w:rStyle w:val="Hyperlink"/>
            <w:rFonts w:ascii="Times New Roman" w:hAnsi="Times New Roman"/>
          </w:rPr>
          <w:t>https://ec.europa.eu/info/live-work-travel-eu/coronavirus-response/public-health_sv</w:t>
        </w:r>
      </w:hyperlink>
      <w:r>
        <w:t>.</w:t>
      </w:r>
    </w:p>
  </w:footnote>
  <w:footnote w:id="68">
    <w:p w14:paraId="7637FDC6" w14:textId="35FCAB75" w:rsidR="001F1738" w:rsidRPr="00FC03C1" w:rsidRDefault="001F1738" w:rsidP="00B769F6">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Se </w:t>
      </w:r>
      <w:r>
        <w:rPr>
          <w:rFonts w:ascii="Times New Roman" w:hAnsi="Times New Roman"/>
          <w:i/>
          <w:iCs/>
        </w:rPr>
        <w:t>Surveillance during the COVID-19 epidemic and other epidemics:</w:t>
      </w:r>
      <w:r>
        <w:rPr>
          <w:rFonts w:ascii="Times New Roman" w:hAnsi="Times New Roman"/>
        </w:rPr>
        <w:t xml:space="preserve"> </w:t>
      </w:r>
      <w:r>
        <w:rPr>
          <w:rFonts w:ascii="Times New Roman" w:hAnsi="Times New Roman"/>
          <w:i/>
          <w:iCs/>
        </w:rPr>
        <w:t>lessons learnt</w:t>
      </w:r>
      <w:r>
        <w:rPr>
          <w:rFonts w:ascii="Times New Roman" w:hAnsi="Times New Roman"/>
        </w:rPr>
        <w:t xml:space="preserve">, </w:t>
      </w:r>
      <w:hyperlink r:id="rId50" w:history="1">
        <w:r>
          <w:rPr>
            <w:rStyle w:val="Hyperlink"/>
            <w:rFonts w:ascii="Times New Roman" w:hAnsi="Times New Roman"/>
          </w:rPr>
          <w:t>https://www.nivel.nl/en/project/1920</w:t>
        </w:r>
      </w:hyperlink>
      <w:r>
        <w:rPr>
          <w:rFonts w:ascii="Times New Roman" w:hAnsi="Times New Roman"/>
        </w:rPr>
        <w:t>.</w:t>
      </w:r>
    </w:p>
  </w:footnote>
  <w:footnote w:id="69">
    <w:p w14:paraId="73E4B9A9" w14:textId="0E07505C" w:rsidR="00C5325C" w:rsidRPr="00003506" w:rsidRDefault="00C5325C" w:rsidP="00003506">
      <w:pPr>
        <w:autoSpaceDE w:val="0"/>
        <w:autoSpaceDN w:val="0"/>
        <w:spacing w:after="0" w:line="240" w:lineRule="auto"/>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51" w:history="1">
        <w:r>
          <w:rPr>
            <w:rStyle w:val="Hyperlink"/>
            <w:rFonts w:ascii="Times New Roman" w:hAnsi="Times New Roman"/>
            <w:sz w:val="20"/>
          </w:rPr>
          <w:t>https://health.ec.europa.eu/health-security-and-infectious-diseases/surveillance-and-early-warning/eu-reference-laboratories-public-health-calls-application_en</w:t>
        </w:r>
      </w:hyperlink>
      <w:r>
        <w:t>.</w:t>
      </w:r>
    </w:p>
  </w:footnote>
  <w:footnote w:id="70">
    <w:p w14:paraId="5D0F97C1" w14:textId="60CF78CB" w:rsidR="001F1738" w:rsidRPr="00003506" w:rsidRDefault="001F1738" w:rsidP="00003506">
      <w:pPr>
        <w:pStyle w:val="FootnoteText"/>
        <w:spacing w:line="240" w:lineRule="auto"/>
      </w:pPr>
      <w:r>
        <w:rPr>
          <w:rStyle w:val="FootnoteReference"/>
          <w:rFonts w:ascii="Times New Roman" w:hAnsi="Times New Roman" w:cs="Times New Roman"/>
        </w:rPr>
        <w:footnoteRef/>
      </w:r>
      <w:r>
        <w:rPr>
          <w:rFonts w:ascii="Times New Roman" w:hAnsi="Times New Roman"/>
        </w:rPr>
        <w:t xml:space="preserve"> </w:t>
      </w:r>
      <w:r>
        <w:t xml:space="preserve"> </w:t>
      </w:r>
      <w:hyperlink r:id="rId52" w:history="1">
        <w:r>
          <w:rPr>
            <w:rStyle w:val="Hyperlink"/>
            <w:rFonts w:ascii="Times New Roman" w:hAnsi="Times New Roman"/>
          </w:rPr>
          <w:t>https://www.pasteur.fr/en/home/institut-pasteur/institut-pasteur-throughout-world/international-research-programs/durable-large-scale-project-emerging-diseases-within-eu4health-european-program</w:t>
        </w:r>
      </w:hyperlink>
      <w:r>
        <w:t>.</w:t>
      </w:r>
      <w:r>
        <w:rPr>
          <w:rStyle w:val="Hyperlink"/>
          <w:rFonts w:ascii="Times New Roman" w:hAnsi="Times New Roman"/>
        </w:rPr>
        <w:t xml:space="preserve"> </w:t>
      </w:r>
    </w:p>
  </w:footnote>
  <w:footnote w:id="71">
    <w:p w14:paraId="3A3DA6A6" w14:textId="533DB1C5" w:rsidR="001F1738" w:rsidRPr="00003506" w:rsidRDefault="001F1738" w:rsidP="00003506">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3" w:history="1">
        <w:r>
          <w:rPr>
            <w:rStyle w:val="Hyperlink"/>
            <w:rFonts w:ascii="Times New Roman" w:hAnsi="Times New Roman"/>
          </w:rPr>
          <w:t>https://www.ecdc.europa.eu/en/publications-data/epipulse-european-surveillance-portal-infectious-diseases</w:t>
        </w:r>
      </w:hyperlink>
      <w:r>
        <w:t>.</w:t>
      </w:r>
    </w:p>
  </w:footnote>
  <w:footnote w:id="72">
    <w:p w14:paraId="6A2EF87B" w14:textId="00D9BD32" w:rsidR="001F1738" w:rsidRPr="00003506" w:rsidRDefault="001F1738" w:rsidP="00003506">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history="1">
        <w:r>
          <w:rPr>
            <w:rStyle w:val="Hyperlink"/>
            <w:rFonts w:ascii="Times New Roman" w:hAnsi="Times New Roman"/>
          </w:rPr>
          <w:t>https://www.ecdc.europa.eu/en/publications-data/european-surveillance-system-tessy</w:t>
        </w:r>
      </w:hyperlink>
      <w:r>
        <w:t>.</w:t>
      </w:r>
      <w:r>
        <w:rPr>
          <w:rFonts w:ascii="Times New Roman" w:hAnsi="Times New Roman"/>
        </w:rPr>
        <w:t xml:space="preserve"> </w:t>
      </w:r>
    </w:p>
  </w:footnote>
  <w:footnote w:id="73">
    <w:p w14:paraId="26FF8025" w14:textId="3C3BC67C" w:rsidR="001F1738" w:rsidRPr="00003506" w:rsidRDefault="001F1738" w:rsidP="00003506">
      <w:pPr>
        <w:pStyle w:val="FootnoteText"/>
        <w:shd w:val="clear" w:color="auto" w:fill="FFFFFF" w:themeFill="background1"/>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5" w:history="1">
        <w:r>
          <w:rPr>
            <w:rStyle w:val="Hyperlink"/>
            <w:rFonts w:ascii="Times New Roman" w:hAnsi="Times New Roman"/>
          </w:rPr>
          <w:t>https://www.who.int/initiatives/eios</w:t>
        </w:r>
      </w:hyperlink>
      <w:r>
        <w:t>.</w:t>
      </w:r>
      <w:r>
        <w:rPr>
          <w:rFonts w:ascii="Times New Roman" w:hAnsi="Times New Roman"/>
          <w:color w:val="2B579A"/>
          <w:shd w:val="clear" w:color="auto" w:fill="E6E6E6"/>
        </w:rPr>
        <w:t xml:space="preserve"> </w:t>
      </w:r>
    </w:p>
  </w:footnote>
  <w:footnote w:id="74">
    <w:p w14:paraId="32E3CFC7" w14:textId="5C3A5A0A" w:rsidR="001F1738" w:rsidRPr="00A02841" w:rsidRDefault="001F1738" w:rsidP="00003506">
      <w:pPr>
        <w:pStyle w:val="FootnoteText"/>
        <w:shd w:val="clear" w:color="auto" w:fill="FFFFFF" w:themeFill="background1"/>
        <w:spacing w:line="240" w:lineRule="auto"/>
      </w:pPr>
      <w:r>
        <w:rPr>
          <w:rStyle w:val="FootnoteReference"/>
          <w:rFonts w:ascii="Times New Roman" w:hAnsi="Times New Roman" w:cs="Times New Roman"/>
        </w:rPr>
        <w:footnoteRef/>
      </w:r>
      <w:r>
        <w:rPr>
          <w:rFonts w:ascii="Times New Roman" w:hAnsi="Times New Roman"/>
        </w:rPr>
        <w:t xml:space="preserve"> </w:t>
      </w:r>
      <w:hyperlink r:id="rId56" w:history="1">
        <w:r>
          <w:rPr>
            <w:rStyle w:val="Hyperlink"/>
            <w:rFonts w:ascii="Times New Roman" w:hAnsi="Times New Roman"/>
          </w:rPr>
          <w:t>https://health.ec.europa.eu/latest-updates/hera-it-system-athina-collect-intelligence-and-assess-threats-call-tender-published-2023-04-25_en</w:t>
        </w:r>
      </w:hyperlink>
      <w:r>
        <w:t>.</w:t>
      </w:r>
      <w:r>
        <w:rPr>
          <w:color w:val="2B579A"/>
          <w:shd w:val="clear" w:color="auto" w:fill="E6E6E6"/>
        </w:rPr>
        <w:t xml:space="preserve"> </w:t>
      </w:r>
    </w:p>
  </w:footnote>
  <w:footnote w:id="75">
    <w:p w14:paraId="353AD981" w14:textId="1C54A971" w:rsidR="00E462D4" w:rsidRPr="00EF5A88" w:rsidRDefault="00E462D4" w:rsidP="00E462D4">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57" w:history="1">
        <w:r w:rsidRPr="00EF5A88">
          <w:rPr>
            <w:rStyle w:val="Hyperlink"/>
            <w:rFonts w:ascii="Times New Roman" w:hAnsi="Times New Roman"/>
            <w:lang w:val="sv-SE"/>
          </w:rPr>
          <w:t>https://united4surveillance.eu/</w:t>
        </w:r>
      </w:hyperlink>
      <w:r w:rsidRPr="00EF5A88">
        <w:rPr>
          <w:lang w:val="sv-SE"/>
        </w:rPr>
        <w:t>.</w:t>
      </w:r>
      <w:r w:rsidRPr="00EF5A88">
        <w:rPr>
          <w:rFonts w:ascii="Times New Roman" w:hAnsi="Times New Roman"/>
          <w:lang w:val="sv-SE"/>
        </w:rPr>
        <w:t xml:space="preserve"> </w:t>
      </w:r>
    </w:p>
  </w:footnote>
  <w:footnote w:id="76">
    <w:p w14:paraId="62D103C8" w14:textId="7D261F8A"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CP-g-22-04.01. Bidragen förväntas undertecknas i slutet av 2023.</w:t>
      </w:r>
    </w:p>
  </w:footnote>
  <w:footnote w:id="77">
    <w:p w14:paraId="078B0BD1" w14:textId="35DC2679"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58" w:history="1">
        <w:r w:rsidRPr="00EF5A88">
          <w:rPr>
            <w:rStyle w:val="Hyperlink"/>
            <w:rFonts w:ascii="Times New Roman" w:hAnsi="Times New Roman"/>
            <w:lang w:val="sv-SE"/>
          </w:rPr>
          <w:t>https://mood-h2020.eu/</w:t>
        </w:r>
      </w:hyperlink>
      <w:r w:rsidRPr="00EF5A88">
        <w:rPr>
          <w:lang w:val="sv-SE"/>
        </w:rPr>
        <w:t>.</w:t>
      </w:r>
      <w:r w:rsidRPr="00EF5A88">
        <w:rPr>
          <w:rFonts w:ascii="Times New Roman" w:hAnsi="Times New Roman"/>
          <w:lang w:val="sv-SE"/>
        </w:rPr>
        <w:t xml:space="preserve"> </w:t>
      </w:r>
    </w:p>
  </w:footnote>
  <w:footnote w:id="78">
    <w:p w14:paraId="7C510393" w14:textId="59BCC599"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59" w:history="1">
        <w:r w:rsidRPr="00EF5A88">
          <w:rPr>
            <w:rStyle w:val="Hyperlink"/>
            <w:rFonts w:ascii="Times New Roman" w:hAnsi="Times New Roman"/>
            <w:lang w:val="sv-SE"/>
          </w:rPr>
          <w:t>https://www.veo-europe.eu/</w:t>
        </w:r>
      </w:hyperlink>
      <w:r w:rsidRPr="00EF5A88">
        <w:rPr>
          <w:lang w:val="sv-SE"/>
        </w:rPr>
        <w:t>.</w:t>
      </w:r>
    </w:p>
  </w:footnote>
  <w:footnote w:id="79">
    <w:p w14:paraId="4B031683" w14:textId="39F57006" w:rsidR="001F1738" w:rsidRPr="00EF5A88" w:rsidRDefault="001F1738"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60" w:history="1">
        <w:r w:rsidRPr="00EF5A88">
          <w:rPr>
            <w:rStyle w:val="Hyperlink"/>
            <w:rFonts w:ascii="Times New Roman" w:hAnsi="Times New Roman"/>
            <w:lang w:val="sv-SE"/>
          </w:rPr>
          <w:t>https://www.phiri.eu/</w:t>
        </w:r>
      </w:hyperlink>
      <w:r w:rsidRPr="00EF5A88">
        <w:rPr>
          <w:lang w:val="sv-SE"/>
        </w:rPr>
        <w:t>.</w:t>
      </w:r>
      <w:r w:rsidRPr="00EF5A88">
        <w:rPr>
          <w:rFonts w:ascii="Times New Roman" w:hAnsi="Times New Roman"/>
          <w:lang w:val="sv-SE"/>
        </w:rPr>
        <w:t xml:space="preserve"> </w:t>
      </w:r>
    </w:p>
  </w:footnote>
  <w:footnote w:id="80">
    <w:p w14:paraId="668F56F4" w14:textId="0B2E27A0" w:rsidR="00E66B2E" w:rsidRPr="00EF5A88" w:rsidRDefault="00E66B2E"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Europaparlamentets och Rådets beslut nr 2119/98/EG av den 24 september 1998 om att bilda ett nätverk för epidemiologisk övervakning och kontroll av smittsamma sjukdomar i gemenskapen (EGT L 268, 3.10.1998, s. 1) (</w:t>
      </w:r>
      <w:hyperlink r:id="rId61" w:history="1">
        <w:r w:rsidRPr="00EF5A88">
          <w:rPr>
            <w:rStyle w:val="Hyperlink"/>
            <w:rFonts w:ascii="Times New Roman" w:hAnsi="Times New Roman"/>
            <w:lang w:val="sv-SE"/>
          </w:rPr>
          <w:t>https://eur-lex.europa.eu/eli/dec/1998/2119/oj</w:t>
        </w:r>
      </w:hyperlink>
      <w:r w:rsidRPr="00EF5A88">
        <w:rPr>
          <w:rFonts w:ascii="Times New Roman" w:hAnsi="Times New Roman"/>
          <w:lang w:val="sv-SE"/>
        </w:rPr>
        <w:t xml:space="preserve">). </w:t>
      </w:r>
    </w:p>
  </w:footnote>
  <w:footnote w:id="81">
    <w:p w14:paraId="3F813258" w14:textId="77777777" w:rsidR="00072774" w:rsidRPr="00EF5A88" w:rsidRDefault="00072774" w:rsidP="00BC2F1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Särskilt kontrakt med Alboris Consortium enligt BEACON FWC DIGIT/2020/OP/0005 – BEACON Lot 2.</w:t>
      </w:r>
    </w:p>
  </w:footnote>
  <w:footnote w:id="82">
    <w:p w14:paraId="2A411CFB" w14:textId="0D918387" w:rsidR="00BB198E" w:rsidRPr="00EF5A88" w:rsidRDefault="00BB198E" w:rsidP="00C6323B">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Inrättades genom de två genomförandeakter som antogs av kommissionen i </w:t>
      </w:r>
      <w:hyperlink r:id="rId62" w:history="1">
        <w:r w:rsidRPr="00EF5A88">
          <w:rPr>
            <w:rFonts w:ascii="Times New Roman" w:hAnsi="Times New Roman"/>
            <w:lang w:val="sv-SE"/>
          </w:rPr>
          <w:t>maj</w:t>
        </w:r>
      </w:hyperlink>
      <w:r w:rsidRPr="00EF5A88">
        <w:rPr>
          <w:rFonts w:ascii="Times New Roman" w:hAnsi="Times New Roman"/>
          <w:lang w:val="sv-SE"/>
        </w:rPr>
        <w:t xml:space="preserve"> (C/2021/3921) och </w:t>
      </w:r>
      <w:hyperlink r:id="rId63" w:anchor=":~:text=Implementing%20Decision%20%28EU%29%202021%2F858%20defines%20in%20Annex%20I,effective%20cross-border%20contact%20tracing%20based%20on%20PLF%20data." w:history="1">
        <w:r w:rsidRPr="00EF5A88">
          <w:rPr>
            <w:rFonts w:ascii="Times New Roman" w:hAnsi="Times New Roman"/>
            <w:lang w:val="sv-SE"/>
          </w:rPr>
          <w:t>juli</w:t>
        </w:r>
      </w:hyperlink>
      <w:r w:rsidRPr="00EF5A88">
        <w:rPr>
          <w:rFonts w:ascii="Times New Roman" w:hAnsi="Times New Roman"/>
          <w:lang w:val="sv-SE"/>
        </w:rPr>
        <w:t xml:space="preserve"> 2021 (C/2021/5595).</w:t>
      </w:r>
    </w:p>
  </w:footnote>
  <w:footnote w:id="83">
    <w:p w14:paraId="1F019756" w14:textId="77777777" w:rsidR="00BB198E" w:rsidRPr="00EF5A88" w:rsidRDefault="00BB198E" w:rsidP="00C6323B">
      <w:pPr>
        <w:pStyle w:val="FootnoteText"/>
        <w:jc w:val="both"/>
        <w:rPr>
          <w:lang w:val="sv-SE"/>
        </w:rPr>
      </w:pPr>
      <w:r>
        <w:rPr>
          <w:rStyle w:val="FootnoteReference"/>
          <w:rFonts w:ascii="Times New Roman" w:hAnsi="Times New Roman" w:cs="Times New Roman"/>
        </w:rPr>
        <w:footnoteRef/>
      </w:r>
      <w:r w:rsidRPr="00EF5A88">
        <w:rPr>
          <w:rFonts w:ascii="Times New Roman" w:hAnsi="Times New Roman"/>
          <w:lang w:val="sv-SE"/>
        </w:rPr>
        <w:t xml:space="preserve"> Som mest sammankopplade ePLF fem medlemsstater: Italien, Malta, Slovenien, Spanien och – under en kort period – Frankrike. Ändå var den faktiska användningen mycket begränsad. Endast 256 meddelanden utväxlades mellan slutet av 2021 och början av 2022.</w:t>
      </w:r>
    </w:p>
  </w:footnote>
  <w:footnote w:id="84">
    <w:p w14:paraId="1B178307" w14:textId="6DAEDF0F" w:rsidR="00BB198E" w:rsidRPr="00EF5A88" w:rsidRDefault="00BB198E" w:rsidP="00C6323B">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Till följd av denna insats skulle medlemsstater som är anslutna till ePLF tekniskt sett kunna leverera meddelanden till medlemsstater med hjälp av funktionen för selektiv underrättelse inom systemet för tidig varning och reaktion. Arbetet pågår fortfarande inom ECDC för att ge medlemsstater som använder ePLF möjlighet att ta emot meddelanden som skickas via den selektiva utbytesfunktionen i systemet för tidig varning och reaktion om systemet skulle aktiveras igen under en framtida kris.</w:t>
      </w:r>
    </w:p>
  </w:footnote>
  <w:footnote w:id="85">
    <w:p w14:paraId="50838006" w14:textId="4DAA7484"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64" w:history="1">
        <w:r w:rsidRPr="00EF5A88">
          <w:rPr>
            <w:rStyle w:val="Hyperlink"/>
            <w:rFonts w:ascii="Times New Roman" w:hAnsi="Times New Roman"/>
            <w:lang w:val="sv-SE"/>
          </w:rPr>
          <w:t>https://health.ec.europa.eu/health-security-and-infectious-diseases/crisis-management/list-authorities-represented-health-security-committee/health-security-committee-reports_en</w:t>
        </w:r>
      </w:hyperlink>
      <w:r w:rsidRPr="00EF5A88">
        <w:rPr>
          <w:lang w:val="sv-SE"/>
        </w:rPr>
        <w:t>.</w:t>
      </w:r>
    </w:p>
  </w:footnote>
  <w:footnote w:id="86">
    <w:p w14:paraId="18EB775F" w14:textId="296A42DB" w:rsidR="00542A7E" w:rsidRPr="00EF5A88" w:rsidRDefault="00542A7E" w:rsidP="00003506">
      <w:pPr>
        <w:spacing w:after="0" w:line="240" w:lineRule="auto"/>
        <w:rPr>
          <w:rFonts w:ascii="Times New Roman" w:hAnsi="Times New Roman" w:cs="Times New Roman"/>
          <w:sz w:val="20"/>
          <w:lang w:val="sv-SE"/>
        </w:rPr>
      </w:pPr>
      <w:r>
        <w:rPr>
          <w:rStyle w:val="FootnoteReference"/>
        </w:rPr>
        <w:footnoteRef/>
      </w:r>
      <w:r w:rsidRPr="00EF5A88">
        <w:rPr>
          <w:lang w:val="sv-SE"/>
        </w:rPr>
        <w:t xml:space="preserve"> </w:t>
      </w:r>
      <w:hyperlink r:id="rId65" w:history="1">
        <w:r w:rsidRPr="00EF5A88">
          <w:rPr>
            <w:rStyle w:val="Hyperlink"/>
            <w:rFonts w:ascii="Times New Roman" w:hAnsi="Times New Roman"/>
            <w:sz w:val="20"/>
            <w:lang w:val="sv-SE"/>
          </w:rPr>
          <w:t>https://health.ec.europa.eu/publications/preparing-winter-20232024-address-respiratory-infections-caused-sars-cov-2-and-other-viruses_en</w:t>
        </w:r>
      </w:hyperlink>
      <w:r w:rsidRPr="00EF5A88">
        <w:rPr>
          <w:lang w:val="sv-SE"/>
        </w:rPr>
        <w:t>.</w:t>
      </w:r>
      <w:r w:rsidRPr="00EF5A88">
        <w:rPr>
          <w:rFonts w:ascii="Times New Roman" w:hAnsi="Times New Roman"/>
          <w:sz w:val="20"/>
          <w:lang w:val="sv-SE"/>
        </w:rPr>
        <w:t xml:space="preserve"> </w:t>
      </w:r>
    </w:p>
  </w:footnote>
  <w:footnote w:id="87">
    <w:p w14:paraId="44FB809F" w14:textId="04366634" w:rsidR="001F1738" w:rsidRPr="00542A7E" w:rsidRDefault="001F1738" w:rsidP="00542A7E">
      <w:pPr>
        <w:pStyle w:val="FootnoteText"/>
        <w:spacing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0" w:name="_Hlk150934385"/>
      <w:r>
        <w:rPr>
          <w:rFonts w:ascii="Times New Roman" w:hAnsi="Times New Roman"/>
        </w:rPr>
        <w:t xml:space="preserve">Commission Decision of 11.9.2023 setting up the group of experts ʻAdvisory Committee on public health emergenciesʼ (C(2023) 6017) </w:t>
      </w:r>
      <w:bookmarkEnd w:id="20"/>
      <w:r>
        <w:rPr>
          <w:rFonts w:ascii="Times New Roman" w:hAnsi="Times New Roman"/>
        </w:rPr>
        <w:t>(</w:t>
      </w:r>
      <w:hyperlink r:id="rId66" w:history="1">
        <w:r>
          <w:rPr>
            <w:rStyle w:val="Hyperlink"/>
            <w:rFonts w:ascii="Times New Roman" w:hAnsi="Times New Roman"/>
          </w:rPr>
          <w:t>https://ec.europa.eu/commission/presscorner/detail/en/mex_23_4442</w:t>
        </w:r>
      </w:hyperlink>
      <w:r>
        <w:rPr>
          <w:rFonts w:ascii="Times New Roman" w:hAnsi="Times New Roman"/>
        </w:rPr>
        <w:t xml:space="preserve">). </w:t>
      </w:r>
    </w:p>
  </w:footnote>
  <w:footnote w:id="88">
    <w:p w14:paraId="7F821C97" w14:textId="7265A7EC"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Europaparlamentets och rådets förordning (EU) 2022/123 av den 25 januari 2022</w:t>
      </w:r>
      <w:r w:rsidRPr="00EF5A88">
        <w:rPr>
          <w:rFonts w:ascii="Times New Roman" w:hAnsi="Times New Roman"/>
          <w:color w:val="333333"/>
          <w:shd w:val="clear" w:color="auto" w:fill="FFFFFF"/>
          <w:lang w:val="sv-SE"/>
        </w:rPr>
        <w:t xml:space="preserve"> om en förstärkt roll för Europeiska läkemedelsmyndigheten vid krisberedskap och krishantering avseende läkemedel och medicintekniska produkter (EUT L 20, 31.1.2022, s. 1)</w:t>
      </w:r>
      <w:r w:rsidRPr="00EF5A88">
        <w:rPr>
          <w:rFonts w:ascii="Times New Roman" w:hAnsi="Times New Roman"/>
          <w:lang w:val="sv-SE"/>
        </w:rPr>
        <w:t xml:space="preserve"> (</w:t>
      </w:r>
      <w:hyperlink r:id="rId67" w:history="1">
        <w:r w:rsidRPr="00EF5A88">
          <w:rPr>
            <w:rStyle w:val="Hyperlink"/>
            <w:rFonts w:ascii="Times New Roman" w:hAnsi="Times New Roman"/>
            <w:lang w:val="sv-SE"/>
          </w:rPr>
          <w:t>https://eur-lex.europa.eu/legal-content/SV/TXT/?uri=CELEX%3A32022R0123</w:t>
        </w:r>
      </w:hyperlink>
      <w:r w:rsidRPr="00EF5A88">
        <w:rPr>
          <w:rFonts w:ascii="Times New Roman" w:hAnsi="Times New Roman"/>
          <w:lang w:val="sv-SE"/>
        </w:rPr>
        <w:t>).</w:t>
      </w:r>
    </w:p>
  </w:footnote>
  <w:footnote w:id="89">
    <w:p w14:paraId="17DBF08E" w14:textId="49F41535"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lang w:val="sv-SE"/>
        </w:rPr>
        <w:t xml:space="preserve"> </w:t>
      </w:r>
      <w:r w:rsidRPr="00EF5A88">
        <w:rPr>
          <w:rFonts w:ascii="Times New Roman" w:hAnsi="Times New Roman"/>
          <w:lang w:val="sv-SE"/>
        </w:rPr>
        <w:t>Europaparlamentets och rådets direktiv (EU) 2022/2557 om kritiska entiteters motståndskraft och om upphävande av rådets direktiv 2008/114/EG (EUT L 333, 27.12.2022, s. 164) (</w:t>
      </w:r>
      <w:hyperlink r:id="rId68" w:history="1">
        <w:r w:rsidRPr="00EF5A88">
          <w:rPr>
            <w:rStyle w:val="Hyperlink"/>
            <w:rFonts w:ascii="Times New Roman" w:hAnsi="Times New Roman"/>
            <w:lang w:val="sv-SE"/>
          </w:rPr>
          <w:t>https://eur-lex.europa.eu/legal-content/SV/TXT/?uri=CELEX%3A32022L2557&amp;qid=1699961915719</w:t>
        </w:r>
      </w:hyperlink>
      <w:r w:rsidRPr="00EF5A88">
        <w:rPr>
          <w:rFonts w:ascii="Times New Roman" w:hAnsi="Times New Roman"/>
          <w:lang w:val="sv-SE"/>
        </w:rPr>
        <w:t>).</w:t>
      </w:r>
    </w:p>
  </w:footnote>
  <w:footnote w:id="90">
    <w:p w14:paraId="6BA84103" w14:textId="5B633DB2"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Rådets direktiv 2008/114/EG av den 8 december 2008 om identifiering av, och klassificering som, europeisk kritisk infrastruktur och bedömning av behovet att stärka skyddet av denna (EUT L 345, 23.12.2008, s. 75) (</w:t>
      </w:r>
      <w:hyperlink r:id="rId69" w:history="1">
        <w:r w:rsidRPr="00EF5A88">
          <w:rPr>
            <w:rStyle w:val="Hyperlink"/>
            <w:rFonts w:ascii="Times New Roman" w:hAnsi="Times New Roman"/>
            <w:lang w:val="sv-SE"/>
          </w:rPr>
          <w:t>https://eur-lex.europa.eu/legal-content/SV/TXT/?uri=CELEX%3A32008L0114&amp;qid=1699961985226</w:t>
        </w:r>
      </w:hyperlink>
      <w:r w:rsidRPr="00EF5A88">
        <w:rPr>
          <w:rFonts w:ascii="Times New Roman" w:hAnsi="Times New Roman"/>
          <w:lang w:val="sv-SE"/>
        </w:rPr>
        <w:t>).</w:t>
      </w:r>
    </w:p>
  </w:footnote>
  <w:footnote w:id="91">
    <w:p w14:paraId="1890CDB6" w14:textId="3F306FC7" w:rsidR="00DE1D36" w:rsidRPr="00EF5A88" w:rsidRDefault="00DE1D36">
      <w:pPr>
        <w:pStyle w:val="FootnoteText"/>
        <w:rPr>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0" w:history="1">
        <w:r w:rsidRPr="00EF5A88">
          <w:rPr>
            <w:rStyle w:val="Hyperlink"/>
            <w:rFonts w:ascii="Times New Roman" w:hAnsi="Times New Roman"/>
            <w:lang w:val="sv-SE"/>
          </w:rPr>
          <w:t>https://eur-lex.europa.eu/legal-content/SV/TXT/?uri=CELEX:52023DC0526</w:t>
        </w:r>
      </w:hyperlink>
      <w:r w:rsidRPr="00EF5A88">
        <w:rPr>
          <w:lang w:val="sv-SE"/>
        </w:rPr>
        <w:t xml:space="preserve">. </w:t>
      </w:r>
    </w:p>
  </w:footnote>
  <w:footnote w:id="92">
    <w:p w14:paraId="30D31098" w14:textId="337F5396"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1" w:history="1">
        <w:r w:rsidRPr="00EF5A88">
          <w:rPr>
            <w:rStyle w:val="Hyperlink"/>
            <w:rFonts w:ascii="Times New Roman" w:hAnsi="Times New Roman"/>
            <w:lang w:val="sv-SE"/>
          </w:rPr>
          <w:t>https://eur-lex.europa.eu/legal-content/SV/TXT/?uri=CELEX:32022R0123</w:t>
        </w:r>
      </w:hyperlink>
      <w:r w:rsidRPr="00EF5A88">
        <w:rPr>
          <w:lang w:val="sv-SE"/>
        </w:rPr>
        <w:t>.</w:t>
      </w:r>
      <w:r w:rsidRPr="00EF5A88">
        <w:rPr>
          <w:rFonts w:ascii="Times New Roman" w:hAnsi="Times New Roman"/>
          <w:lang w:val="sv-SE"/>
        </w:rPr>
        <w:t xml:space="preserve"> </w:t>
      </w:r>
    </w:p>
  </w:footnote>
  <w:footnote w:id="93">
    <w:p w14:paraId="2C305E7A" w14:textId="36B67F01"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2" w:history="1">
        <w:r w:rsidRPr="00EF5A88">
          <w:rPr>
            <w:rStyle w:val="Hyperlink"/>
            <w:rFonts w:ascii="Times New Roman" w:hAnsi="Times New Roman"/>
            <w:lang w:val="sv-SE"/>
          </w:rPr>
          <w:t>https://www.ecdc.europa.eu/en/publications-data/conducting-after-action-reviews-public-health-response-covid-19-update-0</w:t>
        </w:r>
      </w:hyperlink>
      <w:r w:rsidRPr="00EF5A88">
        <w:rPr>
          <w:lang w:val="sv-SE"/>
        </w:rPr>
        <w:t>.</w:t>
      </w:r>
      <w:r w:rsidRPr="00EF5A88">
        <w:rPr>
          <w:rFonts w:ascii="Times New Roman" w:hAnsi="Times New Roman"/>
          <w:lang w:val="sv-SE"/>
        </w:rPr>
        <w:t xml:space="preserve"> </w:t>
      </w:r>
    </w:p>
  </w:footnote>
  <w:footnote w:id="94">
    <w:p w14:paraId="1C4FCFC5" w14:textId="12331738" w:rsidR="001F1738" w:rsidRPr="00EF5A88" w:rsidRDefault="001F1738" w:rsidP="00881CF4">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3" w:history="1">
        <w:r w:rsidRPr="00EF5A88">
          <w:rPr>
            <w:rStyle w:val="Hyperlink"/>
            <w:rFonts w:ascii="Times New Roman" w:hAnsi="Times New Roman"/>
            <w:lang w:val="sv-SE"/>
          </w:rPr>
          <w:t>https://cohesiondata.ec.europa.eu/2021-2027-Categorisation/2021-2027-Finances-details-categorisation-multi-fu/hgyj-gyin</w:t>
        </w:r>
      </w:hyperlink>
      <w:r w:rsidRPr="00EF5A88">
        <w:rPr>
          <w:lang w:val="sv-SE"/>
        </w:rPr>
        <w:t>.</w:t>
      </w:r>
      <w:r w:rsidRPr="00EF5A88">
        <w:rPr>
          <w:rFonts w:ascii="Times New Roman" w:hAnsi="Times New Roman"/>
          <w:lang w:val="sv-SE"/>
        </w:rPr>
        <w:t xml:space="preserve"> </w:t>
      </w:r>
    </w:p>
  </w:footnote>
  <w:footnote w:id="95">
    <w:p w14:paraId="3CE2769C" w14:textId="4D0E6841"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4" w:history="1">
        <w:r w:rsidRPr="00EF5A88">
          <w:rPr>
            <w:rStyle w:val="Hyperlink"/>
            <w:rFonts w:ascii="Times New Roman" w:hAnsi="Times New Roman"/>
            <w:lang w:val="sv-SE"/>
          </w:rPr>
          <w:t>https://www.oecd-ilibrary.org/social-issues-migration-health/health-at-a-glance-europe-2022_507433b0-en;jsessionid=-ZyVma6ABAN0VaaG5paqz-epR3sPXjuLlFsJ5MXW.ip-10-240-5-108</w:t>
        </w:r>
      </w:hyperlink>
      <w:r w:rsidRPr="00EF5A88">
        <w:rPr>
          <w:lang w:val="sv-SE"/>
        </w:rPr>
        <w:t>.</w:t>
      </w:r>
      <w:r w:rsidRPr="00EF5A88">
        <w:rPr>
          <w:rFonts w:ascii="Times New Roman" w:hAnsi="Times New Roman"/>
          <w:lang w:val="sv-SE"/>
        </w:rPr>
        <w:t xml:space="preserve"> </w:t>
      </w:r>
    </w:p>
  </w:footnote>
  <w:footnote w:id="96">
    <w:p w14:paraId="5D5CD318" w14:textId="3CC26632"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5" w:history="1">
        <w:r w:rsidRPr="00EF5A88">
          <w:rPr>
            <w:rStyle w:val="Hyperlink"/>
            <w:rFonts w:ascii="Times New Roman" w:hAnsi="Times New Roman"/>
            <w:lang w:val="sv-SE"/>
          </w:rPr>
          <w:t>https://www.who.int/news/item/02-03-2022-covid-19-pandemic-triggers-25-increase-in-prevalence-of-anxiety-and-depression-worldwide</w:t>
        </w:r>
      </w:hyperlink>
      <w:r w:rsidRPr="00EF5A88">
        <w:rPr>
          <w:lang w:val="sv-SE"/>
        </w:rPr>
        <w:t>.</w:t>
      </w:r>
      <w:r w:rsidRPr="00EF5A88">
        <w:rPr>
          <w:rFonts w:ascii="Times New Roman" w:hAnsi="Times New Roman"/>
          <w:lang w:val="sv-SE"/>
        </w:rPr>
        <w:t xml:space="preserve"> </w:t>
      </w:r>
    </w:p>
  </w:footnote>
  <w:footnote w:id="97">
    <w:p w14:paraId="4D1B1C68" w14:textId="08D76B2D"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6" w:history="1">
        <w:r w:rsidRPr="00EF5A88">
          <w:rPr>
            <w:rStyle w:val="Hyperlink"/>
            <w:rFonts w:ascii="Times New Roman" w:hAnsi="Times New Roman"/>
            <w:lang w:val="sv-SE"/>
          </w:rPr>
          <w:t>https://commission.europa.eu/strategy-and-policy/priorities-2019-2024/promoting-our-european-way-life/european-health-union/comprehensive-approach-mental-health_sv</w:t>
        </w:r>
      </w:hyperlink>
      <w:r w:rsidRPr="00EF5A88">
        <w:rPr>
          <w:lang w:val="sv-SE"/>
        </w:rPr>
        <w:t>.</w:t>
      </w:r>
      <w:r w:rsidRPr="00EF5A88">
        <w:rPr>
          <w:rFonts w:ascii="Times New Roman" w:hAnsi="Times New Roman"/>
          <w:lang w:val="sv-SE"/>
        </w:rPr>
        <w:t xml:space="preserve"> </w:t>
      </w:r>
    </w:p>
  </w:footnote>
  <w:footnote w:id="98">
    <w:p w14:paraId="45DD5B19" w14:textId="4B375D1C" w:rsidR="001F1738" w:rsidRPr="00EF5A88" w:rsidRDefault="001F1738" w:rsidP="00881CF4">
      <w:pPr>
        <w:pStyle w:val="FootnoteText"/>
        <w:rPr>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7" w:history="1">
        <w:r w:rsidRPr="00EF5A88">
          <w:rPr>
            <w:rStyle w:val="Hyperlink"/>
            <w:rFonts w:ascii="Times New Roman" w:hAnsi="Times New Roman"/>
            <w:lang w:val="sv-SE"/>
          </w:rPr>
          <w:t>https://research-and-innovation.ec.europa.eu/funding/funding-opportunities/funding-programmes-and-open-calls/horizon-europe/european-partnerships-horizon-europe/health_en</w:t>
        </w:r>
      </w:hyperlink>
      <w:r w:rsidRPr="00EF5A88">
        <w:rPr>
          <w:lang w:val="sv-SE"/>
        </w:rPr>
        <w:t>.</w:t>
      </w:r>
      <w:r w:rsidRPr="00EF5A88">
        <w:rPr>
          <w:rFonts w:ascii="Times New Roman" w:hAnsi="Times New Roman"/>
          <w:lang w:val="sv-SE"/>
        </w:rPr>
        <w:t xml:space="preserve"> </w:t>
      </w:r>
    </w:p>
  </w:footnote>
  <w:footnote w:id="99">
    <w:p w14:paraId="3E0004D5" w14:textId="328409D4" w:rsidR="00627FF6" w:rsidRPr="00EF5A88" w:rsidRDefault="00627FF6">
      <w:pPr>
        <w:pStyle w:val="FootnoteText"/>
        <w:rPr>
          <w:rFonts w:ascii="Times New Roman" w:hAnsi="Times New Roman" w:cs="Times New Roman"/>
          <w:lang w:val="sv-SE"/>
        </w:rPr>
      </w:pPr>
      <w:r>
        <w:rPr>
          <w:rStyle w:val="FootnoteReference"/>
        </w:rPr>
        <w:footnoteRef/>
      </w:r>
      <w:r w:rsidRPr="00EF5A88">
        <w:rPr>
          <w:lang w:val="sv-SE"/>
        </w:rPr>
        <w:t xml:space="preserve"> </w:t>
      </w:r>
      <w:hyperlink r:id="rId78" w:history="1">
        <w:r w:rsidRPr="00EF5A88">
          <w:rPr>
            <w:rStyle w:val="Hyperlink"/>
            <w:rFonts w:ascii="Times New Roman" w:hAnsi="Times New Roman"/>
            <w:lang w:val="sv-SE"/>
          </w:rPr>
          <w:t>https://eur-lex.europa.eu/legal-content/SV/TXT/?uri=CELEX:52023DC0298</w:t>
        </w:r>
      </w:hyperlink>
      <w:r w:rsidRPr="00EF5A88">
        <w:rPr>
          <w:lang w:val="sv-SE"/>
        </w:rPr>
        <w:t>.</w:t>
      </w:r>
      <w:r w:rsidRPr="00EF5A88">
        <w:rPr>
          <w:rFonts w:ascii="Times New Roman" w:hAnsi="Times New Roman"/>
          <w:lang w:val="sv-SE"/>
        </w:rPr>
        <w:t xml:space="preserve"> </w:t>
      </w:r>
    </w:p>
  </w:footnote>
  <w:footnote w:id="100">
    <w:p w14:paraId="139790D7" w14:textId="4C779F9C"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79" w:history="1">
        <w:r w:rsidRPr="00EF5A88">
          <w:rPr>
            <w:rStyle w:val="Hyperlink"/>
            <w:rFonts w:ascii="Times New Roman" w:hAnsi="Times New Roman"/>
            <w:lang w:val="sv-SE"/>
          </w:rPr>
          <w:t>https://www.thelancet.com/journals/lanres/article/PIIS2213-2600(23)00268-0/fulltext</w:t>
        </w:r>
      </w:hyperlink>
      <w:r w:rsidRPr="00EF5A88">
        <w:rPr>
          <w:lang w:val="sv-SE"/>
        </w:rPr>
        <w:t>.</w:t>
      </w:r>
      <w:r w:rsidRPr="00EF5A88">
        <w:rPr>
          <w:rFonts w:ascii="Times New Roman" w:hAnsi="Times New Roman"/>
          <w:lang w:val="sv-SE"/>
        </w:rPr>
        <w:t xml:space="preserve"> </w:t>
      </w:r>
    </w:p>
  </w:footnote>
  <w:footnote w:id="101">
    <w:p w14:paraId="0B70C51B" w14:textId="77777777" w:rsidR="002F1D2B" w:rsidRPr="00EF5A88" w:rsidRDefault="002F1D2B" w:rsidP="002F1D2B">
      <w:pPr>
        <w:pStyle w:val="FootnoteText"/>
        <w:rPr>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0" w:history="1">
        <w:r w:rsidRPr="00EF5A88">
          <w:rPr>
            <w:rStyle w:val="Hyperlink"/>
            <w:rFonts w:ascii="Times New Roman" w:hAnsi="Times New Roman"/>
            <w:lang w:val="sv-SE"/>
          </w:rPr>
          <w:t>https://health.ec.europa.eu/health-emergency-preparedness-and-response-hera/hera-invest_en</w:t>
        </w:r>
      </w:hyperlink>
      <w:r w:rsidRPr="00EF5A88">
        <w:rPr>
          <w:lang w:val="sv-SE"/>
        </w:rPr>
        <w:t xml:space="preserve">. </w:t>
      </w:r>
    </w:p>
  </w:footnote>
  <w:footnote w:id="102">
    <w:p w14:paraId="37E46E06" w14:textId="3937D050" w:rsidR="002F1D2B" w:rsidRPr="00EF5A88" w:rsidRDefault="002F1D2B">
      <w:pPr>
        <w:pStyle w:val="FootnoteText"/>
        <w:rPr>
          <w:rFonts w:ascii="Times New Roman" w:hAnsi="Times New Roman" w:cs="Times New Roman"/>
          <w:lang w:val="sv-SE"/>
        </w:rPr>
      </w:pPr>
      <w:r>
        <w:rPr>
          <w:rStyle w:val="FootnoteReference"/>
        </w:rPr>
        <w:footnoteRef/>
      </w:r>
      <w:r w:rsidRPr="00EF5A88">
        <w:rPr>
          <w:lang w:val="sv-SE"/>
        </w:rPr>
        <w:t xml:space="preserve"> </w:t>
      </w:r>
      <w:hyperlink r:id="rId81" w:history="1">
        <w:r w:rsidRPr="00EF5A88">
          <w:rPr>
            <w:rStyle w:val="Hyperlink"/>
            <w:rFonts w:ascii="Times New Roman" w:hAnsi="Times New Roman"/>
            <w:lang w:val="sv-SE"/>
          </w:rPr>
          <w:t>https://investeu.europa.eu/index_en</w:t>
        </w:r>
      </w:hyperlink>
      <w:r w:rsidRPr="00EF5A88">
        <w:rPr>
          <w:lang w:val="sv-SE"/>
        </w:rPr>
        <w:t>.</w:t>
      </w:r>
      <w:r w:rsidRPr="00EF5A88">
        <w:rPr>
          <w:rFonts w:ascii="Times New Roman" w:hAnsi="Times New Roman"/>
          <w:lang w:val="sv-SE"/>
        </w:rPr>
        <w:t xml:space="preserve"> </w:t>
      </w:r>
    </w:p>
  </w:footnote>
  <w:footnote w:id="103">
    <w:p w14:paraId="5CE01236" w14:textId="54EC2879" w:rsidR="001F1738" w:rsidRPr="00EF5A88" w:rsidRDefault="001F1738" w:rsidP="001F1738">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2" w:history="1">
        <w:r w:rsidRPr="00EF5A88">
          <w:rPr>
            <w:rStyle w:val="Hyperlink"/>
            <w:rFonts w:ascii="Times New Roman" w:hAnsi="Times New Roman"/>
            <w:lang w:val="sv-SE"/>
          </w:rPr>
          <w:t>https://eic.ec.europa.eu/system/files/2023-08/EIC-WP2023-amended.pdf</w:t>
        </w:r>
      </w:hyperlink>
      <w:r w:rsidRPr="00EF5A88">
        <w:rPr>
          <w:lang w:val="sv-SE"/>
        </w:rPr>
        <w:t>.</w:t>
      </w:r>
      <w:r w:rsidRPr="00EF5A88">
        <w:rPr>
          <w:rFonts w:ascii="Times New Roman" w:hAnsi="Times New Roman"/>
          <w:lang w:val="sv-SE"/>
        </w:rPr>
        <w:t xml:space="preserve"> </w:t>
      </w:r>
    </w:p>
  </w:footnote>
  <w:footnote w:id="104">
    <w:p w14:paraId="6D777E9C" w14:textId="77777777" w:rsidR="00E14569" w:rsidRPr="00EF5A88" w:rsidRDefault="00E14569" w:rsidP="00E14569">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3" w:history="1">
        <w:r w:rsidRPr="00EF5A88">
          <w:rPr>
            <w:rStyle w:val="Hyperlink"/>
            <w:rFonts w:ascii="Times New Roman" w:hAnsi="Times New Roman"/>
            <w:lang w:val="sv-SE"/>
          </w:rPr>
          <w:t>https://eu-response.eu/</w:t>
        </w:r>
      </w:hyperlink>
      <w:r w:rsidRPr="00EF5A88">
        <w:rPr>
          <w:lang w:val="sv-SE"/>
        </w:rPr>
        <w:t>.</w:t>
      </w:r>
      <w:r w:rsidRPr="00EF5A88">
        <w:rPr>
          <w:rFonts w:ascii="Times New Roman" w:hAnsi="Times New Roman"/>
          <w:lang w:val="sv-SE"/>
        </w:rPr>
        <w:t xml:space="preserve"> </w:t>
      </w:r>
    </w:p>
  </w:footnote>
  <w:footnote w:id="105">
    <w:p w14:paraId="1C410708" w14:textId="77777777" w:rsidR="00E14569" w:rsidRPr="00EF5A88" w:rsidRDefault="00E14569" w:rsidP="00E14569">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4" w:history="1">
        <w:r w:rsidRPr="00EF5A88">
          <w:rPr>
            <w:rStyle w:val="Hyperlink"/>
            <w:rFonts w:ascii="Times New Roman" w:hAnsi="Times New Roman"/>
            <w:lang w:val="sv-SE"/>
          </w:rPr>
          <w:t>https://verdiproject.org/</w:t>
        </w:r>
      </w:hyperlink>
      <w:r w:rsidRPr="00EF5A88">
        <w:rPr>
          <w:lang w:val="sv-SE"/>
        </w:rPr>
        <w:t>.</w:t>
      </w:r>
      <w:r w:rsidRPr="00EF5A88">
        <w:rPr>
          <w:rFonts w:ascii="Times New Roman" w:hAnsi="Times New Roman"/>
          <w:lang w:val="sv-SE"/>
        </w:rPr>
        <w:t xml:space="preserve"> </w:t>
      </w:r>
    </w:p>
  </w:footnote>
  <w:footnote w:id="106">
    <w:p w14:paraId="2E9E84AB" w14:textId="77777777" w:rsidR="008739EF" w:rsidRPr="00EF5A88" w:rsidRDefault="008739EF" w:rsidP="008739EF">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5" w:history="1">
        <w:r w:rsidRPr="00EF5A88">
          <w:rPr>
            <w:rStyle w:val="Hyperlink"/>
            <w:rFonts w:ascii="Times New Roman" w:hAnsi="Times New Roman"/>
            <w:lang w:val="sv-SE"/>
          </w:rPr>
          <w:t>https://health.ec.europa.eu/system/files/2023-03/international_ghs-report-2022_en.pdf</w:t>
        </w:r>
      </w:hyperlink>
      <w:r w:rsidRPr="00EF5A88">
        <w:rPr>
          <w:lang w:val="sv-SE"/>
        </w:rPr>
        <w:t>.</w:t>
      </w:r>
      <w:r w:rsidRPr="00EF5A88">
        <w:rPr>
          <w:rFonts w:ascii="Times New Roman" w:hAnsi="Times New Roman"/>
          <w:lang w:val="sv-SE"/>
        </w:rPr>
        <w:t xml:space="preserve"> </w:t>
      </w:r>
    </w:p>
  </w:footnote>
  <w:footnote w:id="107">
    <w:p w14:paraId="7046DCCF" w14:textId="58AB915A" w:rsidR="008739EF" w:rsidRPr="00EF5A88" w:rsidRDefault="008739EF">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6" w:history="1">
        <w:r w:rsidRPr="00EF5A88">
          <w:rPr>
            <w:rStyle w:val="Hyperlink"/>
            <w:rFonts w:ascii="Times New Roman" w:hAnsi="Times New Roman"/>
            <w:lang w:val="sv-SE"/>
          </w:rPr>
          <w:t>https://commission.europa.eu/strategy-and-policy/priorities-2019-2024/stronger-europe-world/global-gateway_sv</w:t>
        </w:r>
      </w:hyperlink>
      <w:r w:rsidRPr="00EF5A88">
        <w:rPr>
          <w:lang w:val="sv-SE"/>
        </w:rPr>
        <w:t>.</w:t>
      </w:r>
      <w:r w:rsidRPr="00EF5A88">
        <w:rPr>
          <w:rFonts w:ascii="Times New Roman" w:hAnsi="Times New Roman"/>
          <w:lang w:val="sv-SE"/>
        </w:rPr>
        <w:t xml:space="preserve"> </w:t>
      </w:r>
    </w:p>
  </w:footnote>
  <w:footnote w:id="108">
    <w:p w14:paraId="13D78C91" w14:textId="2F9FD45A" w:rsidR="00180D3E" w:rsidRPr="00EF5A88" w:rsidRDefault="00180D3E">
      <w:pPr>
        <w:pStyle w:val="FootnoteText"/>
        <w:rPr>
          <w:rFonts w:ascii="Times New Roman" w:hAnsi="Times New Roman" w:cs="Times New Roman"/>
          <w:lang w:val="sv-SE"/>
        </w:rPr>
      </w:pPr>
      <w:r>
        <w:rPr>
          <w:rStyle w:val="FootnoteReference"/>
          <w:rFonts w:ascii="Times New Roman" w:hAnsi="Times New Roman" w:cs="Times New Roman"/>
        </w:rPr>
        <w:footnoteRef/>
      </w:r>
      <w:r w:rsidRPr="00EF5A88">
        <w:rPr>
          <w:rFonts w:ascii="Times New Roman" w:hAnsi="Times New Roman"/>
          <w:lang w:val="sv-SE"/>
        </w:rPr>
        <w:t xml:space="preserve"> </w:t>
      </w:r>
      <w:hyperlink r:id="rId87" w:history="1">
        <w:r w:rsidRPr="00EF5A88">
          <w:rPr>
            <w:rStyle w:val="Hyperlink"/>
            <w:rFonts w:ascii="Times New Roman" w:hAnsi="Times New Roman"/>
            <w:lang w:val="sv-SE"/>
          </w:rPr>
          <w:t>https://research-and-innovation.ec.europa.eu/research-area/health/edctp_en</w:t>
        </w:r>
      </w:hyperlink>
      <w:r w:rsidRPr="00EF5A88">
        <w:rPr>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90B5" w14:textId="77777777" w:rsidR="009534AE" w:rsidRPr="009534AE" w:rsidRDefault="009534AE" w:rsidP="009534A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793C" w14:textId="77777777" w:rsidR="009534AE" w:rsidRPr="009534AE" w:rsidRDefault="009534AE" w:rsidP="009534A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B422" w14:textId="77777777" w:rsidR="009534AE" w:rsidRPr="009534AE" w:rsidRDefault="009534AE" w:rsidP="009534A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1190" w14:textId="77777777" w:rsidR="008F1FE4" w:rsidRDefault="009534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C412" w14:textId="77777777" w:rsidR="008F1FE4" w:rsidRDefault="009534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180E" w14:textId="77777777" w:rsidR="008F1FE4" w:rsidRDefault="00953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5D2"/>
    <w:multiLevelType w:val="multilevel"/>
    <w:tmpl w:val="98021A1A"/>
    <w:lvl w:ilvl="0">
      <w:start w:val="4"/>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A95420"/>
    <w:multiLevelType w:val="multilevel"/>
    <w:tmpl w:val="36A2544E"/>
    <w:lvl w:ilvl="0">
      <w:start w:val="6"/>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73E7F"/>
    <w:multiLevelType w:val="multilevel"/>
    <w:tmpl w:val="A328BA50"/>
    <w:lvl w:ilvl="0">
      <w:start w:val="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F13D7"/>
    <w:multiLevelType w:val="multilevel"/>
    <w:tmpl w:val="B528424A"/>
    <w:lvl w:ilvl="0">
      <w:start w:val="5"/>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723F3"/>
    <w:multiLevelType w:val="hybridMultilevel"/>
    <w:tmpl w:val="C45E0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65391"/>
    <w:multiLevelType w:val="hybridMultilevel"/>
    <w:tmpl w:val="679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C63CD"/>
    <w:multiLevelType w:val="multilevel"/>
    <w:tmpl w:val="D98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D32E2"/>
    <w:multiLevelType w:val="multilevel"/>
    <w:tmpl w:val="AB545EE6"/>
    <w:lvl w:ilvl="0">
      <w:start w:val="5"/>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796E32"/>
    <w:multiLevelType w:val="multilevel"/>
    <w:tmpl w:val="633ED16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524D53"/>
    <w:multiLevelType w:val="multilevel"/>
    <w:tmpl w:val="44FE2046"/>
    <w:lvl w:ilvl="0">
      <w:start w:val="3"/>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252590"/>
    <w:multiLevelType w:val="multilevel"/>
    <w:tmpl w:val="652E07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5091"/>
    <w:multiLevelType w:val="hybridMultilevel"/>
    <w:tmpl w:val="0F70C1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243A15"/>
    <w:multiLevelType w:val="multilevel"/>
    <w:tmpl w:val="E92A9940"/>
    <w:lvl w:ilvl="0">
      <w:start w:val="4"/>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3434EB"/>
    <w:multiLevelType w:val="hybridMultilevel"/>
    <w:tmpl w:val="E56C1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DF5272"/>
    <w:multiLevelType w:val="hybridMultilevel"/>
    <w:tmpl w:val="4DFC12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EA4F9A"/>
    <w:multiLevelType w:val="multilevel"/>
    <w:tmpl w:val="3D706F00"/>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5C2798"/>
    <w:multiLevelType w:val="multilevel"/>
    <w:tmpl w:val="F1528616"/>
    <w:styleLink w:val="amprLISTL1-forboxORANGEdashed"/>
    <w:lvl w:ilvl="0">
      <w:start w:val="1"/>
      <w:numFmt w:val="bullet"/>
      <w:pStyle w:val="amprboxORANGEdashedbulletlis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3716E"/>
    <w:multiLevelType w:val="multilevel"/>
    <w:tmpl w:val="B8BEECC0"/>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2241D"/>
    <w:multiLevelType w:val="multilevel"/>
    <w:tmpl w:val="3B0A43D4"/>
    <w:lvl w:ilvl="0">
      <w:start w:val="6"/>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A2249F7"/>
    <w:multiLevelType w:val="multilevel"/>
    <w:tmpl w:val="DC1E05CA"/>
    <w:lvl w:ilvl="0">
      <w:start w:val="1"/>
      <w:numFmt w:val="decimal"/>
      <w:pStyle w:val="Chaptertitle"/>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6549EB"/>
    <w:multiLevelType w:val="multilevel"/>
    <w:tmpl w:val="F2D446E6"/>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DC12C5"/>
    <w:multiLevelType w:val="hybridMultilevel"/>
    <w:tmpl w:val="47C602A4"/>
    <w:lvl w:ilvl="0" w:tplc="984E9680">
      <w:start w:val="4"/>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AE0B09"/>
    <w:multiLevelType w:val="multilevel"/>
    <w:tmpl w:val="1124DB6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335210A"/>
    <w:multiLevelType w:val="hybridMultilevel"/>
    <w:tmpl w:val="52CA72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DA1E3A"/>
    <w:multiLevelType w:val="multilevel"/>
    <w:tmpl w:val="8D708C7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82E7C97"/>
    <w:multiLevelType w:val="multilevel"/>
    <w:tmpl w:val="1C6CD89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7F2A1A"/>
    <w:multiLevelType w:val="multilevel"/>
    <w:tmpl w:val="AA90F6D2"/>
    <w:lvl w:ilvl="0">
      <w:start w:val="4"/>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E1872"/>
    <w:multiLevelType w:val="hybridMultilevel"/>
    <w:tmpl w:val="94C616A0"/>
    <w:lvl w:ilvl="0" w:tplc="C264FF7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D22914"/>
    <w:multiLevelType w:val="hybridMultilevel"/>
    <w:tmpl w:val="3AD42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174191"/>
    <w:multiLevelType w:val="hybridMultilevel"/>
    <w:tmpl w:val="CA6C0A0A"/>
    <w:lvl w:ilvl="0" w:tplc="67663D94">
      <w:start w:val="1"/>
      <w:numFmt w:val="bullet"/>
      <w:pStyle w:val="Briefinglis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246DF"/>
    <w:multiLevelType w:val="multilevel"/>
    <w:tmpl w:val="48C29EDA"/>
    <w:lvl w:ilvl="0">
      <w:start w:val="4"/>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18"/>
  </w:num>
  <w:num w:numId="3">
    <w:abstractNumId w:val="34"/>
  </w:num>
  <w:num w:numId="4">
    <w:abstractNumId w:val="25"/>
  </w:num>
  <w:num w:numId="5">
    <w:abstractNumId w:val="32"/>
  </w:num>
  <w:num w:numId="6">
    <w:abstractNumId w:val="5"/>
  </w:num>
  <w:num w:numId="7">
    <w:abstractNumId w:val="11"/>
  </w:num>
  <w:num w:numId="8">
    <w:abstractNumId w:val="30"/>
  </w:num>
  <w:num w:numId="9">
    <w:abstractNumId w:val="6"/>
  </w:num>
  <w:num w:numId="10">
    <w:abstractNumId w:val="26"/>
  </w:num>
  <w:num w:numId="11">
    <w:abstractNumId w:val="15"/>
  </w:num>
  <w:num w:numId="12">
    <w:abstractNumId w:val="13"/>
  </w:num>
  <w:num w:numId="13">
    <w:abstractNumId w:val="31"/>
  </w:num>
  <w:num w:numId="14">
    <w:abstractNumId w:val="7"/>
  </w:num>
  <w:num w:numId="15">
    <w:abstractNumId w:val="12"/>
  </w:num>
  <w:num w:numId="16">
    <w:abstractNumId w:val="19"/>
  </w:num>
  <w:num w:numId="17">
    <w:abstractNumId w:val="2"/>
  </w:num>
  <w:num w:numId="18">
    <w:abstractNumId w:val="27"/>
  </w:num>
  <w:num w:numId="19">
    <w:abstractNumId w:val="10"/>
  </w:num>
  <w:num w:numId="20">
    <w:abstractNumId w:val="24"/>
  </w:num>
  <w:num w:numId="21">
    <w:abstractNumId w:val="14"/>
  </w:num>
  <w:num w:numId="22">
    <w:abstractNumId w:val="33"/>
  </w:num>
  <w:num w:numId="23">
    <w:abstractNumId w:val="17"/>
  </w:num>
  <w:num w:numId="24">
    <w:abstractNumId w:val="20"/>
  </w:num>
  <w:num w:numId="25">
    <w:abstractNumId w:val="1"/>
  </w:num>
  <w:num w:numId="26">
    <w:abstractNumId w:val="22"/>
  </w:num>
  <w:num w:numId="27">
    <w:abstractNumId w:val="28"/>
  </w:num>
  <w:num w:numId="28">
    <w:abstractNumId w:val="8"/>
  </w:num>
  <w:num w:numId="29">
    <w:abstractNumId w:val="3"/>
  </w:num>
  <w:num w:numId="30">
    <w:abstractNumId w:val="9"/>
  </w:num>
  <w:num w:numId="31">
    <w:abstractNumId w:val="0"/>
  </w:num>
  <w:num w:numId="32">
    <w:abstractNumId w:val="29"/>
  </w:num>
  <w:num w:numId="33">
    <w:abstractNumId w:val="16"/>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697F2E2-ECAC-4E84-917B-DE09856885BE"/>
    <w:docVar w:name="LW_COVERPAGE_TYPE" w:val="1"/>
    <w:docVar w:name="LW_CROSSREFERENCE" w:val="&lt;UNUSED&gt;"/>
    <w:docVar w:name="LW_DocType" w:val="NORMAL"/>
    <w:docVar w:name="LW_EMISSION" w:val="15.12.2023"/>
    <w:docVar w:name="LW_EMISSION_ISODATE" w:val="2023-12-15"/>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3) 7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pport om beredskapsnivå för hälsa 2023_x000d__x000b_"/>
    <w:docVar w:name="LW_TYPE.DOC.CP" w:val="MEDDELANDE FRÅN KOMMISSIONEN TILL EUROPAPARLAMENTET, RÅDET, EUROPEISKA EKONOMISKA OCH SOCIALA KOMMITTÉN SAMT REGIONKOMMITTÉN"/>
    <w:docVar w:name="LW_TYPE.DOC.CP.USERTEXT" w:val="&lt;EMPTY&gt;"/>
    <w:docVar w:name="LwApiVersions" w:val="LW4CoDe 1.24.4.0; LW 9.0, Build 20240109"/>
  </w:docVars>
  <w:rsids>
    <w:rsidRoot w:val="00C619B5"/>
    <w:rsid w:val="00002601"/>
    <w:rsid w:val="00003506"/>
    <w:rsid w:val="00011B06"/>
    <w:rsid w:val="000150F5"/>
    <w:rsid w:val="00015AC9"/>
    <w:rsid w:val="000176F6"/>
    <w:rsid w:val="00017A94"/>
    <w:rsid w:val="0002096F"/>
    <w:rsid w:val="000222DA"/>
    <w:rsid w:val="0002315C"/>
    <w:rsid w:val="00026023"/>
    <w:rsid w:val="000262D8"/>
    <w:rsid w:val="0002731F"/>
    <w:rsid w:val="0003074E"/>
    <w:rsid w:val="00031422"/>
    <w:rsid w:val="00031A95"/>
    <w:rsid w:val="00031EDF"/>
    <w:rsid w:val="000332FE"/>
    <w:rsid w:val="0003452E"/>
    <w:rsid w:val="0004586D"/>
    <w:rsid w:val="000459E3"/>
    <w:rsid w:val="00046E2F"/>
    <w:rsid w:val="000554C5"/>
    <w:rsid w:val="00055B9F"/>
    <w:rsid w:val="000624B0"/>
    <w:rsid w:val="00063DC0"/>
    <w:rsid w:val="0006408D"/>
    <w:rsid w:val="00072774"/>
    <w:rsid w:val="00074BB3"/>
    <w:rsid w:val="0007696E"/>
    <w:rsid w:val="00081F8A"/>
    <w:rsid w:val="00082E8A"/>
    <w:rsid w:val="00086138"/>
    <w:rsid w:val="0008657C"/>
    <w:rsid w:val="00095BCD"/>
    <w:rsid w:val="0009613C"/>
    <w:rsid w:val="0009659F"/>
    <w:rsid w:val="00096A4C"/>
    <w:rsid w:val="000A12C4"/>
    <w:rsid w:val="000A69F5"/>
    <w:rsid w:val="000B2D2A"/>
    <w:rsid w:val="000B3DBB"/>
    <w:rsid w:val="000B3FE3"/>
    <w:rsid w:val="000C58E0"/>
    <w:rsid w:val="000C7AC2"/>
    <w:rsid w:val="000D006B"/>
    <w:rsid w:val="000D11EF"/>
    <w:rsid w:val="000D39F4"/>
    <w:rsid w:val="000D48E3"/>
    <w:rsid w:val="000D5412"/>
    <w:rsid w:val="000D6B72"/>
    <w:rsid w:val="000E393B"/>
    <w:rsid w:val="000F0CDA"/>
    <w:rsid w:val="000F1F28"/>
    <w:rsid w:val="000F2866"/>
    <w:rsid w:val="000F2FA6"/>
    <w:rsid w:val="000F7855"/>
    <w:rsid w:val="000F7AAC"/>
    <w:rsid w:val="00101682"/>
    <w:rsid w:val="001021CC"/>
    <w:rsid w:val="00113103"/>
    <w:rsid w:val="001148E5"/>
    <w:rsid w:val="0011500E"/>
    <w:rsid w:val="00115C50"/>
    <w:rsid w:val="00115C6D"/>
    <w:rsid w:val="00117832"/>
    <w:rsid w:val="0012433A"/>
    <w:rsid w:val="00124BA9"/>
    <w:rsid w:val="001269C1"/>
    <w:rsid w:val="00133667"/>
    <w:rsid w:val="00140841"/>
    <w:rsid w:val="00146A19"/>
    <w:rsid w:val="00147E9B"/>
    <w:rsid w:val="00151227"/>
    <w:rsid w:val="00151F96"/>
    <w:rsid w:val="00153B36"/>
    <w:rsid w:val="00155C4C"/>
    <w:rsid w:val="0016343E"/>
    <w:rsid w:val="00164E77"/>
    <w:rsid w:val="001667AA"/>
    <w:rsid w:val="00166FAE"/>
    <w:rsid w:val="00172D2B"/>
    <w:rsid w:val="001736F8"/>
    <w:rsid w:val="00175788"/>
    <w:rsid w:val="001776E2"/>
    <w:rsid w:val="00180D3E"/>
    <w:rsid w:val="00182221"/>
    <w:rsid w:val="00183E29"/>
    <w:rsid w:val="0018592C"/>
    <w:rsid w:val="00190020"/>
    <w:rsid w:val="00191C05"/>
    <w:rsid w:val="00192B7C"/>
    <w:rsid w:val="00193936"/>
    <w:rsid w:val="00195A87"/>
    <w:rsid w:val="001960DC"/>
    <w:rsid w:val="001A17EB"/>
    <w:rsid w:val="001A435E"/>
    <w:rsid w:val="001A59BD"/>
    <w:rsid w:val="001A66A5"/>
    <w:rsid w:val="001A7402"/>
    <w:rsid w:val="001B09FA"/>
    <w:rsid w:val="001B2E4C"/>
    <w:rsid w:val="001C1A99"/>
    <w:rsid w:val="001C1AC8"/>
    <w:rsid w:val="001C54A0"/>
    <w:rsid w:val="001D1539"/>
    <w:rsid w:val="001D275C"/>
    <w:rsid w:val="001D3B97"/>
    <w:rsid w:val="001D3ED8"/>
    <w:rsid w:val="001D4C82"/>
    <w:rsid w:val="001D6E54"/>
    <w:rsid w:val="001E0C9F"/>
    <w:rsid w:val="001E14A6"/>
    <w:rsid w:val="001E2076"/>
    <w:rsid w:val="001E261A"/>
    <w:rsid w:val="001E4E6E"/>
    <w:rsid w:val="001E698A"/>
    <w:rsid w:val="001E7A58"/>
    <w:rsid w:val="001F1738"/>
    <w:rsid w:val="001F328E"/>
    <w:rsid w:val="001F79BA"/>
    <w:rsid w:val="002020B4"/>
    <w:rsid w:val="00204A8F"/>
    <w:rsid w:val="00205933"/>
    <w:rsid w:val="00206B34"/>
    <w:rsid w:val="0021356E"/>
    <w:rsid w:val="00215C1F"/>
    <w:rsid w:val="002160BF"/>
    <w:rsid w:val="002168B2"/>
    <w:rsid w:val="002207DE"/>
    <w:rsid w:val="00221E93"/>
    <w:rsid w:val="00222814"/>
    <w:rsid w:val="00223BF7"/>
    <w:rsid w:val="002241F0"/>
    <w:rsid w:val="00224253"/>
    <w:rsid w:val="0022458E"/>
    <w:rsid w:val="00224662"/>
    <w:rsid w:val="002258E7"/>
    <w:rsid w:val="002260F0"/>
    <w:rsid w:val="0023011B"/>
    <w:rsid w:val="00232682"/>
    <w:rsid w:val="00232B24"/>
    <w:rsid w:val="00232FE6"/>
    <w:rsid w:val="00236E4B"/>
    <w:rsid w:val="00237625"/>
    <w:rsid w:val="00240B9B"/>
    <w:rsid w:val="002440B6"/>
    <w:rsid w:val="0024638C"/>
    <w:rsid w:val="00251752"/>
    <w:rsid w:val="00265D6B"/>
    <w:rsid w:val="002703F9"/>
    <w:rsid w:val="002707BC"/>
    <w:rsid w:val="00271C7F"/>
    <w:rsid w:val="002740E4"/>
    <w:rsid w:val="00274557"/>
    <w:rsid w:val="002774E5"/>
    <w:rsid w:val="00283EA0"/>
    <w:rsid w:val="00284404"/>
    <w:rsid w:val="002917C3"/>
    <w:rsid w:val="00291AC6"/>
    <w:rsid w:val="0029373F"/>
    <w:rsid w:val="002A242B"/>
    <w:rsid w:val="002A527A"/>
    <w:rsid w:val="002A5AB8"/>
    <w:rsid w:val="002A5CD7"/>
    <w:rsid w:val="002B1144"/>
    <w:rsid w:val="002B4D6C"/>
    <w:rsid w:val="002B4F8B"/>
    <w:rsid w:val="002B5469"/>
    <w:rsid w:val="002B709F"/>
    <w:rsid w:val="002B7207"/>
    <w:rsid w:val="002C3D87"/>
    <w:rsid w:val="002C56BE"/>
    <w:rsid w:val="002C5C7C"/>
    <w:rsid w:val="002D2465"/>
    <w:rsid w:val="002D4B52"/>
    <w:rsid w:val="002D6120"/>
    <w:rsid w:val="002E0ACE"/>
    <w:rsid w:val="002E1AFB"/>
    <w:rsid w:val="002F1465"/>
    <w:rsid w:val="002F1D2B"/>
    <w:rsid w:val="002F2A32"/>
    <w:rsid w:val="002F47F5"/>
    <w:rsid w:val="002F4CA6"/>
    <w:rsid w:val="002F752C"/>
    <w:rsid w:val="002F79FD"/>
    <w:rsid w:val="00300C2A"/>
    <w:rsid w:val="0030156A"/>
    <w:rsid w:val="0030164B"/>
    <w:rsid w:val="0030184B"/>
    <w:rsid w:val="00302E03"/>
    <w:rsid w:val="00304370"/>
    <w:rsid w:val="003101DD"/>
    <w:rsid w:val="003106A5"/>
    <w:rsid w:val="00312459"/>
    <w:rsid w:val="0031254B"/>
    <w:rsid w:val="00312C13"/>
    <w:rsid w:val="00317A39"/>
    <w:rsid w:val="0032059A"/>
    <w:rsid w:val="003225E8"/>
    <w:rsid w:val="00323831"/>
    <w:rsid w:val="00323EED"/>
    <w:rsid w:val="00325A0A"/>
    <w:rsid w:val="0033212C"/>
    <w:rsid w:val="0033327F"/>
    <w:rsid w:val="003362FD"/>
    <w:rsid w:val="0034181A"/>
    <w:rsid w:val="003432EB"/>
    <w:rsid w:val="00346B4D"/>
    <w:rsid w:val="00346B7E"/>
    <w:rsid w:val="003501C3"/>
    <w:rsid w:val="0035237A"/>
    <w:rsid w:val="003534D7"/>
    <w:rsid w:val="00355CB1"/>
    <w:rsid w:val="00356FB9"/>
    <w:rsid w:val="00357B1E"/>
    <w:rsid w:val="00363EDB"/>
    <w:rsid w:val="00367602"/>
    <w:rsid w:val="00372403"/>
    <w:rsid w:val="00372B0A"/>
    <w:rsid w:val="0038024E"/>
    <w:rsid w:val="00380DD9"/>
    <w:rsid w:val="00382A88"/>
    <w:rsid w:val="003836E7"/>
    <w:rsid w:val="003845E3"/>
    <w:rsid w:val="00384A7B"/>
    <w:rsid w:val="00385C69"/>
    <w:rsid w:val="00392DE5"/>
    <w:rsid w:val="00393857"/>
    <w:rsid w:val="00393EBF"/>
    <w:rsid w:val="003A3505"/>
    <w:rsid w:val="003A35CC"/>
    <w:rsid w:val="003A661B"/>
    <w:rsid w:val="003A7882"/>
    <w:rsid w:val="003B0461"/>
    <w:rsid w:val="003B0750"/>
    <w:rsid w:val="003B35A2"/>
    <w:rsid w:val="003B44E7"/>
    <w:rsid w:val="003B4CBC"/>
    <w:rsid w:val="003C1233"/>
    <w:rsid w:val="003C2E20"/>
    <w:rsid w:val="003C3CFF"/>
    <w:rsid w:val="003C537A"/>
    <w:rsid w:val="003C568F"/>
    <w:rsid w:val="003C5A70"/>
    <w:rsid w:val="003C61EE"/>
    <w:rsid w:val="003D0526"/>
    <w:rsid w:val="003D3524"/>
    <w:rsid w:val="003D5717"/>
    <w:rsid w:val="003E1061"/>
    <w:rsid w:val="003E53D2"/>
    <w:rsid w:val="003E5721"/>
    <w:rsid w:val="003E6744"/>
    <w:rsid w:val="003E6946"/>
    <w:rsid w:val="003E707F"/>
    <w:rsid w:val="003E78CD"/>
    <w:rsid w:val="003F1C3A"/>
    <w:rsid w:val="003F6A4D"/>
    <w:rsid w:val="004006B8"/>
    <w:rsid w:val="00403F00"/>
    <w:rsid w:val="00404A2B"/>
    <w:rsid w:val="0040502F"/>
    <w:rsid w:val="00412481"/>
    <w:rsid w:val="0041768E"/>
    <w:rsid w:val="004205C8"/>
    <w:rsid w:val="004210CF"/>
    <w:rsid w:val="004255C7"/>
    <w:rsid w:val="004256B8"/>
    <w:rsid w:val="00425C94"/>
    <w:rsid w:val="00426A78"/>
    <w:rsid w:val="00430A10"/>
    <w:rsid w:val="00431851"/>
    <w:rsid w:val="00434D7F"/>
    <w:rsid w:val="0043500B"/>
    <w:rsid w:val="00435FDF"/>
    <w:rsid w:val="00437D3A"/>
    <w:rsid w:val="00450ADF"/>
    <w:rsid w:val="00450C04"/>
    <w:rsid w:val="00450C2B"/>
    <w:rsid w:val="00451A7D"/>
    <w:rsid w:val="0045785F"/>
    <w:rsid w:val="00467937"/>
    <w:rsid w:val="00470922"/>
    <w:rsid w:val="00480193"/>
    <w:rsid w:val="00480AD0"/>
    <w:rsid w:val="00482EA7"/>
    <w:rsid w:val="004926A9"/>
    <w:rsid w:val="00496FA3"/>
    <w:rsid w:val="004A35DF"/>
    <w:rsid w:val="004A3885"/>
    <w:rsid w:val="004A39FC"/>
    <w:rsid w:val="004B229A"/>
    <w:rsid w:val="004B63FB"/>
    <w:rsid w:val="004C0890"/>
    <w:rsid w:val="004C3E69"/>
    <w:rsid w:val="004D4672"/>
    <w:rsid w:val="004E183E"/>
    <w:rsid w:val="004E1EBB"/>
    <w:rsid w:val="004E3657"/>
    <w:rsid w:val="004E3FBD"/>
    <w:rsid w:val="004F4EEB"/>
    <w:rsid w:val="004F6F73"/>
    <w:rsid w:val="004F7E4C"/>
    <w:rsid w:val="00501B55"/>
    <w:rsid w:val="00501E31"/>
    <w:rsid w:val="00503DA0"/>
    <w:rsid w:val="0050524F"/>
    <w:rsid w:val="00511B09"/>
    <w:rsid w:val="00517A22"/>
    <w:rsid w:val="00520DA4"/>
    <w:rsid w:val="00524938"/>
    <w:rsid w:val="0052546D"/>
    <w:rsid w:val="00525757"/>
    <w:rsid w:val="00532DC3"/>
    <w:rsid w:val="00532DD6"/>
    <w:rsid w:val="00542A7E"/>
    <w:rsid w:val="0054387A"/>
    <w:rsid w:val="00543A77"/>
    <w:rsid w:val="005442EC"/>
    <w:rsid w:val="00544BD7"/>
    <w:rsid w:val="0055014D"/>
    <w:rsid w:val="005511D7"/>
    <w:rsid w:val="0055491B"/>
    <w:rsid w:val="005670D5"/>
    <w:rsid w:val="005708B4"/>
    <w:rsid w:val="00570908"/>
    <w:rsid w:val="00571AB3"/>
    <w:rsid w:val="00572997"/>
    <w:rsid w:val="005736FA"/>
    <w:rsid w:val="005737A5"/>
    <w:rsid w:val="00585095"/>
    <w:rsid w:val="00590751"/>
    <w:rsid w:val="005967D1"/>
    <w:rsid w:val="005A1AA9"/>
    <w:rsid w:val="005A3A1A"/>
    <w:rsid w:val="005A4F58"/>
    <w:rsid w:val="005B1A5C"/>
    <w:rsid w:val="005B204D"/>
    <w:rsid w:val="005B33AF"/>
    <w:rsid w:val="005B40A9"/>
    <w:rsid w:val="005B469D"/>
    <w:rsid w:val="005B4CF9"/>
    <w:rsid w:val="005B5FC1"/>
    <w:rsid w:val="005C32C3"/>
    <w:rsid w:val="005C393F"/>
    <w:rsid w:val="005C3AB5"/>
    <w:rsid w:val="005C7E6D"/>
    <w:rsid w:val="005E1015"/>
    <w:rsid w:val="005E1ED4"/>
    <w:rsid w:val="005E294F"/>
    <w:rsid w:val="005E332D"/>
    <w:rsid w:val="005E3F96"/>
    <w:rsid w:val="005E456F"/>
    <w:rsid w:val="005E6F2A"/>
    <w:rsid w:val="005F0911"/>
    <w:rsid w:val="005F10DF"/>
    <w:rsid w:val="0060127F"/>
    <w:rsid w:val="00602251"/>
    <w:rsid w:val="00605154"/>
    <w:rsid w:val="00614109"/>
    <w:rsid w:val="0061698F"/>
    <w:rsid w:val="006208F7"/>
    <w:rsid w:val="00621C3D"/>
    <w:rsid w:val="00623356"/>
    <w:rsid w:val="00624B0C"/>
    <w:rsid w:val="00625A59"/>
    <w:rsid w:val="00627FF6"/>
    <w:rsid w:val="00630A39"/>
    <w:rsid w:val="006401D0"/>
    <w:rsid w:val="00643E13"/>
    <w:rsid w:val="006467ED"/>
    <w:rsid w:val="00650C17"/>
    <w:rsid w:val="00650D45"/>
    <w:rsid w:val="00655B7B"/>
    <w:rsid w:val="00657967"/>
    <w:rsid w:val="00661741"/>
    <w:rsid w:val="00665B07"/>
    <w:rsid w:val="00666256"/>
    <w:rsid w:val="0067054E"/>
    <w:rsid w:val="00670CAF"/>
    <w:rsid w:val="00671AA9"/>
    <w:rsid w:val="00674D81"/>
    <w:rsid w:val="00675BCD"/>
    <w:rsid w:val="00676536"/>
    <w:rsid w:val="006771C8"/>
    <w:rsid w:val="00677395"/>
    <w:rsid w:val="00681330"/>
    <w:rsid w:val="006821CF"/>
    <w:rsid w:val="0068381A"/>
    <w:rsid w:val="0068383D"/>
    <w:rsid w:val="006857C6"/>
    <w:rsid w:val="00685E4D"/>
    <w:rsid w:val="006913D6"/>
    <w:rsid w:val="00691A69"/>
    <w:rsid w:val="00696EF8"/>
    <w:rsid w:val="006A69BA"/>
    <w:rsid w:val="006B17B6"/>
    <w:rsid w:val="006B5917"/>
    <w:rsid w:val="006C1420"/>
    <w:rsid w:val="006C4EE3"/>
    <w:rsid w:val="006C6E3F"/>
    <w:rsid w:val="006D0AA3"/>
    <w:rsid w:val="006D0E13"/>
    <w:rsid w:val="006D236C"/>
    <w:rsid w:val="006D2ADD"/>
    <w:rsid w:val="006D3EDF"/>
    <w:rsid w:val="006D698D"/>
    <w:rsid w:val="006D709B"/>
    <w:rsid w:val="006D7E5B"/>
    <w:rsid w:val="006E1686"/>
    <w:rsid w:val="006E5885"/>
    <w:rsid w:val="006E7456"/>
    <w:rsid w:val="006E79AF"/>
    <w:rsid w:val="006F3A7B"/>
    <w:rsid w:val="006F40D0"/>
    <w:rsid w:val="006F6CE9"/>
    <w:rsid w:val="006F7A7A"/>
    <w:rsid w:val="00703CEB"/>
    <w:rsid w:val="00705021"/>
    <w:rsid w:val="00706E28"/>
    <w:rsid w:val="00710F99"/>
    <w:rsid w:val="00716031"/>
    <w:rsid w:val="00720C45"/>
    <w:rsid w:val="00722228"/>
    <w:rsid w:val="007226C9"/>
    <w:rsid w:val="00724709"/>
    <w:rsid w:val="00726AF6"/>
    <w:rsid w:val="00732524"/>
    <w:rsid w:val="0073488A"/>
    <w:rsid w:val="00736200"/>
    <w:rsid w:val="00736C99"/>
    <w:rsid w:val="0074362E"/>
    <w:rsid w:val="00746F38"/>
    <w:rsid w:val="007478A9"/>
    <w:rsid w:val="00750E41"/>
    <w:rsid w:val="00751592"/>
    <w:rsid w:val="00751D8A"/>
    <w:rsid w:val="00754838"/>
    <w:rsid w:val="00755BDD"/>
    <w:rsid w:val="0075635F"/>
    <w:rsid w:val="00757387"/>
    <w:rsid w:val="00760990"/>
    <w:rsid w:val="0076180A"/>
    <w:rsid w:val="00765ABD"/>
    <w:rsid w:val="0077087A"/>
    <w:rsid w:val="00771AFF"/>
    <w:rsid w:val="0077341B"/>
    <w:rsid w:val="00773FF2"/>
    <w:rsid w:val="00774562"/>
    <w:rsid w:val="00774D74"/>
    <w:rsid w:val="00774DBD"/>
    <w:rsid w:val="00774F2C"/>
    <w:rsid w:val="00775850"/>
    <w:rsid w:val="00780847"/>
    <w:rsid w:val="00780E18"/>
    <w:rsid w:val="0078272D"/>
    <w:rsid w:val="00783C05"/>
    <w:rsid w:val="0078495C"/>
    <w:rsid w:val="00785B9C"/>
    <w:rsid w:val="007917D0"/>
    <w:rsid w:val="00791D8B"/>
    <w:rsid w:val="00792503"/>
    <w:rsid w:val="00792554"/>
    <w:rsid w:val="00793ECA"/>
    <w:rsid w:val="00795A08"/>
    <w:rsid w:val="007A13E2"/>
    <w:rsid w:val="007A1DAD"/>
    <w:rsid w:val="007A631E"/>
    <w:rsid w:val="007C3F12"/>
    <w:rsid w:val="007C5356"/>
    <w:rsid w:val="007C75FF"/>
    <w:rsid w:val="007D1C60"/>
    <w:rsid w:val="007D2980"/>
    <w:rsid w:val="007D437A"/>
    <w:rsid w:val="007D4B14"/>
    <w:rsid w:val="007D4EEA"/>
    <w:rsid w:val="007D5BBA"/>
    <w:rsid w:val="007D720E"/>
    <w:rsid w:val="007E1E67"/>
    <w:rsid w:val="007E443B"/>
    <w:rsid w:val="007E4F2E"/>
    <w:rsid w:val="007E7492"/>
    <w:rsid w:val="007F1A59"/>
    <w:rsid w:val="007F5B0B"/>
    <w:rsid w:val="00801039"/>
    <w:rsid w:val="0080452D"/>
    <w:rsid w:val="00804F62"/>
    <w:rsid w:val="00806C5E"/>
    <w:rsid w:val="00813BE4"/>
    <w:rsid w:val="00814216"/>
    <w:rsid w:val="00825EC9"/>
    <w:rsid w:val="00826A36"/>
    <w:rsid w:val="00831B85"/>
    <w:rsid w:val="00832EBF"/>
    <w:rsid w:val="008351E5"/>
    <w:rsid w:val="00835797"/>
    <w:rsid w:val="00835AEA"/>
    <w:rsid w:val="00836E45"/>
    <w:rsid w:val="00837C3C"/>
    <w:rsid w:val="00842A6C"/>
    <w:rsid w:val="008528DC"/>
    <w:rsid w:val="0085365F"/>
    <w:rsid w:val="00853C1B"/>
    <w:rsid w:val="00854E12"/>
    <w:rsid w:val="0086247F"/>
    <w:rsid w:val="008724C3"/>
    <w:rsid w:val="008728DA"/>
    <w:rsid w:val="008739EF"/>
    <w:rsid w:val="00876291"/>
    <w:rsid w:val="008767B7"/>
    <w:rsid w:val="00877E6B"/>
    <w:rsid w:val="00881CF4"/>
    <w:rsid w:val="008864D9"/>
    <w:rsid w:val="0088776C"/>
    <w:rsid w:val="008A1746"/>
    <w:rsid w:val="008A3DCD"/>
    <w:rsid w:val="008B0AD1"/>
    <w:rsid w:val="008B1E9B"/>
    <w:rsid w:val="008B21D4"/>
    <w:rsid w:val="008B26BE"/>
    <w:rsid w:val="008B2847"/>
    <w:rsid w:val="008B36BB"/>
    <w:rsid w:val="008C23E5"/>
    <w:rsid w:val="008C4554"/>
    <w:rsid w:val="008C498B"/>
    <w:rsid w:val="008C6D1D"/>
    <w:rsid w:val="008D0D98"/>
    <w:rsid w:val="008D33B9"/>
    <w:rsid w:val="008E3DB9"/>
    <w:rsid w:val="008E4BC5"/>
    <w:rsid w:val="008F28B8"/>
    <w:rsid w:val="008F2CB5"/>
    <w:rsid w:val="008F4060"/>
    <w:rsid w:val="008F423B"/>
    <w:rsid w:val="00904D1A"/>
    <w:rsid w:val="009070BC"/>
    <w:rsid w:val="00913F80"/>
    <w:rsid w:val="00917145"/>
    <w:rsid w:val="00921698"/>
    <w:rsid w:val="009238AD"/>
    <w:rsid w:val="00923DE0"/>
    <w:rsid w:val="009250AB"/>
    <w:rsid w:val="00930A6E"/>
    <w:rsid w:val="00932C40"/>
    <w:rsid w:val="00935579"/>
    <w:rsid w:val="00937708"/>
    <w:rsid w:val="00937AAF"/>
    <w:rsid w:val="00942BC7"/>
    <w:rsid w:val="009438F6"/>
    <w:rsid w:val="009449D3"/>
    <w:rsid w:val="0094565F"/>
    <w:rsid w:val="009504C3"/>
    <w:rsid w:val="009527BF"/>
    <w:rsid w:val="009534AE"/>
    <w:rsid w:val="00953578"/>
    <w:rsid w:val="00953775"/>
    <w:rsid w:val="009561CC"/>
    <w:rsid w:val="00956F8F"/>
    <w:rsid w:val="009613BC"/>
    <w:rsid w:val="00971A8C"/>
    <w:rsid w:val="00983DA1"/>
    <w:rsid w:val="00985687"/>
    <w:rsid w:val="00991EF8"/>
    <w:rsid w:val="00992993"/>
    <w:rsid w:val="00994E7B"/>
    <w:rsid w:val="00994F8D"/>
    <w:rsid w:val="00997171"/>
    <w:rsid w:val="009A7A55"/>
    <w:rsid w:val="009B415A"/>
    <w:rsid w:val="009B5AF1"/>
    <w:rsid w:val="009C088F"/>
    <w:rsid w:val="009C4CDE"/>
    <w:rsid w:val="009C65E8"/>
    <w:rsid w:val="009C7E28"/>
    <w:rsid w:val="009D6411"/>
    <w:rsid w:val="009E1199"/>
    <w:rsid w:val="009E2C58"/>
    <w:rsid w:val="009E49F7"/>
    <w:rsid w:val="009E6237"/>
    <w:rsid w:val="009F0ED9"/>
    <w:rsid w:val="009F2751"/>
    <w:rsid w:val="009F41B2"/>
    <w:rsid w:val="009F619B"/>
    <w:rsid w:val="009F6F8F"/>
    <w:rsid w:val="00A0173C"/>
    <w:rsid w:val="00A02657"/>
    <w:rsid w:val="00A02810"/>
    <w:rsid w:val="00A03DDF"/>
    <w:rsid w:val="00A03ED2"/>
    <w:rsid w:val="00A067D4"/>
    <w:rsid w:val="00A07C06"/>
    <w:rsid w:val="00A126FB"/>
    <w:rsid w:val="00A14D8F"/>
    <w:rsid w:val="00A16E9E"/>
    <w:rsid w:val="00A2069E"/>
    <w:rsid w:val="00A22243"/>
    <w:rsid w:val="00A23B03"/>
    <w:rsid w:val="00A27F6B"/>
    <w:rsid w:val="00A33B43"/>
    <w:rsid w:val="00A346E9"/>
    <w:rsid w:val="00A3498D"/>
    <w:rsid w:val="00A362E4"/>
    <w:rsid w:val="00A4426A"/>
    <w:rsid w:val="00A44AA8"/>
    <w:rsid w:val="00A54A22"/>
    <w:rsid w:val="00A55361"/>
    <w:rsid w:val="00A57838"/>
    <w:rsid w:val="00A60126"/>
    <w:rsid w:val="00A61F69"/>
    <w:rsid w:val="00A64808"/>
    <w:rsid w:val="00A66E30"/>
    <w:rsid w:val="00A67737"/>
    <w:rsid w:val="00A72252"/>
    <w:rsid w:val="00A73B4A"/>
    <w:rsid w:val="00A776EE"/>
    <w:rsid w:val="00A80EB7"/>
    <w:rsid w:val="00A8199D"/>
    <w:rsid w:val="00A8495E"/>
    <w:rsid w:val="00A96694"/>
    <w:rsid w:val="00AA3787"/>
    <w:rsid w:val="00AA5DC0"/>
    <w:rsid w:val="00AA7898"/>
    <w:rsid w:val="00AB48FE"/>
    <w:rsid w:val="00AB5837"/>
    <w:rsid w:val="00AB683B"/>
    <w:rsid w:val="00AC0FDC"/>
    <w:rsid w:val="00AC1530"/>
    <w:rsid w:val="00AC74FE"/>
    <w:rsid w:val="00AD0A7E"/>
    <w:rsid w:val="00AE1ECF"/>
    <w:rsid w:val="00AE29DF"/>
    <w:rsid w:val="00AE4ED2"/>
    <w:rsid w:val="00AF1FBC"/>
    <w:rsid w:val="00AF26F4"/>
    <w:rsid w:val="00AF3034"/>
    <w:rsid w:val="00AF4F9C"/>
    <w:rsid w:val="00AF56A3"/>
    <w:rsid w:val="00AF6333"/>
    <w:rsid w:val="00B00385"/>
    <w:rsid w:val="00B00464"/>
    <w:rsid w:val="00B01704"/>
    <w:rsid w:val="00B01E1E"/>
    <w:rsid w:val="00B025B1"/>
    <w:rsid w:val="00B025F2"/>
    <w:rsid w:val="00B0410D"/>
    <w:rsid w:val="00B046F4"/>
    <w:rsid w:val="00B0503C"/>
    <w:rsid w:val="00B053A1"/>
    <w:rsid w:val="00B1122E"/>
    <w:rsid w:val="00B143A5"/>
    <w:rsid w:val="00B148CE"/>
    <w:rsid w:val="00B23FC9"/>
    <w:rsid w:val="00B26E0B"/>
    <w:rsid w:val="00B27846"/>
    <w:rsid w:val="00B36AF7"/>
    <w:rsid w:val="00B40B91"/>
    <w:rsid w:val="00B41269"/>
    <w:rsid w:val="00B41CBA"/>
    <w:rsid w:val="00B43F78"/>
    <w:rsid w:val="00B45381"/>
    <w:rsid w:val="00B51085"/>
    <w:rsid w:val="00B51AA3"/>
    <w:rsid w:val="00B52839"/>
    <w:rsid w:val="00B530AB"/>
    <w:rsid w:val="00B54C43"/>
    <w:rsid w:val="00B554C1"/>
    <w:rsid w:val="00B55555"/>
    <w:rsid w:val="00B55BF2"/>
    <w:rsid w:val="00B5645C"/>
    <w:rsid w:val="00B56A57"/>
    <w:rsid w:val="00B57523"/>
    <w:rsid w:val="00B62E9B"/>
    <w:rsid w:val="00B7050A"/>
    <w:rsid w:val="00B720F5"/>
    <w:rsid w:val="00B723E4"/>
    <w:rsid w:val="00B769F6"/>
    <w:rsid w:val="00B816AF"/>
    <w:rsid w:val="00B86669"/>
    <w:rsid w:val="00B86E43"/>
    <w:rsid w:val="00B93283"/>
    <w:rsid w:val="00B934CF"/>
    <w:rsid w:val="00B95E2C"/>
    <w:rsid w:val="00BA233D"/>
    <w:rsid w:val="00BA2C7D"/>
    <w:rsid w:val="00BA32ED"/>
    <w:rsid w:val="00BA55D7"/>
    <w:rsid w:val="00BA5B1A"/>
    <w:rsid w:val="00BB0DE4"/>
    <w:rsid w:val="00BB198E"/>
    <w:rsid w:val="00BB3DFA"/>
    <w:rsid w:val="00BB5600"/>
    <w:rsid w:val="00BC230E"/>
    <w:rsid w:val="00BC2F11"/>
    <w:rsid w:val="00BC4127"/>
    <w:rsid w:val="00BC7FCB"/>
    <w:rsid w:val="00BD317E"/>
    <w:rsid w:val="00BD7B8C"/>
    <w:rsid w:val="00BE1A6C"/>
    <w:rsid w:val="00BE6F4B"/>
    <w:rsid w:val="00BE758C"/>
    <w:rsid w:val="00BF5991"/>
    <w:rsid w:val="00BF5AD6"/>
    <w:rsid w:val="00C05DB3"/>
    <w:rsid w:val="00C06B6B"/>
    <w:rsid w:val="00C078C3"/>
    <w:rsid w:val="00C178E5"/>
    <w:rsid w:val="00C24466"/>
    <w:rsid w:val="00C2498F"/>
    <w:rsid w:val="00C25B50"/>
    <w:rsid w:val="00C267D8"/>
    <w:rsid w:val="00C31A05"/>
    <w:rsid w:val="00C32F4D"/>
    <w:rsid w:val="00C3332F"/>
    <w:rsid w:val="00C34FD6"/>
    <w:rsid w:val="00C3666B"/>
    <w:rsid w:val="00C36FC2"/>
    <w:rsid w:val="00C371B7"/>
    <w:rsid w:val="00C4099F"/>
    <w:rsid w:val="00C41931"/>
    <w:rsid w:val="00C4706C"/>
    <w:rsid w:val="00C5325C"/>
    <w:rsid w:val="00C534B3"/>
    <w:rsid w:val="00C538A1"/>
    <w:rsid w:val="00C619B5"/>
    <w:rsid w:val="00C6323B"/>
    <w:rsid w:val="00C63611"/>
    <w:rsid w:val="00C66759"/>
    <w:rsid w:val="00C7279D"/>
    <w:rsid w:val="00C8006B"/>
    <w:rsid w:val="00C8718E"/>
    <w:rsid w:val="00C872E8"/>
    <w:rsid w:val="00C949DD"/>
    <w:rsid w:val="00C94A9B"/>
    <w:rsid w:val="00C95640"/>
    <w:rsid w:val="00C968F3"/>
    <w:rsid w:val="00CA038A"/>
    <w:rsid w:val="00CA505B"/>
    <w:rsid w:val="00CA6122"/>
    <w:rsid w:val="00CB2301"/>
    <w:rsid w:val="00CB3248"/>
    <w:rsid w:val="00CB64AE"/>
    <w:rsid w:val="00CB6855"/>
    <w:rsid w:val="00CB779E"/>
    <w:rsid w:val="00CC0D13"/>
    <w:rsid w:val="00CC16CD"/>
    <w:rsid w:val="00CC65E1"/>
    <w:rsid w:val="00CC751D"/>
    <w:rsid w:val="00CD1496"/>
    <w:rsid w:val="00CD27C9"/>
    <w:rsid w:val="00CD2EE4"/>
    <w:rsid w:val="00CD77D8"/>
    <w:rsid w:val="00CD7AD9"/>
    <w:rsid w:val="00CE19DD"/>
    <w:rsid w:val="00CE1CCF"/>
    <w:rsid w:val="00CE1DAE"/>
    <w:rsid w:val="00CE70D7"/>
    <w:rsid w:val="00CF0AA8"/>
    <w:rsid w:val="00CF1024"/>
    <w:rsid w:val="00CF28B7"/>
    <w:rsid w:val="00CF3A23"/>
    <w:rsid w:val="00CF5DAE"/>
    <w:rsid w:val="00D00D56"/>
    <w:rsid w:val="00D06064"/>
    <w:rsid w:val="00D07C78"/>
    <w:rsid w:val="00D11B52"/>
    <w:rsid w:val="00D14D6F"/>
    <w:rsid w:val="00D219E9"/>
    <w:rsid w:val="00D22EA0"/>
    <w:rsid w:val="00D24071"/>
    <w:rsid w:val="00D40880"/>
    <w:rsid w:val="00D4218C"/>
    <w:rsid w:val="00D46546"/>
    <w:rsid w:val="00D53521"/>
    <w:rsid w:val="00D5551D"/>
    <w:rsid w:val="00D6353F"/>
    <w:rsid w:val="00D64EAE"/>
    <w:rsid w:val="00D666BE"/>
    <w:rsid w:val="00D6793D"/>
    <w:rsid w:val="00D714B8"/>
    <w:rsid w:val="00D7634D"/>
    <w:rsid w:val="00D81F69"/>
    <w:rsid w:val="00D837C5"/>
    <w:rsid w:val="00D866C9"/>
    <w:rsid w:val="00D947E1"/>
    <w:rsid w:val="00DA1D72"/>
    <w:rsid w:val="00DA2496"/>
    <w:rsid w:val="00DA5213"/>
    <w:rsid w:val="00DA6408"/>
    <w:rsid w:val="00DA650D"/>
    <w:rsid w:val="00DB309D"/>
    <w:rsid w:val="00DB5E28"/>
    <w:rsid w:val="00DB6B68"/>
    <w:rsid w:val="00DB714D"/>
    <w:rsid w:val="00DC0170"/>
    <w:rsid w:val="00DC0F2F"/>
    <w:rsid w:val="00DC2460"/>
    <w:rsid w:val="00DC2FE4"/>
    <w:rsid w:val="00DC40EF"/>
    <w:rsid w:val="00DC6E2A"/>
    <w:rsid w:val="00DD1E27"/>
    <w:rsid w:val="00DD253E"/>
    <w:rsid w:val="00DD489A"/>
    <w:rsid w:val="00DD51F5"/>
    <w:rsid w:val="00DD5AEB"/>
    <w:rsid w:val="00DE16E3"/>
    <w:rsid w:val="00DE1D36"/>
    <w:rsid w:val="00DE22E2"/>
    <w:rsid w:val="00DE48A2"/>
    <w:rsid w:val="00DE60B4"/>
    <w:rsid w:val="00DE7329"/>
    <w:rsid w:val="00DE7458"/>
    <w:rsid w:val="00DE79CE"/>
    <w:rsid w:val="00DF2935"/>
    <w:rsid w:val="00DF32E2"/>
    <w:rsid w:val="00DF528A"/>
    <w:rsid w:val="00DF5A30"/>
    <w:rsid w:val="00E019DC"/>
    <w:rsid w:val="00E03D97"/>
    <w:rsid w:val="00E06895"/>
    <w:rsid w:val="00E07C3D"/>
    <w:rsid w:val="00E142EC"/>
    <w:rsid w:val="00E143FC"/>
    <w:rsid w:val="00E14569"/>
    <w:rsid w:val="00E21106"/>
    <w:rsid w:val="00E236AC"/>
    <w:rsid w:val="00E253C6"/>
    <w:rsid w:val="00E25652"/>
    <w:rsid w:val="00E2588D"/>
    <w:rsid w:val="00E26DD6"/>
    <w:rsid w:val="00E276EC"/>
    <w:rsid w:val="00E3166F"/>
    <w:rsid w:val="00E34E49"/>
    <w:rsid w:val="00E35E03"/>
    <w:rsid w:val="00E43505"/>
    <w:rsid w:val="00E462D4"/>
    <w:rsid w:val="00E507EA"/>
    <w:rsid w:val="00E560BC"/>
    <w:rsid w:val="00E5751D"/>
    <w:rsid w:val="00E57701"/>
    <w:rsid w:val="00E57A58"/>
    <w:rsid w:val="00E57E84"/>
    <w:rsid w:val="00E61129"/>
    <w:rsid w:val="00E61B3E"/>
    <w:rsid w:val="00E632DB"/>
    <w:rsid w:val="00E63FCB"/>
    <w:rsid w:val="00E66AF9"/>
    <w:rsid w:val="00E66B2E"/>
    <w:rsid w:val="00E67B0F"/>
    <w:rsid w:val="00E7260B"/>
    <w:rsid w:val="00E776A7"/>
    <w:rsid w:val="00E80216"/>
    <w:rsid w:val="00E83462"/>
    <w:rsid w:val="00E85022"/>
    <w:rsid w:val="00E85970"/>
    <w:rsid w:val="00E85D9F"/>
    <w:rsid w:val="00E86BEE"/>
    <w:rsid w:val="00EA5BAD"/>
    <w:rsid w:val="00EA7F93"/>
    <w:rsid w:val="00EB2DD7"/>
    <w:rsid w:val="00EB4BAB"/>
    <w:rsid w:val="00EB59F9"/>
    <w:rsid w:val="00EB721D"/>
    <w:rsid w:val="00EC0AFF"/>
    <w:rsid w:val="00EC128A"/>
    <w:rsid w:val="00EC2573"/>
    <w:rsid w:val="00EC27B5"/>
    <w:rsid w:val="00EC2DE9"/>
    <w:rsid w:val="00EC696D"/>
    <w:rsid w:val="00EC6E00"/>
    <w:rsid w:val="00ED1571"/>
    <w:rsid w:val="00ED3240"/>
    <w:rsid w:val="00ED5099"/>
    <w:rsid w:val="00ED5B3E"/>
    <w:rsid w:val="00EE108C"/>
    <w:rsid w:val="00EE2C52"/>
    <w:rsid w:val="00EE3209"/>
    <w:rsid w:val="00EE484F"/>
    <w:rsid w:val="00EE4D10"/>
    <w:rsid w:val="00EE57E8"/>
    <w:rsid w:val="00EE5873"/>
    <w:rsid w:val="00EE6097"/>
    <w:rsid w:val="00EE7498"/>
    <w:rsid w:val="00EF0085"/>
    <w:rsid w:val="00EF2FA1"/>
    <w:rsid w:val="00EF47D3"/>
    <w:rsid w:val="00EF5A88"/>
    <w:rsid w:val="00F03A6A"/>
    <w:rsid w:val="00F03BFB"/>
    <w:rsid w:val="00F03CB3"/>
    <w:rsid w:val="00F06A1E"/>
    <w:rsid w:val="00F11611"/>
    <w:rsid w:val="00F15D9F"/>
    <w:rsid w:val="00F21325"/>
    <w:rsid w:val="00F213C4"/>
    <w:rsid w:val="00F21D35"/>
    <w:rsid w:val="00F22C20"/>
    <w:rsid w:val="00F233F7"/>
    <w:rsid w:val="00F23FA0"/>
    <w:rsid w:val="00F341BA"/>
    <w:rsid w:val="00F357D0"/>
    <w:rsid w:val="00F41B27"/>
    <w:rsid w:val="00F4397F"/>
    <w:rsid w:val="00F444B9"/>
    <w:rsid w:val="00F50D4F"/>
    <w:rsid w:val="00F56A87"/>
    <w:rsid w:val="00F572D5"/>
    <w:rsid w:val="00F62DF1"/>
    <w:rsid w:val="00F63360"/>
    <w:rsid w:val="00F7122F"/>
    <w:rsid w:val="00F7232D"/>
    <w:rsid w:val="00F76493"/>
    <w:rsid w:val="00F764E8"/>
    <w:rsid w:val="00F77DED"/>
    <w:rsid w:val="00F8181D"/>
    <w:rsid w:val="00F82520"/>
    <w:rsid w:val="00F83A8C"/>
    <w:rsid w:val="00F86B9D"/>
    <w:rsid w:val="00F935BF"/>
    <w:rsid w:val="00F96C5A"/>
    <w:rsid w:val="00FA00E5"/>
    <w:rsid w:val="00FA2380"/>
    <w:rsid w:val="00FA7FB6"/>
    <w:rsid w:val="00FB2274"/>
    <w:rsid w:val="00FB4C21"/>
    <w:rsid w:val="00FB67C9"/>
    <w:rsid w:val="00FB73AA"/>
    <w:rsid w:val="00FC03C1"/>
    <w:rsid w:val="00FC193D"/>
    <w:rsid w:val="00FC274F"/>
    <w:rsid w:val="00FC34AB"/>
    <w:rsid w:val="00FC4001"/>
    <w:rsid w:val="00FC45AB"/>
    <w:rsid w:val="00FD012D"/>
    <w:rsid w:val="00FD4907"/>
    <w:rsid w:val="00FD539F"/>
    <w:rsid w:val="00FD68BD"/>
    <w:rsid w:val="00FE01E2"/>
    <w:rsid w:val="00FE1433"/>
    <w:rsid w:val="00FE14B0"/>
    <w:rsid w:val="00FE24D5"/>
    <w:rsid w:val="00FE4CBA"/>
    <w:rsid w:val="00FE6D36"/>
    <w:rsid w:val="00FE71D1"/>
    <w:rsid w:val="00FF4840"/>
    <w:rsid w:val="00FF5B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FE121B"/>
  <w15:chartTrackingRefBased/>
  <w15:docId w15:val="{D4295407-B1FF-442A-AF5A-1912ACC4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738"/>
    <w:pPr>
      <w:keepNext/>
      <w:keepLines/>
      <w:spacing w:before="320" w:after="0" w:line="264" w:lineRule="auto"/>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1F1738"/>
    <w:pPr>
      <w:keepNext/>
      <w:keepLines/>
      <w:spacing w:before="80" w:after="0" w:line="264" w:lineRule="auto"/>
      <w:outlineLvl w:val="1"/>
    </w:pPr>
    <w:rPr>
      <w:rFonts w:asciiTheme="majorHAnsi" w:eastAsiaTheme="majorEastAsia" w:hAnsiTheme="majorHAnsi" w:cstheme="majorBidi"/>
      <w:color w:val="404040" w:themeColor="text1" w:themeTint="BF"/>
      <w:sz w:val="28"/>
    </w:rPr>
  </w:style>
  <w:style w:type="paragraph" w:styleId="Heading3">
    <w:name w:val="heading 3"/>
    <w:basedOn w:val="Normal"/>
    <w:next w:val="Normal"/>
    <w:link w:val="Heading3Char"/>
    <w:uiPriority w:val="9"/>
    <w:unhideWhenUsed/>
    <w:qFormat/>
    <w:rsid w:val="001F1738"/>
    <w:pPr>
      <w:keepNext/>
      <w:keepLines/>
      <w:spacing w:before="40" w:after="0" w:line="264" w:lineRule="auto"/>
      <w:outlineLvl w:val="2"/>
    </w:pPr>
    <w:rPr>
      <w:rFonts w:asciiTheme="majorHAnsi" w:eastAsiaTheme="majorEastAsia" w:hAnsiTheme="majorHAnsi" w:cstheme="majorBidi"/>
      <w:color w:val="1F497D" w:themeColor="text2"/>
      <w:sz w:val="24"/>
    </w:rPr>
  </w:style>
  <w:style w:type="paragraph" w:styleId="Heading4">
    <w:name w:val="heading 4"/>
    <w:basedOn w:val="Normal"/>
    <w:next w:val="Normal"/>
    <w:link w:val="Heading4Char"/>
    <w:uiPriority w:val="9"/>
    <w:unhideWhenUsed/>
    <w:qFormat/>
    <w:rsid w:val="001F1738"/>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F1738"/>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Heading6">
    <w:name w:val="heading 6"/>
    <w:basedOn w:val="Normal"/>
    <w:next w:val="Normal"/>
    <w:link w:val="Heading6Char"/>
    <w:uiPriority w:val="9"/>
    <w:semiHidden/>
    <w:unhideWhenUsed/>
    <w:qFormat/>
    <w:rsid w:val="001F1738"/>
    <w:pPr>
      <w:keepNext/>
      <w:keepLines/>
      <w:spacing w:before="40" w:after="0" w:line="264" w:lineRule="auto"/>
      <w:outlineLvl w:val="5"/>
    </w:pPr>
    <w:rPr>
      <w:rFonts w:asciiTheme="majorHAnsi" w:eastAsiaTheme="majorEastAsia" w:hAnsiTheme="majorHAnsi" w:cstheme="majorBidi"/>
      <w:i/>
      <w:color w:val="1F497D" w:themeColor="text2"/>
      <w:sz w:val="21"/>
    </w:rPr>
  </w:style>
  <w:style w:type="paragraph" w:styleId="Heading7">
    <w:name w:val="heading 7"/>
    <w:basedOn w:val="Normal"/>
    <w:next w:val="Normal"/>
    <w:link w:val="Heading7Char"/>
    <w:uiPriority w:val="9"/>
    <w:semiHidden/>
    <w:unhideWhenUsed/>
    <w:qFormat/>
    <w:rsid w:val="001F1738"/>
    <w:pPr>
      <w:keepNext/>
      <w:keepLines/>
      <w:spacing w:before="40" w:after="0" w:line="264" w:lineRule="auto"/>
      <w:outlineLvl w:val="6"/>
    </w:pPr>
    <w:rPr>
      <w:rFonts w:asciiTheme="majorHAnsi" w:eastAsiaTheme="majorEastAsia" w:hAnsiTheme="majorHAnsi" w:cstheme="majorBidi"/>
      <w:i/>
      <w:color w:val="244061" w:themeColor="accent1" w:themeShade="80"/>
      <w:sz w:val="21"/>
    </w:rPr>
  </w:style>
  <w:style w:type="paragraph" w:styleId="Heading8">
    <w:name w:val="heading 8"/>
    <w:basedOn w:val="Normal"/>
    <w:next w:val="Normal"/>
    <w:link w:val="Heading8Char"/>
    <w:uiPriority w:val="9"/>
    <w:semiHidden/>
    <w:unhideWhenUsed/>
    <w:qFormat/>
    <w:rsid w:val="001F1738"/>
    <w:pPr>
      <w:keepNext/>
      <w:keepLines/>
      <w:spacing w:before="40" w:after="0" w:line="264" w:lineRule="auto"/>
      <w:outlineLvl w:val="7"/>
    </w:pPr>
    <w:rPr>
      <w:rFonts w:asciiTheme="majorHAnsi" w:eastAsiaTheme="majorEastAsia" w:hAnsiTheme="majorHAnsi" w:cstheme="majorBidi"/>
      <w:b/>
      <w:color w:val="1F497D" w:themeColor="text2"/>
      <w:sz w:val="20"/>
    </w:rPr>
  </w:style>
  <w:style w:type="paragraph" w:styleId="Heading9">
    <w:name w:val="heading 9"/>
    <w:basedOn w:val="Normal"/>
    <w:next w:val="Normal"/>
    <w:link w:val="Heading9Char"/>
    <w:uiPriority w:val="9"/>
    <w:semiHidden/>
    <w:unhideWhenUsed/>
    <w:qFormat/>
    <w:rsid w:val="001F1738"/>
    <w:pPr>
      <w:keepNext/>
      <w:keepLines/>
      <w:spacing w:before="40" w:after="0" w:line="264" w:lineRule="auto"/>
      <w:outlineLvl w:val="8"/>
    </w:pPr>
    <w:rPr>
      <w:rFonts w:asciiTheme="majorHAnsi" w:eastAsiaTheme="majorEastAsia" w:hAnsiTheme="majorHAnsi" w:cstheme="majorBidi"/>
      <w:b/>
      <w:i/>
      <w:color w:val="1F497D" w:themeColor="text2"/>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619B5"/>
    <w:rPr>
      <w:color w:val="0000FF"/>
      <w:shd w:val="clear" w:color="auto" w:fill="auto"/>
    </w:rPr>
  </w:style>
  <w:style w:type="paragraph" w:styleId="Header">
    <w:name w:val="header"/>
    <w:basedOn w:val="Normal"/>
    <w:link w:val="HeaderChar"/>
    <w:uiPriority w:val="99"/>
    <w:unhideWhenUsed/>
    <w:rsid w:val="00C61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9B5"/>
  </w:style>
  <w:style w:type="paragraph" w:styleId="Footer">
    <w:name w:val="footer"/>
    <w:basedOn w:val="Normal"/>
    <w:link w:val="FooterChar"/>
    <w:uiPriority w:val="99"/>
    <w:unhideWhenUsed/>
    <w:rsid w:val="00C6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9B5"/>
  </w:style>
  <w:style w:type="paragraph" w:customStyle="1" w:styleId="Pagedecouverture">
    <w:name w:val="Page de couverture"/>
    <w:basedOn w:val="Normal"/>
    <w:next w:val="Normal"/>
    <w:uiPriority w:val="1"/>
    <w:rsid w:val="00C619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uiPriority w:val="1"/>
    <w:rsid w:val="00C619B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C619B5"/>
    <w:rPr>
      <w:rFonts w:ascii="Times New Roman" w:hAnsi="Times New Roman" w:cs="Times New Roman"/>
      <w:sz w:val="24"/>
    </w:rPr>
  </w:style>
  <w:style w:type="paragraph" w:customStyle="1" w:styleId="FooterSensitivity">
    <w:name w:val="Footer Sensitivity"/>
    <w:basedOn w:val="Normal"/>
    <w:link w:val="FooterSensitivityChar"/>
    <w:uiPriority w:val="1"/>
    <w:rsid w:val="00C619B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uiPriority w:val="1"/>
    <w:rsid w:val="00C619B5"/>
    <w:rPr>
      <w:rFonts w:ascii="Times New Roman" w:hAnsi="Times New Roman" w:cs="Times New Roman"/>
      <w:b/>
      <w:sz w:val="32"/>
    </w:rPr>
  </w:style>
  <w:style w:type="paragraph" w:customStyle="1" w:styleId="HeaderCoverPage">
    <w:name w:val="Header Cover Page"/>
    <w:basedOn w:val="Normal"/>
    <w:link w:val="HeaderCoverPageChar"/>
    <w:uiPriority w:val="1"/>
    <w:rsid w:val="00C619B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C619B5"/>
    <w:rPr>
      <w:rFonts w:ascii="Times New Roman" w:hAnsi="Times New Roman" w:cs="Times New Roman"/>
      <w:sz w:val="24"/>
    </w:rPr>
  </w:style>
  <w:style w:type="paragraph" w:customStyle="1" w:styleId="HeaderSensitivity">
    <w:name w:val="Header Sensitivity"/>
    <w:basedOn w:val="Normal"/>
    <w:link w:val="HeaderSensitivityChar"/>
    <w:uiPriority w:val="1"/>
    <w:rsid w:val="00C619B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uiPriority w:val="1"/>
    <w:rsid w:val="00C619B5"/>
    <w:rPr>
      <w:rFonts w:ascii="Times New Roman" w:hAnsi="Times New Roman" w:cs="Times New Roman"/>
      <w:b/>
      <w:sz w:val="32"/>
    </w:rPr>
  </w:style>
  <w:style w:type="paragraph" w:customStyle="1" w:styleId="HeaderSensitivityRight">
    <w:name w:val="Header Sensitivity Right"/>
    <w:basedOn w:val="Normal"/>
    <w:link w:val="HeaderSensitivityRightChar"/>
    <w:uiPriority w:val="1"/>
    <w:rsid w:val="00C619B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uiPriority w:val="1"/>
    <w:rsid w:val="00C619B5"/>
    <w:rPr>
      <w:rFonts w:ascii="Times New Roman" w:hAnsi="Times New Roman" w:cs="Times New Roman"/>
      <w:sz w:val="28"/>
    </w:rPr>
  </w:style>
  <w:style w:type="character" w:customStyle="1" w:styleId="Heading1Char">
    <w:name w:val="Heading 1 Char"/>
    <w:basedOn w:val="DefaultParagraphFont"/>
    <w:link w:val="Heading1"/>
    <w:uiPriority w:val="9"/>
    <w:rsid w:val="001F1738"/>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1F1738"/>
    <w:rPr>
      <w:rFonts w:asciiTheme="majorHAnsi" w:eastAsiaTheme="majorEastAsia" w:hAnsiTheme="majorHAnsi" w:cstheme="majorBidi"/>
      <w:color w:val="404040" w:themeColor="text1" w:themeTint="BF"/>
      <w:sz w:val="28"/>
    </w:rPr>
  </w:style>
  <w:style w:type="character" w:customStyle="1" w:styleId="Heading3Char">
    <w:name w:val="Heading 3 Char"/>
    <w:basedOn w:val="DefaultParagraphFont"/>
    <w:link w:val="Heading3"/>
    <w:uiPriority w:val="9"/>
    <w:rsid w:val="001F1738"/>
    <w:rPr>
      <w:rFonts w:asciiTheme="majorHAnsi" w:eastAsiaTheme="majorEastAsia" w:hAnsiTheme="majorHAnsi" w:cstheme="majorBidi"/>
      <w:color w:val="1F497D" w:themeColor="text2"/>
      <w:sz w:val="24"/>
    </w:rPr>
  </w:style>
  <w:style w:type="character" w:customStyle="1" w:styleId="Heading4Char">
    <w:name w:val="Heading 4 Char"/>
    <w:basedOn w:val="DefaultParagraphFont"/>
    <w:link w:val="Heading4"/>
    <w:uiPriority w:val="9"/>
    <w:rsid w:val="001F173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F1738"/>
    <w:rPr>
      <w:rFonts w:asciiTheme="majorHAnsi" w:eastAsiaTheme="majorEastAsia" w:hAnsiTheme="majorHAnsi" w:cstheme="majorBidi"/>
      <w:color w:val="1F497D" w:themeColor="text2"/>
    </w:rPr>
  </w:style>
  <w:style w:type="character" w:customStyle="1" w:styleId="Heading6Char">
    <w:name w:val="Heading 6 Char"/>
    <w:basedOn w:val="DefaultParagraphFont"/>
    <w:link w:val="Heading6"/>
    <w:uiPriority w:val="9"/>
    <w:semiHidden/>
    <w:rsid w:val="001F1738"/>
    <w:rPr>
      <w:rFonts w:asciiTheme="majorHAnsi" w:eastAsiaTheme="majorEastAsia" w:hAnsiTheme="majorHAnsi" w:cstheme="majorBidi"/>
      <w:i/>
      <w:color w:val="1F497D" w:themeColor="text2"/>
      <w:sz w:val="21"/>
    </w:rPr>
  </w:style>
  <w:style w:type="character" w:customStyle="1" w:styleId="Heading7Char">
    <w:name w:val="Heading 7 Char"/>
    <w:basedOn w:val="DefaultParagraphFont"/>
    <w:link w:val="Heading7"/>
    <w:uiPriority w:val="9"/>
    <w:semiHidden/>
    <w:rsid w:val="001F1738"/>
    <w:rPr>
      <w:rFonts w:asciiTheme="majorHAnsi" w:eastAsiaTheme="majorEastAsia" w:hAnsiTheme="majorHAnsi" w:cstheme="majorBidi"/>
      <w:i/>
      <w:color w:val="244061" w:themeColor="accent1" w:themeShade="80"/>
      <w:sz w:val="21"/>
    </w:rPr>
  </w:style>
  <w:style w:type="character" w:customStyle="1" w:styleId="Heading8Char">
    <w:name w:val="Heading 8 Char"/>
    <w:basedOn w:val="DefaultParagraphFont"/>
    <w:link w:val="Heading8"/>
    <w:uiPriority w:val="9"/>
    <w:semiHidden/>
    <w:rsid w:val="001F1738"/>
    <w:rPr>
      <w:rFonts w:asciiTheme="majorHAnsi" w:eastAsiaTheme="majorEastAsia" w:hAnsiTheme="majorHAnsi" w:cstheme="majorBidi"/>
      <w:b/>
      <w:color w:val="1F497D" w:themeColor="text2"/>
      <w:sz w:val="20"/>
    </w:rPr>
  </w:style>
  <w:style w:type="character" w:customStyle="1" w:styleId="Heading9Char">
    <w:name w:val="Heading 9 Char"/>
    <w:basedOn w:val="DefaultParagraphFont"/>
    <w:link w:val="Heading9"/>
    <w:uiPriority w:val="9"/>
    <w:semiHidden/>
    <w:rsid w:val="001F1738"/>
    <w:rPr>
      <w:rFonts w:asciiTheme="majorHAnsi" w:eastAsiaTheme="majorEastAsia" w:hAnsiTheme="majorHAnsi" w:cstheme="majorBidi"/>
      <w:b/>
      <w:i/>
      <w:color w:val="1F497D" w:themeColor="text2"/>
      <w:sz w:val="20"/>
    </w:rPr>
  </w:style>
  <w:style w:type="numbering" w:customStyle="1" w:styleId="NoList1">
    <w:name w:val="No List1"/>
    <w:next w:val="NoList"/>
    <w:uiPriority w:val="99"/>
    <w:semiHidden/>
    <w:unhideWhenUsed/>
    <w:rsid w:val="001F1738"/>
  </w:style>
  <w:style w:type="paragraph" w:styleId="ListParagraph">
    <w:name w:val="List Paragraph"/>
    <w:basedOn w:val="Normal"/>
    <w:link w:val="ListParagraphChar"/>
    <w:uiPriority w:val="34"/>
    <w:qFormat/>
    <w:rsid w:val="001F1738"/>
    <w:pPr>
      <w:spacing w:after="120" w:line="264" w:lineRule="auto"/>
      <w:ind w:left="720"/>
      <w:contextualSpacing/>
    </w:pPr>
    <w:rPr>
      <w:rFonts w:eastAsiaTheme="minorEastAsia"/>
      <w:sz w:val="20"/>
    </w:rPr>
  </w:style>
  <w:style w:type="paragraph" w:styleId="BalloonText">
    <w:name w:val="Balloon Text"/>
    <w:basedOn w:val="Normal"/>
    <w:link w:val="BalloonTextChar"/>
    <w:uiPriority w:val="99"/>
    <w:semiHidden/>
    <w:unhideWhenUsed/>
    <w:rsid w:val="001F1738"/>
    <w:pPr>
      <w:spacing w:after="0" w:line="264" w:lineRule="auto"/>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1F1738"/>
    <w:rPr>
      <w:rFonts w:ascii="Segoe UI" w:eastAsiaTheme="minorEastAsia" w:hAnsi="Segoe UI" w:cs="Segoe UI"/>
      <w:sz w:val="18"/>
    </w:rPr>
  </w:style>
  <w:style w:type="character" w:customStyle="1" w:styleId="apple-tab-span">
    <w:name w:val="apple-tab-span"/>
    <w:basedOn w:val="DefaultParagraphFont"/>
    <w:rsid w:val="001F1738"/>
  </w:style>
  <w:style w:type="character" w:styleId="CommentReference">
    <w:name w:val="annotation reference"/>
    <w:basedOn w:val="DefaultParagraphFont"/>
    <w:uiPriority w:val="99"/>
    <w:unhideWhenUsed/>
    <w:rsid w:val="001F1738"/>
    <w:rPr>
      <w:sz w:val="16"/>
    </w:rPr>
  </w:style>
  <w:style w:type="paragraph" w:styleId="CommentText">
    <w:name w:val="annotation text"/>
    <w:basedOn w:val="Normal"/>
    <w:link w:val="CommentTextChar"/>
    <w:uiPriority w:val="99"/>
    <w:unhideWhenUsed/>
    <w:qFormat/>
    <w:rsid w:val="001F1738"/>
    <w:pPr>
      <w:spacing w:after="120" w:line="264" w:lineRule="auto"/>
    </w:pPr>
    <w:rPr>
      <w:rFonts w:eastAsiaTheme="minorEastAsia"/>
      <w:sz w:val="20"/>
    </w:rPr>
  </w:style>
  <w:style w:type="character" w:customStyle="1" w:styleId="CommentTextChar">
    <w:name w:val="Comment Text Char"/>
    <w:basedOn w:val="DefaultParagraphFont"/>
    <w:link w:val="CommentText"/>
    <w:uiPriority w:val="99"/>
    <w:qFormat/>
    <w:rsid w:val="001F1738"/>
    <w:rPr>
      <w:rFonts w:eastAsiaTheme="minorEastAsia"/>
      <w:sz w:val="20"/>
    </w:rPr>
  </w:style>
  <w:style w:type="paragraph" w:styleId="CommentSubject">
    <w:name w:val="annotation subject"/>
    <w:basedOn w:val="CommentText"/>
    <w:next w:val="CommentText"/>
    <w:link w:val="CommentSubjectChar"/>
    <w:uiPriority w:val="99"/>
    <w:semiHidden/>
    <w:unhideWhenUsed/>
    <w:rsid w:val="001F1738"/>
    <w:rPr>
      <w:b/>
    </w:rPr>
  </w:style>
  <w:style w:type="character" w:customStyle="1" w:styleId="CommentSubjectChar">
    <w:name w:val="Comment Subject Char"/>
    <w:basedOn w:val="CommentTextChar"/>
    <w:link w:val="CommentSubject"/>
    <w:uiPriority w:val="99"/>
    <w:semiHidden/>
    <w:rsid w:val="001F1738"/>
    <w:rPr>
      <w:rFonts w:eastAsiaTheme="minorEastAsia"/>
      <w:b/>
      <w:sz w:val="20"/>
    </w:rPr>
  </w:style>
  <w:style w:type="paragraph" w:styleId="FootnoteText">
    <w:name w:val="footnote text"/>
    <w:basedOn w:val="Normal"/>
    <w:link w:val="FootnoteTextChar"/>
    <w:uiPriority w:val="99"/>
    <w:unhideWhenUsed/>
    <w:qFormat/>
    <w:rsid w:val="001F1738"/>
    <w:pPr>
      <w:spacing w:after="0" w:line="264" w:lineRule="auto"/>
    </w:pPr>
    <w:rPr>
      <w:rFonts w:eastAsiaTheme="minorEastAsia"/>
      <w:sz w:val="20"/>
    </w:rPr>
  </w:style>
  <w:style w:type="character" w:customStyle="1" w:styleId="FootnoteTextChar">
    <w:name w:val="Footnote Text Char"/>
    <w:basedOn w:val="DefaultParagraphFont"/>
    <w:link w:val="FootnoteText"/>
    <w:uiPriority w:val="99"/>
    <w:rsid w:val="001F1738"/>
    <w:rPr>
      <w:rFonts w:eastAsiaTheme="minorEastAsia"/>
      <w:sz w:val="20"/>
    </w:rPr>
  </w:style>
  <w:style w:type="character" w:styleId="FootnoteReference">
    <w:name w:val="footnote reference"/>
    <w:basedOn w:val="DefaultParagraphFont"/>
    <w:link w:val="Odwo0142anieprzypisu"/>
    <w:uiPriority w:val="99"/>
    <w:unhideWhenUsed/>
    <w:qFormat/>
    <w:rsid w:val="001F1738"/>
    <w:rPr>
      <w:vertAlign w:val="superscript"/>
    </w:rPr>
  </w:style>
  <w:style w:type="character" w:styleId="Hyperlink">
    <w:name w:val="Hyperlink"/>
    <w:basedOn w:val="DefaultParagraphFont"/>
    <w:uiPriority w:val="99"/>
    <w:unhideWhenUsed/>
    <w:rsid w:val="001F1738"/>
    <w:rPr>
      <w:color w:val="0000FF" w:themeColor="hyperlink"/>
      <w:u w:val="single"/>
    </w:rPr>
  </w:style>
  <w:style w:type="table" w:styleId="TableGrid">
    <w:name w:val="Table Grid"/>
    <w:basedOn w:val="TableNormal"/>
    <w:uiPriority w:val="59"/>
    <w:rsid w:val="001F1738"/>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rboxORANGEdashedbulletlist">
    <w:name w:val="[ampr box ORANGE dashed] bullet list"/>
    <w:basedOn w:val="Normal"/>
    <w:uiPriority w:val="1"/>
    <w:rsid w:val="001F1738"/>
    <w:pPr>
      <w:numPr>
        <w:numId w:val="2"/>
      </w:numPr>
      <w:spacing w:after="120" w:line="264" w:lineRule="auto"/>
      <w:jc w:val="both"/>
    </w:pPr>
    <w:rPr>
      <w:rFonts w:ascii="EC Square Sans Pro" w:eastAsiaTheme="minorEastAsia" w:hAnsi="EC Square Sans Pro" w:cs="Times New Roman"/>
      <w:color w:val="000000" w:themeColor="text1"/>
      <w:sz w:val="20"/>
    </w:rPr>
  </w:style>
  <w:style w:type="character" w:customStyle="1" w:styleId="amprcharBoldBlue">
    <w:name w:val="[ampr char] Bold Blue"/>
    <w:basedOn w:val="DefaultParagraphFont"/>
    <w:uiPriority w:val="1"/>
    <w:rsid w:val="001F1738"/>
    <w:rPr>
      <w:b/>
      <w:color w:val="8064A2"/>
      <w:spacing w:val="1"/>
      <w:bdr w:val="none" w:sz="0" w:space="0" w:color="auto" w:frame="1"/>
    </w:rPr>
  </w:style>
  <w:style w:type="numbering" w:customStyle="1" w:styleId="amprLISTL1-forboxORANGEdashed">
    <w:name w:val="[ampr LIST] L1 - for box ORANGE dashed"/>
    <w:uiPriority w:val="99"/>
    <w:rsid w:val="001F1738"/>
    <w:pPr>
      <w:numPr>
        <w:numId w:val="2"/>
      </w:numPr>
    </w:pPr>
  </w:style>
  <w:style w:type="paragraph" w:styleId="Revision">
    <w:name w:val="Revision"/>
    <w:hidden/>
    <w:uiPriority w:val="99"/>
    <w:semiHidden/>
    <w:rsid w:val="001F1738"/>
    <w:pPr>
      <w:spacing w:after="0" w:line="240" w:lineRule="auto"/>
    </w:pPr>
    <w:rPr>
      <w:rFonts w:eastAsiaTheme="minorEastAsia"/>
      <w:sz w:val="20"/>
    </w:rPr>
  </w:style>
  <w:style w:type="paragraph" w:customStyle="1" w:styleId="Odwo0142anieprzypisu">
    <w:name w:val="Odwo&lt;0142&gt;anie przypisu"/>
    <w:basedOn w:val="Normal"/>
    <w:link w:val="FootnoteReference"/>
    <w:uiPriority w:val="99"/>
    <w:rsid w:val="001F1738"/>
    <w:pPr>
      <w:spacing w:before="120" w:after="160" w:line="240" w:lineRule="exact"/>
      <w:jc w:val="both"/>
    </w:pPr>
    <w:rPr>
      <w:vertAlign w:val="superscript"/>
    </w:rPr>
  </w:style>
  <w:style w:type="character" w:styleId="Strong">
    <w:name w:val="Strong"/>
    <w:basedOn w:val="DefaultParagraphFont"/>
    <w:uiPriority w:val="22"/>
    <w:qFormat/>
    <w:rsid w:val="001F1738"/>
    <w:rPr>
      <w:b/>
    </w:rPr>
  </w:style>
  <w:style w:type="paragraph" w:styleId="NoSpacing">
    <w:name w:val="No Spacing"/>
    <w:link w:val="NoSpacingChar"/>
    <w:uiPriority w:val="1"/>
    <w:qFormat/>
    <w:rsid w:val="001F1738"/>
    <w:pPr>
      <w:spacing w:after="0" w:line="240" w:lineRule="auto"/>
    </w:pPr>
    <w:rPr>
      <w:rFonts w:eastAsiaTheme="minorEastAsia"/>
      <w:sz w:val="20"/>
    </w:rPr>
  </w:style>
  <w:style w:type="character" w:customStyle="1" w:styleId="NoSpacingChar">
    <w:name w:val="No Spacing Char"/>
    <w:basedOn w:val="DefaultParagraphFont"/>
    <w:link w:val="NoSpacing"/>
    <w:uiPriority w:val="1"/>
    <w:rsid w:val="001F1738"/>
    <w:rPr>
      <w:rFonts w:eastAsiaTheme="minorEastAsia"/>
      <w:sz w:val="20"/>
    </w:rPr>
  </w:style>
  <w:style w:type="paragraph" w:customStyle="1" w:styleId="Text1">
    <w:name w:val="Text 1"/>
    <w:basedOn w:val="Normal"/>
    <w:uiPriority w:val="90"/>
    <w:rsid w:val="001F1738"/>
    <w:pPr>
      <w:spacing w:after="240" w:line="264" w:lineRule="auto"/>
      <w:ind w:left="482"/>
      <w:jc w:val="both"/>
    </w:pPr>
    <w:rPr>
      <w:rFonts w:ascii="Times New Roman" w:eastAsia="Times New Roman" w:hAnsi="Times New Roman" w:cs="Times New Roman"/>
      <w:sz w:val="24"/>
    </w:rPr>
  </w:style>
  <w:style w:type="paragraph" w:styleId="NormalWeb">
    <w:name w:val="Normal (Web)"/>
    <w:basedOn w:val="Normal"/>
    <w:uiPriority w:val="99"/>
    <w:unhideWhenUsed/>
    <w:rsid w:val="001F1738"/>
    <w:pPr>
      <w:spacing w:beforeAutospacing="1" w:after="120" w:afterAutospacing="1" w:line="264" w:lineRule="auto"/>
    </w:pPr>
    <w:rPr>
      <w:rFonts w:ascii="Times New Roman" w:eastAsia="Times New Roman" w:hAnsi="Times New Roman" w:cs="Times New Roman"/>
      <w:sz w:val="24"/>
    </w:rPr>
  </w:style>
  <w:style w:type="character" w:customStyle="1" w:styleId="ListParagraphChar">
    <w:name w:val="List Paragraph Char"/>
    <w:link w:val="ListParagraph"/>
    <w:uiPriority w:val="34"/>
    <w:rsid w:val="001F1738"/>
    <w:rPr>
      <w:rFonts w:eastAsiaTheme="minorEastAsia"/>
      <w:sz w:val="20"/>
    </w:rPr>
  </w:style>
  <w:style w:type="character" w:customStyle="1" w:styleId="authors">
    <w:name w:val="authors"/>
    <w:basedOn w:val="DefaultParagraphFont"/>
    <w:rsid w:val="001F1738"/>
  </w:style>
  <w:style w:type="character" w:customStyle="1" w:styleId="arttitle">
    <w:name w:val="art_title"/>
    <w:basedOn w:val="DefaultParagraphFont"/>
    <w:rsid w:val="001F1738"/>
  </w:style>
  <w:style w:type="character" w:customStyle="1" w:styleId="serialtitle">
    <w:name w:val="serial_title"/>
    <w:basedOn w:val="DefaultParagraphFont"/>
    <w:rsid w:val="001F1738"/>
  </w:style>
  <w:style w:type="character" w:customStyle="1" w:styleId="volumeissue">
    <w:name w:val="volume_issue"/>
    <w:basedOn w:val="DefaultParagraphFont"/>
    <w:rsid w:val="001F1738"/>
  </w:style>
  <w:style w:type="character" w:customStyle="1" w:styleId="pagerange">
    <w:name w:val="page_range"/>
    <w:basedOn w:val="DefaultParagraphFont"/>
    <w:rsid w:val="001F1738"/>
  </w:style>
  <w:style w:type="character" w:customStyle="1" w:styleId="doilink">
    <w:name w:val="doi_link"/>
    <w:basedOn w:val="DefaultParagraphFont"/>
    <w:rsid w:val="001F1738"/>
  </w:style>
  <w:style w:type="paragraph" w:customStyle="1" w:styleId="Text2">
    <w:name w:val="Text 2"/>
    <w:basedOn w:val="Normal"/>
    <w:uiPriority w:val="1"/>
    <w:rsid w:val="001F1738"/>
    <w:pPr>
      <w:tabs>
        <w:tab w:val="left" w:pos="2302"/>
      </w:tabs>
      <w:spacing w:after="240" w:line="264" w:lineRule="auto"/>
      <w:ind w:left="1202"/>
      <w:jc w:val="both"/>
    </w:pPr>
    <w:rPr>
      <w:rFonts w:ascii="Times New Roman" w:eastAsia="Times New Roman" w:hAnsi="Times New Roman" w:cs="Times New Roman"/>
      <w:sz w:val="24"/>
    </w:rPr>
  </w:style>
  <w:style w:type="table" w:styleId="GridTable4-Accent1">
    <w:name w:val="Grid Table 4 Accent 1"/>
    <w:basedOn w:val="TableNormal"/>
    <w:uiPriority w:val="49"/>
    <w:rsid w:val="001F1738"/>
    <w:pPr>
      <w:spacing w:after="0" w:line="240" w:lineRule="auto"/>
    </w:pPr>
    <w:rPr>
      <w:rFonts w:eastAsiaTheme="minorEastAsia"/>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1F1738"/>
    <w:pPr>
      <w:spacing w:after="0" w:line="240" w:lineRule="auto"/>
    </w:pPr>
    <w:rPr>
      <w:rFonts w:eastAsiaTheme="minorEastAsia"/>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1F1738"/>
    <w:rPr>
      <w:color w:val="800080" w:themeColor="followedHyperlink"/>
      <w:u w:val="single"/>
    </w:rPr>
  </w:style>
  <w:style w:type="character" w:customStyle="1" w:styleId="italic">
    <w:name w:val="italic"/>
    <w:basedOn w:val="DefaultParagraphFont"/>
    <w:rsid w:val="001F1738"/>
  </w:style>
  <w:style w:type="paragraph" w:customStyle="1" w:styleId="NumPar1">
    <w:name w:val="NumPar 1"/>
    <w:basedOn w:val="Normal"/>
    <w:next w:val="Text1"/>
    <w:uiPriority w:val="1"/>
    <w:rsid w:val="001F1738"/>
    <w:pPr>
      <w:tabs>
        <w:tab w:val="num" w:pos="850"/>
      </w:tabs>
      <w:spacing w:before="120" w:after="120" w:line="264" w:lineRule="auto"/>
      <w:ind w:left="850" w:hanging="850"/>
      <w:jc w:val="both"/>
    </w:pPr>
    <w:rPr>
      <w:rFonts w:ascii="Times New Roman" w:eastAsiaTheme="minorEastAsia" w:hAnsi="Times New Roman" w:cs="Times New Roman"/>
      <w:sz w:val="24"/>
    </w:rPr>
  </w:style>
  <w:style w:type="character" w:customStyle="1" w:styleId="Aucun">
    <w:name w:val="Aucun"/>
    <w:rsid w:val="001F1738"/>
  </w:style>
  <w:style w:type="paragraph" w:customStyle="1" w:styleId="Considrant">
    <w:name w:val="Considérant"/>
    <w:basedOn w:val="Normal"/>
    <w:uiPriority w:val="1"/>
    <w:rsid w:val="001F1738"/>
    <w:pPr>
      <w:numPr>
        <w:numId w:val="3"/>
      </w:numPr>
      <w:spacing w:before="120" w:after="120" w:line="264" w:lineRule="auto"/>
      <w:jc w:val="both"/>
    </w:pPr>
    <w:rPr>
      <w:rFonts w:ascii="Times New Roman" w:eastAsiaTheme="minorEastAsia" w:hAnsi="Times New Roman" w:cs="Times New Roman"/>
      <w:sz w:val="24"/>
    </w:rPr>
  </w:style>
  <w:style w:type="character" w:customStyle="1" w:styleId="highlight">
    <w:name w:val="highlight"/>
    <w:basedOn w:val="DefaultParagraphFont"/>
    <w:rsid w:val="001F1738"/>
  </w:style>
  <w:style w:type="paragraph" w:customStyle="1" w:styleId="Disclaimer">
    <w:name w:val="Disclaimer"/>
    <w:basedOn w:val="Normal"/>
    <w:uiPriority w:val="1"/>
    <w:rsid w:val="001F1738"/>
    <w:pPr>
      <w:spacing w:before="120" w:after="120" w:line="264" w:lineRule="auto"/>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1F1738"/>
    <w:pPr>
      <w:spacing w:after="0" w:line="264" w:lineRule="auto"/>
      <w:ind w:left="5103"/>
    </w:pPr>
    <w:rPr>
      <w:rFonts w:ascii="Times New Roman" w:eastAsiaTheme="minorEastAsia" w:hAnsi="Times New Roman" w:cs="Times New Roman"/>
      <w:sz w:val="28"/>
    </w:rPr>
  </w:style>
  <w:style w:type="paragraph" w:customStyle="1" w:styleId="DateMarking">
    <w:name w:val="DateMarking"/>
    <w:basedOn w:val="Normal"/>
    <w:uiPriority w:val="1"/>
    <w:rsid w:val="001F1738"/>
    <w:pPr>
      <w:spacing w:after="0" w:line="264" w:lineRule="auto"/>
      <w:ind w:left="5103"/>
    </w:pPr>
    <w:rPr>
      <w:rFonts w:ascii="Times New Roman" w:eastAsiaTheme="minorEastAsia" w:hAnsi="Times New Roman" w:cs="Times New Roman"/>
      <w:i/>
      <w:sz w:val="28"/>
    </w:rPr>
  </w:style>
  <w:style w:type="paragraph" w:customStyle="1" w:styleId="ReleasableTo">
    <w:name w:val="ReleasableTo"/>
    <w:basedOn w:val="Normal"/>
    <w:uiPriority w:val="1"/>
    <w:rsid w:val="001F1738"/>
    <w:pPr>
      <w:spacing w:after="0" w:line="264" w:lineRule="auto"/>
      <w:ind w:left="5103"/>
    </w:pPr>
    <w:rPr>
      <w:rFonts w:ascii="Times New Roman" w:eastAsiaTheme="minorEastAsia" w:hAnsi="Times New Roman" w:cs="Times New Roman"/>
      <w:i/>
      <w:sz w:val="28"/>
    </w:rPr>
  </w:style>
  <w:style w:type="character" w:styleId="Emphasis">
    <w:name w:val="Emphasis"/>
    <w:basedOn w:val="DefaultParagraphFont"/>
    <w:uiPriority w:val="20"/>
    <w:qFormat/>
    <w:rsid w:val="001F1738"/>
    <w:rPr>
      <w:i/>
    </w:rPr>
  </w:style>
  <w:style w:type="paragraph" w:customStyle="1" w:styleId="ListDash1">
    <w:name w:val="List Dash 1"/>
    <w:basedOn w:val="Text1"/>
    <w:uiPriority w:val="1"/>
    <w:rsid w:val="001F1738"/>
    <w:pPr>
      <w:numPr>
        <w:numId w:val="4"/>
      </w:numPr>
    </w:pPr>
  </w:style>
  <w:style w:type="paragraph" w:customStyle="1" w:styleId="Appelnotedebasdep1">
    <w:name w:val="Appel note de bas de p.1"/>
    <w:basedOn w:val="Normal"/>
    <w:uiPriority w:val="99"/>
    <w:rsid w:val="001F1738"/>
    <w:pPr>
      <w:spacing w:after="160" w:line="240" w:lineRule="exact"/>
    </w:pPr>
    <w:rPr>
      <w:rFonts w:eastAsiaTheme="minorEastAsia"/>
      <w:sz w:val="20"/>
      <w:vertAlign w:val="superscript"/>
    </w:rPr>
  </w:style>
  <w:style w:type="paragraph" w:customStyle="1" w:styleId="Briefinglist2">
    <w:name w:val="Briefing list 2"/>
    <w:basedOn w:val="Normal"/>
    <w:link w:val="Briefinglist2Char"/>
    <w:uiPriority w:val="99"/>
    <w:rsid w:val="001F1738"/>
    <w:pPr>
      <w:numPr>
        <w:numId w:val="5"/>
      </w:numPr>
      <w:spacing w:after="120" w:line="264" w:lineRule="auto"/>
      <w:jc w:val="both"/>
    </w:pPr>
    <w:rPr>
      <w:rFonts w:ascii="Arial" w:eastAsia="Times New Roman" w:hAnsi="Arial" w:cs="Times New Roman"/>
      <w:sz w:val="20"/>
    </w:rPr>
  </w:style>
  <w:style w:type="character" w:customStyle="1" w:styleId="Briefinglist2Char">
    <w:name w:val="Briefing list 2 Char"/>
    <w:basedOn w:val="DefaultParagraphFont"/>
    <w:link w:val="Briefinglist2"/>
    <w:uiPriority w:val="99"/>
    <w:rsid w:val="001F1738"/>
    <w:rPr>
      <w:rFonts w:ascii="Arial" w:eastAsia="Times New Roman" w:hAnsi="Arial" w:cs="Times New Roman"/>
      <w:sz w:val="20"/>
    </w:rPr>
  </w:style>
  <w:style w:type="paragraph" w:customStyle="1" w:styleId="Briefinglist1">
    <w:name w:val="Briefing list 1"/>
    <w:basedOn w:val="Normal"/>
    <w:link w:val="Briefinglist1Char"/>
    <w:uiPriority w:val="1"/>
    <w:rsid w:val="001F1738"/>
    <w:pPr>
      <w:keepLines/>
      <w:numPr>
        <w:numId w:val="6"/>
      </w:numPr>
      <w:spacing w:after="120" w:line="264" w:lineRule="auto"/>
      <w:jc w:val="both"/>
    </w:pPr>
    <w:rPr>
      <w:rFonts w:ascii="Arial" w:eastAsia="Times New Roman" w:hAnsi="Arial" w:cs="Times New Roman"/>
      <w:sz w:val="20"/>
    </w:rPr>
  </w:style>
  <w:style w:type="character" w:customStyle="1" w:styleId="Briefinglist1Char">
    <w:name w:val="Briefing list 1 Char"/>
    <w:basedOn w:val="DefaultParagraphFont"/>
    <w:link w:val="Briefinglist1"/>
    <w:uiPriority w:val="1"/>
    <w:rsid w:val="001F1738"/>
    <w:rPr>
      <w:rFonts w:ascii="Arial" w:eastAsia="Times New Roman" w:hAnsi="Arial" w:cs="Times New Roman"/>
      <w:sz w:val="20"/>
    </w:rPr>
  </w:style>
  <w:style w:type="paragraph" w:customStyle="1" w:styleId="Briefingtext">
    <w:name w:val="Briefing text"/>
    <w:basedOn w:val="Normal"/>
    <w:link w:val="BriefingtextChar"/>
    <w:uiPriority w:val="99"/>
    <w:rsid w:val="001F1738"/>
    <w:pPr>
      <w:spacing w:after="120" w:line="264" w:lineRule="auto"/>
      <w:jc w:val="both"/>
    </w:pPr>
    <w:rPr>
      <w:rFonts w:ascii="Arial" w:eastAsia="Times New Roman" w:hAnsi="Arial" w:cs="Arial"/>
      <w:sz w:val="20"/>
    </w:rPr>
  </w:style>
  <w:style w:type="character" w:customStyle="1" w:styleId="BriefingtextChar">
    <w:name w:val="Briefing text Char"/>
    <w:link w:val="Briefingtext"/>
    <w:uiPriority w:val="99"/>
    <w:rsid w:val="001F1738"/>
    <w:rPr>
      <w:rFonts w:ascii="Arial" w:eastAsia="Times New Roman" w:hAnsi="Arial" w:cs="Arial"/>
      <w:sz w:val="20"/>
    </w:rPr>
  </w:style>
  <w:style w:type="character" w:customStyle="1" w:styleId="Mention1">
    <w:name w:val="Mention1"/>
    <w:basedOn w:val="DefaultParagraphFont"/>
    <w:uiPriority w:val="99"/>
    <w:unhideWhenUsed/>
    <w:rsid w:val="001F1738"/>
    <w:rPr>
      <w:color w:val="2B579A"/>
      <w:shd w:val="clear" w:color="auto" w:fill="E6E6E6"/>
    </w:rPr>
  </w:style>
  <w:style w:type="paragraph" w:customStyle="1" w:styleId="CharCharChar">
    <w:name w:val="Char Char Char"/>
    <w:basedOn w:val="Normal"/>
    <w:uiPriority w:val="99"/>
    <w:rsid w:val="001F1738"/>
    <w:pPr>
      <w:spacing w:after="160" w:line="240" w:lineRule="exact"/>
    </w:pPr>
    <w:rPr>
      <w:rFonts w:eastAsiaTheme="minorEastAsia"/>
      <w:sz w:val="20"/>
      <w:vertAlign w:val="superscript"/>
    </w:rPr>
  </w:style>
  <w:style w:type="paragraph" w:customStyle="1" w:styleId="LegalNumPar">
    <w:name w:val="LegalNumPar"/>
    <w:basedOn w:val="Normal"/>
    <w:uiPriority w:val="1"/>
    <w:rsid w:val="001F1738"/>
    <w:pPr>
      <w:numPr>
        <w:numId w:val="7"/>
      </w:numPr>
      <w:spacing w:after="120" w:line="264" w:lineRule="auto"/>
    </w:pPr>
    <w:rPr>
      <w:rFonts w:eastAsiaTheme="minorEastAsia"/>
      <w:sz w:val="24"/>
    </w:rPr>
  </w:style>
  <w:style w:type="paragraph" w:customStyle="1" w:styleId="LegalNumPar2">
    <w:name w:val="LegalNumPar2"/>
    <w:basedOn w:val="Normal"/>
    <w:uiPriority w:val="1"/>
    <w:rsid w:val="001F1738"/>
    <w:pPr>
      <w:numPr>
        <w:ilvl w:val="1"/>
        <w:numId w:val="7"/>
      </w:numPr>
      <w:spacing w:after="120" w:line="264" w:lineRule="auto"/>
    </w:pPr>
    <w:rPr>
      <w:rFonts w:eastAsiaTheme="minorEastAsia"/>
      <w:sz w:val="24"/>
    </w:rPr>
  </w:style>
  <w:style w:type="paragraph" w:customStyle="1" w:styleId="LegalNumPar3">
    <w:name w:val="LegalNumPar3"/>
    <w:basedOn w:val="Normal"/>
    <w:uiPriority w:val="1"/>
    <w:rsid w:val="001F1738"/>
    <w:pPr>
      <w:numPr>
        <w:ilvl w:val="2"/>
        <w:numId w:val="7"/>
      </w:numPr>
      <w:spacing w:after="120" w:line="264" w:lineRule="auto"/>
    </w:pPr>
    <w:rPr>
      <w:rFonts w:eastAsiaTheme="minorEastAsia"/>
      <w:sz w:val="24"/>
    </w:rPr>
  </w:style>
  <w:style w:type="character" w:customStyle="1" w:styleId="UnresolvedMention1">
    <w:name w:val="Unresolved Mention1"/>
    <w:basedOn w:val="DefaultParagraphFont"/>
    <w:uiPriority w:val="99"/>
    <w:semiHidden/>
    <w:unhideWhenUsed/>
    <w:rsid w:val="001F1738"/>
    <w:rPr>
      <w:color w:val="605E5C"/>
      <w:shd w:val="clear" w:color="auto" w:fill="E1DFDD"/>
    </w:rPr>
  </w:style>
  <w:style w:type="paragraph" w:customStyle="1" w:styleId="Body">
    <w:name w:val="Body"/>
    <w:basedOn w:val="Normal"/>
    <w:uiPriority w:val="99"/>
    <w:rsid w:val="001F1738"/>
    <w:pPr>
      <w:spacing w:after="0" w:line="264" w:lineRule="auto"/>
      <w:jc w:val="both"/>
    </w:pPr>
    <w:rPr>
      <w:rFonts w:ascii="Verdana" w:eastAsiaTheme="minorEastAsia" w:hAnsi="Verdana" w:cs="Times New Roman"/>
      <w:color w:val="333333"/>
      <w:sz w:val="20"/>
    </w:rPr>
  </w:style>
  <w:style w:type="paragraph" w:customStyle="1" w:styleId="Default">
    <w:name w:val="Default"/>
    <w:rsid w:val="001F1738"/>
    <w:pPr>
      <w:autoSpaceDE w:val="0"/>
      <w:autoSpaceDN w:val="0"/>
      <w:adjustRightInd w:val="0"/>
      <w:spacing w:after="0" w:line="240" w:lineRule="auto"/>
    </w:pPr>
    <w:rPr>
      <w:rFonts w:ascii="Open Sans" w:eastAsiaTheme="minorEastAsia" w:hAnsi="Open Sans" w:cs="Open Sans"/>
      <w:sz w:val="24"/>
    </w:rPr>
  </w:style>
  <w:style w:type="paragraph" w:customStyle="1" w:styleId="font-copy">
    <w:name w:val="font-copy"/>
    <w:basedOn w:val="Normal"/>
    <w:uiPriority w:val="1"/>
    <w:rsid w:val="001F1738"/>
    <w:pPr>
      <w:spacing w:beforeAutospacing="1" w:after="120" w:afterAutospacing="1" w:line="264" w:lineRule="auto"/>
    </w:pPr>
    <w:rPr>
      <w:rFonts w:ascii="Times New Roman" w:eastAsia="Times New Roman" w:hAnsi="Times New Roman" w:cs="Times New Roman"/>
      <w:sz w:val="24"/>
    </w:rPr>
  </w:style>
  <w:style w:type="paragraph" w:customStyle="1" w:styleId="dcr-xry7m2">
    <w:name w:val="dcr-xry7m2"/>
    <w:basedOn w:val="Normal"/>
    <w:uiPriority w:val="1"/>
    <w:rsid w:val="001F1738"/>
    <w:pPr>
      <w:spacing w:beforeAutospacing="1" w:after="120" w:afterAutospacing="1" w:line="264" w:lineRule="auto"/>
    </w:pPr>
    <w:rPr>
      <w:rFonts w:ascii="Times New Roman" w:eastAsia="Times New Roman" w:hAnsi="Times New Roman" w:cs="Times New Roman"/>
      <w:sz w:val="24"/>
    </w:rPr>
  </w:style>
  <w:style w:type="character" w:customStyle="1" w:styleId="BodytextAgencyChar">
    <w:name w:val="Body text (Agency) Char"/>
    <w:link w:val="BodytextAgency"/>
    <w:uiPriority w:val="1"/>
    <w:rsid w:val="001F1738"/>
    <w:rPr>
      <w:rFonts w:ascii="Verdana" w:eastAsia="Verdana" w:hAnsi="Verdana"/>
      <w:sz w:val="18"/>
    </w:rPr>
  </w:style>
  <w:style w:type="paragraph" w:customStyle="1" w:styleId="BodytextAgency">
    <w:name w:val="Body text (Agency)"/>
    <w:basedOn w:val="Normal"/>
    <w:link w:val="BodytextAgencyChar"/>
    <w:uiPriority w:val="1"/>
    <w:rsid w:val="001F1738"/>
    <w:pPr>
      <w:spacing w:after="140" w:line="280" w:lineRule="atLeast"/>
    </w:pPr>
    <w:rPr>
      <w:rFonts w:ascii="Verdana" w:eastAsia="Verdana" w:hAnsi="Verdana"/>
      <w:sz w:val="18"/>
    </w:rPr>
  </w:style>
  <w:style w:type="paragraph" w:customStyle="1" w:styleId="EC-Para">
    <w:name w:val="EC-Para"/>
    <w:link w:val="EC-ParaCharChar"/>
    <w:rsid w:val="001F1738"/>
    <w:pPr>
      <w:kinsoku w:val="0"/>
      <w:autoSpaceDE w:val="0"/>
      <w:autoSpaceDN w:val="0"/>
      <w:adjustRightInd w:val="0"/>
      <w:spacing w:after="120" w:line="240" w:lineRule="auto"/>
    </w:pPr>
    <w:rPr>
      <w:rFonts w:ascii="Tahoma" w:eastAsia="Arial Unicode MS" w:hAnsi="Tahoma" w:cs="Times New Roman"/>
      <w:kern w:val="22"/>
      <w:sz w:val="18"/>
    </w:rPr>
  </w:style>
  <w:style w:type="character" w:customStyle="1" w:styleId="EC-ParaCharChar">
    <w:name w:val="EC-Para Char Char"/>
    <w:basedOn w:val="DefaultParagraphFont"/>
    <w:link w:val="EC-Para"/>
    <w:rsid w:val="001F1738"/>
    <w:rPr>
      <w:rFonts w:ascii="Tahoma" w:eastAsia="Arial Unicode MS" w:hAnsi="Tahoma" w:cs="Times New Roman"/>
      <w:kern w:val="22"/>
      <w:sz w:val="18"/>
    </w:rPr>
  </w:style>
  <w:style w:type="paragraph" w:styleId="EndnoteText">
    <w:name w:val="endnote text"/>
    <w:basedOn w:val="Normal"/>
    <w:link w:val="EndnoteTextChar"/>
    <w:uiPriority w:val="99"/>
    <w:semiHidden/>
    <w:unhideWhenUsed/>
    <w:rsid w:val="001F1738"/>
    <w:pPr>
      <w:spacing w:after="0" w:line="264" w:lineRule="auto"/>
    </w:pPr>
    <w:rPr>
      <w:rFonts w:eastAsiaTheme="minorEastAsia"/>
      <w:sz w:val="20"/>
    </w:rPr>
  </w:style>
  <w:style w:type="character" w:customStyle="1" w:styleId="EndnoteTextChar">
    <w:name w:val="Endnote Text Char"/>
    <w:basedOn w:val="DefaultParagraphFont"/>
    <w:link w:val="EndnoteText"/>
    <w:uiPriority w:val="99"/>
    <w:semiHidden/>
    <w:rsid w:val="001F1738"/>
    <w:rPr>
      <w:rFonts w:eastAsiaTheme="minorEastAsia"/>
      <w:sz w:val="20"/>
    </w:rPr>
  </w:style>
  <w:style w:type="character" w:styleId="EndnoteReference">
    <w:name w:val="endnote reference"/>
    <w:basedOn w:val="DefaultParagraphFont"/>
    <w:uiPriority w:val="99"/>
    <w:semiHidden/>
    <w:unhideWhenUsed/>
    <w:rsid w:val="001F1738"/>
    <w:rPr>
      <w:vertAlign w:val="superscript"/>
    </w:rPr>
  </w:style>
  <w:style w:type="paragraph" w:customStyle="1" w:styleId="paragraph">
    <w:name w:val="paragraph"/>
    <w:basedOn w:val="Normal"/>
    <w:rsid w:val="001F1738"/>
    <w:pPr>
      <w:spacing w:beforeAutospacing="1" w:after="120" w:afterAutospacing="1" w:line="264" w:lineRule="auto"/>
    </w:pPr>
    <w:rPr>
      <w:rFonts w:ascii="Calibri" w:eastAsiaTheme="minorEastAsia" w:hAnsi="Calibri" w:cs="Calibri"/>
      <w:sz w:val="20"/>
    </w:rPr>
  </w:style>
  <w:style w:type="character" w:customStyle="1" w:styleId="normaltextrun">
    <w:name w:val="normaltextrun"/>
    <w:basedOn w:val="DefaultParagraphFont"/>
    <w:rsid w:val="001F1738"/>
  </w:style>
  <w:style w:type="character" w:customStyle="1" w:styleId="cf01">
    <w:name w:val="cf01"/>
    <w:basedOn w:val="DefaultParagraphFont"/>
    <w:rsid w:val="001F1738"/>
    <w:rPr>
      <w:rFonts w:ascii="Segoe UI" w:hAnsi="Segoe UI" w:cs="Segoe UI" w:hint="default"/>
      <w:sz w:val="18"/>
    </w:rPr>
  </w:style>
  <w:style w:type="character" w:customStyle="1" w:styleId="footnotereference0">
    <w:name w:val="footnotereference"/>
    <w:basedOn w:val="DefaultParagraphFont"/>
    <w:rsid w:val="001F1738"/>
  </w:style>
  <w:style w:type="character" w:customStyle="1" w:styleId="UnresolvedMention2">
    <w:name w:val="Unresolved Mention2"/>
    <w:basedOn w:val="DefaultParagraphFont"/>
    <w:uiPriority w:val="99"/>
    <w:semiHidden/>
    <w:unhideWhenUsed/>
    <w:rsid w:val="001F1738"/>
    <w:rPr>
      <w:color w:val="605E5C"/>
      <w:shd w:val="clear" w:color="auto" w:fill="E1DFDD"/>
    </w:rPr>
  </w:style>
  <w:style w:type="paragraph" w:styleId="TOC1">
    <w:name w:val="toc 1"/>
    <w:basedOn w:val="Normal"/>
    <w:next w:val="Normal"/>
    <w:uiPriority w:val="39"/>
    <w:unhideWhenUsed/>
    <w:rsid w:val="001F1738"/>
    <w:pPr>
      <w:spacing w:after="100" w:line="264" w:lineRule="auto"/>
    </w:pPr>
    <w:rPr>
      <w:rFonts w:eastAsiaTheme="minorEastAsia"/>
      <w:sz w:val="20"/>
    </w:rPr>
  </w:style>
  <w:style w:type="paragraph" w:styleId="Caption">
    <w:name w:val="caption"/>
    <w:basedOn w:val="Normal"/>
    <w:next w:val="Normal"/>
    <w:uiPriority w:val="35"/>
    <w:semiHidden/>
    <w:unhideWhenUsed/>
    <w:qFormat/>
    <w:rsid w:val="001F1738"/>
    <w:pPr>
      <w:spacing w:after="120" w:line="264" w:lineRule="auto"/>
    </w:pPr>
    <w:rPr>
      <w:rFonts w:eastAsiaTheme="minorEastAsia"/>
      <w:b/>
      <w:smallCaps/>
      <w:color w:val="595959" w:themeColor="text1" w:themeTint="A6"/>
      <w:sz w:val="20"/>
    </w:rPr>
  </w:style>
  <w:style w:type="paragraph" w:styleId="Title">
    <w:name w:val="Title"/>
    <w:basedOn w:val="Normal"/>
    <w:next w:val="Normal"/>
    <w:link w:val="TitleChar"/>
    <w:uiPriority w:val="10"/>
    <w:qFormat/>
    <w:rsid w:val="001F1738"/>
    <w:pPr>
      <w:spacing w:after="0" w:line="264" w:lineRule="auto"/>
      <w:contextualSpacing/>
    </w:pPr>
    <w:rPr>
      <w:rFonts w:asciiTheme="majorHAnsi" w:eastAsiaTheme="majorEastAsia" w:hAnsiTheme="majorHAnsi" w:cstheme="majorBidi"/>
      <w:color w:val="4F81BD" w:themeColor="accent1"/>
      <w:sz w:val="56"/>
    </w:rPr>
  </w:style>
  <w:style w:type="character" w:customStyle="1" w:styleId="TitleChar">
    <w:name w:val="Title Char"/>
    <w:basedOn w:val="DefaultParagraphFont"/>
    <w:link w:val="Title"/>
    <w:uiPriority w:val="10"/>
    <w:rsid w:val="001F1738"/>
    <w:rPr>
      <w:rFonts w:asciiTheme="majorHAnsi" w:eastAsiaTheme="majorEastAsia" w:hAnsiTheme="majorHAnsi" w:cstheme="majorBidi"/>
      <w:color w:val="4F81BD" w:themeColor="accent1"/>
      <w:sz w:val="56"/>
    </w:rPr>
  </w:style>
  <w:style w:type="paragraph" w:styleId="Subtitle">
    <w:name w:val="Subtitle"/>
    <w:basedOn w:val="Normal"/>
    <w:next w:val="Normal"/>
    <w:link w:val="SubtitleChar"/>
    <w:uiPriority w:val="11"/>
    <w:qFormat/>
    <w:rsid w:val="001F1738"/>
    <w:pPr>
      <w:spacing w:after="120" w:line="264" w:lineRule="auto"/>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1F1738"/>
    <w:rPr>
      <w:rFonts w:asciiTheme="majorHAnsi" w:eastAsiaTheme="majorEastAsia" w:hAnsiTheme="majorHAnsi" w:cstheme="majorBidi"/>
      <w:sz w:val="24"/>
    </w:rPr>
  </w:style>
  <w:style w:type="paragraph" w:styleId="Quote">
    <w:name w:val="Quote"/>
    <w:basedOn w:val="Normal"/>
    <w:next w:val="Normal"/>
    <w:link w:val="QuoteChar"/>
    <w:uiPriority w:val="29"/>
    <w:qFormat/>
    <w:rsid w:val="001F1738"/>
    <w:pPr>
      <w:spacing w:before="160" w:after="120" w:line="264" w:lineRule="auto"/>
      <w:ind w:left="720" w:right="720"/>
    </w:pPr>
    <w:rPr>
      <w:rFonts w:eastAsiaTheme="minorEastAsia"/>
      <w:i/>
      <w:color w:val="404040" w:themeColor="text1" w:themeTint="BF"/>
      <w:sz w:val="20"/>
    </w:rPr>
  </w:style>
  <w:style w:type="character" w:customStyle="1" w:styleId="QuoteChar">
    <w:name w:val="Quote Char"/>
    <w:basedOn w:val="DefaultParagraphFont"/>
    <w:link w:val="Quote"/>
    <w:uiPriority w:val="29"/>
    <w:rsid w:val="001F1738"/>
    <w:rPr>
      <w:rFonts w:eastAsiaTheme="minorEastAsia"/>
      <w:i/>
      <w:color w:val="404040" w:themeColor="text1" w:themeTint="BF"/>
      <w:sz w:val="20"/>
    </w:rPr>
  </w:style>
  <w:style w:type="paragraph" w:styleId="IntenseQuote">
    <w:name w:val="Intense Quote"/>
    <w:basedOn w:val="Normal"/>
    <w:next w:val="Normal"/>
    <w:link w:val="IntenseQuoteChar"/>
    <w:uiPriority w:val="30"/>
    <w:qFormat/>
    <w:rsid w:val="001F1738"/>
    <w:pPr>
      <w:spacing w:beforeAutospacing="1" w:after="120" w:line="264" w:lineRule="auto"/>
      <w:ind w:left="1224" w:right="1224"/>
    </w:pPr>
    <w:rPr>
      <w:rFonts w:asciiTheme="majorHAnsi" w:eastAsiaTheme="majorEastAsia" w:hAnsiTheme="majorHAnsi" w:cstheme="majorBidi"/>
      <w:color w:val="4F81BD" w:themeColor="accent1"/>
      <w:sz w:val="28"/>
    </w:rPr>
  </w:style>
  <w:style w:type="character" w:customStyle="1" w:styleId="IntenseQuoteChar">
    <w:name w:val="Intense Quote Char"/>
    <w:basedOn w:val="DefaultParagraphFont"/>
    <w:link w:val="IntenseQuote"/>
    <w:uiPriority w:val="30"/>
    <w:rsid w:val="001F1738"/>
    <w:rPr>
      <w:rFonts w:asciiTheme="majorHAnsi" w:eastAsiaTheme="majorEastAsia" w:hAnsiTheme="majorHAnsi" w:cstheme="majorBidi"/>
      <w:color w:val="4F81BD" w:themeColor="accent1"/>
      <w:sz w:val="28"/>
    </w:rPr>
  </w:style>
  <w:style w:type="character" w:styleId="SubtleEmphasis">
    <w:name w:val="Subtle Emphasis"/>
    <w:basedOn w:val="DefaultParagraphFont"/>
    <w:uiPriority w:val="19"/>
    <w:qFormat/>
    <w:rsid w:val="001F1738"/>
    <w:rPr>
      <w:i/>
      <w:color w:val="404040" w:themeColor="text1" w:themeTint="BF"/>
    </w:rPr>
  </w:style>
  <w:style w:type="character" w:styleId="IntenseEmphasis">
    <w:name w:val="Intense Emphasis"/>
    <w:basedOn w:val="DefaultParagraphFont"/>
    <w:uiPriority w:val="21"/>
    <w:qFormat/>
    <w:rsid w:val="001F1738"/>
    <w:rPr>
      <w:b/>
      <w:i/>
    </w:rPr>
  </w:style>
  <w:style w:type="character" w:styleId="SubtleReference">
    <w:name w:val="Subtle Reference"/>
    <w:basedOn w:val="DefaultParagraphFont"/>
    <w:uiPriority w:val="31"/>
    <w:qFormat/>
    <w:rsid w:val="001F173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1738"/>
    <w:rPr>
      <w:b/>
      <w:smallCaps/>
      <w:spacing w:val="5"/>
      <w:u w:val="single"/>
    </w:rPr>
  </w:style>
  <w:style w:type="character" w:styleId="BookTitle">
    <w:name w:val="Book Title"/>
    <w:basedOn w:val="DefaultParagraphFont"/>
    <w:uiPriority w:val="33"/>
    <w:qFormat/>
    <w:rsid w:val="001F1738"/>
    <w:rPr>
      <w:b/>
      <w:smallCaps/>
    </w:rPr>
  </w:style>
  <w:style w:type="paragraph" w:styleId="TOCHeading">
    <w:name w:val="TOC Heading"/>
    <w:basedOn w:val="Heading1"/>
    <w:next w:val="Normal"/>
    <w:uiPriority w:val="39"/>
    <w:unhideWhenUsed/>
    <w:qFormat/>
    <w:rsid w:val="001F1738"/>
  </w:style>
  <w:style w:type="paragraph" w:customStyle="1" w:styleId="Chaptertitle">
    <w:name w:val="Chapter title"/>
    <w:basedOn w:val="ListParagraph"/>
    <w:link w:val="ChaptertitleChar"/>
    <w:uiPriority w:val="1"/>
    <w:rsid w:val="001F1738"/>
    <w:pPr>
      <w:keepNext/>
      <w:numPr>
        <w:numId w:val="1"/>
      </w:numPr>
      <w:spacing w:before="360"/>
      <w:jc w:val="both"/>
    </w:pPr>
    <w:rPr>
      <w:rFonts w:ascii="Times New Roman" w:hAnsi="Times New Roman" w:cs="Times New Roman"/>
      <w:b/>
      <w:sz w:val="24"/>
    </w:rPr>
  </w:style>
  <w:style w:type="table" w:styleId="GridTable4-Accent5">
    <w:name w:val="Grid Table 4 Accent 5"/>
    <w:basedOn w:val="TableNormal"/>
    <w:uiPriority w:val="49"/>
    <w:rsid w:val="001F173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haptertitleChar">
    <w:name w:val="Chapter title Char"/>
    <w:basedOn w:val="ListParagraphChar"/>
    <w:link w:val="Chaptertitle"/>
    <w:uiPriority w:val="1"/>
    <w:rsid w:val="001F1738"/>
    <w:rPr>
      <w:rFonts w:ascii="Times New Roman" w:eastAsiaTheme="minorEastAsia" w:hAnsi="Times New Roman" w:cs="Times New Roman"/>
      <w:b/>
      <w:sz w:val="24"/>
    </w:rPr>
  </w:style>
  <w:style w:type="paragraph" w:styleId="BodyText">
    <w:name w:val="Body Text"/>
    <w:basedOn w:val="Normal"/>
    <w:link w:val="BodyTextChar"/>
    <w:uiPriority w:val="1"/>
    <w:qFormat/>
    <w:rsid w:val="001F1738"/>
    <w:pPr>
      <w:widowControl w:val="0"/>
      <w:spacing w:after="0" w:line="264" w:lineRule="auto"/>
      <w:ind w:left="316"/>
    </w:pPr>
    <w:rPr>
      <w:rFonts w:ascii="Times New Roman" w:eastAsia="Times New Roman" w:hAnsi="Times New Roman"/>
      <w:sz w:val="26"/>
    </w:rPr>
  </w:style>
  <w:style w:type="character" w:customStyle="1" w:styleId="BodyTextChar">
    <w:name w:val="Body Text Char"/>
    <w:basedOn w:val="DefaultParagraphFont"/>
    <w:link w:val="BodyText"/>
    <w:uiPriority w:val="1"/>
    <w:rsid w:val="001F1738"/>
    <w:rPr>
      <w:rFonts w:ascii="Times New Roman" w:eastAsia="Times New Roman" w:hAnsi="Times New Roman"/>
      <w:sz w:val="26"/>
    </w:rPr>
  </w:style>
  <w:style w:type="table" w:styleId="GridTable7Colorful-Accent1">
    <w:name w:val="Grid Table 7 Colorful Accent 1"/>
    <w:basedOn w:val="TableNormal"/>
    <w:uiPriority w:val="52"/>
    <w:rsid w:val="001F1738"/>
    <w:pPr>
      <w:spacing w:after="0" w:line="240" w:lineRule="auto"/>
    </w:pPr>
    <w:rPr>
      <w:rFonts w:eastAsiaTheme="minorEastAsia"/>
      <w:color w:val="365F91" w:themeColor="accent1" w:themeShade="BF"/>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1">
    <w:name w:val="Grid Table 1 Light Accent 1"/>
    <w:basedOn w:val="TableNormal"/>
    <w:uiPriority w:val="46"/>
    <w:rsid w:val="001F1738"/>
    <w:pPr>
      <w:spacing w:after="0" w:line="240" w:lineRule="auto"/>
    </w:pPr>
    <w:rPr>
      <w:rFonts w:eastAsiaTheme="minorEastAsia"/>
      <w:sz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paragraph" w:styleId="TOC2">
    <w:name w:val="toc 2"/>
    <w:basedOn w:val="Normal"/>
    <w:next w:val="Normal"/>
    <w:uiPriority w:val="39"/>
    <w:unhideWhenUsed/>
    <w:rsid w:val="001F1738"/>
    <w:pPr>
      <w:spacing w:after="100" w:line="264" w:lineRule="auto"/>
      <w:ind w:left="220"/>
    </w:pPr>
    <w:rPr>
      <w:rFonts w:eastAsiaTheme="minorEastAsia"/>
      <w:sz w:val="20"/>
    </w:rPr>
  </w:style>
  <w:style w:type="paragraph" w:styleId="TOC3">
    <w:name w:val="toc 3"/>
    <w:basedOn w:val="Normal"/>
    <w:next w:val="Normal"/>
    <w:uiPriority w:val="39"/>
    <w:unhideWhenUsed/>
    <w:rsid w:val="001F1738"/>
    <w:pPr>
      <w:spacing w:after="100" w:line="264" w:lineRule="auto"/>
      <w:ind w:left="440"/>
    </w:pPr>
    <w:rPr>
      <w:rFonts w:eastAsiaTheme="minorEastAsia"/>
      <w:sz w:val="20"/>
    </w:rPr>
  </w:style>
  <w:style w:type="paragraph" w:styleId="TOC4">
    <w:name w:val="toc 4"/>
    <w:basedOn w:val="Normal"/>
    <w:next w:val="Normal"/>
    <w:uiPriority w:val="39"/>
    <w:unhideWhenUsed/>
    <w:rsid w:val="001F1738"/>
    <w:pPr>
      <w:spacing w:after="100" w:line="264" w:lineRule="auto"/>
      <w:ind w:left="660"/>
    </w:pPr>
    <w:rPr>
      <w:rFonts w:eastAsiaTheme="minorEastAsia"/>
      <w:sz w:val="20"/>
    </w:rPr>
  </w:style>
  <w:style w:type="paragraph" w:styleId="TOC5">
    <w:name w:val="toc 5"/>
    <w:basedOn w:val="Normal"/>
    <w:next w:val="Normal"/>
    <w:uiPriority w:val="39"/>
    <w:unhideWhenUsed/>
    <w:rsid w:val="001F1738"/>
    <w:pPr>
      <w:spacing w:after="100" w:line="264" w:lineRule="auto"/>
      <w:ind w:left="880"/>
    </w:pPr>
    <w:rPr>
      <w:rFonts w:eastAsiaTheme="minorEastAsia"/>
      <w:sz w:val="20"/>
    </w:rPr>
  </w:style>
  <w:style w:type="paragraph" w:styleId="TOC6">
    <w:name w:val="toc 6"/>
    <w:basedOn w:val="Normal"/>
    <w:next w:val="Normal"/>
    <w:uiPriority w:val="39"/>
    <w:unhideWhenUsed/>
    <w:rsid w:val="001F1738"/>
    <w:pPr>
      <w:spacing w:after="100" w:line="264" w:lineRule="auto"/>
      <w:ind w:left="1100"/>
    </w:pPr>
    <w:rPr>
      <w:rFonts w:eastAsiaTheme="minorEastAsia"/>
      <w:sz w:val="20"/>
    </w:rPr>
  </w:style>
  <w:style w:type="paragraph" w:styleId="TOC7">
    <w:name w:val="toc 7"/>
    <w:basedOn w:val="Normal"/>
    <w:next w:val="Normal"/>
    <w:uiPriority w:val="39"/>
    <w:unhideWhenUsed/>
    <w:rsid w:val="001F1738"/>
    <w:pPr>
      <w:spacing w:after="100" w:line="264" w:lineRule="auto"/>
      <w:ind w:left="1320"/>
    </w:pPr>
    <w:rPr>
      <w:rFonts w:eastAsiaTheme="minorEastAsia"/>
      <w:sz w:val="20"/>
    </w:rPr>
  </w:style>
  <w:style w:type="paragraph" w:styleId="TOC8">
    <w:name w:val="toc 8"/>
    <w:basedOn w:val="Normal"/>
    <w:next w:val="Normal"/>
    <w:uiPriority w:val="39"/>
    <w:unhideWhenUsed/>
    <w:rsid w:val="001F1738"/>
    <w:pPr>
      <w:spacing w:after="100" w:line="264" w:lineRule="auto"/>
      <w:ind w:left="1540"/>
    </w:pPr>
    <w:rPr>
      <w:rFonts w:eastAsiaTheme="minorEastAsia"/>
      <w:sz w:val="20"/>
    </w:rPr>
  </w:style>
  <w:style w:type="paragraph" w:styleId="TOC9">
    <w:name w:val="toc 9"/>
    <w:basedOn w:val="Normal"/>
    <w:next w:val="Normal"/>
    <w:uiPriority w:val="39"/>
    <w:unhideWhenUsed/>
    <w:rsid w:val="001F1738"/>
    <w:pPr>
      <w:spacing w:after="100" w:line="264" w:lineRule="auto"/>
      <w:ind w:left="1760"/>
    </w:pPr>
    <w:rPr>
      <w:rFonts w:eastAsiaTheme="minorEastAsia"/>
      <w:sz w:val="20"/>
    </w:rPr>
  </w:style>
  <w:style w:type="character" w:customStyle="1" w:styleId="eop">
    <w:name w:val="eop"/>
    <w:basedOn w:val="DefaultParagraphFont"/>
    <w:rsid w:val="001F1738"/>
  </w:style>
  <w:style w:type="character" w:customStyle="1" w:styleId="UnresolvedMention3">
    <w:name w:val="Unresolved Mention3"/>
    <w:basedOn w:val="DefaultParagraphFont"/>
    <w:uiPriority w:val="99"/>
    <w:semiHidden/>
    <w:unhideWhenUsed/>
    <w:rsid w:val="001F1738"/>
    <w:rPr>
      <w:color w:val="605E5C"/>
      <w:shd w:val="clear" w:color="auto" w:fill="E1DFDD"/>
    </w:rPr>
  </w:style>
  <w:style w:type="character" w:customStyle="1" w:styleId="UnresolvedMention">
    <w:name w:val="Unresolved Mention"/>
    <w:basedOn w:val="DefaultParagraphFont"/>
    <w:uiPriority w:val="99"/>
    <w:semiHidden/>
    <w:unhideWhenUsed/>
    <w:rsid w:val="001F1738"/>
    <w:rPr>
      <w:color w:val="605E5C"/>
      <w:shd w:val="clear" w:color="auto" w:fill="E1DFDD"/>
    </w:rPr>
  </w:style>
  <w:style w:type="paragraph" w:customStyle="1" w:styleId="title-bold">
    <w:name w:val="title-bold"/>
    <w:basedOn w:val="Normal"/>
    <w:rsid w:val="0032059A"/>
    <w:pPr>
      <w:spacing w:before="100" w:beforeAutospacing="1" w:after="100" w:afterAutospacing="1" w:line="240" w:lineRule="auto"/>
    </w:pPr>
    <w:rPr>
      <w:rFonts w:ascii="Times New Roman" w:eastAsia="Times New Roman" w:hAnsi="Times New Roman" w:cs="Times New Roman"/>
      <w:sz w:val="24"/>
    </w:rPr>
  </w:style>
  <w:style w:type="character" w:customStyle="1" w:styleId="margintops">
    <w:name w:val="margintop_s"/>
    <w:basedOn w:val="DefaultParagraphFont"/>
    <w:rsid w:val="005C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0581">
      <w:bodyDiv w:val="1"/>
      <w:marLeft w:val="0"/>
      <w:marRight w:val="0"/>
      <w:marTop w:val="0"/>
      <w:marBottom w:val="0"/>
      <w:divBdr>
        <w:top w:val="none" w:sz="0" w:space="0" w:color="auto"/>
        <w:left w:val="none" w:sz="0" w:space="0" w:color="auto"/>
        <w:bottom w:val="none" w:sz="0" w:space="0" w:color="auto"/>
        <w:right w:val="none" w:sz="0" w:space="0" w:color="auto"/>
      </w:divBdr>
    </w:div>
    <w:div w:id="357392686">
      <w:bodyDiv w:val="1"/>
      <w:marLeft w:val="0"/>
      <w:marRight w:val="0"/>
      <w:marTop w:val="0"/>
      <w:marBottom w:val="0"/>
      <w:divBdr>
        <w:top w:val="none" w:sz="0" w:space="0" w:color="auto"/>
        <w:left w:val="none" w:sz="0" w:space="0" w:color="auto"/>
        <w:bottom w:val="none" w:sz="0" w:space="0" w:color="auto"/>
        <w:right w:val="none" w:sz="0" w:space="0" w:color="auto"/>
      </w:divBdr>
    </w:div>
    <w:div w:id="560754890">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909195797">
      <w:bodyDiv w:val="1"/>
      <w:marLeft w:val="0"/>
      <w:marRight w:val="0"/>
      <w:marTop w:val="0"/>
      <w:marBottom w:val="0"/>
      <w:divBdr>
        <w:top w:val="none" w:sz="0" w:space="0" w:color="auto"/>
        <w:left w:val="none" w:sz="0" w:space="0" w:color="auto"/>
        <w:bottom w:val="none" w:sz="0" w:space="0" w:color="auto"/>
        <w:right w:val="none" w:sz="0" w:space="0" w:color="auto"/>
      </w:divBdr>
    </w:div>
    <w:div w:id="1135218904">
      <w:bodyDiv w:val="1"/>
      <w:marLeft w:val="0"/>
      <w:marRight w:val="0"/>
      <w:marTop w:val="0"/>
      <w:marBottom w:val="0"/>
      <w:divBdr>
        <w:top w:val="none" w:sz="0" w:space="0" w:color="auto"/>
        <w:left w:val="none" w:sz="0" w:space="0" w:color="auto"/>
        <w:bottom w:val="none" w:sz="0" w:space="0" w:color="auto"/>
        <w:right w:val="none" w:sz="0" w:space="0" w:color="auto"/>
      </w:divBdr>
    </w:div>
    <w:div w:id="1194225301">
      <w:bodyDiv w:val="1"/>
      <w:marLeft w:val="0"/>
      <w:marRight w:val="0"/>
      <w:marTop w:val="0"/>
      <w:marBottom w:val="0"/>
      <w:divBdr>
        <w:top w:val="none" w:sz="0" w:space="0" w:color="auto"/>
        <w:left w:val="none" w:sz="0" w:space="0" w:color="auto"/>
        <w:bottom w:val="none" w:sz="0" w:space="0" w:color="auto"/>
        <w:right w:val="none" w:sz="0" w:space="0" w:color="auto"/>
      </w:divBdr>
    </w:div>
    <w:div w:id="1215195427">
      <w:bodyDiv w:val="1"/>
      <w:marLeft w:val="0"/>
      <w:marRight w:val="0"/>
      <w:marTop w:val="0"/>
      <w:marBottom w:val="0"/>
      <w:divBdr>
        <w:top w:val="none" w:sz="0" w:space="0" w:color="auto"/>
        <w:left w:val="none" w:sz="0" w:space="0" w:color="auto"/>
        <w:bottom w:val="none" w:sz="0" w:space="0" w:color="auto"/>
        <w:right w:val="none" w:sz="0" w:space="0" w:color="auto"/>
      </w:divBdr>
    </w:div>
    <w:div w:id="1225533563">
      <w:bodyDiv w:val="1"/>
      <w:marLeft w:val="0"/>
      <w:marRight w:val="0"/>
      <w:marTop w:val="0"/>
      <w:marBottom w:val="0"/>
      <w:divBdr>
        <w:top w:val="none" w:sz="0" w:space="0" w:color="auto"/>
        <w:left w:val="none" w:sz="0" w:space="0" w:color="auto"/>
        <w:bottom w:val="none" w:sz="0" w:space="0" w:color="auto"/>
        <w:right w:val="none" w:sz="0" w:space="0" w:color="auto"/>
      </w:divBdr>
    </w:div>
    <w:div w:id="1360938087">
      <w:bodyDiv w:val="1"/>
      <w:marLeft w:val="0"/>
      <w:marRight w:val="0"/>
      <w:marTop w:val="0"/>
      <w:marBottom w:val="0"/>
      <w:divBdr>
        <w:top w:val="none" w:sz="0" w:space="0" w:color="auto"/>
        <w:left w:val="none" w:sz="0" w:space="0" w:color="auto"/>
        <w:bottom w:val="none" w:sz="0" w:space="0" w:color="auto"/>
        <w:right w:val="none" w:sz="0" w:space="0" w:color="auto"/>
      </w:divBdr>
    </w:div>
    <w:div w:id="1483697454">
      <w:bodyDiv w:val="1"/>
      <w:marLeft w:val="0"/>
      <w:marRight w:val="0"/>
      <w:marTop w:val="0"/>
      <w:marBottom w:val="0"/>
      <w:divBdr>
        <w:top w:val="none" w:sz="0" w:space="0" w:color="auto"/>
        <w:left w:val="none" w:sz="0" w:space="0" w:color="auto"/>
        <w:bottom w:val="none" w:sz="0" w:space="0" w:color="auto"/>
        <w:right w:val="none" w:sz="0" w:space="0" w:color="auto"/>
      </w:divBdr>
    </w:div>
    <w:div w:id="1511917182">
      <w:bodyDiv w:val="1"/>
      <w:marLeft w:val="0"/>
      <w:marRight w:val="0"/>
      <w:marTop w:val="0"/>
      <w:marBottom w:val="0"/>
      <w:divBdr>
        <w:top w:val="none" w:sz="0" w:space="0" w:color="auto"/>
        <w:left w:val="none" w:sz="0" w:space="0" w:color="auto"/>
        <w:bottom w:val="none" w:sz="0" w:space="0" w:color="auto"/>
        <w:right w:val="none" w:sz="0" w:space="0" w:color="auto"/>
      </w:divBdr>
    </w:div>
    <w:div w:id="1786077881">
      <w:bodyDiv w:val="1"/>
      <w:marLeft w:val="0"/>
      <w:marRight w:val="0"/>
      <w:marTop w:val="0"/>
      <w:marBottom w:val="0"/>
      <w:divBdr>
        <w:top w:val="none" w:sz="0" w:space="0" w:color="auto"/>
        <w:left w:val="none" w:sz="0" w:space="0" w:color="auto"/>
        <w:bottom w:val="none" w:sz="0" w:space="0" w:color="auto"/>
        <w:right w:val="none" w:sz="0" w:space="0" w:color="auto"/>
      </w:divBdr>
    </w:div>
    <w:div w:id="19698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ecdc.europa.eu/sites/default/files/documents/Health-burden-infections-antibiotic-resistant-bacteria.pdf" TargetMode="External"/><Relationship Id="rId18" Type="http://schemas.openxmlformats.org/officeDocument/2006/relationships/hyperlink" Target="https://eur-lex.europa.eu/legal-content/SV/TXT/?uri=CELEX%3A52023DC0672R%2801%29&amp;qid=1702289257656" TargetMode="External"/><Relationship Id="rId26" Type="http://schemas.openxmlformats.org/officeDocument/2006/relationships/hyperlink" Target="https://eur-lex.europa.eu/legal-content/SV/TXT/?uri=CELEX:52021DC0400" TargetMode="External"/><Relationship Id="rId39" Type="http://schemas.openxmlformats.org/officeDocument/2006/relationships/hyperlink" Target="https://www.cop28.com/en/cop28-uae-declaration-on-climate-and-health" TargetMode="External"/><Relationship Id="rId21" Type="http://schemas.openxmlformats.org/officeDocument/2006/relationships/hyperlink" Target="https://www.jpiamr.eu/activities/one-health-amr/design-oh-amr/" TargetMode="External"/><Relationship Id="rId34" Type="http://schemas.openxmlformats.org/officeDocument/2006/relationships/hyperlink" Target="https://eur-lex.europa.eu/eli/reg_del/2020/689/oj?locale=sv" TargetMode="External"/><Relationship Id="rId42" Type="http://schemas.openxmlformats.org/officeDocument/2006/relationships/hyperlink" Target="https://www.eea.europa.eu/en/about/who-we-are/projects-and-cooperation-agreements/european-climate-risk-assessment" TargetMode="External"/><Relationship Id="rId47" Type="http://schemas.openxmlformats.org/officeDocument/2006/relationships/hyperlink" Target="https://civil-protection-humanitarian-aid.ec.europa.eu/what/civil-protection/european-disaster-risk-management/european-disaster-resilience-goals_en" TargetMode="External"/><Relationship Id="rId50" Type="http://schemas.openxmlformats.org/officeDocument/2006/relationships/hyperlink" Target="https://www.nivel.nl/en/project/1920" TargetMode="External"/><Relationship Id="rId55" Type="http://schemas.openxmlformats.org/officeDocument/2006/relationships/hyperlink" Target="https://www.who.int/initiatives/eios" TargetMode="External"/><Relationship Id="rId63" Type="http://schemas.openxmlformats.org/officeDocument/2006/relationships/hyperlink" Target="https://eur-lex.europa.eu/legal-content/SV/TXT/?uri=CELEX%3A32021D1212" TargetMode="External"/><Relationship Id="rId68" Type="http://schemas.openxmlformats.org/officeDocument/2006/relationships/hyperlink" Target="https://eur-lex.europa.eu/legal-content/SV/TXT/?uri=CELEX%3A32022L2557&amp;qid=1699961915719" TargetMode="External"/><Relationship Id="rId76" Type="http://schemas.openxmlformats.org/officeDocument/2006/relationships/hyperlink" Target="https://commission.europa.eu/strategy-and-policy/priorities-2019-2024/promoting-our-european-way-life/european-health-union/comprehensive-approach-mental-health_sv" TargetMode="External"/><Relationship Id="rId84" Type="http://schemas.openxmlformats.org/officeDocument/2006/relationships/hyperlink" Target="https://verdiproject.org/" TargetMode="External"/><Relationship Id="rId7" Type="http://schemas.openxmlformats.org/officeDocument/2006/relationships/hyperlink" Target="https://op.europa.eu/sv/publication-detail/-/publication/8ba3bd75-7c38-11ed-9887-01aa75ed71a1/language-sv" TargetMode="External"/><Relationship Id="rId71" Type="http://schemas.openxmlformats.org/officeDocument/2006/relationships/hyperlink" Target="https://eur-lex.europa.eu/legal-content/SV/TXT/?uri=CELEX:32022R0123" TargetMode="External"/><Relationship Id="rId2" Type="http://schemas.openxmlformats.org/officeDocument/2006/relationships/hyperlink" Target="https://www.thelancet.com/journals/laninf/article/PIIS1473-3099(22)00320-6/fulltext" TargetMode="External"/><Relationship Id="rId16" Type="http://schemas.openxmlformats.org/officeDocument/2006/relationships/hyperlink" Target="https://commission.europa.eu/strategy-and-policy/priorities-2019-2024/promoting-our-european-way-life/european-health-union/reform-eu-pharmaceutical-legislation_sv" TargetMode="External"/><Relationship Id="rId29" Type="http://schemas.openxmlformats.org/officeDocument/2006/relationships/hyperlink" Target="https://esdac.jrc.ec.europa.eu/projects/lucas" TargetMode="External"/><Relationship Id="rId11" Type="http://schemas.openxmlformats.org/officeDocument/2006/relationships/hyperlink" Target="https://eva.ecdc.europa.eu/" TargetMode="External"/><Relationship Id="rId24" Type="http://schemas.openxmlformats.org/officeDocument/2006/relationships/hyperlink" Target="https://eur-lex.europa.eu/legal-content/SV/TXT/PDF/?uri=CELEX:52019DC0128" TargetMode="External"/><Relationship Id="rId32" Type="http://schemas.openxmlformats.org/officeDocument/2006/relationships/hyperlink" Target="https://eur-lex.europa.eu/legal-content/SV/TXT/?uri=celex:32003L0099" TargetMode="External"/><Relationship Id="rId37" Type="http://schemas.openxmlformats.org/officeDocument/2006/relationships/hyperlink" Target="https://climate-adapt.eea.europa.eu/en/observatory" TargetMode="External"/><Relationship Id="rId40" Type="http://schemas.openxmlformats.org/officeDocument/2006/relationships/hyperlink" Target="https://www.who.int/publications/i/item/9789289071918" TargetMode="External"/><Relationship Id="rId45" Type="http://schemas.openxmlformats.org/officeDocument/2006/relationships/hyperlink" Target="https://environment.ec.europa.eu/topics/soil-and-land/soil-health_en" TargetMode="External"/><Relationship Id="rId53" Type="http://schemas.openxmlformats.org/officeDocument/2006/relationships/hyperlink" Target="https://www.ecdc.europa.eu/en/publications-data/epipulse-european-surveillance-portal-infectious-diseases" TargetMode="External"/><Relationship Id="rId58" Type="http://schemas.openxmlformats.org/officeDocument/2006/relationships/hyperlink" Target="https://mood-h2020.eu/" TargetMode="External"/><Relationship Id="rId66" Type="http://schemas.openxmlformats.org/officeDocument/2006/relationships/hyperlink" Target="https://ec.europa.eu/commission/presscorner/detail/en/mex_23_4442" TargetMode="External"/><Relationship Id="rId74" Type="http://schemas.openxmlformats.org/officeDocument/2006/relationships/hyperlink" Target="https://www.oecd-ilibrary.org/social-issues-migration-health/health-at-a-glance-europe-2022_507433b0-en;jsessionid=-ZyVma6ABAN0VaaG5paqz-epR3sPXjuLlFsJ5MXW.ip-10-240-5-108" TargetMode="External"/><Relationship Id="rId79" Type="http://schemas.openxmlformats.org/officeDocument/2006/relationships/hyperlink" Target="https://www.thelancet.com/journals/lanres/article/PIIS2213-2600(23)00268-0/fulltext" TargetMode="External"/><Relationship Id="rId87" Type="http://schemas.openxmlformats.org/officeDocument/2006/relationships/hyperlink" Target="https://research-and-innovation.ec.europa.eu/research-area/health/edctp_en" TargetMode="External"/><Relationship Id="rId5" Type="http://schemas.openxmlformats.org/officeDocument/2006/relationships/hyperlink" Target="https://eur-lex.europa.eu/legal-content/GA/TXT/?uri=OJ%3AJOC_2018_466_R_0001" TargetMode="External"/><Relationship Id="rId61" Type="http://schemas.openxmlformats.org/officeDocument/2006/relationships/hyperlink" Target="https://eur-lex.europa.eu/eli/dec/1998/2119/oj" TargetMode="External"/><Relationship Id="rId82" Type="http://schemas.openxmlformats.org/officeDocument/2006/relationships/hyperlink" Target="https://eic.ec.europa.eu/system/files/2023-08/EIC-WP2023-amended.pdf" TargetMode="External"/><Relationship Id="rId19" Type="http://schemas.openxmlformats.org/officeDocument/2006/relationships/hyperlink" Target="https://gardp.org/" TargetMode="External"/><Relationship Id="rId4" Type="http://schemas.openxmlformats.org/officeDocument/2006/relationships/hyperlink" Target="https://www.ecdc.europa.eu/en/publications-data/interim-public-health-considerations-covid-19-vaccination-roll-out-during-2023" TargetMode="External"/><Relationship Id="rId9" Type="http://schemas.openxmlformats.org/officeDocument/2006/relationships/hyperlink" Target="https://vaccination-info.eu/sv" TargetMode="External"/><Relationship Id="rId14" Type="http://schemas.openxmlformats.org/officeDocument/2006/relationships/hyperlink" Target="https://eur-lex.europa.eu/legal-content/SV/TXT/PDF/?uri=CELEX:52017DC0339&amp;from=SV" TargetMode="External"/><Relationship Id="rId22" Type="http://schemas.openxmlformats.org/officeDocument/2006/relationships/hyperlink" Target="https://ec.europa.eu/info/funding-tenders/opportunities/portal/screen/opportunities/topic-details/horizon-hlth-2024-disease-09-01" TargetMode="External"/><Relationship Id="rId27" Type="http://schemas.openxmlformats.org/officeDocument/2006/relationships/hyperlink" Target="https://environment.ec.europa.eu/publications/proposal-amending-water-directives_sv" TargetMode="External"/><Relationship Id="rId30" Type="http://schemas.openxmlformats.org/officeDocument/2006/relationships/hyperlink" Target="https://esdac.jrc.ec.europa.eu/" TargetMode="External"/><Relationship Id="rId35" Type="http://schemas.openxmlformats.org/officeDocument/2006/relationships/hyperlink" Target="https://www.izsvenezie.com/reference-laboratories/avian-influenza-newcastle-disease/" TargetMode="External"/><Relationship Id="rId43" Type="http://schemas.openxmlformats.org/officeDocument/2006/relationships/hyperlink" Target="https://ec.europa.eu/commission/presscorner/detail/sv/ip_22_6278" TargetMode="External"/><Relationship Id="rId48" Type="http://schemas.openxmlformats.org/officeDocument/2006/relationships/hyperlink" Target="https://health.ec.europa.eu/publications/hera-factsheet-health-union-identifying-top-3-priority-health-threats_en" TargetMode="External"/><Relationship Id="rId56" Type="http://schemas.openxmlformats.org/officeDocument/2006/relationships/hyperlink" Target="https://health.ec.europa.eu/latest-updates/hera-it-system-athina-collect-intelligence-and-assess-threats-call-tender-published-2023-04-25_en" TargetMode="External"/><Relationship Id="rId64" Type="http://schemas.openxmlformats.org/officeDocument/2006/relationships/hyperlink" Target="https://health.ec.europa.eu/health-security-and-infectious-diseases/crisis-management/list-authorities-represented-health-security-committee/health-security-committee-reports_en" TargetMode="External"/><Relationship Id="rId69" Type="http://schemas.openxmlformats.org/officeDocument/2006/relationships/hyperlink" Target="https://eur-lex.europa.eu/legal-content/SV/TXT/?uri=CELEX%3A32008L0114&amp;qid=1699961985226" TargetMode="External"/><Relationship Id="rId77" Type="http://schemas.openxmlformats.org/officeDocument/2006/relationships/hyperlink" Target="https://research-and-innovation.ec.europa.eu/funding/funding-opportunities/funding-programmes-and-open-calls/horizon-europe/european-partnerships-horizon-europe/health_en" TargetMode="External"/><Relationship Id="rId8" Type="http://schemas.openxmlformats.org/officeDocument/2006/relationships/hyperlink" Target="https://knowledge4policy.ec.europa.eu/projects-activities/behavioural-insights-eu-bi4eu_en" TargetMode="External"/><Relationship Id="rId51" Type="http://schemas.openxmlformats.org/officeDocument/2006/relationships/hyperlink" Target="https://health.ec.europa.eu/health-security-and-infectious-diseases/surveillance-and-early-warning/eu-reference-laboratories-public-health-calls-application_en" TargetMode="External"/><Relationship Id="rId72" Type="http://schemas.openxmlformats.org/officeDocument/2006/relationships/hyperlink" Target="https://www.ecdc.europa.eu/en/publications-data/conducting-after-action-reviews-public-health-response-covid-19-update-0" TargetMode="External"/><Relationship Id="rId80" Type="http://schemas.openxmlformats.org/officeDocument/2006/relationships/hyperlink" Target="https://health.ec.europa.eu/health-emergency-preparedness-and-response-hera/hera-invest_en" TargetMode="External"/><Relationship Id="rId85" Type="http://schemas.openxmlformats.org/officeDocument/2006/relationships/hyperlink" Target="https://health.ec.europa.eu/system/files/2023-03/international_ghs-report-2022_en.pdf" TargetMode="External"/><Relationship Id="rId3" Type="http://schemas.openxmlformats.org/officeDocument/2006/relationships/hyperlink" Target="https://www.who.int/publications/i/item/9789241580496" TargetMode="External"/><Relationship Id="rId12" Type="http://schemas.openxmlformats.org/officeDocument/2006/relationships/hyperlink" Target="https://eur-lex.europa.eu/legal-content/SV/TXT/?uri=COM:2021:44:FIN" TargetMode="External"/><Relationship Id="rId17" Type="http://schemas.openxmlformats.org/officeDocument/2006/relationships/hyperlink" Target="https://health.ec.europa.eu/funding/eu4health-programme-2021-2027-vision-healthier-european-union_sv" TargetMode="External"/><Relationship Id="rId25" Type="http://schemas.openxmlformats.org/officeDocument/2006/relationships/hyperlink" Target="https://commission.europa.eu/strategy-and-policy/priorities-2019-2024/european-green-deal_sv" TargetMode="External"/><Relationship Id="rId33" Type="http://schemas.openxmlformats.org/officeDocument/2006/relationships/hyperlink" Target="https://eur-lex.europa.eu/legal-content/SV/TXT/?uri=CELEX%3A32016R0429&amp;qid=1699617422821" TargetMode="External"/><Relationship Id="rId38" Type="http://schemas.openxmlformats.org/officeDocument/2006/relationships/hyperlink" Target="https://www.who.int/europe/publications/i/item/EURO-Budapest2023-6" TargetMode="External"/><Relationship Id="rId46" Type="http://schemas.openxmlformats.org/officeDocument/2006/relationships/hyperlink" Target="https://eur-lex.europa.eu/legal-content/SV/TXT/?uri=OJ:L:2023:234:TOC" TargetMode="External"/><Relationship Id="rId59" Type="http://schemas.openxmlformats.org/officeDocument/2006/relationships/hyperlink" Target="https://www.veo-europe.eu/" TargetMode="External"/><Relationship Id="rId67" Type="http://schemas.openxmlformats.org/officeDocument/2006/relationships/hyperlink" Target="https://eur-lex.europa.eu/legal-content/SV/TXT/?uri=CELEX%3A32022R0123" TargetMode="External"/><Relationship Id="rId20" Type="http://schemas.openxmlformats.org/officeDocument/2006/relationships/hyperlink" Target="https://www.who.int/groups/secure-expanding-sustainable-access-to-antibiotics" TargetMode="External"/><Relationship Id="rId41" Type="http://schemas.openxmlformats.org/officeDocument/2006/relationships/hyperlink" Target="https://cinea.ec.europa.eu/programmes/life_en" TargetMode="External"/><Relationship Id="rId54" Type="http://schemas.openxmlformats.org/officeDocument/2006/relationships/hyperlink" Target="https://www.ecdc.europa.eu/en/publications-data/european-surveillance-system-tessy" TargetMode="External"/><Relationship Id="rId62" Type="http://schemas.openxmlformats.org/officeDocument/2006/relationships/hyperlink" Target="https://eur-lex.europa.eu/legal-content/SV/TXT/?uri=CELEX%3A32021D0858&amp;qid=1702558356776" TargetMode="External"/><Relationship Id="rId70" Type="http://schemas.openxmlformats.org/officeDocument/2006/relationships/hyperlink" Target="https://eur-lex.europa.eu/legal-content/SV/TXT/?uri=CELEX:52023DC0526" TargetMode="External"/><Relationship Id="rId75" Type="http://schemas.openxmlformats.org/officeDocument/2006/relationships/hyperlink" Target="https://www.who.int/news/item/02-03-2022-covid-19-pandemic-triggers-25-increase-in-prevalence-of-anxiety-and-depression-worldwide" TargetMode="External"/><Relationship Id="rId83" Type="http://schemas.openxmlformats.org/officeDocument/2006/relationships/hyperlink" Target="https://eu-response.eu/" TargetMode="External"/><Relationship Id="rId1" Type="http://schemas.openxmlformats.org/officeDocument/2006/relationships/hyperlink" Target="https://commission.europa.eu/strategy-and-policy/coronavirus-response/public-health/eu-vaccines-strategy_en" TargetMode="External"/><Relationship Id="rId6" Type="http://schemas.openxmlformats.org/officeDocument/2006/relationships/hyperlink" Target="https://health.ec.europa.eu/system/files/2022-12/2019-2022_roadmap_en.pdf" TargetMode="External"/><Relationship Id="rId15" Type="http://schemas.openxmlformats.org/officeDocument/2006/relationships/hyperlink" Target="https://eur-lex.europa.eu/legal-content/SV/TXT/?uri=CELEX%3A32023H0622%2801%29" TargetMode="External"/><Relationship Id="rId23" Type="http://schemas.openxmlformats.org/officeDocument/2006/relationships/hyperlink" Target="https://research-and-innovation.ec.europa.eu/funding/funding-opportunities/funding-programmes-and-open-calls/horizon-europe_en" TargetMode="External"/><Relationship Id="rId28" Type="http://schemas.openxmlformats.org/officeDocument/2006/relationships/hyperlink" Target="https://environment.ec.europa.eu/publications/proposal-revised-urban-wastewater-treatment-directive_en" TargetMode="External"/><Relationship Id="rId36" Type="http://schemas.openxmlformats.org/officeDocument/2006/relationships/hyperlink" Target="https://eur-lex.europa.eu/legal-content/SV/TXT/?uri=CELEX%3A32020R0689&amp;qid=1699963567960" TargetMode="External"/><Relationship Id="rId49" Type="http://schemas.openxmlformats.org/officeDocument/2006/relationships/hyperlink" Target="https://ec.europa.eu/info/live-work-travel-eu/coronavirus-response/public-health_sv" TargetMode="External"/><Relationship Id="rId57" Type="http://schemas.openxmlformats.org/officeDocument/2006/relationships/hyperlink" Target="https://united4surveillance.eu/" TargetMode="External"/><Relationship Id="rId10" Type="http://schemas.openxmlformats.org/officeDocument/2006/relationships/hyperlink" Target="https://health.ec.europa.eu/non-communicable-diseases/expert-group-public-health_sv" TargetMode="External"/><Relationship Id="rId31" Type="http://schemas.openxmlformats.org/officeDocument/2006/relationships/hyperlink" Target="https://www.nature.com/articles/nature06536" TargetMode="External"/><Relationship Id="rId44" Type="http://schemas.openxmlformats.org/officeDocument/2006/relationships/hyperlink" Target="https://environment.ec.europa.eu/publications/proposal-revision-industrial-emissions-directive_en" TargetMode="External"/><Relationship Id="rId52" Type="http://schemas.openxmlformats.org/officeDocument/2006/relationships/hyperlink" Target="https://www.pasteur.fr/en/home/institut-pasteur/institut-pasteur-throughout-world/international-research-programs/durable-large-scale-project-emerging-diseases-within-eu4health-european-program." TargetMode="External"/><Relationship Id="rId60" Type="http://schemas.openxmlformats.org/officeDocument/2006/relationships/hyperlink" Target="https://www.phiri.eu/" TargetMode="External"/><Relationship Id="rId65" Type="http://schemas.openxmlformats.org/officeDocument/2006/relationships/hyperlink" Target="https://health.ec.europa.eu/publications/preparing-winter-20232024-address-respiratory-infections-caused-sars-cov-2-and-other-viruses_en" TargetMode="External"/><Relationship Id="rId73" Type="http://schemas.openxmlformats.org/officeDocument/2006/relationships/hyperlink" Target="https://cohesiondata.ec.europa.eu/2021-2027-Categorisation/2021-2027-Finances-details-categorisation-multi-fu/hgyj-gyin" TargetMode="External"/><Relationship Id="rId78" Type="http://schemas.openxmlformats.org/officeDocument/2006/relationships/hyperlink" Target="https://eur-lex.europa.eu/legal-content/SV/TXT/?uri=CELEX:52023DC0298" TargetMode="External"/><Relationship Id="rId81" Type="http://schemas.openxmlformats.org/officeDocument/2006/relationships/hyperlink" Target="https://investeu.europa.eu/index_en" TargetMode="External"/><Relationship Id="rId86" Type="http://schemas.openxmlformats.org/officeDocument/2006/relationships/hyperlink" Target="https://commission.europa.eu/strategy-and-policy/priorities-2019-2024/stronger-europe-world/global-gateway_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7A8D-C9DD-4953-BE91-1ABF4ABA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13441</Words>
  <Characters>76617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cp:lastPrinted>2023-11-10T09:33:00Z</cp:lastPrinted>
  <dcterms:created xsi:type="dcterms:W3CDTF">2023-12-06T14:47:00Z</dcterms:created>
  <dcterms:modified xsi:type="dcterms:W3CDTF">2024-01-17T08:53:00Z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2023-09-28T14:34:58Z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3f3ee531-c85a-4cd9-865c-b444eab5dd1e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9.0, Build 20230317</vt:lpwstr>
  </property>
  <property fmtid="{D5CDD505-2E9C-101B-9397-08002B2CF9AE}" pid="15" name="Created using">
    <vt:lpwstr>LW 9.0, Build 20230317</vt:lpwstr>
  </property>
</Properties>
</file>