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3DA55" w14:textId="3899F933" w:rsidR="00C619B5" w:rsidRPr="00563D0D" w:rsidRDefault="00554386" w:rsidP="00554386">
      <w:pPr>
        <w:pStyle w:val="Pagedecouverture"/>
        <w:rPr>
          <w:noProof/>
          <w:lang w:val="pl-PL"/>
        </w:rPr>
      </w:pPr>
      <w:bookmarkStart w:id="0" w:name="LW_BM_COVERPAGE"/>
      <w:r>
        <w:rPr>
          <w:noProof/>
          <w:lang w:val="pl-PL"/>
        </w:rPr>
        <w:pict w14:anchorId="7FA54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264A66D3-56D1-4CC3-AF31-547344C34972" style="width:455.25pt;height:324pt">
            <v:imagedata r:id="rId8" o:title=""/>
          </v:shape>
        </w:pict>
      </w:r>
    </w:p>
    <w:bookmarkEnd w:id="0"/>
    <w:p w14:paraId="54D93261" w14:textId="77777777" w:rsidR="00C619B5" w:rsidRPr="00563D0D" w:rsidRDefault="00C619B5" w:rsidP="00C619B5">
      <w:pPr>
        <w:rPr>
          <w:noProof/>
          <w:lang w:val="pl-PL"/>
        </w:rPr>
        <w:sectPr w:rsidR="00C619B5" w:rsidRPr="00563D0D" w:rsidSect="00554386">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608FCA05" w14:textId="77777777" w:rsidR="001F1738" w:rsidRPr="00563D0D" w:rsidRDefault="001F1738" w:rsidP="001F1738">
      <w:pPr>
        <w:keepNext/>
        <w:keepLines/>
        <w:spacing w:before="100" w:beforeAutospacing="1" w:after="100" w:afterAutospacing="1" w:line="240" w:lineRule="auto"/>
        <w:jc w:val="both"/>
        <w:outlineLvl w:val="0"/>
        <w:rPr>
          <w:rFonts w:ascii="Times New Roman" w:eastAsiaTheme="majorEastAsia" w:hAnsi="Times New Roman" w:cs="Times New Roman"/>
          <w:noProof/>
          <w:sz w:val="24"/>
          <w:lang w:val="pl-PL"/>
        </w:rPr>
      </w:pPr>
      <w:bookmarkStart w:id="1" w:name="_GoBack"/>
      <w:bookmarkEnd w:id="1"/>
      <w:r w:rsidRPr="00563D0D">
        <w:rPr>
          <w:rFonts w:ascii="Times New Roman" w:hAnsi="Times New Roman"/>
          <w:noProof/>
          <w:sz w:val="24"/>
          <w:lang w:val="pl-PL"/>
        </w:rPr>
        <w:lastRenderedPageBreak/>
        <w:t>1. WPROWADZENIE</w:t>
      </w:r>
    </w:p>
    <w:p w14:paraId="0745FB22" w14:textId="7597EDA8"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Unia Europejska (UE) poczyniła istotne postępy</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zwi</w:t>
      </w:r>
      <w:r w:rsidRPr="00563D0D">
        <w:rPr>
          <w:rFonts w:ascii="Times New Roman" w:hAnsi="Times New Roman"/>
          <w:noProof/>
          <w:sz w:val="24"/>
          <w:lang w:val="pl-PL"/>
        </w:rPr>
        <w:t>ększaniu swoich zdolności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gotowości do stawiania czoła poważnym transgranicznym zagrożeniom zdrowia</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gru</w:t>
      </w:r>
      <w:r w:rsidRPr="00563D0D">
        <w:rPr>
          <w:rFonts w:ascii="Times New Roman" w:hAnsi="Times New Roman"/>
          <w:noProof/>
          <w:sz w:val="24"/>
          <w:lang w:val="pl-PL"/>
        </w:rPr>
        <w:t>dniu 2023</w:t>
      </w:r>
      <w:r w:rsidR="00563D0D" w:rsidRPr="00563D0D">
        <w:rPr>
          <w:rFonts w:ascii="Times New Roman" w:hAnsi="Times New Roman"/>
          <w:noProof/>
          <w:sz w:val="24"/>
          <w:lang w:val="pl-PL"/>
        </w:rPr>
        <w:t> </w:t>
      </w:r>
      <w:r w:rsidRPr="00563D0D">
        <w:rPr>
          <w:rFonts w:ascii="Times New Roman" w:hAnsi="Times New Roman"/>
          <w:noProof/>
          <w:sz w:val="24"/>
          <w:lang w:val="pl-PL"/>
        </w:rPr>
        <w:t>r. minęły cztery lata od wykrycia po raz pierwszy wirusa SARS-CoV-2, który doprowadził do wybuchu pandemii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bez</w:t>
      </w:r>
      <w:r w:rsidRPr="00563D0D">
        <w:rPr>
          <w:rFonts w:ascii="Times New Roman" w:hAnsi="Times New Roman"/>
          <w:noProof/>
          <w:sz w:val="24"/>
          <w:lang w:val="pl-PL"/>
        </w:rPr>
        <w:t>precedensowego globalnego kryzysu zdrowotnego. Od tego czasu</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now</w:t>
      </w:r>
      <w:r w:rsidRPr="00563D0D">
        <w:rPr>
          <w:rFonts w:ascii="Times New Roman" w:hAnsi="Times New Roman"/>
          <w:noProof/>
          <w:sz w:val="24"/>
          <w:lang w:val="pl-PL"/>
        </w:rPr>
        <w:t>ym prawodawstwie UE uwzględniono wiele inicjatyw</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wni</w:t>
      </w:r>
      <w:r w:rsidRPr="00563D0D">
        <w:rPr>
          <w:rFonts w:ascii="Times New Roman" w:hAnsi="Times New Roman"/>
          <w:noProof/>
          <w:sz w:val="24"/>
          <w:lang w:val="pl-PL"/>
        </w:rPr>
        <w:t>osków mających na celu wzmocnienie mechanizmów zbiorowej obrony</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got</w:t>
      </w:r>
      <w:r w:rsidRPr="00563D0D">
        <w:rPr>
          <w:rFonts w:ascii="Times New Roman" w:hAnsi="Times New Roman"/>
          <w:noProof/>
          <w:sz w:val="24"/>
          <w:lang w:val="pl-PL"/>
        </w:rPr>
        <w:t>owości na wypadek pandemii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inn</w:t>
      </w:r>
      <w:r w:rsidRPr="00563D0D">
        <w:rPr>
          <w:rFonts w:ascii="Times New Roman" w:hAnsi="Times New Roman"/>
          <w:noProof/>
          <w:sz w:val="24"/>
          <w:lang w:val="pl-PL"/>
        </w:rPr>
        <w:t>ych poważnych zagrożeń zdrowia, takich jak te związane ze zmianą klimatu.</w:t>
      </w:r>
    </w:p>
    <w:p w14:paraId="22C00E9C" w14:textId="32E39E92"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W grudniu 2023</w:t>
      </w:r>
      <w:r w:rsidR="00563D0D" w:rsidRPr="00563D0D">
        <w:rPr>
          <w:rFonts w:ascii="Times New Roman" w:hAnsi="Times New Roman"/>
          <w:noProof/>
          <w:sz w:val="24"/>
          <w:lang w:val="pl-PL"/>
        </w:rPr>
        <w:t> </w:t>
      </w:r>
      <w:r w:rsidRPr="00563D0D">
        <w:rPr>
          <w:rFonts w:ascii="Times New Roman" w:hAnsi="Times New Roman"/>
          <w:noProof/>
          <w:sz w:val="24"/>
          <w:lang w:val="pl-PL"/>
        </w:rPr>
        <w:t>r. przypada również pierwsza rocznica wejścia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życ</w:t>
      </w:r>
      <w:r w:rsidRPr="00563D0D">
        <w:rPr>
          <w:rFonts w:ascii="Times New Roman" w:hAnsi="Times New Roman"/>
          <w:noProof/>
          <w:sz w:val="24"/>
          <w:lang w:val="pl-PL"/>
        </w:rPr>
        <w:t>ie kluczowego aktu ustawodawczego stanowiącego część unijnych ram bezpieczeństwa zdrowotnego: rozporządzenia (UE) 2022/2371</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awie poważnych transgranicznych zagrożeń zdrowia</w:t>
      </w:r>
      <w:r w:rsidRPr="00563D0D">
        <w:rPr>
          <w:rFonts w:ascii="Times New Roman" w:eastAsia="Times New Roman" w:hAnsi="Times New Roman" w:cs="Times New Roman"/>
          <w:noProof/>
          <w:sz w:val="24"/>
          <w:vertAlign w:val="superscript"/>
          <w:lang w:val="pl-PL"/>
        </w:rPr>
        <w:footnoteReference w:id="1"/>
      </w:r>
      <w:r w:rsidRPr="00563D0D">
        <w:rPr>
          <w:rFonts w:ascii="Times New Roman" w:hAnsi="Times New Roman"/>
          <w:noProof/>
          <w:sz w:val="24"/>
          <w:lang w:val="pl-PL"/>
        </w:rPr>
        <w:t>. Komisja przedstawiła wniosek dotyczący tego rozporządzenia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2</w:t>
      </w:r>
      <w:r w:rsidRPr="00563D0D">
        <w:rPr>
          <w:rFonts w:ascii="Times New Roman" w:hAnsi="Times New Roman"/>
          <w:noProof/>
          <w:sz w:val="24"/>
          <w:lang w:val="pl-PL"/>
        </w:rPr>
        <w:t>020</w:t>
      </w:r>
      <w:r w:rsidR="00563D0D" w:rsidRPr="00563D0D">
        <w:rPr>
          <w:rFonts w:ascii="Times New Roman" w:hAnsi="Times New Roman"/>
          <w:noProof/>
          <w:sz w:val="24"/>
          <w:lang w:val="pl-PL"/>
        </w:rPr>
        <w:t> </w:t>
      </w:r>
      <w:r w:rsidRPr="00563D0D">
        <w:rPr>
          <w:rFonts w:ascii="Times New Roman" w:hAnsi="Times New Roman"/>
          <w:noProof/>
          <w:sz w:val="24"/>
          <w:lang w:val="pl-PL"/>
        </w:rPr>
        <w:t>r.</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pierwszego filaru Europejskiej Unii Zdrowotnej wraz</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wni</w:t>
      </w:r>
      <w:r w:rsidRPr="00563D0D">
        <w:rPr>
          <w:rFonts w:ascii="Times New Roman" w:hAnsi="Times New Roman"/>
          <w:noProof/>
          <w:sz w:val="24"/>
          <w:lang w:val="pl-PL"/>
        </w:rPr>
        <w:t>oskami dotyczącymi rozszerzonych uprawnień dwóch kluczowych agencji UE ds. zdrowia: europejskiego Centrum ds. Zapobiegania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Kon</w:t>
      </w:r>
      <w:r w:rsidRPr="00563D0D">
        <w:rPr>
          <w:rFonts w:ascii="Times New Roman" w:hAnsi="Times New Roman"/>
          <w:noProof/>
          <w:sz w:val="24"/>
          <w:lang w:val="pl-PL"/>
        </w:rPr>
        <w:t>troli Chorób (ECDC) oraz Europejskiej Agencji Leków (EMA). Rozporządzenie przyczyniło się do unowocześnienia dostępnych na szczeblu UE mechanizmów zapobiegania, gotowości, nadzoru, wczesnego ostrzegania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zdrowia publicznego oraz zapewniło podstawę unijnej architektury bezpieczeństwa zdrowotnego. Europejska Unia Zdrowotna – której podstawy zostały określone jeszcze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cza</w:t>
      </w:r>
      <w:r w:rsidRPr="00563D0D">
        <w:rPr>
          <w:rFonts w:ascii="Times New Roman" w:hAnsi="Times New Roman"/>
          <w:noProof/>
          <w:sz w:val="24"/>
          <w:lang w:val="pl-PL"/>
        </w:rPr>
        <w:t>sie bezprecedensowego kryzysu związanego z COVID-19 – obecnie funkcjonuje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ynosi rezultaty,</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w</w:t>
      </w:r>
      <w:r w:rsidR="00563D0D">
        <w:rPr>
          <w:rFonts w:ascii="Times New Roman" w:hAnsi="Times New Roman"/>
          <w:noProof/>
          <w:sz w:val="24"/>
          <w:lang w:val="pl-PL"/>
        </w:rPr>
        <w:t> </w:t>
      </w:r>
      <w:r w:rsidR="00563D0D" w:rsidRPr="00563D0D">
        <w:rPr>
          <w:rFonts w:ascii="Times New Roman" w:hAnsi="Times New Roman"/>
          <w:noProof/>
          <w:sz w:val="24"/>
          <w:lang w:val="pl-PL"/>
        </w:rPr>
        <w:t>jej</w:t>
      </w:r>
      <w:r w:rsidRPr="00563D0D">
        <w:rPr>
          <w:rFonts w:ascii="Times New Roman" w:hAnsi="Times New Roman"/>
          <w:noProof/>
          <w:sz w:val="24"/>
          <w:lang w:val="pl-PL"/>
        </w:rPr>
        <w:t xml:space="preserve"> ramach działa utworzony przez Komisję we wrześniu 2021</w:t>
      </w:r>
      <w:r w:rsidR="00563D0D" w:rsidRPr="00563D0D">
        <w:rPr>
          <w:rFonts w:ascii="Times New Roman" w:hAnsi="Times New Roman"/>
          <w:noProof/>
          <w:sz w:val="24"/>
          <w:lang w:val="pl-PL"/>
        </w:rPr>
        <w:t> </w:t>
      </w:r>
      <w:r w:rsidRPr="00563D0D">
        <w:rPr>
          <w:rFonts w:ascii="Times New Roman" w:hAnsi="Times New Roman"/>
          <w:noProof/>
          <w:sz w:val="24"/>
          <w:lang w:val="pl-PL"/>
        </w:rPr>
        <w:t>r. Urząd ds. Gotowości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gowania na Stany Zagrożenia Zdrowia (HERA)</w:t>
      </w:r>
      <w:r w:rsidRPr="00563D0D">
        <w:rPr>
          <w:rStyle w:val="FootnoteReference"/>
          <w:rFonts w:ascii="Times New Roman" w:eastAsia="Times New Roman" w:hAnsi="Times New Roman" w:cs="Times New Roman"/>
          <w:noProof/>
          <w:sz w:val="24"/>
          <w:lang w:val="pl-PL"/>
        </w:rPr>
        <w:footnoteReference w:id="2"/>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nin</w:t>
      </w:r>
      <w:r w:rsidRPr="00563D0D">
        <w:rPr>
          <w:rFonts w:ascii="Times New Roman" w:hAnsi="Times New Roman"/>
          <w:noProof/>
          <w:sz w:val="24"/>
          <w:lang w:val="pl-PL"/>
        </w:rPr>
        <w:t>iejszym sprawozdaniu przedstawiono najważniejsze dotychczasowe zmiany.</w:t>
      </w:r>
    </w:p>
    <w:p w14:paraId="3CFD468C" w14:textId="1C94A758"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Polityczne zobowiązanie do sporządzania corocznego sprawozdania na temat stanu gotowości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dzi</w:t>
      </w:r>
      <w:r w:rsidRPr="00563D0D">
        <w:rPr>
          <w:rFonts w:ascii="Times New Roman" w:hAnsi="Times New Roman"/>
          <w:noProof/>
          <w:sz w:val="24"/>
          <w:lang w:val="pl-PL"/>
        </w:rPr>
        <w:t>edzinie zdrowia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odzwierciedlenia ogólnego zmieniającego się krajobrazu ryzyka w UE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sta</w:t>
      </w:r>
      <w:r w:rsidRPr="00563D0D">
        <w:rPr>
          <w:rFonts w:ascii="Times New Roman" w:hAnsi="Times New Roman"/>
          <w:noProof/>
          <w:sz w:val="24"/>
          <w:lang w:val="pl-PL"/>
        </w:rPr>
        <w:t>nu gotowości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dzi</w:t>
      </w:r>
      <w:r w:rsidRPr="00563D0D">
        <w:rPr>
          <w:rFonts w:ascii="Times New Roman" w:hAnsi="Times New Roman"/>
          <w:noProof/>
          <w:sz w:val="24"/>
          <w:lang w:val="pl-PL"/>
        </w:rPr>
        <w:t>edzinie zdrowia zostało ogłoszone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kom</w:t>
      </w:r>
      <w:r w:rsidRPr="00563D0D">
        <w:rPr>
          <w:rFonts w:ascii="Times New Roman" w:hAnsi="Times New Roman"/>
          <w:noProof/>
          <w:sz w:val="24"/>
          <w:lang w:val="pl-PL"/>
        </w:rPr>
        <w:t>unikacie Komisji</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2</w:t>
      </w:r>
      <w:r w:rsidRPr="00563D0D">
        <w:rPr>
          <w:rFonts w:ascii="Times New Roman" w:hAnsi="Times New Roman"/>
          <w:noProof/>
          <w:sz w:val="24"/>
          <w:lang w:val="pl-PL"/>
        </w:rPr>
        <w:t>021</w:t>
      </w:r>
      <w:r w:rsidR="00563D0D" w:rsidRPr="00563D0D">
        <w:rPr>
          <w:rFonts w:ascii="Times New Roman" w:hAnsi="Times New Roman"/>
          <w:noProof/>
          <w:sz w:val="24"/>
          <w:lang w:val="pl-PL"/>
        </w:rPr>
        <w:t> </w:t>
      </w:r>
      <w:r w:rsidRPr="00563D0D">
        <w:rPr>
          <w:rFonts w:ascii="Times New Roman" w:hAnsi="Times New Roman"/>
          <w:noProof/>
          <w:sz w:val="24"/>
          <w:lang w:val="pl-PL"/>
        </w:rPr>
        <w:t>r. „Wyciąganie wstępnych wniosków</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pan</w:t>
      </w:r>
      <w:r w:rsidRPr="00563D0D">
        <w:rPr>
          <w:rFonts w:ascii="Times New Roman" w:hAnsi="Times New Roman"/>
          <w:noProof/>
          <w:sz w:val="24"/>
          <w:lang w:val="pl-PL"/>
        </w:rPr>
        <w:t>demii COVID-19”</w:t>
      </w:r>
      <w:r w:rsidRPr="00563D0D">
        <w:rPr>
          <w:rFonts w:ascii="Times New Roman" w:eastAsiaTheme="minorEastAsia" w:hAnsi="Times New Roman" w:cs="Times New Roman"/>
          <w:noProof/>
          <w:sz w:val="24"/>
          <w:vertAlign w:val="superscript"/>
          <w:lang w:val="pl-PL"/>
        </w:rPr>
        <w:footnoteReference w:id="3"/>
      </w:r>
      <w:r w:rsidRPr="00563D0D">
        <w:rPr>
          <w:rFonts w:ascii="Times New Roman" w:hAnsi="Times New Roman"/>
          <w:noProof/>
          <w:sz w:val="24"/>
          <w:lang w:val="pl-PL"/>
        </w:rPr>
        <w:t>. Pierwsze wydanie sprawozdania na temat stanu gotowości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dzi</w:t>
      </w:r>
      <w:r w:rsidRPr="00563D0D">
        <w:rPr>
          <w:rFonts w:ascii="Times New Roman" w:hAnsi="Times New Roman"/>
          <w:noProof/>
          <w:sz w:val="24"/>
          <w:lang w:val="pl-PL"/>
        </w:rPr>
        <w:t>edzinie zdrowia</w:t>
      </w:r>
      <w:r w:rsidRPr="00563D0D">
        <w:rPr>
          <w:rFonts w:ascii="Times New Roman" w:eastAsia="Times New Roman" w:hAnsi="Times New Roman" w:cs="Times New Roman"/>
          <w:noProof/>
          <w:sz w:val="24"/>
          <w:vertAlign w:val="superscript"/>
          <w:lang w:val="pl-PL"/>
        </w:rPr>
        <w:footnoteReference w:id="4"/>
      </w:r>
      <w:r w:rsidRPr="00563D0D">
        <w:rPr>
          <w:rFonts w:ascii="Times New Roman" w:hAnsi="Times New Roman"/>
          <w:noProof/>
          <w:sz w:val="24"/>
          <w:lang w:val="pl-PL"/>
        </w:rPr>
        <w:t xml:space="preserve"> zostało opublikowane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2</w:t>
      </w:r>
      <w:r w:rsidRPr="00563D0D">
        <w:rPr>
          <w:rFonts w:ascii="Times New Roman" w:hAnsi="Times New Roman"/>
          <w:noProof/>
          <w:sz w:val="24"/>
          <w:lang w:val="pl-PL"/>
        </w:rPr>
        <w:t>022</w:t>
      </w:r>
      <w:r w:rsidR="00563D0D" w:rsidRPr="00563D0D">
        <w:rPr>
          <w:rFonts w:ascii="Times New Roman" w:hAnsi="Times New Roman"/>
          <w:noProof/>
          <w:sz w:val="24"/>
          <w:lang w:val="pl-PL"/>
        </w:rPr>
        <w:t> </w:t>
      </w:r>
      <w:r w:rsidRPr="00563D0D">
        <w:rPr>
          <w:rFonts w:ascii="Times New Roman" w:hAnsi="Times New Roman"/>
          <w:noProof/>
          <w:sz w:val="24"/>
          <w:lang w:val="pl-PL"/>
        </w:rPr>
        <w:t>r.</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kon</w:t>
      </w:r>
      <w:r w:rsidRPr="00563D0D">
        <w:rPr>
          <w:rFonts w:ascii="Times New Roman" w:hAnsi="Times New Roman"/>
          <w:noProof/>
          <w:sz w:val="24"/>
          <w:lang w:val="pl-PL"/>
        </w:rPr>
        <w:t>centrowało się na zdolnościach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gotowości związanych</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med</w:t>
      </w:r>
      <w:r w:rsidRPr="00563D0D">
        <w:rPr>
          <w:rFonts w:ascii="Times New Roman" w:hAnsi="Times New Roman"/>
          <w:noProof/>
          <w:sz w:val="24"/>
          <w:lang w:val="pl-PL"/>
        </w:rPr>
        <w:t>ycznymi środkami przeciwdziałania. Głównym celem tegorocznego sprawozdania jest przedstawienie działań UE, które zostały wdrożone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przeciwdziałania poważnym transgranicznym zagrożeniom zdrowia, ze szczególnym uwzględnieniem działań służących wykonaniu rozporządzenia (UE) 2022/2371 (przekazanie takiego sprawozdania stanowi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rze</w:t>
      </w:r>
      <w:r w:rsidRPr="00563D0D">
        <w:rPr>
          <w:rFonts w:ascii="Times New Roman" w:hAnsi="Times New Roman"/>
          <w:noProof/>
          <w:sz w:val="24"/>
          <w:lang w:val="pl-PL"/>
        </w:rPr>
        <w:t>czywistości wymóg zgodnie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art</w:t>
      </w:r>
      <w:r w:rsidRPr="00563D0D">
        <w:rPr>
          <w:rFonts w:ascii="Times New Roman" w:hAnsi="Times New Roman"/>
          <w:noProof/>
          <w:sz w:val="24"/>
          <w:lang w:val="pl-PL"/>
        </w:rPr>
        <w:t>.</w:t>
      </w:r>
      <w:r w:rsidR="00563D0D" w:rsidRPr="00563D0D">
        <w:rPr>
          <w:rFonts w:ascii="Times New Roman" w:hAnsi="Times New Roman"/>
          <w:noProof/>
          <w:sz w:val="24"/>
          <w:lang w:val="pl-PL"/>
        </w:rPr>
        <w:t> </w:t>
      </w:r>
      <w:r w:rsidRPr="00563D0D">
        <w:rPr>
          <w:rFonts w:ascii="Times New Roman" w:hAnsi="Times New Roman"/>
          <w:noProof/>
          <w:sz w:val="24"/>
          <w:lang w:val="pl-PL"/>
        </w:rPr>
        <w:t>9</w:t>
      </w:r>
      <w:r w:rsidRPr="00563D0D">
        <w:rPr>
          <w:rFonts w:ascii="Times New Roman" w:eastAsia="Times New Roman" w:hAnsi="Times New Roman" w:cs="Times New Roman"/>
          <w:noProof/>
          <w:sz w:val="24"/>
          <w:vertAlign w:val="superscript"/>
          <w:lang w:val="pl-PL"/>
        </w:rPr>
        <w:footnoteReference w:id="5"/>
      </w:r>
      <w:r w:rsidRPr="00563D0D">
        <w:rPr>
          <w:rFonts w:ascii="Times New Roman" w:hAnsi="Times New Roman"/>
          <w:noProof/>
          <w:sz w:val="24"/>
          <w:lang w:val="pl-PL"/>
        </w:rPr>
        <w:t>). Drugim celem sprawozdania</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2</w:t>
      </w:r>
      <w:r w:rsidRPr="00563D0D">
        <w:rPr>
          <w:rFonts w:ascii="Times New Roman" w:hAnsi="Times New Roman"/>
          <w:noProof/>
          <w:sz w:val="24"/>
          <w:lang w:val="pl-PL"/>
        </w:rPr>
        <w:t>023</w:t>
      </w:r>
      <w:r w:rsidR="00563D0D" w:rsidRPr="00563D0D">
        <w:rPr>
          <w:rFonts w:ascii="Times New Roman" w:hAnsi="Times New Roman"/>
          <w:noProof/>
          <w:sz w:val="24"/>
          <w:lang w:val="pl-PL"/>
        </w:rPr>
        <w:t> </w:t>
      </w:r>
      <w:r w:rsidRPr="00563D0D">
        <w:rPr>
          <w:rFonts w:ascii="Times New Roman" w:hAnsi="Times New Roman"/>
          <w:noProof/>
          <w:sz w:val="24"/>
          <w:lang w:val="pl-PL"/>
        </w:rPr>
        <w:t>r. jest przedstawienie istotnych bieżących inicjatyw</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pra</w:t>
      </w:r>
      <w:r w:rsidRPr="00563D0D">
        <w:rPr>
          <w:rFonts w:ascii="Times New Roman" w:hAnsi="Times New Roman"/>
          <w:noProof/>
          <w:sz w:val="24"/>
          <w:lang w:val="pl-PL"/>
        </w:rPr>
        <w:t>c, które są ze sobą ściśle powiązane, ale które są na przykład koordynowane przez służby Komisji niezwiązane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obs</w:t>
      </w:r>
      <w:r w:rsidRPr="00563D0D">
        <w:rPr>
          <w:rFonts w:ascii="Times New Roman" w:hAnsi="Times New Roman"/>
          <w:noProof/>
          <w:sz w:val="24"/>
          <w:lang w:val="pl-PL"/>
        </w:rPr>
        <w:t>zarem polityki zdrowia publicznego. Dzięki przedstawieniu tych wzajemnych powiązań</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awozdaniu podsumowano starania UE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dzi</w:t>
      </w:r>
      <w:r w:rsidRPr="00563D0D">
        <w:rPr>
          <w:rFonts w:ascii="Times New Roman" w:hAnsi="Times New Roman"/>
          <w:noProof/>
          <w:sz w:val="24"/>
          <w:lang w:val="pl-PL"/>
        </w:rPr>
        <w:t>edzinie poprawy bezpieczeństwa zdrowotnego</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pod</w:t>
      </w:r>
      <w:r w:rsidRPr="00563D0D">
        <w:rPr>
          <w:rFonts w:ascii="Times New Roman" w:hAnsi="Times New Roman"/>
          <w:noProof/>
          <w:sz w:val="24"/>
          <w:lang w:val="pl-PL"/>
        </w:rPr>
        <w:t>kreślono, jak ważne jest przyjęcie podejścia „Jedno zdrowie”</w:t>
      </w:r>
      <w:r w:rsidRPr="00563D0D">
        <w:rPr>
          <w:rStyle w:val="FootnoteReference"/>
          <w:rFonts w:ascii="Times New Roman" w:eastAsia="Times New Roman" w:hAnsi="Times New Roman" w:cs="Times New Roman"/>
          <w:noProof/>
          <w:sz w:val="24"/>
          <w:lang w:val="pl-PL"/>
        </w:rPr>
        <w:footnoteReference w:id="6"/>
      </w:r>
      <w:r w:rsidRPr="00563D0D">
        <w:rPr>
          <w:rFonts w:ascii="Times New Roman" w:hAnsi="Times New Roman"/>
          <w:noProof/>
          <w:sz w:val="24"/>
          <w:lang w:val="pl-PL"/>
        </w:rPr>
        <w:t>. UE oraz wiele rządów, organizacji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sek</w:t>
      </w:r>
      <w:r w:rsidRPr="00563D0D">
        <w:rPr>
          <w:rFonts w:ascii="Times New Roman" w:hAnsi="Times New Roman"/>
          <w:noProof/>
          <w:sz w:val="24"/>
          <w:lang w:val="pl-PL"/>
        </w:rPr>
        <w:t>torów na całym świecie uznaje wartość podejścia „Jedno zdrowie” ze względu na jego zasadniczy wpływ na ogólne procesy związane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zap</w:t>
      </w:r>
      <w:r w:rsidRPr="00563D0D">
        <w:rPr>
          <w:rFonts w:ascii="Times New Roman" w:hAnsi="Times New Roman"/>
          <w:noProof/>
          <w:sz w:val="24"/>
          <w:lang w:val="pl-PL"/>
        </w:rPr>
        <w:t>obieganiem, gotowością</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oce</w:t>
      </w:r>
      <w:r w:rsidRPr="00563D0D">
        <w:rPr>
          <w:rFonts w:ascii="Times New Roman" w:hAnsi="Times New Roman"/>
          <w:noProof/>
          <w:sz w:val="24"/>
          <w:lang w:val="pl-PL"/>
        </w:rPr>
        <w:t>ną ryzyka.</w:t>
      </w:r>
    </w:p>
    <w:p w14:paraId="5C54852A" w14:textId="1634DE8E" w:rsidR="00BB0DE4" w:rsidRPr="00563D0D" w:rsidRDefault="00BB0DE4" w:rsidP="001F1738">
      <w:pPr>
        <w:spacing w:before="100" w:beforeAutospacing="1" w:after="100" w:afterAutospacing="1" w:line="240" w:lineRule="auto"/>
        <w:jc w:val="both"/>
        <w:rPr>
          <w:rFonts w:ascii="Times New Roman" w:eastAsia="Times New Roman" w:hAnsi="Times New Roman" w:cs="Times New Roman"/>
          <w:noProof/>
          <w:sz w:val="24"/>
          <w:lang w:val="pl-PL"/>
        </w:rPr>
      </w:pPr>
    </w:p>
    <w:p w14:paraId="054ABB5E" w14:textId="77777777" w:rsidR="00031422" w:rsidRPr="00563D0D" w:rsidRDefault="00031422" w:rsidP="001F1738">
      <w:pPr>
        <w:spacing w:before="100" w:beforeAutospacing="1" w:after="100" w:afterAutospacing="1" w:line="240" w:lineRule="auto"/>
        <w:jc w:val="both"/>
        <w:rPr>
          <w:rFonts w:ascii="Times New Roman" w:eastAsia="Times New Roman" w:hAnsi="Times New Roman" w:cs="Times New Roman"/>
          <w:noProof/>
          <w:sz w:val="24"/>
          <w:lang w:val="pl-PL"/>
        </w:rPr>
      </w:pPr>
    </w:p>
    <w:p w14:paraId="13517746" w14:textId="77777777" w:rsidR="001F1738" w:rsidRPr="00563D0D"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pl-PL"/>
        </w:rPr>
      </w:pPr>
      <w:r w:rsidRPr="00563D0D">
        <w:rPr>
          <w:rFonts w:ascii="Times New Roman" w:hAnsi="Times New Roman"/>
          <w:noProof/>
          <w:sz w:val="24"/>
          <w:lang w:val="pl-PL"/>
        </w:rPr>
        <w:t xml:space="preserve">2. ZAPOBIEGANIE </w:t>
      </w:r>
      <w:bookmarkStart w:id="2" w:name="_Toc145428513"/>
    </w:p>
    <w:p w14:paraId="37597B31" w14:textId="0291DB93" w:rsidR="001F1738" w:rsidRPr="00563D0D" w:rsidRDefault="001F1738" w:rsidP="001F1738">
      <w:pPr>
        <w:spacing w:before="100" w:beforeAutospacing="1" w:after="100" w:afterAutospacing="1" w:line="240" w:lineRule="auto"/>
        <w:jc w:val="both"/>
        <w:rPr>
          <w:noProof/>
          <w:sz w:val="20"/>
          <w:lang w:val="pl-PL"/>
        </w:rPr>
      </w:pPr>
      <w:r w:rsidRPr="00563D0D">
        <w:rPr>
          <w:rFonts w:ascii="Times New Roman" w:hAnsi="Times New Roman"/>
          <w:noProof/>
          <w:sz w:val="24"/>
          <w:lang w:val="pl-PL"/>
        </w:rPr>
        <w:t>Zapobieganie jest jednym</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pod</w:t>
      </w:r>
      <w:r w:rsidRPr="00563D0D">
        <w:rPr>
          <w:rFonts w:ascii="Times New Roman" w:hAnsi="Times New Roman"/>
          <w:noProof/>
          <w:sz w:val="24"/>
          <w:lang w:val="pl-PL"/>
        </w:rPr>
        <w:t>stawowych etapów cyklu zarządzania kryzysowego, obejmującym wszystkie działania mające na celu zminimalizowanie obciążenia wynikającego</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zag</w:t>
      </w:r>
      <w:r w:rsidRPr="00563D0D">
        <w:rPr>
          <w:rFonts w:ascii="Times New Roman" w:hAnsi="Times New Roman"/>
          <w:noProof/>
          <w:sz w:val="24"/>
          <w:lang w:val="pl-PL"/>
        </w:rPr>
        <w:t>rożeń dla zdrowia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łag</w:t>
      </w:r>
      <w:r w:rsidRPr="00563D0D">
        <w:rPr>
          <w:rFonts w:ascii="Times New Roman" w:hAnsi="Times New Roman"/>
          <w:noProof/>
          <w:sz w:val="24"/>
          <w:lang w:val="pl-PL"/>
        </w:rPr>
        <w:t>odzenie związanych</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nim</w:t>
      </w:r>
      <w:r w:rsidRPr="00563D0D">
        <w:rPr>
          <w:rFonts w:ascii="Times New Roman" w:hAnsi="Times New Roman"/>
          <w:noProof/>
          <w:sz w:val="24"/>
          <w:lang w:val="pl-PL"/>
        </w:rPr>
        <w:t>i czynników ryzyka</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roz</w:t>
      </w:r>
      <w:r w:rsidRPr="00563D0D">
        <w:rPr>
          <w:rFonts w:ascii="Times New Roman" w:hAnsi="Times New Roman"/>
          <w:noProof/>
          <w:sz w:val="24"/>
          <w:lang w:val="pl-PL"/>
        </w:rPr>
        <w:t>porządzeniu (UE) 2022/2371 zdecydowanie ujednolicono pojęcie zapobiegania obok gotowości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gowania, dzięki czemu zapewniono solidną podstawę prawną do wzmocnienia prac</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obszarze. Rozporządzenie (UE) 2022/2371 obejmuje szeroki zakres poważnych transgranicznych zagrożeń zdrowia publicznego: od chorób zakaźnych po zagrożenia pochodzenia chemicznego</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śro</w:t>
      </w:r>
      <w:r w:rsidRPr="00563D0D">
        <w:rPr>
          <w:rFonts w:ascii="Times New Roman" w:hAnsi="Times New Roman"/>
          <w:noProof/>
          <w:sz w:val="24"/>
          <w:lang w:val="pl-PL"/>
        </w:rPr>
        <w:t>dowiskowego oraz zagrożenia nieznanego pochodzenia</w:t>
      </w:r>
      <w:r w:rsidRPr="00563D0D">
        <w:rPr>
          <w:rFonts w:ascii="Times New Roman" w:eastAsia="Times New Roman" w:hAnsi="Times New Roman" w:cs="Times New Roman"/>
          <w:noProof/>
          <w:sz w:val="24"/>
          <w:vertAlign w:val="superscript"/>
          <w:lang w:val="pl-PL"/>
        </w:rPr>
        <w:footnoteReference w:id="7"/>
      </w:r>
      <w:r w:rsidRPr="00563D0D">
        <w:rPr>
          <w:rFonts w:ascii="Times New Roman" w:hAnsi="Times New Roman"/>
          <w:noProof/>
          <w:sz w:val="24"/>
          <w:lang w:val="pl-PL"/>
        </w:rPr>
        <w:t>,</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samym zapewnia nadrzędne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ela</w:t>
      </w:r>
      <w:r w:rsidRPr="00563D0D">
        <w:rPr>
          <w:rFonts w:ascii="Times New Roman" w:hAnsi="Times New Roman"/>
          <w:noProof/>
          <w:sz w:val="24"/>
          <w:lang w:val="pl-PL"/>
        </w:rPr>
        <w:t>styczne ramy gotowości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gowania.</w:t>
      </w:r>
      <w:r w:rsidR="00563D0D" w:rsidRPr="00563D0D">
        <w:rPr>
          <w:rFonts w:ascii="Times New Roman" w:hAnsi="Times New Roman"/>
          <w:noProof/>
          <w:sz w:val="24"/>
          <w:lang w:val="pl-PL"/>
        </w:rPr>
        <w:t xml:space="preserve"> </w:t>
      </w:r>
      <w:bookmarkEnd w:id="2"/>
    </w:p>
    <w:p w14:paraId="7ED7DA91" w14:textId="58E5BBF9" w:rsidR="001F1738" w:rsidRPr="00563D0D" w:rsidRDefault="001F1738" w:rsidP="001F1738">
      <w:pPr>
        <w:keepNext/>
        <w:keepLines/>
        <w:spacing w:before="100" w:beforeAutospacing="1" w:after="100" w:afterAutospacing="1" w:line="240" w:lineRule="auto"/>
        <w:jc w:val="both"/>
        <w:outlineLvl w:val="2"/>
        <w:rPr>
          <w:rFonts w:ascii="Times New Roman" w:eastAsia="Times New Roman" w:hAnsi="Times New Roman" w:cs="Times New Roman"/>
          <w:b/>
          <w:noProof/>
          <w:sz w:val="24"/>
          <w:lang w:val="pl-PL"/>
        </w:rPr>
      </w:pPr>
      <w:r w:rsidRPr="00563D0D">
        <w:rPr>
          <w:rFonts w:ascii="Times New Roman" w:hAnsi="Times New Roman"/>
          <w:b/>
          <w:noProof/>
          <w:sz w:val="24"/>
          <w:lang w:val="pl-PL"/>
        </w:rPr>
        <w:t>Szczepienia jako kluczowy środek zapobiegawczy</w:t>
      </w:r>
    </w:p>
    <w:p w14:paraId="39E8EFBA" w14:textId="49355C46" w:rsidR="001F1738" w:rsidRPr="00563D0D" w:rsidRDefault="00F82520"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Szczepienia mają zasadnicze znaczenie dla zapobiegania rozprzestrzenianiu się chorób zakaźnych. Jak uwidoczniła pandemia COVID-19, unijna strategia dotycząca szczepionek</w:t>
      </w:r>
      <w:r w:rsidRPr="00563D0D">
        <w:rPr>
          <w:rFonts w:ascii="Times New Roman" w:eastAsia="Times New Roman" w:hAnsi="Times New Roman" w:cs="Times New Roman"/>
          <w:noProof/>
          <w:sz w:val="24"/>
          <w:vertAlign w:val="superscript"/>
          <w:lang w:val="pl-PL"/>
        </w:rPr>
        <w:footnoteReference w:id="8"/>
      </w:r>
      <w:r w:rsidRPr="00563D0D">
        <w:rPr>
          <w:rFonts w:ascii="Times New Roman" w:hAnsi="Times New Roman"/>
          <w:noProof/>
          <w:sz w:val="24"/>
          <w:lang w:val="pl-PL"/>
        </w:rPr>
        <w:t>,</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której zapewniono wsparcie na rozwój szczepionek oraz ich dostępność dla wszystkich państw członkowskich,</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tak</w:t>
      </w:r>
      <w:r w:rsidRPr="00563D0D">
        <w:rPr>
          <w:rFonts w:ascii="Times New Roman" w:hAnsi="Times New Roman"/>
          <w:noProof/>
          <w:sz w:val="24"/>
          <w:lang w:val="pl-PL"/>
        </w:rPr>
        <w:t>że krajowe kampanie szczepień</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zna</w:t>
      </w:r>
      <w:r w:rsidRPr="00563D0D">
        <w:rPr>
          <w:rFonts w:ascii="Times New Roman" w:hAnsi="Times New Roman"/>
          <w:noProof/>
          <w:sz w:val="24"/>
          <w:lang w:val="pl-PL"/>
        </w:rPr>
        <w:t>cznym stopniu wpłynęły na bieg wydarzeń</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pom</w:t>
      </w:r>
      <w:r w:rsidRPr="00563D0D">
        <w:rPr>
          <w:rFonts w:ascii="Times New Roman" w:hAnsi="Times New Roman"/>
          <w:noProof/>
          <w:sz w:val="24"/>
          <w:lang w:val="pl-PL"/>
        </w:rPr>
        <w:t>ogły uratować dziesiątki milionów osób na całym świecie (szacuje się, że tylko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pie</w:t>
      </w:r>
      <w:r w:rsidRPr="00563D0D">
        <w:rPr>
          <w:rFonts w:ascii="Times New Roman" w:hAnsi="Times New Roman"/>
          <w:noProof/>
          <w:sz w:val="24"/>
          <w:lang w:val="pl-PL"/>
        </w:rPr>
        <w:t>rwszym roku pandemii uratowano 20 milionów osób</w:t>
      </w:r>
      <w:r w:rsidRPr="00563D0D">
        <w:rPr>
          <w:rFonts w:ascii="Times New Roman" w:eastAsia="Times New Roman" w:hAnsi="Times New Roman" w:cs="Times New Roman"/>
          <w:noProof/>
          <w:sz w:val="24"/>
          <w:vertAlign w:val="superscript"/>
          <w:lang w:val="pl-PL"/>
        </w:rPr>
        <w:footnoteReference w:id="9"/>
      </w:r>
      <w:r w:rsidRPr="00563D0D">
        <w:rPr>
          <w:rFonts w:ascii="Times New Roman" w:hAnsi="Times New Roman"/>
          <w:noProof/>
          <w:sz w:val="24"/>
          <w:lang w:val="pl-PL"/>
        </w:rPr>
        <w:t>). COVID-19 nie jest obecnie uznawany za stan zagrożenia zdrowia publicznego</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zas</w:t>
      </w:r>
      <w:r w:rsidRPr="00563D0D">
        <w:rPr>
          <w:rFonts w:ascii="Times New Roman" w:hAnsi="Times New Roman"/>
          <w:noProof/>
          <w:sz w:val="24"/>
          <w:lang w:val="pl-PL"/>
        </w:rPr>
        <w:t>ięgu międzynarodowym</w:t>
      </w:r>
      <w:r w:rsidRPr="00563D0D">
        <w:rPr>
          <w:rFonts w:ascii="Times New Roman" w:eastAsia="Times New Roman" w:hAnsi="Times New Roman" w:cs="Times New Roman"/>
          <w:noProof/>
          <w:sz w:val="24"/>
          <w:vertAlign w:val="superscript"/>
          <w:lang w:val="pl-PL"/>
        </w:rPr>
        <w:footnoteReference w:id="10"/>
      </w:r>
      <w:r w:rsidRPr="00563D0D">
        <w:rPr>
          <w:rFonts w:ascii="Times New Roman" w:hAnsi="Times New Roman"/>
          <w:noProof/>
          <w:sz w:val="24"/>
          <w:lang w:val="pl-PL"/>
        </w:rPr>
        <w:t>, jednak ECDC podkreśla, że dalsze wprowadzanie szczepionek przeciwko COVID-19 przez kraje (w szczególności dla osób starszych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gru</w:t>
      </w:r>
      <w:r w:rsidRPr="00563D0D">
        <w:rPr>
          <w:rFonts w:ascii="Times New Roman" w:hAnsi="Times New Roman"/>
          <w:noProof/>
          <w:sz w:val="24"/>
          <w:lang w:val="pl-PL"/>
        </w:rPr>
        <w:t>p szczególnie wrażliwych pod względem medycznym) nadal ma zasadnicze znaczenie dla ograniczenia ciężkiego przebiegu choroby, wskaźników przyjęć do szpitala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zgo</w:t>
      </w:r>
      <w:r w:rsidRPr="00563D0D">
        <w:rPr>
          <w:rFonts w:ascii="Times New Roman" w:hAnsi="Times New Roman"/>
          <w:noProof/>
          <w:sz w:val="24"/>
          <w:lang w:val="pl-PL"/>
        </w:rPr>
        <w:t>nów spowodowanych wirusem</w:t>
      </w:r>
      <w:r w:rsidRPr="00563D0D">
        <w:rPr>
          <w:rFonts w:ascii="Times New Roman" w:eastAsia="Times New Roman" w:hAnsi="Times New Roman" w:cs="Times New Roman"/>
          <w:noProof/>
          <w:sz w:val="24"/>
          <w:vertAlign w:val="superscript"/>
          <w:lang w:val="pl-PL"/>
        </w:rPr>
        <w:footnoteReference w:id="11"/>
      </w:r>
      <w:r w:rsidRPr="00563D0D">
        <w:rPr>
          <w:rFonts w:ascii="Times New Roman" w:hAnsi="Times New Roman"/>
          <w:noProof/>
          <w:sz w:val="24"/>
          <w:lang w:val="pl-PL"/>
        </w:rPr>
        <w:t>. Komisja wspiera państwa członkowskie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zap</w:t>
      </w:r>
      <w:r w:rsidRPr="00563D0D">
        <w:rPr>
          <w:rFonts w:ascii="Times New Roman" w:hAnsi="Times New Roman"/>
          <w:noProof/>
          <w:sz w:val="24"/>
          <w:lang w:val="pl-PL"/>
        </w:rPr>
        <w:t>ewnianiu stałego dostępu do dostosowanych szczepionek przeciwko COVID-19.</w:t>
      </w:r>
    </w:p>
    <w:p w14:paraId="025FEE48" w14:textId="79827F7E" w:rsidR="00BC7FCB"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Komisja nadal prowadzi również działania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dzi</w:t>
      </w:r>
      <w:r w:rsidRPr="00563D0D">
        <w:rPr>
          <w:rFonts w:ascii="Times New Roman" w:hAnsi="Times New Roman"/>
          <w:noProof/>
          <w:sz w:val="24"/>
          <w:lang w:val="pl-PL"/>
        </w:rPr>
        <w:t>edzinie polityki szczepień wykraczającej poza COVID-19</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wsp</w:t>
      </w:r>
      <w:r w:rsidRPr="00563D0D">
        <w:rPr>
          <w:rFonts w:ascii="Times New Roman" w:hAnsi="Times New Roman"/>
          <w:noProof/>
          <w:sz w:val="24"/>
          <w:lang w:val="pl-PL"/>
        </w:rPr>
        <w:t>iera państwa członkowskie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zwi</w:t>
      </w:r>
      <w:r w:rsidRPr="00563D0D">
        <w:rPr>
          <w:rFonts w:ascii="Times New Roman" w:hAnsi="Times New Roman"/>
          <w:noProof/>
          <w:sz w:val="24"/>
          <w:lang w:val="pl-PL"/>
        </w:rPr>
        <w:t>ększaniu wskaźników wyszczepialności</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kom</w:t>
      </w:r>
      <w:r w:rsidRPr="00563D0D">
        <w:rPr>
          <w:rFonts w:ascii="Times New Roman" w:hAnsi="Times New Roman"/>
          <w:noProof/>
          <w:sz w:val="24"/>
          <w:lang w:val="pl-PL"/>
        </w:rPr>
        <w:t>unikacie Komisji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zal</w:t>
      </w:r>
      <w:r w:rsidRPr="00563D0D">
        <w:rPr>
          <w:rFonts w:ascii="Times New Roman" w:hAnsi="Times New Roman"/>
          <w:noProof/>
          <w:sz w:val="24"/>
          <w:lang w:val="pl-PL"/>
        </w:rPr>
        <w:t>eceniu Rady</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2</w:t>
      </w:r>
      <w:r w:rsidRPr="00563D0D">
        <w:rPr>
          <w:rFonts w:ascii="Times New Roman" w:hAnsi="Times New Roman"/>
          <w:noProof/>
          <w:sz w:val="24"/>
          <w:lang w:val="pl-PL"/>
        </w:rPr>
        <w:t>018</w:t>
      </w:r>
      <w:r w:rsidR="00563D0D" w:rsidRPr="00563D0D">
        <w:rPr>
          <w:rFonts w:ascii="Times New Roman" w:hAnsi="Times New Roman"/>
          <w:noProof/>
          <w:sz w:val="24"/>
          <w:lang w:val="pl-PL"/>
        </w:rPr>
        <w:t> </w:t>
      </w:r>
      <w:r w:rsidRPr="00563D0D">
        <w:rPr>
          <w:rFonts w:ascii="Times New Roman" w:hAnsi="Times New Roman"/>
          <w:noProof/>
          <w:sz w:val="24"/>
          <w:lang w:val="pl-PL"/>
        </w:rPr>
        <w:t>r.</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awie wzmocnionej współpracy</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chorób zwalczanych drogą szczepień</w:t>
      </w:r>
      <w:r w:rsidRPr="00563D0D">
        <w:rPr>
          <w:rStyle w:val="FootnoteReference"/>
          <w:rFonts w:ascii="Times New Roman" w:eastAsia="Times New Roman" w:hAnsi="Times New Roman" w:cs="Times New Roman"/>
          <w:noProof/>
          <w:sz w:val="24"/>
          <w:lang w:val="pl-PL"/>
        </w:rPr>
        <w:footnoteReference w:id="12"/>
      </w:r>
      <w:r w:rsidRPr="00563D0D">
        <w:rPr>
          <w:rFonts w:ascii="Times New Roman" w:hAnsi="Times New Roman"/>
          <w:noProof/>
          <w:sz w:val="24"/>
          <w:lang w:val="pl-PL"/>
        </w:rPr>
        <w:t xml:space="preserve"> odniesiono się do szeregu priorytetów</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tej</w:t>
      </w:r>
      <w:r w:rsidRPr="00563D0D">
        <w:rPr>
          <w:rFonts w:ascii="Times New Roman" w:hAnsi="Times New Roman"/>
          <w:noProof/>
          <w:sz w:val="24"/>
          <w:lang w:val="pl-PL"/>
        </w:rPr>
        <w:t xml:space="preserve"> dziedzinie, które zostały wdrożone przez Komisję na podstawie publicznie dostępnego planu działania</w:t>
      </w:r>
      <w:r w:rsidRPr="00563D0D">
        <w:rPr>
          <w:rFonts w:ascii="Times New Roman" w:eastAsia="Times New Roman" w:hAnsi="Times New Roman" w:cs="Times New Roman"/>
          <w:noProof/>
          <w:sz w:val="24"/>
          <w:vertAlign w:val="superscript"/>
          <w:lang w:val="pl-PL"/>
        </w:rPr>
        <w:footnoteReference w:id="13"/>
      </w:r>
      <w:r w:rsidRPr="00563D0D">
        <w:rPr>
          <w:rFonts w:ascii="Times New Roman" w:hAnsi="Times New Roman"/>
          <w:noProof/>
          <w:sz w:val="24"/>
          <w:lang w:val="pl-PL"/>
        </w:rPr>
        <w:t>. Przykładowo, aby przeciwdziałać uchylaniu się od szczepień wśród ludności, co stanowi rosnące zagrożenie dla zdrowia publicznego, Komisja uruchomiła inicjatywy, takie jak badania zachowań</w:t>
      </w:r>
      <w:r w:rsidRPr="00563D0D">
        <w:rPr>
          <w:rFonts w:ascii="Times New Roman" w:eastAsia="Times New Roman" w:hAnsi="Times New Roman" w:cs="Times New Roman"/>
          <w:noProof/>
          <w:sz w:val="24"/>
          <w:vertAlign w:val="superscript"/>
          <w:lang w:val="pl-PL"/>
        </w:rPr>
        <w:footnoteReference w:id="14"/>
      </w:r>
      <w:r w:rsidRPr="00563D0D">
        <w:rPr>
          <w:rFonts w:ascii="Times New Roman" w:hAnsi="Times New Roman"/>
          <w:noProof/>
          <w:sz w:val="24"/>
          <w:vertAlign w:val="superscript"/>
          <w:lang w:val="pl-PL"/>
        </w:rPr>
        <w:t>,</w:t>
      </w:r>
      <w:r w:rsidRPr="00563D0D">
        <w:rPr>
          <w:rFonts w:ascii="Times New Roman" w:eastAsia="Times New Roman" w:hAnsi="Times New Roman" w:cs="Times New Roman"/>
          <w:noProof/>
          <w:sz w:val="24"/>
          <w:vertAlign w:val="superscript"/>
          <w:lang w:val="pl-PL"/>
        </w:rPr>
        <w:footnoteReference w:id="15"/>
      </w:r>
      <w:r w:rsidRPr="00563D0D">
        <w:rPr>
          <w:rFonts w:ascii="Times New Roman" w:hAnsi="Times New Roman"/>
          <w:noProof/>
          <w:sz w:val="24"/>
          <w:lang w:val="pl-PL"/>
        </w:rPr>
        <w:t>; koalicja na rzecz szczepień, zrzeszająca europejskie stowarzyszenia pracowników służby zdrowia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sto</w:t>
      </w:r>
      <w:r w:rsidRPr="00563D0D">
        <w:rPr>
          <w:rFonts w:ascii="Times New Roman" w:hAnsi="Times New Roman"/>
          <w:noProof/>
          <w:sz w:val="24"/>
          <w:lang w:val="pl-PL"/>
        </w:rPr>
        <w:t>warzyszenia studentów</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propagowania szczepień;</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tak</w:t>
      </w:r>
      <w:r w:rsidRPr="00563D0D">
        <w:rPr>
          <w:rFonts w:ascii="Times New Roman" w:hAnsi="Times New Roman"/>
          <w:noProof/>
          <w:sz w:val="24"/>
          <w:lang w:val="pl-PL"/>
        </w:rPr>
        <w:t>że Europejski Portal Informacji</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Szc</w:t>
      </w:r>
      <w:r w:rsidRPr="00563D0D">
        <w:rPr>
          <w:rFonts w:ascii="Times New Roman" w:hAnsi="Times New Roman"/>
          <w:noProof/>
          <w:sz w:val="24"/>
          <w:lang w:val="pl-PL"/>
        </w:rPr>
        <w:t>zepieniach</w:t>
      </w:r>
      <w:r w:rsidRPr="00563D0D">
        <w:rPr>
          <w:rFonts w:ascii="Times New Roman" w:eastAsia="Times New Roman" w:hAnsi="Times New Roman" w:cs="Times New Roman"/>
          <w:noProof/>
          <w:sz w:val="24"/>
          <w:vertAlign w:val="superscript"/>
          <w:lang w:val="pl-PL"/>
        </w:rPr>
        <w:footnoteReference w:id="16"/>
      </w:r>
      <w:r w:rsidRPr="00563D0D">
        <w:rPr>
          <w:rFonts w:ascii="Times New Roman" w:hAnsi="Times New Roman"/>
          <w:noProof/>
          <w:sz w:val="24"/>
          <w:lang w:val="pl-PL"/>
        </w:rPr>
        <w:t>, który jest rzetelnym źródłem informacji dla ogółu społeczeństwa na temat szczepień</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zapewnienia kontynuacji tych starań</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Grupy Ekspertów ds. Zdrowia Publicznego Komisji Europejskiej (PHEG)</w:t>
      </w:r>
      <w:r w:rsidRPr="00563D0D">
        <w:rPr>
          <w:rFonts w:ascii="Times New Roman" w:eastAsia="Times New Roman" w:hAnsi="Times New Roman" w:cs="Times New Roman"/>
          <w:noProof/>
          <w:sz w:val="24"/>
          <w:vertAlign w:val="superscript"/>
          <w:lang w:val="pl-PL"/>
        </w:rPr>
        <w:footnoteReference w:id="17"/>
      </w:r>
      <w:r w:rsidRPr="00563D0D">
        <w:rPr>
          <w:rFonts w:ascii="Times New Roman" w:hAnsi="Times New Roman"/>
          <w:noProof/>
          <w:sz w:val="24"/>
          <w:lang w:val="pl-PL"/>
        </w:rPr>
        <w:t xml:space="preserve"> utworzono podgrupę zajmującą się szczepieniami. ECDC oferuje ponadto obecnie internetowe szkolenia dla ogółu społeczeństwa na temat uchylania się od szczepień</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inf</w:t>
      </w:r>
      <w:r w:rsidRPr="00563D0D">
        <w:rPr>
          <w:rFonts w:ascii="Times New Roman" w:hAnsi="Times New Roman"/>
          <w:noProof/>
          <w:sz w:val="24"/>
          <w:lang w:val="pl-PL"/>
        </w:rPr>
        <w:t>ormacji wprowadzających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błą</w:t>
      </w:r>
      <w:r w:rsidRPr="00563D0D">
        <w:rPr>
          <w:rFonts w:ascii="Times New Roman" w:hAnsi="Times New Roman"/>
          <w:noProof/>
          <w:sz w:val="24"/>
          <w:lang w:val="pl-PL"/>
        </w:rPr>
        <w:t>d na temat szczepionek za pośrednictwem wirtualnej akademii</w:t>
      </w:r>
      <w:r w:rsidRPr="00563D0D">
        <w:rPr>
          <w:rFonts w:ascii="Times New Roman" w:eastAsia="Times New Roman" w:hAnsi="Times New Roman" w:cs="Times New Roman"/>
          <w:noProof/>
          <w:sz w:val="24"/>
          <w:vertAlign w:val="superscript"/>
          <w:lang w:val="pl-PL"/>
        </w:rPr>
        <w:footnoteReference w:id="18"/>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nad</w:t>
      </w:r>
      <w:r w:rsidRPr="00563D0D">
        <w:rPr>
          <w:rFonts w:ascii="Times New Roman" w:hAnsi="Times New Roman"/>
          <w:noProof/>
          <w:sz w:val="24"/>
          <w:lang w:val="pl-PL"/>
        </w:rPr>
        <w:t>al prowadzi współpracę</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kra</w:t>
      </w:r>
      <w:r w:rsidRPr="00563D0D">
        <w:rPr>
          <w:rFonts w:ascii="Times New Roman" w:hAnsi="Times New Roman"/>
          <w:noProof/>
          <w:sz w:val="24"/>
          <w:lang w:val="pl-PL"/>
        </w:rPr>
        <w:t>jami Europejskiego Obszaru Gospodarczego (EOG)</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krajowych technicznych grup doradczych ds. immunizacji (NITAG), zajmujących się oceną potrzeb</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szczepień</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dor</w:t>
      </w:r>
      <w:r w:rsidRPr="00563D0D">
        <w:rPr>
          <w:rFonts w:ascii="Times New Roman" w:hAnsi="Times New Roman"/>
          <w:noProof/>
          <w:sz w:val="24"/>
          <w:lang w:val="pl-PL"/>
        </w:rPr>
        <w:t>adzaniem rządom krajowym</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strategii szczepień.</w:t>
      </w:r>
    </w:p>
    <w:p w14:paraId="38418092" w14:textId="6C8330E8"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Komisja pracuje również nad strategią szczepień ukierunkowaną na priorytetowe zagrożenia,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ypadku których konieczne będzie opracowanie nowych szczepionek lub udoskonalenie już istniejących. Ponadto prace Komisji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szczepień są również ściśle powiązane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eur</w:t>
      </w:r>
      <w:r w:rsidRPr="00563D0D">
        <w:rPr>
          <w:rFonts w:ascii="Times New Roman" w:hAnsi="Times New Roman"/>
          <w:noProof/>
          <w:sz w:val="24"/>
          <w:lang w:val="pl-PL"/>
        </w:rPr>
        <w:t>opejskim planem walki</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rak</w:t>
      </w:r>
      <w:r w:rsidRPr="00563D0D">
        <w:rPr>
          <w:rFonts w:ascii="Times New Roman" w:hAnsi="Times New Roman"/>
          <w:noProof/>
          <w:sz w:val="24"/>
          <w:lang w:val="pl-PL"/>
        </w:rPr>
        <w:t>iem</w:t>
      </w:r>
      <w:r w:rsidRPr="00563D0D">
        <w:rPr>
          <w:rFonts w:ascii="Times New Roman" w:eastAsia="Times New Roman" w:hAnsi="Times New Roman" w:cs="Times New Roman"/>
          <w:noProof/>
          <w:sz w:val="24"/>
          <w:vertAlign w:val="superscript"/>
          <w:lang w:val="pl-PL"/>
        </w:rPr>
        <w:footnoteReference w:id="19"/>
      </w:r>
      <w:r w:rsidRPr="00563D0D">
        <w:rPr>
          <w:rFonts w:ascii="Times New Roman" w:hAnsi="Times New Roman"/>
          <w:noProof/>
          <w:sz w:val="24"/>
          <w:lang w:val="pl-PL"/>
        </w:rPr>
        <w:t>, czego przykładem jest przygotowywany wniosek dotyczący zalecenia Rady</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 xml:space="preserve">awie chorób nowotworowych zwalczanych drogą szczepień. </w:t>
      </w:r>
    </w:p>
    <w:p w14:paraId="31ABCBF6" w14:textId="54842339" w:rsidR="00412481" w:rsidRPr="00563D0D" w:rsidRDefault="00412481" w:rsidP="00412481">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center"/>
        <w:rPr>
          <w:rFonts w:ascii="Times New Roman" w:eastAsia="Times New Roman" w:hAnsi="Times New Roman" w:cs="Times New Roman"/>
          <w:b/>
          <w:noProof/>
          <w:sz w:val="24"/>
          <w:lang w:val="pl-PL"/>
        </w:rPr>
      </w:pPr>
      <w:r w:rsidRPr="00563D0D">
        <w:rPr>
          <w:rFonts w:ascii="Times New Roman" w:hAnsi="Times New Roman"/>
          <w:b/>
          <w:noProof/>
          <w:sz w:val="24"/>
          <w:lang w:val="pl-PL"/>
        </w:rPr>
        <w:t>Transgraniczna wymiana danych dotyczących szczepień</w:t>
      </w:r>
      <w:r w:rsidR="00563D0D" w:rsidRPr="00563D0D">
        <w:rPr>
          <w:rFonts w:ascii="Times New Roman" w:hAnsi="Times New Roman"/>
          <w:b/>
          <w:noProof/>
          <w:sz w:val="24"/>
          <w:lang w:val="pl-PL"/>
        </w:rPr>
        <w:t xml:space="preserve"> z</w:t>
      </w:r>
      <w:r w:rsidR="00563D0D">
        <w:rPr>
          <w:rFonts w:ascii="Times New Roman" w:hAnsi="Times New Roman"/>
          <w:b/>
          <w:noProof/>
          <w:sz w:val="24"/>
          <w:lang w:val="pl-PL"/>
        </w:rPr>
        <w:t> </w:t>
      </w:r>
      <w:r w:rsidR="00563D0D" w:rsidRPr="00563D0D">
        <w:rPr>
          <w:rFonts w:ascii="Times New Roman" w:hAnsi="Times New Roman"/>
          <w:b/>
          <w:noProof/>
          <w:sz w:val="24"/>
          <w:lang w:val="pl-PL"/>
        </w:rPr>
        <w:t>pra</w:t>
      </w:r>
      <w:r w:rsidRPr="00563D0D">
        <w:rPr>
          <w:rFonts w:ascii="Times New Roman" w:hAnsi="Times New Roman"/>
          <w:b/>
          <w:noProof/>
          <w:sz w:val="24"/>
          <w:lang w:val="pl-PL"/>
        </w:rPr>
        <w:t>cownikami służby zdrowia</w:t>
      </w:r>
      <w:r w:rsidR="00563D0D" w:rsidRPr="00563D0D">
        <w:rPr>
          <w:rFonts w:ascii="Times New Roman" w:hAnsi="Times New Roman"/>
          <w:b/>
          <w:noProof/>
          <w:sz w:val="24"/>
          <w:lang w:val="pl-PL"/>
        </w:rPr>
        <w:t xml:space="preserve"> w</w:t>
      </w:r>
      <w:r w:rsidR="00563D0D">
        <w:rPr>
          <w:rFonts w:ascii="Times New Roman" w:hAnsi="Times New Roman"/>
          <w:b/>
          <w:noProof/>
          <w:sz w:val="24"/>
          <w:lang w:val="pl-PL"/>
        </w:rPr>
        <w:t> </w:t>
      </w:r>
      <w:r w:rsidR="00563D0D" w:rsidRPr="00563D0D">
        <w:rPr>
          <w:rFonts w:ascii="Times New Roman" w:hAnsi="Times New Roman"/>
          <w:b/>
          <w:noProof/>
          <w:sz w:val="24"/>
          <w:lang w:val="pl-PL"/>
        </w:rPr>
        <w:t>ich</w:t>
      </w:r>
      <w:r w:rsidRPr="00563D0D">
        <w:rPr>
          <w:rFonts w:ascii="Times New Roman" w:hAnsi="Times New Roman"/>
          <w:b/>
          <w:noProof/>
          <w:sz w:val="24"/>
          <w:lang w:val="pl-PL"/>
        </w:rPr>
        <w:t xml:space="preserve"> języku</w:t>
      </w:r>
    </w:p>
    <w:p w14:paraId="1A7FA272" w14:textId="7D53B60C" w:rsidR="00412481" w:rsidRPr="00563D0D" w:rsidRDefault="00412481" w:rsidP="00412481">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Aby umożliwić pracownikom służby zdrowia dostęp</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ich</w:t>
      </w:r>
      <w:r w:rsidRPr="00563D0D">
        <w:rPr>
          <w:rFonts w:ascii="Times New Roman" w:hAnsi="Times New Roman"/>
          <w:noProof/>
          <w:sz w:val="24"/>
          <w:lang w:val="pl-PL"/>
        </w:rPr>
        <w:t xml:space="preserve"> języku do elektronicznych danych dotyczących zdrowia,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dokumentacji szczepień, pacjentów podróżujących lub przenoszących się</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kra</w:t>
      </w:r>
      <w:r w:rsidRPr="00563D0D">
        <w:rPr>
          <w:rFonts w:ascii="Times New Roman" w:hAnsi="Times New Roman"/>
          <w:noProof/>
          <w:sz w:val="24"/>
          <w:lang w:val="pl-PL"/>
        </w:rPr>
        <w:t>ju pochodzenia do innego państwa członkowskiego, uruchomiono infrastrukturę MojeZdrowie@UE (MyHealth@EU). Jej celem jest zapewnienie ciągłości opieki. Udział</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inf</w:t>
      </w:r>
      <w:r w:rsidRPr="00563D0D">
        <w:rPr>
          <w:rFonts w:ascii="Times New Roman" w:hAnsi="Times New Roman"/>
          <w:noProof/>
          <w:sz w:val="24"/>
          <w:lang w:val="pl-PL"/>
        </w:rPr>
        <w:t>rastrukturze ma charakter dobrowolny (na podstawie dyrektywy 2011/24/UE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awie praw pacjentów</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tra</w:t>
      </w:r>
      <w:r w:rsidRPr="00563D0D">
        <w:rPr>
          <w:rFonts w:ascii="Times New Roman" w:hAnsi="Times New Roman"/>
          <w:noProof/>
          <w:sz w:val="24"/>
          <w:lang w:val="pl-PL"/>
        </w:rPr>
        <w:t>nsgranicznej opiece zdrowotnej). Do lipca 2023</w:t>
      </w:r>
      <w:r w:rsidR="00563D0D" w:rsidRPr="00563D0D">
        <w:rPr>
          <w:rFonts w:ascii="Times New Roman" w:hAnsi="Times New Roman"/>
          <w:noProof/>
          <w:sz w:val="24"/>
          <w:lang w:val="pl-PL"/>
        </w:rPr>
        <w:t> </w:t>
      </w:r>
      <w:r w:rsidRPr="00563D0D">
        <w:rPr>
          <w:rFonts w:ascii="Times New Roman" w:hAnsi="Times New Roman"/>
          <w:noProof/>
          <w:sz w:val="24"/>
          <w:lang w:val="pl-PL"/>
        </w:rPr>
        <w:t>r. do platformy MojeZdrowie@UE (MyHealth@EU) podłączonych było już 11 państw członkowskich,</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kol</w:t>
      </w:r>
      <w:r w:rsidRPr="00563D0D">
        <w:rPr>
          <w:rFonts w:ascii="Times New Roman" w:hAnsi="Times New Roman"/>
          <w:noProof/>
          <w:sz w:val="24"/>
          <w:lang w:val="pl-PL"/>
        </w:rPr>
        <w:t>ejne planują dołączyć</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yszłości. Zgodnie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wni</w:t>
      </w:r>
      <w:r w:rsidRPr="00563D0D">
        <w:rPr>
          <w:rFonts w:ascii="Times New Roman" w:hAnsi="Times New Roman"/>
          <w:noProof/>
          <w:sz w:val="24"/>
          <w:lang w:val="pl-PL"/>
        </w:rPr>
        <w:t>oskiem Komisji dotyczącym rozporządzenia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awie europejskiej przestrzeni danych dotyczących zdrowia, który jest obecnie przedmiotem negocjacji między współustawodawcami, udział państw członkowskich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inf</w:t>
      </w:r>
      <w:r w:rsidRPr="00563D0D">
        <w:rPr>
          <w:rFonts w:ascii="Times New Roman" w:hAnsi="Times New Roman"/>
          <w:noProof/>
          <w:sz w:val="24"/>
          <w:lang w:val="pl-PL"/>
        </w:rPr>
        <w:t>rastrukturze MojeZdrowie@UE (MyHealth@EU) stałby się obowiązkowy. Zgodnie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pro</w:t>
      </w:r>
      <w:r w:rsidRPr="00563D0D">
        <w:rPr>
          <w:rFonts w:ascii="Times New Roman" w:hAnsi="Times New Roman"/>
          <w:noProof/>
          <w:sz w:val="24"/>
          <w:lang w:val="pl-PL"/>
        </w:rPr>
        <w:t>gramem prac dotyczącym Programu UE dla zdrowia na</w:t>
      </w:r>
      <w:r w:rsidR="00563D0D" w:rsidRPr="00563D0D">
        <w:rPr>
          <w:rFonts w:ascii="Times New Roman" w:hAnsi="Times New Roman"/>
          <w:noProof/>
          <w:sz w:val="24"/>
          <w:lang w:val="pl-PL"/>
        </w:rPr>
        <w:t> </w:t>
      </w:r>
      <w:r w:rsidRPr="00563D0D">
        <w:rPr>
          <w:rFonts w:ascii="Times New Roman" w:hAnsi="Times New Roman"/>
          <w:noProof/>
          <w:sz w:val="24"/>
          <w:lang w:val="pl-PL"/>
        </w:rPr>
        <w:t>2023</w:t>
      </w:r>
      <w:r w:rsidR="00563D0D" w:rsidRPr="00563D0D">
        <w:rPr>
          <w:rFonts w:ascii="Times New Roman" w:hAnsi="Times New Roman"/>
          <w:noProof/>
          <w:sz w:val="24"/>
          <w:lang w:val="pl-PL"/>
        </w:rPr>
        <w:t> </w:t>
      </w:r>
      <w:r w:rsidRPr="00563D0D">
        <w:rPr>
          <w:rFonts w:ascii="Times New Roman" w:hAnsi="Times New Roman"/>
          <w:noProof/>
          <w:sz w:val="24"/>
          <w:lang w:val="pl-PL"/>
        </w:rPr>
        <w:t>r. przewiduje się bezpośrednie dotacje dla organów państw członkowskich na rozwój</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dos</w:t>
      </w:r>
      <w:r w:rsidRPr="00563D0D">
        <w:rPr>
          <w:rFonts w:ascii="Times New Roman" w:hAnsi="Times New Roman"/>
          <w:noProof/>
          <w:sz w:val="24"/>
          <w:lang w:val="pl-PL"/>
        </w:rPr>
        <w:t>konalenie usług</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infrastruktury MojeZdrowie@UE (MyHealth@EU),</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usług związanych</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kar</w:t>
      </w:r>
      <w:r w:rsidRPr="00563D0D">
        <w:rPr>
          <w:rFonts w:ascii="Times New Roman" w:hAnsi="Times New Roman"/>
          <w:noProof/>
          <w:sz w:val="24"/>
          <w:lang w:val="pl-PL"/>
        </w:rPr>
        <w:t>tami szczepień.</w:t>
      </w:r>
    </w:p>
    <w:p w14:paraId="614B0833" w14:textId="77777777" w:rsidR="00412481" w:rsidRPr="00563D0D" w:rsidRDefault="00412481" w:rsidP="00412481">
      <w:pPr>
        <w:spacing w:after="0" w:line="240" w:lineRule="auto"/>
        <w:jc w:val="center"/>
        <w:rPr>
          <w:rFonts w:ascii="Times New Roman" w:eastAsia="Times New Roman" w:hAnsi="Times New Roman" w:cs="Times New Roman"/>
          <w:b/>
          <w:noProof/>
          <w:sz w:val="4"/>
          <w:lang w:val="pl-PL"/>
        </w:rPr>
      </w:pPr>
    </w:p>
    <w:p w14:paraId="6291086D" w14:textId="78DA1455" w:rsidR="00412481" w:rsidRPr="00563D0D" w:rsidRDefault="00412481" w:rsidP="00412481">
      <w:pPr>
        <w:pBdr>
          <w:top w:val="single" w:sz="12" w:space="1" w:color="auto"/>
          <w:left w:val="single" w:sz="12" w:space="4" w:color="auto"/>
          <w:bottom w:val="single" w:sz="12" w:space="1" w:color="auto"/>
          <w:right w:val="single" w:sz="12" w:space="4" w:color="auto"/>
        </w:pBdr>
        <w:spacing w:after="100" w:afterAutospacing="1" w:line="240" w:lineRule="auto"/>
        <w:jc w:val="center"/>
        <w:rPr>
          <w:rFonts w:ascii="Times New Roman" w:eastAsia="Times New Roman" w:hAnsi="Times New Roman" w:cs="Times New Roman"/>
          <w:b/>
          <w:noProof/>
          <w:sz w:val="24"/>
          <w:lang w:val="pl-PL"/>
        </w:rPr>
      </w:pPr>
      <w:r w:rsidRPr="00563D0D">
        <w:rPr>
          <w:rFonts w:ascii="Times New Roman" w:hAnsi="Times New Roman"/>
          <w:b/>
          <w:noProof/>
          <w:sz w:val="24"/>
          <w:lang w:val="pl-PL"/>
        </w:rPr>
        <w:t>Monitorowanie szczepionek na rynku UE</w:t>
      </w:r>
    </w:p>
    <w:p w14:paraId="70FD2C30" w14:textId="648EC8D4" w:rsidR="00412481" w:rsidRPr="00563D0D" w:rsidRDefault="00412481" w:rsidP="00412481">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Doświadczenia związane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pan</w:t>
      </w:r>
      <w:r w:rsidRPr="00563D0D">
        <w:rPr>
          <w:rFonts w:ascii="Times New Roman" w:hAnsi="Times New Roman"/>
          <w:noProof/>
          <w:sz w:val="24"/>
          <w:lang w:val="pl-PL"/>
        </w:rPr>
        <w:t>demią COVID-19 potwierdziły znaczenie monitorowania szczepionek po ich wprowadzeniu do obrotu</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zwi</w:t>
      </w:r>
      <w:r w:rsidRPr="00563D0D">
        <w:rPr>
          <w:rFonts w:ascii="Times New Roman" w:hAnsi="Times New Roman"/>
          <w:noProof/>
          <w:sz w:val="24"/>
          <w:lang w:val="pl-PL"/>
        </w:rPr>
        <w:t>ązku</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uruchomiono platformę monitorowania szczepionek jako przestrzeń współpracy między ECDC i EMA, której celem jest zajęcie się kwestiami badawczymi poprzez niezależne badania na dużą skalę</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cał</w:t>
      </w:r>
      <w:r w:rsidRPr="00563D0D">
        <w:rPr>
          <w:rFonts w:ascii="Times New Roman" w:hAnsi="Times New Roman"/>
          <w:noProof/>
          <w:sz w:val="24"/>
          <w:lang w:val="pl-PL"/>
        </w:rPr>
        <w:t>ej UE dotyczące monitorowania skuteczności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bez</w:t>
      </w:r>
      <w:r w:rsidRPr="00563D0D">
        <w:rPr>
          <w:rFonts w:ascii="Times New Roman" w:hAnsi="Times New Roman"/>
          <w:noProof/>
          <w:sz w:val="24"/>
          <w:lang w:val="pl-PL"/>
        </w:rPr>
        <w:t>pieczeństwa szczepionek. Konieczne jest budowanie zdolności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pań</w:t>
      </w:r>
      <w:r w:rsidRPr="00563D0D">
        <w:rPr>
          <w:rFonts w:ascii="Times New Roman" w:hAnsi="Times New Roman"/>
          <w:noProof/>
          <w:sz w:val="24"/>
          <w:lang w:val="pl-PL"/>
        </w:rPr>
        <w:t>stwach członkowskich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two</w:t>
      </w:r>
      <w:r w:rsidRPr="00563D0D">
        <w:rPr>
          <w:rFonts w:ascii="Times New Roman" w:hAnsi="Times New Roman"/>
          <w:noProof/>
          <w:sz w:val="24"/>
          <w:lang w:val="pl-PL"/>
        </w:rPr>
        <w:t>rzenie infrastruktury, zarówno na szczeblu krajowym, jak</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niż</w:t>
      </w:r>
      <w:r w:rsidRPr="00563D0D">
        <w:rPr>
          <w:rFonts w:ascii="Times New Roman" w:hAnsi="Times New Roman"/>
          <w:noProof/>
          <w:sz w:val="24"/>
          <w:lang w:val="pl-PL"/>
        </w:rPr>
        <w:t>szym, aby zapewnić zrównoważone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dłu</w:t>
      </w:r>
      <w:r w:rsidRPr="00563D0D">
        <w:rPr>
          <w:rFonts w:ascii="Times New Roman" w:hAnsi="Times New Roman"/>
          <w:noProof/>
          <w:sz w:val="24"/>
          <w:lang w:val="pl-PL"/>
        </w:rPr>
        <w:t>goterminowe monitorowanie, które jest niezbędne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kon</w:t>
      </w:r>
      <w:r w:rsidRPr="00563D0D">
        <w:rPr>
          <w:rFonts w:ascii="Times New Roman" w:hAnsi="Times New Roman"/>
          <w:noProof/>
          <w:sz w:val="24"/>
          <w:lang w:val="pl-PL"/>
        </w:rPr>
        <w:t>tekście podejmowania decyzji dotyczących zdrowia publicznego</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dec</w:t>
      </w:r>
      <w:r w:rsidRPr="00563D0D">
        <w:rPr>
          <w:rFonts w:ascii="Times New Roman" w:hAnsi="Times New Roman"/>
          <w:noProof/>
          <w:sz w:val="24"/>
          <w:lang w:val="pl-PL"/>
        </w:rPr>
        <w:t>yzji regulacyjnych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odn</w:t>
      </w:r>
      <w:r w:rsidRPr="00563D0D">
        <w:rPr>
          <w:rFonts w:ascii="Times New Roman" w:hAnsi="Times New Roman"/>
          <w:noProof/>
          <w:sz w:val="24"/>
          <w:lang w:val="pl-PL"/>
        </w:rPr>
        <w:t>iesieniu do szczepionek na rynku UE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ich</w:t>
      </w:r>
      <w:r w:rsidRPr="00563D0D">
        <w:rPr>
          <w:rFonts w:ascii="Times New Roman" w:hAnsi="Times New Roman"/>
          <w:noProof/>
          <w:sz w:val="24"/>
          <w:lang w:val="pl-PL"/>
        </w:rPr>
        <w:t xml:space="preserve"> stosowania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war</w:t>
      </w:r>
      <w:r w:rsidRPr="00563D0D">
        <w:rPr>
          <w:rFonts w:ascii="Times New Roman" w:hAnsi="Times New Roman"/>
          <w:noProof/>
          <w:sz w:val="24"/>
          <w:lang w:val="pl-PL"/>
        </w:rPr>
        <w:t>unkach rzeczywistych.</w:t>
      </w:r>
    </w:p>
    <w:p w14:paraId="4298819D" w14:textId="296E4DF1" w:rsidR="001F1738" w:rsidRPr="00563D0D" w:rsidRDefault="001F1738" w:rsidP="00031422">
      <w:pPr>
        <w:keepNext/>
        <w:keepLines/>
        <w:spacing w:before="480" w:after="100" w:afterAutospacing="1" w:line="240" w:lineRule="auto"/>
        <w:jc w:val="both"/>
        <w:outlineLvl w:val="2"/>
        <w:rPr>
          <w:rFonts w:ascii="Times New Roman" w:eastAsia="Times New Roman" w:hAnsi="Times New Roman" w:cs="Times New Roman"/>
          <w:noProof/>
          <w:sz w:val="24"/>
          <w:lang w:val="pl-PL"/>
        </w:rPr>
      </w:pPr>
      <w:r w:rsidRPr="00563D0D">
        <w:rPr>
          <w:rFonts w:ascii="Times New Roman" w:hAnsi="Times New Roman"/>
          <w:b/>
          <w:noProof/>
          <w:sz w:val="24"/>
          <w:lang w:val="pl-PL"/>
        </w:rPr>
        <w:t>Przeciwdziałanie oporności na środki przeciwdrobnoustrojowe</w:t>
      </w:r>
    </w:p>
    <w:p w14:paraId="6FB1431E" w14:textId="0EC58DEE"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Oporność na środki przeciwdrobnoustrojowe (AMR) to zdolność drobnoustrojów, takich jak bakterie, wirusy</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grz</w:t>
      </w:r>
      <w:r w:rsidRPr="00563D0D">
        <w:rPr>
          <w:rFonts w:ascii="Times New Roman" w:hAnsi="Times New Roman"/>
          <w:noProof/>
          <w:sz w:val="24"/>
          <w:lang w:val="pl-PL"/>
        </w:rPr>
        <w:t>yby, do rozwijania oporności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pok</w:t>
      </w:r>
      <w:r w:rsidRPr="00563D0D">
        <w:rPr>
          <w:rFonts w:ascii="Times New Roman" w:hAnsi="Times New Roman"/>
          <w:noProof/>
          <w:sz w:val="24"/>
          <w:lang w:val="pl-PL"/>
        </w:rPr>
        <w:t>onywania leków opracowanych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ich zwalczania. Oporność na środki przeciwdrobnoustrojowe stanowi zagrożenie dla współczesnej medycyny. Nadchodzące lata będą miały kluczowe znaczenie dla zapewnienia rozważnego stosowania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roz</w:t>
      </w:r>
      <w:r w:rsidRPr="00563D0D">
        <w:rPr>
          <w:rFonts w:ascii="Times New Roman" w:hAnsi="Times New Roman"/>
          <w:noProof/>
          <w:sz w:val="24"/>
          <w:lang w:val="pl-PL"/>
        </w:rPr>
        <w:t>woju skutecznych środków przeciwdrobnoustrojowych oraz dostępu do nich,</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samym konieczne będzie zwiększenie świadomości na temat walki</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opo</w:t>
      </w:r>
      <w:r w:rsidRPr="00563D0D">
        <w:rPr>
          <w:rFonts w:ascii="Times New Roman" w:hAnsi="Times New Roman"/>
          <w:noProof/>
          <w:sz w:val="24"/>
          <w:lang w:val="pl-PL"/>
        </w:rPr>
        <w:t>rnością na środki przeciwdrobnoustrojowe. Szacuje się, że każdego roku w UE/EOG umiera co najmniej 35 000 osób</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wyn</w:t>
      </w:r>
      <w:r w:rsidRPr="00563D0D">
        <w:rPr>
          <w:rFonts w:ascii="Times New Roman" w:hAnsi="Times New Roman"/>
          <w:noProof/>
          <w:sz w:val="24"/>
          <w:lang w:val="pl-PL"/>
        </w:rPr>
        <w:t>iku zakażeń wywołanych lekoopornymi drobnoustrojami. To więcej niż łączna liczba zgonów spowodowanych grypą, gruźlicą i HIV/AIDS, przy czym liczba ta stale rośnie</w:t>
      </w:r>
      <w:r w:rsidRPr="00563D0D">
        <w:rPr>
          <w:rFonts w:ascii="Times New Roman" w:eastAsia="Times New Roman" w:hAnsi="Times New Roman" w:cs="Times New Roman"/>
          <w:noProof/>
          <w:sz w:val="24"/>
          <w:vertAlign w:val="superscript"/>
          <w:lang w:val="pl-PL"/>
        </w:rPr>
        <w:footnoteReference w:id="20"/>
      </w:r>
      <w:r w:rsidRPr="00563D0D">
        <w:rPr>
          <w:rFonts w:ascii="Times New Roman" w:hAnsi="Times New Roman"/>
          <w:noProof/>
          <w:sz w:val="24"/>
          <w:lang w:val="pl-PL"/>
        </w:rPr>
        <w:t>. Zjawisko oporności na środki przeciwdrobnoustrojowe nie jest tak powszechnie nagłośnione jak COVID-19, ale nie jest już cichą pandemią</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wym</w:t>
      </w:r>
      <w:r w:rsidRPr="00563D0D">
        <w:rPr>
          <w:rFonts w:ascii="Times New Roman" w:hAnsi="Times New Roman"/>
          <w:noProof/>
          <w:sz w:val="24"/>
          <w:lang w:val="pl-PL"/>
        </w:rPr>
        <w:t xml:space="preserve">aga pilnych działań, aby zapobiec obecnie przewidywanym katastrofalnym skutkom. </w:t>
      </w:r>
    </w:p>
    <w:p w14:paraId="140D7619" w14:textId="6051D5CA"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Na podstawie planu działania UE na rzecz zwalczania oporności na środki przeciwdrobnoustrojowe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2</w:t>
      </w:r>
      <w:r w:rsidRPr="00563D0D">
        <w:rPr>
          <w:rFonts w:ascii="Times New Roman" w:hAnsi="Times New Roman"/>
          <w:noProof/>
          <w:sz w:val="24"/>
          <w:lang w:val="pl-PL"/>
        </w:rPr>
        <w:t>017</w:t>
      </w:r>
      <w:r w:rsidR="00563D0D" w:rsidRPr="00563D0D">
        <w:rPr>
          <w:rFonts w:ascii="Times New Roman" w:hAnsi="Times New Roman"/>
          <w:noProof/>
          <w:sz w:val="24"/>
          <w:lang w:val="pl-PL"/>
        </w:rPr>
        <w:t> </w:t>
      </w:r>
      <w:r w:rsidRPr="00563D0D">
        <w:rPr>
          <w:rFonts w:ascii="Times New Roman" w:hAnsi="Times New Roman"/>
          <w:noProof/>
          <w:sz w:val="24"/>
          <w:lang w:val="pl-PL"/>
        </w:rPr>
        <w:t>r.</w:t>
      </w:r>
      <w:r w:rsidRPr="00563D0D">
        <w:rPr>
          <w:rFonts w:ascii="Times New Roman" w:eastAsia="Times New Roman" w:hAnsi="Times New Roman" w:cs="Times New Roman"/>
          <w:noProof/>
          <w:sz w:val="24"/>
          <w:vertAlign w:val="superscript"/>
          <w:lang w:val="pl-PL"/>
        </w:rPr>
        <w:footnoteReference w:id="21"/>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kwi</w:t>
      </w:r>
      <w:r w:rsidRPr="00563D0D">
        <w:rPr>
          <w:rFonts w:ascii="Times New Roman" w:hAnsi="Times New Roman"/>
          <w:noProof/>
          <w:sz w:val="24"/>
          <w:lang w:val="pl-PL"/>
        </w:rPr>
        <w:t>etniu 2023</w:t>
      </w:r>
      <w:r w:rsidR="00563D0D" w:rsidRPr="00563D0D">
        <w:rPr>
          <w:rFonts w:ascii="Times New Roman" w:hAnsi="Times New Roman"/>
          <w:noProof/>
          <w:sz w:val="24"/>
          <w:lang w:val="pl-PL"/>
        </w:rPr>
        <w:t> </w:t>
      </w:r>
      <w:r w:rsidRPr="00563D0D">
        <w:rPr>
          <w:rFonts w:ascii="Times New Roman" w:hAnsi="Times New Roman"/>
          <w:noProof/>
          <w:sz w:val="24"/>
          <w:lang w:val="pl-PL"/>
        </w:rPr>
        <w:t>r. Komisja przedstawiła wniosek dotyczący zalecenia Rady, które zostało przyjęte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cze</w:t>
      </w:r>
      <w:r w:rsidRPr="00563D0D">
        <w:rPr>
          <w:rFonts w:ascii="Times New Roman" w:hAnsi="Times New Roman"/>
          <w:noProof/>
          <w:sz w:val="24"/>
          <w:lang w:val="pl-PL"/>
        </w:rPr>
        <w:t>rwcu 2023</w:t>
      </w:r>
      <w:r w:rsidR="00563D0D" w:rsidRPr="00563D0D">
        <w:rPr>
          <w:rFonts w:ascii="Times New Roman" w:hAnsi="Times New Roman"/>
          <w:noProof/>
          <w:sz w:val="24"/>
          <w:lang w:val="pl-PL"/>
        </w:rPr>
        <w:t> </w:t>
      </w:r>
      <w:r w:rsidRPr="00563D0D">
        <w:rPr>
          <w:rFonts w:ascii="Times New Roman" w:hAnsi="Times New Roman"/>
          <w:noProof/>
          <w:sz w:val="24"/>
          <w:lang w:val="pl-PL"/>
        </w:rPr>
        <w:t>r.</w:t>
      </w:r>
      <w:r w:rsidRPr="00563D0D">
        <w:rPr>
          <w:rFonts w:ascii="Times New Roman" w:eastAsia="Times New Roman" w:hAnsi="Times New Roman" w:cs="Times New Roman"/>
          <w:noProof/>
          <w:sz w:val="24"/>
          <w:vertAlign w:val="superscript"/>
          <w:lang w:val="pl-PL"/>
        </w:rPr>
        <w:footnoteReference w:id="22"/>
      </w:r>
      <w:r w:rsidRPr="00563D0D">
        <w:rPr>
          <w:rFonts w:ascii="Times New Roman" w:hAnsi="Times New Roman"/>
          <w:noProof/>
          <w:sz w:val="24"/>
          <w:lang w:val="pl-PL"/>
        </w:rPr>
        <w:t xml:space="preserve"> Zaproponowano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nim</w:t>
      </w:r>
      <w:r w:rsidRPr="00563D0D">
        <w:rPr>
          <w:rFonts w:ascii="Times New Roman" w:hAnsi="Times New Roman"/>
          <w:noProof/>
          <w:sz w:val="24"/>
          <w:lang w:val="pl-PL"/>
        </w:rPr>
        <w:t xml:space="preserve"> środki na rzecz zwalczania oporności na środki przeciwdrobnoustrojowe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dzi</w:t>
      </w:r>
      <w:r w:rsidRPr="00563D0D">
        <w:rPr>
          <w:rFonts w:ascii="Times New Roman" w:hAnsi="Times New Roman"/>
          <w:noProof/>
          <w:sz w:val="24"/>
          <w:lang w:val="pl-PL"/>
        </w:rPr>
        <w:t>edzinie zdrowia ludzi, zdrowia zwierząt</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śro</w:t>
      </w:r>
      <w:r w:rsidRPr="00563D0D">
        <w:rPr>
          <w:rFonts w:ascii="Times New Roman" w:hAnsi="Times New Roman"/>
          <w:noProof/>
          <w:sz w:val="24"/>
          <w:lang w:val="pl-PL"/>
        </w:rPr>
        <w:t>dowiska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podejścia „Jedno zdrowie”. Jest to pierwsze w UE zalecenie,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któ</w:t>
      </w:r>
      <w:r w:rsidRPr="00563D0D">
        <w:rPr>
          <w:rFonts w:ascii="Times New Roman" w:hAnsi="Times New Roman"/>
          <w:noProof/>
          <w:sz w:val="24"/>
          <w:lang w:val="pl-PL"/>
        </w:rPr>
        <w:t>rym określono unijne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kra</w:t>
      </w:r>
      <w:r w:rsidRPr="00563D0D">
        <w:rPr>
          <w:rFonts w:ascii="Times New Roman" w:hAnsi="Times New Roman"/>
          <w:noProof/>
          <w:sz w:val="24"/>
          <w:lang w:val="pl-PL"/>
        </w:rPr>
        <w:t>jowe cele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ograniczenia stosowania środków przeciwdrobnoustrojowych oraz ograniczenia rozprzestrzeniania się patogenów</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kry</w:t>
      </w:r>
      <w:r w:rsidRPr="00563D0D">
        <w:rPr>
          <w:rFonts w:ascii="Times New Roman" w:hAnsi="Times New Roman"/>
          <w:noProof/>
          <w:sz w:val="24"/>
          <w:lang w:val="pl-PL"/>
        </w:rPr>
        <w:t>tycznym znaczeniu dla zdrowia ludzi. Zalecane cele, opracowane przy wsparciu ECDC, powinny służyć jako czynnik napędzający działania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mon</w:t>
      </w:r>
      <w:r w:rsidRPr="00563D0D">
        <w:rPr>
          <w:rFonts w:ascii="Times New Roman" w:hAnsi="Times New Roman"/>
          <w:noProof/>
          <w:sz w:val="24"/>
          <w:lang w:val="pl-PL"/>
        </w:rPr>
        <w:t>itorowanie postępów na szczeblu krajowym</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nad</w:t>
      </w:r>
      <w:r w:rsidRPr="00563D0D">
        <w:rPr>
          <w:rFonts w:ascii="Times New Roman" w:hAnsi="Times New Roman"/>
          <w:noProof/>
          <w:sz w:val="24"/>
          <w:lang w:val="pl-PL"/>
        </w:rPr>
        <w:t>chodzących latach.</w:t>
      </w:r>
    </w:p>
    <w:p w14:paraId="2DE3E0DB" w14:textId="77777777" w:rsidR="00412481" w:rsidRPr="00563D0D" w:rsidRDefault="00412481" w:rsidP="00412481">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center"/>
        <w:rPr>
          <w:rFonts w:ascii="Times New Roman" w:eastAsia="Times New Roman" w:hAnsi="Times New Roman" w:cs="Times New Roman"/>
          <w:b/>
          <w:noProof/>
          <w:sz w:val="24"/>
          <w:lang w:val="pl-PL"/>
        </w:rPr>
      </w:pPr>
      <w:r w:rsidRPr="00563D0D">
        <w:rPr>
          <w:rFonts w:ascii="Times New Roman" w:hAnsi="Times New Roman"/>
          <w:b/>
          <w:noProof/>
          <w:sz w:val="24"/>
          <w:lang w:val="pl-PL"/>
        </w:rPr>
        <w:t>Najważniejsze punkty: wspólne działanie na rzecz zwalczania oporności na środki przeciwdrobnoustrojowe</w:t>
      </w:r>
    </w:p>
    <w:p w14:paraId="1A360448" w14:textId="3BC44D1D" w:rsidR="00412481" w:rsidRPr="00563D0D" w:rsidRDefault="00412481" w:rsidP="00412481">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UE wykorzystuje również swoje zasoby finansowe do wspierania skutecznych strategii politycznych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dzi</w:t>
      </w:r>
      <w:r w:rsidRPr="00563D0D">
        <w:rPr>
          <w:rFonts w:ascii="Times New Roman" w:hAnsi="Times New Roman"/>
          <w:noProof/>
          <w:sz w:val="24"/>
          <w:lang w:val="pl-PL"/>
        </w:rPr>
        <w:t>ałań</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oporności na środki przeciwdrobnoustrojowe</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Programu UE dla zdrowia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pie</w:t>
      </w:r>
      <w:r w:rsidRPr="00563D0D">
        <w:rPr>
          <w:rFonts w:ascii="Times New Roman" w:hAnsi="Times New Roman"/>
          <w:noProof/>
          <w:sz w:val="24"/>
          <w:lang w:val="pl-PL"/>
        </w:rPr>
        <w:t>rwszych trzech latach (2021–2023) zainwestowano ponad 57 mln EUR</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wal</w:t>
      </w:r>
      <w:r w:rsidRPr="00563D0D">
        <w:rPr>
          <w:rFonts w:ascii="Times New Roman" w:hAnsi="Times New Roman"/>
          <w:noProof/>
          <w:sz w:val="24"/>
          <w:lang w:val="pl-PL"/>
        </w:rPr>
        <w:t>kę</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opo</w:t>
      </w:r>
      <w:r w:rsidRPr="00563D0D">
        <w:rPr>
          <w:rFonts w:ascii="Times New Roman" w:hAnsi="Times New Roman"/>
          <w:noProof/>
          <w:sz w:val="24"/>
          <w:lang w:val="pl-PL"/>
        </w:rPr>
        <w:t>rnością na środki przeciwdrobnoustrojowe –</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szc</w:t>
      </w:r>
      <w:r w:rsidRPr="00563D0D">
        <w:rPr>
          <w:rFonts w:ascii="Times New Roman" w:hAnsi="Times New Roman"/>
          <w:noProof/>
          <w:sz w:val="24"/>
          <w:lang w:val="pl-PL"/>
        </w:rPr>
        <w:t>zególności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now</w:t>
      </w:r>
      <w:r w:rsidRPr="00563D0D">
        <w:rPr>
          <w:rFonts w:ascii="Times New Roman" w:hAnsi="Times New Roman"/>
          <w:noProof/>
          <w:sz w:val="24"/>
          <w:lang w:val="pl-PL"/>
        </w:rPr>
        <w:t>e wspólne działanie na rzecz zwalczania oporności na środki przeciwdrobnoustrojowe, które ma zostać uruchomione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2</w:t>
      </w:r>
      <w:r w:rsidRPr="00563D0D">
        <w:rPr>
          <w:rFonts w:ascii="Times New Roman" w:hAnsi="Times New Roman"/>
          <w:noProof/>
          <w:sz w:val="24"/>
          <w:lang w:val="pl-PL"/>
        </w:rPr>
        <w:t>024</w:t>
      </w:r>
      <w:r w:rsidR="00563D0D" w:rsidRPr="00563D0D">
        <w:rPr>
          <w:rFonts w:ascii="Times New Roman" w:hAnsi="Times New Roman"/>
          <w:noProof/>
          <w:sz w:val="24"/>
          <w:lang w:val="pl-PL"/>
        </w:rPr>
        <w:t> </w:t>
      </w:r>
      <w:r w:rsidRPr="00563D0D">
        <w:rPr>
          <w:rFonts w:ascii="Times New Roman" w:hAnsi="Times New Roman"/>
          <w:noProof/>
          <w:sz w:val="24"/>
          <w:lang w:val="pl-PL"/>
        </w:rPr>
        <w:t>r.</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zjednoczenia wszystkich państw członkowskich UE, Islandii, Norwegii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Ukr</w:t>
      </w:r>
      <w:r w:rsidRPr="00563D0D">
        <w:rPr>
          <w:rFonts w:ascii="Times New Roman" w:hAnsi="Times New Roman"/>
          <w:noProof/>
          <w:sz w:val="24"/>
          <w:lang w:val="pl-PL"/>
        </w:rPr>
        <w:t>ainy we wspólnych działaniach na rzecz zwalczania oporności na środki przeciwdrobnoustrojowe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podejścia „Jedno zdrowie”.</w:t>
      </w:r>
    </w:p>
    <w:p w14:paraId="63785F3E" w14:textId="571869E2" w:rsidR="001F1738" w:rsidRPr="00563D0D" w:rsidRDefault="00C371B7"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Aby rozwiązać problem rosnącej oporności na środki przeciwdrobnoustrojowe, należy zapewnić zarówno dostęp do istniejących środków przeciwdrobnoustrojowych, jak</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opr</w:t>
      </w:r>
      <w:r w:rsidRPr="00563D0D">
        <w:rPr>
          <w:rFonts w:ascii="Times New Roman" w:hAnsi="Times New Roman"/>
          <w:noProof/>
          <w:sz w:val="24"/>
          <w:lang w:val="pl-PL"/>
        </w:rPr>
        <w:t>acowanie nowych, skutecznych środków tego rodzaju. 26 kwietnia 2023</w:t>
      </w:r>
      <w:r w:rsidR="00563D0D" w:rsidRPr="00563D0D">
        <w:rPr>
          <w:rFonts w:ascii="Times New Roman" w:hAnsi="Times New Roman"/>
          <w:noProof/>
          <w:sz w:val="24"/>
          <w:lang w:val="pl-PL"/>
        </w:rPr>
        <w:t> </w:t>
      </w:r>
      <w:r w:rsidRPr="00563D0D">
        <w:rPr>
          <w:rFonts w:ascii="Times New Roman" w:hAnsi="Times New Roman"/>
          <w:noProof/>
          <w:sz w:val="24"/>
          <w:lang w:val="pl-PL"/>
        </w:rPr>
        <w:t>r. Komisja przyjęła wnioski dotyczące nowej dyrektywy</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roz</w:t>
      </w:r>
      <w:r w:rsidRPr="00563D0D">
        <w:rPr>
          <w:rFonts w:ascii="Times New Roman" w:hAnsi="Times New Roman"/>
          <w:noProof/>
          <w:sz w:val="24"/>
          <w:lang w:val="pl-PL"/>
        </w:rPr>
        <w:t>porządzenia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zmiany</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zas</w:t>
      </w:r>
      <w:r w:rsidRPr="00563D0D">
        <w:rPr>
          <w:rFonts w:ascii="Times New Roman" w:hAnsi="Times New Roman"/>
          <w:noProof/>
          <w:sz w:val="24"/>
          <w:lang w:val="pl-PL"/>
        </w:rPr>
        <w:t>tąpienia obowiązującego ogólnego prawodawstwa farmaceutycznego Unii</w:t>
      </w:r>
      <w:r w:rsidRPr="00563D0D">
        <w:rPr>
          <w:rFonts w:ascii="Times New Roman" w:eastAsia="Times New Roman" w:hAnsi="Times New Roman" w:cs="Times New Roman"/>
          <w:noProof/>
          <w:sz w:val="24"/>
          <w:vertAlign w:val="superscript"/>
          <w:lang w:val="pl-PL"/>
        </w:rPr>
        <w:footnoteReference w:id="23"/>
      </w:r>
      <w:r w:rsidRPr="00563D0D">
        <w:rPr>
          <w:rFonts w:ascii="Times New Roman" w:hAnsi="Times New Roman"/>
          <w:noProof/>
          <w:sz w:val="24"/>
          <w:lang w:val="pl-PL"/>
        </w:rPr>
        <w:t>. Wnioski te obejmują środki mające na celu zwiększenie innowacyjności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dos</w:t>
      </w:r>
      <w:r w:rsidRPr="00563D0D">
        <w:rPr>
          <w:rFonts w:ascii="Times New Roman" w:hAnsi="Times New Roman"/>
          <w:noProof/>
          <w:sz w:val="24"/>
          <w:lang w:val="pl-PL"/>
        </w:rPr>
        <w:t>tępu do leków w UE,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środków przeciwdrobnoustrojowych. Niektóre środki dotyczą konkretnie oporności na środki przeciwdrobnoustrojowe,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poł</w:t>
      </w:r>
      <w:r w:rsidRPr="00563D0D">
        <w:rPr>
          <w:rFonts w:ascii="Times New Roman" w:hAnsi="Times New Roman"/>
          <w:noProof/>
          <w:sz w:val="24"/>
          <w:lang w:val="pl-PL"/>
        </w:rPr>
        <w:t>ączeniu</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wsp</w:t>
      </w:r>
      <w:r w:rsidRPr="00563D0D">
        <w:rPr>
          <w:rFonts w:ascii="Times New Roman" w:hAnsi="Times New Roman"/>
          <w:noProof/>
          <w:sz w:val="24"/>
          <w:lang w:val="pl-PL"/>
        </w:rPr>
        <w:t>omnianym wyżej zaleceniem Rady,</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ich</w:t>
      </w:r>
      <w:r w:rsidRPr="00563D0D">
        <w:rPr>
          <w:rFonts w:ascii="Times New Roman" w:hAnsi="Times New Roman"/>
          <w:noProof/>
          <w:sz w:val="24"/>
          <w:lang w:val="pl-PL"/>
        </w:rPr>
        <w:t xml:space="preserve"> celem jest poprawa rozważnego stosowania środków przeciwdrobnoustrojowych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obe</w:t>
      </w:r>
      <w:r w:rsidRPr="00563D0D">
        <w:rPr>
          <w:rFonts w:ascii="Times New Roman" w:hAnsi="Times New Roman"/>
          <w:noProof/>
          <w:sz w:val="24"/>
          <w:lang w:val="pl-PL"/>
        </w:rPr>
        <w:t>jmują one „bony na transferowalną ochronę danych”</w:t>
      </w:r>
      <w:r w:rsidRPr="00563D0D">
        <w:rPr>
          <w:rStyle w:val="FootnoteReference"/>
          <w:rFonts w:ascii="Times New Roman" w:eastAsia="Times New Roman" w:hAnsi="Times New Roman" w:cs="Times New Roman"/>
          <w:noProof/>
          <w:sz w:val="24"/>
          <w:lang w:val="pl-PL"/>
        </w:rPr>
        <w:footnoteReference w:id="24"/>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zapewnienia zachęt do opracowywania nowatorskich antybiotyków. Kwalifikowalność do objęcia programem bonów byłaby ograniczona do nowych środków przeciwdrobnoustrojowych, które zwalczają oporność na środki przeciwdrobnoustrojowe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pat</w:t>
      </w:r>
      <w:r w:rsidRPr="00563D0D">
        <w:rPr>
          <w:rFonts w:ascii="Times New Roman" w:hAnsi="Times New Roman"/>
          <w:noProof/>
          <w:sz w:val="24"/>
          <w:lang w:val="pl-PL"/>
        </w:rPr>
        <w:t>ogeny priorytetowe uznane przez Światową Organizację Zdrowia (WHO)</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zal</w:t>
      </w:r>
      <w:r w:rsidRPr="00563D0D">
        <w:rPr>
          <w:rFonts w:ascii="Times New Roman" w:hAnsi="Times New Roman"/>
          <w:noProof/>
          <w:sz w:val="24"/>
          <w:lang w:val="pl-PL"/>
        </w:rPr>
        <w:t>eceniu Rady</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awie intensyfikacji działań</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zwalczania oporności na środki przeciwdrobnoustrojowe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zad</w:t>
      </w:r>
      <w:r w:rsidRPr="00563D0D">
        <w:rPr>
          <w:rFonts w:ascii="Times New Roman" w:hAnsi="Times New Roman"/>
          <w:noProof/>
          <w:sz w:val="24"/>
          <w:lang w:val="pl-PL"/>
        </w:rPr>
        <w:t>owoleniem przyjęto również wyrażony przez Komisję zamiar opracowania unijnego wielokrajowego programu zachęt typu „pull”</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poprawy innowacji, rozwoju nowych środków przeciwdrobnoustrojowych oraz dostępu do istniejących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now</w:t>
      </w:r>
      <w:r w:rsidRPr="00563D0D">
        <w:rPr>
          <w:rFonts w:ascii="Times New Roman" w:hAnsi="Times New Roman"/>
          <w:noProof/>
          <w:sz w:val="24"/>
          <w:lang w:val="pl-PL"/>
        </w:rPr>
        <w:t>ych środków przeciwdrobnoustrojowych przy wsparciu finansowym</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Pro</w:t>
      </w:r>
      <w:r w:rsidRPr="00563D0D">
        <w:rPr>
          <w:rFonts w:ascii="Times New Roman" w:hAnsi="Times New Roman"/>
          <w:noProof/>
          <w:sz w:val="24"/>
          <w:lang w:val="pl-PL"/>
        </w:rPr>
        <w:t>gramu UE dla zdrowia</w:t>
      </w:r>
      <w:r w:rsidRPr="00563D0D">
        <w:rPr>
          <w:rStyle w:val="FootnoteReference"/>
          <w:rFonts w:ascii="Times New Roman" w:eastAsia="Times New Roman" w:hAnsi="Times New Roman" w:cs="Times New Roman"/>
          <w:noProof/>
          <w:sz w:val="24"/>
          <w:lang w:val="pl-PL"/>
        </w:rPr>
        <w:footnoteReference w:id="25"/>
      </w:r>
      <w:r w:rsidRPr="00563D0D">
        <w:rPr>
          <w:rFonts w:ascii="Times New Roman" w:hAnsi="Times New Roman"/>
          <w:noProof/>
          <w:sz w:val="24"/>
          <w:lang w:val="pl-PL"/>
        </w:rPr>
        <w:t xml:space="preserve">. </w:t>
      </w:r>
    </w:p>
    <w:p w14:paraId="2A6557E9" w14:textId="4E89B2B0" w:rsidR="00DC40EF" w:rsidRPr="00563D0D" w:rsidRDefault="00DC40EF"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Jeśli chodzi</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dos</w:t>
      </w:r>
      <w:r w:rsidRPr="00563D0D">
        <w:rPr>
          <w:rFonts w:ascii="Times New Roman" w:hAnsi="Times New Roman"/>
          <w:noProof/>
          <w:sz w:val="24"/>
          <w:lang w:val="pl-PL"/>
        </w:rPr>
        <w:t>tępność istniejących antybiotyków</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zap</w:t>
      </w:r>
      <w:r w:rsidRPr="00563D0D">
        <w:rPr>
          <w:rFonts w:ascii="Times New Roman" w:hAnsi="Times New Roman"/>
          <w:noProof/>
          <w:sz w:val="24"/>
          <w:lang w:val="pl-PL"/>
        </w:rPr>
        <w:t>obieganie ich niedoborom</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sez</w:t>
      </w:r>
      <w:r w:rsidRPr="00563D0D">
        <w:rPr>
          <w:rFonts w:ascii="Times New Roman" w:hAnsi="Times New Roman"/>
          <w:noProof/>
          <w:sz w:val="24"/>
          <w:lang w:val="pl-PL"/>
        </w:rPr>
        <w:t>onie jesienno-zimowym 2023</w:t>
      </w:r>
      <w:r w:rsidR="00563D0D" w:rsidRPr="00563D0D">
        <w:rPr>
          <w:rFonts w:ascii="Times New Roman" w:hAnsi="Times New Roman"/>
          <w:noProof/>
          <w:sz w:val="24"/>
          <w:lang w:val="pl-PL"/>
        </w:rPr>
        <w:t> </w:t>
      </w:r>
      <w:r w:rsidRPr="00563D0D">
        <w:rPr>
          <w:rFonts w:ascii="Times New Roman" w:hAnsi="Times New Roman"/>
          <w:noProof/>
          <w:sz w:val="24"/>
          <w:lang w:val="pl-PL"/>
        </w:rPr>
        <w:t>r., Komisja wraz z EMA monitorują podaż</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pop</w:t>
      </w:r>
      <w:r w:rsidRPr="00563D0D">
        <w:rPr>
          <w:rFonts w:ascii="Times New Roman" w:hAnsi="Times New Roman"/>
          <w:noProof/>
          <w:sz w:val="24"/>
          <w:lang w:val="pl-PL"/>
        </w:rPr>
        <w:t>yt na kluczowe antybiotyki stosowane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lec</w:t>
      </w:r>
      <w:r w:rsidRPr="00563D0D">
        <w:rPr>
          <w:rFonts w:ascii="Times New Roman" w:hAnsi="Times New Roman"/>
          <w:noProof/>
          <w:sz w:val="24"/>
          <w:lang w:val="pl-PL"/>
        </w:rPr>
        <w:t>zeniu infekcji dróg oddechowych</w:t>
      </w:r>
      <w:r w:rsidRPr="00563D0D">
        <w:rPr>
          <w:rStyle w:val="FootnoteReference"/>
          <w:rFonts w:ascii="Times New Roman" w:eastAsia="Times New Roman" w:hAnsi="Times New Roman" w:cs="Times New Roman"/>
          <w:noProof/>
          <w:sz w:val="24"/>
          <w:lang w:val="pl-PL"/>
        </w:rPr>
        <w:footnoteReference w:id="26"/>
      </w:r>
      <w:r w:rsidRPr="00563D0D">
        <w:rPr>
          <w:noProof/>
          <w:lang w:val="pl-PL"/>
        </w:rPr>
        <w:t>.</w:t>
      </w:r>
      <w:r w:rsidRPr="00563D0D">
        <w:rPr>
          <w:rFonts w:ascii="Times New Roman" w:hAnsi="Times New Roman"/>
          <w:noProof/>
          <w:sz w:val="24"/>
          <w:lang w:val="pl-PL"/>
        </w:rPr>
        <w:t>W oparciu</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wyn</w:t>
      </w:r>
      <w:r w:rsidRPr="00563D0D">
        <w:rPr>
          <w:rFonts w:ascii="Times New Roman" w:hAnsi="Times New Roman"/>
          <w:noProof/>
          <w:sz w:val="24"/>
          <w:lang w:val="pl-PL"/>
        </w:rPr>
        <w:t>iki tego monitorowania Wykonawcza Grupa Sterująca ds. Niedoborów</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Bez</w:t>
      </w:r>
      <w:r w:rsidRPr="00563D0D">
        <w:rPr>
          <w:rFonts w:ascii="Times New Roman" w:hAnsi="Times New Roman"/>
          <w:noProof/>
          <w:sz w:val="24"/>
          <w:lang w:val="pl-PL"/>
        </w:rPr>
        <w:t>pieczeństwa Produktów Leczniczych działająca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EMA wydała zalecenia mające na celu zapewnienie dostępności antybiotyków potencjalnie zagrożonych niedoborem. Jak zapowiedziano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kom</w:t>
      </w:r>
      <w:r w:rsidRPr="00563D0D">
        <w:rPr>
          <w:rFonts w:ascii="Times New Roman" w:hAnsi="Times New Roman"/>
          <w:noProof/>
          <w:sz w:val="24"/>
          <w:lang w:val="pl-PL"/>
        </w:rPr>
        <w:t>unikacie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awie eliminowania niedoborów leków w UE</w:t>
      </w:r>
      <w:r w:rsidRPr="00563D0D">
        <w:rPr>
          <w:rStyle w:val="FootnoteReference"/>
          <w:rFonts w:ascii="Times New Roman" w:eastAsia="Times New Roman" w:hAnsi="Times New Roman" w:cs="Times New Roman"/>
          <w:noProof/>
          <w:sz w:val="24"/>
          <w:lang w:val="pl-PL"/>
        </w:rPr>
        <w:footnoteReference w:id="27"/>
      </w:r>
      <w:r w:rsidRPr="00563D0D">
        <w:rPr>
          <w:rFonts w:ascii="Times New Roman" w:hAnsi="Times New Roman"/>
          <w:noProof/>
          <w:sz w:val="24"/>
          <w:lang w:val="pl-PL"/>
        </w:rPr>
        <w:t>, Komisja i EMA będą nadal uważnie monitorować sytuację.</w:t>
      </w:r>
    </w:p>
    <w:p w14:paraId="1BEAB647" w14:textId="2A91A9E5"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Komisja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swoich prac</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dal</w:t>
      </w:r>
      <w:r w:rsidRPr="00563D0D">
        <w:rPr>
          <w:rFonts w:ascii="Times New Roman" w:hAnsi="Times New Roman"/>
          <w:noProof/>
          <w:sz w:val="24"/>
          <w:lang w:val="pl-PL"/>
        </w:rPr>
        <w:t>szym ciągu wspiera rozwój zapobiegawczych, diagnostycznych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ter</w:t>
      </w:r>
      <w:r w:rsidRPr="00563D0D">
        <w:rPr>
          <w:rFonts w:ascii="Times New Roman" w:hAnsi="Times New Roman"/>
          <w:noProof/>
          <w:sz w:val="24"/>
          <w:lang w:val="pl-PL"/>
        </w:rPr>
        <w:t>apeutycznych medycznych środków przeciwdziałania oporności na środki przeciwdrobnoustrojowe oraz dostęp do nich. Wsparcie to obejmuje finansowanie organów międzynarodowych, takich jak WHO, Globalne partnerstwo na rzecz badań</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roz</w:t>
      </w:r>
      <w:r w:rsidRPr="00563D0D">
        <w:rPr>
          <w:rFonts w:ascii="Times New Roman" w:hAnsi="Times New Roman"/>
          <w:noProof/>
          <w:sz w:val="24"/>
          <w:lang w:val="pl-PL"/>
        </w:rPr>
        <w:t>woju antybiotyków</w:t>
      </w:r>
      <w:r w:rsidRPr="00563D0D">
        <w:rPr>
          <w:rFonts w:ascii="Times New Roman" w:eastAsia="Times New Roman" w:hAnsi="Times New Roman" w:cs="Times New Roman"/>
          <w:noProof/>
          <w:sz w:val="24"/>
          <w:vertAlign w:val="superscript"/>
          <w:lang w:val="pl-PL"/>
        </w:rPr>
        <w:footnoteReference w:id="28"/>
      </w:r>
      <w:r w:rsidRPr="00563D0D">
        <w:rPr>
          <w:rFonts w:ascii="Times New Roman" w:hAnsi="Times New Roman"/>
          <w:noProof/>
          <w:sz w:val="24"/>
          <w:lang w:val="pl-PL"/>
        </w:rPr>
        <w:t xml:space="preserve"> oraz ich wspólna inicjatywa SECURE</w:t>
      </w:r>
      <w:r w:rsidRPr="00563D0D">
        <w:rPr>
          <w:rFonts w:ascii="Times New Roman" w:eastAsia="Times New Roman" w:hAnsi="Times New Roman" w:cs="Times New Roman"/>
          <w:noProof/>
          <w:sz w:val="24"/>
          <w:vertAlign w:val="superscript"/>
          <w:lang w:val="pl-PL"/>
        </w:rPr>
        <w:footnoteReference w:id="29"/>
      </w:r>
      <w:r w:rsidRPr="00563D0D">
        <w:rPr>
          <w:rFonts w:ascii="Times New Roman" w:hAnsi="Times New Roman"/>
          <w:noProof/>
          <w:sz w:val="24"/>
          <w:lang w:val="pl-PL"/>
        </w:rPr>
        <w:t>,</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której opracowywane są nowe antybiotyki</w:t>
      </w:r>
      <w:r w:rsidRPr="00563D0D">
        <w:rPr>
          <w:rFonts w:ascii="Times New Roman" w:eastAsia="Times New Roman" w:hAnsi="Times New Roman" w:cs="Times New Roman"/>
          <w:noProof/>
          <w:sz w:val="24"/>
          <w:vertAlign w:val="superscript"/>
          <w:lang w:val="pl-PL"/>
        </w:rPr>
        <w:footnoteReference w:id="30"/>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szc</w:t>
      </w:r>
      <w:r w:rsidRPr="00563D0D">
        <w:rPr>
          <w:rFonts w:ascii="Times New Roman" w:hAnsi="Times New Roman"/>
          <w:noProof/>
          <w:sz w:val="24"/>
          <w:lang w:val="pl-PL"/>
        </w:rPr>
        <w:t>zepionki przeciwko zakażeniom wywołanym opornością na środki przeciwdrobnoustrojowe</w:t>
      </w:r>
      <w:r w:rsidRPr="00563D0D">
        <w:rPr>
          <w:rFonts w:ascii="Times New Roman" w:eastAsia="Times New Roman" w:hAnsi="Times New Roman" w:cs="Times New Roman"/>
          <w:noProof/>
          <w:sz w:val="24"/>
          <w:vertAlign w:val="superscript"/>
          <w:lang w:val="pl-PL"/>
        </w:rPr>
        <w:footnoteReference w:id="31"/>
      </w:r>
      <w:r w:rsidRPr="00563D0D">
        <w:rPr>
          <w:rFonts w:ascii="Times New Roman" w:hAnsi="Times New Roman"/>
          <w:noProof/>
          <w:sz w:val="24"/>
          <w:lang w:val="pl-PL"/>
        </w:rPr>
        <w:t>. Działania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oporności na środki przeciwdrobnoustrojowe zostaną również podjęte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programu HERA Invest, który jest uzupełnieniem programu InvestEU</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war</w:t>
      </w:r>
      <w:r w:rsidRPr="00563D0D">
        <w:rPr>
          <w:rFonts w:ascii="Times New Roman" w:hAnsi="Times New Roman"/>
          <w:noProof/>
          <w:sz w:val="24"/>
          <w:lang w:val="pl-PL"/>
        </w:rPr>
        <w:t>tości 100 mln EUR</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któ</w:t>
      </w:r>
      <w:r w:rsidRPr="00563D0D">
        <w:rPr>
          <w:rFonts w:ascii="Times New Roman" w:hAnsi="Times New Roman"/>
          <w:noProof/>
          <w:sz w:val="24"/>
          <w:lang w:val="pl-PL"/>
        </w:rPr>
        <w:t>ry jest skierowany do małych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śre</w:t>
      </w:r>
      <w:r w:rsidRPr="00563D0D">
        <w:rPr>
          <w:rFonts w:ascii="Times New Roman" w:hAnsi="Times New Roman"/>
          <w:noProof/>
          <w:sz w:val="24"/>
          <w:lang w:val="pl-PL"/>
        </w:rPr>
        <w:t>dnich przedsiębiorstw opracowujących medyczne środki przeciwdziałania.</w:t>
      </w:r>
    </w:p>
    <w:p w14:paraId="165F72B9" w14:textId="65E0E448" w:rsidR="001F1738" w:rsidRPr="00563D0D"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pl-PL"/>
        </w:rPr>
      </w:pPr>
      <w:r w:rsidRPr="00563D0D">
        <w:rPr>
          <w:rFonts w:ascii="Times New Roman" w:hAnsi="Times New Roman"/>
          <w:noProof/>
          <w:sz w:val="24"/>
          <w:lang w:val="pl-PL"/>
        </w:rPr>
        <w:t>Jednocześnie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unijnego programu ramowego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badań naukowych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inn</w:t>
      </w:r>
      <w:r w:rsidRPr="00563D0D">
        <w:rPr>
          <w:rFonts w:ascii="Times New Roman" w:hAnsi="Times New Roman"/>
          <w:noProof/>
          <w:sz w:val="24"/>
          <w:lang w:val="pl-PL"/>
        </w:rPr>
        <w:t>owacji „Horyzont Europa” realizowane są cele planu działania UE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2</w:t>
      </w:r>
      <w:r w:rsidRPr="00563D0D">
        <w:rPr>
          <w:rFonts w:ascii="Times New Roman" w:hAnsi="Times New Roman"/>
          <w:noProof/>
          <w:sz w:val="24"/>
          <w:lang w:val="pl-PL"/>
        </w:rPr>
        <w:t>017</w:t>
      </w:r>
      <w:r w:rsidR="00563D0D" w:rsidRPr="00563D0D">
        <w:rPr>
          <w:rFonts w:ascii="Times New Roman" w:hAnsi="Times New Roman"/>
          <w:noProof/>
          <w:sz w:val="24"/>
          <w:lang w:val="pl-PL"/>
        </w:rPr>
        <w:t> </w:t>
      </w:r>
      <w:r w:rsidRPr="00563D0D">
        <w:rPr>
          <w:rFonts w:ascii="Times New Roman" w:hAnsi="Times New Roman"/>
          <w:noProof/>
          <w:sz w:val="24"/>
          <w:lang w:val="pl-PL"/>
        </w:rPr>
        <w:t>r. oraz zalecenia Rady</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awie oporności na środki przeciwdrobnoustrojowe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2</w:t>
      </w:r>
      <w:r w:rsidRPr="00563D0D">
        <w:rPr>
          <w:rFonts w:ascii="Times New Roman" w:hAnsi="Times New Roman"/>
          <w:noProof/>
          <w:sz w:val="24"/>
          <w:lang w:val="pl-PL"/>
        </w:rPr>
        <w:t>023</w:t>
      </w:r>
      <w:r w:rsidR="00563D0D" w:rsidRPr="00563D0D">
        <w:rPr>
          <w:rFonts w:ascii="Times New Roman" w:hAnsi="Times New Roman"/>
          <w:noProof/>
          <w:sz w:val="24"/>
          <w:lang w:val="pl-PL"/>
        </w:rPr>
        <w:t> </w:t>
      </w:r>
      <w:r w:rsidRPr="00563D0D">
        <w:rPr>
          <w:rFonts w:ascii="Times New Roman" w:hAnsi="Times New Roman"/>
          <w:noProof/>
          <w:sz w:val="24"/>
          <w:lang w:val="pl-PL"/>
        </w:rPr>
        <w:t>r</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ubi</w:t>
      </w:r>
      <w:r w:rsidRPr="00563D0D">
        <w:rPr>
          <w:rFonts w:ascii="Times New Roman" w:hAnsi="Times New Roman"/>
          <w:noProof/>
          <w:sz w:val="24"/>
          <w:lang w:val="pl-PL"/>
        </w:rPr>
        <w:t>egłym roku program zapewnił wsparcie za pośrednictwem działania koordynacyjnego</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wsp</w:t>
      </w:r>
      <w:r w:rsidRPr="00563D0D">
        <w:rPr>
          <w:rFonts w:ascii="Times New Roman" w:hAnsi="Times New Roman"/>
          <w:noProof/>
          <w:sz w:val="24"/>
          <w:lang w:val="pl-PL"/>
        </w:rPr>
        <w:t>ierającego „DESIGN OH AMR” (DESIGN One Health AntiMicrobial Resistance)</w:t>
      </w:r>
      <w:r w:rsidRPr="00563D0D">
        <w:rPr>
          <w:rFonts w:ascii="Times New Roman" w:eastAsia="Times New Roman" w:hAnsi="Times New Roman" w:cs="Times New Roman"/>
          <w:noProof/>
          <w:sz w:val="24"/>
          <w:vertAlign w:val="superscript"/>
          <w:lang w:val="pl-PL"/>
        </w:rPr>
        <w:footnoteReference w:id="32"/>
      </w:r>
      <w:r w:rsidRPr="00563D0D">
        <w:rPr>
          <w:rFonts w:ascii="Times New Roman" w:hAnsi="Times New Roman"/>
          <w:noProof/>
          <w:sz w:val="24"/>
          <w:lang w:val="pl-PL"/>
        </w:rPr>
        <w:t xml:space="preserve"> na rozwój współfinansowanego partnerstwa europejskiego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badań naukowych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inn</w:t>
      </w:r>
      <w:r w:rsidRPr="00563D0D">
        <w:rPr>
          <w:rFonts w:ascii="Times New Roman" w:hAnsi="Times New Roman"/>
          <w:noProof/>
          <w:sz w:val="24"/>
          <w:lang w:val="pl-PL"/>
        </w:rPr>
        <w:t>owacji „OH AMR”, które ma zostać uruchomione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2</w:t>
      </w:r>
      <w:r w:rsidRPr="00563D0D">
        <w:rPr>
          <w:rFonts w:ascii="Times New Roman" w:hAnsi="Times New Roman"/>
          <w:noProof/>
          <w:sz w:val="24"/>
          <w:lang w:val="pl-PL"/>
        </w:rPr>
        <w:t>025</w:t>
      </w:r>
      <w:r w:rsidR="00563D0D" w:rsidRPr="00563D0D">
        <w:rPr>
          <w:rFonts w:ascii="Times New Roman" w:hAnsi="Times New Roman"/>
          <w:noProof/>
          <w:sz w:val="24"/>
          <w:lang w:val="pl-PL"/>
        </w:rPr>
        <w:t> </w:t>
      </w:r>
      <w:r w:rsidRPr="00563D0D">
        <w:rPr>
          <w:rFonts w:ascii="Times New Roman" w:hAnsi="Times New Roman"/>
          <w:noProof/>
          <w:sz w:val="24"/>
          <w:lang w:val="pl-PL"/>
        </w:rPr>
        <w:t>r. i na rzecz którego UE ma wnieść wkład</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wys</w:t>
      </w:r>
      <w:r w:rsidRPr="00563D0D">
        <w:rPr>
          <w:rFonts w:ascii="Times New Roman" w:hAnsi="Times New Roman"/>
          <w:noProof/>
          <w:sz w:val="24"/>
          <w:lang w:val="pl-PL"/>
        </w:rPr>
        <w:t>okości 100 mln EUR</w:t>
      </w:r>
      <w:r w:rsidRPr="00563D0D">
        <w:rPr>
          <w:rStyle w:val="FootnoteReference"/>
          <w:rFonts w:ascii="Times New Roman" w:eastAsiaTheme="minorEastAsia" w:hAnsi="Times New Roman" w:cs="Times New Roman"/>
          <w:noProof/>
          <w:sz w:val="24"/>
          <w:lang w:val="pl-PL"/>
        </w:rPr>
        <w:footnoteReference w:id="33"/>
      </w:r>
      <w:r w:rsidRPr="00563D0D">
        <w:rPr>
          <w:noProof/>
          <w:lang w:val="pl-PL"/>
        </w:rPr>
        <w:t>.</w:t>
      </w:r>
      <w:r w:rsidRPr="00563D0D">
        <w:rPr>
          <w:rFonts w:ascii="Times New Roman" w:hAnsi="Times New Roman"/>
          <w:noProof/>
          <w:sz w:val="24"/>
          <w:lang w:val="pl-PL"/>
        </w:rPr>
        <w:t xml:space="preserve"> Od czasu uruchomienia programu „Horyzont Europa” UE nadal zapewnia środki finansowe na badania naukowe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inn</w:t>
      </w:r>
      <w:r w:rsidRPr="00563D0D">
        <w:rPr>
          <w:rFonts w:ascii="Times New Roman" w:hAnsi="Times New Roman"/>
          <w:noProof/>
          <w:sz w:val="24"/>
          <w:lang w:val="pl-PL"/>
        </w:rPr>
        <w:t>owacje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oporności na środki przeciwdrobnoustrojowe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wys</w:t>
      </w:r>
      <w:r w:rsidRPr="00563D0D">
        <w:rPr>
          <w:rFonts w:ascii="Times New Roman" w:hAnsi="Times New Roman"/>
          <w:noProof/>
          <w:sz w:val="24"/>
          <w:lang w:val="pl-PL"/>
        </w:rPr>
        <w:t>okości prawie 200 mln EUR</w:t>
      </w:r>
      <w:r w:rsidRPr="00563D0D">
        <w:rPr>
          <w:rFonts w:ascii="Times New Roman" w:eastAsiaTheme="minorEastAsia" w:hAnsi="Times New Roman" w:cs="Times New Roman"/>
          <w:noProof/>
          <w:sz w:val="24"/>
          <w:vertAlign w:val="superscript"/>
          <w:lang w:val="pl-PL"/>
        </w:rPr>
        <w:footnoteReference w:id="34"/>
      </w:r>
      <w:r w:rsidRPr="00563D0D">
        <w:rPr>
          <w:noProof/>
          <w:lang w:val="pl-PL"/>
        </w:rPr>
        <w:t>.</w:t>
      </w:r>
    </w:p>
    <w:p w14:paraId="7F2FFC58" w14:textId="74259E88" w:rsidR="00D00D56" w:rsidRPr="00563D0D" w:rsidRDefault="001F1738" w:rsidP="00BC7FCB">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Oprócz działań</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dzi</w:t>
      </w:r>
      <w:r w:rsidRPr="00563D0D">
        <w:rPr>
          <w:rFonts w:ascii="Times New Roman" w:hAnsi="Times New Roman"/>
          <w:noProof/>
          <w:sz w:val="24"/>
          <w:lang w:val="pl-PL"/>
        </w:rPr>
        <w:t>edzinie zdrowia ludzi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zwi</w:t>
      </w:r>
      <w:r w:rsidRPr="00563D0D">
        <w:rPr>
          <w:rFonts w:ascii="Times New Roman" w:hAnsi="Times New Roman"/>
          <w:noProof/>
          <w:sz w:val="24"/>
          <w:lang w:val="pl-PL"/>
        </w:rPr>
        <w:t>erząt Komisja nadal uznaje środowisko za rezerwuar oporności, który należy lepiej poznać, jak stwierdzono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str</w:t>
      </w:r>
      <w:r w:rsidRPr="00563D0D">
        <w:rPr>
          <w:rFonts w:ascii="Times New Roman" w:hAnsi="Times New Roman"/>
          <w:noProof/>
          <w:sz w:val="24"/>
          <w:lang w:val="pl-PL"/>
        </w:rPr>
        <w:t>ategicznym podejściu UE do produktów leczniczych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śro</w:t>
      </w:r>
      <w:r w:rsidRPr="00563D0D">
        <w:rPr>
          <w:rFonts w:ascii="Times New Roman" w:hAnsi="Times New Roman"/>
          <w:noProof/>
          <w:sz w:val="24"/>
          <w:lang w:val="pl-PL"/>
        </w:rPr>
        <w:t>dowisku</w:t>
      </w:r>
      <w:r w:rsidRPr="00563D0D">
        <w:rPr>
          <w:rFonts w:ascii="Times New Roman" w:eastAsia="Times New Roman" w:hAnsi="Times New Roman" w:cs="Times New Roman"/>
          <w:noProof/>
          <w:sz w:val="24"/>
          <w:vertAlign w:val="superscript"/>
          <w:lang w:val="pl-PL"/>
        </w:rPr>
        <w:footnoteReference w:id="35"/>
      </w:r>
      <w:r w:rsidRPr="00563D0D">
        <w:rPr>
          <w:rFonts w:ascii="Times New Roman" w:hAnsi="Times New Roman"/>
          <w:noProof/>
          <w:sz w:val="24"/>
          <w:lang w:val="pl-PL"/>
        </w:rPr>
        <w:t>. Dzięki inicjatywom</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Europejskiego Zielonego Ładu</w:t>
      </w:r>
      <w:r w:rsidRPr="00563D0D">
        <w:rPr>
          <w:rFonts w:ascii="Times New Roman" w:eastAsia="Times New Roman" w:hAnsi="Times New Roman" w:cs="Times New Roman"/>
          <w:noProof/>
          <w:sz w:val="24"/>
          <w:vertAlign w:val="superscript"/>
          <w:lang w:val="pl-PL"/>
        </w:rPr>
        <w:footnoteReference w:id="36"/>
      </w:r>
      <w:r w:rsidRPr="00563D0D">
        <w:rPr>
          <w:rFonts w:ascii="Times New Roman" w:hAnsi="Times New Roman"/>
          <w:noProof/>
          <w:sz w:val="24"/>
          <w:lang w:val="pl-PL"/>
        </w:rPr>
        <w:t>,</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w</w:t>
      </w:r>
      <w:r w:rsidR="00563D0D">
        <w:rPr>
          <w:rFonts w:ascii="Times New Roman" w:hAnsi="Times New Roman"/>
          <w:noProof/>
          <w:sz w:val="24"/>
          <w:lang w:val="pl-PL"/>
        </w:rPr>
        <w:t> </w:t>
      </w:r>
      <w:r w:rsidR="00563D0D" w:rsidRPr="00563D0D">
        <w:rPr>
          <w:rFonts w:ascii="Times New Roman" w:hAnsi="Times New Roman"/>
          <w:noProof/>
          <w:sz w:val="24"/>
          <w:lang w:val="pl-PL"/>
        </w:rPr>
        <w:t>szc</w:t>
      </w:r>
      <w:r w:rsidRPr="00563D0D">
        <w:rPr>
          <w:rFonts w:ascii="Times New Roman" w:hAnsi="Times New Roman"/>
          <w:noProof/>
          <w:sz w:val="24"/>
          <w:lang w:val="pl-PL"/>
        </w:rPr>
        <w:t>zególności planu działania na rzecz eliminacji zanieczyszczeń</w:t>
      </w:r>
      <w:r w:rsidRPr="00563D0D">
        <w:rPr>
          <w:rStyle w:val="FootnoteReference"/>
          <w:rFonts w:ascii="Times New Roman" w:eastAsia="Times New Roman" w:hAnsi="Times New Roman" w:cs="Times New Roman"/>
          <w:noProof/>
          <w:sz w:val="24"/>
          <w:lang w:val="pl-PL"/>
        </w:rPr>
        <w:footnoteReference w:id="37"/>
      </w:r>
      <w:r w:rsidRPr="00563D0D">
        <w:rPr>
          <w:rFonts w:ascii="Times New Roman" w:hAnsi="Times New Roman"/>
          <w:noProof/>
          <w:sz w:val="24"/>
          <w:lang w:val="pl-PL"/>
        </w:rPr>
        <w:t>, Komisja realizuje działania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kil</w:t>
      </w:r>
      <w:r w:rsidRPr="00563D0D">
        <w:rPr>
          <w:rFonts w:ascii="Times New Roman" w:hAnsi="Times New Roman"/>
          <w:noProof/>
          <w:sz w:val="24"/>
          <w:lang w:val="pl-PL"/>
        </w:rPr>
        <w:t>ku obszarach ochrony środowiska. Jeśli chodzi</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śro</w:t>
      </w:r>
      <w:r w:rsidRPr="00563D0D">
        <w:rPr>
          <w:rFonts w:ascii="Times New Roman" w:hAnsi="Times New Roman"/>
          <w:noProof/>
          <w:sz w:val="24"/>
          <w:lang w:val="pl-PL"/>
        </w:rPr>
        <w:t>dowisko wodne, Komisja proponuje przegląd wykazu substancji zanieczyszczających wody gruntowe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pow</w:t>
      </w:r>
      <w:r w:rsidRPr="00563D0D">
        <w:rPr>
          <w:rFonts w:ascii="Times New Roman" w:hAnsi="Times New Roman"/>
          <w:noProof/>
          <w:sz w:val="24"/>
          <w:lang w:val="pl-PL"/>
        </w:rPr>
        <w:t>ierzchniowe</w:t>
      </w:r>
      <w:r w:rsidRPr="00563D0D">
        <w:rPr>
          <w:rFonts w:ascii="Times New Roman" w:eastAsia="Times New Roman" w:hAnsi="Times New Roman" w:cs="Times New Roman"/>
          <w:noProof/>
          <w:sz w:val="24"/>
          <w:vertAlign w:val="superscript"/>
          <w:lang w:val="pl-PL"/>
        </w:rPr>
        <w:footnoteReference w:id="38"/>
      </w:r>
      <w:r w:rsidRPr="00563D0D">
        <w:rPr>
          <w:rFonts w:ascii="Times New Roman" w:hAnsi="Times New Roman"/>
          <w:noProof/>
          <w:sz w:val="24"/>
          <w:lang w:val="pl-PL"/>
        </w:rPr>
        <w:t>, obejmującego szereg substancji powodujących oporność na środki przeciwdrobnoustrojowe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gen</w:t>
      </w:r>
      <w:r w:rsidRPr="00563D0D">
        <w:rPr>
          <w:rFonts w:ascii="Times New Roman" w:hAnsi="Times New Roman"/>
          <w:noProof/>
          <w:sz w:val="24"/>
          <w:lang w:val="pl-PL"/>
        </w:rPr>
        <w:t>ów oporności na środki przeciwdrobnoustrojowe. We wniosku Komisji dotyczącym przekształcenia dyrektywy dotyczącej oczyszczania ścieków komunalnych</w:t>
      </w:r>
      <w:r w:rsidRPr="00563D0D">
        <w:rPr>
          <w:rFonts w:ascii="Times New Roman" w:eastAsia="Times New Roman" w:hAnsi="Times New Roman" w:cs="Times New Roman"/>
          <w:noProof/>
          <w:sz w:val="24"/>
          <w:vertAlign w:val="superscript"/>
          <w:lang w:val="pl-PL"/>
        </w:rPr>
        <w:footnoteReference w:id="39"/>
      </w:r>
      <w:r w:rsidRPr="00563D0D">
        <w:rPr>
          <w:rFonts w:ascii="Times New Roman" w:hAnsi="Times New Roman"/>
          <w:noProof/>
          <w:sz w:val="24"/>
          <w:lang w:val="pl-PL"/>
        </w:rPr>
        <w:t xml:space="preserve"> przewidziano również między innymi monitorowanie parametrów zdrowotnych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ści</w:t>
      </w:r>
      <w:r w:rsidRPr="00563D0D">
        <w:rPr>
          <w:rFonts w:ascii="Times New Roman" w:hAnsi="Times New Roman"/>
          <w:noProof/>
          <w:sz w:val="24"/>
          <w:lang w:val="pl-PL"/>
        </w:rPr>
        <w:t>ekach komunalnych,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obowiązkowy nadzór nad opornością na środki przeciwdrobnoustrojowe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zwiększenia gotowości UE na wypadek pandemii lub innych poważnych zagrożeń dla zdrowia publicznego, tak jak ma to obecnie miejsce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 xml:space="preserve">ypadku COVID-19. </w:t>
      </w:r>
    </w:p>
    <w:p w14:paraId="1E81BDED" w14:textId="50B8A164" w:rsidR="00BC7FCB" w:rsidRPr="00563D0D" w:rsidRDefault="001F1738" w:rsidP="00BC7FCB">
      <w:pPr>
        <w:spacing w:before="100" w:beforeAutospacing="1" w:after="100" w:afterAutospacing="1" w:line="240" w:lineRule="auto"/>
        <w:jc w:val="both"/>
        <w:rPr>
          <w:rFonts w:ascii="Times New Roman" w:eastAsiaTheme="minorEastAsia" w:hAnsi="Times New Roman" w:cs="Times New Roman"/>
          <w:noProof/>
          <w:sz w:val="24"/>
          <w:lang w:val="pl-PL"/>
        </w:rPr>
      </w:pPr>
      <w:r w:rsidRPr="00563D0D">
        <w:rPr>
          <w:rFonts w:ascii="Times New Roman" w:hAnsi="Times New Roman"/>
          <w:noProof/>
          <w:sz w:val="24"/>
          <w:lang w:val="pl-PL"/>
        </w:rPr>
        <w:t>Jeśli chodzi</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gle</w:t>
      </w:r>
      <w:r w:rsidRPr="00563D0D">
        <w:rPr>
          <w:rFonts w:ascii="Times New Roman" w:hAnsi="Times New Roman"/>
          <w:noProof/>
          <w:sz w:val="24"/>
          <w:lang w:val="pl-PL"/>
        </w:rPr>
        <w:t>by, Komisja analizuje geny oporności na środki przeciwdrobnoustrojowe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mik</w:t>
      </w:r>
      <w:r w:rsidRPr="00563D0D">
        <w:rPr>
          <w:rFonts w:ascii="Times New Roman" w:hAnsi="Times New Roman"/>
          <w:noProof/>
          <w:sz w:val="24"/>
          <w:lang w:val="pl-PL"/>
        </w:rPr>
        <w:t>roorganizmach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gle</w:t>
      </w:r>
      <w:r w:rsidRPr="00563D0D">
        <w:rPr>
          <w:rFonts w:ascii="Times New Roman" w:hAnsi="Times New Roman"/>
          <w:noProof/>
          <w:sz w:val="24"/>
          <w:lang w:val="pl-PL"/>
        </w:rPr>
        <w:t>bach rolniczych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badania „LUCAS Soil 2018”</w:t>
      </w:r>
      <w:r w:rsidRPr="00563D0D">
        <w:rPr>
          <w:rFonts w:ascii="Times New Roman" w:eastAsiaTheme="minorEastAsia" w:hAnsi="Times New Roman" w:cs="Times New Roman"/>
          <w:noProof/>
          <w:sz w:val="24"/>
          <w:vertAlign w:val="superscript"/>
          <w:lang w:val="pl-PL"/>
        </w:rPr>
        <w:footnoteReference w:id="40"/>
      </w:r>
      <w:r w:rsidRPr="00563D0D">
        <w:rPr>
          <w:rFonts w:ascii="Times New Roman" w:hAnsi="Times New Roman"/>
          <w:noProof/>
          <w:sz w:val="24"/>
          <w:lang w:val="pl-PL"/>
        </w:rPr>
        <w:t>,</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awozdania na ten temat mają zostać przedstawione do końca 2023</w:t>
      </w:r>
      <w:r w:rsidR="00563D0D" w:rsidRPr="00563D0D">
        <w:rPr>
          <w:rFonts w:ascii="Times New Roman" w:hAnsi="Times New Roman"/>
          <w:noProof/>
          <w:sz w:val="24"/>
          <w:lang w:val="pl-PL"/>
        </w:rPr>
        <w:t> </w:t>
      </w:r>
      <w:r w:rsidRPr="00563D0D">
        <w:rPr>
          <w:rFonts w:ascii="Times New Roman" w:hAnsi="Times New Roman"/>
          <w:noProof/>
          <w:sz w:val="24"/>
          <w:lang w:val="pl-PL"/>
        </w:rPr>
        <w:t>r. Wstępne wyniki pokazują, że ponad 600 próbek zawierało wykrywalne poziomy genów oporności na środki przeciwdrobnoustrojowe</w:t>
      </w:r>
      <w:r w:rsidRPr="00563D0D">
        <w:rPr>
          <w:rFonts w:ascii="Times New Roman" w:eastAsia="Times New Roman" w:hAnsi="Times New Roman" w:cs="Times New Roman"/>
          <w:noProof/>
          <w:sz w:val="24"/>
          <w:vertAlign w:val="superscript"/>
          <w:lang w:val="pl-PL"/>
        </w:rPr>
        <w:footnoteReference w:id="41"/>
      </w:r>
      <w:r w:rsidRPr="00563D0D">
        <w:rPr>
          <w:rFonts w:ascii="Times New Roman" w:hAnsi="Times New Roman"/>
          <w:noProof/>
          <w:sz w:val="24"/>
          <w:lang w:val="pl-PL"/>
        </w:rPr>
        <w:t>. Komisja, dzięki swojemu wnioskowi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awie aktu</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awie odbudowy zasobów przyrodniczych, dąży również do zwiększenia odporności na takie geny poprzez przywrócenie zdrowia ekosystemów, które mogą stanowić barierę dla rozprzestrzeniania się oporności na środki przeciwdrobnoustrojowe. Ponadto za pośrednictwem badania LUCAS Soil 2018 Komisja analizuje geny syntezy antybiotyków</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gle</w:t>
      </w:r>
      <w:r w:rsidRPr="00563D0D">
        <w:rPr>
          <w:rFonts w:ascii="Times New Roman" w:hAnsi="Times New Roman"/>
          <w:noProof/>
          <w:sz w:val="24"/>
          <w:lang w:val="pl-PL"/>
        </w:rPr>
        <w:t>bach, które mogą przyczynić się do opracowania nowych leków. Wyniki dotyczące zarówno genów oporności na środki przeciwdrobnoustrojowe, jak</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gen</w:t>
      </w:r>
      <w:r w:rsidRPr="00563D0D">
        <w:rPr>
          <w:rFonts w:ascii="Times New Roman" w:hAnsi="Times New Roman"/>
          <w:noProof/>
          <w:sz w:val="24"/>
          <w:lang w:val="pl-PL"/>
        </w:rPr>
        <w:t>ów syntezy antybiotyków będą przechowywane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Obs</w:t>
      </w:r>
      <w:r w:rsidRPr="00563D0D">
        <w:rPr>
          <w:rFonts w:ascii="Times New Roman" w:hAnsi="Times New Roman"/>
          <w:noProof/>
          <w:sz w:val="24"/>
          <w:lang w:val="pl-PL"/>
        </w:rPr>
        <w:t>erwatorium UE ds. Gleb (EUSO)</w:t>
      </w:r>
      <w:r w:rsidRPr="00563D0D">
        <w:rPr>
          <w:rStyle w:val="FootnoteReference"/>
          <w:rFonts w:ascii="Times New Roman" w:eastAsiaTheme="minorEastAsia" w:hAnsi="Times New Roman" w:cs="Times New Roman"/>
          <w:noProof/>
          <w:sz w:val="24"/>
          <w:lang w:val="pl-PL"/>
        </w:rPr>
        <w:footnoteReference w:id="42"/>
      </w:r>
      <w:r w:rsidRPr="00563D0D">
        <w:rPr>
          <w:rFonts w:ascii="Times New Roman" w:hAnsi="Times New Roman"/>
          <w:noProof/>
          <w:sz w:val="24"/>
          <w:lang w:val="pl-PL"/>
        </w:rPr>
        <w:t>.</w:t>
      </w:r>
    </w:p>
    <w:p w14:paraId="333B5703" w14:textId="216D172B" w:rsidR="00BC7FCB" w:rsidRPr="00563D0D" w:rsidRDefault="001F1738" w:rsidP="00BC7FCB">
      <w:pPr>
        <w:spacing w:before="100" w:beforeAutospacing="1" w:after="100" w:afterAutospacing="1" w:line="240" w:lineRule="auto"/>
        <w:jc w:val="both"/>
        <w:rPr>
          <w:rFonts w:ascii="Times New Roman" w:eastAsia="Times New Roman" w:hAnsi="Times New Roman" w:cs="Times New Roman"/>
          <w:b/>
          <w:noProof/>
          <w:sz w:val="24"/>
          <w:lang w:val="pl-PL"/>
        </w:rPr>
      </w:pPr>
      <w:r w:rsidRPr="00563D0D">
        <w:rPr>
          <w:rFonts w:ascii="Times New Roman" w:hAnsi="Times New Roman"/>
          <w:b/>
          <w:noProof/>
          <w:sz w:val="24"/>
          <w:lang w:val="pl-PL"/>
        </w:rPr>
        <w:t>Zapobieganie chorobom odzwierzęcym, takim jak grypa ptaków</w:t>
      </w:r>
    </w:p>
    <w:p w14:paraId="3288095E" w14:textId="12A51E18" w:rsidR="00511B09" w:rsidRPr="00563D0D" w:rsidRDefault="00B57523" w:rsidP="00511B09">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Ponad 60 % pojawiających się zagrożeń związanych</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cho</w:t>
      </w:r>
      <w:r w:rsidRPr="00563D0D">
        <w:rPr>
          <w:rFonts w:ascii="Times New Roman" w:hAnsi="Times New Roman"/>
          <w:noProof/>
          <w:sz w:val="24"/>
          <w:lang w:val="pl-PL"/>
        </w:rPr>
        <w:t>robami zakaźnymi ma pochodzenie odzwierzęce</w:t>
      </w:r>
      <w:r w:rsidRPr="00563D0D">
        <w:rPr>
          <w:rFonts w:ascii="Times New Roman" w:eastAsia="Times New Roman" w:hAnsi="Times New Roman" w:cs="Times New Roman"/>
          <w:noProof/>
          <w:sz w:val="24"/>
          <w:vertAlign w:val="superscript"/>
          <w:lang w:val="pl-PL"/>
        </w:rPr>
        <w:footnoteReference w:id="43"/>
      </w:r>
      <w:r w:rsidRPr="00563D0D">
        <w:rPr>
          <w:rFonts w:ascii="Times New Roman" w:hAnsi="Times New Roman"/>
          <w:noProof/>
          <w:sz w:val="24"/>
          <w:lang w:val="pl-PL"/>
        </w:rPr>
        <w:t>,</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zwi</w:t>
      </w:r>
      <w:r w:rsidRPr="00563D0D">
        <w:rPr>
          <w:rFonts w:ascii="Times New Roman" w:hAnsi="Times New Roman"/>
          <w:noProof/>
          <w:sz w:val="24"/>
          <w:lang w:val="pl-PL"/>
        </w:rPr>
        <w:t>ązku</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czy</w:t>
      </w:r>
      <w:r w:rsidRPr="00563D0D">
        <w:rPr>
          <w:rFonts w:ascii="Times New Roman" w:hAnsi="Times New Roman"/>
          <w:noProof/>
          <w:sz w:val="24"/>
          <w:lang w:val="pl-PL"/>
        </w:rPr>
        <w:t>m należy uważnie monitorować ryzyko wystąpienia kolejnej pandemii, której źródłem mogą być zwierzęta.</w:t>
      </w:r>
    </w:p>
    <w:p w14:paraId="31904970" w14:textId="367D5CAF" w:rsidR="002B1144" w:rsidRPr="00563D0D" w:rsidRDefault="001F1738" w:rsidP="002B1144">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UE korzysta</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dwó</w:t>
      </w:r>
      <w:r w:rsidRPr="00563D0D">
        <w:rPr>
          <w:rFonts w:ascii="Times New Roman" w:hAnsi="Times New Roman"/>
          <w:noProof/>
          <w:sz w:val="24"/>
          <w:lang w:val="pl-PL"/>
        </w:rPr>
        <w:t>ch głównych aktów prawnych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przeciwdziałania zagrożeniom związanym</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cho</w:t>
      </w:r>
      <w:r w:rsidRPr="00563D0D">
        <w:rPr>
          <w:rFonts w:ascii="Times New Roman" w:hAnsi="Times New Roman"/>
          <w:noProof/>
          <w:sz w:val="24"/>
          <w:lang w:val="pl-PL"/>
        </w:rPr>
        <w:t>robami zakaźnymi pochodzącymi od zwierząt. Są to dyrektywa 2003/99/WE</w:t>
      </w:r>
      <w:r w:rsidRPr="00563D0D">
        <w:rPr>
          <w:rFonts w:ascii="Times New Roman" w:eastAsia="Times New Roman" w:hAnsi="Times New Roman" w:cs="Times New Roman"/>
          <w:noProof/>
          <w:sz w:val="24"/>
          <w:vertAlign w:val="superscript"/>
          <w:lang w:val="pl-PL"/>
        </w:rPr>
        <w:footnoteReference w:id="44"/>
      </w:r>
      <w:r w:rsidRPr="00563D0D">
        <w:rPr>
          <w:rFonts w:ascii="Times New Roman" w:hAnsi="Times New Roman"/>
          <w:noProof/>
          <w:sz w:val="24"/>
          <w:lang w:val="pl-PL"/>
        </w:rPr>
        <w:t>, zapewniająca właściwe monitorowanie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oce</w:t>
      </w:r>
      <w:r w:rsidRPr="00563D0D">
        <w:rPr>
          <w:rFonts w:ascii="Times New Roman" w:hAnsi="Times New Roman"/>
          <w:noProof/>
          <w:sz w:val="24"/>
          <w:lang w:val="pl-PL"/>
        </w:rPr>
        <w:t>nę chorób odzwierzęcych, odzwierzęcych czynników chorobotwórczych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ogn</w:t>
      </w:r>
      <w:r w:rsidRPr="00563D0D">
        <w:rPr>
          <w:rFonts w:ascii="Times New Roman" w:hAnsi="Times New Roman"/>
          <w:noProof/>
          <w:sz w:val="24"/>
          <w:lang w:val="pl-PL"/>
        </w:rPr>
        <w:t>isk chorób przenoszonych przez żywność, oraz rozporządzenie (UE) 2016/429</w:t>
      </w:r>
      <w:r w:rsidRPr="00563D0D">
        <w:rPr>
          <w:rStyle w:val="FootnoteReference"/>
          <w:rFonts w:ascii="Times New Roman" w:eastAsia="Times New Roman" w:hAnsi="Times New Roman" w:cs="Times New Roman"/>
          <w:noProof/>
          <w:sz w:val="24"/>
          <w:lang w:val="pl-PL"/>
        </w:rPr>
        <w:footnoteReference w:id="45"/>
      </w:r>
      <w:r w:rsidRPr="00563D0D">
        <w:rPr>
          <w:rFonts w:ascii="Times New Roman" w:hAnsi="Times New Roman"/>
          <w:noProof/>
          <w:sz w:val="24"/>
          <w:lang w:val="pl-PL"/>
        </w:rPr>
        <w:t xml:space="preserve"> („Prawo</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zdr</w:t>
      </w:r>
      <w:r w:rsidRPr="00563D0D">
        <w:rPr>
          <w:rFonts w:ascii="Times New Roman" w:hAnsi="Times New Roman"/>
          <w:noProof/>
          <w:sz w:val="24"/>
          <w:lang w:val="pl-PL"/>
        </w:rPr>
        <w:t>owiu zwierząt”),</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któ</w:t>
      </w:r>
      <w:r w:rsidRPr="00563D0D">
        <w:rPr>
          <w:rFonts w:ascii="Times New Roman" w:hAnsi="Times New Roman"/>
          <w:noProof/>
          <w:sz w:val="24"/>
          <w:lang w:val="pl-PL"/>
        </w:rPr>
        <w:t>rym ustanowiono przepisy dotyczące zapobiegania chorobom odzwierzęcym</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ich</w:t>
      </w:r>
      <w:r w:rsidRPr="00563D0D">
        <w:rPr>
          <w:rFonts w:ascii="Times New Roman" w:hAnsi="Times New Roman"/>
          <w:noProof/>
          <w:sz w:val="24"/>
          <w:lang w:val="pl-PL"/>
        </w:rPr>
        <w:t xml:space="preserve"> kontroli,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przepisy dotyczące wczesnego wykrywania tych chorób, powiadamiania</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nic</w:t>
      </w:r>
      <w:r w:rsidRPr="00563D0D">
        <w:rPr>
          <w:rFonts w:ascii="Times New Roman" w:hAnsi="Times New Roman"/>
          <w:noProof/>
          <w:sz w:val="24"/>
          <w:lang w:val="pl-PL"/>
        </w:rPr>
        <w:t>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awozdawczości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zakresie. </w:t>
      </w:r>
    </w:p>
    <w:p w14:paraId="78C8D82D" w14:textId="22A9EC72" w:rsidR="002B1144" w:rsidRPr="00563D0D" w:rsidRDefault="006F7A7A" w:rsidP="002B1144">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Podejście „Jedno zdrowie” jest już od dziesięcioleci uwzględniane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dzi</w:t>
      </w:r>
      <w:r w:rsidRPr="00563D0D">
        <w:rPr>
          <w:rFonts w:ascii="Times New Roman" w:hAnsi="Times New Roman"/>
          <w:noProof/>
          <w:sz w:val="24"/>
          <w:lang w:val="pl-PL"/>
        </w:rPr>
        <w:t>ałaniach UE, ale pandemia COVID-19 po raz kolejny uwypukliła znaczenie tego podejścia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kon</w:t>
      </w:r>
      <w:r w:rsidRPr="00563D0D">
        <w:rPr>
          <w:rFonts w:ascii="Times New Roman" w:hAnsi="Times New Roman"/>
          <w:noProof/>
          <w:sz w:val="24"/>
          <w:lang w:val="pl-PL"/>
        </w:rPr>
        <w:t>tekście zapobiegania, gotowości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gowania oraz potrzebę zapewnienia optymalnej koordynacji między sektorami</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roz</w:t>
      </w:r>
      <w:r w:rsidRPr="00563D0D">
        <w:rPr>
          <w:rFonts w:ascii="Times New Roman" w:hAnsi="Times New Roman"/>
          <w:noProof/>
          <w:sz w:val="24"/>
          <w:lang w:val="pl-PL"/>
        </w:rPr>
        <w:t>porządzeniu (UE) 2022/2371 wyraźnie wezwano do stosowania podejścia „Jedno zdrowie”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gowaniu na obecne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now</w:t>
      </w:r>
      <w:r w:rsidRPr="00563D0D">
        <w:rPr>
          <w:rFonts w:ascii="Times New Roman" w:hAnsi="Times New Roman"/>
          <w:noProof/>
          <w:sz w:val="24"/>
          <w:lang w:val="pl-PL"/>
        </w:rPr>
        <w:t xml:space="preserve">e kryzysy. </w:t>
      </w:r>
    </w:p>
    <w:p w14:paraId="496EE332" w14:textId="4E701149" w:rsidR="002B1144" w:rsidRPr="00563D0D" w:rsidRDefault="001F1738" w:rsidP="002B1144">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W ciągu kilku miesięcy od przyjęcia rozporządzenia (UE) 2022/2371 Komitet ds. Bezpieczeństwa Zdrowia</w:t>
      </w:r>
      <w:r w:rsidRPr="00563D0D">
        <w:rPr>
          <w:rStyle w:val="FootnoteReference"/>
          <w:rFonts w:ascii="Times New Roman" w:eastAsia="Times New Roman" w:hAnsi="Times New Roman" w:cs="Times New Roman"/>
          <w:noProof/>
          <w:sz w:val="24"/>
          <w:lang w:val="pl-PL"/>
        </w:rPr>
        <w:footnoteReference w:id="46"/>
      </w:r>
      <w:r w:rsidRPr="00563D0D">
        <w:rPr>
          <w:rFonts w:ascii="Times New Roman" w:hAnsi="Times New Roman"/>
          <w:noProof/>
          <w:sz w:val="24"/>
          <w:lang w:val="pl-PL"/>
        </w:rPr>
        <w:t xml:space="preserve"> – kluczowy organ UE zajmujący się zagrożeniami dla zdrowia publicznego – odbył szereg wspólnych spotkań</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Głó</w:t>
      </w:r>
      <w:r w:rsidRPr="00563D0D">
        <w:rPr>
          <w:rFonts w:ascii="Times New Roman" w:hAnsi="Times New Roman"/>
          <w:noProof/>
          <w:sz w:val="24"/>
          <w:lang w:val="pl-PL"/>
        </w:rPr>
        <w:t>wnymi Lekarzami Weterynarii UE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omówienia zagrożenia wysoce zjadliwą grypą ptaków oraz środków</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zdrowia zwierząt</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lud</w:t>
      </w:r>
      <w:r w:rsidRPr="00563D0D">
        <w:rPr>
          <w:rFonts w:ascii="Times New Roman" w:hAnsi="Times New Roman"/>
          <w:noProof/>
          <w:sz w:val="24"/>
          <w:lang w:val="pl-PL"/>
        </w:rPr>
        <w:t>zi niezbędnych do zapobiegania ryzyku transmisji antropozoonotycznej. Wysoce zjadliwa grypa ptaków stanowi poważne zagrożenie dla zdrowia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wym</w:t>
      </w:r>
      <w:r w:rsidRPr="00563D0D">
        <w:rPr>
          <w:rFonts w:ascii="Times New Roman" w:hAnsi="Times New Roman"/>
          <w:noProof/>
          <w:sz w:val="24"/>
          <w:lang w:val="pl-PL"/>
        </w:rPr>
        <w:t>aga monitorowania, wczesnego wykrywania oraz szybkiej</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wcz</w:t>
      </w:r>
      <w:r w:rsidRPr="00563D0D">
        <w:rPr>
          <w:rFonts w:ascii="Times New Roman" w:hAnsi="Times New Roman"/>
          <w:noProof/>
          <w:sz w:val="24"/>
          <w:lang w:val="pl-PL"/>
        </w:rPr>
        <w:t>esnej reakcji na wszelkie przypadki jej transmisji</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sez</w:t>
      </w:r>
      <w:r w:rsidRPr="00563D0D">
        <w:rPr>
          <w:rFonts w:ascii="Times New Roman" w:hAnsi="Times New Roman"/>
          <w:noProof/>
          <w:sz w:val="24"/>
          <w:lang w:val="pl-PL"/>
        </w:rPr>
        <w:t>onie 2022/2023 odnotowano jedną</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naj</w:t>
      </w:r>
      <w:r w:rsidRPr="00563D0D">
        <w:rPr>
          <w:rFonts w:ascii="Times New Roman" w:hAnsi="Times New Roman"/>
          <w:noProof/>
          <w:sz w:val="24"/>
          <w:lang w:val="pl-PL"/>
        </w:rPr>
        <w:t>większych jak dotąd epidemii wysoce zjadliwej grypy ptaków</w:t>
      </w:r>
      <w:r w:rsidR="00563D0D" w:rsidRPr="00563D0D">
        <w:rPr>
          <w:rFonts w:ascii="Times New Roman" w:hAnsi="Times New Roman"/>
          <w:noProof/>
          <w:sz w:val="24"/>
          <w:lang w:val="pl-PL"/>
        </w:rPr>
        <w:t xml:space="preserve"> u</w:t>
      </w:r>
      <w:r w:rsidR="00563D0D">
        <w:rPr>
          <w:rFonts w:ascii="Times New Roman" w:hAnsi="Times New Roman"/>
          <w:noProof/>
          <w:sz w:val="24"/>
          <w:lang w:val="pl-PL"/>
        </w:rPr>
        <w:t> </w:t>
      </w:r>
      <w:r w:rsidR="00563D0D" w:rsidRPr="00563D0D">
        <w:rPr>
          <w:rFonts w:ascii="Times New Roman" w:hAnsi="Times New Roman"/>
          <w:noProof/>
          <w:sz w:val="24"/>
          <w:lang w:val="pl-PL"/>
        </w:rPr>
        <w:t>dzi</w:t>
      </w:r>
      <w:r w:rsidRPr="00563D0D">
        <w:rPr>
          <w:rFonts w:ascii="Times New Roman" w:hAnsi="Times New Roman"/>
          <w:noProof/>
          <w:sz w:val="24"/>
          <w:lang w:val="pl-PL"/>
        </w:rPr>
        <w:t>kiego ptactwa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dro</w:t>
      </w:r>
      <w:r w:rsidRPr="00563D0D">
        <w:rPr>
          <w:rFonts w:ascii="Times New Roman" w:hAnsi="Times New Roman"/>
          <w:noProof/>
          <w:sz w:val="24"/>
          <w:lang w:val="pl-PL"/>
        </w:rPr>
        <w:t>biu w UE oraz duże ogniska choroby wśród ssaków. Odpowiednie przepisy UE</w:t>
      </w:r>
      <w:r w:rsidRPr="00563D0D">
        <w:rPr>
          <w:rFonts w:ascii="Times New Roman" w:eastAsia="Times New Roman" w:hAnsi="Times New Roman" w:cs="Times New Roman"/>
          <w:noProof/>
          <w:sz w:val="24"/>
          <w:vertAlign w:val="superscript"/>
          <w:lang w:val="pl-PL"/>
        </w:rPr>
        <w:footnoteReference w:id="47"/>
      </w:r>
      <w:r w:rsidRPr="00563D0D">
        <w:rPr>
          <w:rFonts w:ascii="Times New Roman" w:hAnsi="Times New Roman"/>
          <w:noProof/>
          <w:sz w:val="24"/>
          <w:lang w:val="pl-PL"/>
        </w:rPr>
        <w:t xml:space="preserve"> przewidują, że wszystkie państwa członkowskie muszą prowadzić nadzór, aby umożliwić wczesne wykrycie wysoce zjadliwej grypy ptaków</w:t>
      </w:r>
      <w:r w:rsidR="00563D0D" w:rsidRPr="00563D0D">
        <w:rPr>
          <w:rFonts w:ascii="Times New Roman" w:hAnsi="Times New Roman"/>
          <w:noProof/>
          <w:sz w:val="24"/>
          <w:lang w:val="pl-PL"/>
        </w:rPr>
        <w:t xml:space="preserve"> u</w:t>
      </w:r>
      <w:r w:rsidR="00563D0D">
        <w:rPr>
          <w:rFonts w:ascii="Times New Roman" w:hAnsi="Times New Roman"/>
          <w:noProof/>
          <w:sz w:val="24"/>
          <w:lang w:val="pl-PL"/>
        </w:rPr>
        <w:t> </w:t>
      </w:r>
      <w:r w:rsidR="00563D0D" w:rsidRPr="00563D0D">
        <w:rPr>
          <w:rFonts w:ascii="Times New Roman" w:hAnsi="Times New Roman"/>
          <w:noProof/>
          <w:sz w:val="24"/>
          <w:lang w:val="pl-PL"/>
        </w:rPr>
        <w:t>pta</w:t>
      </w:r>
      <w:r w:rsidRPr="00563D0D">
        <w:rPr>
          <w:rFonts w:ascii="Times New Roman" w:hAnsi="Times New Roman"/>
          <w:noProof/>
          <w:sz w:val="24"/>
          <w:lang w:val="pl-PL"/>
        </w:rPr>
        <w:t>ków</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ssa</w:t>
      </w:r>
      <w:r w:rsidRPr="00563D0D">
        <w:rPr>
          <w:rFonts w:ascii="Times New Roman" w:hAnsi="Times New Roman"/>
          <w:noProof/>
          <w:sz w:val="24"/>
          <w:lang w:val="pl-PL"/>
        </w:rPr>
        <w:t>ków. Prawo</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zdr</w:t>
      </w:r>
      <w:r w:rsidRPr="00563D0D">
        <w:rPr>
          <w:rFonts w:ascii="Times New Roman" w:hAnsi="Times New Roman"/>
          <w:noProof/>
          <w:sz w:val="24"/>
          <w:lang w:val="pl-PL"/>
        </w:rPr>
        <w:t>owiu zwierząt zapewnia harmonizację środków, które wszystkie państwa członkowskie muszą wdrożyć po wykryciu wirusa wysoce zjadliwej grypy ptaków</w:t>
      </w:r>
      <w:r w:rsidR="00563D0D" w:rsidRPr="00563D0D">
        <w:rPr>
          <w:rFonts w:ascii="Times New Roman" w:hAnsi="Times New Roman"/>
          <w:noProof/>
          <w:sz w:val="24"/>
          <w:lang w:val="pl-PL"/>
        </w:rPr>
        <w:t xml:space="preserve"> u</w:t>
      </w:r>
      <w:r w:rsidR="00563D0D">
        <w:rPr>
          <w:rFonts w:ascii="Times New Roman" w:hAnsi="Times New Roman"/>
          <w:noProof/>
          <w:sz w:val="24"/>
          <w:lang w:val="pl-PL"/>
        </w:rPr>
        <w:t> </w:t>
      </w:r>
      <w:r w:rsidR="00563D0D" w:rsidRPr="00563D0D">
        <w:rPr>
          <w:rFonts w:ascii="Times New Roman" w:hAnsi="Times New Roman"/>
          <w:noProof/>
          <w:sz w:val="24"/>
          <w:lang w:val="pl-PL"/>
        </w:rPr>
        <w:t>utr</w:t>
      </w:r>
      <w:r w:rsidRPr="00563D0D">
        <w:rPr>
          <w:rFonts w:ascii="Times New Roman" w:hAnsi="Times New Roman"/>
          <w:noProof/>
          <w:sz w:val="24"/>
          <w:lang w:val="pl-PL"/>
        </w:rPr>
        <w:t>zymywanych ptaków</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kontroli tej choroby</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zap</w:t>
      </w:r>
      <w:r w:rsidRPr="00563D0D">
        <w:rPr>
          <w:rFonts w:ascii="Times New Roman" w:hAnsi="Times New Roman"/>
          <w:noProof/>
          <w:sz w:val="24"/>
          <w:lang w:val="pl-PL"/>
        </w:rPr>
        <w:t>obiegania jej rozprzestrzenianiu się, oraz stanowi podstawę prawną dla właściwych organów do podjęcia niezbędnych środków</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ypadku wykrycia tego wirusa</w:t>
      </w:r>
      <w:r w:rsidR="00563D0D" w:rsidRPr="00563D0D">
        <w:rPr>
          <w:rFonts w:ascii="Times New Roman" w:hAnsi="Times New Roman"/>
          <w:noProof/>
          <w:sz w:val="24"/>
          <w:lang w:val="pl-PL"/>
        </w:rPr>
        <w:t xml:space="preserve"> u</w:t>
      </w:r>
      <w:r w:rsidR="00563D0D">
        <w:rPr>
          <w:rFonts w:ascii="Times New Roman" w:hAnsi="Times New Roman"/>
          <w:noProof/>
          <w:sz w:val="24"/>
          <w:lang w:val="pl-PL"/>
        </w:rPr>
        <w:t> </w:t>
      </w:r>
      <w:r w:rsidR="00563D0D" w:rsidRPr="00563D0D">
        <w:rPr>
          <w:rFonts w:ascii="Times New Roman" w:hAnsi="Times New Roman"/>
          <w:noProof/>
          <w:sz w:val="24"/>
          <w:lang w:val="pl-PL"/>
        </w:rPr>
        <w:t>ssa</w:t>
      </w:r>
      <w:r w:rsidRPr="00563D0D">
        <w:rPr>
          <w:rFonts w:ascii="Times New Roman" w:hAnsi="Times New Roman"/>
          <w:noProof/>
          <w:sz w:val="24"/>
          <w:lang w:val="pl-PL"/>
        </w:rPr>
        <w:t>ków.</w:t>
      </w:r>
    </w:p>
    <w:p w14:paraId="61A7FEA1" w14:textId="4198BD17" w:rsidR="002B1144" w:rsidRPr="00563D0D" w:rsidRDefault="001F1738" w:rsidP="002B1144">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Od września 2017</w:t>
      </w:r>
      <w:r w:rsidR="00563D0D" w:rsidRPr="00563D0D">
        <w:rPr>
          <w:rFonts w:ascii="Times New Roman" w:hAnsi="Times New Roman"/>
          <w:noProof/>
          <w:sz w:val="24"/>
          <w:lang w:val="pl-PL"/>
        </w:rPr>
        <w:t> </w:t>
      </w:r>
      <w:r w:rsidRPr="00563D0D">
        <w:rPr>
          <w:rFonts w:ascii="Times New Roman" w:hAnsi="Times New Roman"/>
          <w:noProof/>
          <w:sz w:val="24"/>
          <w:lang w:val="pl-PL"/>
        </w:rPr>
        <w:t>r. Europejski Urząd ds. Bezpieczeństwa Żywności (EFSA) i ECDC zostały upoważnione przez Komisję do regularnej oceny, wspólnie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lab</w:t>
      </w:r>
      <w:r w:rsidRPr="00563D0D">
        <w:rPr>
          <w:rFonts w:ascii="Times New Roman" w:hAnsi="Times New Roman"/>
          <w:noProof/>
          <w:sz w:val="24"/>
          <w:lang w:val="pl-PL"/>
        </w:rPr>
        <w:t>oratorium referencyjnym UE ds. ptasiej grypy</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zdrowia zwierząt</w:t>
      </w:r>
      <w:r w:rsidRPr="00563D0D">
        <w:rPr>
          <w:rFonts w:ascii="Times New Roman" w:eastAsia="Times New Roman" w:hAnsi="Times New Roman" w:cs="Times New Roman"/>
          <w:noProof/>
          <w:sz w:val="24"/>
          <w:vertAlign w:val="superscript"/>
          <w:lang w:val="pl-PL"/>
        </w:rPr>
        <w:footnoteReference w:id="48"/>
      </w:r>
      <w:r w:rsidRPr="00563D0D">
        <w:rPr>
          <w:rFonts w:ascii="Times New Roman" w:hAnsi="Times New Roman"/>
          <w:noProof/>
          <w:sz w:val="24"/>
          <w:lang w:val="pl-PL"/>
        </w:rPr>
        <w:t>, sytuacji epidemiologicznej</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wysoce zjadliwej grypy ptaków oraz ewolucji cech genetycznych wirusów tej choroby wykrytych</w:t>
      </w:r>
      <w:r w:rsidR="00563D0D" w:rsidRPr="00563D0D">
        <w:rPr>
          <w:rFonts w:ascii="Times New Roman" w:hAnsi="Times New Roman"/>
          <w:noProof/>
          <w:sz w:val="24"/>
          <w:lang w:val="pl-PL"/>
        </w:rPr>
        <w:t xml:space="preserve"> u</w:t>
      </w:r>
      <w:r w:rsidR="00563D0D">
        <w:rPr>
          <w:rFonts w:ascii="Times New Roman" w:hAnsi="Times New Roman"/>
          <w:noProof/>
          <w:sz w:val="24"/>
          <w:lang w:val="pl-PL"/>
        </w:rPr>
        <w:t> </w:t>
      </w:r>
      <w:r w:rsidR="00563D0D" w:rsidRPr="00563D0D">
        <w:rPr>
          <w:rFonts w:ascii="Times New Roman" w:hAnsi="Times New Roman"/>
          <w:noProof/>
          <w:sz w:val="24"/>
          <w:lang w:val="pl-PL"/>
        </w:rPr>
        <w:t>zwi</w:t>
      </w:r>
      <w:r w:rsidRPr="00563D0D">
        <w:rPr>
          <w:rFonts w:ascii="Times New Roman" w:hAnsi="Times New Roman"/>
          <w:noProof/>
          <w:sz w:val="24"/>
          <w:lang w:val="pl-PL"/>
        </w:rPr>
        <w:t>erząt. Sprawozdania naukowe zawierające wyniki tych ocen są publikowane co</w:t>
      </w:r>
      <w:r w:rsidR="00563D0D" w:rsidRPr="00563D0D">
        <w:rPr>
          <w:rFonts w:ascii="Times New Roman" w:hAnsi="Times New Roman"/>
          <w:noProof/>
          <w:sz w:val="24"/>
          <w:lang w:val="pl-PL"/>
        </w:rPr>
        <w:t> </w:t>
      </w:r>
      <w:r w:rsidRPr="00563D0D">
        <w:rPr>
          <w:rFonts w:ascii="Times New Roman" w:hAnsi="Times New Roman"/>
          <w:noProof/>
          <w:sz w:val="24"/>
          <w:lang w:val="pl-PL"/>
        </w:rPr>
        <w:t>2–3 miesiące</w:t>
      </w:r>
      <w:r w:rsidRPr="00563D0D">
        <w:rPr>
          <w:rFonts w:ascii="Times New Roman" w:eastAsia="Times New Roman" w:hAnsi="Times New Roman" w:cs="Times New Roman"/>
          <w:noProof/>
          <w:sz w:val="24"/>
          <w:vertAlign w:val="superscript"/>
          <w:lang w:val="pl-PL"/>
        </w:rPr>
        <w:footnoteReference w:id="49"/>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edstawiają możliwości reagowania na zidentyfikowane zagrożenia dla zdrowia zwierząt</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zdr</w:t>
      </w:r>
      <w:r w:rsidRPr="00563D0D">
        <w:rPr>
          <w:rFonts w:ascii="Times New Roman" w:hAnsi="Times New Roman"/>
          <w:noProof/>
          <w:sz w:val="24"/>
          <w:lang w:val="pl-PL"/>
        </w:rPr>
        <w:t xml:space="preserve">owia publicznego. </w:t>
      </w:r>
    </w:p>
    <w:p w14:paraId="6EAC37D7" w14:textId="0EE62933" w:rsidR="001F1738" w:rsidRPr="00563D0D" w:rsidRDefault="001F1738" w:rsidP="00BC2F11">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Wspólnie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nie</w:t>
      </w:r>
      <w:r w:rsidRPr="00563D0D">
        <w:rPr>
          <w:rFonts w:ascii="Times New Roman" w:hAnsi="Times New Roman"/>
          <w:noProof/>
          <w:sz w:val="24"/>
          <w:lang w:val="pl-PL"/>
        </w:rPr>
        <w:t>którymi państwami członkowskimi Komisja pracuje nad możliwością zabezpieczenia szczepionek przeciwko odzwierzęcej grypie</w:t>
      </w:r>
      <w:r w:rsidR="00563D0D" w:rsidRPr="00563D0D">
        <w:rPr>
          <w:rFonts w:ascii="Times New Roman" w:hAnsi="Times New Roman"/>
          <w:noProof/>
          <w:sz w:val="24"/>
          <w:lang w:val="pl-PL"/>
        </w:rPr>
        <w:t xml:space="preserve"> u</w:t>
      </w:r>
      <w:r w:rsidR="00563D0D">
        <w:rPr>
          <w:rFonts w:ascii="Times New Roman" w:hAnsi="Times New Roman"/>
          <w:noProof/>
          <w:sz w:val="24"/>
          <w:lang w:val="pl-PL"/>
        </w:rPr>
        <w:t> </w:t>
      </w:r>
      <w:r w:rsidR="00563D0D" w:rsidRPr="00563D0D">
        <w:rPr>
          <w:rFonts w:ascii="Times New Roman" w:hAnsi="Times New Roman"/>
          <w:noProof/>
          <w:sz w:val="24"/>
          <w:lang w:val="pl-PL"/>
        </w:rPr>
        <w:t>lud</w:t>
      </w:r>
      <w:r w:rsidRPr="00563D0D">
        <w:rPr>
          <w:rFonts w:ascii="Times New Roman" w:hAnsi="Times New Roman"/>
          <w:noProof/>
          <w:sz w:val="24"/>
          <w:lang w:val="pl-PL"/>
        </w:rPr>
        <w:t>zi za pośrednictwem mechanizmu wspólnego udzielania zamówień. Zgodnie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pla</w:t>
      </w:r>
      <w:r w:rsidRPr="00563D0D">
        <w:rPr>
          <w:rFonts w:ascii="Times New Roman" w:hAnsi="Times New Roman"/>
          <w:noProof/>
          <w:sz w:val="24"/>
          <w:lang w:val="pl-PL"/>
        </w:rPr>
        <w:t>nem pierwsze wysyłki takiej szczepionki do państw członkowskich mają mieć miejsce na początku 2024</w:t>
      </w:r>
      <w:r w:rsidR="00563D0D" w:rsidRPr="00563D0D">
        <w:rPr>
          <w:rFonts w:ascii="Times New Roman" w:hAnsi="Times New Roman"/>
          <w:noProof/>
          <w:sz w:val="24"/>
          <w:lang w:val="pl-PL"/>
        </w:rPr>
        <w:t> </w:t>
      </w:r>
      <w:r w:rsidRPr="00563D0D">
        <w:rPr>
          <w:rFonts w:ascii="Times New Roman" w:hAnsi="Times New Roman"/>
          <w:noProof/>
          <w:sz w:val="24"/>
          <w:lang w:val="pl-PL"/>
        </w:rPr>
        <w:t>r. Wspólny zakup szczepionek na choroby odzwierzęce zwiększyłby gotowość państw członkowskich na wypadek pandemii grypy (ptaków), dodając do dwóch istniejących umów ramowych – również zawartych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mechanizmu wspólnego udzielania zamówień – dotyczących rezerwacji ponad 110 mln dawek szczepionki pandemicznej. Dawki szczepionki pandemicznej zostałyby przekazane państwom członkowskim uczestniczącym</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umo</w:t>
      </w:r>
      <w:r w:rsidRPr="00563D0D">
        <w:rPr>
          <w:rFonts w:ascii="Times New Roman" w:hAnsi="Times New Roman"/>
          <w:noProof/>
          <w:sz w:val="24"/>
          <w:lang w:val="pl-PL"/>
        </w:rPr>
        <w:t xml:space="preserve">wach rezerwacyjnych po ogłoszeniu przez WHO pandemii grypy. </w:t>
      </w:r>
    </w:p>
    <w:p w14:paraId="5FE726F1" w14:textId="0F953707" w:rsidR="001F1738" w:rsidRPr="00563D0D" w:rsidRDefault="001F1738" w:rsidP="001F1738">
      <w:pPr>
        <w:keepNext/>
        <w:keepLines/>
        <w:spacing w:before="100" w:beforeAutospacing="1" w:after="100" w:afterAutospacing="1" w:line="240" w:lineRule="auto"/>
        <w:outlineLvl w:val="2"/>
        <w:rPr>
          <w:rFonts w:ascii="Times New Roman" w:eastAsia="Times New Roman" w:hAnsi="Times New Roman" w:cs="Times New Roman"/>
          <w:b/>
          <w:noProof/>
          <w:sz w:val="24"/>
          <w:lang w:val="pl-PL"/>
        </w:rPr>
      </w:pPr>
      <w:r w:rsidRPr="00563D0D">
        <w:rPr>
          <w:rFonts w:ascii="Times New Roman" w:hAnsi="Times New Roman"/>
          <w:b/>
          <w:noProof/>
          <w:sz w:val="24"/>
          <w:lang w:val="pl-PL"/>
        </w:rPr>
        <w:t>Zapobieganie zagrożeniom dla zdrowia związanym ze zmianą klimatu</w:t>
      </w:r>
      <w:r w:rsidR="00563D0D" w:rsidRPr="00563D0D">
        <w:rPr>
          <w:rFonts w:ascii="Times New Roman" w:hAnsi="Times New Roman"/>
          <w:b/>
          <w:noProof/>
          <w:sz w:val="24"/>
          <w:lang w:val="pl-PL"/>
        </w:rPr>
        <w:t xml:space="preserve"> i</w:t>
      </w:r>
      <w:r w:rsidR="00563D0D">
        <w:rPr>
          <w:rFonts w:ascii="Times New Roman" w:hAnsi="Times New Roman"/>
          <w:b/>
          <w:noProof/>
          <w:sz w:val="24"/>
          <w:lang w:val="pl-PL"/>
        </w:rPr>
        <w:t> </w:t>
      </w:r>
      <w:r w:rsidR="00563D0D" w:rsidRPr="00563D0D">
        <w:rPr>
          <w:rFonts w:ascii="Times New Roman" w:hAnsi="Times New Roman"/>
          <w:b/>
          <w:noProof/>
          <w:sz w:val="24"/>
          <w:lang w:val="pl-PL"/>
        </w:rPr>
        <w:t>śro</w:t>
      </w:r>
      <w:r w:rsidRPr="00563D0D">
        <w:rPr>
          <w:rFonts w:ascii="Times New Roman" w:hAnsi="Times New Roman"/>
          <w:b/>
          <w:noProof/>
          <w:sz w:val="24"/>
          <w:lang w:val="pl-PL"/>
        </w:rPr>
        <w:t>dowiskiem oraz przygotowanie się na nie</w:t>
      </w:r>
    </w:p>
    <w:p w14:paraId="41CDE4DC" w14:textId="1750A480"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Skutki zmiany klimatu</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deg</w:t>
      </w:r>
      <w:r w:rsidRPr="00563D0D">
        <w:rPr>
          <w:rFonts w:ascii="Times New Roman" w:hAnsi="Times New Roman"/>
          <w:noProof/>
          <w:sz w:val="24"/>
          <w:lang w:val="pl-PL"/>
        </w:rPr>
        <w:t>radacji środowiska były silnie odczuwalne latem 2023</w:t>
      </w:r>
      <w:r w:rsidR="00563D0D" w:rsidRPr="00563D0D">
        <w:rPr>
          <w:rFonts w:ascii="Times New Roman" w:hAnsi="Times New Roman"/>
          <w:noProof/>
          <w:sz w:val="24"/>
          <w:lang w:val="pl-PL"/>
        </w:rPr>
        <w:t> </w:t>
      </w:r>
      <w:r w:rsidRPr="00563D0D">
        <w:rPr>
          <w:rFonts w:ascii="Times New Roman" w:hAnsi="Times New Roman"/>
          <w:noProof/>
          <w:sz w:val="24"/>
          <w:lang w:val="pl-PL"/>
        </w:rPr>
        <w:t>r., ponieważ ekstremalne zdarzenia pogodowe spowodowały niszczycielskie powodzie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Buł</w:t>
      </w:r>
      <w:r w:rsidRPr="00563D0D">
        <w:rPr>
          <w:rFonts w:ascii="Times New Roman" w:hAnsi="Times New Roman"/>
          <w:noProof/>
          <w:sz w:val="24"/>
          <w:lang w:val="pl-PL"/>
        </w:rPr>
        <w:t>garii, Chorwacji, Grecji, Hiszpanii, we Włoszech,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Rum</w:t>
      </w:r>
      <w:r w:rsidRPr="00563D0D">
        <w:rPr>
          <w:rFonts w:ascii="Times New Roman" w:hAnsi="Times New Roman"/>
          <w:noProof/>
          <w:sz w:val="24"/>
          <w:lang w:val="pl-PL"/>
        </w:rPr>
        <w:t>unii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Sło</w:t>
      </w:r>
      <w:r w:rsidRPr="00563D0D">
        <w:rPr>
          <w:rFonts w:ascii="Times New Roman" w:hAnsi="Times New Roman"/>
          <w:noProof/>
          <w:sz w:val="24"/>
          <w:lang w:val="pl-PL"/>
        </w:rPr>
        <w:t>wenii,</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fal</w:t>
      </w:r>
      <w:r w:rsidRPr="00563D0D">
        <w:rPr>
          <w:rFonts w:ascii="Times New Roman" w:hAnsi="Times New Roman"/>
          <w:noProof/>
          <w:sz w:val="24"/>
          <w:lang w:val="pl-PL"/>
        </w:rPr>
        <w:t>a upałów spowodowała, że niektóre odnotowane temperatury należały do najwyższych, jakie kiedykolwiek wystąpiły w UE. Należy podjąć działania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zdrowia publicznego, aby chronić</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szc</w:t>
      </w:r>
      <w:r w:rsidRPr="00563D0D">
        <w:rPr>
          <w:rFonts w:ascii="Times New Roman" w:hAnsi="Times New Roman"/>
          <w:noProof/>
          <w:sz w:val="24"/>
          <w:lang w:val="pl-PL"/>
        </w:rPr>
        <w:t>zególności osoby najbardziej podatne na zagrożenia oraz zapobiegać jak największej liczbie zgonów związanych</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upa</w:t>
      </w:r>
      <w:r w:rsidRPr="00563D0D">
        <w:rPr>
          <w:rFonts w:ascii="Times New Roman" w:hAnsi="Times New Roman"/>
          <w:noProof/>
          <w:sz w:val="24"/>
          <w:lang w:val="pl-PL"/>
        </w:rPr>
        <w:t>łami. Szybko ocieplający się klimat w UE coraz bardziej sprzyja również rozprzestrzenianiu się niektórych chorób zakaźnych wrażliwych na klimat,</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szc</w:t>
      </w:r>
      <w:r w:rsidRPr="00563D0D">
        <w:rPr>
          <w:rFonts w:ascii="Times New Roman" w:hAnsi="Times New Roman"/>
          <w:noProof/>
          <w:sz w:val="24"/>
          <w:lang w:val="pl-PL"/>
        </w:rPr>
        <w:t>zególności chorób przenoszonych przez wektory. Ponadto zmiana klimatu przyspiesza rozmrażanie wiecznej zmarzliny, co może uwalniać potencjalnie niebezpieczne mikroorganizmy, które przez długi czas znajdowały się</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sta</w:t>
      </w:r>
      <w:r w:rsidRPr="00563D0D">
        <w:rPr>
          <w:rFonts w:ascii="Times New Roman" w:hAnsi="Times New Roman"/>
          <w:noProof/>
          <w:sz w:val="24"/>
          <w:lang w:val="pl-PL"/>
        </w:rPr>
        <w:t>nie spoczynku.</w:t>
      </w:r>
    </w:p>
    <w:p w14:paraId="12D1A8B0" w14:textId="34E715B3"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HERA uznała patogeny obarczone wysokim ryzykiem wywołania pandemii, które są również przenoszone przez wektory, takie jak żółta gorączka, denga, zika, chikungunya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gor</w:t>
      </w:r>
      <w:r w:rsidRPr="00563D0D">
        <w:rPr>
          <w:rFonts w:ascii="Times New Roman" w:hAnsi="Times New Roman"/>
          <w:noProof/>
          <w:sz w:val="24"/>
          <w:lang w:val="pl-PL"/>
        </w:rPr>
        <w:t>ączka Zachodniego Nilu, za zagrożenia</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zna</w:t>
      </w:r>
      <w:r w:rsidRPr="00563D0D">
        <w:rPr>
          <w:rFonts w:ascii="Times New Roman" w:hAnsi="Times New Roman"/>
          <w:noProof/>
          <w:sz w:val="24"/>
          <w:lang w:val="pl-PL"/>
        </w:rPr>
        <w:t>czeniu priorytetowym. Trwają prace nad rozszerzeniem zestawu medycznych środków przeciwdziałania poprzez inwestowanie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bad</w:t>
      </w:r>
      <w:r w:rsidRPr="00563D0D">
        <w:rPr>
          <w:rFonts w:ascii="Times New Roman" w:hAnsi="Times New Roman"/>
          <w:noProof/>
          <w:sz w:val="24"/>
          <w:lang w:val="pl-PL"/>
        </w:rPr>
        <w:t>ania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roz</w:t>
      </w:r>
      <w:r w:rsidRPr="00563D0D">
        <w:rPr>
          <w:rFonts w:ascii="Times New Roman" w:hAnsi="Times New Roman"/>
          <w:noProof/>
          <w:sz w:val="24"/>
          <w:lang w:val="pl-PL"/>
        </w:rPr>
        <w:t>wój innowacyjnych narzędzi medycznych służących do zapewnienia gotowości na wypadek pandemii za pośrednictwem programów „Horyzont Europa”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Pro</w:t>
      </w:r>
      <w:r w:rsidRPr="00563D0D">
        <w:rPr>
          <w:rFonts w:ascii="Times New Roman" w:hAnsi="Times New Roman"/>
          <w:noProof/>
          <w:sz w:val="24"/>
          <w:lang w:val="pl-PL"/>
        </w:rPr>
        <w:t>gramu UE dla zdrowia. Na przykład Komisja finansuje Koalicję na rzecz innowacji dotyczących gotowości na wypadek wystąpienia epidemii (CEPI) za pośrednictwem programu „Horyzont Europa”</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myś</w:t>
      </w:r>
      <w:r w:rsidRPr="00563D0D">
        <w:rPr>
          <w:rFonts w:ascii="Times New Roman" w:hAnsi="Times New Roman"/>
          <w:noProof/>
          <w:sz w:val="24"/>
          <w:lang w:val="pl-PL"/>
        </w:rPr>
        <w:t>lą</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eprowadzeniu skutecznych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dal</w:t>
      </w:r>
      <w:r w:rsidRPr="00563D0D">
        <w:rPr>
          <w:rFonts w:ascii="Times New Roman" w:hAnsi="Times New Roman"/>
          <w:noProof/>
          <w:sz w:val="24"/>
          <w:lang w:val="pl-PL"/>
        </w:rPr>
        <w:t>szych badań naukowych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rozszerzenia potencjalnego stosowania zatwierdzonych szczepionek przeciwko chikungunyi</w:t>
      </w:r>
      <w:r w:rsidR="00563D0D" w:rsidRPr="00563D0D">
        <w:rPr>
          <w:rFonts w:ascii="Times New Roman" w:hAnsi="Times New Roman"/>
          <w:noProof/>
          <w:sz w:val="24"/>
          <w:lang w:val="pl-PL"/>
        </w:rPr>
        <w:t xml:space="preserve"> u</w:t>
      </w:r>
      <w:r w:rsidR="00563D0D">
        <w:rPr>
          <w:rFonts w:ascii="Times New Roman" w:hAnsi="Times New Roman"/>
          <w:noProof/>
          <w:sz w:val="24"/>
          <w:lang w:val="pl-PL"/>
        </w:rPr>
        <w:t> </w:t>
      </w:r>
      <w:r w:rsidR="00563D0D" w:rsidRPr="00563D0D">
        <w:rPr>
          <w:rFonts w:ascii="Times New Roman" w:hAnsi="Times New Roman"/>
          <w:noProof/>
          <w:sz w:val="24"/>
          <w:lang w:val="pl-PL"/>
        </w:rPr>
        <w:t>dzi</w:t>
      </w:r>
      <w:r w:rsidRPr="00563D0D">
        <w:rPr>
          <w:rFonts w:ascii="Times New Roman" w:hAnsi="Times New Roman"/>
          <w:noProof/>
          <w:sz w:val="24"/>
          <w:lang w:val="pl-PL"/>
        </w:rPr>
        <w:t>eci, osób mających obniżoną odporność</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kob</w:t>
      </w:r>
      <w:r w:rsidRPr="00563D0D">
        <w:rPr>
          <w:rFonts w:ascii="Times New Roman" w:hAnsi="Times New Roman"/>
          <w:noProof/>
          <w:sz w:val="24"/>
          <w:lang w:val="pl-PL"/>
        </w:rPr>
        <w:t>iet</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cią</w:t>
      </w:r>
      <w:r w:rsidRPr="00563D0D">
        <w:rPr>
          <w:rFonts w:ascii="Times New Roman" w:hAnsi="Times New Roman"/>
          <w:noProof/>
          <w:sz w:val="24"/>
          <w:lang w:val="pl-PL"/>
        </w:rPr>
        <w:t>ży. Komisja bada również sposoby wspierania różnych środków kontroli wektorów (np. technika oparta na sterylizacji owadów). </w:t>
      </w:r>
    </w:p>
    <w:p w14:paraId="10411679" w14:textId="1DBE4BA2" w:rsidR="001F1738" w:rsidRPr="00563D0D" w:rsidRDefault="00D219E9"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Inne niedawne prace mające na celu wspieranie gotowości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dzi</w:t>
      </w:r>
      <w:r w:rsidRPr="00563D0D">
        <w:rPr>
          <w:rFonts w:ascii="Times New Roman" w:hAnsi="Times New Roman"/>
          <w:noProof/>
          <w:sz w:val="24"/>
          <w:lang w:val="pl-PL"/>
        </w:rPr>
        <w:t>edzinie zdrowia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zwi</w:t>
      </w:r>
      <w:r w:rsidRPr="00563D0D">
        <w:rPr>
          <w:rFonts w:ascii="Times New Roman" w:hAnsi="Times New Roman"/>
          <w:noProof/>
          <w:sz w:val="24"/>
          <w:lang w:val="pl-PL"/>
        </w:rPr>
        <w:t>ązku ze zmianą klimatu</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ryz</w:t>
      </w:r>
      <w:r w:rsidRPr="00563D0D">
        <w:rPr>
          <w:rFonts w:ascii="Times New Roman" w:hAnsi="Times New Roman"/>
          <w:noProof/>
          <w:sz w:val="24"/>
          <w:lang w:val="pl-PL"/>
        </w:rPr>
        <w:t>ykiem środowiskowym obejmują m.in.:</w:t>
      </w:r>
    </w:p>
    <w:p w14:paraId="2C07CBB7" w14:textId="6D4B8881" w:rsidR="001F1738" w:rsidRPr="00563D0D" w:rsidRDefault="001F1738" w:rsidP="001F1738">
      <w:pPr>
        <w:numPr>
          <w:ilvl w:val="0"/>
          <w:numId w:val="35"/>
        </w:numPr>
        <w:spacing w:before="100" w:beforeAutospacing="1" w:after="100" w:afterAutospacing="1" w:line="240" w:lineRule="auto"/>
        <w:contextualSpacing/>
        <w:jc w:val="both"/>
        <w:rPr>
          <w:rFonts w:ascii="Times New Roman" w:eastAsia="Times New Roman" w:hAnsi="Times New Roman" w:cs="Times New Roman"/>
          <w:noProof/>
          <w:sz w:val="24"/>
          <w:lang w:val="pl-PL"/>
        </w:rPr>
      </w:pPr>
      <w:r w:rsidRPr="00563D0D">
        <w:rPr>
          <w:rFonts w:ascii="Times New Roman" w:hAnsi="Times New Roman"/>
          <w:noProof/>
          <w:sz w:val="24"/>
          <w:lang w:val="pl-PL"/>
        </w:rPr>
        <w:t xml:space="preserve">nowe produkty </w:t>
      </w:r>
      <w:r w:rsidRPr="00563D0D">
        <w:rPr>
          <w:rFonts w:ascii="Times New Roman" w:hAnsi="Times New Roman"/>
          <w:b/>
          <w:noProof/>
          <w:sz w:val="24"/>
          <w:lang w:val="pl-PL"/>
        </w:rPr>
        <w:t>Europejskiego Obserwatorium ds. Klimatu</w:t>
      </w:r>
      <w:r w:rsidR="00563D0D" w:rsidRPr="00563D0D">
        <w:rPr>
          <w:rFonts w:ascii="Times New Roman" w:hAnsi="Times New Roman"/>
          <w:b/>
          <w:noProof/>
          <w:sz w:val="24"/>
          <w:lang w:val="pl-PL"/>
        </w:rPr>
        <w:t xml:space="preserve"> i</w:t>
      </w:r>
      <w:r w:rsidR="00563D0D">
        <w:rPr>
          <w:rFonts w:ascii="Times New Roman" w:hAnsi="Times New Roman"/>
          <w:b/>
          <w:noProof/>
          <w:sz w:val="24"/>
          <w:lang w:val="pl-PL"/>
        </w:rPr>
        <w:t> </w:t>
      </w:r>
      <w:r w:rsidR="00563D0D" w:rsidRPr="00563D0D">
        <w:rPr>
          <w:rFonts w:ascii="Times New Roman" w:hAnsi="Times New Roman"/>
          <w:b/>
          <w:noProof/>
          <w:sz w:val="24"/>
          <w:lang w:val="pl-PL"/>
        </w:rPr>
        <w:t>Zdr</w:t>
      </w:r>
      <w:r w:rsidRPr="00563D0D">
        <w:rPr>
          <w:rFonts w:ascii="Times New Roman" w:hAnsi="Times New Roman"/>
          <w:b/>
          <w:noProof/>
          <w:sz w:val="24"/>
          <w:lang w:val="pl-PL"/>
        </w:rPr>
        <w:t>owia</w:t>
      </w:r>
      <w:r w:rsidRPr="00563D0D">
        <w:rPr>
          <w:rFonts w:ascii="Times New Roman" w:eastAsia="Times New Roman" w:hAnsi="Times New Roman" w:cs="Times New Roman"/>
          <w:noProof/>
          <w:sz w:val="24"/>
          <w:vertAlign w:val="superscript"/>
          <w:lang w:val="pl-PL"/>
        </w:rPr>
        <w:footnoteReference w:id="50"/>
      </w:r>
      <w:r w:rsidRPr="00563D0D">
        <w:rPr>
          <w:rFonts w:ascii="Times New Roman" w:hAnsi="Times New Roman"/>
          <w:noProof/>
          <w:sz w:val="24"/>
          <w:lang w:val="pl-PL"/>
        </w:rPr>
        <w:t>, zarządzanego przez Europejską Agencję Środowiska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Kom</w:t>
      </w:r>
      <w:r w:rsidRPr="00563D0D">
        <w:rPr>
          <w:rFonts w:ascii="Times New Roman" w:hAnsi="Times New Roman"/>
          <w:noProof/>
          <w:sz w:val="24"/>
          <w:lang w:val="pl-PL"/>
        </w:rPr>
        <w:t>isję Europejską, opublikowane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2</w:t>
      </w:r>
      <w:r w:rsidRPr="00563D0D">
        <w:rPr>
          <w:rFonts w:ascii="Times New Roman" w:hAnsi="Times New Roman"/>
          <w:noProof/>
          <w:sz w:val="24"/>
          <w:lang w:val="pl-PL"/>
        </w:rPr>
        <w:t>023</w:t>
      </w:r>
      <w:r w:rsidR="00563D0D" w:rsidRPr="00563D0D">
        <w:rPr>
          <w:rFonts w:ascii="Times New Roman" w:hAnsi="Times New Roman"/>
          <w:noProof/>
          <w:sz w:val="24"/>
          <w:lang w:val="pl-PL"/>
        </w:rPr>
        <w:t> </w:t>
      </w:r>
      <w:r w:rsidRPr="00563D0D">
        <w:rPr>
          <w:rFonts w:ascii="Times New Roman" w:hAnsi="Times New Roman"/>
          <w:noProof/>
          <w:sz w:val="24"/>
          <w:lang w:val="pl-PL"/>
        </w:rPr>
        <w:t>r. (w szczególności wskaźniki, noty informacyjne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pro</w:t>
      </w:r>
      <w:r w:rsidRPr="00563D0D">
        <w:rPr>
          <w:rFonts w:ascii="Times New Roman" w:hAnsi="Times New Roman"/>
          <w:noProof/>
          <w:sz w:val="24"/>
          <w:lang w:val="pl-PL"/>
        </w:rPr>
        <w:t>gnozy dotyczące zdrowia termicznego, chorób zakaźnych, zdrowia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mie</w:t>
      </w:r>
      <w:r w:rsidRPr="00563D0D">
        <w:rPr>
          <w:rFonts w:ascii="Times New Roman" w:hAnsi="Times New Roman"/>
          <w:noProof/>
          <w:sz w:val="24"/>
          <w:lang w:val="pl-PL"/>
        </w:rPr>
        <w:t>jscu pracy</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zan</w:t>
      </w:r>
      <w:r w:rsidRPr="00563D0D">
        <w:rPr>
          <w:rFonts w:ascii="Times New Roman" w:hAnsi="Times New Roman"/>
          <w:noProof/>
          <w:sz w:val="24"/>
          <w:lang w:val="pl-PL"/>
        </w:rPr>
        <w:t>ieczyszczenia powietrza);</w:t>
      </w:r>
    </w:p>
    <w:p w14:paraId="421F0851" w14:textId="556D578D" w:rsidR="001F1738" w:rsidRPr="00563D0D" w:rsidRDefault="001F1738" w:rsidP="001F1738">
      <w:pPr>
        <w:numPr>
          <w:ilvl w:val="0"/>
          <w:numId w:val="35"/>
        </w:numPr>
        <w:spacing w:before="100" w:beforeAutospacing="1" w:after="100" w:afterAutospacing="1" w:line="240" w:lineRule="auto"/>
        <w:contextualSpacing/>
        <w:jc w:val="both"/>
        <w:rPr>
          <w:rFonts w:ascii="Times New Roman" w:eastAsia="Times New Roman" w:hAnsi="Times New Roman" w:cs="Times New Roman"/>
          <w:noProof/>
          <w:sz w:val="24"/>
          <w:lang w:val="pl-PL"/>
        </w:rPr>
      </w:pPr>
      <w:r w:rsidRPr="00563D0D">
        <w:rPr>
          <w:rFonts w:ascii="Times New Roman" w:hAnsi="Times New Roman"/>
          <w:b/>
          <w:noProof/>
          <w:sz w:val="24"/>
          <w:lang w:val="pl-PL"/>
        </w:rPr>
        <w:t>deklarację</w:t>
      </w:r>
      <w:r w:rsidR="00563D0D" w:rsidRPr="00563D0D">
        <w:rPr>
          <w:rFonts w:ascii="Times New Roman" w:hAnsi="Times New Roman"/>
          <w:b/>
          <w:noProof/>
          <w:sz w:val="24"/>
          <w:lang w:val="pl-PL"/>
        </w:rPr>
        <w:t xml:space="preserve"> z</w:t>
      </w:r>
      <w:r w:rsidR="00563D0D">
        <w:rPr>
          <w:rFonts w:ascii="Times New Roman" w:hAnsi="Times New Roman"/>
          <w:b/>
          <w:noProof/>
          <w:sz w:val="24"/>
          <w:lang w:val="pl-PL"/>
        </w:rPr>
        <w:t> </w:t>
      </w:r>
      <w:r w:rsidR="00563D0D" w:rsidRPr="00563D0D">
        <w:rPr>
          <w:rFonts w:ascii="Times New Roman" w:hAnsi="Times New Roman"/>
          <w:b/>
          <w:noProof/>
          <w:sz w:val="24"/>
          <w:lang w:val="pl-PL"/>
        </w:rPr>
        <w:t>sió</w:t>
      </w:r>
      <w:r w:rsidRPr="00563D0D">
        <w:rPr>
          <w:rFonts w:ascii="Times New Roman" w:hAnsi="Times New Roman"/>
          <w:b/>
          <w:noProof/>
          <w:sz w:val="24"/>
          <w:lang w:val="pl-PL"/>
        </w:rPr>
        <w:t>dmej konferencji ministerialnej dotyczącej środowiska</w:t>
      </w:r>
      <w:r w:rsidR="00563D0D" w:rsidRPr="00563D0D">
        <w:rPr>
          <w:rFonts w:ascii="Times New Roman" w:hAnsi="Times New Roman"/>
          <w:b/>
          <w:noProof/>
          <w:sz w:val="24"/>
          <w:lang w:val="pl-PL"/>
        </w:rPr>
        <w:t xml:space="preserve"> i</w:t>
      </w:r>
      <w:r w:rsidR="00563D0D">
        <w:rPr>
          <w:rFonts w:ascii="Times New Roman" w:hAnsi="Times New Roman"/>
          <w:b/>
          <w:noProof/>
          <w:sz w:val="24"/>
          <w:lang w:val="pl-PL"/>
        </w:rPr>
        <w:t> </w:t>
      </w:r>
      <w:r w:rsidR="00563D0D" w:rsidRPr="00563D0D">
        <w:rPr>
          <w:rFonts w:ascii="Times New Roman" w:hAnsi="Times New Roman"/>
          <w:b/>
          <w:noProof/>
          <w:sz w:val="24"/>
          <w:lang w:val="pl-PL"/>
        </w:rPr>
        <w:t>zdr</w:t>
      </w:r>
      <w:r w:rsidRPr="00563D0D">
        <w:rPr>
          <w:rFonts w:ascii="Times New Roman" w:hAnsi="Times New Roman"/>
          <w:b/>
          <w:noProof/>
          <w:sz w:val="24"/>
          <w:lang w:val="pl-PL"/>
        </w:rPr>
        <w:t>owia (deklaracja budapeszteńska)</w:t>
      </w:r>
      <w:r w:rsidRPr="00563D0D">
        <w:rPr>
          <w:rFonts w:ascii="Times New Roman" w:eastAsia="Times New Roman" w:hAnsi="Times New Roman" w:cs="Times New Roman"/>
          <w:noProof/>
          <w:sz w:val="24"/>
          <w:vertAlign w:val="superscript"/>
          <w:lang w:val="pl-PL"/>
        </w:rPr>
        <w:footnoteReference w:id="51"/>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lip</w:t>
      </w:r>
      <w:r w:rsidRPr="00563D0D">
        <w:rPr>
          <w:rFonts w:ascii="Times New Roman" w:hAnsi="Times New Roman"/>
          <w:noProof/>
          <w:sz w:val="24"/>
          <w:lang w:val="pl-PL"/>
        </w:rPr>
        <w:t>ca 2023</w:t>
      </w:r>
      <w:r w:rsidR="00563D0D" w:rsidRPr="00563D0D">
        <w:rPr>
          <w:rFonts w:ascii="Times New Roman" w:hAnsi="Times New Roman"/>
          <w:noProof/>
          <w:sz w:val="24"/>
          <w:lang w:val="pl-PL"/>
        </w:rPr>
        <w:t> </w:t>
      </w:r>
      <w:r w:rsidRPr="00563D0D">
        <w:rPr>
          <w:rFonts w:ascii="Times New Roman" w:hAnsi="Times New Roman"/>
          <w:noProof/>
          <w:sz w:val="24"/>
          <w:lang w:val="pl-PL"/>
        </w:rPr>
        <w:t>r.,</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któ</w:t>
      </w:r>
      <w:r w:rsidRPr="00563D0D">
        <w:rPr>
          <w:rFonts w:ascii="Times New Roman" w:hAnsi="Times New Roman"/>
          <w:noProof/>
          <w:sz w:val="24"/>
          <w:lang w:val="pl-PL"/>
        </w:rPr>
        <w:t>rej określono polityczne zobowiązania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dzi</w:t>
      </w:r>
      <w:r w:rsidRPr="00563D0D">
        <w:rPr>
          <w:rFonts w:ascii="Times New Roman" w:hAnsi="Times New Roman"/>
          <w:noProof/>
          <w:sz w:val="24"/>
          <w:lang w:val="pl-PL"/>
        </w:rPr>
        <w:t>ałania mające na celu przeciwdziałanie zagrożeniom dla zdrowia wynikającym ze zmiany klimatu, zanieczyszczenia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utr</w:t>
      </w:r>
      <w:r w:rsidRPr="00563D0D">
        <w:rPr>
          <w:rFonts w:ascii="Times New Roman" w:hAnsi="Times New Roman"/>
          <w:noProof/>
          <w:sz w:val="24"/>
          <w:lang w:val="pl-PL"/>
        </w:rPr>
        <w:t>aty różnorodności biologicznej;</w:t>
      </w:r>
    </w:p>
    <w:p w14:paraId="56C33E04" w14:textId="7FD57FF4" w:rsidR="007E4F2E" w:rsidRPr="00563D0D" w:rsidRDefault="007E4F2E" w:rsidP="001F1738">
      <w:pPr>
        <w:numPr>
          <w:ilvl w:val="0"/>
          <w:numId w:val="35"/>
        </w:numPr>
        <w:spacing w:before="100" w:beforeAutospacing="1" w:after="100" w:afterAutospacing="1" w:line="240" w:lineRule="auto"/>
        <w:contextualSpacing/>
        <w:jc w:val="both"/>
        <w:rPr>
          <w:rFonts w:ascii="Times New Roman" w:eastAsia="Times New Roman" w:hAnsi="Times New Roman" w:cs="Times New Roman"/>
          <w:noProof/>
          <w:sz w:val="24"/>
          <w:lang w:val="pl-PL"/>
        </w:rPr>
      </w:pPr>
      <w:r w:rsidRPr="00563D0D">
        <w:rPr>
          <w:rFonts w:ascii="Times New Roman" w:hAnsi="Times New Roman"/>
          <w:b/>
          <w:noProof/>
          <w:sz w:val="24"/>
          <w:lang w:val="pl-PL"/>
        </w:rPr>
        <w:t>deklarację COP28</w:t>
      </w:r>
      <w:r w:rsidR="00563D0D" w:rsidRPr="00563D0D">
        <w:rPr>
          <w:rFonts w:ascii="Times New Roman" w:hAnsi="Times New Roman"/>
          <w:b/>
          <w:noProof/>
          <w:sz w:val="24"/>
          <w:lang w:val="pl-PL"/>
        </w:rPr>
        <w:t xml:space="preserve"> w</w:t>
      </w:r>
      <w:r w:rsidR="00563D0D">
        <w:rPr>
          <w:rFonts w:ascii="Times New Roman" w:hAnsi="Times New Roman"/>
          <w:b/>
          <w:noProof/>
          <w:sz w:val="24"/>
          <w:lang w:val="pl-PL"/>
        </w:rPr>
        <w:t> </w:t>
      </w:r>
      <w:r w:rsidR="00563D0D" w:rsidRPr="00563D0D">
        <w:rPr>
          <w:rFonts w:ascii="Times New Roman" w:hAnsi="Times New Roman"/>
          <w:b/>
          <w:noProof/>
          <w:sz w:val="24"/>
          <w:lang w:val="pl-PL"/>
        </w:rPr>
        <w:t>spr</w:t>
      </w:r>
      <w:r w:rsidRPr="00563D0D">
        <w:rPr>
          <w:rFonts w:ascii="Times New Roman" w:hAnsi="Times New Roman"/>
          <w:b/>
          <w:noProof/>
          <w:sz w:val="24"/>
          <w:lang w:val="pl-PL"/>
        </w:rPr>
        <w:t>awie klimatu</w:t>
      </w:r>
      <w:r w:rsidR="00563D0D" w:rsidRPr="00563D0D">
        <w:rPr>
          <w:rFonts w:ascii="Times New Roman" w:hAnsi="Times New Roman"/>
          <w:b/>
          <w:noProof/>
          <w:sz w:val="24"/>
          <w:lang w:val="pl-PL"/>
        </w:rPr>
        <w:t xml:space="preserve"> i</w:t>
      </w:r>
      <w:r w:rsidR="00563D0D">
        <w:rPr>
          <w:rFonts w:ascii="Times New Roman" w:hAnsi="Times New Roman"/>
          <w:b/>
          <w:noProof/>
          <w:sz w:val="24"/>
          <w:lang w:val="pl-PL"/>
        </w:rPr>
        <w:t> </w:t>
      </w:r>
      <w:r w:rsidR="00563D0D" w:rsidRPr="00563D0D">
        <w:rPr>
          <w:rFonts w:ascii="Times New Roman" w:hAnsi="Times New Roman"/>
          <w:b/>
          <w:noProof/>
          <w:sz w:val="24"/>
          <w:lang w:val="pl-PL"/>
        </w:rPr>
        <w:t>zdr</w:t>
      </w:r>
      <w:r w:rsidRPr="00563D0D">
        <w:rPr>
          <w:rFonts w:ascii="Times New Roman" w:hAnsi="Times New Roman"/>
          <w:b/>
          <w:noProof/>
          <w:sz w:val="24"/>
          <w:lang w:val="pl-PL"/>
        </w:rPr>
        <w:t>owia</w:t>
      </w:r>
      <w:r w:rsidRPr="00563D0D">
        <w:rPr>
          <w:rFonts w:ascii="Times New Roman" w:hAnsi="Times New Roman"/>
          <w:noProof/>
          <w:sz w:val="24"/>
          <w:lang w:val="pl-PL"/>
        </w:rPr>
        <w:t>, podpisaną 2 grudnia 2023</w:t>
      </w:r>
      <w:r w:rsidR="00563D0D" w:rsidRPr="00563D0D">
        <w:rPr>
          <w:rFonts w:ascii="Times New Roman" w:hAnsi="Times New Roman"/>
          <w:noProof/>
          <w:sz w:val="24"/>
          <w:lang w:val="pl-PL"/>
        </w:rPr>
        <w:t> </w:t>
      </w:r>
      <w:r w:rsidRPr="00563D0D">
        <w:rPr>
          <w:rFonts w:ascii="Times New Roman" w:hAnsi="Times New Roman"/>
          <w:noProof/>
          <w:sz w:val="24"/>
          <w:lang w:val="pl-PL"/>
        </w:rPr>
        <w:t>r.</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oka</w:t>
      </w:r>
      <w:r w:rsidRPr="00563D0D">
        <w:rPr>
          <w:rFonts w:ascii="Times New Roman" w:hAnsi="Times New Roman"/>
          <w:noProof/>
          <w:sz w:val="24"/>
          <w:lang w:val="pl-PL"/>
        </w:rPr>
        <w:t>zji pierwszego Dnia Zdrowia na</w:t>
      </w:r>
      <w:r w:rsidR="00563D0D" w:rsidRPr="00563D0D">
        <w:rPr>
          <w:rFonts w:ascii="Times New Roman" w:hAnsi="Times New Roman"/>
          <w:noProof/>
          <w:sz w:val="24"/>
          <w:lang w:val="pl-PL"/>
        </w:rPr>
        <w:t> </w:t>
      </w:r>
      <w:r w:rsidRPr="00563D0D">
        <w:rPr>
          <w:rFonts w:ascii="Times New Roman" w:hAnsi="Times New Roman"/>
          <w:noProof/>
          <w:sz w:val="24"/>
          <w:lang w:val="pl-PL"/>
        </w:rPr>
        <w:t>28. sesji Konferencji Stron Ramowej Konwencji Narodów Zjednoczonych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awie Zmian Klimatu (COP28)</w:t>
      </w:r>
      <w:r w:rsidRPr="00563D0D">
        <w:rPr>
          <w:rStyle w:val="FootnoteReference"/>
          <w:rFonts w:ascii="Times New Roman" w:eastAsia="Times New Roman" w:hAnsi="Times New Roman" w:cs="Times New Roman"/>
          <w:noProof/>
          <w:sz w:val="24"/>
          <w:lang w:val="pl-PL"/>
        </w:rPr>
        <w:footnoteReference w:id="52"/>
      </w:r>
      <w:r w:rsidRPr="00563D0D">
        <w:rPr>
          <w:rFonts w:ascii="Times New Roman" w:hAnsi="Times New Roman"/>
          <w:noProof/>
          <w:sz w:val="24"/>
          <w:lang w:val="pl-PL"/>
        </w:rPr>
        <w:t>;</w:t>
      </w:r>
    </w:p>
    <w:p w14:paraId="3B8EE74A" w14:textId="0BF6DA4D" w:rsidR="001F1738" w:rsidRPr="00563D0D" w:rsidRDefault="001F1738" w:rsidP="001F1738">
      <w:pPr>
        <w:numPr>
          <w:ilvl w:val="0"/>
          <w:numId w:val="35"/>
        </w:numPr>
        <w:spacing w:before="100" w:beforeAutospacing="1" w:after="100" w:afterAutospacing="1" w:line="240" w:lineRule="auto"/>
        <w:contextualSpacing/>
        <w:jc w:val="both"/>
        <w:rPr>
          <w:rFonts w:ascii="Times New Roman" w:eastAsia="Times New Roman" w:hAnsi="Times New Roman" w:cs="Times New Roman"/>
          <w:noProof/>
          <w:sz w:val="24"/>
          <w:lang w:val="pl-PL"/>
        </w:rPr>
      </w:pPr>
      <w:r w:rsidRPr="00563D0D">
        <w:rPr>
          <w:rFonts w:ascii="Times New Roman" w:hAnsi="Times New Roman"/>
          <w:noProof/>
          <w:sz w:val="24"/>
          <w:lang w:val="pl-PL"/>
        </w:rPr>
        <w:t xml:space="preserve">zainicjowanie gruntownej aktualizacji </w:t>
      </w:r>
      <w:r w:rsidRPr="00563D0D">
        <w:rPr>
          <w:rFonts w:ascii="Times New Roman" w:hAnsi="Times New Roman"/>
          <w:b/>
          <w:noProof/>
          <w:sz w:val="24"/>
          <w:lang w:val="pl-PL"/>
        </w:rPr>
        <w:t>wytycznych dotyczących planów działania na rzecz zdrowia</w:t>
      </w:r>
      <w:r w:rsidR="00563D0D" w:rsidRPr="00563D0D">
        <w:rPr>
          <w:rFonts w:ascii="Times New Roman" w:hAnsi="Times New Roman"/>
          <w:b/>
          <w:noProof/>
          <w:sz w:val="24"/>
          <w:lang w:val="pl-PL"/>
        </w:rPr>
        <w:t xml:space="preserve"> w</w:t>
      </w:r>
      <w:r w:rsidR="00563D0D">
        <w:rPr>
          <w:rFonts w:ascii="Times New Roman" w:hAnsi="Times New Roman"/>
          <w:b/>
          <w:noProof/>
          <w:sz w:val="24"/>
          <w:lang w:val="pl-PL"/>
        </w:rPr>
        <w:t> </w:t>
      </w:r>
      <w:r w:rsidR="00563D0D" w:rsidRPr="00563D0D">
        <w:rPr>
          <w:rFonts w:ascii="Times New Roman" w:hAnsi="Times New Roman"/>
          <w:b/>
          <w:noProof/>
          <w:sz w:val="24"/>
          <w:lang w:val="pl-PL"/>
        </w:rPr>
        <w:t>sek</w:t>
      </w:r>
      <w:r w:rsidRPr="00563D0D">
        <w:rPr>
          <w:rFonts w:ascii="Times New Roman" w:hAnsi="Times New Roman"/>
          <w:b/>
          <w:noProof/>
          <w:sz w:val="24"/>
          <w:lang w:val="pl-PL"/>
        </w:rPr>
        <w:t>torze cieplnym dla europejskiego regionu WHO</w:t>
      </w:r>
      <w:r w:rsidRPr="00563D0D">
        <w:rPr>
          <w:rFonts w:ascii="Times New Roman" w:eastAsia="Times New Roman" w:hAnsi="Times New Roman" w:cs="Times New Roman"/>
          <w:noProof/>
          <w:sz w:val="24"/>
          <w:vertAlign w:val="superscript"/>
          <w:lang w:val="pl-PL"/>
        </w:rPr>
        <w:footnoteReference w:id="53"/>
      </w:r>
      <w:r w:rsidRPr="00563D0D">
        <w:rPr>
          <w:rFonts w:ascii="Times New Roman" w:hAnsi="Times New Roman"/>
          <w:noProof/>
          <w:sz w:val="24"/>
          <w:lang w:val="pl-PL"/>
        </w:rPr>
        <w:t>, które UE wspiera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programu LIFE</w:t>
      </w:r>
      <w:r w:rsidRPr="00563D0D">
        <w:rPr>
          <w:rStyle w:val="FootnoteReference"/>
          <w:rFonts w:ascii="Times New Roman" w:eastAsia="Times New Roman" w:hAnsi="Times New Roman" w:cs="Times New Roman"/>
          <w:noProof/>
          <w:sz w:val="24"/>
          <w:lang w:val="pl-PL"/>
        </w:rPr>
        <w:footnoteReference w:id="54"/>
      </w:r>
      <w:r w:rsidRPr="00563D0D">
        <w:rPr>
          <w:rFonts w:ascii="Times New Roman" w:hAnsi="Times New Roman"/>
          <w:noProof/>
          <w:sz w:val="24"/>
          <w:lang w:val="pl-PL"/>
        </w:rPr>
        <w:t>;</w:t>
      </w:r>
    </w:p>
    <w:p w14:paraId="0A77858C" w14:textId="69D06B48" w:rsidR="00750E41" w:rsidRPr="00563D0D" w:rsidRDefault="001F1738" w:rsidP="001F1738">
      <w:pPr>
        <w:numPr>
          <w:ilvl w:val="0"/>
          <w:numId w:val="35"/>
        </w:numPr>
        <w:spacing w:before="100" w:beforeAutospacing="1" w:after="100" w:afterAutospacing="1" w:line="240" w:lineRule="auto"/>
        <w:contextualSpacing/>
        <w:jc w:val="both"/>
        <w:rPr>
          <w:rFonts w:ascii="Times New Roman" w:eastAsia="Times New Roman" w:hAnsi="Times New Roman" w:cs="Times New Roman"/>
          <w:noProof/>
          <w:sz w:val="24"/>
          <w:lang w:val="pl-PL"/>
        </w:rPr>
      </w:pPr>
      <w:r w:rsidRPr="00563D0D">
        <w:rPr>
          <w:rFonts w:ascii="Times New Roman" w:hAnsi="Times New Roman"/>
          <w:noProof/>
          <w:sz w:val="24"/>
          <w:lang w:val="pl-PL"/>
        </w:rPr>
        <w:t>opracowanie pierwszej</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his</w:t>
      </w:r>
      <w:r w:rsidRPr="00563D0D">
        <w:rPr>
          <w:rFonts w:ascii="Times New Roman" w:hAnsi="Times New Roman"/>
          <w:noProof/>
          <w:sz w:val="24"/>
          <w:lang w:val="pl-PL"/>
        </w:rPr>
        <w:t xml:space="preserve">torii </w:t>
      </w:r>
      <w:r w:rsidRPr="00563D0D">
        <w:rPr>
          <w:rFonts w:ascii="Times New Roman" w:hAnsi="Times New Roman"/>
          <w:b/>
          <w:noProof/>
          <w:sz w:val="24"/>
          <w:lang w:val="pl-PL"/>
        </w:rPr>
        <w:t>unijnej oceny ryzyka klimatycznego</w:t>
      </w:r>
      <w:r w:rsidRPr="00563D0D">
        <w:rPr>
          <w:rFonts w:ascii="Times New Roman" w:eastAsia="Times New Roman" w:hAnsi="Times New Roman" w:cs="Times New Roman"/>
          <w:noProof/>
          <w:sz w:val="24"/>
          <w:vertAlign w:val="superscript"/>
          <w:lang w:val="pl-PL"/>
        </w:rPr>
        <w:footnoteReference w:id="55"/>
      </w:r>
      <w:r w:rsidRPr="00563D0D">
        <w:rPr>
          <w:rFonts w:ascii="Times New Roman" w:hAnsi="Times New Roman"/>
          <w:noProof/>
          <w:sz w:val="24"/>
          <w:lang w:val="pl-PL"/>
        </w:rPr>
        <w:t>, obejmującej specjalne rozdziały dotyczące zdrowia, którą Europejska Agencja Środowiska ma opublikować wiosną 2024</w:t>
      </w:r>
      <w:r w:rsidR="00563D0D" w:rsidRPr="00563D0D">
        <w:rPr>
          <w:rFonts w:ascii="Times New Roman" w:hAnsi="Times New Roman"/>
          <w:noProof/>
          <w:sz w:val="24"/>
          <w:lang w:val="pl-PL"/>
        </w:rPr>
        <w:t> </w:t>
      </w:r>
      <w:r w:rsidRPr="00563D0D">
        <w:rPr>
          <w:rFonts w:ascii="Times New Roman" w:hAnsi="Times New Roman"/>
          <w:noProof/>
          <w:sz w:val="24"/>
          <w:lang w:val="pl-PL"/>
        </w:rPr>
        <w:t>r.;</w:t>
      </w:r>
    </w:p>
    <w:p w14:paraId="744BCFE1" w14:textId="718AB359" w:rsidR="001F1738" w:rsidRPr="00563D0D" w:rsidRDefault="00750E41" w:rsidP="001F1738">
      <w:pPr>
        <w:numPr>
          <w:ilvl w:val="0"/>
          <w:numId w:val="35"/>
        </w:numPr>
        <w:spacing w:before="100" w:beforeAutospacing="1" w:after="100" w:afterAutospacing="1" w:line="240" w:lineRule="auto"/>
        <w:contextualSpacing/>
        <w:jc w:val="both"/>
        <w:rPr>
          <w:rFonts w:ascii="Times New Roman" w:eastAsia="Times New Roman" w:hAnsi="Times New Roman" w:cs="Times New Roman"/>
          <w:noProof/>
          <w:sz w:val="24"/>
          <w:lang w:val="pl-PL"/>
        </w:rPr>
      </w:pPr>
      <w:r w:rsidRPr="00563D0D">
        <w:rPr>
          <w:rFonts w:ascii="Times New Roman" w:hAnsi="Times New Roman"/>
          <w:noProof/>
          <w:sz w:val="24"/>
          <w:lang w:val="pl-PL"/>
        </w:rPr>
        <w:t>opublikowanie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gru</w:t>
      </w:r>
      <w:r w:rsidRPr="00563D0D">
        <w:rPr>
          <w:rFonts w:ascii="Times New Roman" w:hAnsi="Times New Roman"/>
          <w:noProof/>
          <w:sz w:val="24"/>
          <w:lang w:val="pl-PL"/>
        </w:rPr>
        <w:t>dniu 2022</w:t>
      </w:r>
      <w:r w:rsidR="00563D0D" w:rsidRPr="00563D0D">
        <w:rPr>
          <w:rFonts w:ascii="Times New Roman" w:hAnsi="Times New Roman"/>
          <w:noProof/>
          <w:sz w:val="24"/>
          <w:lang w:val="pl-PL"/>
        </w:rPr>
        <w:t> </w:t>
      </w:r>
      <w:r w:rsidRPr="00563D0D">
        <w:rPr>
          <w:rFonts w:ascii="Times New Roman" w:hAnsi="Times New Roman"/>
          <w:noProof/>
          <w:sz w:val="24"/>
          <w:lang w:val="pl-PL"/>
        </w:rPr>
        <w:t xml:space="preserve">r. zintegrowanego </w:t>
      </w:r>
      <w:r w:rsidRPr="00563D0D">
        <w:rPr>
          <w:rFonts w:ascii="Times New Roman" w:hAnsi="Times New Roman"/>
          <w:b/>
          <w:noProof/>
          <w:sz w:val="24"/>
          <w:lang w:val="pl-PL"/>
        </w:rPr>
        <w:t>sprawozdania</w:t>
      </w:r>
      <w:r w:rsidR="00563D0D" w:rsidRPr="00563D0D">
        <w:rPr>
          <w:rFonts w:ascii="Times New Roman" w:hAnsi="Times New Roman"/>
          <w:b/>
          <w:noProof/>
          <w:sz w:val="24"/>
          <w:lang w:val="pl-PL"/>
        </w:rPr>
        <w:t xml:space="preserve"> z</w:t>
      </w:r>
      <w:r w:rsidR="00563D0D">
        <w:rPr>
          <w:rFonts w:ascii="Times New Roman" w:hAnsi="Times New Roman"/>
          <w:b/>
          <w:noProof/>
          <w:sz w:val="24"/>
          <w:lang w:val="pl-PL"/>
        </w:rPr>
        <w:t> </w:t>
      </w:r>
      <w:r w:rsidR="00563D0D" w:rsidRPr="00563D0D">
        <w:rPr>
          <w:rFonts w:ascii="Times New Roman" w:hAnsi="Times New Roman"/>
          <w:b/>
          <w:noProof/>
          <w:sz w:val="24"/>
          <w:lang w:val="pl-PL"/>
        </w:rPr>
        <w:t>mon</w:t>
      </w:r>
      <w:r w:rsidRPr="00563D0D">
        <w:rPr>
          <w:rFonts w:ascii="Times New Roman" w:hAnsi="Times New Roman"/>
          <w:b/>
          <w:noProof/>
          <w:sz w:val="24"/>
          <w:lang w:val="pl-PL"/>
        </w:rPr>
        <w:t>itorowania realizacji</w:t>
      </w:r>
      <w:r w:rsidR="00563D0D" w:rsidRPr="00563D0D">
        <w:rPr>
          <w:rFonts w:ascii="Times New Roman" w:hAnsi="Times New Roman"/>
          <w:b/>
          <w:noProof/>
          <w:sz w:val="24"/>
          <w:lang w:val="pl-PL"/>
        </w:rPr>
        <w:t xml:space="preserve"> i</w:t>
      </w:r>
      <w:r w:rsidR="00563D0D">
        <w:rPr>
          <w:rFonts w:ascii="Times New Roman" w:hAnsi="Times New Roman"/>
          <w:b/>
          <w:noProof/>
          <w:sz w:val="24"/>
          <w:lang w:val="pl-PL"/>
        </w:rPr>
        <w:t> </w:t>
      </w:r>
      <w:r w:rsidR="00563D0D" w:rsidRPr="00563D0D">
        <w:rPr>
          <w:rFonts w:ascii="Times New Roman" w:hAnsi="Times New Roman"/>
          <w:b/>
          <w:noProof/>
          <w:sz w:val="24"/>
          <w:lang w:val="pl-PL"/>
        </w:rPr>
        <w:t>per</w:t>
      </w:r>
      <w:r w:rsidRPr="00563D0D">
        <w:rPr>
          <w:rFonts w:ascii="Times New Roman" w:hAnsi="Times New Roman"/>
          <w:b/>
          <w:noProof/>
          <w:sz w:val="24"/>
          <w:lang w:val="pl-PL"/>
        </w:rPr>
        <w:t>spektyw zerowego poziomu emisji zanieczyszczeń</w:t>
      </w:r>
      <w:r w:rsidRPr="00563D0D">
        <w:rPr>
          <w:rFonts w:ascii="Times New Roman" w:hAnsi="Times New Roman"/>
          <w:noProof/>
          <w:sz w:val="24"/>
          <w:lang w:val="pl-PL"/>
        </w:rPr>
        <w:t>, którego aktualizowane co pół roku dane będą regularnie zasilać rejestr nierówności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eciwdziałaniu nowotworom</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Atl</w:t>
      </w:r>
      <w:r w:rsidRPr="00563D0D">
        <w:rPr>
          <w:rFonts w:ascii="Times New Roman" w:hAnsi="Times New Roman"/>
          <w:noProof/>
          <w:sz w:val="24"/>
          <w:lang w:val="pl-PL"/>
        </w:rPr>
        <w:t>as demograficzny, aby lepiej identyfikować tendencje również</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odn</w:t>
      </w:r>
      <w:r w:rsidRPr="00563D0D">
        <w:rPr>
          <w:rFonts w:ascii="Times New Roman" w:hAnsi="Times New Roman"/>
          <w:noProof/>
          <w:sz w:val="24"/>
          <w:lang w:val="pl-PL"/>
        </w:rPr>
        <w:t>iesieniu do innych chorób związanych</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zan</w:t>
      </w:r>
      <w:r w:rsidRPr="00563D0D">
        <w:rPr>
          <w:rFonts w:ascii="Times New Roman" w:hAnsi="Times New Roman"/>
          <w:noProof/>
          <w:sz w:val="24"/>
          <w:lang w:val="pl-PL"/>
        </w:rPr>
        <w:t>ieczyszczeniem, umożliwić ludziom porównanie,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jak</w:t>
      </w:r>
      <w:r w:rsidRPr="00563D0D">
        <w:rPr>
          <w:rFonts w:ascii="Times New Roman" w:hAnsi="Times New Roman"/>
          <w:noProof/>
          <w:sz w:val="24"/>
          <w:lang w:val="pl-PL"/>
        </w:rPr>
        <w:t>im stopniu zanieczyszczenie wpływa na ich zdrowie we wszystkich regionach UE, oraz pomoże ukierunkować interwencje na szczeblu unijnym, krajowym</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lok</w:t>
      </w:r>
      <w:r w:rsidRPr="00563D0D">
        <w:rPr>
          <w:rFonts w:ascii="Times New Roman" w:hAnsi="Times New Roman"/>
          <w:noProof/>
          <w:sz w:val="24"/>
          <w:lang w:val="pl-PL"/>
        </w:rPr>
        <w:t>alnym</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zwiększenia opłacalności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got</w:t>
      </w:r>
      <w:r w:rsidRPr="00563D0D">
        <w:rPr>
          <w:rFonts w:ascii="Times New Roman" w:hAnsi="Times New Roman"/>
          <w:noProof/>
          <w:sz w:val="24"/>
          <w:lang w:val="pl-PL"/>
        </w:rPr>
        <w:t>owości.</w:t>
      </w:r>
    </w:p>
    <w:p w14:paraId="2F3739BA" w14:textId="0C6B0931" w:rsidR="00B554C1" w:rsidRPr="00563D0D" w:rsidRDefault="00B554C1" w:rsidP="00B554C1">
      <w:pPr>
        <w:spacing w:before="100" w:beforeAutospacing="1" w:after="100" w:afterAutospacing="1" w:line="240" w:lineRule="auto"/>
        <w:contextualSpacing/>
        <w:jc w:val="both"/>
        <w:rPr>
          <w:rFonts w:ascii="Times New Roman" w:eastAsia="Times New Roman" w:hAnsi="Times New Roman" w:cs="Times New Roman"/>
          <w:noProof/>
          <w:sz w:val="24"/>
          <w:lang w:val="pl-PL"/>
        </w:rPr>
      </w:pPr>
    </w:p>
    <w:p w14:paraId="71A9F75E" w14:textId="77EF5FA0" w:rsidR="00B554C1" w:rsidRPr="00563D0D" w:rsidRDefault="00B554C1" w:rsidP="00B554C1">
      <w:pPr>
        <w:spacing w:before="100" w:beforeAutospacing="1" w:after="100" w:afterAutospacing="1" w:line="240" w:lineRule="auto"/>
        <w:contextualSpacing/>
        <w:jc w:val="both"/>
        <w:rPr>
          <w:rFonts w:ascii="Times New Roman" w:eastAsia="Times New Roman" w:hAnsi="Times New Roman" w:cs="Times New Roman"/>
          <w:noProof/>
          <w:sz w:val="24"/>
          <w:lang w:val="pl-PL"/>
        </w:rPr>
      </w:pPr>
      <w:r w:rsidRPr="00563D0D">
        <w:rPr>
          <w:rFonts w:ascii="Times New Roman" w:hAnsi="Times New Roman"/>
          <w:noProof/>
          <w:sz w:val="24"/>
          <w:lang w:val="pl-PL"/>
        </w:rPr>
        <w:t>W ramach planu działania na rzecz eliminacji zanieczyszczeń Komisja podjęła dalsze działania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rozwiązania problemu zanieczyszczenia powietrza, wody</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gle</w:t>
      </w:r>
      <w:r w:rsidRPr="00563D0D">
        <w:rPr>
          <w:rFonts w:ascii="Times New Roman" w:hAnsi="Times New Roman"/>
          <w:noProof/>
          <w:sz w:val="24"/>
          <w:lang w:val="pl-PL"/>
        </w:rPr>
        <w:t>by. Pomimo znacznej poprawy jakości powietrza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ost</w:t>
      </w:r>
      <w:r w:rsidRPr="00563D0D">
        <w:rPr>
          <w:rFonts w:ascii="Times New Roman" w:hAnsi="Times New Roman"/>
          <w:noProof/>
          <w:sz w:val="24"/>
          <w:lang w:val="pl-PL"/>
        </w:rPr>
        <w:t>atnich dziesięcioleciach zanieczyszczenie powietrza nadal stanowi największe zagrożenie dla zdrowia związane ze środowiskiem, przy czym wiąże się</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znaczna umieralność (szacunkowo ponad 230 000 przedwczesnych zgonów w UE rocznie)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zac</w:t>
      </w:r>
      <w:r w:rsidRPr="00563D0D">
        <w:rPr>
          <w:rFonts w:ascii="Times New Roman" w:hAnsi="Times New Roman"/>
          <w:noProof/>
          <w:sz w:val="24"/>
          <w:lang w:val="pl-PL"/>
        </w:rPr>
        <w:t>horowalność</w:t>
      </w:r>
      <w:r w:rsidRPr="00563D0D">
        <w:rPr>
          <w:rFonts w:ascii="Times New Roman" w:eastAsia="Times New Roman" w:hAnsi="Times New Roman" w:cs="Times New Roman"/>
          <w:noProof/>
          <w:sz w:val="24"/>
          <w:vertAlign w:val="superscript"/>
          <w:lang w:val="pl-PL"/>
        </w:rPr>
        <w:footnoteReference w:id="56"/>
      </w:r>
      <w:r w:rsidRPr="00563D0D">
        <w:rPr>
          <w:rFonts w:ascii="Times New Roman" w:hAnsi="Times New Roman"/>
          <w:noProof/>
          <w:sz w:val="24"/>
          <w:lang w:val="pl-PL"/>
        </w:rPr>
        <w:t>. 26 października 2022</w:t>
      </w:r>
      <w:r w:rsidR="00563D0D" w:rsidRPr="00563D0D">
        <w:rPr>
          <w:rFonts w:ascii="Times New Roman" w:hAnsi="Times New Roman"/>
          <w:noProof/>
          <w:sz w:val="24"/>
          <w:lang w:val="pl-PL"/>
        </w:rPr>
        <w:t> </w:t>
      </w:r>
      <w:r w:rsidRPr="00563D0D">
        <w:rPr>
          <w:rFonts w:ascii="Times New Roman" w:hAnsi="Times New Roman"/>
          <w:noProof/>
          <w:sz w:val="24"/>
          <w:lang w:val="pl-PL"/>
        </w:rPr>
        <w:t>r. Komisja zaproponowała ściślejsze dostosowanie unijnych norm jakości powietrza do zaleceń WHO jako kluczowego elementu pakietu politycznego na rzecz eliminacji zanieczyszczeń</w:t>
      </w:r>
      <w:r w:rsidRPr="00563D0D">
        <w:rPr>
          <w:rFonts w:ascii="Times New Roman" w:eastAsia="Times New Roman" w:hAnsi="Times New Roman" w:cs="Times New Roman"/>
          <w:noProof/>
          <w:sz w:val="24"/>
          <w:vertAlign w:val="superscript"/>
          <w:lang w:val="pl-PL"/>
        </w:rPr>
        <w:footnoteReference w:id="57"/>
      </w:r>
      <w:r w:rsidRPr="00563D0D">
        <w:rPr>
          <w:rFonts w:ascii="Times New Roman" w:hAnsi="Times New Roman"/>
          <w:noProof/>
          <w:sz w:val="24"/>
          <w:lang w:val="pl-PL"/>
        </w:rPr>
        <w:t>.</w:t>
      </w:r>
    </w:p>
    <w:p w14:paraId="14605FEC" w14:textId="77777777" w:rsidR="00B554C1" w:rsidRPr="00563D0D" w:rsidRDefault="00B554C1" w:rsidP="00B554C1">
      <w:pPr>
        <w:spacing w:before="100" w:beforeAutospacing="1" w:after="100" w:afterAutospacing="1" w:line="240" w:lineRule="auto"/>
        <w:contextualSpacing/>
        <w:jc w:val="both"/>
        <w:rPr>
          <w:rFonts w:ascii="Times New Roman" w:eastAsia="Times New Roman" w:hAnsi="Times New Roman" w:cs="Times New Roman"/>
          <w:noProof/>
          <w:sz w:val="24"/>
          <w:lang w:val="pl-PL"/>
        </w:rPr>
      </w:pPr>
    </w:p>
    <w:p w14:paraId="2083D7F2" w14:textId="47ECD756" w:rsidR="00B554C1" w:rsidRPr="00563D0D" w:rsidRDefault="00B554C1" w:rsidP="00B554C1">
      <w:pPr>
        <w:spacing w:before="100" w:beforeAutospacing="1" w:after="100" w:afterAutospacing="1" w:line="240" w:lineRule="auto"/>
        <w:contextualSpacing/>
        <w:jc w:val="both"/>
        <w:rPr>
          <w:rFonts w:ascii="Times New Roman" w:eastAsia="Times New Roman" w:hAnsi="Times New Roman" w:cs="Times New Roman"/>
          <w:noProof/>
          <w:sz w:val="24"/>
          <w:lang w:val="pl-PL"/>
        </w:rPr>
      </w:pPr>
      <w:r w:rsidRPr="00563D0D">
        <w:rPr>
          <w:rFonts w:ascii="Times New Roman" w:hAnsi="Times New Roman"/>
          <w:noProof/>
          <w:sz w:val="24"/>
          <w:lang w:val="pl-PL"/>
        </w:rPr>
        <w:t>Oprócz wspomnianych już wniosków dotyczących oczyszczania ścieków</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zan</w:t>
      </w:r>
      <w:r w:rsidRPr="00563D0D">
        <w:rPr>
          <w:rFonts w:ascii="Times New Roman" w:hAnsi="Times New Roman"/>
          <w:noProof/>
          <w:sz w:val="24"/>
          <w:lang w:val="pl-PL"/>
        </w:rPr>
        <w:t>ieczyszczeń wody</w:t>
      </w:r>
      <w:r w:rsidRPr="00563D0D">
        <w:rPr>
          <w:rStyle w:val="FootnoteReference"/>
          <w:rFonts w:ascii="Times New Roman" w:eastAsia="Times New Roman" w:hAnsi="Times New Roman" w:cs="Times New Roman"/>
          <w:noProof/>
          <w:sz w:val="24"/>
          <w:lang w:val="pl-PL"/>
        </w:rPr>
        <w:footnoteReference w:id="58"/>
      </w:r>
      <w:r w:rsidRPr="00563D0D">
        <w:rPr>
          <w:rFonts w:ascii="Times New Roman" w:hAnsi="Times New Roman"/>
          <w:noProof/>
          <w:sz w:val="24"/>
          <w:lang w:val="pl-PL"/>
        </w:rPr>
        <w:t xml:space="preserve"> Komisja przyjęła również wnioski dotyczące przeglądu dyrektywy</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awie emisji przemysłowych</w:t>
      </w:r>
      <w:r w:rsidRPr="00563D0D">
        <w:rPr>
          <w:rStyle w:val="FootnoteReference"/>
          <w:rFonts w:ascii="Times New Roman" w:eastAsia="Times New Roman" w:hAnsi="Times New Roman" w:cs="Times New Roman"/>
          <w:noProof/>
          <w:sz w:val="24"/>
          <w:lang w:val="pl-PL"/>
        </w:rPr>
        <w:footnoteReference w:id="59"/>
      </w:r>
      <w:r w:rsidRPr="00563D0D">
        <w:rPr>
          <w:rFonts w:ascii="Times New Roman" w:hAnsi="Times New Roman"/>
          <w:noProof/>
          <w:sz w:val="24"/>
          <w:lang w:val="pl-PL"/>
        </w:rPr>
        <w:t>,</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tak</w:t>
      </w:r>
      <w:r w:rsidRPr="00563D0D">
        <w:rPr>
          <w:rFonts w:ascii="Times New Roman" w:hAnsi="Times New Roman"/>
          <w:noProof/>
          <w:sz w:val="24"/>
          <w:lang w:val="pl-PL"/>
        </w:rPr>
        <w:t>że nowej dyrektywy</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awie zdrowia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odp</w:t>
      </w:r>
      <w:r w:rsidRPr="00563D0D">
        <w:rPr>
          <w:rFonts w:ascii="Times New Roman" w:hAnsi="Times New Roman"/>
          <w:noProof/>
          <w:sz w:val="24"/>
          <w:lang w:val="pl-PL"/>
        </w:rPr>
        <w:t>orności gleb</w:t>
      </w:r>
      <w:r w:rsidRPr="00563D0D">
        <w:rPr>
          <w:rStyle w:val="FootnoteReference"/>
          <w:rFonts w:ascii="Times New Roman" w:eastAsia="Times New Roman" w:hAnsi="Times New Roman" w:cs="Times New Roman"/>
          <w:noProof/>
          <w:sz w:val="24"/>
          <w:lang w:val="pl-PL"/>
        </w:rPr>
        <w:footnoteReference w:id="60"/>
      </w:r>
      <w:r w:rsidRPr="00563D0D">
        <w:rPr>
          <w:rFonts w:ascii="Times New Roman" w:hAnsi="Times New Roman"/>
          <w:noProof/>
          <w:sz w:val="24"/>
          <w:lang w:val="pl-PL"/>
        </w:rPr>
        <w:t>, które mają przynieść wymierne korzyści dla zdrowia.</w:t>
      </w:r>
    </w:p>
    <w:p w14:paraId="014C4EEF" w14:textId="4378B8D2" w:rsidR="00B554C1" w:rsidRPr="00563D0D" w:rsidRDefault="00B554C1" w:rsidP="00B554C1">
      <w:pPr>
        <w:spacing w:before="100" w:beforeAutospacing="1" w:after="100" w:afterAutospacing="1" w:line="240" w:lineRule="auto"/>
        <w:contextualSpacing/>
        <w:jc w:val="both"/>
        <w:rPr>
          <w:rFonts w:ascii="Times New Roman" w:eastAsia="Times New Roman" w:hAnsi="Times New Roman" w:cs="Times New Roman"/>
          <w:noProof/>
          <w:sz w:val="24"/>
          <w:lang w:val="pl-PL"/>
        </w:rPr>
      </w:pPr>
    </w:p>
    <w:p w14:paraId="095728DC" w14:textId="77777777" w:rsidR="00B554C1" w:rsidRPr="00563D0D" w:rsidRDefault="00B554C1" w:rsidP="00BC2F11">
      <w:pPr>
        <w:spacing w:before="100" w:beforeAutospacing="1" w:after="100" w:afterAutospacing="1" w:line="240" w:lineRule="auto"/>
        <w:contextualSpacing/>
        <w:jc w:val="both"/>
        <w:rPr>
          <w:rFonts w:ascii="Times New Roman" w:eastAsia="Times New Roman" w:hAnsi="Times New Roman" w:cs="Times New Roman"/>
          <w:noProof/>
          <w:sz w:val="24"/>
          <w:lang w:val="pl-PL"/>
        </w:rPr>
      </w:pPr>
    </w:p>
    <w:p w14:paraId="232D4B68" w14:textId="1C273724" w:rsidR="001F1738" w:rsidRPr="00563D0D" w:rsidRDefault="001F1738" w:rsidP="001F1738">
      <w:pPr>
        <w:keepNext/>
        <w:keepLines/>
        <w:spacing w:before="100" w:beforeAutospacing="1" w:after="100" w:afterAutospacing="1" w:line="240" w:lineRule="auto"/>
        <w:jc w:val="both"/>
        <w:outlineLvl w:val="0"/>
        <w:rPr>
          <w:rFonts w:ascii="Times New Roman" w:eastAsiaTheme="majorEastAsia" w:hAnsi="Times New Roman" w:cs="Times New Roman"/>
          <w:noProof/>
          <w:sz w:val="24"/>
          <w:lang w:val="pl-PL"/>
        </w:rPr>
      </w:pPr>
      <w:bookmarkStart w:id="3" w:name="_Toc145428518"/>
      <w:bookmarkEnd w:id="3"/>
      <w:r w:rsidRPr="00563D0D">
        <w:rPr>
          <w:rFonts w:ascii="Times New Roman" w:hAnsi="Times New Roman"/>
          <w:noProof/>
          <w:sz w:val="24"/>
          <w:lang w:val="pl-PL"/>
        </w:rPr>
        <w:t>3. GOTOWOŚĆ</w:t>
      </w:r>
    </w:p>
    <w:p w14:paraId="1BB28E2E" w14:textId="15119772"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Gotowość – posiadanie struktur</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zdo</w:t>
      </w:r>
      <w:r w:rsidRPr="00563D0D">
        <w:rPr>
          <w:rFonts w:ascii="Times New Roman" w:hAnsi="Times New Roman"/>
          <w:noProof/>
          <w:sz w:val="24"/>
          <w:lang w:val="pl-PL"/>
        </w:rPr>
        <w:t>lności na szczeblu krajowym</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uni</w:t>
      </w:r>
      <w:r w:rsidRPr="00563D0D">
        <w:rPr>
          <w:rFonts w:ascii="Times New Roman" w:hAnsi="Times New Roman"/>
          <w:noProof/>
          <w:sz w:val="24"/>
          <w:lang w:val="pl-PL"/>
        </w:rPr>
        <w:t>jnym do skutecznego przewidywania zagrożeń zdrowia publicznego, reagowania na nie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odb</w:t>
      </w:r>
      <w:r w:rsidRPr="00563D0D">
        <w:rPr>
          <w:rFonts w:ascii="Times New Roman" w:hAnsi="Times New Roman"/>
          <w:noProof/>
          <w:sz w:val="24"/>
          <w:lang w:val="pl-PL"/>
        </w:rPr>
        <w:t xml:space="preserve">udowy po nich – jest zasadniczym elementem unijnych ram bezpieczeństwa zdrowotnego. Nieprzygotowanie to przygotowanie na porażkę. </w:t>
      </w:r>
    </w:p>
    <w:p w14:paraId="2C05336F" w14:textId="59241E9D" w:rsidR="001F1738" w:rsidRPr="00563D0D" w:rsidRDefault="001F1738" w:rsidP="001F1738">
      <w:pPr>
        <w:keepNext/>
        <w:keepLines/>
        <w:spacing w:before="100" w:beforeAutospacing="1" w:after="100" w:afterAutospacing="1" w:line="240" w:lineRule="auto"/>
        <w:jc w:val="both"/>
        <w:outlineLvl w:val="1"/>
        <w:rPr>
          <w:rFonts w:ascii="Times New Roman" w:eastAsia="Times New Roman" w:hAnsi="Times New Roman" w:cs="Times New Roman"/>
          <w:b/>
          <w:noProof/>
          <w:sz w:val="24"/>
          <w:lang w:val="pl-PL"/>
        </w:rPr>
      </w:pPr>
      <w:r w:rsidRPr="00563D0D">
        <w:rPr>
          <w:rFonts w:ascii="Times New Roman" w:hAnsi="Times New Roman"/>
          <w:b/>
          <w:noProof/>
          <w:sz w:val="24"/>
          <w:lang w:val="pl-PL"/>
        </w:rPr>
        <w:t>Gotowość, sprawozdawczość</w:t>
      </w:r>
      <w:r w:rsidR="00563D0D" w:rsidRPr="00563D0D">
        <w:rPr>
          <w:rFonts w:ascii="Times New Roman" w:hAnsi="Times New Roman"/>
          <w:b/>
          <w:noProof/>
          <w:sz w:val="24"/>
          <w:lang w:val="pl-PL"/>
        </w:rPr>
        <w:t xml:space="preserve"> i</w:t>
      </w:r>
      <w:r w:rsidR="00563D0D">
        <w:rPr>
          <w:rFonts w:ascii="Times New Roman" w:hAnsi="Times New Roman"/>
          <w:b/>
          <w:noProof/>
          <w:sz w:val="24"/>
          <w:lang w:val="pl-PL"/>
        </w:rPr>
        <w:t> </w:t>
      </w:r>
      <w:r w:rsidR="00563D0D" w:rsidRPr="00563D0D">
        <w:rPr>
          <w:rFonts w:ascii="Times New Roman" w:hAnsi="Times New Roman"/>
          <w:b/>
          <w:noProof/>
          <w:sz w:val="24"/>
          <w:lang w:val="pl-PL"/>
        </w:rPr>
        <w:t>oce</w:t>
      </w:r>
      <w:r w:rsidRPr="00563D0D">
        <w:rPr>
          <w:rFonts w:ascii="Times New Roman" w:hAnsi="Times New Roman"/>
          <w:b/>
          <w:noProof/>
          <w:sz w:val="24"/>
          <w:lang w:val="pl-PL"/>
        </w:rPr>
        <w:t>na: bardziej rygorystyczne wymogi</w:t>
      </w:r>
    </w:p>
    <w:p w14:paraId="5E92F00E" w14:textId="3C686C3C" w:rsidR="001F1738" w:rsidRPr="00563D0D" w:rsidRDefault="00AE1ECF"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Niedawne przyjęcie rozporządzenia (UE) 2022/2371 umożliwiło wzmocnienie działań</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gotowości na szczeblu UE, zarówno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pań</w:t>
      </w:r>
      <w:r w:rsidRPr="00563D0D">
        <w:rPr>
          <w:rFonts w:ascii="Times New Roman" w:hAnsi="Times New Roman"/>
          <w:noProof/>
          <w:sz w:val="24"/>
          <w:lang w:val="pl-PL"/>
        </w:rPr>
        <w:t>stwach członkowskich, jak</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mię</w:t>
      </w:r>
      <w:r w:rsidRPr="00563D0D">
        <w:rPr>
          <w:rFonts w:ascii="Times New Roman" w:hAnsi="Times New Roman"/>
          <w:noProof/>
          <w:sz w:val="24"/>
          <w:lang w:val="pl-PL"/>
        </w:rPr>
        <w:t>dzy nimi</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szc</w:t>
      </w:r>
      <w:r w:rsidRPr="00563D0D">
        <w:rPr>
          <w:rFonts w:ascii="Times New Roman" w:hAnsi="Times New Roman"/>
          <w:noProof/>
          <w:sz w:val="24"/>
          <w:lang w:val="pl-PL"/>
        </w:rPr>
        <w:t>zególności rozporządzenie wymaga rozszerzonej sprawozdawczości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krajowego planowania gotowości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wpr</w:t>
      </w:r>
      <w:r w:rsidRPr="00563D0D">
        <w:rPr>
          <w:rFonts w:ascii="Times New Roman" w:hAnsi="Times New Roman"/>
          <w:noProof/>
          <w:sz w:val="24"/>
          <w:lang w:val="pl-PL"/>
        </w:rPr>
        <w:t>owadza możliwość unijnego przeglądu</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oce</w:t>
      </w:r>
      <w:r w:rsidRPr="00563D0D">
        <w:rPr>
          <w:rFonts w:ascii="Times New Roman" w:hAnsi="Times New Roman"/>
          <w:noProof/>
          <w:sz w:val="24"/>
          <w:lang w:val="pl-PL"/>
        </w:rPr>
        <w:t>ny krajowych zdolności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gotowości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zapewnienia ich odpowiedniego utrzymania. Wprowadzono nowy cykl sprawozdawczy: rozszerzona sprawozdawczość dla Komisji na temat zdolności państw członkowskich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gotowości,</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nas</w:t>
      </w:r>
      <w:r w:rsidRPr="00563D0D">
        <w:rPr>
          <w:rFonts w:ascii="Times New Roman" w:hAnsi="Times New Roman"/>
          <w:noProof/>
          <w:sz w:val="24"/>
          <w:lang w:val="pl-PL"/>
        </w:rPr>
        <w:t>tępnie oceny przeprowadzane przez ECDC oraz sprawozdanie Komisji dla Parlamentu Europejskiego</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Rad</w:t>
      </w:r>
      <w:r w:rsidRPr="00563D0D">
        <w:rPr>
          <w:rFonts w:ascii="Times New Roman" w:hAnsi="Times New Roman"/>
          <w:noProof/>
          <w:sz w:val="24"/>
          <w:lang w:val="pl-PL"/>
        </w:rPr>
        <w:t>y. Pierwszy akt wykonawczy na podstawie rozporządzenia przyjęto we wrześniu 2023</w:t>
      </w:r>
      <w:r w:rsidR="00563D0D" w:rsidRPr="00563D0D">
        <w:rPr>
          <w:rFonts w:ascii="Times New Roman" w:hAnsi="Times New Roman"/>
          <w:noProof/>
          <w:sz w:val="24"/>
          <w:lang w:val="pl-PL"/>
        </w:rPr>
        <w:t> </w:t>
      </w:r>
      <w:r w:rsidRPr="00563D0D">
        <w:rPr>
          <w:rFonts w:ascii="Times New Roman" w:hAnsi="Times New Roman"/>
          <w:noProof/>
          <w:sz w:val="24"/>
          <w:lang w:val="pl-PL"/>
        </w:rPr>
        <w:t>r.</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zaw</w:t>
      </w:r>
      <w:r w:rsidRPr="00563D0D">
        <w:rPr>
          <w:rFonts w:ascii="Times New Roman" w:hAnsi="Times New Roman"/>
          <w:noProof/>
          <w:sz w:val="24"/>
          <w:lang w:val="pl-PL"/>
        </w:rPr>
        <w:t>arto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nim</w:t>
      </w:r>
      <w:r w:rsidRPr="00563D0D">
        <w:rPr>
          <w:rFonts w:ascii="Times New Roman" w:hAnsi="Times New Roman"/>
          <w:noProof/>
          <w:sz w:val="24"/>
          <w:lang w:val="pl-PL"/>
        </w:rPr>
        <w:t xml:space="preserve"> specyfikacje dotyczące sprawozdawczości państw członkowskich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planowania zapobiegania, gotowości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gowania na szczeblu krajowym</w:t>
      </w:r>
      <w:r w:rsidRPr="00563D0D">
        <w:rPr>
          <w:rFonts w:ascii="Times New Roman" w:eastAsia="Times New Roman" w:hAnsi="Times New Roman" w:cs="Times New Roman"/>
          <w:noProof/>
          <w:sz w:val="24"/>
          <w:vertAlign w:val="superscript"/>
          <w:lang w:val="pl-PL"/>
        </w:rPr>
        <w:footnoteReference w:id="61"/>
      </w:r>
      <w:r w:rsidRPr="00563D0D">
        <w:rPr>
          <w:rFonts w:ascii="Times New Roman" w:hAnsi="Times New Roman"/>
          <w:noProof/>
          <w:sz w:val="24"/>
          <w:lang w:val="pl-PL"/>
        </w:rPr>
        <w:t xml:space="preserve">. </w:t>
      </w:r>
    </w:p>
    <w:p w14:paraId="461034E8" w14:textId="35DBD83E"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Rozporządzeniem wprowadza się również unijny plan gotowości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gowania, który zostanie opracowany</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2</w:t>
      </w:r>
      <w:r w:rsidRPr="00563D0D">
        <w:rPr>
          <w:rFonts w:ascii="Times New Roman" w:hAnsi="Times New Roman"/>
          <w:noProof/>
          <w:sz w:val="24"/>
          <w:lang w:val="pl-PL"/>
        </w:rPr>
        <w:t>024</w:t>
      </w:r>
      <w:r w:rsidR="00563D0D" w:rsidRPr="00563D0D">
        <w:rPr>
          <w:rFonts w:ascii="Times New Roman" w:hAnsi="Times New Roman"/>
          <w:noProof/>
          <w:sz w:val="24"/>
          <w:lang w:val="pl-PL"/>
        </w:rPr>
        <w:t> </w:t>
      </w:r>
      <w:r w:rsidRPr="00563D0D">
        <w:rPr>
          <w:rFonts w:ascii="Times New Roman" w:hAnsi="Times New Roman"/>
          <w:noProof/>
          <w:sz w:val="24"/>
          <w:lang w:val="pl-PL"/>
        </w:rPr>
        <w:t>r. Plan obejmie prace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dzi</w:t>
      </w:r>
      <w:r w:rsidRPr="00563D0D">
        <w:rPr>
          <w:rFonts w:ascii="Times New Roman" w:hAnsi="Times New Roman"/>
          <w:noProof/>
          <w:sz w:val="24"/>
          <w:lang w:val="pl-PL"/>
        </w:rPr>
        <w:t>ałania związane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got</w:t>
      </w:r>
      <w:r w:rsidRPr="00563D0D">
        <w:rPr>
          <w:rFonts w:ascii="Times New Roman" w:hAnsi="Times New Roman"/>
          <w:noProof/>
          <w:sz w:val="24"/>
          <w:lang w:val="pl-PL"/>
        </w:rPr>
        <w:t>owością</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gowaniem</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dzi</w:t>
      </w:r>
      <w:r w:rsidRPr="00563D0D">
        <w:rPr>
          <w:rFonts w:ascii="Times New Roman" w:hAnsi="Times New Roman"/>
          <w:noProof/>
          <w:sz w:val="24"/>
          <w:lang w:val="pl-PL"/>
        </w:rPr>
        <w:t>edzinie zdrowia we wszystkich służbach Komisji, Radzie oraz agencjach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org</w:t>
      </w:r>
      <w:r w:rsidRPr="00563D0D">
        <w:rPr>
          <w:rFonts w:ascii="Times New Roman" w:hAnsi="Times New Roman"/>
          <w:noProof/>
          <w:sz w:val="24"/>
          <w:lang w:val="pl-PL"/>
        </w:rPr>
        <w:t>anach UE,</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tak</w:t>
      </w:r>
      <w:r w:rsidRPr="00563D0D">
        <w:rPr>
          <w:rFonts w:ascii="Times New Roman" w:hAnsi="Times New Roman"/>
          <w:noProof/>
          <w:sz w:val="24"/>
          <w:lang w:val="pl-PL"/>
        </w:rPr>
        <w:t>że interakcje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koo</w:t>
      </w:r>
      <w:r w:rsidRPr="00563D0D">
        <w:rPr>
          <w:rFonts w:ascii="Times New Roman" w:hAnsi="Times New Roman"/>
          <w:noProof/>
          <w:sz w:val="24"/>
          <w:lang w:val="pl-PL"/>
        </w:rPr>
        <w:t>rdynację</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odp</w:t>
      </w:r>
      <w:r w:rsidRPr="00563D0D">
        <w:rPr>
          <w:rFonts w:ascii="Times New Roman" w:hAnsi="Times New Roman"/>
          <w:noProof/>
          <w:sz w:val="24"/>
          <w:lang w:val="pl-PL"/>
        </w:rPr>
        <w:t xml:space="preserve">owiednimi organami międzynarodowymi. </w:t>
      </w:r>
    </w:p>
    <w:p w14:paraId="76CA90BA" w14:textId="76770CDB"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W ścisłej współpracy</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pań</w:t>
      </w:r>
      <w:r w:rsidRPr="00563D0D">
        <w:rPr>
          <w:rFonts w:ascii="Times New Roman" w:hAnsi="Times New Roman"/>
          <w:noProof/>
          <w:sz w:val="24"/>
          <w:lang w:val="pl-PL"/>
        </w:rPr>
        <w:t>stwami członkowskimi Komisja wzmacnia również planowanie stanu zagrożenia zdrowia za pośrednictwem Unijnego Mechanizmu Ochrony Ludności (UMOL)</w:t>
      </w:r>
      <w:r w:rsidRPr="00563D0D">
        <w:rPr>
          <w:rFonts w:ascii="Times New Roman" w:eastAsia="Times New Roman" w:hAnsi="Times New Roman" w:cs="Times New Roman"/>
          <w:noProof/>
          <w:sz w:val="24"/>
          <w:vertAlign w:val="superscript"/>
          <w:lang w:val="pl-PL"/>
        </w:rPr>
        <w:footnoteReference w:id="62"/>
      </w:r>
      <w:r w:rsidRPr="00563D0D">
        <w:rPr>
          <w:rFonts w:ascii="Times New Roman" w:hAnsi="Times New Roman"/>
          <w:noProof/>
          <w:sz w:val="24"/>
          <w:lang w:val="pl-PL"/>
        </w:rPr>
        <w:t>. Odbywa się to poprzez opracowanie konkretnych planów gotowości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gowania na wypadek stanu zagrożenia zdrowia, takich jak plan gotowości na wypadek oparzeń</w:t>
      </w:r>
      <w:r w:rsidRPr="00563D0D">
        <w:rPr>
          <w:rFonts w:ascii="Times New Roman" w:eastAsia="Times New Roman" w:hAnsi="Times New Roman" w:cs="Times New Roman"/>
          <w:noProof/>
          <w:sz w:val="24"/>
          <w:vertAlign w:val="superscript"/>
          <w:lang w:val="pl-PL"/>
        </w:rPr>
        <w:footnoteReference w:id="63"/>
      </w:r>
      <w:r w:rsidRPr="00563D0D">
        <w:rPr>
          <w:rFonts w:ascii="Times New Roman" w:hAnsi="Times New Roman"/>
          <w:noProof/>
          <w:sz w:val="24"/>
          <w:lang w:val="pl-PL"/>
        </w:rPr>
        <w:t>,</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któ</w:t>
      </w:r>
      <w:r w:rsidRPr="00563D0D">
        <w:rPr>
          <w:rFonts w:ascii="Times New Roman" w:hAnsi="Times New Roman"/>
          <w:noProof/>
          <w:sz w:val="24"/>
          <w:lang w:val="pl-PL"/>
        </w:rPr>
        <w:t>rym określono wytyczne dotyczące ewakuacji medycznej, które należy stosować</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ypadku katastrofy</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udz</w:t>
      </w:r>
      <w:r w:rsidRPr="00563D0D">
        <w:rPr>
          <w:rFonts w:ascii="Times New Roman" w:hAnsi="Times New Roman"/>
          <w:noProof/>
          <w:sz w:val="24"/>
          <w:lang w:val="pl-PL"/>
        </w:rPr>
        <w:t>iałem pacjentów, którzy ucierpieli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ypadku masowych oparzeń. Ponadto Komisja opracowuje,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UMOL</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w:t>
      </w:r>
      <w:r w:rsidR="00563D0D">
        <w:rPr>
          <w:rFonts w:ascii="Times New Roman" w:hAnsi="Times New Roman"/>
          <w:noProof/>
          <w:sz w:val="24"/>
          <w:lang w:val="pl-PL"/>
        </w:rPr>
        <w:t> </w:t>
      </w:r>
      <w:r w:rsidR="00563D0D" w:rsidRPr="00563D0D">
        <w:rPr>
          <w:rFonts w:ascii="Times New Roman" w:hAnsi="Times New Roman"/>
          <w:noProof/>
          <w:sz w:val="24"/>
          <w:lang w:val="pl-PL"/>
        </w:rPr>
        <w:t>ści</w:t>
      </w:r>
      <w:r w:rsidRPr="00563D0D">
        <w:rPr>
          <w:rFonts w:ascii="Times New Roman" w:hAnsi="Times New Roman"/>
          <w:noProof/>
          <w:sz w:val="24"/>
          <w:lang w:val="pl-PL"/>
        </w:rPr>
        <w:t>słej współpracy</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pań</w:t>
      </w:r>
      <w:r w:rsidRPr="00563D0D">
        <w:rPr>
          <w:rFonts w:ascii="Times New Roman" w:hAnsi="Times New Roman"/>
          <w:noProof/>
          <w:sz w:val="24"/>
          <w:lang w:val="pl-PL"/>
        </w:rPr>
        <w:t>stwami członkowskimi, dwa ogólnounijne scenariusze dotyczące klęsk</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kat</w:t>
      </w:r>
      <w:r w:rsidRPr="00563D0D">
        <w:rPr>
          <w:rFonts w:ascii="Times New Roman" w:hAnsi="Times New Roman"/>
          <w:noProof/>
          <w:sz w:val="24"/>
          <w:lang w:val="pl-PL"/>
        </w:rPr>
        <w:t>astrof koncentrujące się wyłącznie na scenariuszu stanu zagrożenia zdrowia, takiego jak pandemia lub katastrofa jądrowa</w:t>
      </w:r>
      <w:r w:rsidRPr="00563D0D">
        <w:rPr>
          <w:rStyle w:val="FootnoteReference"/>
          <w:rFonts w:ascii="Times New Roman" w:eastAsia="Times New Roman" w:hAnsi="Times New Roman" w:cs="Times New Roman"/>
          <w:noProof/>
          <w:sz w:val="24"/>
          <w:lang w:val="pl-PL"/>
        </w:rPr>
        <w:footnoteReference w:id="64"/>
      </w:r>
      <w:r w:rsidRPr="00563D0D">
        <w:rPr>
          <w:rFonts w:ascii="Times New Roman" w:hAnsi="Times New Roman"/>
          <w:noProof/>
          <w:sz w:val="24"/>
          <w:lang w:val="pl-PL"/>
        </w:rPr>
        <w:t xml:space="preserve">. </w:t>
      </w:r>
    </w:p>
    <w:p w14:paraId="541F37B7" w14:textId="0221164E" w:rsidR="001F1738" w:rsidRPr="00563D0D" w:rsidRDefault="007D4B14"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W swoim komunikacie przyjętym</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kon</w:t>
      </w:r>
      <w:r w:rsidRPr="00563D0D">
        <w:rPr>
          <w:rFonts w:ascii="Times New Roman" w:hAnsi="Times New Roman"/>
          <w:noProof/>
          <w:sz w:val="24"/>
          <w:lang w:val="pl-PL"/>
        </w:rPr>
        <w:t>tekście europejskiego semestru 2023 pt. „Roczna analiza zrównoważonego wzrostu gospodarczego 2023”</w:t>
      </w:r>
      <w:r w:rsidRPr="00563D0D">
        <w:rPr>
          <w:rFonts w:ascii="Times New Roman" w:eastAsia="Times New Roman" w:hAnsi="Times New Roman" w:cs="Times New Roman"/>
          <w:noProof/>
          <w:sz w:val="24"/>
          <w:vertAlign w:val="superscript"/>
          <w:lang w:val="pl-PL"/>
        </w:rPr>
        <w:footnoteReference w:id="65"/>
      </w:r>
      <w:r w:rsidRPr="00563D0D">
        <w:rPr>
          <w:rFonts w:ascii="Times New Roman" w:hAnsi="Times New Roman"/>
          <w:noProof/>
          <w:sz w:val="24"/>
          <w:lang w:val="pl-PL"/>
        </w:rPr>
        <w:t xml:space="preserve"> Komisja podkreśliła również potrzebę zwiększenia czujności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inw</w:t>
      </w:r>
      <w:r w:rsidRPr="00563D0D">
        <w:rPr>
          <w:rFonts w:ascii="Times New Roman" w:hAnsi="Times New Roman"/>
          <w:noProof/>
          <w:sz w:val="24"/>
          <w:lang w:val="pl-PL"/>
        </w:rPr>
        <w:t>estycji we wszystkich państwach członkowskich, aby zapewnić odpowiednie przygotowanie systemów opieki zdrowotnej do radzenia sobie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yszłymi kryzysami zdrowotnymi.</w:t>
      </w:r>
    </w:p>
    <w:p w14:paraId="4CA942F8" w14:textId="265FBDFC"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b/>
          <w:noProof/>
          <w:sz w:val="24"/>
          <w:lang w:val="pl-PL"/>
        </w:rPr>
      </w:pPr>
      <w:r w:rsidRPr="00563D0D">
        <w:rPr>
          <w:rFonts w:ascii="Times New Roman" w:hAnsi="Times New Roman"/>
          <w:b/>
          <w:noProof/>
          <w:sz w:val="24"/>
          <w:lang w:val="pl-PL"/>
        </w:rPr>
        <w:t>Działania szkoleniowe</w:t>
      </w:r>
      <w:r w:rsidR="00563D0D" w:rsidRPr="00563D0D">
        <w:rPr>
          <w:rFonts w:ascii="Times New Roman" w:hAnsi="Times New Roman"/>
          <w:b/>
          <w:noProof/>
          <w:sz w:val="24"/>
          <w:lang w:val="pl-PL"/>
        </w:rPr>
        <w:t xml:space="preserve"> i</w:t>
      </w:r>
      <w:r w:rsidR="00563D0D">
        <w:rPr>
          <w:rFonts w:ascii="Times New Roman" w:hAnsi="Times New Roman"/>
          <w:b/>
          <w:noProof/>
          <w:sz w:val="24"/>
          <w:lang w:val="pl-PL"/>
        </w:rPr>
        <w:t> </w:t>
      </w:r>
      <w:r w:rsidR="00563D0D" w:rsidRPr="00563D0D">
        <w:rPr>
          <w:rFonts w:ascii="Times New Roman" w:hAnsi="Times New Roman"/>
          <w:b/>
          <w:noProof/>
          <w:sz w:val="24"/>
          <w:lang w:val="pl-PL"/>
        </w:rPr>
        <w:t>bad</w:t>
      </w:r>
      <w:r w:rsidRPr="00563D0D">
        <w:rPr>
          <w:rFonts w:ascii="Times New Roman" w:hAnsi="Times New Roman"/>
          <w:b/>
          <w:noProof/>
          <w:sz w:val="24"/>
          <w:lang w:val="pl-PL"/>
        </w:rPr>
        <w:t>anie zdolności</w:t>
      </w:r>
      <w:r w:rsidR="00563D0D" w:rsidRPr="00563D0D">
        <w:rPr>
          <w:rFonts w:ascii="Times New Roman" w:hAnsi="Times New Roman"/>
          <w:b/>
          <w:noProof/>
          <w:sz w:val="24"/>
          <w:lang w:val="pl-PL"/>
        </w:rPr>
        <w:t xml:space="preserve"> w</w:t>
      </w:r>
      <w:r w:rsidR="00563D0D">
        <w:rPr>
          <w:rFonts w:ascii="Times New Roman" w:hAnsi="Times New Roman"/>
          <w:b/>
          <w:noProof/>
          <w:sz w:val="24"/>
          <w:lang w:val="pl-PL"/>
        </w:rPr>
        <w:t> </w:t>
      </w:r>
      <w:r w:rsidR="00563D0D" w:rsidRPr="00563D0D">
        <w:rPr>
          <w:rFonts w:ascii="Times New Roman" w:hAnsi="Times New Roman"/>
          <w:b/>
          <w:noProof/>
          <w:sz w:val="24"/>
          <w:lang w:val="pl-PL"/>
        </w:rPr>
        <w:t>zak</w:t>
      </w:r>
      <w:r w:rsidRPr="00563D0D">
        <w:rPr>
          <w:rFonts w:ascii="Times New Roman" w:hAnsi="Times New Roman"/>
          <w:b/>
          <w:noProof/>
          <w:sz w:val="24"/>
          <w:lang w:val="pl-PL"/>
        </w:rPr>
        <w:t>resie gotowości</w:t>
      </w:r>
    </w:p>
    <w:p w14:paraId="2814D6B6" w14:textId="2140FCA2" w:rsidR="00003506" w:rsidRPr="00563D0D"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center"/>
        <w:rPr>
          <w:rFonts w:ascii="Times New Roman" w:eastAsia="Times New Roman" w:hAnsi="Times New Roman" w:cs="Times New Roman"/>
          <w:b/>
          <w:noProof/>
          <w:sz w:val="24"/>
          <w:lang w:val="pl-PL"/>
        </w:rPr>
      </w:pPr>
      <w:r w:rsidRPr="00563D0D">
        <w:rPr>
          <w:rFonts w:ascii="Times New Roman" w:hAnsi="Times New Roman"/>
          <w:b/>
          <w:noProof/>
          <w:sz w:val="24"/>
          <w:lang w:val="pl-PL"/>
        </w:rPr>
        <w:t>Działania szkoleniowe</w:t>
      </w:r>
      <w:r w:rsidR="00563D0D" w:rsidRPr="00563D0D">
        <w:rPr>
          <w:rFonts w:ascii="Times New Roman" w:hAnsi="Times New Roman"/>
          <w:b/>
          <w:noProof/>
          <w:sz w:val="24"/>
          <w:lang w:val="pl-PL"/>
        </w:rPr>
        <w:t xml:space="preserve"> i</w:t>
      </w:r>
      <w:r w:rsidR="00563D0D">
        <w:rPr>
          <w:rFonts w:ascii="Times New Roman" w:hAnsi="Times New Roman"/>
          <w:b/>
          <w:noProof/>
          <w:sz w:val="24"/>
          <w:lang w:val="pl-PL"/>
        </w:rPr>
        <w:t> </w:t>
      </w:r>
      <w:r w:rsidR="00563D0D" w:rsidRPr="00563D0D">
        <w:rPr>
          <w:rFonts w:ascii="Times New Roman" w:hAnsi="Times New Roman"/>
          <w:b/>
          <w:noProof/>
          <w:sz w:val="24"/>
          <w:lang w:val="pl-PL"/>
        </w:rPr>
        <w:t>bud</w:t>
      </w:r>
      <w:r w:rsidRPr="00563D0D">
        <w:rPr>
          <w:rFonts w:ascii="Times New Roman" w:hAnsi="Times New Roman"/>
          <w:b/>
          <w:noProof/>
          <w:sz w:val="24"/>
          <w:lang w:val="pl-PL"/>
        </w:rPr>
        <w:t>owanie zdolności</w:t>
      </w:r>
    </w:p>
    <w:p w14:paraId="427DCCDF" w14:textId="0CA59250" w:rsidR="00003506" w:rsidRPr="00563D0D"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Unijny projekt na rzecz gotowości, finansowany</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Programu UE dla zdrowia, ma na celu opracowanie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lizację programu szkoleniowego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3</w:t>
      </w:r>
      <w:r w:rsidRPr="00563D0D">
        <w:rPr>
          <w:rFonts w:ascii="Times New Roman" w:hAnsi="Times New Roman"/>
          <w:noProof/>
          <w:sz w:val="24"/>
          <w:lang w:val="pl-PL"/>
        </w:rPr>
        <w:t>0 krajach. Pomoże on zwiększyć gotowość na wypadek sytuacji kryzysowej</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zdo</w:t>
      </w:r>
      <w:r w:rsidRPr="00563D0D">
        <w:rPr>
          <w:rFonts w:ascii="Times New Roman" w:hAnsi="Times New Roman"/>
          <w:noProof/>
          <w:sz w:val="24"/>
          <w:lang w:val="pl-PL"/>
        </w:rPr>
        <w:t>lności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nadzoru oraz ułatwi międzypaństwową współpracę ekspertów</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sek</w:t>
      </w:r>
      <w:r w:rsidRPr="00563D0D">
        <w:rPr>
          <w:rFonts w:ascii="Times New Roman" w:hAnsi="Times New Roman"/>
          <w:noProof/>
          <w:sz w:val="24"/>
          <w:lang w:val="pl-PL"/>
        </w:rPr>
        <w:t>tora zdrowia publicznego</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inn</w:t>
      </w:r>
      <w:r w:rsidRPr="00563D0D">
        <w:rPr>
          <w:rFonts w:ascii="Times New Roman" w:hAnsi="Times New Roman"/>
          <w:noProof/>
          <w:sz w:val="24"/>
          <w:lang w:val="pl-PL"/>
        </w:rPr>
        <w:t>ych sektorów.</w:t>
      </w:r>
    </w:p>
    <w:p w14:paraId="6F296F29" w14:textId="20E5E919" w:rsidR="00003506" w:rsidRPr="00563D0D"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Ponadto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UMOL zorganizowano szereg ćwiczeń</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ter</w:t>
      </w:r>
      <w:r w:rsidRPr="00563D0D">
        <w:rPr>
          <w:rFonts w:ascii="Times New Roman" w:hAnsi="Times New Roman"/>
          <w:noProof/>
          <w:sz w:val="24"/>
          <w:lang w:val="pl-PL"/>
        </w:rPr>
        <w:t>enie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sprawdzenia koordynacji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int</w:t>
      </w:r>
      <w:r w:rsidRPr="00563D0D">
        <w:rPr>
          <w:rFonts w:ascii="Times New Roman" w:hAnsi="Times New Roman"/>
          <w:noProof/>
          <w:sz w:val="24"/>
          <w:lang w:val="pl-PL"/>
        </w:rPr>
        <w:t xml:space="preserve">eroperacyjności zespołów ratownictwa medycznego. </w:t>
      </w:r>
    </w:p>
    <w:p w14:paraId="239A642B" w14:textId="04F2686A" w:rsidR="00003506" w:rsidRPr="00563D0D"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Trwają także prace nad programem szkoleniowym</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zarządzania medycznymi środkami przeciwdziałania potrzebnymi do zapewnienia gotowości na poważne transgraniczne zagrożenia zdrowia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gowania na nie. Działania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szkoleń wstępnych koncentrują się na gromadzeniu zapasów, zamówieniach publicznych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ogr</w:t>
      </w:r>
      <w:r w:rsidRPr="00563D0D">
        <w:rPr>
          <w:rFonts w:ascii="Times New Roman" w:hAnsi="Times New Roman"/>
          <w:noProof/>
          <w:sz w:val="24"/>
          <w:lang w:val="pl-PL"/>
        </w:rPr>
        <w:t>aniczeniach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łań</w:t>
      </w:r>
      <w:r w:rsidRPr="00563D0D">
        <w:rPr>
          <w:rFonts w:ascii="Times New Roman" w:hAnsi="Times New Roman"/>
          <w:noProof/>
          <w:sz w:val="24"/>
          <w:lang w:val="pl-PL"/>
        </w:rPr>
        <w:t>cuchu dostaw. Będą one uzupełniane ćwiczeniami symulacyjnymi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przetestowania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pop</w:t>
      </w:r>
      <w:r w:rsidRPr="00563D0D">
        <w:rPr>
          <w:rFonts w:ascii="Times New Roman" w:hAnsi="Times New Roman"/>
          <w:noProof/>
          <w:sz w:val="24"/>
          <w:lang w:val="pl-PL"/>
        </w:rPr>
        <w:t>rawy ram koordynacji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gowania.</w:t>
      </w:r>
    </w:p>
    <w:p w14:paraId="147AF59E" w14:textId="40592C19"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Szkolenia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bud</w:t>
      </w:r>
      <w:r w:rsidRPr="00563D0D">
        <w:rPr>
          <w:rFonts w:ascii="Times New Roman" w:hAnsi="Times New Roman"/>
          <w:noProof/>
          <w:sz w:val="24"/>
          <w:lang w:val="pl-PL"/>
        </w:rPr>
        <w:t>owanie zdolności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pań</w:t>
      </w:r>
      <w:r w:rsidRPr="00563D0D">
        <w:rPr>
          <w:rFonts w:ascii="Times New Roman" w:hAnsi="Times New Roman"/>
          <w:noProof/>
          <w:sz w:val="24"/>
          <w:lang w:val="pl-PL"/>
        </w:rPr>
        <w:t>stwach członkowskich to aspekty gotowości,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któ</w:t>
      </w:r>
      <w:r w:rsidRPr="00563D0D">
        <w:rPr>
          <w:rFonts w:ascii="Times New Roman" w:hAnsi="Times New Roman"/>
          <w:noProof/>
          <w:sz w:val="24"/>
          <w:lang w:val="pl-PL"/>
        </w:rPr>
        <w:t>rych UE może wnieść wartość dodaną. Działania szkoleniowe są organizowane przez Komisję</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ści</w:t>
      </w:r>
      <w:r w:rsidRPr="00563D0D">
        <w:rPr>
          <w:rFonts w:ascii="Times New Roman" w:hAnsi="Times New Roman"/>
          <w:noProof/>
          <w:sz w:val="24"/>
          <w:lang w:val="pl-PL"/>
        </w:rPr>
        <w:t>słej współpracy</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odp</w:t>
      </w:r>
      <w:r w:rsidRPr="00563D0D">
        <w:rPr>
          <w:rFonts w:ascii="Times New Roman" w:hAnsi="Times New Roman"/>
          <w:noProof/>
          <w:sz w:val="24"/>
          <w:lang w:val="pl-PL"/>
        </w:rPr>
        <w:t>owiednimi agencjami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org</w:t>
      </w:r>
      <w:r w:rsidRPr="00563D0D">
        <w:rPr>
          <w:rFonts w:ascii="Times New Roman" w:hAnsi="Times New Roman"/>
          <w:noProof/>
          <w:sz w:val="24"/>
          <w:lang w:val="pl-PL"/>
        </w:rPr>
        <w:t>anami UE,</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tak</w:t>
      </w:r>
      <w:r w:rsidRPr="00563D0D">
        <w:rPr>
          <w:rFonts w:ascii="Times New Roman" w:hAnsi="Times New Roman"/>
          <w:noProof/>
          <w:sz w:val="24"/>
          <w:lang w:val="pl-PL"/>
        </w:rPr>
        <w:t>że organizacjami zawodowymi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org</w:t>
      </w:r>
      <w:r w:rsidRPr="00563D0D">
        <w:rPr>
          <w:rFonts w:ascii="Times New Roman" w:hAnsi="Times New Roman"/>
          <w:noProof/>
          <w:sz w:val="24"/>
          <w:lang w:val="pl-PL"/>
        </w:rPr>
        <w:t>anizacjami pacjentów. Działania te zapewniają pracownikom służby zdrowia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zdr</w:t>
      </w:r>
      <w:r w:rsidRPr="00563D0D">
        <w:rPr>
          <w:rFonts w:ascii="Times New Roman" w:hAnsi="Times New Roman"/>
          <w:noProof/>
          <w:sz w:val="24"/>
          <w:lang w:val="pl-PL"/>
        </w:rPr>
        <w:t>owia publicznego wiedzę</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umi</w:t>
      </w:r>
      <w:r w:rsidRPr="00563D0D">
        <w:rPr>
          <w:rFonts w:ascii="Times New Roman" w:hAnsi="Times New Roman"/>
          <w:noProof/>
          <w:sz w:val="24"/>
          <w:lang w:val="pl-PL"/>
        </w:rPr>
        <w:t>ejętności niezbędne do opracowania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wdr</w:t>
      </w:r>
      <w:r w:rsidRPr="00563D0D">
        <w:rPr>
          <w:rFonts w:ascii="Times New Roman" w:hAnsi="Times New Roman"/>
          <w:noProof/>
          <w:sz w:val="24"/>
          <w:lang w:val="pl-PL"/>
        </w:rPr>
        <w:t>ożenia krajowych planów zapobiegania, gotowości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 xml:space="preserve">gowania. </w:t>
      </w:r>
    </w:p>
    <w:p w14:paraId="4C2D79DA" w14:textId="1CAABF76"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Ponadto badanie odporności systemów opieki zdrowotnej na konkretne scenariusze wstrząsów (np. pandemie, fale upałów</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nie</w:t>
      </w:r>
      <w:r w:rsidRPr="00563D0D">
        <w:rPr>
          <w:rFonts w:ascii="Times New Roman" w:hAnsi="Times New Roman"/>
          <w:noProof/>
          <w:sz w:val="24"/>
          <w:lang w:val="pl-PL"/>
        </w:rPr>
        <w:t xml:space="preserve">dobór pracowników służby zdrowia) może poprawić gotowość na wypadek sytuacji kryzysowej. </w:t>
      </w:r>
      <w:r w:rsidRPr="00563D0D">
        <w:rPr>
          <w:rFonts w:ascii="Times New Roman" w:hAnsi="Times New Roman"/>
          <w:noProof/>
          <w:sz w:val="24"/>
          <w:shd w:val="clear" w:color="auto" w:fill="FFFFFF"/>
          <w:lang w:val="pl-PL"/>
        </w:rPr>
        <w:t>Organizacja Współpracy Gospodarczej</w:t>
      </w:r>
      <w:r w:rsidR="00563D0D" w:rsidRPr="00563D0D">
        <w:rPr>
          <w:rFonts w:ascii="Times New Roman" w:hAnsi="Times New Roman"/>
          <w:noProof/>
          <w:sz w:val="24"/>
          <w:shd w:val="clear" w:color="auto" w:fill="FFFFFF"/>
          <w:lang w:val="pl-PL"/>
        </w:rPr>
        <w:t xml:space="preserve"> i</w:t>
      </w:r>
      <w:r w:rsidR="00563D0D">
        <w:rPr>
          <w:rFonts w:ascii="Times New Roman" w:hAnsi="Times New Roman"/>
          <w:noProof/>
          <w:sz w:val="24"/>
          <w:shd w:val="clear" w:color="auto" w:fill="FFFFFF"/>
          <w:lang w:val="pl-PL"/>
        </w:rPr>
        <w:t> </w:t>
      </w:r>
      <w:r w:rsidR="00563D0D" w:rsidRPr="00563D0D">
        <w:rPr>
          <w:rFonts w:ascii="Times New Roman" w:hAnsi="Times New Roman"/>
          <w:noProof/>
          <w:sz w:val="24"/>
          <w:shd w:val="clear" w:color="auto" w:fill="FFFFFF"/>
          <w:lang w:val="pl-PL"/>
        </w:rPr>
        <w:t>Roz</w:t>
      </w:r>
      <w:r w:rsidRPr="00563D0D">
        <w:rPr>
          <w:rFonts w:ascii="Times New Roman" w:hAnsi="Times New Roman"/>
          <w:noProof/>
          <w:sz w:val="24"/>
          <w:shd w:val="clear" w:color="auto" w:fill="FFFFFF"/>
          <w:lang w:val="pl-PL"/>
        </w:rPr>
        <w:t>woju</w:t>
      </w:r>
      <w:r w:rsidRPr="00563D0D">
        <w:rPr>
          <w:rFonts w:ascii="Times New Roman" w:hAnsi="Times New Roman"/>
          <w:noProof/>
          <w:sz w:val="24"/>
          <w:lang w:val="pl-PL"/>
        </w:rPr>
        <w:t xml:space="preserve"> (OECD) oraz Europejskie Obserwatorium Polityki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Sys</w:t>
      </w:r>
      <w:r w:rsidRPr="00563D0D">
        <w:rPr>
          <w:rFonts w:ascii="Times New Roman" w:hAnsi="Times New Roman"/>
          <w:noProof/>
          <w:sz w:val="24"/>
          <w:lang w:val="pl-PL"/>
        </w:rPr>
        <w:t>temów Opieki Zdrowotnej, przy wsparciu ze strony Programu UE dla zdrowia, opracowują metodykę badania odporności systemów opieki zdrowotnej. Metodyka ta umożliwi państwom członkowskim regularny przegląd gotowości na kryzysy zdrowotne oraz sprawdzenie odporności ich systemów opieki zdrowotnej na określone scenariusze dużej presji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dłu</w:t>
      </w:r>
      <w:r w:rsidRPr="00563D0D">
        <w:rPr>
          <w:rFonts w:ascii="Times New Roman" w:hAnsi="Times New Roman"/>
          <w:noProof/>
          <w:sz w:val="24"/>
          <w:lang w:val="pl-PL"/>
        </w:rPr>
        <w:t>goterminowe wyzwania strukturalne.</w:t>
      </w:r>
    </w:p>
    <w:p w14:paraId="07A876AB" w14:textId="5F51C1C1"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b/>
          <w:noProof/>
          <w:sz w:val="24"/>
          <w:lang w:val="pl-PL"/>
        </w:rPr>
      </w:pPr>
      <w:bookmarkStart w:id="4" w:name="_Hlk150863393"/>
      <w:r w:rsidRPr="00563D0D">
        <w:rPr>
          <w:rFonts w:ascii="Times New Roman" w:hAnsi="Times New Roman"/>
          <w:b/>
          <w:noProof/>
          <w:sz w:val="24"/>
          <w:lang w:val="pl-PL"/>
        </w:rPr>
        <w:t>Gotowość</w:t>
      </w:r>
      <w:r w:rsidR="00563D0D" w:rsidRPr="00563D0D">
        <w:rPr>
          <w:rFonts w:ascii="Times New Roman" w:hAnsi="Times New Roman"/>
          <w:b/>
          <w:noProof/>
          <w:sz w:val="24"/>
          <w:lang w:val="pl-PL"/>
        </w:rPr>
        <w:t xml:space="preserve"> w</w:t>
      </w:r>
      <w:r w:rsidR="00563D0D">
        <w:rPr>
          <w:rFonts w:ascii="Times New Roman" w:hAnsi="Times New Roman"/>
          <w:b/>
          <w:noProof/>
          <w:sz w:val="24"/>
          <w:lang w:val="pl-PL"/>
        </w:rPr>
        <w:t> </w:t>
      </w:r>
      <w:r w:rsidR="00563D0D" w:rsidRPr="00563D0D">
        <w:rPr>
          <w:rFonts w:ascii="Times New Roman" w:hAnsi="Times New Roman"/>
          <w:b/>
          <w:noProof/>
          <w:sz w:val="24"/>
          <w:lang w:val="pl-PL"/>
        </w:rPr>
        <w:t>zak</w:t>
      </w:r>
      <w:r w:rsidRPr="00563D0D">
        <w:rPr>
          <w:rFonts w:ascii="Times New Roman" w:hAnsi="Times New Roman"/>
          <w:b/>
          <w:noProof/>
          <w:sz w:val="24"/>
          <w:lang w:val="pl-PL"/>
        </w:rPr>
        <w:t>resie medycznych środków przeciwdziałania</w:t>
      </w:r>
    </w:p>
    <w:p w14:paraId="4609C750" w14:textId="7165F3B2" w:rsidR="00854E12" w:rsidRPr="00563D0D" w:rsidRDefault="00854E12" w:rsidP="003836E7">
      <w:pPr>
        <w:spacing w:before="100" w:beforeAutospacing="1" w:after="100" w:afterAutospacing="1" w:line="240" w:lineRule="auto"/>
        <w:jc w:val="both"/>
        <w:rPr>
          <w:rFonts w:ascii="Times New Roman" w:hAnsi="Times New Roman" w:cs="Times New Roman"/>
          <w:noProof/>
          <w:sz w:val="24"/>
          <w:lang w:val="pl-PL"/>
        </w:rPr>
      </w:pPr>
      <w:r w:rsidRPr="00563D0D">
        <w:rPr>
          <w:rFonts w:ascii="Times New Roman" w:hAnsi="Times New Roman"/>
          <w:noProof/>
          <w:sz w:val="24"/>
          <w:lang w:val="pl-PL"/>
        </w:rPr>
        <w:t>Gotowość</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medycznych środków przeciwdziałania wiąże się ze strategiczną koordynacją ich opracowywania</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lip</w:t>
      </w:r>
      <w:r w:rsidRPr="00563D0D">
        <w:rPr>
          <w:rFonts w:ascii="Times New Roman" w:hAnsi="Times New Roman"/>
          <w:noProof/>
          <w:sz w:val="24"/>
          <w:lang w:val="pl-PL"/>
        </w:rPr>
        <w:t>cu 2022</w:t>
      </w:r>
      <w:r w:rsidR="00563D0D" w:rsidRPr="00563D0D">
        <w:rPr>
          <w:rFonts w:ascii="Times New Roman" w:hAnsi="Times New Roman"/>
          <w:noProof/>
          <w:sz w:val="24"/>
          <w:lang w:val="pl-PL"/>
        </w:rPr>
        <w:t> </w:t>
      </w:r>
      <w:r w:rsidRPr="00563D0D">
        <w:rPr>
          <w:rFonts w:ascii="Times New Roman" w:hAnsi="Times New Roman"/>
          <w:noProof/>
          <w:sz w:val="24"/>
          <w:lang w:val="pl-PL"/>
        </w:rPr>
        <w:t>r. Komisja zakończyła pierwszą procedurę ustalania priorytetów</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zidentyfikowania trzech najważniejszych zagrożeń dla zdrowia,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ypadku których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raz</w:t>
      </w:r>
      <w:r w:rsidRPr="00563D0D">
        <w:rPr>
          <w:rFonts w:ascii="Times New Roman" w:hAnsi="Times New Roman"/>
          <w:noProof/>
          <w:sz w:val="24"/>
          <w:lang w:val="pl-PL"/>
        </w:rPr>
        <w:t>ie potrzeby powinny być dostępne medyczne środki przeciwdziałania, które wymagają koordynacji środków na szczeblu UE: 1) patogeny</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wys</w:t>
      </w:r>
      <w:r w:rsidRPr="00563D0D">
        <w:rPr>
          <w:rFonts w:ascii="Times New Roman" w:hAnsi="Times New Roman"/>
          <w:noProof/>
          <w:sz w:val="24"/>
          <w:lang w:val="pl-PL"/>
        </w:rPr>
        <w:t>okim potencjale pandemicznym; 2) zagrożenia chemiczne, biologiczne, radiologiczne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jąd</w:t>
      </w:r>
      <w:r w:rsidRPr="00563D0D">
        <w:rPr>
          <w:rFonts w:ascii="Times New Roman" w:hAnsi="Times New Roman"/>
          <w:noProof/>
          <w:sz w:val="24"/>
          <w:lang w:val="pl-PL"/>
        </w:rPr>
        <w:t>rowe; oraz 3) zagrożenia wynikające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opo</w:t>
      </w:r>
      <w:r w:rsidRPr="00563D0D">
        <w:rPr>
          <w:rFonts w:ascii="Times New Roman" w:hAnsi="Times New Roman"/>
          <w:noProof/>
          <w:sz w:val="24"/>
          <w:lang w:val="pl-PL"/>
        </w:rPr>
        <w:t>rności na środki przeciwdrobnoustrojowe</w:t>
      </w:r>
      <w:r w:rsidRPr="00563D0D">
        <w:rPr>
          <w:rFonts w:ascii="Times New Roman" w:eastAsia="Times New Roman" w:hAnsi="Times New Roman" w:cs="Times New Roman"/>
          <w:noProof/>
          <w:sz w:val="24"/>
          <w:vertAlign w:val="superscript"/>
          <w:lang w:val="pl-PL"/>
        </w:rPr>
        <w:footnoteReference w:id="66"/>
      </w:r>
      <w:r w:rsidRPr="00563D0D">
        <w:rPr>
          <w:rFonts w:ascii="Times New Roman" w:hAnsi="Times New Roman"/>
          <w:noProof/>
          <w:sz w:val="24"/>
          <w:lang w:val="pl-PL"/>
        </w:rPr>
        <w:t>. Zadaniem HERA Komisji jest przyczynianie się do opracowywania, produkcji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dys</w:t>
      </w:r>
      <w:r w:rsidRPr="00563D0D">
        <w:rPr>
          <w:rFonts w:ascii="Times New Roman" w:hAnsi="Times New Roman"/>
          <w:noProof/>
          <w:sz w:val="24"/>
          <w:lang w:val="pl-PL"/>
        </w:rPr>
        <w:t>trybucji medycznych środków przeciwdziałania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sta</w:t>
      </w:r>
      <w:r w:rsidRPr="00563D0D">
        <w:rPr>
          <w:rFonts w:ascii="Times New Roman" w:hAnsi="Times New Roman"/>
          <w:noProof/>
          <w:sz w:val="24"/>
          <w:lang w:val="pl-PL"/>
        </w:rPr>
        <w:t>nach zagrożenia. Zapewnienie sprawnego przebiegu procedur zamówień publicznych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gro</w:t>
      </w:r>
      <w:r w:rsidRPr="00563D0D">
        <w:rPr>
          <w:rFonts w:ascii="Times New Roman" w:hAnsi="Times New Roman"/>
          <w:noProof/>
          <w:sz w:val="24"/>
          <w:lang w:val="pl-PL"/>
        </w:rPr>
        <w:t xml:space="preserve">madzenia zapasów medycznych środków przeciwdziałania pozostaje kluczowym elementem dobrej strategii gotowości. </w:t>
      </w:r>
    </w:p>
    <w:bookmarkEnd w:id="4"/>
    <w:p w14:paraId="07A423B4" w14:textId="0A9E75DF" w:rsidR="007D720E"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Umowa dotycząca wspólnego udzielania zamówień na medyczne środki przeciwdziałania („umowa dotycząca wspólnego udzielania zamówień”), którą zawarto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2</w:t>
      </w:r>
      <w:r w:rsidRPr="00563D0D">
        <w:rPr>
          <w:rFonts w:ascii="Times New Roman" w:hAnsi="Times New Roman"/>
          <w:noProof/>
          <w:sz w:val="24"/>
          <w:lang w:val="pl-PL"/>
        </w:rPr>
        <w:t>014</w:t>
      </w:r>
      <w:r w:rsidR="00563D0D" w:rsidRPr="00563D0D">
        <w:rPr>
          <w:rFonts w:ascii="Times New Roman" w:hAnsi="Times New Roman"/>
          <w:noProof/>
          <w:sz w:val="24"/>
          <w:lang w:val="pl-PL"/>
        </w:rPr>
        <w:t> </w:t>
      </w:r>
      <w:r w:rsidRPr="00563D0D">
        <w:rPr>
          <w:rFonts w:ascii="Times New Roman" w:hAnsi="Times New Roman"/>
          <w:noProof/>
          <w:sz w:val="24"/>
          <w:lang w:val="pl-PL"/>
        </w:rPr>
        <w:t>r.</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odp</w:t>
      </w:r>
      <w:r w:rsidRPr="00563D0D">
        <w:rPr>
          <w:rFonts w:ascii="Times New Roman" w:hAnsi="Times New Roman"/>
          <w:noProof/>
          <w:sz w:val="24"/>
          <w:lang w:val="pl-PL"/>
        </w:rPr>
        <w:t>owiedzi na pandemię grypy A/H1N1, odegrała zasadniczą rolę</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pom</w:t>
      </w:r>
      <w:r w:rsidRPr="00563D0D">
        <w:rPr>
          <w:rFonts w:ascii="Times New Roman" w:hAnsi="Times New Roman"/>
          <w:noProof/>
          <w:sz w:val="24"/>
          <w:lang w:val="pl-PL"/>
        </w:rPr>
        <w:t>aganiu państwom członkowskim</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uzy</w:t>
      </w:r>
      <w:r w:rsidRPr="00563D0D">
        <w:rPr>
          <w:rFonts w:ascii="Times New Roman" w:hAnsi="Times New Roman"/>
          <w:noProof/>
          <w:sz w:val="24"/>
          <w:lang w:val="pl-PL"/>
        </w:rPr>
        <w:t>skaniu kluczowych produktów</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mat</w:t>
      </w:r>
      <w:r w:rsidRPr="00563D0D">
        <w:rPr>
          <w:rFonts w:ascii="Times New Roman" w:hAnsi="Times New Roman"/>
          <w:noProof/>
          <w:sz w:val="24"/>
          <w:lang w:val="pl-PL"/>
        </w:rPr>
        <w:t>eriałów medycznych podczas pandemii COVID-19 (środki terapeutyczne przeciwko COVID-19, środki ochrony indywidualnej, respiratory, materiały do szczepień, urządzenia testujące itp.) za pośrednictwem ponad 200 umów</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łąc</w:t>
      </w:r>
      <w:r w:rsidRPr="00563D0D">
        <w:rPr>
          <w:rFonts w:ascii="Times New Roman" w:hAnsi="Times New Roman"/>
          <w:noProof/>
          <w:sz w:val="24"/>
          <w:lang w:val="pl-PL"/>
        </w:rPr>
        <w:t>znej wartości przekraczającej 12 mld EUR</w:t>
      </w:r>
      <w:r w:rsidRPr="00563D0D">
        <w:rPr>
          <w:rFonts w:ascii="Times New Roman" w:eastAsia="Times New Roman" w:hAnsi="Times New Roman" w:cs="Times New Roman"/>
          <w:noProof/>
          <w:sz w:val="24"/>
          <w:vertAlign w:val="superscript"/>
          <w:lang w:val="pl-PL"/>
        </w:rPr>
        <w:footnoteReference w:id="67"/>
      </w:r>
      <w:r w:rsidRPr="00563D0D">
        <w:rPr>
          <w:rFonts w:ascii="Times New Roman" w:hAnsi="Times New Roman"/>
          <w:noProof/>
          <w:sz w:val="24"/>
          <w:lang w:val="pl-PL"/>
        </w:rPr>
        <w:t>. Komisja, państwa członkowskie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inn</w:t>
      </w:r>
      <w:r w:rsidRPr="00563D0D">
        <w:rPr>
          <w:rFonts w:ascii="Times New Roman" w:hAnsi="Times New Roman"/>
          <w:noProof/>
          <w:sz w:val="24"/>
          <w:lang w:val="pl-PL"/>
        </w:rPr>
        <w:t>e państwa będące sygnatariuszami umowy dotyczącej wspólnego udzielania zamówień wykorzystują obecnie te doświadczenia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współpracy</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sta</w:t>
      </w:r>
      <w:r w:rsidRPr="00563D0D">
        <w:rPr>
          <w:rFonts w:ascii="Times New Roman" w:hAnsi="Times New Roman"/>
          <w:noProof/>
          <w:sz w:val="24"/>
          <w:lang w:val="pl-PL"/>
        </w:rPr>
        <w:t>nach zagrożenia, aby</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wię</w:t>
      </w:r>
      <w:r w:rsidRPr="00563D0D">
        <w:rPr>
          <w:rFonts w:ascii="Times New Roman" w:hAnsi="Times New Roman"/>
          <w:noProof/>
          <w:sz w:val="24"/>
          <w:lang w:val="pl-PL"/>
        </w:rPr>
        <w:t>kszym stopniu wykorzystywać zapisy tej umowy do celów gotowości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gowania. Jak zapowiedziano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kom</w:t>
      </w:r>
      <w:r w:rsidRPr="00563D0D">
        <w:rPr>
          <w:rFonts w:ascii="Times New Roman" w:hAnsi="Times New Roman"/>
          <w:noProof/>
          <w:sz w:val="24"/>
          <w:lang w:val="pl-PL"/>
        </w:rPr>
        <w:t>unikacie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awie rozwiązania problemu niedoborów leków w UE, Komisja rozważy również wykorzystanie wspólnych zamówień na antybiotyki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lec</w:t>
      </w:r>
      <w:r w:rsidRPr="00563D0D">
        <w:rPr>
          <w:rFonts w:ascii="Times New Roman" w:hAnsi="Times New Roman"/>
          <w:noProof/>
          <w:sz w:val="24"/>
          <w:lang w:val="pl-PL"/>
        </w:rPr>
        <w:t>zenie chorób spowodowanych przez wirusy wywołujące choroby układu oddechowego przed zimą 2024/2025.</w:t>
      </w:r>
      <w:r w:rsidR="00563D0D" w:rsidRPr="00563D0D">
        <w:rPr>
          <w:rFonts w:ascii="Times New Roman" w:hAnsi="Times New Roman"/>
          <w:noProof/>
          <w:sz w:val="24"/>
          <w:lang w:val="pl-PL"/>
        </w:rPr>
        <w:t xml:space="preserve"> </w:t>
      </w:r>
    </w:p>
    <w:p w14:paraId="56E801D1" w14:textId="77777777" w:rsidR="00003506" w:rsidRPr="00563D0D"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center"/>
        <w:rPr>
          <w:rFonts w:ascii="Times New Roman" w:eastAsia="Times New Roman" w:hAnsi="Times New Roman" w:cs="Times New Roman"/>
          <w:b/>
          <w:noProof/>
          <w:sz w:val="24"/>
          <w:lang w:val="pl-PL"/>
        </w:rPr>
      </w:pPr>
      <w:r w:rsidRPr="00563D0D">
        <w:rPr>
          <w:rFonts w:ascii="Times New Roman" w:hAnsi="Times New Roman"/>
          <w:b/>
          <w:noProof/>
          <w:sz w:val="24"/>
          <w:lang w:val="pl-PL"/>
        </w:rPr>
        <w:t>Wspólne zamówienia na szczepionki przeciwko grypie</w:t>
      </w:r>
    </w:p>
    <w:p w14:paraId="1D9A9C2C" w14:textId="65DCD313" w:rsidR="00003506" w:rsidRPr="00563D0D"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15 państw-sygnatariuszy umowy dotyczącej wspólnego udzielania zamówień uczestniczy we wspólnych zamówieniach na szczepionki przeciwko wysoce zjadliwej grypie. Celem jest szczepienie podatnych na zagrożenia grup docelowych, takich jak pracownicy gospodarstw rolnych, aby zapobiec przenoszeniu wirusa</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pta</w:t>
      </w:r>
      <w:r w:rsidRPr="00563D0D">
        <w:rPr>
          <w:rFonts w:ascii="Times New Roman" w:hAnsi="Times New Roman"/>
          <w:noProof/>
          <w:sz w:val="24"/>
          <w:lang w:val="pl-PL"/>
        </w:rPr>
        <w:t>ków</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zwi</w:t>
      </w:r>
      <w:r w:rsidRPr="00563D0D">
        <w:rPr>
          <w:rFonts w:ascii="Times New Roman" w:hAnsi="Times New Roman"/>
          <w:noProof/>
          <w:sz w:val="24"/>
          <w:lang w:val="pl-PL"/>
        </w:rPr>
        <w:t>erząt na ludzi,</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samym pojawianiu się potencjalnych ognisk grypy ptaków. </w:t>
      </w:r>
    </w:p>
    <w:p w14:paraId="4F661761" w14:textId="0B2BFAF7" w:rsidR="00003506" w:rsidRPr="00563D0D"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Umowa dotycząca wspólnego udzielania zamówień pozostaje również ważnym instrumentem wspólnego rezerwowania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zab</w:t>
      </w:r>
      <w:r w:rsidRPr="00563D0D">
        <w:rPr>
          <w:rFonts w:ascii="Times New Roman" w:hAnsi="Times New Roman"/>
          <w:noProof/>
          <w:sz w:val="24"/>
          <w:lang w:val="pl-PL"/>
        </w:rPr>
        <w:t>ezpieczenia szczepionek na wypadek pandemii grypy</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zapewnienia gotowości. Obecnie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umowy dotyczącej wspólnego udzielania zamówień zawarto dwa obowiązujące porozumienia dotyczące takich szczepionek. Do końca 2024</w:t>
      </w:r>
      <w:r w:rsidR="00563D0D" w:rsidRPr="00563D0D">
        <w:rPr>
          <w:rFonts w:ascii="Times New Roman" w:hAnsi="Times New Roman"/>
          <w:noProof/>
          <w:sz w:val="24"/>
          <w:lang w:val="pl-PL"/>
        </w:rPr>
        <w:t> </w:t>
      </w:r>
      <w:r w:rsidRPr="00563D0D">
        <w:rPr>
          <w:rFonts w:ascii="Times New Roman" w:hAnsi="Times New Roman"/>
          <w:noProof/>
          <w:sz w:val="24"/>
          <w:lang w:val="pl-PL"/>
        </w:rPr>
        <w:t>r. Komisja przeprowadzi konsultacje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pań</w:t>
      </w:r>
      <w:r w:rsidRPr="00563D0D">
        <w:rPr>
          <w:rFonts w:ascii="Times New Roman" w:hAnsi="Times New Roman"/>
          <w:noProof/>
          <w:sz w:val="24"/>
          <w:lang w:val="pl-PL"/>
        </w:rPr>
        <w:t>stwami członkowskimi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inn</w:t>
      </w:r>
      <w:r w:rsidRPr="00563D0D">
        <w:rPr>
          <w:rFonts w:ascii="Times New Roman" w:hAnsi="Times New Roman"/>
          <w:noProof/>
          <w:sz w:val="24"/>
          <w:lang w:val="pl-PL"/>
        </w:rPr>
        <w:t>ymi państwami-sygnatariuszami umowy dotyczącej wspólnego udzielania zamówień</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awie ich gotowości do przedłużenia takich porozumień</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 xml:space="preserve">ach tej umowy. </w:t>
      </w:r>
    </w:p>
    <w:p w14:paraId="64DD22C2" w14:textId="0412CB49"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Umowa dotycząca wspólnego udzielania zamówień może być wykorzystywana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spo</w:t>
      </w:r>
      <w:r w:rsidRPr="00563D0D">
        <w:rPr>
          <w:rFonts w:ascii="Times New Roman" w:hAnsi="Times New Roman"/>
          <w:noProof/>
          <w:sz w:val="24"/>
          <w:lang w:val="pl-PL"/>
        </w:rPr>
        <w:t>sób elastyczny,</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samym odgrywać ważną rolę</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zap</w:t>
      </w:r>
      <w:r w:rsidRPr="00563D0D">
        <w:rPr>
          <w:rFonts w:ascii="Times New Roman" w:hAnsi="Times New Roman"/>
          <w:noProof/>
          <w:sz w:val="24"/>
          <w:lang w:val="pl-PL"/>
        </w:rPr>
        <w:t>ewnianiu gotowości na kryzysy zdrowotne, ułatwiając Komisji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pań</w:t>
      </w:r>
      <w:r w:rsidRPr="00563D0D">
        <w:rPr>
          <w:rFonts w:ascii="Times New Roman" w:hAnsi="Times New Roman"/>
          <w:noProof/>
          <w:sz w:val="24"/>
          <w:lang w:val="pl-PL"/>
        </w:rPr>
        <w:t>stwom członkowskim dostęp do medycznych środków przeciwdziałania mających znaczenie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gotowości,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do nowych lub rzadkich medycznych środków przeciwdziałania. </w:t>
      </w:r>
    </w:p>
    <w:p w14:paraId="128B65DD" w14:textId="21746BDF"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Rozporządzeniem (UE) 2022/2371 wprowadzono udoskonalone ramy wspólnego udzielania zamówień,</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możliwość zaproponowania przez Komisję klauzuli wyłączności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odn</w:t>
      </w:r>
      <w:r w:rsidRPr="00563D0D">
        <w:rPr>
          <w:rFonts w:ascii="Times New Roman" w:hAnsi="Times New Roman"/>
          <w:noProof/>
          <w:sz w:val="24"/>
          <w:lang w:val="pl-PL"/>
        </w:rPr>
        <w:t>iesieniu do konkretnego wspólnego zamówienia (tj. gdy państwa zdecydują się uczestniczyć we wspólnym zamówieniu UE, muszą zaniechać przeprowadzenia równoległych krajowych zamówień na ten sam medyczny środek przeciwdziałania)</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uza</w:t>
      </w:r>
      <w:r w:rsidRPr="00563D0D">
        <w:rPr>
          <w:rFonts w:ascii="Times New Roman" w:hAnsi="Times New Roman"/>
          <w:noProof/>
          <w:sz w:val="24"/>
          <w:lang w:val="pl-PL"/>
        </w:rPr>
        <w:t>sadnionych przypadkach (i jeżeli wszystkie uczestniczące państwa członkowskie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inn</w:t>
      </w:r>
      <w:r w:rsidRPr="00563D0D">
        <w:rPr>
          <w:rFonts w:ascii="Times New Roman" w:hAnsi="Times New Roman"/>
          <w:noProof/>
          <w:sz w:val="24"/>
          <w:lang w:val="pl-PL"/>
        </w:rPr>
        <w:t>e państwa będące sygnatariuszami umowy dotyczącej wspólnego udzielania zamówień wyrażą na to zgodę) stosowanie klauzuli wyłączności powinno wzmocnić pozycję negocjacyjną UE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bez</w:t>
      </w:r>
      <w:r w:rsidRPr="00563D0D">
        <w:rPr>
          <w:rFonts w:ascii="Times New Roman" w:hAnsi="Times New Roman"/>
          <w:noProof/>
          <w:sz w:val="24"/>
          <w:lang w:val="pl-PL"/>
        </w:rPr>
        <w:t>pieczeństwo dostaw. Komisja będzie musiała przeprowadzić wstępną ocenę wspólnych zamówień, wskazując ogólne przewidywane warunki wspólnego postępowania</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udz</w:t>
      </w:r>
      <w:r w:rsidRPr="00563D0D">
        <w:rPr>
          <w:rFonts w:ascii="Times New Roman" w:hAnsi="Times New Roman"/>
          <w:noProof/>
          <w:sz w:val="24"/>
          <w:lang w:val="pl-PL"/>
        </w:rPr>
        <w:t>ielenie zamówienia,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tym w</w:t>
      </w:r>
      <w:r w:rsidR="00563D0D">
        <w:rPr>
          <w:rFonts w:ascii="Times New Roman" w:hAnsi="Times New Roman"/>
          <w:noProof/>
          <w:sz w:val="24"/>
          <w:lang w:val="pl-PL"/>
        </w:rPr>
        <w:t> </w:t>
      </w:r>
      <w:r w:rsidR="00563D0D" w:rsidRPr="00563D0D">
        <w:rPr>
          <w:rFonts w:ascii="Times New Roman" w:hAnsi="Times New Roman"/>
          <w:noProof/>
          <w:sz w:val="24"/>
          <w:lang w:val="pl-PL"/>
        </w:rPr>
        <w:t>odn</w:t>
      </w:r>
      <w:r w:rsidRPr="00563D0D">
        <w:rPr>
          <w:rFonts w:ascii="Times New Roman" w:hAnsi="Times New Roman"/>
          <w:noProof/>
          <w:sz w:val="24"/>
          <w:lang w:val="pl-PL"/>
        </w:rPr>
        <w:t>iesieniu do ewentualnej potrzeby wyłączności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pos</w:t>
      </w:r>
      <w:r w:rsidRPr="00563D0D">
        <w:rPr>
          <w:rFonts w:ascii="Times New Roman" w:hAnsi="Times New Roman"/>
          <w:noProof/>
          <w:sz w:val="24"/>
          <w:lang w:val="pl-PL"/>
        </w:rPr>
        <w:t xml:space="preserve">zczególnych przypadkach. </w:t>
      </w:r>
    </w:p>
    <w:p w14:paraId="0345EE17" w14:textId="6B9312DE" w:rsidR="00003506" w:rsidRPr="00563D0D" w:rsidRDefault="001F1738" w:rsidP="00003506">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Przewidywanie potencjalnych zagrożeń dla łańcuchów dostaw medycznych środków przeciwdziałania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pod</w:t>
      </w:r>
      <w:r w:rsidRPr="00563D0D">
        <w:rPr>
          <w:rFonts w:ascii="Times New Roman" w:hAnsi="Times New Roman"/>
          <w:noProof/>
          <w:sz w:val="24"/>
          <w:lang w:val="pl-PL"/>
        </w:rPr>
        <w:t>atności na nie jest ważnym elementem gotowości, podobnie jak gromadzenie zapasów</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uła</w:t>
      </w:r>
      <w:r w:rsidRPr="00563D0D">
        <w:rPr>
          <w:rFonts w:ascii="Times New Roman" w:hAnsi="Times New Roman"/>
          <w:noProof/>
          <w:sz w:val="24"/>
          <w:lang w:val="pl-PL"/>
        </w:rPr>
        <w:t>twianie opracowywania nowych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ule</w:t>
      </w:r>
      <w:r w:rsidRPr="00563D0D">
        <w:rPr>
          <w:rFonts w:ascii="Times New Roman" w:hAnsi="Times New Roman"/>
          <w:noProof/>
          <w:sz w:val="24"/>
          <w:lang w:val="pl-PL"/>
        </w:rPr>
        <w:t>pszonych medycznych środków przeciwdziałania. W 2022</w:t>
      </w:r>
      <w:r w:rsidR="00563D0D" w:rsidRPr="00563D0D">
        <w:rPr>
          <w:rFonts w:ascii="Times New Roman" w:hAnsi="Times New Roman"/>
          <w:noProof/>
          <w:sz w:val="24"/>
          <w:lang w:val="pl-PL"/>
        </w:rPr>
        <w:t> </w:t>
      </w:r>
      <w:r w:rsidRPr="00563D0D">
        <w:rPr>
          <w:rFonts w:ascii="Times New Roman" w:hAnsi="Times New Roman"/>
          <w:noProof/>
          <w:sz w:val="24"/>
          <w:lang w:val="pl-PL"/>
        </w:rPr>
        <w:t>r. Komisja uruchomiła EU FAB, sieć „zawsze gotowych” zdolności produkcyjnych na potrzeby produkcji szczepionek, które to zdolności można szybko uruchomić</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ypadku stanu zagrożenia zdrowia publicznego. 30 czerwca 2023</w:t>
      </w:r>
      <w:r w:rsidR="00563D0D" w:rsidRPr="00563D0D">
        <w:rPr>
          <w:rFonts w:ascii="Times New Roman" w:hAnsi="Times New Roman"/>
          <w:noProof/>
          <w:sz w:val="24"/>
          <w:lang w:val="pl-PL"/>
        </w:rPr>
        <w:t> </w:t>
      </w:r>
      <w:r w:rsidRPr="00563D0D">
        <w:rPr>
          <w:rFonts w:ascii="Times New Roman" w:hAnsi="Times New Roman"/>
          <w:noProof/>
          <w:sz w:val="24"/>
          <w:lang w:val="pl-PL"/>
        </w:rPr>
        <w:t>r.</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tej sieci podpisano cztery umowy</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pro</w:t>
      </w:r>
      <w:r w:rsidRPr="00563D0D">
        <w:rPr>
          <w:rFonts w:ascii="Times New Roman" w:hAnsi="Times New Roman"/>
          <w:noProof/>
          <w:sz w:val="24"/>
          <w:lang w:val="pl-PL"/>
        </w:rPr>
        <w:t>ducentami farmaceutycznymi dotyczące zarezerwowania zdolności potrzebnych do wyprodukowania nawet 325 mln szczepionek różnych rodzajów rocznie. Komisja gromadzi również zapasy medycznych środków przeciwdziałania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rescEU – finansowanej przez UE strategicznej rezerwy ostatniej szansy,</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któ</w:t>
      </w:r>
      <w:r w:rsidRPr="00563D0D">
        <w:rPr>
          <w:rFonts w:ascii="Times New Roman" w:hAnsi="Times New Roman"/>
          <w:noProof/>
          <w:sz w:val="24"/>
          <w:lang w:val="pl-PL"/>
        </w:rPr>
        <w:t>rej państwa członkowskie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pań</w:t>
      </w:r>
      <w:r w:rsidRPr="00563D0D">
        <w:rPr>
          <w:rFonts w:ascii="Times New Roman" w:hAnsi="Times New Roman"/>
          <w:noProof/>
          <w:sz w:val="24"/>
          <w:lang w:val="pl-PL"/>
        </w:rPr>
        <w:t>stwa stowarzyszone mogą uzyskać pomoc, jeśli się o to zwrócą. Dotychczas zainwestowano 1,2 mld EUR</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two</w:t>
      </w:r>
      <w:r w:rsidRPr="00563D0D">
        <w:rPr>
          <w:rFonts w:ascii="Times New Roman" w:hAnsi="Times New Roman"/>
          <w:noProof/>
          <w:sz w:val="24"/>
          <w:lang w:val="pl-PL"/>
        </w:rPr>
        <w:t>rzenie zapasów na wypadek poważnych transgranicznych zagrożeń zdrowia,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zagrożeń chemicznych, biologicznych, radiologicznych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jąd</w:t>
      </w:r>
      <w:r w:rsidRPr="00563D0D">
        <w:rPr>
          <w:rFonts w:ascii="Times New Roman" w:hAnsi="Times New Roman"/>
          <w:noProof/>
          <w:sz w:val="24"/>
          <w:lang w:val="pl-PL"/>
        </w:rPr>
        <w:t>rowych (CBRJ)</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wyn</w:t>
      </w:r>
      <w:r w:rsidRPr="00563D0D">
        <w:rPr>
          <w:rFonts w:ascii="Times New Roman" w:hAnsi="Times New Roman"/>
          <w:noProof/>
          <w:sz w:val="24"/>
          <w:lang w:val="pl-PL"/>
        </w:rPr>
        <w:t>iku pierwszego zaproszenia do składania ofert</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2</w:t>
      </w:r>
      <w:r w:rsidRPr="00563D0D">
        <w:rPr>
          <w:rFonts w:ascii="Times New Roman" w:hAnsi="Times New Roman"/>
          <w:noProof/>
          <w:sz w:val="24"/>
          <w:lang w:val="pl-PL"/>
        </w:rPr>
        <w:t>022</w:t>
      </w:r>
      <w:r w:rsidR="00563D0D" w:rsidRPr="00563D0D">
        <w:rPr>
          <w:rFonts w:ascii="Times New Roman" w:hAnsi="Times New Roman"/>
          <w:noProof/>
          <w:sz w:val="24"/>
          <w:lang w:val="pl-PL"/>
        </w:rPr>
        <w:t> </w:t>
      </w:r>
      <w:r w:rsidRPr="00563D0D">
        <w:rPr>
          <w:rFonts w:ascii="Times New Roman" w:hAnsi="Times New Roman"/>
          <w:noProof/>
          <w:sz w:val="24"/>
          <w:lang w:val="pl-PL"/>
        </w:rPr>
        <w:t>r. do utworzenia zapasów wybrano Francję, Chorwację, Polskę</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Fin</w:t>
      </w:r>
      <w:r w:rsidRPr="00563D0D">
        <w:rPr>
          <w:rFonts w:ascii="Times New Roman" w:hAnsi="Times New Roman"/>
          <w:noProof/>
          <w:sz w:val="24"/>
          <w:lang w:val="pl-PL"/>
        </w:rPr>
        <w:t>landię. Wyniki drugiego zaproszenia zostaną ogłoszone pod koniec 2023</w:t>
      </w:r>
      <w:r w:rsidR="00563D0D" w:rsidRPr="00563D0D">
        <w:rPr>
          <w:rFonts w:ascii="Times New Roman" w:hAnsi="Times New Roman"/>
          <w:noProof/>
          <w:sz w:val="24"/>
          <w:lang w:val="pl-PL"/>
        </w:rPr>
        <w:t> </w:t>
      </w:r>
      <w:r w:rsidRPr="00563D0D">
        <w:rPr>
          <w:rFonts w:ascii="Times New Roman" w:hAnsi="Times New Roman"/>
          <w:noProof/>
          <w:sz w:val="24"/>
          <w:lang w:val="pl-PL"/>
        </w:rPr>
        <w:t>r.</w:t>
      </w:r>
    </w:p>
    <w:p w14:paraId="295A19EC" w14:textId="77777777" w:rsidR="00003506" w:rsidRPr="00563D0D" w:rsidRDefault="001F1738" w:rsidP="00031422">
      <w:pPr>
        <w:spacing w:before="480"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3. SYSTEMY NADZORU I WCZESNEGO OSTRZEGANIA</w:t>
      </w:r>
      <w:bookmarkStart w:id="5" w:name="_Toc145428521"/>
      <w:bookmarkEnd w:id="5"/>
    </w:p>
    <w:p w14:paraId="2BE0DF8A" w14:textId="451E21E5" w:rsidR="00003506" w:rsidRPr="00563D0D" w:rsidRDefault="001F1738" w:rsidP="00003506">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b/>
          <w:noProof/>
          <w:sz w:val="24"/>
          <w:lang w:val="pl-PL"/>
        </w:rPr>
        <w:t>Nadzór nad chorobami zakaźnymi</w:t>
      </w:r>
      <w:r w:rsidR="00563D0D" w:rsidRPr="00563D0D">
        <w:rPr>
          <w:rFonts w:ascii="Times New Roman" w:hAnsi="Times New Roman"/>
          <w:b/>
          <w:noProof/>
          <w:sz w:val="24"/>
          <w:lang w:val="pl-PL"/>
        </w:rPr>
        <w:t xml:space="preserve"> w</w:t>
      </w:r>
      <w:r w:rsidR="00563D0D">
        <w:rPr>
          <w:rFonts w:ascii="Times New Roman" w:hAnsi="Times New Roman"/>
          <w:b/>
          <w:noProof/>
          <w:sz w:val="24"/>
          <w:lang w:val="pl-PL"/>
        </w:rPr>
        <w:t> </w:t>
      </w:r>
      <w:r w:rsidR="00563D0D" w:rsidRPr="00563D0D">
        <w:rPr>
          <w:rFonts w:ascii="Times New Roman" w:hAnsi="Times New Roman"/>
          <w:b/>
          <w:noProof/>
          <w:sz w:val="24"/>
          <w:lang w:val="pl-PL"/>
        </w:rPr>
        <w:t>zdr</w:t>
      </w:r>
      <w:r w:rsidRPr="00563D0D">
        <w:rPr>
          <w:rFonts w:ascii="Times New Roman" w:hAnsi="Times New Roman"/>
          <w:b/>
          <w:noProof/>
          <w:sz w:val="24"/>
          <w:lang w:val="pl-PL"/>
        </w:rPr>
        <w:t xml:space="preserve">owiu publicznym </w:t>
      </w:r>
    </w:p>
    <w:p w14:paraId="012DD0D9" w14:textId="6E3EC798" w:rsidR="00003506" w:rsidRPr="00563D0D" w:rsidRDefault="001F1738" w:rsidP="00003506">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Bez nadzoru</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zdr</w:t>
      </w:r>
      <w:r w:rsidRPr="00563D0D">
        <w:rPr>
          <w:rFonts w:ascii="Times New Roman" w:hAnsi="Times New Roman"/>
          <w:noProof/>
          <w:sz w:val="24"/>
          <w:lang w:val="pl-PL"/>
        </w:rPr>
        <w:t>owiu publicznym nie bylibyśmy</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sta</w:t>
      </w:r>
      <w:r w:rsidRPr="00563D0D">
        <w:rPr>
          <w:rFonts w:ascii="Times New Roman" w:hAnsi="Times New Roman"/>
          <w:noProof/>
          <w:sz w:val="24"/>
          <w:lang w:val="pl-PL"/>
        </w:rPr>
        <w:t>nie monitorować tendencji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chorób zakaźnych, wykrywać ognisk chorób na wczesnym etapie ani oceniać skuteczności środków</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pol</w:t>
      </w:r>
      <w:r w:rsidRPr="00563D0D">
        <w:rPr>
          <w:rFonts w:ascii="Times New Roman" w:hAnsi="Times New Roman"/>
          <w:noProof/>
          <w:sz w:val="24"/>
          <w:lang w:val="pl-PL"/>
        </w:rPr>
        <w:t>ityk</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dzi</w:t>
      </w:r>
      <w:r w:rsidRPr="00563D0D">
        <w:rPr>
          <w:rFonts w:ascii="Times New Roman" w:hAnsi="Times New Roman"/>
          <w:noProof/>
          <w:sz w:val="24"/>
          <w:lang w:val="pl-PL"/>
        </w:rPr>
        <w:t>edzinie ochrony zdrowia publicznego. Był to kolejny kluczowy aspekt zdrowia publicznego, którego znaczenie uwypukliła pandemia COVID-19</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nie</w:t>
      </w:r>
      <w:r w:rsidRPr="00563D0D">
        <w:rPr>
          <w:rFonts w:ascii="Times New Roman" w:hAnsi="Times New Roman"/>
          <w:noProof/>
          <w:sz w:val="24"/>
          <w:lang w:val="pl-PL"/>
        </w:rPr>
        <w:t>dawnym badaniu</w:t>
      </w:r>
      <w:r w:rsidRPr="00563D0D">
        <w:rPr>
          <w:rFonts w:ascii="Times New Roman" w:eastAsia="Times New Roman" w:hAnsi="Times New Roman" w:cs="Times New Roman"/>
          <w:noProof/>
          <w:sz w:val="24"/>
          <w:vertAlign w:val="superscript"/>
          <w:lang w:val="pl-PL"/>
        </w:rPr>
        <w:footnoteReference w:id="68"/>
      </w:r>
      <w:r w:rsidRPr="00563D0D">
        <w:rPr>
          <w:rFonts w:ascii="Times New Roman" w:hAnsi="Times New Roman"/>
          <w:noProof/>
          <w:sz w:val="24"/>
          <w:lang w:val="pl-PL"/>
        </w:rPr>
        <w:t xml:space="preserve"> przeanalizowano wnioski wyciągnięte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nad</w:t>
      </w:r>
      <w:r w:rsidRPr="00563D0D">
        <w:rPr>
          <w:rFonts w:ascii="Times New Roman" w:hAnsi="Times New Roman"/>
          <w:noProof/>
          <w:sz w:val="24"/>
          <w:lang w:val="pl-PL"/>
        </w:rPr>
        <w:t>zoru prowadzonego w UE podczas pandemii COVID-19. Jakość danych zgłaszanych przez państwa członkowskie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pos</w:t>
      </w:r>
      <w:r w:rsidRPr="00563D0D">
        <w:rPr>
          <w:rFonts w:ascii="Times New Roman" w:hAnsi="Times New Roman"/>
          <w:noProof/>
          <w:sz w:val="24"/>
          <w:lang w:val="pl-PL"/>
        </w:rPr>
        <w:t>zczególnych obszarach dotyczących chorób jest nadal zróżnicowana pomimo wysiłków ECDC na rzecz zapewnienia państwom członkowskim wsparcia metodycznego</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pro</w:t>
      </w:r>
      <w:r w:rsidRPr="00563D0D">
        <w:rPr>
          <w:rFonts w:ascii="Times New Roman" w:hAnsi="Times New Roman"/>
          <w:noProof/>
          <w:sz w:val="24"/>
          <w:lang w:val="pl-PL"/>
        </w:rPr>
        <w:t>tokołów sprawozdawczych. Istnieje również pole do poprawy, jeśli chodzi</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pos</w:t>
      </w:r>
      <w:r w:rsidRPr="00563D0D">
        <w:rPr>
          <w:rFonts w:ascii="Times New Roman" w:hAnsi="Times New Roman"/>
          <w:noProof/>
          <w:sz w:val="24"/>
          <w:lang w:val="pl-PL"/>
        </w:rPr>
        <w:t>tęp technologiczny, taki jak cyfrowe platformy nadzoru, niezależnie od znacznych wysiłków podjętych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lat</w:t>
      </w:r>
      <w:r w:rsidRPr="00563D0D">
        <w:rPr>
          <w:rFonts w:ascii="Times New Roman" w:hAnsi="Times New Roman"/>
          <w:noProof/>
          <w:sz w:val="24"/>
          <w:lang w:val="pl-PL"/>
        </w:rPr>
        <w:t xml:space="preserve">ach pandemii. </w:t>
      </w:r>
    </w:p>
    <w:p w14:paraId="4F89FD95" w14:textId="60C77C55" w:rsidR="00AE4ED2" w:rsidRPr="00563D0D" w:rsidRDefault="001F1738" w:rsidP="00003506">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Rozporządzeniem (UE) 2022/2371 wprowadzono nowy wysokowydajny system nadzoru epidemiologicznego na szczeblu UE. Obejmuje on wykorzystanie sztucznej inteligencji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nar</w:t>
      </w:r>
      <w:r w:rsidRPr="00563D0D">
        <w:rPr>
          <w:rFonts w:ascii="Times New Roman" w:hAnsi="Times New Roman"/>
          <w:noProof/>
          <w:sz w:val="24"/>
          <w:lang w:val="pl-PL"/>
        </w:rPr>
        <w:t>zędzi cyfrowych do walidacji, analizy</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zau</w:t>
      </w:r>
      <w:r w:rsidRPr="00563D0D">
        <w:rPr>
          <w:rFonts w:ascii="Times New Roman" w:hAnsi="Times New Roman"/>
          <w:noProof/>
          <w:sz w:val="24"/>
          <w:lang w:val="pl-PL"/>
        </w:rPr>
        <w:t>tomatyzowanej sprawozdawczości danych, zapewniając dokładne modelowanie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oce</w:t>
      </w:r>
      <w:r w:rsidRPr="00563D0D">
        <w:rPr>
          <w:rFonts w:ascii="Times New Roman" w:hAnsi="Times New Roman"/>
          <w:noProof/>
          <w:sz w:val="24"/>
          <w:lang w:val="pl-PL"/>
        </w:rPr>
        <w:t>nę ryzyka. Aby uzupełnić nadzór epidemiologiczny nad chorobami zakaźnymi,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roz</w:t>
      </w:r>
      <w:r w:rsidRPr="00563D0D">
        <w:rPr>
          <w:rFonts w:ascii="Times New Roman" w:hAnsi="Times New Roman"/>
          <w:noProof/>
          <w:sz w:val="24"/>
          <w:lang w:val="pl-PL"/>
        </w:rPr>
        <w:t>porządzeniu (UE) 2022/2371 zobowiązano państwa członkowskie do zwiększenia sprawozdawczości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wskaźników dotyczących systemów opieki zdrowotnej,</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zdolności systemu opieki zdrowotnej (np. dostępności łóżka szpitalnego, zdolności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specjalistycznego leczenia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int</w:t>
      </w:r>
      <w:r w:rsidRPr="00563D0D">
        <w:rPr>
          <w:rFonts w:ascii="Times New Roman" w:hAnsi="Times New Roman"/>
          <w:noProof/>
          <w:sz w:val="24"/>
          <w:lang w:val="pl-PL"/>
        </w:rPr>
        <w:t>ensywnej terapii oraz liczby wyszkolonego personelu medycznego). Komisja dokonuje przeglądu wykazu chorób zakaźnych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szc</w:t>
      </w:r>
      <w:r w:rsidRPr="00563D0D">
        <w:rPr>
          <w:rFonts w:ascii="Times New Roman" w:hAnsi="Times New Roman"/>
          <w:noProof/>
          <w:sz w:val="24"/>
          <w:lang w:val="pl-PL"/>
        </w:rPr>
        <w:t>zególnych problemów zdrowotnych (np. nabytej oporności na środki przeciwdrobnoustrojowe), które podlegają zgłoszeniu na szczeblu UE. Zaktualizowany wykaz ma wejść</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życ</w:t>
      </w:r>
      <w:r w:rsidRPr="00563D0D">
        <w:rPr>
          <w:rFonts w:ascii="Times New Roman" w:hAnsi="Times New Roman"/>
          <w:noProof/>
          <w:sz w:val="24"/>
          <w:lang w:val="pl-PL"/>
        </w:rPr>
        <w:t>ie do połowy 2024</w:t>
      </w:r>
      <w:r w:rsidR="00563D0D" w:rsidRPr="00563D0D">
        <w:rPr>
          <w:rFonts w:ascii="Times New Roman" w:hAnsi="Times New Roman"/>
          <w:noProof/>
          <w:sz w:val="24"/>
          <w:lang w:val="pl-PL"/>
        </w:rPr>
        <w:t> </w:t>
      </w:r>
      <w:r w:rsidRPr="00563D0D">
        <w:rPr>
          <w:rFonts w:ascii="Times New Roman" w:hAnsi="Times New Roman"/>
          <w:noProof/>
          <w:sz w:val="24"/>
          <w:lang w:val="pl-PL"/>
        </w:rPr>
        <w:t>r. Komisja wspiera modernizację krajowych systemów nadzoru państw członkowskich, zapewniając prawie 100 mln EUR</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for</w:t>
      </w:r>
      <w:r w:rsidRPr="00563D0D">
        <w:rPr>
          <w:rFonts w:ascii="Times New Roman" w:hAnsi="Times New Roman"/>
          <w:noProof/>
          <w:sz w:val="24"/>
          <w:lang w:val="pl-PL"/>
        </w:rPr>
        <w:t>mie dotacji bezpośrednich na rozwój infrastruktury, budowanie zdolności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kon</w:t>
      </w:r>
      <w:r w:rsidRPr="00563D0D">
        <w:rPr>
          <w:rFonts w:ascii="Times New Roman" w:hAnsi="Times New Roman"/>
          <w:noProof/>
          <w:sz w:val="24"/>
          <w:lang w:val="pl-PL"/>
        </w:rPr>
        <w:t>kretne priorytety krajowe.</w:t>
      </w:r>
    </w:p>
    <w:p w14:paraId="6CE53E40" w14:textId="128FC9C8" w:rsidR="001F1738" w:rsidRPr="00563D0D" w:rsidRDefault="001F1738" w:rsidP="001F1738">
      <w:pPr>
        <w:keepNext/>
        <w:keepLines/>
        <w:spacing w:before="100" w:beforeAutospacing="1" w:after="100" w:afterAutospacing="1" w:line="240" w:lineRule="auto"/>
        <w:jc w:val="both"/>
        <w:outlineLvl w:val="2"/>
        <w:rPr>
          <w:rFonts w:ascii="Times New Roman" w:eastAsia="Times New Roman" w:hAnsi="Times New Roman" w:cs="Times New Roman"/>
          <w:b/>
          <w:noProof/>
          <w:sz w:val="24"/>
          <w:lang w:val="pl-PL"/>
        </w:rPr>
      </w:pPr>
      <w:r w:rsidRPr="00563D0D">
        <w:rPr>
          <w:rFonts w:ascii="Times New Roman" w:hAnsi="Times New Roman"/>
          <w:b/>
          <w:noProof/>
          <w:sz w:val="24"/>
          <w:lang w:val="pl-PL"/>
        </w:rPr>
        <w:t>Wzmocnienie możliwości laboratoryjnych</w:t>
      </w:r>
      <w:r w:rsidR="00563D0D" w:rsidRPr="00563D0D">
        <w:rPr>
          <w:rFonts w:ascii="Times New Roman" w:hAnsi="Times New Roman"/>
          <w:b/>
          <w:noProof/>
          <w:sz w:val="24"/>
          <w:lang w:val="pl-PL"/>
        </w:rPr>
        <w:t xml:space="preserve"> w</w:t>
      </w:r>
      <w:r w:rsidR="00563D0D">
        <w:rPr>
          <w:rFonts w:ascii="Times New Roman" w:hAnsi="Times New Roman"/>
          <w:b/>
          <w:noProof/>
          <w:sz w:val="24"/>
          <w:lang w:val="pl-PL"/>
        </w:rPr>
        <w:t> </w:t>
      </w:r>
      <w:r w:rsidR="00563D0D" w:rsidRPr="00563D0D">
        <w:rPr>
          <w:rFonts w:ascii="Times New Roman" w:hAnsi="Times New Roman"/>
          <w:b/>
          <w:noProof/>
          <w:sz w:val="24"/>
          <w:lang w:val="pl-PL"/>
        </w:rPr>
        <w:t>zak</w:t>
      </w:r>
      <w:r w:rsidRPr="00563D0D">
        <w:rPr>
          <w:rFonts w:ascii="Times New Roman" w:hAnsi="Times New Roman"/>
          <w:b/>
          <w:noProof/>
          <w:sz w:val="24"/>
          <w:lang w:val="pl-PL"/>
        </w:rPr>
        <w:t>resie nadzoru</w:t>
      </w:r>
      <w:r w:rsidR="00563D0D" w:rsidRPr="00563D0D">
        <w:rPr>
          <w:rFonts w:ascii="Times New Roman" w:hAnsi="Times New Roman"/>
          <w:b/>
          <w:noProof/>
          <w:sz w:val="24"/>
          <w:lang w:val="pl-PL"/>
        </w:rPr>
        <w:t xml:space="preserve"> i</w:t>
      </w:r>
      <w:r w:rsidR="00563D0D">
        <w:rPr>
          <w:rFonts w:ascii="Times New Roman" w:hAnsi="Times New Roman"/>
          <w:b/>
          <w:noProof/>
          <w:sz w:val="24"/>
          <w:lang w:val="pl-PL"/>
        </w:rPr>
        <w:t> </w:t>
      </w:r>
      <w:r w:rsidR="00563D0D" w:rsidRPr="00563D0D">
        <w:rPr>
          <w:rFonts w:ascii="Times New Roman" w:hAnsi="Times New Roman"/>
          <w:b/>
          <w:noProof/>
          <w:sz w:val="24"/>
          <w:lang w:val="pl-PL"/>
        </w:rPr>
        <w:t>roz</w:t>
      </w:r>
      <w:r w:rsidRPr="00563D0D">
        <w:rPr>
          <w:rFonts w:ascii="Times New Roman" w:hAnsi="Times New Roman"/>
          <w:b/>
          <w:noProof/>
          <w:sz w:val="24"/>
          <w:lang w:val="pl-PL"/>
        </w:rPr>
        <w:t>wój medycznych środków przeciwdziałania</w:t>
      </w:r>
    </w:p>
    <w:p w14:paraId="31920660" w14:textId="5D2F22FC" w:rsidR="001F1738" w:rsidRPr="00563D0D" w:rsidRDefault="002260F0" w:rsidP="001F1738">
      <w:pPr>
        <w:keepNext/>
        <w:keepLines/>
        <w:spacing w:before="100" w:beforeAutospacing="1" w:after="100" w:afterAutospacing="1" w:line="240" w:lineRule="auto"/>
        <w:jc w:val="both"/>
        <w:outlineLvl w:val="2"/>
        <w:rPr>
          <w:rFonts w:ascii="Times New Roman" w:eastAsia="Times New Roman" w:hAnsi="Times New Roman" w:cs="Times New Roman"/>
          <w:i/>
          <w:noProof/>
          <w:sz w:val="24"/>
          <w:lang w:val="pl-PL"/>
        </w:rPr>
      </w:pPr>
      <w:r w:rsidRPr="00563D0D">
        <w:rPr>
          <w:rFonts w:ascii="Times New Roman" w:hAnsi="Times New Roman"/>
          <w:i/>
          <w:noProof/>
          <w:sz w:val="24"/>
          <w:lang w:val="pl-PL"/>
        </w:rPr>
        <w:t>Laboratoria referencyjne UE</w:t>
      </w:r>
      <w:r w:rsidR="00563D0D" w:rsidRPr="00563D0D">
        <w:rPr>
          <w:rFonts w:ascii="Times New Roman" w:hAnsi="Times New Roman"/>
          <w:i/>
          <w:noProof/>
          <w:sz w:val="24"/>
          <w:lang w:val="pl-PL"/>
        </w:rPr>
        <w:t xml:space="preserve"> w</w:t>
      </w:r>
      <w:r w:rsidR="00563D0D">
        <w:rPr>
          <w:rFonts w:ascii="Times New Roman" w:hAnsi="Times New Roman"/>
          <w:i/>
          <w:noProof/>
          <w:sz w:val="24"/>
          <w:lang w:val="pl-PL"/>
        </w:rPr>
        <w:t> </w:t>
      </w:r>
      <w:r w:rsidR="00563D0D" w:rsidRPr="00563D0D">
        <w:rPr>
          <w:rFonts w:ascii="Times New Roman" w:hAnsi="Times New Roman"/>
          <w:i/>
          <w:noProof/>
          <w:sz w:val="24"/>
          <w:lang w:val="pl-PL"/>
        </w:rPr>
        <w:t>dzi</w:t>
      </w:r>
      <w:r w:rsidRPr="00563D0D">
        <w:rPr>
          <w:rFonts w:ascii="Times New Roman" w:hAnsi="Times New Roman"/>
          <w:i/>
          <w:noProof/>
          <w:sz w:val="24"/>
          <w:lang w:val="pl-PL"/>
        </w:rPr>
        <w:t>edzinie zdrowia publicznego</w:t>
      </w:r>
    </w:p>
    <w:p w14:paraId="4A0B64B8" w14:textId="269335AE"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Kolejną nowością wprowadzoną rozporządzeniem (UE) 2022/2371 jest utworzenie laboratoriów referencyjnych UE ds. zdrowia publicznego dla zapewnienia wsparcia krajowym laboratoriom referencyjnym</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myś</w:t>
      </w:r>
      <w:r w:rsidRPr="00563D0D">
        <w:rPr>
          <w:rFonts w:ascii="Times New Roman" w:hAnsi="Times New Roman"/>
          <w:noProof/>
          <w:sz w:val="24"/>
          <w:lang w:val="pl-PL"/>
        </w:rPr>
        <w:t>lą</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roz</w:t>
      </w:r>
      <w:r w:rsidRPr="00563D0D">
        <w:rPr>
          <w:rFonts w:ascii="Times New Roman" w:hAnsi="Times New Roman"/>
          <w:noProof/>
          <w:sz w:val="24"/>
          <w:lang w:val="pl-PL"/>
        </w:rPr>
        <w:t>powszechnianiu – na zasadzie dobrowolności – dobrych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jed</w:t>
      </w:r>
      <w:r w:rsidRPr="00563D0D">
        <w:rPr>
          <w:rFonts w:ascii="Times New Roman" w:hAnsi="Times New Roman"/>
          <w:noProof/>
          <w:sz w:val="24"/>
          <w:lang w:val="pl-PL"/>
        </w:rPr>
        <w:t>nolitych praktyk</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diagnostyki, metod diagnostyki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sto</w:t>
      </w:r>
      <w:r w:rsidRPr="00563D0D">
        <w:rPr>
          <w:rFonts w:ascii="Times New Roman" w:hAnsi="Times New Roman"/>
          <w:noProof/>
          <w:sz w:val="24"/>
          <w:lang w:val="pl-PL"/>
        </w:rPr>
        <w:t>sowania określonych testów diagnostycznych wśród państw członkowskich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zapewnienia jednolitego nadzoru, powiadamiania</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cho</w:t>
      </w:r>
      <w:r w:rsidRPr="00563D0D">
        <w:rPr>
          <w:rFonts w:ascii="Times New Roman" w:hAnsi="Times New Roman"/>
          <w:noProof/>
          <w:sz w:val="24"/>
          <w:lang w:val="pl-PL"/>
        </w:rPr>
        <w:t>robach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zgł</w:t>
      </w:r>
      <w:r w:rsidRPr="00563D0D">
        <w:rPr>
          <w:rFonts w:ascii="Times New Roman" w:hAnsi="Times New Roman"/>
          <w:noProof/>
          <w:sz w:val="24"/>
          <w:lang w:val="pl-PL"/>
        </w:rPr>
        <w:t>aszania ich przez państwa członkowskie. Komisja i ECDC ściśle ze sobą współpracują we wdrażaniu unijnych laboratoriów referencyjnych. Pierwsze sześć unijnych laboratoriów referencyjnych zostanie wyznaczonych na początku 2024</w:t>
      </w:r>
      <w:r w:rsidR="00563D0D" w:rsidRPr="00563D0D">
        <w:rPr>
          <w:rFonts w:ascii="Times New Roman" w:hAnsi="Times New Roman"/>
          <w:noProof/>
          <w:sz w:val="24"/>
          <w:lang w:val="pl-PL"/>
        </w:rPr>
        <w:t> </w:t>
      </w:r>
      <w:r w:rsidRPr="00563D0D">
        <w:rPr>
          <w:rFonts w:ascii="Times New Roman" w:hAnsi="Times New Roman"/>
          <w:noProof/>
          <w:sz w:val="24"/>
          <w:lang w:val="pl-PL"/>
        </w:rPr>
        <w:t>r.,</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ich</w:t>
      </w:r>
      <w:r w:rsidRPr="00563D0D">
        <w:rPr>
          <w:rFonts w:ascii="Times New Roman" w:hAnsi="Times New Roman"/>
          <w:noProof/>
          <w:sz w:val="24"/>
          <w:lang w:val="pl-PL"/>
        </w:rPr>
        <w:t xml:space="preserve"> finansowanie zostanie pokryte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Pro</w:t>
      </w:r>
      <w:r w:rsidRPr="00563D0D">
        <w:rPr>
          <w:rFonts w:ascii="Times New Roman" w:hAnsi="Times New Roman"/>
          <w:noProof/>
          <w:sz w:val="24"/>
          <w:lang w:val="pl-PL"/>
        </w:rPr>
        <w:t>gramu UE dla zdrowia</w:t>
      </w:r>
      <w:r w:rsidRPr="00563D0D">
        <w:rPr>
          <w:rStyle w:val="FootnoteReference"/>
          <w:rFonts w:ascii="Times New Roman" w:eastAsia="Times New Roman" w:hAnsi="Times New Roman" w:cs="Times New Roman"/>
          <w:noProof/>
          <w:sz w:val="24"/>
          <w:lang w:val="pl-PL"/>
        </w:rPr>
        <w:footnoteReference w:id="69"/>
      </w:r>
      <w:r w:rsidRPr="00563D0D">
        <w:rPr>
          <w:rFonts w:ascii="Times New Roman" w:hAnsi="Times New Roman"/>
          <w:noProof/>
          <w:sz w:val="24"/>
          <w:lang w:val="pl-PL"/>
        </w:rPr>
        <w:t>.</w:t>
      </w:r>
    </w:p>
    <w:p w14:paraId="3223CA80" w14:textId="5B65B782"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i/>
          <w:noProof/>
          <w:sz w:val="24"/>
          <w:lang w:val="pl-PL"/>
        </w:rPr>
      </w:pPr>
      <w:r w:rsidRPr="00563D0D">
        <w:rPr>
          <w:rFonts w:ascii="Times New Roman" w:hAnsi="Times New Roman"/>
          <w:i/>
          <w:noProof/>
          <w:sz w:val="24"/>
          <w:lang w:val="pl-PL"/>
        </w:rPr>
        <w:t>DURABLE</w:t>
      </w:r>
    </w:p>
    <w:p w14:paraId="221C5A4E" w14:textId="25677568"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Komisja uruchomiła projekt sieci laboratoriów DURABLE (2023–2027)</w:t>
      </w:r>
      <w:r w:rsidRPr="00563D0D">
        <w:rPr>
          <w:rFonts w:ascii="Times New Roman" w:eastAsia="Times New Roman" w:hAnsi="Times New Roman" w:cs="Times New Roman"/>
          <w:noProof/>
          <w:sz w:val="24"/>
          <w:vertAlign w:val="superscript"/>
          <w:lang w:val="pl-PL"/>
        </w:rPr>
        <w:footnoteReference w:id="70"/>
      </w:r>
      <w:r w:rsidRPr="00563D0D">
        <w:rPr>
          <w:rFonts w:ascii="Times New Roman" w:hAnsi="Times New Roman"/>
          <w:noProof/>
          <w:sz w:val="24"/>
          <w:lang w:val="pl-PL"/>
        </w:rPr>
        <w:t xml:space="preserve"> obejmujący laboratoria ds. zdrowia publicznego</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lab</w:t>
      </w:r>
      <w:r w:rsidRPr="00563D0D">
        <w:rPr>
          <w:rFonts w:ascii="Times New Roman" w:hAnsi="Times New Roman"/>
          <w:noProof/>
          <w:sz w:val="24"/>
          <w:lang w:val="pl-PL"/>
        </w:rPr>
        <w:t>oratoria akademickie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myś</w:t>
      </w:r>
      <w:r w:rsidRPr="00563D0D">
        <w:rPr>
          <w:rFonts w:ascii="Times New Roman" w:hAnsi="Times New Roman"/>
          <w:noProof/>
          <w:sz w:val="24"/>
          <w:lang w:val="pl-PL"/>
        </w:rPr>
        <w:t>lą</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wsp</w:t>
      </w:r>
      <w:r w:rsidRPr="00563D0D">
        <w:rPr>
          <w:rFonts w:ascii="Times New Roman" w:hAnsi="Times New Roman"/>
          <w:noProof/>
          <w:sz w:val="24"/>
          <w:lang w:val="pl-PL"/>
        </w:rPr>
        <w:t>ieraniu badań</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roz</w:t>
      </w:r>
      <w:r w:rsidRPr="00563D0D">
        <w:rPr>
          <w:rFonts w:ascii="Times New Roman" w:hAnsi="Times New Roman"/>
          <w:noProof/>
          <w:sz w:val="24"/>
          <w:lang w:val="pl-PL"/>
        </w:rPr>
        <w:t>woju</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obs</w:t>
      </w:r>
      <w:r w:rsidRPr="00563D0D">
        <w:rPr>
          <w:rFonts w:ascii="Times New Roman" w:hAnsi="Times New Roman"/>
          <w:noProof/>
          <w:sz w:val="24"/>
          <w:lang w:val="pl-PL"/>
        </w:rPr>
        <w:t>zarze medycznych środków przeciwdziałania</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tego projektu, finansowanego ze środków Programu UE dla zdrowia, mobilizuje się eksperymentalne zdolności jego członków</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przyspieszenia opracowywania medycznych środków przeciwdziałania,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diagnostyki, środków terapeutycznych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szc</w:t>
      </w:r>
      <w:r w:rsidRPr="00563D0D">
        <w:rPr>
          <w:rFonts w:ascii="Times New Roman" w:hAnsi="Times New Roman"/>
          <w:noProof/>
          <w:sz w:val="24"/>
          <w:lang w:val="pl-PL"/>
        </w:rPr>
        <w:t>zepionek. DURABLE – dzięki uczestnictwu członków dysponujących zdolnościami laboratoryjnymi na całym świecie – ma wymiar globalny</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sta</w:t>
      </w:r>
      <w:r w:rsidRPr="00563D0D">
        <w:rPr>
          <w:rFonts w:ascii="Times New Roman" w:hAnsi="Times New Roman"/>
          <w:noProof/>
          <w:sz w:val="24"/>
          <w:lang w:val="pl-PL"/>
        </w:rPr>
        <w:t>nowi uzupełnienie laboratoriów referencyjnych UE. </w:t>
      </w:r>
    </w:p>
    <w:p w14:paraId="34C138F4" w14:textId="77777777" w:rsidR="001F1738" w:rsidRPr="00563D0D" w:rsidRDefault="001F1738" w:rsidP="001F1738">
      <w:pPr>
        <w:keepNext/>
        <w:keepLines/>
        <w:spacing w:before="100" w:beforeAutospacing="1" w:after="100" w:afterAutospacing="1" w:line="240" w:lineRule="auto"/>
        <w:jc w:val="both"/>
        <w:outlineLvl w:val="2"/>
        <w:rPr>
          <w:rFonts w:ascii="Times New Roman" w:eastAsia="Times New Roman" w:hAnsi="Times New Roman" w:cs="Times New Roman"/>
          <w:b/>
          <w:noProof/>
          <w:sz w:val="24"/>
          <w:lang w:val="pl-PL"/>
        </w:rPr>
      </w:pPr>
      <w:r w:rsidRPr="00563D0D">
        <w:rPr>
          <w:rFonts w:ascii="Times New Roman" w:hAnsi="Times New Roman"/>
          <w:b/>
          <w:noProof/>
          <w:sz w:val="24"/>
          <w:lang w:val="pl-PL"/>
        </w:rPr>
        <w:t>Nowoczesne, ulepszone cyfrowe platformy nadzoru</w:t>
      </w:r>
    </w:p>
    <w:p w14:paraId="73B2C194" w14:textId="3E58C6F4" w:rsidR="001F1738" w:rsidRPr="00563D0D" w:rsidRDefault="001F1738" w:rsidP="001F1738">
      <w:pPr>
        <w:spacing w:before="100" w:beforeAutospacing="1" w:after="100" w:afterAutospacing="1" w:line="240" w:lineRule="auto"/>
        <w:jc w:val="both"/>
        <w:textAlignment w:val="baseline"/>
        <w:rPr>
          <w:rFonts w:ascii="Times New Roman" w:eastAsia="Times New Roman" w:hAnsi="Times New Roman" w:cs="Times New Roman"/>
          <w:noProof/>
          <w:sz w:val="24"/>
          <w:lang w:val="pl-PL"/>
        </w:rPr>
      </w:pPr>
      <w:r w:rsidRPr="00563D0D">
        <w:rPr>
          <w:rFonts w:ascii="Times New Roman" w:hAnsi="Times New Roman"/>
          <w:noProof/>
          <w:sz w:val="24"/>
          <w:lang w:val="pl-PL"/>
        </w:rPr>
        <w:t>Szybki rozwój narzędzi cyfrowych ułatwia terminowe gromadzenie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wym</w:t>
      </w:r>
      <w:r w:rsidRPr="00563D0D">
        <w:rPr>
          <w:rFonts w:ascii="Times New Roman" w:hAnsi="Times New Roman"/>
          <w:noProof/>
          <w:sz w:val="24"/>
          <w:lang w:val="pl-PL"/>
        </w:rPr>
        <w:t>ianę danych. Aby wzmocnić unijne systemy nadzoru, rozporządzenie (UE) 2022/2371 zwiększa również wykorzystanie platform cyfrowych.</w:t>
      </w:r>
    </w:p>
    <w:p w14:paraId="2BB93BE9" w14:textId="303BE596" w:rsidR="001F1738" w:rsidRPr="00563D0D" w:rsidRDefault="001F1738" w:rsidP="001F1738">
      <w:pPr>
        <w:spacing w:before="100" w:beforeAutospacing="1" w:after="100" w:afterAutospacing="1" w:line="240" w:lineRule="auto"/>
        <w:jc w:val="both"/>
        <w:textAlignment w:val="baseline"/>
        <w:rPr>
          <w:rFonts w:ascii="Times New Roman" w:eastAsia="Times New Roman" w:hAnsi="Times New Roman" w:cs="Times New Roman"/>
          <w:noProof/>
          <w:sz w:val="24"/>
          <w:lang w:val="pl-PL"/>
        </w:rPr>
      </w:pPr>
      <w:r w:rsidRPr="00563D0D">
        <w:rPr>
          <w:rFonts w:ascii="Times New Roman" w:hAnsi="Times New Roman"/>
          <w:noProof/>
          <w:sz w:val="24"/>
          <w:lang w:val="pl-PL"/>
        </w:rPr>
        <w:t>W czerwcu 2021</w:t>
      </w:r>
      <w:r w:rsidR="00563D0D" w:rsidRPr="00563D0D">
        <w:rPr>
          <w:rFonts w:ascii="Times New Roman" w:hAnsi="Times New Roman"/>
          <w:noProof/>
          <w:sz w:val="24"/>
          <w:lang w:val="pl-PL"/>
        </w:rPr>
        <w:t> </w:t>
      </w:r>
      <w:r w:rsidRPr="00563D0D">
        <w:rPr>
          <w:rFonts w:ascii="Times New Roman" w:hAnsi="Times New Roman"/>
          <w:noProof/>
          <w:sz w:val="24"/>
          <w:lang w:val="pl-PL"/>
        </w:rPr>
        <w:t>r. ECDC uruchomiło europejski portal nadzoru nad chorobami zakaźnymi (EpiPulse) – platformę umożliwiającą prowadzenie nadzoru nad chorobami zakaźnymi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cza</w:t>
      </w:r>
      <w:r w:rsidRPr="00563D0D">
        <w:rPr>
          <w:rFonts w:ascii="Times New Roman" w:hAnsi="Times New Roman"/>
          <w:noProof/>
          <w:sz w:val="24"/>
          <w:lang w:val="pl-PL"/>
        </w:rPr>
        <w:t>sie rzeczywistym</w:t>
      </w:r>
      <w:r w:rsidRPr="00563D0D">
        <w:rPr>
          <w:rFonts w:ascii="Times New Roman" w:eastAsia="Times New Roman" w:hAnsi="Times New Roman" w:cs="Times New Roman"/>
          <w:noProof/>
          <w:sz w:val="24"/>
          <w:vertAlign w:val="superscript"/>
          <w:lang w:val="pl-PL"/>
        </w:rPr>
        <w:footnoteReference w:id="71"/>
      </w:r>
      <w:r w:rsidRPr="00563D0D">
        <w:rPr>
          <w:rFonts w:ascii="Times New Roman" w:hAnsi="Times New Roman"/>
          <w:noProof/>
          <w:sz w:val="24"/>
          <w:lang w:val="pl-PL"/>
        </w:rPr>
        <w:t>. EpiPulse to portal internetowy przeznaczony dla organów ds. zdrowia publicznego UE/EOG</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org</w:t>
      </w:r>
      <w:r w:rsidRPr="00563D0D">
        <w:rPr>
          <w:rFonts w:ascii="Times New Roman" w:hAnsi="Times New Roman"/>
          <w:noProof/>
          <w:sz w:val="24"/>
          <w:lang w:val="pl-PL"/>
        </w:rPr>
        <w:t>anizacji partnerskich służący do gromadzenia, analizowania, udostępniania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oma</w:t>
      </w:r>
      <w:r w:rsidRPr="00563D0D">
        <w:rPr>
          <w:rFonts w:ascii="Times New Roman" w:hAnsi="Times New Roman"/>
          <w:noProof/>
          <w:sz w:val="24"/>
          <w:lang w:val="pl-PL"/>
        </w:rPr>
        <w:t>wiania danych dotyczących chorób zakaźnych. Wspiera on wykrywanie zagrożeń, monitorowanie, ocenę ryzyka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gowanie na epidemie. EpiPulse będzie dalej rozwijany</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uwzględnienia wymogów rozporządzenia (UE) 2022/2371,</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tak</w:t>
      </w:r>
      <w:r w:rsidRPr="00563D0D">
        <w:rPr>
          <w:rFonts w:ascii="Times New Roman" w:hAnsi="Times New Roman"/>
          <w:noProof/>
          <w:sz w:val="24"/>
          <w:lang w:val="pl-PL"/>
        </w:rPr>
        <w:t>że włączone zostaną do niego inne narzędzia sprawozdawcze, takie jak Europejski System Nadzoru na potrzeby nadzoru opartego na wskaźnikach (TESSy)</w:t>
      </w:r>
      <w:r w:rsidRPr="00563D0D">
        <w:rPr>
          <w:rFonts w:ascii="Times New Roman" w:eastAsia="Times New Roman" w:hAnsi="Times New Roman" w:cs="Times New Roman"/>
          <w:noProof/>
          <w:sz w:val="24"/>
          <w:vertAlign w:val="superscript"/>
          <w:lang w:val="pl-PL"/>
        </w:rPr>
        <w:footnoteReference w:id="72"/>
      </w:r>
      <w:r w:rsidRPr="00563D0D">
        <w:rPr>
          <w:rFonts w:ascii="Times New Roman" w:hAnsi="Times New Roman"/>
          <w:noProof/>
          <w:sz w:val="24"/>
          <w:lang w:val="pl-PL"/>
        </w:rPr>
        <w:t>. ECDC pracuje nad integracją</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Epi</w:t>
      </w:r>
      <w:r w:rsidRPr="00563D0D">
        <w:rPr>
          <w:rFonts w:ascii="Times New Roman" w:hAnsi="Times New Roman"/>
          <w:noProof/>
          <w:sz w:val="24"/>
          <w:lang w:val="pl-PL"/>
        </w:rPr>
        <w:t>Pulse platformy Epidemic Intelligence from Open Sources (EIOS) – kluczowego narzędzia wykrywania zagrożeń opracowanego we współpracy z WHO</w:t>
      </w:r>
      <w:r w:rsidRPr="00563D0D">
        <w:rPr>
          <w:rFonts w:ascii="Times New Roman" w:eastAsia="Times New Roman" w:hAnsi="Times New Roman" w:cs="Times New Roman"/>
          <w:noProof/>
          <w:sz w:val="24"/>
          <w:vertAlign w:val="superscript"/>
          <w:lang w:val="pl-PL"/>
        </w:rPr>
        <w:footnoteReference w:id="73"/>
      </w:r>
      <w:r w:rsidRPr="00563D0D">
        <w:rPr>
          <w:rFonts w:ascii="Times New Roman" w:hAnsi="Times New Roman"/>
          <w:noProof/>
          <w:sz w:val="24"/>
          <w:lang w:val="pl-PL"/>
        </w:rPr>
        <w:t xml:space="preserve"> –</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usprawnienia procesu wykrywania, monitorowania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oce</w:t>
      </w:r>
      <w:r w:rsidRPr="00563D0D">
        <w:rPr>
          <w:rFonts w:ascii="Times New Roman" w:hAnsi="Times New Roman"/>
          <w:noProof/>
          <w:sz w:val="24"/>
          <w:lang w:val="pl-PL"/>
        </w:rPr>
        <w:t xml:space="preserve">ny zagrożeń. </w:t>
      </w:r>
    </w:p>
    <w:p w14:paraId="7C3C17E8" w14:textId="17B8A22A"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Komisja opracowuje system informatyczny ATHINA (Advanced Technology for Health Intelligence and Action – „Zaawansowana technologia na potrzeby zbierania informacji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dzi</w:t>
      </w:r>
      <w:r w:rsidRPr="00563D0D">
        <w:rPr>
          <w:rFonts w:ascii="Times New Roman" w:hAnsi="Times New Roman"/>
          <w:noProof/>
          <w:sz w:val="24"/>
          <w:lang w:val="pl-PL"/>
        </w:rPr>
        <w:t>ałań</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dzi</w:t>
      </w:r>
      <w:r w:rsidRPr="00563D0D">
        <w:rPr>
          <w:rFonts w:ascii="Times New Roman" w:hAnsi="Times New Roman"/>
          <w:noProof/>
          <w:sz w:val="24"/>
          <w:lang w:val="pl-PL"/>
        </w:rPr>
        <w:t>edzinie zdrowia”)</w:t>
      </w:r>
      <w:r w:rsidRPr="00563D0D">
        <w:rPr>
          <w:rFonts w:ascii="Times New Roman" w:eastAsia="Times New Roman" w:hAnsi="Times New Roman" w:cs="Times New Roman"/>
          <w:noProof/>
          <w:sz w:val="24"/>
          <w:vertAlign w:val="superscript"/>
          <w:lang w:val="pl-PL"/>
        </w:rPr>
        <w:footnoteReference w:id="74"/>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wspierania swoich codziennych działań</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oceny zagrożeń</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gen</w:t>
      </w:r>
      <w:r w:rsidRPr="00563D0D">
        <w:rPr>
          <w:rFonts w:ascii="Times New Roman" w:hAnsi="Times New Roman"/>
          <w:noProof/>
          <w:sz w:val="24"/>
          <w:lang w:val="pl-PL"/>
        </w:rPr>
        <w:t>erowania przydatnych informacji na potrzeby podejmowania decyzji. ATHINA pomoże Komisji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wyk</w:t>
      </w:r>
      <w:r w:rsidRPr="00563D0D">
        <w:rPr>
          <w:rFonts w:ascii="Times New Roman" w:hAnsi="Times New Roman"/>
          <w:noProof/>
          <w:sz w:val="24"/>
          <w:lang w:val="pl-PL"/>
        </w:rPr>
        <w:t>rywaniu odpowiednich sygnałów dotyczących potencjalnych zagrożeń zdrowia, które wymagają reakcji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pos</w:t>
      </w:r>
      <w:r w:rsidRPr="00563D0D">
        <w:rPr>
          <w:rFonts w:ascii="Times New Roman" w:hAnsi="Times New Roman"/>
          <w:noProof/>
          <w:sz w:val="24"/>
          <w:lang w:val="pl-PL"/>
        </w:rPr>
        <w:t>taci medycznych środków przeciwdziałania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opa</w:t>
      </w:r>
      <w:r w:rsidRPr="00563D0D">
        <w:rPr>
          <w:rFonts w:ascii="Times New Roman" w:hAnsi="Times New Roman"/>
          <w:noProof/>
          <w:sz w:val="24"/>
          <w:lang w:val="pl-PL"/>
        </w:rPr>
        <w:t>rciu</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ana</w:t>
      </w:r>
      <w:r w:rsidRPr="00563D0D">
        <w:rPr>
          <w:rFonts w:ascii="Times New Roman" w:hAnsi="Times New Roman"/>
          <w:noProof/>
          <w:sz w:val="24"/>
          <w:lang w:val="pl-PL"/>
        </w:rPr>
        <w:t>lizę łańcucha dostaw</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zid</w:t>
      </w:r>
      <w:r w:rsidRPr="00563D0D">
        <w:rPr>
          <w:rFonts w:ascii="Times New Roman" w:hAnsi="Times New Roman"/>
          <w:noProof/>
          <w:sz w:val="24"/>
          <w:lang w:val="pl-PL"/>
        </w:rPr>
        <w:t>entyfikowanych słabych punktów</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dos</w:t>
      </w:r>
      <w:r w:rsidRPr="00563D0D">
        <w:rPr>
          <w:rFonts w:ascii="Times New Roman" w:hAnsi="Times New Roman"/>
          <w:noProof/>
          <w:sz w:val="24"/>
          <w:lang w:val="pl-PL"/>
        </w:rPr>
        <w:t>tawach medycznych środków przeciwdziałania,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ryzyka niedoborów</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str</w:t>
      </w:r>
      <w:r w:rsidRPr="00563D0D">
        <w:rPr>
          <w:rFonts w:ascii="Times New Roman" w:hAnsi="Times New Roman"/>
          <w:noProof/>
          <w:sz w:val="24"/>
          <w:lang w:val="pl-PL"/>
        </w:rPr>
        <w:t>ategicznych zależności</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celu ATHINA będzie gromadzić informacje poprzez wymianę danych na temat medycznych środków przeciwdziałania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zag</w:t>
      </w:r>
      <w:r w:rsidRPr="00563D0D">
        <w:rPr>
          <w:rFonts w:ascii="Times New Roman" w:hAnsi="Times New Roman"/>
          <w:noProof/>
          <w:sz w:val="24"/>
          <w:lang w:val="pl-PL"/>
        </w:rPr>
        <w:t>rożeń zdrowia publicznego</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odp</w:t>
      </w:r>
      <w:r w:rsidRPr="00563D0D">
        <w:rPr>
          <w:rFonts w:ascii="Times New Roman" w:hAnsi="Times New Roman"/>
          <w:noProof/>
          <w:sz w:val="24"/>
          <w:lang w:val="pl-PL"/>
        </w:rPr>
        <w:t>owiednimi bazami danych (np. prowadzonymi przez ECDC i EMA); ponowne wykorzystanie istniejących systemów (np. platformy EIOS prowadzonej przez WHO)</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inn</w:t>
      </w:r>
      <w:r w:rsidRPr="00563D0D">
        <w:rPr>
          <w:rFonts w:ascii="Times New Roman" w:hAnsi="Times New Roman"/>
          <w:noProof/>
          <w:sz w:val="24"/>
          <w:lang w:val="pl-PL"/>
        </w:rPr>
        <w:t>ych źródeł; oraz zapewnienie interoperacyjności rozwiązań cyfrowych.</w:t>
      </w:r>
      <w:r w:rsidR="00563D0D" w:rsidRPr="00563D0D">
        <w:rPr>
          <w:rFonts w:ascii="Times New Roman" w:hAnsi="Times New Roman"/>
          <w:noProof/>
          <w:sz w:val="24"/>
          <w:lang w:val="pl-PL"/>
        </w:rPr>
        <w:t xml:space="preserve"> </w:t>
      </w:r>
    </w:p>
    <w:p w14:paraId="1E14372C" w14:textId="77777777" w:rsidR="00003506" w:rsidRPr="00563D0D"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center"/>
        <w:rPr>
          <w:rFonts w:ascii="Times New Roman" w:eastAsia="Times New Roman" w:hAnsi="Times New Roman" w:cs="Times New Roman"/>
          <w:b/>
          <w:noProof/>
          <w:sz w:val="24"/>
          <w:lang w:val="pl-PL"/>
        </w:rPr>
      </w:pPr>
      <w:bookmarkStart w:id="6" w:name="_Hlk150770134"/>
      <w:bookmarkStart w:id="7" w:name="_Hlk150770135"/>
      <w:bookmarkStart w:id="8" w:name="_Hlk150770142"/>
      <w:bookmarkStart w:id="9" w:name="_Hlk150770143"/>
      <w:bookmarkStart w:id="10" w:name="_Hlk150770144"/>
      <w:bookmarkStart w:id="11" w:name="_Hlk150770145"/>
      <w:bookmarkStart w:id="12" w:name="_Hlk150770146"/>
      <w:bookmarkStart w:id="13" w:name="_Hlk150770147"/>
      <w:bookmarkStart w:id="14" w:name="_Hlk150770148"/>
      <w:bookmarkStart w:id="15" w:name="_Hlk150770149"/>
      <w:bookmarkStart w:id="16" w:name="_Hlk150770150"/>
      <w:bookmarkStart w:id="17" w:name="_Hlk150770151"/>
      <w:r w:rsidRPr="00563D0D">
        <w:rPr>
          <w:rFonts w:ascii="Times New Roman" w:hAnsi="Times New Roman"/>
          <w:b/>
          <w:noProof/>
          <w:sz w:val="24"/>
          <w:lang w:val="pl-PL"/>
        </w:rPr>
        <w:t>Uwolnienie potencjału danych dotyczących zdrowia</w:t>
      </w:r>
    </w:p>
    <w:p w14:paraId="08955959" w14:textId="014C4164" w:rsidR="00003506" w:rsidRPr="00563D0D"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Wniosek dotyczący rozporządzenia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awie europejskiej przestrzeni danych dotyczących zdrowia ma na celu uwolnienie potencjału danych dotyczących zdrowia poprzez umożliwienie ponownego wykorzystywania elektronicznych danych dotyczących zdrowia do celów badań naukowych, innowacji, statystyki publicznej, kształtowania polityki oraz działań regulacyjnych. Obejmuje to ponowne wykorzystywanie danych dotyczących zdrowia na potrzeby nadzoru</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ochrony przed zagrożeniami dla zdrowia lub zapewnienia wysokich standardów jakości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bez</w:t>
      </w:r>
      <w:r w:rsidRPr="00563D0D">
        <w:rPr>
          <w:rFonts w:ascii="Times New Roman" w:hAnsi="Times New Roman"/>
          <w:noProof/>
          <w:sz w:val="24"/>
          <w:lang w:val="pl-PL"/>
        </w:rPr>
        <w:t>pieczeństwa opieki zdrowotnej oraz produktów leczniczych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wyr</w:t>
      </w:r>
      <w:r w:rsidRPr="00563D0D">
        <w:rPr>
          <w:rFonts w:ascii="Times New Roman" w:hAnsi="Times New Roman"/>
          <w:noProof/>
          <w:sz w:val="24"/>
          <w:lang w:val="pl-PL"/>
        </w:rPr>
        <w:t>obów medycznych. Aby rozwinąć</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wdr</w:t>
      </w:r>
      <w:r w:rsidRPr="00563D0D">
        <w:rPr>
          <w:rFonts w:ascii="Times New Roman" w:hAnsi="Times New Roman"/>
          <w:noProof/>
          <w:sz w:val="24"/>
          <w:lang w:val="pl-PL"/>
        </w:rPr>
        <w:t>ożyć unijną infrastrukturę wtórnego wykorzystywania danych dotyczących zdrowia,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paź</w:t>
      </w:r>
      <w:r w:rsidRPr="00563D0D">
        <w:rPr>
          <w:rFonts w:ascii="Times New Roman" w:hAnsi="Times New Roman"/>
          <w:noProof/>
          <w:sz w:val="24"/>
          <w:lang w:val="pl-PL"/>
        </w:rPr>
        <w:t>dzierniku 2022</w:t>
      </w:r>
      <w:r w:rsidR="00563D0D" w:rsidRPr="00563D0D">
        <w:rPr>
          <w:rFonts w:ascii="Times New Roman" w:hAnsi="Times New Roman"/>
          <w:noProof/>
          <w:sz w:val="24"/>
          <w:lang w:val="pl-PL"/>
        </w:rPr>
        <w:t> </w:t>
      </w:r>
      <w:r w:rsidRPr="00563D0D">
        <w:rPr>
          <w:rFonts w:ascii="Times New Roman" w:hAnsi="Times New Roman"/>
          <w:noProof/>
          <w:sz w:val="24"/>
          <w:lang w:val="pl-PL"/>
        </w:rPr>
        <w:t>r. uruchomiono dwuletni projekt pilotażowy DaneZdrowotne@UE (HealthData@EU)</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jeg</w:t>
      </w:r>
      <w:r w:rsidRPr="00563D0D">
        <w:rPr>
          <w:rFonts w:ascii="Times New Roman" w:hAnsi="Times New Roman"/>
          <w:noProof/>
          <w:sz w:val="24"/>
          <w:lang w:val="pl-PL"/>
        </w:rPr>
        <w:t>o ramach przeprowadzone zostaną testy infrastruktury służącej do wtórnego wykorzystywania danych dotyczących zdrowia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kon</w:t>
      </w:r>
      <w:r w:rsidRPr="00563D0D">
        <w:rPr>
          <w:rFonts w:ascii="Times New Roman" w:hAnsi="Times New Roman"/>
          <w:noProof/>
          <w:sz w:val="24"/>
          <w:lang w:val="pl-PL"/>
        </w:rPr>
        <w:t>tekście przypadków użycia. Przykłady obejmują skupienie się na nadzorze nad nabytą opornością na środki przeciwdrobnoustrojowe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sto</w:t>
      </w:r>
      <w:r w:rsidRPr="00563D0D">
        <w:rPr>
          <w:rFonts w:ascii="Times New Roman" w:hAnsi="Times New Roman"/>
          <w:noProof/>
          <w:sz w:val="24"/>
          <w:lang w:val="pl-PL"/>
        </w:rPr>
        <w:t>sowaniu testów, hospitalizacjach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estrzeganiu zasad szczepień</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sub</w:t>
      </w:r>
      <w:r w:rsidRPr="00563D0D">
        <w:rPr>
          <w:rFonts w:ascii="Times New Roman" w:hAnsi="Times New Roman"/>
          <w:noProof/>
          <w:sz w:val="24"/>
          <w:lang w:val="pl-PL"/>
        </w:rPr>
        <w:t>populacjach szczególnie podatnych na zagrożenia. ECDC będzie również uczestniczyć</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pro</w:t>
      </w:r>
      <w:r w:rsidRPr="00563D0D">
        <w:rPr>
          <w:rFonts w:ascii="Times New Roman" w:hAnsi="Times New Roman"/>
          <w:noProof/>
          <w:sz w:val="24"/>
          <w:lang w:val="pl-PL"/>
        </w:rPr>
        <w:t>jekcie, oceniając wykorzystanie infrastruktury do celów nadzoru</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zdr</w:t>
      </w:r>
      <w:r w:rsidRPr="00563D0D">
        <w:rPr>
          <w:rFonts w:ascii="Times New Roman" w:hAnsi="Times New Roman"/>
          <w:noProof/>
          <w:sz w:val="24"/>
          <w:lang w:val="pl-PL"/>
        </w:rPr>
        <w:t>owiu publicznym.</w:t>
      </w:r>
    </w:p>
    <w:bookmarkEnd w:id="6"/>
    <w:bookmarkEnd w:id="7"/>
    <w:bookmarkEnd w:id="8"/>
    <w:bookmarkEnd w:id="9"/>
    <w:bookmarkEnd w:id="10"/>
    <w:bookmarkEnd w:id="11"/>
    <w:bookmarkEnd w:id="12"/>
    <w:bookmarkEnd w:id="13"/>
    <w:bookmarkEnd w:id="14"/>
    <w:bookmarkEnd w:id="15"/>
    <w:bookmarkEnd w:id="16"/>
    <w:bookmarkEnd w:id="17"/>
    <w:p w14:paraId="286E1D50" w14:textId="77777777" w:rsidR="001F1738" w:rsidRPr="00563D0D" w:rsidRDefault="001F1738" w:rsidP="001F1738">
      <w:pPr>
        <w:keepNext/>
        <w:keepLines/>
        <w:spacing w:before="100" w:beforeAutospacing="1" w:after="100" w:afterAutospacing="1" w:line="240" w:lineRule="auto"/>
        <w:jc w:val="both"/>
        <w:outlineLvl w:val="1"/>
        <w:rPr>
          <w:rFonts w:ascii="Times New Roman" w:eastAsia="Times New Roman" w:hAnsi="Times New Roman" w:cs="Times New Roman"/>
          <w:b/>
          <w:noProof/>
          <w:sz w:val="24"/>
          <w:lang w:val="pl-PL"/>
        </w:rPr>
      </w:pPr>
      <w:r w:rsidRPr="00563D0D">
        <w:rPr>
          <w:rFonts w:ascii="Times New Roman" w:hAnsi="Times New Roman"/>
          <w:b/>
          <w:noProof/>
          <w:sz w:val="24"/>
          <w:lang w:val="pl-PL"/>
        </w:rPr>
        <w:t xml:space="preserve">Zwiększenie zdolności zintegrowanych systemów nadzoru „Jedno zdrowie” </w:t>
      </w:r>
    </w:p>
    <w:p w14:paraId="23674D9F" w14:textId="56C373D5" w:rsidR="001F1738" w:rsidRPr="00563D0D" w:rsidRDefault="001F1738" w:rsidP="001F1738">
      <w:pPr>
        <w:spacing w:before="100" w:beforeAutospacing="1" w:after="100" w:afterAutospacing="1" w:line="240" w:lineRule="auto"/>
        <w:jc w:val="both"/>
        <w:textAlignment w:val="baseline"/>
        <w:rPr>
          <w:rFonts w:ascii="Times New Roman" w:eastAsia="Times New Roman" w:hAnsi="Times New Roman" w:cs="Times New Roman"/>
          <w:noProof/>
          <w:sz w:val="24"/>
          <w:lang w:val="pl-PL"/>
        </w:rPr>
      </w:pPr>
      <w:r w:rsidRPr="00563D0D">
        <w:rPr>
          <w:rFonts w:ascii="Times New Roman" w:hAnsi="Times New Roman"/>
          <w:noProof/>
          <w:sz w:val="24"/>
          <w:lang w:val="pl-PL"/>
        </w:rPr>
        <w:t>Komisja wspiera zintegrowane systemy nadzoru „Jedno zdrowie”, które obejmują powiązania między zdrowiem ludzi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zwi</w:t>
      </w:r>
      <w:r w:rsidRPr="00563D0D">
        <w:rPr>
          <w:rFonts w:ascii="Times New Roman" w:hAnsi="Times New Roman"/>
          <w:noProof/>
          <w:sz w:val="24"/>
          <w:lang w:val="pl-PL"/>
        </w:rPr>
        <w:t>erząt</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śro</w:t>
      </w:r>
      <w:r w:rsidRPr="00563D0D">
        <w:rPr>
          <w:rFonts w:ascii="Times New Roman" w:hAnsi="Times New Roman"/>
          <w:noProof/>
          <w:sz w:val="24"/>
          <w:lang w:val="pl-PL"/>
        </w:rPr>
        <w:t>dowiskiem. Jednym</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nic</w:t>
      </w:r>
      <w:r w:rsidRPr="00563D0D">
        <w:rPr>
          <w:rFonts w:ascii="Times New Roman" w:hAnsi="Times New Roman"/>
          <w:noProof/>
          <w:sz w:val="24"/>
          <w:lang w:val="pl-PL"/>
        </w:rPr>
        <w:t>h jest wspólne działanie</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war</w:t>
      </w:r>
      <w:r w:rsidRPr="00563D0D">
        <w:rPr>
          <w:rFonts w:ascii="Times New Roman" w:hAnsi="Times New Roman"/>
          <w:noProof/>
          <w:sz w:val="24"/>
          <w:lang w:val="pl-PL"/>
        </w:rPr>
        <w:t>tości 7,8 mln EUR „Budowanie zdolności unijnych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kra</w:t>
      </w:r>
      <w:r w:rsidRPr="00563D0D">
        <w:rPr>
          <w:rFonts w:ascii="Times New Roman" w:hAnsi="Times New Roman"/>
          <w:noProof/>
          <w:sz w:val="24"/>
          <w:lang w:val="pl-PL"/>
        </w:rPr>
        <w:t>jowych na rzecz zintegrowanego nadzoru (UNITED4Surveillance)”</w:t>
      </w:r>
      <w:r w:rsidRPr="00563D0D">
        <w:rPr>
          <w:rFonts w:ascii="Times New Roman" w:eastAsia="Times New Roman" w:hAnsi="Times New Roman" w:cs="Times New Roman"/>
          <w:noProof/>
          <w:sz w:val="24"/>
          <w:vertAlign w:val="superscript"/>
          <w:lang w:val="pl-PL"/>
        </w:rPr>
        <w:footnoteReference w:id="75"/>
      </w:r>
      <w:r w:rsidRPr="00563D0D">
        <w:rPr>
          <w:rFonts w:ascii="Times New Roman" w:hAnsi="Times New Roman"/>
          <w:noProof/>
          <w:sz w:val="24"/>
          <w:lang w:val="pl-PL"/>
        </w:rPr>
        <w:t>, finansowane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Programu UE dla zdrowia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zai</w:t>
      </w:r>
      <w:r w:rsidRPr="00563D0D">
        <w:rPr>
          <w:rFonts w:ascii="Times New Roman" w:hAnsi="Times New Roman"/>
          <w:noProof/>
          <w:sz w:val="24"/>
          <w:lang w:val="pl-PL"/>
        </w:rPr>
        <w:t>nicjowane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lut</w:t>
      </w:r>
      <w:r w:rsidRPr="00563D0D">
        <w:rPr>
          <w:rFonts w:ascii="Times New Roman" w:hAnsi="Times New Roman"/>
          <w:noProof/>
          <w:sz w:val="24"/>
          <w:lang w:val="pl-PL"/>
        </w:rPr>
        <w:t>ym 2023</w:t>
      </w:r>
      <w:r w:rsidR="00563D0D" w:rsidRPr="00563D0D">
        <w:rPr>
          <w:rFonts w:ascii="Times New Roman" w:hAnsi="Times New Roman"/>
          <w:noProof/>
          <w:sz w:val="24"/>
          <w:lang w:val="pl-PL"/>
        </w:rPr>
        <w:t> </w:t>
      </w:r>
      <w:r w:rsidRPr="00563D0D">
        <w:rPr>
          <w:rFonts w:ascii="Times New Roman" w:hAnsi="Times New Roman"/>
          <w:noProof/>
          <w:sz w:val="24"/>
          <w:lang w:val="pl-PL"/>
        </w:rPr>
        <w:t>r. wspólnie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wła</w:t>
      </w:r>
      <w:r w:rsidRPr="00563D0D">
        <w:rPr>
          <w:rFonts w:ascii="Times New Roman" w:hAnsi="Times New Roman"/>
          <w:noProof/>
          <w:sz w:val="24"/>
          <w:lang w:val="pl-PL"/>
        </w:rPr>
        <w:t>ściwymi organami krajowymi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propagowania integracji systemów nadzoru na szczeblu UE poprzez wspieranie usprawnień</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kra</w:t>
      </w:r>
      <w:r w:rsidRPr="00563D0D">
        <w:rPr>
          <w:rFonts w:ascii="Times New Roman" w:hAnsi="Times New Roman"/>
          <w:noProof/>
          <w:sz w:val="24"/>
          <w:lang w:val="pl-PL"/>
        </w:rPr>
        <w:t>jowych systemach nadzoru. UNITED4Surveillance koncentruje się na określeniu wytycznych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integracji różnych źródeł elektronicznych danych dotyczących zdrowia oraz cyfrowych rejestrów/baz danych, budowania zdolności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nadzoru w UE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poz</w:t>
      </w:r>
      <w:r w:rsidRPr="00563D0D">
        <w:rPr>
          <w:rFonts w:ascii="Times New Roman" w:hAnsi="Times New Roman"/>
          <w:noProof/>
          <w:sz w:val="24"/>
          <w:lang w:val="pl-PL"/>
        </w:rPr>
        <w:t>a nią oraz poprawy bezpieczeństwa zdrowotnego na świecie.</w:t>
      </w:r>
    </w:p>
    <w:p w14:paraId="4D199225" w14:textId="53A1C457" w:rsidR="001F1738" w:rsidRPr="00563D0D" w:rsidRDefault="001F1738" w:rsidP="001F1738">
      <w:pPr>
        <w:spacing w:before="100" w:beforeAutospacing="1" w:after="100" w:afterAutospacing="1" w:line="240" w:lineRule="auto"/>
        <w:jc w:val="both"/>
        <w:textAlignment w:val="baseline"/>
        <w:rPr>
          <w:rFonts w:ascii="Times New Roman" w:eastAsia="Times New Roman" w:hAnsi="Times New Roman" w:cs="Times New Roman"/>
          <w:noProof/>
          <w:sz w:val="24"/>
          <w:lang w:val="pl-PL"/>
        </w:rPr>
      </w:pPr>
      <w:r w:rsidRPr="00563D0D">
        <w:rPr>
          <w:rFonts w:ascii="Times New Roman" w:hAnsi="Times New Roman"/>
          <w:noProof/>
          <w:sz w:val="24"/>
          <w:lang w:val="pl-PL"/>
        </w:rPr>
        <w:t>Państwom członkowskim udostępniono ponadto kolejną dotację bezpośrednią,</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war</w:t>
      </w:r>
      <w:r w:rsidRPr="00563D0D">
        <w:rPr>
          <w:rFonts w:ascii="Times New Roman" w:hAnsi="Times New Roman"/>
          <w:noProof/>
          <w:sz w:val="24"/>
          <w:lang w:val="pl-PL"/>
        </w:rPr>
        <w:t>tości 20 mln EUR, na potrzeby opracowania skoordynowanego systemu nadzoru</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podejścia „Jedno zdrowie”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odn</w:t>
      </w:r>
      <w:r w:rsidRPr="00563D0D">
        <w:rPr>
          <w:rFonts w:ascii="Times New Roman" w:hAnsi="Times New Roman"/>
          <w:noProof/>
          <w:sz w:val="24"/>
          <w:lang w:val="pl-PL"/>
        </w:rPr>
        <w:t>iesieniu do transgranicznych patogenów zagrażających Unii</w:t>
      </w:r>
      <w:r w:rsidRPr="00563D0D">
        <w:rPr>
          <w:rFonts w:ascii="Times New Roman" w:eastAsia="Times New Roman" w:hAnsi="Times New Roman" w:cs="Times New Roman"/>
          <w:noProof/>
          <w:sz w:val="24"/>
          <w:vertAlign w:val="superscript"/>
          <w:lang w:val="pl-PL"/>
        </w:rPr>
        <w:footnoteReference w:id="76"/>
      </w:r>
      <w:r w:rsidRPr="00563D0D">
        <w:rPr>
          <w:rFonts w:ascii="Times New Roman" w:hAnsi="Times New Roman"/>
          <w:noProof/>
          <w:sz w:val="24"/>
          <w:lang w:val="pl-PL"/>
        </w:rPr>
        <w:t>. Dotacja ta pomoże organom państw członkowskich przyczynić się do ustanowienia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zwi</w:t>
      </w:r>
      <w:r w:rsidRPr="00563D0D">
        <w:rPr>
          <w:rFonts w:ascii="Times New Roman" w:hAnsi="Times New Roman"/>
          <w:noProof/>
          <w:sz w:val="24"/>
          <w:lang w:val="pl-PL"/>
        </w:rPr>
        <w:t>ększenia skali systemu nadzoru nad zwierzętami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śro</w:t>
      </w:r>
      <w:r w:rsidRPr="00563D0D">
        <w:rPr>
          <w:rFonts w:ascii="Times New Roman" w:hAnsi="Times New Roman"/>
          <w:noProof/>
          <w:sz w:val="24"/>
          <w:lang w:val="pl-PL"/>
        </w:rPr>
        <w:t>dowiskiem pod kątem chorób odzwierzęcych,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do systematycznego gromadzenia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oce</w:t>
      </w:r>
      <w:r w:rsidRPr="00563D0D">
        <w:rPr>
          <w:rFonts w:ascii="Times New Roman" w:hAnsi="Times New Roman"/>
          <w:noProof/>
          <w:sz w:val="24"/>
          <w:lang w:val="pl-PL"/>
        </w:rPr>
        <w:t>ny danych przez EFSA we współpracy z ECDC. Zapewni on elementy dotyczące zdrowia zwierząt</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śro</w:t>
      </w:r>
      <w:r w:rsidRPr="00563D0D">
        <w:rPr>
          <w:rFonts w:ascii="Times New Roman" w:hAnsi="Times New Roman"/>
          <w:noProof/>
          <w:sz w:val="24"/>
          <w:lang w:val="pl-PL"/>
        </w:rPr>
        <w:t>dowiska, które będą stanowić uzupełnienie powyższego działania po stronie człowieka, na potrzeby zintegrowanego nadzoru „Jedno zdrowie”.</w:t>
      </w:r>
    </w:p>
    <w:p w14:paraId="690876EC" w14:textId="52C94A4F" w:rsidR="001F1738" w:rsidRPr="00563D0D" w:rsidRDefault="001F1738" w:rsidP="001F1738">
      <w:pPr>
        <w:spacing w:before="100" w:beforeAutospacing="1" w:after="100" w:afterAutospacing="1" w:line="240" w:lineRule="auto"/>
        <w:jc w:val="both"/>
        <w:textAlignment w:val="baseline"/>
        <w:rPr>
          <w:rFonts w:ascii="Times New Roman" w:eastAsia="Times New Roman" w:hAnsi="Times New Roman" w:cs="Times New Roman"/>
          <w:noProof/>
          <w:sz w:val="24"/>
          <w:lang w:val="pl-PL"/>
        </w:rPr>
      </w:pPr>
      <w:r w:rsidRPr="00563D0D">
        <w:rPr>
          <w:rFonts w:ascii="Times New Roman" w:hAnsi="Times New Roman"/>
          <w:noProof/>
          <w:sz w:val="24"/>
          <w:lang w:val="pl-PL"/>
        </w:rPr>
        <w:t>Na początku 2024</w:t>
      </w:r>
      <w:r w:rsidR="00563D0D" w:rsidRPr="00563D0D">
        <w:rPr>
          <w:rFonts w:ascii="Times New Roman" w:hAnsi="Times New Roman"/>
          <w:noProof/>
          <w:sz w:val="24"/>
          <w:lang w:val="pl-PL"/>
        </w:rPr>
        <w:t> </w:t>
      </w:r>
      <w:r w:rsidRPr="00563D0D">
        <w:rPr>
          <w:rFonts w:ascii="Times New Roman" w:hAnsi="Times New Roman"/>
          <w:noProof/>
          <w:sz w:val="24"/>
          <w:lang w:val="pl-PL"/>
        </w:rPr>
        <w:t>r. Komisja rozpocznie studium wykonalności dotyczące zintegrowanych systemów nadzoru</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oporności na środki przeciwdrobnoustrojowe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sto</w:t>
      </w:r>
      <w:r w:rsidRPr="00563D0D">
        <w:rPr>
          <w:rFonts w:ascii="Times New Roman" w:hAnsi="Times New Roman"/>
          <w:noProof/>
          <w:sz w:val="24"/>
          <w:lang w:val="pl-PL"/>
        </w:rPr>
        <w:t>sowania środków przeciwdrobnoustrojowych</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sek</w:t>
      </w:r>
      <w:r w:rsidRPr="00563D0D">
        <w:rPr>
          <w:rFonts w:ascii="Times New Roman" w:hAnsi="Times New Roman"/>
          <w:noProof/>
          <w:sz w:val="24"/>
          <w:lang w:val="pl-PL"/>
        </w:rPr>
        <w:t>tora ludzkiego, weterynaryjnego</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śro</w:t>
      </w:r>
      <w:r w:rsidRPr="00563D0D">
        <w:rPr>
          <w:rFonts w:ascii="Times New Roman" w:hAnsi="Times New Roman"/>
          <w:noProof/>
          <w:sz w:val="24"/>
          <w:lang w:val="pl-PL"/>
        </w:rPr>
        <w:t>dowiskowego. Badanie to będzie wspierać państwa członkowskie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opr</w:t>
      </w:r>
      <w:r w:rsidRPr="00563D0D">
        <w:rPr>
          <w:rFonts w:ascii="Times New Roman" w:hAnsi="Times New Roman"/>
          <w:noProof/>
          <w:sz w:val="24"/>
          <w:lang w:val="pl-PL"/>
        </w:rPr>
        <w:t>acowywaniu zintegrowanych systemów nadzoru</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skutecznego</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szy</w:t>
      </w:r>
      <w:r w:rsidRPr="00563D0D">
        <w:rPr>
          <w:rFonts w:ascii="Times New Roman" w:hAnsi="Times New Roman"/>
          <w:noProof/>
          <w:sz w:val="24"/>
          <w:lang w:val="pl-PL"/>
        </w:rPr>
        <w:t>bkiego wykrywania pojawiających się opornych zakażeń</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ogn</w:t>
      </w:r>
      <w:r w:rsidRPr="00563D0D">
        <w:rPr>
          <w:rFonts w:ascii="Times New Roman" w:hAnsi="Times New Roman"/>
          <w:noProof/>
          <w:sz w:val="24"/>
          <w:lang w:val="pl-PL"/>
        </w:rPr>
        <w:t>isk chorób;</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tak</w:t>
      </w:r>
      <w:r w:rsidRPr="00563D0D">
        <w:rPr>
          <w:rFonts w:ascii="Times New Roman" w:hAnsi="Times New Roman"/>
          <w:noProof/>
          <w:sz w:val="24"/>
          <w:lang w:val="pl-PL"/>
        </w:rPr>
        <w:t>że określenia tendencji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tok</w:t>
      </w:r>
      <w:r w:rsidRPr="00563D0D">
        <w:rPr>
          <w:rFonts w:ascii="Times New Roman" w:hAnsi="Times New Roman"/>
          <w:noProof/>
          <w:sz w:val="24"/>
          <w:lang w:val="pl-PL"/>
        </w:rPr>
        <w:t>syczności obecności genów nabytej oporności na środki przeciwdrobnoustrojowe oraz środków przeciwdrobnoustrojowych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gle</w:t>
      </w:r>
      <w:r w:rsidRPr="00563D0D">
        <w:rPr>
          <w:rFonts w:ascii="Times New Roman" w:hAnsi="Times New Roman"/>
          <w:noProof/>
          <w:sz w:val="24"/>
          <w:lang w:val="pl-PL"/>
        </w:rPr>
        <w:t>bach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wod</w:t>
      </w:r>
      <w:r w:rsidRPr="00563D0D">
        <w:rPr>
          <w:rFonts w:ascii="Times New Roman" w:hAnsi="Times New Roman"/>
          <w:noProof/>
          <w:sz w:val="24"/>
          <w:lang w:val="pl-PL"/>
        </w:rPr>
        <w:t>ach. Pozwoli to lepiej zrozumieć złożoną epidemiologię nabytej oporności na środki przeciwdrobnoustrojowe,</w:t>
      </w:r>
      <w:r w:rsidR="00563D0D" w:rsidRPr="00563D0D">
        <w:rPr>
          <w:rFonts w:ascii="Times New Roman" w:hAnsi="Times New Roman"/>
          <w:noProof/>
          <w:sz w:val="24"/>
          <w:lang w:val="pl-PL"/>
        </w:rPr>
        <w:t xml:space="preserve"> </w:t>
      </w:r>
      <w:r w:rsidRPr="00563D0D">
        <w:rPr>
          <w:rFonts w:ascii="Times New Roman" w:hAnsi="Times New Roman"/>
          <w:noProof/>
          <w:sz w:val="24"/>
          <w:lang w:val="pl-PL"/>
        </w:rPr>
        <w:t>co umożliwi ukierunkowanie przyszłych zaleceń politycznych dotyczących reagowania na zagrożenia związane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nab</w:t>
      </w:r>
      <w:r w:rsidRPr="00563D0D">
        <w:rPr>
          <w:rFonts w:ascii="Times New Roman" w:hAnsi="Times New Roman"/>
          <w:noProof/>
          <w:sz w:val="24"/>
          <w:lang w:val="pl-PL"/>
        </w:rPr>
        <w:t>ytą opornością na środki przeciwdrobnoustrojowe, zanim przeistoczą się one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sta</w:t>
      </w:r>
      <w:r w:rsidRPr="00563D0D">
        <w:rPr>
          <w:rFonts w:ascii="Times New Roman" w:hAnsi="Times New Roman"/>
          <w:noProof/>
          <w:sz w:val="24"/>
          <w:lang w:val="pl-PL"/>
        </w:rPr>
        <w:t>ny zagrożenia zdrowia na dużą skalę.</w:t>
      </w:r>
    </w:p>
    <w:p w14:paraId="66E15B14" w14:textId="5EA131AF" w:rsidR="00003506" w:rsidRPr="00563D0D"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center"/>
        <w:textAlignment w:val="baseline"/>
        <w:rPr>
          <w:rFonts w:ascii="Times New Roman" w:eastAsia="Times New Roman" w:hAnsi="Times New Roman" w:cs="Times New Roman"/>
          <w:b/>
          <w:noProof/>
          <w:sz w:val="24"/>
          <w:lang w:val="pl-PL"/>
        </w:rPr>
      </w:pPr>
      <w:r w:rsidRPr="00563D0D">
        <w:rPr>
          <w:rFonts w:ascii="Times New Roman" w:hAnsi="Times New Roman"/>
          <w:b/>
          <w:noProof/>
          <w:sz w:val="24"/>
          <w:lang w:val="pl-PL"/>
        </w:rPr>
        <w:t>Ścieki: źródło nadzoru</w:t>
      </w:r>
      <w:r w:rsidR="00563D0D" w:rsidRPr="00563D0D">
        <w:rPr>
          <w:rFonts w:ascii="Times New Roman" w:hAnsi="Times New Roman"/>
          <w:b/>
          <w:noProof/>
          <w:sz w:val="24"/>
          <w:lang w:val="pl-PL"/>
        </w:rPr>
        <w:t xml:space="preserve"> w</w:t>
      </w:r>
      <w:r w:rsidR="00563D0D">
        <w:rPr>
          <w:rFonts w:ascii="Times New Roman" w:hAnsi="Times New Roman"/>
          <w:b/>
          <w:noProof/>
          <w:sz w:val="24"/>
          <w:lang w:val="pl-PL"/>
        </w:rPr>
        <w:t> </w:t>
      </w:r>
      <w:r w:rsidR="00563D0D" w:rsidRPr="00563D0D">
        <w:rPr>
          <w:rFonts w:ascii="Times New Roman" w:hAnsi="Times New Roman"/>
          <w:b/>
          <w:noProof/>
          <w:sz w:val="24"/>
          <w:lang w:val="pl-PL"/>
        </w:rPr>
        <w:t>zdr</w:t>
      </w:r>
      <w:r w:rsidRPr="00563D0D">
        <w:rPr>
          <w:rFonts w:ascii="Times New Roman" w:hAnsi="Times New Roman"/>
          <w:b/>
          <w:noProof/>
          <w:sz w:val="24"/>
          <w:lang w:val="pl-PL"/>
        </w:rPr>
        <w:t>owiu publicznym</w:t>
      </w:r>
    </w:p>
    <w:p w14:paraId="6E700D91" w14:textId="385B456C" w:rsidR="00003506" w:rsidRPr="00563D0D"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textAlignment w:val="baseline"/>
        <w:rPr>
          <w:rFonts w:ascii="Times New Roman" w:eastAsia="Times New Roman" w:hAnsi="Times New Roman" w:cs="Times New Roman"/>
          <w:noProof/>
          <w:sz w:val="24"/>
          <w:lang w:val="pl-PL"/>
        </w:rPr>
      </w:pPr>
      <w:r w:rsidRPr="00563D0D">
        <w:rPr>
          <w:rFonts w:ascii="Times New Roman" w:hAnsi="Times New Roman"/>
          <w:noProof/>
          <w:sz w:val="24"/>
          <w:lang w:val="pl-PL"/>
        </w:rPr>
        <w:t>Podczas pandemii COVID-19 nadzór nad SARS-CoV-2</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jeg</w:t>
      </w:r>
      <w:r w:rsidRPr="00563D0D">
        <w:rPr>
          <w:rFonts w:ascii="Times New Roman" w:hAnsi="Times New Roman"/>
          <w:noProof/>
          <w:sz w:val="24"/>
          <w:lang w:val="pl-PL"/>
        </w:rPr>
        <w:t>o wariantami bazujący na wykorzystaniu ścieków okazał się ważnym dodatkowym źródłem informacji na temat obecności wirusa, wykorzystywanych również do celów badania epidemiologicznego nad rozprzestrzenianiem się wirusa w UE, które było możliwe za pośrednictwem europejskiej platformy wymiany danych cyfrowych (DEEP). HERA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Wsp</w:t>
      </w:r>
      <w:r w:rsidRPr="00563D0D">
        <w:rPr>
          <w:rFonts w:ascii="Times New Roman" w:hAnsi="Times New Roman"/>
          <w:noProof/>
          <w:sz w:val="24"/>
          <w:lang w:val="pl-PL"/>
        </w:rPr>
        <w:t>ólne Centrum Badawcze (JRC) wspierają wspólne działanie mające na celu wzmocnienie krajowych zdolności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ustalania priorytetów dotyczących patogenów, pobierania próbek</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włą</w:t>
      </w:r>
      <w:r w:rsidRPr="00563D0D">
        <w:rPr>
          <w:rFonts w:ascii="Times New Roman" w:hAnsi="Times New Roman"/>
          <w:noProof/>
          <w:sz w:val="24"/>
          <w:lang w:val="pl-PL"/>
        </w:rPr>
        <w:t>czania danych dotyczących ścieków do nadzoru do celów podejmowania decyzji dotyczących zdrowia publicznego oraz ustanowienie unijnego systemu nadzoru sentinel do badania próbek ścieków, gdy pojawi się taka potrzeba. Ponadto HERA przewodzi procesowi tworzenia światowego konsorcjum na rzecz monitorowania ścieków na potrzeby zdrowia publicznego – sieci zainteresowanych stron</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org</w:t>
      </w:r>
      <w:r w:rsidRPr="00563D0D">
        <w:rPr>
          <w:rFonts w:ascii="Times New Roman" w:hAnsi="Times New Roman"/>
          <w:noProof/>
          <w:sz w:val="24"/>
          <w:lang w:val="pl-PL"/>
        </w:rPr>
        <w:t>anów na całym świecie zapewniającej kompleksowe monitorowanie strategicznych lokalizacji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cza</w:t>
      </w:r>
      <w:r w:rsidRPr="00563D0D">
        <w:rPr>
          <w:rFonts w:ascii="Times New Roman" w:hAnsi="Times New Roman"/>
          <w:noProof/>
          <w:sz w:val="24"/>
          <w:lang w:val="pl-PL"/>
        </w:rPr>
        <w:t>sie rzeczywistym, które pomoże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ide</w:t>
      </w:r>
      <w:r w:rsidRPr="00563D0D">
        <w:rPr>
          <w:rFonts w:ascii="Times New Roman" w:hAnsi="Times New Roman"/>
          <w:noProof/>
          <w:sz w:val="24"/>
          <w:lang w:val="pl-PL"/>
        </w:rPr>
        <w:t>ntyfikowaniu pojawiających się zagrożeń</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umo</w:t>
      </w:r>
      <w:r w:rsidRPr="00563D0D">
        <w:rPr>
          <w:rFonts w:ascii="Times New Roman" w:hAnsi="Times New Roman"/>
          <w:noProof/>
          <w:sz w:val="24"/>
          <w:lang w:val="pl-PL"/>
        </w:rPr>
        <w:t>żliwi szybkie podejmowanie działań.</w:t>
      </w:r>
    </w:p>
    <w:p w14:paraId="66624540" w14:textId="63ECE67D" w:rsidR="001F1738" w:rsidRPr="00563D0D" w:rsidRDefault="001F1738" w:rsidP="001F1738">
      <w:pPr>
        <w:spacing w:before="100" w:beforeAutospacing="1" w:after="100" w:afterAutospacing="1" w:line="240" w:lineRule="auto"/>
        <w:jc w:val="both"/>
        <w:textAlignment w:val="baseline"/>
        <w:rPr>
          <w:rFonts w:ascii="Times New Roman" w:eastAsia="Times New Roman" w:hAnsi="Times New Roman" w:cs="Times New Roman"/>
          <w:noProof/>
          <w:sz w:val="24"/>
          <w:lang w:val="pl-PL"/>
        </w:rPr>
      </w:pPr>
      <w:r w:rsidRPr="00563D0D">
        <w:rPr>
          <w:rFonts w:ascii="Times New Roman" w:hAnsi="Times New Roman"/>
          <w:noProof/>
          <w:sz w:val="24"/>
          <w:lang w:val="pl-PL"/>
        </w:rPr>
        <w:t>Projekty badawcze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programu „Horyzont 2020”, takie jak MOOD</w:t>
      </w:r>
      <w:r w:rsidRPr="00563D0D">
        <w:rPr>
          <w:rFonts w:ascii="Times New Roman" w:eastAsia="Times New Roman" w:hAnsi="Times New Roman" w:cs="Times New Roman"/>
          <w:noProof/>
          <w:sz w:val="24"/>
          <w:vertAlign w:val="superscript"/>
          <w:lang w:val="pl-PL"/>
        </w:rPr>
        <w:footnoteReference w:id="77"/>
      </w:r>
      <w:r w:rsidRPr="00563D0D">
        <w:rPr>
          <w:rFonts w:ascii="Times New Roman" w:hAnsi="Times New Roman"/>
          <w:noProof/>
          <w:sz w:val="24"/>
          <w:lang w:val="pl-PL"/>
        </w:rPr>
        <w:t xml:space="preserve"> i VEO</w:t>
      </w:r>
      <w:r w:rsidRPr="00563D0D">
        <w:rPr>
          <w:rFonts w:ascii="Times New Roman" w:eastAsia="Times New Roman" w:hAnsi="Times New Roman" w:cs="Times New Roman"/>
          <w:noProof/>
          <w:sz w:val="24"/>
          <w:vertAlign w:val="superscript"/>
          <w:lang w:val="pl-PL"/>
        </w:rPr>
        <w:footnoteReference w:id="78"/>
      </w:r>
      <w:r w:rsidRPr="00563D0D">
        <w:rPr>
          <w:rFonts w:ascii="Times New Roman" w:hAnsi="Times New Roman"/>
          <w:noProof/>
          <w:sz w:val="24"/>
          <w:lang w:val="pl-PL"/>
        </w:rPr>
        <w:t>, przyczyniły się do opracowania innowacyjnych podejść do poprawy nadzoru nad chorobami za pomocą podejścia „Jedno zdrowie”,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wyk</w:t>
      </w:r>
      <w:r w:rsidRPr="00563D0D">
        <w:rPr>
          <w:rFonts w:ascii="Times New Roman" w:hAnsi="Times New Roman"/>
          <w:noProof/>
          <w:sz w:val="24"/>
          <w:lang w:val="pl-PL"/>
        </w:rPr>
        <w:t>orzystaniem dużych zbiorów danych pochodzących</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wie</w:t>
      </w:r>
      <w:r w:rsidRPr="00563D0D">
        <w:rPr>
          <w:rFonts w:ascii="Times New Roman" w:hAnsi="Times New Roman"/>
          <w:noProof/>
          <w:sz w:val="24"/>
          <w:lang w:val="pl-PL"/>
        </w:rPr>
        <w:t>lu źródeł</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dan</w:t>
      </w:r>
      <w:r w:rsidRPr="00563D0D">
        <w:rPr>
          <w:rFonts w:ascii="Times New Roman" w:hAnsi="Times New Roman"/>
          <w:noProof/>
          <w:sz w:val="24"/>
          <w:lang w:val="pl-PL"/>
        </w:rPr>
        <w:t>ych dotyczących czynników powodujących pojawienie się chorób,</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przepływu ludzi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zmi</w:t>
      </w:r>
      <w:r w:rsidRPr="00563D0D">
        <w:rPr>
          <w:rFonts w:ascii="Times New Roman" w:hAnsi="Times New Roman"/>
          <w:noProof/>
          <w:sz w:val="24"/>
          <w:lang w:val="pl-PL"/>
        </w:rPr>
        <w:t>any klimatu</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projektu PHIRI</w:t>
      </w:r>
      <w:r w:rsidRPr="00563D0D">
        <w:rPr>
          <w:rFonts w:ascii="Times New Roman" w:eastAsiaTheme="minorEastAsia" w:hAnsi="Times New Roman" w:cs="Times New Roman"/>
          <w:noProof/>
          <w:sz w:val="24"/>
          <w:vertAlign w:val="superscript"/>
          <w:lang w:val="pl-PL"/>
        </w:rPr>
        <w:footnoteReference w:id="79"/>
      </w:r>
      <w:r w:rsidRPr="00563D0D">
        <w:rPr>
          <w:rFonts w:ascii="Times New Roman" w:hAnsi="Times New Roman"/>
          <w:noProof/>
          <w:sz w:val="24"/>
          <w:lang w:val="pl-PL"/>
        </w:rPr>
        <w:t xml:space="preserve"> opracowano portal informacji na temat zdrowia, który służy do centralizacji danych dotyczących zdrowia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opi</w:t>
      </w:r>
      <w:r w:rsidRPr="00563D0D">
        <w:rPr>
          <w:rFonts w:ascii="Times New Roman" w:hAnsi="Times New Roman"/>
          <w:noProof/>
          <w:sz w:val="24"/>
          <w:lang w:val="pl-PL"/>
        </w:rPr>
        <w:t>eki zdrowotnej oraz umożliwia naukowcom łączenie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wyk</w:t>
      </w:r>
      <w:r w:rsidRPr="00563D0D">
        <w:rPr>
          <w:rFonts w:ascii="Times New Roman" w:hAnsi="Times New Roman"/>
          <w:noProof/>
          <w:sz w:val="24"/>
          <w:lang w:val="pl-PL"/>
        </w:rPr>
        <w:t>orzystywanie różnych źródeł danych</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cał</w:t>
      </w:r>
      <w:r w:rsidRPr="00563D0D">
        <w:rPr>
          <w:rFonts w:ascii="Times New Roman" w:hAnsi="Times New Roman"/>
          <w:noProof/>
          <w:sz w:val="24"/>
          <w:lang w:val="pl-PL"/>
        </w:rPr>
        <w:t xml:space="preserve">ej UE. </w:t>
      </w:r>
    </w:p>
    <w:p w14:paraId="63079CB0" w14:textId="19998B6B" w:rsidR="001F1738" w:rsidRPr="00563D0D" w:rsidRDefault="001F1738" w:rsidP="001F1738">
      <w:pPr>
        <w:keepNext/>
        <w:keepLines/>
        <w:spacing w:before="100" w:beforeAutospacing="1" w:after="100" w:afterAutospacing="1" w:line="240" w:lineRule="auto"/>
        <w:jc w:val="both"/>
        <w:outlineLvl w:val="1"/>
        <w:rPr>
          <w:rFonts w:asciiTheme="majorHAnsi" w:eastAsiaTheme="majorEastAsia" w:hAnsiTheme="majorHAnsi" w:cstheme="majorBidi"/>
          <w:noProof/>
          <w:sz w:val="28"/>
          <w:lang w:val="pl-PL"/>
        </w:rPr>
      </w:pPr>
      <w:r w:rsidRPr="00563D0D">
        <w:rPr>
          <w:rFonts w:ascii="Times New Roman" w:hAnsi="Times New Roman"/>
          <w:b/>
          <w:noProof/>
          <w:sz w:val="24"/>
          <w:lang w:val="pl-PL"/>
        </w:rPr>
        <w:t>Systemy wczesnego ostrzegania</w:t>
      </w:r>
    </w:p>
    <w:p w14:paraId="07DB9ECA" w14:textId="032DAAF6" w:rsidR="0032059A" w:rsidRPr="00563D0D" w:rsidRDefault="001F1738" w:rsidP="0032059A">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W 1998</w:t>
      </w:r>
      <w:r w:rsidR="00563D0D" w:rsidRPr="00563D0D">
        <w:rPr>
          <w:rFonts w:ascii="Times New Roman" w:hAnsi="Times New Roman"/>
          <w:noProof/>
          <w:sz w:val="24"/>
          <w:lang w:val="pl-PL"/>
        </w:rPr>
        <w:t> </w:t>
      </w:r>
      <w:r w:rsidRPr="00563D0D">
        <w:rPr>
          <w:rFonts w:ascii="Times New Roman" w:hAnsi="Times New Roman"/>
          <w:noProof/>
          <w:sz w:val="24"/>
          <w:lang w:val="pl-PL"/>
        </w:rPr>
        <w:t>r. utworzono unijny system wczesnego ostrzegania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gowania (EWRS) (decyzja nr</w:t>
      </w:r>
      <w:r w:rsidR="00563D0D" w:rsidRPr="00563D0D">
        <w:rPr>
          <w:rFonts w:ascii="Times New Roman" w:hAnsi="Times New Roman"/>
          <w:noProof/>
          <w:sz w:val="24"/>
          <w:lang w:val="pl-PL"/>
        </w:rPr>
        <w:t> </w:t>
      </w:r>
      <w:r w:rsidRPr="00563D0D">
        <w:rPr>
          <w:rFonts w:ascii="Times New Roman" w:hAnsi="Times New Roman"/>
          <w:noProof/>
          <w:sz w:val="24"/>
          <w:lang w:val="pl-PL"/>
        </w:rPr>
        <w:t>2119/98/WE)</w:t>
      </w:r>
      <w:r w:rsidRPr="00563D0D">
        <w:rPr>
          <w:rStyle w:val="FootnoteReference"/>
          <w:rFonts w:ascii="Times New Roman" w:eastAsia="Times New Roman" w:hAnsi="Times New Roman" w:cs="Times New Roman"/>
          <w:noProof/>
          <w:sz w:val="24"/>
          <w:lang w:val="pl-PL"/>
        </w:rPr>
        <w:footnoteReference w:id="80"/>
      </w:r>
      <w:r w:rsidRPr="00563D0D">
        <w:rPr>
          <w:rFonts w:ascii="Times New Roman" w:hAnsi="Times New Roman"/>
          <w:noProof/>
          <w:sz w:val="24"/>
          <w:lang w:val="pl-PL"/>
        </w:rPr>
        <w:t>. Jest to narzędzie</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ogr</w:t>
      </w:r>
      <w:r w:rsidRPr="00563D0D">
        <w:rPr>
          <w:rFonts w:ascii="Times New Roman" w:hAnsi="Times New Roman"/>
          <w:noProof/>
          <w:sz w:val="24"/>
          <w:lang w:val="pl-PL"/>
        </w:rPr>
        <w:t>aniczonym dostępie wykorzystywane do powiadamiania</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zag</w:t>
      </w:r>
      <w:r w:rsidRPr="00563D0D">
        <w:rPr>
          <w:rFonts w:ascii="Times New Roman" w:hAnsi="Times New Roman"/>
          <w:noProof/>
          <w:sz w:val="24"/>
          <w:lang w:val="pl-PL"/>
        </w:rPr>
        <w:t>rożeniach oraz do monitorowania zagrożeń dla zdrowia publicznego. Na przestrzeni lat był on kanałem szybkiego powiadamiania</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tys</w:t>
      </w:r>
      <w:r w:rsidRPr="00563D0D">
        <w:rPr>
          <w:rFonts w:ascii="Times New Roman" w:hAnsi="Times New Roman"/>
          <w:noProof/>
          <w:sz w:val="24"/>
          <w:lang w:val="pl-PL"/>
        </w:rPr>
        <w:t>iącach ostrzeżeń. Na początku stycznia 2020</w:t>
      </w:r>
      <w:r w:rsidR="00563D0D" w:rsidRPr="00563D0D">
        <w:rPr>
          <w:rFonts w:ascii="Times New Roman" w:hAnsi="Times New Roman"/>
          <w:noProof/>
          <w:sz w:val="24"/>
          <w:lang w:val="pl-PL"/>
        </w:rPr>
        <w:t> </w:t>
      </w:r>
      <w:r w:rsidRPr="00563D0D">
        <w:rPr>
          <w:rFonts w:ascii="Times New Roman" w:hAnsi="Times New Roman"/>
          <w:noProof/>
          <w:sz w:val="24"/>
          <w:lang w:val="pl-PL"/>
        </w:rPr>
        <w:t>r. Komisja opublikowała pierwszy wpis dotyczący COVID-19</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dostosowania do rozporządzenia (UE) 2022/2371 EWRS ma zostać zrestrukturyzowany zgodnie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głó</w:t>
      </w:r>
      <w:r w:rsidRPr="00563D0D">
        <w:rPr>
          <w:rFonts w:ascii="Times New Roman" w:hAnsi="Times New Roman"/>
          <w:noProof/>
          <w:sz w:val="24"/>
          <w:lang w:val="pl-PL"/>
        </w:rPr>
        <w:t>wnymi kategoriami zagrożeń zdrowia, tj. pochodzenia biologicznego, chemicznego</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śro</w:t>
      </w:r>
      <w:r w:rsidRPr="00563D0D">
        <w:rPr>
          <w:rFonts w:ascii="Times New Roman" w:hAnsi="Times New Roman"/>
          <w:noProof/>
          <w:sz w:val="24"/>
          <w:lang w:val="pl-PL"/>
        </w:rPr>
        <w:t>dowiskowego,</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tak</w:t>
      </w:r>
      <w:r w:rsidRPr="00563D0D">
        <w:rPr>
          <w:rFonts w:ascii="Times New Roman" w:hAnsi="Times New Roman"/>
          <w:noProof/>
          <w:sz w:val="24"/>
          <w:lang w:val="pl-PL"/>
        </w:rPr>
        <w:t xml:space="preserve">że zagrożeniami nieznanego pochodzenia. </w:t>
      </w:r>
    </w:p>
    <w:p w14:paraId="3612F01E" w14:textId="4E5268AD" w:rsidR="001F1738" w:rsidRPr="00563D0D" w:rsidRDefault="00072774"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Obecnie realizowane jest działanie przygotowawcze</w:t>
      </w:r>
      <w:r w:rsidRPr="00563D0D">
        <w:rPr>
          <w:rStyle w:val="FootnoteReference"/>
          <w:rFonts w:ascii="Times New Roman" w:eastAsia="Times New Roman" w:hAnsi="Times New Roman" w:cs="Times New Roman"/>
          <w:noProof/>
          <w:sz w:val="24"/>
          <w:lang w:val="pl-PL"/>
        </w:rPr>
        <w:footnoteReference w:id="81"/>
      </w:r>
      <w:r w:rsidRPr="00563D0D">
        <w:rPr>
          <w:rFonts w:ascii="Times New Roman" w:hAnsi="Times New Roman"/>
          <w:noProof/>
          <w:sz w:val="24"/>
          <w:lang w:val="pl-PL"/>
        </w:rPr>
        <w:t xml:space="preserve"> na potrzeby rozwoju nowych funkcji EWRS. Celem jest uwzględnienie priorytetów</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dalszego rozwoju EWRS zgodnie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roz</w:t>
      </w:r>
      <w:r w:rsidRPr="00563D0D">
        <w:rPr>
          <w:rFonts w:ascii="Times New Roman" w:hAnsi="Times New Roman"/>
          <w:noProof/>
          <w:sz w:val="24"/>
          <w:lang w:val="pl-PL"/>
        </w:rPr>
        <w:t>porządzeniem (UE) 2022/2371: wprowadzenie nowego zarządzania, architektury</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fun</w:t>
      </w:r>
      <w:r w:rsidRPr="00563D0D">
        <w:rPr>
          <w:rFonts w:ascii="Times New Roman" w:hAnsi="Times New Roman"/>
          <w:noProof/>
          <w:sz w:val="24"/>
          <w:lang w:val="pl-PL"/>
        </w:rPr>
        <w:t>kcji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wspierania rozwoju struktur oraz nowych grup użytkowników</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ról</w:t>
      </w:r>
      <w:r w:rsidRPr="00563D0D">
        <w:rPr>
          <w:rFonts w:ascii="Times New Roman" w:hAnsi="Times New Roman"/>
          <w:noProof/>
          <w:sz w:val="24"/>
          <w:lang w:val="pl-PL"/>
        </w:rPr>
        <w:t>; wzmocnienie bezpieczeństwa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och</w:t>
      </w:r>
      <w:r w:rsidRPr="00563D0D">
        <w:rPr>
          <w:rFonts w:ascii="Times New Roman" w:hAnsi="Times New Roman"/>
          <w:noProof/>
          <w:sz w:val="24"/>
          <w:lang w:val="pl-PL"/>
        </w:rPr>
        <w:t>rony danych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nas</w:t>
      </w:r>
      <w:r w:rsidRPr="00563D0D">
        <w:rPr>
          <w:rFonts w:ascii="Times New Roman" w:hAnsi="Times New Roman"/>
          <w:noProof/>
          <w:sz w:val="24"/>
          <w:lang w:val="pl-PL"/>
        </w:rPr>
        <w:t>tępstwie oceny skutków dla ochrony danych; opracowanie nowych modułów wspierających planowanie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awozdawczość</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gotowości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gowania oraz zdolności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zarządzania kryzysowego; oraz poprawa usług wsparcia użytkowników (szkolenie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zin</w:t>
      </w:r>
      <w:r w:rsidRPr="00563D0D">
        <w:rPr>
          <w:rFonts w:ascii="Times New Roman" w:hAnsi="Times New Roman"/>
          <w:noProof/>
          <w:sz w:val="24"/>
          <w:lang w:val="pl-PL"/>
        </w:rPr>
        <w:t>tegrowane poradnictwo dla użytkowników)</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tego działania trwają prace nad oceną wykonalności dotyczącą wzajemnych powiązań</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uni</w:t>
      </w:r>
      <w:r w:rsidRPr="00563D0D">
        <w:rPr>
          <w:rFonts w:ascii="Times New Roman" w:hAnsi="Times New Roman"/>
          <w:noProof/>
          <w:sz w:val="24"/>
          <w:lang w:val="pl-PL"/>
        </w:rPr>
        <w:t>jnymi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inn</w:t>
      </w:r>
      <w:r w:rsidRPr="00563D0D">
        <w:rPr>
          <w:rFonts w:ascii="Times New Roman" w:hAnsi="Times New Roman"/>
          <w:noProof/>
          <w:sz w:val="24"/>
          <w:lang w:val="pl-PL"/>
        </w:rPr>
        <w:t>ymi międzynarodowymi systemami alarmowymi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inf</w:t>
      </w:r>
      <w:r w:rsidRPr="00563D0D">
        <w:rPr>
          <w:rFonts w:ascii="Times New Roman" w:hAnsi="Times New Roman"/>
          <w:noProof/>
          <w:sz w:val="24"/>
          <w:lang w:val="pl-PL"/>
        </w:rPr>
        <w:t>ormacyjnymi. Oceniono 13 takich systemów,</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1</w:t>
      </w:r>
      <w:r w:rsidRPr="00563D0D">
        <w:rPr>
          <w:rFonts w:ascii="Times New Roman" w:hAnsi="Times New Roman"/>
          <w:noProof/>
          <w:sz w:val="24"/>
          <w:lang w:val="pl-PL"/>
        </w:rPr>
        <w:t>0 zostanie potraktowanych priorytetowo pod względem wzajemnych powiązań z EWRS</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zapewnienia interoperacyjności</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inn</w:t>
      </w:r>
      <w:r w:rsidRPr="00563D0D">
        <w:rPr>
          <w:rFonts w:ascii="Times New Roman" w:hAnsi="Times New Roman"/>
          <w:noProof/>
          <w:sz w:val="24"/>
          <w:lang w:val="pl-PL"/>
        </w:rPr>
        <w:t>ymi systemami informacji alarmowej trwa również przegląd systematyki EWRS dotyczącej zagrożeń biologicznych, chemicznych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śro</w:t>
      </w:r>
      <w:r w:rsidRPr="00563D0D">
        <w:rPr>
          <w:rFonts w:ascii="Times New Roman" w:hAnsi="Times New Roman"/>
          <w:noProof/>
          <w:sz w:val="24"/>
          <w:lang w:val="pl-PL"/>
        </w:rPr>
        <w:t>dowiskowych.</w:t>
      </w:r>
    </w:p>
    <w:p w14:paraId="0F92831F" w14:textId="67CBB726" w:rsidR="001F1738" w:rsidRPr="00563D0D" w:rsidRDefault="00E57E84"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Niezbędna jest koordynacja</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inn</w:t>
      </w:r>
      <w:r w:rsidRPr="00563D0D">
        <w:rPr>
          <w:rFonts w:ascii="Times New Roman" w:hAnsi="Times New Roman"/>
          <w:noProof/>
          <w:sz w:val="24"/>
          <w:lang w:val="pl-PL"/>
        </w:rPr>
        <w:t>ymi systemami ostrzegania, na przykład</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ypadku czynników chorobotwórczych przenoszonych przez żywność (np. przypadku opornych bakterii</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rod</w:t>
      </w:r>
      <w:r w:rsidRPr="00563D0D">
        <w:rPr>
          <w:rFonts w:ascii="Times New Roman" w:hAnsi="Times New Roman"/>
          <w:noProof/>
          <w:sz w:val="24"/>
          <w:lang w:val="pl-PL"/>
        </w:rPr>
        <w:t xml:space="preserve">zaju </w:t>
      </w:r>
      <w:r w:rsidRPr="00563D0D">
        <w:rPr>
          <w:rFonts w:ascii="Times New Roman" w:hAnsi="Times New Roman"/>
          <w:i/>
          <w:noProof/>
          <w:sz w:val="24"/>
          <w:lang w:val="pl-PL"/>
        </w:rPr>
        <w:t>Salmonella</w:t>
      </w:r>
      <w:r w:rsidRPr="00563D0D">
        <w:rPr>
          <w:rFonts w:ascii="Times New Roman" w:hAnsi="Times New Roman"/>
          <w:noProof/>
          <w:sz w:val="24"/>
          <w:lang w:val="pl-PL"/>
        </w:rPr>
        <w:t>, które wykryto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jaj</w:t>
      </w:r>
      <w:r w:rsidRPr="00563D0D">
        <w:rPr>
          <w:rFonts w:ascii="Times New Roman" w:hAnsi="Times New Roman"/>
          <w:noProof/>
          <w:sz w:val="24"/>
          <w:lang w:val="pl-PL"/>
        </w:rPr>
        <w:t>ach czekoladowych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2</w:t>
      </w:r>
      <w:r w:rsidRPr="00563D0D">
        <w:rPr>
          <w:rFonts w:ascii="Times New Roman" w:hAnsi="Times New Roman"/>
          <w:noProof/>
          <w:sz w:val="24"/>
          <w:lang w:val="pl-PL"/>
        </w:rPr>
        <w:t>022</w:t>
      </w:r>
      <w:r w:rsidR="00563D0D" w:rsidRPr="00563D0D">
        <w:rPr>
          <w:rFonts w:ascii="Times New Roman" w:hAnsi="Times New Roman"/>
          <w:noProof/>
          <w:sz w:val="24"/>
          <w:lang w:val="pl-PL"/>
        </w:rPr>
        <w:t> </w:t>
      </w:r>
      <w:r w:rsidRPr="00563D0D">
        <w:rPr>
          <w:rFonts w:ascii="Times New Roman" w:hAnsi="Times New Roman"/>
          <w:noProof/>
          <w:sz w:val="24"/>
          <w:lang w:val="pl-PL"/>
        </w:rPr>
        <w:t>r.) lub chorób odzwierzęcych takich jak grypa ptaków (jak wspomniano wcześniej</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nin</w:t>
      </w:r>
      <w:r w:rsidRPr="00563D0D">
        <w:rPr>
          <w:rFonts w:ascii="Times New Roman" w:hAnsi="Times New Roman"/>
          <w:noProof/>
          <w:sz w:val="24"/>
          <w:lang w:val="pl-PL"/>
        </w:rPr>
        <w:t>iejszym sprawozdaniu). Nadchodzące zmiany,</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któ</w:t>
      </w:r>
      <w:r w:rsidRPr="00563D0D">
        <w:rPr>
          <w:rFonts w:ascii="Times New Roman" w:hAnsi="Times New Roman"/>
          <w:noProof/>
          <w:sz w:val="24"/>
          <w:lang w:val="pl-PL"/>
        </w:rPr>
        <w:t>rych mowa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roz</w:t>
      </w:r>
      <w:r w:rsidRPr="00563D0D">
        <w:rPr>
          <w:rFonts w:ascii="Times New Roman" w:hAnsi="Times New Roman"/>
          <w:noProof/>
          <w:sz w:val="24"/>
          <w:lang w:val="pl-PL"/>
        </w:rPr>
        <w:t>porządzeniu (UE) 2022/2371, obejmują interoperacyjność EWRS</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inn</w:t>
      </w:r>
      <w:r w:rsidRPr="00563D0D">
        <w:rPr>
          <w:rFonts w:ascii="Times New Roman" w:hAnsi="Times New Roman"/>
          <w:noProof/>
          <w:sz w:val="24"/>
          <w:lang w:val="pl-PL"/>
        </w:rPr>
        <w:t>ymi systemami, takimi jak (i) unijny system informacji</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cho</w:t>
      </w:r>
      <w:r w:rsidRPr="00563D0D">
        <w:rPr>
          <w:rFonts w:ascii="Times New Roman" w:hAnsi="Times New Roman"/>
          <w:noProof/>
          <w:sz w:val="24"/>
          <w:lang w:val="pl-PL"/>
        </w:rPr>
        <w:t>robach zwierząt (ADIS)</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monitorowania chorób zakaźnych zwierząt; (ii) system wczesnego ostrzegania</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nie</w:t>
      </w:r>
      <w:r w:rsidRPr="00563D0D">
        <w:rPr>
          <w:rFonts w:ascii="Times New Roman" w:hAnsi="Times New Roman"/>
          <w:noProof/>
          <w:sz w:val="24"/>
          <w:lang w:val="pl-PL"/>
        </w:rPr>
        <w:t>bezpiecznej żywności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pas</w:t>
      </w:r>
      <w:r w:rsidRPr="00563D0D">
        <w:rPr>
          <w:rFonts w:ascii="Times New Roman" w:hAnsi="Times New Roman"/>
          <w:noProof/>
          <w:sz w:val="24"/>
          <w:lang w:val="pl-PL"/>
        </w:rPr>
        <w:t>zach (RASFF)</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ypadku zagrożeń związanych ze zdrowiem publicznym, których źródłem jest łańcuch żywnościowy; (iii) WebECURIE, unijny system wczesnego powiadamiania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wym</w:t>
      </w:r>
      <w:r w:rsidRPr="00563D0D">
        <w:rPr>
          <w:rFonts w:ascii="Times New Roman" w:hAnsi="Times New Roman"/>
          <w:noProof/>
          <w:sz w:val="24"/>
          <w:lang w:val="pl-PL"/>
        </w:rPr>
        <w:t>iany informacji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ypadku zdarzenia radiacyjnego,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awarii jądrowych; (iv) RASCHEM dotyczący zagrożeń</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cha</w:t>
      </w:r>
      <w:r w:rsidRPr="00563D0D">
        <w:rPr>
          <w:rFonts w:ascii="Times New Roman" w:hAnsi="Times New Roman"/>
          <w:noProof/>
          <w:sz w:val="24"/>
          <w:lang w:val="pl-PL"/>
        </w:rPr>
        <w:t>rakterze chemicznym; oraz (v) Safety Gate dotyczący zagrożeń</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cha</w:t>
      </w:r>
      <w:r w:rsidRPr="00563D0D">
        <w:rPr>
          <w:rFonts w:ascii="Times New Roman" w:hAnsi="Times New Roman"/>
          <w:noProof/>
          <w:sz w:val="24"/>
          <w:lang w:val="pl-PL"/>
        </w:rPr>
        <w:t>rakterze biologicznym lub chemicznym</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nie</w:t>
      </w:r>
      <w:r w:rsidRPr="00563D0D">
        <w:rPr>
          <w:rFonts w:ascii="Times New Roman" w:hAnsi="Times New Roman"/>
          <w:noProof/>
          <w:sz w:val="24"/>
          <w:lang w:val="pl-PL"/>
        </w:rPr>
        <w:t>żywnościowych produktach konsumpcyjnych. EWRS ma być również interoperacyjny</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Epi</w:t>
      </w:r>
      <w:r w:rsidRPr="00563D0D">
        <w:rPr>
          <w:rFonts w:ascii="Times New Roman" w:hAnsi="Times New Roman"/>
          <w:noProof/>
          <w:sz w:val="24"/>
          <w:lang w:val="pl-PL"/>
        </w:rPr>
        <w:t>Pulse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powiadamiania</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zag</w:t>
      </w:r>
      <w:r w:rsidRPr="00563D0D">
        <w:rPr>
          <w:rFonts w:ascii="Times New Roman" w:hAnsi="Times New Roman"/>
          <w:noProof/>
          <w:sz w:val="24"/>
          <w:lang w:val="pl-PL"/>
        </w:rPr>
        <w:t>rożeniach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wym</w:t>
      </w:r>
      <w:r w:rsidRPr="00563D0D">
        <w:rPr>
          <w:rFonts w:ascii="Times New Roman" w:hAnsi="Times New Roman"/>
          <w:noProof/>
          <w:sz w:val="24"/>
          <w:lang w:val="pl-PL"/>
        </w:rPr>
        <w:t>iany skrótowych informacji epidemiologicznych lub ocen ryzyka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modułu orientacji sytuacyjnej EWRS.</w:t>
      </w:r>
    </w:p>
    <w:p w14:paraId="02BCF609" w14:textId="6F43AFD3"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W Komisji głównym mechanizmem zarządzania kryzysowego</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koo</w:t>
      </w:r>
      <w:r w:rsidRPr="00563D0D">
        <w:rPr>
          <w:rFonts w:ascii="Times New Roman" w:hAnsi="Times New Roman"/>
          <w:noProof/>
          <w:sz w:val="24"/>
          <w:lang w:val="pl-PL"/>
        </w:rPr>
        <w:t>rdynacji jest ARGUS. Zapewnia on gromadzenie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wyk</w:t>
      </w:r>
      <w:r w:rsidRPr="00563D0D">
        <w:rPr>
          <w:rFonts w:ascii="Times New Roman" w:hAnsi="Times New Roman"/>
          <w:noProof/>
          <w:sz w:val="24"/>
          <w:lang w:val="pl-PL"/>
        </w:rPr>
        <w:t>orzystywanie odpowiednich informacji od służb Komisji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age</w:t>
      </w:r>
      <w:r w:rsidRPr="00563D0D">
        <w:rPr>
          <w:rFonts w:ascii="Times New Roman" w:hAnsi="Times New Roman"/>
          <w:noProof/>
          <w:sz w:val="24"/>
          <w:lang w:val="pl-PL"/>
        </w:rPr>
        <w:t>ncji UE,</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tak</w:t>
      </w:r>
      <w:r w:rsidRPr="00563D0D">
        <w:rPr>
          <w:rFonts w:ascii="Times New Roman" w:hAnsi="Times New Roman"/>
          <w:noProof/>
          <w:sz w:val="24"/>
          <w:lang w:val="pl-PL"/>
        </w:rPr>
        <w:t>że od państw członkowskich,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uzyskania terminowego</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akt</w:t>
      </w:r>
      <w:r w:rsidRPr="00563D0D">
        <w:rPr>
          <w:rFonts w:ascii="Times New Roman" w:hAnsi="Times New Roman"/>
          <w:noProof/>
          <w:sz w:val="24"/>
          <w:lang w:val="pl-PL"/>
        </w:rPr>
        <w:t>ualnego obrazu sytuacji, aby pomóc</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pla</w:t>
      </w:r>
      <w:r w:rsidRPr="00563D0D">
        <w:rPr>
          <w:rFonts w:ascii="Times New Roman" w:hAnsi="Times New Roman"/>
          <w:noProof/>
          <w:sz w:val="24"/>
          <w:lang w:val="pl-PL"/>
        </w:rPr>
        <w:t>nowaniu ewentualnościowym, odpowiedniej koordynacji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pod</w:t>
      </w:r>
      <w:r w:rsidRPr="00563D0D">
        <w:rPr>
          <w:rFonts w:ascii="Times New Roman" w:hAnsi="Times New Roman"/>
          <w:noProof/>
          <w:sz w:val="24"/>
          <w:lang w:val="pl-PL"/>
        </w:rPr>
        <w:t>ejmowaniu decyzji. Podczas pandemii COVID-19 ARGUS odegrał zasadniczą rolę</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koo</w:t>
      </w:r>
      <w:r w:rsidRPr="00563D0D">
        <w:rPr>
          <w:rFonts w:ascii="Times New Roman" w:hAnsi="Times New Roman"/>
          <w:noProof/>
          <w:sz w:val="24"/>
          <w:lang w:val="pl-PL"/>
        </w:rPr>
        <w:t>rdynowaniu udziału Komisji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pos</w:t>
      </w:r>
      <w:r w:rsidRPr="00563D0D">
        <w:rPr>
          <w:rFonts w:ascii="Times New Roman" w:hAnsi="Times New Roman"/>
          <w:noProof/>
          <w:sz w:val="24"/>
          <w:lang w:val="pl-PL"/>
        </w:rPr>
        <w:t>iedzeniach Rady</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zintegrowanych uzgodnień UE dotyczących reagowania na szczeblu politycznym</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syt</w:t>
      </w:r>
      <w:r w:rsidRPr="00563D0D">
        <w:rPr>
          <w:rFonts w:ascii="Times New Roman" w:hAnsi="Times New Roman"/>
          <w:noProof/>
          <w:sz w:val="24"/>
          <w:lang w:val="pl-PL"/>
        </w:rPr>
        <w:t>uacjach kryzysowych (IPCR), podczas których Komisja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pań</w:t>
      </w:r>
      <w:r w:rsidRPr="00563D0D">
        <w:rPr>
          <w:rFonts w:ascii="Times New Roman" w:hAnsi="Times New Roman"/>
          <w:noProof/>
          <w:sz w:val="24"/>
          <w:lang w:val="pl-PL"/>
        </w:rPr>
        <w:t>stwa członkowskie szczegółowo omówiły kluczowe kwestie, takie jak wykorzystanie instrumentu wsparcia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syt</w:t>
      </w:r>
      <w:r w:rsidRPr="00563D0D">
        <w:rPr>
          <w:rFonts w:ascii="Times New Roman" w:hAnsi="Times New Roman"/>
          <w:noProof/>
          <w:sz w:val="24"/>
          <w:lang w:val="pl-PL"/>
        </w:rPr>
        <w:t>uacjach nadzwyczajnych, uprzywilejowane korytarze, protokoły zdrowotne dotyczące transportu</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ust</w:t>
      </w:r>
      <w:r w:rsidRPr="00563D0D">
        <w:rPr>
          <w:rFonts w:ascii="Times New Roman" w:hAnsi="Times New Roman"/>
          <w:noProof/>
          <w:sz w:val="24"/>
          <w:lang w:val="pl-PL"/>
        </w:rPr>
        <w:t>alania kontaktów zakaźnych, środki dotyczące podróży do UE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w:t>
      </w:r>
      <w:r w:rsidR="00563D0D">
        <w:rPr>
          <w:rFonts w:ascii="Times New Roman" w:hAnsi="Times New Roman"/>
          <w:noProof/>
          <w:sz w:val="24"/>
          <w:lang w:val="pl-PL"/>
        </w:rPr>
        <w:t> </w:t>
      </w:r>
      <w:r w:rsidR="00563D0D" w:rsidRPr="00563D0D">
        <w:rPr>
          <w:rFonts w:ascii="Times New Roman" w:hAnsi="Times New Roman"/>
          <w:noProof/>
          <w:sz w:val="24"/>
          <w:lang w:val="pl-PL"/>
        </w:rPr>
        <w:t>jej</w:t>
      </w:r>
      <w:r w:rsidRPr="00563D0D">
        <w:rPr>
          <w:rFonts w:ascii="Times New Roman" w:hAnsi="Times New Roman"/>
          <w:noProof/>
          <w:sz w:val="24"/>
          <w:lang w:val="pl-PL"/>
        </w:rPr>
        <w:t xml:space="preserve"> granicach, Re-open EU, wspólne zamówienia na szczepionki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dzi</w:t>
      </w:r>
      <w:r w:rsidRPr="00563D0D">
        <w:rPr>
          <w:rFonts w:ascii="Times New Roman" w:hAnsi="Times New Roman"/>
          <w:noProof/>
          <w:sz w:val="24"/>
          <w:lang w:val="pl-PL"/>
        </w:rPr>
        <w:t>elenie się szczepionkami, unijne cyfrowe zaświadczenie COVID oraz komunikacja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wal</w:t>
      </w:r>
      <w:r w:rsidRPr="00563D0D">
        <w:rPr>
          <w:rFonts w:ascii="Times New Roman" w:hAnsi="Times New Roman"/>
          <w:noProof/>
          <w:sz w:val="24"/>
          <w:lang w:val="pl-PL"/>
        </w:rPr>
        <w:t>ka</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dez</w:t>
      </w:r>
      <w:r w:rsidRPr="00563D0D">
        <w:rPr>
          <w:rFonts w:ascii="Times New Roman" w:hAnsi="Times New Roman"/>
          <w:noProof/>
          <w:sz w:val="24"/>
          <w:lang w:val="pl-PL"/>
        </w:rPr>
        <w:t>informacją. Wzajemne powiązania ARGUS i EWRS funkcjonują od</w:t>
      </w:r>
      <w:r w:rsidR="00563D0D" w:rsidRPr="00563D0D">
        <w:rPr>
          <w:rFonts w:ascii="Times New Roman" w:hAnsi="Times New Roman"/>
          <w:noProof/>
          <w:sz w:val="24"/>
          <w:lang w:val="pl-PL"/>
        </w:rPr>
        <w:t> </w:t>
      </w:r>
      <w:r w:rsidRPr="00563D0D">
        <w:rPr>
          <w:rFonts w:ascii="Times New Roman" w:hAnsi="Times New Roman"/>
          <w:noProof/>
          <w:sz w:val="24"/>
          <w:lang w:val="pl-PL"/>
        </w:rPr>
        <w:t>2022</w:t>
      </w:r>
      <w:r w:rsidR="00563D0D" w:rsidRPr="00563D0D">
        <w:rPr>
          <w:rFonts w:ascii="Times New Roman" w:hAnsi="Times New Roman"/>
          <w:noProof/>
          <w:sz w:val="24"/>
          <w:lang w:val="pl-PL"/>
        </w:rPr>
        <w:t> </w:t>
      </w:r>
      <w:r w:rsidRPr="00563D0D">
        <w:rPr>
          <w:rFonts w:ascii="Times New Roman" w:hAnsi="Times New Roman"/>
          <w:noProof/>
          <w:sz w:val="24"/>
          <w:lang w:val="pl-PL"/>
        </w:rPr>
        <w:t>r., zapewniając wymianę informacji na temat poważnych transgranicznych zagrożeń zdrowia</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uni</w:t>
      </w:r>
      <w:r w:rsidRPr="00563D0D">
        <w:rPr>
          <w:rFonts w:ascii="Times New Roman" w:hAnsi="Times New Roman"/>
          <w:noProof/>
          <w:sz w:val="24"/>
          <w:lang w:val="pl-PL"/>
        </w:rPr>
        <w:t>jnymi zarządcami kryzysowymi. ARGUS był również kanałem koordynacji sprawozdań ze zintegrowanej orientacji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ana</w:t>
      </w:r>
      <w:r w:rsidRPr="00563D0D">
        <w:rPr>
          <w:rFonts w:ascii="Times New Roman" w:hAnsi="Times New Roman"/>
          <w:noProof/>
          <w:sz w:val="24"/>
          <w:lang w:val="pl-PL"/>
        </w:rPr>
        <w:t>lizy sytuacyjnej (ISAA), które były kluczowym instrumentem propagowania wspólnej orientacji sytuacyjnej podczas pandemii COVID-19.</w:t>
      </w:r>
    </w:p>
    <w:p w14:paraId="26376C78" w14:textId="533583DD" w:rsidR="001F1738" w:rsidRPr="00563D0D" w:rsidRDefault="001F1738" w:rsidP="001F1738">
      <w:pPr>
        <w:keepNext/>
        <w:keepLines/>
        <w:spacing w:before="100" w:beforeAutospacing="1" w:after="100" w:afterAutospacing="1" w:line="240" w:lineRule="auto"/>
        <w:jc w:val="both"/>
        <w:outlineLvl w:val="1"/>
        <w:rPr>
          <w:rFonts w:ascii="Times New Roman" w:eastAsiaTheme="majorEastAsia" w:hAnsi="Times New Roman" w:cs="Times New Roman"/>
          <w:b/>
          <w:noProof/>
          <w:color w:val="404040" w:themeColor="text1" w:themeTint="BF"/>
          <w:sz w:val="24"/>
          <w:lang w:val="pl-PL"/>
        </w:rPr>
      </w:pPr>
      <w:r w:rsidRPr="00563D0D">
        <w:rPr>
          <w:rFonts w:ascii="Times New Roman" w:hAnsi="Times New Roman"/>
          <w:b/>
          <w:noProof/>
          <w:sz w:val="24"/>
          <w:lang w:val="pl-PL"/>
        </w:rPr>
        <w:t>Ustalanie kontaktów zakaźnych: europejska usługa bramy federacyjnej</w:t>
      </w:r>
      <w:r w:rsidR="00563D0D" w:rsidRPr="00563D0D">
        <w:rPr>
          <w:rFonts w:ascii="Times New Roman" w:hAnsi="Times New Roman"/>
          <w:b/>
          <w:noProof/>
          <w:sz w:val="24"/>
          <w:lang w:val="pl-PL"/>
        </w:rPr>
        <w:t xml:space="preserve"> i</w:t>
      </w:r>
      <w:r w:rsidR="00563D0D">
        <w:rPr>
          <w:rFonts w:ascii="Times New Roman" w:hAnsi="Times New Roman"/>
          <w:b/>
          <w:noProof/>
          <w:sz w:val="24"/>
          <w:lang w:val="pl-PL"/>
        </w:rPr>
        <w:t> </w:t>
      </w:r>
      <w:r w:rsidR="00563D0D" w:rsidRPr="00563D0D">
        <w:rPr>
          <w:rFonts w:ascii="Times New Roman" w:hAnsi="Times New Roman"/>
          <w:b/>
          <w:noProof/>
          <w:sz w:val="24"/>
          <w:lang w:val="pl-PL"/>
        </w:rPr>
        <w:t>kar</w:t>
      </w:r>
      <w:r w:rsidRPr="00563D0D">
        <w:rPr>
          <w:rFonts w:ascii="Times New Roman" w:hAnsi="Times New Roman"/>
          <w:b/>
          <w:noProof/>
          <w:sz w:val="24"/>
          <w:lang w:val="pl-PL"/>
        </w:rPr>
        <w:t>ty lokalizacji pasażera</w:t>
      </w:r>
    </w:p>
    <w:p w14:paraId="37491016" w14:textId="39660A56"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W czasie pandemii COVID-19 w ramach pakietu środków mających na celu zapobieganie rozprzestrzenianiu się wirusa 22 organy ds. zdrowia publicznego uruchomiły krajowe aplikacje służące do ustalania kontaktów zakaźnych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ost</w:t>
      </w:r>
      <w:r w:rsidRPr="00563D0D">
        <w:rPr>
          <w:rFonts w:ascii="Times New Roman" w:hAnsi="Times New Roman"/>
          <w:noProof/>
          <w:sz w:val="24"/>
          <w:lang w:val="pl-PL"/>
        </w:rPr>
        <w:t>rzegania</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paź</w:t>
      </w:r>
      <w:r w:rsidRPr="00563D0D">
        <w:rPr>
          <w:rFonts w:ascii="Times New Roman" w:hAnsi="Times New Roman"/>
          <w:noProof/>
          <w:sz w:val="24"/>
          <w:lang w:val="pl-PL"/>
        </w:rPr>
        <w:t>dzierniku 2020</w:t>
      </w:r>
      <w:r w:rsidR="00563D0D" w:rsidRPr="00563D0D">
        <w:rPr>
          <w:rFonts w:ascii="Times New Roman" w:hAnsi="Times New Roman"/>
          <w:noProof/>
          <w:sz w:val="24"/>
          <w:lang w:val="pl-PL"/>
        </w:rPr>
        <w:t> </w:t>
      </w:r>
      <w:r w:rsidRPr="00563D0D">
        <w:rPr>
          <w:rFonts w:ascii="Times New Roman" w:hAnsi="Times New Roman"/>
          <w:noProof/>
          <w:sz w:val="24"/>
          <w:lang w:val="pl-PL"/>
        </w:rPr>
        <w:t>r. państwa członkowskie UE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Kom</w:t>
      </w:r>
      <w:r w:rsidRPr="00563D0D">
        <w:rPr>
          <w:rFonts w:ascii="Times New Roman" w:hAnsi="Times New Roman"/>
          <w:noProof/>
          <w:sz w:val="24"/>
          <w:lang w:val="pl-PL"/>
        </w:rPr>
        <w:t>isja uruchomiły europejską usługę bramy federacyjnej (EFGS), aby umożliwić interoperacyjność aplikacji krajowych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cał</w:t>
      </w:r>
      <w:r w:rsidRPr="00563D0D">
        <w:rPr>
          <w:rFonts w:ascii="Times New Roman" w:hAnsi="Times New Roman"/>
          <w:noProof/>
          <w:sz w:val="24"/>
          <w:lang w:val="pl-PL"/>
        </w:rPr>
        <w:t>ej UE. Do jesieni 2021</w:t>
      </w:r>
      <w:r w:rsidR="00563D0D" w:rsidRPr="00563D0D">
        <w:rPr>
          <w:rFonts w:ascii="Times New Roman" w:hAnsi="Times New Roman"/>
          <w:noProof/>
          <w:sz w:val="24"/>
          <w:lang w:val="pl-PL"/>
        </w:rPr>
        <w:t> </w:t>
      </w:r>
      <w:r w:rsidRPr="00563D0D">
        <w:rPr>
          <w:rFonts w:ascii="Times New Roman" w:hAnsi="Times New Roman"/>
          <w:noProof/>
          <w:sz w:val="24"/>
          <w:lang w:val="pl-PL"/>
        </w:rPr>
        <w:t>r. za pośrednictwem EFGS 19 państw członkowskich wymieniało się informacjami na temat ryzyka kontaktów zakaźnych, reprezentujących dziesiątki milionów aktywnych użytkowników w UE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w:t>
      </w:r>
      <w:r w:rsidR="00563D0D">
        <w:rPr>
          <w:rFonts w:ascii="Times New Roman" w:hAnsi="Times New Roman"/>
          <w:noProof/>
          <w:sz w:val="24"/>
          <w:lang w:val="pl-PL"/>
        </w:rPr>
        <w:t> </w:t>
      </w:r>
      <w:r w:rsidR="00563D0D" w:rsidRPr="00563D0D">
        <w:rPr>
          <w:rFonts w:ascii="Times New Roman" w:hAnsi="Times New Roman"/>
          <w:noProof/>
          <w:sz w:val="24"/>
          <w:lang w:val="pl-PL"/>
        </w:rPr>
        <w:t>poz</w:t>
      </w:r>
      <w:r w:rsidRPr="00563D0D">
        <w:rPr>
          <w:rFonts w:ascii="Times New Roman" w:hAnsi="Times New Roman"/>
          <w:noProof/>
          <w:sz w:val="24"/>
          <w:lang w:val="pl-PL"/>
        </w:rPr>
        <w:t>ostałej części Europy.</w:t>
      </w:r>
    </w:p>
    <w:p w14:paraId="08FAFA55" w14:textId="6444E878"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W kwietniu 2022</w:t>
      </w:r>
      <w:r w:rsidR="00563D0D" w:rsidRPr="00563D0D">
        <w:rPr>
          <w:rFonts w:ascii="Times New Roman" w:hAnsi="Times New Roman"/>
          <w:noProof/>
          <w:sz w:val="24"/>
          <w:lang w:val="pl-PL"/>
        </w:rPr>
        <w:t> </w:t>
      </w:r>
      <w:r w:rsidRPr="00563D0D">
        <w:rPr>
          <w:rFonts w:ascii="Times New Roman" w:hAnsi="Times New Roman"/>
          <w:noProof/>
          <w:sz w:val="24"/>
          <w:lang w:val="pl-PL"/>
        </w:rPr>
        <w:t>r. EFGS został przeniesiony do ECDC. Wzmocniło to cyfrowe zdolności UE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ustalania kontaktów zakaźnych, zgodnie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now</w:t>
      </w:r>
      <w:r w:rsidRPr="00563D0D">
        <w:rPr>
          <w:rFonts w:ascii="Times New Roman" w:hAnsi="Times New Roman"/>
          <w:noProof/>
          <w:sz w:val="24"/>
          <w:lang w:val="pl-PL"/>
        </w:rPr>
        <w:t>ym mandatem ECDC, poprzez gromadzenie niezbędnej wiedzy fachowej w ECDC. Od tego czasu EFGS została wycofana</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eks</w:t>
      </w:r>
      <w:r w:rsidRPr="00563D0D">
        <w:rPr>
          <w:rFonts w:ascii="Times New Roman" w:hAnsi="Times New Roman"/>
          <w:noProof/>
          <w:sz w:val="24"/>
          <w:lang w:val="pl-PL"/>
        </w:rPr>
        <w:t>ploatacji, ale ECDC</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Kom</w:t>
      </w:r>
      <w:r w:rsidRPr="00563D0D">
        <w:rPr>
          <w:rFonts w:ascii="Times New Roman" w:hAnsi="Times New Roman"/>
          <w:noProof/>
          <w:sz w:val="24"/>
          <w:lang w:val="pl-PL"/>
        </w:rPr>
        <w:t>isja przygotowały procedurę reaktywacji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udostępnienia tej usługi państwom członkowskim UE, gdyby zaistniała taka potrzeba.</w:t>
      </w:r>
    </w:p>
    <w:p w14:paraId="0383734E" w14:textId="5058F2B8" w:rsidR="00BB198E" w:rsidRPr="00563D0D" w:rsidRDefault="00BB198E" w:rsidP="00BB198E">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W okresie od</w:t>
      </w:r>
      <w:r w:rsidR="00563D0D" w:rsidRPr="00563D0D">
        <w:rPr>
          <w:rFonts w:ascii="Times New Roman" w:hAnsi="Times New Roman"/>
          <w:noProof/>
          <w:sz w:val="24"/>
          <w:lang w:val="pl-PL"/>
        </w:rPr>
        <w:t> </w:t>
      </w:r>
      <w:r w:rsidRPr="00563D0D">
        <w:rPr>
          <w:rFonts w:ascii="Times New Roman" w:hAnsi="Times New Roman"/>
          <w:noProof/>
          <w:sz w:val="24"/>
          <w:lang w:val="pl-PL"/>
        </w:rPr>
        <w:t>1 czerwca 2021</w:t>
      </w:r>
      <w:r w:rsidR="00563D0D" w:rsidRPr="00563D0D">
        <w:rPr>
          <w:rFonts w:ascii="Times New Roman" w:hAnsi="Times New Roman"/>
          <w:noProof/>
          <w:sz w:val="24"/>
          <w:lang w:val="pl-PL"/>
        </w:rPr>
        <w:t> </w:t>
      </w:r>
      <w:r w:rsidRPr="00563D0D">
        <w:rPr>
          <w:rFonts w:ascii="Times New Roman" w:hAnsi="Times New Roman"/>
          <w:noProof/>
          <w:sz w:val="24"/>
          <w:lang w:val="pl-PL"/>
        </w:rPr>
        <w:t>r. do</w:t>
      </w:r>
      <w:r w:rsidR="00563D0D" w:rsidRPr="00563D0D">
        <w:rPr>
          <w:rFonts w:ascii="Times New Roman" w:hAnsi="Times New Roman"/>
          <w:noProof/>
          <w:sz w:val="24"/>
          <w:lang w:val="pl-PL"/>
        </w:rPr>
        <w:t> </w:t>
      </w:r>
      <w:r w:rsidRPr="00563D0D">
        <w:rPr>
          <w:rFonts w:ascii="Times New Roman" w:hAnsi="Times New Roman"/>
          <w:noProof/>
          <w:sz w:val="24"/>
          <w:lang w:val="pl-PL"/>
        </w:rPr>
        <w:t>31 maja 2022</w:t>
      </w:r>
      <w:r w:rsidR="00563D0D" w:rsidRPr="00563D0D">
        <w:rPr>
          <w:rFonts w:ascii="Times New Roman" w:hAnsi="Times New Roman"/>
          <w:noProof/>
          <w:sz w:val="24"/>
          <w:lang w:val="pl-PL"/>
        </w:rPr>
        <w:t> </w:t>
      </w:r>
      <w:r w:rsidRPr="00563D0D">
        <w:rPr>
          <w:rFonts w:ascii="Times New Roman" w:hAnsi="Times New Roman"/>
          <w:noProof/>
          <w:sz w:val="24"/>
          <w:lang w:val="pl-PL"/>
        </w:rPr>
        <w:t>r. udostępniono platformę wymiany kart lokalizacji pasażera (ePLF)</w:t>
      </w:r>
      <w:r w:rsidRPr="00563D0D">
        <w:rPr>
          <w:rFonts w:ascii="Times New Roman" w:eastAsia="Times New Roman" w:hAnsi="Times New Roman" w:cs="Times New Roman"/>
          <w:noProof/>
          <w:sz w:val="24"/>
          <w:vertAlign w:val="superscript"/>
          <w:lang w:val="pl-PL"/>
        </w:rPr>
        <w:footnoteReference w:id="82"/>
      </w:r>
      <w:r w:rsidRPr="00563D0D">
        <w:rPr>
          <w:rFonts w:ascii="Times New Roman" w:hAnsi="Times New Roman"/>
          <w:noProof/>
          <w:sz w:val="24"/>
          <w:lang w:val="pl-PL"/>
        </w:rPr>
        <w:t>, aby połączyć państwa członkowskie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umo</w:t>
      </w:r>
      <w:r w:rsidRPr="00563D0D">
        <w:rPr>
          <w:rFonts w:ascii="Times New Roman" w:hAnsi="Times New Roman"/>
          <w:noProof/>
          <w:sz w:val="24"/>
          <w:lang w:val="pl-PL"/>
        </w:rPr>
        <w:t>żliwić bezpieczną wymianę danych pasażerów na potrzeby transgranicznego ustalania kontaktów zakaźnych we wszystkich rodzajach transportu w UE</w:t>
      </w:r>
      <w:r w:rsidRPr="00563D0D">
        <w:rPr>
          <w:rFonts w:ascii="Times New Roman" w:eastAsia="Times New Roman" w:hAnsi="Times New Roman" w:cs="Times New Roman"/>
          <w:noProof/>
          <w:sz w:val="24"/>
          <w:vertAlign w:val="superscript"/>
          <w:lang w:val="pl-PL"/>
        </w:rPr>
        <w:footnoteReference w:id="83"/>
      </w:r>
      <w:r w:rsidRPr="00563D0D">
        <w:rPr>
          <w:rFonts w:ascii="Times New Roman" w:hAnsi="Times New Roman"/>
          <w:noProof/>
          <w:sz w:val="24"/>
          <w:lang w:val="pl-PL"/>
        </w:rPr>
        <w:t>. Na podstawie informacji zwrotnych od państw członkowskich Komisja rozpoczęła współpracę z ECDC</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technicznej integracji modułu selektywnej wymiany EWRS z ePLF, umożliwiając tym samym ich interoperacyjność</w:t>
      </w:r>
      <w:r w:rsidRPr="00563D0D">
        <w:rPr>
          <w:rFonts w:ascii="Times New Roman" w:eastAsia="Times New Roman" w:hAnsi="Times New Roman" w:cs="Times New Roman"/>
          <w:noProof/>
          <w:sz w:val="24"/>
          <w:vertAlign w:val="superscript"/>
          <w:lang w:val="pl-PL"/>
        </w:rPr>
        <w:footnoteReference w:id="84"/>
      </w:r>
      <w:r w:rsidRPr="00563D0D">
        <w:rPr>
          <w:rFonts w:ascii="Times New Roman" w:hAnsi="Times New Roman"/>
          <w:noProof/>
          <w:sz w:val="24"/>
          <w:lang w:val="pl-PL"/>
        </w:rPr>
        <w:t>. Chociaż ePLF jako taka została rozwiązana, spostrzeżenia uzyskane dzięki jej rozwojowi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int</w:t>
      </w:r>
      <w:r w:rsidRPr="00563D0D">
        <w:rPr>
          <w:rFonts w:ascii="Times New Roman" w:hAnsi="Times New Roman"/>
          <w:noProof/>
          <w:sz w:val="24"/>
          <w:lang w:val="pl-PL"/>
        </w:rPr>
        <w:t>egracji</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mod</w:t>
      </w:r>
      <w:r w:rsidRPr="00563D0D">
        <w:rPr>
          <w:rFonts w:ascii="Times New Roman" w:hAnsi="Times New Roman"/>
          <w:noProof/>
          <w:sz w:val="24"/>
          <w:lang w:val="pl-PL"/>
        </w:rPr>
        <w:t xml:space="preserve">ułem selektywnej wymiany EWRS sprawiają, że UE jest lepiej przygotowana na przyszłe potrzeby. </w:t>
      </w:r>
    </w:p>
    <w:p w14:paraId="15C9A38E" w14:textId="77777777" w:rsidR="001F1738" w:rsidRPr="00563D0D" w:rsidRDefault="001F1738" w:rsidP="00031422">
      <w:pPr>
        <w:keepNext/>
        <w:keepLines/>
        <w:spacing w:before="480" w:after="100" w:afterAutospacing="1" w:line="240" w:lineRule="auto"/>
        <w:jc w:val="both"/>
        <w:outlineLvl w:val="0"/>
        <w:rPr>
          <w:rFonts w:ascii="Times New Roman" w:eastAsiaTheme="majorEastAsia" w:hAnsi="Times New Roman" w:cs="Times New Roman"/>
          <w:noProof/>
          <w:sz w:val="24"/>
          <w:lang w:val="pl-PL"/>
        </w:rPr>
      </w:pPr>
      <w:r w:rsidRPr="00563D0D">
        <w:rPr>
          <w:rFonts w:ascii="Times New Roman" w:hAnsi="Times New Roman"/>
          <w:noProof/>
          <w:sz w:val="24"/>
          <w:lang w:val="pl-PL"/>
        </w:rPr>
        <w:t xml:space="preserve">4. REAGOWANIE </w:t>
      </w:r>
    </w:p>
    <w:p w14:paraId="7B43B27A" w14:textId="7ABFC963" w:rsidR="008C6D1D" w:rsidRPr="00563D0D" w:rsidRDefault="008C6D1D" w:rsidP="008C6D1D">
      <w:pPr>
        <w:spacing w:before="100" w:beforeAutospacing="1" w:after="100" w:afterAutospacing="1" w:line="240" w:lineRule="auto"/>
        <w:jc w:val="both"/>
        <w:rPr>
          <w:rFonts w:ascii="Times New Roman" w:eastAsiaTheme="minorEastAsia" w:hAnsi="Times New Roman" w:cs="Times New Roman"/>
          <w:noProof/>
          <w:sz w:val="24"/>
          <w:lang w:val="pl-PL"/>
        </w:rPr>
      </w:pPr>
      <w:r w:rsidRPr="00563D0D">
        <w:rPr>
          <w:rFonts w:ascii="Times New Roman" w:hAnsi="Times New Roman"/>
          <w:noProof/>
          <w:sz w:val="24"/>
          <w:lang w:val="pl-PL"/>
        </w:rPr>
        <w:t>Na bardzo wczesnych etapach pandemii COVID-19 23 stycznia 2020</w:t>
      </w:r>
      <w:r w:rsidR="00563D0D" w:rsidRPr="00563D0D">
        <w:rPr>
          <w:rFonts w:ascii="Times New Roman" w:hAnsi="Times New Roman"/>
          <w:noProof/>
          <w:sz w:val="24"/>
          <w:lang w:val="pl-PL"/>
        </w:rPr>
        <w:t> </w:t>
      </w:r>
      <w:r w:rsidRPr="00563D0D">
        <w:rPr>
          <w:rFonts w:ascii="Times New Roman" w:hAnsi="Times New Roman"/>
          <w:noProof/>
          <w:sz w:val="24"/>
          <w:lang w:val="pl-PL"/>
        </w:rPr>
        <w:t>r. za pośrednictwem ARGUS zwołano Komitet Koordynacji Kryzysowej</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omówienia aktualnej sytuacji oraz możliwych kierunków działania. Posiedzeniom Komitetu przewodniczyli komisarz Lenarčič</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Sek</w:t>
      </w:r>
      <w:r w:rsidRPr="00563D0D">
        <w:rPr>
          <w:rFonts w:ascii="Times New Roman" w:hAnsi="Times New Roman"/>
          <w:noProof/>
          <w:sz w:val="24"/>
          <w:lang w:val="pl-PL"/>
        </w:rPr>
        <w:t>retarz Generalny,</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ucz</w:t>
      </w:r>
      <w:r w:rsidRPr="00563D0D">
        <w:rPr>
          <w:rFonts w:ascii="Times New Roman" w:hAnsi="Times New Roman"/>
          <w:noProof/>
          <w:sz w:val="24"/>
          <w:lang w:val="pl-PL"/>
        </w:rPr>
        <w:t>estniczyli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nic</w:t>
      </w:r>
      <w:r w:rsidRPr="00563D0D">
        <w:rPr>
          <w:rFonts w:ascii="Times New Roman" w:hAnsi="Times New Roman"/>
          <w:noProof/>
          <w:sz w:val="24"/>
          <w:lang w:val="pl-PL"/>
        </w:rPr>
        <w:t>h przedstawiciele wszystkich właściwych dyrekcji generalnych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age</w:t>
      </w:r>
      <w:r w:rsidRPr="00563D0D">
        <w:rPr>
          <w:rFonts w:ascii="Times New Roman" w:hAnsi="Times New Roman"/>
          <w:noProof/>
          <w:sz w:val="24"/>
          <w:lang w:val="pl-PL"/>
        </w:rPr>
        <w:t>ncji UE. Następnie zwołano liczne dodatkowe spotkania koordynacyjne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opracowanego przez Komisję mechanizmu reagowania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zar</w:t>
      </w:r>
      <w:r w:rsidRPr="00563D0D">
        <w:rPr>
          <w:rFonts w:ascii="Times New Roman" w:hAnsi="Times New Roman"/>
          <w:noProof/>
          <w:sz w:val="24"/>
          <w:lang w:val="pl-PL"/>
        </w:rPr>
        <w:t>ządzania kryzysowego na wszystkich szczeblach, począwszy od codziennych rozmów Przewodniczącej</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odp</w:t>
      </w:r>
      <w:r w:rsidRPr="00563D0D">
        <w:rPr>
          <w:rFonts w:ascii="Times New Roman" w:hAnsi="Times New Roman"/>
          <w:noProof/>
          <w:sz w:val="24"/>
          <w:lang w:val="pl-PL"/>
        </w:rPr>
        <w:t xml:space="preserve">owiednimi komisarzami po bardziej operacyjną koordynację na szczeblu dyrektorów generalnych lub służb. </w:t>
      </w:r>
    </w:p>
    <w:p w14:paraId="73943CEC" w14:textId="6E98BE79" w:rsidR="001F1738" w:rsidRPr="00563D0D"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pl-PL"/>
        </w:rPr>
      </w:pPr>
      <w:r w:rsidRPr="00563D0D">
        <w:rPr>
          <w:rFonts w:ascii="Times New Roman" w:hAnsi="Times New Roman"/>
          <w:noProof/>
          <w:sz w:val="24"/>
          <w:lang w:val="pl-PL"/>
        </w:rPr>
        <w:t>W następstwie pandemii COVID-19 wprowadzono szereg ulepszeń</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uni</w:t>
      </w:r>
      <w:r w:rsidRPr="00563D0D">
        <w:rPr>
          <w:rFonts w:ascii="Times New Roman" w:hAnsi="Times New Roman"/>
          <w:noProof/>
          <w:sz w:val="24"/>
          <w:lang w:val="pl-PL"/>
        </w:rPr>
        <w:t>jnych mechanizmach reagowania na poważne transgraniczne zagrożenia zdrowia. Kluczowe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nic</w:t>
      </w:r>
      <w:r w:rsidRPr="00563D0D">
        <w:rPr>
          <w:rFonts w:ascii="Times New Roman" w:hAnsi="Times New Roman"/>
          <w:noProof/>
          <w:sz w:val="24"/>
          <w:lang w:val="pl-PL"/>
        </w:rPr>
        <w:t>h opierają się na rozporządzeniu (UE) 2022/2371</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obe</w:t>
      </w:r>
      <w:r w:rsidRPr="00563D0D">
        <w:rPr>
          <w:rFonts w:ascii="Times New Roman" w:hAnsi="Times New Roman"/>
          <w:noProof/>
          <w:sz w:val="24"/>
          <w:lang w:val="pl-PL"/>
        </w:rPr>
        <w:t>jmują powierzenie ważniejszej roli unijnemu Komitetowi ds. Bezpieczeństwa Zdrowia oraz nowo utworzoną zdolność UE polegającą na ogłaszaniu stanu zagrożenia zdrowia publicznego na szczeblu UE.</w:t>
      </w:r>
    </w:p>
    <w:p w14:paraId="18F22EBC" w14:textId="77777777" w:rsidR="001F1738" w:rsidRPr="00563D0D" w:rsidRDefault="001F1738" w:rsidP="001F1738">
      <w:pPr>
        <w:spacing w:before="100" w:beforeAutospacing="1" w:after="100" w:afterAutospacing="1" w:line="240" w:lineRule="auto"/>
        <w:rPr>
          <w:rFonts w:ascii="Times New Roman" w:eastAsia="Times New Roman" w:hAnsi="Times New Roman" w:cs="Times New Roman"/>
          <w:b/>
          <w:noProof/>
          <w:sz w:val="24"/>
          <w:lang w:val="pl-PL"/>
        </w:rPr>
      </w:pPr>
      <w:bookmarkStart w:id="18" w:name="_Toc145428528"/>
      <w:bookmarkEnd w:id="18"/>
      <w:r w:rsidRPr="00563D0D">
        <w:rPr>
          <w:rFonts w:ascii="Times New Roman" w:hAnsi="Times New Roman"/>
          <w:b/>
          <w:noProof/>
          <w:sz w:val="24"/>
          <w:lang w:val="pl-PL"/>
        </w:rPr>
        <w:t xml:space="preserve">Unijny Komitet ds. Bezpieczeństwa Zdrowia </w:t>
      </w:r>
    </w:p>
    <w:p w14:paraId="1DF7A5A9" w14:textId="0B930DD4"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Unijny Komitet ds. Bezpieczeństwa Zdrowia jest kluczowym forum wymiany informacji na temat poważnych transgranicznych zagrożeń zdrowia na szczeblu UE. Składa się on</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edstawicieli organów ds. zdrowia państw członkowskich. Utworzony</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2</w:t>
      </w:r>
      <w:r w:rsidRPr="00563D0D">
        <w:rPr>
          <w:rFonts w:ascii="Times New Roman" w:hAnsi="Times New Roman"/>
          <w:noProof/>
          <w:sz w:val="24"/>
          <w:lang w:val="pl-PL"/>
        </w:rPr>
        <w:t>001</w:t>
      </w:r>
      <w:r w:rsidR="00563D0D" w:rsidRPr="00563D0D">
        <w:rPr>
          <w:rFonts w:ascii="Times New Roman" w:hAnsi="Times New Roman"/>
          <w:noProof/>
          <w:sz w:val="24"/>
          <w:lang w:val="pl-PL"/>
        </w:rPr>
        <w:t> </w:t>
      </w:r>
      <w:r w:rsidRPr="00563D0D">
        <w:rPr>
          <w:rFonts w:ascii="Times New Roman" w:hAnsi="Times New Roman"/>
          <w:noProof/>
          <w:sz w:val="24"/>
          <w:lang w:val="pl-PL"/>
        </w:rPr>
        <w:t>r.</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nas</w:t>
      </w:r>
      <w:r w:rsidRPr="00563D0D">
        <w:rPr>
          <w:rFonts w:ascii="Times New Roman" w:hAnsi="Times New Roman"/>
          <w:noProof/>
          <w:sz w:val="24"/>
          <w:lang w:val="pl-PL"/>
        </w:rPr>
        <w:t>tępstwie ataków</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1</w:t>
      </w:r>
      <w:r w:rsidRPr="00563D0D">
        <w:rPr>
          <w:rFonts w:ascii="Times New Roman" w:hAnsi="Times New Roman"/>
          <w:noProof/>
          <w:sz w:val="24"/>
          <w:lang w:val="pl-PL"/>
        </w:rPr>
        <w:t>1 września Komitet ds. Bezpieczeństwa Zdrowia przez lata ułatwiał koordynację środków ochrony zdrowia publicznego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cał</w:t>
      </w:r>
      <w:r w:rsidRPr="00563D0D">
        <w:rPr>
          <w:rFonts w:ascii="Times New Roman" w:hAnsi="Times New Roman"/>
          <w:noProof/>
          <w:sz w:val="24"/>
          <w:lang w:val="pl-PL"/>
        </w:rPr>
        <w:t>ej UE,</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kul</w:t>
      </w:r>
      <w:r w:rsidRPr="00563D0D">
        <w:rPr>
          <w:rFonts w:ascii="Times New Roman" w:hAnsi="Times New Roman"/>
          <w:noProof/>
          <w:sz w:val="24"/>
          <w:lang w:val="pl-PL"/>
        </w:rPr>
        <w:t>minacyjnym punktem jego działalności były cotygodniowe spotkania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szc</w:t>
      </w:r>
      <w:r w:rsidRPr="00563D0D">
        <w:rPr>
          <w:rFonts w:ascii="Times New Roman" w:hAnsi="Times New Roman"/>
          <w:noProof/>
          <w:sz w:val="24"/>
          <w:lang w:val="pl-PL"/>
        </w:rPr>
        <w:t>zytowym okresie pandemii COVID-19</w:t>
      </w:r>
      <w:r w:rsidRPr="00563D0D">
        <w:rPr>
          <w:rFonts w:ascii="Times New Roman" w:eastAsiaTheme="minorEastAsia" w:hAnsi="Times New Roman" w:cs="Times New Roman"/>
          <w:noProof/>
          <w:sz w:val="24"/>
          <w:vertAlign w:val="superscript"/>
          <w:lang w:val="pl-PL"/>
        </w:rPr>
        <w:footnoteReference w:id="85"/>
      </w:r>
      <w:r w:rsidRPr="00563D0D">
        <w:rPr>
          <w:rFonts w:ascii="Times New Roman" w:hAnsi="Times New Roman"/>
          <w:noProof/>
          <w:sz w:val="24"/>
          <w:lang w:val="pl-PL"/>
        </w:rPr>
        <w:t>. Komitet odegrał kluczową rolę</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pod</w:t>
      </w:r>
      <w:r w:rsidRPr="00563D0D">
        <w:rPr>
          <w:rFonts w:ascii="Times New Roman" w:hAnsi="Times New Roman"/>
          <w:noProof/>
          <w:sz w:val="24"/>
          <w:lang w:val="pl-PL"/>
        </w:rPr>
        <w:t>ejmowaniu decyzji dotyczących środków ochrony zdrowia publicznego. Przykłady działań podejmowanych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cza</w:t>
      </w:r>
      <w:r w:rsidRPr="00563D0D">
        <w:rPr>
          <w:rFonts w:ascii="Times New Roman" w:hAnsi="Times New Roman"/>
          <w:noProof/>
          <w:sz w:val="24"/>
          <w:lang w:val="pl-PL"/>
        </w:rPr>
        <w:t>sie pandemii COVID-19 obejmują koordynację strategii szczepień, badania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nad</w:t>
      </w:r>
      <w:r w:rsidRPr="00563D0D">
        <w:rPr>
          <w:rFonts w:ascii="Times New Roman" w:hAnsi="Times New Roman"/>
          <w:noProof/>
          <w:sz w:val="24"/>
          <w:lang w:val="pl-PL"/>
        </w:rPr>
        <w:t>zór oraz komunikację ryzyka. Kolejne kryzysy zdrowotne, podczas których Komitet odbywał regularne spotkania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wni</w:t>
      </w:r>
      <w:r w:rsidRPr="00563D0D">
        <w:rPr>
          <w:rFonts w:ascii="Times New Roman" w:hAnsi="Times New Roman"/>
          <w:noProof/>
          <w:sz w:val="24"/>
          <w:lang w:val="pl-PL"/>
        </w:rPr>
        <w:t>ósł istotny wkład</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koo</w:t>
      </w:r>
      <w:r w:rsidRPr="00563D0D">
        <w:rPr>
          <w:rFonts w:ascii="Times New Roman" w:hAnsi="Times New Roman"/>
          <w:noProof/>
          <w:sz w:val="24"/>
          <w:lang w:val="pl-PL"/>
        </w:rPr>
        <w:t>rdynację reagowania, obejmują epidemię Ebola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Uga</w:t>
      </w:r>
      <w:r w:rsidRPr="00563D0D">
        <w:rPr>
          <w:rFonts w:ascii="Times New Roman" w:hAnsi="Times New Roman"/>
          <w:noProof/>
          <w:sz w:val="24"/>
          <w:lang w:val="pl-PL"/>
        </w:rPr>
        <w:t>ndzie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epi</w:t>
      </w:r>
      <w:r w:rsidRPr="00563D0D">
        <w:rPr>
          <w:rFonts w:ascii="Times New Roman" w:hAnsi="Times New Roman"/>
          <w:noProof/>
          <w:sz w:val="24"/>
          <w:lang w:val="pl-PL"/>
        </w:rPr>
        <w:t>demię MPOX w UE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2</w:t>
      </w:r>
      <w:r w:rsidRPr="00563D0D">
        <w:rPr>
          <w:rFonts w:ascii="Times New Roman" w:hAnsi="Times New Roman"/>
          <w:noProof/>
          <w:sz w:val="24"/>
          <w:lang w:val="pl-PL"/>
        </w:rPr>
        <w:t>022</w:t>
      </w:r>
      <w:r w:rsidR="00563D0D" w:rsidRPr="00563D0D">
        <w:rPr>
          <w:rFonts w:ascii="Times New Roman" w:hAnsi="Times New Roman"/>
          <w:noProof/>
          <w:sz w:val="24"/>
          <w:lang w:val="pl-PL"/>
        </w:rPr>
        <w:t> </w:t>
      </w:r>
      <w:r w:rsidRPr="00563D0D">
        <w:rPr>
          <w:rFonts w:ascii="Times New Roman" w:hAnsi="Times New Roman"/>
          <w:noProof/>
          <w:sz w:val="24"/>
          <w:lang w:val="pl-PL"/>
        </w:rPr>
        <w:t>r.,</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tak</w:t>
      </w:r>
      <w:r w:rsidRPr="00563D0D">
        <w:rPr>
          <w:rFonts w:ascii="Times New Roman" w:hAnsi="Times New Roman"/>
          <w:noProof/>
          <w:sz w:val="24"/>
          <w:lang w:val="pl-PL"/>
        </w:rPr>
        <w:t>że ścisłą koordynację</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zagrożenia grypą ptaków</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2</w:t>
      </w:r>
      <w:r w:rsidRPr="00563D0D">
        <w:rPr>
          <w:rFonts w:ascii="Times New Roman" w:hAnsi="Times New Roman"/>
          <w:noProof/>
          <w:sz w:val="24"/>
          <w:lang w:val="pl-PL"/>
        </w:rPr>
        <w:t>023</w:t>
      </w:r>
      <w:r w:rsidR="00563D0D" w:rsidRPr="00563D0D">
        <w:rPr>
          <w:rFonts w:ascii="Times New Roman" w:hAnsi="Times New Roman"/>
          <w:noProof/>
          <w:sz w:val="24"/>
          <w:lang w:val="pl-PL"/>
        </w:rPr>
        <w:t> </w:t>
      </w:r>
      <w:r w:rsidRPr="00563D0D">
        <w:rPr>
          <w:rFonts w:ascii="Times New Roman" w:hAnsi="Times New Roman"/>
          <w:noProof/>
          <w:sz w:val="24"/>
          <w:lang w:val="pl-PL"/>
        </w:rPr>
        <w:t>r. (często wspólnie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odp</w:t>
      </w:r>
      <w:r w:rsidRPr="00563D0D">
        <w:rPr>
          <w:rFonts w:ascii="Times New Roman" w:hAnsi="Times New Roman"/>
          <w:noProof/>
          <w:sz w:val="24"/>
          <w:lang w:val="pl-PL"/>
        </w:rPr>
        <w:t>owiednikami Komitetu</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dzi</w:t>
      </w:r>
      <w:r w:rsidRPr="00563D0D">
        <w:rPr>
          <w:rFonts w:ascii="Times New Roman" w:hAnsi="Times New Roman"/>
          <w:noProof/>
          <w:sz w:val="24"/>
          <w:lang w:val="pl-PL"/>
        </w:rPr>
        <w:t xml:space="preserve">edzinie zdrowia zwierząt, takimi jak Główny Lekarz Weterynarii UE). </w:t>
      </w:r>
    </w:p>
    <w:p w14:paraId="409B032F" w14:textId="1699CD3C"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Zmiana wprowadzona rozporządzeniem (UE) 2022/2371 polega na upoważnieniu Komitetu ds. Bezpieczeństwa Zdrowia do formalnego przyjmowania opinii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wyt</w:t>
      </w:r>
      <w:r w:rsidRPr="00563D0D">
        <w:rPr>
          <w:rFonts w:ascii="Times New Roman" w:hAnsi="Times New Roman"/>
          <w:noProof/>
          <w:sz w:val="24"/>
          <w:lang w:val="pl-PL"/>
        </w:rPr>
        <w:t>ycznych</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cza</w:t>
      </w:r>
      <w:r w:rsidRPr="00563D0D">
        <w:rPr>
          <w:rFonts w:ascii="Times New Roman" w:hAnsi="Times New Roman"/>
          <w:noProof/>
          <w:sz w:val="24"/>
          <w:lang w:val="pl-PL"/>
        </w:rPr>
        <w:t>sie pandemii Komitet wydał szereg opinii,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któ</w:t>
      </w:r>
      <w:r w:rsidRPr="00563D0D">
        <w:rPr>
          <w:rFonts w:ascii="Times New Roman" w:hAnsi="Times New Roman"/>
          <w:noProof/>
          <w:sz w:val="24"/>
          <w:lang w:val="pl-PL"/>
        </w:rPr>
        <w:t>rych krystalizował poglądy państw członkowskich na konkretne tematy. Opinie te przyczyniły się do podjęcia decyzji przez IPCR Rady, dotyczących m.in. ustanowienia skoordynowanych środków dotyczących podróży</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Chi</w:t>
      </w:r>
      <w:r w:rsidRPr="00563D0D">
        <w:rPr>
          <w:rFonts w:ascii="Times New Roman" w:hAnsi="Times New Roman"/>
          <w:noProof/>
          <w:sz w:val="24"/>
          <w:lang w:val="pl-PL"/>
        </w:rPr>
        <w:t>n do UE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odp</w:t>
      </w:r>
      <w:r w:rsidRPr="00563D0D">
        <w:rPr>
          <w:rFonts w:ascii="Times New Roman" w:hAnsi="Times New Roman"/>
          <w:noProof/>
          <w:sz w:val="24"/>
          <w:lang w:val="pl-PL"/>
        </w:rPr>
        <w:t>owiedzi na pogorszenie się sytuacji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Chi</w:t>
      </w:r>
      <w:r w:rsidRPr="00563D0D">
        <w:rPr>
          <w:rFonts w:ascii="Times New Roman" w:hAnsi="Times New Roman"/>
          <w:noProof/>
          <w:sz w:val="24"/>
          <w:lang w:val="pl-PL"/>
        </w:rPr>
        <w:t>nach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zwi</w:t>
      </w:r>
      <w:r w:rsidRPr="00563D0D">
        <w:rPr>
          <w:rFonts w:ascii="Times New Roman" w:hAnsi="Times New Roman"/>
          <w:noProof/>
          <w:sz w:val="24"/>
          <w:lang w:val="pl-PL"/>
        </w:rPr>
        <w:t>ązku z COVID-19.</w:t>
      </w:r>
    </w:p>
    <w:p w14:paraId="15D60429" w14:textId="77738B87"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p>
    <w:p w14:paraId="26BCC410" w14:textId="77777777" w:rsidR="00031422" w:rsidRPr="00563D0D" w:rsidRDefault="00031422" w:rsidP="001F1738">
      <w:pPr>
        <w:spacing w:before="100" w:beforeAutospacing="1" w:after="100" w:afterAutospacing="1" w:line="240" w:lineRule="auto"/>
        <w:jc w:val="both"/>
        <w:rPr>
          <w:rFonts w:ascii="Times New Roman" w:eastAsia="Times New Roman" w:hAnsi="Times New Roman" w:cs="Times New Roman"/>
          <w:noProof/>
          <w:sz w:val="24"/>
          <w:lang w:val="pl-PL"/>
        </w:rPr>
      </w:pPr>
    </w:p>
    <w:p w14:paraId="3B587C34" w14:textId="2C888A8B" w:rsidR="00003506" w:rsidRPr="00563D0D"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center"/>
        <w:rPr>
          <w:rFonts w:ascii="Times New Roman" w:eastAsia="Times New Roman" w:hAnsi="Times New Roman" w:cs="Times New Roman"/>
          <w:b/>
          <w:noProof/>
          <w:sz w:val="24"/>
          <w:lang w:val="pl-PL"/>
        </w:rPr>
      </w:pPr>
      <w:r w:rsidRPr="00563D0D">
        <w:rPr>
          <w:rFonts w:ascii="Times New Roman" w:hAnsi="Times New Roman"/>
          <w:b/>
          <w:noProof/>
          <w:sz w:val="24"/>
          <w:lang w:val="pl-PL"/>
        </w:rPr>
        <w:t>Pierwsza opinia Komitetu wydana już kilka dni po wejściu</w:t>
      </w:r>
      <w:r w:rsidR="00563D0D" w:rsidRPr="00563D0D">
        <w:rPr>
          <w:rFonts w:ascii="Times New Roman" w:hAnsi="Times New Roman"/>
          <w:b/>
          <w:noProof/>
          <w:sz w:val="24"/>
          <w:lang w:val="pl-PL"/>
        </w:rPr>
        <w:t xml:space="preserve"> w</w:t>
      </w:r>
      <w:r w:rsidR="00563D0D">
        <w:rPr>
          <w:rFonts w:ascii="Times New Roman" w:hAnsi="Times New Roman"/>
          <w:b/>
          <w:noProof/>
          <w:sz w:val="24"/>
          <w:lang w:val="pl-PL"/>
        </w:rPr>
        <w:t> </w:t>
      </w:r>
      <w:r w:rsidR="00563D0D" w:rsidRPr="00563D0D">
        <w:rPr>
          <w:rFonts w:ascii="Times New Roman" w:hAnsi="Times New Roman"/>
          <w:b/>
          <w:noProof/>
          <w:sz w:val="24"/>
          <w:lang w:val="pl-PL"/>
        </w:rPr>
        <w:t>życ</w:t>
      </w:r>
      <w:r w:rsidRPr="00563D0D">
        <w:rPr>
          <w:rFonts w:ascii="Times New Roman" w:hAnsi="Times New Roman"/>
          <w:b/>
          <w:noProof/>
          <w:sz w:val="24"/>
          <w:lang w:val="pl-PL"/>
        </w:rPr>
        <w:t>ie rozporządzenia (UE) 2022/2371</w:t>
      </w:r>
    </w:p>
    <w:p w14:paraId="4CA1A03F" w14:textId="6BEA55F8" w:rsidR="00003506" w:rsidRPr="00563D0D"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Pierwszym testem dla nowo umocowanego Komitetu ds. Bezpieczeństwa Zdrowia była rekordowa liczba przypadków COVID-19</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Chi</w:t>
      </w:r>
      <w:r w:rsidRPr="00563D0D">
        <w:rPr>
          <w:rFonts w:ascii="Times New Roman" w:hAnsi="Times New Roman"/>
          <w:noProof/>
          <w:sz w:val="24"/>
          <w:lang w:val="pl-PL"/>
        </w:rPr>
        <w:t>nach pod koniec 2022</w:t>
      </w:r>
      <w:r w:rsidR="00563D0D" w:rsidRPr="00563D0D">
        <w:rPr>
          <w:rFonts w:ascii="Times New Roman" w:hAnsi="Times New Roman"/>
          <w:noProof/>
          <w:sz w:val="24"/>
          <w:lang w:val="pl-PL"/>
        </w:rPr>
        <w:t> </w:t>
      </w:r>
      <w:r w:rsidRPr="00563D0D">
        <w:rPr>
          <w:rFonts w:ascii="Times New Roman" w:hAnsi="Times New Roman"/>
          <w:noProof/>
          <w:sz w:val="24"/>
          <w:lang w:val="pl-PL"/>
        </w:rPr>
        <w:t>r., która była skutkiem złagodzenia chińskich środków krajowych. Komitet wydał pierwszą opinię na podstawie rozporządzenia już 5 stycznia 2023</w:t>
      </w:r>
      <w:r w:rsidR="00563D0D" w:rsidRPr="00563D0D">
        <w:rPr>
          <w:rFonts w:ascii="Times New Roman" w:hAnsi="Times New Roman"/>
          <w:noProof/>
          <w:sz w:val="24"/>
          <w:lang w:val="pl-PL"/>
        </w:rPr>
        <w:t> </w:t>
      </w:r>
      <w:r w:rsidRPr="00563D0D">
        <w:rPr>
          <w:rFonts w:ascii="Times New Roman" w:hAnsi="Times New Roman"/>
          <w:noProof/>
          <w:sz w:val="24"/>
          <w:lang w:val="pl-PL"/>
        </w:rPr>
        <w:t>r., zaledwie 10 dni po jego wejściu</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życ</w:t>
      </w:r>
      <w:r w:rsidRPr="00563D0D">
        <w:rPr>
          <w:rFonts w:ascii="Times New Roman" w:hAnsi="Times New Roman"/>
          <w:noProof/>
          <w:sz w:val="24"/>
          <w:lang w:val="pl-PL"/>
        </w:rPr>
        <w:t>ie. Zawierała ona kilka proponowanych kroków na rzecz stopniowego, podzielonego na etapy</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pro</w:t>
      </w:r>
      <w:r w:rsidRPr="00563D0D">
        <w:rPr>
          <w:rFonts w:ascii="Times New Roman" w:hAnsi="Times New Roman"/>
          <w:noProof/>
          <w:sz w:val="24"/>
          <w:lang w:val="pl-PL"/>
        </w:rPr>
        <w:t>porcjonalnego wspólnego podejścia UE mającego na celu ograniczenie wszelkich potencjalnych zagrożeń; działania te posłużyły za podstawę dalszych decyzji politycznych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 xml:space="preserve">ach IPCR Rady. </w:t>
      </w:r>
    </w:p>
    <w:p w14:paraId="4E6A4374" w14:textId="4BC8A486"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Najnowsza opinia</w:t>
      </w:r>
      <w:r w:rsidRPr="00563D0D">
        <w:rPr>
          <w:rStyle w:val="FootnoteReference"/>
          <w:rFonts w:ascii="Times New Roman" w:eastAsia="Times New Roman" w:hAnsi="Times New Roman" w:cs="Times New Roman"/>
          <w:noProof/>
          <w:sz w:val="24"/>
          <w:lang w:val="pl-PL"/>
        </w:rPr>
        <w:footnoteReference w:id="86"/>
      </w:r>
      <w:r w:rsidRPr="00563D0D">
        <w:rPr>
          <w:rFonts w:ascii="Times New Roman" w:hAnsi="Times New Roman"/>
          <w:noProof/>
          <w:sz w:val="24"/>
          <w:lang w:val="pl-PL"/>
        </w:rPr>
        <w:t xml:space="preserve"> Komitetu ds. Bezpieczeństwa Zdrowia koncentruje się na potrzebie zachowania stałej czujności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zwi</w:t>
      </w:r>
      <w:r w:rsidRPr="00563D0D">
        <w:rPr>
          <w:rFonts w:ascii="Times New Roman" w:hAnsi="Times New Roman"/>
          <w:noProof/>
          <w:sz w:val="24"/>
          <w:lang w:val="pl-PL"/>
        </w:rPr>
        <w:t>ązku z COVID-19, grypą sezonową</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inn</w:t>
      </w:r>
      <w:r w:rsidRPr="00563D0D">
        <w:rPr>
          <w:rFonts w:ascii="Times New Roman" w:hAnsi="Times New Roman"/>
          <w:noProof/>
          <w:sz w:val="24"/>
          <w:lang w:val="pl-PL"/>
        </w:rPr>
        <w:t>ymi wirusami, które rozprzestrzeniają się</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sez</w:t>
      </w:r>
      <w:r w:rsidRPr="00563D0D">
        <w:rPr>
          <w:rFonts w:ascii="Times New Roman" w:hAnsi="Times New Roman"/>
          <w:noProof/>
          <w:sz w:val="24"/>
          <w:lang w:val="pl-PL"/>
        </w:rPr>
        <w:t>onie jesienno-zimowym.</w:t>
      </w:r>
    </w:p>
    <w:p w14:paraId="5DAA9992" w14:textId="1D718B1E" w:rsidR="001F1738" w:rsidRPr="00563D0D" w:rsidRDefault="001F1738" w:rsidP="001F1738">
      <w:pPr>
        <w:keepNext/>
        <w:keepLines/>
        <w:spacing w:before="100" w:beforeAutospacing="1" w:after="100" w:afterAutospacing="1" w:line="240" w:lineRule="auto"/>
        <w:jc w:val="both"/>
        <w:outlineLvl w:val="1"/>
        <w:rPr>
          <w:rFonts w:ascii="Times New Roman" w:eastAsia="Times New Roman" w:hAnsi="Times New Roman" w:cs="Times New Roman"/>
          <w:b/>
          <w:noProof/>
          <w:sz w:val="24"/>
          <w:lang w:val="pl-PL"/>
        </w:rPr>
      </w:pPr>
      <w:bookmarkStart w:id="19" w:name="_Toc145428530"/>
      <w:bookmarkEnd w:id="19"/>
      <w:r w:rsidRPr="00563D0D">
        <w:rPr>
          <w:rFonts w:ascii="Times New Roman" w:hAnsi="Times New Roman"/>
          <w:b/>
          <w:noProof/>
          <w:sz w:val="24"/>
          <w:lang w:val="pl-PL"/>
        </w:rPr>
        <w:t>Stan zagrożenia zdrowia publicznego na poziomie Unii</w:t>
      </w:r>
    </w:p>
    <w:p w14:paraId="74D26D79" w14:textId="5E85232D"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Do 2022</w:t>
      </w:r>
      <w:r w:rsidR="00563D0D" w:rsidRPr="00563D0D">
        <w:rPr>
          <w:rFonts w:ascii="Times New Roman" w:hAnsi="Times New Roman"/>
          <w:noProof/>
          <w:sz w:val="24"/>
          <w:lang w:val="pl-PL"/>
        </w:rPr>
        <w:t> </w:t>
      </w:r>
      <w:r w:rsidRPr="00563D0D">
        <w:rPr>
          <w:rFonts w:ascii="Times New Roman" w:hAnsi="Times New Roman"/>
          <w:noProof/>
          <w:sz w:val="24"/>
          <w:lang w:val="pl-PL"/>
        </w:rPr>
        <w:t>r. UE całkowicie polegała na ocenie sytuacji pandemicznych przez WHO</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ogł</w:t>
      </w:r>
      <w:r w:rsidRPr="00563D0D">
        <w:rPr>
          <w:rFonts w:ascii="Times New Roman" w:hAnsi="Times New Roman"/>
          <w:noProof/>
          <w:sz w:val="24"/>
          <w:lang w:val="pl-PL"/>
        </w:rPr>
        <w:t>oszeniu stanu zagrożenia zdrowia publicznego</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zas</w:t>
      </w:r>
      <w:r w:rsidRPr="00563D0D">
        <w:rPr>
          <w:rFonts w:ascii="Times New Roman" w:hAnsi="Times New Roman"/>
          <w:noProof/>
          <w:sz w:val="24"/>
          <w:lang w:val="pl-PL"/>
        </w:rPr>
        <w:t>ięgu międzynarodowym. Rozporządzenie (UE) 2022/2371 upoważniło Komisję do formalnego uznania stanu zagrożenia zdrowia publicznego na szczeblu Unii, gdy poważne transgraniczne zagrożenie zdrowia zostanie uznane za zagrażające zdrowiu publicznemu w UE. Po uznaniu stanu zagrożenia zdrowia publicznego na poziomie Unii można uruchomić jeden lub więcej środków określonych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roz</w:t>
      </w:r>
      <w:r w:rsidRPr="00563D0D">
        <w:rPr>
          <w:rFonts w:ascii="Times New Roman" w:hAnsi="Times New Roman"/>
          <w:noProof/>
          <w:sz w:val="24"/>
          <w:lang w:val="pl-PL"/>
        </w:rPr>
        <w:t>porządzeniu (UE) 2022/2372, jeżeli jest to adekwatne do sytuacji gospodarczej. Środki te obejmują ustanowienie Rady ds. Kryzysów Zdrowotnych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zapewnienia koordynacji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int</w:t>
      </w:r>
      <w:r w:rsidRPr="00563D0D">
        <w:rPr>
          <w:rFonts w:ascii="Times New Roman" w:hAnsi="Times New Roman"/>
          <w:noProof/>
          <w:sz w:val="24"/>
          <w:lang w:val="pl-PL"/>
        </w:rPr>
        <w:t>egracji podejść do medycznych środków przeciwdziałania mających znaczenie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syt</w:t>
      </w:r>
      <w:r w:rsidRPr="00563D0D">
        <w:rPr>
          <w:rFonts w:ascii="Times New Roman" w:hAnsi="Times New Roman"/>
          <w:noProof/>
          <w:sz w:val="24"/>
          <w:lang w:val="pl-PL"/>
        </w:rPr>
        <w:t>uacjach kryzysowych na poziomie UE,</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tak</w:t>
      </w:r>
      <w:r w:rsidRPr="00563D0D">
        <w:rPr>
          <w:rFonts w:ascii="Times New Roman" w:hAnsi="Times New Roman"/>
          <w:noProof/>
          <w:sz w:val="24"/>
          <w:lang w:val="pl-PL"/>
        </w:rPr>
        <w:t>że mogą obejmować ustanowienie mechanizmów monitorowania, uruchamiania finansowania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syt</w:t>
      </w:r>
      <w:r w:rsidRPr="00563D0D">
        <w:rPr>
          <w:rFonts w:ascii="Times New Roman" w:hAnsi="Times New Roman"/>
          <w:noProof/>
          <w:sz w:val="24"/>
          <w:lang w:val="pl-PL"/>
        </w:rPr>
        <w:t>uacjach nadzwyczajnych, zamówień na medyczne środki przeciwdziałania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sur</w:t>
      </w:r>
      <w:r w:rsidRPr="00563D0D">
        <w:rPr>
          <w:rFonts w:ascii="Times New Roman" w:hAnsi="Times New Roman"/>
          <w:noProof/>
          <w:sz w:val="24"/>
          <w:lang w:val="pl-PL"/>
        </w:rPr>
        <w:t>owce mające znaczenie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syt</w:t>
      </w:r>
      <w:r w:rsidRPr="00563D0D">
        <w:rPr>
          <w:rFonts w:ascii="Times New Roman" w:hAnsi="Times New Roman"/>
          <w:noProof/>
          <w:sz w:val="24"/>
          <w:lang w:val="pl-PL"/>
        </w:rPr>
        <w:t>uacjach kryzysowych oraz ich zakupu; uruchomienie unijnych zakładów produkcyjnych, rozpoczęcie realizacji planów badań naukowych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inn</w:t>
      </w:r>
      <w:r w:rsidRPr="00563D0D">
        <w:rPr>
          <w:rFonts w:ascii="Times New Roman" w:hAnsi="Times New Roman"/>
          <w:noProof/>
          <w:sz w:val="24"/>
          <w:lang w:val="pl-PL"/>
        </w:rPr>
        <w:t>owacji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syt</w:t>
      </w:r>
      <w:r w:rsidRPr="00563D0D">
        <w:rPr>
          <w:rFonts w:ascii="Times New Roman" w:hAnsi="Times New Roman"/>
          <w:noProof/>
          <w:sz w:val="24"/>
          <w:lang w:val="pl-PL"/>
        </w:rPr>
        <w:t>uacjach nadzwyczajnych oraz wykorzystanie ogólnounijnych sieci badań klinicznych oraz przepisów</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pla</w:t>
      </w:r>
      <w:r w:rsidRPr="00563D0D">
        <w:rPr>
          <w:rFonts w:ascii="Times New Roman" w:hAnsi="Times New Roman"/>
          <w:noProof/>
          <w:sz w:val="24"/>
          <w:lang w:val="pl-PL"/>
        </w:rPr>
        <w:t>tform służących szybkiej wymianie danych; oraz środki dotyczące produkcji medycznych środków przeciwdziałania mających znaczenie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syt</w:t>
      </w:r>
      <w:r w:rsidRPr="00563D0D">
        <w:rPr>
          <w:rFonts w:ascii="Times New Roman" w:hAnsi="Times New Roman"/>
          <w:noProof/>
          <w:sz w:val="24"/>
          <w:lang w:val="pl-PL"/>
        </w:rPr>
        <w:t>uacjach kryzysowych. Uznanie stanu zagrożenia zdrowia publicznego umożliwia również wprowadzenie środków dotyczących produktów leczniczych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wyr</w:t>
      </w:r>
      <w:r w:rsidRPr="00563D0D">
        <w:rPr>
          <w:rFonts w:ascii="Times New Roman" w:hAnsi="Times New Roman"/>
          <w:noProof/>
          <w:sz w:val="24"/>
          <w:lang w:val="pl-PL"/>
        </w:rPr>
        <w:t>obów medycznych</w:t>
      </w:r>
      <w:r w:rsidRPr="00563D0D">
        <w:rPr>
          <w:noProof/>
          <w:lang w:val="pl-PL"/>
        </w:rPr>
        <w:t xml:space="preserve"> </w:t>
      </w:r>
      <w:r w:rsidRPr="00563D0D">
        <w:rPr>
          <w:rFonts w:ascii="Times New Roman" w:hAnsi="Times New Roman"/>
          <w:noProof/>
          <w:sz w:val="24"/>
          <w:lang w:val="pl-PL"/>
        </w:rPr>
        <w:t>przewidzianych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roz</w:t>
      </w:r>
      <w:r w:rsidRPr="00563D0D">
        <w:rPr>
          <w:rFonts w:ascii="Times New Roman" w:hAnsi="Times New Roman"/>
          <w:noProof/>
          <w:sz w:val="24"/>
          <w:lang w:val="pl-PL"/>
        </w:rPr>
        <w:t>porządzeniu (UE) 2022/12, uruchomienie wsparcia ze strony ECDC</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mobilizacji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odd</w:t>
      </w:r>
      <w:r w:rsidRPr="00563D0D">
        <w:rPr>
          <w:rFonts w:ascii="Times New Roman" w:hAnsi="Times New Roman"/>
          <w:noProof/>
          <w:sz w:val="24"/>
          <w:lang w:val="pl-PL"/>
        </w:rPr>
        <w:t>elegowania ekspertów do obszarów dotkniętych chorobą</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 xml:space="preserve">ach Grupy Zadaniowej UE ds. Zdrowia oraz uruchomienie IPCR Rady. </w:t>
      </w:r>
    </w:p>
    <w:p w14:paraId="5544E5CB" w14:textId="450815F3" w:rsidR="00003506" w:rsidRPr="00563D0D"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center"/>
        <w:rPr>
          <w:rFonts w:ascii="Times New Roman" w:eastAsia="Times New Roman" w:hAnsi="Times New Roman" w:cs="Times New Roman"/>
          <w:b/>
          <w:noProof/>
          <w:sz w:val="24"/>
          <w:lang w:val="pl-PL"/>
        </w:rPr>
      </w:pPr>
      <w:r w:rsidRPr="00563D0D">
        <w:rPr>
          <w:rFonts w:ascii="Times New Roman" w:hAnsi="Times New Roman"/>
          <w:b/>
          <w:noProof/>
          <w:sz w:val="24"/>
          <w:lang w:val="pl-PL"/>
        </w:rPr>
        <w:t>Ocena ryzyka</w:t>
      </w:r>
      <w:r w:rsidR="00563D0D" w:rsidRPr="00563D0D">
        <w:rPr>
          <w:rFonts w:ascii="Times New Roman" w:hAnsi="Times New Roman"/>
          <w:b/>
          <w:noProof/>
          <w:sz w:val="24"/>
          <w:lang w:val="pl-PL"/>
        </w:rPr>
        <w:t xml:space="preserve"> w</w:t>
      </w:r>
      <w:r w:rsidR="00563D0D">
        <w:rPr>
          <w:rFonts w:ascii="Times New Roman" w:hAnsi="Times New Roman"/>
          <w:b/>
          <w:noProof/>
          <w:sz w:val="24"/>
          <w:lang w:val="pl-PL"/>
        </w:rPr>
        <w:t> </w:t>
      </w:r>
      <w:r w:rsidR="00563D0D" w:rsidRPr="00563D0D">
        <w:rPr>
          <w:rFonts w:ascii="Times New Roman" w:hAnsi="Times New Roman"/>
          <w:b/>
          <w:noProof/>
          <w:sz w:val="24"/>
          <w:lang w:val="pl-PL"/>
        </w:rPr>
        <w:t>zak</w:t>
      </w:r>
      <w:r w:rsidRPr="00563D0D">
        <w:rPr>
          <w:rFonts w:ascii="Times New Roman" w:hAnsi="Times New Roman"/>
          <w:b/>
          <w:noProof/>
          <w:sz w:val="24"/>
          <w:lang w:val="pl-PL"/>
        </w:rPr>
        <w:t>resie zdrowia publicznego</w:t>
      </w:r>
    </w:p>
    <w:p w14:paraId="4F30899E" w14:textId="78A60771" w:rsidR="00003506" w:rsidRPr="00563D0D"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Pierwszym krokiem</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gowaniu na pojawiające się transgraniczne zagrożenie zdrowia jest ocena jego skali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zwi</w:t>
      </w:r>
      <w:r w:rsidRPr="00563D0D">
        <w:rPr>
          <w:rFonts w:ascii="Times New Roman" w:hAnsi="Times New Roman"/>
          <w:noProof/>
          <w:sz w:val="24"/>
          <w:lang w:val="pl-PL"/>
        </w:rPr>
        <w:t>ązanego</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nim</w:t>
      </w:r>
      <w:r w:rsidRPr="00563D0D">
        <w:rPr>
          <w:rFonts w:ascii="Times New Roman" w:hAnsi="Times New Roman"/>
          <w:noProof/>
          <w:sz w:val="24"/>
          <w:lang w:val="pl-PL"/>
        </w:rPr>
        <w:t xml:space="preserve"> ryzyka. Rozporządzeniem (UE) 2022/2371 rozszerzono zakres agencji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org</w:t>
      </w:r>
      <w:r w:rsidRPr="00563D0D">
        <w:rPr>
          <w:rFonts w:ascii="Times New Roman" w:hAnsi="Times New Roman"/>
          <w:noProof/>
          <w:sz w:val="24"/>
          <w:lang w:val="pl-PL"/>
        </w:rPr>
        <w:t>anów UE zaangażowanych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eprowadzanie ocen ryzyka dla zdrowia publicznego oraz określono ich rolę</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wkł</w:t>
      </w:r>
      <w:r w:rsidRPr="00563D0D">
        <w:rPr>
          <w:rFonts w:ascii="Times New Roman" w:hAnsi="Times New Roman"/>
          <w:noProof/>
          <w:sz w:val="24"/>
          <w:lang w:val="pl-PL"/>
        </w:rPr>
        <w:t>ad. Rozporządzenie zawiera odniesienia do Europejskiego Centrum ds. Zapobiegania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Kon</w:t>
      </w:r>
      <w:r w:rsidRPr="00563D0D">
        <w:rPr>
          <w:rFonts w:ascii="Times New Roman" w:hAnsi="Times New Roman"/>
          <w:noProof/>
          <w:sz w:val="24"/>
          <w:lang w:val="pl-PL"/>
        </w:rPr>
        <w:t>troli Chorób (ECDC), Europejskiej Agencji Leków (EMA), Europejskiego Urzędu ds. Bezpieczeństwa Żywności (EFSA), Europejskiej Agencji Chemikaliów (ECHA), Europejskiej Agencji Środowiska (EEA), Europejskiego Centrum Monitorowania Narkotyków</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Nar</w:t>
      </w:r>
      <w:r w:rsidRPr="00563D0D">
        <w:rPr>
          <w:rFonts w:ascii="Times New Roman" w:hAnsi="Times New Roman"/>
          <w:noProof/>
          <w:sz w:val="24"/>
          <w:lang w:val="pl-PL"/>
        </w:rPr>
        <w:t>komanii oraz Agencji Unii Europejskiej ds. Współpracy Organów Ścigania (EUROPOL).</w:t>
      </w:r>
    </w:p>
    <w:p w14:paraId="283C1288" w14:textId="4A09747E" w:rsidR="00FC03C1" w:rsidRPr="00563D0D" w:rsidRDefault="001F1738" w:rsidP="00FC03C1">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Aby wesprzeć Komisję</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pro</w:t>
      </w:r>
      <w:r w:rsidRPr="00563D0D">
        <w:rPr>
          <w:rFonts w:ascii="Times New Roman" w:hAnsi="Times New Roman"/>
          <w:noProof/>
          <w:sz w:val="24"/>
          <w:lang w:val="pl-PL"/>
        </w:rPr>
        <w:t>cesie decyzyjnym dotyczącym formalnego uznania takiego wydarzenia,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art</w:t>
      </w:r>
      <w:r w:rsidRPr="00563D0D">
        <w:rPr>
          <w:rFonts w:ascii="Times New Roman" w:hAnsi="Times New Roman"/>
          <w:noProof/>
          <w:sz w:val="24"/>
          <w:lang w:val="pl-PL"/>
        </w:rPr>
        <w:t>.</w:t>
      </w:r>
      <w:r w:rsidR="00563D0D" w:rsidRPr="00563D0D">
        <w:rPr>
          <w:rFonts w:ascii="Times New Roman" w:hAnsi="Times New Roman"/>
          <w:noProof/>
          <w:sz w:val="24"/>
          <w:lang w:val="pl-PL"/>
        </w:rPr>
        <w:t> </w:t>
      </w:r>
      <w:r w:rsidRPr="00563D0D">
        <w:rPr>
          <w:rFonts w:ascii="Times New Roman" w:hAnsi="Times New Roman"/>
          <w:noProof/>
          <w:sz w:val="24"/>
          <w:lang w:val="pl-PL"/>
        </w:rPr>
        <w:t>24 rozporządzenia (UE) 2022/2371 przewidziano ustanowienie Komitetu Doradczego ds. Stanów Zagrożenia Zdrowia Publicznego. Decyzję Komisji ustanawiającą komitet doradczy przyjęto we wrześniu 2023</w:t>
      </w:r>
      <w:r w:rsidR="00563D0D" w:rsidRPr="00563D0D">
        <w:rPr>
          <w:rFonts w:ascii="Times New Roman" w:hAnsi="Times New Roman"/>
          <w:noProof/>
          <w:sz w:val="24"/>
          <w:lang w:val="pl-PL"/>
        </w:rPr>
        <w:t> </w:t>
      </w:r>
      <w:r w:rsidRPr="00563D0D">
        <w:rPr>
          <w:rFonts w:ascii="Times New Roman" w:hAnsi="Times New Roman"/>
          <w:noProof/>
          <w:sz w:val="24"/>
          <w:lang w:val="pl-PL"/>
        </w:rPr>
        <w:t>r.</w:t>
      </w:r>
      <w:r w:rsidRPr="00563D0D">
        <w:rPr>
          <w:rFonts w:ascii="Times New Roman" w:eastAsia="Times New Roman" w:hAnsi="Times New Roman" w:cs="Times New Roman"/>
          <w:noProof/>
          <w:sz w:val="24"/>
          <w:vertAlign w:val="superscript"/>
          <w:lang w:val="pl-PL"/>
        </w:rPr>
        <w:footnoteReference w:id="87"/>
      </w:r>
      <w:r w:rsidRPr="00563D0D">
        <w:rPr>
          <w:rFonts w:ascii="Times New Roman" w:hAnsi="Times New Roman"/>
          <w:noProof/>
          <w:sz w:val="24"/>
          <w:lang w:val="pl-PL"/>
        </w:rPr>
        <w:t>,</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ost</w:t>
      </w:r>
      <w:r w:rsidRPr="00563D0D">
        <w:rPr>
          <w:rFonts w:ascii="Times New Roman" w:hAnsi="Times New Roman"/>
          <w:noProof/>
          <w:sz w:val="24"/>
          <w:lang w:val="pl-PL"/>
        </w:rPr>
        <w:t>ateczne wyznaczenie komitetu zaplanowano na wiosnę 2024</w:t>
      </w:r>
      <w:r w:rsidR="00563D0D" w:rsidRPr="00563D0D">
        <w:rPr>
          <w:rFonts w:ascii="Times New Roman" w:hAnsi="Times New Roman"/>
          <w:noProof/>
          <w:sz w:val="24"/>
          <w:lang w:val="pl-PL"/>
        </w:rPr>
        <w:t> </w:t>
      </w:r>
      <w:r w:rsidRPr="00563D0D">
        <w:rPr>
          <w:rFonts w:ascii="Times New Roman" w:hAnsi="Times New Roman"/>
          <w:noProof/>
          <w:sz w:val="24"/>
          <w:lang w:val="pl-PL"/>
        </w:rPr>
        <w:t>r. Komitet doradczy będzie wielodyscyplinarną grupą ekspertów, która będzie mogła doradzać Komisji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Kom</w:t>
      </w:r>
      <w:r w:rsidRPr="00563D0D">
        <w:rPr>
          <w:rFonts w:ascii="Times New Roman" w:hAnsi="Times New Roman"/>
          <w:noProof/>
          <w:sz w:val="24"/>
          <w:lang w:val="pl-PL"/>
        </w:rPr>
        <w:t>itetowi ds. Bezpieczeństwa Zdrowia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kwe</w:t>
      </w:r>
      <w:r w:rsidRPr="00563D0D">
        <w:rPr>
          <w:rFonts w:ascii="Times New Roman" w:hAnsi="Times New Roman"/>
          <w:noProof/>
          <w:sz w:val="24"/>
          <w:lang w:val="pl-PL"/>
        </w:rPr>
        <w:t>stiach zdrowia publicznego, biomedycznych, behawioralnych, społecznych, gospodarczych, kulturalnych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mię</w:t>
      </w:r>
      <w:r w:rsidRPr="00563D0D">
        <w:rPr>
          <w:rFonts w:ascii="Times New Roman" w:hAnsi="Times New Roman"/>
          <w:noProof/>
          <w:sz w:val="24"/>
          <w:lang w:val="pl-PL"/>
        </w:rPr>
        <w:t>dzynarodowych</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jej</w:t>
      </w:r>
      <w:r w:rsidRPr="00563D0D">
        <w:rPr>
          <w:rFonts w:ascii="Times New Roman" w:hAnsi="Times New Roman"/>
          <w:noProof/>
          <w:sz w:val="24"/>
          <w:lang w:val="pl-PL"/>
        </w:rPr>
        <w:t xml:space="preserve"> skład wejdą przedstawiciele ECDC i EMA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cha</w:t>
      </w:r>
      <w:r w:rsidRPr="00563D0D">
        <w:rPr>
          <w:rFonts w:ascii="Times New Roman" w:hAnsi="Times New Roman"/>
          <w:noProof/>
          <w:sz w:val="24"/>
          <w:lang w:val="pl-PL"/>
        </w:rPr>
        <w:t>rakterze stałych obserwatorów. Przedstawiciele WHO mogą również uczestniczyć</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pos</w:t>
      </w:r>
      <w:r w:rsidRPr="00563D0D">
        <w:rPr>
          <w:rFonts w:ascii="Times New Roman" w:hAnsi="Times New Roman"/>
          <w:noProof/>
          <w:sz w:val="24"/>
          <w:lang w:val="pl-PL"/>
        </w:rPr>
        <w:t>iedzeniach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cha</w:t>
      </w:r>
      <w:r w:rsidRPr="00563D0D">
        <w:rPr>
          <w:rFonts w:ascii="Times New Roman" w:hAnsi="Times New Roman"/>
          <w:noProof/>
          <w:sz w:val="24"/>
          <w:lang w:val="pl-PL"/>
        </w:rPr>
        <w:t>rakterze obserwatorów. Przedstawiciele innych agencji lub organów UE istotnych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odn</w:t>
      </w:r>
      <w:r w:rsidRPr="00563D0D">
        <w:rPr>
          <w:rFonts w:ascii="Times New Roman" w:hAnsi="Times New Roman"/>
          <w:noProof/>
          <w:sz w:val="24"/>
          <w:lang w:val="pl-PL"/>
        </w:rPr>
        <w:t>iesieniu do danego zagrożenia mogą uczestniczyć</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pra</w:t>
      </w:r>
      <w:r w:rsidRPr="00563D0D">
        <w:rPr>
          <w:rFonts w:ascii="Times New Roman" w:hAnsi="Times New Roman"/>
          <w:noProof/>
          <w:sz w:val="24"/>
          <w:lang w:val="pl-PL"/>
        </w:rPr>
        <w:t>cach komitetu doradczego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cha</w:t>
      </w:r>
      <w:r w:rsidRPr="00563D0D">
        <w:rPr>
          <w:rFonts w:ascii="Times New Roman" w:hAnsi="Times New Roman"/>
          <w:noProof/>
          <w:sz w:val="24"/>
          <w:lang w:val="pl-PL"/>
        </w:rPr>
        <w:t xml:space="preserve">rakterze tymczasowych obserwatorów. Ponadto, na zasadzie </w:t>
      </w:r>
      <w:r w:rsidRPr="00563D0D">
        <w:rPr>
          <w:rFonts w:ascii="Times New Roman" w:hAnsi="Times New Roman"/>
          <w:i/>
          <w:iCs/>
          <w:noProof/>
          <w:sz w:val="24"/>
          <w:lang w:val="pl-PL"/>
        </w:rPr>
        <w:t>ad hoc</w:t>
      </w:r>
      <w:r w:rsidRPr="00563D0D">
        <w:rPr>
          <w:rFonts w:ascii="Times New Roman" w:hAnsi="Times New Roman"/>
          <w:noProof/>
          <w:sz w:val="24"/>
          <w:lang w:val="pl-PL"/>
        </w:rPr>
        <w:t>, Komisja może zaprosić ekspertów posiadających odpowiednią wiedzę fachową do udziału</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pra</w:t>
      </w:r>
      <w:r w:rsidRPr="00563D0D">
        <w:rPr>
          <w:rFonts w:ascii="Times New Roman" w:hAnsi="Times New Roman"/>
          <w:noProof/>
          <w:sz w:val="24"/>
          <w:lang w:val="pl-PL"/>
        </w:rPr>
        <w:t>cach komitetu,</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szc</w:t>
      </w:r>
      <w:r w:rsidRPr="00563D0D">
        <w:rPr>
          <w:rFonts w:ascii="Times New Roman" w:hAnsi="Times New Roman"/>
          <w:noProof/>
          <w:sz w:val="24"/>
          <w:lang w:val="pl-PL"/>
        </w:rPr>
        <w:t>zególności</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kra</w:t>
      </w:r>
      <w:r w:rsidRPr="00563D0D">
        <w:rPr>
          <w:rFonts w:ascii="Times New Roman" w:hAnsi="Times New Roman"/>
          <w:noProof/>
          <w:sz w:val="24"/>
          <w:lang w:val="pl-PL"/>
        </w:rPr>
        <w:t>jów,</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któ</w:t>
      </w:r>
      <w:r w:rsidRPr="00563D0D">
        <w:rPr>
          <w:rFonts w:ascii="Times New Roman" w:hAnsi="Times New Roman"/>
          <w:noProof/>
          <w:sz w:val="24"/>
          <w:lang w:val="pl-PL"/>
        </w:rPr>
        <w:t xml:space="preserve">rych powstało zagrożenie – ewentualnie państwa członkowskie mogą zaproponować ich powołanie. </w:t>
      </w:r>
    </w:p>
    <w:p w14:paraId="2C312AE5" w14:textId="794F534A" w:rsidR="00FC03C1" w:rsidRPr="00563D0D" w:rsidRDefault="001F1738" w:rsidP="00FC03C1">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Ponadto unijne zdolności reagowania kryzysowego, nieograniczające się do zdrowia publicznego, utrzymywane są</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Unijnego Mechanizmu Ochrony Ludności,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którego Komisja,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ści</w:t>
      </w:r>
      <w:r w:rsidRPr="00563D0D">
        <w:rPr>
          <w:rFonts w:ascii="Times New Roman" w:hAnsi="Times New Roman"/>
          <w:noProof/>
          <w:sz w:val="24"/>
          <w:lang w:val="pl-PL"/>
        </w:rPr>
        <w:t>słej współpracy</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pań</w:t>
      </w:r>
      <w:r w:rsidRPr="00563D0D">
        <w:rPr>
          <w:rFonts w:ascii="Times New Roman" w:hAnsi="Times New Roman"/>
          <w:noProof/>
          <w:sz w:val="24"/>
          <w:lang w:val="pl-PL"/>
        </w:rPr>
        <w:t>stwami członkowskimi, nie tylko zapewnia koordynację reagowania kryzysowego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odn</w:t>
      </w:r>
      <w:r w:rsidRPr="00563D0D">
        <w:rPr>
          <w:rFonts w:ascii="Times New Roman" w:hAnsi="Times New Roman"/>
          <w:noProof/>
          <w:sz w:val="24"/>
          <w:lang w:val="pl-PL"/>
        </w:rPr>
        <w:t>iesieniu do produktów</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wyr</w:t>
      </w:r>
      <w:r w:rsidRPr="00563D0D">
        <w:rPr>
          <w:rFonts w:ascii="Times New Roman" w:hAnsi="Times New Roman"/>
          <w:noProof/>
          <w:sz w:val="24"/>
          <w:lang w:val="pl-PL"/>
        </w:rPr>
        <w:t>obów leczniczych, ale również koordynuje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peł</w:t>
      </w:r>
      <w:r w:rsidRPr="00563D0D">
        <w:rPr>
          <w:rFonts w:ascii="Times New Roman" w:hAnsi="Times New Roman"/>
          <w:noProof/>
          <w:sz w:val="24"/>
          <w:lang w:val="pl-PL"/>
        </w:rPr>
        <w:t>ni wyposażone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sam</w:t>
      </w:r>
      <w:r w:rsidRPr="00563D0D">
        <w:rPr>
          <w:rFonts w:ascii="Times New Roman" w:hAnsi="Times New Roman"/>
          <w:noProof/>
          <w:sz w:val="24"/>
          <w:lang w:val="pl-PL"/>
        </w:rPr>
        <w:t>owystarczalne zespoły ratownictwa medycznego na szczeblu UE. Jeżeli zdolności medyczne kraju dotkniętego sytuacją nadzwyczajną są niewystarczające, UMOL może zmobilizować różnego rodzaju wsparcie medyczne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syt</w:t>
      </w:r>
      <w:r w:rsidRPr="00563D0D">
        <w:rPr>
          <w:rFonts w:ascii="Times New Roman" w:hAnsi="Times New Roman"/>
          <w:noProof/>
          <w:sz w:val="24"/>
          <w:lang w:val="pl-PL"/>
        </w:rPr>
        <w:t>uacjach nadzwyczajnych ze swojej europejskiej puli ochrony ludności (ECPP),</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zespoły ratownictwa medycznego. </w:t>
      </w:r>
    </w:p>
    <w:p w14:paraId="11D8B1FF" w14:textId="43EACAB8" w:rsidR="00FC03C1" w:rsidRPr="00563D0D" w:rsidRDefault="001F1738" w:rsidP="00FC03C1">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W ramach rescEU przeznaczono 106,2 mln EUR przekazane ośmiu państwom na opracowanie nowych zespołów ratownictwa medycznego rescEU. Celem jest intensyfikacja wsparcia medycznego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syt</w:t>
      </w:r>
      <w:r w:rsidRPr="00563D0D">
        <w:rPr>
          <w:rFonts w:ascii="Times New Roman" w:hAnsi="Times New Roman"/>
          <w:noProof/>
          <w:sz w:val="24"/>
          <w:lang w:val="pl-PL"/>
        </w:rPr>
        <w:t>uacjach nadzwyczajnych dla populacji, które ucierpiały wskutek klęsk żywiołowych lub katastrof spowodowanych przez człowieka na dużą skalę. Ta zdolność zespołów ratownictwa medycznego rescEU będzie stopniowo uruchamiana od</w:t>
      </w:r>
      <w:r w:rsidR="00563D0D" w:rsidRPr="00563D0D">
        <w:rPr>
          <w:rFonts w:ascii="Times New Roman" w:hAnsi="Times New Roman"/>
          <w:noProof/>
          <w:sz w:val="24"/>
          <w:lang w:val="pl-PL"/>
        </w:rPr>
        <w:t> </w:t>
      </w:r>
      <w:r w:rsidRPr="00563D0D">
        <w:rPr>
          <w:rFonts w:ascii="Times New Roman" w:hAnsi="Times New Roman"/>
          <w:noProof/>
          <w:sz w:val="24"/>
          <w:lang w:val="pl-PL"/>
        </w:rPr>
        <w:t>2024</w:t>
      </w:r>
      <w:r w:rsidR="00563D0D" w:rsidRPr="00563D0D">
        <w:rPr>
          <w:rFonts w:ascii="Times New Roman" w:hAnsi="Times New Roman"/>
          <w:noProof/>
          <w:sz w:val="24"/>
          <w:lang w:val="pl-PL"/>
        </w:rPr>
        <w:t> </w:t>
      </w:r>
      <w:r w:rsidRPr="00563D0D">
        <w:rPr>
          <w:rFonts w:ascii="Times New Roman" w:hAnsi="Times New Roman"/>
          <w:noProof/>
          <w:sz w:val="24"/>
          <w:lang w:val="pl-PL"/>
        </w:rPr>
        <w:t>r.</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umo</w:t>
      </w:r>
      <w:r w:rsidRPr="00563D0D">
        <w:rPr>
          <w:rFonts w:ascii="Times New Roman" w:hAnsi="Times New Roman"/>
          <w:noProof/>
          <w:sz w:val="24"/>
          <w:lang w:val="pl-PL"/>
        </w:rPr>
        <w:t>żliwi reagowanie na szereg scenariuszy dotyczących klęsk</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kat</w:t>
      </w:r>
      <w:r w:rsidRPr="00563D0D">
        <w:rPr>
          <w:rFonts w:ascii="Times New Roman" w:hAnsi="Times New Roman"/>
          <w:noProof/>
          <w:sz w:val="24"/>
          <w:lang w:val="pl-PL"/>
        </w:rPr>
        <w:t>astrof. Zespoły będą mogły działać niezależnie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wsp</w:t>
      </w:r>
      <w:r w:rsidRPr="00563D0D">
        <w:rPr>
          <w:rFonts w:ascii="Times New Roman" w:hAnsi="Times New Roman"/>
          <w:noProof/>
          <w:sz w:val="24"/>
          <w:lang w:val="pl-PL"/>
        </w:rPr>
        <w:t>ierać istniejące krajowe placówki opieki zdrowotnej</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ypadku, gdy te ostatnie nie będą</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sta</w:t>
      </w:r>
      <w:r w:rsidRPr="00563D0D">
        <w:rPr>
          <w:rFonts w:ascii="Times New Roman" w:hAnsi="Times New Roman"/>
          <w:noProof/>
          <w:sz w:val="24"/>
          <w:lang w:val="pl-PL"/>
        </w:rPr>
        <w:t>nie poradzić sobie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dan</w:t>
      </w:r>
      <w:r w:rsidRPr="00563D0D">
        <w:rPr>
          <w:rFonts w:ascii="Times New Roman" w:hAnsi="Times New Roman"/>
          <w:noProof/>
          <w:sz w:val="24"/>
          <w:lang w:val="pl-PL"/>
        </w:rPr>
        <w:t>ą sytuacją nadzwyczajną. Ponadto rescEU obejmuje również zdolności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ewakuacji medycznej (MEDEVAC)</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ypadku nadzwyczajnych potrzeb pacjentów dotkniętych wysoce zakaźnymi chorobami,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specjalne samoloty.</w:t>
      </w:r>
      <w:bookmarkStart w:id="21" w:name="_Toc145428532"/>
      <w:bookmarkEnd w:id="21"/>
    </w:p>
    <w:p w14:paraId="4B3DC508" w14:textId="11EBEBF0" w:rsidR="001F1738" w:rsidRPr="00563D0D" w:rsidRDefault="001F1738" w:rsidP="00FC03C1">
      <w:pPr>
        <w:spacing w:before="100" w:beforeAutospacing="1" w:after="100" w:afterAutospacing="1" w:line="240" w:lineRule="auto"/>
        <w:jc w:val="both"/>
        <w:rPr>
          <w:rFonts w:ascii="Times New Roman" w:eastAsia="Times New Roman" w:hAnsi="Times New Roman" w:cs="Times New Roman"/>
          <w:b/>
          <w:noProof/>
          <w:sz w:val="24"/>
          <w:lang w:val="pl-PL"/>
        </w:rPr>
      </w:pPr>
      <w:r w:rsidRPr="00563D0D">
        <w:rPr>
          <w:rFonts w:ascii="Times New Roman" w:hAnsi="Times New Roman"/>
          <w:b/>
          <w:noProof/>
          <w:sz w:val="24"/>
          <w:lang w:val="pl-PL"/>
        </w:rPr>
        <w:t>Bezpieczne</w:t>
      </w:r>
      <w:r w:rsidR="00563D0D" w:rsidRPr="00563D0D">
        <w:rPr>
          <w:rFonts w:ascii="Times New Roman" w:hAnsi="Times New Roman"/>
          <w:b/>
          <w:noProof/>
          <w:sz w:val="24"/>
          <w:lang w:val="pl-PL"/>
        </w:rPr>
        <w:t xml:space="preserve"> i</w:t>
      </w:r>
      <w:r w:rsidR="00563D0D">
        <w:rPr>
          <w:rFonts w:ascii="Times New Roman" w:hAnsi="Times New Roman"/>
          <w:b/>
          <w:noProof/>
          <w:sz w:val="24"/>
          <w:lang w:val="pl-PL"/>
        </w:rPr>
        <w:t> </w:t>
      </w:r>
      <w:r w:rsidR="00563D0D" w:rsidRPr="00563D0D">
        <w:rPr>
          <w:rFonts w:ascii="Times New Roman" w:hAnsi="Times New Roman"/>
          <w:b/>
          <w:noProof/>
          <w:sz w:val="24"/>
          <w:lang w:val="pl-PL"/>
        </w:rPr>
        <w:t>sku</w:t>
      </w:r>
      <w:r w:rsidRPr="00563D0D">
        <w:rPr>
          <w:rFonts w:ascii="Times New Roman" w:hAnsi="Times New Roman"/>
          <w:b/>
          <w:noProof/>
          <w:sz w:val="24"/>
          <w:lang w:val="pl-PL"/>
        </w:rPr>
        <w:t>teczne produkty lecznicze</w:t>
      </w:r>
      <w:r w:rsidR="00563D0D" w:rsidRPr="00563D0D">
        <w:rPr>
          <w:rFonts w:ascii="Times New Roman" w:hAnsi="Times New Roman"/>
          <w:b/>
          <w:noProof/>
          <w:sz w:val="24"/>
          <w:lang w:val="pl-PL"/>
        </w:rPr>
        <w:t xml:space="preserve"> i</w:t>
      </w:r>
      <w:r w:rsidR="00563D0D">
        <w:rPr>
          <w:rFonts w:ascii="Times New Roman" w:hAnsi="Times New Roman"/>
          <w:b/>
          <w:noProof/>
          <w:sz w:val="24"/>
          <w:lang w:val="pl-PL"/>
        </w:rPr>
        <w:t> </w:t>
      </w:r>
      <w:r w:rsidR="00563D0D" w:rsidRPr="00563D0D">
        <w:rPr>
          <w:rFonts w:ascii="Times New Roman" w:hAnsi="Times New Roman"/>
          <w:b/>
          <w:noProof/>
          <w:sz w:val="24"/>
          <w:lang w:val="pl-PL"/>
        </w:rPr>
        <w:t>wyr</w:t>
      </w:r>
      <w:r w:rsidRPr="00563D0D">
        <w:rPr>
          <w:rFonts w:ascii="Times New Roman" w:hAnsi="Times New Roman"/>
          <w:b/>
          <w:noProof/>
          <w:sz w:val="24"/>
          <w:lang w:val="pl-PL"/>
        </w:rPr>
        <w:t>oby medyczne</w:t>
      </w:r>
    </w:p>
    <w:p w14:paraId="1BBCB08E" w14:textId="6D046A7C" w:rsidR="001F1738" w:rsidRPr="00563D0D" w:rsidRDefault="001F1738" w:rsidP="001F1738">
      <w:pPr>
        <w:autoSpaceDE w:val="0"/>
        <w:autoSpaceDN w:val="0"/>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Pandemia COVID-19 sprawiła, że ponownie dostrzeżono, jak duże znaczenie ma zapewnienie bezpieczeństwa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sku</w:t>
      </w:r>
      <w:r w:rsidRPr="00563D0D">
        <w:rPr>
          <w:rFonts w:ascii="Times New Roman" w:hAnsi="Times New Roman"/>
          <w:noProof/>
          <w:sz w:val="24"/>
          <w:lang w:val="pl-PL"/>
        </w:rPr>
        <w:t>teczności,</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tak</w:t>
      </w:r>
      <w:r w:rsidRPr="00563D0D">
        <w:rPr>
          <w:rFonts w:ascii="Times New Roman" w:hAnsi="Times New Roman"/>
          <w:noProof/>
          <w:sz w:val="24"/>
          <w:lang w:val="pl-PL"/>
        </w:rPr>
        <w:t>że dostępności wyrobów medycznych, diagnostyki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lek</w:t>
      </w:r>
      <w:r w:rsidRPr="00563D0D">
        <w:rPr>
          <w:rFonts w:ascii="Times New Roman" w:hAnsi="Times New Roman"/>
          <w:noProof/>
          <w:sz w:val="24"/>
          <w:lang w:val="pl-PL"/>
        </w:rPr>
        <w:t>ów</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cza</w:t>
      </w:r>
      <w:r w:rsidRPr="00563D0D">
        <w:rPr>
          <w:rFonts w:ascii="Times New Roman" w:hAnsi="Times New Roman"/>
          <w:noProof/>
          <w:sz w:val="24"/>
          <w:lang w:val="pl-PL"/>
        </w:rPr>
        <w:t xml:space="preserve">sach kryzysu zdrowotnego. </w:t>
      </w:r>
    </w:p>
    <w:p w14:paraId="30CDF999" w14:textId="50D11DFE" w:rsidR="001F1738" w:rsidRPr="00563D0D" w:rsidRDefault="001F1738" w:rsidP="001F1738">
      <w:pPr>
        <w:autoSpaceDE w:val="0"/>
        <w:autoSpaceDN w:val="0"/>
        <w:spacing w:before="100" w:beforeAutospacing="1" w:after="100" w:afterAutospacing="1" w:line="240" w:lineRule="auto"/>
        <w:jc w:val="both"/>
        <w:rPr>
          <w:rFonts w:ascii="Times New Roman" w:eastAsiaTheme="minorEastAsia" w:hAnsi="Times New Roman" w:cs="Times New Roman"/>
          <w:noProof/>
          <w:sz w:val="24"/>
          <w:lang w:val="pl-PL"/>
        </w:rPr>
      </w:pPr>
      <w:r w:rsidRPr="00563D0D">
        <w:rPr>
          <w:rFonts w:ascii="Times New Roman" w:hAnsi="Times New Roman"/>
          <w:noProof/>
          <w:sz w:val="24"/>
          <w:lang w:val="pl-PL"/>
        </w:rPr>
        <w:t>Rozporządzeniami (UE) 2017/745</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2</w:t>
      </w:r>
      <w:r w:rsidRPr="00563D0D">
        <w:rPr>
          <w:rFonts w:ascii="Times New Roman" w:hAnsi="Times New Roman"/>
          <w:noProof/>
          <w:sz w:val="24"/>
          <w:lang w:val="pl-PL"/>
        </w:rPr>
        <w:t>017/746</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awie wyrobów medycznych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wyr</w:t>
      </w:r>
      <w:r w:rsidRPr="00563D0D">
        <w:rPr>
          <w:rFonts w:ascii="Times New Roman" w:hAnsi="Times New Roman"/>
          <w:noProof/>
          <w:sz w:val="24"/>
          <w:lang w:val="pl-PL"/>
        </w:rPr>
        <w:t>obów medycznych do diagnostyki ustanowiono solidne ramy regulacyjne, które harmonizują</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wzm</w:t>
      </w:r>
      <w:r w:rsidRPr="00563D0D">
        <w:rPr>
          <w:rFonts w:ascii="Times New Roman" w:hAnsi="Times New Roman"/>
          <w:noProof/>
          <w:sz w:val="24"/>
          <w:lang w:val="pl-PL"/>
        </w:rPr>
        <w:t>acniają wymogi dla producentów</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syt</w:t>
      </w:r>
      <w:r w:rsidRPr="00563D0D">
        <w:rPr>
          <w:rFonts w:ascii="Times New Roman" w:hAnsi="Times New Roman"/>
          <w:noProof/>
          <w:sz w:val="24"/>
          <w:lang w:val="pl-PL"/>
        </w:rPr>
        <w:t>uacjach innych niż sytuacje nadzwyczajne. Dzięki tym przepisom wyroby medyczne na rynku UE są bezpieczne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sku</w:t>
      </w:r>
      <w:r w:rsidRPr="00563D0D">
        <w:rPr>
          <w:rFonts w:ascii="Times New Roman" w:hAnsi="Times New Roman"/>
          <w:noProof/>
          <w:sz w:val="24"/>
          <w:lang w:val="pl-PL"/>
        </w:rPr>
        <w:t>teczne. Podczas pandemii COVID-19 rynek UE został zalany szybkimi testami antygenowymi, które nie były objęte obowiązkiem niezależnego przeglądu przez osobę trzecią. Dzięki nowym ramom regulacyjnym (obowiązującym od maja 2021</w:t>
      </w:r>
      <w:r w:rsidR="00563D0D" w:rsidRPr="00563D0D">
        <w:rPr>
          <w:rFonts w:ascii="Times New Roman" w:hAnsi="Times New Roman"/>
          <w:noProof/>
          <w:sz w:val="24"/>
          <w:lang w:val="pl-PL"/>
        </w:rPr>
        <w:t> </w:t>
      </w:r>
      <w:r w:rsidRPr="00563D0D">
        <w:rPr>
          <w:rFonts w:ascii="Times New Roman" w:hAnsi="Times New Roman"/>
          <w:noProof/>
          <w:sz w:val="24"/>
          <w:lang w:val="pl-PL"/>
        </w:rPr>
        <w:t>r.</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odn</w:t>
      </w:r>
      <w:r w:rsidRPr="00563D0D">
        <w:rPr>
          <w:rFonts w:ascii="Times New Roman" w:hAnsi="Times New Roman"/>
          <w:noProof/>
          <w:sz w:val="24"/>
          <w:lang w:val="pl-PL"/>
        </w:rPr>
        <w:t>iesieniu do wyrobów medycznych i od maja 2022</w:t>
      </w:r>
      <w:r w:rsidR="00563D0D" w:rsidRPr="00563D0D">
        <w:rPr>
          <w:rFonts w:ascii="Times New Roman" w:hAnsi="Times New Roman"/>
          <w:noProof/>
          <w:sz w:val="24"/>
          <w:lang w:val="pl-PL"/>
        </w:rPr>
        <w:t> </w:t>
      </w:r>
      <w:r w:rsidRPr="00563D0D">
        <w:rPr>
          <w:rFonts w:ascii="Times New Roman" w:hAnsi="Times New Roman"/>
          <w:noProof/>
          <w:sz w:val="24"/>
          <w:lang w:val="pl-PL"/>
        </w:rPr>
        <w:t>r.</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odn</w:t>
      </w:r>
      <w:r w:rsidRPr="00563D0D">
        <w:rPr>
          <w:rFonts w:ascii="Times New Roman" w:hAnsi="Times New Roman"/>
          <w:noProof/>
          <w:sz w:val="24"/>
          <w:lang w:val="pl-PL"/>
        </w:rPr>
        <w:t>iesieniu do wyrobów medycznych do diagnostyki) przed wprowadzeniem do obrotu w UE wyroby medyczne muszą zostać poddane bardziej rygorystycznej ocenie zgodności. Jednocześnie państwa członkowskie mogą</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wyj</w:t>
      </w:r>
      <w:r w:rsidRPr="00563D0D">
        <w:rPr>
          <w:rFonts w:ascii="Times New Roman" w:hAnsi="Times New Roman"/>
          <w:noProof/>
          <w:sz w:val="24"/>
          <w:lang w:val="pl-PL"/>
        </w:rPr>
        <w:t>ątkowych sytuacjach przyznać odstępstwa od oceny zgodności, jeżeli leży to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int</w:t>
      </w:r>
      <w:r w:rsidRPr="00563D0D">
        <w:rPr>
          <w:rFonts w:ascii="Times New Roman" w:hAnsi="Times New Roman"/>
          <w:noProof/>
          <w:sz w:val="24"/>
          <w:lang w:val="pl-PL"/>
        </w:rPr>
        <w:t>eresie zdrowia publicznego (art.</w:t>
      </w:r>
      <w:r w:rsidR="00563D0D" w:rsidRPr="00563D0D">
        <w:rPr>
          <w:rFonts w:ascii="Times New Roman" w:hAnsi="Times New Roman"/>
          <w:noProof/>
          <w:sz w:val="24"/>
          <w:lang w:val="pl-PL"/>
        </w:rPr>
        <w:t> </w:t>
      </w:r>
      <w:r w:rsidRPr="00563D0D">
        <w:rPr>
          <w:rFonts w:ascii="Times New Roman" w:hAnsi="Times New Roman"/>
          <w:noProof/>
          <w:sz w:val="24"/>
          <w:lang w:val="pl-PL"/>
        </w:rPr>
        <w:t>59 rozporządzenia (UE) 2017/745</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art</w:t>
      </w:r>
      <w:r w:rsidRPr="00563D0D">
        <w:rPr>
          <w:rFonts w:ascii="Times New Roman" w:hAnsi="Times New Roman"/>
          <w:noProof/>
          <w:sz w:val="24"/>
          <w:lang w:val="pl-PL"/>
        </w:rPr>
        <w:t>.</w:t>
      </w:r>
      <w:r w:rsidR="00563D0D" w:rsidRPr="00563D0D">
        <w:rPr>
          <w:rFonts w:ascii="Times New Roman" w:hAnsi="Times New Roman"/>
          <w:noProof/>
          <w:sz w:val="24"/>
          <w:lang w:val="pl-PL"/>
        </w:rPr>
        <w:t> </w:t>
      </w:r>
      <w:r w:rsidRPr="00563D0D">
        <w:rPr>
          <w:rFonts w:ascii="Times New Roman" w:hAnsi="Times New Roman"/>
          <w:noProof/>
          <w:sz w:val="24"/>
          <w:lang w:val="pl-PL"/>
        </w:rPr>
        <w:t>54 rozporządzenia (UE) 2017/746).</w:t>
      </w:r>
    </w:p>
    <w:p w14:paraId="68ED3D65" w14:textId="746F486E"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Ponadto problemy</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zao</w:t>
      </w:r>
      <w:r w:rsidRPr="00563D0D">
        <w:rPr>
          <w:rFonts w:ascii="Times New Roman" w:hAnsi="Times New Roman"/>
          <w:noProof/>
          <w:sz w:val="24"/>
          <w:lang w:val="pl-PL"/>
        </w:rPr>
        <w:t>patrzeniem</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lek</w:t>
      </w:r>
      <w:r w:rsidRPr="00563D0D">
        <w:rPr>
          <w:rFonts w:ascii="Times New Roman" w:hAnsi="Times New Roman"/>
          <w:noProof/>
          <w:sz w:val="24"/>
          <w:lang w:val="pl-PL"/>
        </w:rPr>
        <w:t>i są stałym problemem w UE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wys</w:t>
      </w:r>
      <w:r w:rsidRPr="00563D0D">
        <w:rPr>
          <w:rFonts w:ascii="Times New Roman" w:hAnsi="Times New Roman"/>
          <w:noProof/>
          <w:sz w:val="24"/>
          <w:lang w:val="pl-PL"/>
        </w:rPr>
        <w:t>tępują we wszystkich państwach członkowskich UE, których nie dotyczy ogłoszony stan zagrożenia zdrowia publicznego lub poważne wydarzenie. Wprowadzono wieloaspektowy system, który ma zniwelować problemy niedoborów leków. System ten uruchomiono również</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syt</w:t>
      </w:r>
      <w:r w:rsidRPr="00563D0D">
        <w:rPr>
          <w:rFonts w:ascii="Times New Roman" w:hAnsi="Times New Roman"/>
          <w:noProof/>
          <w:sz w:val="24"/>
          <w:lang w:val="pl-PL"/>
        </w:rPr>
        <w:t>uacji, gdy UE doświadczyła niedoborów antybiotyków zimą na przełomie lat</w:t>
      </w:r>
      <w:r w:rsidR="00563D0D" w:rsidRPr="00563D0D">
        <w:rPr>
          <w:rFonts w:ascii="Times New Roman" w:hAnsi="Times New Roman"/>
          <w:noProof/>
          <w:sz w:val="24"/>
          <w:lang w:val="pl-PL"/>
        </w:rPr>
        <w:t> </w:t>
      </w:r>
      <w:r w:rsidRPr="00563D0D">
        <w:rPr>
          <w:rFonts w:ascii="Times New Roman" w:hAnsi="Times New Roman"/>
          <w:noProof/>
          <w:sz w:val="24"/>
          <w:lang w:val="pl-PL"/>
        </w:rPr>
        <w:t>2022</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2</w:t>
      </w:r>
      <w:r w:rsidRPr="00563D0D">
        <w:rPr>
          <w:rFonts w:ascii="Times New Roman" w:hAnsi="Times New Roman"/>
          <w:noProof/>
          <w:sz w:val="24"/>
          <w:lang w:val="pl-PL"/>
        </w:rPr>
        <w:t>023. Aby zapobiec powtórzeniu się podobnej sytuacji, Komisja i EMA stale monitorują planowaną podaż</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sza</w:t>
      </w:r>
      <w:r w:rsidRPr="00563D0D">
        <w:rPr>
          <w:rFonts w:ascii="Times New Roman" w:hAnsi="Times New Roman"/>
          <w:noProof/>
          <w:sz w:val="24"/>
          <w:lang w:val="pl-PL"/>
        </w:rPr>
        <w:t>cowany popyt</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kon</w:t>
      </w:r>
      <w:r w:rsidRPr="00563D0D">
        <w:rPr>
          <w:rFonts w:ascii="Times New Roman" w:hAnsi="Times New Roman"/>
          <w:noProof/>
          <w:sz w:val="24"/>
          <w:lang w:val="pl-PL"/>
        </w:rPr>
        <w:t>tekście zestawu kluczowych antybiotyków, aby aktywnie identyfikować wszelkie luki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zdo</w:t>
      </w:r>
      <w:r w:rsidRPr="00563D0D">
        <w:rPr>
          <w:rFonts w:ascii="Times New Roman" w:hAnsi="Times New Roman"/>
          <w:noProof/>
          <w:sz w:val="24"/>
          <w:lang w:val="pl-PL"/>
        </w:rPr>
        <w:t>lnościach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dostaw</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paź</w:t>
      </w:r>
      <w:r w:rsidRPr="00563D0D">
        <w:rPr>
          <w:rFonts w:ascii="Times New Roman" w:hAnsi="Times New Roman"/>
          <w:noProof/>
          <w:sz w:val="24"/>
          <w:lang w:val="pl-PL"/>
        </w:rPr>
        <w:t>dzierniku 2023</w:t>
      </w:r>
      <w:r w:rsidR="00563D0D" w:rsidRPr="00563D0D">
        <w:rPr>
          <w:rFonts w:ascii="Times New Roman" w:hAnsi="Times New Roman"/>
          <w:noProof/>
          <w:sz w:val="24"/>
          <w:lang w:val="pl-PL"/>
        </w:rPr>
        <w:t> </w:t>
      </w:r>
      <w:r w:rsidRPr="00563D0D">
        <w:rPr>
          <w:rFonts w:ascii="Times New Roman" w:hAnsi="Times New Roman"/>
          <w:noProof/>
          <w:sz w:val="24"/>
          <w:lang w:val="pl-PL"/>
        </w:rPr>
        <w:t>r. Komisja przyjęła komunikat</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awie rozwiązania problemu niedoborów leków w UE, którego celem jest zwiększenie bezpieczeństwa dostaw w UE poprzez działania uzupełniające mające na celu dalszą poprawę dostępności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bez</w:t>
      </w:r>
      <w:r w:rsidRPr="00563D0D">
        <w:rPr>
          <w:rFonts w:ascii="Times New Roman" w:hAnsi="Times New Roman"/>
          <w:noProof/>
          <w:sz w:val="24"/>
          <w:lang w:val="pl-PL"/>
        </w:rPr>
        <w:t>pieczeństwa dostaw leków.</w:t>
      </w:r>
    </w:p>
    <w:p w14:paraId="650C0B0C" w14:textId="37BE13D6" w:rsidR="00BC7FCB" w:rsidRPr="00563D0D" w:rsidRDefault="001F1738" w:rsidP="00BC2F11">
      <w:pPr>
        <w:spacing w:before="100" w:beforeAutospacing="1" w:after="100" w:afterAutospacing="1" w:line="240" w:lineRule="auto"/>
        <w:contextualSpacing/>
        <w:jc w:val="both"/>
        <w:rPr>
          <w:rFonts w:ascii="Times New Roman" w:eastAsia="Times New Roman" w:hAnsi="Times New Roman" w:cs="Times New Roman"/>
          <w:noProof/>
          <w:sz w:val="24"/>
          <w:lang w:val="pl-PL"/>
        </w:rPr>
      </w:pPr>
      <w:r w:rsidRPr="00563D0D">
        <w:rPr>
          <w:rFonts w:ascii="Times New Roman" w:hAnsi="Times New Roman"/>
          <w:noProof/>
          <w:sz w:val="24"/>
          <w:lang w:val="pl-PL"/>
        </w:rPr>
        <w:t>Od czasu wprowadzenia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2</w:t>
      </w:r>
      <w:r w:rsidRPr="00563D0D">
        <w:rPr>
          <w:rFonts w:ascii="Times New Roman" w:hAnsi="Times New Roman"/>
          <w:noProof/>
          <w:sz w:val="24"/>
          <w:lang w:val="pl-PL"/>
        </w:rPr>
        <w:t>022</w:t>
      </w:r>
      <w:r w:rsidR="00563D0D" w:rsidRPr="00563D0D">
        <w:rPr>
          <w:rFonts w:ascii="Times New Roman" w:hAnsi="Times New Roman"/>
          <w:noProof/>
          <w:sz w:val="24"/>
          <w:lang w:val="pl-PL"/>
        </w:rPr>
        <w:t> </w:t>
      </w:r>
      <w:r w:rsidRPr="00563D0D">
        <w:rPr>
          <w:rFonts w:ascii="Times New Roman" w:hAnsi="Times New Roman"/>
          <w:noProof/>
          <w:sz w:val="24"/>
          <w:lang w:val="pl-PL"/>
        </w:rPr>
        <w:t>r. wzmocnionego mandatu</w:t>
      </w:r>
      <w:r w:rsidRPr="00563D0D">
        <w:rPr>
          <w:rFonts w:ascii="Times New Roman" w:eastAsia="Times New Roman" w:hAnsi="Times New Roman" w:cs="Times New Roman"/>
          <w:noProof/>
          <w:sz w:val="24"/>
          <w:vertAlign w:val="superscript"/>
          <w:lang w:val="pl-PL"/>
        </w:rPr>
        <w:footnoteReference w:id="88"/>
      </w:r>
      <w:r w:rsidRPr="00563D0D">
        <w:rPr>
          <w:rFonts w:ascii="Times New Roman" w:hAnsi="Times New Roman"/>
          <w:noProof/>
          <w:sz w:val="24"/>
          <w:lang w:val="pl-PL"/>
        </w:rPr>
        <w:t xml:space="preserve"> EMA utworzyła nowe organy</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str</w:t>
      </w:r>
      <w:r w:rsidRPr="00563D0D">
        <w:rPr>
          <w:rFonts w:ascii="Times New Roman" w:hAnsi="Times New Roman"/>
          <w:noProof/>
          <w:sz w:val="24"/>
          <w:lang w:val="pl-PL"/>
        </w:rPr>
        <w:t>uktury</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zapewnienia szybkiej reakcji na niedobory leków. Utworzono Wykonawczą Grupę Sterującą ds. Niedoborów</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Bez</w:t>
      </w:r>
      <w:r w:rsidRPr="00563D0D">
        <w:rPr>
          <w:rFonts w:ascii="Times New Roman" w:hAnsi="Times New Roman"/>
          <w:noProof/>
          <w:sz w:val="24"/>
          <w:lang w:val="pl-PL"/>
        </w:rPr>
        <w:t>pieczeństwa Produktów Leczniczych oraz Wykonawczą Grupę Sterującą ds. Wyrobów Medycznych, którym powierzono zadanie koordynowania działań UE mających na celu złagodzenie problemów</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dos</w:t>
      </w:r>
      <w:r w:rsidRPr="00563D0D">
        <w:rPr>
          <w:rFonts w:ascii="Times New Roman" w:hAnsi="Times New Roman"/>
          <w:noProof/>
          <w:sz w:val="24"/>
          <w:lang w:val="pl-PL"/>
        </w:rPr>
        <w:t>tawami leków</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wyr</w:t>
      </w:r>
      <w:r w:rsidRPr="00563D0D">
        <w:rPr>
          <w:rFonts w:ascii="Times New Roman" w:hAnsi="Times New Roman"/>
          <w:noProof/>
          <w:sz w:val="24"/>
          <w:lang w:val="pl-PL"/>
        </w:rPr>
        <w:t>obów medycznych. Ponadto istnieją obecnie dwie grupy robocze pojedynczych punktów kontaktowych (SPOC), które monitorują niedobory – zarówno leków, jak</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wyr</w:t>
      </w:r>
      <w:r w:rsidRPr="00563D0D">
        <w:rPr>
          <w:rFonts w:ascii="Times New Roman" w:hAnsi="Times New Roman"/>
          <w:noProof/>
          <w:sz w:val="24"/>
          <w:lang w:val="pl-PL"/>
        </w:rPr>
        <w:t>obów medycznych –</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skł</w:t>
      </w:r>
      <w:r w:rsidRPr="00563D0D">
        <w:rPr>
          <w:rFonts w:ascii="Times New Roman" w:hAnsi="Times New Roman"/>
          <w:noProof/>
          <w:sz w:val="24"/>
          <w:lang w:val="pl-PL"/>
        </w:rPr>
        <w:t>adają sprawozdania na ten temat. Funkcjonuje również branżowa sieć pojedynczych punktów kontaktowych (i-SPOC), która udziela wskazówek posiadaczom pozwoleń na dopuszczenie do obrotu. W 2025</w:t>
      </w:r>
      <w:r w:rsidR="00563D0D" w:rsidRPr="00563D0D">
        <w:rPr>
          <w:rFonts w:ascii="Times New Roman" w:hAnsi="Times New Roman"/>
          <w:noProof/>
          <w:sz w:val="24"/>
          <w:lang w:val="pl-PL"/>
        </w:rPr>
        <w:t> </w:t>
      </w:r>
      <w:r w:rsidRPr="00563D0D">
        <w:rPr>
          <w:rFonts w:ascii="Times New Roman" w:hAnsi="Times New Roman"/>
          <w:noProof/>
          <w:sz w:val="24"/>
          <w:lang w:val="pl-PL"/>
        </w:rPr>
        <w:t>r. utworzona ma zostać europejska platforma monitorowania niedoborów, która ułatwi gromadzenie informacji na temat niedoborów oraz podaży produktów leczniczych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pop</w:t>
      </w:r>
      <w:r w:rsidRPr="00563D0D">
        <w:rPr>
          <w:rFonts w:ascii="Times New Roman" w:hAnsi="Times New Roman"/>
          <w:noProof/>
          <w:sz w:val="24"/>
          <w:lang w:val="pl-PL"/>
        </w:rPr>
        <w:t>ytu na nie.</w:t>
      </w:r>
    </w:p>
    <w:p w14:paraId="5CC6C203" w14:textId="500DC6B4" w:rsidR="00003506" w:rsidRPr="00563D0D" w:rsidRDefault="00003506" w:rsidP="00BC2F11">
      <w:pPr>
        <w:spacing w:before="100" w:beforeAutospacing="1" w:after="100" w:afterAutospacing="1" w:line="240" w:lineRule="auto"/>
        <w:contextualSpacing/>
        <w:jc w:val="both"/>
        <w:rPr>
          <w:rFonts w:ascii="Times New Roman" w:eastAsia="Times New Roman" w:hAnsi="Times New Roman" w:cs="Times New Roman"/>
          <w:noProof/>
          <w:sz w:val="24"/>
          <w:lang w:val="pl-PL"/>
        </w:rPr>
      </w:pPr>
    </w:p>
    <w:p w14:paraId="5F45EA29" w14:textId="77777777" w:rsidR="00003506" w:rsidRPr="00563D0D"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center"/>
        <w:rPr>
          <w:rFonts w:ascii="Times New Roman" w:eastAsia="Times New Roman" w:hAnsi="Times New Roman" w:cs="Times New Roman"/>
          <w:b/>
          <w:noProof/>
          <w:sz w:val="24"/>
          <w:lang w:val="pl-PL"/>
        </w:rPr>
      </w:pPr>
      <w:r w:rsidRPr="00563D0D">
        <w:rPr>
          <w:rFonts w:ascii="Times New Roman" w:hAnsi="Times New Roman"/>
          <w:b/>
          <w:noProof/>
          <w:sz w:val="24"/>
          <w:lang w:val="pl-PL"/>
        </w:rPr>
        <w:t>Zapasy UE na potrzeby reagowania kryzysowego</w:t>
      </w:r>
    </w:p>
    <w:p w14:paraId="1834FEB7" w14:textId="6C51FDD3" w:rsidR="00003506" w:rsidRPr="00563D0D"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W ramach rezerwy rescEU należącej do UMOL Komisja ustanowiła funkcjonujące od</w:t>
      </w:r>
      <w:r w:rsidR="00563D0D" w:rsidRPr="00563D0D">
        <w:rPr>
          <w:rFonts w:ascii="Times New Roman" w:hAnsi="Times New Roman"/>
          <w:noProof/>
          <w:sz w:val="24"/>
          <w:lang w:val="pl-PL"/>
        </w:rPr>
        <w:t> </w:t>
      </w:r>
      <w:r w:rsidRPr="00563D0D">
        <w:rPr>
          <w:rFonts w:ascii="Times New Roman" w:hAnsi="Times New Roman"/>
          <w:noProof/>
          <w:sz w:val="24"/>
          <w:lang w:val="pl-PL"/>
        </w:rPr>
        <w:t>2020</w:t>
      </w:r>
      <w:r w:rsidR="00563D0D" w:rsidRPr="00563D0D">
        <w:rPr>
          <w:rFonts w:ascii="Times New Roman" w:hAnsi="Times New Roman"/>
          <w:noProof/>
          <w:sz w:val="24"/>
          <w:lang w:val="pl-PL"/>
        </w:rPr>
        <w:t> </w:t>
      </w:r>
      <w:r w:rsidRPr="00563D0D">
        <w:rPr>
          <w:rFonts w:ascii="Times New Roman" w:hAnsi="Times New Roman"/>
          <w:noProof/>
          <w:sz w:val="24"/>
          <w:lang w:val="pl-PL"/>
        </w:rPr>
        <w:t>r. zdolności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gromadzenia zapasów medycznych środków przeciwdziałania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zapewnienia gotowości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gowania na poważne transgraniczne zagrożenia zdrowia oraz zagrożenia CBRJ. Rezerwa zapasów medycznych umożliwia szybkie dostarczenie sprzętu medycznego takiego jak respiratory</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śro</w:t>
      </w:r>
      <w:r w:rsidRPr="00563D0D">
        <w:rPr>
          <w:rFonts w:ascii="Times New Roman" w:hAnsi="Times New Roman"/>
          <w:noProof/>
          <w:sz w:val="24"/>
          <w:lang w:val="pl-PL"/>
        </w:rPr>
        <w:t>dki ochrony indywidualnej. Do państw członkowskich, które był</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naj</w:t>
      </w:r>
      <w:r w:rsidRPr="00563D0D">
        <w:rPr>
          <w:rFonts w:ascii="Times New Roman" w:hAnsi="Times New Roman"/>
          <w:noProof/>
          <w:sz w:val="24"/>
          <w:lang w:val="pl-PL"/>
        </w:rPr>
        <w:t>większej potrzebie, rozesłano ponad 3 mln masek ochronnych, respiratorów</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inn</w:t>
      </w:r>
      <w:r w:rsidRPr="00563D0D">
        <w:rPr>
          <w:rFonts w:ascii="Times New Roman" w:hAnsi="Times New Roman"/>
          <w:noProof/>
          <w:sz w:val="24"/>
          <w:lang w:val="pl-PL"/>
        </w:rPr>
        <w:t>ego sprzętu ze strategicznych centrów dystrybucyjnych rescEU. 10 państw członkowskich (Belgia, Chorwacja, Dania, Grecja, Niderlandy, Niemcy, Rumunia, Słowenia, Szwecja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Węg</w:t>
      </w:r>
      <w:r w:rsidRPr="00563D0D">
        <w:rPr>
          <w:rFonts w:ascii="Times New Roman" w:hAnsi="Times New Roman"/>
          <w:noProof/>
          <w:sz w:val="24"/>
          <w:lang w:val="pl-PL"/>
        </w:rPr>
        <w:t>ry) posiada obecnie zapasy środków medycznych rescEU.</w:t>
      </w:r>
    </w:p>
    <w:p w14:paraId="441C6176" w14:textId="76139856" w:rsidR="00003506" w:rsidRPr="00563D0D"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Jednocześnie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lut</w:t>
      </w:r>
      <w:r w:rsidRPr="00563D0D">
        <w:rPr>
          <w:rFonts w:ascii="Times New Roman" w:hAnsi="Times New Roman"/>
          <w:noProof/>
          <w:sz w:val="24"/>
          <w:lang w:val="pl-PL"/>
        </w:rPr>
        <w:t>ym 2023</w:t>
      </w:r>
      <w:r w:rsidR="00563D0D" w:rsidRPr="00563D0D">
        <w:rPr>
          <w:rFonts w:ascii="Times New Roman" w:hAnsi="Times New Roman"/>
          <w:noProof/>
          <w:sz w:val="24"/>
          <w:lang w:val="pl-PL"/>
        </w:rPr>
        <w:t> </w:t>
      </w:r>
      <w:r w:rsidRPr="00563D0D">
        <w:rPr>
          <w:rFonts w:ascii="Times New Roman" w:hAnsi="Times New Roman"/>
          <w:noProof/>
          <w:sz w:val="24"/>
          <w:lang w:val="pl-PL"/>
        </w:rPr>
        <w:t>r. Komisja przyznała 545,6 mln EUR</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for</w:t>
      </w:r>
      <w:r w:rsidRPr="00563D0D">
        <w:rPr>
          <w:rFonts w:ascii="Times New Roman" w:hAnsi="Times New Roman"/>
          <w:noProof/>
          <w:sz w:val="24"/>
          <w:lang w:val="pl-PL"/>
        </w:rPr>
        <w:t>mie dotacji na zapasy rescEU na wypadek sytuacji nadzwyczajnych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zwi</w:t>
      </w:r>
      <w:r w:rsidRPr="00563D0D">
        <w:rPr>
          <w:rFonts w:ascii="Times New Roman" w:hAnsi="Times New Roman"/>
          <w:noProof/>
          <w:sz w:val="24"/>
          <w:lang w:val="pl-PL"/>
        </w:rPr>
        <w:t>ązku</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zag</w:t>
      </w:r>
      <w:r w:rsidRPr="00563D0D">
        <w:rPr>
          <w:rFonts w:ascii="Times New Roman" w:hAnsi="Times New Roman"/>
          <w:noProof/>
          <w:sz w:val="24"/>
          <w:lang w:val="pl-PL"/>
        </w:rPr>
        <w:t>rożeniem chemicznym, biologicznym, radiologicznym</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jąd</w:t>
      </w:r>
      <w:r w:rsidRPr="00563D0D">
        <w:rPr>
          <w:rFonts w:ascii="Times New Roman" w:hAnsi="Times New Roman"/>
          <w:noProof/>
          <w:sz w:val="24"/>
          <w:lang w:val="pl-PL"/>
        </w:rPr>
        <w:t>rowym (CBRJ). Zapasy te będą obejmować odtrutki, antybiotyki, szczepionki, leki uspokajające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pro</w:t>
      </w:r>
      <w:r w:rsidRPr="00563D0D">
        <w:rPr>
          <w:rFonts w:ascii="Times New Roman" w:hAnsi="Times New Roman"/>
          <w:noProof/>
          <w:sz w:val="24"/>
          <w:lang w:val="pl-PL"/>
        </w:rPr>
        <w:t>filaktyczne oraz specjalny sprzęt reagowania na zagrożenia CBRJ, taki jak tabletki zawierające jod blokujący tarczycę (ITB), detektory</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mat</w:t>
      </w:r>
      <w:r w:rsidRPr="00563D0D">
        <w:rPr>
          <w:rFonts w:ascii="Times New Roman" w:hAnsi="Times New Roman"/>
          <w:noProof/>
          <w:sz w:val="24"/>
          <w:lang w:val="pl-PL"/>
        </w:rPr>
        <w:t>eriały do dekontaminacji oraz środki ochrony indywidualnej. Zapasy będą stopniowo udostępnianie począwszy od</w:t>
      </w:r>
      <w:r w:rsidR="00563D0D" w:rsidRPr="00563D0D">
        <w:rPr>
          <w:rFonts w:ascii="Times New Roman" w:hAnsi="Times New Roman"/>
          <w:noProof/>
          <w:sz w:val="24"/>
          <w:lang w:val="pl-PL"/>
        </w:rPr>
        <w:t> </w:t>
      </w:r>
      <w:r w:rsidRPr="00563D0D">
        <w:rPr>
          <w:rFonts w:ascii="Times New Roman" w:hAnsi="Times New Roman"/>
          <w:noProof/>
          <w:sz w:val="24"/>
          <w:lang w:val="pl-PL"/>
        </w:rPr>
        <w:t>2023</w:t>
      </w:r>
      <w:r w:rsidR="00563D0D" w:rsidRPr="00563D0D">
        <w:rPr>
          <w:rFonts w:ascii="Times New Roman" w:hAnsi="Times New Roman"/>
          <w:noProof/>
          <w:sz w:val="24"/>
          <w:lang w:val="pl-PL"/>
        </w:rPr>
        <w:t> </w:t>
      </w:r>
      <w:r w:rsidRPr="00563D0D">
        <w:rPr>
          <w:rFonts w:ascii="Times New Roman" w:hAnsi="Times New Roman"/>
          <w:noProof/>
          <w:sz w:val="24"/>
          <w:lang w:val="pl-PL"/>
        </w:rPr>
        <w:t>r. Aby jeszcze bardziej zwiększyć gotowość, otwarte jest obecnie zaproszenie do składania wniosków dotyczących dalszego rozwoju zapasów medycznych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mat</w:t>
      </w:r>
      <w:r w:rsidRPr="00563D0D">
        <w:rPr>
          <w:rFonts w:ascii="Times New Roman" w:hAnsi="Times New Roman"/>
          <w:noProof/>
          <w:sz w:val="24"/>
          <w:lang w:val="pl-PL"/>
        </w:rPr>
        <w:t>eriałów na wypadek zagrożeń CBRJ,</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którego przewidziano orientacyjny budżet</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wys</w:t>
      </w:r>
      <w:r w:rsidRPr="00563D0D">
        <w:rPr>
          <w:rFonts w:ascii="Times New Roman" w:hAnsi="Times New Roman"/>
          <w:noProof/>
          <w:sz w:val="24"/>
          <w:lang w:val="pl-PL"/>
        </w:rPr>
        <w:t xml:space="preserve">okości 636 mln EUR; trwa ocena dziewięciu wniosków. </w:t>
      </w:r>
    </w:p>
    <w:p w14:paraId="6852084B" w14:textId="500B7375" w:rsidR="00BE1A6C" w:rsidRPr="00563D0D" w:rsidRDefault="001F1738" w:rsidP="00BE1A6C">
      <w:pPr>
        <w:spacing w:before="100" w:beforeAutospacing="1" w:after="100" w:afterAutospacing="1" w:line="240" w:lineRule="auto"/>
        <w:jc w:val="both"/>
        <w:rPr>
          <w:rFonts w:ascii="Times New Roman" w:eastAsia="Times New Roman" w:hAnsi="Times New Roman" w:cs="Times New Roman"/>
          <w:b/>
          <w:noProof/>
          <w:sz w:val="24"/>
          <w:lang w:val="pl-PL"/>
        </w:rPr>
      </w:pPr>
      <w:bookmarkStart w:id="22" w:name="_Toc145428534"/>
      <w:bookmarkEnd w:id="22"/>
      <w:r w:rsidRPr="00563D0D">
        <w:rPr>
          <w:rFonts w:ascii="Times New Roman" w:hAnsi="Times New Roman"/>
          <w:b/>
          <w:noProof/>
          <w:sz w:val="24"/>
          <w:lang w:val="pl-PL"/>
        </w:rPr>
        <w:t>Ochrona infrastruktury krytycznej</w:t>
      </w:r>
      <w:r w:rsidR="00563D0D" w:rsidRPr="00563D0D">
        <w:rPr>
          <w:rFonts w:ascii="Times New Roman" w:hAnsi="Times New Roman"/>
          <w:b/>
          <w:noProof/>
          <w:sz w:val="24"/>
          <w:lang w:val="pl-PL"/>
        </w:rPr>
        <w:t xml:space="preserve"> i</w:t>
      </w:r>
      <w:r w:rsidR="00563D0D">
        <w:rPr>
          <w:rFonts w:ascii="Times New Roman" w:hAnsi="Times New Roman"/>
          <w:b/>
          <w:noProof/>
          <w:sz w:val="24"/>
          <w:lang w:val="pl-PL"/>
        </w:rPr>
        <w:t> </w:t>
      </w:r>
      <w:r w:rsidR="00563D0D" w:rsidRPr="00563D0D">
        <w:rPr>
          <w:rFonts w:ascii="Times New Roman" w:hAnsi="Times New Roman"/>
          <w:b/>
          <w:noProof/>
          <w:sz w:val="24"/>
          <w:lang w:val="pl-PL"/>
        </w:rPr>
        <w:t>zwi</w:t>
      </w:r>
      <w:r w:rsidRPr="00563D0D">
        <w:rPr>
          <w:rFonts w:ascii="Times New Roman" w:hAnsi="Times New Roman"/>
          <w:b/>
          <w:noProof/>
          <w:sz w:val="24"/>
          <w:lang w:val="pl-PL"/>
        </w:rPr>
        <w:t>ększenie odporności podmiotów krytycznych</w:t>
      </w:r>
      <w:bookmarkStart w:id="23" w:name="_Hlk146274054"/>
    </w:p>
    <w:p w14:paraId="61CAF597" w14:textId="59121A08" w:rsidR="00BE1A6C" w:rsidRPr="00563D0D" w:rsidRDefault="001F1738" w:rsidP="00BE1A6C">
      <w:pPr>
        <w:spacing w:before="100" w:beforeAutospacing="1" w:after="100" w:afterAutospacing="1" w:line="240" w:lineRule="auto"/>
        <w:jc w:val="both"/>
        <w:rPr>
          <w:rFonts w:ascii="Times New Roman" w:eastAsia="Times New Roman" w:hAnsi="Times New Roman" w:cs="Times New Roman"/>
          <w:b/>
          <w:noProof/>
          <w:sz w:val="24"/>
          <w:lang w:val="pl-PL"/>
        </w:rPr>
      </w:pPr>
      <w:r w:rsidRPr="00563D0D">
        <w:rPr>
          <w:rFonts w:ascii="Times New Roman" w:hAnsi="Times New Roman"/>
          <w:noProof/>
          <w:sz w:val="24"/>
          <w:lang w:val="pl-PL"/>
        </w:rPr>
        <w:t>Dyrektywa (UE) 2022/2557</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awie odporności podmiotów krytycznych</w:t>
      </w:r>
      <w:r w:rsidRPr="00563D0D">
        <w:rPr>
          <w:rFonts w:ascii="Times New Roman" w:eastAsiaTheme="minorEastAsia" w:hAnsi="Times New Roman" w:cs="Times New Roman"/>
          <w:noProof/>
          <w:sz w:val="24"/>
          <w:vertAlign w:val="superscript"/>
          <w:lang w:val="pl-PL"/>
        </w:rPr>
        <w:footnoteReference w:id="89"/>
      </w:r>
      <w:r w:rsidRPr="00563D0D">
        <w:rPr>
          <w:rFonts w:ascii="Times New Roman" w:hAnsi="Times New Roman"/>
          <w:noProof/>
          <w:sz w:val="24"/>
          <w:vertAlign w:val="superscript"/>
          <w:lang w:val="pl-PL"/>
        </w:rPr>
        <w:t xml:space="preserve"> </w:t>
      </w:r>
      <w:r w:rsidRPr="00563D0D">
        <w:rPr>
          <w:rFonts w:ascii="Times New Roman" w:hAnsi="Times New Roman"/>
          <w:noProof/>
          <w:sz w:val="24"/>
          <w:lang w:val="pl-PL"/>
        </w:rPr>
        <w:t>(dyrektywa CER) weszła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życ</w:t>
      </w:r>
      <w:r w:rsidRPr="00563D0D">
        <w:rPr>
          <w:rFonts w:ascii="Times New Roman" w:hAnsi="Times New Roman"/>
          <w:noProof/>
          <w:sz w:val="24"/>
          <w:lang w:val="pl-PL"/>
        </w:rPr>
        <w:t>ie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sty</w:t>
      </w:r>
      <w:r w:rsidRPr="00563D0D">
        <w:rPr>
          <w:rFonts w:ascii="Times New Roman" w:hAnsi="Times New Roman"/>
          <w:noProof/>
          <w:sz w:val="24"/>
          <w:lang w:val="pl-PL"/>
        </w:rPr>
        <w:t>czniu 2023</w:t>
      </w:r>
      <w:r w:rsidR="00563D0D" w:rsidRPr="00563D0D">
        <w:rPr>
          <w:rFonts w:ascii="Times New Roman" w:hAnsi="Times New Roman"/>
          <w:noProof/>
          <w:sz w:val="24"/>
          <w:lang w:val="pl-PL"/>
        </w:rPr>
        <w:t> </w:t>
      </w:r>
      <w:r w:rsidRPr="00563D0D">
        <w:rPr>
          <w:rFonts w:ascii="Times New Roman" w:hAnsi="Times New Roman"/>
          <w:noProof/>
          <w:sz w:val="24"/>
          <w:lang w:val="pl-PL"/>
        </w:rPr>
        <w:t>r. i od</w:t>
      </w:r>
      <w:r w:rsidR="00563D0D" w:rsidRPr="00563D0D">
        <w:rPr>
          <w:rFonts w:ascii="Times New Roman" w:hAnsi="Times New Roman"/>
          <w:noProof/>
          <w:sz w:val="24"/>
          <w:lang w:val="pl-PL"/>
        </w:rPr>
        <w:t> </w:t>
      </w:r>
      <w:r w:rsidRPr="00563D0D">
        <w:rPr>
          <w:rFonts w:ascii="Times New Roman" w:hAnsi="Times New Roman"/>
          <w:noProof/>
          <w:sz w:val="24"/>
          <w:lang w:val="pl-PL"/>
        </w:rPr>
        <w:t>18 października 2024</w:t>
      </w:r>
      <w:r w:rsidR="00563D0D" w:rsidRPr="00563D0D">
        <w:rPr>
          <w:rFonts w:ascii="Times New Roman" w:hAnsi="Times New Roman"/>
          <w:noProof/>
          <w:sz w:val="24"/>
          <w:lang w:val="pl-PL"/>
        </w:rPr>
        <w:t> </w:t>
      </w:r>
      <w:r w:rsidRPr="00563D0D">
        <w:rPr>
          <w:rFonts w:ascii="Times New Roman" w:hAnsi="Times New Roman"/>
          <w:noProof/>
          <w:sz w:val="24"/>
          <w:lang w:val="pl-PL"/>
        </w:rPr>
        <w:t>r. zastąpi dyrektywę 2008/114/WE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awie rozpoznawania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wyz</w:t>
      </w:r>
      <w:r w:rsidRPr="00563D0D">
        <w:rPr>
          <w:rFonts w:ascii="Times New Roman" w:hAnsi="Times New Roman"/>
          <w:noProof/>
          <w:sz w:val="24"/>
          <w:lang w:val="pl-PL"/>
        </w:rPr>
        <w:t>naczania europejskiej infrastruktury krytycznej</w:t>
      </w:r>
      <w:r w:rsidRPr="00563D0D">
        <w:rPr>
          <w:rFonts w:ascii="Times New Roman" w:eastAsia="Times New Roman" w:hAnsi="Times New Roman" w:cs="Times New Roman"/>
          <w:noProof/>
          <w:sz w:val="24"/>
          <w:vertAlign w:val="superscript"/>
          <w:lang w:val="pl-PL"/>
        </w:rPr>
        <w:footnoteReference w:id="90"/>
      </w:r>
      <w:r w:rsidRPr="00563D0D">
        <w:rPr>
          <w:rFonts w:ascii="Times New Roman" w:hAnsi="Times New Roman"/>
          <w:noProof/>
          <w:sz w:val="24"/>
          <w:lang w:val="pl-PL"/>
        </w:rPr>
        <w:t>. Dyrektywa CER ma zastosowanie do</w:t>
      </w:r>
      <w:r w:rsidR="00563D0D" w:rsidRPr="00563D0D">
        <w:rPr>
          <w:rFonts w:ascii="Times New Roman" w:hAnsi="Times New Roman"/>
          <w:noProof/>
          <w:sz w:val="24"/>
          <w:lang w:val="pl-PL"/>
        </w:rPr>
        <w:t> </w:t>
      </w:r>
      <w:r w:rsidRPr="00563D0D">
        <w:rPr>
          <w:rFonts w:ascii="Times New Roman" w:hAnsi="Times New Roman"/>
          <w:noProof/>
          <w:sz w:val="24"/>
          <w:lang w:val="pl-PL"/>
        </w:rPr>
        <w:t>11 sektorów, zwiększając odporność podmiotów świadczących usługi kluczowe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tyc</w:t>
      </w:r>
      <w:r w:rsidRPr="00563D0D">
        <w:rPr>
          <w:rFonts w:ascii="Times New Roman" w:hAnsi="Times New Roman"/>
          <w:noProof/>
          <w:sz w:val="24"/>
          <w:lang w:val="pl-PL"/>
        </w:rPr>
        <w:t>h sektorach,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tym w</w:t>
      </w:r>
      <w:r w:rsidR="00563D0D">
        <w:rPr>
          <w:rFonts w:ascii="Times New Roman" w:hAnsi="Times New Roman"/>
          <w:noProof/>
          <w:sz w:val="24"/>
          <w:lang w:val="pl-PL"/>
        </w:rPr>
        <w:t> </w:t>
      </w:r>
      <w:r w:rsidR="00563D0D" w:rsidRPr="00563D0D">
        <w:rPr>
          <w:rFonts w:ascii="Times New Roman" w:hAnsi="Times New Roman"/>
          <w:noProof/>
          <w:sz w:val="24"/>
          <w:lang w:val="pl-PL"/>
        </w:rPr>
        <w:t>sek</w:t>
      </w:r>
      <w:r w:rsidRPr="00563D0D">
        <w:rPr>
          <w:rFonts w:ascii="Times New Roman" w:hAnsi="Times New Roman"/>
          <w:noProof/>
          <w:sz w:val="24"/>
          <w:lang w:val="pl-PL"/>
        </w:rPr>
        <w:t>torze zdrowia.</w:t>
      </w:r>
      <w:bookmarkEnd w:id="23"/>
    </w:p>
    <w:p w14:paraId="00D28E75" w14:textId="3D3214DE" w:rsidR="00DE1D36" w:rsidRPr="00563D0D" w:rsidRDefault="003E6744" w:rsidP="00BE1A6C">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We wrześniu 2023</w:t>
      </w:r>
      <w:r w:rsidR="00563D0D" w:rsidRPr="00563D0D">
        <w:rPr>
          <w:rFonts w:ascii="Times New Roman" w:hAnsi="Times New Roman"/>
          <w:noProof/>
          <w:sz w:val="24"/>
          <w:lang w:val="pl-PL"/>
        </w:rPr>
        <w:t> </w:t>
      </w:r>
      <w:r w:rsidRPr="00563D0D">
        <w:rPr>
          <w:rFonts w:ascii="Times New Roman" w:hAnsi="Times New Roman"/>
          <w:noProof/>
          <w:sz w:val="24"/>
          <w:lang w:val="pl-PL"/>
        </w:rPr>
        <w:t>r. Komisja przyjęła wniosek dotyczący zalecenia Rady</w:t>
      </w:r>
      <w:r w:rsidRPr="00563D0D">
        <w:rPr>
          <w:rStyle w:val="FootnoteReference"/>
          <w:rFonts w:ascii="Times New Roman" w:eastAsia="Times New Roman" w:hAnsi="Times New Roman" w:cs="Times New Roman"/>
          <w:noProof/>
          <w:sz w:val="24"/>
          <w:lang w:val="pl-PL"/>
        </w:rPr>
        <w:footnoteReference w:id="91"/>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awie planu skoordynowanego reagowania na szczeblu UE na zakłócenia infrastruktury krytycznej</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ist</w:t>
      </w:r>
      <w:r w:rsidRPr="00563D0D">
        <w:rPr>
          <w:rFonts w:ascii="Times New Roman" w:hAnsi="Times New Roman"/>
          <w:noProof/>
          <w:sz w:val="24"/>
          <w:lang w:val="pl-PL"/>
        </w:rPr>
        <w:t>otnym znaczeniu transgranicznym. Będzie stanowić ono uzupełnienie obecnych ram dotyczących ochrony infrastruktury krytycznej</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odp</w:t>
      </w:r>
      <w:r w:rsidRPr="00563D0D">
        <w:rPr>
          <w:rFonts w:ascii="Times New Roman" w:hAnsi="Times New Roman"/>
          <w:noProof/>
          <w:sz w:val="24"/>
          <w:lang w:val="pl-PL"/>
        </w:rPr>
        <w:t>orności podmiotów krytycznych poprzez wyjaśnienie wzajemnych zależności między różnymi istniejącymi uzgodnieniami na szczeblu UE oraz przedstawienie elementów skoordynowanej reakcji na szczeblu UE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ypadku poważnego incydentu związanego</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inf</w:t>
      </w:r>
      <w:r w:rsidRPr="00563D0D">
        <w:rPr>
          <w:rFonts w:ascii="Times New Roman" w:hAnsi="Times New Roman"/>
          <w:noProof/>
          <w:sz w:val="24"/>
          <w:lang w:val="pl-PL"/>
        </w:rPr>
        <w:t xml:space="preserve">rastrukturą krytyczną. </w:t>
      </w:r>
    </w:p>
    <w:p w14:paraId="64F15539" w14:textId="7FB12C9C" w:rsidR="001F1738" w:rsidRPr="00563D0D" w:rsidRDefault="001F1738" w:rsidP="001F1738">
      <w:pPr>
        <w:keepNext/>
        <w:keepLines/>
        <w:spacing w:before="100" w:beforeAutospacing="1" w:after="100" w:afterAutospacing="1" w:line="240" w:lineRule="auto"/>
        <w:jc w:val="both"/>
        <w:outlineLvl w:val="1"/>
        <w:rPr>
          <w:rFonts w:ascii="Times New Roman" w:eastAsia="Times New Roman" w:hAnsi="Times New Roman" w:cs="Times New Roman"/>
          <w:b/>
          <w:noProof/>
          <w:sz w:val="24"/>
          <w:lang w:val="pl-PL"/>
        </w:rPr>
      </w:pPr>
      <w:bookmarkStart w:id="24" w:name="_Toc145428536"/>
      <w:bookmarkStart w:id="25" w:name="_Toc145428538"/>
      <w:bookmarkStart w:id="26" w:name="_Toc145428539"/>
      <w:bookmarkStart w:id="27" w:name="_Toc145428540"/>
      <w:bookmarkStart w:id="28" w:name="_Toc145428541"/>
      <w:bookmarkStart w:id="29" w:name="_Toc145428542"/>
      <w:bookmarkEnd w:id="24"/>
      <w:bookmarkEnd w:id="25"/>
      <w:bookmarkEnd w:id="26"/>
      <w:bookmarkEnd w:id="27"/>
      <w:bookmarkEnd w:id="28"/>
      <w:bookmarkEnd w:id="29"/>
      <w:r w:rsidRPr="00563D0D">
        <w:rPr>
          <w:rFonts w:ascii="Times New Roman" w:hAnsi="Times New Roman"/>
          <w:b/>
          <w:noProof/>
          <w:sz w:val="24"/>
          <w:lang w:val="pl-PL"/>
        </w:rPr>
        <w:t xml:space="preserve">Grupy zadaniowe ds. stanów zagrożenia </w:t>
      </w:r>
    </w:p>
    <w:p w14:paraId="195F58A8" w14:textId="77777777" w:rsidR="001F1738" w:rsidRPr="00563D0D" w:rsidRDefault="001F1738" w:rsidP="001F1738">
      <w:pPr>
        <w:keepNext/>
        <w:keepLines/>
        <w:spacing w:before="100" w:beforeAutospacing="1" w:after="100" w:afterAutospacing="1" w:line="240" w:lineRule="auto"/>
        <w:jc w:val="both"/>
        <w:outlineLvl w:val="1"/>
        <w:rPr>
          <w:rFonts w:ascii="Times New Roman" w:eastAsia="Times New Roman" w:hAnsi="Times New Roman" w:cs="Times New Roman"/>
          <w:b/>
          <w:i/>
          <w:noProof/>
          <w:sz w:val="28"/>
          <w:lang w:val="pl-PL"/>
        </w:rPr>
      </w:pPr>
      <w:r w:rsidRPr="00563D0D">
        <w:rPr>
          <w:rFonts w:ascii="Times New Roman" w:hAnsi="Times New Roman"/>
          <w:b/>
          <w:i/>
          <w:noProof/>
          <w:sz w:val="24"/>
          <w:lang w:val="pl-PL"/>
        </w:rPr>
        <w:t xml:space="preserve">Grupa Zadaniowa UE ds. Zdrowia </w:t>
      </w:r>
    </w:p>
    <w:p w14:paraId="79D8DC8D" w14:textId="4C00A300"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Na mocy rozporządzenia nr</w:t>
      </w:r>
      <w:r w:rsidR="00563D0D" w:rsidRPr="00563D0D">
        <w:rPr>
          <w:rFonts w:ascii="Times New Roman" w:hAnsi="Times New Roman"/>
          <w:noProof/>
          <w:sz w:val="24"/>
          <w:lang w:val="pl-PL"/>
        </w:rPr>
        <w:t> </w:t>
      </w:r>
      <w:r w:rsidRPr="00563D0D">
        <w:rPr>
          <w:rFonts w:ascii="Times New Roman" w:hAnsi="Times New Roman"/>
          <w:noProof/>
          <w:sz w:val="24"/>
          <w:lang w:val="pl-PL"/>
        </w:rPr>
        <w:t>851/2004 ustanawiającego Europejskie Centrum ds. Zapobiegania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Kon</w:t>
      </w:r>
      <w:r w:rsidRPr="00563D0D">
        <w:rPr>
          <w:rFonts w:ascii="Times New Roman" w:hAnsi="Times New Roman"/>
          <w:noProof/>
          <w:sz w:val="24"/>
          <w:lang w:val="pl-PL"/>
        </w:rPr>
        <w:t>troli Chorób, zmienionego rozporządzeniem (UE) 2022/2370, ECDC ma powołać Grupę Zadaniową UE ds. Zdrowia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zapewnienia szybkiego wsparcia na żądanie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syt</w:t>
      </w:r>
      <w:r w:rsidRPr="00563D0D">
        <w:rPr>
          <w:rFonts w:ascii="Times New Roman" w:hAnsi="Times New Roman"/>
          <w:noProof/>
          <w:sz w:val="24"/>
          <w:lang w:val="pl-PL"/>
        </w:rPr>
        <w:t>uacjach nadzwyczajnych,</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tak</w:t>
      </w:r>
      <w:r w:rsidRPr="00563D0D">
        <w:rPr>
          <w:rFonts w:ascii="Times New Roman" w:hAnsi="Times New Roman"/>
          <w:noProof/>
          <w:sz w:val="24"/>
          <w:lang w:val="pl-PL"/>
        </w:rPr>
        <w:t>że pomocy państwom członkowskim</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przygotowywania planów dotyczących zapobiegania, gotowości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gowania, lokalnego reagowania na przypadki wystąpienia chorób zakaźnych oraz przeglądów po zakończeniu działań</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pań</w:t>
      </w:r>
      <w:r w:rsidRPr="00563D0D">
        <w:rPr>
          <w:rFonts w:ascii="Times New Roman" w:hAnsi="Times New Roman"/>
          <w:noProof/>
          <w:sz w:val="24"/>
          <w:lang w:val="pl-PL"/>
        </w:rPr>
        <w:t>stwach UE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pań</w:t>
      </w:r>
      <w:r w:rsidRPr="00563D0D">
        <w:rPr>
          <w:rFonts w:ascii="Times New Roman" w:hAnsi="Times New Roman"/>
          <w:noProof/>
          <w:sz w:val="24"/>
          <w:lang w:val="pl-PL"/>
        </w:rPr>
        <w:t>stwach spoza UE we współpracy z WHO. Grupa Zadaniowa UE ds. Zdrowia będzie składać się</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eks</w:t>
      </w:r>
      <w:r w:rsidRPr="00563D0D">
        <w:rPr>
          <w:rFonts w:ascii="Times New Roman" w:hAnsi="Times New Roman"/>
          <w:noProof/>
          <w:sz w:val="24"/>
          <w:lang w:val="pl-PL"/>
        </w:rPr>
        <w:t>pertów</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pań</w:t>
      </w:r>
      <w:r w:rsidRPr="00563D0D">
        <w:rPr>
          <w:rFonts w:ascii="Times New Roman" w:hAnsi="Times New Roman"/>
          <w:noProof/>
          <w:sz w:val="24"/>
          <w:lang w:val="pl-PL"/>
        </w:rPr>
        <w:t>stw członkowskich, personelu ECDC, obecnych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był</w:t>
      </w:r>
      <w:r w:rsidRPr="00563D0D">
        <w:rPr>
          <w:rFonts w:ascii="Times New Roman" w:hAnsi="Times New Roman"/>
          <w:noProof/>
          <w:sz w:val="24"/>
          <w:lang w:val="pl-PL"/>
        </w:rPr>
        <w:t>ych stypendystów Europejskiego Programu Szkoleń</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Epidemiologii Interwencyjnej oraz nowo utworzonej listy ekspertów. Grupa Zadaniowa UE ds. Zdrowia może udzielać pomocy zarówno państwom członkowskim UE, jak</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pań</w:t>
      </w:r>
      <w:r w:rsidRPr="00563D0D">
        <w:rPr>
          <w:rFonts w:ascii="Times New Roman" w:hAnsi="Times New Roman"/>
          <w:noProof/>
          <w:sz w:val="24"/>
          <w:lang w:val="pl-PL"/>
        </w:rPr>
        <w:t>stwom spoza UE.</w:t>
      </w:r>
    </w:p>
    <w:p w14:paraId="0F91FDEB" w14:textId="45329555" w:rsidR="001F1738" w:rsidRPr="00563D0D" w:rsidRDefault="00357B1E"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 xml:space="preserve">ECDC utworzyło grupę roboczą </w:t>
      </w:r>
      <w:r w:rsidRPr="00563D0D">
        <w:rPr>
          <w:rFonts w:ascii="Times New Roman" w:hAnsi="Times New Roman"/>
          <w:i/>
          <w:iCs/>
          <w:noProof/>
          <w:sz w:val="24"/>
          <w:lang w:val="pl-PL"/>
        </w:rPr>
        <w:t>ad hoc</w:t>
      </w:r>
      <w:r w:rsidRPr="00563D0D">
        <w:rPr>
          <w:rFonts w:ascii="Times New Roman" w:hAnsi="Times New Roman"/>
          <w:noProof/>
          <w:sz w:val="24"/>
          <w:lang w:val="pl-PL"/>
        </w:rPr>
        <w:t xml:space="preserve"> (złożoną</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eks</w:t>
      </w:r>
      <w:r w:rsidRPr="00563D0D">
        <w:rPr>
          <w:rFonts w:ascii="Times New Roman" w:hAnsi="Times New Roman"/>
          <w:noProof/>
          <w:sz w:val="24"/>
          <w:lang w:val="pl-PL"/>
        </w:rPr>
        <w:t>pertów</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pań</w:t>
      </w:r>
      <w:r w:rsidRPr="00563D0D">
        <w:rPr>
          <w:rFonts w:ascii="Times New Roman" w:hAnsi="Times New Roman"/>
          <w:noProof/>
          <w:sz w:val="24"/>
          <w:lang w:val="pl-PL"/>
        </w:rPr>
        <w:t>stw członkowskich, przedstawicieli Komisji i WHO), której zadaniem jest doradzanie ECDC</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awie ustanowienia Grupy Zadaniowej UE ds. Zdrowia. Po uruchomieniu Grupy Zadaniowej ds. Zdrowia ECDC utworzy stałą grupę doradczą</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zes</w:t>
      </w:r>
      <w:r w:rsidRPr="00563D0D">
        <w:rPr>
          <w:rFonts w:ascii="Times New Roman" w:hAnsi="Times New Roman"/>
          <w:noProof/>
          <w:sz w:val="24"/>
          <w:lang w:val="pl-PL"/>
        </w:rPr>
        <w:t>pół koordynujący jej prace.</w:t>
      </w:r>
    </w:p>
    <w:p w14:paraId="6EC6DB0A" w14:textId="77777777" w:rsidR="001F1738" w:rsidRPr="00563D0D" w:rsidRDefault="001F1738" w:rsidP="001F1738">
      <w:pPr>
        <w:keepNext/>
        <w:keepLines/>
        <w:spacing w:before="100" w:beforeAutospacing="1" w:after="100" w:afterAutospacing="1" w:line="240" w:lineRule="auto"/>
        <w:jc w:val="both"/>
        <w:outlineLvl w:val="1"/>
        <w:rPr>
          <w:rFonts w:ascii="Times New Roman" w:eastAsia="Times New Roman" w:hAnsi="Times New Roman" w:cs="Times New Roman"/>
          <w:b/>
          <w:i/>
          <w:noProof/>
          <w:sz w:val="28"/>
          <w:lang w:val="pl-PL"/>
        </w:rPr>
      </w:pPr>
      <w:r w:rsidRPr="00563D0D">
        <w:rPr>
          <w:rFonts w:ascii="Times New Roman" w:hAnsi="Times New Roman"/>
          <w:b/>
          <w:i/>
          <w:noProof/>
          <w:sz w:val="24"/>
          <w:lang w:val="pl-PL"/>
        </w:rPr>
        <w:t xml:space="preserve">Grupa zadaniowa EMA ds. stanów zagrożenia </w:t>
      </w:r>
    </w:p>
    <w:p w14:paraId="5DCDF116" w14:textId="4C0C669F"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Grupa zadaniowa EMA ds. stanów zagrożenia (ETF) jest organem doradczym</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wsp</w:t>
      </w:r>
      <w:r w:rsidRPr="00563D0D">
        <w:rPr>
          <w:rFonts w:ascii="Times New Roman" w:hAnsi="Times New Roman"/>
          <w:noProof/>
          <w:sz w:val="24"/>
          <w:lang w:val="pl-PL"/>
        </w:rPr>
        <w:t>ierającym, który prowadzi działania regulacyjne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przygotowań na wypadek stanu zagrożenia zdrowia publicznego, takiego jak pandemia,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w:t>
      </w:r>
      <w:r w:rsidR="00563D0D">
        <w:rPr>
          <w:rFonts w:ascii="Times New Roman" w:hAnsi="Times New Roman"/>
          <w:noProof/>
          <w:sz w:val="24"/>
          <w:lang w:val="pl-PL"/>
        </w:rPr>
        <w:t> </w:t>
      </w:r>
      <w:r w:rsidR="00563D0D" w:rsidRPr="00563D0D">
        <w:rPr>
          <w:rFonts w:ascii="Times New Roman" w:hAnsi="Times New Roman"/>
          <w:noProof/>
          <w:sz w:val="24"/>
          <w:lang w:val="pl-PL"/>
        </w:rPr>
        <w:t>jeg</w:t>
      </w:r>
      <w:r w:rsidRPr="00563D0D">
        <w:rPr>
          <w:rFonts w:ascii="Times New Roman" w:hAnsi="Times New Roman"/>
          <w:noProof/>
          <w:sz w:val="24"/>
          <w:lang w:val="pl-PL"/>
        </w:rPr>
        <w:t>o trakcie. Rozporządzeniem (UE) 2022/123, którym wzmocniono mandat EMA</w:t>
      </w:r>
      <w:r w:rsidRPr="00563D0D">
        <w:rPr>
          <w:rFonts w:ascii="Times New Roman" w:eastAsia="Times New Roman" w:hAnsi="Times New Roman" w:cs="Times New Roman"/>
          <w:noProof/>
          <w:sz w:val="24"/>
          <w:vertAlign w:val="superscript"/>
          <w:lang w:val="pl-PL"/>
        </w:rPr>
        <w:footnoteReference w:id="92"/>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któ</w:t>
      </w:r>
      <w:r w:rsidRPr="00563D0D">
        <w:rPr>
          <w:rFonts w:ascii="Times New Roman" w:hAnsi="Times New Roman"/>
          <w:noProof/>
          <w:sz w:val="24"/>
          <w:lang w:val="pl-PL"/>
        </w:rPr>
        <w:t>re zaczęło obowiązywać od</w:t>
      </w:r>
      <w:r w:rsidR="00563D0D" w:rsidRPr="00563D0D">
        <w:rPr>
          <w:rFonts w:ascii="Times New Roman" w:hAnsi="Times New Roman"/>
          <w:noProof/>
          <w:sz w:val="24"/>
          <w:lang w:val="pl-PL"/>
        </w:rPr>
        <w:t> </w:t>
      </w:r>
      <w:r w:rsidRPr="00563D0D">
        <w:rPr>
          <w:rFonts w:ascii="Times New Roman" w:hAnsi="Times New Roman"/>
          <w:noProof/>
          <w:sz w:val="24"/>
          <w:lang w:val="pl-PL"/>
        </w:rPr>
        <w:t>1 marca 2022</w:t>
      </w:r>
      <w:r w:rsidR="00563D0D" w:rsidRPr="00563D0D">
        <w:rPr>
          <w:rFonts w:ascii="Times New Roman" w:hAnsi="Times New Roman"/>
          <w:noProof/>
          <w:sz w:val="24"/>
          <w:lang w:val="pl-PL"/>
        </w:rPr>
        <w:t> </w:t>
      </w:r>
      <w:r w:rsidRPr="00563D0D">
        <w:rPr>
          <w:rFonts w:ascii="Times New Roman" w:hAnsi="Times New Roman"/>
          <w:noProof/>
          <w:sz w:val="24"/>
          <w:lang w:val="pl-PL"/>
        </w:rPr>
        <w:t>r., ustanowiono ETF jako formalny organ doradczy</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wsp</w:t>
      </w:r>
      <w:r w:rsidRPr="00563D0D">
        <w:rPr>
          <w:rFonts w:ascii="Times New Roman" w:hAnsi="Times New Roman"/>
          <w:noProof/>
          <w:sz w:val="24"/>
          <w:lang w:val="pl-PL"/>
        </w:rPr>
        <w:t>ierający, koncentrujący się na lekach stosowanych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sta</w:t>
      </w:r>
      <w:r w:rsidRPr="00563D0D">
        <w:rPr>
          <w:rFonts w:ascii="Times New Roman" w:hAnsi="Times New Roman"/>
          <w:noProof/>
          <w:sz w:val="24"/>
          <w:lang w:val="pl-PL"/>
        </w:rPr>
        <w:t>nach zagrożenia zdrowia publicznego oraz gotowości</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kwi</w:t>
      </w:r>
      <w:r w:rsidRPr="00563D0D">
        <w:rPr>
          <w:rFonts w:ascii="Times New Roman" w:hAnsi="Times New Roman"/>
          <w:noProof/>
          <w:sz w:val="24"/>
          <w:lang w:val="pl-PL"/>
        </w:rPr>
        <w:t>etniu 2022</w:t>
      </w:r>
      <w:r w:rsidR="00563D0D" w:rsidRPr="00563D0D">
        <w:rPr>
          <w:rFonts w:ascii="Times New Roman" w:hAnsi="Times New Roman"/>
          <w:noProof/>
          <w:sz w:val="24"/>
          <w:lang w:val="pl-PL"/>
        </w:rPr>
        <w:t> </w:t>
      </w:r>
      <w:r w:rsidRPr="00563D0D">
        <w:rPr>
          <w:rFonts w:ascii="Times New Roman" w:hAnsi="Times New Roman"/>
          <w:noProof/>
          <w:sz w:val="24"/>
          <w:lang w:val="pl-PL"/>
        </w:rPr>
        <w:t>r. ETF przejęła działania grupy zadaniowej EMA ds. pandemii, którą EMA zwołała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mar</w:t>
      </w:r>
      <w:r w:rsidRPr="00563D0D">
        <w:rPr>
          <w:rFonts w:ascii="Times New Roman" w:hAnsi="Times New Roman"/>
          <w:noProof/>
          <w:sz w:val="24"/>
          <w:lang w:val="pl-PL"/>
        </w:rPr>
        <w:t>cu 2020</w:t>
      </w:r>
      <w:r w:rsidR="00563D0D" w:rsidRPr="00563D0D">
        <w:rPr>
          <w:rFonts w:ascii="Times New Roman" w:hAnsi="Times New Roman"/>
          <w:noProof/>
          <w:sz w:val="24"/>
          <w:lang w:val="pl-PL"/>
        </w:rPr>
        <w:t> </w:t>
      </w:r>
      <w:r w:rsidRPr="00563D0D">
        <w:rPr>
          <w:rFonts w:ascii="Times New Roman" w:hAnsi="Times New Roman"/>
          <w:noProof/>
          <w:sz w:val="24"/>
          <w:lang w:val="pl-PL"/>
        </w:rPr>
        <w:t>r.</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zaradzenia pandemii COVID-19. Rozporządzeniem (UE) 2022/123 nadano grupie status grupy stałej</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pow</w:t>
      </w:r>
      <w:r w:rsidRPr="00563D0D">
        <w:rPr>
          <w:rFonts w:ascii="Times New Roman" w:hAnsi="Times New Roman"/>
          <w:noProof/>
          <w:sz w:val="24"/>
          <w:lang w:val="pl-PL"/>
        </w:rPr>
        <w:t>ierzono jej ważną rolę</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zapewniania gotowości na wypadek sytuacji kryzysowej. W 2023</w:t>
      </w:r>
      <w:r w:rsidR="00563D0D" w:rsidRPr="00563D0D">
        <w:rPr>
          <w:rFonts w:ascii="Times New Roman" w:hAnsi="Times New Roman"/>
          <w:noProof/>
          <w:sz w:val="24"/>
          <w:lang w:val="pl-PL"/>
        </w:rPr>
        <w:t> </w:t>
      </w:r>
      <w:r w:rsidRPr="00563D0D">
        <w:rPr>
          <w:rFonts w:ascii="Times New Roman" w:hAnsi="Times New Roman"/>
          <w:noProof/>
          <w:sz w:val="24"/>
          <w:lang w:val="pl-PL"/>
        </w:rPr>
        <w:t>r. ETF nadal wspierała komitety naukowe EMA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wydawania pozwoleń</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mon</w:t>
      </w:r>
      <w:r w:rsidRPr="00563D0D">
        <w:rPr>
          <w:rFonts w:ascii="Times New Roman" w:hAnsi="Times New Roman"/>
          <w:noProof/>
          <w:sz w:val="24"/>
          <w:lang w:val="pl-PL"/>
        </w:rPr>
        <w:t>itorowania bezpieczeństwa leków oraz zaleceń dotyczących stosowania leków przed wydaniem pozwolenia. ETF analizowała dostępne możliwości leczenia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zwalczania pandemii COVID-19</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epi</w:t>
      </w:r>
      <w:r w:rsidRPr="00563D0D">
        <w:rPr>
          <w:rFonts w:ascii="Times New Roman" w:hAnsi="Times New Roman"/>
          <w:noProof/>
          <w:sz w:val="24"/>
          <w:lang w:val="pl-PL"/>
        </w:rPr>
        <w:t>demii MPOX, takie jak ułatwienie prowadzenia badań klinicznych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wsp</w:t>
      </w:r>
      <w:r w:rsidRPr="00563D0D">
        <w:rPr>
          <w:rFonts w:ascii="Times New Roman" w:hAnsi="Times New Roman"/>
          <w:noProof/>
          <w:sz w:val="24"/>
          <w:lang w:val="pl-PL"/>
        </w:rPr>
        <w:t>ółpraca</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par</w:t>
      </w:r>
      <w:r w:rsidRPr="00563D0D">
        <w:rPr>
          <w:rFonts w:ascii="Times New Roman" w:hAnsi="Times New Roman"/>
          <w:noProof/>
          <w:sz w:val="24"/>
          <w:lang w:val="pl-PL"/>
        </w:rPr>
        <w:t>tnerami UE.</w:t>
      </w:r>
    </w:p>
    <w:p w14:paraId="5A0FBA0B" w14:textId="77777777" w:rsidR="001F1738" w:rsidRPr="00563D0D" w:rsidRDefault="001F1738" w:rsidP="00B55BF2">
      <w:pPr>
        <w:spacing w:before="480" w:after="100" w:afterAutospacing="1" w:line="240" w:lineRule="auto"/>
        <w:rPr>
          <w:rFonts w:ascii="Times New Roman" w:eastAsiaTheme="minorEastAsia" w:hAnsi="Times New Roman" w:cs="Times New Roman"/>
          <w:noProof/>
          <w:sz w:val="24"/>
          <w:lang w:val="pl-PL"/>
        </w:rPr>
      </w:pPr>
      <w:r w:rsidRPr="00563D0D">
        <w:rPr>
          <w:rFonts w:ascii="Times New Roman" w:hAnsi="Times New Roman"/>
          <w:noProof/>
          <w:sz w:val="24"/>
          <w:lang w:val="pl-PL"/>
        </w:rPr>
        <w:t>5. ODBUDOWA</w:t>
      </w:r>
    </w:p>
    <w:p w14:paraId="28612911" w14:textId="2944AE7C" w:rsidR="001F1738" w:rsidRPr="00563D0D" w:rsidRDefault="001F1738" w:rsidP="001F1738">
      <w:pPr>
        <w:keepNext/>
        <w:spacing w:before="100" w:beforeAutospacing="1" w:after="100" w:afterAutospacing="1" w:line="240" w:lineRule="auto"/>
        <w:jc w:val="both"/>
        <w:rPr>
          <w:rFonts w:ascii="Times New Roman" w:eastAsiaTheme="minorEastAsia" w:hAnsi="Times New Roman" w:cs="Times New Roman"/>
          <w:noProof/>
          <w:sz w:val="24"/>
          <w:lang w:val="pl-PL"/>
        </w:rPr>
      </w:pPr>
      <w:r w:rsidRPr="00563D0D">
        <w:rPr>
          <w:rFonts w:ascii="Times New Roman" w:hAnsi="Times New Roman"/>
          <w:noProof/>
          <w:sz w:val="24"/>
          <w:lang w:val="pl-PL"/>
        </w:rPr>
        <w:t>Skutki poważnego kryzysu zdrowotnego mogą być głębokie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dłu</w:t>
      </w:r>
      <w:r w:rsidRPr="00563D0D">
        <w:rPr>
          <w:rFonts w:ascii="Times New Roman" w:hAnsi="Times New Roman"/>
          <w:noProof/>
          <w:sz w:val="24"/>
          <w:lang w:val="pl-PL"/>
        </w:rPr>
        <w:t>gotrwałe. Pandemia COVID-19 spowodowała poważne obciążenie systemów opieki zdrowotnej,</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naw</w:t>
      </w:r>
      <w:r w:rsidRPr="00563D0D">
        <w:rPr>
          <w:rFonts w:ascii="Times New Roman" w:hAnsi="Times New Roman"/>
          <w:noProof/>
          <w:sz w:val="24"/>
          <w:lang w:val="pl-PL"/>
        </w:rPr>
        <w:t>et ryzyko ich załamania. Zasadnicze znaczenie ma wspieranie odbudowy państw członkowskich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ich</w:t>
      </w:r>
      <w:r w:rsidRPr="00563D0D">
        <w:rPr>
          <w:rFonts w:ascii="Times New Roman" w:hAnsi="Times New Roman"/>
          <w:noProof/>
          <w:sz w:val="24"/>
          <w:lang w:val="pl-PL"/>
        </w:rPr>
        <w:t xml:space="preserve"> systemów opieki zdrowotnej na wszystkich szczeblach. Można tego dokonać nie tylko za pomocą pomocy finansowej, ale również bezpośredniej pomocy osobom najbardziej dotkniętym środkami wprowadzonymi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cza</w:t>
      </w:r>
      <w:r w:rsidRPr="00563D0D">
        <w:rPr>
          <w:rFonts w:ascii="Times New Roman" w:hAnsi="Times New Roman"/>
          <w:noProof/>
          <w:sz w:val="24"/>
          <w:lang w:val="pl-PL"/>
        </w:rPr>
        <w:t>sach kryzysu</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ypadku COVID-19 wiadomo, że zdrowie psychiczne wielu osób pogorszyło się</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wyn</w:t>
      </w:r>
      <w:r w:rsidRPr="00563D0D">
        <w:rPr>
          <w:rFonts w:ascii="Times New Roman" w:hAnsi="Times New Roman"/>
          <w:noProof/>
          <w:sz w:val="24"/>
          <w:lang w:val="pl-PL"/>
        </w:rPr>
        <w:t>iku pandemii i że wiele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nic</w:t>
      </w:r>
      <w:r w:rsidRPr="00563D0D">
        <w:rPr>
          <w:rFonts w:ascii="Times New Roman" w:hAnsi="Times New Roman"/>
          <w:noProof/>
          <w:sz w:val="24"/>
          <w:lang w:val="pl-PL"/>
        </w:rPr>
        <w:t>h nadal cierpi</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pow</w:t>
      </w:r>
      <w:r w:rsidRPr="00563D0D">
        <w:rPr>
          <w:rFonts w:ascii="Times New Roman" w:hAnsi="Times New Roman"/>
          <w:noProof/>
          <w:sz w:val="24"/>
          <w:lang w:val="pl-PL"/>
        </w:rPr>
        <w:t>odu przewlekłego COVID-19. Jednocześnie odbudowa wiąże się również</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pod</w:t>
      </w:r>
      <w:r w:rsidRPr="00563D0D">
        <w:rPr>
          <w:rFonts w:ascii="Times New Roman" w:hAnsi="Times New Roman"/>
          <w:noProof/>
          <w:sz w:val="24"/>
          <w:lang w:val="pl-PL"/>
        </w:rPr>
        <w:t>sumowaniem przeszłych wydarzeń, tak abyśmy nauczyli się, jak dalej usprawniać zapobieganie poważnym transgranicznym zagrożeniom zdrowia oraz zwiększać gotowość</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gowanie na takie zagrożenia.</w:t>
      </w:r>
    </w:p>
    <w:p w14:paraId="32712853" w14:textId="046F38F3" w:rsidR="001F1738" w:rsidRPr="00563D0D" w:rsidRDefault="001F1738" w:rsidP="001F1738">
      <w:pPr>
        <w:keepNext/>
        <w:keepLines/>
        <w:spacing w:before="100" w:beforeAutospacing="1" w:after="100" w:afterAutospacing="1" w:line="240" w:lineRule="auto"/>
        <w:jc w:val="both"/>
        <w:outlineLvl w:val="1"/>
        <w:rPr>
          <w:rFonts w:ascii="Times New Roman" w:eastAsia="Times New Roman" w:hAnsi="Times New Roman" w:cs="Times New Roman"/>
          <w:b/>
          <w:noProof/>
          <w:sz w:val="24"/>
          <w:lang w:val="pl-PL"/>
        </w:rPr>
      </w:pPr>
      <w:r w:rsidRPr="00563D0D">
        <w:rPr>
          <w:rFonts w:ascii="Times New Roman" w:hAnsi="Times New Roman"/>
          <w:b/>
          <w:noProof/>
          <w:sz w:val="24"/>
          <w:lang w:val="pl-PL"/>
        </w:rPr>
        <w:t>Odbudowa</w:t>
      </w:r>
      <w:r w:rsidR="00563D0D" w:rsidRPr="00563D0D">
        <w:rPr>
          <w:rFonts w:ascii="Times New Roman" w:hAnsi="Times New Roman"/>
          <w:b/>
          <w:noProof/>
          <w:sz w:val="24"/>
          <w:lang w:val="pl-PL"/>
        </w:rPr>
        <w:t xml:space="preserve"> i</w:t>
      </w:r>
      <w:r w:rsidR="00563D0D">
        <w:rPr>
          <w:rFonts w:ascii="Times New Roman" w:hAnsi="Times New Roman"/>
          <w:b/>
          <w:noProof/>
          <w:sz w:val="24"/>
          <w:lang w:val="pl-PL"/>
        </w:rPr>
        <w:t> </w:t>
      </w:r>
      <w:r w:rsidR="00563D0D" w:rsidRPr="00563D0D">
        <w:rPr>
          <w:rFonts w:ascii="Times New Roman" w:hAnsi="Times New Roman"/>
          <w:b/>
          <w:noProof/>
          <w:sz w:val="24"/>
          <w:lang w:val="pl-PL"/>
        </w:rPr>
        <w:t>sku</w:t>
      </w:r>
      <w:r w:rsidRPr="00563D0D">
        <w:rPr>
          <w:rFonts w:ascii="Times New Roman" w:hAnsi="Times New Roman"/>
          <w:b/>
          <w:noProof/>
          <w:sz w:val="24"/>
          <w:lang w:val="pl-PL"/>
        </w:rPr>
        <w:t xml:space="preserve">teczność środków ochrony zdrowia publicznego </w:t>
      </w:r>
    </w:p>
    <w:p w14:paraId="3A24C601" w14:textId="0954C37D" w:rsidR="001F1738" w:rsidRPr="00563D0D" w:rsidRDefault="002D6120"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ECDC kontynuuje ocenę bazy dowodów zebranych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tra</w:t>
      </w:r>
      <w:r w:rsidRPr="00563D0D">
        <w:rPr>
          <w:rFonts w:ascii="Times New Roman" w:hAnsi="Times New Roman"/>
          <w:noProof/>
          <w:sz w:val="24"/>
          <w:lang w:val="pl-PL"/>
        </w:rPr>
        <w:t>kcie trwania pandemii COVID-19, przeprowadzając systematyczne przeglądy literatury na temat różnych kwestii operacyjnych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nau</w:t>
      </w:r>
      <w:r w:rsidRPr="00563D0D">
        <w:rPr>
          <w:rFonts w:ascii="Times New Roman" w:hAnsi="Times New Roman"/>
          <w:noProof/>
          <w:sz w:val="24"/>
          <w:lang w:val="pl-PL"/>
        </w:rPr>
        <w:t>kowych, które pojawiły się podczas pandemii,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skuteczności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opł</w:t>
      </w:r>
      <w:r w:rsidRPr="00563D0D">
        <w:rPr>
          <w:rFonts w:ascii="Times New Roman" w:hAnsi="Times New Roman"/>
          <w:noProof/>
          <w:sz w:val="24"/>
          <w:lang w:val="pl-PL"/>
        </w:rPr>
        <w:t>acalności interwencji niefarmaceutycznych, przenoszenia SARS-CoV-2 drogą powietrzną, przewlekłego COVID-19, stosowania masek</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mie</w:t>
      </w:r>
      <w:r w:rsidRPr="00563D0D">
        <w:rPr>
          <w:rFonts w:ascii="Times New Roman" w:hAnsi="Times New Roman"/>
          <w:noProof/>
          <w:sz w:val="24"/>
          <w:lang w:val="pl-PL"/>
        </w:rPr>
        <w:t>jscach publicznych itp. ECDC przeprowadziło kilka przeglądów po zakończeniu działań dotyczących podejmowania decyzji opartych na dowodach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pań</w:t>
      </w:r>
      <w:r w:rsidRPr="00563D0D">
        <w:rPr>
          <w:rFonts w:ascii="Times New Roman" w:hAnsi="Times New Roman"/>
          <w:noProof/>
          <w:sz w:val="24"/>
          <w:lang w:val="pl-PL"/>
        </w:rPr>
        <w:t>stwach UE/EOG</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kra</w:t>
      </w:r>
      <w:r w:rsidRPr="00563D0D">
        <w:rPr>
          <w:rFonts w:ascii="Times New Roman" w:hAnsi="Times New Roman"/>
          <w:noProof/>
          <w:sz w:val="24"/>
          <w:lang w:val="pl-PL"/>
        </w:rPr>
        <w:t>jach sąsiadujących z UE podczas pandemii COVID-19, koncentrując się na zakładach opieki długoterminowej</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zam</w:t>
      </w:r>
      <w:r w:rsidRPr="00563D0D">
        <w:rPr>
          <w:rFonts w:ascii="Times New Roman" w:hAnsi="Times New Roman"/>
          <w:noProof/>
          <w:sz w:val="24"/>
          <w:lang w:val="pl-PL"/>
        </w:rPr>
        <w:t>ykaniu szkół. Opublikowało ono również odpowiednie wytyczne</w:t>
      </w:r>
      <w:r w:rsidRPr="00563D0D">
        <w:rPr>
          <w:rFonts w:ascii="Times New Roman" w:eastAsia="Times New Roman" w:hAnsi="Times New Roman" w:cs="Times New Roman"/>
          <w:noProof/>
          <w:sz w:val="24"/>
          <w:vertAlign w:val="superscript"/>
          <w:lang w:val="pl-PL"/>
        </w:rPr>
        <w:footnoteReference w:id="93"/>
      </w:r>
      <w:r w:rsidRPr="00563D0D">
        <w:rPr>
          <w:rFonts w:ascii="Times New Roman" w:hAnsi="Times New Roman"/>
          <w:noProof/>
          <w:sz w:val="24"/>
          <w:lang w:val="pl-PL"/>
        </w:rPr>
        <w:t>, aby pomóc państwom</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opr</w:t>
      </w:r>
      <w:r w:rsidRPr="00563D0D">
        <w:rPr>
          <w:rFonts w:ascii="Times New Roman" w:hAnsi="Times New Roman"/>
          <w:noProof/>
          <w:sz w:val="24"/>
          <w:lang w:val="pl-PL"/>
        </w:rPr>
        <w:t>acowaniu własnych przeglądów po zakończeniu działań.</w:t>
      </w:r>
    </w:p>
    <w:p w14:paraId="2FCCE3A4" w14:textId="32C578A4"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b/>
          <w:noProof/>
          <w:sz w:val="24"/>
          <w:lang w:val="pl-PL"/>
        </w:rPr>
      </w:pPr>
      <w:r w:rsidRPr="00563D0D">
        <w:rPr>
          <w:rFonts w:ascii="Times New Roman" w:hAnsi="Times New Roman"/>
          <w:b/>
          <w:noProof/>
          <w:sz w:val="24"/>
          <w:lang w:val="pl-PL"/>
        </w:rPr>
        <w:t>Odbudowa</w:t>
      </w:r>
      <w:r w:rsidR="00563D0D" w:rsidRPr="00563D0D">
        <w:rPr>
          <w:rFonts w:ascii="Times New Roman" w:hAnsi="Times New Roman"/>
          <w:b/>
          <w:noProof/>
          <w:sz w:val="24"/>
          <w:lang w:val="pl-PL"/>
        </w:rPr>
        <w:t xml:space="preserve"> w</w:t>
      </w:r>
      <w:r w:rsidR="00563D0D">
        <w:rPr>
          <w:rFonts w:ascii="Times New Roman" w:hAnsi="Times New Roman"/>
          <w:b/>
          <w:noProof/>
          <w:sz w:val="24"/>
          <w:lang w:val="pl-PL"/>
        </w:rPr>
        <w:t> </w:t>
      </w:r>
      <w:r w:rsidR="00563D0D" w:rsidRPr="00563D0D">
        <w:rPr>
          <w:rFonts w:ascii="Times New Roman" w:hAnsi="Times New Roman"/>
          <w:b/>
          <w:noProof/>
          <w:sz w:val="24"/>
          <w:lang w:val="pl-PL"/>
        </w:rPr>
        <w:t>sys</w:t>
      </w:r>
      <w:r w:rsidRPr="00563D0D">
        <w:rPr>
          <w:rFonts w:ascii="Times New Roman" w:hAnsi="Times New Roman"/>
          <w:b/>
          <w:noProof/>
          <w:sz w:val="24"/>
          <w:lang w:val="pl-PL"/>
        </w:rPr>
        <w:t xml:space="preserve">temie opieki zdrowotnej </w:t>
      </w:r>
    </w:p>
    <w:p w14:paraId="6245C4CC" w14:textId="7D5DD743"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W ramach Instrumentu na rzecz Odbudowy</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Zwi</w:t>
      </w:r>
      <w:r w:rsidRPr="00563D0D">
        <w:rPr>
          <w:rFonts w:ascii="Times New Roman" w:hAnsi="Times New Roman"/>
          <w:noProof/>
          <w:sz w:val="24"/>
          <w:lang w:val="pl-PL"/>
        </w:rPr>
        <w:t>ększania Odporności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2</w:t>
      </w:r>
      <w:r w:rsidRPr="00563D0D">
        <w:rPr>
          <w:rFonts w:ascii="Times New Roman" w:hAnsi="Times New Roman"/>
          <w:noProof/>
          <w:sz w:val="24"/>
          <w:lang w:val="pl-PL"/>
        </w:rPr>
        <w:t>7 krajowych planach odbudowy</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zwi</w:t>
      </w:r>
      <w:r w:rsidRPr="00563D0D">
        <w:rPr>
          <w:rFonts w:ascii="Times New Roman" w:hAnsi="Times New Roman"/>
          <w:noProof/>
          <w:sz w:val="24"/>
          <w:lang w:val="pl-PL"/>
        </w:rPr>
        <w:t>ększania odporności (RRP) przeznaczono ponad 43 mld EUR na wzmocnienie opieki zdrowotnej. Kwota ta obejmuje ponad 14 mld EUR na środki służące przyspieszeniu transformacji cyfrowej systemów opieki zdrowotnej. Ponadto wyzwania związane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ref</w:t>
      </w:r>
      <w:r w:rsidRPr="00563D0D">
        <w:rPr>
          <w:rFonts w:ascii="Times New Roman" w:hAnsi="Times New Roman"/>
          <w:noProof/>
          <w:sz w:val="24"/>
          <w:lang w:val="pl-PL"/>
        </w:rPr>
        <w:t>ormą systemu opieki zdrowotnej (takie jak te wskazane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zal</w:t>
      </w:r>
      <w:r w:rsidRPr="00563D0D">
        <w:rPr>
          <w:rFonts w:ascii="Times New Roman" w:hAnsi="Times New Roman"/>
          <w:noProof/>
          <w:sz w:val="24"/>
          <w:lang w:val="pl-PL"/>
        </w:rPr>
        <w:t>eceniach dla poszczególnych krajów</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europejskiego semestru na lata 2019</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2</w:t>
      </w:r>
      <w:r w:rsidRPr="00563D0D">
        <w:rPr>
          <w:rFonts w:ascii="Times New Roman" w:hAnsi="Times New Roman"/>
          <w:noProof/>
          <w:sz w:val="24"/>
          <w:lang w:val="pl-PL"/>
        </w:rPr>
        <w:t>020), których nie uwzględniono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wys</w:t>
      </w:r>
      <w:r w:rsidRPr="00563D0D">
        <w:rPr>
          <w:rFonts w:ascii="Times New Roman" w:hAnsi="Times New Roman"/>
          <w:noProof/>
          <w:sz w:val="24"/>
          <w:lang w:val="pl-PL"/>
        </w:rPr>
        <w:t>tarczającym stopniu</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pla</w:t>
      </w:r>
      <w:r w:rsidRPr="00563D0D">
        <w:rPr>
          <w:rFonts w:ascii="Times New Roman" w:hAnsi="Times New Roman"/>
          <w:noProof/>
          <w:sz w:val="24"/>
          <w:lang w:val="pl-PL"/>
        </w:rPr>
        <w:t>nach odbudowy</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zwi</w:t>
      </w:r>
      <w:r w:rsidRPr="00563D0D">
        <w:rPr>
          <w:rFonts w:ascii="Times New Roman" w:hAnsi="Times New Roman"/>
          <w:noProof/>
          <w:sz w:val="24"/>
          <w:lang w:val="pl-PL"/>
        </w:rPr>
        <w:t>ększania odporności, można rozwiązać za pośrednictwem zaleceń dla poszczególnych krajów</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europejskiego semestru. Zalecenia te wyznaczają również priorytety inwestycyjne dla funduszy objętych polityką spójności</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ostatniego europejskiego semestru (2023</w:t>
      </w:r>
      <w:r w:rsidR="00563D0D" w:rsidRPr="00563D0D">
        <w:rPr>
          <w:rFonts w:ascii="Times New Roman" w:hAnsi="Times New Roman"/>
          <w:noProof/>
          <w:sz w:val="24"/>
          <w:lang w:val="pl-PL"/>
        </w:rPr>
        <w:t> </w:t>
      </w:r>
      <w:r w:rsidRPr="00563D0D">
        <w:rPr>
          <w:rFonts w:ascii="Times New Roman" w:hAnsi="Times New Roman"/>
          <w:noProof/>
          <w:sz w:val="24"/>
          <w:lang w:val="pl-PL"/>
        </w:rPr>
        <w:t>r.) sześć państw członkowskich otrzymało zalecenia dotyczące opieki zdrowotnej,</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dotyczące wyzwań związanych</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dos</w:t>
      </w:r>
      <w:r w:rsidRPr="00563D0D">
        <w:rPr>
          <w:rFonts w:ascii="Times New Roman" w:hAnsi="Times New Roman"/>
          <w:noProof/>
          <w:sz w:val="24"/>
          <w:lang w:val="pl-PL"/>
        </w:rPr>
        <w:t>tępem, siłą roboczą</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pod</w:t>
      </w:r>
      <w:r w:rsidRPr="00563D0D">
        <w:rPr>
          <w:rFonts w:ascii="Times New Roman" w:hAnsi="Times New Roman"/>
          <w:noProof/>
          <w:sz w:val="24"/>
          <w:lang w:val="pl-PL"/>
        </w:rPr>
        <w:t>stawową opieką zdrowotną. Ponadto państwa członkowskie planują zainwestować około 16 mld EUR</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opi</w:t>
      </w:r>
      <w:r w:rsidRPr="00563D0D">
        <w:rPr>
          <w:rFonts w:ascii="Times New Roman" w:hAnsi="Times New Roman"/>
          <w:noProof/>
          <w:sz w:val="24"/>
          <w:lang w:val="pl-PL"/>
        </w:rPr>
        <w:t>ekę zdrowotną</w:t>
      </w:r>
      <w:r w:rsidRPr="00563D0D">
        <w:rPr>
          <w:rFonts w:ascii="Times New Roman" w:eastAsia="Times New Roman" w:hAnsi="Times New Roman" w:cs="Times New Roman"/>
          <w:noProof/>
          <w:sz w:val="24"/>
          <w:vertAlign w:val="superscript"/>
          <w:lang w:val="pl-PL"/>
        </w:rPr>
        <w:footnoteReference w:id="94"/>
      </w:r>
      <w:r w:rsidRPr="00563D0D">
        <w:rPr>
          <w:rFonts w:ascii="Times New Roman" w:hAnsi="Times New Roman"/>
          <w:noProof/>
          <w:sz w:val="24"/>
          <w:lang w:val="pl-PL"/>
        </w:rPr>
        <w:t>,</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ponad 2 mld EUR</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cyf</w:t>
      </w:r>
      <w:r w:rsidRPr="00563D0D">
        <w:rPr>
          <w:rFonts w:ascii="Times New Roman" w:hAnsi="Times New Roman"/>
          <w:noProof/>
          <w:sz w:val="24"/>
          <w:lang w:val="pl-PL"/>
        </w:rPr>
        <w:t>rową transformację systemów opieki zdrowotnej. Jak stwierdzono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awozdaniu „Health at</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Gla</w:t>
      </w:r>
      <w:r w:rsidRPr="00563D0D">
        <w:rPr>
          <w:rFonts w:ascii="Times New Roman" w:hAnsi="Times New Roman"/>
          <w:noProof/>
          <w:sz w:val="24"/>
          <w:lang w:val="pl-PL"/>
        </w:rPr>
        <w:t>nce: Europe 2022”</w:t>
      </w:r>
      <w:r w:rsidRPr="00563D0D">
        <w:rPr>
          <w:rFonts w:ascii="Times New Roman" w:eastAsia="Times New Roman" w:hAnsi="Times New Roman" w:cs="Times New Roman"/>
          <w:noProof/>
          <w:sz w:val="24"/>
          <w:vertAlign w:val="superscript"/>
          <w:lang w:val="pl-PL"/>
        </w:rPr>
        <w:footnoteReference w:id="95"/>
      </w:r>
      <w:r w:rsidRPr="00563D0D">
        <w:rPr>
          <w:rFonts w:ascii="Times New Roman" w:hAnsi="Times New Roman"/>
          <w:noProof/>
          <w:sz w:val="24"/>
          <w:lang w:val="pl-PL"/>
        </w:rPr>
        <w:t>, ważne jest, aby systemy opieki zdrowotnej przezwyciężyły duży wstrząs</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ogr</w:t>
      </w:r>
      <w:r w:rsidRPr="00563D0D">
        <w:rPr>
          <w:rFonts w:ascii="Times New Roman" w:hAnsi="Times New Roman"/>
          <w:noProof/>
          <w:sz w:val="24"/>
          <w:lang w:val="pl-PL"/>
        </w:rPr>
        <w:t>aniczenie świadczonych usług opieki, do którego doszło podczas pandemii</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nie</w:t>
      </w:r>
      <w:r w:rsidRPr="00563D0D">
        <w:rPr>
          <w:rFonts w:ascii="Times New Roman" w:hAnsi="Times New Roman"/>
          <w:noProof/>
          <w:sz w:val="24"/>
          <w:lang w:val="pl-PL"/>
        </w:rPr>
        <w:t>których krajach utrzymują się znaczne zaległości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chi</w:t>
      </w:r>
      <w:r w:rsidRPr="00563D0D">
        <w:rPr>
          <w:rFonts w:ascii="Times New Roman" w:hAnsi="Times New Roman"/>
          <w:noProof/>
          <w:sz w:val="24"/>
          <w:lang w:val="pl-PL"/>
        </w:rPr>
        <w:t xml:space="preserve">rurgii. </w:t>
      </w:r>
    </w:p>
    <w:p w14:paraId="299BA51F" w14:textId="6E222AA8" w:rsidR="001F1738" w:rsidRPr="00563D0D" w:rsidRDefault="001F1738" w:rsidP="001F1738">
      <w:pPr>
        <w:keepNext/>
        <w:keepLines/>
        <w:spacing w:before="100" w:beforeAutospacing="1" w:after="100" w:afterAutospacing="1" w:line="240" w:lineRule="auto"/>
        <w:jc w:val="both"/>
        <w:outlineLvl w:val="1"/>
        <w:rPr>
          <w:rFonts w:ascii="Times New Roman" w:eastAsia="Times New Roman" w:hAnsi="Times New Roman" w:cs="Times New Roman"/>
          <w:b/>
          <w:noProof/>
          <w:sz w:val="24"/>
          <w:lang w:val="pl-PL"/>
        </w:rPr>
      </w:pPr>
      <w:r w:rsidRPr="00563D0D">
        <w:rPr>
          <w:rFonts w:ascii="Times New Roman" w:hAnsi="Times New Roman"/>
          <w:b/>
          <w:noProof/>
          <w:sz w:val="24"/>
          <w:lang w:val="pl-PL"/>
        </w:rPr>
        <w:t>Zdrowie psychiczne</w:t>
      </w:r>
      <w:r w:rsidR="00563D0D" w:rsidRPr="00563D0D">
        <w:rPr>
          <w:rFonts w:ascii="Times New Roman" w:hAnsi="Times New Roman"/>
          <w:b/>
          <w:noProof/>
          <w:sz w:val="24"/>
          <w:lang w:val="pl-PL"/>
        </w:rPr>
        <w:t xml:space="preserve"> a</w:t>
      </w:r>
      <w:r w:rsidR="00563D0D">
        <w:rPr>
          <w:rFonts w:ascii="Times New Roman" w:hAnsi="Times New Roman"/>
          <w:b/>
          <w:noProof/>
          <w:sz w:val="24"/>
          <w:lang w:val="pl-PL"/>
        </w:rPr>
        <w:t> </w:t>
      </w:r>
      <w:r w:rsidR="00563D0D" w:rsidRPr="00563D0D">
        <w:rPr>
          <w:rFonts w:ascii="Times New Roman" w:hAnsi="Times New Roman"/>
          <w:b/>
          <w:noProof/>
          <w:sz w:val="24"/>
          <w:lang w:val="pl-PL"/>
        </w:rPr>
        <w:t>prz</w:t>
      </w:r>
      <w:r w:rsidRPr="00563D0D">
        <w:rPr>
          <w:rFonts w:ascii="Times New Roman" w:hAnsi="Times New Roman"/>
          <w:b/>
          <w:noProof/>
          <w:sz w:val="24"/>
          <w:lang w:val="pl-PL"/>
        </w:rPr>
        <w:t xml:space="preserve">ewlekły COVID-19 </w:t>
      </w:r>
    </w:p>
    <w:p w14:paraId="531A5606" w14:textId="5BEA7A19" w:rsidR="001F1738" w:rsidRPr="00563D0D"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pl-PL"/>
        </w:rPr>
      </w:pPr>
      <w:r w:rsidRPr="00563D0D">
        <w:rPr>
          <w:rFonts w:ascii="Times New Roman" w:hAnsi="Times New Roman"/>
          <w:noProof/>
          <w:sz w:val="24"/>
          <w:lang w:val="pl-PL"/>
        </w:rPr>
        <w:t>Wiadomo, że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pro</w:t>
      </w:r>
      <w:r w:rsidRPr="00563D0D">
        <w:rPr>
          <w:rFonts w:ascii="Times New Roman" w:hAnsi="Times New Roman"/>
          <w:noProof/>
          <w:sz w:val="24"/>
          <w:lang w:val="pl-PL"/>
        </w:rPr>
        <w:t>blemami zdrowia psychicznego boryka się coraz więcej osób w UE. Nawet przed pandemią COVID-19 problemy zdrowia psychicznego dotykały około 84 mln osób w UE (jedna na sześć osób),</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kos</w:t>
      </w:r>
      <w:r w:rsidRPr="00563D0D">
        <w:rPr>
          <w:rFonts w:ascii="Times New Roman" w:hAnsi="Times New Roman"/>
          <w:noProof/>
          <w:sz w:val="24"/>
          <w:lang w:val="pl-PL"/>
        </w:rPr>
        <w:t>zt tych problemów wynosił 600 mld EUR (ponad 4</w:t>
      </w:r>
      <w:r w:rsidR="00563D0D" w:rsidRPr="00563D0D">
        <w:rPr>
          <w:rFonts w:ascii="Times New Roman" w:hAnsi="Times New Roman"/>
          <w:noProof/>
          <w:sz w:val="24"/>
          <w:lang w:val="pl-PL"/>
        </w:rPr>
        <w:t> </w:t>
      </w:r>
      <w:r w:rsidRPr="00563D0D">
        <w:rPr>
          <w:rFonts w:ascii="Times New Roman" w:hAnsi="Times New Roman"/>
          <w:noProof/>
          <w:sz w:val="24"/>
          <w:lang w:val="pl-PL"/>
        </w:rPr>
        <w:t>% PKB). Ponadto skutki pandemii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inn</w:t>
      </w:r>
      <w:r w:rsidRPr="00563D0D">
        <w:rPr>
          <w:rFonts w:ascii="Times New Roman" w:hAnsi="Times New Roman"/>
          <w:noProof/>
          <w:sz w:val="24"/>
          <w:lang w:val="pl-PL"/>
        </w:rPr>
        <w:t>ych kryzysów światowych nadal zwiększają częstość występowania stanów lękowych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dep</w:t>
      </w:r>
      <w:r w:rsidRPr="00563D0D">
        <w:rPr>
          <w:rFonts w:ascii="Times New Roman" w:hAnsi="Times New Roman"/>
          <w:noProof/>
          <w:sz w:val="24"/>
          <w:lang w:val="pl-PL"/>
        </w:rPr>
        <w:t>resji na całym świecie. Niszczycielskie skutki pandemii COVID-19, inwazja Rosji na Ukrainę na pełną skalę, kryzys klimatyczny, wyższy poziom cyfryzacji, bezrobocie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ros</w:t>
      </w:r>
      <w:r w:rsidRPr="00563D0D">
        <w:rPr>
          <w:rFonts w:ascii="Times New Roman" w:hAnsi="Times New Roman"/>
          <w:noProof/>
          <w:sz w:val="24"/>
          <w:lang w:val="pl-PL"/>
        </w:rPr>
        <w:t>nące koszty życia jeszcze bardziej pogorszyły</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tak</w:t>
      </w:r>
      <w:r w:rsidRPr="00563D0D">
        <w:rPr>
          <w:rFonts w:ascii="Times New Roman" w:hAnsi="Times New Roman"/>
          <w:noProof/>
          <w:sz w:val="24"/>
          <w:lang w:val="pl-PL"/>
        </w:rPr>
        <w:t xml:space="preserve"> już niski poziom zdrowia psychicznego. Bardziej podatne na zagrożenia grupy społeczne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oso</w:t>
      </w:r>
      <w:r w:rsidRPr="00563D0D">
        <w:rPr>
          <w:rFonts w:ascii="Times New Roman" w:hAnsi="Times New Roman"/>
          <w:noProof/>
          <w:sz w:val="24"/>
          <w:lang w:val="pl-PL"/>
        </w:rPr>
        <w:t>by znajdujące się</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nie</w:t>
      </w:r>
      <w:r w:rsidRPr="00563D0D">
        <w:rPr>
          <w:rFonts w:ascii="Times New Roman" w:hAnsi="Times New Roman"/>
          <w:noProof/>
          <w:sz w:val="24"/>
          <w:lang w:val="pl-PL"/>
        </w:rPr>
        <w:t>korzystnej sytuacji społeczno-gospodarczej cierpią</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wię</w:t>
      </w:r>
      <w:r w:rsidRPr="00563D0D">
        <w:rPr>
          <w:rFonts w:ascii="Times New Roman" w:hAnsi="Times New Roman"/>
          <w:noProof/>
          <w:sz w:val="24"/>
          <w:lang w:val="pl-PL"/>
        </w:rPr>
        <w:t>kszym stopniu niż inne</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awozdaniu „Health at</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Gla</w:t>
      </w:r>
      <w:r w:rsidRPr="00563D0D">
        <w:rPr>
          <w:rFonts w:ascii="Times New Roman" w:hAnsi="Times New Roman"/>
          <w:noProof/>
          <w:sz w:val="24"/>
          <w:lang w:val="pl-PL"/>
        </w:rPr>
        <w:t>nce: Europe 2022” podkreślono, że pandemia szczególnie mocno wpłynęła na zdrowie psychiczne osób młodych: jeden na dwóch młodych Europejczyków zgłaszał niezaspokojone potrzeby</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zdrowia psychicznego,</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dep</w:t>
      </w:r>
      <w:r w:rsidRPr="00563D0D">
        <w:rPr>
          <w:rFonts w:ascii="Times New Roman" w:hAnsi="Times New Roman"/>
          <w:noProof/>
          <w:sz w:val="24"/>
          <w:lang w:val="pl-PL"/>
        </w:rPr>
        <w:t>resja wśród osób młodych wzrosła ponad dwukrotnie. W 2022</w:t>
      </w:r>
      <w:r w:rsidR="00563D0D" w:rsidRPr="00563D0D">
        <w:rPr>
          <w:rFonts w:ascii="Times New Roman" w:hAnsi="Times New Roman"/>
          <w:noProof/>
          <w:sz w:val="24"/>
          <w:lang w:val="pl-PL"/>
        </w:rPr>
        <w:t> </w:t>
      </w:r>
      <w:r w:rsidRPr="00563D0D">
        <w:rPr>
          <w:rFonts w:ascii="Times New Roman" w:hAnsi="Times New Roman"/>
          <w:noProof/>
          <w:sz w:val="24"/>
          <w:lang w:val="pl-PL"/>
        </w:rPr>
        <w:t>r. WHO wystosowała globalny apel do wszystkich krajów</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zin</w:t>
      </w:r>
      <w:r w:rsidRPr="00563D0D">
        <w:rPr>
          <w:rFonts w:ascii="Times New Roman" w:hAnsi="Times New Roman"/>
          <w:noProof/>
          <w:sz w:val="24"/>
          <w:lang w:val="pl-PL"/>
        </w:rPr>
        <w:t>tensyfikowanie świadczeń zdrowotnych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wsp</w:t>
      </w:r>
      <w:r w:rsidRPr="00563D0D">
        <w:rPr>
          <w:rFonts w:ascii="Times New Roman" w:hAnsi="Times New Roman"/>
          <w:noProof/>
          <w:sz w:val="24"/>
          <w:lang w:val="pl-PL"/>
        </w:rPr>
        <w:t>arcia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zdrowia psychicznego</w:t>
      </w:r>
      <w:r w:rsidRPr="00563D0D">
        <w:rPr>
          <w:rFonts w:ascii="Times New Roman" w:eastAsiaTheme="minorEastAsia" w:hAnsi="Times New Roman" w:cs="Times New Roman"/>
          <w:noProof/>
          <w:sz w:val="24"/>
          <w:vertAlign w:val="superscript"/>
          <w:lang w:val="pl-PL"/>
        </w:rPr>
        <w:footnoteReference w:id="96"/>
      </w:r>
      <w:r w:rsidRPr="00563D0D">
        <w:rPr>
          <w:rFonts w:ascii="Times New Roman" w:hAnsi="Times New Roman"/>
          <w:noProof/>
          <w:sz w:val="24"/>
          <w:lang w:val="pl-PL"/>
        </w:rPr>
        <w:t xml:space="preserve">. </w:t>
      </w:r>
    </w:p>
    <w:p w14:paraId="34631420" w14:textId="66E4E6AA"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UE wytyczyła jasną ścieżkę odbudowy, wprowadzając kompleksowe podejście do zdrowia psychicznego</w:t>
      </w:r>
      <w:r w:rsidRPr="00563D0D">
        <w:rPr>
          <w:rFonts w:ascii="Times New Roman" w:eastAsiaTheme="minorEastAsia" w:hAnsi="Times New Roman" w:cs="Times New Roman"/>
          <w:noProof/>
          <w:sz w:val="24"/>
          <w:vertAlign w:val="superscript"/>
          <w:lang w:val="pl-PL"/>
        </w:rPr>
        <w:footnoteReference w:id="97"/>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wsp</w:t>
      </w:r>
      <w:r w:rsidRPr="00563D0D">
        <w:rPr>
          <w:rFonts w:ascii="Times New Roman" w:hAnsi="Times New Roman"/>
          <w:noProof/>
          <w:sz w:val="24"/>
          <w:lang w:val="pl-PL"/>
        </w:rPr>
        <w:t>ierając działania badawcze na rzecz lepszej gotowości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dzi</w:t>
      </w:r>
      <w:r w:rsidRPr="00563D0D">
        <w:rPr>
          <w:rFonts w:ascii="Times New Roman" w:hAnsi="Times New Roman"/>
          <w:noProof/>
          <w:sz w:val="24"/>
          <w:lang w:val="pl-PL"/>
        </w:rPr>
        <w:t>edzinie zdrowia</w:t>
      </w:r>
      <w:r w:rsidRPr="00563D0D">
        <w:rPr>
          <w:rFonts w:ascii="Times New Roman" w:eastAsiaTheme="minorEastAsia" w:hAnsi="Times New Roman" w:cs="Times New Roman"/>
          <w:noProof/>
          <w:sz w:val="24"/>
          <w:vertAlign w:val="superscript"/>
          <w:lang w:val="pl-PL"/>
        </w:rPr>
        <w:footnoteReference w:id="98"/>
      </w:r>
      <w:r w:rsidRPr="00563D0D">
        <w:rPr>
          <w:rFonts w:ascii="Times New Roman" w:hAnsi="Times New Roman"/>
          <w:noProof/>
          <w:sz w:val="24"/>
          <w:lang w:val="pl-PL"/>
        </w:rPr>
        <w:t>. Po ogłoszeniu „nowej inicjatywy na rzecz zdrowia psychicznego” przez przewodniczącą Ursulę von der Leyen</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jej</w:t>
      </w:r>
      <w:r w:rsidRPr="00563D0D">
        <w:rPr>
          <w:rFonts w:ascii="Times New Roman" w:hAnsi="Times New Roman"/>
          <w:noProof/>
          <w:sz w:val="24"/>
          <w:lang w:val="pl-PL"/>
        </w:rPr>
        <w:t xml:space="preserve"> orędziu</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sta</w:t>
      </w:r>
      <w:r w:rsidRPr="00563D0D">
        <w:rPr>
          <w:rFonts w:ascii="Times New Roman" w:hAnsi="Times New Roman"/>
          <w:noProof/>
          <w:sz w:val="24"/>
          <w:lang w:val="pl-PL"/>
        </w:rPr>
        <w:t>nie Unii Europejskiej</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2</w:t>
      </w:r>
      <w:r w:rsidRPr="00563D0D">
        <w:rPr>
          <w:rFonts w:ascii="Times New Roman" w:hAnsi="Times New Roman"/>
          <w:noProof/>
          <w:sz w:val="24"/>
          <w:lang w:val="pl-PL"/>
        </w:rPr>
        <w:t>022</w:t>
      </w:r>
      <w:r w:rsidR="00563D0D" w:rsidRPr="00563D0D">
        <w:rPr>
          <w:rFonts w:ascii="Times New Roman" w:hAnsi="Times New Roman"/>
          <w:noProof/>
          <w:sz w:val="24"/>
          <w:lang w:val="pl-PL"/>
        </w:rPr>
        <w:t> </w:t>
      </w:r>
      <w:r w:rsidRPr="00563D0D">
        <w:rPr>
          <w:rFonts w:ascii="Times New Roman" w:hAnsi="Times New Roman"/>
          <w:noProof/>
          <w:sz w:val="24"/>
          <w:lang w:val="pl-PL"/>
        </w:rPr>
        <w:t>r. 7 czerwca 2023</w:t>
      </w:r>
      <w:r w:rsidR="00563D0D" w:rsidRPr="00563D0D">
        <w:rPr>
          <w:rFonts w:ascii="Times New Roman" w:hAnsi="Times New Roman"/>
          <w:noProof/>
          <w:sz w:val="24"/>
          <w:lang w:val="pl-PL"/>
        </w:rPr>
        <w:t> </w:t>
      </w:r>
      <w:r w:rsidRPr="00563D0D">
        <w:rPr>
          <w:rFonts w:ascii="Times New Roman" w:hAnsi="Times New Roman"/>
          <w:noProof/>
          <w:sz w:val="24"/>
          <w:lang w:val="pl-PL"/>
        </w:rPr>
        <w:t>r. Komisja przyjęła komunikat</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awie kompleksowego podejścia do zdrowia psychicznego</w:t>
      </w:r>
      <w:r w:rsidRPr="00563D0D">
        <w:rPr>
          <w:rStyle w:val="FootnoteReference"/>
          <w:rFonts w:ascii="Times New Roman" w:eastAsia="Times New Roman" w:hAnsi="Times New Roman" w:cs="Times New Roman"/>
          <w:noProof/>
          <w:sz w:val="24"/>
          <w:lang w:val="pl-PL"/>
        </w:rPr>
        <w:footnoteReference w:id="99"/>
      </w:r>
      <w:r w:rsidRPr="00563D0D">
        <w:rPr>
          <w:rFonts w:ascii="Times New Roman" w:hAnsi="Times New Roman"/>
          <w:noProof/>
          <w:sz w:val="24"/>
          <w:lang w:val="pl-PL"/>
        </w:rPr>
        <w:t xml:space="preserve"> Jest to punkt wyjścia dla nowego podejścia do zdrowia psychicznego: wykracza on poza zdrowie, silnie angażując takie obszary jak: edukacja, cyfryzacja, zatrudnienie, badania naukowe, rozwój obszarów miejskich, środowisko</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kli</w:t>
      </w:r>
      <w:r w:rsidRPr="00563D0D">
        <w:rPr>
          <w:rFonts w:ascii="Times New Roman" w:hAnsi="Times New Roman"/>
          <w:noProof/>
          <w:sz w:val="24"/>
          <w:lang w:val="pl-PL"/>
        </w:rPr>
        <w:t>mat</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kom</w:t>
      </w:r>
      <w:r w:rsidRPr="00563D0D">
        <w:rPr>
          <w:rFonts w:ascii="Times New Roman" w:hAnsi="Times New Roman"/>
          <w:noProof/>
          <w:sz w:val="24"/>
          <w:lang w:val="pl-PL"/>
        </w:rPr>
        <w:t>unikacie przedstawiono 20 inicjatyw przewodnich, wskazano możliwości finansowania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wys</w:t>
      </w:r>
      <w:r w:rsidRPr="00563D0D">
        <w:rPr>
          <w:rFonts w:ascii="Times New Roman" w:hAnsi="Times New Roman"/>
          <w:noProof/>
          <w:sz w:val="24"/>
          <w:lang w:val="pl-PL"/>
        </w:rPr>
        <w:t>okości 1,23 mld EUR</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sko</w:t>
      </w:r>
      <w:r w:rsidRPr="00563D0D">
        <w:rPr>
          <w:rFonts w:ascii="Times New Roman" w:hAnsi="Times New Roman"/>
          <w:noProof/>
          <w:sz w:val="24"/>
          <w:lang w:val="pl-PL"/>
        </w:rPr>
        <w:t>ncentrowano się na grupach szczególnie wrażliwych (dzieci, młodzież, osoby starsze). Na przykład jedna</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klu</w:t>
      </w:r>
      <w:r w:rsidRPr="00563D0D">
        <w:rPr>
          <w:rFonts w:ascii="Times New Roman" w:hAnsi="Times New Roman"/>
          <w:noProof/>
          <w:sz w:val="24"/>
          <w:lang w:val="pl-PL"/>
        </w:rPr>
        <w:t>czowych inicjatyw przewodnich dotyczy wsparcia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zdrowia psychicznego dla osób przesiedlonych</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Ukr</w:t>
      </w:r>
      <w:r w:rsidRPr="00563D0D">
        <w:rPr>
          <w:rFonts w:ascii="Times New Roman" w:hAnsi="Times New Roman"/>
          <w:noProof/>
          <w:sz w:val="24"/>
          <w:lang w:val="pl-PL"/>
        </w:rPr>
        <w:t>ainy,</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dru</w:t>
      </w:r>
      <w:r w:rsidRPr="00563D0D">
        <w:rPr>
          <w:rFonts w:ascii="Times New Roman" w:hAnsi="Times New Roman"/>
          <w:noProof/>
          <w:sz w:val="24"/>
          <w:lang w:val="pl-PL"/>
        </w:rPr>
        <w:t>ga – rozpowszechniania minimalnego pakietu usług</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zapewnienia wysokiej jakości opieki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nad</w:t>
      </w:r>
      <w:r w:rsidRPr="00563D0D">
        <w:rPr>
          <w:rFonts w:ascii="Times New Roman" w:hAnsi="Times New Roman"/>
          <w:noProof/>
          <w:sz w:val="24"/>
          <w:lang w:val="pl-PL"/>
        </w:rPr>
        <w:t>zwyczajnych sytuacjach humanitarnych. Na etapie wdrażania Komisja nadal ściśle współpracuje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pań</w:t>
      </w:r>
      <w:r w:rsidRPr="00563D0D">
        <w:rPr>
          <w:rFonts w:ascii="Times New Roman" w:hAnsi="Times New Roman"/>
          <w:noProof/>
          <w:sz w:val="24"/>
          <w:lang w:val="pl-PL"/>
        </w:rPr>
        <w:t>stwami członkowskimi (podgrupą ds. zdrowia psychicznego grupy ekspertów ds. zdrowia publicznego)</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zai</w:t>
      </w:r>
      <w:r w:rsidRPr="00563D0D">
        <w:rPr>
          <w:rFonts w:ascii="Times New Roman" w:hAnsi="Times New Roman"/>
          <w:noProof/>
          <w:sz w:val="24"/>
          <w:lang w:val="pl-PL"/>
        </w:rPr>
        <w:t>nteresowanymi stronami (sieć</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platformy polityki zdrowotnej UE). Ponadto trzy prezydencje Rady uznały zdrowie psychiczne za jeden ze swoich priorytetów,</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pre</w:t>
      </w:r>
      <w:r w:rsidRPr="00563D0D">
        <w:rPr>
          <w:rFonts w:ascii="Times New Roman" w:hAnsi="Times New Roman"/>
          <w:noProof/>
          <w:sz w:val="24"/>
          <w:lang w:val="pl-PL"/>
        </w:rPr>
        <w:t>zydencja hiszpańska przygotuje zestaw czterech konkluzji Rady (jeden określa podejście ogólne,</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trz</w:t>
      </w:r>
      <w:r w:rsidRPr="00563D0D">
        <w:rPr>
          <w:rFonts w:ascii="Times New Roman" w:hAnsi="Times New Roman"/>
          <w:noProof/>
          <w:sz w:val="24"/>
          <w:lang w:val="pl-PL"/>
        </w:rPr>
        <w:t>y dotyczą konkretnych obszarów polityki odnoszących się do niepewnych form zatrudnienia, narkotyków</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mło</w:t>
      </w:r>
      <w:r w:rsidRPr="00563D0D">
        <w:rPr>
          <w:rFonts w:ascii="Times New Roman" w:hAnsi="Times New Roman"/>
          <w:noProof/>
          <w:sz w:val="24"/>
          <w:lang w:val="pl-PL"/>
        </w:rPr>
        <w:t>dzieży).</w:t>
      </w:r>
    </w:p>
    <w:p w14:paraId="5807D156" w14:textId="18B20484" w:rsidR="001F1738" w:rsidRPr="00563D0D" w:rsidRDefault="001F1738" w:rsidP="001F1738">
      <w:pPr>
        <w:keepNext/>
        <w:spacing w:before="100" w:beforeAutospacing="1" w:after="100" w:afterAutospacing="1" w:line="240" w:lineRule="auto"/>
        <w:jc w:val="both"/>
        <w:rPr>
          <w:rFonts w:ascii="Times New Roman" w:eastAsiaTheme="minorEastAsia" w:hAnsi="Times New Roman" w:cs="Times New Roman"/>
          <w:noProof/>
          <w:sz w:val="24"/>
          <w:lang w:val="pl-PL"/>
        </w:rPr>
      </w:pPr>
      <w:r w:rsidRPr="00563D0D">
        <w:rPr>
          <w:rFonts w:ascii="Times New Roman" w:hAnsi="Times New Roman"/>
          <w:noProof/>
          <w:sz w:val="24"/>
          <w:lang w:val="pl-PL"/>
        </w:rPr>
        <w:t>Komisja utworzyła sieć ekspertów wysokiego szczebla ds. przewlekłego COVID-19 (NELC), która skupia instytucje krajowe pełniące funkcję ośrodka referencyjnego dla innych instytucji opieki zdrowotnej. Celem NELC jest ułatwienie wymiany najistotniejszych informacji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naj</w:t>
      </w:r>
      <w:r w:rsidRPr="00563D0D">
        <w:rPr>
          <w:rFonts w:ascii="Times New Roman" w:hAnsi="Times New Roman"/>
          <w:noProof/>
          <w:sz w:val="24"/>
          <w:lang w:val="pl-PL"/>
        </w:rPr>
        <w:t>lepszych praktyk zarządzania przewlekłym COVID-19</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odp</w:t>
      </w:r>
      <w:r w:rsidRPr="00563D0D">
        <w:rPr>
          <w:rFonts w:ascii="Times New Roman" w:hAnsi="Times New Roman"/>
          <w:noProof/>
          <w:sz w:val="24"/>
          <w:lang w:val="pl-PL"/>
        </w:rPr>
        <w:t>owiedzi na najnowsze osiągnięcia naukowe związane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ewlekłym COVID-19 jako rosnącym kryzysem</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dzi</w:t>
      </w:r>
      <w:r w:rsidRPr="00563D0D">
        <w:rPr>
          <w:rFonts w:ascii="Times New Roman" w:hAnsi="Times New Roman"/>
          <w:noProof/>
          <w:sz w:val="24"/>
          <w:lang w:val="pl-PL"/>
        </w:rPr>
        <w:t>edzinie zdrowia publicznego</w:t>
      </w:r>
      <w:r w:rsidRPr="00563D0D">
        <w:rPr>
          <w:rFonts w:ascii="Times New Roman" w:eastAsiaTheme="minorEastAsia" w:hAnsi="Times New Roman" w:cs="Times New Roman"/>
          <w:noProof/>
          <w:sz w:val="24"/>
          <w:vertAlign w:val="superscript"/>
          <w:lang w:val="pl-PL"/>
        </w:rPr>
        <w:footnoteReference w:id="100"/>
      </w:r>
      <w:r w:rsidRPr="00563D0D">
        <w:rPr>
          <w:rFonts w:ascii="Times New Roman" w:hAnsi="Times New Roman"/>
          <w:noProof/>
          <w:sz w:val="24"/>
          <w:lang w:val="pl-PL"/>
        </w:rPr>
        <w:t>. Przyczyni się również do koordynacji inicjatyw na szczeblu krajowym, unijnym i WHO. Pierwsze spotkanie NELC odbyło się</w:t>
      </w:r>
      <w:r w:rsidR="00563D0D" w:rsidRPr="00563D0D">
        <w:rPr>
          <w:rFonts w:ascii="Times New Roman" w:hAnsi="Times New Roman"/>
          <w:noProof/>
          <w:sz w:val="24"/>
          <w:lang w:val="pl-PL"/>
        </w:rPr>
        <w:t> </w:t>
      </w:r>
      <w:r w:rsidRPr="00563D0D">
        <w:rPr>
          <w:rFonts w:ascii="Times New Roman" w:hAnsi="Times New Roman"/>
          <w:noProof/>
          <w:sz w:val="24"/>
          <w:lang w:val="pl-PL"/>
        </w:rPr>
        <w:t>2 maja 2023</w:t>
      </w:r>
      <w:r w:rsidR="00563D0D" w:rsidRPr="00563D0D">
        <w:rPr>
          <w:rFonts w:ascii="Times New Roman" w:hAnsi="Times New Roman"/>
          <w:noProof/>
          <w:sz w:val="24"/>
          <w:lang w:val="pl-PL"/>
        </w:rPr>
        <w:t> </w:t>
      </w:r>
      <w:r w:rsidRPr="00563D0D">
        <w:rPr>
          <w:rFonts w:ascii="Times New Roman" w:hAnsi="Times New Roman"/>
          <w:noProof/>
          <w:sz w:val="24"/>
          <w:lang w:val="pl-PL"/>
        </w:rPr>
        <w:t>r.</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omówienia wstępnych pomysłów</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pri</w:t>
      </w:r>
      <w:r w:rsidRPr="00563D0D">
        <w:rPr>
          <w:rFonts w:ascii="Times New Roman" w:hAnsi="Times New Roman"/>
          <w:noProof/>
          <w:sz w:val="24"/>
          <w:lang w:val="pl-PL"/>
        </w:rPr>
        <w:t>orytetów sieci. Jako dwa tematy wymagające podjęcia najpilniejszych działań wskazano określenie potrzeb</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luk</w:t>
      </w:r>
      <w:r w:rsidRPr="00563D0D">
        <w:rPr>
          <w:rFonts w:ascii="Times New Roman" w:hAnsi="Times New Roman"/>
          <w:noProof/>
          <w:sz w:val="24"/>
          <w:lang w:val="pl-PL"/>
        </w:rPr>
        <w:t xml:space="preserve"> badawczych,</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tak</w:t>
      </w:r>
      <w:r w:rsidRPr="00563D0D">
        <w:rPr>
          <w:rFonts w:ascii="Times New Roman" w:hAnsi="Times New Roman"/>
          <w:noProof/>
          <w:sz w:val="24"/>
          <w:lang w:val="pl-PL"/>
        </w:rPr>
        <w:t>że wymianę wytycznych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inf</w:t>
      </w:r>
      <w:r w:rsidRPr="00563D0D">
        <w:rPr>
          <w:rFonts w:ascii="Times New Roman" w:hAnsi="Times New Roman"/>
          <w:noProof/>
          <w:sz w:val="24"/>
          <w:lang w:val="pl-PL"/>
        </w:rPr>
        <w:t>ormacji dotyczących diagnostyki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lec</w:t>
      </w:r>
      <w:r w:rsidRPr="00563D0D">
        <w:rPr>
          <w:rFonts w:ascii="Times New Roman" w:hAnsi="Times New Roman"/>
          <w:noProof/>
          <w:sz w:val="24"/>
          <w:lang w:val="pl-PL"/>
        </w:rPr>
        <w:t>zenia. Ponadto NELC podkreśliła potrzebę opracowania wytycznych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zal</w:t>
      </w:r>
      <w:r w:rsidRPr="00563D0D">
        <w:rPr>
          <w:rFonts w:ascii="Times New Roman" w:hAnsi="Times New Roman"/>
          <w:noProof/>
          <w:sz w:val="24"/>
          <w:lang w:val="pl-PL"/>
        </w:rPr>
        <w:t xml:space="preserve">eceń klinicznych. </w:t>
      </w:r>
    </w:p>
    <w:p w14:paraId="3EF6B58C" w14:textId="086AAA93" w:rsidR="001F1738" w:rsidRPr="00563D0D"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pl-PL"/>
        </w:rPr>
      </w:pPr>
      <w:r w:rsidRPr="00563D0D">
        <w:rPr>
          <w:rFonts w:ascii="Times New Roman" w:hAnsi="Times New Roman"/>
          <w:noProof/>
          <w:sz w:val="24"/>
          <w:lang w:val="pl-PL"/>
        </w:rPr>
        <w:t>Program „Horyzont Europa” wspiera projekty (w tym duże badania kohortowe dotyczące COVID-19) mające na celu określenie długoterminowych skutków</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obj</w:t>
      </w:r>
      <w:r w:rsidRPr="00563D0D">
        <w:rPr>
          <w:rFonts w:ascii="Times New Roman" w:hAnsi="Times New Roman"/>
          <w:noProof/>
          <w:sz w:val="24"/>
          <w:lang w:val="pl-PL"/>
        </w:rPr>
        <w:t>awów zakażeń SARS-CoV-2</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lepszego zrozumienia, diagnostyki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pot</w:t>
      </w:r>
      <w:r w:rsidRPr="00563D0D">
        <w:rPr>
          <w:rFonts w:ascii="Times New Roman" w:hAnsi="Times New Roman"/>
          <w:noProof/>
          <w:sz w:val="24"/>
          <w:lang w:val="pl-PL"/>
        </w:rPr>
        <w:t>encjalnego leczenia przewlekłego COVID-19.</w:t>
      </w:r>
    </w:p>
    <w:p w14:paraId="17D1E1A3" w14:textId="77777777" w:rsidR="001F1738" w:rsidRPr="00563D0D" w:rsidRDefault="001F1738" w:rsidP="00B55BF2">
      <w:pPr>
        <w:keepNext/>
        <w:keepLines/>
        <w:spacing w:before="480" w:after="100" w:afterAutospacing="1" w:line="240" w:lineRule="auto"/>
        <w:outlineLvl w:val="0"/>
        <w:rPr>
          <w:rFonts w:ascii="Times New Roman" w:eastAsiaTheme="majorEastAsia" w:hAnsi="Times New Roman" w:cs="Times New Roman"/>
          <w:noProof/>
          <w:sz w:val="24"/>
          <w:lang w:val="pl-PL"/>
        </w:rPr>
      </w:pPr>
      <w:r w:rsidRPr="00563D0D">
        <w:rPr>
          <w:rFonts w:ascii="Times New Roman" w:hAnsi="Times New Roman"/>
          <w:noProof/>
          <w:sz w:val="24"/>
          <w:lang w:val="pl-PL"/>
        </w:rPr>
        <w:t>6. BADANIA NAUKOWE</w:t>
      </w:r>
    </w:p>
    <w:p w14:paraId="3D0E9698" w14:textId="44DE0134" w:rsidR="002F1D2B" w:rsidRPr="00563D0D" w:rsidRDefault="002F1D2B" w:rsidP="002F1D2B">
      <w:pPr>
        <w:spacing w:before="100" w:beforeAutospacing="1" w:after="100" w:afterAutospacing="1" w:line="240" w:lineRule="auto"/>
        <w:jc w:val="both"/>
        <w:rPr>
          <w:rFonts w:ascii="Times New Roman" w:eastAsiaTheme="minorEastAsia" w:hAnsi="Times New Roman" w:cs="Times New Roman"/>
          <w:noProof/>
          <w:sz w:val="24"/>
          <w:lang w:val="pl-PL"/>
        </w:rPr>
      </w:pPr>
      <w:r w:rsidRPr="00563D0D">
        <w:rPr>
          <w:rFonts w:ascii="Times New Roman" w:hAnsi="Times New Roman"/>
          <w:noProof/>
          <w:sz w:val="24"/>
          <w:lang w:val="pl-PL"/>
        </w:rPr>
        <w:t>Komisja finansuje innowacje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bad</w:t>
      </w:r>
      <w:r w:rsidRPr="00563D0D">
        <w:rPr>
          <w:rFonts w:ascii="Times New Roman" w:hAnsi="Times New Roman"/>
          <w:noProof/>
          <w:sz w:val="24"/>
          <w:lang w:val="pl-PL"/>
        </w:rPr>
        <w:t>ania naukowe mające znaczenie dla bezpieczeństwa zdrowotnego za pośrednictwem programów „Horyzont Europa” i HERA Invest</w:t>
      </w:r>
      <w:r w:rsidRPr="00563D0D">
        <w:rPr>
          <w:rFonts w:ascii="Times New Roman" w:eastAsiaTheme="minorEastAsia" w:hAnsi="Times New Roman" w:cs="Times New Roman"/>
          <w:noProof/>
          <w:sz w:val="24"/>
          <w:vertAlign w:val="superscript"/>
          <w:lang w:val="pl-PL"/>
        </w:rPr>
        <w:footnoteReference w:id="101"/>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wie</w:t>
      </w:r>
      <w:r w:rsidRPr="00563D0D">
        <w:rPr>
          <w:rFonts w:ascii="Times New Roman" w:hAnsi="Times New Roman"/>
          <w:noProof/>
          <w:sz w:val="24"/>
          <w:lang w:val="pl-PL"/>
        </w:rPr>
        <w:t>lu dziedzinach, takich jak gotowość</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gowanie.</w:t>
      </w:r>
    </w:p>
    <w:p w14:paraId="69C9E508" w14:textId="722863B5" w:rsidR="001F1738" w:rsidRPr="00563D0D" w:rsidRDefault="001F1738" w:rsidP="001F1738">
      <w:pPr>
        <w:keepNext/>
        <w:keepLines/>
        <w:spacing w:before="100" w:beforeAutospacing="1" w:after="100" w:afterAutospacing="1" w:line="240" w:lineRule="auto"/>
        <w:outlineLvl w:val="1"/>
        <w:rPr>
          <w:rFonts w:ascii="Times New Roman" w:eastAsiaTheme="majorEastAsia" w:hAnsi="Times New Roman" w:cs="Times New Roman"/>
          <w:b/>
          <w:noProof/>
          <w:sz w:val="24"/>
          <w:lang w:val="pl-PL"/>
        </w:rPr>
      </w:pPr>
      <w:r w:rsidRPr="00563D0D">
        <w:rPr>
          <w:rFonts w:ascii="Times New Roman" w:hAnsi="Times New Roman"/>
          <w:b/>
          <w:noProof/>
          <w:sz w:val="24"/>
          <w:lang w:val="pl-PL"/>
        </w:rPr>
        <w:t>Badania naukowe</w:t>
      </w:r>
      <w:r w:rsidR="00563D0D" w:rsidRPr="00563D0D">
        <w:rPr>
          <w:rFonts w:ascii="Times New Roman" w:hAnsi="Times New Roman"/>
          <w:b/>
          <w:noProof/>
          <w:sz w:val="24"/>
          <w:lang w:val="pl-PL"/>
        </w:rPr>
        <w:t xml:space="preserve"> w</w:t>
      </w:r>
      <w:r w:rsidR="00563D0D">
        <w:rPr>
          <w:rFonts w:ascii="Times New Roman" w:hAnsi="Times New Roman"/>
          <w:b/>
          <w:noProof/>
          <w:sz w:val="24"/>
          <w:lang w:val="pl-PL"/>
        </w:rPr>
        <w:t> </w:t>
      </w:r>
      <w:r w:rsidR="00563D0D" w:rsidRPr="00563D0D">
        <w:rPr>
          <w:rFonts w:ascii="Times New Roman" w:hAnsi="Times New Roman"/>
          <w:b/>
          <w:noProof/>
          <w:sz w:val="24"/>
          <w:lang w:val="pl-PL"/>
        </w:rPr>
        <w:t>zak</w:t>
      </w:r>
      <w:r w:rsidRPr="00563D0D">
        <w:rPr>
          <w:rFonts w:ascii="Times New Roman" w:hAnsi="Times New Roman"/>
          <w:b/>
          <w:noProof/>
          <w:sz w:val="24"/>
          <w:lang w:val="pl-PL"/>
        </w:rPr>
        <w:t xml:space="preserve">resie gotowości </w:t>
      </w:r>
    </w:p>
    <w:p w14:paraId="51AEF88D" w14:textId="521EC5FF" w:rsidR="00BE1A6C" w:rsidRPr="00563D0D"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pl-PL"/>
        </w:rPr>
      </w:pPr>
      <w:r w:rsidRPr="00563D0D">
        <w:rPr>
          <w:rFonts w:ascii="Times New Roman" w:hAnsi="Times New Roman"/>
          <w:noProof/>
          <w:sz w:val="24"/>
          <w:lang w:val="pl-PL"/>
        </w:rPr>
        <w:t>Program „Horyzont Europa” wspiera projekty mające na celu zwiększenie wiedzy na temat odporności nabytej czynnej poszczepiennej na wirusy</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duż</w:t>
      </w:r>
      <w:r w:rsidRPr="00563D0D">
        <w:rPr>
          <w:rFonts w:ascii="Times New Roman" w:hAnsi="Times New Roman"/>
          <w:noProof/>
          <w:sz w:val="24"/>
          <w:lang w:val="pl-PL"/>
        </w:rPr>
        <w:t>ym potencjale epidemiologicznym lub pandemicznym,</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tak</w:t>
      </w:r>
      <w:r w:rsidRPr="00563D0D">
        <w:rPr>
          <w:rFonts w:ascii="Times New Roman" w:hAnsi="Times New Roman"/>
          <w:noProof/>
          <w:sz w:val="24"/>
          <w:lang w:val="pl-PL"/>
        </w:rPr>
        <w:t>że określenie optymalnego projektu szczepionek przeciwko patogenom,</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któ</w:t>
      </w:r>
      <w:r w:rsidRPr="00563D0D">
        <w:rPr>
          <w:rFonts w:ascii="Times New Roman" w:hAnsi="Times New Roman"/>
          <w:noProof/>
          <w:sz w:val="24"/>
          <w:lang w:val="pl-PL"/>
        </w:rPr>
        <w:t>rych znane są informacje na temat interakcji między gospodarzem</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pat</w:t>
      </w:r>
      <w:r w:rsidRPr="00563D0D">
        <w:rPr>
          <w:rFonts w:ascii="Times New Roman" w:hAnsi="Times New Roman"/>
          <w:noProof/>
          <w:sz w:val="24"/>
          <w:lang w:val="pl-PL"/>
        </w:rPr>
        <w:t>ogenem</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str</w:t>
      </w:r>
      <w:r w:rsidRPr="00563D0D">
        <w:rPr>
          <w:rFonts w:ascii="Times New Roman" w:hAnsi="Times New Roman"/>
          <w:noProof/>
          <w:sz w:val="24"/>
          <w:lang w:val="pl-PL"/>
        </w:rPr>
        <w:t>uktur powierzchniowych wirusa. Inne działania badawcze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medycznych środków przeciwdziałania koncentrują się na rozwoju szeroko zakrojonych leków przeciwwirusowych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opr</w:t>
      </w:r>
      <w:r w:rsidRPr="00563D0D">
        <w:rPr>
          <w:rFonts w:ascii="Times New Roman" w:hAnsi="Times New Roman"/>
          <w:noProof/>
          <w:sz w:val="24"/>
          <w:lang w:val="pl-PL"/>
        </w:rPr>
        <w:t>acowaniu nowatorskich podejść do rozwoju takich związków, które są ukierunkowane na wirusy</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wys</w:t>
      </w:r>
      <w:r w:rsidRPr="00563D0D">
        <w:rPr>
          <w:rFonts w:ascii="Times New Roman" w:hAnsi="Times New Roman"/>
          <w:noProof/>
          <w:sz w:val="24"/>
          <w:lang w:val="pl-PL"/>
        </w:rPr>
        <w:t xml:space="preserve">okim potencjale epidemiologicznym lub pandemicznym w UE. </w:t>
      </w:r>
    </w:p>
    <w:p w14:paraId="0102D323" w14:textId="6EA6455A" w:rsidR="001F1738" w:rsidRPr="00563D0D"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pl-PL"/>
        </w:rPr>
      </w:pPr>
      <w:r w:rsidRPr="00563D0D">
        <w:rPr>
          <w:rFonts w:ascii="Times New Roman" w:hAnsi="Times New Roman"/>
          <w:noProof/>
          <w:sz w:val="24"/>
          <w:lang w:val="pl-PL"/>
        </w:rPr>
        <w:t>Komisja uruchomiła również program HERA Invest, aby promować zaawansowane badania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roz</w:t>
      </w:r>
      <w:r w:rsidRPr="00563D0D">
        <w:rPr>
          <w:rFonts w:ascii="Times New Roman" w:hAnsi="Times New Roman"/>
          <w:noProof/>
          <w:sz w:val="24"/>
          <w:lang w:val="pl-PL"/>
        </w:rPr>
        <w:t>wój</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dzi</w:t>
      </w:r>
      <w:r w:rsidRPr="00563D0D">
        <w:rPr>
          <w:rFonts w:ascii="Times New Roman" w:hAnsi="Times New Roman"/>
          <w:noProof/>
          <w:sz w:val="24"/>
          <w:lang w:val="pl-PL"/>
        </w:rPr>
        <w:t>edzinie medycznych środków przeciwdziałania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pow</w:t>
      </w:r>
      <w:r w:rsidRPr="00563D0D">
        <w:rPr>
          <w:rFonts w:ascii="Times New Roman" w:hAnsi="Times New Roman"/>
          <w:noProof/>
          <w:sz w:val="24"/>
          <w:lang w:val="pl-PL"/>
        </w:rPr>
        <w:t>iązanych technologii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zwalczania priorytetowych transgranicznych zagrożeń dla zdrowia. Jako część InvestEU</w:t>
      </w:r>
      <w:r w:rsidRPr="00563D0D">
        <w:rPr>
          <w:rStyle w:val="FootnoteReference"/>
          <w:rFonts w:ascii="Times New Roman" w:eastAsiaTheme="minorEastAsia" w:hAnsi="Times New Roman" w:cs="Times New Roman"/>
          <w:noProof/>
          <w:sz w:val="24"/>
          <w:lang w:val="pl-PL"/>
        </w:rPr>
        <w:footnoteReference w:id="102"/>
      </w:r>
      <w:r w:rsidRPr="00563D0D">
        <w:rPr>
          <w:rFonts w:ascii="Times New Roman" w:hAnsi="Times New Roman"/>
          <w:noProof/>
          <w:sz w:val="24"/>
          <w:lang w:val="pl-PL"/>
        </w:rPr>
        <w:t xml:space="preserve"> – programu UE wspierającego zrównoważone inwestycje,</w:t>
      </w:r>
      <w:r w:rsidRPr="00563D0D">
        <w:rPr>
          <w:noProof/>
          <w:lang w:val="pl-PL"/>
        </w:rPr>
        <w:t xml:space="preserve"> </w:t>
      </w:r>
      <w:r w:rsidRPr="00563D0D">
        <w:rPr>
          <w:noProof/>
          <w:lang w:val="pl-PL"/>
        </w:rPr>
        <w:br/>
      </w:r>
      <w:r w:rsidRPr="00563D0D">
        <w:rPr>
          <w:rFonts w:ascii="Times New Roman" w:hAnsi="Times New Roman"/>
          <w:noProof/>
          <w:sz w:val="24"/>
          <w:lang w:val="pl-PL"/>
        </w:rPr>
        <w:t>innowacje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two</w:t>
      </w:r>
      <w:r w:rsidRPr="00563D0D">
        <w:rPr>
          <w:rFonts w:ascii="Times New Roman" w:hAnsi="Times New Roman"/>
          <w:noProof/>
          <w:sz w:val="24"/>
          <w:lang w:val="pl-PL"/>
        </w:rPr>
        <w:t>rzenie miejsc pracy</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Eur</w:t>
      </w:r>
      <w:r w:rsidRPr="00563D0D">
        <w:rPr>
          <w:rFonts w:ascii="Times New Roman" w:hAnsi="Times New Roman"/>
          <w:noProof/>
          <w:sz w:val="24"/>
          <w:lang w:val="pl-PL"/>
        </w:rPr>
        <w:t>opie – HERA Invest wypełnia istotną lukę</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tej</w:t>
      </w:r>
      <w:r w:rsidRPr="00563D0D">
        <w:rPr>
          <w:rFonts w:ascii="Times New Roman" w:hAnsi="Times New Roman"/>
          <w:noProof/>
          <w:sz w:val="24"/>
          <w:lang w:val="pl-PL"/>
        </w:rPr>
        <w:t xml:space="preserve"> dziedzinie, przeznaczając 100 mln EUR na wsparcie innowacyjnych MŚP na wczesnych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póź</w:t>
      </w:r>
      <w:r w:rsidRPr="00563D0D">
        <w:rPr>
          <w:rFonts w:ascii="Times New Roman" w:hAnsi="Times New Roman"/>
          <w:noProof/>
          <w:sz w:val="24"/>
          <w:lang w:val="pl-PL"/>
        </w:rPr>
        <w:t>nych etapach badań klinicznych. HERA Invest ma na celu ograniczenie niedoskonałości rynku</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zwi</w:t>
      </w:r>
      <w:r w:rsidRPr="00563D0D">
        <w:rPr>
          <w:rFonts w:ascii="Times New Roman" w:hAnsi="Times New Roman"/>
          <w:noProof/>
          <w:sz w:val="24"/>
          <w:lang w:val="pl-PL"/>
        </w:rPr>
        <w:t>ększenie autonomii strategicznej UE.</w:t>
      </w:r>
    </w:p>
    <w:p w14:paraId="646A8BED" w14:textId="5C811292" w:rsidR="001F1738" w:rsidRPr="00563D0D" w:rsidRDefault="00B00464" w:rsidP="001F1738">
      <w:pPr>
        <w:spacing w:before="100" w:beforeAutospacing="1" w:after="100" w:afterAutospacing="1" w:line="240" w:lineRule="auto"/>
        <w:jc w:val="both"/>
        <w:rPr>
          <w:rFonts w:ascii="Times New Roman" w:eastAsiaTheme="minorEastAsia" w:hAnsi="Times New Roman" w:cs="Times New Roman"/>
          <w:noProof/>
          <w:sz w:val="24"/>
          <w:lang w:val="pl-PL"/>
        </w:rPr>
      </w:pPr>
      <w:r w:rsidRPr="00563D0D">
        <w:rPr>
          <w:rFonts w:ascii="Times New Roman" w:hAnsi="Times New Roman"/>
          <w:noProof/>
          <w:sz w:val="24"/>
          <w:lang w:val="pl-PL"/>
        </w:rPr>
        <w:t xml:space="preserve">Program „Horyzont Europa” wspiera również rozwój diagnostyki </w:t>
      </w:r>
      <w:r w:rsidRPr="00563D0D">
        <w:rPr>
          <w:rFonts w:ascii="Times New Roman" w:hAnsi="Times New Roman"/>
          <w:i/>
          <w:noProof/>
          <w:sz w:val="24"/>
          <w:lang w:val="pl-PL"/>
        </w:rPr>
        <w:t>in vitro</w:t>
      </w:r>
      <w:r w:rsidR="00563D0D" w:rsidRPr="00563D0D">
        <w:rPr>
          <w:rFonts w:ascii="Times New Roman" w:hAnsi="Times New Roman"/>
          <w:i/>
          <w:noProof/>
          <w:sz w:val="24"/>
          <w:lang w:val="pl-PL"/>
        </w:rPr>
        <w:t xml:space="preserve"> </w:t>
      </w:r>
      <w:r w:rsidR="00563D0D" w:rsidRPr="00563D0D">
        <w:rPr>
          <w:rFonts w:ascii="Times New Roman" w:hAnsi="Times New Roman"/>
          <w:noProof/>
          <w:sz w:val="24"/>
          <w:lang w:val="pl-PL"/>
        </w:rPr>
        <w:t>i</w:t>
      </w:r>
      <w:r w:rsidR="00563D0D">
        <w:rPr>
          <w:rFonts w:ascii="Times New Roman" w:hAnsi="Times New Roman"/>
          <w:i/>
          <w:noProof/>
          <w:sz w:val="24"/>
          <w:lang w:val="pl-PL"/>
        </w:rPr>
        <w:t> </w:t>
      </w:r>
      <w:r w:rsidR="00563D0D" w:rsidRPr="00563D0D">
        <w:rPr>
          <w:rFonts w:ascii="Times New Roman" w:hAnsi="Times New Roman"/>
          <w:noProof/>
          <w:sz w:val="24"/>
          <w:lang w:val="pl-PL"/>
        </w:rPr>
        <w:t>dos</w:t>
      </w:r>
      <w:r w:rsidRPr="00563D0D">
        <w:rPr>
          <w:rFonts w:ascii="Times New Roman" w:hAnsi="Times New Roman"/>
          <w:noProof/>
          <w:sz w:val="24"/>
          <w:lang w:val="pl-PL"/>
        </w:rPr>
        <w:t>tęp do niej</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wykrywania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cha</w:t>
      </w:r>
      <w:r w:rsidRPr="00563D0D">
        <w:rPr>
          <w:rFonts w:ascii="Times New Roman" w:hAnsi="Times New Roman"/>
          <w:noProof/>
          <w:sz w:val="24"/>
          <w:lang w:val="pl-PL"/>
        </w:rPr>
        <w:t>rakterystyki patogenów</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pot</w:t>
      </w:r>
      <w:r w:rsidRPr="00563D0D">
        <w:rPr>
          <w:rFonts w:ascii="Times New Roman" w:hAnsi="Times New Roman"/>
          <w:noProof/>
          <w:sz w:val="24"/>
          <w:lang w:val="pl-PL"/>
        </w:rPr>
        <w:t>encjale pandemicznym,</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tak</w:t>
      </w:r>
      <w:r w:rsidRPr="00563D0D">
        <w:rPr>
          <w:rFonts w:ascii="Times New Roman" w:hAnsi="Times New Roman"/>
          <w:noProof/>
          <w:sz w:val="24"/>
          <w:lang w:val="pl-PL"/>
        </w:rPr>
        <w:t>że wspiera dostęp do wyrobów medycznych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wyr</w:t>
      </w:r>
      <w:r w:rsidRPr="00563D0D">
        <w:rPr>
          <w:rFonts w:ascii="Times New Roman" w:hAnsi="Times New Roman"/>
          <w:noProof/>
          <w:sz w:val="24"/>
          <w:lang w:val="pl-PL"/>
        </w:rPr>
        <w:t xml:space="preserve">obów medycznych do diagnostyki </w:t>
      </w:r>
      <w:r w:rsidRPr="00563D0D">
        <w:rPr>
          <w:rFonts w:ascii="Times New Roman" w:hAnsi="Times New Roman"/>
          <w:i/>
          <w:noProof/>
          <w:sz w:val="24"/>
          <w:lang w:val="pl-PL"/>
        </w:rPr>
        <w:t>in vitro</w:t>
      </w:r>
      <w:r w:rsidR="00563D0D" w:rsidRPr="00563D0D">
        <w:rPr>
          <w:rFonts w:ascii="Times New Roman" w:hAnsi="Times New Roman"/>
          <w:i/>
          <w:noProof/>
          <w:sz w:val="24"/>
          <w:lang w:val="pl-PL"/>
        </w:rPr>
        <w:t xml:space="preserve"> </w:t>
      </w:r>
      <w:r w:rsidR="00563D0D" w:rsidRPr="00563D0D">
        <w:rPr>
          <w:rFonts w:ascii="Times New Roman" w:hAnsi="Times New Roman"/>
          <w:noProof/>
          <w:sz w:val="24"/>
          <w:lang w:val="pl-PL"/>
        </w:rPr>
        <w:t>w</w:t>
      </w:r>
      <w:r w:rsidR="00563D0D">
        <w:rPr>
          <w:rFonts w:ascii="Times New Roman" w:hAnsi="Times New Roman"/>
          <w:i/>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 xml:space="preserve">ypadku transgranicznych zagrożeń zdrowia. Ponadto Komisja, za pośrednictwem Europejskiej Rady ds. Innowacji </w:t>
      </w:r>
      <w:r w:rsidRPr="00563D0D">
        <w:rPr>
          <w:rFonts w:ascii="Times New Roman" w:eastAsiaTheme="minorEastAsia" w:hAnsi="Times New Roman" w:cs="Times New Roman"/>
          <w:noProof/>
          <w:sz w:val="24"/>
          <w:vertAlign w:val="superscript"/>
          <w:lang w:val="pl-PL"/>
        </w:rPr>
        <w:footnoteReference w:id="103"/>
      </w:r>
      <w:r w:rsidRPr="00563D0D">
        <w:rPr>
          <w:rFonts w:ascii="Times New Roman" w:hAnsi="Times New Roman"/>
          <w:noProof/>
          <w:sz w:val="24"/>
          <w:lang w:val="pl-PL"/>
        </w:rPr>
        <w:t xml:space="preserve"> – sztandarowego europejskiego programu innowacji ustanowionego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programu „Horyzont Europa”, propaguje rozwój</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kom</w:t>
      </w:r>
      <w:r w:rsidRPr="00563D0D">
        <w:rPr>
          <w:rFonts w:ascii="Times New Roman" w:hAnsi="Times New Roman"/>
          <w:noProof/>
          <w:sz w:val="24"/>
          <w:lang w:val="pl-PL"/>
        </w:rPr>
        <w:t>ercjalizację rozwiązań technologicznych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zarządzania epidemiami/pandemiami (w tym na przykład zaawansowanych systemów wychwytywania aerozoli, dezaktywacji patogenów</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opt</w:t>
      </w:r>
      <w:r w:rsidRPr="00563D0D">
        <w:rPr>
          <w:rFonts w:ascii="Times New Roman" w:hAnsi="Times New Roman"/>
          <w:noProof/>
          <w:sz w:val="24"/>
          <w:lang w:val="pl-PL"/>
        </w:rPr>
        <w:t>ymalizacji cyrkulacji powietrza, masek ochronnych nowej generacji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urz</w:t>
      </w:r>
      <w:r w:rsidRPr="00563D0D">
        <w:rPr>
          <w:rFonts w:ascii="Times New Roman" w:hAnsi="Times New Roman"/>
          <w:noProof/>
          <w:sz w:val="24"/>
          <w:lang w:val="pl-PL"/>
        </w:rPr>
        <w:t>ądzeń do szybkiej dekontaminacji powierzchni).</w:t>
      </w:r>
    </w:p>
    <w:p w14:paraId="668700DC" w14:textId="5F0C57B4" w:rsidR="001F1738" w:rsidRPr="00563D0D" w:rsidRDefault="001F1738" w:rsidP="001F1738">
      <w:pPr>
        <w:keepNext/>
        <w:keepLines/>
        <w:spacing w:before="100" w:beforeAutospacing="1" w:after="100" w:afterAutospacing="1" w:line="240" w:lineRule="auto"/>
        <w:outlineLvl w:val="1"/>
        <w:rPr>
          <w:rFonts w:ascii="Times New Roman" w:eastAsiaTheme="majorEastAsia" w:hAnsi="Times New Roman" w:cs="Times New Roman"/>
          <w:b/>
          <w:noProof/>
          <w:sz w:val="24"/>
          <w:lang w:val="pl-PL"/>
        </w:rPr>
      </w:pPr>
      <w:r w:rsidRPr="00563D0D">
        <w:rPr>
          <w:rFonts w:ascii="Times New Roman" w:hAnsi="Times New Roman"/>
          <w:b/>
          <w:noProof/>
          <w:sz w:val="24"/>
          <w:lang w:val="pl-PL"/>
        </w:rPr>
        <w:t>Reagowanie</w:t>
      </w:r>
      <w:r w:rsidR="00563D0D" w:rsidRPr="00563D0D">
        <w:rPr>
          <w:rFonts w:ascii="Times New Roman" w:hAnsi="Times New Roman"/>
          <w:b/>
          <w:noProof/>
          <w:sz w:val="24"/>
          <w:lang w:val="pl-PL"/>
        </w:rPr>
        <w:t xml:space="preserve"> i</w:t>
      </w:r>
      <w:r w:rsidR="00563D0D">
        <w:rPr>
          <w:rFonts w:ascii="Times New Roman" w:hAnsi="Times New Roman"/>
          <w:b/>
          <w:noProof/>
          <w:sz w:val="24"/>
          <w:lang w:val="pl-PL"/>
        </w:rPr>
        <w:t> </w:t>
      </w:r>
      <w:r w:rsidR="00563D0D" w:rsidRPr="00563D0D">
        <w:rPr>
          <w:rFonts w:ascii="Times New Roman" w:hAnsi="Times New Roman"/>
          <w:b/>
          <w:noProof/>
          <w:sz w:val="24"/>
          <w:lang w:val="pl-PL"/>
        </w:rPr>
        <w:t>bad</w:t>
      </w:r>
      <w:r w:rsidRPr="00563D0D">
        <w:rPr>
          <w:rFonts w:ascii="Times New Roman" w:hAnsi="Times New Roman"/>
          <w:b/>
          <w:noProof/>
          <w:sz w:val="24"/>
          <w:lang w:val="pl-PL"/>
        </w:rPr>
        <w:t>ania naukowe</w:t>
      </w:r>
      <w:r w:rsidR="00563D0D" w:rsidRPr="00563D0D">
        <w:rPr>
          <w:rFonts w:ascii="Times New Roman" w:hAnsi="Times New Roman"/>
          <w:b/>
          <w:noProof/>
          <w:sz w:val="24"/>
          <w:lang w:val="pl-PL"/>
        </w:rPr>
        <w:t xml:space="preserve"> w</w:t>
      </w:r>
      <w:r w:rsidR="00563D0D">
        <w:rPr>
          <w:rFonts w:ascii="Times New Roman" w:hAnsi="Times New Roman"/>
          <w:b/>
          <w:noProof/>
          <w:sz w:val="24"/>
          <w:lang w:val="pl-PL"/>
        </w:rPr>
        <w:t> </w:t>
      </w:r>
      <w:r w:rsidR="00563D0D" w:rsidRPr="00563D0D">
        <w:rPr>
          <w:rFonts w:ascii="Times New Roman" w:hAnsi="Times New Roman"/>
          <w:b/>
          <w:noProof/>
          <w:sz w:val="24"/>
          <w:lang w:val="pl-PL"/>
        </w:rPr>
        <w:t>syt</w:t>
      </w:r>
      <w:r w:rsidRPr="00563D0D">
        <w:rPr>
          <w:rFonts w:ascii="Times New Roman" w:hAnsi="Times New Roman"/>
          <w:b/>
          <w:noProof/>
          <w:sz w:val="24"/>
          <w:lang w:val="pl-PL"/>
        </w:rPr>
        <w:t>uacjach nadzwyczajnych</w:t>
      </w:r>
    </w:p>
    <w:p w14:paraId="4A95C6A1" w14:textId="1C0E886C" w:rsidR="00E14569" w:rsidRPr="00563D0D" w:rsidRDefault="00E14569" w:rsidP="001F1738">
      <w:pPr>
        <w:spacing w:before="100" w:beforeAutospacing="1" w:after="100" w:afterAutospacing="1" w:line="240" w:lineRule="auto"/>
        <w:jc w:val="both"/>
        <w:rPr>
          <w:rFonts w:ascii="Times New Roman" w:eastAsiaTheme="minorEastAsia" w:hAnsi="Times New Roman" w:cs="Times New Roman"/>
          <w:noProof/>
          <w:sz w:val="24"/>
          <w:lang w:val="pl-PL"/>
        </w:rPr>
      </w:pPr>
      <w:r w:rsidRPr="00563D0D">
        <w:rPr>
          <w:rFonts w:ascii="Times New Roman" w:hAnsi="Times New Roman"/>
          <w:noProof/>
          <w:sz w:val="24"/>
          <w:lang w:val="pl-PL"/>
        </w:rPr>
        <w:t>W programach prac programu „Horyzont Europa”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dzi</w:t>
      </w:r>
      <w:r w:rsidRPr="00563D0D">
        <w:rPr>
          <w:rFonts w:ascii="Times New Roman" w:hAnsi="Times New Roman"/>
          <w:noProof/>
          <w:sz w:val="24"/>
          <w:lang w:val="pl-PL"/>
        </w:rPr>
        <w:t>edzinie zdrowia nadal przewiduje się możliwość uruchomienia funduszy na badania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ypadku stanów zagrożenia zdrowia publicznego. Wariant ten wykorzystano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2</w:t>
      </w:r>
      <w:r w:rsidRPr="00563D0D">
        <w:rPr>
          <w:rFonts w:ascii="Times New Roman" w:hAnsi="Times New Roman"/>
          <w:noProof/>
          <w:sz w:val="24"/>
          <w:lang w:val="pl-PL"/>
        </w:rPr>
        <w:t>022</w:t>
      </w:r>
      <w:r w:rsidR="00563D0D" w:rsidRPr="00563D0D">
        <w:rPr>
          <w:rFonts w:ascii="Times New Roman" w:hAnsi="Times New Roman"/>
          <w:noProof/>
          <w:sz w:val="24"/>
          <w:lang w:val="pl-PL"/>
        </w:rPr>
        <w:t> </w:t>
      </w:r>
      <w:r w:rsidRPr="00563D0D">
        <w:rPr>
          <w:rFonts w:ascii="Times New Roman" w:hAnsi="Times New Roman"/>
          <w:noProof/>
          <w:sz w:val="24"/>
          <w:lang w:val="pl-PL"/>
        </w:rPr>
        <w:t>r.</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wsparcia sieci EU RESPONSE</w:t>
      </w:r>
      <w:r w:rsidRPr="00563D0D">
        <w:rPr>
          <w:rFonts w:ascii="Times New Roman" w:eastAsiaTheme="minorEastAsia" w:hAnsi="Times New Roman" w:cs="Times New Roman"/>
          <w:noProof/>
          <w:sz w:val="24"/>
          <w:vertAlign w:val="superscript"/>
          <w:lang w:val="pl-PL"/>
        </w:rPr>
        <w:footnoteReference w:id="104"/>
      </w:r>
      <w:r w:rsidRPr="00563D0D">
        <w:rPr>
          <w:rFonts w:ascii="Times New Roman" w:hAnsi="Times New Roman"/>
          <w:noProof/>
          <w:sz w:val="24"/>
          <w:lang w:val="pl-PL"/>
        </w:rPr>
        <w:t xml:space="preserve"> we wdrażaniu badania klinicznego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oceny leczenia MPOX,</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tak</w:t>
      </w:r>
      <w:r w:rsidRPr="00563D0D">
        <w:rPr>
          <w:rFonts w:ascii="Times New Roman" w:hAnsi="Times New Roman"/>
          <w:noProof/>
          <w:sz w:val="24"/>
          <w:lang w:val="pl-PL"/>
        </w:rPr>
        <w:t>że kohort</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pro</w:t>
      </w:r>
      <w:r w:rsidRPr="00563D0D">
        <w:rPr>
          <w:rFonts w:ascii="Times New Roman" w:hAnsi="Times New Roman"/>
          <w:noProof/>
          <w:sz w:val="24"/>
          <w:lang w:val="pl-PL"/>
        </w:rPr>
        <w:t>jektu VERDI</w:t>
      </w:r>
      <w:r w:rsidRPr="00563D0D">
        <w:rPr>
          <w:rFonts w:ascii="Times New Roman" w:eastAsiaTheme="minorEastAsia" w:hAnsi="Times New Roman" w:cs="Times New Roman"/>
          <w:noProof/>
          <w:sz w:val="24"/>
          <w:vertAlign w:val="superscript"/>
          <w:lang w:val="pl-PL"/>
        </w:rPr>
        <w:footnoteReference w:id="105"/>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lepszego zrozumienia choroby.</w:t>
      </w:r>
    </w:p>
    <w:p w14:paraId="6438EFE1" w14:textId="0B927E08" w:rsidR="001F1738" w:rsidRPr="00563D0D" w:rsidRDefault="00A96694" w:rsidP="001F1738">
      <w:pPr>
        <w:spacing w:before="100" w:beforeAutospacing="1" w:after="100" w:afterAutospacing="1" w:line="240" w:lineRule="auto"/>
        <w:jc w:val="both"/>
        <w:rPr>
          <w:rFonts w:ascii="Times New Roman" w:eastAsiaTheme="minorEastAsia" w:hAnsi="Times New Roman" w:cs="Times New Roman"/>
          <w:noProof/>
          <w:sz w:val="24"/>
          <w:lang w:val="pl-PL"/>
        </w:rPr>
      </w:pPr>
      <w:r w:rsidRPr="00563D0D">
        <w:rPr>
          <w:rFonts w:ascii="Times New Roman" w:hAnsi="Times New Roman"/>
          <w:noProof/>
          <w:sz w:val="24"/>
          <w:lang w:val="pl-PL"/>
        </w:rPr>
        <w:t>Komisja, za pośrednictwem programu „Horyzont Europa”, będzie również opierać się na istniejących testach platformy adaptacyjnej</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bad</w:t>
      </w:r>
      <w:r w:rsidRPr="00563D0D">
        <w:rPr>
          <w:rFonts w:ascii="Times New Roman" w:hAnsi="Times New Roman"/>
          <w:noProof/>
          <w:sz w:val="24"/>
          <w:lang w:val="pl-PL"/>
        </w:rPr>
        <w:t>aniach kohortowych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utrzymania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wzm</w:t>
      </w:r>
      <w:r w:rsidRPr="00563D0D">
        <w:rPr>
          <w:rFonts w:ascii="Times New Roman" w:hAnsi="Times New Roman"/>
          <w:noProof/>
          <w:sz w:val="24"/>
          <w:lang w:val="pl-PL"/>
        </w:rPr>
        <w:t>ocnienia mechanizmów koordynacji strategicznej w UE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poz</w:t>
      </w:r>
      <w:r w:rsidRPr="00563D0D">
        <w:rPr>
          <w:rFonts w:ascii="Times New Roman" w:hAnsi="Times New Roman"/>
          <w:noProof/>
          <w:sz w:val="24"/>
          <w:lang w:val="pl-PL"/>
        </w:rPr>
        <w:t>a nią. Sieci te umożliwiają prowadzenie nieustannych badań platformowych, ukierunkowywanie nieustannych badań kohort</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zna</w:t>
      </w:r>
      <w:r w:rsidRPr="00563D0D">
        <w:rPr>
          <w:rFonts w:ascii="Times New Roman" w:hAnsi="Times New Roman"/>
          <w:noProof/>
          <w:sz w:val="24"/>
          <w:lang w:val="pl-PL"/>
        </w:rPr>
        <w:t>czeniu strategicznym na nowo pojawiające się choroby</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ypadku wystąpienia epidemii oraz generowanie dowodów naukowych dotyczących różnych możliwych medycznych środków przeciwdziałania.</w:t>
      </w:r>
    </w:p>
    <w:p w14:paraId="77578385" w14:textId="70DF491B" w:rsidR="001F1738" w:rsidRPr="00563D0D" w:rsidRDefault="00D7634D" w:rsidP="001F1738">
      <w:pPr>
        <w:spacing w:before="100" w:beforeAutospacing="1" w:after="100" w:afterAutospacing="1" w:line="240" w:lineRule="auto"/>
        <w:jc w:val="both"/>
        <w:rPr>
          <w:rFonts w:ascii="Times New Roman" w:eastAsiaTheme="minorEastAsia" w:hAnsi="Times New Roman" w:cs="Times New Roman"/>
          <w:noProof/>
          <w:sz w:val="24"/>
          <w:lang w:val="pl-PL"/>
        </w:rPr>
      </w:pPr>
      <w:r w:rsidRPr="00563D0D">
        <w:rPr>
          <w:rFonts w:ascii="Times New Roman" w:hAnsi="Times New Roman"/>
          <w:noProof/>
          <w:sz w:val="24"/>
          <w:lang w:val="pl-PL"/>
        </w:rPr>
        <w:t>Komisja, we współpracy</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pań</w:t>
      </w:r>
      <w:r w:rsidRPr="00563D0D">
        <w:rPr>
          <w:rFonts w:ascii="Times New Roman" w:hAnsi="Times New Roman"/>
          <w:noProof/>
          <w:sz w:val="24"/>
          <w:lang w:val="pl-PL"/>
        </w:rPr>
        <w:t>stwami członkowskimi, uczestniczy</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faz</w:t>
      </w:r>
      <w:r w:rsidRPr="00563D0D">
        <w:rPr>
          <w:rFonts w:ascii="Times New Roman" w:hAnsi="Times New Roman"/>
          <w:noProof/>
          <w:sz w:val="24"/>
          <w:lang w:val="pl-PL"/>
        </w:rPr>
        <w:t>ie przygotowawczej partnerstwa UE na rzecz gotowości na wypadek pandemii,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którego opracowany zostanie skonsolidowany program badań naukowych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gotowości na wypadek pandemii, co wzmocni współpracę między państwami członkowskimi,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któ</w:t>
      </w:r>
      <w:r w:rsidRPr="00563D0D">
        <w:rPr>
          <w:rFonts w:ascii="Times New Roman" w:hAnsi="Times New Roman"/>
          <w:noProof/>
          <w:sz w:val="24"/>
          <w:lang w:val="pl-PL"/>
        </w:rPr>
        <w:t>ry zapewni przygotowanie do zarządzania reagowaniem</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badań naukowych podczas kryzysu poprzez ustanowienie unijnej sieci ośrodków badań klinicznych, które są zawsze gotowe, oraz dostosowanie inwestycji na potrzeby gotowości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raz</w:t>
      </w:r>
      <w:r w:rsidRPr="00563D0D">
        <w:rPr>
          <w:rFonts w:ascii="Times New Roman" w:hAnsi="Times New Roman"/>
          <w:noProof/>
          <w:sz w:val="24"/>
          <w:lang w:val="pl-PL"/>
        </w:rPr>
        <w:t>ie pandemii – od badań podstawowych po badania przedkliniczne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kli</w:t>
      </w:r>
      <w:r w:rsidRPr="00563D0D">
        <w:rPr>
          <w:rFonts w:ascii="Times New Roman" w:hAnsi="Times New Roman"/>
          <w:noProof/>
          <w:sz w:val="24"/>
          <w:lang w:val="pl-PL"/>
        </w:rPr>
        <w:t>niczne.</w:t>
      </w:r>
    </w:p>
    <w:p w14:paraId="735D7E06" w14:textId="3C7D54B8" w:rsidR="001F1738" w:rsidRPr="00563D0D" w:rsidRDefault="00681330" w:rsidP="001F1738">
      <w:pPr>
        <w:spacing w:before="100" w:beforeAutospacing="1" w:after="100" w:afterAutospacing="1" w:line="240" w:lineRule="auto"/>
        <w:jc w:val="both"/>
        <w:rPr>
          <w:rFonts w:ascii="Times New Roman" w:eastAsiaTheme="minorEastAsia" w:hAnsi="Times New Roman" w:cs="Times New Roman"/>
          <w:noProof/>
          <w:sz w:val="24"/>
          <w:lang w:val="pl-PL"/>
        </w:rPr>
      </w:pPr>
      <w:r w:rsidRPr="00563D0D">
        <w:rPr>
          <w:rFonts w:ascii="Times New Roman" w:hAnsi="Times New Roman"/>
          <w:noProof/>
          <w:sz w:val="24"/>
          <w:lang w:val="pl-PL"/>
        </w:rPr>
        <w:t>Biorąc pod uwagę, że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cza</w:t>
      </w:r>
      <w:r w:rsidRPr="00563D0D">
        <w:rPr>
          <w:rFonts w:ascii="Times New Roman" w:hAnsi="Times New Roman"/>
          <w:noProof/>
          <w:sz w:val="24"/>
          <w:lang w:val="pl-PL"/>
        </w:rPr>
        <w:t>sie pandemii „Nikt nie będzie bezpieczny, dopóki wszyscy nie będą wszędzie bezpieczni”, strategia UE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dzi</w:t>
      </w:r>
      <w:r w:rsidRPr="00563D0D">
        <w:rPr>
          <w:rFonts w:ascii="Times New Roman" w:hAnsi="Times New Roman"/>
          <w:noProof/>
          <w:sz w:val="24"/>
          <w:lang w:val="pl-PL"/>
        </w:rPr>
        <w:t>edzinie zdrowia na świecie</w:t>
      </w:r>
      <w:r w:rsidRPr="00563D0D">
        <w:rPr>
          <w:rFonts w:ascii="Times New Roman" w:eastAsiaTheme="minorEastAsia" w:hAnsi="Times New Roman" w:cs="Times New Roman"/>
          <w:noProof/>
          <w:sz w:val="24"/>
          <w:vertAlign w:val="superscript"/>
          <w:lang w:val="pl-PL"/>
        </w:rPr>
        <w:footnoteReference w:id="106"/>
      </w:r>
      <w:r w:rsidRPr="00563D0D">
        <w:rPr>
          <w:rFonts w:ascii="Times New Roman" w:hAnsi="Times New Roman"/>
          <w:noProof/>
          <w:sz w:val="24"/>
          <w:lang w:val="pl-PL"/>
        </w:rPr>
        <w:t xml:space="preserve"> uruchomiona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lis</w:t>
      </w:r>
      <w:r w:rsidRPr="00563D0D">
        <w:rPr>
          <w:rFonts w:ascii="Times New Roman" w:hAnsi="Times New Roman"/>
          <w:noProof/>
          <w:sz w:val="24"/>
          <w:lang w:val="pl-PL"/>
        </w:rPr>
        <w:t>topadzie 2022</w:t>
      </w:r>
      <w:r w:rsidR="00563D0D" w:rsidRPr="00563D0D">
        <w:rPr>
          <w:rFonts w:ascii="Times New Roman" w:hAnsi="Times New Roman"/>
          <w:noProof/>
          <w:sz w:val="24"/>
          <w:lang w:val="pl-PL"/>
        </w:rPr>
        <w:t> </w:t>
      </w:r>
      <w:r w:rsidRPr="00563D0D">
        <w:rPr>
          <w:rFonts w:ascii="Times New Roman" w:hAnsi="Times New Roman"/>
          <w:noProof/>
          <w:sz w:val="24"/>
          <w:lang w:val="pl-PL"/>
        </w:rPr>
        <w:t>r. stanowi zewnętrzny wymiar Europejskiej Unii Zdrowotnej. UE inwestuje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pop</w:t>
      </w:r>
      <w:r w:rsidRPr="00563D0D">
        <w:rPr>
          <w:rFonts w:ascii="Times New Roman" w:hAnsi="Times New Roman"/>
          <w:noProof/>
          <w:sz w:val="24"/>
          <w:lang w:val="pl-PL"/>
        </w:rPr>
        <w:t>rawę gotowości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zdo</w:t>
      </w:r>
      <w:r w:rsidRPr="00563D0D">
        <w:rPr>
          <w:rFonts w:ascii="Times New Roman" w:hAnsi="Times New Roman"/>
          <w:noProof/>
          <w:sz w:val="24"/>
          <w:lang w:val="pl-PL"/>
        </w:rPr>
        <w:t>lności reagowania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zapobiegania pandemiom</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kra</w:t>
      </w:r>
      <w:r w:rsidRPr="00563D0D">
        <w:rPr>
          <w:rFonts w:ascii="Times New Roman" w:hAnsi="Times New Roman"/>
          <w:noProof/>
          <w:sz w:val="24"/>
          <w:lang w:val="pl-PL"/>
        </w:rPr>
        <w:t>jach</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nis</w:t>
      </w:r>
      <w:r w:rsidRPr="00563D0D">
        <w:rPr>
          <w:rFonts w:ascii="Times New Roman" w:hAnsi="Times New Roman"/>
          <w:noProof/>
          <w:sz w:val="24"/>
          <w:lang w:val="pl-PL"/>
        </w:rPr>
        <w:t>kim</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śre</w:t>
      </w:r>
      <w:r w:rsidRPr="00563D0D">
        <w:rPr>
          <w:rFonts w:ascii="Times New Roman" w:hAnsi="Times New Roman"/>
          <w:noProof/>
          <w:sz w:val="24"/>
          <w:lang w:val="pl-PL"/>
        </w:rPr>
        <w:t>dnim dochodzie, ze szczególnym uwzględnieniem Afryki Subsaharyjskiej za pośrednictwem różnych instrumentów</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strategii Global Gateway</w:t>
      </w:r>
      <w:r w:rsidRPr="00563D0D">
        <w:rPr>
          <w:rStyle w:val="FootnoteReference"/>
          <w:rFonts w:ascii="Times New Roman" w:eastAsiaTheme="minorEastAsia" w:hAnsi="Times New Roman" w:cs="Times New Roman"/>
          <w:noProof/>
          <w:sz w:val="24"/>
          <w:lang w:val="pl-PL"/>
        </w:rPr>
        <w:footnoteReference w:id="107"/>
      </w:r>
      <w:r w:rsidRPr="00563D0D">
        <w:rPr>
          <w:rFonts w:ascii="Times New Roman" w:hAnsi="Times New Roman"/>
          <w:noProof/>
          <w:sz w:val="24"/>
          <w:lang w:val="pl-PL"/>
        </w:rPr>
        <w:t>. Wspólne przedsięwzięcie „Partnerstwo pomiędzy Europą</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kra</w:t>
      </w:r>
      <w:r w:rsidRPr="00563D0D">
        <w:rPr>
          <w:rFonts w:ascii="Times New Roman" w:hAnsi="Times New Roman"/>
          <w:noProof/>
          <w:sz w:val="24"/>
          <w:lang w:val="pl-PL"/>
        </w:rPr>
        <w:t>jami rozwijającymi się</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badań klinicznych”</w:t>
      </w:r>
      <w:r w:rsidRPr="00563D0D">
        <w:rPr>
          <w:rStyle w:val="FootnoteReference"/>
          <w:rFonts w:ascii="Times New Roman" w:eastAsiaTheme="minorEastAsia" w:hAnsi="Times New Roman" w:cs="Times New Roman"/>
          <w:noProof/>
          <w:sz w:val="24"/>
          <w:lang w:val="pl-PL"/>
        </w:rPr>
        <w:footnoteReference w:id="108"/>
      </w:r>
      <w:r w:rsidRPr="00563D0D">
        <w:rPr>
          <w:rFonts w:ascii="Times New Roman" w:hAnsi="Times New Roman"/>
          <w:noProof/>
          <w:sz w:val="24"/>
          <w:lang w:val="pl-PL"/>
        </w:rPr>
        <w:t xml:space="preserve"> finansuje badania nad opracowaniem</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tes</w:t>
      </w:r>
      <w:r w:rsidRPr="00563D0D">
        <w:rPr>
          <w:rFonts w:ascii="Times New Roman" w:hAnsi="Times New Roman"/>
          <w:noProof/>
          <w:sz w:val="24"/>
          <w:lang w:val="pl-PL"/>
        </w:rPr>
        <w:t>towaniem medycznych środków przeciwdziałania,</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tak</w:t>
      </w:r>
      <w:r w:rsidRPr="00563D0D">
        <w:rPr>
          <w:rFonts w:ascii="Times New Roman" w:hAnsi="Times New Roman"/>
          <w:noProof/>
          <w:sz w:val="24"/>
          <w:lang w:val="pl-PL"/>
        </w:rPr>
        <w:t>że rozwój sieci badań klinicznych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koh</w:t>
      </w:r>
      <w:r w:rsidRPr="00563D0D">
        <w:rPr>
          <w:rFonts w:ascii="Times New Roman" w:hAnsi="Times New Roman"/>
          <w:noProof/>
          <w:sz w:val="24"/>
          <w:lang w:val="pl-PL"/>
        </w:rPr>
        <w:t>ort, łącząc wyniki tych badań</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ini</w:t>
      </w:r>
      <w:r w:rsidRPr="00563D0D">
        <w:rPr>
          <w:rFonts w:ascii="Times New Roman" w:hAnsi="Times New Roman"/>
          <w:noProof/>
          <w:sz w:val="24"/>
          <w:lang w:val="pl-PL"/>
        </w:rPr>
        <w:t>cjatywą Drużyny Europy dotyczącą produkcji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dos</w:t>
      </w:r>
      <w:r w:rsidRPr="00563D0D">
        <w:rPr>
          <w:rFonts w:ascii="Times New Roman" w:hAnsi="Times New Roman"/>
          <w:noProof/>
          <w:sz w:val="24"/>
          <w:lang w:val="pl-PL"/>
        </w:rPr>
        <w:t>tępu do szczepionek, leków</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tec</w:t>
      </w:r>
      <w:r w:rsidRPr="00563D0D">
        <w:rPr>
          <w:rFonts w:ascii="Times New Roman" w:hAnsi="Times New Roman"/>
          <w:noProof/>
          <w:sz w:val="24"/>
          <w:lang w:val="pl-PL"/>
        </w:rPr>
        <w:t>hnologii medycznych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Afr</w:t>
      </w:r>
      <w:r w:rsidRPr="00563D0D">
        <w:rPr>
          <w:rFonts w:ascii="Times New Roman" w:hAnsi="Times New Roman"/>
          <w:noProof/>
          <w:sz w:val="24"/>
          <w:lang w:val="pl-PL"/>
        </w:rPr>
        <w:t>yce (MAV+) oraz partnerstwem UE–Ameryka Łacińska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Kar</w:t>
      </w:r>
      <w:r w:rsidRPr="00563D0D">
        <w:rPr>
          <w:rFonts w:ascii="Times New Roman" w:hAnsi="Times New Roman"/>
          <w:noProof/>
          <w:sz w:val="24"/>
          <w:lang w:val="pl-PL"/>
        </w:rPr>
        <w:t>aiby</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produkcji szczepionek</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odp</w:t>
      </w:r>
      <w:r w:rsidRPr="00563D0D">
        <w:rPr>
          <w:rFonts w:ascii="Times New Roman" w:hAnsi="Times New Roman"/>
          <w:noProof/>
          <w:sz w:val="24"/>
          <w:lang w:val="pl-PL"/>
        </w:rPr>
        <w:t>orności systemów opieki zdrowotnej.</w:t>
      </w:r>
    </w:p>
    <w:p w14:paraId="64B89DFE" w14:textId="77777777" w:rsidR="001F1738" w:rsidRPr="00563D0D"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pl-PL"/>
        </w:rPr>
      </w:pPr>
    </w:p>
    <w:p w14:paraId="1992162E" w14:textId="77777777" w:rsidR="001F1738" w:rsidRPr="00563D0D" w:rsidRDefault="001F1738" w:rsidP="001F1738">
      <w:pPr>
        <w:keepNext/>
        <w:keepLines/>
        <w:spacing w:before="100" w:beforeAutospacing="1" w:after="100" w:afterAutospacing="1" w:line="240" w:lineRule="auto"/>
        <w:jc w:val="both"/>
        <w:outlineLvl w:val="0"/>
        <w:rPr>
          <w:rFonts w:ascii="Times New Roman" w:eastAsiaTheme="majorEastAsia" w:hAnsi="Times New Roman" w:cs="Times New Roman"/>
          <w:noProof/>
          <w:sz w:val="24"/>
          <w:lang w:val="pl-PL"/>
        </w:rPr>
      </w:pPr>
      <w:r w:rsidRPr="00563D0D">
        <w:rPr>
          <w:rFonts w:ascii="Times New Roman" w:hAnsi="Times New Roman"/>
          <w:noProof/>
          <w:sz w:val="24"/>
          <w:lang w:val="pl-PL"/>
        </w:rPr>
        <w:t xml:space="preserve">7. WYMIAR MIĘDZYNARODOWY </w:t>
      </w:r>
    </w:p>
    <w:p w14:paraId="1469B4AF" w14:textId="4301B726" w:rsidR="001F1738" w:rsidRPr="00563D0D" w:rsidRDefault="001F1738" w:rsidP="001F1738">
      <w:pPr>
        <w:spacing w:before="100" w:beforeAutospacing="1" w:after="100" w:afterAutospacing="1" w:line="240" w:lineRule="auto"/>
        <w:jc w:val="both"/>
        <w:rPr>
          <w:rFonts w:ascii="Times New Roman" w:eastAsiaTheme="minorEastAsia" w:hAnsi="Times New Roman" w:cs="Times New Roman"/>
          <w:b/>
          <w:noProof/>
          <w:sz w:val="24"/>
          <w:lang w:val="pl-PL"/>
        </w:rPr>
      </w:pPr>
      <w:r w:rsidRPr="00563D0D">
        <w:rPr>
          <w:rFonts w:ascii="Times New Roman" w:hAnsi="Times New Roman"/>
          <w:b/>
          <w:noProof/>
          <w:sz w:val="24"/>
          <w:lang w:val="pl-PL"/>
        </w:rPr>
        <w:t xml:space="preserve">Partnerstwa międzynarodowe na rzecz wzmocnienia globalnych ram bezpieczeństwa zdrowotnego </w:t>
      </w:r>
    </w:p>
    <w:p w14:paraId="36456C7A" w14:textId="4F36C28A" w:rsidR="001F1738" w:rsidRPr="00563D0D"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pl-PL"/>
        </w:rPr>
      </w:pPr>
      <w:r w:rsidRPr="00563D0D">
        <w:rPr>
          <w:rFonts w:ascii="Times New Roman" w:hAnsi="Times New Roman"/>
          <w:noProof/>
          <w:sz w:val="24"/>
          <w:lang w:val="pl-PL"/>
        </w:rPr>
        <w:t>Wcześniejsze stany zagrożenia zdrowia pokazały, że choroby nie uznają granic. UE angażuje się</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dzi</w:t>
      </w:r>
      <w:r w:rsidRPr="00563D0D">
        <w:rPr>
          <w:rFonts w:ascii="Times New Roman" w:hAnsi="Times New Roman"/>
          <w:noProof/>
          <w:sz w:val="24"/>
          <w:lang w:val="pl-PL"/>
        </w:rPr>
        <w:t>ałania</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resu reagowania na stany zagrożenia zdrowia na szczeblu międzynarodowym, aby ograniczyć ewentualne rozprzestrzenianie się zagrożeń dla zdrowia w UE. 30 listopada 2022</w:t>
      </w:r>
      <w:r w:rsidR="00563D0D" w:rsidRPr="00563D0D">
        <w:rPr>
          <w:rFonts w:ascii="Times New Roman" w:hAnsi="Times New Roman"/>
          <w:noProof/>
          <w:sz w:val="24"/>
          <w:lang w:val="pl-PL"/>
        </w:rPr>
        <w:t> </w:t>
      </w:r>
      <w:r w:rsidRPr="00563D0D">
        <w:rPr>
          <w:rFonts w:ascii="Times New Roman" w:hAnsi="Times New Roman"/>
          <w:noProof/>
          <w:sz w:val="24"/>
          <w:lang w:val="pl-PL"/>
        </w:rPr>
        <w:t>r. przyjęto zewnętrzny wymiar Europejskiej Unii Zdrowotnej – strategię UE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dzi</w:t>
      </w:r>
      <w:r w:rsidRPr="00563D0D">
        <w:rPr>
          <w:rFonts w:ascii="Times New Roman" w:hAnsi="Times New Roman"/>
          <w:noProof/>
          <w:sz w:val="24"/>
          <w:lang w:val="pl-PL"/>
        </w:rPr>
        <w:t>edzinie zdrowia na świecie – która ma na celu ukierunkowanie wszystkich działań UE na rzecz zapewnienia lepszego zdrowia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dob</w:t>
      </w:r>
      <w:r w:rsidRPr="00563D0D">
        <w:rPr>
          <w:rFonts w:ascii="Times New Roman" w:hAnsi="Times New Roman"/>
          <w:noProof/>
          <w:sz w:val="24"/>
          <w:lang w:val="pl-PL"/>
        </w:rPr>
        <w:t>rostanu ludzi przez całe życie poprzez,</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jed</w:t>
      </w:r>
      <w:r w:rsidRPr="00563D0D">
        <w:rPr>
          <w:rFonts w:ascii="Times New Roman" w:hAnsi="Times New Roman"/>
          <w:noProof/>
          <w:sz w:val="24"/>
          <w:lang w:val="pl-PL"/>
        </w:rPr>
        <w:t>nej strony, wzmocnienie systemów opieki zdrowotnej</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zwi</w:t>
      </w:r>
      <w:r w:rsidRPr="00563D0D">
        <w:rPr>
          <w:rFonts w:ascii="Times New Roman" w:hAnsi="Times New Roman"/>
          <w:noProof/>
          <w:sz w:val="24"/>
          <w:lang w:val="pl-PL"/>
        </w:rPr>
        <w:t>ększenie powszechnego zabezpieczenia zdrowotnego,</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z</w:t>
      </w:r>
      <w:r w:rsidR="00563D0D">
        <w:rPr>
          <w:rFonts w:ascii="Times New Roman" w:hAnsi="Times New Roman"/>
          <w:noProof/>
          <w:sz w:val="24"/>
          <w:lang w:val="pl-PL"/>
        </w:rPr>
        <w:t> </w:t>
      </w:r>
      <w:r w:rsidR="00563D0D" w:rsidRPr="00563D0D">
        <w:rPr>
          <w:rFonts w:ascii="Times New Roman" w:hAnsi="Times New Roman"/>
          <w:noProof/>
          <w:sz w:val="24"/>
          <w:lang w:val="pl-PL"/>
        </w:rPr>
        <w:t>dru</w:t>
      </w:r>
      <w:r w:rsidRPr="00563D0D">
        <w:rPr>
          <w:rFonts w:ascii="Times New Roman" w:hAnsi="Times New Roman"/>
          <w:noProof/>
          <w:sz w:val="24"/>
          <w:lang w:val="pl-PL"/>
        </w:rPr>
        <w:t>giej strony zapobieganie zagrożeniom zdrowia,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pandemiom,</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ich</w:t>
      </w:r>
      <w:r w:rsidRPr="00563D0D">
        <w:rPr>
          <w:rFonts w:ascii="Times New Roman" w:hAnsi="Times New Roman"/>
          <w:noProof/>
          <w:sz w:val="24"/>
          <w:lang w:val="pl-PL"/>
        </w:rPr>
        <w:t xml:space="preserve"> zwalczanie, przy zastosowaniu podejścia „Jedno zdrowie”.</w:t>
      </w:r>
    </w:p>
    <w:p w14:paraId="205F4210" w14:textId="0EB615D7" w:rsidR="001F1738" w:rsidRPr="00563D0D" w:rsidRDefault="00681330" w:rsidP="001F1738">
      <w:pPr>
        <w:spacing w:before="100" w:beforeAutospacing="1" w:after="100" w:afterAutospacing="1" w:line="240" w:lineRule="auto"/>
        <w:jc w:val="both"/>
        <w:rPr>
          <w:rFonts w:ascii="Times New Roman" w:eastAsiaTheme="minorEastAsia" w:hAnsi="Times New Roman" w:cs="Times New Roman"/>
          <w:noProof/>
          <w:sz w:val="24"/>
          <w:lang w:val="pl-PL"/>
        </w:rPr>
      </w:pPr>
      <w:r w:rsidRPr="00563D0D">
        <w:rPr>
          <w:rFonts w:ascii="Times New Roman" w:hAnsi="Times New Roman"/>
          <w:noProof/>
          <w:sz w:val="24"/>
          <w:lang w:val="pl-PL"/>
        </w:rPr>
        <w:t>W trzech deklaracjach politycznych dotyczących zdrowia przyjętych podczas posiedzeń wysokiego szczebla Zgromadzenia Ogólnego ONZ</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Now</w:t>
      </w:r>
      <w:r w:rsidRPr="00563D0D">
        <w:rPr>
          <w:rFonts w:ascii="Times New Roman" w:hAnsi="Times New Roman"/>
          <w:noProof/>
          <w:sz w:val="24"/>
          <w:lang w:val="pl-PL"/>
        </w:rPr>
        <w:t>ym Jorku we wrześniu 2023</w:t>
      </w:r>
      <w:r w:rsidR="00563D0D" w:rsidRPr="00563D0D">
        <w:rPr>
          <w:rFonts w:ascii="Times New Roman" w:hAnsi="Times New Roman"/>
          <w:noProof/>
          <w:sz w:val="24"/>
          <w:lang w:val="pl-PL"/>
        </w:rPr>
        <w:t> </w:t>
      </w:r>
      <w:r w:rsidRPr="00563D0D">
        <w:rPr>
          <w:rFonts w:ascii="Times New Roman" w:hAnsi="Times New Roman"/>
          <w:noProof/>
          <w:sz w:val="24"/>
          <w:lang w:val="pl-PL"/>
        </w:rPr>
        <w:t>r. –</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awie gruźlicy, powszechnego zabezpieczenia zdrowotnego oraz profilaktyki, gotowości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gowania na wypadek pandemii – podkreślono pilną potrzebę podjęcia działań mających na celu wzmocnienie krajowych systemów opieki zdrowotnej</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pop</w:t>
      </w:r>
      <w:r w:rsidRPr="00563D0D">
        <w:rPr>
          <w:rFonts w:ascii="Times New Roman" w:hAnsi="Times New Roman"/>
          <w:noProof/>
          <w:sz w:val="24"/>
          <w:lang w:val="pl-PL"/>
        </w:rPr>
        <w:t>rawę globalnego bezpieczeństwa zdrowotnego, aby osiągnąć cele zrównoważonego rozwoju związane ze zdrowiem</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kontekście UE jest nadal mocno zaangażowana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trw</w:t>
      </w:r>
      <w:r w:rsidRPr="00563D0D">
        <w:rPr>
          <w:rFonts w:ascii="Times New Roman" w:hAnsi="Times New Roman"/>
          <w:noProof/>
          <w:sz w:val="24"/>
          <w:lang w:val="pl-PL"/>
        </w:rPr>
        <w:t>ające negocjacje dotyczące przyjęcia konwencji WHO, umowy lub innego instrumentu międzynarodowego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awie zapobiegania pandemii, gotowości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gowania na nią („porozumienia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awie pandemii”) oraz</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neg</w:t>
      </w:r>
      <w:r w:rsidRPr="00563D0D">
        <w:rPr>
          <w:rFonts w:ascii="Times New Roman" w:hAnsi="Times New Roman"/>
          <w:noProof/>
          <w:sz w:val="24"/>
          <w:lang w:val="pl-PL"/>
        </w:rPr>
        <w:t>ocjacjach uzupełniających dotyczących przeglądu Międzynarodowych przepisów zdrowotnych. UE przedstawiła ambitne propozycje, które promują sprawiedliwość</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zaw</w:t>
      </w:r>
      <w:r w:rsidRPr="00563D0D">
        <w:rPr>
          <w:rFonts w:ascii="Times New Roman" w:hAnsi="Times New Roman"/>
          <w:noProof/>
          <w:sz w:val="24"/>
          <w:lang w:val="pl-PL"/>
        </w:rPr>
        <w:t>ierają przepisy operacyjne dotyczące całego cyklu zapobiegania, gotowości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gowania,</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myś</w:t>
      </w:r>
      <w:r w:rsidRPr="00563D0D">
        <w:rPr>
          <w:rFonts w:ascii="Times New Roman" w:hAnsi="Times New Roman"/>
          <w:noProof/>
          <w:sz w:val="24"/>
          <w:lang w:val="pl-PL"/>
        </w:rPr>
        <w:t>lą</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osi</w:t>
      </w:r>
      <w:r w:rsidRPr="00563D0D">
        <w:rPr>
          <w:rFonts w:ascii="Times New Roman" w:hAnsi="Times New Roman"/>
          <w:noProof/>
          <w:sz w:val="24"/>
          <w:lang w:val="pl-PL"/>
        </w:rPr>
        <w:t>ągnięciu znaczących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kon</w:t>
      </w:r>
      <w:r w:rsidRPr="00563D0D">
        <w:rPr>
          <w:rFonts w:ascii="Times New Roman" w:hAnsi="Times New Roman"/>
          <w:noProof/>
          <w:sz w:val="24"/>
          <w:lang w:val="pl-PL"/>
        </w:rPr>
        <w:t>kretnych ulepszeń</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int</w:t>
      </w:r>
      <w:r w:rsidRPr="00563D0D">
        <w:rPr>
          <w:rFonts w:ascii="Times New Roman" w:hAnsi="Times New Roman"/>
          <w:noProof/>
          <w:sz w:val="24"/>
          <w:lang w:val="pl-PL"/>
        </w:rPr>
        <w:t>eresie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w:t>
      </w:r>
      <w:r w:rsidR="00563D0D">
        <w:rPr>
          <w:rFonts w:ascii="Times New Roman" w:hAnsi="Times New Roman"/>
          <w:noProof/>
          <w:sz w:val="24"/>
          <w:lang w:val="pl-PL"/>
        </w:rPr>
        <w:t> </w:t>
      </w:r>
      <w:r w:rsidR="00563D0D" w:rsidRPr="00563D0D">
        <w:rPr>
          <w:rFonts w:ascii="Times New Roman" w:hAnsi="Times New Roman"/>
          <w:noProof/>
          <w:sz w:val="24"/>
          <w:lang w:val="pl-PL"/>
        </w:rPr>
        <w:t>kor</w:t>
      </w:r>
      <w:r w:rsidRPr="00563D0D">
        <w:rPr>
          <w:rFonts w:ascii="Times New Roman" w:hAnsi="Times New Roman"/>
          <w:noProof/>
          <w:sz w:val="24"/>
          <w:lang w:val="pl-PL"/>
        </w:rPr>
        <w:t>zyścią dla wszystkich. Osiągnięcie pomyślnego wyniku obu procesów przed Światowym Zgromadzeniem Zdrowia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maj</w:t>
      </w:r>
      <w:r w:rsidRPr="00563D0D">
        <w:rPr>
          <w:rFonts w:ascii="Times New Roman" w:hAnsi="Times New Roman"/>
          <w:noProof/>
          <w:sz w:val="24"/>
          <w:lang w:val="pl-PL"/>
        </w:rPr>
        <w:t>u 2024</w:t>
      </w:r>
      <w:r w:rsidR="00563D0D" w:rsidRPr="00563D0D">
        <w:rPr>
          <w:rFonts w:ascii="Times New Roman" w:hAnsi="Times New Roman"/>
          <w:noProof/>
          <w:sz w:val="24"/>
          <w:lang w:val="pl-PL"/>
        </w:rPr>
        <w:t> </w:t>
      </w:r>
      <w:r w:rsidRPr="00563D0D">
        <w:rPr>
          <w:rFonts w:ascii="Times New Roman" w:hAnsi="Times New Roman"/>
          <w:noProof/>
          <w:sz w:val="24"/>
          <w:lang w:val="pl-PL"/>
        </w:rPr>
        <w:t xml:space="preserve">r. jest dla UE priorytetem. </w:t>
      </w:r>
    </w:p>
    <w:p w14:paraId="1AA16188" w14:textId="4DCE896F" w:rsidR="00681330" w:rsidRPr="00563D0D" w:rsidRDefault="00681330" w:rsidP="001F1738">
      <w:pPr>
        <w:spacing w:before="100" w:beforeAutospacing="1" w:after="100" w:afterAutospacing="1" w:line="240" w:lineRule="auto"/>
        <w:jc w:val="both"/>
        <w:rPr>
          <w:rFonts w:ascii="Times New Roman" w:eastAsiaTheme="minorEastAsia" w:hAnsi="Times New Roman" w:cs="Times New Roman"/>
          <w:noProof/>
          <w:sz w:val="24"/>
          <w:lang w:val="pl-PL"/>
        </w:rPr>
      </w:pPr>
      <w:r w:rsidRPr="00563D0D">
        <w:rPr>
          <w:rFonts w:ascii="Times New Roman" w:hAnsi="Times New Roman"/>
          <w:noProof/>
          <w:sz w:val="24"/>
          <w:lang w:val="pl-PL"/>
        </w:rPr>
        <w:t>Ponadto Komisja jest członkiem założycielem funduszu pandemicznego uruchomionego przez grupę G-20</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2</w:t>
      </w:r>
      <w:r w:rsidRPr="00563D0D">
        <w:rPr>
          <w:rFonts w:ascii="Times New Roman" w:hAnsi="Times New Roman"/>
          <w:noProof/>
          <w:sz w:val="24"/>
          <w:lang w:val="pl-PL"/>
        </w:rPr>
        <w:t>022</w:t>
      </w:r>
      <w:r w:rsidR="00563D0D" w:rsidRPr="00563D0D">
        <w:rPr>
          <w:rFonts w:ascii="Times New Roman" w:hAnsi="Times New Roman"/>
          <w:noProof/>
          <w:sz w:val="24"/>
          <w:lang w:val="pl-PL"/>
        </w:rPr>
        <w:t> </w:t>
      </w:r>
      <w:r w:rsidRPr="00563D0D">
        <w:rPr>
          <w:rFonts w:ascii="Times New Roman" w:hAnsi="Times New Roman"/>
          <w:noProof/>
          <w:sz w:val="24"/>
          <w:lang w:val="pl-PL"/>
        </w:rPr>
        <w:t>r., którego gospodarzem jest Bank Światowy,</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wno</w:t>
      </w:r>
      <w:r w:rsidRPr="00563D0D">
        <w:rPr>
          <w:rFonts w:ascii="Times New Roman" w:hAnsi="Times New Roman"/>
          <w:noProof/>
          <w:sz w:val="24"/>
          <w:lang w:val="pl-PL"/>
        </w:rPr>
        <w:t>si wkład do tego funduszu. Fundusz zapewnia długoterminowe finansowanie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wzmocnienia zdolności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zapobiegania pandemiom, gotowości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gowania na nie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kra</w:t>
      </w:r>
      <w:r w:rsidRPr="00563D0D">
        <w:rPr>
          <w:rFonts w:ascii="Times New Roman" w:hAnsi="Times New Roman"/>
          <w:noProof/>
          <w:sz w:val="24"/>
          <w:lang w:val="pl-PL"/>
        </w:rPr>
        <w:t>jach</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nis</w:t>
      </w:r>
      <w:r w:rsidRPr="00563D0D">
        <w:rPr>
          <w:rFonts w:ascii="Times New Roman" w:hAnsi="Times New Roman"/>
          <w:noProof/>
          <w:sz w:val="24"/>
          <w:lang w:val="pl-PL"/>
        </w:rPr>
        <w:t>kim</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śre</w:t>
      </w:r>
      <w:r w:rsidRPr="00563D0D">
        <w:rPr>
          <w:rFonts w:ascii="Times New Roman" w:hAnsi="Times New Roman"/>
          <w:noProof/>
          <w:sz w:val="24"/>
          <w:lang w:val="pl-PL"/>
        </w:rPr>
        <w:t>dnim dochodzie oraz eliminowania krytycznych luk poprzez inwestycje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wsp</w:t>
      </w:r>
      <w:r w:rsidRPr="00563D0D">
        <w:rPr>
          <w:rFonts w:ascii="Times New Roman" w:hAnsi="Times New Roman"/>
          <w:noProof/>
          <w:sz w:val="24"/>
          <w:lang w:val="pl-PL"/>
        </w:rPr>
        <w:t>arcie techniczne na szczeblu krajowym, regionalnym</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glo</w:t>
      </w:r>
      <w:r w:rsidRPr="00563D0D">
        <w:rPr>
          <w:rFonts w:ascii="Times New Roman" w:hAnsi="Times New Roman"/>
          <w:noProof/>
          <w:sz w:val="24"/>
          <w:lang w:val="pl-PL"/>
        </w:rPr>
        <w:t>balnym.</w:t>
      </w:r>
    </w:p>
    <w:p w14:paraId="01762D11" w14:textId="14C47A95" w:rsidR="001F1738" w:rsidRPr="00563D0D"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pl-PL"/>
        </w:rPr>
      </w:pPr>
      <w:r w:rsidRPr="00563D0D">
        <w:rPr>
          <w:rFonts w:ascii="Times New Roman" w:hAnsi="Times New Roman"/>
          <w:noProof/>
          <w:sz w:val="24"/>
          <w:lang w:val="pl-PL"/>
        </w:rPr>
        <w:t>Uznając ważną okazję do wzmocnienia globalnych zobowiązań</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oporności na środki przeciwdrobnoustrojowe, UE przedstawiła kompleksowy wniosek dotyczący konkretnych przepisów dotyczących oporności na środki przeciwdrobnoustrojowe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negocjacji dotyczących międzynarodowego porozumienia WHO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awie zapobiegania pandemiom, gotowości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gowania na nie. UE jest zaangażowana we współpracę globalną</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oporności na środki przeciwdrobnoustrojowe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w:t>
      </w:r>
      <w:r w:rsidR="00563D0D">
        <w:rPr>
          <w:rFonts w:ascii="Times New Roman" w:hAnsi="Times New Roman"/>
          <w:noProof/>
          <w:sz w:val="24"/>
          <w:lang w:val="pl-PL"/>
        </w:rPr>
        <w:t> </w:t>
      </w:r>
      <w:r w:rsidR="00563D0D" w:rsidRPr="00563D0D">
        <w:rPr>
          <w:rFonts w:ascii="Times New Roman" w:hAnsi="Times New Roman"/>
          <w:noProof/>
          <w:sz w:val="24"/>
          <w:lang w:val="pl-PL"/>
        </w:rPr>
        <w:t>dni</w:t>
      </w:r>
      <w:r w:rsidRPr="00563D0D">
        <w:rPr>
          <w:rFonts w:ascii="Times New Roman" w:hAnsi="Times New Roman"/>
          <w:noProof/>
          <w:sz w:val="24"/>
          <w:lang w:val="pl-PL"/>
        </w:rPr>
        <w:t>ach 14–15 listopada 2023</w:t>
      </w:r>
      <w:r w:rsidR="00563D0D" w:rsidRPr="00563D0D">
        <w:rPr>
          <w:rFonts w:ascii="Times New Roman" w:hAnsi="Times New Roman"/>
          <w:noProof/>
          <w:sz w:val="24"/>
          <w:lang w:val="pl-PL"/>
        </w:rPr>
        <w:t> </w:t>
      </w:r>
      <w:r w:rsidRPr="00563D0D">
        <w:rPr>
          <w:rFonts w:ascii="Times New Roman" w:hAnsi="Times New Roman"/>
          <w:noProof/>
          <w:sz w:val="24"/>
          <w:lang w:val="pl-PL"/>
        </w:rPr>
        <w:t>r. była gospodarzem spotkania</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udz</w:t>
      </w:r>
      <w:r w:rsidRPr="00563D0D">
        <w:rPr>
          <w:rFonts w:ascii="Times New Roman" w:hAnsi="Times New Roman"/>
          <w:noProof/>
          <w:sz w:val="24"/>
          <w:lang w:val="pl-PL"/>
        </w:rPr>
        <w:t>iałem władz UE, USA, Kanady, Norwegii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Zje</w:t>
      </w:r>
      <w:r w:rsidRPr="00563D0D">
        <w:rPr>
          <w:rFonts w:ascii="Times New Roman" w:hAnsi="Times New Roman"/>
          <w:noProof/>
          <w:sz w:val="24"/>
          <w:lang w:val="pl-PL"/>
        </w:rPr>
        <w:t>dnoczonego Królestwa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współpracy</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wym</w:t>
      </w:r>
      <w:r w:rsidRPr="00563D0D">
        <w:rPr>
          <w:rFonts w:ascii="Times New Roman" w:hAnsi="Times New Roman"/>
          <w:noProof/>
          <w:sz w:val="24"/>
          <w:lang w:val="pl-PL"/>
        </w:rPr>
        <w:t>iany najlepszych praktyk na potrzeby wzmocnienia wysiłków krajowych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glo</w:t>
      </w:r>
      <w:r w:rsidRPr="00563D0D">
        <w:rPr>
          <w:rFonts w:ascii="Times New Roman" w:hAnsi="Times New Roman"/>
          <w:noProof/>
          <w:sz w:val="24"/>
          <w:lang w:val="pl-PL"/>
        </w:rPr>
        <w:t>balnych. UE wspiera również międzynarodowe wysiłki na rzecz zwalczania nabytej oporności na środki przeciwdrobnoustrojowe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G-7 i G-20</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ucz</w:t>
      </w:r>
      <w:r w:rsidRPr="00563D0D">
        <w:rPr>
          <w:rFonts w:ascii="Times New Roman" w:hAnsi="Times New Roman"/>
          <w:noProof/>
          <w:sz w:val="24"/>
          <w:lang w:val="pl-PL"/>
        </w:rPr>
        <w:t>estniczy</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ygotowaniach do udanego posiedzenia Zgromadzenia Ogólnego ONZ na wysokim szczeblu poświęconego oporności na środki przeciwdrobnoustrojowe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2</w:t>
      </w:r>
      <w:r w:rsidRPr="00563D0D">
        <w:rPr>
          <w:rFonts w:ascii="Times New Roman" w:hAnsi="Times New Roman"/>
          <w:noProof/>
          <w:sz w:val="24"/>
          <w:lang w:val="pl-PL"/>
        </w:rPr>
        <w:t>024</w:t>
      </w:r>
      <w:r w:rsidR="00563D0D" w:rsidRPr="00563D0D">
        <w:rPr>
          <w:rFonts w:ascii="Times New Roman" w:hAnsi="Times New Roman"/>
          <w:noProof/>
          <w:sz w:val="24"/>
          <w:lang w:val="pl-PL"/>
        </w:rPr>
        <w:t> </w:t>
      </w:r>
      <w:r w:rsidRPr="00563D0D">
        <w:rPr>
          <w:rFonts w:ascii="Times New Roman" w:hAnsi="Times New Roman"/>
          <w:noProof/>
          <w:sz w:val="24"/>
          <w:lang w:val="pl-PL"/>
        </w:rPr>
        <w:t>r. Poprzez swój wkład finansowy</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wie</w:t>
      </w:r>
      <w:r w:rsidRPr="00563D0D">
        <w:rPr>
          <w:rFonts w:ascii="Times New Roman" w:hAnsi="Times New Roman"/>
          <w:noProof/>
          <w:sz w:val="24"/>
          <w:lang w:val="pl-PL"/>
        </w:rPr>
        <w:t>lostronny fundusz powierniczy na rzecz oporności na środki przeciwdrobnoustrojowe UE wspiera wysiłki podejmowane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kra</w:t>
      </w:r>
      <w:r w:rsidRPr="00563D0D">
        <w:rPr>
          <w:rFonts w:ascii="Times New Roman" w:hAnsi="Times New Roman"/>
          <w:noProof/>
          <w:sz w:val="24"/>
          <w:lang w:val="pl-PL"/>
        </w:rPr>
        <w:t>jach</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nis</w:t>
      </w:r>
      <w:r w:rsidRPr="00563D0D">
        <w:rPr>
          <w:rFonts w:ascii="Times New Roman" w:hAnsi="Times New Roman"/>
          <w:noProof/>
          <w:sz w:val="24"/>
          <w:lang w:val="pl-PL"/>
        </w:rPr>
        <w:t>kim</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śre</w:t>
      </w:r>
      <w:r w:rsidRPr="00563D0D">
        <w:rPr>
          <w:rFonts w:ascii="Times New Roman" w:hAnsi="Times New Roman"/>
          <w:noProof/>
          <w:sz w:val="24"/>
          <w:lang w:val="pl-PL"/>
        </w:rPr>
        <w:t>dnim dochodzie na rzecz wzmocnienia ich zdolności do zwalczania oporności na środki przeciwdrobnoustrojowe.</w:t>
      </w:r>
    </w:p>
    <w:p w14:paraId="2DABA311" w14:textId="1D048347" w:rsidR="001F1738" w:rsidRPr="00563D0D" w:rsidRDefault="001F1738" w:rsidP="001F1738">
      <w:pPr>
        <w:spacing w:before="100" w:beforeAutospacing="1" w:after="100" w:afterAutospacing="1" w:line="240" w:lineRule="auto"/>
        <w:jc w:val="both"/>
        <w:rPr>
          <w:rFonts w:ascii="Times New Roman" w:eastAsiaTheme="minorEastAsia" w:hAnsi="Times New Roman" w:cs="Times New Roman"/>
          <w:b/>
          <w:noProof/>
          <w:sz w:val="24"/>
          <w:lang w:val="pl-PL"/>
        </w:rPr>
      </w:pPr>
      <w:r w:rsidRPr="00563D0D">
        <w:rPr>
          <w:rFonts w:ascii="Times New Roman" w:hAnsi="Times New Roman"/>
          <w:b/>
          <w:noProof/>
          <w:sz w:val="24"/>
          <w:lang w:val="pl-PL"/>
        </w:rPr>
        <w:t>Unijny Mechanizm Ochrony Ludności (UMOL)</w:t>
      </w:r>
    </w:p>
    <w:p w14:paraId="2C9B9E5E" w14:textId="2D63A010" w:rsidR="001F1738" w:rsidRPr="00563D0D"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pl-PL"/>
        </w:rPr>
      </w:pPr>
      <w:r w:rsidRPr="00563D0D">
        <w:rPr>
          <w:rFonts w:ascii="Times New Roman" w:hAnsi="Times New Roman"/>
          <w:noProof/>
          <w:sz w:val="24"/>
          <w:lang w:val="pl-PL"/>
        </w:rPr>
        <w:t>UMOL zobowiązuje się do udzielania pomocy każdemu państwu zwracającemu się</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pom</w:t>
      </w:r>
      <w:r w:rsidRPr="00563D0D">
        <w:rPr>
          <w:rFonts w:ascii="Times New Roman" w:hAnsi="Times New Roman"/>
          <w:noProof/>
          <w:sz w:val="24"/>
          <w:lang w:val="pl-PL"/>
        </w:rPr>
        <w:t>oc, zarówno w UE, jak</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poz</w:t>
      </w:r>
      <w:r w:rsidRPr="00563D0D">
        <w:rPr>
          <w:rFonts w:ascii="Times New Roman" w:hAnsi="Times New Roman"/>
          <w:noProof/>
          <w:sz w:val="24"/>
          <w:lang w:val="pl-PL"/>
        </w:rPr>
        <w:t>a nią. Do tej pory</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2</w:t>
      </w:r>
      <w:r w:rsidRPr="00563D0D">
        <w:rPr>
          <w:rFonts w:ascii="Times New Roman" w:hAnsi="Times New Roman"/>
          <w:noProof/>
          <w:sz w:val="24"/>
          <w:lang w:val="pl-PL"/>
        </w:rPr>
        <w:t>023</w:t>
      </w:r>
      <w:r w:rsidR="00563D0D" w:rsidRPr="00563D0D">
        <w:rPr>
          <w:rFonts w:ascii="Times New Roman" w:hAnsi="Times New Roman"/>
          <w:noProof/>
          <w:sz w:val="24"/>
          <w:lang w:val="pl-PL"/>
        </w:rPr>
        <w:t> </w:t>
      </w:r>
      <w:r w:rsidRPr="00563D0D">
        <w:rPr>
          <w:rFonts w:ascii="Times New Roman" w:hAnsi="Times New Roman"/>
          <w:noProof/>
          <w:sz w:val="24"/>
          <w:lang w:val="pl-PL"/>
        </w:rPr>
        <w:t>r. otrzymano 10 wniosków za pośrednictwem Unijnego Mechanizmu Ochrony Ludności</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pań</w:t>
      </w:r>
      <w:r w:rsidRPr="00563D0D">
        <w:rPr>
          <w:rFonts w:ascii="Times New Roman" w:hAnsi="Times New Roman"/>
          <w:noProof/>
          <w:sz w:val="24"/>
          <w:lang w:val="pl-PL"/>
        </w:rPr>
        <w:t>stw spoza UE dotyczących produktów związanych z COVID-19 (szczepionek, sprzętu medycznego itp.)</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wsz</w:t>
      </w:r>
      <w:r w:rsidRPr="00563D0D">
        <w:rPr>
          <w:rFonts w:ascii="Times New Roman" w:hAnsi="Times New Roman"/>
          <w:noProof/>
          <w:sz w:val="24"/>
          <w:lang w:val="pl-PL"/>
        </w:rPr>
        <w:t>ystkie zostały</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peł</w:t>
      </w:r>
      <w:r w:rsidRPr="00563D0D">
        <w:rPr>
          <w:rFonts w:ascii="Times New Roman" w:hAnsi="Times New Roman"/>
          <w:noProof/>
          <w:sz w:val="24"/>
          <w:lang w:val="pl-PL"/>
        </w:rPr>
        <w:t>ni uwzględnione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ofe</w:t>
      </w:r>
      <w:r w:rsidRPr="00563D0D">
        <w:rPr>
          <w:rFonts w:ascii="Times New Roman" w:hAnsi="Times New Roman"/>
          <w:noProof/>
          <w:sz w:val="24"/>
          <w:lang w:val="pl-PL"/>
        </w:rPr>
        <w:t>rtach państw członkowskich UE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pań</w:t>
      </w:r>
      <w:r w:rsidRPr="00563D0D">
        <w:rPr>
          <w:rFonts w:ascii="Times New Roman" w:hAnsi="Times New Roman"/>
          <w:noProof/>
          <w:sz w:val="24"/>
          <w:lang w:val="pl-PL"/>
        </w:rPr>
        <w:t>stw uczestniczących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mechanizmie. Ponadto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raz</w:t>
      </w:r>
      <w:r w:rsidRPr="00563D0D">
        <w:rPr>
          <w:rFonts w:ascii="Times New Roman" w:hAnsi="Times New Roman"/>
          <w:noProof/>
          <w:sz w:val="24"/>
          <w:lang w:val="pl-PL"/>
        </w:rPr>
        <w:t>ie potrzeby Komisja może również bezpośrednio wspierać partnerów</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dzi</w:t>
      </w:r>
      <w:r w:rsidRPr="00563D0D">
        <w:rPr>
          <w:rFonts w:ascii="Times New Roman" w:hAnsi="Times New Roman"/>
          <w:noProof/>
          <w:sz w:val="24"/>
          <w:lang w:val="pl-PL"/>
        </w:rPr>
        <w:t>edzinie pomocy humanitarnej</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dzi</w:t>
      </w:r>
      <w:r w:rsidRPr="00563D0D">
        <w:rPr>
          <w:rFonts w:ascii="Times New Roman" w:hAnsi="Times New Roman"/>
          <w:noProof/>
          <w:sz w:val="24"/>
          <w:lang w:val="pl-PL"/>
        </w:rPr>
        <w:t>edzinie zdrowia za pośrednictwem potencjału europejskich działań</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pomocy humanitarnej poprzez dostarczanie uzupełniających zestawów nadzwyczajnych (tj. zestawy zapewniające schronienie, higienę oraz do walki</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cho</w:t>
      </w:r>
      <w:r w:rsidRPr="00563D0D">
        <w:rPr>
          <w:rFonts w:ascii="Times New Roman" w:hAnsi="Times New Roman"/>
          <w:noProof/>
          <w:sz w:val="24"/>
          <w:lang w:val="pl-PL"/>
        </w:rPr>
        <w:t>lerą),</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tak</w:t>
      </w:r>
      <w:r w:rsidRPr="00563D0D">
        <w:rPr>
          <w:rFonts w:ascii="Times New Roman" w:hAnsi="Times New Roman"/>
          <w:noProof/>
          <w:sz w:val="24"/>
          <w:lang w:val="pl-PL"/>
        </w:rPr>
        <w:t>że poprzez oddelegowanie ekspertów ds. zdrowia (w ścisłej współpracy z ECDC)</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ypadku stanu zagrożenia zdrowia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kon</w:t>
      </w:r>
      <w:r w:rsidRPr="00563D0D">
        <w:rPr>
          <w:rFonts w:ascii="Times New Roman" w:hAnsi="Times New Roman"/>
          <w:noProof/>
          <w:sz w:val="24"/>
          <w:lang w:val="pl-PL"/>
        </w:rPr>
        <w:t>tekście humanitarnym.</w:t>
      </w:r>
    </w:p>
    <w:p w14:paraId="69173D4C" w14:textId="660FC897" w:rsidR="001F1738" w:rsidRPr="00563D0D" w:rsidRDefault="001F1738" w:rsidP="001F1738">
      <w:pPr>
        <w:spacing w:before="100" w:beforeAutospacing="1" w:after="100" w:afterAutospacing="1" w:line="240" w:lineRule="auto"/>
        <w:jc w:val="both"/>
        <w:rPr>
          <w:rFonts w:ascii="Times New Roman" w:eastAsiaTheme="minorEastAsia" w:hAnsi="Times New Roman" w:cs="Times New Roman"/>
          <w:b/>
          <w:noProof/>
          <w:sz w:val="24"/>
          <w:lang w:val="pl-PL"/>
        </w:rPr>
      </w:pPr>
      <w:r w:rsidRPr="00563D0D">
        <w:rPr>
          <w:rFonts w:ascii="Times New Roman" w:hAnsi="Times New Roman"/>
          <w:b/>
          <w:noProof/>
          <w:sz w:val="24"/>
          <w:lang w:val="pl-PL"/>
        </w:rPr>
        <w:t>Międzynarodowy wymiar badań naukowych</w:t>
      </w:r>
      <w:r w:rsidR="00563D0D" w:rsidRPr="00563D0D">
        <w:rPr>
          <w:rFonts w:ascii="Times New Roman" w:hAnsi="Times New Roman"/>
          <w:b/>
          <w:noProof/>
          <w:sz w:val="24"/>
          <w:lang w:val="pl-PL"/>
        </w:rPr>
        <w:t xml:space="preserve"> i</w:t>
      </w:r>
      <w:r w:rsidR="00563D0D">
        <w:rPr>
          <w:rFonts w:ascii="Times New Roman" w:hAnsi="Times New Roman"/>
          <w:b/>
          <w:noProof/>
          <w:sz w:val="24"/>
          <w:lang w:val="pl-PL"/>
        </w:rPr>
        <w:t> </w:t>
      </w:r>
      <w:r w:rsidR="00563D0D" w:rsidRPr="00563D0D">
        <w:rPr>
          <w:rFonts w:ascii="Times New Roman" w:hAnsi="Times New Roman"/>
          <w:b/>
          <w:noProof/>
          <w:sz w:val="24"/>
          <w:lang w:val="pl-PL"/>
        </w:rPr>
        <w:t>inn</w:t>
      </w:r>
      <w:r w:rsidRPr="00563D0D">
        <w:rPr>
          <w:rFonts w:ascii="Times New Roman" w:hAnsi="Times New Roman"/>
          <w:b/>
          <w:noProof/>
          <w:sz w:val="24"/>
          <w:lang w:val="pl-PL"/>
        </w:rPr>
        <w:t>owacji finansowanych przez UE</w:t>
      </w:r>
    </w:p>
    <w:p w14:paraId="3B977732" w14:textId="1A4F3553" w:rsidR="001F1738" w:rsidRPr="00563D0D"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pl-PL"/>
        </w:rPr>
      </w:pPr>
      <w:r w:rsidRPr="00563D0D">
        <w:rPr>
          <w:rFonts w:ascii="Times New Roman" w:hAnsi="Times New Roman"/>
          <w:noProof/>
          <w:sz w:val="24"/>
          <w:lang w:val="pl-PL"/>
        </w:rPr>
        <w:t>Aby lepiej koordynować badania nad gotowością</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gowaniem</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raz</w:t>
      </w:r>
      <w:r w:rsidRPr="00563D0D">
        <w:rPr>
          <w:rFonts w:ascii="Times New Roman" w:hAnsi="Times New Roman"/>
          <w:noProof/>
          <w:sz w:val="24"/>
          <w:lang w:val="pl-PL"/>
        </w:rPr>
        <w:t>ie pandemii, UE pomogła ustanowić</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fin</w:t>
      </w:r>
      <w:r w:rsidRPr="00563D0D">
        <w:rPr>
          <w:rFonts w:ascii="Times New Roman" w:hAnsi="Times New Roman"/>
          <w:noProof/>
          <w:sz w:val="24"/>
          <w:lang w:val="pl-PL"/>
        </w:rPr>
        <w:t>ansuje światową współpracę badawczą</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gotowości na wypadek wystąpienia chorób zakaźnych (GloPID-R). Jej aktualny plan działania na rzecz koordynacji badań klinicznych definiuje sieci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pla</w:t>
      </w:r>
      <w:r w:rsidRPr="00563D0D">
        <w:rPr>
          <w:rFonts w:ascii="Times New Roman" w:hAnsi="Times New Roman"/>
          <w:noProof/>
          <w:sz w:val="24"/>
          <w:lang w:val="pl-PL"/>
        </w:rPr>
        <w:t>tformy badań klinicznych gotowe na epidemię, sprawną</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sku</w:t>
      </w:r>
      <w:r w:rsidRPr="00563D0D">
        <w:rPr>
          <w:rFonts w:ascii="Times New Roman" w:hAnsi="Times New Roman"/>
          <w:noProof/>
          <w:sz w:val="24"/>
          <w:lang w:val="pl-PL"/>
        </w:rPr>
        <w:t>teczną reakcję na badania kliniczne oraz sprawiedliwe środowisko badawcze jako podstawę wytycznych dla podmiotów finansujących. Centra regionalne GloPID-R</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Afr</w:t>
      </w:r>
      <w:r w:rsidRPr="00563D0D">
        <w:rPr>
          <w:rFonts w:ascii="Times New Roman" w:hAnsi="Times New Roman"/>
          <w:noProof/>
          <w:sz w:val="24"/>
          <w:lang w:val="pl-PL"/>
        </w:rPr>
        <w:t>yce oraz na obszarze Azji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Pac</w:t>
      </w:r>
      <w:r w:rsidRPr="00563D0D">
        <w:rPr>
          <w:rFonts w:ascii="Times New Roman" w:hAnsi="Times New Roman"/>
          <w:noProof/>
          <w:sz w:val="24"/>
          <w:lang w:val="pl-PL"/>
        </w:rPr>
        <w:t>yfiku wspierają ściślejszą koordynację na szczeblu regionalnym.</w:t>
      </w:r>
    </w:p>
    <w:p w14:paraId="3CC48E95" w14:textId="3E801391" w:rsidR="001F1738" w:rsidRPr="00563D0D"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pl-PL"/>
        </w:rPr>
      </w:pPr>
      <w:r w:rsidRPr="00563D0D">
        <w:rPr>
          <w:rFonts w:ascii="Times New Roman" w:hAnsi="Times New Roman"/>
          <w:noProof/>
          <w:sz w:val="24"/>
          <w:lang w:val="pl-PL"/>
        </w:rPr>
        <w:t>Aby promować globalną współpracę</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badań klinicznych, finansowane przez UE Partnerstwo pomiędzy Europą</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kra</w:t>
      </w:r>
      <w:r w:rsidRPr="00563D0D">
        <w:rPr>
          <w:rFonts w:ascii="Times New Roman" w:hAnsi="Times New Roman"/>
          <w:noProof/>
          <w:sz w:val="24"/>
          <w:lang w:val="pl-PL"/>
        </w:rPr>
        <w:t>jami rozwijającymi się</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badań klinicznych skupia 26 państw</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Afr</w:t>
      </w:r>
      <w:r w:rsidRPr="00563D0D">
        <w:rPr>
          <w:rFonts w:ascii="Times New Roman" w:hAnsi="Times New Roman"/>
          <w:noProof/>
          <w:sz w:val="24"/>
          <w:lang w:val="pl-PL"/>
        </w:rPr>
        <w:t>yce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1</w:t>
      </w:r>
      <w:r w:rsidRPr="00563D0D">
        <w:rPr>
          <w:rFonts w:ascii="Times New Roman" w:hAnsi="Times New Roman"/>
          <w:noProof/>
          <w:sz w:val="24"/>
          <w:lang w:val="pl-PL"/>
        </w:rPr>
        <w:t>5</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Eur</w:t>
      </w:r>
      <w:r w:rsidRPr="00563D0D">
        <w:rPr>
          <w:rFonts w:ascii="Times New Roman" w:hAnsi="Times New Roman"/>
          <w:noProof/>
          <w:sz w:val="24"/>
          <w:lang w:val="pl-PL"/>
        </w:rPr>
        <w:t>opie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partnerstwa na rzecz badań klinicznych, które ustanowiono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2</w:t>
      </w:r>
      <w:r w:rsidRPr="00563D0D">
        <w:rPr>
          <w:rFonts w:ascii="Times New Roman" w:hAnsi="Times New Roman"/>
          <w:noProof/>
          <w:sz w:val="24"/>
          <w:lang w:val="pl-PL"/>
        </w:rPr>
        <w:t>003</w:t>
      </w:r>
      <w:r w:rsidR="00563D0D" w:rsidRPr="00563D0D">
        <w:rPr>
          <w:rFonts w:ascii="Times New Roman" w:hAnsi="Times New Roman"/>
          <w:noProof/>
          <w:sz w:val="24"/>
          <w:lang w:val="pl-PL"/>
        </w:rPr>
        <w:t> </w:t>
      </w:r>
      <w:r w:rsidRPr="00563D0D">
        <w:rPr>
          <w:rFonts w:ascii="Times New Roman" w:hAnsi="Times New Roman"/>
          <w:noProof/>
          <w:sz w:val="24"/>
          <w:lang w:val="pl-PL"/>
        </w:rPr>
        <w:t>r.</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wsparcia wielokrajowych sieci badań klinicznych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Afr</w:t>
      </w:r>
      <w:r w:rsidRPr="00563D0D">
        <w:rPr>
          <w:rFonts w:ascii="Times New Roman" w:hAnsi="Times New Roman"/>
          <w:noProof/>
          <w:sz w:val="24"/>
          <w:lang w:val="pl-PL"/>
        </w:rPr>
        <w:t>yce oraz współpracy</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Eur</w:t>
      </w:r>
      <w:r w:rsidRPr="00563D0D">
        <w:rPr>
          <w:rFonts w:ascii="Times New Roman" w:hAnsi="Times New Roman"/>
          <w:noProof/>
          <w:sz w:val="24"/>
          <w:lang w:val="pl-PL"/>
        </w:rPr>
        <w:t>opą. Partnerstwo jest obecnie na trzecim etapie iteracji, jako wspólne przedsięwzięcie, oraz zwiększyło zdolności badawcze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yspieszyło opracowywanie nowych lub ulepszonych terapii służących identyfikacji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lec</w:t>
      </w:r>
      <w:r w:rsidRPr="00563D0D">
        <w:rPr>
          <w:rFonts w:ascii="Times New Roman" w:hAnsi="Times New Roman"/>
          <w:noProof/>
          <w:sz w:val="24"/>
          <w:lang w:val="pl-PL"/>
        </w:rPr>
        <w:t>zeniu chorób zakaźnych związanych</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ubó</w:t>
      </w:r>
      <w:r w:rsidRPr="00563D0D">
        <w:rPr>
          <w:rFonts w:ascii="Times New Roman" w:hAnsi="Times New Roman"/>
          <w:noProof/>
          <w:sz w:val="24"/>
          <w:lang w:val="pl-PL"/>
        </w:rPr>
        <w:t>stwem,</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nowo pojawiających się</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pow</w:t>
      </w:r>
      <w:r w:rsidRPr="00563D0D">
        <w:rPr>
          <w:rFonts w:ascii="Times New Roman" w:hAnsi="Times New Roman"/>
          <w:noProof/>
          <w:sz w:val="24"/>
          <w:lang w:val="pl-PL"/>
        </w:rPr>
        <w:t>racających chorób</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Afr</w:t>
      </w:r>
      <w:r w:rsidRPr="00563D0D">
        <w:rPr>
          <w:rFonts w:ascii="Times New Roman" w:hAnsi="Times New Roman"/>
          <w:noProof/>
          <w:sz w:val="24"/>
          <w:lang w:val="pl-PL"/>
        </w:rPr>
        <w:t>yce Subsaharyjskiej, oraz zapobieganiu takim chorobom, na wszystkich etapach badań klinicznych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w:t>
      </w:r>
      <w:r w:rsidR="00563D0D">
        <w:rPr>
          <w:rFonts w:ascii="Times New Roman" w:hAnsi="Times New Roman"/>
          <w:noProof/>
          <w:sz w:val="24"/>
          <w:lang w:val="pl-PL"/>
        </w:rPr>
        <w:t> </w:t>
      </w:r>
      <w:r w:rsidR="00563D0D" w:rsidRPr="00563D0D">
        <w:rPr>
          <w:rFonts w:ascii="Times New Roman" w:hAnsi="Times New Roman"/>
          <w:noProof/>
          <w:sz w:val="24"/>
          <w:lang w:val="pl-PL"/>
        </w:rPr>
        <w:t>nac</w:t>
      </w:r>
      <w:r w:rsidRPr="00563D0D">
        <w:rPr>
          <w:rFonts w:ascii="Times New Roman" w:hAnsi="Times New Roman"/>
          <w:noProof/>
          <w:sz w:val="24"/>
          <w:lang w:val="pl-PL"/>
        </w:rPr>
        <w:t>iskiem na badania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faz</w:t>
      </w:r>
      <w:r w:rsidRPr="00563D0D">
        <w:rPr>
          <w:rFonts w:ascii="Times New Roman" w:hAnsi="Times New Roman"/>
          <w:noProof/>
          <w:sz w:val="24"/>
          <w:lang w:val="pl-PL"/>
        </w:rPr>
        <w:t>ie II i III.</w:t>
      </w:r>
    </w:p>
    <w:p w14:paraId="5B9EC6AA" w14:textId="1EBC98BD" w:rsidR="001F1738" w:rsidRPr="00563D0D"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pl-PL"/>
        </w:rPr>
      </w:pPr>
      <w:r w:rsidRPr="00563D0D">
        <w:rPr>
          <w:rFonts w:ascii="Times New Roman" w:hAnsi="Times New Roman"/>
          <w:noProof/>
          <w:sz w:val="24"/>
          <w:lang w:val="pl-PL"/>
        </w:rPr>
        <w:t>Zaangażowanie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ści</w:t>
      </w:r>
      <w:r w:rsidRPr="00563D0D">
        <w:rPr>
          <w:rFonts w:ascii="Times New Roman" w:hAnsi="Times New Roman"/>
          <w:noProof/>
          <w:sz w:val="24"/>
          <w:lang w:val="pl-PL"/>
        </w:rPr>
        <w:t>sła współpraca</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mię</w:t>
      </w:r>
      <w:r w:rsidRPr="00563D0D">
        <w:rPr>
          <w:rFonts w:ascii="Times New Roman" w:hAnsi="Times New Roman"/>
          <w:noProof/>
          <w:sz w:val="24"/>
          <w:lang w:val="pl-PL"/>
        </w:rPr>
        <w:t>dzynarodowymi zainteresowanymi stronami mają zasadnicze znaczenie dla wzmocnienia gotowości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gowania na pandemię na całym świecie</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ubi</w:t>
      </w:r>
      <w:r w:rsidRPr="00563D0D">
        <w:rPr>
          <w:rFonts w:ascii="Times New Roman" w:hAnsi="Times New Roman"/>
          <w:noProof/>
          <w:sz w:val="24"/>
          <w:lang w:val="pl-PL"/>
        </w:rPr>
        <w:t>egłym roku kontynuowano wdrażanie porozumienia administracyjnego</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2</w:t>
      </w:r>
      <w:r w:rsidRPr="00563D0D">
        <w:rPr>
          <w:rFonts w:ascii="Times New Roman" w:hAnsi="Times New Roman"/>
          <w:noProof/>
          <w:sz w:val="24"/>
          <w:lang w:val="pl-PL"/>
        </w:rPr>
        <w:t>022</w:t>
      </w:r>
      <w:r w:rsidR="00563D0D" w:rsidRPr="00563D0D">
        <w:rPr>
          <w:rFonts w:ascii="Times New Roman" w:hAnsi="Times New Roman"/>
          <w:noProof/>
          <w:sz w:val="24"/>
          <w:lang w:val="pl-PL"/>
        </w:rPr>
        <w:t> </w:t>
      </w:r>
      <w:r w:rsidRPr="00563D0D">
        <w:rPr>
          <w:rFonts w:ascii="Times New Roman" w:hAnsi="Times New Roman"/>
          <w:noProof/>
          <w:sz w:val="24"/>
          <w:lang w:val="pl-PL"/>
        </w:rPr>
        <w:t>r.</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Adm</w:t>
      </w:r>
      <w:r w:rsidRPr="00563D0D">
        <w:rPr>
          <w:rFonts w:ascii="Times New Roman" w:hAnsi="Times New Roman"/>
          <w:noProof/>
          <w:sz w:val="24"/>
          <w:lang w:val="pl-PL"/>
        </w:rPr>
        <w:t>inistracją ds. Gotowości Strategicznej</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gowania (ASPR) Stanów Zjednoczonych,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poprzez wymianę ekspertów</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roz</w:t>
      </w:r>
      <w:r w:rsidRPr="00563D0D">
        <w:rPr>
          <w:rFonts w:ascii="Times New Roman" w:hAnsi="Times New Roman"/>
          <w:noProof/>
          <w:sz w:val="24"/>
          <w:lang w:val="pl-PL"/>
        </w:rPr>
        <w:t>wijające się partnerstwo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finansowania innowacji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sek</w:t>
      </w:r>
      <w:r w:rsidRPr="00563D0D">
        <w:rPr>
          <w:rFonts w:ascii="Times New Roman" w:hAnsi="Times New Roman"/>
          <w:noProof/>
          <w:sz w:val="24"/>
          <w:lang w:val="pl-PL"/>
        </w:rPr>
        <w:t>torze diagnostyki,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szc</w:t>
      </w:r>
      <w:r w:rsidRPr="00563D0D">
        <w:rPr>
          <w:rFonts w:ascii="Times New Roman" w:hAnsi="Times New Roman"/>
          <w:noProof/>
          <w:sz w:val="24"/>
          <w:lang w:val="pl-PL"/>
        </w:rPr>
        <w:t>zególności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technologii wczesnego wykrywania ognisk. HERA rozszerza również współpracę</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par</w:t>
      </w:r>
      <w:r w:rsidRPr="00563D0D">
        <w:rPr>
          <w:rFonts w:ascii="Times New Roman" w:hAnsi="Times New Roman"/>
          <w:noProof/>
          <w:sz w:val="24"/>
          <w:lang w:val="pl-PL"/>
        </w:rPr>
        <w:t>tnerami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Azj</w:t>
      </w:r>
      <w:r w:rsidRPr="00563D0D">
        <w:rPr>
          <w:rFonts w:ascii="Times New Roman" w:hAnsi="Times New Roman"/>
          <w:noProof/>
          <w:sz w:val="24"/>
          <w:lang w:val="pl-PL"/>
        </w:rPr>
        <w:t>i,</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nie</w:t>
      </w:r>
      <w:r w:rsidRPr="00563D0D">
        <w:rPr>
          <w:rFonts w:ascii="Times New Roman" w:hAnsi="Times New Roman"/>
          <w:noProof/>
          <w:sz w:val="24"/>
          <w:lang w:val="pl-PL"/>
        </w:rPr>
        <w:t>dawno podpisała porozumienia administracyjne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Min</w:t>
      </w:r>
      <w:r w:rsidRPr="00563D0D">
        <w:rPr>
          <w:rFonts w:ascii="Times New Roman" w:hAnsi="Times New Roman"/>
          <w:noProof/>
          <w:sz w:val="24"/>
          <w:lang w:val="pl-PL"/>
        </w:rPr>
        <w:t>isterstwem Zdrowia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Opi</w:t>
      </w:r>
      <w:r w:rsidRPr="00563D0D">
        <w:rPr>
          <w:rFonts w:ascii="Times New Roman" w:hAnsi="Times New Roman"/>
          <w:noProof/>
          <w:sz w:val="24"/>
          <w:lang w:val="pl-PL"/>
        </w:rPr>
        <w:t>eki Społecznej Republiki Korei oraz japońską Agencją Badań Medycznych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Roz</w:t>
      </w:r>
      <w:r w:rsidRPr="00563D0D">
        <w:rPr>
          <w:rFonts w:ascii="Times New Roman" w:hAnsi="Times New Roman"/>
          <w:noProof/>
          <w:sz w:val="24"/>
          <w:lang w:val="pl-PL"/>
        </w:rPr>
        <w:t xml:space="preserve">woju. </w:t>
      </w:r>
    </w:p>
    <w:p w14:paraId="75384E1B" w14:textId="5A8671E8" w:rsidR="001F1738" w:rsidRPr="00563D0D"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pl-PL"/>
        </w:rPr>
      </w:pPr>
      <w:r w:rsidRPr="00563D0D">
        <w:rPr>
          <w:rFonts w:ascii="Times New Roman" w:hAnsi="Times New Roman"/>
          <w:noProof/>
          <w:sz w:val="24"/>
          <w:lang w:val="pl-PL"/>
        </w:rPr>
        <w:t>Kontynuowana jest również ścisła współpraca</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Ukr</w:t>
      </w:r>
      <w:r w:rsidRPr="00563D0D">
        <w:rPr>
          <w:rFonts w:ascii="Times New Roman" w:hAnsi="Times New Roman"/>
          <w:noProof/>
          <w:sz w:val="24"/>
          <w:lang w:val="pl-PL"/>
        </w:rPr>
        <w:t>ainą</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inn</w:t>
      </w:r>
      <w:r w:rsidRPr="00563D0D">
        <w:rPr>
          <w:rFonts w:ascii="Times New Roman" w:hAnsi="Times New Roman"/>
          <w:noProof/>
          <w:sz w:val="24"/>
          <w:lang w:val="pl-PL"/>
        </w:rPr>
        <w:t>ymi państwami sąsiadującymi,</w:t>
      </w:r>
      <w:r w:rsidR="00563D0D" w:rsidRPr="00563D0D">
        <w:rPr>
          <w:rFonts w:ascii="Times New Roman" w:hAnsi="Times New Roman"/>
          <w:noProof/>
          <w:sz w:val="24"/>
          <w:lang w:val="pl-PL"/>
        </w:rPr>
        <w:t xml:space="preserve"> a</w:t>
      </w:r>
      <w:r w:rsidR="00563D0D">
        <w:rPr>
          <w:rFonts w:ascii="Times New Roman" w:hAnsi="Times New Roman"/>
          <w:noProof/>
          <w:sz w:val="24"/>
          <w:lang w:val="pl-PL"/>
        </w:rPr>
        <w:t> </w:t>
      </w:r>
      <w:r w:rsidR="00563D0D" w:rsidRPr="00563D0D">
        <w:rPr>
          <w:rFonts w:ascii="Times New Roman" w:hAnsi="Times New Roman"/>
          <w:noProof/>
          <w:sz w:val="24"/>
          <w:lang w:val="pl-PL"/>
        </w:rPr>
        <w:t>tak</w:t>
      </w:r>
      <w:r w:rsidRPr="00563D0D">
        <w:rPr>
          <w:rFonts w:ascii="Times New Roman" w:hAnsi="Times New Roman"/>
          <w:noProof/>
          <w:sz w:val="24"/>
          <w:lang w:val="pl-PL"/>
        </w:rPr>
        <w:t>że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par</w:t>
      </w:r>
      <w:r w:rsidRPr="00563D0D">
        <w:rPr>
          <w:rFonts w:ascii="Times New Roman" w:hAnsi="Times New Roman"/>
          <w:noProof/>
          <w:sz w:val="24"/>
          <w:lang w:val="pl-PL"/>
        </w:rPr>
        <w:t>tnerami</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glo</w:t>
      </w:r>
      <w:r w:rsidRPr="00563D0D">
        <w:rPr>
          <w:rFonts w:ascii="Times New Roman" w:hAnsi="Times New Roman"/>
          <w:noProof/>
          <w:sz w:val="24"/>
          <w:lang w:val="pl-PL"/>
        </w:rPr>
        <w:t>balnego Południa, zwłaszcza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Afr</w:t>
      </w:r>
      <w:r w:rsidRPr="00563D0D">
        <w:rPr>
          <w:rFonts w:ascii="Times New Roman" w:hAnsi="Times New Roman"/>
          <w:noProof/>
          <w:sz w:val="24"/>
          <w:lang w:val="pl-PL"/>
        </w:rPr>
        <w:t>yce. Kluczowymi celami na etapie gotowości są: poprawa zdolności nadzoru</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sek</w:t>
      </w:r>
      <w:r w:rsidRPr="00563D0D">
        <w:rPr>
          <w:rFonts w:ascii="Times New Roman" w:hAnsi="Times New Roman"/>
          <w:noProof/>
          <w:sz w:val="24"/>
          <w:lang w:val="pl-PL"/>
        </w:rPr>
        <w:t>wencjonowania, ułatwianie wymiany danych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wsp</w:t>
      </w:r>
      <w:r w:rsidRPr="00563D0D">
        <w:rPr>
          <w:rFonts w:ascii="Times New Roman" w:hAnsi="Times New Roman"/>
          <w:noProof/>
          <w:sz w:val="24"/>
          <w:lang w:val="pl-PL"/>
        </w:rPr>
        <w:t>ieranie zrównoważonych zdolności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produkcji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dys</w:t>
      </w:r>
      <w:r w:rsidRPr="00563D0D">
        <w:rPr>
          <w:rFonts w:ascii="Times New Roman" w:hAnsi="Times New Roman"/>
          <w:noProof/>
          <w:sz w:val="24"/>
          <w:lang w:val="pl-PL"/>
        </w:rPr>
        <w:t>trybucji odpowiednich medycznych środków przeciwdziałania, tak aby partnerzy mogli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cza</w:t>
      </w:r>
      <w:r w:rsidRPr="00563D0D">
        <w:rPr>
          <w:rFonts w:ascii="Times New Roman" w:hAnsi="Times New Roman"/>
          <w:noProof/>
          <w:sz w:val="24"/>
          <w:lang w:val="pl-PL"/>
        </w:rPr>
        <w:t>sach kryzysu szybko identyfikować</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cha</w:t>
      </w:r>
      <w:r w:rsidRPr="00563D0D">
        <w:rPr>
          <w:rFonts w:ascii="Times New Roman" w:hAnsi="Times New Roman"/>
          <w:noProof/>
          <w:sz w:val="24"/>
          <w:lang w:val="pl-PL"/>
        </w:rPr>
        <w:t>rakteryzować patogeny budzące obawy oraz mieli szeroki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szy</w:t>
      </w:r>
      <w:r w:rsidRPr="00563D0D">
        <w:rPr>
          <w:rFonts w:ascii="Times New Roman" w:hAnsi="Times New Roman"/>
          <w:noProof/>
          <w:sz w:val="24"/>
          <w:lang w:val="pl-PL"/>
        </w:rPr>
        <w:t xml:space="preserve">bki dostęp do medycznych środków przeciwdziałania. </w:t>
      </w:r>
    </w:p>
    <w:p w14:paraId="0C1966A9" w14:textId="6BF15DE8" w:rsidR="001F1738" w:rsidRPr="00563D0D"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pl-PL"/>
        </w:rPr>
      </w:pPr>
      <w:r w:rsidRPr="00563D0D">
        <w:rPr>
          <w:rFonts w:ascii="Times New Roman" w:hAnsi="Times New Roman"/>
          <w:noProof/>
          <w:sz w:val="24"/>
          <w:lang w:val="pl-PL"/>
        </w:rPr>
        <w:t>Obejmuje to prace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partnerstw międzynarodowych (np. GH-EDCTP3JU</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przyspieszenia opracowywania medycznych środków przeciwdziałania chorobom zakaźnym dotykającym Afrykę)</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szc</w:t>
      </w:r>
      <w:r w:rsidRPr="00563D0D">
        <w:rPr>
          <w:rFonts w:ascii="Times New Roman" w:hAnsi="Times New Roman"/>
          <w:noProof/>
          <w:sz w:val="24"/>
          <w:lang w:val="pl-PL"/>
        </w:rPr>
        <w:t>zególności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odn</w:t>
      </w:r>
      <w:r w:rsidRPr="00563D0D">
        <w:rPr>
          <w:rFonts w:ascii="Times New Roman" w:hAnsi="Times New Roman"/>
          <w:noProof/>
          <w:sz w:val="24"/>
          <w:lang w:val="pl-PL"/>
        </w:rPr>
        <w:t>iesieniu do globalnych, regionalnych lub krajowych inicjatyw</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dzi</w:t>
      </w:r>
      <w:r w:rsidRPr="00563D0D">
        <w:rPr>
          <w:rFonts w:ascii="Times New Roman" w:hAnsi="Times New Roman"/>
          <w:noProof/>
          <w:sz w:val="24"/>
          <w:lang w:val="pl-PL"/>
        </w:rPr>
        <w:t>edzinie gotowości na wypadek pandemii Komisja zainwestowała około 25 mln EUR</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Pro</w:t>
      </w:r>
      <w:r w:rsidRPr="00563D0D">
        <w:rPr>
          <w:rFonts w:ascii="Times New Roman" w:hAnsi="Times New Roman"/>
          <w:noProof/>
          <w:sz w:val="24"/>
          <w:lang w:val="pl-PL"/>
        </w:rPr>
        <w:t>gramu UE dla zdrowia. Działania obejmują wsparcie dla znajdujących się na późnym etapie badań klinicznych szczepionek</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ter</w:t>
      </w:r>
      <w:r w:rsidRPr="00563D0D">
        <w:rPr>
          <w:rFonts w:ascii="Times New Roman" w:hAnsi="Times New Roman"/>
          <w:noProof/>
          <w:sz w:val="24"/>
          <w:lang w:val="pl-PL"/>
        </w:rPr>
        <w:t>apii przeciwko priorytetowym zagrożeniom dla zdrowia (np. wirus Ebola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wir</w:t>
      </w:r>
      <w:r w:rsidRPr="00563D0D">
        <w:rPr>
          <w:rFonts w:ascii="Times New Roman" w:hAnsi="Times New Roman"/>
          <w:noProof/>
          <w:sz w:val="24"/>
          <w:lang w:val="pl-PL"/>
        </w:rPr>
        <w:t>us Marburg); zwiększenie zdolności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sekwencjonowania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Afr</w:t>
      </w:r>
      <w:r w:rsidRPr="00563D0D">
        <w:rPr>
          <w:rFonts w:ascii="Times New Roman" w:hAnsi="Times New Roman"/>
          <w:noProof/>
          <w:sz w:val="24"/>
          <w:lang w:val="pl-PL"/>
        </w:rPr>
        <w:t>yce, we współpracy</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Afr</w:t>
      </w:r>
      <w:r w:rsidRPr="00563D0D">
        <w:rPr>
          <w:rFonts w:ascii="Times New Roman" w:hAnsi="Times New Roman"/>
          <w:noProof/>
          <w:sz w:val="24"/>
          <w:lang w:val="pl-PL"/>
        </w:rPr>
        <w:t>ykańskim Centrum ds. Zwalczania Chorób (CDC); oraz gromadzenie danych na temat pojawiających się patogenów</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Afr</w:t>
      </w:r>
      <w:r w:rsidRPr="00563D0D">
        <w:rPr>
          <w:rFonts w:ascii="Times New Roman" w:hAnsi="Times New Roman"/>
          <w:noProof/>
          <w:sz w:val="24"/>
          <w:lang w:val="pl-PL"/>
        </w:rPr>
        <w:t>yce we współpracy</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cen</w:t>
      </w:r>
      <w:r w:rsidRPr="00563D0D">
        <w:rPr>
          <w:rFonts w:ascii="Times New Roman" w:hAnsi="Times New Roman"/>
          <w:noProof/>
          <w:sz w:val="24"/>
          <w:lang w:val="pl-PL"/>
        </w:rPr>
        <w:t xml:space="preserve">trum WHO ds. pandemii i WHO AFRO. </w:t>
      </w:r>
    </w:p>
    <w:p w14:paraId="458416D2" w14:textId="26F8A329" w:rsidR="001F1738" w:rsidRPr="00563D0D" w:rsidRDefault="001F1738" w:rsidP="001F1738">
      <w:pPr>
        <w:keepNext/>
        <w:keepLines/>
        <w:spacing w:before="100" w:beforeAutospacing="1" w:after="100" w:afterAutospacing="1" w:line="240" w:lineRule="auto"/>
        <w:outlineLvl w:val="1"/>
        <w:rPr>
          <w:rFonts w:ascii="Times New Roman" w:eastAsiaTheme="majorEastAsia" w:hAnsi="Times New Roman" w:cs="Times New Roman"/>
          <w:b/>
          <w:noProof/>
          <w:sz w:val="24"/>
          <w:lang w:val="pl-PL"/>
        </w:rPr>
      </w:pPr>
      <w:r w:rsidRPr="00563D0D">
        <w:rPr>
          <w:rFonts w:ascii="Times New Roman" w:hAnsi="Times New Roman"/>
          <w:b/>
          <w:noProof/>
          <w:sz w:val="24"/>
          <w:lang w:val="pl-PL"/>
        </w:rPr>
        <w:t>Unijne cyfrowe zaświadczenia COVID</w:t>
      </w:r>
      <w:r w:rsidR="00563D0D" w:rsidRPr="00563D0D">
        <w:rPr>
          <w:rFonts w:ascii="Times New Roman" w:hAnsi="Times New Roman"/>
          <w:b/>
          <w:noProof/>
          <w:sz w:val="24"/>
          <w:lang w:val="pl-PL"/>
        </w:rPr>
        <w:t xml:space="preserve"> i</w:t>
      </w:r>
      <w:r w:rsidR="00563D0D">
        <w:rPr>
          <w:rFonts w:ascii="Times New Roman" w:hAnsi="Times New Roman"/>
          <w:b/>
          <w:noProof/>
          <w:sz w:val="24"/>
          <w:lang w:val="pl-PL"/>
        </w:rPr>
        <w:t> </w:t>
      </w:r>
      <w:r w:rsidR="00563D0D" w:rsidRPr="00563D0D">
        <w:rPr>
          <w:rFonts w:ascii="Times New Roman" w:hAnsi="Times New Roman"/>
          <w:b/>
          <w:noProof/>
          <w:sz w:val="24"/>
          <w:lang w:val="pl-PL"/>
        </w:rPr>
        <w:t>glo</w:t>
      </w:r>
      <w:r w:rsidRPr="00563D0D">
        <w:rPr>
          <w:rFonts w:ascii="Times New Roman" w:hAnsi="Times New Roman"/>
          <w:b/>
          <w:noProof/>
          <w:sz w:val="24"/>
          <w:lang w:val="pl-PL"/>
        </w:rPr>
        <w:t>balna sieć cyfrowych zaświadczeń zdrowotnych WHO</w:t>
      </w:r>
    </w:p>
    <w:p w14:paraId="7359B307" w14:textId="686222B0" w:rsidR="00AC74FE" w:rsidRPr="00563D0D" w:rsidRDefault="00AC74FE" w:rsidP="00AC74FE">
      <w:pPr>
        <w:spacing w:before="100" w:beforeAutospacing="1" w:after="100" w:afterAutospacing="1" w:line="240" w:lineRule="auto"/>
        <w:jc w:val="both"/>
        <w:rPr>
          <w:rFonts w:ascii="Times New Roman" w:hAnsi="Times New Roman" w:cs="Times New Roman"/>
          <w:noProof/>
          <w:sz w:val="24"/>
          <w:lang w:val="pl-PL"/>
        </w:rPr>
      </w:pPr>
      <w:r w:rsidRPr="00563D0D">
        <w:rPr>
          <w:rFonts w:ascii="Times New Roman" w:hAnsi="Times New Roman"/>
          <w:noProof/>
          <w:sz w:val="24"/>
          <w:lang w:val="pl-PL"/>
        </w:rPr>
        <w:t>Opracowanie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sto</w:t>
      </w:r>
      <w:r w:rsidRPr="00563D0D">
        <w:rPr>
          <w:rFonts w:ascii="Times New Roman" w:hAnsi="Times New Roman"/>
          <w:noProof/>
          <w:sz w:val="24"/>
          <w:lang w:val="pl-PL"/>
        </w:rPr>
        <w:t>sowanie unijnych cyfrowych zaświadczeń COVID miało kluczowe znaczenie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wal</w:t>
      </w:r>
      <w:r w:rsidRPr="00563D0D">
        <w:rPr>
          <w:rFonts w:ascii="Times New Roman" w:hAnsi="Times New Roman"/>
          <w:noProof/>
          <w:sz w:val="24"/>
          <w:lang w:val="pl-PL"/>
        </w:rPr>
        <w:t>ce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pan</w:t>
      </w:r>
      <w:r w:rsidRPr="00563D0D">
        <w:rPr>
          <w:rFonts w:ascii="Times New Roman" w:hAnsi="Times New Roman"/>
          <w:noProof/>
          <w:sz w:val="24"/>
          <w:lang w:val="pl-PL"/>
        </w:rPr>
        <w:t>demią COVID-19. Podczas pandemii unijne cyfrowe zaświadczenie COVID ułatwiło podróżowanie po UE, gdy ograniczenia związane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pod</w:t>
      </w:r>
      <w:r w:rsidRPr="00563D0D">
        <w:rPr>
          <w:rFonts w:ascii="Times New Roman" w:hAnsi="Times New Roman"/>
          <w:noProof/>
          <w:sz w:val="24"/>
          <w:lang w:val="pl-PL"/>
        </w:rPr>
        <w:t xml:space="preserve">różą uznano za konieczne. Umożliwiło ono również skoordynowane zniesienie tych ograniczeń, gdy tylko stało się to możliwe. </w:t>
      </w:r>
    </w:p>
    <w:p w14:paraId="7FDC959C" w14:textId="0BBA23DC" w:rsidR="00AC74FE" w:rsidRPr="00563D0D" w:rsidRDefault="00AC74FE" w:rsidP="00AC74FE">
      <w:pPr>
        <w:spacing w:before="100" w:beforeAutospacing="1" w:after="100" w:afterAutospacing="1" w:line="240" w:lineRule="auto"/>
        <w:jc w:val="both"/>
        <w:rPr>
          <w:rFonts w:ascii="Times New Roman" w:hAnsi="Times New Roman" w:cs="Times New Roman"/>
          <w:noProof/>
          <w:sz w:val="24"/>
          <w:lang w:val="pl-PL"/>
        </w:rPr>
      </w:pPr>
      <w:r w:rsidRPr="00563D0D">
        <w:rPr>
          <w:rFonts w:ascii="Times New Roman" w:hAnsi="Times New Roman"/>
          <w:noProof/>
          <w:sz w:val="24"/>
          <w:lang w:val="pl-PL"/>
        </w:rPr>
        <w:t>Unijne cyfrowe zaświadczenia COVID miały również istotny wymiar międzynarodowy</w:t>
      </w:r>
      <w:r w:rsidR="00563D0D" w:rsidRPr="00563D0D">
        <w:rPr>
          <w:rFonts w:ascii="Times New Roman" w:hAnsi="Times New Roman"/>
          <w:noProof/>
          <w:sz w:val="24"/>
          <w:lang w:val="pl-PL"/>
        </w:rPr>
        <w:t>. W</w:t>
      </w:r>
      <w:r w:rsidR="00563D0D">
        <w:rPr>
          <w:rFonts w:ascii="Times New Roman" w:hAnsi="Times New Roman"/>
          <w:noProof/>
          <w:sz w:val="24"/>
          <w:lang w:val="pl-PL"/>
        </w:rPr>
        <w:t> </w:t>
      </w:r>
      <w:r w:rsidR="00563D0D" w:rsidRPr="00563D0D">
        <w:rPr>
          <w:rFonts w:ascii="Times New Roman" w:hAnsi="Times New Roman"/>
          <w:noProof/>
          <w:sz w:val="24"/>
          <w:lang w:val="pl-PL"/>
        </w:rPr>
        <w:t>opa</w:t>
      </w:r>
      <w:r w:rsidRPr="00563D0D">
        <w:rPr>
          <w:rFonts w:ascii="Times New Roman" w:hAnsi="Times New Roman"/>
          <w:noProof/>
          <w:sz w:val="24"/>
          <w:lang w:val="pl-PL"/>
        </w:rPr>
        <w:t>rciu</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tec</w:t>
      </w:r>
      <w:r w:rsidRPr="00563D0D">
        <w:rPr>
          <w:rFonts w:ascii="Times New Roman" w:hAnsi="Times New Roman"/>
          <w:noProof/>
          <w:sz w:val="24"/>
          <w:lang w:val="pl-PL"/>
        </w:rPr>
        <w:t>hnologie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nor</w:t>
      </w:r>
      <w:r w:rsidRPr="00563D0D">
        <w:rPr>
          <w:rFonts w:ascii="Times New Roman" w:hAnsi="Times New Roman"/>
          <w:noProof/>
          <w:sz w:val="24"/>
          <w:lang w:val="pl-PL"/>
        </w:rPr>
        <w:t>my otwartego oprogramowania umożliwiono połączenie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pań</w:t>
      </w:r>
      <w:r w:rsidRPr="00563D0D">
        <w:rPr>
          <w:rFonts w:ascii="Times New Roman" w:hAnsi="Times New Roman"/>
          <w:noProof/>
          <w:sz w:val="24"/>
          <w:lang w:val="pl-PL"/>
        </w:rPr>
        <w:t>stwami spoza UE, które wydały zaświadczenia zgodnie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nor</w:t>
      </w:r>
      <w:r w:rsidRPr="00563D0D">
        <w:rPr>
          <w:rFonts w:ascii="Times New Roman" w:hAnsi="Times New Roman"/>
          <w:noProof/>
          <w:sz w:val="24"/>
          <w:lang w:val="pl-PL"/>
        </w:rPr>
        <w:t>mami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spe</w:t>
      </w:r>
      <w:r w:rsidRPr="00563D0D">
        <w:rPr>
          <w:rFonts w:ascii="Times New Roman" w:hAnsi="Times New Roman"/>
          <w:noProof/>
          <w:sz w:val="24"/>
          <w:lang w:val="pl-PL"/>
        </w:rPr>
        <w:t>cyfikacjami unijnego cyfrowego zaświadczenia COVID. System unijnych cyfrowych zaświadczeń COVID –</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którego połączono ze sobą 78 państw</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ter</w:t>
      </w:r>
      <w:r w:rsidRPr="00563D0D">
        <w:rPr>
          <w:rFonts w:ascii="Times New Roman" w:hAnsi="Times New Roman"/>
          <w:noProof/>
          <w:sz w:val="24"/>
          <w:lang w:val="pl-PL"/>
        </w:rPr>
        <w:t>ytoriów – stał się najpowszechniej stosowanym rozwiązaniem przy wydawaniu</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zat</w:t>
      </w:r>
      <w:r w:rsidRPr="00563D0D">
        <w:rPr>
          <w:rFonts w:ascii="Times New Roman" w:hAnsi="Times New Roman"/>
          <w:noProof/>
          <w:sz w:val="24"/>
          <w:lang w:val="pl-PL"/>
        </w:rPr>
        <w:t>wierdzaniu cyfrowych zaświadczeń COVID-19. Dzięki temu systemowi ponad 1,8 mld osób miało dostęp do interoperacyjnych zaświadczeń cyfrowych, przy czym</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sam</w:t>
      </w:r>
      <w:r w:rsidRPr="00563D0D">
        <w:rPr>
          <w:rFonts w:ascii="Times New Roman" w:hAnsi="Times New Roman"/>
          <w:noProof/>
          <w:sz w:val="24"/>
          <w:lang w:val="pl-PL"/>
        </w:rPr>
        <w:t xml:space="preserve">ej UE wydano ponad 2,3 mld zaświadczeń. </w:t>
      </w:r>
    </w:p>
    <w:p w14:paraId="0E795420" w14:textId="3163DEC6" w:rsidR="001F1738" w:rsidRPr="00563D0D" w:rsidRDefault="001F1738" w:rsidP="00AC74FE">
      <w:pPr>
        <w:spacing w:before="100" w:beforeAutospacing="1" w:after="100" w:afterAutospacing="1" w:line="240" w:lineRule="auto"/>
        <w:jc w:val="both"/>
        <w:rPr>
          <w:rFonts w:ascii="Times New Roman" w:eastAsiaTheme="minorEastAsia" w:hAnsi="Times New Roman" w:cs="Times New Roman"/>
          <w:noProof/>
          <w:sz w:val="24"/>
          <w:lang w:val="pl-PL"/>
        </w:rPr>
      </w:pPr>
      <w:r w:rsidRPr="00563D0D">
        <w:rPr>
          <w:rFonts w:ascii="Times New Roman" w:hAnsi="Times New Roman"/>
          <w:noProof/>
          <w:sz w:val="24"/>
          <w:lang w:val="pl-PL"/>
        </w:rPr>
        <w:t>Od początku pandemii WHO współpracowała ze wszystkimi regionami WHO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określenia ogólnych wytycznych dotyczących zaświadczeń COVID-19, uznając istniejącą lukę</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utr</w:t>
      </w:r>
      <w:r w:rsidRPr="00563D0D">
        <w:rPr>
          <w:rFonts w:ascii="Times New Roman" w:hAnsi="Times New Roman"/>
          <w:noProof/>
          <w:sz w:val="24"/>
          <w:lang w:val="pl-PL"/>
        </w:rPr>
        <w:t>zymującą się potrzebę stworzenia globalnego mechanizmu, który wspierałby dwustronną weryfikację pochodzenia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aut</w:t>
      </w:r>
      <w:r w:rsidRPr="00563D0D">
        <w:rPr>
          <w:rFonts w:ascii="Times New Roman" w:hAnsi="Times New Roman"/>
          <w:noProof/>
          <w:sz w:val="24"/>
          <w:lang w:val="pl-PL"/>
        </w:rPr>
        <w:t>entyczności dokumentów zdrowotnych na potrzeby gotowości na wypadek pandemii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cią</w:t>
      </w:r>
      <w:r w:rsidRPr="00563D0D">
        <w:rPr>
          <w:rFonts w:ascii="Times New Roman" w:hAnsi="Times New Roman"/>
          <w:noProof/>
          <w:sz w:val="24"/>
          <w:lang w:val="pl-PL"/>
        </w:rPr>
        <w:t>głości opieki. Wykorzystując doświadczenia związane</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uni</w:t>
      </w:r>
      <w:r w:rsidRPr="00563D0D">
        <w:rPr>
          <w:rFonts w:ascii="Times New Roman" w:hAnsi="Times New Roman"/>
          <w:noProof/>
          <w:sz w:val="24"/>
          <w:lang w:val="pl-PL"/>
        </w:rPr>
        <w:t>jnym cyfrowym zaświadczeniem COVID,</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cze</w:t>
      </w:r>
      <w:r w:rsidRPr="00563D0D">
        <w:rPr>
          <w:rFonts w:ascii="Times New Roman" w:hAnsi="Times New Roman"/>
          <w:noProof/>
          <w:sz w:val="24"/>
          <w:lang w:val="pl-PL"/>
        </w:rPr>
        <w:t>rwcu 2023</w:t>
      </w:r>
      <w:r w:rsidR="00563D0D" w:rsidRPr="00563D0D">
        <w:rPr>
          <w:rFonts w:ascii="Times New Roman" w:hAnsi="Times New Roman"/>
          <w:noProof/>
          <w:sz w:val="24"/>
          <w:lang w:val="pl-PL"/>
        </w:rPr>
        <w:t> </w:t>
      </w:r>
      <w:r w:rsidRPr="00563D0D">
        <w:rPr>
          <w:rFonts w:ascii="Times New Roman" w:hAnsi="Times New Roman"/>
          <w:noProof/>
          <w:sz w:val="24"/>
          <w:lang w:val="pl-PL"/>
        </w:rPr>
        <w:t>r. WHO uruchomiła globalną sieć cyfrowych zaświadczeń zdrowotnych (GDHCN), która opiera się na solidnych podstawach ram, zasad, specyfikacji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otw</w:t>
      </w:r>
      <w:r w:rsidRPr="00563D0D">
        <w:rPr>
          <w:rFonts w:ascii="Times New Roman" w:hAnsi="Times New Roman"/>
          <w:noProof/>
          <w:sz w:val="24"/>
          <w:lang w:val="pl-PL"/>
        </w:rPr>
        <w:t>artych technologii unijnego cyfrowego zaświadczenia COVID. WHO</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Kom</w:t>
      </w:r>
      <w:r w:rsidRPr="00563D0D">
        <w:rPr>
          <w:rFonts w:ascii="Times New Roman" w:hAnsi="Times New Roman"/>
          <w:noProof/>
          <w:sz w:val="24"/>
          <w:lang w:val="pl-PL"/>
        </w:rPr>
        <w:t>isja uzgodniły partnerstwo ułatwiające przyjmowanie unijnego cyfrowego zaświadczenia COVID oraz współpracę</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zak</w:t>
      </w:r>
      <w:r w:rsidRPr="00563D0D">
        <w:rPr>
          <w:rFonts w:ascii="Times New Roman" w:hAnsi="Times New Roman"/>
          <w:noProof/>
          <w:sz w:val="24"/>
          <w:lang w:val="pl-PL"/>
        </w:rPr>
        <w:t>resie funkcjonowania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dal</w:t>
      </w:r>
      <w:r w:rsidRPr="00563D0D">
        <w:rPr>
          <w:rFonts w:ascii="Times New Roman" w:hAnsi="Times New Roman"/>
          <w:noProof/>
          <w:sz w:val="24"/>
          <w:lang w:val="pl-PL"/>
        </w:rPr>
        <w:t>szego rozwoju GDHCN. GDHCN umożliwi światu czerpanie korzyści</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kon</w:t>
      </w:r>
      <w:r w:rsidRPr="00563D0D">
        <w:rPr>
          <w:rFonts w:ascii="Times New Roman" w:hAnsi="Times New Roman"/>
          <w:noProof/>
          <w:sz w:val="24"/>
          <w:lang w:val="pl-PL"/>
        </w:rPr>
        <w:t>wergencji certyfikatów cyfrowych, przy jednoczesnym poszanowaniu</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pro</w:t>
      </w:r>
      <w:r w:rsidRPr="00563D0D">
        <w:rPr>
          <w:rFonts w:ascii="Times New Roman" w:hAnsi="Times New Roman"/>
          <w:noProof/>
          <w:sz w:val="24"/>
          <w:lang w:val="pl-PL"/>
        </w:rPr>
        <w:t>pagowaniu wspólnych wartości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zas</w:t>
      </w:r>
      <w:r w:rsidRPr="00563D0D">
        <w:rPr>
          <w:rFonts w:ascii="Times New Roman" w:hAnsi="Times New Roman"/>
          <w:noProof/>
          <w:sz w:val="24"/>
          <w:lang w:val="pl-PL"/>
        </w:rPr>
        <w:t>ad przejrzystości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otw</w:t>
      </w:r>
      <w:r w:rsidRPr="00563D0D">
        <w:rPr>
          <w:rFonts w:ascii="Times New Roman" w:hAnsi="Times New Roman"/>
          <w:noProof/>
          <w:sz w:val="24"/>
          <w:lang w:val="pl-PL"/>
        </w:rPr>
        <w:t>artości, inkluzywności, rozliczalności, ochrony danych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pry</w:t>
      </w:r>
      <w:r w:rsidRPr="00563D0D">
        <w:rPr>
          <w:rFonts w:ascii="Times New Roman" w:hAnsi="Times New Roman"/>
          <w:noProof/>
          <w:sz w:val="24"/>
          <w:lang w:val="pl-PL"/>
        </w:rPr>
        <w:t>watności, bezpieczeństwa, skalowalności na szczeblu globalnym</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rów</w:t>
      </w:r>
      <w:r w:rsidRPr="00563D0D">
        <w:rPr>
          <w:rFonts w:ascii="Times New Roman" w:hAnsi="Times New Roman"/>
          <w:noProof/>
          <w:sz w:val="24"/>
          <w:lang w:val="pl-PL"/>
        </w:rPr>
        <w:t>ności. Partnerstwo Komisji i WHO ma na celu prace nad technicznym rozwojem systemu WHO przy zastosowaniu wieloetapowego podejścia obejmującego dodatkowe przypadki użycia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yszłości (może to obejmować na przykład cyfryzację międzynarodowego certyfikatu szczepienia lub profilaktyki). Rozszerzenie skali tego rodzaju rozwiązań cyfrowych będzie miało zasadnicze znaczenie dla zapewnienia poprawy zdrowia na całym świecie.</w:t>
      </w:r>
    </w:p>
    <w:p w14:paraId="5F9D014D" w14:textId="394EBDD2" w:rsidR="001F1738" w:rsidRPr="00563D0D" w:rsidRDefault="001F1738" w:rsidP="001F1738">
      <w:pPr>
        <w:keepNext/>
        <w:keepLines/>
        <w:spacing w:before="100" w:beforeAutospacing="1" w:after="100" w:afterAutospacing="1" w:line="240" w:lineRule="auto"/>
        <w:jc w:val="both"/>
        <w:outlineLvl w:val="1"/>
        <w:rPr>
          <w:rFonts w:ascii="Times New Roman" w:eastAsia="Times New Roman" w:hAnsi="Times New Roman" w:cs="Times New Roman"/>
          <w:b/>
          <w:noProof/>
          <w:sz w:val="24"/>
          <w:lang w:val="pl-PL"/>
        </w:rPr>
      </w:pPr>
      <w:r w:rsidRPr="00563D0D">
        <w:rPr>
          <w:rFonts w:ascii="Times New Roman" w:hAnsi="Times New Roman"/>
          <w:b/>
          <w:noProof/>
          <w:sz w:val="24"/>
          <w:lang w:val="pl-PL"/>
        </w:rPr>
        <w:t>Reakcja UE na wsparcie Ukrainy</w:t>
      </w:r>
    </w:p>
    <w:p w14:paraId="2547D139" w14:textId="03BE0342" w:rsidR="001F1738" w:rsidRPr="00563D0D" w:rsidRDefault="004A39FC"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Wojna Rosji przeciwko Ukrainie jest poważnym kryzysem humanitarnym, który dotknął ukraiński system opieki zdrowotnej</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stw</w:t>
      </w:r>
      <w:r w:rsidRPr="00563D0D">
        <w:rPr>
          <w:rFonts w:ascii="Times New Roman" w:hAnsi="Times New Roman"/>
          <w:noProof/>
          <w:sz w:val="24"/>
          <w:lang w:val="pl-PL"/>
        </w:rPr>
        <w:t>orzył zagrożenia zdrowia publicznego zarówno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Ukr</w:t>
      </w:r>
      <w:r w:rsidRPr="00563D0D">
        <w:rPr>
          <w:rFonts w:ascii="Times New Roman" w:hAnsi="Times New Roman"/>
          <w:noProof/>
          <w:sz w:val="24"/>
          <w:lang w:val="pl-PL"/>
        </w:rPr>
        <w:t>ainie, jak</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poz</w:t>
      </w:r>
      <w:r w:rsidRPr="00563D0D">
        <w:rPr>
          <w:rFonts w:ascii="Times New Roman" w:hAnsi="Times New Roman"/>
          <w:noProof/>
          <w:sz w:val="24"/>
          <w:lang w:val="pl-PL"/>
        </w:rPr>
        <w:t>a nią. Państwa członkowskie UE</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Kom</w:t>
      </w:r>
      <w:r w:rsidRPr="00563D0D">
        <w:rPr>
          <w:rFonts w:ascii="Times New Roman" w:hAnsi="Times New Roman"/>
          <w:noProof/>
          <w:sz w:val="24"/>
          <w:lang w:val="pl-PL"/>
        </w:rPr>
        <w:t>isja przesłały medyczne środki przeciwdziałania za pośrednictwem Unijnego Mechanizmu Ochrony Ludności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ochrony przed atakami chemicznymi, biologicznymi, radiologicznymi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jąd</w:t>
      </w:r>
      <w:r w:rsidRPr="00563D0D">
        <w:rPr>
          <w:rFonts w:ascii="Times New Roman" w:hAnsi="Times New Roman"/>
          <w:noProof/>
          <w:sz w:val="24"/>
          <w:lang w:val="pl-PL"/>
        </w:rPr>
        <w:t>rowymi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Ukr</w:t>
      </w:r>
      <w:r w:rsidRPr="00563D0D">
        <w:rPr>
          <w:rFonts w:ascii="Times New Roman" w:hAnsi="Times New Roman"/>
          <w:noProof/>
          <w:sz w:val="24"/>
          <w:lang w:val="pl-PL"/>
        </w:rPr>
        <w:t>ainie. Komisja ustanowiła również program ułatwiający logistykę darowizn towarów medycznych od przedsiębiorstw z UE na rzecz Ukrainy za pośrednictwem Unijnego Mechanizmu Ochrony Ludności.</w:t>
      </w:r>
    </w:p>
    <w:p w14:paraId="4F3240E9" w14:textId="25C0A478" w:rsidR="001F1738" w:rsidRPr="00563D0D" w:rsidRDefault="001F1738" w:rsidP="001F1738">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System ewakuacji medycznej (MEDEVAC) ustanowiony</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ram</w:t>
      </w:r>
      <w:r w:rsidRPr="00563D0D">
        <w:rPr>
          <w:rFonts w:ascii="Times New Roman" w:hAnsi="Times New Roman"/>
          <w:noProof/>
          <w:sz w:val="24"/>
          <w:lang w:val="pl-PL"/>
        </w:rPr>
        <w:t>ach Unijnego Mechanizmu Ochrony Ludności działa od marca 2022</w:t>
      </w:r>
      <w:r w:rsidR="00563D0D" w:rsidRPr="00563D0D">
        <w:rPr>
          <w:rFonts w:ascii="Times New Roman" w:hAnsi="Times New Roman"/>
          <w:noProof/>
          <w:sz w:val="24"/>
          <w:lang w:val="pl-PL"/>
        </w:rPr>
        <w:t> </w:t>
      </w:r>
      <w:r w:rsidRPr="00563D0D">
        <w:rPr>
          <w:rFonts w:ascii="Times New Roman" w:hAnsi="Times New Roman"/>
          <w:noProof/>
          <w:sz w:val="24"/>
          <w:lang w:val="pl-PL"/>
        </w:rPr>
        <w:t>r. Do tej pory umożliwił bezpieczną ewakuację ponad 2 800 rannych</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kry</w:t>
      </w:r>
      <w:r w:rsidRPr="00563D0D">
        <w:rPr>
          <w:rFonts w:ascii="Times New Roman" w:hAnsi="Times New Roman"/>
          <w:noProof/>
          <w:sz w:val="24"/>
          <w:lang w:val="pl-PL"/>
        </w:rPr>
        <w:t>tycznie chorych ukraińskich pacjentów, zarówno</w:t>
      </w:r>
      <w:r w:rsidR="00563D0D" w:rsidRPr="00563D0D">
        <w:rPr>
          <w:rFonts w:ascii="Times New Roman" w:hAnsi="Times New Roman"/>
          <w:noProof/>
          <w:sz w:val="24"/>
          <w:lang w:val="pl-PL"/>
        </w:rPr>
        <w:t xml:space="preserve"> z</w:t>
      </w:r>
      <w:r w:rsidR="00563D0D">
        <w:rPr>
          <w:rFonts w:ascii="Times New Roman" w:hAnsi="Times New Roman"/>
          <w:noProof/>
          <w:sz w:val="24"/>
          <w:lang w:val="pl-PL"/>
        </w:rPr>
        <w:t> </w:t>
      </w:r>
      <w:r w:rsidR="00563D0D" w:rsidRPr="00563D0D">
        <w:rPr>
          <w:rFonts w:ascii="Times New Roman" w:hAnsi="Times New Roman"/>
          <w:noProof/>
          <w:sz w:val="24"/>
          <w:lang w:val="pl-PL"/>
        </w:rPr>
        <w:t>Ukr</w:t>
      </w:r>
      <w:r w:rsidRPr="00563D0D">
        <w:rPr>
          <w:rFonts w:ascii="Times New Roman" w:hAnsi="Times New Roman"/>
          <w:noProof/>
          <w:sz w:val="24"/>
          <w:lang w:val="pl-PL"/>
        </w:rPr>
        <w:t>ainy, jak</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w:t>
      </w:r>
      <w:r w:rsidR="00563D0D">
        <w:rPr>
          <w:rFonts w:ascii="Times New Roman" w:hAnsi="Times New Roman"/>
          <w:noProof/>
          <w:sz w:val="24"/>
          <w:lang w:val="pl-PL"/>
        </w:rPr>
        <w:t> </w:t>
      </w:r>
      <w:r w:rsidR="00563D0D" w:rsidRPr="00563D0D">
        <w:rPr>
          <w:rFonts w:ascii="Times New Roman" w:hAnsi="Times New Roman"/>
          <w:noProof/>
          <w:sz w:val="24"/>
          <w:lang w:val="pl-PL"/>
        </w:rPr>
        <w:t>kra</w:t>
      </w:r>
      <w:r w:rsidRPr="00563D0D">
        <w:rPr>
          <w:rFonts w:ascii="Times New Roman" w:hAnsi="Times New Roman"/>
          <w:noProof/>
          <w:sz w:val="24"/>
          <w:lang w:val="pl-PL"/>
        </w:rPr>
        <w:t>jów sąsiadujących, do szpitali</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2</w:t>
      </w:r>
      <w:r w:rsidRPr="00563D0D">
        <w:rPr>
          <w:rFonts w:ascii="Times New Roman" w:hAnsi="Times New Roman"/>
          <w:noProof/>
          <w:sz w:val="24"/>
          <w:lang w:val="pl-PL"/>
        </w:rPr>
        <w:t>1 państwach europejskich. Taki wspólny system MEDEVAC jest bezprecedensowy na szczeblu UE. Komisja utworzyła również placówkę medyczną</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spe</w:t>
      </w:r>
      <w:r w:rsidRPr="00563D0D">
        <w:rPr>
          <w:rFonts w:ascii="Times New Roman" w:hAnsi="Times New Roman"/>
          <w:noProof/>
          <w:sz w:val="24"/>
          <w:lang w:val="pl-PL"/>
        </w:rPr>
        <w:t>cjalnym centrum</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Pol</w:t>
      </w:r>
      <w:r w:rsidRPr="00563D0D">
        <w:rPr>
          <w:rFonts w:ascii="Times New Roman" w:hAnsi="Times New Roman"/>
          <w:noProof/>
          <w:sz w:val="24"/>
          <w:lang w:val="pl-PL"/>
        </w:rPr>
        <w:t>sce, aby poprawić dobrostan pacjentów oczekujących na transport do szpitali europejskich oraz zwiększyć niezawodność</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prz</w:t>
      </w:r>
      <w:r w:rsidRPr="00563D0D">
        <w:rPr>
          <w:rFonts w:ascii="Times New Roman" w:hAnsi="Times New Roman"/>
          <w:noProof/>
          <w:sz w:val="24"/>
          <w:lang w:val="pl-PL"/>
        </w:rPr>
        <w:t>ewidywalność programu MEDEVAC</w:t>
      </w:r>
      <w:r w:rsidR="00563D0D" w:rsidRPr="00563D0D">
        <w:rPr>
          <w:rFonts w:ascii="Times New Roman" w:hAnsi="Times New Roman"/>
          <w:noProof/>
          <w:sz w:val="24"/>
          <w:lang w:val="pl-PL"/>
        </w:rPr>
        <w:t>. Z</w:t>
      </w:r>
      <w:r w:rsidR="00563D0D">
        <w:rPr>
          <w:rFonts w:ascii="Times New Roman" w:hAnsi="Times New Roman"/>
          <w:noProof/>
          <w:sz w:val="24"/>
          <w:lang w:val="pl-PL"/>
        </w:rPr>
        <w:t> </w:t>
      </w:r>
      <w:r w:rsidR="00563D0D" w:rsidRPr="00563D0D">
        <w:rPr>
          <w:rFonts w:ascii="Times New Roman" w:hAnsi="Times New Roman"/>
          <w:noProof/>
          <w:sz w:val="24"/>
          <w:lang w:val="pl-PL"/>
        </w:rPr>
        <w:t>rez</w:t>
      </w:r>
      <w:r w:rsidRPr="00563D0D">
        <w:rPr>
          <w:rFonts w:ascii="Times New Roman" w:hAnsi="Times New Roman"/>
          <w:noProof/>
          <w:sz w:val="24"/>
          <w:lang w:val="pl-PL"/>
        </w:rPr>
        <w:t>erwy strategicznej rescEU oraz od początku inwazji Rosji na Ukrainę na pełną skalę wysłano na Ukrainę ponad 56 mln EUR produktów</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zętu medycznego oraz materiałów CBRJ,</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masek, tabletek jodku potasu, respiratorów</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inn</w:t>
      </w:r>
      <w:r w:rsidRPr="00563D0D">
        <w:rPr>
          <w:rFonts w:ascii="Times New Roman" w:hAnsi="Times New Roman"/>
          <w:noProof/>
          <w:sz w:val="24"/>
          <w:lang w:val="pl-PL"/>
        </w:rPr>
        <w:t xml:space="preserve">ych produktów. </w:t>
      </w:r>
    </w:p>
    <w:p w14:paraId="55F1163E" w14:textId="77777777" w:rsidR="001F1738" w:rsidRPr="00563D0D" w:rsidRDefault="001F1738" w:rsidP="001F1738">
      <w:pPr>
        <w:spacing w:before="100" w:beforeAutospacing="1" w:after="100" w:afterAutospacing="1" w:line="240" w:lineRule="auto"/>
        <w:rPr>
          <w:rFonts w:eastAsiaTheme="minorEastAsia"/>
          <w:noProof/>
          <w:sz w:val="20"/>
          <w:lang w:val="pl-PL"/>
        </w:rPr>
      </w:pPr>
    </w:p>
    <w:p w14:paraId="1CEF1C12" w14:textId="77777777" w:rsidR="001F1738" w:rsidRPr="00563D0D" w:rsidRDefault="001F1738" w:rsidP="001F1738">
      <w:pPr>
        <w:keepNext/>
        <w:keepLines/>
        <w:spacing w:before="100" w:beforeAutospacing="1" w:after="100" w:afterAutospacing="1" w:line="240" w:lineRule="auto"/>
        <w:jc w:val="both"/>
        <w:outlineLvl w:val="0"/>
        <w:rPr>
          <w:rFonts w:ascii="Times New Roman" w:eastAsiaTheme="majorEastAsia" w:hAnsi="Times New Roman" w:cs="Times New Roman"/>
          <w:noProof/>
          <w:sz w:val="24"/>
          <w:lang w:val="pl-PL"/>
        </w:rPr>
      </w:pPr>
      <w:r w:rsidRPr="00563D0D">
        <w:rPr>
          <w:rFonts w:ascii="Times New Roman" w:hAnsi="Times New Roman"/>
          <w:noProof/>
          <w:sz w:val="24"/>
          <w:lang w:val="pl-PL"/>
        </w:rPr>
        <w:t>8. WNIOSKI</w:t>
      </w:r>
    </w:p>
    <w:p w14:paraId="066CC227" w14:textId="1E07BAD6" w:rsidR="00AD0A7E" w:rsidRPr="00563D0D" w:rsidRDefault="00AD0A7E">
      <w:pPr>
        <w:spacing w:before="100" w:beforeAutospacing="1" w:after="100" w:afterAutospacing="1" w:line="240" w:lineRule="auto"/>
        <w:jc w:val="both"/>
        <w:rPr>
          <w:rFonts w:ascii="Times New Roman" w:eastAsia="Times New Roman" w:hAnsi="Times New Roman" w:cs="Times New Roman"/>
          <w:noProof/>
          <w:sz w:val="24"/>
          <w:lang w:val="pl-PL"/>
        </w:rPr>
      </w:pPr>
      <w:r w:rsidRPr="00563D0D">
        <w:rPr>
          <w:rFonts w:ascii="Times New Roman" w:hAnsi="Times New Roman"/>
          <w:noProof/>
          <w:sz w:val="24"/>
          <w:lang w:val="pl-PL"/>
        </w:rPr>
        <w:t>W niniejszym sprawozdaniu przedstawiono działania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zdo</w:t>
      </w:r>
      <w:r w:rsidRPr="00563D0D">
        <w:rPr>
          <w:rFonts w:ascii="Times New Roman" w:hAnsi="Times New Roman"/>
          <w:noProof/>
          <w:sz w:val="24"/>
          <w:lang w:val="pl-PL"/>
        </w:rPr>
        <w:t>lności UE wprowadzone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cel</w:t>
      </w:r>
      <w:r w:rsidRPr="00563D0D">
        <w:rPr>
          <w:rFonts w:ascii="Times New Roman" w:hAnsi="Times New Roman"/>
          <w:noProof/>
          <w:sz w:val="24"/>
          <w:lang w:val="pl-PL"/>
        </w:rPr>
        <w:t>u przeciwdziałania poważnym transgranicznym zagrożeniom zdrowia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nas</w:t>
      </w:r>
      <w:r w:rsidRPr="00563D0D">
        <w:rPr>
          <w:rFonts w:ascii="Times New Roman" w:hAnsi="Times New Roman"/>
          <w:noProof/>
          <w:sz w:val="24"/>
          <w:lang w:val="pl-PL"/>
        </w:rPr>
        <w:t>tępstwie pandemii COVID-19 oraz</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opa</w:t>
      </w:r>
      <w:r w:rsidRPr="00563D0D">
        <w:rPr>
          <w:rFonts w:ascii="Times New Roman" w:hAnsi="Times New Roman"/>
          <w:noProof/>
          <w:sz w:val="24"/>
          <w:lang w:val="pl-PL"/>
        </w:rPr>
        <w:t>rciu</w:t>
      </w:r>
      <w:r w:rsidR="00563D0D" w:rsidRPr="00563D0D">
        <w:rPr>
          <w:rFonts w:ascii="Times New Roman" w:hAnsi="Times New Roman"/>
          <w:noProof/>
          <w:sz w:val="24"/>
          <w:lang w:val="pl-PL"/>
        </w:rPr>
        <w:t xml:space="preserve"> o</w:t>
      </w:r>
      <w:r w:rsidR="00563D0D">
        <w:rPr>
          <w:rFonts w:ascii="Times New Roman" w:hAnsi="Times New Roman"/>
          <w:noProof/>
          <w:sz w:val="24"/>
          <w:lang w:val="pl-PL"/>
        </w:rPr>
        <w:t> </w:t>
      </w:r>
      <w:r w:rsidR="00563D0D" w:rsidRPr="00563D0D">
        <w:rPr>
          <w:rFonts w:ascii="Times New Roman" w:hAnsi="Times New Roman"/>
          <w:noProof/>
          <w:sz w:val="24"/>
          <w:lang w:val="pl-PL"/>
        </w:rPr>
        <w:t>uni</w:t>
      </w:r>
      <w:r w:rsidRPr="00563D0D">
        <w:rPr>
          <w:rFonts w:ascii="Times New Roman" w:hAnsi="Times New Roman"/>
          <w:noProof/>
          <w:sz w:val="24"/>
          <w:lang w:val="pl-PL"/>
        </w:rPr>
        <w:t>jną architekturę bezpieczeństwa zdrowotnego sprzed pandemii COVID-19. Skoncentrowano się na działaniach, które są ukierunkowane na wdrażanie rozporządzenia (UE) 2022/2371</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odp</w:t>
      </w:r>
      <w:r w:rsidRPr="00563D0D">
        <w:rPr>
          <w:rFonts w:ascii="Times New Roman" w:hAnsi="Times New Roman"/>
          <w:noProof/>
          <w:sz w:val="24"/>
          <w:lang w:val="pl-PL"/>
        </w:rPr>
        <w:t>owiedzi na wymóg określony</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art</w:t>
      </w:r>
      <w:r w:rsidRPr="00563D0D">
        <w:rPr>
          <w:rFonts w:ascii="Times New Roman" w:hAnsi="Times New Roman"/>
          <w:noProof/>
          <w:sz w:val="24"/>
          <w:lang w:val="pl-PL"/>
        </w:rPr>
        <w:t>.</w:t>
      </w:r>
      <w:r w:rsidR="00563D0D" w:rsidRPr="00563D0D">
        <w:rPr>
          <w:rFonts w:ascii="Times New Roman" w:hAnsi="Times New Roman"/>
          <w:noProof/>
          <w:sz w:val="24"/>
          <w:lang w:val="pl-PL"/>
        </w:rPr>
        <w:t> </w:t>
      </w:r>
      <w:r w:rsidRPr="00563D0D">
        <w:rPr>
          <w:rFonts w:ascii="Times New Roman" w:hAnsi="Times New Roman"/>
          <w:noProof/>
          <w:sz w:val="24"/>
          <w:lang w:val="pl-PL"/>
        </w:rPr>
        <w:t>9 tego rozporządzenia dotyczący planowania zapobiegania, gotowości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gowania. Ponadto</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spr</w:t>
      </w:r>
      <w:r w:rsidRPr="00563D0D">
        <w:rPr>
          <w:rFonts w:ascii="Times New Roman" w:hAnsi="Times New Roman"/>
          <w:noProof/>
          <w:sz w:val="24"/>
          <w:lang w:val="pl-PL"/>
        </w:rPr>
        <w:t>awozdaniu przedstawiono będące</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tok</w:t>
      </w:r>
      <w:r w:rsidRPr="00563D0D">
        <w:rPr>
          <w:rFonts w:ascii="Times New Roman" w:hAnsi="Times New Roman"/>
          <w:noProof/>
          <w:sz w:val="24"/>
          <w:lang w:val="pl-PL"/>
        </w:rPr>
        <w:t>u inicjatywy</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pra</w:t>
      </w:r>
      <w:r w:rsidRPr="00563D0D">
        <w:rPr>
          <w:rFonts w:ascii="Times New Roman" w:hAnsi="Times New Roman"/>
          <w:noProof/>
          <w:sz w:val="24"/>
          <w:lang w:val="pl-PL"/>
        </w:rPr>
        <w:t>ce ściśle związane ze zdrowiem publicznym</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inn</w:t>
      </w:r>
      <w:r w:rsidRPr="00563D0D">
        <w:rPr>
          <w:rFonts w:ascii="Times New Roman" w:hAnsi="Times New Roman"/>
          <w:noProof/>
          <w:sz w:val="24"/>
          <w:lang w:val="pl-PL"/>
        </w:rPr>
        <w:t>ych obszarach polityki UE, takich jak badania naukowe, pomoc</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syt</w:t>
      </w:r>
      <w:r w:rsidRPr="00563D0D">
        <w:rPr>
          <w:rFonts w:ascii="Times New Roman" w:hAnsi="Times New Roman"/>
          <w:noProof/>
          <w:sz w:val="24"/>
          <w:lang w:val="pl-PL"/>
        </w:rPr>
        <w:t>uacjach nadzwyczajnych, współpraca międzynarodowa itp.</w:t>
      </w:r>
    </w:p>
    <w:p w14:paraId="7D00F6F0" w14:textId="62A6CDED" w:rsidR="00791D8B" w:rsidRPr="00563D0D" w:rsidRDefault="001F1738" w:rsidP="00BC2F11">
      <w:pPr>
        <w:spacing w:before="100" w:beforeAutospacing="1" w:after="100" w:afterAutospacing="1" w:line="240" w:lineRule="auto"/>
        <w:jc w:val="both"/>
        <w:rPr>
          <w:noProof/>
          <w:lang w:val="pl-PL"/>
        </w:rPr>
      </w:pPr>
      <w:r w:rsidRPr="00563D0D">
        <w:rPr>
          <w:rFonts w:ascii="Times New Roman" w:hAnsi="Times New Roman"/>
          <w:noProof/>
          <w:sz w:val="24"/>
          <w:lang w:val="pl-PL"/>
        </w:rPr>
        <w:t>Pandemia COVID-19 spowodowała poważne przemiany</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sys</w:t>
      </w:r>
      <w:r w:rsidRPr="00563D0D">
        <w:rPr>
          <w:rFonts w:ascii="Times New Roman" w:hAnsi="Times New Roman"/>
          <w:noProof/>
          <w:sz w:val="24"/>
          <w:lang w:val="pl-PL"/>
        </w:rPr>
        <w:t>temach opieki zdrowotnej</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życ</w:t>
      </w:r>
      <w:r w:rsidRPr="00563D0D">
        <w:rPr>
          <w:rFonts w:ascii="Times New Roman" w:hAnsi="Times New Roman"/>
          <w:noProof/>
          <w:sz w:val="24"/>
          <w:lang w:val="pl-PL"/>
        </w:rPr>
        <w:t>iu, jakie znamy; stworzyła jednak również nieoczekiwaną okazję do poprawy naszych ram bezpieczeństwa zdrowotnego, tak aby były one lepiej przygotowane do stawienia czoła poważnym przyszłym zagrożeniom zdrowia. Choć nie wiemy, jak wygląda przyszłość – pomimo naszych najlepszych wysiłków na rzecz przewidywania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pla</w:t>
      </w:r>
      <w:r w:rsidRPr="00563D0D">
        <w:rPr>
          <w:rFonts w:ascii="Times New Roman" w:hAnsi="Times New Roman"/>
          <w:noProof/>
          <w:sz w:val="24"/>
          <w:lang w:val="pl-PL"/>
        </w:rPr>
        <w:t>nowania – UE wprowadziła udoskonalone struktury zapobiegania, gotowości</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rea</w:t>
      </w:r>
      <w:r w:rsidRPr="00563D0D">
        <w:rPr>
          <w:rFonts w:ascii="Times New Roman" w:hAnsi="Times New Roman"/>
          <w:noProof/>
          <w:sz w:val="24"/>
          <w:lang w:val="pl-PL"/>
        </w:rPr>
        <w:t>gowania, które znacznie zwiększyły nasze wspólne zdolności reagowania na wszelkie przyszłe sytuacje nadzwyczajne. Ramy bezpieczeństwa zdrowotnego na szczeblu UE dodają istotny dodatkowy wymiar do podstawowych funkcji państw członkowskich</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dzi</w:t>
      </w:r>
      <w:r w:rsidRPr="00563D0D">
        <w:rPr>
          <w:rFonts w:ascii="Times New Roman" w:hAnsi="Times New Roman"/>
          <w:noProof/>
          <w:sz w:val="24"/>
          <w:lang w:val="pl-PL"/>
        </w:rPr>
        <w:t>edzinie zdrowia</w:t>
      </w:r>
      <w:r w:rsidR="00563D0D" w:rsidRPr="00563D0D">
        <w:rPr>
          <w:rFonts w:ascii="Times New Roman" w:hAnsi="Times New Roman"/>
          <w:noProof/>
          <w:sz w:val="24"/>
          <w:lang w:val="pl-PL"/>
        </w:rPr>
        <w:t xml:space="preserve"> i</w:t>
      </w:r>
      <w:r w:rsidR="00563D0D">
        <w:rPr>
          <w:rFonts w:ascii="Times New Roman" w:hAnsi="Times New Roman"/>
          <w:noProof/>
          <w:sz w:val="24"/>
          <w:lang w:val="pl-PL"/>
        </w:rPr>
        <w:t> </w:t>
      </w:r>
      <w:r w:rsidR="00563D0D" w:rsidRPr="00563D0D">
        <w:rPr>
          <w:rFonts w:ascii="Times New Roman" w:hAnsi="Times New Roman"/>
          <w:noProof/>
          <w:sz w:val="24"/>
          <w:lang w:val="pl-PL"/>
        </w:rPr>
        <w:t>świ</w:t>
      </w:r>
      <w:r w:rsidRPr="00563D0D">
        <w:rPr>
          <w:rFonts w:ascii="Times New Roman" w:hAnsi="Times New Roman"/>
          <w:noProof/>
          <w:sz w:val="24"/>
          <w:lang w:val="pl-PL"/>
        </w:rPr>
        <w:t>adczenia opieki zdrowotnej. Zagrożenia dla zdrowia nie uznają granic, ale wspólnie jesteśmy lepiej przygotowani do ich zwalczania,</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tym</w:t>
      </w:r>
      <w:r w:rsidRPr="00563D0D">
        <w:rPr>
          <w:rFonts w:ascii="Times New Roman" w:hAnsi="Times New Roman"/>
          <w:noProof/>
          <w:sz w:val="24"/>
          <w:lang w:val="pl-PL"/>
        </w:rPr>
        <w:t xml:space="preserve"> poprzez angażowanie się</w:t>
      </w:r>
      <w:r w:rsidR="00563D0D" w:rsidRPr="00563D0D">
        <w:rPr>
          <w:rFonts w:ascii="Times New Roman" w:hAnsi="Times New Roman"/>
          <w:noProof/>
          <w:sz w:val="24"/>
          <w:lang w:val="pl-PL"/>
        </w:rPr>
        <w:t xml:space="preserve"> w</w:t>
      </w:r>
      <w:r w:rsidR="00563D0D">
        <w:rPr>
          <w:rFonts w:ascii="Times New Roman" w:hAnsi="Times New Roman"/>
          <w:noProof/>
          <w:sz w:val="24"/>
          <w:lang w:val="pl-PL"/>
        </w:rPr>
        <w:t> </w:t>
      </w:r>
      <w:r w:rsidR="00563D0D" w:rsidRPr="00563D0D">
        <w:rPr>
          <w:rFonts w:ascii="Times New Roman" w:hAnsi="Times New Roman"/>
          <w:noProof/>
          <w:sz w:val="24"/>
          <w:lang w:val="pl-PL"/>
        </w:rPr>
        <w:t>par</w:t>
      </w:r>
      <w:r w:rsidRPr="00563D0D">
        <w:rPr>
          <w:rFonts w:ascii="Times New Roman" w:hAnsi="Times New Roman"/>
          <w:noProof/>
          <w:sz w:val="24"/>
          <w:lang w:val="pl-PL"/>
        </w:rPr>
        <w:t>tnerstwa na szczeblu globalnym.</w:t>
      </w:r>
    </w:p>
    <w:sectPr w:rsidR="00791D8B" w:rsidRPr="00563D0D" w:rsidSect="00424884">
      <w:headerReference w:type="even" r:id="rId15"/>
      <w:headerReference w:type="default" r:id="rId16"/>
      <w:footerReference w:type="even" r:id="rId17"/>
      <w:footerReference w:type="default" r:id="rId18"/>
      <w:headerReference w:type="first" r:id="rId19"/>
      <w:footerReference w:type="first" r:id="rId20"/>
      <w:pgSz w:w="11906" w:h="16838"/>
      <w:pgMar w:top="1417" w:right="1200" w:bottom="120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C0125" w14:textId="77777777" w:rsidR="00BE758C" w:rsidRPr="00563D0D" w:rsidRDefault="00BE758C" w:rsidP="00C619B5">
      <w:pPr>
        <w:spacing w:after="0" w:line="240" w:lineRule="auto"/>
        <w:rPr>
          <w:lang w:val="pl-PL"/>
        </w:rPr>
      </w:pPr>
      <w:r w:rsidRPr="00563D0D">
        <w:rPr>
          <w:lang w:val="pl-PL"/>
        </w:rPr>
        <w:separator/>
      </w:r>
    </w:p>
  </w:endnote>
  <w:endnote w:type="continuationSeparator" w:id="0">
    <w:p w14:paraId="3296D4B9" w14:textId="77777777" w:rsidR="00BE758C" w:rsidRPr="00563D0D" w:rsidRDefault="00BE758C" w:rsidP="00C619B5">
      <w:pPr>
        <w:spacing w:after="0" w:line="240" w:lineRule="auto"/>
        <w:rPr>
          <w:lang w:val="pl-PL"/>
        </w:rPr>
      </w:pPr>
      <w:r w:rsidRPr="00563D0D">
        <w:rPr>
          <w:lang w:val="pl-P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C Square Sans Pro">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384EC" w14:textId="719DF472" w:rsidR="00554386" w:rsidRPr="00554386" w:rsidRDefault="00554386" w:rsidP="00554386">
    <w:pPr>
      <w:pStyle w:val="FooterCoverPage"/>
      <w:rPr>
        <w:rFonts w:ascii="Arial" w:hAnsi="Arial" w:cs="Arial"/>
        <w:b/>
        <w:sz w:val="48"/>
      </w:rPr>
    </w:pPr>
    <w:r w:rsidRPr="00554386">
      <w:rPr>
        <w:rFonts w:ascii="Arial" w:hAnsi="Arial" w:cs="Arial"/>
        <w:b/>
        <w:sz w:val="48"/>
      </w:rPr>
      <w:t>PL</w:t>
    </w:r>
    <w:r w:rsidRPr="00554386">
      <w:rPr>
        <w:rFonts w:ascii="Arial" w:hAnsi="Arial" w:cs="Arial"/>
        <w:b/>
        <w:sz w:val="48"/>
      </w:rPr>
      <w:tab/>
    </w:r>
    <w:r w:rsidRPr="00554386">
      <w:rPr>
        <w:rFonts w:ascii="Arial" w:hAnsi="Arial" w:cs="Arial"/>
        <w:b/>
        <w:sz w:val="48"/>
      </w:rPr>
      <w:tab/>
    </w:r>
    <w:r w:rsidRPr="00554386">
      <w:tab/>
    </w:r>
    <w:r w:rsidRPr="00554386">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819CF" w14:textId="7014265A" w:rsidR="00554386" w:rsidRPr="00554386" w:rsidRDefault="00554386" w:rsidP="00554386">
    <w:pPr>
      <w:pStyle w:val="FooterCoverPage"/>
      <w:rPr>
        <w:rFonts w:ascii="Arial" w:hAnsi="Arial" w:cs="Arial"/>
        <w:b/>
        <w:sz w:val="48"/>
      </w:rPr>
    </w:pPr>
    <w:r w:rsidRPr="00554386">
      <w:rPr>
        <w:rFonts w:ascii="Arial" w:hAnsi="Arial" w:cs="Arial"/>
        <w:b/>
        <w:sz w:val="48"/>
      </w:rPr>
      <w:t>PL</w:t>
    </w:r>
    <w:r w:rsidRPr="00554386">
      <w:rPr>
        <w:rFonts w:ascii="Arial" w:hAnsi="Arial" w:cs="Arial"/>
        <w:b/>
        <w:sz w:val="48"/>
      </w:rPr>
      <w:tab/>
    </w:r>
    <w:r w:rsidRPr="00554386">
      <w:rPr>
        <w:rFonts w:ascii="Arial" w:hAnsi="Arial" w:cs="Arial"/>
        <w:b/>
        <w:sz w:val="48"/>
      </w:rPr>
      <w:tab/>
    </w:r>
    <w:r w:rsidRPr="00554386">
      <w:tab/>
    </w:r>
    <w:r w:rsidRPr="00554386">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A6834" w14:textId="77777777" w:rsidR="00554386" w:rsidRPr="00554386" w:rsidRDefault="00554386" w:rsidP="0055438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34DE8" w14:textId="77777777" w:rsidR="008F1FE4" w:rsidRDefault="0055438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42487145"/>
      <w:docPartObj>
        <w:docPartGallery w:val="Page Numbers (Bottom of Page)"/>
        <w:docPartUnique/>
      </w:docPartObj>
    </w:sdtPr>
    <w:sdtEndPr/>
    <w:sdtContent>
      <w:p w14:paraId="539586E7" w14:textId="3BF52D79" w:rsidR="008F1FE4" w:rsidRPr="00E03D97" w:rsidRDefault="00DA2496" w:rsidP="00E03D97">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554386">
          <w:rPr>
            <w:rFonts w:ascii="Times New Roman" w:hAnsi="Times New Roman" w:cs="Times New Roman"/>
            <w:noProof/>
          </w:rPr>
          <w:t>1</w:t>
        </w:r>
        <w:r>
          <w:rPr>
            <w:rFonts w:ascii="Times New Roman" w:hAnsi="Times New Roman" w:cs="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F0603" w14:textId="77777777" w:rsidR="008F1FE4" w:rsidRDefault="00554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23094" w14:textId="77777777" w:rsidR="00BE758C" w:rsidRPr="00563D0D" w:rsidRDefault="00BE758C" w:rsidP="00C619B5">
      <w:pPr>
        <w:spacing w:after="0" w:line="240" w:lineRule="auto"/>
        <w:rPr>
          <w:lang w:val="pl-PL"/>
        </w:rPr>
      </w:pPr>
      <w:r w:rsidRPr="00563D0D">
        <w:rPr>
          <w:lang w:val="pl-PL"/>
        </w:rPr>
        <w:separator/>
      </w:r>
    </w:p>
  </w:footnote>
  <w:footnote w:type="continuationSeparator" w:id="0">
    <w:p w14:paraId="69ACB7FA" w14:textId="77777777" w:rsidR="00BE758C" w:rsidRPr="00563D0D" w:rsidRDefault="00BE758C" w:rsidP="00C619B5">
      <w:pPr>
        <w:spacing w:after="0" w:line="240" w:lineRule="auto"/>
        <w:rPr>
          <w:lang w:val="pl-PL"/>
        </w:rPr>
      </w:pPr>
      <w:r w:rsidRPr="00563D0D">
        <w:rPr>
          <w:lang w:val="pl-PL"/>
        </w:rPr>
        <w:continuationSeparator/>
      </w:r>
    </w:p>
  </w:footnote>
  <w:footnote w:id="1">
    <w:p w14:paraId="56E651A9" w14:textId="5F24EC9A" w:rsidR="00A02810" w:rsidRPr="00563D0D" w:rsidRDefault="00A02810" w:rsidP="00031422">
      <w:pPr>
        <w:pStyle w:val="FootnoteText"/>
        <w:spacing w:line="240" w:lineRule="auto"/>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Rozporządzenie Parlamentu Europejskiego</w:t>
      </w:r>
      <w:r w:rsidR="00563D0D" w:rsidRPr="00563D0D">
        <w:rPr>
          <w:rFonts w:ascii="Times New Roman" w:hAnsi="Times New Roman"/>
          <w:lang w:val="pl-PL"/>
        </w:rPr>
        <w:t xml:space="preserve"> i</w:t>
      </w:r>
      <w:r w:rsidR="00563D0D">
        <w:rPr>
          <w:rFonts w:ascii="Times New Roman" w:hAnsi="Times New Roman"/>
          <w:lang w:val="pl-PL"/>
        </w:rPr>
        <w:t> </w:t>
      </w:r>
      <w:r w:rsidR="00563D0D" w:rsidRPr="00563D0D">
        <w:rPr>
          <w:rFonts w:ascii="Times New Roman" w:hAnsi="Times New Roman"/>
          <w:lang w:val="pl-PL"/>
        </w:rPr>
        <w:t>Rad</w:t>
      </w:r>
      <w:r w:rsidRPr="00563D0D">
        <w:rPr>
          <w:rFonts w:ascii="Times New Roman" w:hAnsi="Times New Roman"/>
          <w:lang w:val="pl-PL"/>
        </w:rPr>
        <w:t>y (UE) 2022/2371</w:t>
      </w:r>
      <w:r w:rsidR="00563D0D" w:rsidRPr="00563D0D">
        <w:rPr>
          <w:rFonts w:ascii="Times New Roman" w:hAnsi="Times New Roman"/>
          <w:lang w:val="pl-PL"/>
        </w:rPr>
        <w:t xml:space="preserve"> z</w:t>
      </w:r>
      <w:r w:rsidR="00563D0D">
        <w:rPr>
          <w:rFonts w:ascii="Times New Roman" w:hAnsi="Times New Roman"/>
          <w:lang w:val="pl-PL"/>
        </w:rPr>
        <w:t> </w:t>
      </w:r>
      <w:r w:rsidR="00563D0D" w:rsidRPr="00563D0D">
        <w:rPr>
          <w:rFonts w:ascii="Times New Roman" w:hAnsi="Times New Roman"/>
          <w:lang w:val="pl-PL"/>
        </w:rPr>
        <w:t>dni</w:t>
      </w:r>
      <w:r w:rsidRPr="00563D0D">
        <w:rPr>
          <w:rFonts w:ascii="Times New Roman" w:hAnsi="Times New Roman"/>
          <w:lang w:val="pl-PL"/>
        </w:rPr>
        <w:t>a 23 listopada 2022</w:t>
      </w:r>
      <w:r w:rsidR="00563D0D" w:rsidRPr="00563D0D">
        <w:rPr>
          <w:rFonts w:ascii="Times New Roman" w:hAnsi="Times New Roman"/>
          <w:lang w:val="pl-PL"/>
        </w:rPr>
        <w:t> </w:t>
      </w:r>
      <w:r w:rsidRPr="00563D0D">
        <w:rPr>
          <w:rFonts w:ascii="Times New Roman" w:hAnsi="Times New Roman"/>
          <w:lang w:val="pl-PL"/>
        </w:rPr>
        <w:t>r.</w:t>
      </w:r>
      <w:r w:rsidR="00563D0D" w:rsidRPr="00563D0D">
        <w:rPr>
          <w:rFonts w:ascii="Times New Roman" w:hAnsi="Times New Roman"/>
          <w:lang w:val="pl-PL"/>
        </w:rPr>
        <w:t xml:space="preserve"> w</w:t>
      </w:r>
      <w:r w:rsidR="00563D0D">
        <w:rPr>
          <w:rFonts w:ascii="Times New Roman" w:hAnsi="Times New Roman"/>
          <w:lang w:val="pl-PL"/>
        </w:rPr>
        <w:t> </w:t>
      </w:r>
      <w:r w:rsidR="00563D0D" w:rsidRPr="00563D0D">
        <w:rPr>
          <w:rFonts w:ascii="Times New Roman" w:hAnsi="Times New Roman"/>
          <w:lang w:val="pl-PL"/>
        </w:rPr>
        <w:t>spr</w:t>
      </w:r>
      <w:r w:rsidRPr="00563D0D">
        <w:rPr>
          <w:rFonts w:ascii="Times New Roman" w:hAnsi="Times New Roman"/>
          <w:lang w:val="pl-PL"/>
        </w:rPr>
        <w:t>awie poważnych transgranicznych zagrożeń zdrowia oraz uchylenia decyzji nr</w:t>
      </w:r>
      <w:r w:rsidR="00563D0D" w:rsidRPr="00563D0D">
        <w:rPr>
          <w:rFonts w:ascii="Times New Roman" w:hAnsi="Times New Roman"/>
          <w:lang w:val="pl-PL"/>
        </w:rPr>
        <w:t> </w:t>
      </w:r>
      <w:r w:rsidRPr="00563D0D">
        <w:rPr>
          <w:rFonts w:ascii="Times New Roman" w:hAnsi="Times New Roman"/>
          <w:lang w:val="pl-PL"/>
        </w:rPr>
        <w:t>1082/2013/UE, Dz.U. L 314</w:t>
      </w:r>
      <w:r w:rsidR="00563D0D" w:rsidRPr="00563D0D">
        <w:rPr>
          <w:rFonts w:ascii="Times New Roman" w:hAnsi="Times New Roman"/>
          <w:lang w:val="pl-PL"/>
        </w:rPr>
        <w:t xml:space="preserve"> z</w:t>
      </w:r>
      <w:r w:rsidR="00563D0D">
        <w:rPr>
          <w:rFonts w:ascii="Times New Roman" w:hAnsi="Times New Roman"/>
          <w:lang w:val="pl-PL"/>
        </w:rPr>
        <w:t> </w:t>
      </w:r>
      <w:r w:rsidR="00563D0D" w:rsidRPr="00563D0D">
        <w:rPr>
          <w:rFonts w:ascii="Times New Roman" w:hAnsi="Times New Roman"/>
          <w:lang w:val="pl-PL"/>
        </w:rPr>
        <w:t>6</w:t>
      </w:r>
      <w:r w:rsidRPr="00563D0D">
        <w:rPr>
          <w:rFonts w:ascii="Times New Roman" w:hAnsi="Times New Roman"/>
          <w:lang w:val="pl-PL"/>
        </w:rPr>
        <w:t>.12.2022, s. 26 (</w:t>
      </w:r>
      <w:r w:rsidRPr="00563D0D">
        <w:rPr>
          <w:rStyle w:val="Hyperlink"/>
          <w:rFonts w:ascii="Times New Roman" w:hAnsi="Times New Roman"/>
          <w:lang w:val="pl-PL"/>
        </w:rPr>
        <w:t>https://eur-lex.europa.eu/eli/reg/2022/2371/oj</w:t>
      </w:r>
      <w:r w:rsidRPr="00563D0D">
        <w:rPr>
          <w:rFonts w:ascii="Times New Roman" w:hAnsi="Times New Roman"/>
          <w:lang w:val="pl-PL"/>
        </w:rPr>
        <w:t>).</w:t>
      </w:r>
    </w:p>
  </w:footnote>
  <w:footnote w:id="2">
    <w:p w14:paraId="2FDA17AE" w14:textId="6D7D54A9" w:rsidR="00785B9C" w:rsidRPr="00563D0D" w:rsidRDefault="00785B9C" w:rsidP="00031422">
      <w:pPr>
        <w:pStyle w:val="FootnoteText"/>
        <w:spacing w:line="240" w:lineRule="auto"/>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Decyzja Komisji ustanawiająca Urząd ds. Gotowości</w:t>
      </w:r>
      <w:r w:rsidR="00563D0D" w:rsidRPr="00563D0D">
        <w:rPr>
          <w:rFonts w:ascii="Times New Roman" w:hAnsi="Times New Roman"/>
          <w:lang w:val="pl-PL"/>
        </w:rPr>
        <w:t xml:space="preserve"> i</w:t>
      </w:r>
      <w:r w:rsidR="00563D0D">
        <w:rPr>
          <w:rFonts w:ascii="Times New Roman" w:hAnsi="Times New Roman"/>
          <w:lang w:val="pl-PL"/>
        </w:rPr>
        <w:t> </w:t>
      </w:r>
      <w:r w:rsidR="00563D0D" w:rsidRPr="00563D0D">
        <w:rPr>
          <w:rFonts w:ascii="Times New Roman" w:hAnsi="Times New Roman"/>
          <w:lang w:val="pl-PL"/>
        </w:rPr>
        <w:t>Rea</w:t>
      </w:r>
      <w:r w:rsidRPr="00563D0D">
        <w:rPr>
          <w:rFonts w:ascii="Times New Roman" w:hAnsi="Times New Roman"/>
          <w:lang w:val="pl-PL"/>
        </w:rPr>
        <w:t>gowania na Stany Zagrożenia Zdrowia, COM(2021) 6712 final.</w:t>
      </w:r>
    </w:p>
  </w:footnote>
  <w:footnote w:id="3">
    <w:p w14:paraId="78C1AA37" w14:textId="28C2A779" w:rsidR="001F1738" w:rsidRPr="00563D0D" w:rsidRDefault="001F1738" w:rsidP="00031422">
      <w:pPr>
        <w:pStyle w:val="FootnoteText"/>
        <w:spacing w:line="240" w:lineRule="auto"/>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COM(2021) 380 final.</w:t>
      </w:r>
    </w:p>
  </w:footnote>
  <w:footnote w:id="4">
    <w:p w14:paraId="38ABF398" w14:textId="4E9F8FB8" w:rsidR="001F1738" w:rsidRPr="00563D0D" w:rsidRDefault="001F1738" w:rsidP="00031422">
      <w:pPr>
        <w:pStyle w:val="FootnoteText"/>
        <w:spacing w:line="240" w:lineRule="auto"/>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COM(2022) 669 final.</w:t>
      </w:r>
    </w:p>
  </w:footnote>
  <w:footnote w:id="5">
    <w:p w14:paraId="00E1C705" w14:textId="7B90A626" w:rsidR="001F1738" w:rsidRPr="00563D0D" w:rsidRDefault="001F1738" w:rsidP="00031422">
      <w:pPr>
        <w:pStyle w:val="FootnoteText"/>
        <w:spacing w:line="240" w:lineRule="auto"/>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Zgodnie</w:t>
      </w:r>
      <w:r w:rsidR="00563D0D" w:rsidRPr="00563D0D">
        <w:rPr>
          <w:rFonts w:ascii="Times New Roman" w:hAnsi="Times New Roman"/>
          <w:lang w:val="pl-PL"/>
        </w:rPr>
        <w:t xml:space="preserve"> z</w:t>
      </w:r>
      <w:r w:rsidR="00563D0D">
        <w:rPr>
          <w:rFonts w:ascii="Times New Roman" w:hAnsi="Times New Roman"/>
          <w:lang w:val="pl-PL"/>
        </w:rPr>
        <w:t> </w:t>
      </w:r>
      <w:r w:rsidR="00563D0D" w:rsidRPr="00563D0D">
        <w:rPr>
          <w:rFonts w:ascii="Times New Roman" w:hAnsi="Times New Roman"/>
          <w:lang w:val="pl-PL"/>
        </w:rPr>
        <w:t>art</w:t>
      </w:r>
      <w:r w:rsidRPr="00563D0D">
        <w:rPr>
          <w:rFonts w:ascii="Times New Roman" w:hAnsi="Times New Roman"/>
          <w:lang w:val="pl-PL"/>
        </w:rPr>
        <w:t>.</w:t>
      </w:r>
      <w:r w:rsidR="00563D0D" w:rsidRPr="00563D0D">
        <w:rPr>
          <w:rFonts w:ascii="Times New Roman" w:hAnsi="Times New Roman"/>
          <w:lang w:val="pl-PL"/>
        </w:rPr>
        <w:t> </w:t>
      </w:r>
      <w:r w:rsidRPr="00563D0D">
        <w:rPr>
          <w:rFonts w:ascii="Times New Roman" w:hAnsi="Times New Roman"/>
          <w:lang w:val="pl-PL"/>
        </w:rPr>
        <w:t>9 rozporządzenia (UE) 2022/2371 do dnia 27 grudnia 2023</w:t>
      </w:r>
      <w:r w:rsidR="00563D0D" w:rsidRPr="00563D0D">
        <w:rPr>
          <w:rFonts w:ascii="Times New Roman" w:hAnsi="Times New Roman"/>
          <w:lang w:val="pl-PL"/>
        </w:rPr>
        <w:t> </w:t>
      </w:r>
      <w:r w:rsidRPr="00563D0D">
        <w:rPr>
          <w:rFonts w:ascii="Times New Roman" w:hAnsi="Times New Roman"/>
          <w:lang w:val="pl-PL"/>
        </w:rPr>
        <w:t>r.,</w:t>
      </w:r>
      <w:r w:rsidR="00563D0D" w:rsidRPr="00563D0D">
        <w:rPr>
          <w:rFonts w:ascii="Times New Roman" w:hAnsi="Times New Roman"/>
          <w:lang w:val="pl-PL"/>
        </w:rPr>
        <w:t xml:space="preserve"> a</w:t>
      </w:r>
      <w:r w:rsidR="00563D0D">
        <w:rPr>
          <w:rFonts w:ascii="Times New Roman" w:hAnsi="Times New Roman"/>
          <w:lang w:val="pl-PL"/>
        </w:rPr>
        <w:t> </w:t>
      </w:r>
      <w:r w:rsidR="00563D0D" w:rsidRPr="00563D0D">
        <w:rPr>
          <w:rFonts w:ascii="Times New Roman" w:hAnsi="Times New Roman"/>
          <w:lang w:val="pl-PL"/>
        </w:rPr>
        <w:t>nas</w:t>
      </w:r>
      <w:r w:rsidRPr="00563D0D">
        <w:rPr>
          <w:rFonts w:ascii="Times New Roman" w:hAnsi="Times New Roman"/>
          <w:lang w:val="pl-PL"/>
        </w:rPr>
        <w:t>tępnie co trzy lata, Komisja przekazuje Parlamentowi Europejskiemu</w:t>
      </w:r>
      <w:r w:rsidR="00563D0D" w:rsidRPr="00563D0D">
        <w:rPr>
          <w:rFonts w:ascii="Times New Roman" w:hAnsi="Times New Roman"/>
          <w:lang w:val="pl-PL"/>
        </w:rPr>
        <w:t xml:space="preserve"> i</w:t>
      </w:r>
      <w:r w:rsidR="00563D0D">
        <w:rPr>
          <w:rFonts w:ascii="Times New Roman" w:hAnsi="Times New Roman"/>
          <w:lang w:val="pl-PL"/>
        </w:rPr>
        <w:t> </w:t>
      </w:r>
      <w:r w:rsidR="00563D0D" w:rsidRPr="00563D0D">
        <w:rPr>
          <w:rFonts w:ascii="Times New Roman" w:hAnsi="Times New Roman"/>
          <w:lang w:val="pl-PL"/>
        </w:rPr>
        <w:t>Rad</w:t>
      </w:r>
      <w:r w:rsidRPr="00563D0D">
        <w:rPr>
          <w:rFonts w:ascii="Times New Roman" w:hAnsi="Times New Roman"/>
          <w:lang w:val="pl-PL"/>
        </w:rPr>
        <w:t>zie sprawozdanie na temat aktualnej sytuacji</w:t>
      </w:r>
      <w:r w:rsidR="00563D0D" w:rsidRPr="00563D0D">
        <w:rPr>
          <w:rFonts w:ascii="Times New Roman" w:hAnsi="Times New Roman"/>
          <w:lang w:val="pl-PL"/>
        </w:rPr>
        <w:t xml:space="preserve"> i</w:t>
      </w:r>
      <w:r w:rsidR="00563D0D">
        <w:rPr>
          <w:rFonts w:ascii="Times New Roman" w:hAnsi="Times New Roman"/>
          <w:lang w:val="pl-PL"/>
        </w:rPr>
        <w:t> </w:t>
      </w:r>
      <w:r w:rsidR="00563D0D" w:rsidRPr="00563D0D">
        <w:rPr>
          <w:rFonts w:ascii="Times New Roman" w:hAnsi="Times New Roman"/>
          <w:lang w:val="pl-PL"/>
        </w:rPr>
        <w:t>pos</w:t>
      </w:r>
      <w:r w:rsidRPr="00563D0D">
        <w:rPr>
          <w:rFonts w:ascii="Times New Roman" w:hAnsi="Times New Roman"/>
          <w:lang w:val="pl-PL"/>
        </w:rPr>
        <w:t>tępów</w:t>
      </w:r>
      <w:r w:rsidR="00563D0D" w:rsidRPr="00563D0D">
        <w:rPr>
          <w:rFonts w:ascii="Times New Roman" w:hAnsi="Times New Roman"/>
          <w:lang w:val="pl-PL"/>
        </w:rPr>
        <w:t xml:space="preserve"> w</w:t>
      </w:r>
      <w:r w:rsidR="00563D0D">
        <w:rPr>
          <w:rFonts w:ascii="Times New Roman" w:hAnsi="Times New Roman"/>
          <w:lang w:val="pl-PL"/>
        </w:rPr>
        <w:t> </w:t>
      </w:r>
      <w:r w:rsidR="00563D0D" w:rsidRPr="00563D0D">
        <w:rPr>
          <w:rFonts w:ascii="Times New Roman" w:hAnsi="Times New Roman"/>
          <w:lang w:val="pl-PL"/>
        </w:rPr>
        <w:t>pla</w:t>
      </w:r>
      <w:r w:rsidRPr="00563D0D">
        <w:rPr>
          <w:rFonts w:ascii="Times New Roman" w:hAnsi="Times New Roman"/>
          <w:lang w:val="pl-PL"/>
        </w:rPr>
        <w:t>nowaniu zapobiegania, gotowości</w:t>
      </w:r>
      <w:r w:rsidR="00563D0D" w:rsidRPr="00563D0D">
        <w:rPr>
          <w:rFonts w:ascii="Times New Roman" w:hAnsi="Times New Roman"/>
          <w:lang w:val="pl-PL"/>
        </w:rPr>
        <w:t xml:space="preserve"> i</w:t>
      </w:r>
      <w:r w:rsidR="00563D0D">
        <w:rPr>
          <w:rFonts w:ascii="Times New Roman" w:hAnsi="Times New Roman"/>
          <w:lang w:val="pl-PL"/>
        </w:rPr>
        <w:t> </w:t>
      </w:r>
      <w:r w:rsidR="00563D0D" w:rsidRPr="00563D0D">
        <w:rPr>
          <w:rFonts w:ascii="Times New Roman" w:hAnsi="Times New Roman"/>
          <w:lang w:val="pl-PL"/>
        </w:rPr>
        <w:t>rea</w:t>
      </w:r>
      <w:r w:rsidRPr="00563D0D">
        <w:rPr>
          <w:rFonts w:ascii="Times New Roman" w:hAnsi="Times New Roman"/>
          <w:lang w:val="pl-PL"/>
        </w:rPr>
        <w:t>gowania na poziomie UE.</w:t>
      </w:r>
    </w:p>
  </w:footnote>
  <w:footnote w:id="6">
    <w:p w14:paraId="1CEA60F1" w14:textId="6F6DE520" w:rsidR="005B4CF9" w:rsidRPr="00563D0D" w:rsidRDefault="005B4CF9" w:rsidP="00031422">
      <w:pPr>
        <w:pStyle w:val="FootnoteText"/>
        <w:spacing w:line="240" w:lineRule="auto"/>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Zgodnie</w:t>
      </w:r>
      <w:r w:rsidR="00563D0D" w:rsidRPr="00563D0D">
        <w:rPr>
          <w:rFonts w:ascii="Times New Roman" w:hAnsi="Times New Roman"/>
          <w:lang w:val="pl-PL"/>
        </w:rPr>
        <w:t xml:space="preserve"> z</w:t>
      </w:r>
      <w:r w:rsidR="00563D0D">
        <w:rPr>
          <w:rFonts w:ascii="Times New Roman" w:hAnsi="Times New Roman"/>
          <w:lang w:val="pl-PL"/>
        </w:rPr>
        <w:t> </w:t>
      </w:r>
      <w:r w:rsidR="00563D0D" w:rsidRPr="00563D0D">
        <w:rPr>
          <w:rFonts w:ascii="Times New Roman" w:hAnsi="Times New Roman"/>
          <w:lang w:val="pl-PL"/>
        </w:rPr>
        <w:t>def</w:t>
      </w:r>
      <w:r w:rsidRPr="00563D0D">
        <w:rPr>
          <w:rFonts w:ascii="Times New Roman" w:hAnsi="Times New Roman"/>
          <w:lang w:val="pl-PL"/>
        </w:rPr>
        <w:t>inicją</w:t>
      </w:r>
      <w:r w:rsidR="00563D0D" w:rsidRPr="00563D0D">
        <w:rPr>
          <w:rFonts w:ascii="Times New Roman" w:hAnsi="Times New Roman"/>
          <w:lang w:val="pl-PL"/>
        </w:rPr>
        <w:t xml:space="preserve"> w</w:t>
      </w:r>
      <w:r w:rsidR="00563D0D">
        <w:rPr>
          <w:rFonts w:ascii="Times New Roman" w:hAnsi="Times New Roman"/>
          <w:lang w:val="pl-PL"/>
        </w:rPr>
        <w:t> </w:t>
      </w:r>
      <w:r w:rsidR="00563D0D" w:rsidRPr="00563D0D">
        <w:rPr>
          <w:rFonts w:ascii="Times New Roman" w:hAnsi="Times New Roman"/>
          <w:lang w:val="pl-PL"/>
        </w:rPr>
        <w:t>art</w:t>
      </w:r>
      <w:r w:rsidRPr="00563D0D">
        <w:rPr>
          <w:rFonts w:ascii="Times New Roman" w:hAnsi="Times New Roman"/>
          <w:lang w:val="pl-PL"/>
        </w:rPr>
        <w:t>.</w:t>
      </w:r>
      <w:r w:rsidR="00563D0D" w:rsidRPr="00563D0D">
        <w:rPr>
          <w:rFonts w:ascii="Times New Roman" w:hAnsi="Times New Roman"/>
          <w:lang w:val="pl-PL"/>
        </w:rPr>
        <w:t> </w:t>
      </w:r>
      <w:r w:rsidRPr="00563D0D">
        <w:rPr>
          <w:rFonts w:ascii="Times New Roman" w:hAnsi="Times New Roman"/>
          <w:lang w:val="pl-PL"/>
        </w:rPr>
        <w:t>3 pkt</w:t>
      </w:r>
      <w:r w:rsidR="00563D0D" w:rsidRPr="00563D0D">
        <w:rPr>
          <w:rFonts w:ascii="Times New Roman" w:hAnsi="Times New Roman"/>
          <w:lang w:val="pl-PL"/>
        </w:rPr>
        <w:t> </w:t>
      </w:r>
      <w:r w:rsidRPr="00563D0D">
        <w:rPr>
          <w:rFonts w:ascii="Times New Roman" w:hAnsi="Times New Roman"/>
          <w:lang w:val="pl-PL"/>
        </w:rPr>
        <w:t xml:space="preserve">7 rozporządzenia (UE) 2022/2371: </w:t>
      </w:r>
      <w:r w:rsidRPr="00563D0D">
        <w:rPr>
          <w:lang w:val="pl-PL"/>
        </w:rPr>
        <w:tab/>
      </w:r>
    </w:p>
    <w:p w14:paraId="6695C808" w14:textId="4C23E491" w:rsidR="005B4CF9" w:rsidRPr="00563D0D" w:rsidRDefault="005B4CF9" w:rsidP="00031422">
      <w:pPr>
        <w:pStyle w:val="FootnoteText"/>
        <w:spacing w:line="240" w:lineRule="auto"/>
        <w:jc w:val="both"/>
        <w:rPr>
          <w:rFonts w:ascii="Times New Roman" w:hAnsi="Times New Roman" w:cs="Times New Roman"/>
          <w:lang w:val="pl-PL"/>
        </w:rPr>
      </w:pPr>
      <w:r w:rsidRPr="00563D0D">
        <w:rPr>
          <w:rFonts w:ascii="Times New Roman" w:hAnsi="Times New Roman"/>
          <w:lang w:val="pl-PL"/>
        </w:rPr>
        <w:t>„Jedno zdrowie” oznacza podejście wielosektorowe, które uznaje, że zdrowie ludzkie jest powiązane ze zdrowiem zwierząt i ze środowiskiem,</w:t>
      </w:r>
      <w:r w:rsidR="00563D0D" w:rsidRPr="00563D0D">
        <w:rPr>
          <w:rFonts w:ascii="Times New Roman" w:hAnsi="Times New Roman"/>
          <w:lang w:val="pl-PL"/>
        </w:rPr>
        <w:t xml:space="preserve"> a</w:t>
      </w:r>
      <w:r w:rsidR="00563D0D">
        <w:rPr>
          <w:rFonts w:ascii="Times New Roman" w:hAnsi="Times New Roman"/>
          <w:lang w:val="pl-PL"/>
        </w:rPr>
        <w:t> </w:t>
      </w:r>
      <w:r w:rsidR="00563D0D" w:rsidRPr="00563D0D">
        <w:rPr>
          <w:rFonts w:ascii="Times New Roman" w:hAnsi="Times New Roman"/>
          <w:lang w:val="pl-PL"/>
        </w:rPr>
        <w:t>dzi</w:t>
      </w:r>
      <w:r w:rsidRPr="00563D0D">
        <w:rPr>
          <w:rFonts w:ascii="Times New Roman" w:hAnsi="Times New Roman"/>
          <w:lang w:val="pl-PL"/>
        </w:rPr>
        <w:t>ałania mające na celu przeciwdziałanie zagrożeniom zdrowia muszą uwzględniać te trzy wymiary.</w:t>
      </w:r>
    </w:p>
  </w:footnote>
  <w:footnote w:id="7">
    <w:p w14:paraId="5B74B73D" w14:textId="0EFD81BE" w:rsidR="00A02810" w:rsidRPr="00563D0D" w:rsidRDefault="00A02810" w:rsidP="00031422">
      <w:pPr>
        <w:pStyle w:val="FootnoteText"/>
        <w:spacing w:line="240" w:lineRule="auto"/>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Zob. art.</w:t>
      </w:r>
      <w:r w:rsidR="00563D0D" w:rsidRPr="00563D0D">
        <w:rPr>
          <w:rFonts w:ascii="Times New Roman" w:hAnsi="Times New Roman"/>
          <w:lang w:val="pl-PL"/>
        </w:rPr>
        <w:t> </w:t>
      </w:r>
      <w:r w:rsidRPr="00563D0D">
        <w:rPr>
          <w:rFonts w:ascii="Times New Roman" w:hAnsi="Times New Roman"/>
          <w:lang w:val="pl-PL"/>
        </w:rPr>
        <w:t>2 ust.</w:t>
      </w:r>
      <w:r w:rsidR="00563D0D" w:rsidRPr="00563D0D">
        <w:rPr>
          <w:rFonts w:ascii="Times New Roman" w:hAnsi="Times New Roman"/>
          <w:lang w:val="pl-PL"/>
        </w:rPr>
        <w:t> </w:t>
      </w:r>
      <w:r w:rsidRPr="00563D0D">
        <w:rPr>
          <w:rFonts w:ascii="Times New Roman" w:hAnsi="Times New Roman"/>
          <w:lang w:val="pl-PL"/>
        </w:rPr>
        <w:t>1 rozporządzenia 2022/2371.</w:t>
      </w:r>
    </w:p>
  </w:footnote>
  <w:footnote w:id="8">
    <w:p w14:paraId="759B40CA" w14:textId="77777777" w:rsidR="00750E41" w:rsidRPr="00563D0D" w:rsidRDefault="00750E41" w:rsidP="00031422">
      <w:pPr>
        <w:pStyle w:val="FootnoteText"/>
        <w:spacing w:line="240" w:lineRule="auto"/>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1">
        <w:r w:rsidRPr="00563D0D">
          <w:rPr>
            <w:rStyle w:val="Hyperlink"/>
            <w:rFonts w:ascii="Times New Roman" w:hAnsi="Times New Roman"/>
            <w:lang w:val="pl-PL"/>
          </w:rPr>
          <w:t>https://commission.europa.eu/strategy-and-policy/coronavirus-response/public-health/eu-vaccines-strategy_pl</w:t>
        </w:r>
      </w:hyperlink>
      <w:r w:rsidRPr="00563D0D">
        <w:rPr>
          <w:rFonts w:ascii="Times New Roman" w:hAnsi="Times New Roman"/>
          <w:lang w:val="pl-PL"/>
        </w:rPr>
        <w:t xml:space="preserve"> </w:t>
      </w:r>
    </w:p>
  </w:footnote>
  <w:footnote w:id="9">
    <w:p w14:paraId="37319F25" w14:textId="5D4CEE27" w:rsidR="001F1738" w:rsidRPr="00563D0D" w:rsidRDefault="001F1738" w:rsidP="00031422">
      <w:pPr>
        <w:pStyle w:val="FootnoteText"/>
        <w:spacing w:line="240" w:lineRule="auto"/>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2" w:history="1">
        <w:r w:rsidRPr="00563D0D">
          <w:rPr>
            <w:rStyle w:val="Hyperlink"/>
            <w:rFonts w:ascii="Times New Roman" w:hAnsi="Times New Roman"/>
            <w:lang w:val="pl-PL"/>
          </w:rPr>
          <w:t>https://www.thelancet.com/journals/laninf/article/PIIS1473-3099(22)00320-6/fulltext</w:t>
        </w:r>
      </w:hyperlink>
      <w:r w:rsidRPr="00563D0D">
        <w:rPr>
          <w:rFonts w:ascii="Times New Roman" w:hAnsi="Times New Roman"/>
          <w:lang w:val="pl-PL"/>
        </w:rPr>
        <w:t xml:space="preserve"> </w:t>
      </w:r>
    </w:p>
  </w:footnote>
  <w:footnote w:id="10">
    <w:p w14:paraId="05B311E1" w14:textId="6B59418E" w:rsidR="001F1738" w:rsidRPr="00563D0D" w:rsidRDefault="001F1738" w:rsidP="00031422">
      <w:pPr>
        <w:pStyle w:val="FootnoteText"/>
        <w:spacing w:line="240" w:lineRule="auto"/>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3" w:history="1">
        <w:r w:rsidRPr="00563D0D">
          <w:rPr>
            <w:rStyle w:val="Hyperlink"/>
            <w:rFonts w:ascii="Times New Roman" w:hAnsi="Times New Roman"/>
            <w:lang w:val="pl-PL"/>
          </w:rPr>
          <w:t>https://www.who.int/publications/i/item/9789241580496</w:t>
        </w:r>
      </w:hyperlink>
      <w:r w:rsidRPr="00563D0D">
        <w:rPr>
          <w:rFonts w:ascii="Times New Roman" w:hAnsi="Times New Roman"/>
          <w:lang w:val="pl-PL"/>
        </w:rPr>
        <w:t xml:space="preserve"> </w:t>
      </w:r>
    </w:p>
  </w:footnote>
  <w:footnote w:id="11">
    <w:p w14:paraId="41C1AA7F" w14:textId="5A34DA4C" w:rsidR="001F1738" w:rsidRPr="00563D0D" w:rsidRDefault="001F1738" w:rsidP="00031422">
      <w:pPr>
        <w:pStyle w:val="FootnoteText"/>
        <w:spacing w:line="240" w:lineRule="auto"/>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4" w:history="1">
        <w:r w:rsidRPr="00563D0D">
          <w:rPr>
            <w:rStyle w:val="Hyperlink"/>
            <w:rFonts w:ascii="Times New Roman" w:hAnsi="Times New Roman"/>
            <w:lang w:val="pl-PL"/>
          </w:rPr>
          <w:t>https://www.ecdc.europa.eu/en/publications-data/interim-public-health-considerations-covid-19-vaccination-roll-out-during-2023</w:t>
        </w:r>
      </w:hyperlink>
      <w:r w:rsidRPr="00563D0D">
        <w:rPr>
          <w:rFonts w:ascii="Times New Roman" w:hAnsi="Times New Roman"/>
          <w:lang w:val="pl-PL"/>
        </w:rPr>
        <w:t xml:space="preserve"> </w:t>
      </w:r>
    </w:p>
  </w:footnote>
  <w:footnote w:id="12">
    <w:p w14:paraId="3F4785BA" w14:textId="4A1250D3" w:rsidR="00EE3209" w:rsidRPr="00563D0D" w:rsidRDefault="00EE3209" w:rsidP="00031422">
      <w:pPr>
        <w:pStyle w:val="FootnoteText"/>
        <w:spacing w:line="240" w:lineRule="auto"/>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Zalecenie Rady</w:t>
      </w:r>
      <w:r w:rsidR="00563D0D" w:rsidRPr="00563D0D">
        <w:rPr>
          <w:rFonts w:ascii="Times New Roman" w:hAnsi="Times New Roman"/>
          <w:lang w:val="pl-PL"/>
        </w:rPr>
        <w:t xml:space="preserve"> z</w:t>
      </w:r>
      <w:r w:rsidR="00563D0D">
        <w:rPr>
          <w:rFonts w:ascii="Times New Roman" w:hAnsi="Times New Roman"/>
          <w:lang w:val="pl-PL"/>
        </w:rPr>
        <w:t> </w:t>
      </w:r>
      <w:r w:rsidR="00563D0D" w:rsidRPr="00563D0D">
        <w:rPr>
          <w:rFonts w:ascii="Times New Roman" w:hAnsi="Times New Roman"/>
          <w:lang w:val="pl-PL"/>
        </w:rPr>
        <w:t>dni</w:t>
      </w:r>
      <w:r w:rsidRPr="00563D0D">
        <w:rPr>
          <w:rFonts w:ascii="Times New Roman" w:hAnsi="Times New Roman"/>
          <w:lang w:val="pl-PL"/>
        </w:rPr>
        <w:t>a 7 grudnia 2018</w:t>
      </w:r>
      <w:r w:rsidR="00563D0D" w:rsidRPr="00563D0D">
        <w:rPr>
          <w:rFonts w:ascii="Times New Roman" w:hAnsi="Times New Roman"/>
          <w:lang w:val="pl-PL"/>
        </w:rPr>
        <w:t> </w:t>
      </w:r>
      <w:r w:rsidRPr="00563D0D">
        <w:rPr>
          <w:rFonts w:ascii="Times New Roman" w:hAnsi="Times New Roman"/>
          <w:lang w:val="pl-PL"/>
        </w:rPr>
        <w:t>r.</w:t>
      </w:r>
      <w:r w:rsidR="00563D0D" w:rsidRPr="00563D0D">
        <w:rPr>
          <w:rFonts w:ascii="Times New Roman" w:hAnsi="Times New Roman"/>
          <w:lang w:val="pl-PL"/>
        </w:rPr>
        <w:t xml:space="preserve"> w</w:t>
      </w:r>
      <w:r w:rsidR="00563D0D">
        <w:rPr>
          <w:rFonts w:ascii="Times New Roman" w:hAnsi="Times New Roman"/>
          <w:lang w:val="pl-PL"/>
        </w:rPr>
        <w:t> </w:t>
      </w:r>
      <w:r w:rsidR="00563D0D" w:rsidRPr="00563D0D">
        <w:rPr>
          <w:rFonts w:ascii="Times New Roman" w:hAnsi="Times New Roman"/>
          <w:lang w:val="pl-PL"/>
        </w:rPr>
        <w:t>spr</w:t>
      </w:r>
      <w:r w:rsidRPr="00563D0D">
        <w:rPr>
          <w:rFonts w:ascii="Times New Roman" w:hAnsi="Times New Roman"/>
          <w:lang w:val="pl-PL"/>
        </w:rPr>
        <w:t>awie ściślejszej współpracy</w:t>
      </w:r>
      <w:r w:rsidR="00563D0D" w:rsidRPr="00563D0D">
        <w:rPr>
          <w:rFonts w:ascii="Times New Roman" w:hAnsi="Times New Roman"/>
          <w:lang w:val="pl-PL"/>
        </w:rPr>
        <w:t xml:space="preserve"> w</w:t>
      </w:r>
      <w:r w:rsidR="00563D0D">
        <w:rPr>
          <w:rFonts w:ascii="Times New Roman" w:hAnsi="Times New Roman"/>
          <w:lang w:val="pl-PL"/>
        </w:rPr>
        <w:t> </w:t>
      </w:r>
      <w:r w:rsidR="00563D0D" w:rsidRPr="00563D0D">
        <w:rPr>
          <w:rFonts w:ascii="Times New Roman" w:hAnsi="Times New Roman"/>
          <w:lang w:val="pl-PL"/>
        </w:rPr>
        <w:t>zak</w:t>
      </w:r>
      <w:r w:rsidRPr="00563D0D">
        <w:rPr>
          <w:rFonts w:ascii="Times New Roman" w:hAnsi="Times New Roman"/>
          <w:lang w:val="pl-PL"/>
        </w:rPr>
        <w:t>resie przeciwdziałania chorobom zwalczanym drogą szczepień, Dz.U. C 466</w:t>
      </w:r>
      <w:r w:rsidR="00563D0D" w:rsidRPr="00563D0D">
        <w:rPr>
          <w:rFonts w:ascii="Times New Roman" w:hAnsi="Times New Roman"/>
          <w:lang w:val="pl-PL"/>
        </w:rPr>
        <w:t xml:space="preserve"> z</w:t>
      </w:r>
      <w:r w:rsidR="00563D0D">
        <w:rPr>
          <w:rFonts w:ascii="Times New Roman" w:hAnsi="Times New Roman"/>
          <w:lang w:val="pl-PL"/>
        </w:rPr>
        <w:t> </w:t>
      </w:r>
      <w:r w:rsidR="00563D0D" w:rsidRPr="00563D0D">
        <w:rPr>
          <w:rFonts w:ascii="Times New Roman" w:hAnsi="Times New Roman"/>
          <w:lang w:val="pl-PL"/>
        </w:rPr>
        <w:t>2</w:t>
      </w:r>
      <w:r w:rsidRPr="00563D0D">
        <w:rPr>
          <w:rFonts w:ascii="Times New Roman" w:hAnsi="Times New Roman"/>
          <w:lang w:val="pl-PL"/>
        </w:rPr>
        <w:t>8.12.2018, s. 1 (</w:t>
      </w:r>
      <w:hyperlink r:id="rId5" w:history="1">
        <w:r w:rsidRPr="00563D0D">
          <w:rPr>
            <w:rStyle w:val="Hyperlink"/>
            <w:rFonts w:ascii="Times New Roman" w:hAnsi="Times New Roman"/>
            <w:lang w:val="pl-PL"/>
          </w:rPr>
          <w:t>https://eur-lex.europa.eu/legal-content/PL/TXT/?uri=OJ%3AJOC_2018_466_R_0001</w:t>
        </w:r>
      </w:hyperlink>
      <w:r w:rsidRPr="00563D0D">
        <w:rPr>
          <w:rFonts w:ascii="Times New Roman" w:hAnsi="Times New Roman"/>
          <w:lang w:val="pl-PL"/>
        </w:rPr>
        <w:t>).</w:t>
      </w:r>
    </w:p>
  </w:footnote>
  <w:footnote w:id="13">
    <w:p w14:paraId="3DB6A819" w14:textId="38A77D3C" w:rsidR="001F1738" w:rsidRPr="00563D0D" w:rsidRDefault="001F1738" w:rsidP="00031422">
      <w:pPr>
        <w:pStyle w:val="FootnoteText"/>
        <w:spacing w:line="240" w:lineRule="auto"/>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6" w:history="1">
        <w:r w:rsidRPr="00563D0D">
          <w:rPr>
            <w:rStyle w:val="Hyperlink"/>
            <w:rFonts w:ascii="Times New Roman" w:hAnsi="Times New Roman"/>
            <w:lang w:val="pl-PL"/>
          </w:rPr>
          <w:t>https://health.ec.europa.eu/system/files/2022-12/2019-2022_roadmap_en.pdf</w:t>
        </w:r>
      </w:hyperlink>
      <w:r w:rsidRPr="00563D0D">
        <w:rPr>
          <w:rFonts w:ascii="Times New Roman" w:hAnsi="Times New Roman"/>
          <w:lang w:val="pl-PL"/>
        </w:rPr>
        <w:t xml:space="preserve"> </w:t>
      </w:r>
    </w:p>
  </w:footnote>
  <w:footnote w:id="14">
    <w:p w14:paraId="235B9862" w14:textId="0C7C48A8" w:rsidR="001F1738" w:rsidRPr="00563D0D" w:rsidRDefault="001F1738" w:rsidP="00031422">
      <w:pPr>
        <w:pStyle w:val="FootnoteText"/>
        <w:spacing w:line="240" w:lineRule="auto"/>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7" w:history="1">
        <w:r w:rsidRPr="00563D0D">
          <w:rPr>
            <w:rStyle w:val="Hyperlink"/>
            <w:rFonts w:ascii="Times New Roman" w:hAnsi="Times New Roman"/>
            <w:lang w:val="pl-PL"/>
          </w:rPr>
          <w:t>https://op.europa.eu/en/publication-detail/-/publication/8ba3bd75-7c38-11ed-9887-01aa75ed71a1/language-en</w:t>
        </w:r>
      </w:hyperlink>
      <w:r w:rsidRPr="00563D0D">
        <w:rPr>
          <w:rFonts w:ascii="Times New Roman" w:hAnsi="Times New Roman"/>
          <w:lang w:val="pl-PL"/>
        </w:rPr>
        <w:t xml:space="preserve"> </w:t>
      </w:r>
    </w:p>
  </w:footnote>
  <w:footnote w:id="15">
    <w:p w14:paraId="0BF19E27" w14:textId="16FC110D" w:rsidR="001F1738" w:rsidRPr="00563D0D" w:rsidRDefault="001F1738" w:rsidP="00031422">
      <w:pPr>
        <w:pStyle w:val="FootnoteText"/>
        <w:spacing w:line="240" w:lineRule="auto"/>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8" w:history="1">
        <w:r w:rsidRPr="00563D0D">
          <w:rPr>
            <w:rStyle w:val="Hyperlink"/>
            <w:rFonts w:ascii="Times New Roman" w:hAnsi="Times New Roman"/>
            <w:lang w:val="pl-PL"/>
          </w:rPr>
          <w:t>https://knowledge4policy.ec.europa.eu/projects-activities/behavioural-insights-eu-bi4eu_en</w:t>
        </w:r>
      </w:hyperlink>
      <w:r w:rsidRPr="00563D0D">
        <w:rPr>
          <w:rFonts w:ascii="Times New Roman" w:hAnsi="Times New Roman"/>
          <w:lang w:val="pl-PL"/>
        </w:rPr>
        <w:t xml:space="preserve"> </w:t>
      </w:r>
    </w:p>
  </w:footnote>
  <w:footnote w:id="16">
    <w:p w14:paraId="4F4CFAA2" w14:textId="5F26E627" w:rsidR="001F1738" w:rsidRPr="00563D0D" w:rsidRDefault="001F1738" w:rsidP="00031422">
      <w:pPr>
        <w:pStyle w:val="FootnoteText"/>
        <w:spacing w:line="240" w:lineRule="auto"/>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9" w:history="1">
        <w:r w:rsidRPr="00563D0D">
          <w:rPr>
            <w:rStyle w:val="Hyperlink"/>
            <w:rFonts w:ascii="Times New Roman" w:hAnsi="Times New Roman"/>
            <w:lang w:val="pl-PL"/>
          </w:rPr>
          <w:t>https://vaccination-info.eu/pl</w:t>
        </w:r>
      </w:hyperlink>
      <w:r w:rsidRPr="00563D0D">
        <w:rPr>
          <w:rFonts w:ascii="Times New Roman" w:hAnsi="Times New Roman"/>
          <w:lang w:val="pl-PL"/>
        </w:rPr>
        <w:t xml:space="preserve"> </w:t>
      </w:r>
    </w:p>
  </w:footnote>
  <w:footnote w:id="17">
    <w:p w14:paraId="57380918" w14:textId="72585C7A" w:rsidR="001F1738" w:rsidRPr="00563D0D" w:rsidRDefault="001F1738" w:rsidP="00031422">
      <w:pPr>
        <w:pStyle w:val="FootnoteText"/>
        <w:spacing w:line="240" w:lineRule="auto"/>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10" w:history="1">
        <w:r w:rsidRPr="00563D0D">
          <w:rPr>
            <w:rStyle w:val="Hyperlink"/>
            <w:rFonts w:ascii="Times New Roman" w:hAnsi="Times New Roman"/>
            <w:lang w:val="pl-PL"/>
          </w:rPr>
          <w:t>https://health.ec.europa.eu/non-communicable-diseases/expert-group-public-health_pl</w:t>
        </w:r>
      </w:hyperlink>
      <w:r w:rsidRPr="00563D0D">
        <w:rPr>
          <w:rFonts w:ascii="Times New Roman" w:hAnsi="Times New Roman"/>
          <w:lang w:val="pl-PL"/>
        </w:rPr>
        <w:t xml:space="preserve"> </w:t>
      </w:r>
    </w:p>
  </w:footnote>
  <w:footnote w:id="18">
    <w:p w14:paraId="7C32239B" w14:textId="77777777" w:rsidR="00A02810" w:rsidRPr="00563D0D" w:rsidRDefault="00A02810" w:rsidP="00031422">
      <w:pPr>
        <w:pStyle w:val="FootnoteText"/>
        <w:spacing w:line="240" w:lineRule="auto"/>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11" w:history="1">
        <w:r w:rsidRPr="00563D0D">
          <w:rPr>
            <w:rStyle w:val="Hyperlink"/>
            <w:rFonts w:ascii="Times New Roman" w:hAnsi="Times New Roman"/>
            <w:lang w:val="pl-PL"/>
          </w:rPr>
          <w:t>https://eva.ecdc.europa.eu/</w:t>
        </w:r>
      </w:hyperlink>
      <w:r w:rsidRPr="00563D0D">
        <w:rPr>
          <w:rFonts w:ascii="Times New Roman" w:hAnsi="Times New Roman"/>
          <w:lang w:val="pl-PL"/>
        </w:rPr>
        <w:t xml:space="preserve"> </w:t>
      </w:r>
    </w:p>
  </w:footnote>
  <w:footnote w:id="19">
    <w:p w14:paraId="1BC1BB4F" w14:textId="42E0AD41" w:rsidR="001F1738" w:rsidRPr="00563D0D" w:rsidRDefault="001F1738" w:rsidP="00031422">
      <w:pPr>
        <w:pStyle w:val="FootnoteText"/>
        <w:spacing w:line="240" w:lineRule="auto"/>
        <w:contextualSpacing/>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12" w:history="1">
        <w:r w:rsidRPr="00563D0D">
          <w:rPr>
            <w:rStyle w:val="Hyperlink"/>
            <w:rFonts w:ascii="Times New Roman" w:hAnsi="Times New Roman"/>
            <w:lang w:val="pl-PL"/>
          </w:rPr>
          <w:t>https://eur-lex.europa.eu/legal-content/PL/TXT/?uri=COM:2021:44:FIN</w:t>
        </w:r>
      </w:hyperlink>
      <w:r w:rsidRPr="00563D0D">
        <w:rPr>
          <w:rFonts w:ascii="Times New Roman" w:hAnsi="Times New Roman"/>
          <w:lang w:val="pl-PL"/>
        </w:rPr>
        <w:t xml:space="preserve"> </w:t>
      </w:r>
    </w:p>
  </w:footnote>
  <w:footnote w:id="20">
    <w:p w14:paraId="6DE3EDAF" w14:textId="09D09FB6" w:rsidR="001F1738" w:rsidRPr="00563D0D" w:rsidRDefault="001F1738" w:rsidP="00031422">
      <w:pPr>
        <w:pStyle w:val="FootnoteText"/>
        <w:spacing w:line="240" w:lineRule="auto"/>
        <w:contextualSpacing/>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13" w:history="1">
        <w:r w:rsidRPr="00563D0D">
          <w:rPr>
            <w:rStyle w:val="Hyperlink"/>
            <w:rFonts w:ascii="Times New Roman" w:hAnsi="Times New Roman"/>
            <w:lang w:val="pl-PL"/>
          </w:rPr>
          <w:t>https://www.ecdc.europa.eu/sites/default/files/documents/Health-burden-infections-antibiotic-resistant-bacteria.pdf</w:t>
        </w:r>
      </w:hyperlink>
    </w:p>
  </w:footnote>
  <w:footnote w:id="21">
    <w:p w14:paraId="5C22339B" w14:textId="238BD1E0" w:rsidR="001F1738" w:rsidRPr="00563D0D" w:rsidRDefault="001F1738" w:rsidP="00031422">
      <w:pPr>
        <w:pStyle w:val="FootnoteText"/>
        <w:spacing w:line="240" w:lineRule="auto"/>
        <w:contextualSpacing/>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14" w:history="1">
        <w:r w:rsidRPr="00563D0D">
          <w:rPr>
            <w:rStyle w:val="Hyperlink"/>
            <w:rFonts w:ascii="Times New Roman" w:hAnsi="Times New Roman"/>
            <w:lang w:val="pl-PL"/>
          </w:rPr>
          <w:t>https://health.ec.europa.eu/system/files/2020-01/amr_2017_action-plan_0.pdf</w:t>
        </w:r>
      </w:hyperlink>
      <w:r w:rsidRPr="00563D0D">
        <w:rPr>
          <w:rFonts w:ascii="Times New Roman" w:hAnsi="Times New Roman"/>
          <w:lang w:val="pl-PL"/>
        </w:rPr>
        <w:t xml:space="preserve"> </w:t>
      </w:r>
    </w:p>
  </w:footnote>
  <w:footnote w:id="22">
    <w:p w14:paraId="4872EC60" w14:textId="57D165F4" w:rsidR="002A5AB8" w:rsidRPr="00563D0D" w:rsidRDefault="001F1738" w:rsidP="00031422">
      <w:pPr>
        <w:pStyle w:val="FootnoteText"/>
        <w:spacing w:line="240" w:lineRule="auto"/>
        <w:contextualSpacing/>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Zalecenie Rady</w:t>
      </w:r>
      <w:r w:rsidR="00563D0D" w:rsidRPr="00563D0D">
        <w:rPr>
          <w:rFonts w:ascii="Times New Roman" w:hAnsi="Times New Roman"/>
          <w:lang w:val="pl-PL"/>
        </w:rPr>
        <w:t xml:space="preserve"> w</w:t>
      </w:r>
      <w:r w:rsidR="00563D0D">
        <w:rPr>
          <w:rFonts w:ascii="Times New Roman" w:hAnsi="Times New Roman"/>
          <w:lang w:val="pl-PL"/>
        </w:rPr>
        <w:t> </w:t>
      </w:r>
      <w:r w:rsidR="00563D0D" w:rsidRPr="00563D0D">
        <w:rPr>
          <w:rFonts w:ascii="Times New Roman" w:hAnsi="Times New Roman"/>
          <w:lang w:val="pl-PL"/>
        </w:rPr>
        <w:t>spr</w:t>
      </w:r>
      <w:r w:rsidRPr="00563D0D">
        <w:rPr>
          <w:rFonts w:ascii="Times New Roman" w:hAnsi="Times New Roman"/>
          <w:lang w:val="pl-PL"/>
        </w:rPr>
        <w:t>awie intensyfikacji działań</w:t>
      </w:r>
      <w:r w:rsidR="00563D0D" w:rsidRPr="00563D0D">
        <w:rPr>
          <w:rFonts w:ascii="Times New Roman" w:hAnsi="Times New Roman"/>
          <w:lang w:val="pl-PL"/>
        </w:rPr>
        <w:t xml:space="preserve"> w</w:t>
      </w:r>
      <w:r w:rsidR="00563D0D">
        <w:rPr>
          <w:rFonts w:ascii="Times New Roman" w:hAnsi="Times New Roman"/>
          <w:lang w:val="pl-PL"/>
        </w:rPr>
        <w:t> </w:t>
      </w:r>
      <w:r w:rsidR="00563D0D" w:rsidRPr="00563D0D">
        <w:rPr>
          <w:rFonts w:ascii="Times New Roman" w:hAnsi="Times New Roman"/>
          <w:lang w:val="pl-PL"/>
        </w:rPr>
        <w:t>zak</w:t>
      </w:r>
      <w:r w:rsidRPr="00563D0D">
        <w:rPr>
          <w:rFonts w:ascii="Times New Roman" w:hAnsi="Times New Roman"/>
          <w:lang w:val="pl-PL"/>
        </w:rPr>
        <w:t>resie zwalczania oporności na środki przeciwdrobnoustrojowe</w:t>
      </w:r>
      <w:r w:rsidR="00563D0D" w:rsidRPr="00563D0D">
        <w:rPr>
          <w:rFonts w:ascii="Times New Roman" w:hAnsi="Times New Roman"/>
          <w:lang w:val="pl-PL"/>
        </w:rPr>
        <w:t xml:space="preserve"> w</w:t>
      </w:r>
      <w:r w:rsidR="00563D0D">
        <w:rPr>
          <w:rFonts w:ascii="Times New Roman" w:hAnsi="Times New Roman"/>
          <w:lang w:val="pl-PL"/>
        </w:rPr>
        <w:t> </w:t>
      </w:r>
      <w:r w:rsidR="00563D0D" w:rsidRPr="00563D0D">
        <w:rPr>
          <w:rFonts w:ascii="Times New Roman" w:hAnsi="Times New Roman"/>
          <w:lang w:val="pl-PL"/>
        </w:rPr>
        <w:t>ram</w:t>
      </w:r>
      <w:r w:rsidRPr="00563D0D">
        <w:rPr>
          <w:rFonts w:ascii="Times New Roman" w:hAnsi="Times New Roman"/>
          <w:lang w:val="pl-PL"/>
        </w:rPr>
        <w:t>ach podejścia „Jedno zdrowie” (2023/C 220/01), Dz.U. C 220</w:t>
      </w:r>
      <w:r w:rsidR="00563D0D" w:rsidRPr="00563D0D">
        <w:rPr>
          <w:rFonts w:ascii="Times New Roman" w:hAnsi="Times New Roman"/>
          <w:lang w:val="pl-PL"/>
        </w:rPr>
        <w:t xml:space="preserve"> z</w:t>
      </w:r>
      <w:r w:rsidR="00563D0D">
        <w:rPr>
          <w:rFonts w:ascii="Times New Roman" w:hAnsi="Times New Roman"/>
          <w:lang w:val="pl-PL"/>
        </w:rPr>
        <w:t> </w:t>
      </w:r>
      <w:r w:rsidR="00563D0D" w:rsidRPr="00563D0D">
        <w:rPr>
          <w:rFonts w:ascii="Times New Roman" w:hAnsi="Times New Roman"/>
          <w:lang w:val="pl-PL"/>
        </w:rPr>
        <w:t>2</w:t>
      </w:r>
      <w:r w:rsidRPr="00563D0D">
        <w:rPr>
          <w:rFonts w:ascii="Times New Roman" w:hAnsi="Times New Roman"/>
          <w:lang w:val="pl-PL"/>
        </w:rPr>
        <w:t>2.6.2023, s. 1.</w:t>
      </w:r>
    </w:p>
    <w:p w14:paraId="2722A3D7" w14:textId="3AB4E2F0" w:rsidR="001F1738" w:rsidRPr="00563D0D" w:rsidRDefault="00BA233D" w:rsidP="00031422">
      <w:pPr>
        <w:pStyle w:val="FootnoteText"/>
        <w:spacing w:line="240" w:lineRule="auto"/>
        <w:jc w:val="both"/>
        <w:rPr>
          <w:rFonts w:ascii="Times New Roman" w:hAnsi="Times New Roman" w:cs="Times New Roman"/>
          <w:lang w:val="pl-PL"/>
        </w:rPr>
      </w:pPr>
      <w:r w:rsidRPr="00563D0D">
        <w:rPr>
          <w:rFonts w:ascii="Times New Roman" w:hAnsi="Times New Roman"/>
          <w:lang w:val="pl-PL"/>
        </w:rPr>
        <w:t xml:space="preserve"> (</w:t>
      </w:r>
      <w:hyperlink r:id="rId15" w:history="1">
        <w:r w:rsidRPr="00563D0D">
          <w:rPr>
            <w:rStyle w:val="Hyperlink"/>
            <w:rFonts w:ascii="Times New Roman" w:hAnsi="Times New Roman"/>
            <w:lang w:val="pl-PL"/>
          </w:rPr>
          <w:t>https://eur-lex.europa.eu/legal-content/PL/TXT/?uri=CELEX%3A32023H0622%2801%29</w:t>
        </w:r>
      </w:hyperlink>
      <w:r w:rsidRPr="00563D0D">
        <w:rPr>
          <w:rFonts w:ascii="Times New Roman" w:hAnsi="Times New Roman"/>
          <w:lang w:val="pl-PL"/>
        </w:rPr>
        <w:t xml:space="preserve">). </w:t>
      </w:r>
    </w:p>
  </w:footnote>
  <w:footnote w:id="23">
    <w:p w14:paraId="13CD6708" w14:textId="7CFB6739" w:rsidR="001F1738" w:rsidRPr="00563D0D" w:rsidRDefault="001F1738" w:rsidP="00031422">
      <w:pPr>
        <w:pStyle w:val="FootnoteText"/>
        <w:spacing w:line="240" w:lineRule="auto"/>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16" w:history="1">
        <w:r w:rsidRPr="00563D0D">
          <w:rPr>
            <w:rStyle w:val="Hyperlink"/>
            <w:rFonts w:ascii="Times New Roman" w:hAnsi="Times New Roman"/>
            <w:lang w:val="pl-PL"/>
          </w:rPr>
          <w:t>https://commission.europa.eu/strategy-and-policy/priorities-2019-2024/promoting-our-european-way-life/european-health-union/reform-eu-pharmaceutical-legislation_pl</w:t>
        </w:r>
      </w:hyperlink>
    </w:p>
  </w:footnote>
  <w:footnote w:id="24">
    <w:p w14:paraId="66185EF0" w14:textId="1242051B" w:rsidR="004A3885" w:rsidRPr="00563D0D" w:rsidRDefault="004A3885" w:rsidP="00031422">
      <w:pPr>
        <w:pStyle w:val="FootnoteText"/>
        <w:spacing w:line="240" w:lineRule="auto"/>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Dzięki bonowi podmiot opracowujący lek otrzyma dodatkowy rok ochrony danych przed konkurencją</w:t>
      </w:r>
      <w:r w:rsidR="00563D0D" w:rsidRPr="00563D0D">
        <w:rPr>
          <w:rFonts w:ascii="Times New Roman" w:hAnsi="Times New Roman"/>
          <w:lang w:val="pl-PL"/>
        </w:rPr>
        <w:t xml:space="preserve"> w</w:t>
      </w:r>
      <w:r w:rsidR="00563D0D">
        <w:rPr>
          <w:rFonts w:ascii="Times New Roman" w:hAnsi="Times New Roman"/>
          <w:lang w:val="pl-PL"/>
        </w:rPr>
        <w:t> </w:t>
      </w:r>
      <w:r w:rsidR="00563D0D" w:rsidRPr="00563D0D">
        <w:rPr>
          <w:rFonts w:ascii="Times New Roman" w:hAnsi="Times New Roman"/>
          <w:lang w:val="pl-PL"/>
        </w:rPr>
        <w:t>odn</w:t>
      </w:r>
      <w:r w:rsidRPr="00563D0D">
        <w:rPr>
          <w:rFonts w:ascii="Times New Roman" w:hAnsi="Times New Roman"/>
          <w:lang w:val="pl-PL"/>
        </w:rPr>
        <w:t>iesieniu do leku, na który przeznaczony jest bon.</w:t>
      </w:r>
    </w:p>
  </w:footnote>
  <w:footnote w:id="25">
    <w:p w14:paraId="03DE0932" w14:textId="30F7AEA3" w:rsidR="002F4CA6" w:rsidRPr="00563D0D" w:rsidRDefault="002F4CA6" w:rsidP="00031422">
      <w:pPr>
        <w:pStyle w:val="FootnoteText"/>
        <w:spacing w:line="240" w:lineRule="auto"/>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17" w:history="1">
        <w:r w:rsidRPr="00563D0D">
          <w:rPr>
            <w:rStyle w:val="Hyperlink"/>
            <w:rFonts w:ascii="Times New Roman" w:hAnsi="Times New Roman"/>
            <w:lang w:val="pl-PL"/>
          </w:rPr>
          <w:t>https://health.ec.europa.eu/funding/eu4health-programme-2021-2027-vision-healthier-european-union_pl</w:t>
        </w:r>
      </w:hyperlink>
    </w:p>
  </w:footnote>
  <w:footnote w:id="26">
    <w:p w14:paraId="725E8F96" w14:textId="0B9CB2FE" w:rsidR="00831B85" w:rsidRPr="00563D0D" w:rsidRDefault="00831B85" w:rsidP="00031422">
      <w:pPr>
        <w:pStyle w:val="FootnoteText"/>
        <w:spacing w:line="240" w:lineRule="auto"/>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Zob. również poniższa sekcja dotycząca bezpiecznych</w:t>
      </w:r>
      <w:r w:rsidR="00563D0D" w:rsidRPr="00563D0D">
        <w:rPr>
          <w:rFonts w:ascii="Times New Roman" w:hAnsi="Times New Roman"/>
          <w:lang w:val="pl-PL"/>
        </w:rPr>
        <w:t xml:space="preserve"> i</w:t>
      </w:r>
      <w:r w:rsidR="00563D0D">
        <w:rPr>
          <w:rFonts w:ascii="Times New Roman" w:hAnsi="Times New Roman"/>
          <w:lang w:val="pl-PL"/>
        </w:rPr>
        <w:t> </w:t>
      </w:r>
      <w:r w:rsidR="00563D0D" w:rsidRPr="00563D0D">
        <w:rPr>
          <w:rFonts w:ascii="Times New Roman" w:hAnsi="Times New Roman"/>
          <w:lang w:val="pl-PL"/>
        </w:rPr>
        <w:t>sku</w:t>
      </w:r>
      <w:r w:rsidRPr="00563D0D">
        <w:rPr>
          <w:rFonts w:ascii="Times New Roman" w:hAnsi="Times New Roman"/>
          <w:lang w:val="pl-PL"/>
        </w:rPr>
        <w:t>tecznych produktów leczniczych</w:t>
      </w:r>
      <w:r w:rsidR="00563D0D" w:rsidRPr="00563D0D">
        <w:rPr>
          <w:rFonts w:ascii="Times New Roman" w:hAnsi="Times New Roman"/>
          <w:lang w:val="pl-PL"/>
        </w:rPr>
        <w:t xml:space="preserve"> i</w:t>
      </w:r>
      <w:r w:rsidR="00563D0D">
        <w:rPr>
          <w:rFonts w:ascii="Times New Roman" w:hAnsi="Times New Roman"/>
          <w:lang w:val="pl-PL"/>
        </w:rPr>
        <w:t> </w:t>
      </w:r>
      <w:r w:rsidR="00563D0D" w:rsidRPr="00563D0D">
        <w:rPr>
          <w:rFonts w:ascii="Times New Roman" w:hAnsi="Times New Roman"/>
          <w:lang w:val="pl-PL"/>
        </w:rPr>
        <w:t>wyr</w:t>
      </w:r>
      <w:r w:rsidRPr="00563D0D">
        <w:rPr>
          <w:rFonts w:ascii="Times New Roman" w:hAnsi="Times New Roman"/>
          <w:lang w:val="pl-PL"/>
        </w:rPr>
        <w:t>obów medycznych.</w:t>
      </w:r>
    </w:p>
  </w:footnote>
  <w:footnote w:id="27">
    <w:p w14:paraId="24A0A05D" w14:textId="07D9F472" w:rsidR="009F619B" w:rsidRPr="00563D0D" w:rsidRDefault="009F619B" w:rsidP="00031422">
      <w:pPr>
        <w:pStyle w:val="FootnoteText"/>
        <w:spacing w:line="240" w:lineRule="auto"/>
        <w:rPr>
          <w:lang w:val="pl-PL"/>
        </w:rPr>
      </w:pPr>
      <w:r w:rsidRPr="00563D0D">
        <w:rPr>
          <w:rStyle w:val="FootnoteReference"/>
          <w:lang w:val="pl-PL"/>
        </w:rPr>
        <w:footnoteRef/>
      </w:r>
      <w:r w:rsidRPr="00563D0D">
        <w:rPr>
          <w:rFonts w:ascii="Times New Roman" w:hAnsi="Times New Roman"/>
          <w:lang w:val="pl-PL"/>
        </w:rPr>
        <w:t xml:space="preserve"> Komunikat Komisji do Parlamentu Europejskiego, Rady, Europejskiego Komitetu Ekonomiczno-Społecznego</w:t>
      </w:r>
      <w:r w:rsidR="00563D0D" w:rsidRPr="00563D0D">
        <w:rPr>
          <w:rFonts w:ascii="Times New Roman" w:hAnsi="Times New Roman"/>
          <w:lang w:val="pl-PL"/>
        </w:rPr>
        <w:t xml:space="preserve"> i</w:t>
      </w:r>
      <w:r w:rsidR="00563D0D">
        <w:rPr>
          <w:rFonts w:ascii="Times New Roman" w:hAnsi="Times New Roman"/>
          <w:lang w:val="pl-PL"/>
        </w:rPr>
        <w:t> </w:t>
      </w:r>
      <w:r w:rsidR="00563D0D" w:rsidRPr="00563D0D">
        <w:rPr>
          <w:rFonts w:ascii="Times New Roman" w:hAnsi="Times New Roman"/>
          <w:lang w:val="pl-PL"/>
        </w:rPr>
        <w:t>Kom</w:t>
      </w:r>
      <w:r w:rsidRPr="00563D0D">
        <w:rPr>
          <w:rFonts w:ascii="Times New Roman" w:hAnsi="Times New Roman"/>
          <w:lang w:val="pl-PL"/>
        </w:rPr>
        <w:t>itetu Regionów „Eliminowanie niedoborów leków w UE”, COM(2023) 672 final</w:t>
      </w:r>
      <w:r w:rsidRPr="00563D0D">
        <w:rPr>
          <w:lang w:val="pl-PL"/>
        </w:rPr>
        <w:t xml:space="preserve"> (</w:t>
      </w:r>
      <w:hyperlink r:id="rId18" w:history="1">
        <w:r w:rsidRPr="00563D0D">
          <w:rPr>
            <w:rStyle w:val="Hyperlink"/>
            <w:rFonts w:ascii="Times New Roman" w:hAnsi="Times New Roman"/>
            <w:lang w:val="pl-PL"/>
          </w:rPr>
          <w:t>https://eur-lex.europa.eu/legal-content/PL/TXT/?uri=COM:2023:672:FIN</w:t>
        </w:r>
      </w:hyperlink>
      <w:r w:rsidRPr="00563D0D">
        <w:rPr>
          <w:rFonts w:ascii="Times New Roman" w:hAnsi="Times New Roman"/>
          <w:lang w:val="pl-PL"/>
        </w:rPr>
        <w:t xml:space="preserve">). </w:t>
      </w:r>
    </w:p>
  </w:footnote>
  <w:footnote w:id="28">
    <w:p w14:paraId="49F64AF0" w14:textId="53B3FED3" w:rsidR="001F1738" w:rsidRPr="00563D0D" w:rsidRDefault="001F1738" w:rsidP="00BC2F11">
      <w:pPr>
        <w:pStyle w:val="FootnoteText"/>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19" w:history="1">
        <w:r w:rsidRPr="00563D0D">
          <w:rPr>
            <w:rStyle w:val="Hyperlink"/>
            <w:rFonts w:ascii="Times New Roman" w:hAnsi="Times New Roman"/>
            <w:lang w:val="pl-PL"/>
          </w:rPr>
          <w:t>https://gardp.org/</w:t>
        </w:r>
      </w:hyperlink>
      <w:r w:rsidRPr="00563D0D">
        <w:rPr>
          <w:rFonts w:ascii="Times New Roman" w:hAnsi="Times New Roman"/>
          <w:lang w:val="pl-PL"/>
        </w:rPr>
        <w:t xml:space="preserve"> </w:t>
      </w:r>
    </w:p>
  </w:footnote>
  <w:footnote w:id="29">
    <w:p w14:paraId="08A5B966" w14:textId="33459E8C" w:rsidR="001F1738" w:rsidRPr="00563D0D" w:rsidRDefault="001F1738" w:rsidP="00BC2F11">
      <w:pPr>
        <w:pStyle w:val="FootnoteText"/>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20" w:history="1">
        <w:r w:rsidRPr="00563D0D">
          <w:rPr>
            <w:rStyle w:val="Hyperlink"/>
            <w:rFonts w:ascii="Times New Roman" w:hAnsi="Times New Roman"/>
            <w:lang w:val="pl-PL"/>
          </w:rPr>
          <w:t>https://www.who.int/groups/secure-expanding-sustainable-access-to-antibiotics</w:t>
        </w:r>
      </w:hyperlink>
    </w:p>
  </w:footnote>
  <w:footnote w:id="30">
    <w:p w14:paraId="58C63A39" w14:textId="181852F5" w:rsidR="001F1738" w:rsidRPr="00563D0D" w:rsidRDefault="001F1738" w:rsidP="00BC2F11">
      <w:pPr>
        <w:pStyle w:val="FootnoteText"/>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 ramach działania CP-g-06.7: „Wzmocnienie gotowości</w:t>
      </w:r>
      <w:r w:rsidR="00563D0D" w:rsidRPr="00563D0D">
        <w:rPr>
          <w:rFonts w:ascii="Times New Roman" w:hAnsi="Times New Roman"/>
          <w:lang w:val="pl-PL"/>
        </w:rPr>
        <w:t xml:space="preserve"> i</w:t>
      </w:r>
      <w:r w:rsidR="00563D0D">
        <w:rPr>
          <w:rFonts w:ascii="Times New Roman" w:hAnsi="Times New Roman"/>
          <w:lang w:val="pl-PL"/>
        </w:rPr>
        <w:t> </w:t>
      </w:r>
      <w:r w:rsidR="00563D0D" w:rsidRPr="00563D0D">
        <w:rPr>
          <w:rFonts w:ascii="Times New Roman" w:hAnsi="Times New Roman"/>
          <w:lang w:val="pl-PL"/>
        </w:rPr>
        <w:t>rea</w:t>
      </w:r>
      <w:r w:rsidRPr="00563D0D">
        <w:rPr>
          <w:rFonts w:ascii="Times New Roman" w:hAnsi="Times New Roman"/>
          <w:lang w:val="pl-PL"/>
        </w:rPr>
        <w:t>gowania</w:t>
      </w:r>
      <w:r w:rsidR="00563D0D" w:rsidRPr="00563D0D">
        <w:rPr>
          <w:rFonts w:ascii="Times New Roman" w:hAnsi="Times New Roman"/>
          <w:lang w:val="pl-PL"/>
        </w:rPr>
        <w:t xml:space="preserve"> w</w:t>
      </w:r>
      <w:r w:rsidR="00563D0D">
        <w:rPr>
          <w:rFonts w:ascii="Times New Roman" w:hAnsi="Times New Roman"/>
          <w:lang w:val="pl-PL"/>
        </w:rPr>
        <w:t> </w:t>
      </w:r>
      <w:r w:rsidR="00563D0D" w:rsidRPr="00563D0D">
        <w:rPr>
          <w:rFonts w:ascii="Times New Roman" w:hAnsi="Times New Roman"/>
          <w:lang w:val="pl-PL"/>
        </w:rPr>
        <w:t>prz</w:t>
      </w:r>
      <w:r w:rsidRPr="00563D0D">
        <w:rPr>
          <w:rFonts w:ascii="Times New Roman" w:hAnsi="Times New Roman"/>
          <w:lang w:val="pl-PL"/>
        </w:rPr>
        <w:t>ypadku transgranicznych zagrożeń zdrowia na poziomie globalnym” (program prac dotyczący Programu UE dla zdrowia na</w:t>
      </w:r>
      <w:r w:rsidR="00563D0D" w:rsidRPr="00563D0D">
        <w:rPr>
          <w:rFonts w:ascii="Times New Roman" w:hAnsi="Times New Roman"/>
          <w:lang w:val="pl-PL"/>
        </w:rPr>
        <w:t> </w:t>
      </w:r>
      <w:r w:rsidRPr="00563D0D">
        <w:rPr>
          <w:rFonts w:ascii="Times New Roman" w:hAnsi="Times New Roman"/>
          <w:lang w:val="pl-PL"/>
        </w:rPr>
        <w:t>2021</w:t>
      </w:r>
      <w:r w:rsidR="00563D0D" w:rsidRPr="00563D0D">
        <w:rPr>
          <w:rFonts w:ascii="Times New Roman" w:hAnsi="Times New Roman"/>
          <w:lang w:val="pl-PL"/>
        </w:rPr>
        <w:t> </w:t>
      </w:r>
      <w:r w:rsidRPr="00563D0D">
        <w:rPr>
          <w:rFonts w:ascii="Times New Roman" w:hAnsi="Times New Roman"/>
          <w:lang w:val="pl-PL"/>
        </w:rPr>
        <w:t>r.) udostępniono łącznie 8 mln EUR.</w:t>
      </w:r>
    </w:p>
  </w:footnote>
  <w:footnote w:id="31">
    <w:p w14:paraId="47B47113" w14:textId="0732F667" w:rsidR="001F1738" w:rsidRPr="00563D0D" w:rsidRDefault="001F1738" w:rsidP="00BC2F11">
      <w:pPr>
        <w:pStyle w:val="FootnoteText"/>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Komisja ogłosiła zaproszenie do składania ofert</w:t>
      </w:r>
      <w:r w:rsidR="00563D0D" w:rsidRPr="00563D0D">
        <w:rPr>
          <w:rFonts w:ascii="Times New Roman" w:hAnsi="Times New Roman"/>
          <w:lang w:val="pl-PL"/>
        </w:rPr>
        <w:t xml:space="preserve"> o</w:t>
      </w:r>
      <w:r w:rsidR="00563D0D">
        <w:rPr>
          <w:rFonts w:ascii="Times New Roman" w:hAnsi="Times New Roman"/>
          <w:lang w:val="pl-PL"/>
        </w:rPr>
        <w:t> </w:t>
      </w:r>
      <w:r w:rsidR="00563D0D" w:rsidRPr="00563D0D">
        <w:rPr>
          <w:rFonts w:ascii="Times New Roman" w:hAnsi="Times New Roman"/>
          <w:lang w:val="pl-PL"/>
        </w:rPr>
        <w:t>war</w:t>
      </w:r>
      <w:r w:rsidRPr="00563D0D">
        <w:rPr>
          <w:rFonts w:ascii="Times New Roman" w:hAnsi="Times New Roman"/>
          <w:lang w:val="pl-PL"/>
        </w:rPr>
        <w:t>tości 82 mln EUR: „Przyspieszenie rozwoju innowacyjnych medycznych środków przeciwdziałania</w:t>
      </w:r>
      <w:r w:rsidR="00563D0D" w:rsidRPr="00563D0D">
        <w:rPr>
          <w:rFonts w:ascii="Times New Roman" w:hAnsi="Times New Roman"/>
          <w:lang w:val="pl-PL"/>
        </w:rPr>
        <w:t xml:space="preserve"> i</w:t>
      </w:r>
      <w:r w:rsidR="00563D0D">
        <w:rPr>
          <w:rFonts w:ascii="Times New Roman" w:hAnsi="Times New Roman"/>
          <w:lang w:val="pl-PL"/>
        </w:rPr>
        <w:t> </w:t>
      </w:r>
      <w:r w:rsidR="00563D0D" w:rsidRPr="00563D0D">
        <w:rPr>
          <w:rFonts w:ascii="Times New Roman" w:hAnsi="Times New Roman"/>
          <w:lang w:val="pl-PL"/>
        </w:rPr>
        <w:t>uła</w:t>
      </w:r>
      <w:r w:rsidRPr="00563D0D">
        <w:rPr>
          <w:rFonts w:ascii="Times New Roman" w:hAnsi="Times New Roman"/>
          <w:lang w:val="pl-PL"/>
        </w:rPr>
        <w:t>twienie dostępu do nich”.</w:t>
      </w:r>
    </w:p>
  </w:footnote>
  <w:footnote w:id="32">
    <w:p w14:paraId="7062D3F8" w14:textId="49C6BA59" w:rsidR="001F1738" w:rsidRPr="00563D0D" w:rsidRDefault="001F1738" w:rsidP="00BC2F11">
      <w:pPr>
        <w:pStyle w:val="FootnoteText"/>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21" w:history="1">
        <w:r w:rsidRPr="00563D0D">
          <w:rPr>
            <w:rStyle w:val="Hyperlink"/>
            <w:rFonts w:ascii="Times New Roman" w:hAnsi="Times New Roman"/>
            <w:lang w:val="pl-PL"/>
          </w:rPr>
          <w:t>https://www.jpiamr.eu/activities/one-health-amr/design-oh-amr/</w:t>
        </w:r>
      </w:hyperlink>
      <w:r w:rsidRPr="00563D0D">
        <w:rPr>
          <w:rFonts w:ascii="Times New Roman" w:hAnsi="Times New Roman"/>
          <w:lang w:val="pl-PL"/>
        </w:rPr>
        <w:t xml:space="preserve"> </w:t>
      </w:r>
    </w:p>
  </w:footnote>
  <w:footnote w:id="33">
    <w:p w14:paraId="670F1A99" w14:textId="0E346AF8" w:rsidR="00E14569" w:rsidRPr="00563D0D" w:rsidRDefault="00E14569" w:rsidP="00BC2F11">
      <w:pPr>
        <w:pStyle w:val="FootnoteText"/>
        <w:jc w:val="both"/>
        <w:rPr>
          <w:rFonts w:ascii="Times New Roman" w:hAnsi="Times New Roman" w:cs="Times New Roman"/>
          <w:lang w:val="pl-PL"/>
        </w:rPr>
      </w:pPr>
      <w:r w:rsidRPr="00563D0D">
        <w:rPr>
          <w:rStyle w:val="FootnoteReference"/>
          <w:rFonts w:ascii="Times New Roman" w:hAnsi="Times New Roman" w:cs="Times New Roman"/>
          <w:lang w:val="pl-PL"/>
        </w:rPr>
        <w:footnoteRef/>
      </w:r>
      <w:hyperlink r:id="rId22" w:history="1">
        <w:r w:rsidRPr="00563D0D">
          <w:rPr>
            <w:rStyle w:val="Hyperlink"/>
            <w:rFonts w:ascii="Times New Roman" w:hAnsi="Times New Roman"/>
            <w:lang w:val="pl-PL"/>
          </w:rPr>
          <w:t>https://ec.europa.eu/info/funding-tenders/opportunities/portal/screen/opportunities/topic-details/horizon-hlth-2024-disease-09-01</w:t>
        </w:r>
      </w:hyperlink>
      <w:r w:rsidRPr="00563D0D">
        <w:rPr>
          <w:rFonts w:ascii="Times New Roman" w:hAnsi="Times New Roman"/>
          <w:lang w:val="pl-PL"/>
        </w:rPr>
        <w:t xml:space="preserve"> </w:t>
      </w:r>
    </w:p>
  </w:footnote>
  <w:footnote w:id="34">
    <w:p w14:paraId="4DA55DC2" w14:textId="4972332E" w:rsidR="002B1144" w:rsidRPr="00563D0D" w:rsidRDefault="002B1144" w:rsidP="00BC2F11">
      <w:pPr>
        <w:pStyle w:val="FootnoteText"/>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23" w:history="1">
        <w:r w:rsidRPr="00563D0D">
          <w:rPr>
            <w:rFonts w:ascii="Times New Roman" w:hAnsi="Times New Roman"/>
            <w:color w:val="0000FF"/>
            <w:u w:val="single"/>
            <w:lang w:val="pl-PL"/>
          </w:rPr>
          <w:t>„Horyzont Europa” (europa.eu)</w:t>
        </w:r>
      </w:hyperlink>
    </w:p>
  </w:footnote>
  <w:footnote w:id="35">
    <w:p w14:paraId="77F0E460" w14:textId="77777777" w:rsidR="00B554C1" w:rsidRPr="00563D0D" w:rsidRDefault="00B554C1" w:rsidP="00BC2F11">
      <w:pPr>
        <w:pStyle w:val="FootnoteText"/>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24" w:history="1">
        <w:r w:rsidRPr="00563D0D">
          <w:rPr>
            <w:rStyle w:val="Hyperlink"/>
            <w:rFonts w:ascii="Times New Roman" w:hAnsi="Times New Roman"/>
            <w:lang w:val="pl-PL"/>
          </w:rPr>
          <w:t>https://eur-lex.europa.eu/legal-content/PL/TXT/PDF/?uri=CELEX:52019DC0128</w:t>
        </w:r>
      </w:hyperlink>
    </w:p>
  </w:footnote>
  <w:footnote w:id="36">
    <w:p w14:paraId="1A6ACAC8" w14:textId="67E7C77D" w:rsidR="001F1738" w:rsidRPr="00563D0D" w:rsidRDefault="001F1738" w:rsidP="00BC2F11">
      <w:pPr>
        <w:pStyle w:val="FootnoteText"/>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25" w:history="1">
        <w:r w:rsidRPr="00563D0D">
          <w:rPr>
            <w:rStyle w:val="Hyperlink"/>
            <w:rFonts w:ascii="Times New Roman" w:hAnsi="Times New Roman"/>
            <w:lang w:val="pl-PL"/>
          </w:rPr>
          <w:t>https://commission.europa.eu/strategy-and-policy/priorities-2019-2024/european-green-deal_pl</w:t>
        </w:r>
      </w:hyperlink>
    </w:p>
  </w:footnote>
  <w:footnote w:id="37">
    <w:p w14:paraId="098435AB" w14:textId="740E8A67" w:rsidR="00B554C1" w:rsidRPr="00563D0D" w:rsidRDefault="00B554C1" w:rsidP="00BC2F11">
      <w:pPr>
        <w:pStyle w:val="FootnoteText"/>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26" w:history="1">
        <w:r w:rsidRPr="00563D0D">
          <w:rPr>
            <w:rStyle w:val="Hyperlink"/>
            <w:rFonts w:ascii="Times New Roman" w:hAnsi="Times New Roman"/>
            <w:lang w:val="pl-PL"/>
          </w:rPr>
          <w:t>https://eur-lex.europa.eu/legal-content/PL/TXT/?uri=CELEX:52021DC0400</w:t>
        </w:r>
      </w:hyperlink>
      <w:r w:rsidRPr="00563D0D">
        <w:rPr>
          <w:rFonts w:ascii="Times New Roman" w:hAnsi="Times New Roman"/>
          <w:lang w:val="pl-PL"/>
        </w:rPr>
        <w:t xml:space="preserve"> </w:t>
      </w:r>
    </w:p>
  </w:footnote>
  <w:footnote w:id="38">
    <w:p w14:paraId="0DF20D89" w14:textId="41DCFA79" w:rsidR="001F1738" w:rsidRPr="00563D0D" w:rsidRDefault="001F1738" w:rsidP="00BC2F11">
      <w:pPr>
        <w:pStyle w:val="FootnoteText"/>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27" w:history="1">
        <w:r w:rsidRPr="00563D0D">
          <w:rPr>
            <w:rStyle w:val="Hyperlink"/>
            <w:rFonts w:ascii="Times New Roman" w:hAnsi="Times New Roman"/>
            <w:lang w:val="pl-PL"/>
          </w:rPr>
          <w:t>https://environment.ec.europa.eu/publications/proposal-amending-water-directives_pl</w:t>
        </w:r>
      </w:hyperlink>
    </w:p>
  </w:footnote>
  <w:footnote w:id="39">
    <w:p w14:paraId="19FE0110" w14:textId="5581DBA8" w:rsidR="001F1738" w:rsidRPr="00563D0D" w:rsidRDefault="001F1738" w:rsidP="00BC2F11">
      <w:pPr>
        <w:pStyle w:val="FootnoteText"/>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28" w:history="1">
        <w:r w:rsidRPr="00563D0D">
          <w:rPr>
            <w:rStyle w:val="Hyperlink"/>
            <w:rFonts w:ascii="Times New Roman" w:hAnsi="Times New Roman"/>
            <w:lang w:val="pl-PL"/>
          </w:rPr>
          <w:t>https://environment.ec.europa.eu/publications/proposal-revised-urban-wastewater-treatment-directive_pl</w:t>
        </w:r>
      </w:hyperlink>
    </w:p>
  </w:footnote>
  <w:footnote w:id="40">
    <w:p w14:paraId="014FFBE9" w14:textId="3A99AF91" w:rsidR="00B57523" w:rsidRPr="00563D0D" w:rsidRDefault="00B57523" w:rsidP="00BC2F11">
      <w:pPr>
        <w:pStyle w:val="FootnoteText"/>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Badanie terenowe użytkowania gruntów</w:t>
      </w:r>
      <w:r w:rsidR="00563D0D" w:rsidRPr="00563D0D">
        <w:rPr>
          <w:rFonts w:ascii="Times New Roman" w:hAnsi="Times New Roman"/>
          <w:lang w:val="pl-PL"/>
        </w:rPr>
        <w:t xml:space="preserve"> i</w:t>
      </w:r>
      <w:r w:rsidR="00563D0D">
        <w:rPr>
          <w:rFonts w:ascii="Times New Roman" w:hAnsi="Times New Roman"/>
          <w:lang w:val="pl-PL"/>
        </w:rPr>
        <w:t> </w:t>
      </w:r>
      <w:r w:rsidR="00563D0D" w:rsidRPr="00563D0D">
        <w:rPr>
          <w:rFonts w:ascii="Times New Roman" w:hAnsi="Times New Roman"/>
          <w:lang w:val="pl-PL"/>
        </w:rPr>
        <w:t>pok</w:t>
      </w:r>
      <w:r w:rsidRPr="00563D0D">
        <w:rPr>
          <w:rFonts w:ascii="Times New Roman" w:hAnsi="Times New Roman"/>
          <w:lang w:val="pl-PL"/>
        </w:rPr>
        <w:t>rycia terenu (LUCAS) jest regularnym zharmonizowanym badaniem prowadzonym przez Urząd Statystyczny Unii Europejskiej (Eurostat) we współpracy</w:t>
      </w:r>
      <w:r w:rsidR="00563D0D" w:rsidRPr="00563D0D">
        <w:rPr>
          <w:rFonts w:ascii="Times New Roman" w:hAnsi="Times New Roman"/>
          <w:lang w:val="pl-PL"/>
        </w:rPr>
        <w:t xml:space="preserve"> z</w:t>
      </w:r>
      <w:r w:rsidR="00563D0D">
        <w:rPr>
          <w:rFonts w:ascii="Times New Roman" w:hAnsi="Times New Roman"/>
          <w:lang w:val="pl-PL"/>
        </w:rPr>
        <w:t> </w:t>
      </w:r>
      <w:r w:rsidR="00563D0D" w:rsidRPr="00563D0D">
        <w:rPr>
          <w:rFonts w:ascii="Times New Roman" w:hAnsi="Times New Roman"/>
          <w:lang w:val="pl-PL"/>
        </w:rPr>
        <w:t>inn</w:t>
      </w:r>
      <w:r w:rsidRPr="00563D0D">
        <w:rPr>
          <w:rFonts w:ascii="Times New Roman" w:hAnsi="Times New Roman"/>
          <w:lang w:val="pl-PL"/>
        </w:rPr>
        <w:t>ymi służbami Komisji</w:t>
      </w:r>
      <w:r w:rsidR="00563D0D" w:rsidRPr="00563D0D">
        <w:rPr>
          <w:rFonts w:ascii="Times New Roman" w:hAnsi="Times New Roman"/>
          <w:lang w:val="pl-PL"/>
        </w:rPr>
        <w:t xml:space="preserve"> w</w:t>
      </w:r>
      <w:r w:rsidR="00563D0D">
        <w:rPr>
          <w:rFonts w:ascii="Times New Roman" w:hAnsi="Times New Roman"/>
          <w:lang w:val="pl-PL"/>
        </w:rPr>
        <w:t> </w:t>
      </w:r>
      <w:r w:rsidR="00563D0D" w:rsidRPr="00563D0D">
        <w:rPr>
          <w:rFonts w:ascii="Times New Roman" w:hAnsi="Times New Roman"/>
          <w:lang w:val="pl-PL"/>
        </w:rPr>
        <w:t>cel</w:t>
      </w:r>
      <w:r w:rsidRPr="00563D0D">
        <w:rPr>
          <w:rFonts w:ascii="Times New Roman" w:hAnsi="Times New Roman"/>
          <w:lang w:val="pl-PL"/>
        </w:rPr>
        <w:t>u gromadzenia informacji na temat użytkowania gruntów</w:t>
      </w:r>
      <w:r w:rsidR="00563D0D" w:rsidRPr="00563D0D">
        <w:rPr>
          <w:rFonts w:ascii="Times New Roman" w:hAnsi="Times New Roman"/>
          <w:lang w:val="pl-PL"/>
        </w:rPr>
        <w:t xml:space="preserve"> i</w:t>
      </w:r>
      <w:r w:rsidR="00563D0D">
        <w:rPr>
          <w:rFonts w:ascii="Times New Roman" w:hAnsi="Times New Roman"/>
          <w:lang w:val="pl-PL"/>
        </w:rPr>
        <w:t> </w:t>
      </w:r>
      <w:r w:rsidR="00563D0D" w:rsidRPr="00563D0D">
        <w:rPr>
          <w:rFonts w:ascii="Times New Roman" w:hAnsi="Times New Roman"/>
          <w:lang w:val="pl-PL"/>
        </w:rPr>
        <w:t>pok</w:t>
      </w:r>
      <w:r w:rsidRPr="00563D0D">
        <w:rPr>
          <w:rFonts w:ascii="Times New Roman" w:hAnsi="Times New Roman"/>
          <w:lang w:val="pl-PL"/>
        </w:rPr>
        <w:t>rycia terenu we wszystkich państwach członkowskich.</w:t>
      </w:r>
    </w:p>
  </w:footnote>
  <w:footnote w:id="41">
    <w:p w14:paraId="36DACB81" w14:textId="71D4A4DA" w:rsidR="001F1738" w:rsidRPr="00563D0D" w:rsidRDefault="001F1738" w:rsidP="00BC2F11">
      <w:pPr>
        <w:pStyle w:val="FootnoteText"/>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29" w:history="1">
        <w:r w:rsidRPr="00563D0D">
          <w:rPr>
            <w:rStyle w:val="Hyperlink"/>
            <w:rFonts w:ascii="Times New Roman" w:hAnsi="Times New Roman"/>
            <w:lang w:val="pl-PL"/>
          </w:rPr>
          <w:t>https://esdac.jrc.ec.europa.eu/projects/lucas</w:t>
        </w:r>
      </w:hyperlink>
    </w:p>
  </w:footnote>
  <w:footnote w:id="42">
    <w:p w14:paraId="2F4B90E3" w14:textId="4312984A" w:rsidR="00D00D56" w:rsidRPr="00563D0D" w:rsidRDefault="00D00D56" w:rsidP="00BC2F11">
      <w:pPr>
        <w:pStyle w:val="FootnoteText"/>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30" w:history="1">
        <w:r w:rsidRPr="00563D0D">
          <w:rPr>
            <w:rStyle w:val="Hyperlink"/>
            <w:rFonts w:ascii="Times New Roman" w:hAnsi="Times New Roman"/>
            <w:lang w:val="pl-PL"/>
          </w:rPr>
          <w:t>https://esdac.jrc.ec.europa.eu/</w:t>
        </w:r>
      </w:hyperlink>
    </w:p>
  </w:footnote>
  <w:footnote w:id="43">
    <w:p w14:paraId="02BDEB3C" w14:textId="05C543D3" w:rsidR="001F1738" w:rsidRPr="00563D0D" w:rsidRDefault="001F1738" w:rsidP="00BC2F11">
      <w:pPr>
        <w:pStyle w:val="FootnoteText"/>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31" w:history="1">
        <w:r w:rsidRPr="00563D0D">
          <w:rPr>
            <w:rStyle w:val="Hyperlink"/>
            <w:rFonts w:ascii="Times New Roman" w:hAnsi="Times New Roman"/>
            <w:lang w:val="pl-PL"/>
          </w:rPr>
          <w:t>https://www.nature.com/articles/nature06536</w:t>
        </w:r>
      </w:hyperlink>
      <w:r w:rsidRPr="00563D0D">
        <w:rPr>
          <w:rFonts w:ascii="Times New Roman" w:hAnsi="Times New Roman"/>
          <w:lang w:val="pl-PL"/>
        </w:rPr>
        <w:t xml:space="preserve"> </w:t>
      </w:r>
    </w:p>
  </w:footnote>
  <w:footnote w:id="44">
    <w:p w14:paraId="4AF60854" w14:textId="21B6A502" w:rsidR="001F1738" w:rsidRPr="00563D0D" w:rsidRDefault="001F1738" w:rsidP="00BC2F11">
      <w:pPr>
        <w:pStyle w:val="FootnoteText"/>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Dyrektywa 2003/99/WE Parlamentu Europejskiego</w:t>
      </w:r>
      <w:r w:rsidR="00563D0D" w:rsidRPr="00563D0D">
        <w:rPr>
          <w:rFonts w:ascii="Times New Roman" w:hAnsi="Times New Roman"/>
          <w:lang w:val="pl-PL"/>
        </w:rPr>
        <w:t xml:space="preserve"> i</w:t>
      </w:r>
      <w:r w:rsidR="00563D0D">
        <w:rPr>
          <w:rFonts w:ascii="Times New Roman" w:hAnsi="Times New Roman"/>
          <w:lang w:val="pl-PL"/>
        </w:rPr>
        <w:t> </w:t>
      </w:r>
      <w:r w:rsidR="00563D0D" w:rsidRPr="00563D0D">
        <w:rPr>
          <w:rFonts w:ascii="Times New Roman" w:hAnsi="Times New Roman"/>
          <w:lang w:val="pl-PL"/>
        </w:rPr>
        <w:t>Rad</w:t>
      </w:r>
      <w:r w:rsidRPr="00563D0D">
        <w:rPr>
          <w:rFonts w:ascii="Times New Roman" w:hAnsi="Times New Roman"/>
          <w:lang w:val="pl-PL"/>
        </w:rPr>
        <w:t>y</w:t>
      </w:r>
      <w:r w:rsidR="00563D0D" w:rsidRPr="00563D0D">
        <w:rPr>
          <w:rFonts w:ascii="Times New Roman" w:hAnsi="Times New Roman"/>
          <w:lang w:val="pl-PL"/>
        </w:rPr>
        <w:t xml:space="preserve"> z</w:t>
      </w:r>
      <w:r w:rsidR="00563D0D">
        <w:rPr>
          <w:rFonts w:ascii="Times New Roman" w:hAnsi="Times New Roman"/>
          <w:lang w:val="pl-PL"/>
        </w:rPr>
        <w:t> </w:t>
      </w:r>
      <w:r w:rsidR="00563D0D" w:rsidRPr="00563D0D">
        <w:rPr>
          <w:rFonts w:ascii="Times New Roman" w:hAnsi="Times New Roman"/>
          <w:lang w:val="pl-PL"/>
        </w:rPr>
        <w:t>dni</w:t>
      </w:r>
      <w:r w:rsidRPr="00563D0D">
        <w:rPr>
          <w:rFonts w:ascii="Times New Roman" w:hAnsi="Times New Roman"/>
          <w:lang w:val="pl-PL"/>
        </w:rPr>
        <w:t>a 17 listopada 2003</w:t>
      </w:r>
      <w:r w:rsidR="00563D0D" w:rsidRPr="00563D0D">
        <w:rPr>
          <w:rFonts w:ascii="Times New Roman" w:hAnsi="Times New Roman"/>
          <w:lang w:val="pl-PL"/>
        </w:rPr>
        <w:t> </w:t>
      </w:r>
      <w:r w:rsidRPr="00563D0D">
        <w:rPr>
          <w:rFonts w:ascii="Times New Roman" w:hAnsi="Times New Roman"/>
          <w:lang w:val="pl-PL"/>
        </w:rPr>
        <w:t>r.</w:t>
      </w:r>
      <w:r w:rsidR="00563D0D" w:rsidRPr="00563D0D">
        <w:rPr>
          <w:rFonts w:ascii="Times New Roman" w:hAnsi="Times New Roman"/>
          <w:lang w:val="pl-PL"/>
        </w:rPr>
        <w:t xml:space="preserve"> w</w:t>
      </w:r>
      <w:r w:rsidR="00563D0D">
        <w:rPr>
          <w:rFonts w:ascii="Times New Roman" w:hAnsi="Times New Roman"/>
          <w:lang w:val="pl-PL"/>
        </w:rPr>
        <w:t> </w:t>
      </w:r>
      <w:r w:rsidR="00563D0D" w:rsidRPr="00563D0D">
        <w:rPr>
          <w:rFonts w:ascii="Times New Roman" w:hAnsi="Times New Roman"/>
          <w:lang w:val="pl-PL"/>
        </w:rPr>
        <w:t>spr</w:t>
      </w:r>
      <w:r w:rsidRPr="00563D0D">
        <w:rPr>
          <w:rFonts w:ascii="Times New Roman" w:hAnsi="Times New Roman"/>
          <w:lang w:val="pl-PL"/>
        </w:rPr>
        <w:t>awie monitorowania chorób odzwierzęcych</w:t>
      </w:r>
      <w:r w:rsidR="00563D0D" w:rsidRPr="00563D0D">
        <w:rPr>
          <w:rFonts w:ascii="Times New Roman" w:hAnsi="Times New Roman"/>
          <w:lang w:val="pl-PL"/>
        </w:rPr>
        <w:t xml:space="preserve"> i</w:t>
      </w:r>
      <w:r w:rsidR="00563D0D">
        <w:rPr>
          <w:rFonts w:ascii="Times New Roman" w:hAnsi="Times New Roman"/>
          <w:lang w:val="pl-PL"/>
        </w:rPr>
        <w:t> </w:t>
      </w:r>
      <w:r w:rsidR="00563D0D" w:rsidRPr="00563D0D">
        <w:rPr>
          <w:rFonts w:ascii="Times New Roman" w:hAnsi="Times New Roman"/>
          <w:lang w:val="pl-PL"/>
        </w:rPr>
        <w:t>odz</w:t>
      </w:r>
      <w:r w:rsidRPr="00563D0D">
        <w:rPr>
          <w:rFonts w:ascii="Times New Roman" w:hAnsi="Times New Roman"/>
          <w:lang w:val="pl-PL"/>
        </w:rPr>
        <w:t>wierzęcych czynników chorobotwórczych, zmieniająca decyzję Rady 90/424/EWG</w:t>
      </w:r>
      <w:r w:rsidR="00563D0D" w:rsidRPr="00563D0D">
        <w:rPr>
          <w:rFonts w:ascii="Times New Roman" w:hAnsi="Times New Roman"/>
          <w:lang w:val="pl-PL"/>
        </w:rPr>
        <w:t xml:space="preserve"> i</w:t>
      </w:r>
      <w:r w:rsidR="00563D0D">
        <w:rPr>
          <w:rFonts w:ascii="Times New Roman" w:hAnsi="Times New Roman"/>
          <w:lang w:val="pl-PL"/>
        </w:rPr>
        <w:t> </w:t>
      </w:r>
      <w:r w:rsidR="00563D0D" w:rsidRPr="00563D0D">
        <w:rPr>
          <w:rFonts w:ascii="Times New Roman" w:hAnsi="Times New Roman"/>
          <w:lang w:val="pl-PL"/>
        </w:rPr>
        <w:t>uch</w:t>
      </w:r>
      <w:r w:rsidRPr="00563D0D">
        <w:rPr>
          <w:rFonts w:ascii="Times New Roman" w:hAnsi="Times New Roman"/>
          <w:lang w:val="pl-PL"/>
        </w:rPr>
        <w:t>ylająca dyrektywę Rady 92/117/EWG, Dz.U. L 325</w:t>
      </w:r>
      <w:r w:rsidR="00563D0D" w:rsidRPr="00563D0D">
        <w:rPr>
          <w:rFonts w:ascii="Times New Roman" w:hAnsi="Times New Roman"/>
          <w:lang w:val="pl-PL"/>
        </w:rPr>
        <w:t xml:space="preserve"> z</w:t>
      </w:r>
      <w:r w:rsidR="00563D0D">
        <w:rPr>
          <w:rFonts w:ascii="Times New Roman" w:hAnsi="Times New Roman"/>
          <w:lang w:val="pl-PL"/>
        </w:rPr>
        <w:t> </w:t>
      </w:r>
      <w:r w:rsidR="00563D0D" w:rsidRPr="00563D0D">
        <w:rPr>
          <w:rFonts w:ascii="Times New Roman" w:hAnsi="Times New Roman"/>
          <w:lang w:val="pl-PL"/>
        </w:rPr>
        <w:t>1</w:t>
      </w:r>
      <w:r w:rsidRPr="00563D0D">
        <w:rPr>
          <w:rFonts w:ascii="Times New Roman" w:hAnsi="Times New Roman"/>
          <w:lang w:val="pl-PL"/>
        </w:rPr>
        <w:t>2.12.2003, s. 31 (</w:t>
      </w:r>
      <w:hyperlink r:id="rId32" w:history="1">
        <w:r w:rsidRPr="00563D0D">
          <w:rPr>
            <w:rStyle w:val="Hyperlink"/>
            <w:rFonts w:ascii="Times New Roman" w:hAnsi="Times New Roman"/>
            <w:lang w:val="pl-PL"/>
          </w:rPr>
          <w:t>https://eur-lex.europa.eu/legal-content/PL/TXT/?uri=celex:32003L0099</w:t>
        </w:r>
      </w:hyperlink>
      <w:r w:rsidRPr="00563D0D">
        <w:rPr>
          <w:rFonts w:ascii="Times New Roman" w:hAnsi="Times New Roman"/>
          <w:lang w:val="pl-PL"/>
        </w:rPr>
        <w:t>).</w:t>
      </w:r>
    </w:p>
  </w:footnote>
  <w:footnote w:id="45">
    <w:p w14:paraId="7DC4BAC5" w14:textId="4E71EBA2" w:rsidR="00191C05" w:rsidRPr="00563D0D" w:rsidRDefault="00B56A57" w:rsidP="003225E8">
      <w:pPr>
        <w:pStyle w:val="FootnoteText"/>
        <w:jc w:val="both"/>
        <w:rPr>
          <w:rFonts w:ascii="Times New Roman" w:eastAsia="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Rozporządzenie Parlamentu Europejskiego</w:t>
      </w:r>
      <w:r w:rsidR="00563D0D" w:rsidRPr="00563D0D">
        <w:rPr>
          <w:rFonts w:ascii="Times New Roman" w:hAnsi="Times New Roman"/>
          <w:lang w:val="pl-PL"/>
        </w:rPr>
        <w:t xml:space="preserve"> i</w:t>
      </w:r>
      <w:r w:rsidR="00563D0D">
        <w:rPr>
          <w:rFonts w:ascii="Times New Roman" w:hAnsi="Times New Roman"/>
          <w:lang w:val="pl-PL"/>
        </w:rPr>
        <w:t> </w:t>
      </w:r>
      <w:r w:rsidR="00563D0D" w:rsidRPr="00563D0D">
        <w:rPr>
          <w:rFonts w:ascii="Times New Roman" w:hAnsi="Times New Roman"/>
          <w:lang w:val="pl-PL"/>
        </w:rPr>
        <w:t>Rad</w:t>
      </w:r>
      <w:r w:rsidRPr="00563D0D">
        <w:rPr>
          <w:rFonts w:ascii="Times New Roman" w:hAnsi="Times New Roman"/>
          <w:lang w:val="pl-PL"/>
        </w:rPr>
        <w:t>y (UE) 2016/429</w:t>
      </w:r>
      <w:r w:rsidR="00563D0D" w:rsidRPr="00563D0D">
        <w:rPr>
          <w:rFonts w:ascii="Times New Roman" w:hAnsi="Times New Roman"/>
          <w:lang w:val="pl-PL"/>
        </w:rPr>
        <w:t xml:space="preserve"> z</w:t>
      </w:r>
      <w:r w:rsidR="00563D0D">
        <w:rPr>
          <w:rFonts w:ascii="Times New Roman" w:hAnsi="Times New Roman"/>
          <w:lang w:val="pl-PL"/>
        </w:rPr>
        <w:t> </w:t>
      </w:r>
      <w:r w:rsidR="00563D0D" w:rsidRPr="00563D0D">
        <w:rPr>
          <w:rFonts w:ascii="Times New Roman" w:hAnsi="Times New Roman"/>
          <w:lang w:val="pl-PL"/>
        </w:rPr>
        <w:t>dni</w:t>
      </w:r>
      <w:r w:rsidRPr="00563D0D">
        <w:rPr>
          <w:rFonts w:ascii="Times New Roman" w:hAnsi="Times New Roman"/>
          <w:lang w:val="pl-PL"/>
        </w:rPr>
        <w:t>a 9 marca 2016</w:t>
      </w:r>
      <w:r w:rsidR="00563D0D" w:rsidRPr="00563D0D">
        <w:rPr>
          <w:rFonts w:ascii="Times New Roman" w:hAnsi="Times New Roman"/>
          <w:lang w:val="pl-PL"/>
        </w:rPr>
        <w:t> </w:t>
      </w:r>
      <w:r w:rsidRPr="00563D0D">
        <w:rPr>
          <w:rFonts w:ascii="Times New Roman" w:hAnsi="Times New Roman"/>
          <w:lang w:val="pl-PL"/>
        </w:rPr>
        <w:t>r.</w:t>
      </w:r>
      <w:r w:rsidR="00563D0D" w:rsidRPr="00563D0D">
        <w:rPr>
          <w:rFonts w:ascii="Times New Roman" w:hAnsi="Times New Roman"/>
          <w:lang w:val="pl-PL"/>
        </w:rPr>
        <w:t xml:space="preserve"> w</w:t>
      </w:r>
      <w:r w:rsidR="00563D0D">
        <w:rPr>
          <w:rFonts w:ascii="Times New Roman" w:hAnsi="Times New Roman"/>
          <w:lang w:val="pl-PL"/>
        </w:rPr>
        <w:t> </w:t>
      </w:r>
      <w:r w:rsidR="00563D0D" w:rsidRPr="00563D0D">
        <w:rPr>
          <w:rFonts w:ascii="Times New Roman" w:hAnsi="Times New Roman"/>
          <w:lang w:val="pl-PL"/>
        </w:rPr>
        <w:t>spr</w:t>
      </w:r>
      <w:r w:rsidRPr="00563D0D">
        <w:rPr>
          <w:rFonts w:ascii="Times New Roman" w:hAnsi="Times New Roman"/>
          <w:lang w:val="pl-PL"/>
        </w:rPr>
        <w:t>awie przenośnych chorób zwierząt oraz zmieniające</w:t>
      </w:r>
      <w:r w:rsidR="00563D0D" w:rsidRPr="00563D0D">
        <w:rPr>
          <w:rFonts w:ascii="Times New Roman" w:hAnsi="Times New Roman"/>
          <w:lang w:val="pl-PL"/>
        </w:rPr>
        <w:t xml:space="preserve"> i</w:t>
      </w:r>
      <w:r w:rsidR="00563D0D">
        <w:rPr>
          <w:rFonts w:ascii="Times New Roman" w:hAnsi="Times New Roman"/>
          <w:lang w:val="pl-PL"/>
        </w:rPr>
        <w:t> </w:t>
      </w:r>
      <w:r w:rsidR="00563D0D" w:rsidRPr="00563D0D">
        <w:rPr>
          <w:rFonts w:ascii="Times New Roman" w:hAnsi="Times New Roman"/>
          <w:lang w:val="pl-PL"/>
        </w:rPr>
        <w:t>uch</w:t>
      </w:r>
      <w:r w:rsidRPr="00563D0D">
        <w:rPr>
          <w:rFonts w:ascii="Times New Roman" w:hAnsi="Times New Roman"/>
          <w:lang w:val="pl-PL"/>
        </w:rPr>
        <w:t>ylające niektóre akty</w:t>
      </w:r>
      <w:r w:rsidR="00563D0D" w:rsidRPr="00563D0D">
        <w:rPr>
          <w:rFonts w:ascii="Times New Roman" w:hAnsi="Times New Roman"/>
          <w:lang w:val="pl-PL"/>
        </w:rPr>
        <w:t xml:space="preserve"> w</w:t>
      </w:r>
      <w:r w:rsidR="00563D0D">
        <w:rPr>
          <w:rFonts w:ascii="Times New Roman" w:hAnsi="Times New Roman"/>
          <w:lang w:val="pl-PL"/>
        </w:rPr>
        <w:t> </w:t>
      </w:r>
      <w:r w:rsidR="00563D0D" w:rsidRPr="00563D0D">
        <w:rPr>
          <w:rFonts w:ascii="Times New Roman" w:hAnsi="Times New Roman"/>
          <w:lang w:val="pl-PL"/>
        </w:rPr>
        <w:t>dzi</w:t>
      </w:r>
      <w:r w:rsidRPr="00563D0D">
        <w:rPr>
          <w:rFonts w:ascii="Times New Roman" w:hAnsi="Times New Roman"/>
          <w:lang w:val="pl-PL"/>
        </w:rPr>
        <w:t>edzinie zdrowia zwierząt („Prawo</w:t>
      </w:r>
      <w:r w:rsidR="00563D0D" w:rsidRPr="00563D0D">
        <w:rPr>
          <w:rFonts w:ascii="Times New Roman" w:hAnsi="Times New Roman"/>
          <w:lang w:val="pl-PL"/>
        </w:rPr>
        <w:t xml:space="preserve"> o</w:t>
      </w:r>
      <w:r w:rsidR="00563D0D">
        <w:rPr>
          <w:rFonts w:ascii="Times New Roman" w:hAnsi="Times New Roman"/>
          <w:lang w:val="pl-PL"/>
        </w:rPr>
        <w:t> </w:t>
      </w:r>
      <w:r w:rsidR="00563D0D" w:rsidRPr="00563D0D">
        <w:rPr>
          <w:rFonts w:ascii="Times New Roman" w:hAnsi="Times New Roman"/>
          <w:lang w:val="pl-PL"/>
        </w:rPr>
        <w:t>zdr</w:t>
      </w:r>
      <w:r w:rsidRPr="00563D0D">
        <w:rPr>
          <w:rFonts w:ascii="Times New Roman" w:hAnsi="Times New Roman"/>
          <w:lang w:val="pl-PL"/>
        </w:rPr>
        <w:t>owiu zwierząt”), Dz.U. L 84</w:t>
      </w:r>
      <w:r w:rsidR="00563D0D" w:rsidRPr="00563D0D">
        <w:rPr>
          <w:rFonts w:ascii="Times New Roman" w:hAnsi="Times New Roman"/>
          <w:lang w:val="pl-PL"/>
        </w:rPr>
        <w:t xml:space="preserve"> z</w:t>
      </w:r>
      <w:r w:rsidR="00563D0D">
        <w:rPr>
          <w:rFonts w:ascii="Times New Roman" w:hAnsi="Times New Roman"/>
          <w:lang w:val="pl-PL"/>
        </w:rPr>
        <w:t> </w:t>
      </w:r>
      <w:r w:rsidR="00563D0D" w:rsidRPr="00563D0D">
        <w:rPr>
          <w:rFonts w:ascii="Times New Roman" w:hAnsi="Times New Roman"/>
          <w:lang w:val="pl-PL"/>
        </w:rPr>
        <w:t>3</w:t>
      </w:r>
      <w:r w:rsidRPr="00563D0D">
        <w:rPr>
          <w:rFonts w:ascii="Times New Roman" w:hAnsi="Times New Roman"/>
          <w:lang w:val="pl-PL"/>
        </w:rPr>
        <w:t>1.3.2016, s. 1.</w:t>
      </w:r>
    </w:p>
    <w:p w14:paraId="0CAA9BB8" w14:textId="0B9D885A" w:rsidR="00B56A57" w:rsidRPr="00563D0D" w:rsidRDefault="00B56A57" w:rsidP="003225E8">
      <w:pPr>
        <w:pStyle w:val="FootnoteText"/>
        <w:jc w:val="both"/>
        <w:rPr>
          <w:rFonts w:ascii="Times New Roman" w:hAnsi="Times New Roman" w:cs="Times New Roman"/>
          <w:lang w:val="pl-PL"/>
        </w:rPr>
      </w:pPr>
      <w:r w:rsidRPr="00563D0D">
        <w:rPr>
          <w:rFonts w:ascii="Times New Roman" w:hAnsi="Times New Roman"/>
          <w:lang w:val="pl-PL"/>
        </w:rPr>
        <w:t>(</w:t>
      </w:r>
      <w:hyperlink r:id="rId33" w:history="1">
        <w:r w:rsidRPr="00563D0D">
          <w:rPr>
            <w:rStyle w:val="Hyperlink"/>
            <w:rFonts w:ascii="Times New Roman" w:hAnsi="Times New Roman"/>
            <w:lang w:val="pl-PL"/>
          </w:rPr>
          <w:t>https://eur-lex.europa.eu/legal-content/PL/TXT/?uri=CELEX%3A32016R0429&amp;qid=1699617422821</w:t>
        </w:r>
      </w:hyperlink>
      <w:r w:rsidRPr="00563D0D">
        <w:rPr>
          <w:rFonts w:ascii="Times New Roman" w:hAnsi="Times New Roman"/>
          <w:lang w:val="pl-PL"/>
        </w:rPr>
        <w:t>).</w:t>
      </w:r>
    </w:p>
  </w:footnote>
  <w:footnote w:id="46">
    <w:p w14:paraId="7132E854" w14:textId="31197161" w:rsidR="00831B85" w:rsidRPr="00563D0D" w:rsidRDefault="00831B85" w:rsidP="00BC2F11">
      <w:pPr>
        <w:pStyle w:val="FootnoteText"/>
        <w:jc w:val="both"/>
        <w:rPr>
          <w:rFonts w:ascii="Times New Roman" w:hAnsi="Times New Roman" w:cs="Times New Roman"/>
          <w:lang w:val="pl-PL"/>
        </w:rPr>
      </w:pPr>
      <w:r w:rsidRPr="00563D0D">
        <w:rPr>
          <w:rStyle w:val="FootnoteReference"/>
          <w:lang w:val="pl-PL"/>
        </w:rPr>
        <w:footnoteRef/>
      </w:r>
      <w:r w:rsidRPr="00563D0D">
        <w:rPr>
          <w:lang w:val="pl-PL"/>
        </w:rPr>
        <w:t xml:space="preserve"> </w:t>
      </w:r>
      <w:r w:rsidRPr="00563D0D">
        <w:rPr>
          <w:rFonts w:ascii="Times New Roman" w:hAnsi="Times New Roman"/>
          <w:lang w:val="pl-PL"/>
        </w:rPr>
        <w:t>Zob. również sekcja poniżej dotycząca Komitetu ds. Bezpieczeństwa Zdrowia.</w:t>
      </w:r>
    </w:p>
  </w:footnote>
  <w:footnote w:id="47">
    <w:p w14:paraId="5BAA6CD0" w14:textId="32DBC940" w:rsidR="001F1738" w:rsidRPr="00563D0D" w:rsidRDefault="001F1738" w:rsidP="00BC2F11">
      <w:pPr>
        <w:pStyle w:val="FootnoteText"/>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34" w:history="1">
        <w:r w:rsidRPr="00563D0D">
          <w:rPr>
            <w:rStyle w:val="Hyperlink"/>
            <w:rFonts w:ascii="Times New Roman" w:hAnsi="Times New Roman"/>
            <w:lang w:val="pl-PL"/>
          </w:rPr>
          <w:t>https://eur-lex.europa.eu/eli/reg_del/2020/689/oj</w:t>
        </w:r>
      </w:hyperlink>
      <w:r w:rsidRPr="00563D0D">
        <w:rPr>
          <w:rFonts w:ascii="Times New Roman" w:hAnsi="Times New Roman"/>
          <w:lang w:val="pl-PL"/>
        </w:rPr>
        <w:t xml:space="preserve"> </w:t>
      </w:r>
    </w:p>
  </w:footnote>
  <w:footnote w:id="48">
    <w:p w14:paraId="341D406E" w14:textId="34C4787D" w:rsidR="001F1738" w:rsidRPr="00563D0D" w:rsidRDefault="001F1738" w:rsidP="00BC2F11">
      <w:pPr>
        <w:pStyle w:val="FootnoteText"/>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35" w:history="1">
        <w:r w:rsidRPr="00563D0D">
          <w:rPr>
            <w:rStyle w:val="Hyperlink"/>
            <w:rFonts w:ascii="Times New Roman" w:hAnsi="Times New Roman"/>
            <w:lang w:val="pl-PL"/>
          </w:rPr>
          <w:t>https://www.izsvenezie.com/reference-laboratories/avian-influenza-newcastle-disease/</w:t>
        </w:r>
      </w:hyperlink>
      <w:r w:rsidRPr="00563D0D">
        <w:rPr>
          <w:rFonts w:ascii="Times New Roman" w:hAnsi="Times New Roman"/>
          <w:lang w:val="pl-PL"/>
        </w:rPr>
        <w:t xml:space="preserve"> </w:t>
      </w:r>
    </w:p>
  </w:footnote>
  <w:footnote w:id="49">
    <w:p w14:paraId="613D7FC5" w14:textId="580AB113" w:rsidR="001F1738" w:rsidRPr="00563D0D" w:rsidRDefault="001F1738" w:rsidP="00BC2F11">
      <w:pPr>
        <w:pStyle w:val="FootnoteText"/>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r w:rsidRPr="00563D0D">
        <w:rPr>
          <w:rFonts w:ascii="Times New Roman" w:hAnsi="Times New Roman"/>
          <w:color w:val="333333"/>
          <w:shd w:val="clear" w:color="auto" w:fill="FFFFFF"/>
          <w:lang w:val="pl-PL"/>
        </w:rPr>
        <w:t>Rozporządzenie delegowane Komisji (UE) 2020/689</w:t>
      </w:r>
      <w:r w:rsidR="00563D0D" w:rsidRPr="00563D0D">
        <w:rPr>
          <w:rFonts w:ascii="Times New Roman" w:hAnsi="Times New Roman"/>
          <w:color w:val="333333"/>
          <w:shd w:val="clear" w:color="auto" w:fill="FFFFFF"/>
          <w:lang w:val="pl-PL"/>
        </w:rPr>
        <w:t xml:space="preserve"> z</w:t>
      </w:r>
      <w:r w:rsidR="00563D0D">
        <w:rPr>
          <w:rFonts w:ascii="Times New Roman" w:hAnsi="Times New Roman"/>
          <w:color w:val="333333"/>
          <w:shd w:val="clear" w:color="auto" w:fill="FFFFFF"/>
          <w:lang w:val="pl-PL"/>
        </w:rPr>
        <w:t> </w:t>
      </w:r>
      <w:r w:rsidR="00563D0D" w:rsidRPr="00563D0D">
        <w:rPr>
          <w:rFonts w:ascii="Times New Roman" w:hAnsi="Times New Roman"/>
          <w:color w:val="333333"/>
          <w:shd w:val="clear" w:color="auto" w:fill="FFFFFF"/>
          <w:lang w:val="pl-PL"/>
        </w:rPr>
        <w:t>dni</w:t>
      </w:r>
      <w:r w:rsidRPr="00563D0D">
        <w:rPr>
          <w:rFonts w:ascii="Times New Roman" w:hAnsi="Times New Roman"/>
          <w:color w:val="333333"/>
          <w:shd w:val="clear" w:color="auto" w:fill="FFFFFF"/>
          <w:lang w:val="pl-PL"/>
        </w:rPr>
        <w:t>a 17 grudnia 2019</w:t>
      </w:r>
      <w:r w:rsidR="00563D0D" w:rsidRPr="00563D0D">
        <w:rPr>
          <w:rFonts w:ascii="Times New Roman" w:hAnsi="Times New Roman"/>
          <w:color w:val="333333"/>
          <w:shd w:val="clear" w:color="auto" w:fill="FFFFFF"/>
          <w:lang w:val="pl-PL"/>
        </w:rPr>
        <w:t> </w:t>
      </w:r>
      <w:r w:rsidRPr="00563D0D">
        <w:rPr>
          <w:rFonts w:ascii="Times New Roman" w:hAnsi="Times New Roman"/>
          <w:color w:val="333333"/>
          <w:shd w:val="clear" w:color="auto" w:fill="FFFFFF"/>
          <w:lang w:val="pl-PL"/>
        </w:rPr>
        <w:t>r. uzupełniające rozporządzenie Parlamentu Europejskiego</w:t>
      </w:r>
      <w:r w:rsidR="00563D0D" w:rsidRPr="00563D0D">
        <w:rPr>
          <w:rFonts w:ascii="Times New Roman" w:hAnsi="Times New Roman"/>
          <w:color w:val="333333"/>
          <w:shd w:val="clear" w:color="auto" w:fill="FFFFFF"/>
          <w:lang w:val="pl-PL"/>
        </w:rPr>
        <w:t xml:space="preserve"> i</w:t>
      </w:r>
      <w:r w:rsidR="00563D0D">
        <w:rPr>
          <w:rFonts w:ascii="Times New Roman" w:hAnsi="Times New Roman"/>
          <w:color w:val="333333"/>
          <w:shd w:val="clear" w:color="auto" w:fill="FFFFFF"/>
          <w:lang w:val="pl-PL"/>
        </w:rPr>
        <w:t> </w:t>
      </w:r>
      <w:r w:rsidR="00563D0D" w:rsidRPr="00563D0D">
        <w:rPr>
          <w:rFonts w:ascii="Times New Roman" w:hAnsi="Times New Roman"/>
          <w:color w:val="333333"/>
          <w:shd w:val="clear" w:color="auto" w:fill="FFFFFF"/>
          <w:lang w:val="pl-PL"/>
        </w:rPr>
        <w:t>Rad</w:t>
      </w:r>
      <w:r w:rsidRPr="00563D0D">
        <w:rPr>
          <w:rFonts w:ascii="Times New Roman" w:hAnsi="Times New Roman"/>
          <w:color w:val="333333"/>
          <w:shd w:val="clear" w:color="auto" w:fill="FFFFFF"/>
          <w:lang w:val="pl-PL"/>
        </w:rPr>
        <w:t>y (UE) 2016/429</w:t>
      </w:r>
      <w:r w:rsidR="00563D0D" w:rsidRPr="00563D0D">
        <w:rPr>
          <w:rFonts w:ascii="Times New Roman" w:hAnsi="Times New Roman"/>
          <w:color w:val="333333"/>
          <w:shd w:val="clear" w:color="auto" w:fill="FFFFFF"/>
          <w:lang w:val="pl-PL"/>
        </w:rPr>
        <w:t xml:space="preserve"> w</w:t>
      </w:r>
      <w:r w:rsidR="00563D0D">
        <w:rPr>
          <w:rFonts w:ascii="Times New Roman" w:hAnsi="Times New Roman"/>
          <w:color w:val="333333"/>
          <w:shd w:val="clear" w:color="auto" w:fill="FFFFFF"/>
          <w:lang w:val="pl-PL"/>
        </w:rPr>
        <w:t> </w:t>
      </w:r>
      <w:r w:rsidR="00563D0D" w:rsidRPr="00563D0D">
        <w:rPr>
          <w:rFonts w:ascii="Times New Roman" w:hAnsi="Times New Roman"/>
          <w:color w:val="333333"/>
          <w:shd w:val="clear" w:color="auto" w:fill="FFFFFF"/>
          <w:lang w:val="pl-PL"/>
        </w:rPr>
        <w:t>odn</w:t>
      </w:r>
      <w:r w:rsidRPr="00563D0D">
        <w:rPr>
          <w:rFonts w:ascii="Times New Roman" w:hAnsi="Times New Roman"/>
          <w:color w:val="333333"/>
          <w:shd w:val="clear" w:color="auto" w:fill="FFFFFF"/>
          <w:lang w:val="pl-PL"/>
        </w:rPr>
        <w:t>iesieniu do zasad dotyczących nadzoru, programów likwidacji choroby oraz statusu obszaru wolnego od choroby</w:t>
      </w:r>
      <w:r w:rsidR="00563D0D" w:rsidRPr="00563D0D">
        <w:rPr>
          <w:rFonts w:ascii="Times New Roman" w:hAnsi="Times New Roman"/>
          <w:color w:val="333333"/>
          <w:shd w:val="clear" w:color="auto" w:fill="FFFFFF"/>
          <w:lang w:val="pl-PL"/>
        </w:rPr>
        <w:t xml:space="preserve"> w</w:t>
      </w:r>
      <w:r w:rsidR="00563D0D">
        <w:rPr>
          <w:rFonts w:ascii="Times New Roman" w:hAnsi="Times New Roman"/>
          <w:color w:val="333333"/>
          <w:shd w:val="clear" w:color="auto" w:fill="FFFFFF"/>
          <w:lang w:val="pl-PL"/>
        </w:rPr>
        <w:t> </w:t>
      </w:r>
      <w:r w:rsidR="00563D0D" w:rsidRPr="00563D0D">
        <w:rPr>
          <w:rFonts w:ascii="Times New Roman" w:hAnsi="Times New Roman"/>
          <w:color w:val="333333"/>
          <w:shd w:val="clear" w:color="auto" w:fill="FFFFFF"/>
          <w:lang w:val="pl-PL"/>
        </w:rPr>
        <w:t>prz</w:t>
      </w:r>
      <w:r w:rsidRPr="00563D0D">
        <w:rPr>
          <w:rFonts w:ascii="Times New Roman" w:hAnsi="Times New Roman"/>
          <w:color w:val="333333"/>
          <w:shd w:val="clear" w:color="auto" w:fill="FFFFFF"/>
          <w:lang w:val="pl-PL"/>
        </w:rPr>
        <w:t>ypadku niektórych chorób umieszczonych</w:t>
      </w:r>
      <w:r w:rsidR="00563D0D" w:rsidRPr="00563D0D">
        <w:rPr>
          <w:rFonts w:ascii="Times New Roman" w:hAnsi="Times New Roman"/>
          <w:color w:val="333333"/>
          <w:shd w:val="clear" w:color="auto" w:fill="FFFFFF"/>
          <w:lang w:val="pl-PL"/>
        </w:rPr>
        <w:t xml:space="preserve"> w</w:t>
      </w:r>
      <w:r w:rsidR="00563D0D">
        <w:rPr>
          <w:rFonts w:ascii="Times New Roman" w:hAnsi="Times New Roman"/>
          <w:color w:val="333333"/>
          <w:shd w:val="clear" w:color="auto" w:fill="FFFFFF"/>
          <w:lang w:val="pl-PL"/>
        </w:rPr>
        <w:t> </w:t>
      </w:r>
      <w:r w:rsidR="00563D0D" w:rsidRPr="00563D0D">
        <w:rPr>
          <w:rFonts w:ascii="Times New Roman" w:hAnsi="Times New Roman"/>
          <w:color w:val="333333"/>
          <w:shd w:val="clear" w:color="auto" w:fill="FFFFFF"/>
          <w:lang w:val="pl-PL"/>
        </w:rPr>
        <w:t>wyk</w:t>
      </w:r>
      <w:r w:rsidRPr="00563D0D">
        <w:rPr>
          <w:rFonts w:ascii="Times New Roman" w:hAnsi="Times New Roman"/>
          <w:color w:val="333333"/>
          <w:shd w:val="clear" w:color="auto" w:fill="FFFFFF"/>
          <w:lang w:val="pl-PL"/>
        </w:rPr>
        <w:t>azie</w:t>
      </w:r>
      <w:r w:rsidR="00563D0D" w:rsidRPr="00563D0D">
        <w:rPr>
          <w:rFonts w:ascii="Times New Roman" w:hAnsi="Times New Roman"/>
          <w:color w:val="333333"/>
          <w:shd w:val="clear" w:color="auto" w:fill="FFFFFF"/>
          <w:lang w:val="pl-PL"/>
        </w:rPr>
        <w:t xml:space="preserve"> i</w:t>
      </w:r>
      <w:r w:rsidR="00563D0D">
        <w:rPr>
          <w:rFonts w:ascii="Times New Roman" w:hAnsi="Times New Roman"/>
          <w:color w:val="333333"/>
          <w:shd w:val="clear" w:color="auto" w:fill="FFFFFF"/>
          <w:lang w:val="pl-PL"/>
        </w:rPr>
        <w:t> </w:t>
      </w:r>
      <w:r w:rsidR="00563D0D" w:rsidRPr="00563D0D">
        <w:rPr>
          <w:rFonts w:ascii="Times New Roman" w:hAnsi="Times New Roman"/>
          <w:color w:val="333333"/>
          <w:shd w:val="clear" w:color="auto" w:fill="FFFFFF"/>
          <w:lang w:val="pl-PL"/>
        </w:rPr>
        <w:t>nie</w:t>
      </w:r>
      <w:r w:rsidRPr="00563D0D">
        <w:rPr>
          <w:rFonts w:ascii="Times New Roman" w:hAnsi="Times New Roman"/>
          <w:color w:val="333333"/>
          <w:shd w:val="clear" w:color="auto" w:fill="FFFFFF"/>
          <w:lang w:val="pl-PL"/>
        </w:rPr>
        <w:t>których nowo występujących chorób (Dz.U. L 174</w:t>
      </w:r>
      <w:r w:rsidR="00563D0D" w:rsidRPr="00563D0D">
        <w:rPr>
          <w:rFonts w:ascii="Times New Roman" w:hAnsi="Times New Roman"/>
          <w:color w:val="333333"/>
          <w:shd w:val="clear" w:color="auto" w:fill="FFFFFF"/>
          <w:lang w:val="pl-PL"/>
        </w:rPr>
        <w:t xml:space="preserve"> z</w:t>
      </w:r>
      <w:r w:rsidR="00563D0D">
        <w:rPr>
          <w:rFonts w:ascii="Times New Roman" w:hAnsi="Times New Roman"/>
          <w:color w:val="333333"/>
          <w:shd w:val="clear" w:color="auto" w:fill="FFFFFF"/>
          <w:lang w:val="pl-PL"/>
        </w:rPr>
        <w:t> </w:t>
      </w:r>
      <w:r w:rsidR="00563D0D" w:rsidRPr="00563D0D">
        <w:rPr>
          <w:rFonts w:ascii="Times New Roman" w:hAnsi="Times New Roman"/>
          <w:color w:val="333333"/>
          <w:shd w:val="clear" w:color="auto" w:fill="FFFFFF"/>
          <w:lang w:val="pl-PL"/>
        </w:rPr>
        <w:t>3</w:t>
      </w:r>
      <w:r w:rsidRPr="00563D0D">
        <w:rPr>
          <w:rFonts w:ascii="Times New Roman" w:hAnsi="Times New Roman"/>
          <w:color w:val="333333"/>
          <w:shd w:val="clear" w:color="auto" w:fill="FFFFFF"/>
          <w:lang w:val="pl-PL"/>
        </w:rPr>
        <w:t>.6.2020, s. 211) (</w:t>
      </w:r>
      <w:hyperlink r:id="rId36" w:history="1">
        <w:r w:rsidRPr="00563D0D">
          <w:rPr>
            <w:rStyle w:val="Hyperlink"/>
            <w:rFonts w:ascii="Times New Roman" w:hAnsi="Times New Roman"/>
            <w:lang w:val="pl-PL"/>
          </w:rPr>
          <w:t>https://eur-lex.europa.eu/legal-content/PL/TXT/?uri=CELEX%3A32020R0689&amp;qid=1699963567960</w:t>
        </w:r>
      </w:hyperlink>
      <w:r w:rsidRPr="00563D0D">
        <w:rPr>
          <w:rFonts w:ascii="Times New Roman" w:hAnsi="Times New Roman"/>
          <w:lang w:val="pl-PL"/>
        </w:rPr>
        <w:t xml:space="preserve">). </w:t>
      </w:r>
    </w:p>
  </w:footnote>
  <w:footnote w:id="50">
    <w:p w14:paraId="46DCE7FA" w14:textId="263A7C70" w:rsidR="001F1738" w:rsidRPr="00563D0D" w:rsidRDefault="001F1738" w:rsidP="00BC2F11">
      <w:pPr>
        <w:pStyle w:val="FootnoteText"/>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37" w:history="1">
        <w:r w:rsidRPr="00563D0D">
          <w:rPr>
            <w:rStyle w:val="Hyperlink"/>
            <w:rFonts w:ascii="Times New Roman" w:hAnsi="Times New Roman"/>
            <w:lang w:val="pl-PL"/>
          </w:rPr>
          <w:t>https://climate-adapt.eea.europa.eu/pl/observatory</w:t>
        </w:r>
      </w:hyperlink>
      <w:r w:rsidRPr="00563D0D">
        <w:rPr>
          <w:rFonts w:ascii="Times New Roman" w:hAnsi="Times New Roman"/>
          <w:lang w:val="pl-PL"/>
        </w:rPr>
        <w:t xml:space="preserve"> </w:t>
      </w:r>
    </w:p>
  </w:footnote>
  <w:footnote w:id="51">
    <w:p w14:paraId="23BC34FE" w14:textId="2CC4889D" w:rsidR="001F1738" w:rsidRPr="00563D0D" w:rsidRDefault="001F1738" w:rsidP="00BC2F11">
      <w:pPr>
        <w:pStyle w:val="FootnoteText"/>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38" w:history="1">
        <w:r w:rsidRPr="00563D0D">
          <w:rPr>
            <w:rStyle w:val="Hyperlink"/>
            <w:rFonts w:ascii="Times New Roman" w:hAnsi="Times New Roman"/>
            <w:lang w:val="pl-PL"/>
          </w:rPr>
          <w:t>https://www.who.int/europe/publications/i/item/EURO-Budapest2023-6</w:t>
        </w:r>
      </w:hyperlink>
      <w:r w:rsidRPr="00563D0D">
        <w:rPr>
          <w:rFonts w:ascii="Times New Roman" w:hAnsi="Times New Roman"/>
          <w:lang w:val="pl-PL"/>
        </w:rPr>
        <w:t xml:space="preserve"> </w:t>
      </w:r>
    </w:p>
  </w:footnote>
  <w:footnote w:id="52">
    <w:p w14:paraId="72BF0F76" w14:textId="6F7B9C2F" w:rsidR="000A69F5" w:rsidRPr="00563D0D" w:rsidRDefault="000A69F5">
      <w:pPr>
        <w:pStyle w:val="FootnoteText"/>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39" w:history="1">
        <w:r w:rsidRPr="00563D0D">
          <w:rPr>
            <w:rStyle w:val="Hyperlink"/>
            <w:rFonts w:ascii="Times New Roman" w:hAnsi="Times New Roman"/>
            <w:lang w:val="pl-PL"/>
          </w:rPr>
          <w:t>https://www.cop28.com/en/cop28-uae-declaration-on-climate-and-health</w:t>
        </w:r>
      </w:hyperlink>
      <w:r w:rsidRPr="00563D0D">
        <w:rPr>
          <w:rFonts w:ascii="Times New Roman" w:hAnsi="Times New Roman"/>
          <w:lang w:val="pl-PL"/>
        </w:rPr>
        <w:t xml:space="preserve"> </w:t>
      </w:r>
    </w:p>
  </w:footnote>
  <w:footnote w:id="53">
    <w:p w14:paraId="0649BF95" w14:textId="0AB9C428" w:rsidR="001F1738" w:rsidRPr="00563D0D" w:rsidRDefault="001F1738" w:rsidP="00BC2F11">
      <w:pPr>
        <w:pStyle w:val="FootnoteText"/>
        <w:spacing w:line="240" w:lineRule="auto"/>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40" w:history="1">
        <w:r w:rsidRPr="00563D0D">
          <w:rPr>
            <w:rStyle w:val="Hyperlink"/>
            <w:rFonts w:ascii="Times New Roman" w:hAnsi="Times New Roman"/>
            <w:lang w:val="pl-PL"/>
          </w:rPr>
          <w:t>https://www.who.int/publications/i/item/9789289071918</w:t>
        </w:r>
      </w:hyperlink>
      <w:r w:rsidRPr="00563D0D">
        <w:rPr>
          <w:rFonts w:ascii="Times New Roman" w:hAnsi="Times New Roman"/>
          <w:lang w:val="pl-PL"/>
        </w:rPr>
        <w:t xml:space="preserve"> </w:t>
      </w:r>
    </w:p>
  </w:footnote>
  <w:footnote w:id="54">
    <w:p w14:paraId="46EFC43B" w14:textId="2A66B00D" w:rsidR="0003452E" w:rsidRPr="00563D0D" w:rsidRDefault="0003452E" w:rsidP="00BC2F11">
      <w:pPr>
        <w:pStyle w:val="FootnoteText"/>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41" w:history="1">
        <w:r w:rsidRPr="00563D0D">
          <w:rPr>
            <w:rStyle w:val="Hyperlink"/>
            <w:rFonts w:ascii="Times New Roman" w:hAnsi="Times New Roman"/>
            <w:lang w:val="pl-PL"/>
          </w:rPr>
          <w:t>https://cinea.ec.europa.eu/programmes/life_pl</w:t>
        </w:r>
      </w:hyperlink>
      <w:r w:rsidRPr="00563D0D">
        <w:rPr>
          <w:rFonts w:ascii="Times New Roman" w:hAnsi="Times New Roman"/>
          <w:lang w:val="pl-PL"/>
        </w:rPr>
        <w:t xml:space="preserve"> </w:t>
      </w:r>
    </w:p>
  </w:footnote>
  <w:footnote w:id="55">
    <w:p w14:paraId="5647594C" w14:textId="13A6F333" w:rsidR="001F1738" w:rsidRPr="00563D0D" w:rsidRDefault="001F1738" w:rsidP="00BC2F11">
      <w:pPr>
        <w:pStyle w:val="FootnoteText"/>
        <w:spacing w:line="240" w:lineRule="auto"/>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42" w:history="1">
        <w:r w:rsidRPr="00563D0D">
          <w:rPr>
            <w:rStyle w:val="Hyperlink"/>
            <w:rFonts w:ascii="Times New Roman" w:hAnsi="Times New Roman"/>
            <w:lang w:val="pl-PL"/>
          </w:rPr>
          <w:t>https://www.eea.europa.eu/en/about/who-we-are/projects-and-cooperation-agreements/european-climate-risk-assessment</w:t>
        </w:r>
      </w:hyperlink>
      <w:r w:rsidRPr="00563D0D">
        <w:rPr>
          <w:rFonts w:ascii="Times New Roman" w:hAnsi="Times New Roman"/>
          <w:lang w:val="pl-PL"/>
        </w:rPr>
        <w:t xml:space="preserve"> </w:t>
      </w:r>
    </w:p>
  </w:footnote>
  <w:footnote w:id="56">
    <w:p w14:paraId="0B40A4CA" w14:textId="77777777" w:rsidR="00B554C1" w:rsidRPr="00563D0D" w:rsidRDefault="00B554C1" w:rsidP="00B554C1">
      <w:pPr>
        <w:pStyle w:val="FootnoteText"/>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r w:rsidRPr="00563D0D">
        <w:rPr>
          <w:rStyle w:val="Hyperlink"/>
          <w:rFonts w:ascii="Times New Roman" w:hAnsi="Times New Roman"/>
          <w:lang w:val="pl-PL"/>
        </w:rPr>
        <w:t>Zob. np.: https://www.eea.europa.eu/publications/air-quality-in-europe-2022/health-impacts-of-air-pollution</w:t>
      </w:r>
    </w:p>
  </w:footnote>
  <w:footnote w:id="57">
    <w:p w14:paraId="49FE9E3E" w14:textId="36AAEA14" w:rsidR="00B554C1" w:rsidRPr="00563D0D" w:rsidRDefault="00B554C1" w:rsidP="00B554C1">
      <w:pPr>
        <w:pStyle w:val="FootnoteText"/>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43" w:history="1">
        <w:r w:rsidRPr="00563D0D">
          <w:rPr>
            <w:rStyle w:val="Hyperlink"/>
            <w:rFonts w:ascii="Times New Roman" w:hAnsi="Times New Roman"/>
            <w:lang w:val="pl-PL"/>
          </w:rPr>
          <w:t>https://ec.europa.eu/commission/presscorner/detail/pl/ip_22_6278</w:t>
        </w:r>
      </w:hyperlink>
      <w:r w:rsidRPr="00563D0D">
        <w:rPr>
          <w:lang w:val="pl-PL"/>
        </w:rPr>
        <w:tab/>
      </w:r>
    </w:p>
  </w:footnote>
  <w:footnote w:id="58">
    <w:p w14:paraId="36690947" w14:textId="23518021" w:rsidR="00B554C1" w:rsidRPr="00563D0D" w:rsidRDefault="00B554C1">
      <w:pPr>
        <w:pStyle w:val="FootnoteText"/>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Zob. sekcja dotycząca nabytej oporności na środki przeciwdrobnoustrojowe powyżej.</w:t>
      </w:r>
    </w:p>
  </w:footnote>
  <w:footnote w:id="59">
    <w:p w14:paraId="6317D8D0" w14:textId="0D59F38C" w:rsidR="00DD489A" w:rsidRPr="00563D0D" w:rsidRDefault="00DD489A">
      <w:pPr>
        <w:pStyle w:val="FootnoteText"/>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44" w:history="1">
        <w:r w:rsidRPr="00563D0D">
          <w:rPr>
            <w:rStyle w:val="Hyperlink"/>
            <w:rFonts w:ascii="Times New Roman" w:hAnsi="Times New Roman"/>
            <w:lang w:val="pl-PL"/>
          </w:rPr>
          <w:t>https://environment.ec.europa.eu/publications/proposal-revision-industrial-emissions-directive_en</w:t>
        </w:r>
      </w:hyperlink>
    </w:p>
  </w:footnote>
  <w:footnote w:id="60">
    <w:p w14:paraId="50A33709" w14:textId="7F6436F6" w:rsidR="00DD489A" w:rsidRPr="00563D0D" w:rsidRDefault="00DD489A">
      <w:pPr>
        <w:pStyle w:val="FootnoteText"/>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45" w:history="1">
        <w:r w:rsidRPr="00563D0D">
          <w:rPr>
            <w:rStyle w:val="Hyperlink"/>
            <w:rFonts w:ascii="Times New Roman" w:hAnsi="Times New Roman"/>
            <w:lang w:val="pl-PL"/>
          </w:rPr>
          <w:t>https://environment.ec.europa.eu/topics/soil-and-land/soil-health_en</w:t>
        </w:r>
      </w:hyperlink>
    </w:p>
  </w:footnote>
  <w:footnote w:id="61">
    <w:p w14:paraId="0A398BDC" w14:textId="06CC95A4" w:rsidR="001F1738" w:rsidRPr="00563D0D" w:rsidRDefault="001F1738" w:rsidP="00003506">
      <w:pPr>
        <w:spacing w:after="0" w:line="240" w:lineRule="auto"/>
        <w:contextualSpacing/>
        <w:rPr>
          <w:rFonts w:ascii="Times New Roman" w:hAnsi="Times New Roman" w:cs="Times New Roman"/>
          <w:sz w:val="20"/>
          <w:lang w:val="pl-PL"/>
        </w:rPr>
      </w:pPr>
      <w:r w:rsidRPr="00563D0D">
        <w:rPr>
          <w:rStyle w:val="FootnoteReference"/>
          <w:rFonts w:ascii="Times New Roman" w:hAnsi="Times New Roman" w:cs="Times New Roman"/>
          <w:sz w:val="20"/>
          <w:lang w:val="pl-PL"/>
        </w:rPr>
        <w:footnoteRef/>
      </w:r>
      <w:r w:rsidRPr="00563D0D">
        <w:rPr>
          <w:rFonts w:ascii="Times New Roman" w:hAnsi="Times New Roman"/>
          <w:sz w:val="20"/>
          <w:lang w:val="pl-PL"/>
        </w:rPr>
        <w:t xml:space="preserve"> </w:t>
      </w:r>
      <w:hyperlink r:id="rId46" w:history="1">
        <w:r w:rsidRPr="00563D0D">
          <w:rPr>
            <w:rStyle w:val="Hyperlink"/>
            <w:rFonts w:ascii="Times New Roman" w:hAnsi="Times New Roman"/>
            <w:sz w:val="20"/>
            <w:lang w:val="pl-PL"/>
          </w:rPr>
          <w:t>https://eur-lex.europa.eu/legal-content/PL/TXT/?uri=OJ:L:2023:234:TOC</w:t>
        </w:r>
      </w:hyperlink>
    </w:p>
  </w:footnote>
  <w:footnote w:id="62">
    <w:p w14:paraId="5CB722D4" w14:textId="56569148" w:rsidR="001F1738" w:rsidRPr="00563D0D" w:rsidRDefault="001F1738" w:rsidP="00003506">
      <w:pPr>
        <w:pStyle w:val="FootnoteText"/>
        <w:spacing w:line="240" w:lineRule="auto"/>
        <w:contextualSpacing/>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UMOL obejmuje zarówno państwa członkowskie, jak</w:t>
      </w:r>
      <w:r w:rsidR="00563D0D" w:rsidRPr="00563D0D">
        <w:rPr>
          <w:rFonts w:ascii="Times New Roman" w:hAnsi="Times New Roman"/>
          <w:lang w:val="pl-PL"/>
        </w:rPr>
        <w:t xml:space="preserve"> i</w:t>
      </w:r>
      <w:r w:rsidR="00563D0D">
        <w:rPr>
          <w:rFonts w:ascii="Times New Roman" w:hAnsi="Times New Roman"/>
          <w:lang w:val="pl-PL"/>
        </w:rPr>
        <w:t> </w:t>
      </w:r>
      <w:r w:rsidR="00563D0D" w:rsidRPr="00563D0D">
        <w:rPr>
          <w:rFonts w:ascii="Times New Roman" w:hAnsi="Times New Roman"/>
          <w:lang w:val="pl-PL"/>
        </w:rPr>
        <w:t>1</w:t>
      </w:r>
      <w:r w:rsidRPr="00563D0D">
        <w:rPr>
          <w:rFonts w:ascii="Times New Roman" w:hAnsi="Times New Roman"/>
          <w:lang w:val="pl-PL"/>
        </w:rPr>
        <w:t>0 uczestniczących państw spoza UE.</w:t>
      </w:r>
    </w:p>
  </w:footnote>
  <w:footnote w:id="63">
    <w:p w14:paraId="78C009C9" w14:textId="5BE06753" w:rsidR="001F1738" w:rsidRPr="00563D0D" w:rsidRDefault="001F1738" w:rsidP="00003506">
      <w:pPr>
        <w:pStyle w:val="FootnoteText"/>
        <w:spacing w:line="240" w:lineRule="auto"/>
        <w:contextualSpacing/>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SWD(2020) 3 final.</w:t>
      </w:r>
    </w:p>
  </w:footnote>
  <w:footnote w:id="64">
    <w:p w14:paraId="33D352B3" w14:textId="7F220356" w:rsidR="00015AC9" w:rsidRPr="00563D0D" w:rsidRDefault="00015AC9" w:rsidP="00003506">
      <w:pPr>
        <w:spacing w:after="0" w:line="240" w:lineRule="auto"/>
        <w:contextualSpacing/>
        <w:jc w:val="both"/>
        <w:rPr>
          <w:rFonts w:ascii="Times New Roman" w:hAnsi="Times New Roman" w:cs="Times New Roman"/>
          <w:sz w:val="20"/>
          <w:lang w:val="pl-PL"/>
        </w:rPr>
      </w:pPr>
      <w:r w:rsidRPr="00563D0D">
        <w:rPr>
          <w:rStyle w:val="FootnoteReference"/>
          <w:rFonts w:ascii="Times New Roman" w:hAnsi="Times New Roman" w:cs="Times New Roman"/>
          <w:sz w:val="20"/>
          <w:lang w:val="pl-PL"/>
        </w:rPr>
        <w:footnoteRef/>
      </w:r>
      <w:r w:rsidRPr="00563D0D">
        <w:rPr>
          <w:rFonts w:ascii="Times New Roman" w:hAnsi="Times New Roman"/>
          <w:sz w:val="20"/>
          <w:lang w:val="pl-PL"/>
        </w:rPr>
        <w:t xml:space="preserve"> Ogólnoeuropejskie scenariusze dotyczące klęsk</w:t>
      </w:r>
      <w:r w:rsidR="00563D0D" w:rsidRPr="00563D0D">
        <w:rPr>
          <w:rFonts w:ascii="Times New Roman" w:hAnsi="Times New Roman"/>
          <w:sz w:val="20"/>
          <w:lang w:val="pl-PL"/>
        </w:rPr>
        <w:t xml:space="preserve"> i</w:t>
      </w:r>
      <w:r w:rsidR="00563D0D">
        <w:rPr>
          <w:rFonts w:ascii="Times New Roman" w:hAnsi="Times New Roman"/>
          <w:sz w:val="20"/>
          <w:lang w:val="pl-PL"/>
        </w:rPr>
        <w:t> </w:t>
      </w:r>
      <w:r w:rsidR="00563D0D" w:rsidRPr="00563D0D">
        <w:rPr>
          <w:rFonts w:ascii="Times New Roman" w:hAnsi="Times New Roman"/>
          <w:sz w:val="20"/>
          <w:lang w:val="pl-PL"/>
        </w:rPr>
        <w:t>kat</w:t>
      </w:r>
      <w:r w:rsidRPr="00563D0D">
        <w:rPr>
          <w:rFonts w:ascii="Times New Roman" w:hAnsi="Times New Roman"/>
          <w:sz w:val="20"/>
          <w:lang w:val="pl-PL"/>
        </w:rPr>
        <w:t>astrof są jedną</w:t>
      </w:r>
      <w:r w:rsidR="00563D0D" w:rsidRPr="00563D0D">
        <w:rPr>
          <w:rFonts w:ascii="Times New Roman" w:hAnsi="Times New Roman"/>
          <w:sz w:val="20"/>
          <w:lang w:val="pl-PL"/>
        </w:rPr>
        <w:t xml:space="preserve"> z</w:t>
      </w:r>
      <w:r w:rsidR="00563D0D">
        <w:rPr>
          <w:rFonts w:ascii="Times New Roman" w:hAnsi="Times New Roman"/>
          <w:sz w:val="20"/>
          <w:lang w:val="pl-PL"/>
        </w:rPr>
        <w:t> </w:t>
      </w:r>
      <w:r w:rsidR="00563D0D" w:rsidRPr="00563D0D">
        <w:rPr>
          <w:rFonts w:ascii="Times New Roman" w:hAnsi="Times New Roman"/>
          <w:sz w:val="20"/>
          <w:lang w:val="pl-PL"/>
        </w:rPr>
        <w:t>ini</w:t>
      </w:r>
      <w:r w:rsidRPr="00563D0D">
        <w:rPr>
          <w:rFonts w:ascii="Times New Roman" w:hAnsi="Times New Roman"/>
          <w:sz w:val="20"/>
          <w:lang w:val="pl-PL"/>
        </w:rPr>
        <w:t>cjatyw przewodnich ujętych</w:t>
      </w:r>
      <w:r w:rsidR="00563D0D" w:rsidRPr="00563D0D">
        <w:rPr>
          <w:rFonts w:ascii="Times New Roman" w:hAnsi="Times New Roman"/>
          <w:sz w:val="20"/>
          <w:lang w:val="pl-PL"/>
        </w:rPr>
        <w:t xml:space="preserve"> w</w:t>
      </w:r>
      <w:r w:rsidR="00563D0D">
        <w:rPr>
          <w:rFonts w:ascii="Times New Roman" w:hAnsi="Times New Roman"/>
          <w:sz w:val="20"/>
          <w:lang w:val="pl-PL"/>
        </w:rPr>
        <w:t> </w:t>
      </w:r>
      <w:r w:rsidR="00563D0D" w:rsidRPr="00563D0D">
        <w:rPr>
          <w:rFonts w:ascii="Times New Roman" w:hAnsi="Times New Roman"/>
          <w:sz w:val="20"/>
          <w:lang w:val="pl-PL"/>
        </w:rPr>
        <w:t>opr</w:t>
      </w:r>
      <w:r w:rsidRPr="00563D0D">
        <w:rPr>
          <w:rFonts w:ascii="Times New Roman" w:hAnsi="Times New Roman"/>
          <w:sz w:val="20"/>
          <w:lang w:val="pl-PL"/>
        </w:rPr>
        <w:t>acowanych przez Komisję unijnych celach</w:t>
      </w:r>
      <w:r w:rsidR="00563D0D" w:rsidRPr="00563D0D">
        <w:rPr>
          <w:rFonts w:ascii="Times New Roman" w:hAnsi="Times New Roman"/>
          <w:sz w:val="20"/>
          <w:lang w:val="pl-PL"/>
        </w:rPr>
        <w:t xml:space="preserve"> w</w:t>
      </w:r>
      <w:r w:rsidR="00563D0D">
        <w:rPr>
          <w:rFonts w:ascii="Times New Roman" w:hAnsi="Times New Roman"/>
          <w:sz w:val="20"/>
          <w:lang w:val="pl-PL"/>
        </w:rPr>
        <w:t> </w:t>
      </w:r>
      <w:r w:rsidR="00563D0D" w:rsidRPr="00563D0D">
        <w:rPr>
          <w:rFonts w:ascii="Times New Roman" w:hAnsi="Times New Roman"/>
          <w:sz w:val="20"/>
          <w:lang w:val="pl-PL"/>
        </w:rPr>
        <w:t>zak</w:t>
      </w:r>
      <w:r w:rsidRPr="00563D0D">
        <w:rPr>
          <w:rFonts w:ascii="Times New Roman" w:hAnsi="Times New Roman"/>
          <w:sz w:val="20"/>
          <w:lang w:val="pl-PL"/>
        </w:rPr>
        <w:t>resie odporności na klęski</w:t>
      </w:r>
      <w:r w:rsidR="00563D0D" w:rsidRPr="00563D0D">
        <w:rPr>
          <w:rFonts w:ascii="Times New Roman" w:hAnsi="Times New Roman"/>
          <w:sz w:val="20"/>
          <w:lang w:val="pl-PL"/>
        </w:rPr>
        <w:t xml:space="preserve"> i</w:t>
      </w:r>
      <w:r w:rsidR="00563D0D">
        <w:rPr>
          <w:rFonts w:ascii="Times New Roman" w:hAnsi="Times New Roman"/>
          <w:sz w:val="20"/>
          <w:lang w:val="pl-PL"/>
        </w:rPr>
        <w:t> </w:t>
      </w:r>
      <w:r w:rsidR="00563D0D" w:rsidRPr="00563D0D">
        <w:rPr>
          <w:rFonts w:ascii="Times New Roman" w:hAnsi="Times New Roman"/>
          <w:sz w:val="20"/>
          <w:lang w:val="pl-PL"/>
        </w:rPr>
        <w:t>kat</w:t>
      </w:r>
      <w:r w:rsidRPr="00563D0D">
        <w:rPr>
          <w:rFonts w:ascii="Times New Roman" w:hAnsi="Times New Roman"/>
          <w:sz w:val="20"/>
          <w:lang w:val="pl-PL"/>
        </w:rPr>
        <w:t>astrofy, wprowadzonych</w:t>
      </w:r>
      <w:r w:rsidR="00563D0D" w:rsidRPr="00563D0D">
        <w:rPr>
          <w:rFonts w:ascii="Times New Roman" w:hAnsi="Times New Roman"/>
          <w:sz w:val="20"/>
          <w:lang w:val="pl-PL"/>
        </w:rPr>
        <w:t xml:space="preserve"> w</w:t>
      </w:r>
      <w:r w:rsidR="00563D0D">
        <w:rPr>
          <w:rFonts w:ascii="Times New Roman" w:hAnsi="Times New Roman"/>
          <w:sz w:val="20"/>
          <w:lang w:val="pl-PL"/>
        </w:rPr>
        <w:t> </w:t>
      </w:r>
      <w:r w:rsidR="00563D0D" w:rsidRPr="00563D0D">
        <w:rPr>
          <w:rFonts w:ascii="Times New Roman" w:hAnsi="Times New Roman"/>
          <w:sz w:val="20"/>
          <w:lang w:val="pl-PL"/>
        </w:rPr>
        <w:t>lut</w:t>
      </w:r>
      <w:r w:rsidRPr="00563D0D">
        <w:rPr>
          <w:rFonts w:ascii="Times New Roman" w:hAnsi="Times New Roman"/>
          <w:sz w:val="20"/>
          <w:lang w:val="pl-PL"/>
        </w:rPr>
        <w:t>ym 2023</w:t>
      </w:r>
      <w:r w:rsidR="00563D0D" w:rsidRPr="00563D0D">
        <w:rPr>
          <w:rFonts w:ascii="Times New Roman" w:hAnsi="Times New Roman"/>
          <w:sz w:val="20"/>
          <w:lang w:val="pl-PL"/>
        </w:rPr>
        <w:t> </w:t>
      </w:r>
      <w:r w:rsidRPr="00563D0D">
        <w:rPr>
          <w:rFonts w:ascii="Times New Roman" w:hAnsi="Times New Roman"/>
          <w:sz w:val="20"/>
          <w:lang w:val="pl-PL"/>
        </w:rPr>
        <w:t xml:space="preserve">r.: </w:t>
      </w:r>
      <w:hyperlink r:id="rId47" w:history="1">
        <w:r w:rsidRPr="00563D0D">
          <w:rPr>
            <w:rStyle w:val="Hyperlink"/>
            <w:rFonts w:ascii="Times New Roman" w:hAnsi="Times New Roman"/>
            <w:sz w:val="20"/>
            <w:lang w:val="pl-PL"/>
          </w:rPr>
          <w:t>https://civil-protection-humanitarian-aid.ec.europa.eu/what/civil-protection/european-disaster-risk-management/european-disaster-resilience-goals_en</w:t>
        </w:r>
      </w:hyperlink>
    </w:p>
  </w:footnote>
  <w:footnote w:id="65">
    <w:p w14:paraId="2F3474A2" w14:textId="1500A07B" w:rsidR="007D4B14" w:rsidRPr="00563D0D" w:rsidRDefault="007D4B14" w:rsidP="00003506">
      <w:pPr>
        <w:pStyle w:val="FootnoteText"/>
        <w:spacing w:line="240" w:lineRule="auto"/>
        <w:contextualSpacing/>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COM(2022) 780 final.</w:t>
      </w:r>
    </w:p>
  </w:footnote>
  <w:footnote w:id="66">
    <w:p w14:paraId="2F3D3768" w14:textId="77777777" w:rsidR="00854E12" w:rsidRPr="00563D0D" w:rsidRDefault="00854E12" w:rsidP="00854E12">
      <w:pPr>
        <w:pStyle w:val="FootnoteText"/>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48" w:history="1">
        <w:r w:rsidRPr="00563D0D">
          <w:rPr>
            <w:rStyle w:val="Hyperlink"/>
            <w:rFonts w:ascii="Times New Roman" w:hAnsi="Times New Roman"/>
            <w:lang w:val="pl-PL"/>
          </w:rPr>
          <w:t>https://health.ec.europa.eu/publications/hera-factsheet-health-union-identifying-top-3-priority-health-threats_en</w:t>
        </w:r>
      </w:hyperlink>
    </w:p>
  </w:footnote>
  <w:footnote w:id="67">
    <w:p w14:paraId="2BD71B1D" w14:textId="4AE8B8BD" w:rsidR="001F1738" w:rsidRPr="00563D0D" w:rsidRDefault="001F1738" w:rsidP="00BC2F11">
      <w:pPr>
        <w:pStyle w:val="FootnoteText"/>
        <w:jc w:val="both"/>
        <w:rPr>
          <w:rFonts w:ascii="Times New Roman" w:eastAsia="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49" w:anchor="ensuringtheavailabilityofsuppliesandequipment" w:history="1">
        <w:r w:rsidRPr="00563D0D">
          <w:rPr>
            <w:rStyle w:val="Hyperlink"/>
            <w:rFonts w:ascii="Times New Roman" w:hAnsi="Times New Roman"/>
            <w:lang w:val="pl-PL"/>
          </w:rPr>
          <w:t>https://ec.europa.eu/info/live-work-travel-eu/coronavirus-response/public-health_en#ensuringtheavailabilityofsuppliesandequipment</w:t>
        </w:r>
      </w:hyperlink>
    </w:p>
  </w:footnote>
  <w:footnote w:id="68">
    <w:p w14:paraId="7637FDC6" w14:textId="5360291E" w:rsidR="001F1738" w:rsidRPr="00563D0D" w:rsidRDefault="001F1738" w:rsidP="00B769F6">
      <w:pPr>
        <w:pStyle w:val="FootnoteText"/>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Zob. „Nadzór podczas epidemii COVID-19</w:t>
      </w:r>
      <w:r w:rsidR="00563D0D" w:rsidRPr="00563D0D">
        <w:rPr>
          <w:rFonts w:ascii="Times New Roman" w:hAnsi="Times New Roman"/>
          <w:lang w:val="pl-PL"/>
        </w:rPr>
        <w:t xml:space="preserve"> i</w:t>
      </w:r>
      <w:r w:rsidR="00563D0D">
        <w:rPr>
          <w:rFonts w:ascii="Times New Roman" w:hAnsi="Times New Roman"/>
          <w:lang w:val="pl-PL"/>
        </w:rPr>
        <w:t> </w:t>
      </w:r>
      <w:r w:rsidR="00563D0D" w:rsidRPr="00563D0D">
        <w:rPr>
          <w:rFonts w:ascii="Times New Roman" w:hAnsi="Times New Roman"/>
          <w:lang w:val="pl-PL"/>
        </w:rPr>
        <w:t>inn</w:t>
      </w:r>
      <w:r w:rsidRPr="00563D0D">
        <w:rPr>
          <w:rFonts w:ascii="Times New Roman" w:hAnsi="Times New Roman"/>
          <w:lang w:val="pl-PL"/>
        </w:rPr>
        <w:t xml:space="preserve">ych epidemii: wnioski”, </w:t>
      </w:r>
      <w:hyperlink r:id="rId50" w:history="1">
        <w:r w:rsidRPr="00563D0D">
          <w:rPr>
            <w:rStyle w:val="Hyperlink"/>
            <w:rFonts w:ascii="Times New Roman" w:hAnsi="Times New Roman"/>
            <w:lang w:val="pl-PL"/>
          </w:rPr>
          <w:t>https://www.nivel.nl/en/project/1920</w:t>
        </w:r>
      </w:hyperlink>
    </w:p>
  </w:footnote>
  <w:footnote w:id="69">
    <w:p w14:paraId="73E4B9A9" w14:textId="0E07505C" w:rsidR="00C5325C" w:rsidRPr="00563D0D" w:rsidRDefault="00C5325C" w:rsidP="00003506">
      <w:pPr>
        <w:autoSpaceDE w:val="0"/>
        <w:autoSpaceDN w:val="0"/>
        <w:spacing w:after="0" w:line="240" w:lineRule="auto"/>
        <w:rPr>
          <w:rFonts w:ascii="Times New Roman" w:hAnsi="Times New Roman" w:cs="Times New Roman"/>
          <w:sz w:val="20"/>
          <w:lang w:val="pl-PL"/>
        </w:rPr>
      </w:pPr>
      <w:r w:rsidRPr="00563D0D">
        <w:rPr>
          <w:rStyle w:val="FootnoteReference"/>
          <w:rFonts w:ascii="Times New Roman" w:hAnsi="Times New Roman" w:cs="Times New Roman"/>
          <w:sz w:val="20"/>
          <w:lang w:val="pl-PL"/>
        </w:rPr>
        <w:footnoteRef/>
      </w:r>
      <w:r w:rsidRPr="00563D0D">
        <w:rPr>
          <w:rFonts w:ascii="Times New Roman" w:hAnsi="Times New Roman"/>
          <w:sz w:val="20"/>
          <w:lang w:val="pl-PL"/>
        </w:rPr>
        <w:t xml:space="preserve"> </w:t>
      </w:r>
      <w:hyperlink r:id="rId51" w:history="1">
        <w:r w:rsidRPr="00563D0D">
          <w:rPr>
            <w:rStyle w:val="Hyperlink"/>
            <w:rFonts w:ascii="Times New Roman" w:hAnsi="Times New Roman"/>
            <w:sz w:val="20"/>
            <w:lang w:val="pl-PL"/>
          </w:rPr>
          <w:t>https://health.ec.europa.eu/health-security-and-infectious-diseases/surveillance-and-early-warning/eu-reference-laboratories-public-health-calls-application_en</w:t>
        </w:r>
      </w:hyperlink>
    </w:p>
  </w:footnote>
  <w:footnote w:id="70">
    <w:p w14:paraId="5D0F97C1" w14:textId="60CF78CB" w:rsidR="001F1738" w:rsidRPr="00563D0D" w:rsidRDefault="001F1738" w:rsidP="00003506">
      <w:pPr>
        <w:pStyle w:val="FootnoteText"/>
        <w:spacing w:line="240" w:lineRule="auto"/>
        <w:rPr>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r w:rsidRPr="00563D0D">
        <w:rPr>
          <w:lang w:val="pl-PL"/>
        </w:rPr>
        <w:t xml:space="preserve"> </w:t>
      </w:r>
      <w:hyperlink r:id="rId52" w:history="1">
        <w:r w:rsidRPr="00563D0D">
          <w:rPr>
            <w:rStyle w:val="Hyperlink"/>
            <w:rFonts w:ascii="Times New Roman" w:hAnsi="Times New Roman"/>
            <w:lang w:val="pl-PL"/>
          </w:rPr>
          <w:t>https://www.pasteur.fr/en/home/institut-pasteur/institut-pasteur-throughout-world/international-research-programs/durable-large-scale-project-emerging-diseases-within-eu4health-european-program</w:t>
        </w:r>
      </w:hyperlink>
      <w:r w:rsidRPr="00563D0D">
        <w:rPr>
          <w:rStyle w:val="Hyperlink"/>
          <w:rFonts w:ascii="Times New Roman" w:hAnsi="Times New Roman"/>
          <w:lang w:val="pl-PL"/>
        </w:rPr>
        <w:t xml:space="preserve"> </w:t>
      </w:r>
    </w:p>
  </w:footnote>
  <w:footnote w:id="71">
    <w:p w14:paraId="3A3DA6A6" w14:textId="533DB1C5" w:rsidR="001F1738" w:rsidRPr="00563D0D" w:rsidRDefault="001F1738" w:rsidP="00003506">
      <w:pPr>
        <w:pStyle w:val="FootnoteText"/>
        <w:spacing w:line="240" w:lineRule="auto"/>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53" w:history="1">
        <w:r w:rsidRPr="00563D0D">
          <w:rPr>
            <w:rStyle w:val="Hyperlink"/>
            <w:rFonts w:ascii="Times New Roman" w:hAnsi="Times New Roman"/>
            <w:lang w:val="pl-PL"/>
          </w:rPr>
          <w:t>https://www.ecdc.europa.eu/en/publications-data/epipulse-european-surveillance-portal-infectious-diseases</w:t>
        </w:r>
      </w:hyperlink>
    </w:p>
  </w:footnote>
  <w:footnote w:id="72">
    <w:p w14:paraId="6A2EF87B" w14:textId="00D9BD32" w:rsidR="001F1738" w:rsidRPr="00563D0D" w:rsidRDefault="001F1738" w:rsidP="00003506">
      <w:pPr>
        <w:pStyle w:val="FootnoteText"/>
        <w:spacing w:line="240" w:lineRule="auto"/>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54" w:history="1">
        <w:r w:rsidRPr="00563D0D">
          <w:rPr>
            <w:rStyle w:val="Hyperlink"/>
            <w:rFonts w:ascii="Times New Roman" w:hAnsi="Times New Roman"/>
            <w:lang w:val="pl-PL"/>
          </w:rPr>
          <w:t>https://www.ecdc.europa.eu/en/publications-data/european-surveillance-system-tessy</w:t>
        </w:r>
      </w:hyperlink>
      <w:r w:rsidRPr="00563D0D">
        <w:rPr>
          <w:rFonts w:ascii="Times New Roman" w:hAnsi="Times New Roman"/>
          <w:lang w:val="pl-PL"/>
        </w:rPr>
        <w:t xml:space="preserve"> </w:t>
      </w:r>
    </w:p>
  </w:footnote>
  <w:footnote w:id="73">
    <w:p w14:paraId="26FF8025" w14:textId="3C3BC67C" w:rsidR="001F1738" w:rsidRPr="00563D0D" w:rsidRDefault="001F1738" w:rsidP="00003506">
      <w:pPr>
        <w:pStyle w:val="FootnoteText"/>
        <w:shd w:val="clear" w:color="auto" w:fill="FFFFFF" w:themeFill="background1"/>
        <w:spacing w:line="240" w:lineRule="auto"/>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55" w:history="1">
        <w:r w:rsidRPr="00563D0D">
          <w:rPr>
            <w:rStyle w:val="Hyperlink"/>
            <w:rFonts w:ascii="Times New Roman" w:hAnsi="Times New Roman"/>
            <w:lang w:val="pl-PL"/>
          </w:rPr>
          <w:t>https://www.who.int/initiatives/eios</w:t>
        </w:r>
      </w:hyperlink>
      <w:r w:rsidRPr="00563D0D">
        <w:rPr>
          <w:rFonts w:ascii="Times New Roman" w:hAnsi="Times New Roman"/>
          <w:color w:val="2B579A"/>
          <w:shd w:val="clear" w:color="auto" w:fill="E6E6E6"/>
          <w:lang w:val="pl-PL"/>
        </w:rPr>
        <w:t xml:space="preserve"> </w:t>
      </w:r>
    </w:p>
  </w:footnote>
  <w:footnote w:id="74">
    <w:p w14:paraId="32E3CFC7" w14:textId="5C3A5A0A" w:rsidR="001F1738" w:rsidRPr="00563D0D" w:rsidRDefault="001F1738" w:rsidP="00003506">
      <w:pPr>
        <w:pStyle w:val="FootnoteText"/>
        <w:shd w:val="clear" w:color="auto" w:fill="FFFFFF" w:themeFill="background1"/>
        <w:spacing w:line="240" w:lineRule="auto"/>
        <w:rPr>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56" w:history="1">
        <w:r w:rsidRPr="00563D0D">
          <w:rPr>
            <w:rStyle w:val="Hyperlink"/>
            <w:rFonts w:ascii="Times New Roman" w:hAnsi="Times New Roman"/>
            <w:lang w:val="pl-PL"/>
          </w:rPr>
          <w:t>https://health.ec.europa.eu/latest-updates/hera-it-system-athina-collect-intelligence-and-assess-threats-call-tender-published-2023-04-25_en</w:t>
        </w:r>
      </w:hyperlink>
      <w:r w:rsidRPr="00563D0D">
        <w:rPr>
          <w:color w:val="2B579A"/>
          <w:shd w:val="clear" w:color="auto" w:fill="E6E6E6"/>
          <w:lang w:val="pl-PL"/>
        </w:rPr>
        <w:t xml:space="preserve"> </w:t>
      </w:r>
    </w:p>
  </w:footnote>
  <w:footnote w:id="75">
    <w:p w14:paraId="353AD981" w14:textId="1C54A971" w:rsidR="00E462D4" w:rsidRPr="00563D0D" w:rsidRDefault="00E462D4" w:rsidP="00E462D4">
      <w:pPr>
        <w:pStyle w:val="FootnoteText"/>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57" w:history="1">
        <w:r w:rsidRPr="00563D0D">
          <w:rPr>
            <w:rStyle w:val="Hyperlink"/>
            <w:rFonts w:ascii="Times New Roman" w:hAnsi="Times New Roman"/>
            <w:lang w:val="pl-PL"/>
          </w:rPr>
          <w:t>https://united4surveillance.eu/</w:t>
        </w:r>
      </w:hyperlink>
      <w:r w:rsidRPr="00563D0D">
        <w:rPr>
          <w:rFonts w:ascii="Times New Roman" w:hAnsi="Times New Roman"/>
          <w:lang w:val="pl-PL"/>
        </w:rPr>
        <w:t xml:space="preserve"> </w:t>
      </w:r>
    </w:p>
  </w:footnote>
  <w:footnote w:id="76">
    <w:p w14:paraId="62D103C8" w14:textId="7B9E0B0D" w:rsidR="001F1738" w:rsidRPr="00563D0D" w:rsidRDefault="001F1738" w:rsidP="001F1738">
      <w:pPr>
        <w:pStyle w:val="FootnoteText"/>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CP-g-22-04.01. Oczekuje się, że podpisanie umów</w:t>
      </w:r>
      <w:r w:rsidR="00563D0D" w:rsidRPr="00563D0D">
        <w:rPr>
          <w:rFonts w:ascii="Times New Roman" w:hAnsi="Times New Roman"/>
          <w:lang w:val="pl-PL"/>
        </w:rPr>
        <w:t xml:space="preserve"> o</w:t>
      </w:r>
      <w:r w:rsidR="00563D0D">
        <w:rPr>
          <w:rFonts w:ascii="Times New Roman" w:hAnsi="Times New Roman"/>
          <w:lang w:val="pl-PL"/>
        </w:rPr>
        <w:t> </w:t>
      </w:r>
      <w:r w:rsidR="00563D0D" w:rsidRPr="00563D0D">
        <w:rPr>
          <w:rFonts w:ascii="Times New Roman" w:hAnsi="Times New Roman"/>
          <w:lang w:val="pl-PL"/>
        </w:rPr>
        <w:t>dot</w:t>
      </w:r>
      <w:r w:rsidRPr="00563D0D">
        <w:rPr>
          <w:rFonts w:ascii="Times New Roman" w:hAnsi="Times New Roman"/>
          <w:lang w:val="pl-PL"/>
        </w:rPr>
        <w:t>ację nastąpi pod koniec 2023</w:t>
      </w:r>
      <w:r w:rsidR="00563D0D" w:rsidRPr="00563D0D">
        <w:rPr>
          <w:rFonts w:ascii="Times New Roman" w:hAnsi="Times New Roman"/>
          <w:lang w:val="pl-PL"/>
        </w:rPr>
        <w:t> </w:t>
      </w:r>
      <w:r w:rsidRPr="00563D0D">
        <w:rPr>
          <w:rFonts w:ascii="Times New Roman" w:hAnsi="Times New Roman"/>
          <w:lang w:val="pl-PL"/>
        </w:rPr>
        <w:t>r.</w:t>
      </w:r>
    </w:p>
  </w:footnote>
  <w:footnote w:id="77">
    <w:p w14:paraId="078B0BD1" w14:textId="35DC2679" w:rsidR="001F1738" w:rsidRPr="00563D0D" w:rsidRDefault="001F1738" w:rsidP="00BC2F11">
      <w:pPr>
        <w:pStyle w:val="FootnoteText"/>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58" w:history="1">
        <w:r w:rsidRPr="00563D0D">
          <w:rPr>
            <w:rStyle w:val="Hyperlink"/>
            <w:rFonts w:ascii="Times New Roman" w:hAnsi="Times New Roman"/>
            <w:lang w:val="pl-PL"/>
          </w:rPr>
          <w:t>https://mood-h2020.eu/</w:t>
        </w:r>
      </w:hyperlink>
      <w:r w:rsidRPr="00563D0D">
        <w:rPr>
          <w:rFonts w:ascii="Times New Roman" w:hAnsi="Times New Roman"/>
          <w:lang w:val="pl-PL"/>
        </w:rPr>
        <w:t xml:space="preserve"> </w:t>
      </w:r>
    </w:p>
  </w:footnote>
  <w:footnote w:id="78">
    <w:p w14:paraId="7C510393" w14:textId="59BCC599" w:rsidR="001F1738" w:rsidRPr="00563D0D" w:rsidRDefault="001F1738" w:rsidP="00BC2F11">
      <w:pPr>
        <w:pStyle w:val="FootnoteText"/>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59" w:history="1">
        <w:r w:rsidRPr="00563D0D">
          <w:rPr>
            <w:rStyle w:val="Hyperlink"/>
            <w:rFonts w:ascii="Times New Roman" w:hAnsi="Times New Roman"/>
            <w:lang w:val="pl-PL"/>
          </w:rPr>
          <w:t>https://www.veo-europe.eu/</w:t>
        </w:r>
      </w:hyperlink>
    </w:p>
  </w:footnote>
  <w:footnote w:id="79">
    <w:p w14:paraId="4B031683" w14:textId="39F57006" w:rsidR="001F1738" w:rsidRPr="00563D0D" w:rsidRDefault="001F1738" w:rsidP="00BC2F11">
      <w:pPr>
        <w:pStyle w:val="FootnoteText"/>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60" w:history="1">
        <w:r w:rsidRPr="00563D0D">
          <w:rPr>
            <w:rStyle w:val="Hyperlink"/>
            <w:rFonts w:ascii="Times New Roman" w:hAnsi="Times New Roman"/>
            <w:lang w:val="pl-PL"/>
          </w:rPr>
          <w:t>https://www.phiri.eu/</w:t>
        </w:r>
      </w:hyperlink>
      <w:r w:rsidRPr="00563D0D">
        <w:rPr>
          <w:rFonts w:ascii="Times New Roman" w:hAnsi="Times New Roman"/>
          <w:lang w:val="pl-PL"/>
        </w:rPr>
        <w:t xml:space="preserve"> </w:t>
      </w:r>
    </w:p>
  </w:footnote>
  <w:footnote w:id="80">
    <w:p w14:paraId="668F56F4" w14:textId="6FB66E81" w:rsidR="00E66B2E" w:rsidRPr="00563D0D" w:rsidRDefault="00E66B2E" w:rsidP="00BC2F11">
      <w:pPr>
        <w:pStyle w:val="FootnoteText"/>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Decyzja nr</w:t>
      </w:r>
      <w:r w:rsidR="00563D0D" w:rsidRPr="00563D0D">
        <w:rPr>
          <w:rFonts w:ascii="Times New Roman" w:hAnsi="Times New Roman"/>
          <w:lang w:val="pl-PL"/>
        </w:rPr>
        <w:t> </w:t>
      </w:r>
      <w:r w:rsidRPr="00563D0D">
        <w:rPr>
          <w:rFonts w:ascii="Times New Roman" w:hAnsi="Times New Roman"/>
          <w:lang w:val="pl-PL"/>
        </w:rPr>
        <w:t>2119/98/WE Parlamentu Europejskiego</w:t>
      </w:r>
      <w:r w:rsidR="00563D0D" w:rsidRPr="00563D0D">
        <w:rPr>
          <w:rFonts w:ascii="Times New Roman" w:hAnsi="Times New Roman"/>
          <w:lang w:val="pl-PL"/>
        </w:rPr>
        <w:t xml:space="preserve"> i</w:t>
      </w:r>
      <w:r w:rsidR="00563D0D">
        <w:rPr>
          <w:rFonts w:ascii="Times New Roman" w:hAnsi="Times New Roman"/>
          <w:lang w:val="pl-PL"/>
        </w:rPr>
        <w:t> </w:t>
      </w:r>
      <w:r w:rsidR="00563D0D" w:rsidRPr="00563D0D">
        <w:rPr>
          <w:rFonts w:ascii="Times New Roman" w:hAnsi="Times New Roman"/>
          <w:lang w:val="pl-PL"/>
        </w:rPr>
        <w:t>Rad</w:t>
      </w:r>
      <w:r w:rsidRPr="00563D0D">
        <w:rPr>
          <w:rFonts w:ascii="Times New Roman" w:hAnsi="Times New Roman"/>
          <w:lang w:val="pl-PL"/>
        </w:rPr>
        <w:t>y</w:t>
      </w:r>
      <w:r w:rsidR="00563D0D" w:rsidRPr="00563D0D">
        <w:rPr>
          <w:rFonts w:ascii="Times New Roman" w:hAnsi="Times New Roman"/>
          <w:lang w:val="pl-PL"/>
        </w:rPr>
        <w:t xml:space="preserve"> z</w:t>
      </w:r>
      <w:r w:rsidR="00563D0D">
        <w:rPr>
          <w:rFonts w:ascii="Times New Roman" w:hAnsi="Times New Roman"/>
          <w:lang w:val="pl-PL"/>
        </w:rPr>
        <w:t> </w:t>
      </w:r>
      <w:r w:rsidR="00563D0D" w:rsidRPr="00563D0D">
        <w:rPr>
          <w:rFonts w:ascii="Times New Roman" w:hAnsi="Times New Roman"/>
          <w:lang w:val="pl-PL"/>
        </w:rPr>
        <w:t>dni</w:t>
      </w:r>
      <w:r w:rsidRPr="00563D0D">
        <w:rPr>
          <w:rFonts w:ascii="Times New Roman" w:hAnsi="Times New Roman"/>
          <w:lang w:val="pl-PL"/>
        </w:rPr>
        <w:t>a 24 września 1998 r. ustanawiająca sieć nadzoru</w:t>
      </w:r>
      <w:r w:rsidR="00563D0D" w:rsidRPr="00563D0D">
        <w:rPr>
          <w:rFonts w:ascii="Times New Roman" w:hAnsi="Times New Roman"/>
          <w:lang w:val="pl-PL"/>
        </w:rPr>
        <w:t xml:space="preserve"> i</w:t>
      </w:r>
      <w:r w:rsidR="00563D0D">
        <w:rPr>
          <w:rFonts w:ascii="Times New Roman" w:hAnsi="Times New Roman"/>
          <w:lang w:val="pl-PL"/>
        </w:rPr>
        <w:t> </w:t>
      </w:r>
      <w:r w:rsidR="00563D0D" w:rsidRPr="00563D0D">
        <w:rPr>
          <w:rFonts w:ascii="Times New Roman" w:hAnsi="Times New Roman"/>
          <w:lang w:val="pl-PL"/>
        </w:rPr>
        <w:t>kon</w:t>
      </w:r>
      <w:r w:rsidRPr="00563D0D">
        <w:rPr>
          <w:rFonts w:ascii="Times New Roman" w:hAnsi="Times New Roman"/>
          <w:lang w:val="pl-PL"/>
        </w:rPr>
        <w:t>troli epidemiologicznej chorób zakaźnych we Wspólnocie, Dz.U. L 268</w:t>
      </w:r>
      <w:r w:rsidR="00563D0D" w:rsidRPr="00563D0D">
        <w:rPr>
          <w:rFonts w:ascii="Times New Roman" w:hAnsi="Times New Roman"/>
          <w:lang w:val="pl-PL"/>
        </w:rPr>
        <w:t xml:space="preserve"> z</w:t>
      </w:r>
      <w:r w:rsidR="00563D0D">
        <w:rPr>
          <w:rFonts w:ascii="Times New Roman" w:hAnsi="Times New Roman"/>
          <w:lang w:val="pl-PL"/>
        </w:rPr>
        <w:t> </w:t>
      </w:r>
      <w:r w:rsidR="00563D0D" w:rsidRPr="00563D0D">
        <w:rPr>
          <w:rFonts w:ascii="Times New Roman" w:hAnsi="Times New Roman"/>
          <w:lang w:val="pl-PL"/>
        </w:rPr>
        <w:t>3</w:t>
      </w:r>
      <w:r w:rsidRPr="00563D0D">
        <w:rPr>
          <w:rFonts w:ascii="Times New Roman" w:hAnsi="Times New Roman"/>
          <w:lang w:val="pl-PL"/>
        </w:rPr>
        <w:t>.10.1998, s. 1 (</w:t>
      </w:r>
      <w:hyperlink r:id="rId61" w:history="1">
        <w:r w:rsidRPr="00563D0D">
          <w:rPr>
            <w:rStyle w:val="Hyperlink"/>
            <w:rFonts w:ascii="Times New Roman" w:hAnsi="Times New Roman"/>
            <w:lang w:val="pl-PL"/>
          </w:rPr>
          <w:t>https://eur-lex.europa.eu/eli/dec/1998/2119/oj</w:t>
        </w:r>
      </w:hyperlink>
      <w:r w:rsidRPr="00563D0D">
        <w:rPr>
          <w:rFonts w:ascii="Times New Roman" w:hAnsi="Times New Roman"/>
          <w:lang w:val="pl-PL"/>
        </w:rPr>
        <w:t xml:space="preserve">). </w:t>
      </w:r>
    </w:p>
  </w:footnote>
  <w:footnote w:id="81">
    <w:p w14:paraId="3F813258" w14:textId="17A15599" w:rsidR="00072774" w:rsidRPr="00563D0D" w:rsidRDefault="00072774" w:rsidP="00BC2F11">
      <w:pPr>
        <w:pStyle w:val="FootnoteText"/>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Umowa szczegółowa</w:t>
      </w:r>
      <w:r w:rsidR="00563D0D" w:rsidRPr="00563D0D">
        <w:rPr>
          <w:rFonts w:ascii="Times New Roman" w:hAnsi="Times New Roman"/>
          <w:lang w:val="pl-PL"/>
        </w:rPr>
        <w:t xml:space="preserve"> z</w:t>
      </w:r>
      <w:r w:rsidR="00563D0D">
        <w:rPr>
          <w:rFonts w:ascii="Times New Roman" w:hAnsi="Times New Roman"/>
          <w:lang w:val="pl-PL"/>
        </w:rPr>
        <w:t> </w:t>
      </w:r>
      <w:r w:rsidR="00563D0D" w:rsidRPr="00563D0D">
        <w:rPr>
          <w:rFonts w:ascii="Times New Roman" w:hAnsi="Times New Roman"/>
          <w:lang w:val="pl-PL"/>
        </w:rPr>
        <w:t>kon</w:t>
      </w:r>
      <w:r w:rsidRPr="00563D0D">
        <w:rPr>
          <w:rFonts w:ascii="Times New Roman" w:hAnsi="Times New Roman"/>
          <w:lang w:val="pl-PL"/>
        </w:rPr>
        <w:t>sorcjum Alboris</w:t>
      </w:r>
      <w:r w:rsidR="00563D0D" w:rsidRPr="00563D0D">
        <w:rPr>
          <w:rFonts w:ascii="Times New Roman" w:hAnsi="Times New Roman"/>
          <w:lang w:val="pl-PL"/>
        </w:rPr>
        <w:t xml:space="preserve"> w</w:t>
      </w:r>
      <w:r w:rsidR="00563D0D">
        <w:rPr>
          <w:rFonts w:ascii="Times New Roman" w:hAnsi="Times New Roman"/>
          <w:lang w:val="pl-PL"/>
        </w:rPr>
        <w:t> </w:t>
      </w:r>
      <w:r w:rsidR="00563D0D" w:rsidRPr="00563D0D">
        <w:rPr>
          <w:rFonts w:ascii="Times New Roman" w:hAnsi="Times New Roman"/>
          <w:lang w:val="pl-PL"/>
        </w:rPr>
        <w:t>ram</w:t>
      </w:r>
      <w:r w:rsidRPr="00563D0D">
        <w:rPr>
          <w:rFonts w:ascii="Times New Roman" w:hAnsi="Times New Roman"/>
          <w:lang w:val="pl-PL"/>
        </w:rPr>
        <w:t>ach umowy ramowej BEACON DIGIT/2020/OP/0005 – BEACON część 2.</w:t>
      </w:r>
    </w:p>
  </w:footnote>
  <w:footnote w:id="82">
    <w:p w14:paraId="2A411CFB" w14:textId="0D918387" w:rsidR="00BB198E" w:rsidRPr="00563D0D" w:rsidRDefault="00BB198E" w:rsidP="00C6323B">
      <w:pPr>
        <w:pStyle w:val="FootnoteText"/>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Ustanowiona na mocy dwóch aktów wykonawczych przyjętych przez Komisję w </w:t>
      </w:r>
      <w:hyperlink r:id="rId62" w:history="1">
        <w:r w:rsidRPr="00563D0D">
          <w:rPr>
            <w:rFonts w:ascii="Times New Roman" w:hAnsi="Times New Roman"/>
            <w:lang w:val="pl-PL"/>
          </w:rPr>
          <w:t>maju</w:t>
        </w:r>
      </w:hyperlink>
      <w:r w:rsidRPr="00563D0D">
        <w:rPr>
          <w:rFonts w:ascii="Times New Roman" w:hAnsi="Times New Roman"/>
          <w:lang w:val="pl-PL"/>
        </w:rPr>
        <w:t xml:space="preserve">(C/2021/3921) i </w:t>
      </w:r>
      <w:hyperlink r:id="rId63" w:anchor=":~:text=Implementing%20Decision%20%28EU%29%202021%2F858%20defines%20in%20Annex%20I,effective%20cross-border%20contact%20tracing%20based%20on%20PLF%20data." w:history="1">
        <w:r w:rsidRPr="00563D0D">
          <w:rPr>
            <w:rFonts w:ascii="Times New Roman" w:hAnsi="Times New Roman"/>
            <w:lang w:val="pl-PL"/>
          </w:rPr>
          <w:t>lipcu</w:t>
        </w:r>
      </w:hyperlink>
      <w:r w:rsidRPr="00563D0D">
        <w:rPr>
          <w:rFonts w:ascii="Times New Roman" w:hAnsi="Times New Roman"/>
          <w:lang w:val="pl-PL"/>
        </w:rPr>
        <w:t>2021 (C/2021/5595).</w:t>
      </w:r>
    </w:p>
  </w:footnote>
  <w:footnote w:id="83">
    <w:p w14:paraId="1F019756" w14:textId="505CE08A" w:rsidR="00BB198E" w:rsidRPr="00563D0D" w:rsidRDefault="00BB198E" w:rsidP="00C6323B">
      <w:pPr>
        <w:pStyle w:val="FootnoteText"/>
        <w:jc w:val="both"/>
        <w:rPr>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 szczytowym momencie ePLF łączyła pięć państw członkowskich: Hiszpanię, Maltę, Słowenię, Włochy i – przez krótki okres – Francję. Jej rzeczywiste wykorzystanie pozostało jednak bardzo ograniczone, ponieważ między końcem 2021</w:t>
      </w:r>
      <w:r w:rsidR="00563D0D" w:rsidRPr="00563D0D">
        <w:rPr>
          <w:rFonts w:ascii="Times New Roman" w:hAnsi="Times New Roman"/>
          <w:lang w:val="pl-PL"/>
        </w:rPr>
        <w:t> </w:t>
      </w:r>
      <w:r w:rsidRPr="00563D0D">
        <w:rPr>
          <w:rFonts w:ascii="Times New Roman" w:hAnsi="Times New Roman"/>
          <w:lang w:val="pl-PL"/>
        </w:rPr>
        <w:t>r.</w:t>
      </w:r>
      <w:r w:rsidR="00563D0D" w:rsidRPr="00563D0D">
        <w:rPr>
          <w:rFonts w:ascii="Times New Roman" w:hAnsi="Times New Roman"/>
          <w:lang w:val="pl-PL"/>
        </w:rPr>
        <w:t xml:space="preserve"> a</w:t>
      </w:r>
      <w:r w:rsidR="00563D0D">
        <w:rPr>
          <w:rFonts w:ascii="Times New Roman" w:hAnsi="Times New Roman"/>
          <w:lang w:val="pl-PL"/>
        </w:rPr>
        <w:t> </w:t>
      </w:r>
      <w:r w:rsidR="00563D0D" w:rsidRPr="00563D0D">
        <w:rPr>
          <w:rFonts w:ascii="Times New Roman" w:hAnsi="Times New Roman"/>
          <w:lang w:val="pl-PL"/>
        </w:rPr>
        <w:t>poc</w:t>
      </w:r>
      <w:r w:rsidRPr="00563D0D">
        <w:rPr>
          <w:rFonts w:ascii="Times New Roman" w:hAnsi="Times New Roman"/>
          <w:lang w:val="pl-PL"/>
        </w:rPr>
        <w:t>zątkiem 2022</w:t>
      </w:r>
      <w:r w:rsidR="00563D0D" w:rsidRPr="00563D0D">
        <w:rPr>
          <w:rFonts w:ascii="Times New Roman" w:hAnsi="Times New Roman"/>
          <w:lang w:val="pl-PL"/>
        </w:rPr>
        <w:t> </w:t>
      </w:r>
      <w:r w:rsidRPr="00563D0D">
        <w:rPr>
          <w:rFonts w:ascii="Times New Roman" w:hAnsi="Times New Roman"/>
          <w:lang w:val="pl-PL"/>
        </w:rPr>
        <w:t>r. wymieniono zaledwie 256 wiadomości.</w:t>
      </w:r>
    </w:p>
  </w:footnote>
  <w:footnote w:id="84">
    <w:p w14:paraId="1B178307" w14:textId="241DDC92" w:rsidR="00BB198E" w:rsidRPr="00563D0D" w:rsidRDefault="00BB198E" w:rsidP="00C6323B">
      <w:pPr>
        <w:pStyle w:val="FootnoteText"/>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 wyniku tych działań wiadomości wysyłane przez państwa członkowskie podłączone do ePLF mogłyby być technicznie dostarczane do państw członkowskich przy użyciu funkcji selektywnego przesyłania wiadomości EWRS</w:t>
      </w:r>
      <w:r w:rsidR="00563D0D" w:rsidRPr="00563D0D">
        <w:rPr>
          <w:rFonts w:ascii="Times New Roman" w:hAnsi="Times New Roman"/>
          <w:lang w:val="pl-PL"/>
        </w:rPr>
        <w:t>. W</w:t>
      </w:r>
      <w:r w:rsidR="00563D0D">
        <w:rPr>
          <w:rFonts w:ascii="Times New Roman" w:hAnsi="Times New Roman"/>
          <w:lang w:val="pl-PL"/>
        </w:rPr>
        <w:t> </w:t>
      </w:r>
      <w:r w:rsidR="00563D0D" w:rsidRPr="00563D0D">
        <w:rPr>
          <w:rFonts w:ascii="Times New Roman" w:hAnsi="Times New Roman"/>
          <w:lang w:val="pl-PL"/>
        </w:rPr>
        <w:t>ram</w:t>
      </w:r>
      <w:r w:rsidRPr="00563D0D">
        <w:rPr>
          <w:rFonts w:ascii="Times New Roman" w:hAnsi="Times New Roman"/>
          <w:lang w:val="pl-PL"/>
        </w:rPr>
        <w:t>ach ECDC nadal trwają prace nad umożliwieniem odbierania wiadomości wysyłanych za pośrednictwem modułu selektywnej wymiany EWRS przez państwa członkowskie korzystające z ePLF, aby umożliwić ponowne uruchomienie systemu podczas przyszłego kryzysu.</w:t>
      </w:r>
    </w:p>
  </w:footnote>
  <w:footnote w:id="85">
    <w:p w14:paraId="50838006" w14:textId="4DAA7484" w:rsidR="001F1738" w:rsidRPr="00563D0D" w:rsidRDefault="001F1738" w:rsidP="001F1738">
      <w:pPr>
        <w:pStyle w:val="FootnoteText"/>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64" w:history="1">
        <w:r w:rsidRPr="00563D0D">
          <w:rPr>
            <w:rStyle w:val="Hyperlink"/>
            <w:rFonts w:ascii="Times New Roman" w:hAnsi="Times New Roman"/>
            <w:lang w:val="pl-PL"/>
          </w:rPr>
          <w:t>https://health.ec.europa.eu/health-security-and-infectious-diseases/crisis-management/list-authorities-represented-health-security-committee/health-security-committee-reports_pl</w:t>
        </w:r>
      </w:hyperlink>
    </w:p>
  </w:footnote>
  <w:footnote w:id="86">
    <w:p w14:paraId="18EB775F" w14:textId="296A42DB" w:rsidR="00542A7E" w:rsidRPr="00563D0D" w:rsidRDefault="00542A7E" w:rsidP="00003506">
      <w:pPr>
        <w:spacing w:after="0" w:line="240" w:lineRule="auto"/>
        <w:rPr>
          <w:rFonts w:ascii="Times New Roman" w:hAnsi="Times New Roman" w:cs="Times New Roman"/>
          <w:sz w:val="20"/>
          <w:lang w:val="pl-PL"/>
        </w:rPr>
      </w:pPr>
      <w:r w:rsidRPr="00563D0D">
        <w:rPr>
          <w:rStyle w:val="FootnoteReference"/>
          <w:lang w:val="pl-PL"/>
        </w:rPr>
        <w:footnoteRef/>
      </w:r>
      <w:r w:rsidRPr="00563D0D">
        <w:rPr>
          <w:lang w:val="pl-PL"/>
        </w:rPr>
        <w:t xml:space="preserve"> </w:t>
      </w:r>
      <w:hyperlink r:id="rId65" w:history="1">
        <w:r w:rsidRPr="00563D0D">
          <w:rPr>
            <w:rStyle w:val="Hyperlink"/>
            <w:rFonts w:ascii="Times New Roman" w:hAnsi="Times New Roman"/>
            <w:sz w:val="20"/>
            <w:lang w:val="pl-PL"/>
          </w:rPr>
          <w:t>https://health.ec.europa.eu/publications/preparing-winter-20232024-address-respiratory-infections-caused-sars-cov-2-and-other-viruses_pl</w:t>
        </w:r>
      </w:hyperlink>
      <w:r w:rsidRPr="00563D0D">
        <w:rPr>
          <w:rFonts w:ascii="Times New Roman" w:hAnsi="Times New Roman"/>
          <w:sz w:val="20"/>
          <w:lang w:val="pl-PL"/>
        </w:rPr>
        <w:t xml:space="preserve"> </w:t>
      </w:r>
    </w:p>
  </w:footnote>
  <w:footnote w:id="87">
    <w:p w14:paraId="44FB809F" w14:textId="7F31BA78" w:rsidR="001F1738" w:rsidRPr="00563D0D" w:rsidRDefault="001F1738" w:rsidP="00542A7E">
      <w:pPr>
        <w:pStyle w:val="FootnoteText"/>
        <w:spacing w:line="240" w:lineRule="auto"/>
        <w:jc w:val="both"/>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bookmarkStart w:id="20" w:name="_Hlk150934385"/>
      <w:r w:rsidRPr="00563D0D">
        <w:rPr>
          <w:rFonts w:ascii="Times New Roman" w:hAnsi="Times New Roman"/>
          <w:lang w:val="pl-PL"/>
        </w:rPr>
        <w:t>Decyzja Komisji</w:t>
      </w:r>
      <w:r w:rsidR="00563D0D" w:rsidRPr="00563D0D">
        <w:rPr>
          <w:rFonts w:ascii="Times New Roman" w:hAnsi="Times New Roman"/>
          <w:lang w:val="pl-PL"/>
        </w:rPr>
        <w:t xml:space="preserve"> z</w:t>
      </w:r>
      <w:r w:rsidR="00563D0D">
        <w:rPr>
          <w:rFonts w:ascii="Times New Roman" w:hAnsi="Times New Roman"/>
          <w:lang w:val="pl-PL"/>
        </w:rPr>
        <w:t> </w:t>
      </w:r>
      <w:r w:rsidR="00563D0D" w:rsidRPr="00563D0D">
        <w:rPr>
          <w:rFonts w:ascii="Times New Roman" w:hAnsi="Times New Roman"/>
          <w:lang w:val="pl-PL"/>
        </w:rPr>
        <w:t>dni</w:t>
      </w:r>
      <w:r w:rsidRPr="00563D0D">
        <w:rPr>
          <w:rFonts w:ascii="Times New Roman" w:hAnsi="Times New Roman"/>
          <w:lang w:val="pl-PL"/>
        </w:rPr>
        <w:t>a 11 września 2023</w:t>
      </w:r>
      <w:r w:rsidR="00563D0D" w:rsidRPr="00563D0D">
        <w:rPr>
          <w:rFonts w:ascii="Times New Roman" w:hAnsi="Times New Roman"/>
          <w:lang w:val="pl-PL"/>
        </w:rPr>
        <w:t> </w:t>
      </w:r>
      <w:r w:rsidRPr="00563D0D">
        <w:rPr>
          <w:rFonts w:ascii="Times New Roman" w:hAnsi="Times New Roman"/>
          <w:lang w:val="pl-PL"/>
        </w:rPr>
        <w:t xml:space="preserve">r. ustanawiająca grupę ekspertów „Komitet Doradczy ds. Stanów Zagrożenia Zdrowia Publicznego” (C(2023) 6017) </w:t>
      </w:r>
      <w:bookmarkEnd w:id="20"/>
      <w:r w:rsidRPr="00563D0D">
        <w:rPr>
          <w:rFonts w:ascii="Times New Roman" w:hAnsi="Times New Roman"/>
          <w:lang w:val="pl-PL"/>
        </w:rPr>
        <w:t>(</w:t>
      </w:r>
      <w:hyperlink r:id="rId66" w:history="1">
        <w:r w:rsidRPr="00563D0D">
          <w:rPr>
            <w:rStyle w:val="Hyperlink"/>
            <w:rFonts w:ascii="Times New Roman" w:hAnsi="Times New Roman"/>
            <w:lang w:val="pl-PL"/>
          </w:rPr>
          <w:t>https://ec.europa.eu/commission/presscorner/detail/en/mex_23_4442</w:t>
        </w:r>
      </w:hyperlink>
      <w:r w:rsidRPr="00563D0D">
        <w:rPr>
          <w:rFonts w:ascii="Times New Roman" w:hAnsi="Times New Roman"/>
          <w:lang w:val="pl-PL"/>
        </w:rPr>
        <w:t xml:space="preserve">). </w:t>
      </w:r>
    </w:p>
  </w:footnote>
  <w:footnote w:id="88">
    <w:p w14:paraId="7F821C97" w14:textId="048592AF" w:rsidR="001F1738" w:rsidRPr="00563D0D" w:rsidRDefault="001F1738" w:rsidP="001F1738">
      <w:pPr>
        <w:pStyle w:val="FootnoteText"/>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Rozporządzenie Parlamentu Europejskiego</w:t>
      </w:r>
      <w:r w:rsidR="00563D0D" w:rsidRPr="00563D0D">
        <w:rPr>
          <w:rFonts w:ascii="Times New Roman" w:hAnsi="Times New Roman"/>
          <w:lang w:val="pl-PL"/>
        </w:rPr>
        <w:t xml:space="preserve"> i</w:t>
      </w:r>
      <w:r w:rsidR="00563D0D">
        <w:rPr>
          <w:rFonts w:ascii="Times New Roman" w:hAnsi="Times New Roman"/>
          <w:lang w:val="pl-PL"/>
        </w:rPr>
        <w:t> </w:t>
      </w:r>
      <w:r w:rsidR="00563D0D" w:rsidRPr="00563D0D">
        <w:rPr>
          <w:rFonts w:ascii="Times New Roman" w:hAnsi="Times New Roman"/>
          <w:lang w:val="pl-PL"/>
        </w:rPr>
        <w:t>Rad</w:t>
      </w:r>
      <w:r w:rsidRPr="00563D0D">
        <w:rPr>
          <w:rFonts w:ascii="Times New Roman" w:hAnsi="Times New Roman"/>
          <w:lang w:val="pl-PL"/>
        </w:rPr>
        <w:t>y (UE) 2022/123</w:t>
      </w:r>
      <w:r w:rsidR="00563D0D" w:rsidRPr="00563D0D">
        <w:rPr>
          <w:rFonts w:ascii="Times New Roman" w:hAnsi="Times New Roman"/>
          <w:lang w:val="pl-PL"/>
        </w:rPr>
        <w:t xml:space="preserve"> z</w:t>
      </w:r>
      <w:r w:rsidR="00563D0D">
        <w:rPr>
          <w:rFonts w:ascii="Times New Roman" w:hAnsi="Times New Roman"/>
          <w:lang w:val="pl-PL"/>
        </w:rPr>
        <w:t> </w:t>
      </w:r>
      <w:r w:rsidR="00563D0D" w:rsidRPr="00563D0D">
        <w:rPr>
          <w:rFonts w:ascii="Times New Roman" w:hAnsi="Times New Roman"/>
          <w:lang w:val="pl-PL"/>
        </w:rPr>
        <w:t>dni</w:t>
      </w:r>
      <w:r w:rsidRPr="00563D0D">
        <w:rPr>
          <w:rFonts w:ascii="Times New Roman" w:hAnsi="Times New Roman"/>
          <w:lang w:val="pl-PL"/>
        </w:rPr>
        <w:t>a 25 stycznia 2022</w:t>
      </w:r>
      <w:r w:rsidR="00563D0D" w:rsidRPr="00563D0D">
        <w:rPr>
          <w:rFonts w:ascii="Times New Roman" w:hAnsi="Times New Roman"/>
          <w:lang w:val="pl-PL"/>
        </w:rPr>
        <w:t> </w:t>
      </w:r>
      <w:r w:rsidRPr="00563D0D">
        <w:rPr>
          <w:rFonts w:ascii="Times New Roman" w:hAnsi="Times New Roman"/>
          <w:lang w:val="pl-PL"/>
        </w:rPr>
        <w:t>r.</w:t>
      </w:r>
      <w:r w:rsidR="00563D0D" w:rsidRPr="00563D0D">
        <w:rPr>
          <w:b/>
          <w:color w:val="333333"/>
          <w:sz w:val="27"/>
          <w:shd w:val="clear" w:color="auto" w:fill="FFFFFF"/>
          <w:lang w:val="pl-PL"/>
        </w:rPr>
        <w:t xml:space="preserve"> </w:t>
      </w:r>
      <w:r w:rsidR="00563D0D" w:rsidRPr="00563D0D">
        <w:rPr>
          <w:rFonts w:ascii="Times New Roman" w:hAnsi="Times New Roman"/>
          <w:color w:val="333333"/>
          <w:shd w:val="clear" w:color="auto" w:fill="FFFFFF"/>
          <w:lang w:val="pl-PL"/>
        </w:rPr>
        <w:t>w</w:t>
      </w:r>
      <w:r w:rsidR="00563D0D">
        <w:rPr>
          <w:b/>
          <w:color w:val="333333"/>
          <w:sz w:val="27"/>
          <w:shd w:val="clear" w:color="auto" w:fill="FFFFFF"/>
          <w:lang w:val="pl-PL"/>
        </w:rPr>
        <w:t> </w:t>
      </w:r>
      <w:r w:rsidR="00563D0D" w:rsidRPr="00563D0D">
        <w:rPr>
          <w:rFonts w:ascii="Times New Roman" w:hAnsi="Times New Roman"/>
          <w:color w:val="333333"/>
          <w:shd w:val="clear" w:color="auto" w:fill="FFFFFF"/>
          <w:lang w:val="pl-PL"/>
        </w:rPr>
        <w:t>spr</w:t>
      </w:r>
      <w:r w:rsidRPr="00563D0D">
        <w:rPr>
          <w:rFonts w:ascii="Times New Roman" w:hAnsi="Times New Roman"/>
          <w:color w:val="333333"/>
          <w:shd w:val="clear" w:color="auto" w:fill="FFFFFF"/>
          <w:lang w:val="pl-PL"/>
        </w:rPr>
        <w:t>awie wzmocnienia roli Europejskiej Agencji Leków</w:t>
      </w:r>
      <w:r w:rsidR="00563D0D" w:rsidRPr="00563D0D">
        <w:rPr>
          <w:rFonts w:ascii="Times New Roman" w:hAnsi="Times New Roman"/>
          <w:color w:val="333333"/>
          <w:shd w:val="clear" w:color="auto" w:fill="FFFFFF"/>
          <w:lang w:val="pl-PL"/>
        </w:rPr>
        <w:t xml:space="preserve"> w</w:t>
      </w:r>
      <w:r w:rsidR="00563D0D">
        <w:rPr>
          <w:rFonts w:ascii="Times New Roman" w:hAnsi="Times New Roman"/>
          <w:color w:val="333333"/>
          <w:shd w:val="clear" w:color="auto" w:fill="FFFFFF"/>
          <w:lang w:val="pl-PL"/>
        </w:rPr>
        <w:t> </w:t>
      </w:r>
      <w:r w:rsidR="00563D0D" w:rsidRPr="00563D0D">
        <w:rPr>
          <w:rFonts w:ascii="Times New Roman" w:hAnsi="Times New Roman"/>
          <w:color w:val="333333"/>
          <w:shd w:val="clear" w:color="auto" w:fill="FFFFFF"/>
          <w:lang w:val="pl-PL"/>
        </w:rPr>
        <w:t>zak</w:t>
      </w:r>
      <w:r w:rsidRPr="00563D0D">
        <w:rPr>
          <w:rFonts w:ascii="Times New Roman" w:hAnsi="Times New Roman"/>
          <w:color w:val="333333"/>
          <w:shd w:val="clear" w:color="auto" w:fill="FFFFFF"/>
          <w:lang w:val="pl-PL"/>
        </w:rPr>
        <w:t>resie gotowości na wypadek sytuacji kryzysowej</w:t>
      </w:r>
      <w:r w:rsidR="00563D0D" w:rsidRPr="00563D0D">
        <w:rPr>
          <w:rFonts w:ascii="Times New Roman" w:hAnsi="Times New Roman"/>
          <w:color w:val="333333"/>
          <w:shd w:val="clear" w:color="auto" w:fill="FFFFFF"/>
          <w:lang w:val="pl-PL"/>
        </w:rPr>
        <w:t xml:space="preserve"> i</w:t>
      </w:r>
      <w:r w:rsidR="00563D0D">
        <w:rPr>
          <w:rFonts w:ascii="Times New Roman" w:hAnsi="Times New Roman"/>
          <w:color w:val="333333"/>
          <w:shd w:val="clear" w:color="auto" w:fill="FFFFFF"/>
          <w:lang w:val="pl-PL"/>
        </w:rPr>
        <w:t> </w:t>
      </w:r>
      <w:r w:rsidR="00563D0D" w:rsidRPr="00563D0D">
        <w:rPr>
          <w:rFonts w:ascii="Times New Roman" w:hAnsi="Times New Roman"/>
          <w:color w:val="333333"/>
          <w:shd w:val="clear" w:color="auto" w:fill="FFFFFF"/>
          <w:lang w:val="pl-PL"/>
        </w:rPr>
        <w:t>zar</w:t>
      </w:r>
      <w:r w:rsidRPr="00563D0D">
        <w:rPr>
          <w:rFonts w:ascii="Times New Roman" w:hAnsi="Times New Roman"/>
          <w:color w:val="333333"/>
          <w:shd w:val="clear" w:color="auto" w:fill="FFFFFF"/>
          <w:lang w:val="pl-PL"/>
        </w:rPr>
        <w:t>ządzania kryzysowego</w:t>
      </w:r>
      <w:r w:rsidR="00563D0D" w:rsidRPr="00563D0D">
        <w:rPr>
          <w:rFonts w:ascii="Times New Roman" w:hAnsi="Times New Roman"/>
          <w:color w:val="333333"/>
          <w:shd w:val="clear" w:color="auto" w:fill="FFFFFF"/>
          <w:lang w:val="pl-PL"/>
        </w:rPr>
        <w:t xml:space="preserve"> w</w:t>
      </w:r>
      <w:r w:rsidR="00563D0D">
        <w:rPr>
          <w:rFonts w:ascii="Times New Roman" w:hAnsi="Times New Roman"/>
          <w:color w:val="333333"/>
          <w:shd w:val="clear" w:color="auto" w:fill="FFFFFF"/>
          <w:lang w:val="pl-PL"/>
        </w:rPr>
        <w:t> </w:t>
      </w:r>
      <w:r w:rsidR="00563D0D" w:rsidRPr="00563D0D">
        <w:rPr>
          <w:rFonts w:ascii="Times New Roman" w:hAnsi="Times New Roman"/>
          <w:color w:val="333333"/>
          <w:shd w:val="clear" w:color="auto" w:fill="FFFFFF"/>
          <w:lang w:val="pl-PL"/>
        </w:rPr>
        <w:t>odn</w:t>
      </w:r>
      <w:r w:rsidRPr="00563D0D">
        <w:rPr>
          <w:rFonts w:ascii="Times New Roman" w:hAnsi="Times New Roman"/>
          <w:color w:val="333333"/>
          <w:shd w:val="clear" w:color="auto" w:fill="FFFFFF"/>
          <w:lang w:val="pl-PL"/>
        </w:rPr>
        <w:t>iesieniu do produktów leczniczych</w:t>
      </w:r>
      <w:r w:rsidR="00563D0D" w:rsidRPr="00563D0D">
        <w:rPr>
          <w:rFonts w:ascii="Times New Roman" w:hAnsi="Times New Roman"/>
          <w:color w:val="333333"/>
          <w:shd w:val="clear" w:color="auto" w:fill="FFFFFF"/>
          <w:lang w:val="pl-PL"/>
        </w:rPr>
        <w:t xml:space="preserve"> i</w:t>
      </w:r>
      <w:r w:rsidR="00563D0D">
        <w:rPr>
          <w:rFonts w:ascii="Times New Roman" w:hAnsi="Times New Roman"/>
          <w:color w:val="333333"/>
          <w:shd w:val="clear" w:color="auto" w:fill="FFFFFF"/>
          <w:lang w:val="pl-PL"/>
        </w:rPr>
        <w:t> </w:t>
      </w:r>
      <w:r w:rsidR="00563D0D" w:rsidRPr="00563D0D">
        <w:rPr>
          <w:rFonts w:ascii="Times New Roman" w:hAnsi="Times New Roman"/>
          <w:color w:val="333333"/>
          <w:shd w:val="clear" w:color="auto" w:fill="FFFFFF"/>
          <w:lang w:val="pl-PL"/>
        </w:rPr>
        <w:t>wyr</w:t>
      </w:r>
      <w:r w:rsidRPr="00563D0D">
        <w:rPr>
          <w:rFonts w:ascii="Times New Roman" w:hAnsi="Times New Roman"/>
          <w:color w:val="333333"/>
          <w:shd w:val="clear" w:color="auto" w:fill="FFFFFF"/>
          <w:lang w:val="pl-PL"/>
        </w:rPr>
        <w:t>obów medycznych (Dz.U. L 20</w:t>
      </w:r>
      <w:r w:rsidR="00563D0D" w:rsidRPr="00563D0D">
        <w:rPr>
          <w:rFonts w:ascii="Times New Roman" w:hAnsi="Times New Roman"/>
          <w:color w:val="333333"/>
          <w:shd w:val="clear" w:color="auto" w:fill="FFFFFF"/>
          <w:lang w:val="pl-PL"/>
        </w:rPr>
        <w:t xml:space="preserve"> z</w:t>
      </w:r>
      <w:r w:rsidR="00563D0D">
        <w:rPr>
          <w:rFonts w:ascii="Times New Roman" w:hAnsi="Times New Roman"/>
          <w:color w:val="333333"/>
          <w:shd w:val="clear" w:color="auto" w:fill="FFFFFF"/>
          <w:lang w:val="pl-PL"/>
        </w:rPr>
        <w:t> </w:t>
      </w:r>
      <w:r w:rsidR="00563D0D" w:rsidRPr="00563D0D">
        <w:rPr>
          <w:rFonts w:ascii="Times New Roman" w:hAnsi="Times New Roman"/>
          <w:color w:val="333333"/>
          <w:shd w:val="clear" w:color="auto" w:fill="FFFFFF"/>
          <w:lang w:val="pl-PL"/>
        </w:rPr>
        <w:t>3</w:t>
      </w:r>
      <w:r w:rsidRPr="00563D0D">
        <w:rPr>
          <w:rFonts w:ascii="Times New Roman" w:hAnsi="Times New Roman"/>
          <w:color w:val="333333"/>
          <w:shd w:val="clear" w:color="auto" w:fill="FFFFFF"/>
          <w:lang w:val="pl-PL"/>
        </w:rPr>
        <w:t>1.1.2022, s. 1)</w:t>
      </w:r>
      <w:r w:rsidRPr="00563D0D">
        <w:rPr>
          <w:rFonts w:ascii="Times New Roman" w:hAnsi="Times New Roman"/>
          <w:lang w:val="pl-PL"/>
        </w:rPr>
        <w:t xml:space="preserve"> (</w:t>
      </w:r>
      <w:hyperlink r:id="rId67" w:history="1">
        <w:r w:rsidRPr="00563D0D">
          <w:rPr>
            <w:rStyle w:val="Hyperlink"/>
            <w:rFonts w:ascii="Times New Roman" w:hAnsi="Times New Roman"/>
            <w:lang w:val="pl-PL"/>
          </w:rPr>
          <w:t>https://eur-lex.europa.eu/legal-content/PL/TXT/?uri=CELEX%3A32022R0123</w:t>
        </w:r>
      </w:hyperlink>
      <w:r w:rsidRPr="00563D0D">
        <w:rPr>
          <w:rFonts w:ascii="Times New Roman" w:hAnsi="Times New Roman"/>
          <w:lang w:val="pl-PL"/>
        </w:rPr>
        <w:t>).</w:t>
      </w:r>
    </w:p>
  </w:footnote>
  <w:footnote w:id="89">
    <w:p w14:paraId="17DBF08E" w14:textId="2ACEFB11" w:rsidR="001F1738" w:rsidRPr="00563D0D" w:rsidRDefault="001F1738" w:rsidP="001F1738">
      <w:pPr>
        <w:pStyle w:val="FootnoteText"/>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Dyrektywa Parlamentu Europejskiego</w:t>
      </w:r>
      <w:r w:rsidR="00563D0D" w:rsidRPr="00563D0D">
        <w:rPr>
          <w:rFonts w:ascii="Times New Roman" w:hAnsi="Times New Roman"/>
          <w:lang w:val="pl-PL"/>
        </w:rPr>
        <w:t xml:space="preserve"> i</w:t>
      </w:r>
      <w:r w:rsidR="00563D0D">
        <w:rPr>
          <w:rFonts w:ascii="Times New Roman" w:hAnsi="Times New Roman"/>
          <w:lang w:val="pl-PL"/>
        </w:rPr>
        <w:t> </w:t>
      </w:r>
      <w:r w:rsidR="00563D0D" w:rsidRPr="00563D0D">
        <w:rPr>
          <w:rFonts w:ascii="Times New Roman" w:hAnsi="Times New Roman"/>
          <w:lang w:val="pl-PL"/>
        </w:rPr>
        <w:t>Rad</w:t>
      </w:r>
      <w:r w:rsidRPr="00563D0D">
        <w:rPr>
          <w:rFonts w:ascii="Times New Roman" w:hAnsi="Times New Roman"/>
          <w:lang w:val="pl-PL"/>
        </w:rPr>
        <w:t>y (UE) 2022/2557</w:t>
      </w:r>
      <w:r w:rsidR="00563D0D" w:rsidRPr="00563D0D">
        <w:rPr>
          <w:rFonts w:ascii="Times New Roman" w:hAnsi="Times New Roman"/>
          <w:lang w:val="pl-PL"/>
        </w:rPr>
        <w:t xml:space="preserve"> w</w:t>
      </w:r>
      <w:r w:rsidR="00563D0D">
        <w:rPr>
          <w:rFonts w:ascii="Times New Roman" w:hAnsi="Times New Roman"/>
          <w:lang w:val="pl-PL"/>
        </w:rPr>
        <w:t> </w:t>
      </w:r>
      <w:r w:rsidR="00563D0D" w:rsidRPr="00563D0D">
        <w:rPr>
          <w:rFonts w:ascii="Times New Roman" w:hAnsi="Times New Roman"/>
          <w:lang w:val="pl-PL"/>
        </w:rPr>
        <w:t>spr</w:t>
      </w:r>
      <w:r w:rsidRPr="00563D0D">
        <w:rPr>
          <w:rFonts w:ascii="Times New Roman" w:hAnsi="Times New Roman"/>
          <w:lang w:val="pl-PL"/>
        </w:rPr>
        <w:t>awie odporności podmiotów krytycznych</w:t>
      </w:r>
      <w:r w:rsidR="00563D0D" w:rsidRPr="00563D0D">
        <w:rPr>
          <w:rFonts w:ascii="Times New Roman" w:hAnsi="Times New Roman"/>
          <w:lang w:val="pl-PL"/>
        </w:rPr>
        <w:t xml:space="preserve"> i</w:t>
      </w:r>
      <w:r w:rsidR="00563D0D">
        <w:rPr>
          <w:rFonts w:ascii="Times New Roman" w:hAnsi="Times New Roman"/>
          <w:lang w:val="pl-PL"/>
        </w:rPr>
        <w:t> </w:t>
      </w:r>
      <w:r w:rsidR="00563D0D" w:rsidRPr="00563D0D">
        <w:rPr>
          <w:rFonts w:ascii="Times New Roman" w:hAnsi="Times New Roman"/>
          <w:lang w:val="pl-PL"/>
        </w:rPr>
        <w:t>uch</w:t>
      </w:r>
      <w:r w:rsidRPr="00563D0D">
        <w:rPr>
          <w:rFonts w:ascii="Times New Roman" w:hAnsi="Times New Roman"/>
          <w:lang w:val="pl-PL"/>
        </w:rPr>
        <w:t>ylająca dyrektywę Rady 2008/114/WE, Dz.U. L 333</w:t>
      </w:r>
      <w:r w:rsidR="00563D0D" w:rsidRPr="00563D0D">
        <w:rPr>
          <w:rFonts w:ascii="Times New Roman" w:hAnsi="Times New Roman"/>
          <w:lang w:val="pl-PL"/>
        </w:rPr>
        <w:t xml:space="preserve"> z</w:t>
      </w:r>
      <w:r w:rsidR="00563D0D">
        <w:rPr>
          <w:rFonts w:ascii="Times New Roman" w:hAnsi="Times New Roman"/>
          <w:lang w:val="pl-PL"/>
        </w:rPr>
        <w:t> </w:t>
      </w:r>
      <w:r w:rsidR="00563D0D" w:rsidRPr="00563D0D">
        <w:rPr>
          <w:rFonts w:ascii="Times New Roman" w:hAnsi="Times New Roman"/>
          <w:lang w:val="pl-PL"/>
        </w:rPr>
        <w:t>2</w:t>
      </w:r>
      <w:r w:rsidRPr="00563D0D">
        <w:rPr>
          <w:rFonts w:ascii="Times New Roman" w:hAnsi="Times New Roman"/>
          <w:lang w:val="pl-PL"/>
        </w:rPr>
        <w:t>7.12.2022, s. 164 (</w:t>
      </w:r>
      <w:hyperlink r:id="rId68" w:history="1">
        <w:r w:rsidRPr="00563D0D">
          <w:rPr>
            <w:rStyle w:val="Hyperlink"/>
            <w:rFonts w:ascii="Times New Roman" w:hAnsi="Times New Roman"/>
            <w:lang w:val="pl-PL"/>
          </w:rPr>
          <w:t>https://eur-lex.europa.eu/legal-content/PL/TXT/?uri=CELEX%3A32022L2557&amp;qid=1699961915719</w:t>
        </w:r>
      </w:hyperlink>
      <w:r w:rsidRPr="00563D0D">
        <w:rPr>
          <w:rFonts w:ascii="Times New Roman" w:hAnsi="Times New Roman"/>
          <w:lang w:val="pl-PL"/>
        </w:rPr>
        <w:t>).</w:t>
      </w:r>
    </w:p>
  </w:footnote>
  <w:footnote w:id="90">
    <w:p w14:paraId="6BA84103" w14:textId="320E4697" w:rsidR="001F1738" w:rsidRPr="00563D0D" w:rsidRDefault="001F1738" w:rsidP="001F1738">
      <w:pPr>
        <w:pStyle w:val="FootnoteText"/>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Dyrektywa Rady 2008/114/WE</w:t>
      </w:r>
      <w:r w:rsidR="00563D0D" w:rsidRPr="00563D0D">
        <w:rPr>
          <w:rFonts w:ascii="Times New Roman" w:hAnsi="Times New Roman"/>
          <w:lang w:val="pl-PL"/>
        </w:rPr>
        <w:t xml:space="preserve"> z</w:t>
      </w:r>
      <w:r w:rsidR="00563D0D">
        <w:rPr>
          <w:rFonts w:ascii="Times New Roman" w:hAnsi="Times New Roman"/>
          <w:lang w:val="pl-PL"/>
        </w:rPr>
        <w:t> </w:t>
      </w:r>
      <w:r w:rsidR="00563D0D" w:rsidRPr="00563D0D">
        <w:rPr>
          <w:rFonts w:ascii="Times New Roman" w:hAnsi="Times New Roman"/>
          <w:lang w:val="pl-PL"/>
        </w:rPr>
        <w:t>dni</w:t>
      </w:r>
      <w:r w:rsidRPr="00563D0D">
        <w:rPr>
          <w:rFonts w:ascii="Times New Roman" w:hAnsi="Times New Roman"/>
          <w:lang w:val="pl-PL"/>
        </w:rPr>
        <w:t>a 8 grudnia 2008</w:t>
      </w:r>
      <w:r w:rsidR="00563D0D" w:rsidRPr="00563D0D">
        <w:rPr>
          <w:rFonts w:ascii="Times New Roman" w:hAnsi="Times New Roman"/>
          <w:lang w:val="pl-PL"/>
        </w:rPr>
        <w:t> </w:t>
      </w:r>
      <w:r w:rsidRPr="00563D0D">
        <w:rPr>
          <w:rFonts w:ascii="Times New Roman" w:hAnsi="Times New Roman"/>
          <w:lang w:val="pl-PL"/>
        </w:rPr>
        <w:t>r.</w:t>
      </w:r>
      <w:r w:rsidR="00563D0D" w:rsidRPr="00563D0D">
        <w:rPr>
          <w:rFonts w:ascii="Times New Roman" w:hAnsi="Times New Roman"/>
          <w:lang w:val="pl-PL"/>
        </w:rPr>
        <w:t xml:space="preserve"> w</w:t>
      </w:r>
      <w:r w:rsidR="00563D0D">
        <w:rPr>
          <w:rFonts w:ascii="Times New Roman" w:hAnsi="Times New Roman"/>
          <w:lang w:val="pl-PL"/>
        </w:rPr>
        <w:t> </w:t>
      </w:r>
      <w:r w:rsidR="00563D0D" w:rsidRPr="00563D0D">
        <w:rPr>
          <w:rFonts w:ascii="Times New Roman" w:hAnsi="Times New Roman"/>
          <w:lang w:val="pl-PL"/>
        </w:rPr>
        <w:t>spr</w:t>
      </w:r>
      <w:r w:rsidRPr="00563D0D">
        <w:rPr>
          <w:rFonts w:ascii="Times New Roman" w:hAnsi="Times New Roman"/>
          <w:lang w:val="pl-PL"/>
        </w:rPr>
        <w:t>awie rozpoznawania</w:t>
      </w:r>
      <w:r w:rsidR="00563D0D" w:rsidRPr="00563D0D">
        <w:rPr>
          <w:rFonts w:ascii="Times New Roman" w:hAnsi="Times New Roman"/>
          <w:lang w:val="pl-PL"/>
        </w:rPr>
        <w:t xml:space="preserve"> i</w:t>
      </w:r>
      <w:r w:rsidR="00563D0D">
        <w:rPr>
          <w:rFonts w:ascii="Times New Roman" w:hAnsi="Times New Roman"/>
          <w:lang w:val="pl-PL"/>
        </w:rPr>
        <w:t> </w:t>
      </w:r>
      <w:r w:rsidR="00563D0D" w:rsidRPr="00563D0D">
        <w:rPr>
          <w:rFonts w:ascii="Times New Roman" w:hAnsi="Times New Roman"/>
          <w:lang w:val="pl-PL"/>
        </w:rPr>
        <w:t>wyz</w:t>
      </w:r>
      <w:r w:rsidRPr="00563D0D">
        <w:rPr>
          <w:rFonts w:ascii="Times New Roman" w:hAnsi="Times New Roman"/>
          <w:lang w:val="pl-PL"/>
        </w:rPr>
        <w:t>naczania europejskiej infrastruktury krytycznej oraz oceny potrzeb</w:t>
      </w:r>
      <w:r w:rsidR="00563D0D" w:rsidRPr="00563D0D">
        <w:rPr>
          <w:rFonts w:ascii="Times New Roman" w:hAnsi="Times New Roman"/>
          <w:lang w:val="pl-PL"/>
        </w:rPr>
        <w:t xml:space="preserve"> w</w:t>
      </w:r>
      <w:r w:rsidR="00563D0D">
        <w:rPr>
          <w:rFonts w:ascii="Times New Roman" w:hAnsi="Times New Roman"/>
          <w:lang w:val="pl-PL"/>
        </w:rPr>
        <w:t> </w:t>
      </w:r>
      <w:r w:rsidR="00563D0D" w:rsidRPr="00563D0D">
        <w:rPr>
          <w:rFonts w:ascii="Times New Roman" w:hAnsi="Times New Roman"/>
          <w:lang w:val="pl-PL"/>
        </w:rPr>
        <w:t>zak</w:t>
      </w:r>
      <w:r w:rsidRPr="00563D0D">
        <w:rPr>
          <w:rFonts w:ascii="Times New Roman" w:hAnsi="Times New Roman"/>
          <w:lang w:val="pl-PL"/>
        </w:rPr>
        <w:t>resie poprawy jej ochrony, Dz.U. L 345</w:t>
      </w:r>
      <w:r w:rsidR="00563D0D" w:rsidRPr="00563D0D">
        <w:rPr>
          <w:rFonts w:ascii="Times New Roman" w:hAnsi="Times New Roman"/>
          <w:lang w:val="pl-PL"/>
        </w:rPr>
        <w:t xml:space="preserve"> z</w:t>
      </w:r>
      <w:r w:rsidR="00563D0D">
        <w:rPr>
          <w:rFonts w:ascii="Times New Roman" w:hAnsi="Times New Roman"/>
          <w:lang w:val="pl-PL"/>
        </w:rPr>
        <w:t> </w:t>
      </w:r>
      <w:r w:rsidR="00563D0D" w:rsidRPr="00563D0D">
        <w:rPr>
          <w:rFonts w:ascii="Times New Roman" w:hAnsi="Times New Roman"/>
          <w:lang w:val="pl-PL"/>
        </w:rPr>
        <w:t>2</w:t>
      </w:r>
      <w:r w:rsidRPr="00563D0D">
        <w:rPr>
          <w:rFonts w:ascii="Times New Roman" w:hAnsi="Times New Roman"/>
          <w:lang w:val="pl-PL"/>
        </w:rPr>
        <w:t>3.12.2008, s. 75 (</w:t>
      </w:r>
      <w:hyperlink r:id="rId69" w:history="1">
        <w:r w:rsidRPr="00563D0D">
          <w:rPr>
            <w:rStyle w:val="Hyperlink"/>
            <w:rFonts w:ascii="Times New Roman" w:hAnsi="Times New Roman"/>
            <w:lang w:val="pl-PL"/>
          </w:rPr>
          <w:t>https://eur-lex.europa.eu/legal-content/PL/TXT/?uri=CELEX%3A32008L0114&amp;qid=1699961985226</w:t>
        </w:r>
      </w:hyperlink>
      <w:r w:rsidRPr="00563D0D">
        <w:rPr>
          <w:rFonts w:ascii="Times New Roman" w:hAnsi="Times New Roman"/>
          <w:lang w:val="pl-PL"/>
        </w:rPr>
        <w:t>).</w:t>
      </w:r>
    </w:p>
  </w:footnote>
  <w:footnote w:id="91">
    <w:p w14:paraId="1890CDB6" w14:textId="3F306FC7" w:rsidR="00DE1D36" w:rsidRPr="00563D0D" w:rsidRDefault="00DE1D36">
      <w:pPr>
        <w:pStyle w:val="FootnoteText"/>
        <w:rPr>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70" w:history="1">
        <w:r w:rsidRPr="00563D0D">
          <w:rPr>
            <w:rStyle w:val="Hyperlink"/>
            <w:rFonts w:ascii="Times New Roman" w:hAnsi="Times New Roman"/>
            <w:lang w:val="pl-PL"/>
          </w:rPr>
          <w:t>https://eur-lex.europa.eu/legal-content/PL/TXT/?uri=CELEX:52023DC0526</w:t>
        </w:r>
      </w:hyperlink>
      <w:r w:rsidRPr="00563D0D">
        <w:rPr>
          <w:lang w:val="pl-PL"/>
        </w:rPr>
        <w:t xml:space="preserve"> </w:t>
      </w:r>
    </w:p>
  </w:footnote>
  <w:footnote w:id="92">
    <w:p w14:paraId="30D31098" w14:textId="337F5396" w:rsidR="001F1738" w:rsidRPr="00563D0D" w:rsidRDefault="001F1738" w:rsidP="001F1738">
      <w:pPr>
        <w:pStyle w:val="FootnoteText"/>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71" w:history="1">
        <w:r w:rsidRPr="00563D0D">
          <w:rPr>
            <w:rStyle w:val="Hyperlink"/>
            <w:rFonts w:ascii="Times New Roman" w:hAnsi="Times New Roman"/>
            <w:lang w:val="pl-PL"/>
          </w:rPr>
          <w:t>https://eur-lex.europa.eu/legal-content/pl/TXT/?uri=CELEX:32022R0123</w:t>
        </w:r>
      </w:hyperlink>
      <w:r w:rsidRPr="00563D0D">
        <w:rPr>
          <w:rFonts w:ascii="Times New Roman" w:hAnsi="Times New Roman"/>
          <w:lang w:val="pl-PL"/>
        </w:rPr>
        <w:t xml:space="preserve"> </w:t>
      </w:r>
    </w:p>
  </w:footnote>
  <w:footnote w:id="93">
    <w:p w14:paraId="2C305E7A" w14:textId="36B67F01" w:rsidR="001F1738" w:rsidRPr="00563D0D" w:rsidRDefault="001F1738" w:rsidP="001F1738">
      <w:pPr>
        <w:pStyle w:val="FootnoteText"/>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72" w:history="1">
        <w:r w:rsidRPr="00563D0D">
          <w:rPr>
            <w:rStyle w:val="Hyperlink"/>
            <w:rFonts w:ascii="Times New Roman" w:hAnsi="Times New Roman"/>
            <w:lang w:val="pl-PL"/>
          </w:rPr>
          <w:t>https://www.ecdc.europa.eu/en/publications-data/conducting-after-action-reviews-public-health-response-covid-19-update-0</w:t>
        </w:r>
      </w:hyperlink>
      <w:r w:rsidRPr="00563D0D">
        <w:rPr>
          <w:rFonts w:ascii="Times New Roman" w:hAnsi="Times New Roman"/>
          <w:lang w:val="pl-PL"/>
        </w:rPr>
        <w:t xml:space="preserve"> </w:t>
      </w:r>
    </w:p>
  </w:footnote>
  <w:footnote w:id="94">
    <w:p w14:paraId="1C4FCFC5" w14:textId="12331738" w:rsidR="001F1738" w:rsidRPr="00563D0D" w:rsidRDefault="001F1738" w:rsidP="00881CF4">
      <w:pPr>
        <w:pStyle w:val="FootnoteText"/>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73" w:history="1">
        <w:r w:rsidRPr="00563D0D">
          <w:rPr>
            <w:rStyle w:val="Hyperlink"/>
            <w:rFonts w:ascii="Times New Roman" w:hAnsi="Times New Roman"/>
            <w:lang w:val="pl-PL"/>
          </w:rPr>
          <w:t>https://cohesiondata.ec.europa.eu/2021-2027-Categorisation/2021-2027-Finances-details-categorisation-multi-fu/hgyj-gyin</w:t>
        </w:r>
      </w:hyperlink>
      <w:r w:rsidRPr="00563D0D">
        <w:rPr>
          <w:rFonts w:ascii="Times New Roman" w:hAnsi="Times New Roman"/>
          <w:lang w:val="pl-PL"/>
        </w:rPr>
        <w:t xml:space="preserve"> </w:t>
      </w:r>
    </w:p>
  </w:footnote>
  <w:footnote w:id="95">
    <w:p w14:paraId="3CE2769C" w14:textId="4D0E6841" w:rsidR="001F1738" w:rsidRPr="00563D0D" w:rsidRDefault="001F1738" w:rsidP="001F1738">
      <w:pPr>
        <w:pStyle w:val="FootnoteText"/>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74" w:history="1">
        <w:r w:rsidRPr="00563D0D">
          <w:rPr>
            <w:rStyle w:val="Hyperlink"/>
            <w:rFonts w:ascii="Times New Roman" w:hAnsi="Times New Roman"/>
            <w:lang w:val="pl-PL"/>
          </w:rPr>
          <w:t>https://www.oecd-ilibrary.org/social-issues-migration-health/health-at-a-glance-europe-2022_507433b0-en;jsessionid=-ZyVma6ABAN0VaaG5paqz-epR3sPXjuLlFsJ5MXW.ip-10-240-5-108</w:t>
        </w:r>
      </w:hyperlink>
      <w:r w:rsidRPr="00563D0D">
        <w:rPr>
          <w:rFonts w:ascii="Times New Roman" w:hAnsi="Times New Roman"/>
          <w:lang w:val="pl-PL"/>
        </w:rPr>
        <w:t xml:space="preserve"> </w:t>
      </w:r>
    </w:p>
  </w:footnote>
  <w:footnote w:id="96">
    <w:p w14:paraId="5D5CD318" w14:textId="3CC26632" w:rsidR="001F1738" w:rsidRPr="00563D0D" w:rsidRDefault="001F1738" w:rsidP="001F1738">
      <w:pPr>
        <w:pStyle w:val="FootnoteText"/>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75" w:history="1">
        <w:r w:rsidRPr="00563D0D">
          <w:rPr>
            <w:rStyle w:val="Hyperlink"/>
            <w:rFonts w:ascii="Times New Roman" w:hAnsi="Times New Roman"/>
            <w:lang w:val="pl-PL"/>
          </w:rPr>
          <w:t>https://www.who.int/news/item/02-03-2022-covid-19-pandemic-triggers-25-increase-in-prevalence-of-anxiety-and-depression-worldwide</w:t>
        </w:r>
      </w:hyperlink>
      <w:r w:rsidRPr="00563D0D">
        <w:rPr>
          <w:rFonts w:ascii="Times New Roman" w:hAnsi="Times New Roman"/>
          <w:lang w:val="pl-PL"/>
        </w:rPr>
        <w:t xml:space="preserve"> </w:t>
      </w:r>
    </w:p>
  </w:footnote>
  <w:footnote w:id="97">
    <w:p w14:paraId="4D1B1C68" w14:textId="08D76B2D" w:rsidR="001F1738" w:rsidRPr="00563D0D" w:rsidRDefault="001F1738" w:rsidP="001F1738">
      <w:pPr>
        <w:pStyle w:val="FootnoteText"/>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76" w:history="1">
        <w:r w:rsidRPr="00563D0D">
          <w:rPr>
            <w:rStyle w:val="Hyperlink"/>
            <w:rFonts w:ascii="Times New Roman" w:hAnsi="Times New Roman"/>
            <w:lang w:val="pl-PL"/>
          </w:rPr>
          <w:t>https://commission.europa.eu/strategy-and-policy/priorities-2019-2024/promoting-our-european-way-life/european-health-union/comprehensive-approach-mental-health_pl</w:t>
        </w:r>
      </w:hyperlink>
      <w:r w:rsidRPr="00563D0D">
        <w:rPr>
          <w:rFonts w:ascii="Times New Roman" w:hAnsi="Times New Roman"/>
          <w:lang w:val="pl-PL"/>
        </w:rPr>
        <w:t xml:space="preserve"> </w:t>
      </w:r>
    </w:p>
  </w:footnote>
  <w:footnote w:id="98">
    <w:p w14:paraId="45DD5B19" w14:textId="4B375D1C" w:rsidR="001F1738" w:rsidRPr="00563D0D" w:rsidRDefault="001F1738" w:rsidP="00881CF4">
      <w:pPr>
        <w:pStyle w:val="FootnoteText"/>
        <w:rPr>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77" w:history="1">
        <w:r w:rsidRPr="00563D0D">
          <w:rPr>
            <w:rStyle w:val="Hyperlink"/>
            <w:rFonts w:ascii="Times New Roman" w:hAnsi="Times New Roman"/>
            <w:lang w:val="pl-PL"/>
          </w:rPr>
          <w:t>https://research-and-innovation.ec.europa.eu/funding/funding-opportunities/funding-programmes-and-open-calls/horizon-europe/european-partnerships-horizon-europe/health_en</w:t>
        </w:r>
      </w:hyperlink>
      <w:r w:rsidRPr="00563D0D">
        <w:rPr>
          <w:rFonts w:ascii="Times New Roman" w:hAnsi="Times New Roman"/>
          <w:lang w:val="pl-PL"/>
        </w:rPr>
        <w:t xml:space="preserve"> </w:t>
      </w:r>
    </w:p>
  </w:footnote>
  <w:footnote w:id="99">
    <w:p w14:paraId="3E0004D5" w14:textId="328409D4" w:rsidR="00627FF6" w:rsidRPr="00563D0D" w:rsidRDefault="00627FF6">
      <w:pPr>
        <w:pStyle w:val="FootnoteText"/>
        <w:rPr>
          <w:rFonts w:ascii="Times New Roman" w:hAnsi="Times New Roman" w:cs="Times New Roman"/>
          <w:lang w:val="pl-PL"/>
        </w:rPr>
      </w:pPr>
      <w:r w:rsidRPr="00563D0D">
        <w:rPr>
          <w:rStyle w:val="FootnoteReference"/>
          <w:lang w:val="pl-PL"/>
        </w:rPr>
        <w:footnoteRef/>
      </w:r>
      <w:r w:rsidRPr="00563D0D">
        <w:rPr>
          <w:lang w:val="pl-PL"/>
        </w:rPr>
        <w:t xml:space="preserve"> </w:t>
      </w:r>
      <w:hyperlink r:id="rId78" w:history="1">
        <w:r w:rsidRPr="00563D0D">
          <w:rPr>
            <w:rStyle w:val="Hyperlink"/>
            <w:rFonts w:ascii="Times New Roman" w:hAnsi="Times New Roman"/>
            <w:lang w:val="pl-PL"/>
          </w:rPr>
          <w:t>https://eur-lex.europa.eu/legal-content/PL/TXT/?uri=CELEX:52023DC0298</w:t>
        </w:r>
      </w:hyperlink>
      <w:r w:rsidRPr="00563D0D">
        <w:rPr>
          <w:rFonts w:ascii="Times New Roman" w:hAnsi="Times New Roman"/>
          <w:lang w:val="pl-PL"/>
        </w:rPr>
        <w:t xml:space="preserve"> </w:t>
      </w:r>
    </w:p>
  </w:footnote>
  <w:footnote w:id="100">
    <w:p w14:paraId="139790D7" w14:textId="4C779F9C" w:rsidR="001F1738" w:rsidRPr="00563D0D" w:rsidRDefault="001F1738" w:rsidP="001F1738">
      <w:pPr>
        <w:pStyle w:val="FootnoteText"/>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79" w:history="1">
        <w:r w:rsidRPr="00563D0D">
          <w:rPr>
            <w:rStyle w:val="Hyperlink"/>
            <w:rFonts w:ascii="Times New Roman" w:hAnsi="Times New Roman"/>
            <w:lang w:val="pl-PL"/>
          </w:rPr>
          <w:t>https://www.thelancet.com/journals/lanres/article/PIIS2213-2600(23)00268-0/fulltext</w:t>
        </w:r>
      </w:hyperlink>
      <w:r w:rsidRPr="00563D0D">
        <w:rPr>
          <w:rFonts w:ascii="Times New Roman" w:hAnsi="Times New Roman"/>
          <w:lang w:val="pl-PL"/>
        </w:rPr>
        <w:t xml:space="preserve"> </w:t>
      </w:r>
    </w:p>
  </w:footnote>
  <w:footnote w:id="101">
    <w:p w14:paraId="0B70C51B" w14:textId="77777777" w:rsidR="002F1D2B" w:rsidRPr="00563D0D" w:rsidRDefault="002F1D2B" w:rsidP="002F1D2B">
      <w:pPr>
        <w:pStyle w:val="FootnoteText"/>
        <w:rPr>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80" w:history="1">
        <w:r w:rsidRPr="00563D0D">
          <w:rPr>
            <w:rStyle w:val="Hyperlink"/>
            <w:rFonts w:ascii="Times New Roman" w:hAnsi="Times New Roman"/>
            <w:lang w:val="pl-PL"/>
          </w:rPr>
          <w:t>https://health.ec.europa.eu/health-emergency-preparedness-and-response-hera/hera-invest_pl</w:t>
        </w:r>
      </w:hyperlink>
      <w:r w:rsidRPr="00563D0D">
        <w:rPr>
          <w:lang w:val="pl-PL"/>
        </w:rPr>
        <w:t xml:space="preserve"> </w:t>
      </w:r>
    </w:p>
  </w:footnote>
  <w:footnote w:id="102">
    <w:p w14:paraId="37E46E06" w14:textId="3937D050" w:rsidR="002F1D2B" w:rsidRPr="00563D0D" w:rsidRDefault="002F1D2B">
      <w:pPr>
        <w:pStyle w:val="FootnoteText"/>
        <w:rPr>
          <w:rFonts w:ascii="Times New Roman" w:hAnsi="Times New Roman" w:cs="Times New Roman"/>
          <w:lang w:val="pl-PL"/>
        </w:rPr>
      </w:pPr>
      <w:r w:rsidRPr="00563D0D">
        <w:rPr>
          <w:rStyle w:val="FootnoteReference"/>
          <w:lang w:val="pl-PL"/>
        </w:rPr>
        <w:footnoteRef/>
      </w:r>
      <w:r w:rsidRPr="00563D0D">
        <w:rPr>
          <w:lang w:val="pl-PL"/>
        </w:rPr>
        <w:t xml:space="preserve"> </w:t>
      </w:r>
      <w:hyperlink r:id="rId81" w:history="1">
        <w:r w:rsidRPr="00563D0D">
          <w:rPr>
            <w:rStyle w:val="Hyperlink"/>
            <w:rFonts w:ascii="Times New Roman" w:hAnsi="Times New Roman"/>
            <w:lang w:val="pl-PL"/>
          </w:rPr>
          <w:t>https://investeu.europa.eu/index_en</w:t>
        </w:r>
      </w:hyperlink>
      <w:r w:rsidRPr="00563D0D">
        <w:rPr>
          <w:rFonts w:ascii="Times New Roman" w:hAnsi="Times New Roman"/>
          <w:lang w:val="pl-PL"/>
        </w:rPr>
        <w:t xml:space="preserve"> </w:t>
      </w:r>
    </w:p>
  </w:footnote>
  <w:footnote w:id="103">
    <w:p w14:paraId="5CE01236" w14:textId="54EC2879" w:rsidR="001F1738" w:rsidRPr="00563D0D" w:rsidRDefault="001F1738" w:rsidP="001F1738">
      <w:pPr>
        <w:pStyle w:val="FootnoteText"/>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82" w:history="1">
        <w:r w:rsidRPr="00563D0D">
          <w:rPr>
            <w:rStyle w:val="Hyperlink"/>
            <w:rFonts w:ascii="Times New Roman" w:hAnsi="Times New Roman"/>
            <w:lang w:val="pl-PL"/>
          </w:rPr>
          <w:t>https://eic.ec.europa.eu/system/files/2023-08/EIC-WP2023-amended.pdf</w:t>
        </w:r>
      </w:hyperlink>
      <w:r w:rsidRPr="00563D0D">
        <w:rPr>
          <w:rFonts w:ascii="Times New Roman" w:hAnsi="Times New Roman"/>
          <w:lang w:val="pl-PL"/>
        </w:rPr>
        <w:t xml:space="preserve"> </w:t>
      </w:r>
    </w:p>
  </w:footnote>
  <w:footnote w:id="104">
    <w:p w14:paraId="6D777E9C" w14:textId="77777777" w:rsidR="00E14569" w:rsidRPr="00563D0D" w:rsidRDefault="00E14569" w:rsidP="00E14569">
      <w:pPr>
        <w:pStyle w:val="FootnoteText"/>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83" w:history="1">
        <w:r w:rsidRPr="00563D0D">
          <w:rPr>
            <w:rStyle w:val="Hyperlink"/>
            <w:rFonts w:ascii="Times New Roman" w:hAnsi="Times New Roman"/>
            <w:lang w:val="pl-PL"/>
          </w:rPr>
          <w:t>https://eu-response.eu/</w:t>
        </w:r>
      </w:hyperlink>
      <w:r w:rsidRPr="00563D0D">
        <w:rPr>
          <w:rFonts w:ascii="Times New Roman" w:hAnsi="Times New Roman"/>
          <w:lang w:val="pl-PL"/>
        </w:rPr>
        <w:t xml:space="preserve"> </w:t>
      </w:r>
    </w:p>
  </w:footnote>
  <w:footnote w:id="105">
    <w:p w14:paraId="1C410708" w14:textId="77777777" w:rsidR="00E14569" w:rsidRPr="00563D0D" w:rsidRDefault="00E14569" w:rsidP="00E14569">
      <w:pPr>
        <w:pStyle w:val="FootnoteText"/>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84" w:history="1">
        <w:r w:rsidRPr="00563D0D">
          <w:rPr>
            <w:rStyle w:val="Hyperlink"/>
            <w:rFonts w:ascii="Times New Roman" w:hAnsi="Times New Roman"/>
            <w:lang w:val="pl-PL"/>
          </w:rPr>
          <w:t>https://verdiproject.org/</w:t>
        </w:r>
      </w:hyperlink>
      <w:r w:rsidRPr="00563D0D">
        <w:rPr>
          <w:rFonts w:ascii="Times New Roman" w:hAnsi="Times New Roman"/>
          <w:lang w:val="pl-PL"/>
        </w:rPr>
        <w:t xml:space="preserve"> </w:t>
      </w:r>
    </w:p>
  </w:footnote>
  <w:footnote w:id="106">
    <w:p w14:paraId="2E9E84AB" w14:textId="77777777" w:rsidR="008739EF" w:rsidRPr="00563D0D" w:rsidRDefault="008739EF" w:rsidP="008739EF">
      <w:pPr>
        <w:pStyle w:val="FootnoteText"/>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85" w:history="1">
        <w:r w:rsidRPr="00563D0D">
          <w:rPr>
            <w:rStyle w:val="Hyperlink"/>
            <w:rFonts w:ascii="Times New Roman" w:hAnsi="Times New Roman"/>
            <w:lang w:val="pl-PL"/>
          </w:rPr>
          <w:t>https://health.ec.europa.eu/system/files/2023-03/international_ghs-report-2022_en.pdf</w:t>
        </w:r>
      </w:hyperlink>
      <w:r w:rsidRPr="00563D0D">
        <w:rPr>
          <w:rFonts w:ascii="Times New Roman" w:hAnsi="Times New Roman"/>
          <w:lang w:val="pl-PL"/>
        </w:rPr>
        <w:t xml:space="preserve"> </w:t>
      </w:r>
    </w:p>
  </w:footnote>
  <w:footnote w:id="107">
    <w:p w14:paraId="7046DCCF" w14:textId="58AB915A" w:rsidR="008739EF" w:rsidRPr="00563D0D" w:rsidRDefault="008739EF">
      <w:pPr>
        <w:pStyle w:val="FootnoteText"/>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86" w:history="1">
        <w:r w:rsidRPr="00563D0D">
          <w:rPr>
            <w:rStyle w:val="Hyperlink"/>
            <w:rFonts w:ascii="Times New Roman" w:hAnsi="Times New Roman"/>
            <w:lang w:val="pl-PL"/>
          </w:rPr>
          <w:t>https://commission.europa.eu/strategy-and-policy/priorities-2019-2024/stronger-europe-world/global-gateway_pl</w:t>
        </w:r>
      </w:hyperlink>
      <w:r w:rsidRPr="00563D0D">
        <w:rPr>
          <w:rFonts w:ascii="Times New Roman" w:hAnsi="Times New Roman"/>
          <w:lang w:val="pl-PL"/>
        </w:rPr>
        <w:t xml:space="preserve"> </w:t>
      </w:r>
    </w:p>
  </w:footnote>
  <w:footnote w:id="108">
    <w:p w14:paraId="13D78C91" w14:textId="2F9FD45A" w:rsidR="00180D3E" w:rsidRPr="00563D0D" w:rsidRDefault="00180D3E">
      <w:pPr>
        <w:pStyle w:val="FootnoteText"/>
        <w:rPr>
          <w:rFonts w:ascii="Times New Roman" w:hAnsi="Times New Roman" w:cs="Times New Roman"/>
          <w:lang w:val="pl-PL"/>
        </w:rPr>
      </w:pPr>
      <w:r w:rsidRPr="00563D0D">
        <w:rPr>
          <w:rStyle w:val="FootnoteReference"/>
          <w:rFonts w:ascii="Times New Roman" w:hAnsi="Times New Roman" w:cs="Times New Roman"/>
          <w:lang w:val="pl-PL"/>
        </w:rPr>
        <w:footnoteRef/>
      </w:r>
      <w:r w:rsidRPr="00563D0D">
        <w:rPr>
          <w:rFonts w:ascii="Times New Roman" w:hAnsi="Times New Roman"/>
          <w:lang w:val="pl-PL"/>
        </w:rPr>
        <w:t xml:space="preserve"> </w:t>
      </w:r>
      <w:hyperlink r:id="rId87" w:history="1">
        <w:r w:rsidRPr="00563D0D">
          <w:rPr>
            <w:rStyle w:val="Hyperlink"/>
            <w:rFonts w:ascii="Times New Roman" w:hAnsi="Times New Roman"/>
            <w:lang w:val="pl-PL"/>
          </w:rPr>
          <w:t>https://research-and-innovation.ec.europa.eu/research-area/health/edctp_en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0A0DA" w14:textId="77777777" w:rsidR="00554386" w:rsidRPr="00554386" w:rsidRDefault="00554386" w:rsidP="00554386">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C4256" w14:textId="77777777" w:rsidR="00554386" w:rsidRPr="00554386" w:rsidRDefault="00554386" w:rsidP="0055438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E3CEC" w14:textId="77777777" w:rsidR="00554386" w:rsidRPr="00554386" w:rsidRDefault="00554386" w:rsidP="0055438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C1190" w14:textId="77777777" w:rsidR="008F1FE4" w:rsidRDefault="005543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3C412" w14:textId="77777777" w:rsidR="008F1FE4" w:rsidRDefault="0055438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D180E" w14:textId="77777777" w:rsidR="008F1FE4" w:rsidRDefault="00554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75D2"/>
    <w:multiLevelType w:val="multilevel"/>
    <w:tmpl w:val="98021A1A"/>
    <w:lvl w:ilvl="0">
      <w:start w:val="4"/>
      <w:numFmt w:val="decimal"/>
      <w:lvlText w:val="%1"/>
      <w:lvlJc w:val="left"/>
      <w:pPr>
        <w:ind w:left="380" w:hanging="3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9A95420"/>
    <w:multiLevelType w:val="multilevel"/>
    <w:tmpl w:val="36A2544E"/>
    <w:lvl w:ilvl="0">
      <w:start w:val="6"/>
      <w:numFmt w:val="decimal"/>
      <w:lvlText w:val="%1"/>
      <w:lvlJc w:val="left"/>
      <w:pPr>
        <w:ind w:left="490" w:hanging="490"/>
      </w:pPr>
      <w:rPr>
        <w:rFonts w:hint="default"/>
      </w:rPr>
    </w:lvl>
    <w:lvl w:ilvl="1">
      <w:start w:val="7"/>
      <w:numFmt w:val="decimal"/>
      <w:lvlText w:val="%1.%2"/>
      <w:lvlJc w:val="left"/>
      <w:pPr>
        <w:ind w:left="490" w:hanging="4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173E7F"/>
    <w:multiLevelType w:val="multilevel"/>
    <w:tmpl w:val="A328BA50"/>
    <w:lvl w:ilvl="0">
      <w:start w:val="1"/>
      <w:numFmt w:val="decimal"/>
      <w:lvlText w:val="%1"/>
      <w:lvlJc w:val="left"/>
      <w:pPr>
        <w:ind w:left="490" w:hanging="490"/>
      </w:pPr>
      <w:rPr>
        <w:rFonts w:hint="default"/>
      </w:rPr>
    </w:lvl>
    <w:lvl w:ilvl="1">
      <w:start w:val="2"/>
      <w:numFmt w:val="decimal"/>
      <w:lvlText w:val="%1.%2"/>
      <w:lvlJc w:val="left"/>
      <w:pPr>
        <w:ind w:left="490" w:hanging="4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6F13D7"/>
    <w:multiLevelType w:val="multilevel"/>
    <w:tmpl w:val="B528424A"/>
    <w:lvl w:ilvl="0">
      <w:start w:val="5"/>
      <w:numFmt w:val="decimal"/>
      <w:lvlText w:val="%1"/>
      <w:lvlJc w:val="left"/>
      <w:pPr>
        <w:ind w:left="490" w:hanging="490"/>
      </w:pPr>
      <w:rPr>
        <w:rFonts w:hint="default"/>
      </w:rPr>
    </w:lvl>
    <w:lvl w:ilvl="1">
      <w:start w:val="7"/>
      <w:numFmt w:val="decimal"/>
      <w:lvlText w:val="%1.%2"/>
      <w:lvlJc w:val="left"/>
      <w:pPr>
        <w:ind w:left="490" w:hanging="4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8723F3"/>
    <w:multiLevelType w:val="hybridMultilevel"/>
    <w:tmpl w:val="C45E0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65391"/>
    <w:multiLevelType w:val="hybridMultilevel"/>
    <w:tmpl w:val="6792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C63CD"/>
    <w:multiLevelType w:val="multilevel"/>
    <w:tmpl w:val="D982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D32E2"/>
    <w:multiLevelType w:val="multilevel"/>
    <w:tmpl w:val="AB545EE6"/>
    <w:lvl w:ilvl="0">
      <w:start w:val="5"/>
      <w:numFmt w:val="decimal"/>
      <w:lvlText w:val="%1"/>
      <w:lvlJc w:val="left"/>
      <w:pPr>
        <w:ind w:left="380" w:hanging="3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8796E32"/>
    <w:multiLevelType w:val="multilevel"/>
    <w:tmpl w:val="633ED164"/>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A524D53"/>
    <w:multiLevelType w:val="multilevel"/>
    <w:tmpl w:val="44FE2046"/>
    <w:lvl w:ilvl="0">
      <w:start w:val="3"/>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0252590"/>
    <w:multiLevelType w:val="multilevel"/>
    <w:tmpl w:val="652E077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5091"/>
    <w:multiLevelType w:val="hybridMultilevel"/>
    <w:tmpl w:val="0F70C1F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32243A15"/>
    <w:multiLevelType w:val="multilevel"/>
    <w:tmpl w:val="E92A9940"/>
    <w:lvl w:ilvl="0">
      <w:start w:val="4"/>
      <w:numFmt w:val="decimal"/>
      <w:lvlText w:val="%1"/>
      <w:lvlJc w:val="left"/>
      <w:pPr>
        <w:ind w:left="490" w:hanging="490"/>
      </w:pPr>
      <w:rPr>
        <w:rFonts w:hint="default"/>
      </w:rPr>
    </w:lvl>
    <w:lvl w:ilvl="1">
      <w:start w:val="2"/>
      <w:numFmt w:val="decimal"/>
      <w:lvlText w:val="%1.%2"/>
      <w:lvlJc w:val="left"/>
      <w:pPr>
        <w:ind w:left="490" w:hanging="4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3434EB"/>
    <w:multiLevelType w:val="hybridMultilevel"/>
    <w:tmpl w:val="E56C16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DDF5272"/>
    <w:multiLevelType w:val="hybridMultilevel"/>
    <w:tmpl w:val="4DFC12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EEA4F9A"/>
    <w:multiLevelType w:val="multilevel"/>
    <w:tmpl w:val="3D706F00"/>
    <w:lvl w:ilvl="0">
      <w:start w:val="6"/>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15C2798"/>
    <w:multiLevelType w:val="multilevel"/>
    <w:tmpl w:val="F1528616"/>
    <w:styleLink w:val="amprLISTL1-forboxORANGEdashed"/>
    <w:lvl w:ilvl="0">
      <w:start w:val="1"/>
      <w:numFmt w:val="bullet"/>
      <w:pStyle w:val="amprboxORANGEdashedbulletlis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63716E"/>
    <w:multiLevelType w:val="multilevel"/>
    <w:tmpl w:val="B8BEECC0"/>
    <w:lvl w:ilvl="0">
      <w:start w:val="1"/>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D2241D"/>
    <w:multiLevelType w:val="multilevel"/>
    <w:tmpl w:val="3B0A43D4"/>
    <w:lvl w:ilvl="0">
      <w:start w:val="6"/>
      <w:numFmt w:val="decimal"/>
      <w:lvlText w:val="%1"/>
      <w:lvlJc w:val="left"/>
      <w:pPr>
        <w:ind w:left="380" w:hanging="3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A2249F7"/>
    <w:multiLevelType w:val="multilevel"/>
    <w:tmpl w:val="DC1E05CA"/>
    <w:lvl w:ilvl="0">
      <w:start w:val="1"/>
      <w:numFmt w:val="decimal"/>
      <w:pStyle w:val="Chaptertitle"/>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96549EB"/>
    <w:multiLevelType w:val="multilevel"/>
    <w:tmpl w:val="F2D446E6"/>
    <w:lvl w:ilvl="0">
      <w:start w:val="3"/>
      <w:numFmt w:val="decimal"/>
      <w:lvlText w:val="%1"/>
      <w:lvlJc w:val="left"/>
      <w:pPr>
        <w:ind w:left="630" w:hanging="630"/>
      </w:pPr>
      <w:rPr>
        <w:rFonts w:hint="default"/>
      </w:rPr>
    </w:lvl>
    <w:lvl w:ilvl="1">
      <w:start w:val="3"/>
      <w:numFmt w:val="decimal"/>
      <w:lvlText w:val="%1.%2"/>
      <w:lvlJc w:val="left"/>
      <w:pPr>
        <w:ind w:left="630" w:hanging="63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DC12C5"/>
    <w:multiLevelType w:val="hybridMultilevel"/>
    <w:tmpl w:val="47C602A4"/>
    <w:lvl w:ilvl="0" w:tplc="984E9680">
      <w:start w:val="4"/>
      <w:numFmt w:val="bullet"/>
      <w:lvlText w:val="-"/>
      <w:lvlJc w:val="left"/>
      <w:pPr>
        <w:ind w:left="720" w:hanging="360"/>
      </w:pPr>
      <w:rPr>
        <w:rFonts w:ascii="Times New Roman" w:eastAsiaTheme="minorEastAsia"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EAE0B09"/>
    <w:multiLevelType w:val="multilevel"/>
    <w:tmpl w:val="1124DB64"/>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6" w15:restartNumberingAfterBreak="0">
    <w:nsid w:val="6335210A"/>
    <w:multiLevelType w:val="hybridMultilevel"/>
    <w:tmpl w:val="52CA72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5DA1E3A"/>
    <w:multiLevelType w:val="multilevel"/>
    <w:tmpl w:val="8D708C78"/>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82E7C97"/>
    <w:multiLevelType w:val="multilevel"/>
    <w:tmpl w:val="1C6CD898"/>
    <w:lvl w:ilvl="0">
      <w:start w:val="5"/>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87F2A1A"/>
    <w:multiLevelType w:val="multilevel"/>
    <w:tmpl w:val="AA90F6D2"/>
    <w:lvl w:ilvl="0">
      <w:start w:val="4"/>
      <w:numFmt w:val="decimal"/>
      <w:lvlText w:val="%1"/>
      <w:lvlJc w:val="left"/>
      <w:pPr>
        <w:ind w:left="490" w:hanging="490"/>
      </w:pPr>
      <w:rPr>
        <w:rFonts w:hint="default"/>
      </w:rPr>
    </w:lvl>
    <w:lvl w:ilvl="1">
      <w:start w:val="7"/>
      <w:numFmt w:val="decimal"/>
      <w:lvlText w:val="%1.%2"/>
      <w:lvlJc w:val="left"/>
      <w:pPr>
        <w:ind w:left="490" w:hanging="4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1E1872"/>
    <w:multiLevelType w:val="hybridMultilevel"/>
    <w:tmpl w:val="94C616A0"/>
    <w:lvl w:ilvl="0" w:tplc="C264FF7E">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2D22914"/>
    <w:multiLevelType w:val="hybridMultilevel"/>
    <w:tmpl w:val="3AD423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9174191"/>
    <w:multiLevelType w:val="hybridMultilevel"/>
    <w:tmpl w:val="CA6C0A0A"/>
    <w:lvl w:ilvl="0" w:tplc="67663D94">
      <w:start w:val="1"/>
      <w:numFmt w:val="bullet"/>
      <w:pStyle w:val="Briefinglis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3246DF"/>
    <w:multiLevelType w:val="multilevel"/>
    <w:tmpl w:val="48C29EDA"/>
    <w:lvl w:ilvl="0">
      <w:start w:val="4"/>
      <w:numFmt w:val="decimal"/>
      <w:lvlText w:val="%1"/>
      <w:lvlJc w:val="left"/>
      <w:pPr>
        <w:ind w:left="490" w:hanging="490"/>
      </w:pPr>
      <w:rPr>
        <w:rFonts w:hint="default"/>
      </w:rPr>
    </w:lvl>
    <w:lvl w:ilvl="1">
      <w:start w:val="2"/>
      <w:numFmt w:val="decimal"/>
      <w:lvlText w:val="%1.%2"/>
      <w:lvlJc w:val="left"/>
      <w:pPr>
        <w:ind w:left="490" w:hanging="49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num>
  <w:num w:numId="2">
    <w:abstractNumId w:val="18"/>
  </w:num>
  <w:num w:numId="3">
    <w:abstractNumId w:val="34"/>
  </w:num>
  <w:num w:numId="4">
    <w:abstractNumId w:val="25"/>
  </w:num>
  <w:num w:numId="5">
    <w:abstractNumId w:val="32"/>
  </w:num>
  <w:num w:numId="6">
    <w:abstractNumId w:val="5"/>
  </w:num>
  <w:num w:numId="7">
    <w:abstractNumId w:val="11"/>
  </w:num>
  <w:num w:numId="8">
    <w:abstractNumId w:val="30"/>
  </w:num>
  <w:num w:numId="9">
    <w:abstractNumId w:val="6"/>
  </w:num>
  <w:num w:numId="10">
    <w:abstractNumId w:val="26"/>
  </w:num>
  <w:num w:numId="11">
    <w:abstractNumId w:val="15"/>
  </w:num>
  <w:num w:numId="12">
    <w:abstractNumId w:val="13"/>
  </w:num>
  <w:num w:numId="13">
    <w:abstractNumId w:val="31"/>
  </w:num>
  <w:num w:numId="14">
    <w:abstractNumId w:val="7"/>
  </w:num>
  <w:num w:numId="15">
    <w:abstractNumId w:val="12"/>
  </w:num>
  <w:num w:numId="16">
    <w:abstractNumId w:val="19"/>
  </w:num>
  <w:num w:numId="17">
    <w:abstractNumId w:val="2"/>
  </w:num>
  <w:num w:numId="18">
    <w:abstractNumId w:val="27"/>
  </w:num>
  <w:num w:numId="19">
    <w:abstractNumId w:val="10"/>
  </w:num>
  <w:num w:numId="20">
    <w:abstractNumId w:val="24"/>
  </w:num>
  <w:num w:numId="21">
    <w:abstractNumId w:val="14"/>
  </w:num>
  <w:num w:numId="22">
    <w:abstractNumId w:val="33"/>
  </w:num>
  <w:num w:numId="23">
    <w:abstractNumId w:val="17"/>
  </w:num>
  <w:num w:numId="24">
    <w:abstractNumId w:val="20"/>
  </w:num>
  <w:num w:numId="25">
    <w:abstractNumId w:val="1"/>
  </w:num>
  <w:num w:numId="26">
    <w:abstractNumId w:val="22"/>
  </w:num>
  <w:num w:numId="27">
    <w:abstractNumId w:val="28"/>
  </w:num>
  <w:num w:numId="28">
    <w:abstractNumId w:val="8"/>
  </w:num>
  <w:num w:numId="29">
    <w:abstractNumId w:val="3"/>
  </w:num>
  <w:num w:numId="30">
    <w:abstractNumId w:val="9"/>
  </w:num>
  <w:num w:numId="31">
    <w:abstractNumId w:val="0"/>
  </w:num>
  <w:num w:numId="32">
    <w:abstractNumId w:val="29"/>
  </w:num>
  <w:num w:numId="33">
    <w:abstractNumId w:val="16"/>
  </w:num>
  <w:num w:numId="34">
    <w:abstractNumId w:val="2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64A66D3-56D1-4CC3-AF31-547344C34972"/>
    <w:docVar w:name="LW_COVERPAGE_TYPE" w:val="1"/>
    <w:docVar w:name="LW_CROSSREFERENCE" w:val="&lt;UNUSED&gt;"/>
    <w:docVar w:name="LW_DocType" w:val="NORMAL"/>
    <w:docVar w:name="LW_EMISSION" w:val="15.12.2023"/>
    <w:docVar w:name="LW_EMISSION_ISODATE" w:val="2023-12-15"/>
    <w:docVar w:name="LW_EMISSION_LOCATION" w:val="BRX"/>
    <w:docVar w:name="LW_EMISSION_PREFIX" w:val="Bruksela, dnia "/>
    <w:docVar w:name="LW_EMISSION_SUFFIX" w:val=" r."/>
    <w:docVar w:name="LW_ID_DOCTYPE_NONLW" w:val="CP-014"/>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3) 79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prawozdanie na temat stanu gotowo\u347?ci w dziedzinie zdrowia za 2023 r."/>
    <w:docVar w:name="LW_TYPE.DOC.CP" w:val="KOMUNIKAT KOMISJI DO PARLAMENTU EUROPEJSKIEGO, RADY, EUROPEJSKIEGO KOMITETU EKONOMICZNO-SPO\u321?ECZNEGO I KOMITETU REGIONÓW"/>
    <w:docVar w:name="LW_TYPE.DOC.CP.USERTEXT" w:val="&lt;EMPTY&gt;"/>
    <w:docVar w:name="LwApiVersions" w:val="LW4CoDe 1.24.4.0; LW 9.0, Build 20240109"/>
  </w:docVars>
  <w:rsids>
    <w:rsidRoot w:val="00C619B5"/>
    <w:rsid w:val="00002601"/>
    <w:rsid w:val="00003506"/>
    <w:rsid w:val="00004FFE"/>
    <w:rsid w:val="00011B06"/>
    <w:rsid w:val="000150F5"/>
    <w:rsid w:val="00015AC9"/>
    <w:rsid w:val="000176F6"/>
    <w:rsid w:val="00017A94"/>
    <w:rsid w:val="0002096F"/>
    <w:rsid w:val="000222DA"/>
    <w:rsid w:val="0002315C"/>
    <w:rsid w:val="00026023"/>
    <w:rsid w:val="000262D8"/>
    <w:rsid w:val="0002731F"/>
    <w:rsid w:val="0003074E"/>
    <w:rsid w:val="00031422"/>
    <w:rsid w:val="00031A95"/>
    <w:rsid w:val="00031EDF"/>
    <w:rsid w:val="000332FE"/>
    <w:rsid w:val="0003452E"/>
    <w:rsid w:val="0004586D"/>
    <w:rsid w:val="000459E3"/>
    <w:rsid w:val="00046E2F"/>
    <w:rsid w:val="000554C5"/>
    <w:rsid w:val="00055B9F"/>
    <w:rsid w:val="000624B0"/>
    <w:rsid w:val="00063DC0"/>
    <w:rsid w:val="0006408D"/>
    <w:rsid w:val="00072774"/>
    <w:rsid w:val="00074BB3"/>
    <w:rsid w:val="0007696E"/>
    <w:rsid w:val="00081F8A"/>
    <w:rsid w:val="00082E8A"/>
    <w:rsid w:val="00086138"/>
    <w:rsid w:val="0008657C"/>
    <w:rsid w:val="00095BCD"/>
    <w:rsid w:val="0009613C"/>
    <w:rsid w:val="0009659F"/>
    <w:rsid w:val="00096A4C"/>
    <w:rsid w:val="000A12C4"/>
    <w:rsid w:val="000A69F5"/>
    <w:rsid w:val="000B2D2A"/>
    <w:rsid w:val="000B3DBB"/>
    <w:rsid w:val="000B3FE3"/>
    <w:rsid w:val="000C58E0"/>
    <w:rsid w:val="000C7AC2"/>
    <w:rsid w:val="000D006B"/>
    <w:rsid w:val="000D11EF"/>
    <w:rsid w:val="000D39F4"/>
    <w:rsid w:val="000D48E3"/>
    <w:rsid w:val="000D5412"/>
    <w:rsid w:val="000D6B72"/>
    <w:rsid w:val="000E393B"/>
    <w:rsid w:val="000F0CDA"/>
    <w:rsid w:val="000F1F28"/>
    <w:rsid w:val="000F2866"/>
    <w:rsid w:val="000F2FA6"/>
    <w:rsid w:val="000F7855"/>
    <w:rsid w:val="000F7AAC"/>
    <w:rsid w:val="00101682"/>
    <w:rsid w:val="001021CC"/>
    <w:rsid w:val="00113103"/>
    <w:rsid w:val="001148E5"/>
    <w:rsid w:val="0011500E"/>
    <w:rsid w:val="00115C50"/>
    <w:rsid w:val="00115C6D"/>
    <w:rsid w:val="00117832"/>
    <w:rsid w:val="0012433A"/>
    <w:rsid w:val="00124BA9"/>
    <w:rsid w:val="001269C1"/>
    <w:rsid w:val="00133667"/>
    <w:rsid w:val="00140841"/>
    <w:rsid w:val="00146A19"/>
    <w:rsid w:val="00147E9B"/>
    <w:rsid w:val="00151227"/>
    <w:rsid w:val="00151F96"/>
    <w:rsid w:val="00153B36"/>
    <w:rsid w:val="00155C4C"/>
    <w:rsid w:val="0016343E"/>
    <w:rsid w:val="00164E77"/>
    <w:rsid w:val="001667AA"/>
    <w:rsid w:val="00166FAE"/>
    <w:rsid w:val="00172D2B"/>
    <w:rsid w:val="001736F8"/>
    <w:rsid w:val="00175788"/>
    <w:rsid w:val="001776E2"/>
    <w:rsid w:val="00180D3E"/>
    <w:rsid w:val="00182221"/>
    <w:rsid w:val="00183E29"/>
    <w:rsid w:val="0018592C"/>
    <w:rsid w:val="00190020"/>
    <w:rsid w:val="00191C05"/>
    <w:rsid w:val="00192B7C"/>
    <w:rsid w:val="00193936"/>
    <w:rsid w:val="00195A87"/>
    <w:rsid w:val="001960DC"/>
    <w:rsid w:val="001A17EB"/>
    <w:rsid w:val="001A435E"/>
    <w:rsid w:val="001A59BD"/>
    <w:rsid w:val="001A66A5"/>
    <w:rsid w:val="001A7402"/>
    <w:rsid w:val="001B09FA"/>
    <w:rsid w:val="001B2E4C"/>
    <w:rsid w:val="001C1A99"/>
    <w:rsid w:val="001C1AC8"/>
    <w:rsid w:val="001C54A0"/>
    <w:rsid w:val="001D1539"/>
    <w:rsid w:val="001D275C"/>
    <w:rsid w:val="001D3B97"/>
    <w:rsid w:val="001D3ED8"/>
    <w:rsid w:val="001D4C82"/>
    <w:rsid w:val="001D6E54"/>
    <w:rsid w:val="001E0C9F"/>
    <w:rsid w:val="001E14A6"/>
    <w:rsid w:val="001E2076"/>
    <w:rsid w:val="001E261A"/>
    <w:rsid w:val="001E4E6E"/>
    <w:rsid w:val="001E698A"/>
    <w:rsid w:val="001E7A58"/>
    <w:rsid w:val="001F1738"/>
    <w:rsid w:val="001F328E"/>
    <w:rsid w:val="001F79BA"/>
    <w:rsid w:val="002020B4"/>
    <w:rsid w:val="00204A8F"/>
    <w:rsid w:val="00205933"/>
    <w:rsid w:val="00206B34"/>
    <w:rsid w:val="0021356E"/>
    <w:rsid w:val="00215C1F"/>
    <w:rsid w:val="002160BF"/>
    <w:rsid w:val="002168B2"/>
    <w:rsid w:val="002207DE"/>
    <w:rsid w:val="00221E93"/>
    <w:rsid w:val="00222814"/>
    <w:rsid w:val="00223BF7"/>
    <w:rsid w:val="002241F0"/>
    <w:rsid w:val="00224253"/>
    <w:rsid w:val="0022458E"/>
    <w:rsid w:val="00224662"/>
    <w:rsid w:val="002258E7"/>
    <w:rsid w:val="002260F0"/>
    <w:rsid w:val="0023011B"/>
    <w:rsid w:val="00232682"/>
    <w:rsid w:val="00232B24"/>
    <w:rsid w:val="00232FE6"/>
    <w:rsid w:val="00236E4B"/>
    <w:rsid w:val="00237625"/>
    <w:rsid w:val="00240B9B"/>
    <w:rsid w:val="002440B6"/>
    <w:rsid w:val="0024638C"/>
    <w:rsid w:val="00251752"/>
    <w:rsid w:val="00265D6B"/>
    <w:rsid w:val="002703F9"/>
    <w:rsid w:val="002707BC"/>
    <w:rsid w:val="00271C7F"/>
    <w:rsid w:val="002740E4"/>
    <w:rsid w:val="00274557"/>
    <w:rsid w:val="002774E5"/>
    <w:rsid w:val="00283EA0"/>
    <w:rsid w:val="00284404"/>
    <w:rsid w:val="002917C3"/>
    <w:rsid w:val="00291AC6"/>
    <w:rsid w:val="0029373F"/>
    <w:rsid w:val="002A242B"/>
    <w:rsid w:val="002A527A"/>
    <w:rsid w:val="002A5AB8"/>
    <w:rsid w:val="002A5CD7"/>
    <w:rsid w:val="002B1144"/>
    <w:rsid w:val="002B4D6C"/>
    <w:rsid w:val="002B4F8B"/>
    <w:rsid w:val="002B5469"/>
    <w:rsid w:val="002B709F"/>
    <w:rsid w:val="002B7207"/>
    <w:rsid w:val="002C3D87"/>
    <w:rsid w:val="002C56BE"/>
    <w:rsid w:val="002C5C7C"/>
    <w:rsid w:val="002D2465"/>
    <w:rsid w:val="002D4B52"/>
    <w:rsid w:val="002D6120"/>
    <w:rsid w:val="002E0ACE"/>
    <w:rsid w:val="002E1AFB"/>
    <w:rsid w:val="002F1465"/>
    <w:rsid w:val="002F1D2B"/>
    <w:rsid w:val="002F2A32"/>
    <w:rsid w:val="002F47F5"/>
    <w:rsid w:val="002F4CA6"/>
    <w:rsid w:val="002F752C"/>
    <w:rsid w:val="002F79FD"/>
    <w:rsid w:val="00300C2A"/>
    <w:rsid w:val="0030156A"/>
    <w:rsid w:val="0030164B"/>
    <w:rsid w:val="0030184B"/>
    <w:rsid w:val="00302E03"/>
    <w:rsid w:val="00304370"/>
    <w:rsid w:val="003101DD"/>
    <w:rsid w:val="003106A5"/>
    <w:rsid w:val="00312459"/>
    <w:rsid w:val="0031254B"/>
    <w:rsid w:val="00312C13"/>
    <w:rsid w:val="00317A39"/>
    <w:rsid w:val="0032059A"/>
    <w:rsid w:val="003225E8"/>
    <w:rsid w:val="00323831"/>
    <w:rsid w:val="00323EED"/>
    <w:rsid w:val="00325A0A"/>
    <w:rsid w:val="0033212C"/>
    <w:rsid w:val="0033327F"/>
    <w:rsid w:val="003362FD"/>
    <w:rsid w:val="0034181A"/>
    <w:rsid w:val="003432EB"/>
    <w:rsid w:val="00346B4D"/>
    <w:rsid w:val="00346B7E"/>
    <w:rsid w:val="003501C3"/>
    <w:rsid w:val="0035237A"/>
    <w:rsid w:val="003534D7"/>
    <w:rsid w:val="00355CB1"/>
    <w:rsid w:val="00356FB9"/>
    <w:rsid w:val="00357B1E"/>
    <w:rsid w:val="00363EDB"/>
    <w:rsid w:val="00367602"/>
    <w:rsid w:val="00372403"/>
    <w:rsid w:val="00372B0A"/>
    <w:rsid w:val="0038024E"/>
    <w:rsid w:val="00380DD9"/>
    <w:rsid w:val="00382A88"/>
    <w:rsid w:val="003836E7"/>
    <w:rsid w:val="003845E3"/>
    <w:rsid w:val="00384A7B"/>
    <w:rsid w:val="00385C69"/>
    <w:rsid w:val="00392DE5"/>
    <w:rsid w:val="00393857"/>
    <w:rsid w:val="00393EBF"/>
    <w:rsid w:val="003A3505"/>
    <w:rsid w:val="003A35CC"/>
    <w:rsid w:val="003A661B"/>
    <w:rsid w:val="003A7882"/>
    <w:rsid w:val="003B0461"/>
    <w:rsid w:val="003B0750"/>
    <w:rsid w:val="003B35A2"/>
    <w:rsid w:val="003B44E7"/>
    <w:rsid w:val="003B4CBC"/>
    <w:rsid w:val="003C1233"/>
    <w:rsid w:val="003C2E20"/>
    <w:rsid w:val="003C3CFF"/>
    <w:rsid w:val="003C537A"/>
    <w:rsid w:val="003C568F"/>
    <w:rsid w:val="003C5A70"/>
    <w:rsid w:val="003C61EE"/>
    <w:rsid w:val="003D0526"/>
    <w:rsid w:val="003D3524"/>
    <w:rsid w:val="003D5717"/>
    <w:rsid w:val="003E1061"/>
    <w:rsid w:val="003E53D2"/>
    <w:rsid w:val="003E5721"/>
    <w:rsid w:val="003E6744"/>
    <w:rsid w:val="003E6946"/>
    <w:rsid w:val="003E707F"/>
    <w:rsid w:val="003E78CD"/>
    <w:rsid w:val="003F1C3A"/>
    <w:rsid w:val="003F6A4D"/>
    <w:rsid w:val="004006B8"/>
    <w:rsid w:val="00403F00"/>
    <w:rsid w:val="00404A2B"/>
    <w:rsid w:val="0040502F"/>
    <w:rsid w:val="00412481"/>
    <w:rsid w:val="0041768E"/>
    <w:rsid w:val="004205C8"/>
    <w:rsid w:val="004210CF"/>
    <w:rsid w:val="004255C7"/>
    <w:rsid w:val="004256B8"/>
    <w:rsid w:val="00425C94"/>
    <w:rsid w:val="00426A78"/>
    <w:rsid w:val="00430A10"/>
    <w:rsid w:val="00431851"/>
    <w:rsid w:val="00434D7F"/>
    <w:rsid w:val="0043500B"/>
    <w:rsid w:val="00435FDF"/>
    <w:rsid w:val="00437D3A"/>
    <w:rsid w:val="00450ADF"/>
    <w:rsid w:val="00450C04"/>
    <w:rsid w:val="00450C2B"/>
    <w:rsid w:val="00451A7D"/>
    <w:rsid w:val="0045785F"/>
    <w:rsid w:val="00467937"/>
    <w:rsid w:val="00470922"/>
    <w:rsid w:val="00480193"/>
    <w:rsid w:val="00480AD0"/>
    <w:rsid w:val="00482EA7"/>
    <w:rsid w:val="004926A9"/>
    <w:rsid w:val="00496FA3"/>
    <w:rsid w:val="004A35DF"/>
    <w:rsid w:val="004A3885"/>
    <w:rsid w:val="004A39FC"/>
    <w:rsid w:val="004B229A"/>
    <w:rsid w:val="004B63FB"/>
    <w:rsid w:val="004C0890"/>
    <w:rsid w:val="004C3E69"/>
    <w:rsid w:val="004D4672"/>
    <w:rsid w:val="004E183E"/>
    <w:rsid w:val="004E1EBB"/>
    <w:rsid w:val="004E3657"/>
    <w:rsid w:val="004E3FBD"/>
    <w:rsid w:val="004F4EEB"/>
    <w:rsid w:val="004F6F73"/>
    <w:rsid w:val="004F7E4C"/>
    <w:rsid w:val="00501B55"/>
    <w:rsid w:val="00501E31"/>
    <w:rsid w:val="00503DA0"/>
    <w:rsid w:val="0050524F"/>
    <w:rsid w:val="00511B09"/>
    <w:rsid w:val="00517A22"/>
    <w:rsid w:val="00520DA4"/>
    <w:rsid w:val="00524938"/>
    <w:rsid w:val="0052546D"/>
    <w:rsid w:val="00525757"/>
    <w:rsid w:val="00532DC3"/>
    <w:rsid w:val="00532DD6"/>
    <w:rsid w:val="00542A7E"/>
    <w:rsid w:val="0054387A"/>
    <w:rsid w:val="00543A77"/>
    <w:rsid w:val="005442EC"/>
    <w:rsid w:val="00544BD7"/>
    <w:rsid w:val="0055014D"/>
    <w:rsid w:val="005511D7"/>
    <w:rsid w:val="00554386"/>
    <w:rsid w:val="0055491B"/>
    <w:rsid w:val="00563D0D"/>
    <w:rsid w:val="005670D5"/>
    <w:rsid w:val="005708B4"/>
    <w:rsid w:val="00570908"/>
    <w:rsid w:val="00571AB3"/>
    <w:rsid w:val="00572997"/>
    <w:rsid w:val="005736FA"/>
    <w:rsid w:val="005737A5"/>
    <w:rsid w:val="00585095"/>
    <w:rsid w:val="00590751"/>
    <w:rsid w:val="005967D1"/>
    <w:rsid w:val="005A1AA9"/>
    <w:rsid w:val="005A3A1A"/>
    <w:rsid w:val="005A4F58"/>
    <w:rsid w:val="005B1A5C"/>
    <w:rsid w:val="005B204D"/>
    <w:rsid w:val="005B33AF"/>
    <w:rsid w:val="005B40A9"/>
    <w:rsid w:val="005B469D"/>
    <w:rsid w:val="005B4CF9"/>
    <w:rsid w:val="005B5FC1"/>
    <w:rsid w:val="005C32C3"/>
    <w:rsid w:val="005C393F"/>
    <w:rsid w:val="005C3AB5"/>
    <w:rsid w:val="005C7E6D"/>
    <w:rsid w:val="005E1015"/>
    <w:rsid w:val="005E1ED4"/>
    <w:rsid w:val="005E294F"/>
    <w:rsid w:val="005E332D"/>
    <w:rsid w:val="005E3F96"/>
    <w:rsid w:val="005E456F"/>
    <w:rsid w:val="005E6F2A"/>
    <w:rsid w:val="005F0911"/>
    <w:rsid w:val="005F10DF"/>
    <w:rsid w:val="0060127F"/>
    <w:rsid w:val="00602251"/>
    <w:rsid w:val="00605154"/>
    <w:rsid w:val="00614109"/>
    <w:rsid w:val="0061698F"/>
    <w:rsid w:val="006208F7"/>
    <w:rsid w:val="00621C3D"/>
    <w:rsid w:val="00623356"/>
    <w:rsid w:val="00624B0C"/>
    <w:rsid w:val="00625A59"/>
    <w:rsid w:val="00627FF6"/>
    <w:rsid w:val="00630A39"/>
    <w:rsid w:val="006401D0"/>
    <w:rsid w:val="00643E13"/>
    <w:rsid w:val="006467ED"/>
    <w:rsid w:val="00650C17"/>
    <w:rsid w:val="00650D45"/>
    <w:rsid w:val="00655B7B"/>
    <w:rsid w:val="00657967"/>
    <w:rsid w:val="00661741"/>
    <w:rsid w:val="00665B07"/>
    <w:rsid w:val="00666256"/>
    <w:rsid w:val="0067054E"/>
    <w:rsid w:val="00670CAF"/>
    <w:rsid w:val="00671AA9"/>
    <w:rsid w:val="00674D81"/>
    <w:rsid w:val="00675BCD"/>
    <w:rsid w:val="00676536"/>
    <w:rsid w:val="006771C8"/>
    <w:rsid w:val="00677395"/>
    <w:rsid w:val="00681330"/>
    <w:rsid w:val="006821CF"/>
    <w:rsid w:val="0068381A"/>
    <w:rsid w:val="0068383D"/>
    <w:rsid w:val="006857C6"/>
    <w:rsid w:val="00685E4D"/>
    <w:rsid w:val="006913D6"/>
    <w:rsid w:val="00691A69"/>
    <w:rsid w:val="00696EF8"/>
    <w:rsid w:val="006A69BA"/>
    <w:rsid w:val="006B17B6"/>
    <w:rsid w:val="006B5917"/>
    <w:rsid w:val="006C1420"/>
    <w:rsid w:val="006C4EE3"/>
    <w:rsid w:val="006C6E3F"/>
    <w:rsid w:val="006D0AA3"/>
    <w:rsid w:val="006D0E13"/>
    <w:rsid w:val="006D236C"/>
    <w:rsid w:val="006D2ADD"/>
    <w:rsid w:val="006D3EDF"/>
    <w:rsid w:val="006D698D"/>
    <w:rsid w:val="006D709B"/>
    <w:rsid w:val="006D7E5B"/>
    <w:rsid w:val="006E1686"/>
    <w:rsid w:val="006E5885"/>
    <w:rsid w:val="006E7456"/>
    <w:rsid w:val="006E79AF"/>
    <w:rsid w:val="006F3A7B"/>
    <w:rsid w:val="006F40D0"/>
    <w:rsid w:val="006F6CE9"/>
    <w:rsid w:val="006F7A7A"/>
    <w:rsid w:val="00703CEB"/>
    <w:rsid w:val="00705021"/>
    <w:rsid w:val="00706E28"/>
    <w:rsid w:val="00710F99"/>
    <w:rsid w:val="00716031"/>
    <w:rsid w:val="00720C45"/>
    <w:rsid w:val="00722228"/>
    <w:rsid w:val="007226C9"/>
    <w:rsid w:val="00724709"/>
    <w:rsid w:val="00726AF6"/>
    <w:rsid w:val="00732524"/>
    <w:rsid w:val="0073488A"/>
    <w:rsid w:val="00736200"/>
    <w:rsid w:val="00736C99"/>
    <w:rsid w:val="0074362E"/>
    <w:rsid w:val="00746F38"/>
    <w:rsid w:val="007478A9"/>
    <w:rsid w:val="00750E41"/>
    <w:rsid w:val="00751592"/>
    <w:rsid w:val="00751D8A"/>
    <w:rsid w:val="00754838"/>
    <w:rsid w:val="00755BDD"/>
    <w:rsid w:val="0075635F"/>
    <w:rsid w:val="00757387"/>
    <w:rsid w:val="00760990"/>
    <w:rsid w:val="0076180A"/>
    <w:rsid w:val="00765ABD"/>
    <w:rsid w:val="0077087A"/>
    <w:rsid w:val="00771AFF"/>
    <w:rsid w:val="0077341B"/>
    <w:rsid w:val="00773FF2"/>
    <w:rsid w:val="00774562"/>
    <w:rsid w:val="00774D74"/>
    <w:rsid w:val="00774DBD"/>
    <w:rsid w:val="00774F2C"/>
    <w:rsid w:val="00775850"/>
    <w:rsid w:val="00780847"/>
    <w:rsid w:val="00780E18"/>
    <w:rsid w:val="0078272D"/>
    <w:rsid w:val="00783C05"/>
    <w:rsid w:val="0078495C"/>
    <w:rsid w:val="00785B9C"/>
    <w:rsid w:val="007917D0"/>
    <w:rsid w:val="00791D8B"/>
    <w:rsid w:val="00792503"/>
    <w:rsid w:val="00792554"/>
    <w:rsid w:val="00793ECA"/>
    <w:rsid w:val="00795A08"/>
    <w:rsid w:val="007A13E2"/>
    <w:rsid w:val="007A1DAD"/>
    <w:rsid w:val="007A631E"/>
    <w:rsid w:val="007C3F12"/>
    <w:rsid w:val="007C5356"/>
    <w:rsid w:val="007C75FF"/>
    <w:rsid w:val="007D1C60"/>
    <w:rsid w:val="007D2980"/>
    <w:rsid w:val="007D437A"/>
    <w:rsid w:val="007D4B14"/>
    <w:rsid w:val="007D4EEA"/>
    <w:rsid w:val="007D5BBA"/>
    <w:rsid w:val="007D720E"/>
    <w:rsid w:val="007E1E67"/>
    <w:rsid w:val="007E443B"/>
    <w:rsid w:val="007E4F2E"/>
    <w:rsid w:val="007E7492"/>
    <w:rsid w:val="007F1A59"/>
    <w:rsid w:val="007F5B0B"/>
    <w:rsid w:val="00801039"/>
    <w:rsid w:val="0080452D"/>
    <w:rsid w:val="00804F62"/>
    <w:rsid w:val="00806C5E"/>
    <w:rsid w:val="00813BE4"/>
    <w:rsid w:val="00814216"/>
    <w:rsid w:val="00825EC9"/>
    <w:rsid w:val="00826A36"/>
    <w:rsid w:val="00831B85"/>
    <w:rsid w:val="00832EBF"/>
    <w:rsid w:val="008351E5"/>
    <w:rsid w:val="00835797"/>
    <w:rsid w:val="00835AEA"/>
    <w:rsid w:val="00836E45"/>
    <w:rsid w:val="00837C3C"/>
    <w:rsid w:val="00842A6C"/>
    <w:rsid w:val="008528DC"/>
    <w:rsid w:val="0085365F"/>
    <w:rsid w:val="00853C1B"/>
    <w:rsid w:val="00854E12"/>
    <w:rsid w:val="0086247F"/>
    <w:rsid w:val="008724C3"/>
    <w:rsid w:val="008728DA"/>
    <w:rsid w:val="008739EF"/>
    <w:rsid w:val="00876291"/>
    <w:rsid w:val="008767B7"/>
    <w:rsid w:val="00877E6B"/>
    <w:rsid w:val="00881CF4"/>
    <w:rsid w:val="008864D9"/>
    <w:rsid w:val="0088776C"/>
    <w:rsid w:val="008A1746"/>
    <w:rsid w:val="008A3DCD"/>
    <w:rsid w:val="008B0AD1"/>
    <w:rsid w:val="008B1E9B"/>
    <w:rsid w:val="008B21D4"/>
    <w:rsid w:val="008B26BE"/>
    <w:rsid w:val="008B2847"/>
    <w:rsid w:val="008B36BB"/>
    <w:rsid w:val="008C23E5"/>
    <w:rsid w:val="008C4554"/>
    <w:rsid w:val="008C498B"/>
    <w:rsid w:val="008C6D1D"/>
    <w:rsid w:val="008D0D98"/>
    <w:rsid w:val="008D33B9"/>
    <w:rsid w:val="008E3DB9"/>
    <w:rsid w:val="008E4BC5"/>
    <w:rsid w:val="008F28B8"/>
    <w:rsid w:val="008F2CB5"/>
    <w:rsid w:val="008F4060"/>
    <w:rsid w:val="008F423B"/>
    <w:rsid w:val="00904D1A"/>
    <w:rsid w:val="009070BC"/>
    <w:rsid w:val="00913F80"/>
    <w:rsid w:val="00917145"/>
    <w:rsid w:val="00921698"/>
    <w:rsid w:val="009238AD"/>
    <w:rsid w:val="00923DE0"/>
    <w:rsid w:val="009250AB"/>
    <w:rsid w:val="00930A6E"/>
    <w:rsid w:val="00932C40"/>
    <w:rsid w:val="00935579"/>
    <w:rsid w:val="00937708"/>
    <w:rsid w:val="00937AAF"/>
    <w:rsid w:val="00942BC7"/>
    <w:rsid w:val="009438F6"/>
    <w:rsid w:val="009449D3"/>
    <w:rsid w:val="0094565F"/>
    <w:rsid w:val="009504C3"/>
    <w:rsid w:val="009527BF"/>
    <w:rsid w:val="00953578"/>
    <w:rsid w:val="00953775"/>
    <w:rsid w:val="009561CC"/>
    <w:rsid w:val="00956F8F"/>
    <w:rsid w:val="009613BC"/>
    <w:rsid w:val="00971A8C"/>
    <w:rsid w:val="00983DA1"/>
    <w:rsid w:val="00985687"/>
    <w:rsid w:val="00991EF8"/>
    <w:rsid w:val="00992993"/>
    <w:rsid w:val="00994E7B"/>
    <w:rsid w:val="00994F8D"/>
    <w:rsid w:val="00997171"/>
    <w:rsid w:val="009A7A55"/>
    <w:rsid w:val="009B415A"/>
    <w:rsid w:val="009B5AF1"/>
    <w:rsid w:val="009C088F"/>
    <w:rsid w:val="009C4CDE"/>
    <w:rsid w:val="009C65E8"/>
    <w:rsid w:val="009C7E28"/>
    <w:rsid w:val="009D6411"/>
    <w:rsid w:val="009E1199"/>
    <w:rsid w:val="009E2C58"/>
    <w:rsid w:val="009E49F7"/>
    <w:rsid w:val="009E6237"/>
    <w:rsid w:val="009F0ED9"/>
    <w:rsid w:val="009F2751"/>
    <w:rsid w:val="009F41B2"/>
    <w:rsid w:val="009F619B"/>
    <w:rsid w:val="009F6F8F"/>
    <w:rsid w:val="00A0173C"/>
    <w:rsid w:val="00A02657"/>
    <w:rsid w:val="00A02810"/>
    <w:rsid w:val="00A03DDF"/>
    <w:rsid w:val="00A03ED2"/>
    <w:rsid w:val="00A067D4"/>
    <w:rsid w:val="00A07C06"/>
    <w:rsid w:val="00A126FB"/>
    <w:rsid w:val="00A14D8F"/>
    <w:rsid w:val="00A16E9E"/>
    <w:rsid w:val="00A2069E"/>
    <w:rsid w:val="00A22243"/>
    <w:rsid w:val="00A23B03"/>
    <w:rsid w:val="00A27F6B"/>
    <w:rsid w:val="00A33B43"/>
    <w:rsid w:val="00A346E9"/>
    <w:rsid w:val="00A3498D"/>
    <w:rsid w:val="00A362E4"/>
    <w:rsid w:val="00A4426A"/>
    <w:rsid w:val="00A44AA8"/>
    <w:rsid w:val="00A54A22"/>
    <w:rsid w:val="00A55361"/>
    <w:rsid w:val="00A57838"/>
    <w:rsid w:val="00A60126"/>
    <w:rsid w:val="00A61F69"/>
    <w:rsid w:val="00A64808"/>
    <w:rsid w:val="00A66E30"/>
    <w:rsid w:val="00A67737"/>
    <w:rsid w:val="00A73B4A"/>
    <w:rsid w:val="00A776EE"/>
    <w:rsid w:val="00A80EB7"/>
    <w:rsid w:val="00A8199D"/>
    <w:rsid w:val="00A8495E"/>
    <w:rsid w:val="00A96694"/>
    <w:rsid w:val="00AA3787"/>
    <w:rsid w:val="00AA5DC0"/>
    <w:rsid w:val="00AA7898"/>
    <w:rsid w:val="00AB48FE"/>
    <w:rsid w:val="00AB5837"/>
    <w:rsid w:val="00AB683B"/>
    <w:rsid w:val="00AC0FDC"/>
    <w:rsid w:val="00AC1530"/>
    <w:rsid w:val="00AC74FE"/>
    <w:rsid w:val="00AD0A7E"/>
    <w:rsid w:val="00AE1ECF"/>
    <w:rsid w:val="00AE29DF"/>
    <w:rsid w:val="00AE4ED2"/>
    <w:rsid w:val="00AF1FBC"/>
    <w:rsid w:val="00AF26F4"/>
    <w:rsid w:val="00AF3034"/>
    <w:rsid w:val="00AF4F9C"/>
    <w:rsid w:val="00AF56A3"/>
    <w:rsid w:val="00AF6333"/>
    <w:rsid w:val="00B00385"/>
    <w:rsid w:val="00B00464"/>
    <w:rsid w:val="00B01704"/>
    <w:rsid w:val="00B01E1E"/>
    <w:rsid w:val="00B025B1"/>
    <w:rsid w:val="00B025F2"/>
    <w:rsid w:val="00B0410D"/>
    <w:rsid w:val="00B046F4"/>
    <w:rsid w:val="00B0503C"/>
    <w:rsid w:val="00B053A1"/>
    <w:rsid w:val="00B1122E"/>
    <w:rsid w:val="00B143A5"/>
    <w:rsid w:val="00B148CE"/>
    <w:rsid w:val="00B23FC9"/>
    <w:rsid w:val="00B26E0B"/>
    <w:rsid w:val="00B27846"/>
    <w:rsid w:val="00B35302"/>
    <w:rsid w:val="00B36AF7"/>
    <w:rsid w:val="00B40B91"/>
    <w:rsid w:val="00B41269"/>
    <w:rsid w:val="00B41CBA"/>
    <w:rsid w:val="00B43F78"/>
    <w:rsid w:val="00B45381"/>
    <w:rsid w:val="00B51085"/>
    <w:rsid w:val="00B51AA3"/>
    <w:rsid w:val="00B52839"/>
    <w:rsid w:val="00B530AB"/>
    <w:rsid w:val="00B54C43"/>
    <w:rsid w:val="00B554C1"/>
    <w:rsid w:val="00B55555"/>
    <w:rsid w:val="00B55BF2"/>
    <w:rsid w:val="00B5645C"/>
    <w:rsid w:val="00B56A57"/>
    <w:rsid w:val="00B57523"/>
    <w:rsid w:val="00B62E9B"/>
    <w:rsid w:val="00B7050A"/>
    <w:rsid w:val="00B720F5"/>
    <w:rsid w:val="00B723E4"/>
    <w:rsid w:val="00B769F6"/>
    <w:rsid w:val="00B816AF"/>
    <w:rsid w:val="00B86669"/>
    <w:rsid w:val="00B86E43"/>
    <w:rsid w:val="00B93283"/>
    <w:rsid w:val="00B934CF"/>
    <w:rsid w:val="00B95E2C"/>
    <w:rsid w:val="00BA233D"/>
    <w:rsid w:val="00BA2C7D"/>
    <w:rsid w:val="00BA32ED"/>
    <w:rsid w:val="00BA55D7"/>
    <w:rsid w:val="00BA5B1A"/>
    <w:rsid w:val="00BB0DE4"/>
    <w:rsid w:val="00BB198E"/>
    <w:rsid w:val="00BB3DFA"/>
    <w:rsid w:val="00BB5600"/>
    <w:rsid w:val="00BC230E"/>
    <w:rsid w:val="00BC2F11"/>
    <w:rsid w:val="00BC4127"/>
    <w:rsid w:val="00BC7FCB"/>
    <w:rsid w:val="00BD317E"/>
    <w:rsid w:val="00BD7B8C"/>
    <w:rsid w:val="00BE1A6C"/>
    <w:rsid w:val="00BE6F4B"/>
    <w:rsid w:val="00BE758C"/>
    <w:rsid w:val="00BF5991"/>
    <w:rsid w:val="00BF5AD6"/>
    <w:rsid w:val="00C05DB3"/>
    <w:rsid w:val="00C06B6B"/>
    <w:rsid w:val="00C078C3"/>
    <w:rsid w:val="00C178E5"/>
    <w:rsid w:val="00C24466"/>
    <w:rsid w:val="00C2498F"/>
    <w:rsid w:val="00C25B50"/>
    <w:rsid w:val="00C267D8"/>
    <w:rsid w:val="00C31A05"/>
    <w:rsid w:val="00C32F4D"/>
    <w:rsid w:val="00C3332F"/>
    <w:rsid w:val="00C34FD6"/>
    <w:rsid w:val="00C3666B"/>
    <w:rsid w:val="00C36FC2"/>
    <w:rsid w:val="00C371B7"/>
    <w:rsid w:val="00C4099F"/>
    <w:rsid w:val="00C41931"/>
    <w:rsid w:val="00C4706C"/>
    <w:rsid w:val="00C5325C"/>
    <w:rsid w:val="00C534B3"/>
    <w:rsid w:val="00C538A1"/>
    <w:rsid w:val="00C619B5"/>
    <w:rsid w:val="00C6323B"/>
    <w:rsid w:val="00C63611"/>
    <w:rsid w:val="00C66759"/>
    <w:rsid w:val="00C7279D"/>
    <w:rsid w:val="00C8006B"/>
    <w:rsid w:val="00C8718E"/>
    <w:rsid w:val="00C872E8"/>
    <w:rsid w:val="00C949DD"/>
    <w:rsid w:val="00C94A9B"/>
    <w:rsid w:val="00C95640"/>
    <w:rsid w:val="00C968F3"/>
    <w:rsid w:val="00CA038A"/>
    <w:rsid w:val="00CA505B"/>
    <w:rsid w:val="00CA6122"/>
    <w:rsid w:val="00CB2301"/>
    <w:rsid w:val="00CB3248"/>
    <w:rsid w:val="00CB64AE"/>
    <w:rsid w:val="00CB6855"/>
    <w:rsid w:val="00CB779E"/>
    <w:rsid w:val="00CC0D13"/>
    <w:rsid w:val="00CC16CD"/>
    <w:rsid w:val="00CC65E1"/>
    <w:rsid w:val="00CC751D"/>
    <w:rsid w:val="00CD1496"/>
    <w:rsid w:val="00CD27C9"/>
    <w:rsid w:val="00CD2EE4"/>
    <w:rsid w:val="00CD77D8"/>
    <w:rsid w:val="00CD7AD9"/>
    <w:rsid w:val="00CE19DD"/>
    <w:rsid w:val="00CE1CCF"/>
    <w:rsid w:val="00CE1DAE"/>
    <w:rsid w:val="00CE70D7"/>
    <w:rsid w:val="00CF0AA8"/>
    <w:rsid w:val="00CF1024"/>
    <w:rsid w:val="00CF28B7"/>
    <w:rsid w:val="00CF3A23"/>
    <w:rsid w:val="00CF5DAE"/>
    <w:rsid w:val="00D00D56"/>
    <w:rsid w:val="00D06064"/>
    <w:rsid w:val="00D07C78"/>
    <w:rsid w:val="00D11B52"/>
    <w:rsid w:val="00D14D6F"/>
    <w:rsid w:val="00D219E9"/>
    <w:rsid w:val="00D22EA0"/>
    <w:rsid w:val="00D24071"/>
    <w:rsid w:val="00D40880"/>
    <w:rsid w:val="00D4218C"/>
    <w:rsid w:val="00D46546"/>
    <w:rsid w:val="00D53521"/>
    <w:rsid w:val="00D5551D"/>
    <w:rsid w:val="00D6353F"/>
    <w:rsid w:val="00D64EAE"/>
    <w:rsid w:val="00D666BE"/>
    <w:rsid w:val="00D6793D"/>
    <w:rsid w:val="00D714B8"/>
    <w:rsid w:val="00D7634D"/>
    <w:rsid w:val="00D81F69"/>
    <w:rsid w:val="00D837C5"/>
    <w:rsid w:val="00D866C9"/>
    <w:rsid w:val="00D947E1"/>
    <w:rsid w:val="00DA1D72"/>
    <w:rsid w:val="00DA2496"/>
    <w:rsid w:val="00DA5213"/>
    <w:rsid w:val="00DA6408"/>
    <w:rsid w:val="00DA650D"/>
    <w:rsid w:val="00DB309D"/>
    <w:rsid w:val="00DB5E28"/>
    <w:rsid w:val="00DB6B68"/>
    <w:rsid w:val="00DB714D"/>
    <w:rsid w:val="00DC0170"/>
    <w:rsid w:val="00DC0F2F"/>
    <w:rsid w:val="00DC2460"/>
    <w:rsid w:val="00DC2FE4"/>
    <w:rsid w:val="00DC40EF"/>
    <w:rsid w:val="00DC6E2A"/>
    <w:rsid w:val="00DD1E27"/>
    <w:rsid w:val="00DD253E"/>
    <w:rsid w:val="00DD489A"/>
    <w:rsid w:val="00DD51F5"/>
    <w:rsid w:val="00DD5AEB"/>
    <w:rsid w:val="00DE16E3"/>
    <w:rsid w:val="00DE1D36"/>
    <w:rsid w:val="00DE22E2"/>
    <w:rsid w:val="00DE48A2"/>
    <w:rsid w:val="00DE60B4"/>
    <w:rsid w:val="00DE7329"/>
    <w:rsid w:val="00DE7458"/>
    <w:rsid w:val="00DE79CE"/>
    <w:rsid w:val="00DF2935"/>
    <w:rsid w:val="00DF32E2"/>
    <w:rsid w:val="00DF528A"/>
    <w:rsid w:val="00DF5A30"/>
    <w:rsid w:val="00E019DC"/>
    <w:rsid w:val="00E03D97"/>
    <w:rsid w:val="00E06895"/>
    <w:rsid w:val="00E07C3D"/>
    <w:rsid w:val="00E142EC"/>
    <w:rsid w:val="00E143FC"/>
    <w:rsid w:val="00E14569"/>
    <w:rsid w:val="00E21106"/>
    <w:rsid w:val="00E236AC"/>
    <w:rsid w:val="00E253C6"/>
    <w:rsid w:val="00E25652"/>
    <w:rsid w:val="00E2588D"/>
    <w:rsid w:val="00E26DD6"/>
    <w:rsid w:val="00E276EC"/>
    <w:rsid w:val="00E3166F"/>
    <w:rsid w:val="00E34E49"/>
    <w:rsid w:val="00E35E03"/>
    <w:rsid w:val="00E43505"/>
    <w:rsid w:val="00E462D4"/>
    <w:rsid w:val="00E507EA"/>
    <w:rsid w:val="00E560BC"/>
    <w:rsid w:val="00E5751D"/>
    <w:rsid w:val="00E57701"/>
    <w:rsid w:val="00E57A58"/>
    <w:rsid w:val="00E57E84"/>
    <w:rsid w:val="00E61129"/>
    <w:rsid w:val="00E61B3E"/>
    <w:rsid w:val="00E632DB"/>
    <w:rsid w:val="00E63FCB"/>
    <w:rsid w:val="00E66AF9"/>
    <w:rsid w:val="00E66B2E"/>
    <w:rsid w:val="00E67B0F"/>
    <w:rsid w:val="00E7260B"/>
    <w:rsid w:val="00E776A7"/>
    <w:rsid w:val="00E80216"/>
    <w:rsid w:val="00E83462"/>
    <w:rsid w:val="00E85022"/>
    <w:rsid w:val="00E85970"/>
    <w:rsid w:val="00E85D9F"/>
    <w:rsid w:val="00E86BEE"/>
    <w:rsid w:val="00EA5BAD"/>
    <w:rsid w:val="00EA7F93"/>
    <w:rsid w:val="00EB2DD7"/>
    <w:rsid w:val="00EB4BAB"/>
    <w:rsid w:val="00EB59F9"/>
    <w:rsid w:val="00EB721D"/>
    <w:rsid w:val="00EC0AFF"/>
    <w:rsid w:val="00EC128A"/>
    <w:rsid w:val="00EC2573"/>
    <w:rsid w:val="00EC27B5"/>
    <w:rsid w:val="00EC2DE9"/>
    <w:rsid w:val="00EC696D"/>
    <w:rsid w:val="00EC6E00"/>
    <w:rsid w:val="00ED1571"/>
    <w:rsid w:val="00ED3240"/>
    <w:rsid w:val="00ED5099"/>
    <w:rsid w:val="00ED5B3E"/>
    <w:rsid w:val="00EE108C"/>
    <w:rsid w:val="00EE2C52"/>
    <w:rsid w:val="00EE3209"/>
    <w:rsid w:val="00EE484F"/>
    <w:rsid w:val="00EE4D10"/>
    <w:rsid w:val="00EE57E8"/>
    <w:rsid w:val="00EE5873"/>
    <w:rsid w:val="00EE6097"/>
    <w:rsid w:val="00EE7498"/>
    <w:rsid w:val="00EF0085"/>
    <w:rsid w:val="00EF2FA1"/>
    <w:rsid w:val="00EF47D3"/>
    <w:rsid w:val="00F03A6A"/>
    <w:rsid w:val="00F03BFB"/>
    <w:rsid w:val="00F03CB3"/>
    <w:rsid w:val="00F06A1E"/>
    <w:rsid w:val="00F11611"/>
    <w:rsid w:val="00F15D9F"/>
    <w:rsid w:val="00F21325"/>
    <w:rsid w:val="00F213C4"/>
    <w:rsid w:val="00F21D35"/>
    <w:rsid w:val="00F22C20"/>
    <w:rsid w:val="00F233F7"/>
    <w:rsid w:val="00F23FA0"/>
    <w:rsid w:val="00F33A4B"/>
    <w:rsid w:val="00F341BA"/>
    <w:rsid w:val="00F357D0"/>
    <w:rsid w:val="00F41B27"/>
    <w:rsid w:val="00F4397F"/>
    <w:rsid w:val="00F444B9"/>
    <w:rsid w:val="00F50D4F"/>
    <w:rsid w:val="00F56A87"/>
    <w:rsid w:val="00F572D5"/>
    <w:rsid w:val="00F62DF1"/>
    <w:rsid w:val="00F63360"/>
    <w:rsid w:val="00F7122F"/>
    <w:rsid w:val="00F7232D"/>
    <w:rsid w:val="00F76493"/>
    <w:rsid w:val="00F764E8"/>
    <w:rsid w:val="00F77DED"/>
    <w:rsid w:val="00F8181D"/>
    <w:rsid w:val="00F82520"/>
    <w:rsid w:val="00F83A8C"/>
    <w:rsid w:val="00F86B9D"/>
    <w:rsid w:val="00F935BF"/>
    <w:rsid w:val="00F96C5A"/>
    <w:rsid w:val="00FA00E5"/>
    <w:rsid w:val="00FA2380"/>
    <w:rsid w:val="00FA7FB6"/>
    <w:rsid w:val="00FB2274"/>
    <w:rsid w:val="00FB4C21"/>
    <w:rsid w:val="00FB67C9"/>
    <w:rsid w:val="00FB73AA"/>
    <w:rsid w:val="00FC03C1"/>
    <w:rsid w:val="00FC193D"/>
    <w:rsid w:val="00FC274F"/>
    <w:rsid w:val="00FC34AB"/>
    <w:rsid w:val="00FC4001"/>
    <w:rsid w:val="00FC45AB"/>
    <w:rsid w:val="00FD012D"/>
    <w:rsid w:val="00FD4907"/>
    <w:rsid w:val="00FD539F"/>
    <w:rsid w:val="00FD68BD"/>
    <w:rsid w:val="00FE01E2"/>
    <w:rsid w:val="00FE1433"/>
    <w:rsid w:val="00FE14B0"/>
    <w:rsid w:val="00FE24D5"/>
    <w:rsid w:val="00FE4CBA"/>
    <w:rsid w:val="00FE6D36"/>
    <w:rsid w:val="00FE71D1"/>
    <w:rsid w:val="00FF4840"/>
    <w:rsid w:val="00FF5B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BFE121B"/>
  <w15:chartTrackingRefBased/>
  <w15:docId w15:val="{D4295407-B1FF-442A-AF5A-1912ACC4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1738"/>
    <w:pPr>
      <w:keepNext/>
      <w:keepLines/>
      <w:spacing w:before="320" w:after="0" w:line="264" w:lineRule="auto"/>
      <w:outlineLvl w:val="0"/>
    </w:pPr>
    <w:rPr>
      <w:rFonts w:asciiTheme="majorHAnsi" w:eastAsiaTheme="majorEastAsia" w:hAnsiTheme="majorHAnsi" w:cstheme="majorBidi"/>
      <w:color w:val="365F91" w:themeColor="accent1" w:themeShade="BF"/>
      <w:sz w:val="32"/>
    </w:rPr>
  </w:style>
  <w:style w:type="paragraph" w:styleId="Heading2">
    <w:name w:val="heading 2"/>
    <w:basedOn w:val="Normal"/>
    <w:next w:val="Normal"/>
    <w:link w:val="Heading2Char"/>
    <w:uiPriority w:val="9"/>
    <w:unhideWhenUsed/>
    <w:qFormat/>
    <w:rsid w:val="001F1738"/>
    <w:pPr>
      <w:keepNext/>
      <w:keepLines/>
      <w:spacing w:before="80" w:after="0" w:line="264" w:lineRule="auto"/>
      <w:outlineLvl w:val="1"/>
    </w:pPr>
    <w:rPr>
      <w:rFonts w:asciiTheme="majorHAnsi" w:eastAsiaTheme="majorEastAsia" w:hAnsiTheme="majorHAnsi" w:cstheme="majorBidi"/>
      <w:color w:val="404040" w:themeColor="text1" w:themeTint="BF"/>
      <w:sz w:val="28"/>
    </w:rPr>
  </w:style>
  <w:style w:type="paragraph" w:styleId="Heading3">
    <w:name w:val="heading 3"/>
    <w:basedOn w:val="Normal"/>
    <w:next w:val="Normal"/>
    <w:link w:val="Heading3Char"/>
    <w:uiPriority w:val="9"/>
    <w:unhideWhenUsed/>
    <w:qFormat/>
    <w:rsid w:val="001F1738"/>
    <w:pPr>
      <w:keepNext/>
      <w:keepLines/>
      <w:spacing w:before="40" w:after="0" w:line="264" w:lineRule="auto"/>
      <w:outlineLvl w:val="2"/>
    </w:pPr>
    <w:rPr>
      <w:rFonts w:asciiTheme="majorHAnsi" w:eastAsiaTheme="majorEastAsia" w:hAnsiTheme="majorHAnsi" w:cstheme="majorBidi"/>
      <w:color w:val="1F497D" w:themeColor="text2"/>
      <w:sz w:val="24"/>
    </w:rPr>
  </w:style>
  <w:style w:type="paragraph" w:styleId="Heading4">
    <w:name w:val="heading 4"/>
    <w:basedOn w:val="Normal"/>
    <w:next w:val="Normal"/>
    <w:link w:val="Heading4Char"/>
    <w:uiPriority w:val="9"/>
    <w:unhideWhenUsed/>
    <w:qFormat/>
    <w:rsid w:val="001F1738"/>
    <w:pPr>
      <w:keepNext/>
      <w:keepLines/>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1F1738"/>
    <w:pPr>
      <w:keepNext/>
      <w:keepLines/>
      <w:spacing w:before="40" w:after="0" w:line="264" w:lineRule="auto"/>
      <w:outlineLvl w:val="4"/>
    </w:pPr>
    <w:rPr>
      <w:rFonts w:asciiTheme="majorHAnsi" w:eastAsiaTheme="majorEastAsia" w:hAnsiTheme="majorHAnsi" w:cstheme="majorBidi"/>
      <w:color w:val="1F497D" w:themeColor="text2"/>
    </w:rPr>
  </w:style>
  <w:style w:type="paragraph" w:styleId="Heading6">
    <w:name w:val="heading 6"/>
    <w:basedOn w:val="Normal"/>
    <w:next w:val="Normal"/>
    <w:link w:val="Heading6Char"/>
    <w:uiPriority w:val="9"/>
    <w:semiHidden/>
    <w:unhideWhenUsed/>
    <w:qFormat/>
    <w:rsid w:val="001F1738"/>
    <w:pPr>
      <w:keepNext/>
      <w:keepLines/>
      <w:spacing w:before="40" w:after="0" w:line="264" w:lineRule="auto"/>
      <w:outlineLvl w:val="5"/>
    </w:pPr>
    <w:rPr>
      <w:rFonts w:asciiTheme="majorHAnsi" w:eastAsiaTheme="majorEastAsia" w:hAnsiTheme="majorHAnsi" w:cstheme="majorBidi"/>
      <w:i/>
      <w:color w:val="1F497D" w:themeColor="text2"/>
      <w:sz w:val="21"/>
    </w:rPr>
  </w:style>
  <w:style w:type="paragraph" w:styleId="Heading7">
    <w:name w:val="heading 7"/>
    <w:basedOn w:val="Normal"/>
    <w:next w:val="Normal"/>
    <w:link w:val="Heading7Char"/>
    <w:uiPriority w:val="9"/>
    <w:semiHidden/>
    <w:unhideWhenUsed/>
    <w:qFormat/>
    <w:rsid w:val="001F1738"/>
    <w:pPr>
      <w:keepNext/>
      <w:keepLines/>
      <w:spacing w:before="40" w:after="0" w:line="264" w:lineRule="auto"/>
      <w:outlineLvl w:val="6"/>
    </w:pPr>
    <w:rPr>
      <w:rFonts w:asciiTheme="majorHAnsi" w:eastAsiaTheme="majorEastAsia" w:hAnsiTheme="majorHAnsi" w:cstheme="majorBidi"/>
      <w:i/>
      <w:color w:val="244061" w:themeColor="accent1" w:themeShade="80"/>
      <w:sz w:val="21"/>
    </w:rPr>
  </w:style>
  <w:style w:type="paragraph" w:styleId="Heading8">
    <w:name w:val="heading 8"/>
    <w:basedOn w:val="Normal"/>
    <w:next w:val="Normal"/>
    <w:link w:val="Heading8Char"/>
    <w:uiPriority w:val="9"/>
    <w:semiHidden/>
    <w:unhideWhenUsed/>
    <w:qFormat/>
    <w:rsid w:val="001F1738"/>
    <w:pPr>
      <w:keepNext/>
      <w:keepLines/>
      <w:spacing w:before="40" w:after="0" w:line="264" w:lineRule="auto"/>
      <w:outlineLvl w:val="7"/>
    </w:pPr>
    <w:rPr>
      <w:rFonts w:asciiTheme="majorHAnsi" w:eastAsiaTheme="majorEastAsia" w:hAnsiTheme="majorHAnsi" w:cstheme="majorBidi"/>
      <w:b/>
      <w:color w:val="1F497D" w:themeColor="text2"/>
      <w:sz w:val="20"/>
    </w:rPr>
  </w:style>
  <w:style w:type="paragraph" w:styleId="Heading9">
    <w:name w:val="heading 9"/>
    <w:basedOn w:val="Normal"/>
    <w:next w:val="Normal"/>
    <w:link w:val="Heading9Char"/>
    <w:uiPriority w:val="9"/>
    <w:semiHidden/>
    <w:unhideWhenUsed/>
    <w:qFormat/>
    <w:rsid w:val="001F1738"/>
    <w:pPr>
      <w:keepNext/>
      <w:keepLines/>
      <w:spacing w:before="40" w:after="0" w:line="264" w:lineRule="auto"/>
      <w:outlineLvl w:val="8"/>
    </w:pPr>
    <w:rPr>
      <w:rFonts w:asciiTheme="majorHAnsi" w:eastAsiaTheme="majorEastAsia" w:hAnsiTheme="majorHAnsi" w:cstheme="majorBidi"/>
      <w:b/>
      <w:i/>
      <w:color w:val="1F497D" w:themeColor="text2"/>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C619B5"/>
    <w:rPr>
      <w:color w:val="0000FF"/>
      <w:shd w:val="clear" w:color="auto" w:fill="auto"/>
    </w:rPr>
  </w:style>
  <w:style w:type="paragraph" w:styleId="Header">
    <w:name w:val="header"/>
    <w:basedOn w:val="Normal"/>
    <w:link w:val="HeaderChar"/>
    <w:uiPriority w:val="99"/>
    <w:unhideWhenUsed/>
    <w:rsid w:val="00C619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9B5"/>
  </w:style>
  <w:style w:type="paragraph" w:styleId="Footer">
    <w:name w:val="footer"/>
    <w:basedOn w:val="Normal"/>
    <w:link w:val="FooterChar"/>
    <w:uiPriority w:val="99"/>
    <w:unhideWhenUsed/>
    <w:rsid w:val="00C619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9B5"/>
  </w:style>
  <w:style w:type="paragraph" w:customStyle="1" w:styleId="Pagedecouverture">
    <w:name w:val="Page de couverture"/>
    <w:basedOn w:val="Normal"/>
    <w:next w:val="Normal"/>
    <w:uiPriority w:val="1"/>
    <w:rsid w:val="00C619B5"/>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uiPriority w:val="1"/>
    <w:rsid w:val="00C619B5"/>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uiPriority w:val="1"/>
    <w:rsid w:val="00C619B5"/>
    <w:rPr>
      <w:rFonts w:ascii="Times New Roman" w:hAnsi="Times New Roman" w:cs="Times New Roman"/>
      <w:sz w:val="24"/>
    </w:rPr>
  </w:style>
  <w:style w:type="paragraph" w:customStyle="1" w:styleId="FooterSensitivity">
    <w:name w:val="Footer Sensitivity"/>
    <w:basedOn w:val="Normal"/>
    <w:link w:val="FooterSensitivityChar"/>
    <w:uiPriority w:val="1"/>
    <w:rsid w:val="00C619B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uiPriority w:val="1"/>
    <w:rsid w:val="00C619B5"/>
    <w:rPr>
      <w:rFonts w:ascii="Times New Roman" w:hAnsi="Times New Roman" w:cs="Times New Roman"/>
      <w:b/>
      <w:sz w:val="32"/>
    </w:rPr>
  </w:style>
  <w:style w:type="paragraph" w:customStyle="1" w:styleId="HeaderCoverPage">
    <w:name w:val="Header Cover Page"/>
    <w:basedOn w:val="Normal"/>
    <w:link w:val="HeaderCoverPageChar"/>
    <w:uiPriority w:val="1"/>
    <w:rsid w:val="00C619B5"/>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uiPriority w:val="1"/>
    <w:rsid w:val="00C619B5"/>
    <w:rPr>
      <w:rFonts w:ascii="Times New Roman" w:hAnsi="Times New Roman" w:cs="Times New Roman"/>
      <w:sz w:val="24"/>
    </w:rPr>
  </w:style>
  <w:style w:type="paragraph" w:customStyle="1" w:styleId="HeaderSensitivity">
    <w:name w:val="Header Sensitivity"/>
    <w:basedOn w:val="Normal"/>
    <w:link w:val="HeaderSensitivityChar"/>
    <w:uiPriority w:val="1"/>
    <w:rsid w:val="00C619B5"/>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uiPriority w:val="1"/>
    <w:rsid w:val="00C619B5"/>
    <w:rPr>
      <w:rFonts w:ascii="Times New Roman" w:hAnsi="Times New Roman" w:cs="Times New Roman"/>
      <w:b/>
      <w:sz w:val="32"/>
    </w:rPr>
  </w:style>
  <w:style w:type="paragraph" w:customStyle="1" w:styleId="HeaderSensitivityRight">
    <w:name w:val="Header Sensitivity Right"/>
    <w:basedOn w:val="Normal"/>
    <w:link w:val="HeaderSensitivityRightChar"/>
    <w:uiPriority w:val="1"/>
    <w:rsid w:val="00C619B5"/>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uiPriority w:val="1"/>
    <w:rsid w:val="00C619B5"/>
    <w:rPr>
      <w:rFonts w:ascii="Times New Roman" w:hAnsi="Times New Roman" w:cs="Times New Roman"/>
      <w:sz w:val="28"/>
    </w:rPr>
  </w:style>
  <w:style w:type="character" w:customStyle="1" w:styleId="Heading1Char">
    <w:name w:val="Heading 1 Char"/>
    <w:basedOn w:val="DefaultParagraphFont"/>
    <w:link w:val="Heading1"/>
    <w:uiPriority w:val="9"/>
    <w:rsid w:val="001F1738"/>
    <w:rPr>
      <w:rFonts w:asciiTheme="majorHAnsi" w:eastAsiaTheme="majorEastAsia" w:hAnsiTheme="majorHAnsi" w:cstheme="majorBidi"/>
      <w:color w:val="365F91" w:themeColor="accent1" w:themeShade="BF"/>
      <w:sz w:val="32"/>
    </w:rPr>
  </w:style>
  <w:style w:type="character" w:customStyle="1" w:styleId="Heading2Char">
    <w:name w:val="Heading 2 Char"/>
    <w:basedOn w:val="DefaultParagraphFont"/>
    <w:link w:val="Heading2"/>
    <w:uiPriority w:val="9"/>
    <w:rsid w:val="001F1738"/>
    <w:rPr>
      <w:rFonts w:asciiTheme="majorHAnsi" w:eastAsiaTheme="majorEastAsia" w:hAnsiTheme="majorHAnsi" w:cstheme="majorBidi"/>
      <w:color w:val="404040" w:themeColor="text1" w:themeTint="BF"/>
      <w:sz w:val="28"/>
    </w:rPr>
  </w:style>
  <w:style w:type="character" w:customStyle="1" w:styleId="Heading3Char">
    <w:name w:val="Heading 3 Char"/>
    <w:basedOn w:val="DefaultParagraphFont"/>
    <w:link w:val="Heading3"/>
    <w:uiPriority w:val="9"/>
    <w:rsid w:val="001F1738"/>
    <w:rPr>
      <w:rFonts w:asciiTheme="majorHAnsi" w:eastAsiaTheme="majorEastAsia" w:hAnsiTheme="majorHAnsi" w:cstheme="majorBidi"/>
      <w:color w:val="1F497D" w:themeColor="text2"/>
      <w:sz w:val="24"/>
    </w:rPr>
  </w:style>
  <w:style w:type="character" w:customStyle="1" w:styleId="Heading4Char">
    <w:name w:val="Heading 4 Char"/>
    <w:basedOn w:val="DefaultParagraphFont"/>
    <w:link w:val="Heading4"/>
    <w:uiPriority w:val="9"/>
    <w:rsid w:val="001F1738"/>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1F1738"/>
    <w:rPr>
      <w:rFonts w:asciiTheme="majorHAnsi" w:eastAsiaTheme="majorEastAsia" w:hAnsiTheme="majorHAnsi" w:cstheme="majorBidi"/>
      <w:color w:val="1F497D" w:themeColor="text2"/>
    </w:rPr>
  </w:style>
  <w:style w:type="character" w:customStyle="1" w:styleId="Heading6Char">
    <w:name w:val="Heading 6 Char"/>
    <w:basedOn w:val="DefaultParagraphFont"/>
    <w:link w:val="Heading6"/>
    <w:uiPriority w:val="9"/>
    <w:semiHidden/>
    <w:rsid w:val="001F1738"/>
    <w:rPr>
      <w:rFonts w:asciiTheme="majorHAnsi" w:eastAsiaTheme="majorEastAsia" w:hAnsiTheme="majorHAnsi" w:cstheme="majorBidi"/>
      <w:i/>
      <w:color w:val="1F497D" w:themeColor="text2"/>
      <w:sz w:val="21"/>
    </w:rPr>
  </w:style>
  <w:style w:type="character" w:customStyle="1" w:styleId="Heading7Char">
    <w:name w:val="Heading 7 Char"/>
    <w:basedOn w:val="DefaultParagraphFont"/>
    <w:link w:val="Heading7"/>
    <w:uiPriority w:val="9"/>
    <w:semiHidden/>
    <w:rsid w:val="001F1738"/>
    <w:rPr>
      <w:rFonts w:asciiTheme="majorHAnsi" w:eastAsiaTheme="majorEastAsia" w:hAnsiTheme="majorHAnsi" w:cstheme="majorBidi"/>
      <w:i/>
      <w:color w:val="244061" w:themeColor="accent1" w:themeShade="80"/>
      <w:sz w:val="21"/>
    </w:rPr>
  </w:style>
  <w:style w:type="character" w:customStyle="1" w:styleId="Heading8Char">
    <w:name w:val="Heading 8 Char"/>
    <w:basedOn w:val="DefaultParagraphFont"/>
    <w:link w:val="Heading8"/>
    <w:uiPriority w:val="9"/>
    <w:semiHidden/>
    <w:rsid w:val="001F1738"/>
    <w:rPr>
      <w:rFonts w:asciiTheme="majorHAnsi" w:eastAsiaTheme="majorEastAsia" w:hAnsiTheme="majorHAnsi" w:cstheme="majorBidi"/>
      <w:b/>
      <w:color w:val="1F497D" w:themeColor="text2"/>
      <w:sz w:val="20"/>
    </w:rPr>
  </w:style>
  <w:style w:type="character" w:customStyle="1" w:styleId="Heading9Char">
    <w:name w:val="Heading 9 Char"/>
    <w:basedOn w:val="DefaultParagraphFont"/>
    <w:link w:val="Heading9"/>
    <w:uiPriority w:val="9"/>
    <w:semiHidden/>
    <w:rsid w:val="001F1738"/>
    <w:rPr>
      <w:rFonts w:asciiTheme="majorHAnsi" w:eastAsiaTheme="majorEastAsia" w:hAnsiTheme="majorHAnsi" w:cstheme="majorBidi"/>
      <w:b/>
      <w:i/>
      <w:color w:val="1F497D" w:themeColor="text2"/>
      <w:sz w:val="20"/>
    </w:rPr>
  </w:style>
  <w:style w:type="numbering" w:customStyle="1" w:styleId="NoList1">
    <w:name w:val="No List1"/>
    <w:next w:val="NoList"/>
    <w:uiPriority w:val="99"/>
    <w:semiHidden/>
    <w:unhideWhenUsed/>
    <w:rsid w:val="001F1738"/>
  </w:style>
  <w:style w:type="paragraph" w:styleId="ListParagraph">
    <w:name w:val="List Paragraph"/>
    <w:basedOn w:val="Normal"/>
    <w:link w:val="ListParagraphChar"/>
    <w:uiPriority w:val="34"/>
    <w:qFormat/>
    <w:rsid w:val="001F1738"/>
    <w:pPr>
      <w:spacing w:after="120" w:line="264" w:lineRule="auto"/>
      <w:ind w:left="720"/>
      <w:contextualSpacing/>
    </w:pPr>
    <w:rPr>
      <w:rFonts w:eastAsiaTheme="minorEastAsia"/>
      <w:sz w:val="20"/>
    </w:rPr>
  </w:style>
  <w:style w:type="paragraph" w:styleId="BalloonText">
    <w:name w:val="Balloon Text"/>
    <w:basedOn w:val="Normal"/>
    <w:link w:val="BalloonTextChar"/>
    <w:uiPriority w:val="99"/>
    <w:semiHidden/>
    <w:unhideWhenUsed/>
    <w:rsid w:val="001F1738"/>
    <w:pPr>
      <w:spacing w:after="0" w:line="264" w:lineRule="auto"/>
    </w:pPr>
    <w:rPr>
      <w:rFonts w:ascii="Segoe UI" w:eastAsiaTheme="minorEastAsia" w:hAnsi="Segoe UI" w:cs="Segoe UI"/>
      <w:sz w:val="18"/>
    </w:rPr>
  </w:style>
  <w:style w:type="character" w:customStyle="1" w:styleId="BalloonTextChar">
    <w:name w:val="Balloon Text Char"/>
    <w:basedOn w:val="DefaultParagraphFont"/>
    <w:link w:val="BalloonText"/>
    <w:uiPriority w:val="99"/>
    <w:semiHidden/>
    <w:rsid w:val="001F1738"/>
    <w:rPr>
      <w:rFonts w:ascii="Segoe UI" w:eastAsiaTheme="minorEastAsia" w:hAnsi="Segoe UI" w:cs="Segoe UI"/>
      <w:sz w:val="18"/>
    </w:rPr>
  </w:style>
  <w:style w:type="character" w:customStyle="1" w:styleId="apple-tab-span">
    <w:name w:val="apple-tab-span"/>
    <w:basedOn w:val="DefaultParagraphFont"/>
    <w:rsid w:val="001F1738"/>
  </w:style>
  <w:style w:type="character" w:styleId="CommentReference">
    <w:name w:val="annotation reference"/>
    <w:basedOn w:val="DefaultParagraphFont"/>
    <w:uiPriority w:val="99"/>
    <w:unhideWhenUsed/>
    <w:rsid w:val="001F1738"/>
    <w:rPr>
      <w:sz w:val="16"/>
    </w:rPr>
  </w:style>
  <w:style w:type="paragraph" w:styleId="CommentText">
    <w:name w:val="annotation text"/>
    <w:basedOn w:val="Normal"/>
    <w:link w:val="CommentTextChar"/>
    <w:uiPriority w:val="99"/>
    <w:unhideWhenUsed/>
    <w:qFormat/>
    <w:rsid w:val="001F1738"/>
    <w:pPr>
      <w:spacing w:after="120" w:line="264" w:lineRule="auto"/>
    </w:pPr>
    <w:rPr>
      <w:rFonts w:eastAsiaTheme="minorEastAsia"/>
      <w:sz w:val="20"/>
    </w:rPr>
  </w:style>
  <w:style w:type="character" w:customStyle="1" w:styleId="CommentTextChar">
    <w:name w:val="Comment Text Char"/>
    <w:basedOn w:val="DefaultParagraphFont"/>
    <w:link w:val="CommentText"/>
    <w:uiPriority w:val="99"/>
    <w:qFormat/>
    <w:rsid w:val="001F1738"/>
    <w:rPr>
      <w:rFonts w:eastAsiaTheme="minorEastAsia"/>
      <w:sz w:val="20"/>
    </w:rPr>
  </w:style>
  <w:style w:type="paragraph" w:styleId="CommentSubject">
    <w:name w:val="annotation subject"/>
    <w:basedOn w:val="CommentText"/>
    <w:next w:val="CommentText"/>
    <w:link w:val="CommentSubjectChar"/>
    <w:uiPriority w:val="99"/>
    <w:semiHidden/>
    <w:unhideWhenUsed/>
    <w:rsid w:val="001F1738"/>
    <w:rPr>
      <w:b/>
    </w:rPr>
  </w:style>
  <w:style w:type="character" w:customStyle="1" w:styleId="CommentSubjectChar">
    <w:name w:val="Comment Subject Char"/>
    <w:basedOn w:val="CommentTextChar"/>
    <w:link w:val="CommentSubject"/>
    <w:uiPriority w:val="99"/>
    <w:semiHidden/>
    <w:rsid w:val="001F1738"/>
    <w:rPr>
      <w:rFonts w:eastAsiaTheme="minorEastAsia"/>
      <w:b/>
      <w:sz w:val="20"/>
    </w:rPr>
  </w:style>
  <w:style w:type="paragraph" w:styleId="FootnoteText">
    <w:name w:val="footnote text"/>
    <w:basedOn w:val="Normal"/>
    <w:link w:val="FootnoteTextChar"/>
    <w:uiPriority w:val="99"/>
    <w:unhideWhenUsed/>
    <w:qFormat/>
    <w:rsid w:val="001F1738"/>
    <w:pPr>
      <w:spacing w:after="0" w:line="264" w:lineRule="auto"/>
    </w:pPr>
    <w:rPr>
      <w:rFonts w:eastAsiaTheme="minorEastAsia"/>
      <w:sz w:val="20"/>
    </w:rPr>
  </w:style>
  <w:style w:type="character" w:customStyle="1" w:styleId="FootnoteTextChar">
    <w:name w:val="Footnote Text Char"/>
    <w:basedOn w:val="DefaultParagraphFont"/>
    <w:link w:val="FootnoteText"/>
    <w:uiPriority w:val="99"/>
    <w:rsid w:val="001F1738"/>
    <w:rPr>
      <w:rFonts w:eastAsiaTheme="minorEastAsia"/>
      <w:sz w:val="20"/>
    </w:rPr>
  </w:style>
  <w:style w:type="character" w:styleId="FootnoteReference">
    <w:name w:val="footnote reference"/>
    <w:basedOn w:val="DefaultParagraphFont"/>
    <w:link w:val="Odwo0142anieprzypisu"/>
    <w:uiPriority w:val="99"/>
    <w:unhideWhenUsed/>
    <w:qFormat/>
    <w:rsid w:val="001F1738"/>
    <w:rPr>
      <w:vertAlign w:val="superscript"/>
    </w:rPr>
  </w:style>
  <w:style w:type="character" w:styleId="Hyperlink">
    <w:name w:val="Hyperlink"/>
    <w:basedOn w:val="DefaultParagraphFont"/>
    <w:uiPriority w:val="99"/>
    <w:unhideWhenUsed/>
    <w:rsid w:val="001F1738"/>
    <w:rPr>
      <w:color w:val="0000FF" w:themeColor="hyperlink"/>
      <w:u w:val="single"/>
    </w:rPr>
  </w:style>
  <w:style w:type="table" w:styleId="TableGrid">
    <w:name w:val="Table Grid"/>
    <w:basedOn w:val="TableNormal"/>
    <w:uiPriority w:val="59"/>
    <w:rsid w:val="001F1738"/>
    <w:pPr>
      <w:spacing w:after="0" w:line="240" w:lineRule="auto"/>
    </w:pPr>
    <w:rPr>
      <w:rFonts w:eastAsiaTheme="minorEastAs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prboxORANGEdashedbulletlist">
    <w:name w:val="[ampr box ORANGE dashed] bullet list"/>
    <w:basedOn w:val="Normal"/>
    <w:uiPriority w:val="1"/>
    <w:rsid w:val="001F1738"/>
    <w:pPr>
      <w:numPr>
        <w:numId w:val="2"/>
      </w:numPr>
      <w:spacing w:after="120" w:line="264" w:lineRule="auto"/>
      <w:jc w:val="both"/>
    </w:pPr>
    <w:rPr>
      <w:rFonts w:ascii="EC Square Sans Pro" w:eastAsiaTheme="minorEastAsia" w:hAnsi="EC Square Sans Pro" w:cs="Times New Roman"/>
      <w:color w:val="000000" w:themeColor="text1"/>
      <w:sz w:val="20"/>
    </w:rPr>
  </w:style>
  <w:style w:type="character" w:customStyle="1" w:styleId="amprcharBoldBlue">
    <w:name w:val="[ampr char] Bold Blue"/>
    <w:basedOn w:val="DefaultParagraphFont"/>
    <w:uiPriority w:val="1"/>
    <w:rsid w:val="001F1738"/>
    <w:rPr>
      <w:b/>
      <w:color w:val="8064A2"/>
      <w:spacing w:val="1"/>
      <w:bdr w:val="none" w:sz="0" w:space="0" w:color="auto" w:frame="1"/>
    </w:rPr>
  </w:style>
  <w:style w:type="numbering" w:customStyle="1" w:styleId="amprLISTL1-forboxORANGEdashed">
    <w:name w:val="[ampr LIST] L1 - for box ORANGE dashed"/>
    <w:uiPriority w:val="99"/>
    <w:rsid w:val="001F1738"/>
    <w:pPr>
      <w:numPr>
        <w:numId w:val="2"/>
      </w:numPr>
    </w:pPr>
  </w:style>
  <w:style w:type="paragraph" w:styleId="Revision">
    <w:name w:val="Revision"/>
    <w:hidden/>
    <w:uiPriority w:val="99"/>
    <w:semiHidden/>
    <w:rsid w:val="001F1738"/>
    <w:pPr>
      <w:spacing w:after="0" w:line="240" w:lineRule="auto"/>
    </w:pPr>
    <w:rPr>
      <w:rFonts w:eastAsiaTheme="minorEastAsia"/>
      <w:sz w:val="20"/>
    </w:rPr>
  </w:style>
  <w:style w:type="paragraph" w:customStyle="1" w:styleId="Odwo0142anieprzypisu">
    <w:name w:val="Odwo&lt;0142&gt;anie przypisu"/>
    <w:basedOn w:val="Normal"/>
    <w:link w:val="FootnoteReference"/>
    <w:uiPriority w:val="99"/>
    <w:rsid w:val="001F1738"/>
    <w:pPr>
      <w:spacing w:before="120" w:after="160" w:line="240" w:lineRule="exact"/>
      <w:jc w:val="both"/>
    </w:pPr>
    <w:rPr>
      <w:vertAlign w:val="superscript"/>
    </w:rPr>
  </w:style>
  <w:style w:type="character" w:styleId="Strong">
    <w:name w:val="Strong"/>
    <w:basedOn w:val="DefaultParagraphFont"/>
    <w:uiPriority w:val="22"/>
    <w:qFormat/>
    <w:rsid w:val="001F1738"/>
    <w:rPr>
      <w:b/>
    </w:rPr>
  </w:style>
  <w:style w:type="paragraph" w:styleId="NoSpacing">
    <w:name w:val="No Spacing"/>
    <w:link w:val="NoSpacingChar"/>
    <w:uiPriority w:val="1"/>
    <w:qFormat/>
    <w:rsid w:val="001F1738"/>
    <w:pPr>
      <w:spacing w:after="0" w:line="240" w:lineRule="auto"/>
    </w:pPr>
    <w:rPr>
      <w:rFonts w:eastAsiaTheme="minorEastAsia"/>
      <w:sz w:val="20"/>
    </w:rPr>
  </w:style>
  <w:style w:type="character" w:customStyle="1" w:styleId="NoSpacingChar">
    <w:name w:val="No Spacing Char"/>
    <w:basedOn w:val="DefaultParagraphFont"/>
    <w:link w:val="NoSpacing"/>
    <w:uiPriority w:val="1"/>
    <w:rsid w:val="001F1738"/>
    <w:rPr>
      <w:rFonts w:eastAsiaTheme="minorEastAsia"/>
      <w:sz w:val="20"/>
    </w:rPr>
  </w:style>
  <w:style w:type="paragraph" w:customStyle="1" w:styleId="Text1">
    <w:name w:val="Text 1"/>
    <w:basedOn w:val="Normal"/>
    <w:uiPriority w:val="90"/>
    <w:rsid w:val="001F1738"/>
    <w:pPr>
      <w:spacing w:after="240" w:line="264" w:lineRule="auto"/>
      <w:ind w:left="482"/>
      <w:jc w:val="both"/>
    </w:pPr>
    <w:rPr>
      <w:rFonts w:ascii="Times New Roman" w:eastAsia="Times New Roman" w:hAnsi="Times New Roman" w:cs="Times New Roman"/>
      <w:sz w:val="24"/>
    </w:rPr>
  </w:style>
  <w:style w:type="paragraph" w:styleId="NormalWeb">
    <w:name w:val="Normal (Web)"/>
    <w:basedOn w:val="Normal"/>
    <w:uiPriority w:val="99"/>
    <w:unhideWhenUsed/>
    <w:rsid w:val="001F1738"/>
    <w:pPr>
      <w:spacing w:beforeAutospacing="1" w:after="120" w:afterAutospacing="1" w:line="264" w:lineRule="auto"/>
    </w:pPr>
    <w:rPr>
      <w:rFonts w:ascii="Times New Roman" w:eastAsia="Times New Roman" w:hAnsi="Times New Roman" w:cs="Times New Roman"/>
      <w:sz w:val="24"/>
    </w:rPr>
  </w:style>
  <w:style w:type="character" w:customStyle="1" w:styleId="ListParagraphChar">
    <w:name w:val="List Paragraph Char"/>
    <w:link w:val="ListParagraph"/>
    <w:uiPriority w:val="34"/>
    <w:rsid w:val="001F1738"/>
    <w:rPr>
      <w:rFonts w:eastAsiaTheme="minorEastAsia"/>
      <w:sz w:val="20"/>
    </w:rPr>
  </w:style>
  <w:style w:type="character" w:customStyle="1" w:styleId="authors">
    <w:name w:val="authors"/>
    <w:basedOn w:val="DefaultParagraphFont"/>
    <w:rsid w:val="001F1738"/>
  </w:style>
  <w:style w:type="character" w:customStyle="1" w:styleId="arttitle">
    <w:name w:val="art_title"/>
    <w:basedOn w:val="DefaultParagraphFont"/>
    <w:rsid w:val="001F1738"/>
  </w:style>
  <w:style w:type="character" w:customStyle="1" w:styleId="serialtitle">
    <w:name w:val="serial_title"/>
    <w:basedOn w:val="DefaultParagraphFont"/>
    <w:rsid w:val="001F1738"/>
  </w:style>
  <w:style w:type="character" w:customStyle="1" w:styleId="volumeissue">
    <w:name w:val="volume_issue"/>
    <w:basedOn w:val="DefaultParagraphFont"/>
    <w:rsid w:val="001F1738"/>
  </w:style>
  <w:style w:type="character" w:customStyle="1" w:styleId="pagerange">
    <w:name w:val="page_range"/>
    <w:basedOn w:val="DefaultParagraphFont"/>
    <w:rsid w:val="001F1738"/>
  </w:style>
  <w:style w:type="character" w:customStyle="1" w:styleId="doilink">
    <w:name w:val="doi_link"/>
    <w:basedOn w:val="DefaultParagraphFont"/>
    <w:rsid w:val="001F1738"/>
  </w:style>
  <w:style w:type="paragraph" w:customStyle="1" w:styleId="Text2">
    <w:name w:val="Text 2"/>
    <w:basedOn w:val="Normal"/>
    <w:uiPriority w:val="1"/>
    <w:rsid w:val="001F1738"/>
    <w:pPr>
      <w:tabs>
        <w:tab w:val="left" w:pos="2302"/>
      </w:tabs>
      <w:spacing w:after="240" w:line="264" w:lineRule="auto"/>
      <w:ind w:left="1202"/>
      <w:jc w:val="both"/>
    </w:pPr>
    <w:rPr>
      <w:rFonts w:ascii="Times New Roman" w:eastAsia="Times New Roman" w:hAnsi="Times New Roman" w:cs="Times New Roman"/>
      <w:sz w:val="24"/>
    </w:rPr>
  </w:style>
  <w:style w:type="table" w:styleId="GridTable4-Accent1">
    <w:name w:val="Grid Table 4 Accent 1"/>
    <w:basedOn w:val="TableNormal"/>
    <w:uiPriority w:val="49"/>
    <w:rsid w:val="001F1738"/>
    <w:pPr>
      <w:spacing w:after="0" w:line="240" w:lineRule="auto"/>
    </w:pPr>
    <w:rPr>
      <w:rFonts w:eastAsiaTheme="minorEastAsia"/>
      <w:sz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rPr>
      <w:tblPr/>
      <w:tcPr>
        <w:tcBorders>
          <w:top w:val="double" w:sz="4" w:space="0" w:color="4F81BD" w:themeColor="accent1"/>
        </w:tcBorders>
      </w:tcPr>
    </w:tblStylePr>
    <w:tblStylePr w:type="firstCol">
      <w:rPr>
        <w:b/>
      </w:rPr>
    </w:tblStylePr>
    <w:tblStylePr w:type="lastCol">
      <w:rPr>
        <w:b/>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1F1738"/>
    <w:pPr>
      <w:spacing w:after="0" w:line="240" w:lineRule="auto"/>
    </w:pPr>
    <w:rPr>
      <w:rFonts w:eastAsiaTheme="minorEastAsia"/>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FollowedHyperlink">
    <w:name w:val="FollowedHyperlink"/>
    <w:basedOn w:val="DefaultParagraphFont"/>
    <w:uiPriority w:val="99"/>
    <w:semiHidden/>
    <w:unhideWhenUsed/>
    <w:rsid w:val="001F1738"/>
    <w:rPr>
      <w:color w:val="800080" w:themeColor="followedHyperlink"/>
      <w:u w:val="single"/>
    </w:rPr>
  </w:style>
  <w:style w:type="character" w:customStyle="1" w:styleId="italic">
    <w:name w:val="italic"/>
    <w:basedOn w:val="DefaultParagraphFont"/>
    <w:rsid w:val="001F1738"/>
  </w:style>
  <w:style w:type="paragraph" w:customStyle="1" w:styleId="NumPar1">
    <w:name w:val="NumPar 1"/>
    <w:basedOn w:val="Normal"/>
    <w:next w:val="Text1"/>
    <w:uiPriority w:val="1"/>
    <w:rsid w:val="001F1738"/>
    <w:pPr>
      <w:tabs>
        <w:tab w:val="num" w:pos="850"/>
      </w:tabs>
      <w:spacing w:before="120" w:after="120" w:line="264" w:lineRule="auto"/>
      <w:ind w:left="850" w:hanging="850"/>
      <w:jc w:val="both"/>
    </w:pPr>
    <w:rPr>
      <w:rFonts w:ascii="Times New Roman" w:eastAsiaTheme="minorEastAsia" w:hAnsi="Times New Roman" w:cs="Times New Roman"/>
      <w:sz w:val="24"/>
    </w:rPr>
  </w:style>
  <w:style w:type="character" w:customStyle="1" w:styleId="Aucun">
    <w:name w:val="Aucun"/>
    <w:rsid w:val="001F1738"/>
  </w:style>
  <w:style w:type="paragraph" w:customStyle="1" w:styleId="Considrant">
    <w:name w:val="Considérant"/>
    <w:basedOn w:val="Normal"/>
    <w:uiPriority w:val="1"/>
    <w:rsid w:val="001F1738"/>
    <w:pPr>
      <w:numPr>
        <w:numId w:val="3"/>
      </w:numPr>
      <w:spacing w:before="120" w:after="120" w:line="264" w:lineRule="auto"/>
      <w:jc w:val="both"/>
    </w:pPr>
    <w:rPr>
      <w:rFonts w:ascii="Times New Roman" w:eastAsiaTheme="minorEastAsia" w:hAnsi="Times New Roman" w:cs="Times New Roman"/>
      <w:sz w:val="24"/>
    </w:rPr>
  </w:style>
  <w:style w:type="character" w:customStyle="1" w:styleId="highlight">
    <w:name w:val="highlight"/>
    <w:basedOn w:val="DefaultParagraphFont"/>
    <w:rsid w:val="001F1738"/>
  </w:style>
  <w:style w:type="paragraph" w:customStyle="1" w:styleId="Disclaimer">
    <w:name w:val="Disclaimer"/>
    <w:basedOn w:val="Normal"/>
    <w:uiPriority w:val="1"/>
    <w:rsid w:val="001F1738"/>
    <w:pPr>
      <w:spacing w:before="120" w:after="120" w:line="264" w:lineRule="auto"/>
      <w:jc w:val="both"/>
    </w:pPr>
    <w:rPr>
      <w:rFonts w:ascii="Times New Roman" w:eastAsiaTheme="minorEastAsia" w:hAnsi="Times New Roman" w:cs="Times New Roman"/>
      <w:sz w:val="24"/>
    </w:rPr>
  </w:style>
  <w:style w:type="paragraph" w:customStyle="1" w:styleId="SecurityMarking">
    <w:name w:val="SecurityMarking"/>
    <w:basedOn w:val="Normal"/>
    <w:uiPriority w:val="1"/>
    <w:rsid w:val="001F1738"/>
    <w:pPr>
      <w:spacing w:after="0" w:line="264" w:lineRule="auto"/>
      <w:ind w:left="5103"/>
    </w:pPr>
    <w:rPr>
      <w:rFonts w:ascii="Times New Roman" w:eastAsiaTheme="minorEastAsia" w:hAnsi="Times New Roman" w:cs="Times New Roman"/>
      <w:sz w:val="28"/>
    </w:rPr>
  </w:style>
  <w:style w:type="paragraph" w:customStyle="1" w:styleId="DateMarking">
    <w:name w:val="DateMarking"/>
    <w:basedOn w:val="Normal"/>
    <w:uiPriority w:val="1"/>
    <w:rsid w:val="001F1738"/>
    <w:pPr>
      <w:spacing w:after="0" w:line="264" w:lineRule="auto"/>
      <w:ind w:left="5103"/>
    </w:pPr>
    <w:rPr>
      <w:rFonts w:ascii="Times New Roman" w:eastAsiaTheme="minorEastAsia" w:hAnsi="Times New Roman" w:cs="Times New Roman"/>
      <w:i/>
      <w:sz w:val="28"/>
    </w:rPr>
  </w:style>
  <w:style w:type="paragraph" w:customStyle="1" w:styleId="ReleasableTo">
    <w:name w:val="ReleasableTo"/>
    <w:basedOn w:val="Normal"/>
    <w:uiPriority w:val="1"/>
    <w:rsid w:val="001F1738"/>
    <w:pPr>
      <w:spacing w:after="0" w:line="264" w:lineRule="auto"/>
      <w:ind w:left="5103"/>
    </w:pPr>
    <w:rPr>
      <w:rFonts w:ascii="Times New Roman" w:eastAsiaTheme="minorEastAsia" w:hAnsi="Times New Roman" w:cs="Times New Roman"/>
      <w:i/>
      <w:sz w:val="28"/>
    </w:rPr>
  </w:style>
  <w:style w:type="character" w:styleId="Emphasis">
    <w:name w:val="Emphasis"/>
    <w:basedOn w:val="DefaultParagraphFont"/>
    <w:uiPriority w:val="20"/>
    <w:qFormat/>
    <w:rsid w:val="001F1738"/>
    <w:rPr>
      <w:i/>
    </w:rPr>
  </w:style>
  <w:style w:type="paragraph" w:customStyle="1" w:styleId="ListDash1">
    <w:name w:val="List Dash 1"/>
    <w:basedOn w:val="Text1"/>
    <w:uiPriority w:val="1"/>
    <w:rsid w:val="001F1738"/>
    <w:pPr>
      <w:numPr>
        <w:numId w:val="4"/>
      </w:numPr>
    </w:pPr>
  </w:style>
  <w:style w:type="paragraph" w:customStyle="1" w:styleId="Appelnotedebasdep1">
    <w:name w:val="Appel note de bas de p.1"/>
    <w:basedOn w:val="Normal"/>
    <w:uiPriority w:val="99"/>
    <w:rsid w:val="001F1738"/>
    <w:pPr>
      <w:spacing w:after="160" w:line="240" w:lineRule="exact"/>
    </w:pPr>
    <w:rPr>
      <w:rFonts w:eastAsiaTheme="minorEastAsia"/>
      <w:sz w:val="20"/>
      <w:vertAlign w:val="superscript"/>
    </w:rPr>
  </w:style>
  <w:style w:type="paragraph" w:customStyle="1" w:styleId="Briefinglist2">
    <w:name w:val="Briefing list 2"/>
    <w:basedOn w:val="Normal"/>
    <w:link w:val="Briefinglist2Char"/>
    <w:uiPriority w:val="99"/>
    <w:rsid w:val="001F1738"/>
    <w:pPr>
      <w:numPr>
        <w:numId w:val="5"/>
      </w:numPr>
      <w:spacing w:after="120" w:line="264" w:lineRule="auto"/>
      <w:jc w:val="both"/>
    </w:pPr>
    <w:rPr>
      <w:rFonts w:ascii="Arial" w:eastAsia="Times New Roman" w:hAnsi="Arial" w:cs="Times New Roman"/>
      <w:sz w:val="20"/>
    </w:rPr>
  </w:style>
  <w:style w:type="character" w:customStyle="1" w:styleId="Briefinglist2Char">
    <w:name w:val="Briefing list 2 Char"/>
    <w:basedOn w:val="DefaultParagraphFont"/>
    <w:link w:val="Briefinglist2"/>
    <w:uiPriority w:val="99"/>
    <w:rsid w:val="001F1738"/>
    <w:rPr>
      <w:rFonts w:ascii="Arial" w:eastAsia="Times New Roman" w:hAnsi="Arial" w:cs="Times New Roman"/>
      <w:sz w:val="20"/>
    </w:rPr>
  </w:style>
  <w:style w:type="paragraph" w:customStyle="1" w:styleId="Briefinglist1">
    <w:name w:val="Briefing list 1"/>
    <w:basedOn w:val="Normal"/>
    <w:link w:val="Briefinglist1Char"/>
    <w:uiPriority w:val="1"/>
    <w:rsid w:val="001F1738"/>
    <w:pPr>
      <w:keepLines/>
      <w:numPr>
        <w:numId w:val="6"/>
      </w:numPr>
      <w:spacing w:after="120" w:line="264" w:lineRule="auto"/>
      <w:jc w:val="both"/>
    </w:pPr>
    <w:rPr>
      <w:rFonts w:ascii="Arial" w:eastAsia="Times New Roman" w:hAnsi="Arial" w:cs="Times New Roman"/>
      <w:sz w:val="20"/>
    </w:rPr>
  </w:style>
  <w:style w:type="character" w:customStyle="1" w:styleId="Briefinglist1Char">
    <w:name w:val="Briefing list 1 Char"/>
    <w:basedOn w:val="DefaultParagraphFont"/>
    <w:link w:val="Briefinglist1"/>
    <w:uiPriority w:val="1"/>
    <w:rsid w:val="001F1738"/>
    <w:rPr>
      <w:rFonts w:ascii="Arial" w:eastAsia="Times New Roman" w:hAnsi="Arial" w:cs="Times New Roman"/>
      <w:sz w:val="20"/>
    </w:rPr>
  </w:style>
  <w:style w:type="paragraph" w:customStyle="1" w:styleId="Briefingtext">
    <w:name w:val="Briefing text"/>
    <w:basedOn w:val="Normal"/>
    <w:link w:val="BriefingtextChar"/>
    <w:uiPriority w:val="99"/>
    <w:rsid w:val="001F1738"/>
    <w:pPr>
      <w:spacing w:after="120" w:line="264" w:lineRule="auto"/>
      <w:jc w:val="both"/>
    </w:pPr>
    <w:rPr>
      <w:rFonts w:ascii="Arial" w:eastAsia="Times New Roman" w:hAnsi="Arial" w:cs="Arial"/>
      <w:sz w:val="20"/>
    </w:rPr>
  </w:style>
  <w:style w:type="character" w:customStyle="1" w:styleId="BriefingtextChar">
    <w:name w:val="Briefing text Char"/>
    <w:link w:val="Briefingtext"/>
    <w:uiPriority w:val="99"/>
    <w:rsid w:val="001F1738"/>
    <w:rPr>
      <w:rFonts w:ascii="Arial" w:eastAsia="Times New Roman" w:hAnsi="Arial" w:cs="Arial"/>
      <w:sz w:val="20"/>
    </w:rPr>
  </w:style>
  <w:style w:type="character" w:customStyle="1" w:styleId="Mention1">
    <w:name w:val="Mention1"/>
    <w:basedOn w:val="DefaultParagraphFont"/>
    <w:uiPriority w:val="99"/>
    <w:unhideWhenUsed/>
    <w:rsid w:val="001F1738"/>
    <w:rPr>
      <w:color w:val="2B579A"/>
      <w:shd w:val="clear" w:color="auto" w:fill="E6E6E6"/>
    </w:rPr>
  </w:style>
  <w:style w:type="paragraph" w:customStyle="1" w:styleId="CharCharChar">
    <w:name w:val="Char Char Char"/>
    <w:basedOn w:val="Normal"/>
    <w:uiPriority w:val="99"/>
    <w:rsid w:val="001F1738"/>
    <w:pPr>
      <w:spacing w:after="160" w:line="240" w:lineRule="exact"/>
    </w:pPr>
    <w:rPr>
      <w:rFonts w:eastAsiaTheme="minorEastAsia"/>
      <w:sz w:val="20"/>
      <w:vertAlign w:val="superscript"/>
    </w:rPr>
  </w:style>
  <w:style w:type="paragraph" w:customStyle="1" w:styleId="LegalNumPar">
    <w:name w:val="LegalNumPar"/>
    <w:basedOn w:val="Normal"/>
    <w:uiPriority w:val="1"/>
    <w:rsid w:val="001F1738"/>
    <w:pPr>
      <w:numPr>
        <w:numId w:val="7"/>
      </w:numPr>
      <w:spacing w:after="120" w:line="264" w:lineRule="auto"/>
    </w:pPr>
    <w:rPr>
      <w:rFonts w:eastAsiaTheme="minorEastAsia"/>
      <w:sz w:val="24"/>
    </w:rPr>
  </w:style>
  <w:style w:type="paragraph" w:customStyle="1" w:styleId="LegalNumPar2">
    <w:name w:val="LegalNumPar2"/>
    <w:basedOn w:val="Normal"/>
    <w:uiPriority w:val="1"/>
    <w:rsid w:val="001F1738"/>
    <w:pPr>
      <w:numPr>
        <w:ilvl w:val="1"/>
        <w:numId w:val="7"/>
      </w:numPr>
      <w:spacing w:after="120" w:line="264" w:lineRule="auto"/>
    </w:pPr>
    <w:rPr>
      <w:rFonts w:eastAsiaTheme="minorEastAsia"/>
      <w:sz w:val="24"/>
    </w:rPr>
  </w:style>
  <w:style w:type="paragraph" w:customStyle="1" w:styleId="LegalNumPar3">
    <w:name w:val="LegalNumPar3"/>
    <w:basedOn w:val="Normal"/>
    <w:uiPriority w:val="1"/>
    <w:rsid w:val="001F1738"/>
    <w:pPr>
      <w:numPr>
        <w:ilvl w:val="2"/>
        <w:numId w:val="7"/>
      </w:numPr>
      <w:spacing w:after="120" w:line="264" w:lineRule="auto"/>
    </w:pPr>
    <w:rPr>
      <w:rFonts w:eastAsiaTheme="minorEastAsia"/>
      <w:sz w:val="24"/>
    </w:rPr>
  </w:style>
  <w:style w:type="character" w:customStyle="1" w:styleId="UnresolvedMention1">
    <w:name w:val="Unresolved Mention1"/>
    <w:basedOn w:val="DefaultParagraphFont"/>
    <w:uiPriority w:val="99"/>
    <w:semiHidden/>
    <w:unhideWhenUsed/>
    <w:rsid w:val="001F1738"/>
    <w:rPr>
      <w:color w:val="605E5C"/>
      <w:shd w:val="clear" w:color="auto" w:fill="E1DFDD"/>
    </w:rPr>
  </w:style>
  <w:style w:type="paragraph" w:customStyle="1" w:styleId="Body">
    <w:name w:val="Body"/>
    <w:basedOn w:val="Normal"/>
    <w:uiPriority w:val="99"/>
    <w:rsid w:val="001F1738"/>
    <w:pPr>
      <w:spacing w:after="0" w:line="264" w:lineRule="auto"/>
      <w:jc w:val="both"/>
    </w:pPr>
    <w:rPr>
      <w:rFonts w:ascii="Verdana" w:eastAsiaTheme="minorEastAsia" w:hAnsi="Verdana" w:cs="Times New Roman"/>
      <w:color w:val="333333"/>
      <w:sz w:val="20"/>
    </w:rPr>
  </w:style>
  <w:style w:type="paragraph" w:customStyle="1" w:styleId="Default">
    <w:name w:val="Default"/>
    <w:rsid w:val="001F1738"/>
    <w:pPr>
      <w:autoSpaceDE w:val="0"/>
      <w:autoSpaceDN w:val="0"/>
      <w:adjustRightInd w:val="0"/>
      <w:spacing w:after="0" w:line="240" w:lineRule="auto"/>
    </w:pPr>
    <w:rPr>
      <w:rFonts w:ascii="Open Sans" w:eastAsiaTheme="minorEastAsia" w:hAnsi="Open Sans" w:cs="Open Sans"/>
      <w:sz w:val="24"/>
    </w:rPr>
  </w:style>
  <w:style w:type="paragraph" w:customStyle="1" w:styleId="font-copy">
    <w:name w:val="font-copy"/>
    <w:basedOn w:val="Normal"/>
    <w:uiPriority w:val="1"/>
    <w:rsid w:val="001F1738"/>
    <w:pPr>
      <w:spacing w:beforeAutospacing="1" w:after="120" w:afterAutospacing="1" w:line="264" w:lineRule="auto"/>
    </w:pPr>
    <w:rPr>
      <w:rFonts w:ascii="Times New Roman" w:eastAsia="Times New Roman" w:hAnsi="Times New Roman" w:cs="Times New Roman"/>
      <w:sz w:val="24"/>
    </w:rPr>
  </w:style>
  <w:style w:type="paragraph" w:customStyle="1" w:styleId="dcr-xry7m2">
    <w:name w:val="dcr-xry7m2"/>
    <w:basedOn w:val="Normal"/>
    <w:uiPriority w:val="1"/>
    <w:rsid w:val="001F1738"/>
    <w:pPr>
      <w:spacing w:beforeAutospacing="1" w:after="120" w:afterAutospacing="1" w:line="264" w:lineRule="auto"/>
    </w:pPr>
    <w:rPr>
      <w:rFonts w:ascii="Times New Roman" w:eastAsia="Times New Roman" w:hAnsi="Times New Roman" w:cs="Times New Roman"/>
      <w:sz w:val="24"/>
    </w:rPr>
  </w:style>
  <w:style w:type="character" w:customStyle="1" w:styleId="BodytextAgencyChar">
    <w:name w:val="Body text (Agency) Char"/>
    <w:link w:val="BodytextAgency"/>
    <w:uiPriority w:val="1"/>
    <w:rsid w:val="001F1738"/>
    <w:rPr>
      <w:rFonts w:ascii="Verdana" w:eastAsia="Verdana" w:hAnsi="Verdana"/>
      <w:sz w:val="18"/>
    </w:rPr>
  </w:style>
  <w:style w:type="paragraph" w:customStyle="1" w:styleId="BodytextAgency">
    <w:name w:val="Body text (Agency)"/>
    <w:basedOn w:val="Normal"/>
    <w:link w:val="BodytextAgencyChar"/>
    <w:uiPriority w:val="1"/>
    <w:rsid w:val="001F1738"/>
    <w:pPr>
      <w:spacing w:after="140" w:line="280" w:lineRule="atLeast"/>
    </w:pPr>
    <w:rPr>
      <w:rFonts w:ascii="Verdana" w:eastAsia="Verdana" w:hAnsi="Verdana"/>
      <w:sz w:val="18"/>
    </w:rPr>
  </w:style>
  <w:style w:type="paragraph" w:customStyle="1" w:styleId="EC-Para">
    <w:name w:val="EC-Para"/>
    <w:link w:val="EC-ParaCharChar"/>
    <w:rsid w:val="001F1738"/>
    <w:pPr>
      <w:kinsoku w:val="0"/>
      <w:autoSpaceDE w:val="0"/>
      <w:autoSpaceDN w:val="0"/>
      <w:adjustRightInd w:val="0"/>
      <w:spacing w:after="120" w:line="240" w:lineRule="auto"/>
    </w:pPr>
    <w:rPr>
      <w:rFonts w:ascii="Tahoma" w:eastAsia="Arial Unicode MS" w:hAnsi="Tahoma" w:cs="Times New Roman"/>
      <w:kern w:val="22"/>
      <w:sz w:val="18"/>
    </w:rPr>
  </w:style>
  <w:style w:type="character" w:customStyle="1" w:styleId="EC-ParaCharChar">
    <w:name w:val="EC-Para Char Char"/>
    <w:basedOn w:val="DefaultParagraphFont"/>
    <w:link w:val="EC-Para"/>
    <w:rsid w:val="001F1738"/>
    <w:rPr>
      <w:rFonts w:ascii="Tahoma" w:eastAsia="Arial Unicode MS" w:hAnsi="Tahoma" w:cs="Times New Roman"/>
      <w:kern w:val="22"/>
      <w:sz w:val="18"/>
    </w:rPr>
  </w:style>
  <w:style w:type="paragraph" w:styleId="EndnoteText">
    <w:name w:val="endnote text"/>
    <w:basedOn w:val="Normal"/>
    <w:link w:val="EndnoteTextChar"/>
    <w:uiPriority w:val="99"/>
    <w:semiHidden/>
    <w:unhideWhenUsed/>
    <w:rsid w:val="001F1738"/>
    <w:pPr>
      <w:spacing w:after="0" w:line="264" w:lineRule="auto"/>
    </w:pPr>
    <w:rPr>
      <w:rFonts w:eastAsiaTheme="minorEastAsia"/>
      <w:sz w:val="20"/>
    </w:rPr>
  </w:style>
  <w:style w:type="character" w:customStyle="1" w:styleId="EndnoteTextChar">
    <w:name w:val="Endnote Text Char"/>
    <w:basedOn w:val="DefaultParagraphFont"/>
    <w:link w:val="EndnoteText"/>
    <w:uiPriority w:val="99"/>
    <w:semiHidden/>
    <w:rsid w:val="001F1738"/>
    <w:rPr>
      <w:rFonts w:eastAsiaTheme="minorEastAsia"/>
      <w:sz w:val="20"/>
    </w:rPr>
  </w:style>
  <w:style w:type="character" w:styleId="EndnoteReference">
    <w:name w:val="endnote reference"/>
    <w:basedOn w:val="DefaultParagraphFont"/>
    <w:uiPriority w:val="99"/>
    <w:semiHidden/>
    <w:unhideWhenUsed/>
    <w:rsid w:val="001F1738"/>
    <w:rPr>
      <w:vertAlign w:val="superscript"/>
    </w:rPr>
  </w:style>
  <w:style w:type="paragraph" w:customStyle="1" w:styleId="paragraph">
    <w:name w:val="paragraph"/>
    <w:basedOn w:val="Normal"/>
    <w:rsid w:val="001F1738"/>
    <w:pPr>
      <w:spacing w:beforeAutospacing="1" w:after="120" w:afterAutospacing="1" w:line="264" w:lineRule="auto"/>
    </w:pPr>
    <w:rPr>
      <w:rFonts w:ascii="Calibri" w:eastAsiaTheme="minorEastAsia" w:hAnsi="Calibri" w:cs="Calibri"/>
      <w:sz w:val="20"/>
    </w:rPr>
  </w:style>
  <w:style w:type="character" w:customStyle="1" w:styleId="normaltextrun">
    <w:name w:val="normaltextrun"/>
    <w:basedOn w:val="DefaultParagraphFont"/>
    <w:rsid w:val="001F1738"/>
  </w:style>
  <w:style w:type="character" w:customStyle="1" w:styleId="cf01">
    <w:name w:val="cf01"/>
    <w:basedOn w:val="DefaultParagraphFont"/>
    <w:rsid w:val="001F1738"/>
    <w:rPr>
      <w:rFonts w:ascii="Segoe UI" w:hAnsi="Segoe UI" w:cs="Segoe UI" w:hint="default"/>
      <w:sz w:val="18"/>
    </w:rPr>
  </w:style>
  <w:style w:type="character" w:customStyle="1" w:styleId="footnotereference0">
    <w:name w:val="footnotereference"/>
    <w:basedOn w:val="DefaultParagraphFont"/>
    <w:rsid w:val="001F1738"/>
  </w:style>
  <w:style w:type="character" w:customStyle="1" w:styleId="UnresolvedMention2">
    <w:name w:val="Unresolved Mention2"/>
    <w:basedOn w:val="DefaultParagraphFont"/>
    <w:uiPriority w:val="99"/>
    <w:semiHidden/>
    <w:unhideWhenUsed/>
    <w:rsid w:val="001F1738"/>
    <w:rPr>
      <w:color w:val="605E5C"/>
      <w:shd w:val="clear" w:color="auto" w:fill="E1DFDD"/>
    </w:rPr>
  </w:style>
  <w:style w:type="paragraph" w:styleId="TOC1">
    <w:name w:val="toc 1"/>
    <w:basedOn w:val="Normal"/>
    <w:next w:val="Normal"/>
    <w:uiPriority w:val="39"/>
    <w:unhideWhenUsed/>
    <w:rsid w:val="001F1738"/>
    <w:pPr>
      <w:spacing w:after="100" w:line="264" w:lineRule="auto"/>
    </w:pPr>
    <w:rPr>
      <w:rFonts w:eastAsiaTheme="minorEastAsia"/>
      <w:sz w:val="20"/>
    </w:rPr>
  </w:style>
  <w:style w:type="paragraph" w:styleId="Caption">
    <w:name w:val="caption"/>
    <w:basedOn w:val="Normal"/>
    <w:next w:val="Normal"/>
    <w:uiPriority w:val="35"/>
    <w:semiHidden/>
    <w:unhideWhenUsed/>
    <w:qFormat/>
    <w:rsid w:val="001F1738"/>
    <w:pPr>
      <w:spacing w:after="120" w:line="264" w:lineRule="auto"/>
    </w:pPr>
    <w:rPr>
      <w:rFonts w:eastAsiaTheme="minorEastAsia"/>
      <w:b/>
      <w:smallCaps/>
      <w:color w:val="595959" w:themeColor="text1" w:themeTint="A6"/>
      <w:sz w:val="20"/>
    </w:rPr>
  </w:style>
  <w:style w:type="paragraph" w:styleId="Title">
    <w:name w:val="Title"/>
    <w:basedOn w:val="Normal"/>
    <w:next w:val="Normal"/>
    <w:link w:val="TitleChar"/>
    <w:uiPriority w:val="10"/>
    <w:qFormat/>
    <w:rsid w:val="001F1738"/>
    <w:pPr>
      <w:spacing w:after="0" w:line="264" w:lineRule="auto"/>
      <w:contextualSpacing/>
    </w:pPr>
    <w:rPr>
      <w:rFonts w:asciiTheme="majorHAnsi" w:eastAsiaTheme="majorEastAsia" w:hAnsiTheme="majorHAnsi" w:cstheme="majorBidi"/>
      <w:color w:val="4F81BD" w:themeColor="accent1"/>
      <w:sz w:val="56"/>
    </w:rPr>
  </w:style>
  <w:style w:type="character" w:customStyle="1" w:styleId="TitleChar">
    <w:name w:val="Title Char"/>
    <w:basedOn w:val="DefaultParagraphFont"/>
    <w:link w:val="Title"/>
    <w:uiPriority w:val="10"/>
    <w:rsid w:val="001F1738"/>
    <w:rPr>
      <w:rFonts w:asciiTheme="majorHAnsi" w:eastAsiaTheme="majorEastAsia" w:hAnsiTheme="majorHAnsi" w:cstheme="majorBidi"/>
      <w:color w:val="4F81BD" w:themeColor="accent1"/>
      <w:sz w:val="56"/>
    </w:rPr>
  </w:style>
  <w:style w:type="paragraph" w:styleId="Subtitle">
    <w:name w:val="Subtitle"/>
    <w:basedOn w:val="Normal"/>
    <w:next w:val="Normal"/>
    <w:link w:val="SubtitleChar"/>
    <w:uiPriority w:val="11"/>
    <w:qFormat/>
    <w:rsid w:val="001F1738"/>
    <w:pPr>
      <w:spacing w:after="120" w:line="264" w:lineRule="auto"/>
    </w:pPr>
    <w:rPr>
      <w:rFonts w:asciiTheme="majorHAnsi" w:eastAsiaTheme="majorEastAsia" w:hAnsiTheme="majorHAnsi" w:cstheme="majorBidi"/>
      <w:sz w:val="24"/>
    </w:rPr>
  </w:style>
  <w:style w:type="character" w:customStyle="1" w:styleId="SubtitleChar">
    <w:name w:val="Subtitle Char"/>
    <w:basedOn w:val="DefaultParagraphFont"/>
    <w:link w:val="Subtitle"/>
    <w:uiPriority w:val="11"/>
    <w:rsid w:val="001F1738"/>
    <w:rPr>
      <w:rFonts w:asciiTheme="majorHAnsi" w:eastAsiaTheme="majorEastAsia" w:hAnsiTheme="majorHAnsi" w:cstheme="majorBidi"/>
      <w:sz w:val="24"/>
    </w:rPr>
  </w:style>
  <w:style w:type="paragraph" w:styleId="Quote">
    <w:name w:val="Quote"/>
    <w:basedOn w:val="Normal"/>
    <w:next w:val="Normal"/>
    <w:link w:val="QuoteChar"/>
    <w:uiPriority w:val="29"/>
    <w:qFormat/>
    <w:rsid w:val="001F1738"/>
    <w:pPr>
      <w:spacing w:before="160" w:after="120" w:line="264" w:lineRule="auto"/>
      <w:ind w:left="720" w:right="720"/>
    </w:pPr>
    <w:rPr>
      <w:rFonts w:eastAsiaTheme="minorEastAsia"/>
      <w:i/>
      <w:color w:val="404040" w:themeColor="text1" w:themeTint="BF"/>
      <w:sz w:val="20"/>
    </w:rPr>
  </w:style>
  <w:style w:type="character" w:customStyle="1" w:styleId="QuoteChar">
    <w:name w:val="Quote Char"/>
    <w:basedOn w:val="DefaultParagraphFont"/>
    <w:link w:val="Quote"/>
    <w:uiPriority w:val="29"/>
    <w:rsid w:val="001F1738"/>
    <w:rPr>
      <w:rFonts w:eastAsiaTheme="minorEastAsia"/>
      <w:i/>
      <w:color w:val="404040" w:themeColor="text1" w:themeTint="BF"/>
      <w:sz w:val="20"/>
    </w:rPr>
  </w:style>
  <w:style w:type="paragraph" w:styleId="IntenseQuote">
    <w:name w:val="Intense Quote"/>
    <w:basedOn w:val="Normal"/>
    <w:next w:val="Normal"/>
    <w:link w:val="IntenseQuoteChar"/>
    <w:uiPriority w:val="30"/>
    <w:qFormat/>
    <w:rsid w:val="001F1738"/>
    <w:pPr>
      <w:spacing w:beforeAutospacing="1" w:after="120" w:line="264" w:lineRule="auto"/>
      <w:ind w:left="1224" w:right="1224"/>
    </w:pPr>
    <w:rPr>
      <w:rFonts w:asciiTheme="majorHAnsi" w:eastAsiaTheme="majorEastAsia" w:hAnsiTheme="majorHAnsi" w:cstheme="majorBidi"/>
      <w:color w:val="4F81BD" w:themeColor="accent1"/>
      <w:sz w:val="28"/>
    </w:rPr>
  </w:style>
  <w:style w:type="character" w:customStyle="1" w:styleId="IntenseQuoteChar">
    <w:name w:val="Intense Quote Char"/>
    <w:basedOn w:val="DefaultParagraphFont"/>
    <w:link w:val="IntenseQuote"/>
    <w:uiPriority w:val="30"/>
    <w:rsid w:val="001F1738"/>
    <w:rPr>
      <w:rFonts w:asciiTheme="majorHAnsi" w:eastAsiaTheme="majorEastAsia" w:hAnsiTheme="majorHAnsi" w:cstheme="majorBidi"/>
      <w:color w:val="4F81BD" w:themeColor="accent1"/>
      <w:sz w:val="28"/>
    </w:rPr>
  </w:style>
  <w:style w:type="character" w:styleId="SubtleEmphasis">
    <w:name w:val="Subtle Emphasis"/>
    <w:basedOn w:val="DefaultParagraphFont"/>
    <w:uiPriority w:val="19"/>
    <w:qFormat/>
    <w:rsid w:val="001F1738"/>
    <w:rPr>
      <w:i/>
      <w:color w:val="404040" w:themeColor="text1" w:themeTint="BF"/>
    </w:rPr>
  </w:style>
  <w:style w:type="character" w:styleId="IntenseEmphasis">
    <w:name w:val="Intense Emphasis"/>
    <w:basedOn w:val="DefaultParagraphFont"/>
    <w:uiPriority w:val="21"/>
    <w:qFormat/>
    <w:rsid w:val="001F1738"/>
    <w:rPr>
      <w:b/>
      <w:i/>
    </w:rPr>
  </w:style>
  <w:style w:type="character" w:styleId="SubtleReference">
    <w:name w:val="Subtle Reference"/>
    <w:basedOn w:val="DefaultParagraphFont"/>
    <w:uiPriority w:val="31"/>
    <w:qFormat/>
    <w:rsid w:val="001F173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F1738"/>
    <w:rPr>
      <w:b/>
      <w:smallCaps/>
      <w:spacing w:val="5"/>
      <w:u w:val="single"/>
    </w:rPr>
  </w:style>
  <w:style w:type="character" w:styleId="BookTitle">
    <w:name w:val="Book Title"/>
    <w:basedOn w:val="DefaultParagraphFont"/>
    <w:uiPriority w:val="33"/>
    <w:qFormat/>
    <w:rsid w:val="001F1738"/>
    <w:rPr>
      <w:b/>
      <w:smallCaps/>
    </w:rPr>
  </w:style>
  <w:style w:type="paragraph" w:styleId="TOCHeading">
    <w:name w:val="TOC Heading"/>
    <w:basedOn w:val="Heading1"/>
    <w:next w:val="Normal"/>
    <w:uiPriority w:val="39"/>
    <w:unhideWhenUsed/>
    <w:qFormat/>
    <w:rsid w:val="001F1738"/>
  </w:style>
  <w:style w:type="paragraph" w:customStyle="1" w:styleId="Chaptertitle">
    <w:name w:val="Chapter title"/>
    <w:basedOn w:val="ListParagraph"/>
    <w:link w:val="ChaptertitleChar"/>
    <w:uiPriority w:val="1"/>
    <w:rsid w:val="001F1738"/>
    <w:pPr>
      <w:keepNext/>
      <w:numPr>
        <w:numId w:val="1"/>
      </w:numPr>
      <w:spacing w:before="360"/>
      <w:jc w:val="both"/>
    </w:pPr>
    <w:rPr>
      <w:rFonts w:ascii="Times New Roman" w:hAnsi="Times New Roman" w:cs="Times New Roman"/>
      <w:b/>
      <w:sz w:val="24"/>
    </w:rPr>
  </w:style>
  <w:style w:type="table" w:styleId="GridTable4-Accent5">
    <w:name w:val="Grid Table 4 Accent 5"/>
    <w:basedOn w:val="TableNormal"/>
    <w:uiPriority w:val="49"/>
    <w:rsid w:val="001F173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rPr>
      <w:tblPr/>
      <w:tcPr>
        <w:tcBorders>
          <w:top w:val="double" w:sz="4" w:space="0" w:color="4BACC6" w:themeColor="accent5"/>
        </w:tcBorders>
      </w:tcPr>
    </w:tblStylePr>
    <w:tblStylePr w:type="firstCol">
      <w:rPr>
        <w:b/>
      </w:rPr>
    </w:tblStylePr>
    <w:tblStylePr w:type="lastCol">
      <w:rPr>
        <w:b/>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ChaptertitleChar">
    <w:name w:val="Chapter title Char"/>
    <w:basedOn w:val="ListParagraphChar"/>
    <w:link w:val="Chaptertitle"/>
    <w:uiPriority w:val="1"/>
    <w:rsid w:val="001F1738"/>
    <w:rPr>
      <w:rFonts w:ascii="Times New Roman" w:eastAsiaTheme="minorEastAsia" w:hAnsi="Times New Roman" w:cs="Times New Roman"/>
      <w:b/>
      <w:sz w:val="24"/>
    </w:rPr>
  </w:style>
  <w:style w:type="paragraph" w:styleId="BodyText">
    <w:name w:val="Body Text"/>
    <w:basedOn w:val="Normal"/>
    <w:link w:val="BodyTextChar"/>
    <w:uiPriority w:val="1"/>
    <w:qFormat/>
    <w:rsid w:val="001F1738"/>
    <w:pPr>
      <w:widowControl w:val="0"/>
      <w:spacing w:after="0" w:line="264" w:lineRule="auto"/>
      <w:ind w:left="316"/>
    </w:pPr>
    <w:rPr>
      <w:rFonts w:ascii="Times New Roman" w:eastAsia="Times New Roman" w:hAnsi="Times New Roman"/>
      <w:sz w:val="26"/>
    </w:rPr>
  </w:style>
  <w:style w:type="character" w:customStyle="1" w:styleId="BodyTextChar">
    <w:name w:val="Body Text Char"/>
    <w:basedOn w:val="DefaultParagraphFont"/>
    <w:link w:val="BodyText"/>
    <w:uiPriority w:val="1"/>
    <w:rsid w:val="001F1738"/>
    <w:rPr>
      <w:rFonts w:ascii="Times New Roman" w:eastAsia="Times New Roman" w:hAnsi="Times New Roman"/>
      <w:sz w:val="26"/>
    </w:rPr>
  </w:style>
  <w:style w:type="table" w:styleId="GridTable7Colorful-Accent1">
    <w:name w:val="Grid Table 7 Colorful Accent 1"/>
    <w:basedOn w:val="TableNormal"/>
    <w:uiPriority w:val="52"/>
    <w:rsid w:val="001F1738"/>
    <w:pPr>
      <w:spacing w:after="0" w:line="240" w:lineRule="auto"/>
    </w:pPr>
    <w:rPr>
      <w:rFonts w:eastAsiaTheme="minorEastAsia"/>
      <w:color w:val="365F91" w:themeColor="accent1" w:themeShade="BF"/>
      <w:sz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1Light-Accent1">
    <w:name w:val="Grid Table 1 Light Accent 1"/>
    <w:basedOn w:val="TableNormal"/>
    <w:uiPriority w:val="46"/>
    <w:rsid w:val="001F1738"/>
    <w:pPr>
      <w:spacing w:after="0" w:line="240" w:lineRule="auto"/>
    </w:pPr>
    <w:rPr>
      <w:rFonts w:eastAsiaTheme="minorEastAsia"/>
      <w:sz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rPr>
      <w:tblPr/>
      <w:tcPr>
        <w:tcBorders>
          <w:bottom w:val="single" w:sz="12" w:space="0" w:color="95B3D7" w:themeColor="accent1" w:themeTint="99"/>
        </w:tcBorders>
      </w:tcPr>
    </w:tblStylePr>
    <w:tblStylePr w:type="lastRow">
      <w:rPr>
        <w:b/>
      </w:rPr>
      <w:tblPr/>
      <w:tcPr>
        <w:tcBorders>
          <w:top w:val="double" w:sz="2" w:space="0" w:color="95B3D7" w:themeColor="accent1" w:themeTint="99"/>
        </w:tcBorders>
      </w:tcPr>
    </w:tblStylePr>
    <w:tblStylePr w:type="firstCol">
      <w:rPr>
        <w:b/>
      </w:rPr>
    </w:tblStylePr>
    <w:tblStylePr w:type="lastCol">
      <w:rPr>
        <w:b/>
      </w:rPr>
    </w:tblStylePr>
  </w:style>
  <w:style w:type="paragraph" w:styleId="TOC2">
    <w:name w:val="toc 2"/>
    <w:basedOn w:val="Normal"/>
    <w:next w:val="Normal"/>
    <w:uiPriority w:val="39"/>
    <w:unhideWhenUsed/>
    <w:rsid w:val="001F1738"/>
    <w:pPr>
      <w:spacing w:after="100" w:line="264" w:lineRule="auto"/>
      <w:ind w:left="220"/>
    </w:pPr>
    <w:rPr>
      <w:rFonts w:eastAsiaTheme="minorEastAsia"/>
      <w:sz w:val="20"/>
    </w:rPr>
  </w:style>
  <w:style w:type="paragraph" w:styleId="TOC3">
    <w:name w:val="toc 3"/>
    <w:basedOn w:val="Normal"/>
    <w:next w:val="Normal"/>
    <w:uiPriority w:val="39"/>
    <w:unhideWhenUsed/>
    <w:rsid w:val="001F1738"/>
    <w:pPr>
      <w:spacing w:after="100" w:line="264" w:lineRule="auto"/>
      <w:ind w:left="440"/>
    </w:pPr>
    <w:rPr>
      <w:rFonts w:eastAsiaTheme="minorEastAsia"/>
      <w:sz w:val="20"/>
    </w:rPr>
  </w:style>
  <w:style w:type="paragraph" w:styleId="TOC4">
    <w:name w:val="toc 4"/>
    <w:basedOn w:val="Normal"/>
    <w:next w:val="Normal"/>
    <w:uiPriority w:val="39"/>
    <w:unhideWhenUsed/>
    <w:rsid w:val="001F1738"/>
    <w:pPr>
      <w:spacing w:after="100" w:line="264" w:lineRule="auto"/>
      <w:ind w:left="660"/>
    </w:pPr>
    <w:rPr>
      <w:rFonts w:eastAsiaTheme="minorEastAsia"/>
      <w:sz w:val="20"/>
    </w:rPr>
  </w:style>
  <w:style w:type="paragraph" w:styleId="TOC5">
    <w:name w:val="toc 5"/>
    <w:basedOn w:val="Normal"/>
    <w:next w:val="Normal"/>
    <w:uiPriority w:val="39"/>
    <w:unhideWhenUsed/>
    <w:rsid w:val="001F1738"/>
    <w:pPr>
      <w:spacing w:after="100" w:line="264" w:lineRule="auto"/>
      <w:ind w:left="880"/>
    </w:pPr>
    <w:rPr>
      <w:rFonts w:eastAsiaTheme="minorEastAsia"/>
      <w:sz w:val="20"/>
    </w:rPr>
  </w:style>
  <w:style w:type="paragraph" w:styleId="TOC6">
    <w:name w:val="toc 6"/>
    <w:basedOn w:val="Normal"/>
    <w:next w:val="Normal"/>
    <w:uiPriority w:val="39"/>
    <w:unhideWhenUsed/>
    <w:rsid w:val="001F1738"/>
    <w:pPr>
      <w:spacing w:after="100" w:line="264" w:lineRule="auto"/>
      <w:ind w:left="1100"/>
    </w:pPr>
    <w:rPr>
      <w:rFonts w:eastAsiaTheme="minorEastAsia"/>
      <w:sz w:val="20"/>
    </w:rPr>
  </w:style>
  <w:style w:type="paragraph" w:styleId="TOC7">
    <w:name w:val="toc 7"/>
    <w:basedOn w:val="Normal"/>
    <w:next w:val="Normal"/>
    <w:uiPriority w:val="39"/>
    <w:unhideWhenUsed/>
    <w:rsid w:val="001F1738"/>
    <w:pPr>
      <w:spacing w:after="100" w:line="264" w:lineRule="auto"/>
      <w:ind w:left="1320"/>
    </w:pPr>
    <w:rPr>
      <w:rFonts w:eastAsiaTheme="minorEastAsia"/>
      <w:sz w:val="20"/>
    </w:rPr>
  </w:style>
  <w:style w:type="paragraph" w:styleId="TOC8">
    <w:name w:val="toc 8"/>
    <w:basedOn w:val="Normal"/>
    <w:next w:val="Normal"/>
    <w:uiPriority w:val="39"/>
    <w:unhideWhenUsed/>
    <w:rsid w:val="001F1738"/>
    <w:pPr>
      <w:spacing w:after="100" w:line="264" w:lineRule="auto"/>
      <w:ind w:left="1540"/>
    </w:pPr>
    <w:rPr>
      <w:rFonts w:eastAsiaTheme="minorEastAsia"/>
      <w:sz w:val="20"/>
    </w:rPr>
  </w:style>
  <w:style w:type="paragraph" w:styleId="TOC9">
    <w:name w:val="toc 9"/>
    <w:basedOn w:val="Normal"/>
    <w:next w:val="Normal"/>
    <w:uiPriority w:val="39"/>
    <w:unhideWhenUsed/>
    <w:rsid w:val="001F1738"/>
    <w:pPr>
      <w:spacing w:after="100" w:line="264" w:lineRule="auto"/>
      <w:ind w:left="1760"/>
    </w:pPr>
    <w:rPr>
      <w:rFonts w:eastAsiaTheme="minorEastAsia"/>
      <w:sz w:val="20"/>
    </w:rPr>
  </w:style>
  <w:style w:type="character" w:customStyle="1" w:styleId="eop">
    <w:name w:val="eop"/>
    <w:basedOn w:val="DefaultParagraphFont"/>
    <w:rsid w:val="001F1738"/>
  </w:style>
  <w:style w:type="character" w:customStyle="1" w:styleId="UnresolvedMention3">
    <w:name w:val="Unresolved Mention3"/>
    <w:basedOn w:val="DefaultParagraphFont"/>
    <w:uiPriority w:val="99"/>
    <w:semiHidden/>
    <w:unhideWhenUsed/>
    <w:rsid w:val="001F1738"/>
    <w:rPr>
      <w:color w:val="605E5C"/>
      <w:shd w:val="clear" w:color="auto" w:fill="E1DFDD"/>
    </w:rPr>
  </w:style>
  <w:style w:type="character" w:customStyle="1" w:styleId="UnresolvedMention">
    <w:name w:val="Unresolved Mention"/>
    <w:basedOn w:val="DefaultParagraphFont"/>
    <w:uiPriority w:val="99"/>
    <w:semiHidden/>
    <w:unhideWhenUsed/>
    <w:rsid w:val="001F1738"/>
    <w:rPr>
      <w:color w:val="605E5C"/>
      <w:shd w:val="clear" w:color="auto" w:fill="E1DFDD"/>
    </w:rPr>
  </w:style>
  <w:style w:type="paragraph" w:customStyle="1" w:styleId="title-bold">
    <w:name w:val="title-bold"/>
    <w:basedOn w:val="Normal"/>
    <w:rsid w:val="0032059A"/>
    <w:pPr>
      <w:spacing w:before="100" w:beforeAutospacing="1" w:after="100" w:afterAutospacing="1" w:line="240" w:lineRule="auto"/>
    </w:pPr>
    <w:rPr>
      <w:rFonts w:ascii="Times New Roman" w:eastAsia="Times New Roman" w:hAnsi="Times New Roman" w:cs="Times New Roman"/>
      <w:sz w:val="24"/>
    </w:rPr>
  </w:style>
  <w:style w:type="character" w:customStyle="1" w:styleId="margintops">
    <w:name w:val="margintop_s"/>
    <w:basedOn w:val="DefaultParagraphFont"/>
    <w:rsid w:val="005C3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0581">
      <w:bodyDiv w:val="1"/>
      <w:marLeft w:val="0"/>
      <w:marRight w:val="0"/>
      <w:marTop w:val="0"/>
      <w:marBottom w:val="0"/>
      <w:divBdr>
        <w:top w:val="none" w:sz="0" w:space="0" w:color="auto"/>
        <w:left w:val="none" w:sz="0" w:space="0" w:color="auto"/>
        <w:bottom w:val="none" w:sz="0" w:space="0" w:color="auto"/>
        <w:right w:val="none" w:sz="0" w:space="0" w:color="auto"/>
      </w:divBdr>
    </w:div>
    <w:div w:id="357392686">
      <w:bodyDiv w:val="1"/>
      <w:marLeft w:val="0"/>
      <w:marRight w:val="0"/>
      <w:marTop w:val="0"/>
      <w:marBottom w:val="0"/>
      <w:divBdr>
        <w:top w:val="none" w:sz="0" w:space="0" w:color="auto"/>
        <w:left w:val="none" w:sz="0" w:space="0" w:color="auto"/>
        <w:bottom w:val="none" w:sz="0" w:space="0" w:color="auto"/>
        <w:right w:val="none" w:sz="0" w:space="0" w:color="auto"/>
      </w:divBdr>
    </w:div>
    <w:div w:id="560754890">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909195797">
      <w:bodyDiv w:val="1"/>
      <w:marLeft w:val="0"/>
      <w:marRight w:val="0"/>
      <w:marTop w:val="0"/>
      <w:marBottom w:val="0"/>
      <w:divBdr>
        <w:top w:val="none" w:sz="0" w:space="0" w:color="auto"/>
        <w:left w:val="none" w:sz="0" w:space="0" w:color="auto"/>
        <w:bottom w:val="none" w:sz="0" w:space="0" w:color="auto"/>
        <w:right w:val="none" w:sz="0" w:space="0" w:color="auto"/>
      </w:divBdr>
    </w:div>
    <w:div w:id="1135218904">
      <w:bodyDiv w:val="1"/>
      <w:marLeft w:val="0"/>
      <w:marRight w:val="0"/>
      <w:marTop w:val="0"/>
      <w:marBottom w:val="0"/>
      <w:divBdr>
        <w:top w:val="none" w:sz="0" w:space="0" w:color="auto"/>
        <w:left w:val="none" w:sz="0" w:space="0" w:color="auto"/>
        <w:bottom w:val="none" w:sz="0" w:space="0" w:color="auto"/>
        <w:right w:val="none" w:sz="0" w:space="0" w:color="auto"/>
      </w:divBdr>
    </w:div>
    <w:div w:id="1194225301">
      <w:bodyDiv w:val="1"/>
      <w:marLeft w:val="0"/>
      <w:marRight w:val="0"/>
      <w:marTop w:val="0"/>
      <w:marBottom w:val="0"/>
      <w:divBdr>
        <w:top w:val="none" w:sz="0" w:space="0" w:color="auto"/>
        <w:left w:val="none" w:sz="0" w:space="0" w:color="auto"/>
        <w:bottom w:val="none" w:sz="0" w:space="0" w:color="auto"/>
        <w:right w:val="none" w:sz="0" w:space="0" w:color="auto"/>
      </w:divBdr>
    </w:div>
    <w:div w:id="1215195427">
      <w:bodyDiv w:val="1"/>
      <w:marLeft w:val="0"/>
      <w:marRight w:val="0"/>
      <w:marTop w:val="0"/>
      <w:marBottom w:val="0"/>
      <w:divBdr>
        <w:top w:val="none" w:sz="0" w:space="0" w:color="auto"/>
        <w:left w:val="none" w:sz="0" w:space="0" w:color="auto"/>
        <w:bottom w:val="none" w:sz="0" w:space="0" w:color="auto"/>
        <w:right w:val="none" w:sz="0" w:space="0" w:color="auto"/>
      </w:divBdr>
    </w:div>
    <w:div w:id="1225533563">
      <w:bodyDiv w:val="1"/>
      <w:marLeft w:val="0"/>
      <w:marRight w:val="0"/>
      <w:marTop w:val="0"/>
      <w:marBottom w:val="0"/>
      <w:divBdr>
        <w:top w:val="none" w:sz="0" w:space="0" w:color="auto"/>
        <w:left w:val="none" w:sz="0" w:space="0" w:color="auto"/>
        <w:bottom w:val="none" w:sz="0" w:space="0" w:color="auto"/>
        <w:right w:val="none" w:sz="0" w:space="0" w:color="auto"/>
      </w:divBdr>
    </w:div>
    <w:div w:id="1360938087">
      <w:bodyDiv w:val="1"/>
      <w:marLeft w:val="0"/>
      <w:marRight w:val="0"/>
      <w:marTop w:val="0"/>
      <w:marBottom w:val="0"/>
      <w:divBdr>
        <w:top w:val="none" w:sz="0" w:space="0" w:color="auto"/>
        <w:left w:val="none" w:sz="0" w:space="0" w:color="auto"/>
        <w:bottom w:val="none" w:sz="0" w:space="0" w:color="auto"/>
        <w:right w:val="none" w:sz="0" w:space="0" w:color="auto"/>
      </w:divBdr>
    </w:div>
    <w:div w:id="1483697454">
      <w:bodyDiv w:val="1"/>
      <w:marLeft w:val="0"/>
      <w:marRight w:val="0"/>
      <w:marTop w:val="0"/>
      <w:marBottom w:val="0"/>
      <w:divBdr>
        <w:top w:val="none" w:sz="0" w:space="0" w:color="auto"/>
        <w:left w:val="none" w:sz="0" w:space="0" w:color="auto"/>
        <w:bottom w:val="none" w:sz="0" w:space="0" w:color="auto"/>
        <w:right w:val="none" w:sz="0" w:space="0" w:color="auto"/>
      </w:divBdr>
    </w:div>
    <w:div w:id="1511917182">
      <w:bodyDiv w:val="1"/>
      <w:marLeft w:val="0"/>
      <w:marRight w:val="0"/>
      <w:marTop w:val="0"/>
      <w:marBottom w:val="0"/>
      <w:divBdr>
        <w:top w:val="none" w:sz="0" w:space="0" w:color="auto"/>
        <w:left w:val="none" w:sz="0" w:space="0" w:color="auto"/>
        <w:bottom w:val="none" w:sz="0" w:space="0" w:color="auto"/>
        <w:right w:val="none" w:sz="0" w:space="0" w:color="auto"/>
      </w:divBdr>
    </w:div>
    <w:div w:id="1786077881">
      <w:bodyDiv w:val="1"/>
      <w:marLeft w:val="0"/>
      <w:marRight w:val="0"/>
      <w:marTop w:val="0"/>
      <w:marBottom w:val="0"/>
      <w:divBdr>
        <w:top w:val="none" w:sz="0" w:space="0" w:color="auto"/>
        <w:left w:val="none" w:sz="0" w:space="0" w:color="auto"/>
        <w:bottom w:val="none" w:sz="0" w:space="0" w:color="auto"/>
        <w:right w:val="none" w:sz="0" w:space="0" w:color="auto"/>
      </w:divBdr>
    </w:div>
    <w:div w:id="196989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ecdc.europa.eu/sites/default/files/documents/Health-burden-infections-antibiotic-resistant-bacteria.pdf" TargetMode="External"/><Relationship Id="rId18" Type="http://schemas.openxmlformats.org/officeDocument/2006/relationships/hyperlink" Target="https://eur-lex.europa.eu/legal-content/PL/TXT/?uri=COM:2023:672:FIN" TargetMode="External"/><Relationship Id="rId26" Type="http://schemas.openxmlformats.org/officeDocument/2006/relationships/hyperlink" Target="https://eur-lex.europa.eu/legal-content/PL/TXT/?uri=CELEX:52021DC0400" TargetMode="External"/><Relationship Id="rId39" Type="http://schemas.openxmlformats.org/officeDocument/2006/relationships/hyperlink" Target="https://www.cop28.com/en/cop28-uae-declaration-on-climate-and-health" TargetMode="External"/><Relationship Id="rId21" Type="http://schemas.openxmlformats.org/officeDocument/2006/relationships/hyperlink" Target="https://www.jpiamr.eu/activities/one-health-amr/design-oh-amr/" TargetMode="External"/><Relationship Id="rId34" Type="http://schemas.openxmlformats.org/officeDocument/2006/relationships/hyperlink" Target="https://eur-lex.europa.eu/eli/reg_del/2020/689/oj" TargetMode="External"/><Relationship Id="rId42" Type="http://schemas.openxmlformats.org/officeDocument/2006/relationships/hyperlink" Target="https://www.eea.europa.eu/en/about/who-we-are/projects-and-cooperation-agreements/european-climate-risk-assessment" TargetMode="External"/><Relationship Id="rId47" Type="http://schemas.openxmlformats.org/officeDocument/2006/relationships/hyperlink" Target="https://civil-protection-humanitarian-aid.ec.europa.eu/what/civil-protection/european-disaster-risk-management/european-disaster-resilience-goals_en" TargetMode="External"/><Relationship Id="rId50" Type="http://schemas.openxmlformats.org/officeDocument/2006/relationships/hyperlink" Target="https://www.nivel.nl/en/project/1920" TargetMode="External"/><Relationship Id="rId55" Type="http://schemas.openxmlformats.org/officeDocument/2006/relationships/hyperlink" Target="https://www.who.int/initiatives/eios" TargetMode="External"/><Relationship Id="rId63" Type="http://schemas.openxmlformats.org/officeDocument/2006/relationships/hyperlink" Target="https://eur-lex.europa.eu/legal-content/PL/TXT/?uri=CELEX%3A32021D1212" TargetMode="External"/><Relationship Id="rId68" Type="http://schemas.openxmlformats.org/officeDocument/2006/relationships/hyperlink" Target="https://eur-lex.europa.eu/legal-content/PL/TXT/?uri=CELEX%3A32022L2557&amp;qid=1699961915719" TargetMode="External"/><Relationship Id="rId76" Type="http://schemas.openxmlformats.org/officeDocument/2006/relationships/hyperlink" Target="https://commission.europa.eu/strategy-and-policy/priorities-2019-2024/promoting-our-european-way-life/european-health-union/comprehensive-approach-mental-health_pl" TargetMode="External"/><Relationship Id="rId84" Type="http://schemas.openxmlformats.org/officeDocument/2006/relationships/hyperlink" Target="https://verdiproject.org/" TargetMode="External"/><Relationship Id="rId7" Type="http://schemas.openxmlformats.org/officeDocument/2006/relationships/hyperlink" Target="https://op.europa.eu/en/publication-detail/-/publication/8ba3bd75-7c38-11ed-9887-01aa75ed71a1/language-en" TargetMode="External"/><Relationship Id="rId71" Type="http://schemas.openxmlformats.org/officeDocument/2006/relationships/hyperlink" Target="https://eur-lex.europa.eu/legal-content/pl/TXT/?uri=CELEX:32022R0123" TargetMode="External"/><Relationship Id="rId2" Type="http://schemas.openxmlformats.org/officeDocument/2006/relationships/hyperlink" Target="https://www.thelancet.com/journals/laninf/article/PIIS1473-3099(22)00320-6/fulltext" TargetMode="External"/><Relationship Id="rId16" Type="http://schemas.openxmlformats.org/officeDocument/2006/relationships/hyperlink" Target="https://commission.europa.eu/strategy-and-policy/priorities-2019-2024/promoting-our-european-way-life/european-health-union/reform-eu-pharmaceutical-legislation_pl" TargetMode="External"/><Relationship Id="rId29" Type="http://schemas.openxmlformats.org/officeDocument/2006/relationships/hyperlink" Target="https://esdac.jrc.ec.europa.eu/projects/lucas" TargetMode="External"/><Relationship Id="rId11" Type="http://schemas.openxmlformats.org/officeDocument/2006/relationships/hyperlink" Target="https://eva.ecdc.europa.eu/" TargetMode="External"/><Relationship Id="rId24" Type="http://schemas.openxmlformats.org/officeDocument/2006/relationships/hyperlink" Target="https://eur-lex.europa.eu/legal-content/PL/TXT/PDF/?uri=CELEX:52019DC0128" TargetMode="External"/><Relationship Id="rId32" Type="http://schemas.openxmlformats.org/officeDocument/2006/relationships/hyperlink" Target="https://eur-lex.europa.eu/legal-content/PL/TXT/?uri=celex:32003L0099" TargetMode="External"/><Relationship Id="rId37" Type="http://schemas.openxmlformats.org/officeDocument/2006/relationships/hyperlink" Target="https://climate-adapt.eea.europa.eu/pl/observatory" TargetMode="External"/><Relationship Id="rId40" Type="http://schemas.openxmlformats.org/officeDocument/2006/relationships/hyperlink" Target="https://www.who.int/publications/i/item/9789289071918" TargetMode="External"/><Relationship Id="rId45" Type="http://schemas.openxmlformats.org/officeDocument/2006/relationships/hyperlink" Target="https://environment.ec.europa.eu/topics/soil-and-land/soil-health_en" TargetMode="External"/><Relationship Id="rId53" Type="http://schemas.openxmlformats.org/officeDocument/2006/relationships/hyperlink" Target="https://www.ecdc.europa.eu/en/publications-data/epipulse-european-surveillance-portal-infectious-diseases" TargetMode="External"/><Relationship Id="rId58" Type="http://schemas.openxmlformats.org/officeDocument/2006/relationships/hyperlink" Target="https://mood-h2020.eu/" TargetMode="External"/><Relationship Id="rId66" Type="http://schemas.openxmlformats.org/officeDocument/2006/relationships/hyperlink" Target="https://ec.europa.eu/commission/presscorner/detail/en/mex_23_4442" TargetMode="External"/><Relationship Id="rId74" Type="http://schemas.openxmlformats.org/officeDocument/2006/relationships/hyperlink" Target="https://www.oecd-ilibrary.org/social-issues-migration-health/health-at-a-glance-europe-2022_507433b0-en;jsessionid=-ZyVma6ABAN0VaaG5paqz-epR3sPXjuLlFsJ5MXW.ip-10-240-5-108" TargetMode="External"/><Relationship Id="rId79" Type="http://schemas.openxmlformats.org/officeDocument/2006/relationships/hyperlink" Target="https://www.thelancet.com/journals/lanres/article/PIIS2213-2600(23)00268-0/fulltext" TargetMode="External"/><Relationship Id="rId87" Type="http://schemas.openxmlformats.org/officeDocument/2006/relationships/hyperlink" Target="https://research-and-innovation.ec.europa.eu/research-area/health/edctp_en" TargetMode="External"/><Relationship Id="rId5" Type="http://schemas.openxmlformats.org/officeDocument/2006/relationships/hyperlink" Target="https://eur-lex.europa.eu/legal-content/PL/TXT/?uri=OJ%3AJOC_2018_466_R_0001" TargetMode="External"/><Relationship Id="rId61" Type="http://schemas.openxmlformats.org/officeDocument/2006/relationships/hyperlink" Target="https://eur-lex.europa.eu/eli/dec/1998/2119/oj" TargetMode="External"/><Relationship Id="rId82" Type="http://schemas.openxmlformats.org/officeDocument/2006/relationships/hyperlink" Target="https://eic.ec.europa.eu/system/files/2023-08/EIC-WP2023-amended.pdf" TargetMode="External"/><Relationship Id="rId19" Type="http://schemas.openxmlformats.org/officeDocument/2006/relationships/hyperlink" Target="https://gardp.org/" TargetMode="External"/><Relationship Id="rId4" Type="http://schemas.openxmlformats.org/officeDocument/2006/relationships/hyperlink" Target="https://www.ecdc.europa.eu/en/publications-data/interim-public-health-considerations-covid-19-vaccination-roll-out-during-2023" TargetMode="External"/><Relationship Id="rId9" Type="http://schemas.openxmlformats.org/officeDocument/2006/relationships/hyperlink" Target="https://vaccination-info.eu/pl" TargetMode="External"/><Relationship Id="rId14" Type="http://schemas.openxmlformats.org/officeDocument/2006/relationships/hyperlink" Target="https://health.ec.europa.eu/system/files/2020-01/amr_2017_action-plan_0.pdf" TargetMode="External"/><Relationship Id="rId22" Type="http://schemas.openxmlformats.org/officeDocument/2006/relationships/hyperlink" Target="https://ec.europa.eu/info/funding-tenders/opportunities/portal/screen/opportunities/topic-details/horizon-hlth-2024-disease-09-01" TargetMode="External"/><Relationship Id="rId27" Type="http://schemas.openxmlformats.org/officeDocument/2006/relationships/hyperlink" Target="https://environment.ec.europa.eu/publications/proposal-amending-water-directives_pl" TargetMode="External"/><Relationship Id="rId30" Type="http://schemas.openxmlformats.org/officeDocument/2006/relationships/hyperlink" Target="https://esdac.jrc.ec.europa.eu/" TargetMode="External"/><Relationship Id="rId35" Type="http://schemas.openxmlformats.org/officeDocument/2006/relationships/hyperlink" Target="https://www.izsvenezie.com/reference-laboratories/avian-influenza-newcastle-disease/" TargetMode="External"/><Relationship Id="rId43" Type="http://schemas.openxmlformats.org/officeDocument/2006/relationships/hyperlink" Target="https://ec.europa.eu/commission/presscorner/detail/pl/ip_22_6278" TargetMode="External"/><Relationship Id="rId48" Type="http://schemas.openxmlformats.org/officeDocument/2006/relationships/hyperlink" Target="https://health.ec.europa.eu/publications/hera-factsheet-health-union-identifying-top-3-priority-health-threats_en" TargetMode="External"/><Relationship Id="rId56" Type="http://schemas.openxmlformats.org/officeDocument/2006/relationships/hyperlink" Target="https://health.ec.europa.eu/latest-updates/hera-it-system-athina-collect-intelligence-and-assess-threats-call-tender-published-2023-04-25_en" TargetMode="External"/><Relationship Id="rId64" Type="http://schemas.openxmlformats.org/officeDocument/2006/relationships/hyperlink" Target="https://health.ec.europa.eu/health-security-and-infectious-diseases/crisis-management/list-authorities-represented-health-security-committee/health-security-committee-reports_pl" TargetMode="External"/><Relationship Id="rId69" Type="http://schemas.openxmlformats.org/officeDocument/2006/relationships/hyperlink" Target="https://eur-lex.europa.eu/legal-content/PL/TXT/?uri=CELEX%3A32008L0114&amp;qid=1699961985226" TargetMode="External"/><Relationship Id="rId77" Type="http://schemas.openxmlformats.org/officeDocument/2006/relationships/hyperlink" Target="https://research-and-innovation.ec.europa.eu/funding/funding-opportunities/funding-programmes-and-open-calls/horizon-europe/european-partnerships-horizon-europe/health_en" TargetMode="External"/><Relationship Id="rId8" Type="http://schemas.openxmlformats.org/officeDocument/2006/relationships/hyperlink" Target="https://knowledge4policy.ec.europa.eu/projects-activities/behavioural-insights-eu-bi4eu_en" TargetMode="External"/><Relationship Id="rId51" Type="http://schemas.openxmlformats.org/officeDocument/2006/relationships/hyperlink" Target="https://health.ec.europa.eu/health-security-and-infectious-diseases/surveillance-and-early-warning/eu-reference-laboratories-public-health-calls-application_en" TargetMode="External"/><Relationship Id="rId72" Type="http://schemas.openxmlformats.org/officeDocument/2006/relationships/hyperlink" Target="https://www.ecdc.europa.eu/en/publications-data/conducting-after-action-reviews-public-health-response-covid-19-update-0" TargetMode="External"/><Relationship Id="rId80" Type="http://schemas.openxmlformats.org/officeDocument/2006/relationships/hyperlink" Target="https://health.ec.europa.eu/health-emergency-preparedness-and-response-hera/hera-invest_pl" TargetMode="External"/><Relationship Id="rId85" Type="http://schemas.openxmlformats.org/officeDocument/2006/relationships/hyperlink" Target="https://health.ec.europa.eu/system/files/2023-03/international_ghs-report-2022_en.pdf" TargetMode="External"/><Relationship Id="rId3" Type="http://schemas.openxmlformats.org/officeDocument/2006/relationships/hyperlink" Target="https://www.who.int/publications/i/item/9789241580496" TargetMode="External"/><Relationship Id="rId12" Type="http://schemas.openxmlformats.org/officeDocument/2006/relationships/hyperlink" Target="https://eur-lex.europa.eu/legal-content/PL/TXT/?uri=COM:2021:44:FIN" TargetMode="External"/><Relationship Id="rId17" Type="http://schemas.openxmlformats.org/officeDocument/2006/relationships/hyperlink" Target="https://health.ec.europa.eu/funding/eu4health-programme-2021-2027-vision-healthier-european-union_pl" TargetMode="External"/><Relationship Id="rId25" Type="http://schemas.openxmlformats.org/officeDocument/2006/relationships/hyperlink" Target="https://commission.europa.eu/strategy-and-policy/priorities-2019-2024/european-green-deal_pl" TargetMode="External"/><Relationship Id="rId33" Type="http://schemas.openxmlformats.org/officeDocument/2006/relationships/hyperlink" Target="https://eur-lex.europa.eu/legal-content/PL/TXT/?uri=CELEX%3A32016R0429&amp;qid=1699617422821" TargetMode="External"/><Relationship Id="rId38" Type="http://schemas.openxmlformats.org/officeDocument/2006/relationships/hyperlink" Target="https://www.who.int/europe/publications/i/item/EURO-Budapest2023-6" TargetMode="External"/><Relationship Id="rId46" Type="http://schemas.openxmlformats.org/officeDocument/2006/relationships/hyperlink" Target="https://eur-lex.europa.eu/legal-content/PL/TXT/?uri=OJ:L:2023:234:TOC" TargetMode="External"/><Relationship Id="rId59" Type="http://schemas.openxmlformats.org/officeDocument/2006/relationships/hyperlink" Target="https://www.veo-europe.eu/" TargetMode="External"/><Relationship Id="rId67" Type="http://schemas.openxmlformats.org/officeDocument/2006/relationships/hyperlink" Target="https://eur-lex.europa.eu/legal-content/PL/TXT/?uri=CELEX%3A32022R0123" TargetMode="External"/><Relationship Id="rId20" Type="http://schemas.openxmlformats.org/officeDocument/2006/relationships/hyperlink" Target="https://www.who.int/groups/secure-expanding-sustainable-access-to-antibiotics" TargetMode="External"/><Relationship Id="rId41" Type="http://schemas.openxmlformats.org/officeDocument/2006/relationships/hyperlink" Target="https://cinea.ec.europa.eu/programmes/life_pl" TargetMode="External"/><Relationship Id="rId54" Type="http://schemas.openxmlformats.org/officeDocument/2006/relationships/hyperlink" Target="https://www.ecdc.europa.eu/en/publications-data/european-surveillance-system-tessy" TargetMode="External"/><Relationship Id="rId62" Type="http://schemas.openxmlformats.org/officeDocument/2006/relationships/hyperlink" Target="https://eur-lex.europa.eu/legal-content/PL/TXT/?toc=OJ%3AL%3A2021%3A188%3ATOC&amp;uri=uriserv%3AOJ.L_.2021.188.01.0106.01.POL" TargetMode="External"/><Relationship Id="rId70" Type="http://schemas.openxmlformats.org/officeDocument/2006/relationships/hyperlink" Target="https://eur-lex.europa.eu/legal-content/PL/TXT/?uri=CELEX:52023DC0526" TargetMode="External"/><Relationship Id="rId75" Type="http://schemas.openxmlformats.org/officeDocument/2006/relationships/hyperlink" Target="https://www.who.int/news/item/02-03-2022-covid-19-pandemic-triggers-25-increase-in-prevalence-of-anxiety-and-depression-worldwide" TargetMode="External"/><Relationship Id="rId83" Type="http://schemas.openxmlformats.org/officeDocument/2006/relationships/hyperlink" Target="https://eu-response.eu/" TargetMode="External"/><Relationship Id="rId1" Type="http://schemas.openxmlformats.org/officeDocument/2006/relationships/hyperlink" Target="https://commission.europa.eu/strategy-and-policy/coronavirus-response/public-health/eu-vaccines-strategy_pl" TargetMode="External"/><Relationship Id="rId6" Type="http://schemas.openxmlformats.org/officeDocument/2006/relationships/hyperlink" Target="https://health.ec.europa.eu/system/files/2022-12/2019-2022_roadmap_en.pdf" TargetMode="External"/><Relationship Id="rId15" Type="http://schemas.openxmlformats.org/officeDocument/2006/relationships/hyperlink" Target="https://eur-lex.europa.eu/legal-content/PL/TXT/?uri=CELEX%3A32023H0622%2801%29" TargetMode="External"/><Relationship Id="rId23" Type="http://schemas.openxmlformats.org/officeDocument/2006/relationships/hyperlink" Target="https://research-and-innovation.ec.europa.eu/funding/funding-opportunities/funding-programmes-and-open-calls/horizon-europe_pl" TargetMode="External"/><Relationship Id="rId28" Type="http://schemas.openxmlformats.org/officeDocument/2006/relationships/hyperlink" Target="https://environment.ec.europa.eu/publications/proposal-revised-urban-wastewater-treatment-directive_pl" TargetMode="External"/><Relationship Id="rId36" Type="http://schemas.openxmlformats.org/officeDocument/2006/relationships/hyperlink" Target="https://eur-lex.europa.eu/legal-content/PL/TXT/?uri=CELEX%3A32020R0689&amp;qid=1699963567960" TargetMode="External"/><Relationship Id="rId49" Type="http://schemas.openxmlformats.org/officeDocument/2006/relationships/hyperlink" Target="https://ec.europa.eu/info/live-work-travel-eu/coronavirus-response/public-health_en" TargetMode="External"/><Relationship Id="rId57" Type="http://schemas.openxmlformats.org/officeDocument/2006/relationships/hyperlink" Target="https://united4surveillance.eu/" TargetMode="External"/><Relationship Id="rId10" Type="http://schemas.openxmlformats.org/officeDocument/2006/relationships/hyperlink" Target="https://health.ec.europa.eu/non-communicable-diseases/expert-group-public-health_pl" TargetMode="External"/><Relationship Id="rId31" Type="http://schemas.openxmlformats.org/officeDocument/2006/relationships/hyperlink" Target="https://www.nature.com/articles/nature06536" TargetMode="External"/><Relationship Id="rId44" Type="http://schemas.openxmlformats.org/officeDocument/2006/relationships/hyperlink" Target="https://environment.ec.europa.eu/publications/proposal-revision-industrial-emissions-directive_en" TargetMode="External"/><Relationship Id="rId52" Type="http://schemas.openxmlformats.org/officeDocument/2006/relationships/hyperlink" Target="https://www.pasteur.fr/en/home/institut-pasteur/institut-pasteur-throughout-world/international-research-programs/durable-large-scale-project-emerging-diseases-within-eu4health-european-program" TargetMode="External"/><Relationship Id="rId60" Type="http://schemas.openxmlformats.org/officeDocument/2006/relationships/hyperlink" Target="https://www.phiri.eu/" TargetMode="External"/><Relationship Id="rId65" Type="http://schemas.openxmlformats.org/officeDocument/2006/relationships/hyperlink" Target="https://health.ec.europa.eu/publications/preparing-winter-20232024-address-respiratory-infections-caused-sars-cov-2-and-other-viruses_pl" TargetMode="External"/><Relationship Id="rId73" Type="http://schemas.openxmlformats.org/officeDocument/2006/relationships/hyperlink" Target="https://cohesiondata.ec.europa.eu/2021-2027-Categorisation/2021-2027-Finances-details-categorisation-multi-fu/hgyj-gyin" TargetMode="External"/><Relationship Id="rId78" Type="http://schemas.openxmlformats.org/officeDocument/2006/relationships/hyperlink" Target="https://eur-lex.europa.eu/legal-content/PL/TXT/?uri=CELEX:52023DC0298" TargetMode="External"/><Relationship Id="rId81" Type="http://schemas.openxmlformats.org/officeDocument/2006/relationships/hyperlink" Target="https://investeu.europa.eu/index_en" TargetMode="External"/><Relationship Id="rId86" Type="http://schemas.openxmlformats.org/officeDocument/2006/relationships/hyperlink" Target="https://commission.europa.eu/strategy-and-policy/priorities-2019-2024/stronger-europe-world/global-gateway_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FE545-004F-4B70-AE1C-C45785144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14874</Words>
  <Characters>84787</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8</cp:revision>
  <cp:lastPrinted>2023-11-10T09:33:00Z</cp:lastPrinted>
  <dcterms:created xsi:type="dcterms:W3CDTF">2023-12-06T14:47:00Z</dcterms:created>
  <dcterms:modified xsi:type="dcterms:W3CDTF">2024-01-17T08:53:00Z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2023-09-28T14:34:58Z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3f3ee531-c85a-4cd9-865c-b444eab5dd1e</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CP-014</vt:lpwstr>
  </property>
  <property fmtid="{D5CDD505-2E9C-101B-9397-08002B2CF9AE}" pid="14" name="Last edited using">
    <vt:lpwstr>LW 9.0, Build 20230317</vt:lpwstr>
  </property>
  <property fmtid="{D5CDD505-2E9C-101B-9397-08002B2CF9AE}" pid="15" name="Created using">
    <vt:lpwstr>LW 9.0, Build 20230317</vt:lpwstr>
  </property>
</Properties>
</file>