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3DA55" w14:textId="5D090720" w:rsidR="00C619B5" w:rsidRPr="001156EE" w:rsidRDefault="00B96E6D" w:rsidP="00B96E6D">
      <w:pPr>
        <w:pStyle w:val="Pagedecouverture"/>
        <w:rPr>
          <w:noProof/>
          <w:lang w:val="ro-RO"/>
        </w:rPr>
      </w:pPr>
      <w:bookmarkStart w:id="0" w:name="LW_BM_COVERPAGE"/>
      <w:r>
        <w:rPr>
          <w:noProof/>
          <w:lang w:val="ro-RO"/>
        </w:rPr>
        <w:pict w14:anchorId="2266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017C967-BF58-44F0-8F2C-A1A56B016C2C" style="width:455.25pt;height:324pt">
            <v:imagedata r:id="rId8" o:title=""/>
          </v:shape>
        </w:pict>
      </w:r>
    </w:p>
    <w:bookmarkEnd w:id="0"/>
    <w:p w14:paraId="54D93261" w14:textId="77777777" w:rsidR="00C619B5" w:rsidRPr="001156EE" w:rsidRDefault="00C619B5" w:rsidP="00C619B5">
      <w:pPr>
        <w:rPr>
          <w:noProof/>
          <w:lang w:val="ro-RO"/>
        </w:rPr>
        <w:sectPr w:rsidR="00C619B5" w:rsidRPr="001156EE" w:rsidSect="00B96E6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08FCA05" w14:textId="77777777" w:rsidR="001F1738" w:rsidRPr="001156EE"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ro-RO"/>
        </w:rPr>
      </w:pPr>
      <w:bookmarkStart w:id="1" w:name="_GoBack"/>
      <w:bookmarkEnd w:id="1"/>
      <w:r w:rsidRPr="001156EE">
        <w:rPr>
          <w:rFonts w:ascii="Times New Roman" w:hAnsi="Times New Roman"/>
          <w:noProof/>
          <w:sz w:val="24"/>
          <w:lang w:val="ro-RO"/>
        </w:rPr>
        <w:lastRenderedPageBreak/>
        <w:t>1. INTRODUCERE</w:t>
      </w:r>
    </w:p>
    <w:p w14:paraId="0745FB22" w14:textId="546F2A8C"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Uniunea Europeană (UE) a făcut progrese importante în ceea ce privește consolidarea capacității sale de pregătire pentru a face față amenințărilor transfrontaliere grave pentru sănătate. În luna decembrie 2023 se împlinesc patru ani de când virusul SARS-CoV-2 a fost depistat pentru prima dată, ceea ce a declanșat în cele din urmă o pandemie gravă și o criză sanitară mondială fără precedent. De atunci, numeroase inițiative și învățăminte desprinse s-au cristalizat în noua legislație a UE pentru a ne consolida apărarea colectivă și pregătirea împotriva pandemiilor și a altor amenințări majore pentru sănătate, cum ar fi cele generate de schimbările climatice.</w:t>
      </w:r>
    </w:p>
    <w:p w14:paraId="22C00E9C" w14:textId="03D3249F"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Tot în luna decembrie 2023 se împlinește un an de la intrarea în vigoare a unui act legislativ esențial pentru cadrul UE de securitate sanitară: Regulamentul (UE) 2022/2371 privind amenințările transfrontaliere grave pentru sănătate</w:t>
      </w:r>
      <w:r w:rsidRPr="001156EE">
        <w:rPr>
          <w:rFonts w:ascii="Times New Roman" w:eastAsia="Times New Roman" w:hAnsi="Times New Roman" w:cs="Times New Roman"/>
          <w:noProof/>
          <w:sz w:val="24"/>
          <w:vertAlign w:val="superscript"/>
          <w:lang w:val="ro-RO"/>
        </w:rPr>
        <w:footnoteReference w:id="1"/>
      </w:r>
      <w:r w:rsidRPr="001156EE">
        <w:rPr>
          <w:rFonts w:ascii="Times New Roman" w:hAnsi="Times New Roman"/>
          <w:noProof/>
          <w:sz w:val="24"/>
          <w:lang w:val="ro-RO"/>
        </w:rPr>
        <w:t>. Comisia a propus regulamentul în 2020, ca parte a primului pilon al Uniunii europene a sănătății, împreună cu propuneri de extindere a mandatelor pentru două agenții esențiale ale UE în domeniul sănătății: Centrul European de Prevenire și Control al Bolilor (ECDC) și Agenția Europeană pentru Medicamente (EMA). Regulamentul a actualizat mecanismele existente la nivelul UE pentru prevenirea, pregătirea, supravegherea, alerta precoce și răspunsul în materie de sănătate publică și a devenit coloana vertebrală a arhitecturii securității sanitare a UE. Uniunea europeană a sănătății – ale cărei baze au fost puse în timp ce era încă în desfășurare criza fără precedent cauzată de pandemia de COVID-19 – este în prezent operațională și produce rezultate, inclusiv Autoritatea pentru Pregătire și Răspuns în caz de Urgență Sanitară (HERA) a Comisiei, creată în septembrie 2021</w:t>
      </w:r>
      <w:r w:rsidRPr="001156EE">
        <w:rPr>
          <w:rStyle w:val="FootnoteReference"/>
          <w:rFonts w:ascii="Times New Roman" w:eastAsia="Times New Roman" w:hAnsi="Times New Roman" w:cs="Times New Roman"/>
          <w:noProof/>
          <w:sz w:val="24"/>
          <w:lang w:val="ro-RO"/>
        </w:rPr>
        <w:footnoteReference w:id="2"/>
      </w:r>
      <w:r w:rsidRPr="001156EE">
        <w:rPr>
          <w:rFonts w:ascii="Times New Roman" w:hAnsi="Times New Roman"/>
          <w:noProof/>
          <w:sz w:val="24"/>
          <w:lang w:val="ro-RO"/>
        </w:rPr>
        <w:t>. Prezentul raport prezintă aceste evoluții majore până în prezent.</w:t>
      </w:r>
    </w:p>
    <w:p w14:paraId="3CFD468C" w14:textId="7BC2B5DA"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Angajamentul politic de a elabora un raport anual privind stadiul pregătirii în materie de sănătate pentru a reflecta peisajul general al riscurilor în schimbare din UE și nivelul de pregătire în materie de sănătate a fost anunțat în Comunicarea Comisiei din 2021 intitulată „Primele concluzii desprinse în urma pandemiei de COVID-19”</w:t>
      </w:r>
      <w:r w:rsidRPr="001156EE">
        <w:rPr>
          <w:rFonts w:ascii="Times New Roman" w:eastAsiaTheme="minorEastAsia" w:hAnsi="Times New Roman" w:cs="Times New Roman"/>
          <w:noProof/>
          <w:sz w:val="24"/>
          <w:vertAlign w:val="superscript"/>
          <w:lang w:val="ro-RO"/>
        </w:rPr>
        <w:footnoteReference w:id="3"/>
      </w:r>
      <w:r w:rsidRPr="001156EE">
        <w:rPr>
          <w:rFonts w:ascii="Times New Roman" w:hAnsi="Times New Roman"/>
          <w:noProof/>
          <w:sz w:val="24"/>
          <w:lang w:val="ro-RO"/>
        </w:rPr>
        <w:t>. Prima ediție a Raportului privind nivelul de pregătire în materie de sănătate</w:t>
      </w:r>
      <w:r w:rsidRPr="001156EE">
        <w:rPr>
          <w:rFonts w:ascii="Times New Roman" w:eastAsia="Times New Roman" w:hAnsi="Times New Roman" w:cs="Times New Roman"/>
          <w:noProof/>
          <w:sz w:val="24"/>
          <w:vertAlign w:val="superscript"/>
          <w:lang w:val="ro-RO"/>
        </w:rPr>
        <w:footnoteReference w:id="4"/>
      </w:r>
      <w:r w:rsidRPr="001156EE">
        <w:rPr>
          <w:rFonts w:ascii="Times New Roman" w:hAnsi="Times New Roman"/>
          <w:noProof/>
          <w:sz w:val="24"/>
          <w:lang w:val="ro-RO"/>
        </w:rPr>
        <w:t xml:space="preserve"> a fost publicată în 2022 și s-a axat pe capacitățile de pregătire legate de contramăsurile medicale. Obiectivul principal al raportului din acest an este de a cartografia acțiunile UE care au fost instituite pentru a combate amenințările transfrontaliere grave pentru sănătate, cu accent pe acțiunile de punere în aplicare a Regulamentului (UE) 2022/2371 (transmiterea unui astfel de raport este, de fapt, o cerință în conformitate cu articolul 9</w:t>
      </w:r>
      <w:r w:rsidRPr="001156EE">
        <w:rPr>
          <w:rFonts w:ascii="Times New Roman" w:eastAsia="Times New Roman" w:hAnsi="Times New Roman" w:cs="Times New Roman"/>
          <w:noProof/>
          <w:sz w:val="24"/>
          <w:vertAlign w:val="superscript"/>
          <w:lang w:val="ro-RO"/>
        </w:rPr>
        <w:footnoteReference w:id="5"/>
      </w:r>
      <w:r w:rsidRPr="001156EE">
        <w:rPr>
          <w:rFonts w:ascii="Times New Roman" w:hAnsi="Times New Roman"/>
          <w:noProof/>
          <w:sz w:val="24"/>
          <w:lang w:val="ro-RO"/>
        </w:rPr>
        <w:t>). Al doilea obiectiv al raportului din 2023 este de a prezenta inițiativele și activitățile relevante în curs de derulare care sunt strâns legate, dar care sunt, de exemplu, coordonate de serviciile Comisiei în afara domeniului de politică reprezentat de sănătatea publică. Prin prezentarea acestor interconexiuni, raportul face bilanțul eforturilor UE în domeniul unei securități sanitare mai puternice, subliniind importanța adoptării unei abordări de tip „O singură sănătate”</w:t>
      </w:r>
      <w:r w:rsidRPr="001156EE">
        <w:rPr>
          <w:rStyle w:val="FootnoteReference"/>
          <w:rFonts w:ascii="Times New Roman" w:eastAsia="Times New Roman" w:hAnsi="Times New Roman" w:cs="Times New Roman"/>
          <w:noProof/>
          <w:sz w:val="24"/>
          <w:lang w:val="ro-RO"/>
        </w:rPr>
        <w:footnoteReference w:id="6"/>
      </w:r>
      <w:r w:rsidRPr="001156EE">
        <w:rPr>
          <w:rFonts w:ascii="Times New Roman" w:hAnsi="Times New Roman"/>
          <w:noProof/>
          <w:sz w:val="24"/>
          <w:lang w:val="ro-RO"/>
        </w:rPr>
        <w:t>. Valoarea abordării de tip „O singură sănătate” este recunoscută de UE și de numeroase guverne, organizații și industrii la nivel mondial, datorită impactului ei critic asupra proceselor generale de prevenire, de pregătire și de evaluare a riscurilor.</w:t>
      </w:r>
    </w:p>
    <w:p w14:paraId="5C54852A" w14:textId="1634DE8E" w:rsidR="00BB0DE4" w:rsidRPr="001156EE" w:rsidRDefault="00BB0DE4" w:rsidP="001F1738">
      <w:pPr>
        <w:spacing w:before="100" w:beforeAutospacing="1" w:after="100" w:afterAutospacing="1" w:line="240" w:lineRule="auto"/>
        <w:jc w:val="both"/>
        <w:rPr>
          <w:rFonts w:ascii="Times New Roman" w:eastAsia="Times New Roman" w:hAnsi="Times New Roman" w:cs="Times New Roman"/>
          <w:noProof/>
          <w:sz w:val="24"/>
          <w:lang w:val="ro-RO"/>
        </w:rPr>
      </w:pPr>
    </w:p>
    <w:p w14:paraId="054ABB5E" w14:textId="77777777" w:rsidR="00031422" w:rsidRPr="001156EE" w:rsidRDefault="00031422" w:rsidP="001F1738">
      <w:pPr>
        <w:spacing w:before="100" w:beforeAutospacing="1" w:after="100" w:afterAutospacing="1" w:line="240" w:lineRule="auto"/>
        <w:jc w:val="both"/>
        <w:rPr>
          <w:rFonts w:ascii="Times New Roman" w:eastAsia="Times New Roman" w:hAnsi="Times New Roman" w:cs="Times New Roman"/>
          <w:noProof/>
          <w:sz w:val="24"/>
          <w:lang w:val="ro-RO"/>
        </w:rPr>
      </w:pPr>
    </w:p>
    <w:p w14:paraId="13517746" w14:textId="77777777"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2. PREVENIRE </w:t>
      </w:r>
      <w:bookmarkStart w:id="2" w:name="_Toc145428513"/>
    </w:p>
    <w:p w14:paraId="37597B31" w14:textId="1B1C964A" w:rsidR="001F1738" w:rsidRPr="001156EE" w:rsidRDefault="001F1738" w:rsidP="001F1738">
      <w:pPr>
        <w:spacing w:before="100" w:beforeAutospacing="1" w:after="100" w:afterAutospacing="1" w:line="240" w:lineRule="auto"/>
        <w:jc w:val="both"/>
        <w:rPr>
          <w:noProof/>
          <w:sz w:val="20"/>
          <w:lang w:val="ro-RO"/>
        </w:rPr>
      </w:pPr>
      <w:r w:rsidRPr="001156EE">
        <w:rPr>
          <w:rFonts w:ascii="Times New Roman" w:hAnsi="Times New Roman"/>
          <w:noProof/>
          <w:sz w:val="24"/>
          <w:lang w:val="ro-RO"/>
        </w:rPr>
        <w:t>Prevenirea este una dintre etapele esențiale ale ciclului de gestionare a crizelor, cuprinzând toate activitățile care vizează reducerea la minimum a poverii amenințărilor pentru sănătate și atenuarea factorilor de risc asociați acestora. Regulamentul (UE) 2022/2371 a codificat în mod ferm noțiunea de prevenire, pe lângă cea de pregătire și răspuns, oferind astfel un temei juridic solid pentru consolidarea activității în acest domeniu. Regulamentul (UE) 2022/2371 acoperă o gamă largă de amenințări transfrontaliere grave pentru sănătatea publică: de la boli transmisibile la amenințări chimice și din sfera mediului și amenințări de origine necunoscută</w:t>
      </w:r>
      <w:r w:rsidRPr="001156EE">
        <w:rPr>
          <w:rFonts w:ascii="Times New Roman" w:eastAsia="Times New Roman" w:hAnsi="Times New Roman" w:cs="Times New Roman"/>
          <w:noProof/>
          <w:sz w:val="24"/>
          <w:vertAlign w:val="superscript"/>
          <w:lang w:val="ro-RO"/>
        </w:rPr>
        <w:footnoteReference w:id="7"/>
      </w:r>
      <w:r w:rsidRPr="001156EE">
        <w:rPr>
          <w:rFonts w:ascii="Times New Roman" w:hAnsi="Times New Roman"/>
          <w:noProof/>
          <w:sz w:val="24"/>
          <w:lang w:val="ro-RO"/>
        </w:rPr>
        <w:t>, creând astfel un cadru general și flexibil pentru pregătire și răspuns.</w:t>
      </w:r>
      <w:bookmarkEnd w:id="2"/>
    </w:p>
    <w:p w14:paraId="7ED7DA91" w14:textId="58E5BBF9" w:rsidR="001F1738" w:rsidRPr="001156EE"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ro-RO"/>
        </w:rPr>
      </w:pPr>
      <w:r w:rsidRPr="001156EE">
        <w:rPr>
          <w:rFonts w:ascii="Times New Roman" w:hAnsi="Times New Roman"/>
          <w:b/>
          <w:noProof/>
          <w:sz w:val="24"/>
          <w:lang w:val="ro-RO"/>
        </w:rPr>
        <w:t>Vaccinarea ca măsură esențială de prevenire</w:t>
      </w:r>
    </w:p>
    <w:p w14:paraId="39E8EFBA" w14:textId="2EC1CA16" w:rsidR="001F1738" w:rsidRPr="001156EE" w:rsidRDefault="00F82520"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Vaccinarea este esențială pentru prevenirea răspândirii bolilor infecțioase. După cum s-a putut observa în timpul pandemiei de COVID-19, Strategia UE privind vaccinurile</w:t>
      </w:r>
      <w:r w:rsidRPr="001156EE">
        <w:rPr>
          <w:rFonts w:ascii="Times New Roman" w:eastAsia="Times New Roman" w:hAnsi="Times New Roman" w:cs="Times New Roman"/>
          <w:noProof/>
          <w:sz w:val="24"/>
          <w:vertAlign w:val="superscript"/>
          <w:lang w:val="ro-RO"/>
        </w:rPr>
        <w:footnoteReference w:id="8"/>
      </w:r>
      <w:r w:rsidRPr="001156EE">
        <w:rPr>
          <w:rFonts w:ascii="Times New Roman" w:hAnsi="Times New Roman"/>
          <w:noProof/>
          <w:sz w:val="24"/>
          <w:lang w:val="ro-RO"/>
        </w:rPr>
        <w:t>, care asigură sprijin pentru dezvoltarea vaccinurilor și disponibilitatea acestora pentru toate statele membre, și campaniile naționale de vaccinare, au putut modifica în mod substanțial cursul evenimentelor, salvând zeci de milioane de vieți la nivel mondial (aproximativ 20 de milioane de vieți au fost salvate numai în primul an</w:t>
      </w:r>
      <w:r w:rsidRPr="001156EE">
        <w:rPr>
          <w:rFonts w:ascii="Times New Roman" w:eastAsia="Times New Roman" w:hAnsi="Times New Roman" w:cs="Times New Roman"/>
          <w:noProof/>
          <w:sz w:val="24"/>
          <w:vertAlign w:val="superscript"/>
          <w:lang w:val="ro-RO"/>
        </w:rPr>
        <w:footnoteReference w:id="9"/>
      </w:r>
      <w:r w:rsidRPr="001156EE">
        <w:rPr>
          <w:rFonts w:ascii="Times New Roman" w:hAnsi="Times New Roman"/>
          <w:noProof/>
          <w:sz w:val="24"/>
          <w:lang w:val="ro-RO"/>
        </w:rPr>
        <w:t>). COVID-19 nu mai este considerată o urgență de sănătate publică de interes internațional</w:t>
      </w:r>
      <w:r w:rsidRPr="001156EE">
        <w:rPr>
          <w:rFonts w:ascii="Times New Roman" w:eastAsia="Times New Roman" w:hAnsi="Times New Roman" w:cs="Times New Roman"/>
          <w:noProof/>
          <w:sz w:val="24"/>
          <w:vertAlign w:val="superscript"/>
          <w:lang w:val="ro-RO"/>
        </w:rPr>
        <w:footnoteReference w:id="10"/>
      </w:r>
      <w:r w:rsidRPr="001156EE">
        <w:rPr>
          <w:rFonts w:ascii="Times New Roman" w:hAnsi="Times New Roman"/>
          <w:noProof/>
          <w:sz w:val="24"/>
          <w:lang w:val="ro-RO"/>
        </w:rPr>
        <w:t>, dar ECDC subliniază că administrarea în continuare a vaccinurilor împotriva COVID-19 de către țări (vizând în special adulții în vârstă și alte grupuri vulnerabile din punct de vedere medical) rămâne esențială pentru a reduce formele grave, spitalizările și decesele cauzate de virus</w:t>
      </w:r>
      <w:r w:rsidRPr="001156EE">
        <w:rPr>
          <w:rFonts w:ascii="Times New Roman" w:eastAsia="Times New Roman" w:hAnsi="Times New Roman" w:cs="Times New Roman"/>
          <w:noProof/>
          <w:sz w:val="24"/>
          <w:vertAlign w:val="superscript"/>
          <w:lang w:val="ro-RO"/>
        </w:rPr>
        <w:footnoteReference w:id="11"/>
      </w:r>
      <w:r w:rsidRPr="001156EE">
        <w:rPr>
          <w:rFonts w:ascii="Times New Roman" w:hAnsi="Times New Roman"/>
          <w:noProof/>
          <w:sz w:val="24"/>
          <w:lang w:val="ro-RO"/>
        </w:rPr>
        <w:t>. Comisia sprijină statele membre în asigurarea accesului continuu la vaccinurile adaptate împotriva COVID-19.</w:t>
      </w:r>
    </w:p>
    <w:p w14:paraId="025FEE48" w14:textId="050D35AE" w:rsidR="00BC7FCB"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De asemenea, Comisia este în continuare activă în domeniul politicii de vaccinare împotriva altor boli, nu doar împotriva COVID-19, sprijinind statele membre să își sporească acoperirea vaccinală. Comunicarea Comisiei și Recomandarea Consiliului din 2018 privind consolidarea cooperării în domeniul bolilor care pot fi prevenite prin vaccinare</w:t>
      </w:r>
      <w:r w:rsidRPr="001156EE">
        <w:rPr>
          <w:rStyle w:val="FootnoteReference"/>
          <w:rFonts w:ascii="Times New Roman" w:eastAsia="Times New Roman" w:hAnsi="Times New Roman" w:cs="Times New Roman"/>
          <w:noProof/>
          <w:sz w:val="24"/>
          <w:lang w:val="ro-RO"/>
        </w:rPr>
        <w:footnoteReference w:id="12"/>
      </w:r>
      <w:r w:rsidRPr="001156EE">
        <w:rPr>
          <w:rFonts w:ascii="Times New Roman" w:hAnsi="Times New Roman"/>
          <w:noProof/>
          <w:sz w:val="24"/>
          <w:lang w:val="ro-RO"/>
        </w:rPr>
        <w:t xml:space="preserve"> au făcut referire la o serie de priorități în acest domeniu, care au fost puse în aplicare de Comisie pe baza unei foi de parcurs accesibile publicului</w:t>
      </w:r>
      <w:r w:rsidRPr="001156EE">
        <w:rPr>
          <w:rFonts w:ascii="Times New Roman" w:eastAsia="Times New Roman" w:hAnsi="Times New Roman" w:cs="Times New Roman"/>
          <w:noProof/>
          <w:sz w:val="24"/>
          <w:vertAlign w:val="superscript"/>
          <w:lang w:val="ro-RO"/>
        </w:rPr>
        <w:footnoteReference w:id="13"/>
      </w:r>
      <w:r w:rsidRPr="001156EE">
        <w:rPr>
          <w:rFonts w:ascii="Times New Roman" w:hAnsi="Times New Roman"/>
          <w:noProof/>
          <w:sz w:val="24"/>
          <w:lang w:val="ro-RO"/>
        </w:rPr>
        <w:t>. De exemplu, pentru a contracara reticența față de vaccinare în rândul populației, care reprezintă un risc din ce în ce mai mare pentru sănătatea publică, Comisia a lansat inițiative precum studii comportamentale</w:t>
      </w:r>
      <w:r w:rsidRPr="001156EE">
        <w:rPr>
          <w:rFonts w:ascii="Times New Roman" w:eastAsia="Times New Roman" w:hAnsi="Times New Roman" w:cs="Times New Roman"/>
          <w:noProof/>
          <w:sz w:val="24"/>
          <w:vertAlign w:val="superscript"/>
          <w:lang w:val="ro-RO"/>
        </w:rPr>
        <w:footnoteReference w:id="14"/>
      </w:r>
      <w:r w:rsidRPr="001156EE">
        <w:rPr>
          <w:rFonts w:ascii="Times New Roman" w:hAnsi="Times New Roman"/>
          <w:noProof/>
          <w:sz w:val="24"/>
          <w:vertAlign w:val="superscript"/>
          <w:lang w:val="ro-RO"/>
        </w:rPr>
        <w:t>,</w:t>
      </w:r>
      <w:r w:rsidRPr="001156EE">
        <w:rPr>
          <w:rFonts w:ascii="Times New Roman" w:eastAsia="Times New Roman" w:hAnsi="Times New Roman" w:cs="Times New Roman"/>
          <w:noProof/>
          <w:sz w:val="24"/>
          <w:vertAlign w:val="superscript"/>
          <w:lang w:val="ro-RO"/>
        </w:rPr>
        <w:footnoteReference w:id="15"/>
      </w:r>
      <w:r w:rsidRPr="001156EE">
        <w:rPr>
          <w:rFonts w:ascii="Times New Roman" w:hAnsi="Times New Roman"/>
          <w:noProof/>
          <w:sz w:val="24"/>
          <w:lang w:val="ro-RO"/>
        </w:rPr>
        <w:t>; Coaliția pentru vaccinare, care reunește asociațiile profesioniștilor și ale studenților din domeniul sănătății din UE pentru a pleda în favoarea vaccinării; și portalul european de informații despre vaccinare</w:t>
      </w:r>
      <w:r w:rsidRPr="001156EE">
        <w:rPr>
          <w:rFonts w:ascii="Times New Roman" w:eastAsia="Times New Roman" w:hAnsi="Times New Roman" w:cs="Times New Roman"/>
          <w:noProof/>
          <w:sz w:val="24"/>
          <w:vertAlign w:val="superscript"/>
          <w:lang w:val="ro-RO"/>
        </w:rPr>
        <w:footnoteReference w:id="16"/>
      </w:r>
      <w:r w:rsidRPr="001156EE">
        <w:rPr>
          <w:rFonts w:ascii="Times New Roman" w:hAnsi="Times New Roman"/>
          <w:noProof/>
          <w:sz w:val="24"/>
          <w:lang w:val="ro-RO"/>
        </w:rPr>
        <w:t>, care este o sursă de informații precise privind vaccinarea pentru publicul larg. Pentru a continua aceste eforturi, un subgrup al Grupului de experți în domeniul sănătății publice (PHEG)</w:t>
      </w:r>
      <w:r w:rsidRPr="001156EE">
        <w:rPr>
          <w:rFonts w:ascii="Times New Roman" w:eastAsia="Times New Roman" w:hAnsi="Times New Roman" w:cs="Times New Roman"/>
          <w:noProof/>
          <w:sz w:val="24"/>
          <w:vertAlign w:val="superscript"/>
          <w:lang w:val="ro-RO"/>
        </w:rPr>
        <w:footnoteReference w:id="17"/>
      </w:r>
      <w:r w:rsidRPr="001156EE">
        <w:rPr>
          <w:rFonts w:ascii="Times New Roman" w:hAnsi="Times New Roman"/>
          <w:noProof/>
          <w:sz w:val="24"/>
          <w:lang w:val="ro-RO"/>
        </w:rPr>
        <w:t xml:space="preserve"> al Comisiei este dedicat vaccinării. În plus, prin intermediul Academiei sale virtuale</w:t>
      </w:r>
      <w:r w:rsidRPr="001156EE">
        <w:rPr>
          <w:rFonts w:ascii="Times New Roman" w:eastAsia="Times New Roman" w:hAnsi="Times New Roman" w:cs="Times New Roman"/>
          <w:noProof/>
          <w:sz w:val="24"/>
          <w:vertAlign w:val="superscript"/>
          <w:lang w:val="ro-RO"/>
        </w:rPr>
        <w:footnoteReference w:id="18"/>
      </w:r>
      <w:r w:rsidRPr="001156EE">
        <w:rPr>
          <w:rFonts w:ascii="Times New Roman" w:hAnsi="Times New Roman"/>
          <w:noProof/>
          <w:sz w:val="24"/>
          <w:lang w:val="ro-RO"/>
        </w:rPr>
        <w:t>, ECDC oferă în prezent publicului formare online privind reticența și dezinformarea în ceea ce privește vaccinarea și continuă să găzduiască Grupul consultativ tehnic național privind imunizarea (NITAG) al țărilor din Spațiul Economic European (SEE), care evaluează nevoile de vaccinare și consiliază guvernele naționale cu privire la strategiile de vaccinare.</w:t>
      </w:r>
    </w:p>
    <w:p w14:paraId="38418092" w14:textId="556B8FFC"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continuare, Comisia elaborează o strategie privind vaccinurile care vizează amenințările prioritare pentru care ar fi necesară dezvoltarea de noi vaccinuri sau îmbunătățirea celor existente. În plus, activitatea Comisiei privind vaccinarea are legături strânse și cu Planul european de combatere a cancerului</w:t>
      </w:r>
      <w:r w:rsidRPr="001156EE">
        <w:rPr>
          <w:rFonts w:ascii="Times New Roman" w:eastAsia="Times New Roman" w:hAnsi="Times New Roman" w:cs="Times New Roman"/>
          <w:noProof/>
          <w:sz w:val="24"/>
          <w:vertAlign w:val="superscript"/>
          <w:lang w:val="ro-RO"/>
        </w:rPr>
        <w:footnoteReference w:id="19"/>
      </w:r>
      <w:r w:rsidRPr="001156EE">
        <w:rPr>
          <w:rFonts w:ascii="Times New Roman" w:hAnsi="Times New Roman"/>
          <w:noProof/>
          <w:sz w:val="24"/>
          <w:lang w:val="ro-RO"/>
        </w:rPr>
        <w:t xml:space="preserve">, care este ilustrată de o viitoare propunere de Recomandare a Consiliului privind formele de cancer care pot fi prevenite prin vaccinare. </w:t>
      </w:r>
    </w:p>
    <w:p w14:paraId="31ABCBF6" w14:textId="77777777" w:rsidR="00412481" w:rsidRPr="001156EE"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Schimbul transfrontalier de date privind vaccinarea cu profesioniștii din domeniul sănătății, în limba lor</w:t>
      </w:r>
    </w:p>
    <w:p w14:paraId="1A7FA272" w14:textId="26BC60DB" w:rsidR="00412481" w:rsidRPr="001156EE"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Infrastructura MyHealth@EU a fost lansată pentru a permite profesioniștilor din domeniul sănătății să acceseze, în limba lor, datele electronice privind sănătatea, inclusiv dosarele de vaccinare, ale pacienților care călătoresc sau se mută din țara lor de origine în alt stat membru. Ea are obiectivul de a asigura continuitatea îngrijirii. Participarea este voluntară (în temeiul Directivei 2011/24/UE privind aplicarea drepturilor pacienților în cadrul asistenței medicale transfrontaliere). În iulie 2023, 11 state membre erau deja conectate la MyHealth@EU, iar mai multe state intenționează să se alăture în viitor. În conformitate cu propunerea Comisiei de Regulament privind un spațiu european al datelor privind sănătatea, care face în prezent obiectul negocierilor de către colegiuitori, participarea statelor membre la infrastructura MyHealth@EU ar urma să devină obligatorie. În cadrul programului de lucru al UE pentru sănătate (EU4Health) pentru 2023, sunt planificate granturi directe pentru autoritățile statelor membre pentru dezvoltarea și consolidarea serviciilor MyHealth@EU, inclusiv a serviciilor privind cardul de vaccinare.</w:t>
      </w:r>
    </w:p>
    <w:p w14:paraId="614B0833" w14:textId="77777777" w:rsidR="00412481" w:rsidRPr="001156EE" w:rsidRDefault="00412481" w:rsidP="00412481">
      <w:pPr>
        <w:spacing w:after="0" w:line="240" w:lineRule="auto"/>
        <w:jc w:val="center"/>
        <w:rPr>
          <w:rFonts w:ascii="Times New Roman" w:eastAsia="Times New Roman" w:hAnsi="Times New Roman" w:cs="Times New Roman"/>
          <w:b/>
          <w:noProof/>
          <w:sz w:val="4"/>
          <w:lang w:val="ro-RO"/>
        </w:rPr>
      </w:pPr>
    </w:p>
    <w:p w14:paraId="6291086D" w14:textId="78DA1455" w:rsidR="00412481" w:rsidRPr="001156EE" w:rsidRDefault="00412481" w:rsidP="00412481">
      <w:pPr>
        <w:pBdr>
          <w:top w:val="single" w:sz="12" w:space="1" w:color="auto"/>
          <w:left w:val="single" w:sz="12" w:space="4" w:color="auto"/>
          <w:bottom w:val="single" w:sz="12" w:space="1" w:color="auto"/>
          <w:right w:val="single" w:sz="12" w:space="4" w:color="auto"/>
        </w:pBdr>
        <w:spacing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Monitorizarea vaccinurilor pe piața UE</w:t>
      </w:r>
    </w:p>
    <w:p w14:paraId="70FD2C30" w14:textId="77777777" w:rsidR="00412481" w:rsidRPr="001156EE"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Experiența legată de COVID-19 a reiterat importanța monitorizării ulterioare introducerii pe piață a vaccinurilor. Prin urmare, a fost lansată platforma de monitorizare a vaccinurilor ca spațiu de colaborare între ECDC și EMA pentru a aborda chestiunile legate de cercetare prin intermediul unor studii independente, de amploare, la nivelul UE, privind eficacitatea vaccinurilor și monitorizarea siguranței lor. Este necesar să se consolideze capacitățile statelor membre și să se creeze, atât la nivel național, cât și la nivel subnațional, infrastructurile care să permită monitorizarea sustenabilă și pe termen lung care este necesară pentru a fundamenta deciziile de sănătate publică și de reglementare privind vaccinurile de pe piața UE și utilizarea acestora în condiții reale.</w:t>
      </w:r>
    </w:p>
    <w:p w14:paraId="4298819D" w14:textId="296E4DF1" w:rsidR="001F1738" w:rsidRPr="001156EE" w:rsidRDefault="001F1738" w:rsidP="00031422">
      <w:pPr>
        <w:keepNext/>
        <w:keepLines/>
        <w:spacing w:before="480" w:after="100" w:afterAutospacing="1" w:line="240" w:lineRule="auto"/>
        <w:jc w:val="both"/>
        <w:outlineLvl w:val="2"/>
        <w:rPr>
          <w:rFonts w:ascii="Times New Roman" w:eastAsia="Times New Roman" w:hAnsi="Times New Roman" w:cs="Times New Roman"/>
          <w:noProof/>
          <w:sz w:val="24"/>
          <w:lang w:val="ro-RO"/>
        </w:rPr>
      </w:pPr>
      <w:r w:rsidRPr="001156EE">
        <w:rPr>
          <w:rFonts w:ascii="Times New Roman" w:hAnsi="Times New Roman"/>
          <w:b/>
          <w:noProof/>
          <w:sz w:val="24"/>
          <w:lang w:val="ro-RO"/>
        </w:rPr>
        <w:t>Combaterea</w:t>
      </w:r>
      <w:r w:rsidRPr="001156EE">
        <w:rPr>
          <w:rFonts w:ascii="Times New Roman" w:hAnsi="Times New Roman"/>
          <w:noProof/>
          <w:sz w:val="24"/>
          <w:lang w:val="ro-RO"/>
        </w:rPr>
        <w:t xml:space="preserve"> </w:t>
      </w:r>
      <w:r w:rsidRPr="001156EE">
        <w:rPr>
          <w:rFonts w:ascii="Times New Roman" w:hAnsi="Times New Roman"/>
          <w:b/>
          <w:noProof/>
          <w:sz w:val="24"/>
          <w:lang w:val="ro-RO"/>
        </w:rPr>
        <w:t>rezistenței la</w:t>
      </w:r>
      <w:r w:rsidRPr="001156EE">
        <w:rPr>
          <w:rFonts w:ascii="Times New Roman" w:hAnsi="Times New Roman"/>
          <w:noProof/>
          <w:sz w:val="24"/>
          <w:lang w:val="ro-RO"/>
        </w:rPr>
        <w:t xml:space="preserve"> </w:t>
      </w:r>
      <w:r w:rsidRPr="001156EE">
        <w:rPr>
          <w:rFonts w:ascii="Times New Roman" w:hAnsi="Times New Roman"/>
          <w:b/>
          <w:noProof/>
          <w:sz w:val="24"/>
          <w:lang w:val="ro-RO"/>
        </w:rPr>
        <w:t>antimicrobiene</w:t>
      </w:r>
    </w:p>
    <w:p w14:paraId="6FB1431E" w14:textId="29CA716B"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Rezistența la antimicrobiene (RAM) este capacitatea microbilor, cum ar fi bacteriile, virusurile și ciupercile, de a dezvolta rezistență la medicamentele concepute pentru a le ucide și de a supraviețui în urma expunerii la ele. RAM amenință să submineze medicina modernă, așa cum o cunoaștem. Anii următori vor fi esențiali pentru a asigura dezvoltarea și utilizarea prudentă a unor antimicrobiene eficace și accesul la ele și, prin urmare, va fi necesară o mai bună conștientizare a luptei împotriva RAM. Se estimează că cel puțin 35 000 de persoane mor în fiecare an în UE/SEE, ca o consecință directă a infecțiilor rezistente. Această cifră este mai mare decât totalul combinat al deceselor cauzate de gripă, tuberculoză și HIV/SIDA, iar acest număr este în creștere</w:t>
      </w:r>
      <w:r w:rsidRPr="001156EE">
        <w:rPr>
          <w:rFonts w:ascii="Times New Roman" w:eastAsia="Times New Roman" w:hAnsi="Times New Roman" w:cs="Times New Roman"/>
          <w:noProof/>
          <w:sz w:val="24"/>
          <w:vertAlign w:val="superscript"/>
          <w:lang w:val="ro-RO"/>
        </w:rPr>
        <w:footnoteReference w:id="20"/>
      </w:r>
      <w:r w:rsidRPr="001156EE">
        <w:rPr>
          <w:rFonts w:ascii="Times New Roman" w:hAnsi="Times New Roman"/>
          <w:noProof/>
          <w:sz w:val="24"/>
          <w:lang w:val="ro-RO"/>
        </w:rPr>
        <w:t xml:space="preserve">. RAM nu se află atât de vizibil în atenția publicului precum COVID-19, dar nu mai este o pandemie tăcută și necesită măsuri urgente pentru a preveni rezultatele catastrofale preconizate în prezent. </w:t>
      </w:r>
    </w:p>
    <w:p w14:paraId="140D7619" w14:textId="4D0453F2"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 baza Planului de acțiune al UE din 2017 privind rezistența la antimicrobiene</w:t>
      </w:r>
      <w:r w:rsidRPr="001156EE">
        <w:rPr>
          <w:rFonts w:ascii="Times New Roman" w:eastAsia="Times New Roman" w:hAnsi="Times New Roman" w:cs="Times New Roman"/>
          <w:noProof/>
          <w:sz w:val="24"/>
          <w:vertAlign w:val="superscript"/>
          <w:lang w:val="ro-RO"/>
        </w:rPr>
        <w:footnoteReference w:id="21"/>
      </w:r>
      <w:r w:rsidRPr="001156EE">
        <w:rPr>
          <w:rFonts w:ascii="Times New Roman" w:hAnsi="Times New Roman"/>
          <w:noProof/>
          <w:sz w:val="24"/>
          <w:lang w:val="ro-RO"/>
        </w:rPr>
        <w:t>, în aprilie 2023 Comisia a propus o recomandare a Consiliului, care a fost adoptată în iunie 2023</w:t>
      </w:r>
      <w:r w:rsidRPr="001156EE">
        <w:rPr>
          <w:rFonts w:ascii="Times New Roman" w:eastAsia="Times New Roman" w:hAnsi="Times New Roman" w:cs="Times New Roman"/>
          <w:noProof/>
          <w:sz w:val="24"/>
          <w:vertAlign w:val="superscript"/>
          <w:lang w:val="ro-RO"/>
        </w:rPr>
        <w:footnoteReference w:id="22"/>
      </w:r>
      <w:r w:rsidRPr="001156EE">
        <w:rPr>
          <w:rFonts w:ascii="Times New Roman" w:hAnsi="Times New Roman"/>
          <w:noProof/>
          <w:sz w:val="24"/>
          <w:lang w:val="ro-RO"/>
        </w:rPr>
        <w:t>. Prin el se recomandă măsuri de combatere a RAM în domeniul sănătății umane, al sănătății animale și al mediului, prin intermediul abordării de tip „O singură sănătate”. Pentru prima dată în UE, recomandarea stabilește obiective la nivelul UE și la nivel național pentru a reduce consumul de medicamente antimicrobiene și pentru a controla răspândirea agenților patogeni critici pentru sănătatea umană. Concepute cu sprijinul ECDC, aceste ținte recomandate ar trebui să servească drept motor al acțiunii la nivel național și al monitorizării progreselor înregistrate în următorii ani.</w:t>
      </w:r>
    </w:p>
    <w:p w14:paraId="2DE3E0DB" w14:textId="77777777" w:rsidR="00412481" w:rsidRPr="001156EE"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Aspecte importante: acțiune comună vizând RAM</w:t>
      </w:r>
    </w:p>
    <w:p w14:paraId="1A360448" w14:textId="77777777" w:rsidR="00412481" w:rsidRPr="001156EE" w:rsidRDefault="00412481" w:rsidP="00412481">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plus, UE își mobilizează resursele financiare pentru a sprijini politici și măsuri eficace în materie de RAM. Peste 57 de milioane EUR au fost investite în cadrul programului „UE pentru sănătate” în primii trei ani (2021-2023) pentru combaterea RAM – în special o nouă acțiune comună privind RAM, care urmează să fie lansată în 2024 pentru a reuni toate statele membre ale UE, Islanda, Norvegia și Ucraina în activități comune de combatere a RAM în cadrul abordării de tip „O singură sănătate”.</w:t>
      </w:r>
    </w:p>
    <w:p w14:paraId="63785F3E" w14:textId="1C279E68" w:rsidR="001F1738" w:rsidRPr="001156EE" w:rsidRDefault="00C371B7"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Pentru a aborda problema tot mai mare reprezentată de RAM, este esențial să se asigure atât accesul la antimicrobienele existente, cât și dezvoltarea unor antimicrobiene noi eficace. La 26 aprilie 2023, Comisia a adoptat propuneri pentru o nouă directivă și un nou regulament care să revizuiască și să înlocuiască legislația farmaceutică generală existentă a Uniunii</w:t>
      </w:r>
      <w:r w:rsidRPr="001156EE">
        <w:rPr>
          <w:rFonts w:ascii="Times New Roman" w:eastAsia="Times New Roman" w:hAnsi="Times New Roman" w:cs="Times New Roman"/>
          <w:noProof/>
          <w:sz w:val="24"/>
          <w:vertAlign w:val="superscript"/>
          <w:lang w:val="ro-RO"/>
        </w:rPr>
        <w:footnoteReference w:id="23"/>
      </w:r>
      <w:r w:rsidRPr="001156EE">
        <w:rPr>
          <w:rFonts w:ascii="Times New Roman" w:hAnsi="Times New Roman"/>
          <w:noProof/>
          <w:sz w:val="24"/>
          <w:lang w:val="ro-RO"/>
        </w:rPr>
        <w:t>. Aceste propuneri conțin măsuri de îmbunătățire a inovării și a accesului la medicamente în UE, inclusiv la antimicrobiene. Unele măsuri abordează în mod specific RAM, împreună cu recomandarea Consiliului menționată anterior, care vizează consolidarea utilizării prudente a antimicrobienelor și includ „vouchere transferabile de protecție a datelor”</w:t>
      </w:r>
      <w:r w:rsidRPr="001156EE">
        <w:rPr>
          <w:rStyle w:val="FootnoteReference"/>
          <w:rFonts w:ascii="Times New Roman" w:eastAsia="Times New Roman" w:hAnsi="Times New Roman" w:cs="Times New Roman"/>
          <w:noProof/>
          <w:sz w:val="24"/>
          <w:lang w:val="ro-RO"/>
        </w:rPr>
        <w:footnoteReference w:id="24"/>
      </w:r>
      <w:r w:rsidRPr="001156EE">
        <w:rPr>
          <w:rFonts w:ascii="Times New Roman" w:hAnsi="Times New Roman"/>
          <w:noProof/>
          <w:sz w:val="24"/>
          <w:lang w:val="ro-RO"/>
        </w:rPr>
        <w:t xml:space="preserve"> pentru a stimula dezvoltarea de antibiotice noi. Eligibilitatea pentru schema de vouchere ar fi limitată la antimicrobiene noi care abordează RAM și la agenții patogeni prioritari rezistenți la antimicrobiene, recunoscuți de Organizația Mondială a Sănătății (OMS). Recomandarea Consiliului privind intensificarea acțiunilor UE de combatere a RAM a salutat, în plus, intenția Comisiei de a concepe un sistem multinațional de stimulente de antrenare la nivelul Uniunii pentru a îmbunătăți inovarea, dezvoltarea de antimicrobiene noi și accesul la antimicrobienele existente și noi, cu sprijin financiar din partea programului „UE pentru sănătate”</w:t>
      </w:r>
      <w:r w:rsidRPr="001156EE">
        <w:rPr>
          <w:rStyle w:val="FootnoteReference"/>
          <w:rFonts w:ascii="Times New Roman" w:eastAsia="Times New Roman" w:hAnsi="Times New Roman" w:cs="Times New Roman"/>
          <w:noProof/>
          <w:sz w:val="24"/>
          <w:lang w:val="ro-RO"/>
        </w:rPr>
        <w:footnoteReference w:id="25"/>
      </w:r>
      <w:r w:rsidRPr="001156EE">
        <w:rPr>
          <w:rFonts w:ascii="Times New Roman" w:hAnsi="Times New Roman"/>
          <w:noProof/>
          <w:sz w:val="24"/>
          <w:lang w:val="ro-RO"/>
        </w:rPr>
        <w:t xml:space="preserve">. </w:t>
      </w:r>
    </w:p>
    <w:p w14:paraId="2A6557E9" w14:textId="01FEB5E5" w:rsidR="00DC40EF" w:rsidRPr="001156EE" w:rsidRDefault="00DC40EF"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ceea ce privește disponibilitatea antibioticelor existente și prevenirea deficitelor acestora în sezonul de toamnă și iarnă 2023, Comisia monitorizează împreună cu EMA oferta și cererea de antibiotice esențiale utilizate în tratamentul infecțiilor respiratorii</w:t>
      </w:r>
      <w:r w:rsidRPr="001156EE">
        <w:rPr>
          <w:rStyle w:val="FootnoteReference"/>
          <w:rFonts w:ascii="Times New Roman" w:eastAsia="Times New Roman" w:hAnsi="Times New Roman" w:cs="Times New Roman"/>
          <w:noProof/>
          <w:sz w:val="24"/>
          <w:lang w:val="ro-RO"/>
        </w:rPr>
        <w:footnoteReference w:id="26"/>
      </w:r>
      <w:r w:rsidRPr="001156EE">
        <w:rPr>
          <w:noProof/>
          <w:lang w:val="ro-RO"/>
        </w:rPr>
        <w:t>.</w:t>
      </w:r>
      <w:r w:rsidRPr="001156EE">
        <w:rPr>
          <w:rFonts w:ascii="Times New Roman" w:hAnsi="Times New Roman"/>
          <w:noProof/>
          <w:sz w:val="24"/>
          <w:lang w:val="ro-RO"/>
        </w:rPr>
        <w:t xml:space="preserve"> Pe baza rezultatelor acestei monitorizări, Grupul de coordonare privind deficitele de medicamente și siguranța medicamentelor din cadrul EMA a emis recomandări pentru a asigura disponibilitatea antibioticelor expuse unui risc potențial de deficite. Astfel cum s-a anunțat în Comunicarea privind abordarea deficitelor de medicamente în UE</w:t>
      </w:r>
      <w:r w:rsidRPr="001156EE">
        <w:rPr>
          <w:rStyle w:val="FootnoteReference"/>
          <w:rFonts w:ascii="Times New Roman" w:eastAsia="Times New Roman" w:hAnsi="Times New Roman" w:cs="Times New Roman"/>
          <w:noProof/>
          <w:sz w:val="24"/>
          <w:lang w:val="ro-RO"/>
        </w:rPr>
        <w:footnoteReference w:id="27"/>
      </w:r>
      <w:r w:rsidRPr="001156EE">
        <w:rPr>
          <w:rFonts w:ascii="Times New Roman" w:hAnsi="Times New Roman"/>
          <w:noProof/>
          <w:sz w:val="24"/>
          <w:lang w:val="ro-RO"/>
        </w:rPr>
        <w:t>, Comisia și EMA vor continua să monitorizeze îndeaproape situația.</w:t>
      </w:r>
    </w:p>
    <w:p w14:paraId="1BEAB647" w14:textId="0679CD0E"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Prin activitatea sa, Comisia sprijină în continuare dezvoltarea contramăsurilor medicale de prevenire, de diagnosticare și terapeutice împotriva RAM și accesul la acestea. Acest sprijin include finanțarea unor organisme internaționale precum OMS, Parteneriatul mondial pentru cercetare și dezvoltare în domeniul antibioticelor</w:t>
      </w:r>
      <w:r w:rsidRPr="001156EE">
        <w:rPr>
          <w:rFonts w:ascii="Times New Roman" w:eastAsia="Times New Roman" w:hAnsi="Times New Roman" w:cs="Times New Roman"/>
          <w:noProof/>
          <w:sz w:val="24"/>
          <w:vertAlign w:val="superscript"/>
          <w:lang w:val="ro-RO"/>
        </w:rPr>
        <w:footnoteReference w:id="28"/>
      </w:r>
      <w:r w:rsidRPr="001156EE">
        <w:rPr>
          <w:rFonts w:ascii="Times New Roman" w:hAnsi="Times New Roman"/>
          <w:noProof/>
          <w:sz w:val="24"/>
          <w:lang w:val="ro-RO"/>
        </w:rPr>
        <w:t xml:space="preserve"> și inițiativa comună a acestuia, SECURE</w:t>
      </w:r>
      <w:r w:rsidRPr="001156EE">
        <w:rPr>
          <w:rFonts w:ascii="Times New Roman" w:eastAsia="Times New Roman" w:hAnsi="Times New Roman" w:cs="Times New Roman"/>
          <w:noProof/>
          <w:sz w:val="24"/>
          <w:vertAlign w:val="superscript"/>
          <w:lang w:val="ro-RO"/>
        </w:rPr>
        <w:footnoteReference w:id="29"/>
      </w:r>
      <w:r w:rsidRPr="001156EE">
        <w:rPr>
          <w:rFonts w:ascii="Times New Roman" w:hAnsi="Times New Roman"/>
          <w:noProof/>
          <w:sz w:val="24"/>
          <w:lang w:val="ro-RO"/>
        </w:rPr>
        <w:t>, care depune eforturi pentru a dezvolta noi antibiotice</w:t>
      </w:r>
      <w:r w:rsidRPr="001156EE">
        <w:rPr>
          <w:rFonts w:ascii="Times New Roman" w:eastAsia="Times New Roman" w:hAnsi="Times New Roman" w:cs="Times New Roman"/>
          <w:noProof/>
          <w:sz w:val="24"/>
          <w:vertAlign w:val="superscript"/>
          <w:lang w:val="ro-RO"/>
        </w:rPr>
        <w:footnoteReference w:id="30"/>
      </w:r>
      <w:r w:rsidRPr="001156EE">
        <w:rPr>
          <w:rFonts w:ascii="Times New Roman" w:hAnsi="Times New Roman"/>
          <w:noProof/>
          <w:sz w:val="24"/>
          <w:lang w:val="ro-RO"/>
        </w:rPr>
        <w:t xml:space="preserve"> și vaccinuri împotriva infecțiilor afectate de RAM</w:t>
      </w:r>
      <w:r w:rsidRPr="001156EE">
        <w:rPr>
          <w:rFonts w:ascii="Times New Roman" w:eastAsia="Times New Roman" w:hAnsi="Times New Roman" w:cs="Times New Roman"/>
          <w:noProof/>
          <w:sz w:val="24"/>
          <w:vertAlign w:val="superscript"/>
          <w:lang w:val="ro-RO"/>
        </w:rPr>
        <w:footnoteReference w:id="31"/>
      </w:r>
      <w:r w:rsidRPr="001156EE">
        <w:rPr>
          <w:rFonts w:ascii="Times New Roman" w:hAnsi="Times New Roman"/>
          <w:noProof/>
          <w:sz w:val="24"/>
          <w:lang w:val="ro-RO"/>
        </w:rPr>
        <w:t>. HERA Invest, un instrument suplimentar de 100 de milioane EUR la programul InvestEU, care este orientat către întreprinderile mici și mijlocii care dezvoltă contramăsuri medicale, va aborda, de asemenea, RAM.</w:t>
      </w:r>
    </w:p>
    <w:p w14:paraId="165F72B9" w14:textId="54549049"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În același timp, programul-cadru al UE pentru cercetare și inovare, Orizont Europa, îndeplinește obiectivele Planului de acțiune al UE din 2017 și ale Recomandării Consiliului din 2023 privind RAM. În ultimul an, el a oferit sprijin prin intermediul unei acțiuni de coordonare și de sprijin, DESIGN OH AMR (</w:t>
      </w:r>
      <w:r w:rsidRPr="001156EE">
        <w:rPr>
          <w:rFonts w:ascii="Times New Roman" w:hAnsi="Times New Roman"/>
          <w:i/>
          <w:iCs/>
          <w:noProof/>
          <w:sz w:val="24"/>
          <w:lang w:val="ro-RO"/>
        </w:rPr>
        <w:t>DESIGN One Health AntiMicrobial Resistance</w:t>
      </w:r>
      <w:r w:rsidRPr="001156EE">
        <w:rPr>
          <w:rFonts w:ascii="Times New Roman" w:hAnsi="Times New Roman"/>
          <w:noProof/>
          <w:sz w:val="24"/>
          <w:lang w:val="ro-RO"/>
        </w:rPr>
        <w:t>)</w:t>
      </w:r>
      <w:r w:rsidRPr="001156EE">
        <w:rPr>
          <w:rFonts w:ascii="Times New Roman" w:eastAsia="Times New Roman" w:hAnsi="Times New Roman" w:cs="Times New Roman"/>
          <w:noProof/>
          <w:sz w:val="24"/>
          <w:vertAlign w:val="superscript"/>
          <w:lang w:val="ro-RO"/>
        </w:rPr>
        <w:footnoteReference w:id="32"/>
      </w:r>
      <w:r w:rsidRPr="001156EE">
        <w:rPr>
          <w:rFonts w:ascii="Times New Roman" w:hAnsi="Times New Roman"/>
          <w:noProof/>
          <w:sz w:val="24"/>
          <w:lang w:val="ro-RO"/>
        </w:rPr>
        <w:t>, pentru dezvoltarea unui parteneriat european de cofinanțare privind cercetarea și inovarea în domeniul RAM în cadrul abordării de tip „O singură sănătate”, care urmează să fie lansat în 2025, la care se preconizează că UE va contribui cu 100 de milioane EUR</w:t>
      </w:r>
      <w:r w:rsidRPr="001156EE">
        <w:rPr>
          <w:rStyle w:val="FootnoteReference"/>
          <w:rFonts w:ascii="Times New Roman" w:eastAsiaTheme="minorEastAsia" w:hAnsi="Times New Roman" w:cs="Times New Roman"/>
          <w:noProof/>
          <w:sz w:val="24"/>
          <w:lang w:val="ro-RO"/>
        </w:rPr>
        <w:footnoteReference w:id="33"/>
      </w:r>
      <w:r w:rsidRPr="001156EE">
        <w:rPr>
          <w:noProof/>
          <w:lang w:val="ro-RO"/>
        </w:rPr>
        <w:t>.</w:t>
      </w:r>
      <w:r w:rsidRPr="001156EE">
        <w:rPr>
          <w:rFonts w:ascii="Times New Roman" w:hAnsi="Times New Roman"/>
          <w:noProof/>
          <w:sz w:val="24"/>
          <w:lang w:val="ro-RO"/>
        </w:rPr>
        <w:t xml:space="preserve"> De asemenea, de la lansarea programului Orizont Europa, Comisia a continuat să furnizeze resurse de finanțare în valoare de aproape 200 de milioane EUR pentru acțiuni de cercetare și inovare în domeniul RAM în cadrul abordării de tip „O singură sănătate”</w:t>
      </w:r>
      <w:r w:rsidRPr="001156EE">
        <w:rPr>
          <w:rFonts w:ascii="Times New Roman" w:eastAsiaTheme="minorEastAsia" w:hAnsi="Times New Roman" w:cs="Times New Roman"/>
          <w:noProof/>
          <w:sz w:val="24"/>
          <w:vertAlign w:val="superscript"/>
          <w:lang w:val="ro-RO"/>
        </w:rPr>
        <w:footnoteReference w:id="34"/>
      </w:r>
      <w:r w:rsidRPr="001156EE">
        <w:rPr>
          <w:rFonts w:ascii="Times New Roman" w:hAnsi="Times New Roman"/>
          <w:noProof/>
          <w:sz w:val="24"/>
          <w:lang w:val="ro-RO"/>
        </w:rPr>
        <w:t>.</w:t>
      </w:r>
    </w:p>
    <w:p w14:paraId="7F2FFC58" w14:textId="6763CDD9" w:rsidR="00D00D56" w:rsidRPr="001156EE" w:rsidRDefault="001F1738" w:rsidP="00BC7FCB">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 lângă eforturile sale în domeniul sănătății umane și animale, Comisia recunoaște în continuare că mediul este un rezervor de rezistență care necesită o mai bună înțelegere, astfel cum se recunoaște în Abordarea strategică a UE privind impactul substanțelor farmaceutice asupra mediului</w:t>
      </w:r>
      <w:r w:rsidRPr="001156EE">
        <w:rPr>
          <w:rFonts w:ascii="Times New Roman" w:eastAsia="Times New Roman" w:hAnsi="Times New Roman" w:cs="Times New Roman"/>
          <w:noProof/>
          <w:sz w:val="24"/>
          <w:vertAlign w:val="superscript"/>
          <w:lang w:val="ro-RO"/>
        </w:rPr>
        <w:footnoteReference w:id="35"/>
      </w:r>
      <w:r w:rsidRPr="001156EE">
        <w:rPr>
          <w:rFonts w:ascii="Times New Roman" w:hAnsi="Times New Roman"/>
          <w:noProof/>
          <w:sz w:val="24"/>
          <w:lang w:val="ro-RO"/>
        </w:rPr>
        <w:t>. Prin intermediul inițiativelor din cadrul Pactului verde european</w:t>
      </w:r>
      <w:r w:rsidRPr="001156EE">
        <w:rPr>
          <w:rFonts w:ascii="Times New Roman" w:eastAsia="Times New Roman" w:hAnsi="Times New Roman" w:cs="Times New Roman"/>
          <w:noProof/>
          <w:sz w:val="24"/>
          <w:vertAlign w:val="superscript"/>
          <w:lang w:val="ro-RO"/>
        </w:rPr>
        <w:footnoteReference w:id="36"/>
      </w:r>
      <w:r w:rsidRPr="001156EE">
        <w:rPr>
          <w:rFonts w:ascii="Times New Roman" w:hAnsi="Times New Roman"/>
          <w:noProof/>
          <w:sz w:val="24"/>
          <w:lang w:val="ro-RO"/>
        </w:rPr>
        <w:t xml:space="preserve"> și, în special, al Planului de acțiune privind reducerea la zero a poluării</w:t>
      </w:r>
      <w:r w:rsidRPr="001156EE">
        <w:rPr>
          <w:rStyle w:val="FootnoteReference"/>
          <w:rFonts w:ascii="Times New Roman" w:eastAsia="Times New Roman" w:hAnsi="Times New Roman" w:cs="Times New Roman"/>
          <w:noProof/>
          <w:sz w:val="24"/>
          <w:lang w:val="ro-RO"/>
        </w:rPr>
        <w:footnoteReference w:id="37"/>
      </w:r>
      <w:r w:rsidRPr="001156EE">
        <w:rPr>
          <w:rFonts w:ascii="Times New Roman" w:hAnsi="Times New Roman"/>
          <w:noProof/>
          <w:sz w:val="24"/>
          <w:lang w:val="ro-RO"/>
        </w:rPr>
        <w:t>, Comisia a acționat în mai multe domenii asociate mediului. În ceea ce privește apa, Comisia propune revizuirea listei poluanților din apele subterane și de suprafață</w:t>
      </w:r>
      <w:r w:rsidRPr="001156EE">
        <w:rPr>
          <w:rFonts w:ascii="Times New Roman" w:eastAsia="Times New Roman" w:hAnsi="Times New Roman" w:cs="Times New Roman"/>
          <w:noProof/>
          <w:sz w:val="24"/>
          <w:vertAlign w:val="superscript"/>
          <w:lang w:val="ro-RO"/>
        </w:rPr>
        <w:footnoteReference w:id="38"/>
      </w:r>
      <w:r w:rsidRPr="001156EE">
        <w:rPr>
          <w:rFonts w:ascii="Times New Roman" w:hAnsi="Times New Roman"/>
          <w:noProof/>
          <w:sz w:val="24"/>
          <w:lang w:val="ro-RO"/>
        </w:rPr>
        <w:t>, incluzând o serie de substanțe RAM și gene care conferă RAM. Propunerea Comisiei de reformare a Directivei privind epurarea apelor uzate urbane</w:t>
      </w:r>
      <w:r w:rsidRPr="001156EE">
        <w:rPr>
          <w:rFonts w:ascii="Times New Roman" w:eastAsia="Times New Roman" w:hAnsi="Times New Roman" w:cs="Times New Roman"/>
          <w:noProof/>
          <w:sz w:val="24"/>
          <w:vertAlign w:val="superscript"/>
          <w:lang w:val="ro-RO"/>
        </w:rPr>
        <w:footnoteReference w:id="39"/>
      </w:r>
      <w:r w:rsidRPr="001156EE">
        <w:rPr>
          <w:rFonts w:ascii="Times New Roman" w:hAnsi="Times New Roman"/>
          <w:noProof/>
          <w:sz w:val="24"/>
          <w:lang w:val="ro-RO"/>
        </w:rPr>
        <w:t xml:space="preserve"> stabilește, în plus, printre alte măsuri, monitorizarea parametrilor de sănătate în apele uzate urbane, inclusiv supravegherea obligatorie a RAM, pentru a îmbunătăți pregătirea UE împotriva pandemiilor sau a altor amenințări majore pentru sănătatea publică, așa cum se procedează în prezent în cazul COVID-19. </w:t>
      </w:r>
    </w:p>
    <w:p w14:paraId="1E81BDED" w14:textId="05E02C6F" w:rsidR="00BC7FCB" w:rsidRPr="001156EE" w:rsidRDefault="001F1738" w:rsidP="00BC7FCB">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În ceea ce privește solul, Comisia analizează genele care conferă RAM ale microorganismelor din solurile agricole prin intermediul studiului LUCAS Soil 2018</w:t>
      </w:r>
      <w:r w:rsidRPr="001156EE">
        <w:rPr>
          <w:rFonts w:ascii="Times New Roman" w:eastAsiaTheme="minorEastAsia" w:hAnsi="Times New Roman" w:cs="Times New Roman"/>
          <w:noProof/>
          <w:sz w:val="24"/>
          <w:vertAlign w:val="superscript"/>
          <w:lang w:val="ro-RO"/>
        </w:rPr>
        <w:footnoteReference w:id="40"/>
      </w:r>
      <w:r w:rsidRPr="001156EE">
        <w:rPr>
          <w:rFonts w:ascii="Times New Roman" w:hAnsi="Times New Roman"/>
          <w:noProof/>
          <w:sz w:val="24"/>
          <w:lang w:val="ro-RO"/>
        </w:rPr>
        <w:t>, rapoartele fiind așteptate până la sfârșitul anului 2023. Potrivit rezultatelor preliminare, peste 600 de probe conțineau niveluri detectabile de gene care conferă RAM</w:t>
      </w:r>
      <w:r w:rsidRPr="001156EE">
        <w:rPr>
          <w:rFonts w:ascii="Times New Roman" w:eastAsia="Times New Roman" w:hAnsi="Times New Roman" w:cs="Times New Roman"/>
          <w:noProof/>
          <w:sz w:val="24"/>
          <w:vertAlign w:val="superscript"/>
          <w:lang w:val="ro-RO"/>
        </w:rPr>
        <w:footnoteReference w:id="41"/>
      </w:r>
      <w:r w:rsidRPr="001156EE">
        <w:rPr>
          <w:rFonts w:ascii="Times New Roman" w:hAnsi="Times New Roman"/>
          <w:noProof/>
          <w:sz w:val="24"/>
          <w:lang w:val="ro-RO"/>
        </w:rPr>
        <w:t>. Prin propunerea sa referitoare la Legea privind refacerea naturii, Comisia urmărește, în plus, să acționeze în vederea creșterii rezilienței la astfel de gene prin refacerea sănătății ecosistemelor care pot acționa ca o barieră în calea răspândirii RAM. În plus, prin intermediul studiului LUCAS Soil 2018, Comisia analizează genele implicate în sinteza antibioticelor (ABG), în soluri, care pot contribui la dezvoltarea unor medicamente noi. Rezultatele privind genele care conferă RAM și cele implicate în sinteza antibioticelor vor fi prezente în Observatorul UE al solului (EUSO)</w:t>
      </w:r>
      <w:r w:rsidRPr="001156EE">
        <w:rPr>
          <w:rStyle w:val="FootnoteReference"/>
          <w:rFonts w:ascii="Times New Roman" w:eastAsiaTheme="minorEastAsia" w:hAnsi="Times New Roman" w:cs="Times New Roman"/>
          <w:noProof/>
          <w:sz w:val="24"/>
          <w:lang w:val="ro-RO"/>
        </w:rPr>
        <w:footnoteReference w:id="42"/>
      </w:r>
      <w:r w:rsidRPr="001156EE">
        <w:rPr>
          <w:rFonts w:ascii="Times New Roman" w:hAnsi="Times New Roman"/>
          <w:noProof/>
          <w:sz w:val="24"/>
          <w:lang w:val="ro-RO"/>
        </w:rPr>
        <w:t>.</w:t>
      </w:r>
    </w:p>
    <w:p w14:paraId="333B5703" w14:textId="216D172B" w:rsidR="00BC7FCB" w:rsidRPr="001156EE" w:rsidRDefault="001F1738" w:rsidP="00BC7FCB">
      <w:pPr>
        <w:spacing w:before="100" w:beforeAutospacing="1" w:after="100" w:afterAutospacing="1" w:line="240" w:lineRule="auto"/>
        <w:jc w:val="both"/>
        <w:rPr>
          <w:rFonts w:ascii="Times New Roman" w:eastAsia="Times New Roman" w:hAnsi="Times New Roman" w:cs="Times New Roman"/>
          <w:b/>
          <w:noProof/>
          <w:sz w:val="24"/>
          <w:lang w:val="ro-RO"/>
        </w:rPr>
      </w:pPr>
      <w:r w:rsidRPr="001156EE">
        <w:rPr>
          <w:rFonts w:ascii="Times New Roman" w:hAnsi="Times New Roman"/>
          <w:b/>
          <w:noProof/>
          <w:sz w:val="24"/>
          <w:lang w:val="ro-RO"/>
        </w:rPr>
        <w:t>Prevenirea bolilor zoonotice, cum ar fi gripa aviară</w:t>
      </w:r>
    </w:p>
    <w:p w14:paraId="3288095E" w14:textId="5850AB44" w:rsidR="00511B09" w:rsidRPr="001156EE" w:rsidRDefault="00B57523" w:rsidP="00511B09">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Peste 60 % dintre amenințările emergente legate de bolile infecțioase sunt de origine zoonotică</w:t>
      </w:r>
      <w:r w:rsidRPr="001156EE">
        <w:rPr>
          <w:rFonts w:ascii="Times New Roman" w:eastAsia="Times New Roman" w:hAnsi="Times New Roman" w:cs="Times New Roman"/>
          <w:noProof/>
          <w:sz w:val="24"/>
          <w:vertAlign w:val="superscript"/>
          <w:lang w:val="ro-RO"/>
        </w:rPr>
        <w:footnoteReference w:id="43"/>
      </w:r>
      <w:r w:rsidRPr="001156EE">
        <w:rPr>
          <w:rFonts w:ascii="Times New Roman" w:hAnsi="Times New Roman"/>
          <w:noProof/>
          <w:sz w:val="24"/>
          <w:lang w:val="ro-RO"/>
        </w:rPr>
        <w:t>, prin urmare trebuie să rămânem vigilenți pentru a evita posibilitatea ca o viitoare pandemie să provină dintr-o sursă animală.</w:t>
      </w:r>
    </w:p>
    <w:p w14:paraId="31904970" w14:textId="29C7456B" w:rsidR="002B1144" w:rsidRPr="001156EE" w:rsidRDefault="001F1738" w:rsidP="002B1144">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UE s-a bazat pe două acte legislative principale pentru a combate riscurile de boli infecțioase care provin de la animale. Ele sunt Directiva 2003/99/CE</w:t>
      </w:r>
      <w:r w:rsidRPr="001156EE">
        <w:rPr>
          <w:rFonts w:ascii="Times New Roman" w:eastAsia="Times New Roman" w:hAnsi="Times New Roman" w:cs="Times New Roman"/>
          <w:noProof/>
          <w:sz w:val="24"/>
          <w:vertAlign w:val="superscript"/>
          <w:lang w:val="ro-RO"/>
        </w:rPr>
        <w:footnoteReference w:id="44"/>
      </w:r>
      <w:r w:rsidRPr="001156EE">
        <w:rPr>
          <w:rFonts w:ascii="Times New Roman" w:hAnsi="Times New Roman"/>
          <w:noProof/>
          <w:sz w:val="24"/>
          <w:lang w:val="ro-RO"/>
        </w:rPr>
        <w:t>, care asigură monitorizarea și evaluarea corespunzătoare a zoonozelor, a agenților zoonotici și a focarelor de toxiinfecție alimentară, și Regulamentul (UE) 2016/429</w:t>
      </w:r>
      <w:r w:rsidRPr="001156EE">
        <w:rPr>
          <w:rStyle w:val="FootnoteReference"/>
          <w:rFonts w:ascii="Times New Roman" w:eastAsia="Times New Roman" w:hAnsi="Times New Roman" w:cs="Times New Roman"/>
          <w:noProof/>
          <w:sz w:val="24"/>
          <w:lang w:val="ro-RO"/>
        </w:rPr>
        <w:footnoteReference w:id="45"/>
      </w:r>
      <w:r w:rsidRPr="001156EE">
        <w:rPr>
          <w:rFonts w:ascii="Times New Roman" w:hAnsi="Times New Roman"/>
          <w:noProof/>
          <w:sz w:val="24"/>
          <w:lang w:val="ro-RO"/>
        </w:rPr>
        <w:t xml:space="preserve"> („Legea privind sănătatea animală”), care stabilește norme pentru prevenirea și controlul zoonozelor, inclusiv depistarea timpurie, notificarea și raportarea acestora. </w:t>
      </w:r>
    </w:p>
    <w:p w14:paraId="78C8D82D" w14:textId="37D1632C" w:rsidR="002B1144" w:rsidRPr="001156EE" w:rsidRDefault="006F7A7A" w:rsidP="002B1144">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Abordarea de tip „O singură sănătate” a fost deja luată în considerare în acțiunile UE de decenii, dar pandemia de COVID-19 a evidențiat încă o dată importanța acestei abordări pentru prevenire, pregătire și răspuns și necesitatea unei coordonări optime între sectoare. În prezent, Regulamentul (UE) 2022/2371 solicită în mod explicit abordarea de tip „O singură sănătate” în crizele actuale și emergente. </w:t>
      </w:r>
    </w:p>
    <w:p w14:paraId="496EE332" w14:textId="56CF2270" w:rsidR="002B1144" w:rsidRPr="001156EE" w:rsidRDefault="001F1738" w:rsidP="002B1144">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câteva luni de la adoptarea Regulamentului (UE) 2022/2371, Comitetul pentru securitate sanitară</w:t>
      </w:r>
      <w:r w:rsidRPr="001156EE">
        <w:rPr>
          <w:rStyle w:val="FootnoteReference"/>
          <w:rFonts w:ascii="Times New Roman" w:eastAsia="Times New Roman" w:hAnsi="Times New Roman" w:cs="Times New Roman"/>
          <w:noProof/>
          <w:sz w:val="24"/>
          <w:lang w:val="ro-RO"/>
        </w:rPr>
        <w:footnoteReference w:id="46"/>
      </w:r>
      <w:r w:rsidRPr="001156EE">
        <w:rPr>
          <w:rFonts w:ascii="Times New Roman" w:hAnsi="Times New Roman"/>
          <w:noProof/>
          <w:sz w:val="24"/>
          <w:lang w:val="ro-RO"/>
        </w:rPr>
        <w:t xml:space="preserve"> – principalul organism al UE care se ocupă de amenințările pentru sănătatea publică – a organizat mai multe reuniuni comune cu șefii serviciilor veterinare din UE pentru a discuta cu privire la amenințarea reprezentată de gripa aviară înalt patogenă (HPAI) și la măsurile de sănătate animală și umană necesare pentru a preveni riscul de propagare zoonotică la oameni. HPAI reprezintă o amenințare majoră pentru sănătate și necesită vigilență, depistare timpurie și un răspuns rapid și timpuriu la orice efecte de propagare. În sezonul 2022/23 s-a înregistrat una dintre cele mai mari epidemii de HPAI la păsări sălbatice și păsări de curte din UE până în prezent, precum și focare importante în rândul mamiferelor. Legislația UE relevantă</w:t>
      </w:r>
      <w:r w:rsidRPr="001156EE">
        <w:rPr>
          <w:rFonts w:ascii="Times New Roman" w:eastAsia="Times New Roman" w:hAnsi="Times New Roman" w:cs="Times New Roman"/>
          <w:noProof/>
          <w:sz w:val="24"/>
          <w:vertAlign w:val="superscript"/>
          <w:lang w:val="ro-RO"/>
        </w:rPr>
        <w:footnoteReference w:id="47"/>
      </w:r>
      <w:r w:rsidRPr="001156EE">
        <w:rPr>
          <w:rFonts w:ascii="Times New Roman" w:hAnsi="Times New Roman"/>
          <w:noProof/>
          <w:sz w:val="24"/>
          <w:lang w:val="ro-RO"/>
        </w:rPr>
        <w:t xml:space="preserve"> prevede că toate statele membre trebuie să desfășoare activități de supraveghere pentru a permite depistarea timpurie a HPAI la păsări și mamifere. Legislația privind sănătatea animală asigură armonizarea măsurilor pe care toate statele membre trebuie să le pună în aplicare odată ce virusul HPAI este depistat la păsările deținute, pentru a preveni și a controla răspândirea acestuia; și oferă temeiul juridic pentru ca autoritățile competente să ia măsurile necesare atunci când virusul este depistat la mamifere.</w:t>
      </w:r>
    </w:p>
    <w:p w14:paraId="61A7FEA1" w14:textId="1E7B5056" w:rsidR="002B1144" w:rsidRPr="001156EE" w:rsidRDefault="001F1738" w:rsidP="002B1144">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Începând din septembrie 2017, Comisia a mandatat Autoritatea Europeană pentru Siguranța Alimentară (EFSA) și ECDC să evalueze periodic, împreună cu laboratorul de referință al UE pentru gripa aviară în domeniul sănătății animale</w:t>
      </w:r>
      <w:r w:rsidRPr="001156EE">
        <w:rPr>
          <w:rFonts w:ascii="Times New Roman" w:eastAsia="Times New Roman" w:hAnsi="Times New Roman" w:cs="Times New Roman"/>
          <w:noProof/>
          <w:sz w:val="24"/>
          <w:vertAlign w:val="superscript"/>
          <w:lang w:val="ro-RO"/>
        </w:rPr>
        <w:footnoteReference w:id="48"/>
      </w:r>
      <w:r w:rsidRPr="001156EE">
        <w:rPr>
          <w:rFonts w:ascii="Times New Roman" w:hAnsi="Times New Roman"/>
          <w:noProof/>
          <w:sz w:val="24"/>
          <w:lang w:val="ro-RO"/>
        </w:rPr>
        <w:t>, situația epidemiologică a HPAI și evoluția caracteristicilor genetice ale virusurilor HPAI depistate la animale. Rapoartele științifice care conțin rezultatele acestor evaluări sunt publicate o dată la 2-3 luni</w:t>
      </w:r>
      <w:r w:rsidRPr="001156EE">
        <w:rPr>
          <w:rFonts w:ascii="Times New Roman" w:eastAsia="Times New Roman" w:hAnsi="Times New Roman" w:cs="Times New Roman"/>
          <w:noProof/>
          <w:sz w:val="24"/>
          <w:vertAlign w:val="superscript"/>
          <w:lang w:val="ro-RO"/>
        </w:rPr>
        <w:footnoteReference w:id="49"/>
      </w:r>
      <w:r w:rsidRPr="001156EE">
        <w:rPr>
          <w:rFonts w:ascii="Times New Roman" w:hAnsi="Times New Roman"/>
          <w:noProof/>
          <w:sz w:val="24"/>
          <w:lang w:val="ro-RO"/>
        </w:rPr>
        <w:t xml:space="preserve"> și prezintă opțiuni de răspuns la riscurile identificate pentru sănătatea animală și publică. </w:t>
      </w:r>
    </w:p>
    <w:p w14:paraId="6EAC37D7" w14:textId="1AEEFFA3" w:rsidR="001F1738" w:rsidRPr="001156EE" w:rsidRDefault="001F1738" w:rsidP="00BC2F11">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Împreună cu unele state membre, Comisia lucrează la posibilitatea de a asigura vaccinuri împotriva gripei zoonotice la oameni prin intermediul mecanismului de achiziții publice comune. Primele transporturi ale unui astfel de vaccin către statele membre sunt planificate pentru începutul anului 2024. Achiziționarea în comun de vaccinuri zoonotice ar consolida gradul de pregătire al statelor membre în caz de pandemie de gripă (aviară) prin adăugarea la cele două contracte-cadru existente – încheiate în cadrul mecanismului de achiziții publice comune – pentru rezervarea a peste 110 milioane de doze de vaccin pandemic. Dozele de vaccin pandemic ar urma să fie distribuite statelor membre care participă la contractele de rezervare după declararea de către OMS a unei pandemii de gripă. </w:t>
      </w:r>
    </w:p>
    <w:p w14:paraId="5FE726F1" w14:textId="2B79DFFD" w:rsidR="001F1738" w:rsidRPr="001156EE" w:rsidRDefault="001F1738" w:rsidP="001F1738">
      <w:pPr>
        <w:keepNext/>
        <w:keepLines/>
        <w:spacing w:before="100" w:beforeAutospacing="1" w:after="100" w:afterAutospacing="1" w:line="240" w:lineRule="auto"/>
        <w:outlineLvl w:val="2"/>
        <w:rPr>
          <w:rFonts w:ascii="Times New Roman" w:eastAsia="Times New Roman" w:hAnsi="Times New Roman" w:cs="Times New Roman"/>
          <w:b/>
          <w:noProof/>
          <w:sz w:val="24"/>
          <w:lang w:val="ro-RO"/>
        </w:rPr>
      </w:pPr>
      <w:r w:rsidRPr="001156EE">
        <w:rPr>
          <w:rFonts w:ascii="Times New Roman" w:hAnsi="Times New Roman"/>
          <w:b/>
          <w:noProof/>
          <w:sz w:val="24"/>
          <w:lang w:val="ro-RO"/>
        </w:rPr>
        <w:t>Prevenirea amenințărilor pentru sănătate legate de schimbările climatice și de mediu și pregătirea pentru ele</w:t>
      </w:r>
    </w:p>
    <w:p w14:paraId="41CDE4DC" w14:textId="57D79053"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Efectele schimbărilor climatice și ale degradării mediului au fost resimțite puternic în vara anului 2023, atunci când fenomene meteorologice extreme au provocat inundații devastatoare în Bulgaria, Croația, Grecia, Spania, Italia, România și Slovenia, iar un val de căldură a adus unele dintre cele mai mari temperaturi înregistrate vreodată în UE. Sunt necesare acțiuni în domeniul sănătății publice pentru a proteja în special persoanele cele mai vulnerabile și pentru a preveni cât mai multe decese cauzate de căldură. Clima din UE, caracterizată de o încălzire rapidă, devine, în plus, din ce în ce mai propice pentru anumite boli infecțioase sensibile la schimbările climatice, în special pentru cele cu transmitere prin vectori. În plus, schimbările climatice accelerează dezghețarea permafrostului, ceea ce poate elibera microorganisme care s-au aflat mult timp în stare de latență și care generează îngrijorări.</w:t>
      </w:r>
    </w:p>
    <w:p w14:paraId="12D1A8B0" w14:textId="0B04C3B5"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HERA a identificat ca amenințări prioritare agenți patogeni predispuși să declanșeze pandemii, cum ar fi cei responsabili de febra galbenă, denga, zika, chikungunya și febra West Nile și, în prezent, se lucrează la extinderea arsenalului de contramăsuri medicale prin investiții în cercetarea și dezvoltarea de instrumente medicale inovatoare pentru pregătirea pentru pandemii prin intermediul programelor Orizont Europa și „UE pentru sănătate”. De exemplu Comisia finanțează Coaliția pentru inovare în domeniul pregătirii pentru epidemii (CEPI), prin intermediul programului Orizont Europa pentru a efectua studii privind eficacitatea și alte studii științifice pentru a extinde utilizarea potențială a vaccinurilor împotriva virusului chikungunya autorizate la copii, la persoanele imunocompromise și la femeile însărcinate. Comisia analizează, în plus, modalități de sprijinire a diferitelor măsuri de control al vectorilor (de exemplu, tehnici care implică insecte sterile). </w:t>
      </w:r>
    </w:p>
    <w:p w14:paraId="10411679" w14:textId="163685D9" w:rsidR="001F1738" w:rsidRPr="001156EE" w:rsidRDefault="00D219E9"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Alte activități recente de sprijinire a pregătirii în materie de sănătate în ceea ce privește schimbările climatice și riscurile de mediu includ, printre altele:</w:t>
      </w:r>
    </w:p>
    <w:p w14:paraId="2C07CBB7" w14:textId="053843F4" w:rsidR="001F1738" w:rsidRPr="001156EE"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produse noi ale </w:t>
      </w:r>
      <w:r w:rsidRPr="001156EE">
        <w:rPr>
          <w:rFonts w:ascii="Times New Roman" w:hAnsi="Times New Roman"/>
          <w:b/>
          <w:noProof/>
          <w:sz w:val="24"/>
          <w:lang w:val="ro-RO"/>
        </w:rPr>
        <w:t>Observatorului european al climei și sănătății</w:t>
      </w:r>
      <w:r w:rsidRPr="001156EE">
        <w:rPr>
          <w:rFonts w:ascii="Times New Roman" w:eastAsia="Times New Roman" w:hAnsi="Times New Roman" w:cs="Times New Roman"/>
          <w:noProof/>
          <w:sz w:val="24"/>
          <w:vertAlign w:val="superscript"/>
          <w:lang w:val="ro-RO"/>
        </w:rPr>
        <w:footnoteReference w:id="50"/>
      </w:r>
      <w:r w:rsidRPr="001156EE">
        <w:rPr>
          <w:rFonts w:ascii="Times New Roman" w:hAnsi="Times New Roman"/>
          <w:b/>
          <w:noProof/>
          <w:sz w:val="24"/>
          <w:lang w:val="ro-RO"/>
        </w:rPr>
        <w:t xml:space="preserve">, </w:t>
      </w:r>
      <w:r w:rsidRPr="001156EE">
        <w:rPr>
          <w:rFonts w:ascii="Times New Roman" w:hAnsi="Times New Roman"/>
          <w:noProof/>
          <w:sz w:val="24"/>
          <w:lang w:val="ro-RO"/>
        </w:rPr>
        <w:t>gestionat de Agenția Europeană de Mediu și de Comisia Europeană, lansate în 2023 (în special indicatori, fișe informative și previziuni privind sănătatea termică, bolile infecțioase, sănătatea la locul de muncă și poluarea aerului);</w:t>
      </w:r>
    </w:p>
    <w:p w14:paraId="421F0851" w14:textId="02286668" w:rsidR="001F1738" w:rsidRPr="001156EE"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b/>
          <w:noProof/>
          <w:sz w:val="24"/>
          <w:lang w:val="ro-RO"/>
        </w:rPr>
        <w:t>declarația celei de A șaptea conferințe ministeriale privind mediul și sănătatea (Declarația de la Budapesta)</w:t>
      </w:r>
      <w:r w:rsidRPr="001156EE">
        <w:rPr>
          <w:rFonts w:ascii="Times New Roman" w:eastAsia="Times New Roman" w:hAnsi="Times New Roman" w:cs="Times New Roman"/>
          <w:noProof/>
          <w:sz w:val="24"/>
          <w:vertAlign w:val="superscript"/>
          <w:lang w:val="ro-RO"/>
        </w:rPr>
        <w:footnoteReference w:id="51"/>
      </w:r>
      <w:r w:rsidRPr="001156EE">
        <w:rPr>
          <w:rFonts w:ascii="Times New Roman" w:hAnsi="Times New Roman"/>
          <w:b/>
          <w:noProof/>
          <w:sz w:val="24"/>
          <w:lang w:val="ro-RO"/>
        </w:rPr>
        <w:t xml:space="preserve"> </w:t>
      </w:r>
      <w:r w:rsidRPr="001156EE">
        <w:rPr>
          <w:rFonts w:ascii="Times New Roman" w:hAnsi="Times New Roman"/>
          <w:noProof/>
          <w:sz w:val="24"/>
          <w:lang w:val="ro-RO"/>
        </w:rPr>
        <w:t>din</w:t>
      </w:r>
      <w:r w:rsidRPr="001156EE">
        <w:rPr>
          <w:rFonts w:ascii="Times New Roman" w:hAnsi="Times New Roman"/>
          <w:b/>
          <w:noProof/>
          <w:sz w:val="24"/>
          <w:lang w:val="ro-RO"/>
        </w:rPr>
        <w:t xml:space="preserve"> </w:t>
      </w:r>
      <w:r w:rsidRPr="001156EE">
        <w:rPr>
          <w:rFonts w:ascii="Times New Roman" w:hAnsi="Times New Roman"/>
          <w:noProof/>
          <w:sz w:val="24"/>
          <w:lang w:val="ro-RO"/>
        </w:rPr>
        <w:t>iulie 2023, care formulează angajamente și acțiuni politice pentru a aborda riscurile pentru sănătate pe care le generează schimbările climatice, poluarea și pierderea biodiversității;</w:t>
      </w:r>
    </w:p>
    <w:p w14:paraId="56C33E04" w14:textId="7CB6253A" w:rsidR="007E4F2E" w:rsidRPr="001156EE" w:rsidRDefault="007E4F2E"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b/>
          <w:noProof/>
          <w:sz w:val="24"/>
          <w:lang w:val="ro-RO"/>
        </w:rPr>
        <w:t>declarația COP28 privind clima și sănătatea</w:t>
      </w:r>
      <w:r w:rsidRPr="001156EE">
        <w:rPr>
          <w:rFonts w:ascii="Times New Roman" w:hAnsi="Times New Roman"/>
          <w:noProof/>
          <w:sz w:val="24"/>
          <w:lang w:val="ro-RO"/>
        </w:rPr>
        <w:t>, semnată cu ocazia primei Zile a sănătății în cadrul celei de a 28-a sesiuni a Conferinței părților la Convenția-cadru a Organizației Națiunilor Unite asupra schimbărilor climatice (COP28) din 2 decembrie 2023</w:t>
      </w:r>
      <w:r w:rsidRPr="001156EE">
        <w:rPr>
          <w:rStyle w:val="FootnoteReference"/>
          <w:rFonts w:ascii="Times New Roman" w:eastAsia="Times New Roman" w:hAnsi="Times New Roman" w:cs="Times New Roman"/>
          <w:noProof/>
          <w:sz w:val="24"/>
          <w:lang w:val="ro-RO"/>
        </w:rPr>
        <w:footnoteReference w:id="52"/>
      </w:r>
      <w:r w:rsidRPr="001156EE">
        <w:rPr>
          <w:rFonts w:ascii="Times New Roman" w:hAnsi="Times New Roman"/>
          <w:noProof/>
          <w:sz w:val="24"/>
          <w:lang w:val="ro-RO"/>
        </w:rPr>
        <w:t>;</w:t>
      </w:r>
    </w:p>
    <w:p w14:paraId="3B8EE74A" w14:textId="443BD1E5" w:rsidR="001F1738" w:rsidRPr="001156EE"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lansarea unei actualizări majore a </w:t>
      </w:r>
      <w:r w:rsidRPr="001156EE">
        <w:rPr>
          <w:rFonts w:ascii="Times New Roman" w:hAnsi="Times New Roman"/>
          <w:b/>
          <w:noProof/>
          <w:sz w:val="24"/>
          <w:lang w:val="ro-RO"/>
        </w:rPr>
        <w:t>orientărilor privind planurile de acțiune în domeniul sănătății termice pentru regiunea europeană a OMS</w:t>
      </w:r>
      <w:r w:rsidRPr="001156EE">
        <w:rPr>
          <w:rFonts w:ascii="Times New Roman" w:eastAsia="Times New Roman" w:hAnsi="Times New Roman" w:cs="Times New Roman"/>
          <w:noProof/>
          <w:sz w:val="24"/>
          <w:vertAlign w:val="superscript"/>
          <w:lang w:val="ro-RO"/>
        </w:rPr>
        <w:footnoteReference w:id="53"/>
      </w:r>
      <w:r w:rsidRPr="001156EE">
        <w:rPr>
          <w:rFonts w:ascii="Times New Roman" w:hAnsi="Times New Roman"/>
          <w:noProof/>
          <w:sz w:val="24"/>
          <w:lang w:val="ro-RO"/>
        </w:rPr>
        <w:t>, pe care UE o sprijină în cadrul programului său LIFE</w:t>
      </w:r>
      <w:r w:rsidRPr="001156EE">
        <w:rPr>
          <w:rStyle w:val="FootnoteReference"/>
          <w:rFonts w:ascii="Times New Roman" w:eastAsia="Times New Roman" w:hAnsi="Times New Roman" w:cs="Times New Roman"/>
          <w:noProof/>
          <w:sz w:val="24"/>
          <w:lang w:val="ro-RO"/>
        </w:rPr>
        <w:footnoteReference w:id="54"/>
      </w:r>
      <w:r w:rsidRPr="001156EE">
        <w:rPr>
          <w:rFonts w:ascii="Times New Roman" w:hAnsi="Times New Roman"/>
          <w:noProof/>
          <w:sz w:val="24"/>
          <w:lang w:val="ro-RO"/>
        </w:rPr>
        <w:t>;</w:t>
      </w:r>
    </w:p>
    <w:p w14:paraId="0A77858C" w14:textId="45F01AE1" w:rsidR="00750E41" w:rsidRPr="001156EE" w:rsidRDefault="001F1738"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elaborarea primei </w:t>
      </w:r>
      <w:r w:rsidRPr="001156EE">
        <w:rPr>
          <w:rFonts w:ascii="Times New Roman" w:hAnsi="Times New Roman"/>
          <w:b/>
          <w:noProof/>
          <w:sz w:val="24"/>
          <w:lang w:val="ro-RO"/>
        </w:rPr>
        <w:t>evaluări a riscurilor climatice la nivelul UE</w:t>
      </w:r>
      <w:r w:rsidRPr="001156EE">
        <w:rPr>
          <w:rFonts w:ascii="Times New Roman" w:eastAsia="Times New Roman" w:hAnsi="Times New Roman" w:cs="Times New Roman"/>
          <w:noProof/>
          <w:sz w:val="24"/>
          <w:vertAlign w:val="superscript"/>
          <w:lang w:val="ro-RO"/>
        </w:rPr>
        <w:footnoteReference w:id="55"/>
      </w:r>
      <w:r w:rsidRPr="001156EE">
        <w:rPr>
          <w:rFonts w:ascii="Times New Roman" w:hAnsi="Times New Roman"/>
          <w:noProof/>
          <w:sz w:val="24"/>
          <w:lang w:val="ro-RO"/>
        </w:rPr>
        <w:t>,</w:t>
      </w:r>
      <w:r w:rsidRPr="001156EE">
        <w:rPr>
          <w:rFonts w:ascii="Times New Roman" w:hAnsi="Times New Roman"/>
          <w:b/>
          <w:noProof/>
          <w:sz w:val="24"/>
          <w:lang w:val="ro-RO"/>
        </w:rPr>
        <w:t xml:space="preserve"> </w:t>
      </w:r>
      <w:r w:rsidRPr="001156EE">
        <w:rPr>
          <w:rFonts w:ascii="Times New Roman" w:hAnsi="Times New Roman"/>
          <w:noProof/>
          <w:sz w:val="24"/>
          <w:lang w:val="ro-RO"/>
        </w:rPr>
        <w:t>care ar include capitole dedicate sănătății și care urmează să fie publicată de Agenția Europeană de Mediu în primăvara anului 2024;</w:t>
      </w:r>
    </w:p>
    <w:p w14:paraId="744BCFE1" w14:textId="6BE640A1" w:rsidR="001F1738" w:rsidRPr="001156EE" w:rsidRDefault="00750E41" w:rsidP="001F1738">
      <w:pPr>
        <w:numPr>
          <w:ilvl w:val="0"/>
          <w:numId w:val="35"/>
        </w:num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publicarea, în decembrie 2022, a unui raport integrat de </w:t>
      </w:r>
      <w:r w:rsidRPr="001156EE">
        <w:rPr>
          <w:rFonts w:ascii="Times New Roman" w:hAnsi="Times New Roman"/>
          <w:b/>
          <w:noProof/>
          <w:sz w:val="24"/>
          <w:lang w:val="ro-RO"/>
        </w:rPr>
        <w:t>monitorizare și raport prospectiv privind reducerea la zero a poluării</w:t>
      </w:r>
      <w:r w:rsidRPr="001156EE">
        <w:rPr>
          <w:rFonts w:ascii="Times New Roman" w:hAnsi="Times New Roman"/>
          <w:noProof/>
          <w:sz w:val="24"/>
          <w:lang w:val="ro-RO"/>
        </w:rPr>
        <w:t>, ale cărui date actualizate semestriale vor contribui în mod regulat la Registrul privind inegalitățile în domeniul cancerului și la Atlasul demografiei, pentru a identifica mai bine tendințele în ceea ce privește și alte boli legate de poluare, pentru a le permite oamenilor să compare măsura în care poluarea le afectează sănătatea în toate regiunile UE și pentru a contribui la direcționarea intervențiilor la nivelul UE, la nivel național și local, pentru a îmbunătăți eficiența din punctul de vedere al costurilor și gradul de pregătire.</w:t>
      </w:r>
    </w:p>
    <w:p w14:paraId="2F3739BA" w14:textId="0C6B0931" w:rsidR="00B554C1" w:rsidRPr="001156EE"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ro-RO"/>
        </w:rPr>
      </w:pPr>
    </w:p>
    <w:p w14:paraId="71A9F75E" w14:textId="7CE4DE78" w:rsidR="00B554C1" w:rsidRPr="001156EE"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cadrul planului de acțiune privind reducerea la zero a poluării, Comisia a luat măsuri suplimentare pentru a combate poluarea aerului, a apei și a solului. În pofida îmbunătățirilor semnificative ale calității aerului din ultimele decenii, poluarea aerului continuă să reprezinte cel mai mare risc pentru sănătate legat de mediu, cu o mortalitate (cu un număr estimat de peste 230 000 de decese premature în UE în fiecare an) și o morbiditate asociată semnificative</w:t>
      </w:r>
      <w:r w:rsidRPr="001156EE">
        <w:rPr>
          <w:rFonts w:ascii="Times New Roman" w:eastAsia="Times New Roman" w:hAnsi="Times New Roman" w:cs="Times New Roman"/>
          <w:noProof/>
          <w:sz w:val="24"/>
          <w:vertAlign w:val="superscript"/>
          <w:lang w:val="ro-RO"/>
        </w:rPr>
        <w:footnoteReference w:id="56"/>
      </w:r>
      <w:r w:rsidRPr="001156EE">
        <w:rPr>
          <w:rFonts w:ascii="Times New Roman" w:hAnsi="Times New Roman"/>
          <w:noProof/>
          <w:sz w:val="24"/>
          <w:lang w:val="ro-RO"/>
        </w:rPr>
        <w:t>. La 26 octombrie 2022, Comisia a propus o mai bună aliniere a standardelor UE privind calitatea aerului la recomandările OMS, ca element esențial al pachetului ei de politici privind reducerea la zero a poluării</w:t>
      </w:r>
      <w:r w:rsidRPr="001156EE">
        <w:rPr>
          <w:rFonts w:ascii="Times New Roman" w:eastAsia="Times New Roman" w:hAnsi="Times New Roman" w:cs="Times New Roman"/>
          <w:noProof/>
          <w:sz w:val="24"/>
          <w:vertAlign w:val="superscript"/>
          <w:lang w:val="ro-RO"/>
        </w:rPr>
        <w:footnoteReference w:id="57"/>
      </w:r>
      <w:r w:rsidRPr="001156EE">
        <w:rPr>
          <w:rFonts w:ascii="Times New Roman" w:hAnsi="Times New Roman"/>
          <w:noProof/>
          <w:sz w:val="24"/>
          <w:lang w:val="ro-RO"/>
        </w:rPr>
        <w:t>.</w:t>
      </w:r>
    </w:p>
    <w:p w14:paraId="14605FEC" w14:textId="77777777" w:rsidR="00B554C1" w:rsidRPr="001156EE"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ro-RO"/>
        </w:rPr>
      </w:pPr>
    </w:p>
    <w:p w14:paraId="2083D7F2" w14:textId="5C15EFF3" w:rsidR="00B554C1" w:rsidRPr="001156EE"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 lângă propunerile deja menționate privind epurarea apelor uzate și poluanții apei</w:t>
      </w:r>
      <w:r w:rsidRPr="001156EE">
        <w:rPr>
          <w:rStyle w:val="FootnoteReference"/>
          <w:rFonts w:ascii="Times New Roman" w:eastAsia="Times New Roman" w:hAnsi="Times New Roman" w:cs="Times New Roman"/>
          <w:noProof/>
          <w:sz w:val="24"/>
          <w:lang w:val="ro-RO"/>
        </w:rPr>
        <w:footnoteReference w:id="58"/>
      </w:r>
      <w:r w:rsidRPr="001156EE">
        <w:rPr>
          <w:rFonts w:ascii="Times New Roman" w:hAnsi="Times New Roman"/>
          <w:noProof/>
          <w:sz w:val="24"/>
          <w:lang w:val="ro-RO"/>
        </w:rPr>
        <w:t>, Comisia a adoptat, în plus, propuneri de revizuire a Directivei privind emisiile industriale</w:t>
      </w:r>
      <w:r w:rsidRPr="001156EE">
        <w:rPr>
          <w:rStyle w:val="FootnoteReference"/>
          <w:rFonts w:ascii="Times New Roman" w:eastAsia="Times New Roman" w:hAnsi="Times New Roman" w:cs="Times New Roman"/>
          <w:noProof/>
          <w:sz w:val="24"/>
          <w:lang w:val="ro-RO"/>
        </w:rPr>
        <w:footnoteReference w:id="59"/>
      </w:r>
      <w:r w:rsidRPr="001156EE">
        <w:rPr>
          <w:rFonts w:ascii="Times New Roman" w:hAnsi="Times New Roman"/>
          <w:noProof/>
          <w:sz w:val="24"/>
          <w:lang w:val="ro-RO"/>
        </w:rPr>
        <w:t>, precum și o nouă directivă privind sănătatea și reziliența solului</w:t>
      </w:r>
      <w:r w:rsidRPr="001156EE">
        <w:rPr>
          <w:rStyle w:val="FootnoteReference"/>
          <w:rFonts w:ascii="Times New Roman" w:eastAsia="Times New Roman" w:hAnsi="Times New Roman" w:cs="Times New Roman"/>
          <w:noProof/>
          <w:sz w:val="24"/>
          <w:lang w:val="ro-RO"/>
        </w:rPr>
        <w:footnoteReference w:id="60"/>
      </w:r>
      <w:r w:rsidRPr="001156EE">
        <w:rPr>
          <w:rFonts w:ascii="Times New Roman" w:hAnsi="Times New Roman"/>
          <w:noProof/>
          <w:sz w:val="24"/>
          <w:lang w:val="ro-RO"/>
        </w:rPr>
        <w:t>, ambele având ca scop să aducă beneficii concrete pentru sănătate.</w:t>
      </w:r>
    </w:p>
    <w:p w14:paraId="014C4EEF" w14:textId="4378B8D2" w:rsidR="00B554C1" w:rsidRPr="001156EE" w:rsidRDefault="00B554C1" w:rsidP="00B554C1">
      <w:pPr>
        <w:spacing w:before="100" w:beforeAutospacing="1" w:after="100" w:afterAutospacing="1" w:line="240" w:lineRule="auto"/>
        <w:contextualSpacing/>
        <w:jc w:val="both"/>
        <w:rPr>
          <w:rFonts w:ascii="Times New Roman" w:eastAsia="Times New Roman" w:hAnsi="Times New Roman" w:cs="Times New Roman"/>
          <w:noProof/>
          <w:sz w:val="24"/>
          <w:lang w:val="ro-RO"/>
        </w:rPr>
      </w:pPr>
    </w:p>
    <w:p w14:paraId="095728DC" w14:textId="77777777" w:rsidR="00B554C1" w:rsidRPr="001156EE" w:rsidRDefault="00B554C1" w:rsidP="00BC2F11">
      <w:pPr>
        <w:spacing w:before="100" w:beforeAutospacing="1" w:after="100" w:afterAutospacing="1" w:line="240" w:lineRule="auto"/>
        <w:contextualSpacing/>
        <w:jc w:val="both"/>
        <w:rPr>
          <w:rFonts w:ascii="Times New Roman" w:eastAsia="Times New Roman" w:hAnsi="Times New Roman" w:cs="Times New Roman"/>
          <w:noProof/>
          <w:sz w:val="24"/>
          <w:lang w:val="ro-RO"/>
        </w:rPr>
      </w:pPr>
    </w:p>
    <w:p w14:paraId="232D4B68" w14:textId="1C273724" w:rsidR="001F1738" w:rsidRPr="001156EE"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ro-RO"/>
        </w:rPr>
      </w:pPr>
      <w:bookmarkStart w:id="3" w:name="_Toc145428518"/>
      <w:bookmarkEnd w:id="3"/>
      <w:r w:rsidRPr="001156EE">
        <w:rPr>
          <w:rFonts w:ascii="Times New Roman" w:hAnsi="Times New Roman"/>
          <w:noProof/>
          <w:sz w:val="24"/>
          <w:lang w:val="ro-RO"/>
        </w:rPr>
        <w:t>3. PREGĂTIRE</w:t>
      </w:r>
    </w:p>
    <w:p w14:paraId="1BB28E2E" w14:textId="277B1F78"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Pregătirea – existența structurilor și a capacităților la nivel național și la nivelul UE pentru anticiparea, răspunsul și redresarea în mod eficace în urma amenințărilor pentru sănătatea publică – este un element esențial al cadrului de securitate sanitară al UE. Lipsa pregătirii înseamnă pregătire pentru eșec. </w:t>
      </w:r>
    </w:p>
    <w:p w14:paraId="2C05336F" w14:textId="77777777"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r w:rsidRPr="001156EE">
        <w:rPr>
          <w:rFonts w:ascii="Times New Roman" w:hAnsi="Times New Roman"/>
          <w:b/>
          <w:noProof/>
          <w:sz w:val="24"/>
          <w:lang w:val="ro-RO"/>
        </w:rPr>
        <w:t>Pregătire, raportare și evaluare: cerințe mai stricte</w:t>
      </w:r>
    </w:p>
    <w:p w14:paraId="5E92F00E" w14:textId="5274DCE1" w:rsidR="001F1738" w:rsidRPr="001156EE" w:rsidRDefault="00AE1ECF"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Adoptarea recentă a Regulamentului (UE) 2022/2371 a permis consolidarea activităților de pregătire la nivelul UE și atât în interiorul statelor membre, cât și între acestea. În special, regulamentul impune o raportare extinsă cu privire la planificarea pregătirii la nivel național și introduce posibilitatea revizuirii și evaluării de către UE a capacităților naționale de pregătire pentru a se asigura că acestea sunt menținute în mod adecvat. A fost introdus un nou ciclu de raportare: raportarea extinsă către Comisie cu privire la capacitățile de pregătire ale statelor membre, urmată de evaluări efectuate de ECDC și de un raport al Comisiei către Parlamentul European și Consiliu. Primul act de punere în aplicare în temeiul regulamentului a fost adoptat în septembrie 2023, menționând specificațiile pentru raportarea de către statele membre cu privire la planificarea prevenirii, pregătirii și răspunsului la nivel național</w:t>
      </w:r>
      <w:r w:rsidRPr="001156EE">
        <w:rPr>
          <w:rFonts w:ascii="Times New Roman" w:eastAsia="Times New Roman" w:hAnsi="Times New Roman" w:cs="Times New Roman"/>
          <w:noProof/>
          <w:sz w:val="24"/>
          <w:vertAlign w:val="superscript"/>
          <w:lang w:val="ro-RO"/>
        </w:rPr>
        <w:footnoteReference w:id="61"/>
      </w:r>
      <w:r w:rsidRPr="001156EE">
        <w:rPr>
          <w:rFonts w:ascii="Times New Roman" w:hAnsi="Times New Roman"/>
          <w:noProof/>
          <w:sz w:val="24"/>
          <w:lang w:val="ro-RO"/>
        </w:rPr>
        <w:t xml:space="preserve">. </w:t>
      </w:r>
    </w:p>
    <w:p w14:paraId="461034E8" w14:textId="5432A20D"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Regulamentul introduce, în plus, planul de prevenire, pregătire și răspuns al Uniunii, care va fi elaborat în 2024. Planul va acoperi lucrările și activitățile legate de pregătirea și răspunsul în materie de sănătate, la nivelul tuturor serviciilor Comisiei, al Consiliului și al agențiilor și organelor UE, precum și interacțiunile și coordonarea cu organismele internaționale relevante. </w:t>
      </w:r>
    </w:p>
    <w:p w14:paraId="76CA90BA" w14:textId="1854C6E1"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strânsă cooperare cu statele membre, Comisia consolidează și planificarea în situații de urgență sanitară prin intermediul mecanismului de protecție civilă al Uniunii (UCPM)</w:t>
      </w:r>
      <w:r w:rsidRPr="001156EE">
        <w:rPr>
          <w:rFonts w:ascii="Times New Roman" w:eastAsia="Times New Roman" w:hAnsi="Times New Roman" w:cs="Times New Roman"/>
          <w:noProof/>
          <w:sz w:val="24"/>
          <w:vertAlign w:val="superscript"/>
          <w:lang w:val="ro-RO"/>
        </w:rPr>
        <w:footnoteReference w:id="62"/>
      </w:r>
      <w:r w:rsidRPr="001156EE">
        <w:rPr>
          <w:rFonts w:ascii="Times New Roman" w:hAnsi="Times New Roman"/>
          <w:noProof/>
          <w:sz w:val="24"/>
          <w:lang w:val="ro-RO"/>
        </w:rPr>
        <w:t>. Acest fapt se realizează prin elaborarea unor planuri specifice de pregătire și răspuns în situații de urgență sanitară, cum ar fi planul de pregătire pentru arsuri</w:t>
      </w:r>
      <w:r w:rsidRPr="001156EE">
        <w:rPr>
          <w:rFonts w:ascii="Times New Roman" w:eastAsia="Times New Roman" w:hAnsi="Times New Roman" w:cs="Times New Roman"/>
          <w:noProof/>
          <w:sz w:val="24"/>
          <w:vertAlign w:val="superscript"/>
          <w:lang w:val="ro-RO"/>
        </w:rPr>
        <w:footnoteReference w:id="63"/>
      </w:r>
      <w:r w:rsidRPr="001156EE">
        <w:rPr>
          <w:rFonts w:ascii="Times New Roman" w:hAnsi="Times New Roman"/>
          <w:noProof/>
          <w:sz w:val="24"/>
          <w:lang w:val="ro-RO"/>
        </w:rPr>
        <w:t>, care prezintă orientările privind evacuarea medicală care trebuie urmate în cazul unui dezastru care implică pacienți cu arsuri majore. În plus, Comisia elaborează, în cadrul UCPM și în strânsă cooperare cu statele membre, două scenarii în caz de dezastru la nivelul UE, axate în întregime pe scenariul unei situații de urgență sanitară, cum ar fi o pandemie sau un dezastru nuclear</w:t>
      </w:r>
      <w:r w:rsidRPr="001156EE">
        <w:rPr>
          <w:rStyle w:val="FootnoteReference"/>
          <w:rFonts w:ascii="Times New Roman" w:eastAsia="Times New Roman" w:hAnsi="Times New Roman" w:cs="Times New Roman"/>
          <w:noProof/>
          <w:sz w:val="24"/>
          <w:lang w:val="ro-RO"/>
        </w:rPr>
        <w:footnoteReference w:id="64"/>
      </w:r>
      <w:r w:rsidRPr="001156EE">
        <w:rPr>
          <w:rFonts w:ascii="Times New Roman" w:hAnsi="Times New Roman"/>
          <w:noProof/>
          <w:sz w:val="24"/>
          <w:lang w:val="ro-RO"/>
        </w:rPr>
        <w:t xml:space="preserve">. </w:t>
      </w:r>
    </w:p>
    <w:p w14:paraId="541F37B7" w14:textId="075E7431" w:rsidR="001F1738" w:rsidRPr="001156EE" w:rsidRDefault="007D4B14"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De asemenea, în comunicarea sa adoptată în contextul semestrului european 2023 privind Analiza anuală a creșterii durabile pentru 2023</w:t>
      </w:r>
      <w:r w:rsidRPr="001156EE">
        <w:rPr>
          <w:rFonts w:ascii="Times New Roman" w:eastAsia="Times New Roman" w:hAnsi="Times New Roman" w:cs="Times New Roman"/>
          <w:noProof/>
          <w:sz w:val="24"/>
          <w:vertAlign w:val="superscript"/>
          <w:lang w:val="ro-RO"/>
        </w:rPr>
        <w:footnoteReference w:id="65"/>
      </w:r>
      <w:r w:rsidRPr="001156EE">
        <w:rPr>
          <w:rFonts w:ascii="Times New Roman" w:hAnsi="Times New Roman"/>
          <w:noProof/>
          <w:sz w:val="24"/>
          <w:lang w:val="ro-RO"/>
        </w:rPr>
        <w:t>, Comisia a subliniat necesitatea unei vigilențe și a unor investiții sporite în toate statele membre pentru a se asigura că sistemele de sănătate sunt pregătite în mod adecvat pentru a face față viitoarelor crize sanitare.</w:t>
      </w:r>
    </w:p>
    <w:p w14:paraId="4CA942F8" w14:textId="0740CD0A"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ro-RO"/>
        </w:rPr>
      </w:pPr>
      <w:r w:rsidRPr="001156EE">
        <w:rPr>
          <w:rFonts w:ascii="Times New Roman" w:hAnsi="Times New Roman"/>
          <w:b/>
          <w:noProof/>
          <w:sz w:val="24"/>
          <w:lang w:val="ro-RO"/>
        </w:rPr>
        <w:t>Formarea și testarea capacităților de pregătire</w:t>
      </w:r>
    </w:p>
    <w:p w14:paraId="2814D6B6"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Formare și consolidarea capacităților</w:t>
      </w:r>
    </w:p>
    <w:p w14:paraId="427DCCDF"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Proiectul „EU PREPAREDNESS”, finanțat prin programul „UE pentru sănătate”, este menit să dezvolte și să pună în aplicare un program de formare în 30 de țări. El va contribui la consolidarea capacităților de pregătire și de supraveghere pentru situații de criză și va facilita colaborarea transnațională între experții din domeniul sănătății publice și din alte sectoare.</w:t>
      </w:r>
    </w:p>
    <w:p w14:paraId="6F296F29"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În plus, în cadrul UCPM au fost organizate o serie de exerciții medicale pe teren pentru a testa coordonarea și interoperabilitatea echipelor medicale de urgență. </w:t>
      </w:r>
    </w:p>
    <w:p w14:paraId="239A642B"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Mai mult, este în curs de elaborare un program de formare privind gestionarea contramăsurilor medicale necesare pentru pregătirea și răspunsul la amenințările transfrontaliere grave pentru sănătate. Activitățile de formare inițială se axează pe constrângerile legate de constituirea de stocuri, achiziții publice și lanțurile de aprovizionare și vor fi completate cu exerciții de simulare pentru a testa și a îmbunătăți cadrele de coordonare și răspuns.</w:t>
      </w:r>
    </w:p>
    <w:p w14:paraId="147AF59E" w14:textId="32E0F2F7"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Formarea și consolidarea capacităților în statele membre sunt aspecte ale pregătirii pentru care UE poate oferi valoare adăugată. Activitățile de formare sunt organizate de Comisie în strânsă cooperare cu agențiile și organele relevante ale UE, precum și cu organizațiile profesionale și organizațiile pacienților. Aceste activități oferă personalului medical și personalului din sistemul de sănătate publică cunoștințele și competențele necesare pentru elaborarea și punerea în aplicare a planurilor naționale de prevenire, pregătire și răspuns. </w:t>
      </w:r>
    </w:p>
    <w:p w14:paraId="4C2D79DA" w14:textId="3C5214C3"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În plus, testarea rezilienței sistemelor de sănătate utilizând scenarii de șoc specifice (de exemplu, pandemii, caniculă și deficitul de forță de muncă în domeniul îngrijirii sănătății) poate îmbunătăți pregătirea pentru situații de criză. Un proiect condus în comun de </w:t>
      </w:r>
      <w:r w:rsidRPr="001156EE">
        <w:rPr>
          <w:rFonts w:ascii="Times New Roman" w:hAnsi="Times New Roman"/>
          <w:noProof/>
          <w:sz w:val="24"/>
          <w:shd w:val="clear" w:color="auto" w:fill="FFFFFF"/>
          <w:lang w:val="ro-RO"/>
        </w:rPr>
        <w:t>Organizația pentru Cooperare și Dezvoltare Economică</w:t>
      </w:r>
      <w:r w:rsidRPr="001156EE">
        <w:rPr>
          <w:rFonts w:ascii="Times New Roman" w:hAnsi="Times New Roman"/>
          <w:noProof/>
          <w:sz w:val="24"/>
          <w:lang w:val="ro-RO"/>
        </w:rPr>
        <w:t xml:space="preserve"> (OCDE) și de Observatorul european pentru sisteme și politici de sănătate și sprijinit prin programul „UE pentru sănătate” dezvoltă o metodologie de testare a rezilienței sistemelor de sănătate. Metodologia va permite statelor membre să revizuiască periodic gradul de pregătire pentru situații de criză sanitară și să testeze reziliența sistemelor lor de sănătate utilizând scenarii specifice de presiuni puternice și cu provocări structurale pe termen lung.</w:t>
      </w:r>
    </w:p>
    <w:p w14:paraId="07A876AB" w14:textId="088B010C"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ro-RO"/>
        </w:rPr>
      </w:pPr>
      <w:bookmarkStart w:id="4" w:name="_Hlk150863393"/>
      <w:r w:rsidRPr="001156EE">
        <w:rPr>
          <w:rFonts w:ascii="Times New Roman" w:hAnsi="Times New Roman"/>
          <w:b/>
          <w:noProof/>
          <w:sz w:val="24"/>
          <w:lang w:val="ro-RO"/>
        </w:rPr>
        <w:t>Pregătirea în ceea ce privește contramăsurile medicale</w:t>
      </w:r>
    </w:p>
    <w:p w14:paraId="4609C750" w14:textId="58C0C1A6" w:rsidR="00854E12" w:rsidRPr="001156EE" w:rsidRDefault="00854E12" w:rsidP="003836E7">
      <w:pPr>
        <w:spacing w:before="100" w:beforeAutospacing="1" w:after="100" w:afterAutospacing="1" w:line="240" w:lineRule="auto"/>
        <w:jc w:val="both"/>
        <w:rPr>
          <w:rFonts w:ascii="Times New Roman" w:hAnsi="Times New Roman" w:cs="Times New Roman"/>
          <w:noProof/>
          <w:sz w:val="24"/>
          <w:lang w:val="ro-RO"/>
        </w:rPr>
      </w:pPr>
      <w:r w:rsidRPr="001156EE">
        <w:rPr>
          <w:rFonts w:ascii="Times New Roman" w:hAnsi="Times New Roman"/>
          <w:noProof/>
          <w:sz w:val="24"/>
          <w:lang w:val="ro-RO"/>
        </w:rPr>
        <w:t>Pregătirea în ceea ce privește contramăsurile medicale implică o coordonare strategică pentru dezvoltarea acestora. În iulie 2022, Comisia a încheiat primul exercițiu de stabilire a priorităților pentru a identifica primele trei amenințări pentru sănătate pentru care ar trebui să fie disponibile contramăsuri medicale în caz de nevoie și care necesită coordonarea măsurilor la nivelul UE: (1) agenții patogeni cu potențial pandemic mare; (2) amenințări chimice, biologice, radiologice și nucleare; și (3) amenințări generate de rezistența la antimicrobiene</w:t>
      </w:r>
      <w:r w:rsidRPr="001156EE">
        <w:rPr>
          <w:rFonts w:ascii="Times New Roman" w:eastAsia="Times New Roman" w:hAnsi="Times New Roman" w:cs="Times New Roman"/>
          <w:noProof/>
          <w:sz w:val="24"/>
          <w:vertAlign w:val="superscript"/>
          <w:lang w:val="ro-RO"/>
        </w:rPr>
        <w:footnoteReference w:id="66"/>
      </w:r>
      <w:r w:rsidRPr="001156EE">
        <w:rPr>
          <w:rFonts w:ascii="Times New Roman" w:hAnsi="Times New Roman"/>
          <w:noProof/>
          <w:sz w:val="24"/>
          <w:lang w:val="ro-RO"/>
        </w:rPr>
        <w:t xml:space="preserve">. În cadrul Comisiei, HERA a fost însărcinată să contribuie la dezvoltarea, producția și distribuția de contramăsuri medicale în caz de urgență. Asigurarea unor achiziții publice și a unor stocuri eficiente de contramăsuri medicale rămân elemente esențiale ale unei bune strategii de pregătire. </w:t>
      </w:r>
    </w:p>
    <w:bookmarkEnd w:id="4"/>
    <w:p w14:paraId="07A423B4" w14:textId="4B68E662" w:rsidR="007D720E"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Acordul privind achizițiile publice comune de contramăsuri medicale, care a fost încheiat în 2014 ca răspuns la pandemia de gripă A/H1N1, a jucat un rol esențial în a ajuta statele membre să obțină produse și materiale medicale esențiale în timpul pandemiei de COVID-19 (terapii împotriva COVID-19, echipamente individuale de protecție, ventilatoare pulmonare, materiale de vaccinare, dispozitive de testare etc.) prin intermediul a peste 200 de contracte cu o valoare totală de peste 12 miliarde EUR</w:t>
      </w:r>
      <w:r w:rsidRPr="001156EE">
        <w:rPr>
          <w:rFonts w:ascii="Times New Roman" w:eastAsia="Times New Roman" w:hAnsi="Times New Roman" w:cs="Times New Roman"/>
          <w:noProof/>
          <w:sz w:val="24"/>
          <w:vertAlign w:val="superscript"/>
          <w:lang w:val="ro-RO"/>
        </w:rPr>
        <w:footnoteReference w:id="67"/>
      </w:r>
      <w:r w:rsidRPr="001156EE">
        <w:rPr>
          <w:rFonts w:ascii="Times New Roman" w:hAnsi="Times New Roman"/>
          <w:noProof/>
          <w:sz w:val="24"/>
          <w:lang w:val="ro-RO"/>
        </w:rPr>
        <w:t>. Comisia, statele membre și alte țări semnatare ale acordului privind achizițiile publice comune se bazează în prezent pe această experiență de cooperare în timpul unei situații de urgență pentru a consolida utilizarea acordului privind achizițiile publice comune pentru pregătire și răspuns. Astfel cum s-a anunțat în Comunicarea privind abordarea deficitelor de medicamente în UE, Comisia va analiza și utilizarea achizițiilor publice comune de antibiotice și tratamente pentru virusurile respiratorii înainte de iarna 2024-2025.</w:t>
      </w:r>
    </w:p>
    <w:p w14:paraId="56E801D1"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Achiziții publice comune de vaccinuri antigripale</w:t>
      </w:r>
    </w:p>
    <w:p w14:paraId="1D9A9C2C"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La achizițiile publice comune de vaccinuri împotriva gripei înalt patogene participă 15 țări semnatare ale acordului privind achizițiile publice comune. Scopul este de a vaccina grupurile-țintă vulnerabile, cum ar fi lucrătorii agricoli, pentru a contribui la prevenirea transferului virusului de la păsări și animale la oameni și, prin urmare, a unui potențial focar de gripă aviară. </w:t>
      </w:r>
    </w:p>
    <w:p w14:paraId="4F661761"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Acordul privind achizițiile publice comune rămâne un instrument important pentru rezervarea și asigurarea în comun a vaccinurilor împotriva gripei pandemice. În prezent, există două contracte permanente în cadrul acordului privind achizițiile publice comune pentru astfel de vaccinuri. Până la sfârșitul anului 2024, Comisia va consulta statele membre și alte țări semnatare ale acordului privind achizițiile publice comune cu privire la disponibilitatea acestora de a reînnoi astfel de contracte în cadrul respectivului acord. </w:t>
      </w:r>
    </w:p>
    <w:p w14:paraId="64DD22C2" w14:textId="04EDACB3"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Acordul privind achizițiile publice comune poate fi utilizat în mod flexibil și, prin urmare, poate juca un rol important în pregătirea pentru situații de criză sanitară prin facilitarea accesului Comisiei și al statelor membre la contramăsuri medicale relevante din punctul de vedere al pregătirii, inclusiv la contramăsuri medicale noi sau rare. </w:t>
      </w:r>
    </w:p>
    <w:p w14:paraId="128B65DD" w14:textId="23CC9F79"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Regulamentul (UE) 2022/2371 a introdus un cadru îmbunătățit pentru achizițiile publice comune, inclusiv posibilitatea propunerii de către Comisie a unei clauze de exclusivitate pentru o anumită achiziție publică comună (și anume odată ce țările au optat să participe la o achiziție publică comună a UE, acestea trebuie să nu desfășoare o achiziție publică națională paralelă pentru aceeași contramăsură medicală). În cazuri justificate (și dacă sunt de acord toate statele membre participante și alte țări participante la acordul privind achizițiile publice comune), aplicarea clauzei de exclusivitate ar trebui să consolideze poziția de negociere a UE și securitatea aprovizionării. Comisia va trebui să efectueze o evaluare preliminară a achizițiilor publice comune care să indice condițiile generale avute în vedere pentru procedura de achiziții publice comune, inclusiv în ceea ce privește eventuala necesitate de exclusivitate, de la caz la caz. </w:t>
      </w:r>
    </w:p>
    <w:p w14:paraId="0345EE17" w14:textId="77777777" w:rsidR="00003506" w:rsidRPr="001156EE" w:rsidRDefault="001F1738" w:rsidP="00003506">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Anticiparea amenințărilor posibile la adresa lanțurilor de aprovizionare cu contramăsuri medicale și a vulnerabilităților posibile ale acestora constituie un factor important de pregătire, în aceeași măsură cu constituirea de stocuri și facilitarea dezvoltării de contramăsuri medicale noi și îmbunătățite. În 2022, Comisia a lansat EU FAB, o rețea de unități de producție a vaccinurilor cu o capacitate „pregătită în permanență”, care poate fi activată rapid în cazul unei urgențe de sănătate publică. La 30 iunie 2023, s-au semnat patru contracte EU FAB cu producătorii de produse farmaceutice pentru a rezerva capacitatea de a produce până la 325 de milioane de vaccinuri de diferite tipuri pe an. De asemenea, Comisia constituie stocuri de contramăsuri medicale în cadrul rescEU – o rezervă strategică de ultimă instanță finanțată de UE, din care statele membre și țările asociate pot solicita asistență. Până în prezent, s-au investit 1,2 miliarde EUR în constituirea de stocuri împotriva amenințărilor transfrontaliere grave pentru sănătate, inclusiv a amenințărilor chimice, biologice, radiologice și nucleare (CBRN). În urma primei cereri de oferte din 2022, Franța, Croația, Polonia și Finlanda au fost alese pentru găzduirea stocurilor. Rezultatele celei de a doua cereri de oferte vor fi anunțate la sfârșitul anului 2023.</w:t>
      </w:r>
    </w:p>
    <w:p w14:paraId="295A19EC" w14:textId="77777777" w:rsidR="00003506" w:rsidRPr="001156EE" w:rsidRDefault="001F1738" w:rsidP="00031422">
      <w:pPr>
        <w:spacing w:before="480"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3. SISTEME DE SUPRAVEGHERE ȘI DE ALERTĂ PRECOCE</w:t>
      </w:r>
      <w:bookmarkStart w:id="5" w:name="_Toc145428521"/>
      <w:bookmarkEnd w:id="5"/>
    </w:p>
    <w:p w14:paraId="2BE0DF8A" w14:textId="77777777" w:rsidR="00003506" w:rsidRPr="001156EE" w:rsidRDefault="001F1738" w:rsidP="00003506">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b/>
          <w:noProof/>
          <w:sz w:val="24"/>
          <w:lang w:val="ro-RO"/>
        </w:rPr>
        <w:t xml:space="preserve">Supravegherea sănătății publice în ceea ce privește bolile transmisibile </w:t>
      </w:r>
    </w:p>
    <w:p w14:paraId="012DD0D9" w14:textId="77777777" w:rsidR="00003506" w:rsidRPr="001156EE" w:rsidRDefault="001F1738" w:rsidP="00003506">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Fără supravegherea sănătății publice nu am fi în măsură să monitorizăm tendințele bolilor transmisibile, să depistăm focarele din timp sau să evaluăm eficacitatea măsurilor și politicilor de sănătate publică. Acesta a fost un alt aspect esențial al sănătății publice, a cărui importanță a fost evidențiată în timpul pandemiei de COVID-19. Un studiu recent</w:t>
      </w:r>
      <w:r w:rsidRPr="001156EE">
        <w:rPr>
          <w:rFonts w:ascii="Times New Roman" w:eastAsia="Times New Roman" w:hAnsi="Times New Roman" w:cs="Times New Roman"/>
          <w:noProof/>
          <w:sz w:val="24"/>
          <w:vertAlign w:val="superscript"/>
          <w:lang w:val="ro-RO"/>
        </w:rPr>
        <w:footnoteReference w:id="68"/>
      </w:r>
      <w:r w:rsidRPr="001156EE">
        <w:rPr>
          <w:rFonts w:ascii="Times New Roman" w:hAnsi="Times New Roman"/>
          <w:noProof/>
          <w:sz w:val="24"/>
          <w:lang w:val="ro-RO"/>
        </w:rPr>
        <w:t xml:space="preserve"> a analizat învățămintele desprinse din supravegherea în UE în timpul pandemiei de COVID-19. Există în continuare unele diferențe în ceea ce privește calitatea datelor raportate de statele membre în ceea ce privește bolile, în pofida eforturilor ECDC de a oferi sprijin metodologic statelor membre și protocoale de raportare. De asemenea, se pot aduce îmbunătățiri în ceea ce privește progresele tehnologice, cum ar fi platformele digitale de supraveghere, în pofida eforturilor majore depuse în timpul anilor de pandemie. </w:t>
      </w:r>
    </w:p>
    <w:p w14:paraId="4F89FD95" w14:textId="55B1D053" w:rsidR="00AE4ED2" w:rsidRPr="001156EE" w:rsidRDefault="001F1738" w:rsidP="00003506">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Regulamentul (UE) 2022/2371 introduce un nou sistem de supraveghere epidemiologică de înaltă performanță la nivelul UE. El include utilizarea inteligenței artificiale și a instrumentelor digitale pentru validarea, analizarea și raportarea automată a datelor, asigurând o modelare precisă și evaluări ale riscurilor. Pentru a completa supravegherea epidemiologică a bolilor transmisibile, Regulamentul (UE) 2022/2371 impune statelor membre să își intensifice raportarea indicatorilor sistemelor de sănătate, inclusiv a capacității sistemului de sănătate (de exemplu, numărul de paturi disponibile în spitale, capacitatea de tratament specializat și de terapie intensivă, precum și numărul de personal medical instruit). Comisia revizuiește lista bolilor transmisibile și a problemelor speciale de sănătate (de exemplu RAM) care trebuie notificate la nivelul UE. Conform planificării, lista actualizată urmează să fie pusă în aplicare până la jumătatea anului 2024. Comisia sprijină modernizarea sistemelor naționale de supraveghere ale statelor membre prin acordarea a aproape 100 de milioane EUR sub formă de granturi directe pentru dezvoltarea infrastructurii, consolidarea capacităților și priorități naționale specifice.</w:t>
      </w:r>
    </w:p>
    <w:p w14:paraId="6CE53E40" w14:textId="77777777" w:rsidR="001F1738" w:rsidRPr="001156EE"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ro-RO"/>
        </w:rPr>
      </w:pPr>
      <w:r w:rsidRPr="001156EE">
        <w:rPr>
          <w:rFonts w:ascii="Times New Roman" w:hAnsi="Times New Roman"/>
          <w:b/>
          <w:noProof/>
          <w:sz w:val="24"/>
          <w:lang w:val="ro-RO"/>
        </w:rPr>
        <w:t>Consolidarea capacității laboratoarelor pentru supravegherea și dezvoltarea contramăsurilor medicale</w:t>
      </w:r>
    </w:p>
    <w:p w14:paraId="31920660" w14:textId="1D64E4A4" w:rsidR="001F1738" w:rsidRPr="001156EE" w:rsidRDefault="002260F0" w:rsidP="001F1738">
      <w:pPr>
        <w:keepNext/>
        <w:keepLines/>
        <w:spacing w:before="100" w:beforeAutospacing="1" w:after="100" w:afterAutospacing="1" w:line="240" w:lineRule="auto"/>
        <w:jc w:val="both"/>
        <w:outlineLvl w:val="2"/>
        <w:rPr>
          <w:rFonts w:ascii="Times New Roman" w:eastAsia="Times New Roman" w:hAnsi="Times New Roman" w:cs="Times New Roman"/>
          <w:i/>
          <w:noProof/>
          <w:sz w:val="24"/>
          <w:lang w:val="ro-RO"/>
        </w:rPr>
      </w:pPr>
      <w:r w:rsidRPr="001156EE">
        <w:rPr>
          <w:rFonts w:ascii="Times New Roman" w:hAnsi="Times New Roman"/>
          <w:i/>
          <w:noProof/>
          <w:sz w:val="24"/>
          <w:lang w:val="ro-RO"/>
        </w:rPr>
        <w:t>Laboratoarele de referință ale UE în domeniul sănătății publice</w:t>
      </w:r>
    </w:p>
    <w:p w14:paraId="4A0B64B8" w14:textId="7BD989B9"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O altă noutate adusă de Regulamentul (UE) 2022/2371 este crearea laboratoarelor de referință ale UE (LRUE) pentru sănătatea publică, pentru a oferi sprijin laboratoarelor naționale de referință și pentru a promova bunele practici și alinierea voluntară în ceea ce privește diagnosticarea, metodele de testare și utilizarea anumitor teste pentru supravegherea, notificarea și raportarea uniformă a bolilor de către statele membre. Comisia și ECDC colaborează îndeaproape la punerea în aplicare a LRUE. Primele șase laboratoare de referință ale UE vor fi desemnate la începutul anului 2024 și vor fi finanțate în cadrul programului „UE pentru sănătate”</w:t>
      </w:r>
      <w:r w:rsidRPr="001156EE">
        <w:rPr>
          <w:rStyle w:val="FootnoteReference"/>
          <w:rFonts w:ascii="Times New Roman" w:eastAsia="Times New Roman" w:hAnsi="Times New Roman" w:cs="Times New Roman"/>
          <w:noProof/>
          <w:sz w:val="24"/>
          <w:lang w:val="ro-RO"/>
        </w:rPr>
        <w:footnoteReference w:id="69"/>
      </w:r>
      <w:r w:rsidRPr="001156EE">
        <w:rPr>
          <w:rFonts w:ascii="Times New Roman" w:hAnsi="Times New Roman"/>
          <w:noProof/>
          <w:sz w:val="24"/>
          <w:lang w:val="ro-RO"/>
        </w:rPr>
        <w:t>.</w:t>
      </w:r>
    </w:p>
    <w:p w14:paraId="3223CA80" w14:textId="5B65B782"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i/>
          <w:noProof/>
          <w:sz w:val="24"/>
          <w:lang w:val="ro-RO"/>
        </w:rPr>
      </w:pPr>
      <w:r w:rsidRPr="001156EE">
        <w:rPr>
          <w:rFonts w:ascii="Times New Roman" w:hAnsi="Times New Roman"/>
          <w:i/>
          <w:noProof/>
          <w:sz w:val="24"/>
          <w:lang w:val="ro-RO"/>
        </w:rPr>
        <w:t>DURABLE</w:t>
      </w:r>
    </w:p>
    <w:p w14:paraId="221C5A4E" w14:textId="3D5B113D"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Comisia a lansat proiectul rețelei de laboratoare DURABLE (2023-2027)</w:t>
      </w:r>
      <w:r w:rsidRPr="001156EE">
        <w:rPr>
          <w:rFonts w:ascii="Times New Roman" w:eastAsia="Times New Roman" w:hAnsi="Times New Roman" w:cs="Times New Roman"/>
          <w:noProof/>
          <w:sz w:val="24"/>
          <w:vertAlign w:val="superscript"/>
          <w:lang w:val="ro-RO"/>
        </w:rPr>
        <w:footnoteReference w:id="70"/>
      </w:r>
      <w:r w:rsidRPr="001156EE">
        <w:rPr>
          <w:rFonts w:ascii="Times New Roman" w:hAnsi="Times New Roman"/>
          <w:noProof/>
          <w:sz w:val="24"/>
          <w:lang w:val="ro-RO"/>
        </w:rPr>
        <w:t xml:space="preserve"> formată din laboratoare din domeniul sănătății publice și din mediul academic pentru a sprijini cercetarea și dezvoltarea de contramăsuri medicale. Proiectul DURABLE, finanțat în cadrul programului „UE pentru sănătate”, mobilizează capacitățile experimentale ale membrilor săi pentru a accelera dezvoltarea contramăsurilor medicale, inclusiv a mijloacelor de diagnosticare, a mijloacelor terapeutice și a vaccinurilor. Proiectul DURABLE are o dimensiune globală, datorită participării membrilor cu capacități de laborator din întreaga lume și este complementar LRUE. </w:t>
      </w:r>
    </w:p>
    <w:p w14:paraId="34C138F4" w14:textId="77777777" w:rsidR="001F1738" w:rsidRPr="001156EE" w:rsidRDefault="001F1738" w:rsidP="001F1738">
      <w:pPr>
        <w:keepNext/>
        <w:keepLines/>
        <w:spacing w:before="100" w:beforeAutospacing="1" w:after="100" w:afterAutospacing="1" w:line="240" w:lineRule="auto"/>
        <w:jc w:val="both"/>
        <w:outlineLvl w:val="2"/>
        <w:rPr>
          <w:rFonts w:ascii="Times New Roman" w:eastAsia="Times New Roman" w:hAnsi="Times New Roman" w:cs="Times New Roman"/>
          <w:b/>
          <w:noProof/>
          <w:sz w:val="24"/>
          <w:lang w:val="ro-RO"/>
        </w:rPr>
      </w:pPr>
      <w:r w:rsidRPr="001156EE">
        <w:rPr>
          <w:rFonts w:ascii="Times New Roman" w:hAnsi="Times New Roman"/>
          <w:b/>
          <w:noProof/>
          <w:sz w:val="24"/>
          <w:lang w:val="ro-RO"/>
        </w:rPr>
        <w:t>Platforme digitale moderne îmbunătățite pentru supraveghere</w:t>
      </w:r>
    </w:p>
    <w:p w14:paraId="73B2C194" w14:textId="6B8FDCBC"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Dezvoltarea rapidă a instrumentelor digitale facilitează colectarea și schimbul de date în timp util. Pentru a consolida sistemele de supraveghere ale UE, Regulamentul (UE) 2022/2371 consolidează și utilizarea platformelor digitale.</w:t>
      </w:r>
    </w:p>
    <w:p w14:paraId="2BB93BE9" w14:textId="16DE2F0E"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În iunie 2021, ECDC a lansat portalul european de supraveghere a bolilor infecțioase (EpiPulse), o platformă care permite supravegherea în timp real a bolilor infecțioase</w:t>
      </w:r>
      <w:r w:rsidRPr="001156EE">
        <w:rPr>
          <w:rFonts w:ascii="Times New Roman" w:eastAsia="Times New Roman" w:hAnsi="Times New Roman" w:cs="Times New Roman"/>
          <w:noProof/>
          <w:sz w:val="24"/>
          <w:vertAlign w:val="superscript"/>
          <w:lang w:val="ro-RO"/>
        </w:rPr>
        <w:footnoteReference w:id="71"/>
      </w:r>
      <w:r w:rsidRPr="001156EE">
        <w:rPr>
          <w:rFonts w:ascii="Times New Roman" w:hAnsi="Times New Roman"/>
          <w:noProof/>
          <w:sz w:val="24"/>
          <w:lang w:val="ro-RO"/>
        </w:rPr>
        <w:t>. EpiPulse este un portal online cu ajutorul căruia autoritățile din domeniul sănătății publice și organizațiile partenere din UE/SEE pot să colecteze, să analizeze, să partajeze și să discute date privind bolile infecțioase. El sprijină depistarea amenințărilor, monitorizarea, evaluarea riscurilor și răspunsul la epidemii. EpiPulse va fi dezvoltat în continuare pentru a ține seama de cerințele Regulamentului (UE) 2022/2371 și va integra și alte instrumente de raportare, cum ar fi Sistemul european de supraveghere pentru supravegherea bazată pe indicatori (TESSy)</w:t>
      </w:r>
      <w:r w:rsidRPr="001156EE">
        <w:rPr>
          <w:rFonts w:ascii="Times New Roman" w:eastAsia="Times New Roman" w:hAnsi="Times New Roman" w:cs="Times New Roman"/>
          <w:noProof/>
          <w:sz w:val="24"/>
          <w:vertAlign w:val="superscript"/>
          <w:lang w:val="ro-RO"/>
        </w:rPr>
        <w:footnoteReference w:id="72"/>
      </w:r>
      <w:r w:rsidRPr="001156EE">
        <w:rPr>
          <w:rFonts w:ascii="Times New Roman" w:hAnsi="Times New Roman"/>
          <w:noProof/>
          <w:sz w:val="24"/>
          <w:lang w:val="ro-RO"/>
        </w:rPr>
        <w:t>. ECDC lucrează la integrarea proiectului „Informații Epidemiologice din Surse Deschise” (EIOS) – un instrument esențial de depistare a amenințărilor care a fost dezvoltat în colaborare cu OMS</w:t>
      </w:r>
      <w:r w:rsidRPr="001156EE">
        <w:rPr>
          <w:rFonts w:ascii="Times New Roman" w:eastAsia="Times New Roman" w:hAnsi="Times New Roman" w:cs="Times New Roman"/>
          <w:noProof/>
          <w:sz w:val="24"/>
          <w:vertAlign w:val="superscript"/>
          <w:lang w:val="ro-RO"/>
        </w:rPr>
        <w:footnoteReference w:id="73"/>
      </w:r>
      <w:r w:rsidRPr="001156EE">
        <w:rPr>
          <w:rFonts w:ascii="Times New Roman" w:hAnsi="Times New Roman"/>
          <w:noProof/>
          <w:sz w:val="24"/>
          <w:lang w:val="ro-RO"/>
        </w:rPr>
        <w:t xml:space="preserve"> – în platforma EpiPulse pentru a raționaliza procesul de depistare, monitorizare și evaluare a amenințărilor. </w:t>
      </w:r>
    </w:p>
    <w:p w14:paraId="7C3C17E8" w14:textId="4C6E1269"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Comisia dezvoltă în prezent sistemul informatic ATHINA (</w:t>
      </w:r>
      <w:r w:rsidRPr="001156EE">
        <w:rPr>
          <w:rFonts w:ascii="Times New Roman" w:hAnsi="Times New Roman"/>
          <w:i/>
          <w:iCs/>
          <w:noProof/>
          <w:sz w:val="24"/>
          <w:lang w:val="ro-RO"/>
        </w:rPr>
        <w:t>Advanced Technology for Health Intelligence and Action</w:t>
      </w:r>
      <w:r w:rsidRPr="001156EE">
        <w:rPr>
          <w:rFonts w:ascii="Times New Roman" w:hAnsi="Times New Roman"/>
          <w:noProof/>
          <w:sz w:val="24"/>
          <w:lang w:val="ro-RO"/>
        </w:rPr>
        <w:t xml:space="preserve"> – Tehnologia avansată pentru informații și acțiuni în domeniul sănătății)</w:t>
      </w:r>
      <w:r w:rsidRPr="001156EE">
        <w:rPr>
          <w:rFonts w:ascii="Times New Roman" w:eastAsia="Times New Roman" w:hAnsi="Times New Roman" w:cs="Times New Roman"/>
          <w:noProof/>
          <w:sz w:val="24"/>
          <w:vertAlign w:val="superscript"/>
          <w:lang w:val="ro-RO"/>
        </w:rPr>
        <w:footnoteReference w:id="74"/>
      </w:r>
      <w:r w:rsidRPr="001156EE">
        <w:rPr>
          <w:rFonts w:ascii="Times New Roman" w:hAnsi="Times New Roman"/>
          <w:noProof/>
          <w:sz w:val="24"/>
          <w:lang w:val="ro-RO"/>
        </w:rPr>
        <w:t xml:space="preserve"> pentru a sprijini activitățile sale zilnice de evaluare a amenințărilor și pentru a genera informații utile pentru procesul decizional. ATHINA va ajuta Comisia să depisteze semnalele relevante cu privire la posibilele amenințări pentru sănătate care necesită un răspuns constând în contramăsuri medicale pe baza analizei lanțului de aprovizionare și a vulnerabilităților identificate în ceea ce privește furnizarea de contramăsuri medicale, inclusiv riscul de deficite și de dependențe strategice. În acest scop, ATHINA va colecta informații prin schimburi de date privind contramăsurile medicale și amenințările pentru sănătatea publică cu bazele de date relevante (de exemplu, cele ale ECDC și ale EMA); reutilizarea sistemelor existente (de exemplu, platforma EIOS a OMS) și a altor surse; și asigurarea interoperabilității soluțiilor digitale.</w:t>
      </w:r>
    </w:p>
    <w:p w14:paraId="1E14372C"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bookmarkStart w:id="6" w:name="_Hlk150770134"/>
      <w:bookmarkStart w:id="7" w:name="_Hlk150770135"/>
      <w:bookmarkStart w:id="8" w:name="_Hlk150770142"/>
      <w:bookmarkStart w:id="9" w:name="_Hlk150770143"/>
      <w:bookmarkStart w:id="10" w:name="_Hlk150770144"/>
      <w:bookmarkStart w:id="11" w:name="_Hlk150770145"/>
      <w:bookmarkStart w:id="12" w:name="_Hlk150770146"/>
      <w:bookmarkStart w:id="13" w:name="_Hlk150770147"/>
      <w:bookmarkStart w:id="14" w:name="_Hlk150770148"/>
      <w:bookmarkStart w:id="15" w:name="_Hlk150770149"/>
      <w:bookmarkStart w:id="16" w:name="_Hlk150770150"/>
      <w:bookmarkStart w:id="17" w:name="_Hlk150770151"/>
      <w:r w:rsidRPr="001156EE">
        <w:rPr>
          <w:rFonts w:ascii="Times New Roman" w:hAnsi="Times New Roman"/>
          <w:b/>
          <w:noProof/>
          <w:sz w:val="24"/>
          <w:lang w:val="ro-RO"/>
        </w:rPr>
        <w:t>Deblocarea puterii datelor privind sănătatea</w:t>
      </w:r>
    </w:p>
    <w:p w14:paraId="08955959"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Propunerea de regulament privind un spațiu european al datelor privind sănătatea urmărește să deblocheze puterea datelor privind sănătatea, permițând reutilizarea datelor electronice privind sănătatea pentru cercetare, inovare, statistici oficiale, elaborarea de politici și activități de reglementare. Ea include reutilizarea datelor privind sănătatea în scopuri de supraveghere pentru a proteja împotriva amenințărilor pentru sănătate sau pentru a asigura standarde înalte de calitate și siguranță a îngrijirilor de sănătate, a medicamentelor și a dispozitivelor medicale. Pentru a dezvolta și a implementa infrastructura UE pentru utilizarea secundară a datelor privind sănătatea, în octombrie 2022 a fost lansat proiectul-pilot HealthData@EU pe o perioadă de doi ani. El va testa infrastructura pentru utilizarea secundară a datelor privind sănătatea referitoare la cazurile de utilizare. Printre exemple se numără axarea pe supravegherea RAM și utilizarea testelor, spitalizările și acceptarea vaccinării de către subpopulațiile vulnerabile. De asemenea, ECDC va participa la proiect prin evaluarea utilizării infrastructurii pentru supravegherea sănătății publice.</w:t>
      </w:r>
    </w:p>
    <w:bookmarkEnd w:id="6"/>
    <w:bookmarkEnd w:id="7"/>
    <w:bookmarkEnd w:id="8"/>
    <w:bookmarkEnd w:id="9"/>
    <w:bookmarkEnd w:id="10"/>
    <w:bookmarkEnd w:id="11"/>
    <w:bookmarkEnd w:id="12"/>
    <w:bookmarkEnd w:id="13"/>
    <w:bookmarkEnd w:id="14"/>
    <w:bookmarkEnd w:id="15"/>
    <w:bookmarkEnd w:id="16"/>
    <w:bookmarkEnd w:id="17"/>
    <w:p w14:paraId="286E1D50" w14:textId="77777777"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r w:rsidRPr="001156EE">
        <w:rPr>
          <w:rFonts w:ascii="Times New Roman" w:hAnsi="Times New Roman"/>
          <w:b/>
          <w:noProof/>
          <w:sz w:val="24"/>
          <w:lang w:val="ro-RO"/>
        </w:rPr>
        <w:t xml:space="preserve">Stimularea sistemelor integrate de supraveghere de tip „O singură sănătate” </w:t>
      </w:r>
    </w:p>
    <w:p w14:paraId="23674D9F" w14:textId="4193C5A3"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Comisia sprijină sistemele integrate de supraveghere de tip „O singură sănătate”, care vizează legăturile dintre sănătatea umană, cea animală și mediu. Un astfel de sprijin este acțiunea comună în valoare de 7,8 milioane EUR „Consolidarea capacității Uniunii și a capacităților naționale pentru supravegherea integrată (UNITED4Surveillance)”</w:t>
      </w:r>
      <w:r w:rsidRPr="001156EE">
        <w:rPr>
          <w:rFonts w:ascii="Times New Roman" w:eastAsia="Times New Roman" w:hAnsi="Times New Roman" w:cs="Times New Roman"/>
          <w:noProof/>
          <w:sz w:val="24"/>
          <w:vertAlign w:val="superscript"/>
          <w:lang w:val="ro-RO"/>
        </w:rPr>
        <w:footnoteReference w:id="75"/>
      </w:r>
      <w:r w:rsidRPr="001156EE">
        <w:rPr>
          <w:rFonts w:ascii="Times New Roman" w:hAnsi="Times New Roman"/>
          <w:noProof/>
          <w:sz w:val="24"/>
          <w:lang w:val="ro-RO"/>
        </w:rPr>
        <w:t>, finanțată în cadrul programului „UE pentru sănătate” și lansată în februarie 2023, în colaborare cu autoritățile naționale competente, pentru a promova integrarea sistemelor de supraveghere la nivelul UE prin sprijinirea îmbunătățirii sistemelor naționale de supraveghere. UNITED4Surveillance se axează pe definirea orientărilor pentru integrarea diferitelor surse de date electronice privind sănătatea și a registrelor/bazelor de date digitale, pe consolidarea capacităților de supraveghere în UE și în afara acesteia și pe îmbunătățirea securității sanitare la nivel mondial.</w:t>
      </w:r>
    </w:p>
    <w:p w14:paraId="4D199225" w14:textId="5D11C52C"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În plus, un alt grant direct în valoare de 20 de milioane EUR a fost pus la dispoziția statelor membre pentru un sistem de supraveghere coordonată în cadrul abordării de tip „O singură sănătate” pentru combaterea agenților patogeni transfrontalieri</w:t>
      </w:r>
      <w:r w:rsidRPr="001156EE">
        <w:rPr>
          <w:rFonts w:ascii="Times New Roman" w:eastAsia="Times New Roman" w:hAnsi="Times New Roman" w:cs="Times New Roman"/>
          <w:noProof/>
          <w:sz w:val="24"/>
          <w:vertAlign w:val="superscript"/>
          <w:lang w:val="ro-RO"/>
        </w:rPr>
        <w:footnoteReference w:id="76"/>
      </w:r>
      <w:r w:rsidRPr="001156EE">
        <w:rPr>
          <w:rFonts w:ascii="Times New Roman" w:hAnsi="Times New Roman"/>
          <w:noProof/>
          <w:sz w:val="24"/>
          <w:lang w:val="ro-RO"/>
        </w:rPr>
        <w:t>. Acest grant va ajuta autoritățile statelor membre să contribuie la crearea și extinderea sistemului de supraveghere a animalelor și a mediului care vizează zoonozele, inclusiv la colectarea și evaluarea sistematică continuă a datelor de către EFSA, în colaborare cu ECDC. El va oferi elemente de sănătate animală și de mediu care să completeze acțiunea de mai sus în ceea ce privește sănătatea umană, pentru o supraveghere integrată de tip „O singură sănătate”.</w:t>
      </w:r>
    </w:p>
    <w:p w14:paraId="690876EC" w14:textId="63B799D5"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La începutul anului 2024, Comisia va lansa un studiu de fezabilitate privind sistemele integrate de supraveghere pentru RAM și utilizarea antimicrobienelor din sectorul uman, veterinar și al mediului. Acest studiu va sprijini statele membre în dezvoltarea unor sisteme integrate de supraveghere pentru a depista în mod eficient și rapid infecțiile rezistente și focarele emergente; și pentru a determina inclusiv tendințele și toxicitatea prezenței genelor care conferă RAM și a antimicrobienelor în soluri și ape. Astfel se va îmbunătăți înțelegerea epidemiologiei complexe a RAM pentru a orienta viitoarele recomandări de politică astfel încât să răspundă riscurilor legate de RAM înainte ca acestea să devină situații de urgență la scară largă.</w:t>
      </w:r>
    </w:p>
    <w:p w14:paraId="66E15B14" w14:textId="6F054140"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textAlignment w:val="baseline"/>
        <w:rPr>
          <w:rFonts w:ascii="Times New Roman" w:eastAsia="Times New Roman" w:hAnsi="Times New Roman" w:cs="Times New Roman"/>
          <w:b/>
          <w:noProof/>
          <w:sz w:val="24"/>
          <w:lang w:val="ro-RO"/>
        </w:rPr>
      </w:pPr>
      <w:r w:rsidRPr="001156EE">
        <w:rPr>
          <w:rFonts w:ascii="Times New Roman" w:hAnsi="Times New Roman"/>
          <w:b/>
          <w:noProof/>
          <w:sz w:val="24"/>
          <w:lang w:val="ro-RO"/>
        </w:rPr>
        <w:t>Apele uzate: o sursă de monitorizare a sănătății publice</w:t>
      </w:r>
    </w:p>
    <w:p w14:paraId="6E700D91"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bookmarkStart w:id="18" w:name="_Hlk156296591"/>
      <w:r w:rsidRPr="001156EE">
        <w:rPr>
          <w:rFonts w:ascii="Times New Roman" w:hAnsi="Times New Roman"/>
          <w:noProof/>
          <w:sz w:val="24"/>
          <w:lang w:val="ro-RO"/>
        </w:rPr>
        <w:t>În timpul pandemiei de COVID-19, monitorizarea apelor uzate pentru a depista prezența SARS-CoV-2 și a variantelor sale a apărut ca o sursă suplimentară robustă de informații privind prezența virusului și o investigație epidemiologică a răspândirii virusului în UE, facilitată prin intermediul Platformei digitale europene de schimb (DEEP). HERA și Centrul Comun de Cercetare (JRC) sprijină o acțiune comună de consolidare a capacităților naționale de stabilire a priorității agenților patogeni, de prelevare de probe și de integrare a datelor privind apele uzate în monitorizarea desfășurată în vederea procesului decizional în domeniul sănătății publice și de instituire a unui sistem de supraveghere de tip santinelă al UE pentru testarea probelor din apele uzate atunci când este necesar. În plus, HERA conduce procesul de înființare a unui consorțiu global pentru monitorizarea apelor uzate din punctul de vedere al sănătății publice – o rețea de părți interesate și autorități din întreaga lume pentru a asigura o monitorizare cuprinzătoare în timp real în locuri strategice, care poate contribui la identificarea riscurilor emergente și poate permite acțiuni prompte.</w:t>
      </w:r>
    </w:p>
    <w:bookmarkEnd w:id="18"/>
    <w:p w14:paraId="66624540" w14:textId="14BC70C8" w:rsidR="001F1738" w:rsidRPr="001156EE" w:rsidRDefault="001F1738" w:rsidP="001F1738">
      <w:pPr>
        <w:spacing w:before="100" w:beforeAutospacing="1" w:after="100" w:afterAutospacing="1" w:line="240" w:lineRule="auto"/>
        <w:jc w:val="both"/>
        <w:textAlignment w:val="baseline"/>
        <w:rPr>
          <w:rFonts w:ascii="Times New Roman" w:eastAsia="Times New Roman" w:hAnsi="Times New Roman" w:cs="Times New Roman"/>
          <w:noProof/>
          <w:sz w:val="24"/>
          <w:lang w:val="ro-RO"/>
        </w:rPr>
      </w:pPr>
      <w:r w:rsidRPr="001156EE">
        <w:rPr>
          <w:rFonts w:ascii="Times New Roman" w:hAnsi="Times New Roman"/>
          <w:noProof/>
          <w:sz w:val="24"/>
          <w:lang w:val="ro-RO"/>
        </w:rPr>
        <w:t>Proiectele de cercetare Orizont 2020, cum ar fi MOOD</w:t>
      </w:r>
      <w:r w:rsidRPr="001156EE">
        <w:rPr>
          <w:rFonts w:ascii="Times New Roman" w:eastAsia="Times New Roman" w:hAnsi="Times New Roman" w:cs="Times New Roman"/>
          <w:noProof/>
          <w:sz w:val="24"/>
          <w:vertAlign w:val="superscript"/>
          <w:lang w:val="ro-RO"/>
        </w:rPr>
        <w:footnoteReference w:id="77"/>
      </w:r>
      <w:r w:rsidRPr="001156EE">
        <w:rPr>
          <w:rFonts w:ascii="Times New Roman" w:hAnsi="Times New Roman"/>
          <w:noProof/>
          <w:sz w:val="24"/>
          <w:lang w:val="ro-RO"/>
        </w:rPr>
        <w:t xml:space="preserve"> și VEO</w:t>
      </w:r>
      <w:r w:rsidRPr="001156EE">
        <w:rPr>
          <w:rFonts w:ascii="Times New Roman" w:eastAsia="Times New Roman" w:hAnsi="Times New Roman" w:cs="Times New Roman"/>
          <w:noProof/>
          <w:sz w:val="24"/>
          <w:vertAlign w:val="superscript"/>
          <w:lang w:val="ro-RO"/>
        </w:rPr>
        <w:footnoteReference w:id="78"/>
      </w:r>
      <w:r w:rsidRPr="001156EE">
        <w:rPr>
          <w:rFonts w:ascii="Times New Roman" w:hAnsi="Times New Roman"/>
          <w:noProof/>
          <w:sz w:val="24"/>
          <w:lang w:val="ro-RO"/>
        </w:rPr>
        <w:t>, au contribuit la dezvoltarea unor abordări inovatoare pentru îmbunătățirea monitorizării bolilor printr-o abordare de tip „O singură sănătate”, utilizând volume mari de date din surse multiple și date privind factorii determinanți ai apariției bolilor, inclusiv mișcările umane și schimbările climatice. PHIRI</w:t>
      </w:r>
      <w:r w:rsidRPr="001156EE">
        <w:rPr>
          <w:rFonts w:ascii="Times New Roman" w:eastAsiaTheme="minorEastAsia" w:hAnsi="Times New Roman" w:cs="Times New Roman"/>
          <w:noProof/>
          <w:sz w:val="24"/>
          <w:vertAlign w:val="superscript"/>
          <w:lang w:val="ro-RO"/>
        </w:rPr>
        <w:footnoteReference w:id="79"/>
      </w:r>
      <w:r w:rsidRPr="001156EE">
        <w:rPr>
          <w:rFonts w:ascii="Times New Roman" w:hAnsi="Times New Roman"/>
          <w:noProof/>
          <w:sz w:val="24"/>
          <w:lang w:val="ro-RO"/>
        </w:rPr>
        <w:t xml:space="preserve"> a dezvoltat un portal de informații privind sănătatea care centralizează datele privind sănătatea și îngrijirile de sănătate și le permite cercetătorilor să stabilească legături și să utilizeze diferite surse de date din întreaga UE. </w:t>
      </w:r>
    </w:p>
    <w:p w14:paraId="63079CB0" w14:textId="19998B6B" w:rsidR="001F1738" w:rsidRPr="001156EE" w:rsidRDefault="001F1738" w:rsidP="001F1738">
      <w:pPr>
        <w:keepNext/>
        <w:keepLines/>
        <w:spacing w:before="100" w:beforeAutospacing="1" w:after="100" w:afterAutospacing="1" w:line="240" w:lineRule="auto"/>
        <w:jc w:val="both"/>
        <w:outlineLvl w:val="1"/>
        <w:rPr>
          <w:rFonts w:asciiTheme="majorHAnsi" w:eastAsiaTheme="majorEastAsia" w:hAnsiTheme="majorHAnsi" w:cstheme="majorBidi"/>
          <w:noProof/>
          <w:sz w:val="28"/>
          <w:lang w:val="ro-RO"/>
        </w:rPr>
      </w:pPr>
      <w:r w:rsidRPr="001156EE">
        <w:rPr>
          <w:rFonts w:ascii="Times New Roman" w:hAnsi="Times New Roman"/>
          <w:b/>
          <w:noProof/>
          <w:sz w:val="24"/>
          <w:lang w:val="ro-RO"/>
        </w:rPr>
        <w:t>Sistemele de alertă precoce</w:t>
      </w:r>
    </w:p>
    <w:p w14:paraId="07DB9ECA" w14:textId="1FC9AD4D" w:rsidR="0032059A" w:rsidRPr="001156EE" w:rsidRDefault="001F1738" w:rsidP="0032059A">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Sistemul UE de alertă precoce și răspuns rapid (SAPR) a fost instituit în 1998 (Decizia 2119/98/CE)</w:t>
      </w:r>
      <w:r w:rsidRPr="001156EE">
        <w:rPr>
          <w:rStyle w:val="FootnoteReference"/>
          <w:rFonts w:ascii="Times New Roman" w:eastAsia="Times New Roman" w:hAnsi="Times New Roman" w:cs="Times New Roman"/>
          <w:noProof/>
          <w:sz w:val="24"/>
          <w:lang w:val="ro-RO"/>
        </w:rPr>
        <w:footnoteReference w:id="80"/>
      </w:r>
      <w:r w:rsidRPr="001156EE">
        <w:rPr>
          <w:rFonts w:ascii="Times New Roman" w:hAnsi="Times New Roman"/>
          <w:noProof/>
          <w:sz w:val="24"/>
          <w:lang w:val="ro-RO"/>
        </w:rPr>
        <w:t xml:space="preserve">. El este un instrument cu acces restricționat utilizat pentru notificarea alertelor și monitorizarea amenințărilor pentru sănătatea publică. De-a lungul anilor, el a fost canalul utilizat pentru notificarea rapidă a mii de alerte. Comisia a publicat prima alertă privind COVID-19 la începutul lunii ianuarie 2020. În vederea alinierii la Regulamentul (UE) 2022/2371, SAPR trebuie restructurat în funcție de principalele categorii de amenințări pentru sănătate, și anume cele legate de sursele biologice, chimice și de mediu, precum și cele de origine necunoscută. </w:t>
      </w:r>
    </w:p>
    <w:p w14:paraId="3612F01E" w14:textId="505B380C" w:rsidR="001F1738" w:rsidRPr="001156EE" w:rsidRDefault="00072774"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O acțiune pregătitoare</w:t>
      </w:r>
      <w:r w:rsidRPr="001156EE">
        <w:rPr>
          <w:rStyle w:val="FootnoteReference"/>
          <w:rFonts w:ascii="Times New Roman" w:eastAsia="Times New Roman" w:hAnsi="Times New Roman" w:cs="Times New Roman"/>
          <w:noProof/>
          <w:sz w:val="24"/>
          <w:lang w:val="ro-RO"/>
        </w:rPr>
        <w:footnoteReference w:id="81"/>
      </w:r>
      <w:r w:rsidRPr="001156EE">
        <w:rPr>
          <w:rFonts w:ascii="Times New Roman" w:hAnsi="Times New Roman"/>
          <w:noProof/>
          <w:sz w:val="24"/>
          <w:lang w:val="ro-RO"/>
        </w:rPr>
        <w:t xml:space="preserve"> pentru noua evoluție a SAPR este în curs de punere în aplicare. Ea are scopul de a aborda prioritățile pentru dezvoltarea în continuare a SAPR în conformitate cu Regulamentul (UE) 2022/2371: introducerea unei noi guvernanțe, arhitecturi și funcționalități pentru a sprijini extinderea structurilor și a noilor grupuri de utilizatori și roluri; consolidarea securității și a protecției datelor în urma unei evaluări a impactului asupra protecției datelor; dezvoltarea unor module noi pentru a sprijini planificarea pregătirii și a răspunsului, precum și capacitățile de raportare și de gestionare a crizelor; și îmbunătățirea serviciilor de asistență pentru utilizatori (formare și orientare integrată pentru utilizatori). În cadrul acestei acțiuni, evaluarea fezabilității interconectării cu sistemele de alertă și de informații ale UE și cu alte sisteme internaționale de alertă și de informații este în curs de finalizare. Au fost evaluate 13 astfel de sisteme, iar 10 vor fi stabilite ca prioritare pentru interconectarea cu SAPR. Pentru a asigura interoperabilitatea cu alte sisteme informatice de alertă, taxonomia SAPR pentru amenințările biologice, chimice și de mediu este, de asemenea, în curs de revizuire.</w:t>
      </w:r>
    </w:p>
    <w:p w14:paraId="0F92831F" w14:textId="665C0EE1" w:rsidR="001F1738" w:rsidRPr="001156EE" w:rsidRDefault="00E57E84"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Coordonarea cu alte sisteme de alertă este esențială atunci când se confruntă, de exemplu, cu agenți patogeni cu transmitere prin alimente (de exemplu, cazul salmonelei rezistente în ouăle de ciocolată în 2022) sau zoonoze, cum ar fi gripa aviară (astfel cum s-a menționat anterior în prezentul raport). Viitoarele modificări solicitate prin Regulamentul (UE) 2022/2371 includ interoperabilitatea SAPR cu alte sisteme, cum ar fi (i) Sistemul UE de informații privind bolile animalelor (ADIS), pentru a monitoriza bolile infecțioase ale animalelor; (ii) Sistemul de alertă rapidă pentru alimente și furaje (RASFF) pentru riscurile pentru sănătatea publică generate de lanțul alimentar; (iii) WebECURIE, sistemul UE de notificare rapidă și de schimb de informații în cazul unei urgențe radiologice, inclusiv al accidentelor nucleare; (iv) RASCHEM pentru amenințări de natură chimică; și (v) poarta de siguranță (</w:t>
      </w:r>
      <w:r w:rsidRPr="001156EE">
        <w:rPr>
          <w:rFonts w:ascii="Times New Roman" w:hAnsi="Times New Roman"/>
          <w:i/>
          <w:iCs/>
          <w:noProof/>
          <w:sz w:val="24"/>
          <w:lang w:val="ro-RO"/>
        </w:rPr>
        <w:t>safety gate</w:t>
      </w:r>
      <w:r w:rsidRPr="001156EE">
        <w:rPr>
          <w:rFonts w:ascii="Times New Roman" w:hAnsi="Times New Roman"/>
          <w:noProof/>
          <w:sz w:val="24"/>
          <w:lang w:val="ro-RO"/>
        </w:rPr>
        <w:t>) pentru amenințările de natură biologică sau chimică din produsele de consum nealimentare. SAPR trebuie, de asemenea, să fie interoperabil cu EpiPulse pentru notificarea alertelor și schimbul de rezumate epidemiologice sau de evaluări ale riscurilor ca parte a modulului SAPR de conștientizare a situației.</w:t>
      </w:r>
    </w:p>
    <w:p w14:paraId="02BCF609" w14:textId="1B31E58E"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cadrul Comisiei, ARGUS este principalul mecanism de gestionare și coordonare a crizelor. El asigură faptul că informațiile relevante de la serviciile Comisiei și de la agențiile UE, precum și de la statele membre sunt colectate și utilizate pentru a forma un tablou situațional actualizat în timp util, pentru a contribui la planificarea pentru situații de urgență, la coordonarea adecvată și la luarea deciziilor. În timpul pandemiei de COVID-19, ARGUS a avut un rol esențial în coordonarea participării Comisiei la reuniunile mecanismului integrat al Consiliului pentru un răspuns politic la crize (IPCR), în cadrul cărora Comisia și statele membre au discutat pe larg aspecte esențiale, cum ar fi utilizarea Instrumentului pentru sprijin de urgență, culoarele verzi, protocoalele sanitare pentru transport și depistarea contacților, măsurile pentru călătoriile către și în interiorul UE, Re-Open EU, achizițiile publice comune de vaccinuri și partajarea vaccinurilor, certificatul digital al UE privind COVID și comunicarea și combaterea dezinformării. Interconectarea ARGUS și SAPR este în vigoare din 2022, asigurând schimbul de informații privind amenințările transfrontaliere grave pentru sănătate cu responsabilii de gestionarea crizelor la nivelul UE. ARGUS a fost, de asemenea, canalul de coordonare a rapoartelor privind analiza și conștientizarea integrată a situației (ISAA), care au reprezentat un instrument esențial pentru promovarea conștientizării comune a situației în timpul pandemiei de COVID-19.</w:t>
      </w:r>
    </w:p>
    <w:p w14:paraId="26376C78" w14:textId="2F1EBD2D" w:rsidR="001F1738" w:rsidRPr="001156EE" w:rsidRDefault="001F1738" w:rsidP="001F1738">
      <w:pPr>
        <w:keepNext/>
        <w:keepLines/>
        <w:spacing w:before="100" w:beforeAutospacing="1" w:after="100" w:afterAutospacing="1" w:line="240" w:lineRule="auto"/>
        <w:jc w:val="both"/>
        <w:outlineLvl w:val="1"/>
        <w:rPr>
          <w:rFonts w:ascii="Times New Roman" w:eastAsiaTheme="majorEastAsia" w:hAnsi="Times New Roman" w:cs="Times New Roman"/>
          <w:b/>
          <w:noProof/>
          <w:color w:val="404040" w:themeColor="text1" w:themeTint="BF"/>
          <w:sz w:val="24"/>
          <w:lang w:val="ro-RO"/>
        </w:rPr>
      </w:pPr>
      <w:r w:rsidRPr="001156EE">
        <w:rPr>
          <w:rFonts w:ascii="Times New Roman" w:hAnsi="Times New Roman"/>
          <w:b/>
          <w:noProof/>
          <w:sz w:val="24"/>
          <w:lang w:val="ro-RO"/>
        </w:rPr>
        <w:t>Depistarea contacților: serverul european de acces pentru interoperabilitate și formularele de localizare a pasagerilor</w:t>
      </w:r>
    </w:p>
    <w:p w14:paraId="37491016" w14:textId="65E235BE"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timpul pandemiei de COVID-19, 22 de autorități din domeniul sănătății publice au lansat aplicații naționale de depistare și avertizare în cadrul unui pachet de măsuri de prevenire a răspândirii virusului. În octombrie 2020, statele membre ale UE și Comisia au lansat serverul european de acces pentru interoperabilitate (EFGS) pentru a permite interoperabilitatea aplicațiilor naționale în întreaga UE. Până în toamna anului 2021, 19 state membre făceau schimb de informații privind riscurile generate de contacți prin intermediul EFGS, reprezentând zeci de milioane de utilizatori activi din UE și din restul Europei.</w:t>
      </w:r>
    </w:p>
    <w:p w14:paraId="08FAFA55" w14:textId="4FFBBCF9"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aprilie 2022, EFGS a fost transferat către ECDC. Astfel s-a consolidat capacitățile digitale ale UE de depistare a contacților, în conformitate cu noul mandat al ECDC, prin punerea în comun a expertizei necesare în cadrul ECDC. De atunci, EFGS a fost scos din funcțiune, dar ECDC și Comisia au pregătit o procedură de reactivare pentru punerea acestuia la dispoziția statelor membre ale UE, dacă este necesar.</w:t>
      </w:r>
    </w:p>
    <w:p w14:paraId="0383734E" w14:textId="11ADD0D6" w:rsidR="00BB198E" w:rsidRPr="001156EE" w:rsidRDefault="00BB198E" w:rsidP="00BB198E">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Între 1 iunie 2021 și 31 mai 2022, a fost pusă la dispoziție o platformă pentru schimbul de formulare de localizare a pasagerilor (ePLF)</w:t>
      </w:r>
      <w:r w:rsidRPr="001156EE">
        <w:rPr>
          <w:rFonts w:ascii="Times New Roman" w:eastAsia="Times New Roman" w:hAnsi="Times New Roman" w:cs="Times New Roman"/>
          <w:noProof/>
          <w:sz w:val="24"/>
          <w:vertAlign w:val="superscript"/>
          <w:lang w:val="ro-RO"/>
        </w:rPr>
        <w:footnoteReference w:id="82"/>
      </w:r>
      <w:r w:rsidRPr="001156EE">
        <w:rPr>
          <w:rFonts w:ascii="Times New Roman" w:hAnsi="Times New Roman"/>
          <w:noProof/>
          <w:sz w:val="24"/>
          <w:lang w:val="ro-RO"/>
        </w:rPr>
        <w:t xml:space="preserve"> pentru a conecta statele membre și pentru a permite schimbul securizat de date privind pasagerii pentru depistarea transfrontalieră a contacților în toate modurile de transport din UE</w:t>
      </w:r>
      <w:r w:rsidRPr="001156EE">
        <w:rPr>
          <w:rFonts w:ascii="Times New Roman" w:eastAsia="Times New Roman" w:hAnsi="Times New Roman" w:cs="Times New Roman"/>
          <w:noProof/>
          <w:sz w:val="24"/>
          <w:vertAlign w:val="superscript"/>
          <w:lang w:val="ro-RO"/>
        </w:rPr>
        <w:footnoteReference w:id="83"/>
      </w:r>
      <w:r w:rsidRPr="001156EE">
        <w:rPr>
          <w:rFonts w:ascii="Times New Roman" w:hAnsi="Times New Roman"/>
          <w:noProof/>
          <w:sz w:val="24"/>
          <w:lang w:val="ro-RO"/>
        </w:rPr>
        <w:t>. Pe baza reacțiilor primite din partea statelor membre, Comisia a început să colaboreze cu ECDC în ceea ce privește integrarea tehnică între funcționalitatea de schimb selectiv SAPR și ePLF, permițând astfel interoperabilitatea acestora</w:t>
      </w:r>
      <w:r w:rsidRPr="001156EE">
        <w:rPr>
          <w:rFonts w:ascii="Times New Roman" w:eastAsia="Times New Roman" w:hAnsi="Times New Roman" w:cs="Times New Roman"/>
          <w:noProof/>
          <w:sz w:val="24"/>
          <w:vertAlign w:val="superscript"/>
          <w:lang w:val="ro-RO"/>
        </w:rPr>
        <w:footnoteReference w:id="84"/>
      </w:r>
      <w:r w:rsidRPr="001156EE">
        <w:rPr>
          <w:rFonts w:ascii="Times New Roman" w:hAnsi="Times New Roman"/>
          <w:noProof/>
          <w:sz w:val="24"/>
          <w:lang w:val="ro-RO"/>
        </w:rPr>
        <w:t xml:space="preserve">. Deși ePLF ca atare a fost desființată, informațiile obținute prin dezvoltarea sa și integrarea cu funcționalitatea de schimb selectiv a SAPR fac ca UE să fie mai bine echipată în cazul unor nevoi viitoare. </w:t>
      </w:r>
    </w:p>
    <w:p w14:paraId="15C9A38E" w14:textId="77777777" w:rsidR="001F1738" w:rsidRPr="001156EE" w:rsidRDefault="001F1738" w:rsidP="00031422">
      <w:pPr>
        <w:keepNext/>
        <w:keepLines/>
        <w:spacing w:before="480" w:after="100" w:afterAutospacing="1" w:line="240" w:lineRule="auto"/>
        <w:jc w:val="both"/>
        <w:outlineLvl w:val="0"/>
        <w:rPr>
          <w:rFonts w:ascii="Times New Roman" w:eastAsiaTheme="majorEastAsia" w:hAnsi="Times New Roman" w:cs="Times New Roman"/>
          <w:noProof/>
          <w:sz w:val="24"/>
          <w:lang w:val="ro-RO"/>
        </w:rPr>
      </w:pPr>
      <w:r w:rsidRPr="001156EE">
        <w:rPr>
          <w:rFonts w:ascii="Times New Roman" w:hAnsi="Times New Roman"/>
          <w:noProof/>
          <w:sz w:val="24"/>
          <w:lang w:val="ro-RO"/>
        </w:rPr>
        <w:t xml:space="preserve">4. RĂSPUNS </w:t>
      </w:r>
    </w:p>
    <w:p w14:paraId="7B43B27A" w14:textId="1EFD22E0" w:rsidR="008C6D1D" w:rsidRPr="001156EE" w:rsidRDefault="008C6D1D" w:rsidP="008C6D1D">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În fazele incipiente ale pandemiei de COVID-19, Comitetul de coordonare a crizelor (CCC) a fost convocat, la 23 ianuarie 2020, prin intermediul ARGUS pentru a discuta informații noi privind situația, precum și posibile direcții de acțiune. Aceste reuniuni ale CPC au fost prezidate de comisarul Lenarčič și de secretarul general și la acestea au participat toate direcțiile generale și agențiile UE relevante. Numeroase reuniuni de coordonare suplimentare au fost convocate ulterior în cadrul mecanismului Comisiei de răspuns la situații de criză la toate nivelurile, de la convorbiri zilnice ale președintei cu comisarii relevanți, până la o coordonare mai operațională la nivelul directorilor generali sau al serviciilor. </w:t>
      </w:r>
    </w:p>
    <w:p w14:paraId="73943CEC" w14:textId="2F6A076C"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În urma pandemiei de COVID-19, au fost aduse o serie de îmbunătățiri mecanismelor UE de răspuns la amenințările transfrontaliere grave pentru sănătate. Cele mai importante se bazează pe Regulamentul (UE) 2022/2371 și includ consolidarea rolului Comitetului pentru securitate sanitară al UE și instituirea unei noi capacități a UE de a declara o urgență de sănătate publică la nivelul UE.</w:t>
      </w:r>
    </w:p>
    <w:p w14:paraId="18F22EBC" w14:textId="77777777" w:rsidR="001F1738" w:rsidRPr="001156EE" w:rsidRDefault="001F1738" w:rsidP="001F1738">
      <w:pPr>
        <w:spacing w:before="100" w:beforeAutospacing="1" w:after="100" w:afterAutospacing="1" w:line="240" w:lineRule="auto"/>
        <w:rPr>
          <w:rFonts w:ascii="Times New Roman" w:eastAsia="Times New Roman" w:hAnsi="Times New Roman" w:cs="Times New Roman"/>
          <w:b/>
          <w:noProof/>
          <w:sz w:val="24"/>
          <w:lang w:val="ro-RO"/>
        </w:rPr>
      </w:pPr>
      <w:bookmarkStart w:id="19" w:name="_Toc145428528"/>
      <w:bookmarkEnd w:id="19"/>
      <w:r w:rsidRPr="001156EE">
        <w:rPr>
          <w:rFonts w:ascii="Times New Roman" w:hAnsi="Times New Roman"/>
          <w:b/>
          <w:noProof/>
          <w:sz w:val="24"/>
          <w:lang w:val="ro-RO"/>
        </w:rPr>
        <w:t xml:space="preserve">Comitetul pentru securitate sanitară al UE </w:t>
      </w:r>
    </w:p>
    <w:p w14:paraId="1DF7A5A9" w14:textId="580A124D"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Comitetul pentru securitate sanitară al UE (CSS) este un forum esențial pentru schimbul de informații privind amenințările transfrontaliere grave pentru sănătate la nivelul UE. El este alcătuit din reprezentanți ai autorităților sanitare ale statelor membre. Creat în 2001 în urma atacurilor de la 11 septembrie, CSS a facilitat coordonarea măsurilor de sănătate publică în întreaga UE de-a lungul anilor, culminând cu reuniuni săptămânale în perioada de vârf a pandemiei de COVID-19</w:t>
      </w:r>
      <w:r w:rsidRPr="001156EE">
        <w:rPr>
          <w:rFonts w:ascii="Times New Roman" w:eastAsiaTheme="minorEastAsia" w:hAnsi="Times New Roman" w:cs="Times New Roman"/>
          <w:noProof/>
          <w:sz w:val="24"/>
          <w:vertAlign w:val="superscript"/>
          <w:lang w:val="ro-RO"/>
        </w:rPr>
        <w:footnoteReference w:id="85"/>
      </w:r>
      <w:r w:rsidRPr="001156EE">
        <w:rPr>
          <w:rFonts w:ascii="Times New Roman" w:hAnsi="Times New Roman"/>
          <w:noProof/>
          <w:sz w:val="24"/>
          <w:lang w:val="ro-RO"/>
        </w:rPr>
        <w:t xml:space="preserve">. CSS a jucat un rol esențial în deciziile privind măsurile de sănătate publică. Printre exemplele din timpul pandemiei de COVID-19 se numără coordonarea strategiilor de vaccinare, testarea și supravegherea, precum și comunicarea privind riscurile. Printre crizele sanitare ulterioare în care CSS s-a reunit periodic și a avut o contribuție importantă la coordonarea răspunsului se numără epidemia de Ebola din Uganda și epidemia de variola maimuței din UE în 2022, precum și o coordonare strânsă privind amenințarea gripei aviare în 2023 (adesea împreună cu omologii CSS din domeniul sănătății animale, cum ar fi șefii serviciilor veterinare din UE). </w:t>
      </w:r>
    </w:p>
    <w:p w14:paraId="409B032F" w14:textId="2205E7D4"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O modificare introdusă prin Regulamentul (UE) 2022/2371 constă în împuternicirea CSS de a adopta în mod oficial avize și orientări. În timpul pandemiei, CSS a emis o serie de documente de poziție, care cristalizează punctele de vedere ale statelor membre cu privire la anumite subiecte. Aceste avize au contribuit la deciziile IPCR al Consiliului, cum ar fi instituirea unor măsuri coordonate privind călătoriile din China către UE, ca răspuns la deteriorarea situației din China în contextul pandemiei de COVID-19.</w:t>
      </w:r>
    </w:p>
    <w:p w14:paraId="15D60429" w14:textId="77738B87"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p>
    <w:p w14:paraId="26BCC410" w14:textId="77777777" w:rsidR="00031422" w:rsidRPr="001156EE" w:rsidRDefault="00031422" w:rsidP="001F1738">
      <w:pPr>
        <w:spacing w:before="100" w:beforeAutospacing="1" w:after="100" w:afterAutospacing="1" w:line="240" w:lineRule="auto"/>
        <w:jc w:val="both"/>
        <w:rPr>
          <w:rFonts w:ascii="Times New Roman" w:eastAsia="Times New Roman" w:hAnsi="Times New Roman" w:cs="Times New Roman"/>
          <w:noProof/>
          <w:sz w:val="24"/>
          <w:lang w:val="ro-RO"/>
        </w:rPr>
      </w:pPr>
    </w:p>
    <w:p w14:paraId="3B587C34"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Primul aviz al CSS, la numai câteva zile de la intrarea în vigoare a Regulamentului (UE) 2022/2371</w:t>
      </w:r>
    </w:p>
    <w:p w14:paraId="4CA1A03F"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Primul test pentru noul mandat al CSS a vizat nivelurile record ale cazurilor de COVID-19 din China la sfârșitul anului 2022, care au fost determinate de relaxarea măsurilor chineze de la nivel intern. CSS a emis primul său aviz în temeiul regulamentului încă din 5 ianuarie 2023, la numai 10 zile de la intrarea în vigoare a regulamentului. El conținea mai multe etape propuse pentru o abordare comună la nivelul UE, etapizată și proporțională, pentru a atenua orice riscuri potențiale, care au servit la fundamentarea unor decizii politice suplimentare în cadrul IPCR al Consiliului. </w:t>
      </w:r>
    </w:p>
    <w:p w14:paraId="4E6A4374" w14:textId="6BEF39E0"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Cel mai recent aviz</w:t>
      </w:r>
      <w:r w:rsidRPr="001156EE">
        <w:rPr>
          <w:rStyle w:val="FootnoteReference"/>
          <w:rFonts w:ascii="Times New Roman" w:eastAsia="Times New Roman" w:hAnsi="Times New Roman" w:cs="Times New Roman"/>
          <w:noProof/>
          <w:sz w:val="24"/>
          <w:lang w:val="ro-RO"/>
        </w:rPr>
        <w:footnoteReference w:id="86"/>
      </w:r>
      <w:r w:rsidRPr="001156EE">
        <w:rPr>
          <w:rFonts w:ascii="Times New Roman" w:hAnsi="Times New Roman"/>
          <w:noProof/>
          <w:sz w:val="24"/>
          <w:lang w:val="ro-RO"/>
        </w:rPr>
        <w:t xml:space="preserve"> al CSS se axează pe necesitatea menținerii vigilenței în ceea ce privește COVID-19, gripa sezonieră și alte virusuri care circulă în sezonul de toamnă/iarnă.</w:t>
      </w:r>
    </w:p>
    <w:p w14:paraId="5DAA9992" w14:textId="1D718B1E"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bookmarkStart w:id="20" w:name="_Toc145428530"/>
      <w:bookmarkEnd w:id="20"/>
      <w:r w:rsidRPr="001156EE">
        <w:rPr>
          <w:rFonts w:ascii="Times New Roman" w:hAnsi="Times New Roman"/>
          <w:b/>
          <w:noProof/>
          <w:sz w:val="24"/>
          <w:lang w:val="ro-RO"/>
        </w:rPr>
        <w:t>Urgențe de sănătate publică la nivelul Uniunii</w:t>
      </w:r>
    </w:p>
    <w:p w14:paraId="74D26D79" w14:textId="3B339478"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Până în 2022, UE s-a bazat în întregime pe evaluarea situațiilor de pandemie și pe declararea unei urgențe de sănătate publică de importanță internațională realizate de către OMS. Regulamentul (UE) 2022/2371 a împuternicit Comisia să recunoască în mod formal o urgență de sănătate publică la nivelul Uniunii, atunci când se consideră că o amenințare transfrontalieră gravă pentru sănătate pune în pericol sănătatea publică în UE. Odată ce se recunoaște o urgență de sănătate publică la nivelul Uniunii, poate (pot) fi activată(e) una sau mai multe măsuri din Regulamentul (UE) 2022/2372 dacă această activare este adecvată situației economice, inclusiv instituirea unui Consiliu de criză sanitară care să asigure coordonarea și integrarea abordărilor privind contramăsurile medicale necesare în situații de criză la nivelul UE și care pot include instituirea unor mecanisme pentru monitorizarea, activarea finanțării de urgență, achizițiile publice și cumpărarea de contramăsuri medicale și de materii prime necesare în situații de criză; activarea instrumentelor „EU FAB”, activarea planurilor de cercetare și inovare pentru situații de urgență și utilizarea rețelelor de trialuri clinice de la nivelul Uniunii, precum și a dispozițiilor și a platformelor pentru schimbul rapid de date; și măsuri privind producerea contramăsurilor medicale necesare în situații de criză. Recunoașterea urgenței de sănătate publică la nivelul Uniunii permite, de asemenea, introducerea de măsuri legate de medicamente și de dispozitive medicale,</w:t>
      </w:r>
      <w:r w:rsidRPr="001156EE">
        <w:rPr>
          <w:noProof/>
          <w:lang w:val="ro-RO"/>
        </w:rPr>
        <w:t xml:space="preserve"> </w:t>
      </w:r>
      <w:r w:rsidRPr="001156EE">
        <w:rPr>
          <w:rFonts w:ascii="Times New Roman" w:hAnsi="Times New Roman"/>
          <w:noProof/>
          <w:sz w:val="24"/>
          <w:lang w:val="ro-RO"/>
        </w:rPr>
        <w:t xml:space="preserve">prevăzute în Regulamentul (UE) 2022/12, activarea sprijinului din partea ECDC pentru mobilizarea și trimiterea de experți în zonele afectate în cadrul unui grup operativ al UE în domeniul sănătății și activarea IPCR al Consiliului. </w:t>
      </w:r>
    </w:p>
    <w:p w14:paraId="5544E5CB" w14:textId="4A1E5008"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Evaluarea riscurilor pentru sănătatea publică</w:t>
      </w:r>
    </w:p>
    <w:p w14:paraId="4F30899E"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Primul pas în răspunsul la o amenințare transfrontalieră emergentă pentru sănătate este evaluarea amplorii ei și a riscurilor asociate. Regulamentul (UE) 2022/2371 extinde domeniul de aplicare al agențiilor și organelor UE implicate în evaluările riscurilor pentru sănătatea publică și definește rolul și contribuția lor. Regulamentul face trimitere la Centrul European de Prevenire și Control al Bolilor (ECDC), la Agenția Europeană pentru Medicamente (EMA), la Autoritatea Europeană pentru Siguranța Alimentară (EFSA), la Agenția Europeană pentru Produse Chimice (ECHA), la Agenția Europeană de Mediu (AEM), la Observatorul European pentru Droguri și Toxicomanie și la Agenția Uniunii Europene pentru Cooperare în Materie de Aplicare a Legii (EUROPOL).</w:t>
      </w:r>
    </w:p>
    <w:p w14:paraId="283C1288" w14:textId="5E659E08" w:rsidR="00FC03C1" w:rsidRPr="001156EE" w:rsidRDefault="001F1738" w:rsidP="00FC03C1">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Pentru a sprijini Comisia în procesul decizional privind recunoașterea oficială a unui astfel de eveniment, articolul 24 din Regulamentul (UE) 2022/2371 prevede instituirea unui Comitet consultativ pentru situații de urgență de sănătate publică. Decizia Comisiei de instituire a comitetului consultativ a fost adoptată în septembrie 2023</w:t>
      </w:r>
      <w:r w:rsidRPr="001156EE">
        <w:rPr>
          <w:rFonts w:ascii="Times New Roman" w:eastAsia="Times New Roman" w:hAnsi="Times New Roman" w:cs="Times New Roman"/>
          <w:noProof/>
          <w:sz w:val="24"/>
          <w:vertAlign w:val="superscript"/>
          <w:lang w:val="ro-RO"/>
        </w:rPr>
        <w:footnoteReference w:id="87"/>
      </w:r>
      <w:r w:rsidRPr="001156EE">
        <w:rPr>
          <w:rFonts w:ascii="Times New Roman" w:hAnsi="Times New Roman"/>
          <w:noProof/>
          <w:sz w:val="24"/>
          <w:lang w:val="ro-RO"/>
        </w:rPr>
        <w:t xml:space="preserve">, iar desemnarea finală a comitetului este planificată pentru primăvara anului 2024. Comitetul consultativ va fi un grup multidisciplinar de experți care este în măsură să ofere consiliere Comisiei și Comitetului pentru securitate sanitară în ceea ce privește aspecte de sănătate publică, de natură biomedicală, comportamentală, socială, economică, culturală și internațională. În cadrul lui vor fi prezenți reprezentanți ai ECDC și ai EMA în calitate de observatori permanenți. Reprezentanții OMS pot participa, de asemenea, în calitate de observatori. Reprezentanții altor agenții și organe ale UE relevante pentru amenințarea în cauză pot participa în calitate de observatori fără statut permanent în cadrul comitetului consultativ. În plus, pe o bază ad-hoc, Comisia poate invita experți cu expertiză relevantă care să participe la lucrările comitetului, în special din țările în care a apărut amenințarea, sau statele membre pot propune numirea lor. </w:t>
      </w:r>
    </w:p>
    <w:p w14:paraId="2C312AE5" w14:textId="6C038132" w:rsidR="00FC03C1" w:rsidRPr="001156EE" w:rsidRDefault="001F1738" w:rsidP="00FC03C1">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În plus, capacitățile UE de răspuns în situații de urgență, care nu se limitează la sănătatea publică, sunt menținute în cadrul UCPM, în cadrul căruia Comisia, în strânsă cooperare cu statele membre, nu numai că asigură coordonarea răspunsului în situații de urgență pentru produse și dispozitive medicale, ci și coordonează echipe medicale de urgență pe deplin echipate și autonome la nivelul UE. În cazul în care capacitățile medicale ale unei țări afectate de o situație de urgență sunt insuficiente, UCPM poate mobiliza diferite tipuri de sprijin medical de urgență din Rezerva europeană de protecție civilă (ECPP), inclusiv echipe medicale de urgență (EMT). </w:t>
      </w:r>
    </w:p>
    <w:p w14:paraId="11D8B1FF" w14:textId="255F69C2" w:rsidR="00FC03C1" w:rsidRPr="001156EE" w:rsidRDefault="001F1738" w:rsidP="00FC03C1">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cadrul rescEU, 106,2 milioane EUR au fost alocate unui număr de opt țări pentru a dezvolta noi EMT-uri rescEU. Obiectivul este de a stimula sprijinul medical de urgență acordat populațiilor afectate de dezastre naturale sau provocate de om la scară largă. Această capacitate EMT rescEU va deveni treptat operațională începând din 2024 și va permite un răspuns la o gamă largă de scenarii în caz de dezastru. Echipele vor putea să funcționeze în mod autonom și să sprijine unitățile medicale naționale existente în cazul în care acestea din urmă nu sunt în măsură să facă față unei anumite situații de urgență. În plus, rescEU implică, de asemenea, capacități de evacuare medicală MEDEVAC în cazul unor nevoi urgente pentru pacienții afectați de boli extrem de infecțioase, inclusiv avioane specializate.</w:t>
      </w:r>
      <w:bookmarkStart w:id="22" w:name="_Toc145428532"/>
      <w:bookmarkEnd w:id="22"/>
    </w:p>
    <w:p w14:paraId="4B3DC508" w14:textId="76ED8741" w:rsidR="001F1738" w:rsidRPr="001156EE" w:rsidRDefault="001F1738" w:rsidP="00FC03C1">
      <w:pPr>
        <w:spacing w:before="100" w:beforeAutospacing="1" w:after="100" w:afterAutospacing="1" w:line="240" w:lineRule="auto"/>
        <w:jc w:val="both"/>
        <w:rPr>
          <w:rFonts w:ascii="Times New Roman" w:eastAsia="Times New Roman" w:hAnsi="Times New Roman" w:cs="Times New Roman"/>
          <w:b/>
          <w:noProof/>
          <w:sz w:val="24"/>
          <w:lang w:val="ro-RO"/>
        </w:rPr>
      </w:pPr>
      <w:r w:rsidRPr="001156EE">
        <w:rPr>
          <w:rFonts w:ascii="Times New Roman" w:hAnsi="Times New Roman"/>
          <w:b/>
          <w:noProof/>
          <w:sz w:val="24"/>
          <w:lang w:val="ro-RO"/>
        </w:rPr>
        <w:t>Medicamente și dispozitive medicale sigure și eficace</w:t>
      </w:r>
    </w:p>
    <w:p w14:paraId="1BBCB08E" w14:textId="477EF169" w:rsidR="001F1738" w:rsidRPr="001156EE" w:rsidRDefault="001F1738" w:rsidP="001F1738">
      <w:pPr>
        <w:autoSpaceDE w:val="0"/>
        <w:autoSpaceDN w:val="0"/>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Pandemia de COVID-19 a reiterat importanța asigurării siguranței și eficacității, precum și a disponibilității dispozitivelor medicale, a mijloacelor de diagnostic și a medicamentelor în perioade de criză sanitară. </w:t>
      </w:r>
    </w:p>
    <w:p w14:paraId="30CDF999" w14:textId="5CA3D907" w:rsidR="001F1738" w:rsidRPr="001156EE" w:rsidRDefault="001F1738" w:rsidP="001F1738">
      <w:pPr>
        <w:autoSpaceDE w:val="0"/>
        <w:autoSpaceDN w:val="0"/>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Chiar și în afara situațiilor de urgență, Regulamentele (UE) 2017/745 și (UE) 2017/746 privind dispozitivele medicale și mijloacele de diagnostic au creat un cadru de reglementare solid, care armonizează și consolidează cerințele pentru producători. Aceste regulamente garantează că dispozitivele medicale de pe piața UE sunt sigure și eficace. În timpul pandemiei de COVID-19, piața UE a fost inundată de teste antigenice rapide, care nu au trebuit să facă obiectul unei reexaminări efectuate de o parte terță independentă. Odată cu noul cadru de reglementare (aplicabil din mai 2021 pentru dispozitivele medicale și din mai 2022 pentru mijloacele e diagnostic), dispozitivele medicale trebuie să facă obiectul unei evaluări mai stricte a conformității înainte de a putea fi introduse pe piața UE. În același timp, în situații excepționale, statele membre pot acorda derogări de la evaluarea conformității dacă acest fapt este în interesul sănătății publice [articolul 59 din Regulamentul (UE) 2017/745 și articolul 54 din Regulamentul (UE) 2017/746].</w:t>
      </w:r>
    </w:p>
    <w:p w14:paraId="68ED3D65" w14:textId="1F4522AC"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plus, problemele legate de aprovizionarea cu medicamente reprezintă o preocupare permanentă în UE și afectează toate statele membre ale UE în afara unei urgențe de sănătate publică declarate sau a unui eveniment major. Există un sistem multidimensional pentru atenuarea deficitelor. Acest sistem a fost activat și atunci când UE a suferit de pe urma unui deficit de antibiotice în iarna 2022-2023. Pentru a se asigura că nu se repetă o situație similară, Comisia și EMA monitorizează în permanență oferta planificată și cererea estimată de antibiotice esențiale, pentru a identifica în mod proactiv orice lacune în ceea ce privește capacitățile de aprovizionare. În octombrie 2023, Comisia a adoptat o comunicare privind abordarea deficitelor de medicamente în UE, care vizează consolidarea securității aprovizionării în UE prin acțiuni complementare menite să îmbunătățească în continuare disponibilitatea și securitatea aprovizionării cu medicamente.</w:t>
      </w:r>
    </w:p>
    <w:p w14:paraId="650C0B0C" w14:textId="4662F110" w:rsidR="00BC7FCB" w:rsidRPr="001156EE" w:rsidRDefault="001F1738" w:rsidP="00BC2F11">
      <w:pPr>
        <w:spacing w:before="100" w:beforeAutospacing="1" w:after="100" w:afterAutospacing="1" w:line="240" w:lineRule="auto"/>
        <w:contextualSpacing/>
        <w:jc w:val="both"/>
        <w:rPr>
          <w:rFonts w:ascii="Times New Roman" w:eastAsia="Times New Roman" w:hAnsi="Times New Roman" w:cs="Times New Roman"/>
          <w:noProof/>
          <w:sz w:val="24"/>
          <w:lang w:val="ro-RO"/>
        </w:rPr>
      </w:pPr>
      <w:r w:rsidRPr="001156EE">
        <w:rPr>
          <w:rFonts w:ascii="Times New Roman" w:hAnsi="Times New Roman"/>
          <w:noProof/>
          <w:sz w:val="24"/>
          <w:lang w:val="ro-RO"/>
        </w:rPr>
        <w:t>De la introducerea unui mandat consolidat pentru EMA în 2022</w:t>
      </w:r>
      <w:r w:rsidRPr="001156EE">
        <w:rPr>
          <w:rFonts w:ascii="Times New Roman" w:eastAsia="Times New Roman" w:hAnsi="Times New Roman" w:cs="Times New Roman"/>
          <w:noProof/>
          <w:sz w:val="24"/>
          <w:vertAlign w:val="superscript"/>
          <w:lang w:val="ro-RO"/>
        </w:rPr>
        <w:footnoteReference w:id="88"/>
      </w:r>
      <w:r w:rsidRPr="001156EE">
        <w:rPr>
          <w:rFonts w:ascii="Times New Roman" w:hAnsi="Times New Roman"/>
          <w:noProof/>
          <w:sz w:val="24"/>
          <w:lang w:val="ro-RO"/>
        </w:rPr>
        <w:t>, EMA a instituit noi organisme și structuri pentru a oferi un răspuns rapid la deficitul de medicamente. Grupul de coordonare privind deficitele de medicamente și siguranța medicamentelor și Grupul de coordonare privind deficitele de dispozitive medicale au fost create pentru a coordona acțiunile UE de atenuare a problemelor legate de aprovizionarea cu medicamente și dispozitive medicale. În plus, există în prezent două grupuri de lucru pentru punctul unic de contact (SPOC) care monitorizează și raportează atât cu privire la deficitele de medicamente, cât și cu privire la deficitele de dispozitive medicale. Există, de asemenea, o rețea de puncte unice de contact la nivelul industriei (i-SPOC) pentru a oferi orientări titularilor autorizațiilor de introducere pe piață. O platformă europeană de monitorizare a deficitelor este așteptată în 2025, pentru a facilita colectarea de informații privind deficitele și privind cererea și oferta de medicamente.</w:t>
      </w:r>
    </w:p>
    <w:p w14:paraId="5CC6C203" w14:textId="500DC6B4" w:rsidR="00003506" w:rsidRPr="001156EE" w:rsidRDefault="00003506" w:rsidP="00BC2F11">
      <w:pPr>
        <w:spacing w:before="100" w:beforeAutospacing="1" w:after="100" w:afterAutospacing="1" w:line="240" w:lineRule="auto"/>
        <w:contextualSpacing/>
        <w:jc w:val="both"/>
        <w:rPr>
          <w:rFonts w:ascii="Times New Roman" w:eastAsia="Times New Roman" w:hAnsi="Times New Roman" w:cs="Times New Roman"/>
          <w:noProof/>
          <w:sz w:val="24"/>
          <w:lang w:val="ro-RO"/>
        </w:rPr>
      </w:pPr>
    </w:p>
    <w:p w14:paraId="5F45EA29"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center"/>
        <w:rPr>
          <w:rFonts w:ascii="Times New Roman" w:eastAsia="Times New Roman" w:hAnsi="Times New Roman" w:cs="Times New Roman"/>
          <w:b/>
          <w:noProof/>
          <w:sz w:val="24"/>
          <w:lang w:val="ro-RO"/>
        </w:rPr>
      </w:pPr>
      <w:r w:rsidRPr="001156EE">
        <w:rPr>
          <w:rFonts w:ascii="Times New Roman" w:hAnsi="Times New Roman"/>
          <w:b/>
          <w:noProof/>
          <w:sz w:val="24"/>
          <w:lang w:val="ro-RO"/>
        </w:rPr>
        <w:t>Stocurile UE pentru răspunsul în situații de urgență</w:t>
      </w:r>
    </w:p>
    <w:p w14:paraId="1834FEB7"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cadrul rezervei rescEU a UCPM, Comisia a instituit, începând din 2020, capacități de constituire de stocuri de contramăsuri medicale pentru pregătirea și răspunsul la amenințările transfrontaliere grave pentru sănătate, precum și la amenințările CBRN. Rezerva de stocuri medicale permite livrarea rapidă a echipamentelor medicale, cum ar fi ventilatoare pulmonare și echipamente individuale de protecție. Peste 3 milioane de măști de protecție, ventilatoare pulmonare și alte echipamente din centrele de distribuție strategice rescEU au fost distribuite statelor membre care aveau cea mai mare nevoie de ele. 10 state membre (Belgia, Croația, Danemarca, Germania, Grecia, Ungaria, România, Slovenia, Suedia și Țările de Jos) găzduiesc în prezent stocurile medicale rescEU.</w:t>
      </w:r>
    </w:p>
    <w:p w14:paraId="441C6176" w14:textId="77777777" w:rsidR="00003506" w:rsidRPr="001156EE" w:rsidRDefault="00003506" w:rsidP="00003506">
      <w:pPr>
        <w:pBdr>
          <w:top w:val="single" w:sz="12" w:space="1" w:color="auto"/>
          <w:left w:val="single" w:sz="12" w:space="4" w:color="auto"/>
          <w:bottom w:val="single" w:sz="12" w:space="1" w:color="auto"/>
          <w:right w:val="single" w:sz="12" w:space="4" w:color="auto"/>
        </w:pBd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În paralel, în februarie 2023, Comisia a acordat granturi în valoare de 545,6 milioane EUR pentru stocurile rescEU pentru urgențe de natură chimică, biologică și radiologică (CBRN). Ele vor include antidoturi, antibiotice, vaccinuri, sedative și tratamente profilactice, precum și echipamente specifice de reacție în domeniul CBRN, cum ar fi comprimatele cu iod de blocare a tiroidei (ITB), detectoarele și materialele de decontaminare și echipamentele individuale de protecție. Stocurile vor fi disponibile progresiv începând cu 2023. Pentru a consolida și mai mult gradul de pregătire, există în prezent o cerere de propuneri deschisă pentru dezvoltarea în continuare a stocurilor medicale și CBRN, cu un buget orientativ de 636 de milioane EUR, 9 propuneri fiind în prezent în curs de evaluare. </w:t>
      </w:r>
    </w:p>
    <w:p w14:paraId="6852084B" w14:textId="77777777" w:rsidR="00BE1A6C" w:rsidRPr="001156EE"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ro-RO"/>
        </w:rPr>
      </w:pPr>
      <w:bookmarkStart w:id="23" w:name="_Toc145428534"/>
      <w:bookmarkEnd w:id="23"/>
      <w:r w:rsidRPr="001156EE">
        <w:rPr>
          <w:rFonts w:ascii="Times New Roman" w:hAnsi="Times New Roman"/>
          <w:b/>
          <w:noProof/>
          <w:sz w:val="24"/>
          <w:lang w:val="ro-RO"/>
        </w:rPr>
        <w:t>Protejarea infrastructurii critice și consolidarea rezilienței entităților critice</w:t>
      </w:r>
      <w:bookmarkStart w:id="24" w:name="_Hlk146274054"/>
    </w:p>
    <w:p w14:paraId="61CAF597" w14:textId="5A283D4B" w:rsidR="00BE1A6C" w:rsidRPr="001156EE" w:rsidRDefault="001F1738" w:rsidP="00BE1A6C">
      <w:pPr>
        <w:spacing w:before="100" w:beforeAutospacing="1" w:after="100" w:afterAutospacing="1" w:line="240" w:lineRule="auto"/>
        <w:jc w:val="both"/>
        <w:rPr>
          <w:rFonts w:ascii="Times New Roman" w:eastAsia="Times New Roman" w:hAnsi="Times New Roman" w:cs="Times New Roman"/>
          <w:b/>
          <w:noProof/>
          <w:sz w:val="24"/>
          <w:lang w:val="ro-RO"/>
        </w:rPr>
      </w:pPr>
      <w:r w:rsidRPr="001156EE">
        <w:rPr>
          <w:rFonts w:ascii="Times New Roman" w:hAnsi="Times New Roman"/>
          <w:noProof/>
          <w:sz w:val="24"/>
          <w:lang w:val="ro-RO"/>
        </w:rPr>
        <w:t>Directiva (UE) 2022/2557 privind reziliența entităților critice</w:t>
      </w:r>
      <w:r w:rsidRPr="001156EE">
        <w:rPr>
          <w:rFonts w:ascii="Times New Roman" w:eastAsiaTheme="minorEastAsia" w:hAnsi="Times New Roman" w:cs="Times New Roman"/>
          <w:noProof/>
          <w:sz w:val="24"/>
          <w:vertAlign w:val="superscript"/>
          <w:lang w:val="ro-RO"/>
        </w:rPr>
        <w:footnoteReference w:id="89"/>
      </w:r>
      <w:r w:rsidRPr="001156EE">
        <w:rPr>
          <w:rFonts w:ascii="Times New Roman" w:hAnsi="Times New Roman"/>
          <w:noProof/>
          <w:sz w:val="24"/>
          <w:lang w:val="ro-RO"/>
        </w:rPr>
        <w:t xml:space="preserve"> (Directiva REC) a intrat în vigoare în ianuarie 2023 și va înlocui Directiva 2008/114/CE privind identificarea și desemnarea infrastructurilor critice europene</w:t>
      </w:r>
      <w:r w:rsidRPr="001156EE">
        <w:rPr>
          <w:rFonts w:ascii="Times New Roman" w:eastAsia="Times New Roman" w:hAnsi="Times New Roman" w:cs="Times New Roman"/>
          <w:noProof/>
          <w:sz w:val="24"/>
          <w:vertAlign w:val="superscript"/>
          <w:lang w:val="ro-RO"/>
        </w:rPr>
        <w:footnoteReference w:id="90"/>
      </w:r>
      <w:r w:rsidRPr="001156EE">
        <w:rPr>
          <w:rFonts w:ascii="Times New Roman" w:hAnsi="Times New Roman"/>
          <w:noProof/>
          <w:sz w:val="24"/>
          <w:lang w:val="ro-RO"/>
        </w:rPr>
        <w:t xml:space="preserve"> începând cu 18 octombrie 2024. Directiva REC se aplică unui număr de 11 sectoare, sporind reziliența entităților care operează servicii esențiale în aceste sectoare, inclusiv în sectorul sănătății.</w:t>
      </w:r>
      <w:bookmarkEnd w:id="24"/>
    </w:p>
    <w:p w14:paraId="00D28E75" w14:textId="5EF6676C" w:rsidR="00DE1D36" w:rsidRPr="001156EE" w:rsidRDefault="003E6744" w:rsidP="00BE1A6C">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septembrie 2023, Comisia a adoptat o propunere de Recomandare a Consiliului</w:t>
      </w:r>
      <w:r w:rsidRPr="001156EE">
        <w:rPr>
          <w:rStyle w:val="FootnoteReference"/>
          <w:rFonts w:ascii="Times New Roman" w:eastAsia="Times New Roman" w:hAnsi="Times New Roman" w:cs="Times New Roman"/>
          <w:noProof/>
          <w:sz w:val="24"/>
          <w:lang w:val="ro-RO"/>
        </w:rPr>
        <w:footnoteReference w:id="91"/>
      </w:r>
      <w:r w:rsidRPr="001156EE">
        <w:rPr>
          <w:rFonts w:ascii="Times New Roman" w:hAnsi="Times New Roman"/>
          <w:noProof/>
          <w:sz w:val="24"/>
          <w:lang w:val="ro-RO"/>
        </w:rPr>
        <w:t xml:space="preserve"> referitoare la un Plan de acțiune privind un răspuns coordonat la nivelul Uniunii în caz de perturbări ale infrastructurii critice cu o relevanță transfrontalieră semnificativă. El va completa cadrul actual privind protejarea infrastructurilor critice și reziliența entităților critice, explicând interacțiunea dintre diferitele mecanisme existente la nivelul UE și prezentând elementele unui răspuns coordonat la nivelul UE în cazul unui incident semnificativ la nivelul infrastructurii critice. </w:t>
      </w:r>
    </w:p>
    <w:p w14:paraId="64F15539" w14:textId="7FB12C9C"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bookmarkStart w:id="25" w:name="_Toc145428536"/>
      <w:bookmarkStart w:id="26" w:name="_Toc145428538"/>
      <w:bookmarkStart w:id="27" w:name="_Toc145428539"/>
      <w:bookmarkStart w:id="28" w:name="_Toc145428540"/>
      <w:bookmarkStart w:id="29" w:name="_Toc145428541"/>
      <w:bookmarkStart w:id="30" w:name="_Toc145428542"/>
      <w:bookmarkEnd w:id="25"/>
      <w:bookmarkEnd w:id="26"/>
      <w:bookmarkEnd w:id="27"/>
      <w:bookmarkEnd w:id="28"/>
      <w:bookmarkEnd w:id="29"/>
      <w:bookmarkEnd w:id="30"/>
      <w:r w:rsidRPr="001156EE">
        <w:rPr>
          <w:rFonts w:ascii="Times New Roman" w:hAnsi="Times New Roman"/>
          <w:b/>
          <w:noProof/>
          <w:sz w:val="24"/>
          <w:lang w:val="ro-RO"/>
        </w:rPr>
        <w:t xml:space="preserve">Grupuri operative pentru situații de urgență </w:t>
      </w:r>
    </w:p>
    <w:p w14:paraId="195F58A8" w14:textId="77777777"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ro-RO"/>
        </w:rPr>
      </w:pPr>
      <w:r w:rsidRPr="001156EE">
        <w:rPr>
          <w:rFonts w:ascii="Times New Roman" w:hAnsi="Times New Roman"/>
          <w:b/>
          <w:i/>
          <w:noProof/>
          <w:sz w:val="24"/>
          <w:lang w:val="ro-RO"/>
        </w:rPr>
        <w:t xml:space="preserve">Grupul operativ al UE în domeniul sănătății </w:t>
      </w:r>
    </w:p>
    <w:p w14:paraId="79D8DC8D" w14:textId="3C25F687"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temeiul Regulamentului (CE) nr. 851/2004 de creare a unui Centru European de prevenire și control al bolilor, astfel cum a fost modificat prin Regulamentul (UE) 2022/2370, ECDC urmează să înființeze Grupul operativ al UE în domeniul sănătății pentru a oferi sprijin rapid la cerere în caz de urgență, precum și asistență pentru statele membre în ceea ce privește pregătirea planurilor legate de planificarea prevenirii, pregătirii și răspunsului, a răspunsurilor locale la focarele de boli transmisibile și a evaluărilor post-acțiune în țările din UE și din afara UE, în cooperare cu OMS. Grupul operativ al UE în domeniul sănătății va include experți din statele membre, personalul ECDC, actuali și foști bursieri ai Programului european de formare în domeniul epidemiologiei de intervenție și o listă de experți nou stabilită. Grupul operativ al UE în domeniul sănătății poate oferi asistență atât țărilor din UE, cât și țărilor din afara UE.</w:t>
      </w:r>
    </w:p>
    <w:p w14:paraId="0F91FDEB" w14:textId="5C73D23E" w:rsidR="001F1738" w:rsidRPr="001156EE" w:rsidRDefault="00357B1E"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ECDC a creat un grup de lucru ad-hoc (alcătuit din experți din statele membre, reprezentanți ai Comisiei și ai OMS) pentru a consilia ECDC cu privire la instituirea Grupului operativ al UE în domeniul sănătății. Odată ce va deveni operațional, ECDC va înființa un grup consultativ permanent și o echipă care să coordoneze activitatea Grupului operativ în domeniul sănătății.</w:t>
      </w:r>
    </w:p>
    <w:p w14:paraId="6EC6DB0A" w14:textId="77777777"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i/>
          <w:noProof/>
          <w:sz w:val="28"/>
          <w:lang w:val="ro-RO"/>
        </w:rPr>
      </w:pPr>
      <w:r w:rsidRPr="001156EE">
        <w:rPr>
          <w:rFonts w:ascii="Times New Roman" w:hAnsi="Times New Roman"/>
          <w:b/>
          <w:i/>
          <w:noProof/>
          <w:sz w:val="24"/>
          <w:lang w:val="ro-RO"/>
        </w:rPr>
        <w:t xml:space="preserve">Grupul operativ pentru situații de urgență al EMA </w:t>
      </w:r>
    </w:p>
    <w:p w14:paraId="5DCDF116" w14:textId="23138940"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Grupul operativ pentru situații de urgență al EMA (ETF) este un organism consultativ și de sprijin care desfășoară activități de reglementare în vederea pregătirii pentru o urgență de sănătate publică, cum ar fi o pandemie, și în timpul acesteia. Regulamentul (UE) 2022/123, care a consolidat mandatul EMA</w:t>
      </w:r>
      <w:r w:rsidRPr="001156EE">
        <w:rPr>
          <w:rFonts w:ascii="Times New Roman" w:eastAsia="Times New Roman" w:hAnsi="Times New Roman" w:cs="Times New Roman"/>
          <w:noProof/>
          <w:sz w:val="24"/>
          <w:vertAlign w:val="superscript"/>
          <w:lang w:val="ro-RO"/>
        </w:rPr>
        <w:footnoteReference w:id="92"/>
      </w:r>
      <w:r w:rsidRPr="001156EE">
        <w:rPr>
          <w:rFonts w:ascii="Times New Roman" w:hAnsi="Times New Roman"/>
          <w:noProof/>
          <w:sz w:val="24"/>
          <w:lang w:val="ro-RO"/>
        </w:rPr>
        <w:t xml:space="preserve"> și a devenit aplicabil de la 1 martie 2022, a instituit ETF ca organism oficial consultativ și de sprijin axat pe medicamente pentru urgențe de sănătate publică și pregătire. În aprilie 2022, ETF a preluat activitățile Grupului operativ al EMA privind pandemia de COVID-19, pe care EMA l-a convocat în martie 2020 pentru a aborda pandemia de COVID-19. Regulamentul (UE) 2022/123 a conferit grupului un rol permanent și i-a încredințat un rol important în pregătirea pentru situații de criză. În 2023, ETF a continuat să sprijine comitetele științifice ale EMA cu autorizarea și monitorizarea siguranței medicamentelor și cu recomandări privind utilizarea medicamentelor înainte de autorizare. ETF a analizat opțiunile de tratament disponibile pentru combaterea pandemiei de COVID-19 și a epidemiei de variola maimuței, cum ar fi facilitarea trialurilor clinice și colaborarea cu partenerii UE.</w:t>
      </w:r>
    </w:p>
    <w:p w14:paraId="5A0FBA0B" w14:textId="77777777" w:rsidR="001F1738" w:rsidRPr="001156EE" w:rsidRDefault="001F1738" w:rsidP="00B55BF2">
      <w:pPr>
        <w:spacing w:before="480" w:after="100" w:afterAutospacing="1" w:line="240" w:lineRule="auto"/>
        <w:rPr>
          <w:rFonts w:ascii="Times New Roman" w:eastAsiaTheme="minorEastAsia" w:hAnsi="Times New Roman" w:cs="Times New Roman"/>
          <w:noProof/>
          <w:sz w:val="24"/>
          <w:lang w:val="ro-RO"/>
        </w:rPr>
      </w:pPr>
      <w:r w:rsidRPr="001156EE">
        <w:rPr>
          <w:rFonts w:ascii="Times New Roman" w:hAnsi="Times New Roman"/>
          <w:noProof/>
          <w:sz w:val="24"/>
          <w:lang w:val="ro-RO"/>
        </w:rPr>
        <w:t>5. REDRESARE</w:t>
      </w:r>
    </w:p>
    <w:p w14:paraId="28612911" w14:textId="7D9C25F5" w:rsidR="001F1738" w:rsidRPr="001156EE"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Efectele unei crize sanitare grave pot fi profunde și de lungă durată. Pandemia de COVID-19 a pus o presiune severă pe sistemele de sănătate, expunându-le chiar riscului de colaps. Este esențial să se sprijine redresarea statelor membre și a sistemelor lor de sănătate la toate nivelurile. Acest deziderat poate fi realizat nu numai prin ajutor financiar, ci și prin ajutor direct acordat persoanelor celor mai afectate de măsurile puse în aplicare în perioade de criză. În cazul COVID-19, se știe că sănătatea mintală a multor persoane s-a deteriorat ca urmare a pandemiei și că multe dintre ele suferă încă de COVID de lungă durată. În același timp, redresarea implică, de asemenea, un bilanț al evenimentelor din trecut, astfel încât să învățăm cum să îmbunătățim în continuare prevenirea amenințărilor transfrontaliere grave pentru sănătate, pregătirea pentru acestea și răspunsul la ele.</w:t>
      </w:r>
    </w:p>
    <w:p w14:paraId="32712853" w14:textId="77777777"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r w:rsidRPr="001156EE">
        <w:rPr>
          <w:rFonts w:ascii="Times New Roman" w:hAnsi="Times New Roman"/>
          <w:b/>
          <w:noProof/>
          <w:sz w:val="24"/>
          <w:lang w:val="ro-RO"/>
        </w:rPr>
        <w:t xml:space="preserve">Redresarea și eficacitatea măsurilor de sănătate publică </w:t>
      </w:r>
    </w:p>
    <w:p w14:paraId="3A24C601" w14:textId="3E4B1903" w:rsidR="001F1738" w:rsidRPr="001156EE" w:rsidRDefault="002D6120"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ECDC continuă să evalueze baza de date concrete despre pandemia de COVID-19 prin efectuarea de analize sistematice ale literaturii de specialitate cu privire la diverse chestiuni operaționale și științifice care au apărut în timpul pandemiei, inclusiv eficiența și raportul cost-eficacitate al intervențiilor nefarmaceutice, transmiterea SARS-CoV-2 în interiorul aeronavelor, COVID de lungă durată, utilizarea măștilor în mediile comunitare etc. ECDC a efectuat mai multe evaluări ulterioare ale procesului decizional bazat pe date concrete în UE/SEE și în țările din vecinătatea UE în timpul pandemiei de COVID-19, concentrându-se pe unitățile de îngrijire pe termen lung și pe închiderea școlilor. De asemenea, a publicat orientări relevante</w:t>
      </w:r>
      <w:r w:rsidRPr="001156EE">
        <w:rPr>
          <w:rFonts w:ascii="Times New Roman" w:eastAsia="Times New Roman" w:hAnsi="Times New Roman" w:cs="Times New Roman"/>
          <w:noProof/>
          <w:sz w:val="24"/>
          <w:vertAlign w:val="superscript"/>
          <w:lang w:val="ro-RO"/>
        </w:rPr>
        <w:footnoteReference w:id="93"/>
      </w:r>
      <w:r w:rsidRPr="001156EE">
        <w:rPr>
          <w:rFonts w:ascii="Times New Roman" w:hAnsi="Times New Roman"/>
          <w:noProof/>
          <w:sz w:val="24"/>
          <w:lang w:val="ro-RO"/>
        </w:rPr>
        <w:t xml:space="preserve"> pentru a ajuta țările să își conceapă propriile evaluări ulterioare.</w:t>
      </w:r>
    </w:p>
    <w:p w14:paraId="2FCCE3A4" w14:textId="77777777"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b/>
          <w:noProof/>
          <w:sz w:val="24"/>
          <w:lang w:val="ro-RO"/>
        </w:rPr>
      </w:pPr>
      <w:r w:rsidRPr="001156EE">
        <w:rPr>
          <w:rFonts w:ascii="Times New Roman" w:hAnsi="Times New Roman"/>
          <w:b/>
          <w:noProof/>
          <w:sz w:val="24"/>
          <w:lang w:val="ro-RO"/>
        </w:rPr>
        <w:t xml:space="preserve">Redresarea sistemelor de sănătate </w:t>
      </w:r>
    </w:p>
    <w:p w14:paraId="6245C4CC" w14:textId="5709D7BB"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În cadrul Mecanismului de redresare și reziliență, peste 43 de miliarde EUR au fost alocate în cadrul a 27 de planuri naționale de redresare și reziliență (PNRR) pentru consolidarea îngrijirilor de sănătate. Această sumă include peste 14 miliarde EUR dedicate măsurilor de promovare a tranziției digitale a sistemelor de sănătate. În plus, provocările legate de reforma sistemelor de sănătate (cum ar fi cele identificate în recomandările specifice fiecărei țări din cadrul semestrului european în 2019 și 2020) care nu sunt abordate suficient în cadrul planurilor de redresare și reziliență pot fi abordate prin intermediul recomandărilor specifice fiecărei țări din cadrul semestrului european. Aceste recomandări specifice fiecărei țări orientează, de asemenea, prioritățile de investiții pentru fondurile de coeziune. În cadrul celui mai recent semestru european (2023), șase state membre au primit o recomandare specifică fiecărei țări în domeniul îngrijirilor de sănătate, inclusiv în ceea ce privește provocările legate de acces, forța de muncă și asistența medicală primară. În plus, statele membre intenționează să investească aproximativ 16 miliarde EUR în îngrijiri de sănătate</w:t>
      </w:r>
      <w:r w:rsidRPr="001156EE">
        <w:rPr>
          <w:rFonts w:ascii="Times New Roman" w:eastAsia="Times New Roman" w:hAnsi="Times New Roman" w:cs="Times New Roman"/>
          <w:noProof/>
          <w:sz w:val="24"/>
          <w:vertAlign w:val="superscript"/>
          <w:lang w:val="ro-RO"/>
        </w:rPr>
        <w:footnoteReference w:id="94"/>
      </w:r>
      <w:r w:rsidRPr="001156EE">
        <w:rPr>
          <w:rFonts w:ascii="Times New Roman" w:hAnsi="Times New Roman"/>
          <w:noProof/>
          <w:sz w:val="24"/>
          <w:lang w:val="ro-RO"/>
        </w:rPr>
        <w:t>, inclusiv peste 2 miliarde EUR în tranziția digitală a sistemelor de sănătate. Astfel cum se menționează în documentul „Health at a Glance: Europe 2022”</w:t>
      </w:r>
      <w:r w:rsidRPr="001156EE">
        <w:rPr>
          <w:rFonts w:ascii="Times New Roman" w:eastAsia="Times New Roman" w:hAnsi="Times New Roman" w:cs="Times New Roman"/>
          <w:noProof/>
          <w:sz w:val="24"/>
          <w:vertAlign w:val="superscript"/>
          <w:lang w:val="ro-RO"/>
        </w:rPr>
        <w:footnoteReference w:id="95"/>
      </w:r>
      <w:r w:rsidRPr="001156EE">
        <w:rPr>
          <w:rFonts w:ascii="Times New Roman" w:hAnsi="Times New Roman"/>
          <w:noProof/>
          <w:sz w:val="24"/>
          <w:lang w:val="ro-RO"/>
        </w:rPr>
        <w:t xml:space="preserve"> (Sănătatea pe scurt: Europa 2022), este important ca sistemele de sănătate să depășească șocul major și reducerea furnizării de servicii de îngrijire din timpul pandemiei. Întârzierile în materie de intervenții chirurgicale rămân semnificative în unele țări. </w:t>
      </w:r>
    </w:p>
    <w:p w14:paraId="299BA51F" w14:textId="146B615E"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r w:rsidRPr="001156EE">
        <w:rPr>
          <w:rFonts w:ascii="Times New Roman" w:hAnsi="Times New Roman"/>
          <w:b/>
          <w:noProof/>
          <w:sz w:val="24"/>
          <w:lang w:val="ro-RO"/>
        </w:rPr>
        <w:t xml:space="preserve">Sănătatea mintală și COVID de lungă durată </w:t>
      </w:r>
    </w:p>
    <w:p w14:paraId="531A5606" w14:textId="69B53F90"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Se știe că problemele de sănătate mintală afectează din ce în ce mai multe persoane din UE. Chiar și înainte de pandemia de COVID-19, problemele de sănătate mintală afectau aproximativ 84 de milioane de persoane (1 din 6 persoane), cu un cost estimat de peste 600 de miliarde EUR (peste 4 % din PIB). În plus, consecințele pandemiei și ale altor crize mondiale continuă să sporească prevalența anxietății și a depresiei la nivel mondial. Efectele devastatoare ale pandemiei de COVID-19, invadarea masivă a Ucrainei de către Rusia, criza climatică, digitalizarea sporită, șomajul și creșterea costurilor de trai au exacerbat și mai mult nivelurile deja scăzute ale sănătății mintale. Grupurile vulnerabile și persoanele aflate în situații dezavantajate din punct de vedere socioeconomic suferă mai mult decât altele. Raportul „The Health at a Glance: Europe 2022” (Sănătatea pe scurt: Europa 2022) a evidențiat faptul că pandemia a afectat în mod deosebit sănătatea mintală a tinerilor: unul din doi tineri europeni a raportat nevoi nesatisfăcute, iar depresia în rândul tinerilor a crescut de peste două ori. În 2022, OMS a lansat un semnal de alarmă la nivel mondial adresat tuturor țărilor pentru a intensifica serviciile și sprijinul în materie de sănătate mintală</w:t>
      </w:r>
      <w:r w:rsidRPr="001156EE">
        <w:rPr>
          <w:rFonts w:ascii="Times New Roman" w:eastAsiaTheme="minorEastAsia" w:hAnsi="Times New Roman" w:cs="Times New Roman"/>
          <w:noProof/>
          <w:sz w:val="24"/>
          <w:vertAlign w:val="superscript"/>
          <w:lang w:val="ro-RO"/>
        </w:rPr>
        <w:footnoteReference w:id="96"/>
      </w:r>
      <w:r w:rsidRPr="001156EE">
        <w:rPr>
          <w:rFonts w:ascii="Times New Roman" w:hAnsi="Times New Roman"/>
          <w:noProof/>
          <w:sz w:val="24"/>
          <w:lang w:val="ro-RO"/>
        </w:rPr>
        <w:t xml:space="preserve">. </w:t>
      </w:r>
    </w:p>
    <w:p w14:paraId="34631420" w14:textId="57AB5AB9"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UE a stabilit o cale clară de redresare prin lansarea unei abordări cuprinzătoare cu privire la sănătatea mintală</w:t>
      </w:r>
      <w:r w:rsidRPr="001156EE">
        <w:rPr>
          <w:rFonts w:ascii="Times New Roman" w:eastAsiaTheme="minorEastAsia" w:hAnsi="Times New Roman" w:cs="Times New Roman"/>
          <w:noProof/>
          <w:sz w:val="24"/>
          <w:vertAlign w:val="superscript"/>
          <w:lang w:val="ro-RO"/>
        </w:rPr>
        <w:footnoteReference w:id="97"/>
      </w:r>
      <w:r w:rsidRPr="001156EE">
        <w:rPr>
          <w:rFonts w:ascii="Times New Roman" w:hAnsi="Times New Roman"/>
          <w:noProof/>
          <w:sz w:val="24"/>
          <w:lang w:val="ro-RO"/>
        </w:rPr>
        <w:t xml:space="preserve"> și prin sprijinirea activităților de cercetare pentru o mai bună pregătire în materie de sănătate</w:t>
      </w:r>
      <w:r w:rsidRPr="001156EE">
        <w:rPr>
          <w:rFonts w:ascii="Times New Roman" w:eastAsiaTheme="minorEastAsia" w:hAnsi="Times New Roman" w:cs="Times New Roman"/>
          <w:noProof/>
          <w:sz w:val="24"/>
          <w:vertAlign w:val="superscript"/>
          <w:lang w:val="ro-RO"/>
        </w:rPr>
        <w:footnoteReference w:id="98"/>
      </w:r>
      <w:r w:rsidRPr="001156EE">
        <w:rPr>
          <w:rFonts w:ascii="Times New Roman" w:hAnsi="Times New Roman"/>
          <w:noProof/>
          <w:sz w:val="24"/>
          <w:lang w:val="ro-RO"/>
        </w:rPr>
        <w:t>. În urma anunțului făcut de către președinta von der Leyen privind „o nouă inițiativă privind sănătatea mintală” în discursul ei din 2022 privind starea Uniunii Europene, Comisia a adoptat, la 7 iunie 2023, o comunicare privind o abordare cuprinzătoare cu privire la sănătatea mintală</w:t>
      </w:r>
      <w:r w:rsidRPr="001156EE">
        <w:rPr>
          <w:rStyle w:val="FootnoteReference"/>
          <w:rFonts w:ascii="Times New Roman" w:eastAsia="Times New Roman" w:hAnsi="Times New Roman" w:cs="Times New Roman"/>
          <w:noProof/>
          <w:sz w:val="24"/>
          <w:lang w:val="ro-RO"/>
        </w:rPr>
        <w:footnoteReference w:id="99"/>
      </w:r>
      <w:r w:rsidRPr="001156EE">
        <w:rPr>
          <w:rFonts w:ascii="Times New Roman" w:hAnsi="Times New Roman"/>
          <w:noProof/>
          <w:sz w:val="24"/>
          <w:lang w:val="ro-RO"/>
        </w:rPr>
        <w:t>. Ea marchează punctul de plecare pentru o nouă abordare cu privire la sănătatea mintală, care nu se limitează la sănătate, ci implică puternic domenii precum educația, digitalizarea, ocuparea forței de muncă, cercetarea, dezvoltarea urbană, mediul și clima. Comunicarea cuprinde 20 de inițiative emblematice, identifică oportunități de finanțare în valoare de 1,23 miliarde EUR și pune accentul pe grupurile vulnerabile (copii, tineri, persoane în vârstă). De exemplu, o inițiativă emblematică esențială abordează sprijinul pentru sănătatea mintală destinat persoanelor strămutate din Ucraina, iar o alta sprijină diseminarea unui pachet minim de servicii menit să ofere asistență de calitate în situații de urgență umanitară. În etapa de punere în aplicare, Comisia continuă să colaboreze îndeaproape cu statele membre (subgrupul privind sănătatea mintală al Grupului de experți în domeniul sănătății publice) și cu părțile interesate (rețeaua din cadrul Platformei UE privind politica în domeniul sănătății). În plus, trioul de președinții al Consiliului a plasat sănătatea mintală printre prioritățile agendei sale, iar președinția spaniolă va elabora un set de patru concluzii ale Consiliului (una care stabilește o abordare generală și trei care abordează domenii de politică specifice, și anume munca precară, drogurile și tineretul).</w:t>
      </w:r>
    </w:p>
    <w:p w14:paraId="5807D156" w14:textId="59EE12C1" w:rsidR="001F1738" w:rsidRPr="001156EE" w:rsidRDefault="001F1738" w:rsidP="001F1738">
      <w:pPr>
        <w:keepNext/>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Comisia a creat Rețeaua la nivel înalt de expertiză privind COVID de lungă durată (NELC), care reunește instituții naționale care funcționează drept centru de referință pentru alte instituții medicale. Scopul NELC este de a facilita schimbul de cele mai relevante informații și bune practici de gestionare a COVID de lungă durată, ca răspuns la cele mai recente evoluții științifice legate de COVID de lungă durată, care reprezintă o criză de sănătate publică din ce în ce mai gravă</w:t>
      </w:r>
      <w:r w:rsidRPr="001156EE">
        <w:rPr>
          <w:rFonts w:ascii="Times New Roman" w:eastAsiaTheme="minorEastAsia" w:hAnsi="Times New Roman" w:cs="Times New Roman"/>
          <w:noProof/>
          <w:sz w:val="24"/>
          <w:vertAlign w:val="superscript"/>
          <w:lang w:val="ro-RO"/>
        </w:rPr>
        <w:footnoteReference w:id="100"/>
      </w:r>
      <w:r w:rsidRPr="001156EE">
        <w:rPr>
          <w:rFonts w:ascii="Times New Roman" w:hAnsi="Times New Roman"/>
          <w:noProof/>
          <w:sz w:val="24"/>
          <w:lang w:val="ro-RO"/>
        </w:rPr>
        <w:t xml:space="preserve">. Ea va contribui, de asemenea, la coordonarea inițiativelor la nivel național, la nivelul UE și la nivelul OMS. NELC s-a reunit pentru prima dată la 2 mai 2023 pentru a discuta idei inițiale și prioritățile sale. Identificarea nevoilor și a lacunelor în materie de cercetare, împreună cu schimbul de orientări și informații privind diagnosticarea și tratamentul, au fost identificate ca fiind cele mai urgente două subiecte care trebuie abordate. În plus, NELC a evidențiat necesitatea unor orientări și recomandări clinice. </w:t>
      </w:r>
    </w:p>
    <w:p w14:paraId="3EF6B58C" w14:textId="7A171235"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Programul Orizont Europa sprijină proiecte (inclusiv studii de cohortă de mari dimensiuni vizând COVID-19) pentru a determina consecințele și simptomele pe termen lung ale infecțiilor cu SARS-CoV-2 pentru o mai bună înțelegere, diagnosticare și tratament potențial al COVID de lungă durată.</w:t>
      </w:r>
    </w:p>
    <w:p w14:paraId="17D1E1A3" w14:textId="77777777" w:rsidR="001F1738" w:rsidRPr="001156EE" w:rsidRDefault="001F1738" w:rsidP="00B55BF2">
      <w:pPr>
        <w:keepNext/>
        <w:keepLines/>
        <w:spacing w:before="480" w:after="100" w:afterAutospacing="1" w:line="240" w:lineRule="auto"/>
        <w:outlineLvl w:val="0"/>
        <w:rPr>
          <w:rFonts w:ascii="Times New Roman" w:eastAsiaTheme="majorEastAsia" w:hAnsi="Times New Roman" w:cs="Times New Roman"/>
          <w:noProof/>
          <w:sz w:val="24"/>
          <w:lang w:val="ro-RO"/>
        </w:rPr>
      </w:pPr>
      <w:r w:rsidRPr="001156EE">
        <w:rPr>
          <w:rFonts w:ascii="Times New Roman" w:hAnsi="Times New Roman"/>
          <w:noProof/>
          <w:sz w:val="24"/>
          <w:lang w:val="ro-RO"/>
        </w:rPr>
        <w:t>6. CERCETARE</w:t>
      </w:r>
    </w:p>
    <w:p w14:paraId="3D0E9698" w14:textId="65ABD0A9" w:rsidR="002F1D2B" w:rsidRPr="001156EE" w:rsidRDefault="002F1D2B" w:rsidP="002F1D2B">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Comisia finanțează inovarea și cercetarea relevante pentru securitatea sanitară prin intermediul programelor Orizont Europa și HERA Invest</w:t>
      </w:r>
      <w:r w:rsidRPr="001156EE">
        <w:rPr>
          <w:rFonts w:ascii="Times New Roman" w:eastAsiaTheme="minorEastAsia" w:hAnsi="Times New Roman" w:cs="Times New Roman"/>
          <w:noProof/>
          <w:sz w:val="24"/>
          <w:vertAlign w:val="superscript"/>
          <w:lang w:val="ro-RO"/>
        </w:rPr>
        <w:footnoteReference w:id="101"/>
      </w:r>
      <w:r w:rsidRPr="001156EE">
        <w:rPr>
          <w:rFonts w:ascii="Times New Roman" w:hAnsi="Times New Roman"/>
          <w:noProof/>
          <w:sz w:val="24"/>
          <w:lang w:val="ro-RO"/>
        </w:rPr>
        <w:t xml:space="preserve"> într-o serie de domenii, cum ar fi pregătirea și răspunsul.</w:t>
      </w:r>
    </w:p>
    <w:p w14:paraId="69C9E508" w14:textId="72FEB1A4" w:rsidR="001F1738" w:rsidRPr="001156EE"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ro-RO"/>
        </w:rPr>
      </w:pPr>
      <w:r w:rsidRPr="001156EE">
        <w:rPr>
          <w:rFonts w:ascii="Times New Roman" w:hAnsi="Times New Roman"/>
          <w:b/>
          <w:noProof/>
          <w:sz w:val="24"/>
          <w:lang w:val="ro-RO"/>
        </w:rPr>
        <w:t xml:space="preserve">Cercetarea în materie de pregătire </w:t>
      </w:r>
    </w:p>
    <w:p w14:paraId="51AEF88D" w14:textId="0D60544A" w:rsidR="00BE1A6C"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Programul Orizont Europa sprijină proiecte menite să sporească cunoștințele privind imunitatea indusă de vaccinare față de virusurile cu un potențial epidemic sau pandemic mare, precum și să definească conceperea optimă a vaccinurilor împotriva agenților patogeni, în situația în care există informații privind interacțiunea dintre agenții patogeni și gazdă și structurile virale de suprafață. Alte acțiuni de cercetare vizând contramăsuri medicale se axează pe promovarea compușilor antivirali cu spectru larg și pe dezvoltarea de noi abordări pentru dezvoltarea unor astfel de compuși, care vizează virusuri cu potențial epidemic sau pandemic mare pentru UE. </w:t>
      </w:r>
    </w:p>
    <w:p w14:paraId="0102D323" w14:textId="27E7CE84"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Comisia a lansat, de asemenea, HERA Invest pentru a promova cercetarea și dezvoltarea avansată a contramăsurilor medicale și a tehnologiilor conexe pentru combaterea amenințărilor transfrontaliere prioritare pentru sănătate. Făcând parte din InvestEU</w:t>
      </w:r>
      <w:r w:rsidRPr="001156EE">
        <w:rPr>
          <w:rStyle w:val="FootnoteReference"/>
          <w:rFonts w:ascii="Times New Roman" w:eastAsiaTheme="minorEastAsia" w:hAnsi="Times New Roman" w:cs="Times New Roman"/>
          <w:noProof/>
          <w:sz w:val="24"/>
          <w:lang w:val="ro-RO"/>
        </w:rPr>
        <w:footnoteReference w:id="102"/>
      </w:r>
      <w:r w:rsidRPr="001156EE">
        <w:rPr>
          <w:rFonts w:ascii="Times New Roman" w:hAnsi="Times New Roman"/>
          <w:noProof/>
          <w:sz w:val="24"/>
          <w:lang w:val="ro-RO"/>
        </w:rPr>
        <w:t xml:space="preserve"> – programul UE care sprijină investițiile sustenabile,</w:t>
      </w:r>
      <w:r w:rsidRPr="001156EE">
        <w:rPr>
          <w:noProof/>
          <w:lang w:val="ro-RO"/>
        </w:rPr>
        <w:t xml:space="preserve"> </w:t>
      </w:r>
      <w:r w:rsidRPr="001156EE">
        <w:rPr>
          <w:noProof/>
          <w:lang w:val="ro-RO"/>
        </w:rPr>
        <w:cr/>
      </w:r>
      <w:r w:rsidRPr="001156EE">
        <w:rPr>
          <w:noProof/>
          <w:lang w:val="ro-RO"/>
        </w:rPr>
        <w:br/>
      </w:r>
      <w:r w:rsidRPr="001156EE">
        <w:rPr>
          <w:rFonts w:ascii="Times New Roman" w:hAnsi="Times New Roman"/>
          <w:noProof/>
          <w:sz w:val="24"/>
          <w:lang w:val="ro-RO"/>
        </w:rPr>
        <w:t>inovarea și crearea de locuri de muncă în Europa, HERA Invest acoperă o lacună vitală în domeniu cu 100 de milioane EUR pentru a sprijini IMM-urile inovatoare în fazele incipiente și de final ale trialurilor clinice. HERA Invest urmărește să reducă disfuncționalitățile pieței și să consolideze autonomia strategică a UE.</w:t>
      </w:r>
    </w:p>
    <w:p w14:paraId="646A8BED" w14:textId="64887093" w:rsidR="001F1738" w:rsidRPr="001156EE" w:rsidRDefault="00B00464"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Programul Orizont Europa sprijină, de asemenea, dezvoltarea de mijloace de diagnostic </w:t>
      </w:r>
      <w:r w:rsidRPr="001156EE">
        <w:rPr>
          <w:rFonts w:ascii="Times New Roman" w:hAnsi="Times New Roman"/>
          <w:i/>
          <w:noProof/>
          <w:sz w:val="24"/>
          <w:lang w:val="ro-RO"/>
        </w:rPr>
        <w:t>in vitro</w:t>
      </w:r>
      <w:r w:rsidRPr="001156EE">
        <w:rPr>
          <w:rFonts w:ascii="Times New Roman" w:hAnsi="Times New Roman"/>
          <w:noProof/>
          <w:sz w:val="24"/>
          <w:lang w:val="ro-RO"/>
        </w:rPr>
        <w:t xml:space="preserve"> și accesul la acestea pentru depistarea și caracterizarea agenților patogeni cu potențial pandemic, și, de asemenea, sprijină accesul la dispozitivele medicale și la dispozitivele medicale pentru diagnostic </w:t>
      </w:r>
      <w:r w:rsidRPr="001156EE">
        <w:rPr>
          <w:rFonts w:ascii="Times New Roman" w:hAnsi="Times New Roman"/>
          <w:i/>
          <w:noProof/>
          <w:sz w:val="24"/>
          <w:lang w:val="ro-RO"/>
        </w:rPr>
        <w:t>in vitro</w:t>
      </w:r>
      <w:r w:rsidRPr="001156EE">
        <w:rPr>
          <w:rFonts w:ascii="Times New Roman" w:hAnsi="Times New Roman"/>
          <w:noProof/>
          <w:sz w:val="24"/>
          <w:lang w:val="ro-RO"/>
        </w:rPr>
        <w:t xml:space="preserve"> pentru amenințările transfrontaliere pentru sănătate. În plus, prin intermediul programului emblematic de inovare al Consiliului European pentru Inovare</w:t>
      </w:r>
      <w:r w:rsidRPr="001156EE">
        <w:rPr>
          <w:rFonts w:ascii="Times New Roman" w:eastAsiaTheme="minorEastAsia" w:hAnsi="Times New Roman" w:cs="Times New Roman"/>
          <w:noProof/>
          <w:sz w:val="24"/>
          <w:vertAlign w:val="superscript"/>
          <w:lang w:val="ro-RO"/>
        </w:rPr>
        <w:footnoteReference w:id="103"/>
      </w:r>
      <w:r w:rsidRPr="001156EE">
        <w:rPr>
          <w:rFonts w:ascii="Times New Roman" w:hAnsi="Times New Roman"/>
          <w:noProof/>
          <w:sz w:val="24"/>
          <w:lang w:val="ro-RO"/>
        </w:rPr>
        <w:t>, instituit în cadrul programului Orizont Europa, Comisia promovează dezvoltarea și comercializarea de soluții tehnologice pentru gestionarea epidemică/pandemică (inclusiv, de exemplu, sisteme avansate pentru captarea aerosolilor, dezactivarea agenților patogeni și optimizarea circulației aerului, măști de protecție de generație superioară și dispozitive de decontaminare rapidă a suprafețelor).</w:t>
      </w:r>
    </w:p>
    <w:p w14:paraId="668700DC" w14:textId="2BFFCD53" w:rsidR="001F1738" w:rsidRPr="001156EE"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ro-RO"/>
        </w:rPr>
      </w:pPr>
      <w:r w:rsidRPr="001156EE">
        <w:rPr>
          <w:rFonts w:ascii="Times New Roman" w:hAnsi="Times New Roman"/>
          <w:b/>
          <w:noProof/>
          <w:sz w:val="24"/>
          <w:lang w:val="ro-RO"/>
        </w:rPr>
        <w:t>Cercetarea în materie de răspuns și de situații de urgență</w:t>
      </w:r>
    </w:p>
    <w:p w14:paraId="4A95C6A1" w14:textId="3107645B" w:rsidR="00E14569" w:rsidRPr="001156EE" w:rsidRDefault="00E14569"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Programele de lucru pentru sănătate din cadrul Orizont Europa prevăd în continuare posibilitatea de a mobiliza fonduri pentru cercetare în cazul unor urgențe de sănătate publică. Această opțiune a fost utilizată în 2022 pentru a sprijini rețeaua EU RESPONSE</w:t>
      </w:r>
      <w:r w:rsidRPr="001156EE">
        <w:rPr>
          <w:rFonts w:ascii="Times New Roman" w:eastAsiaTheme="minorEastAsia" w:hAnsi="Times New Roman" w:cs="Times New Roman"/>
          <w:noProof/>
          <w:sz w:val="24"/>
          <w:vertAlign w:val="superscript"/>
          <w:lang w:val="ro-RO"/>
        </w:rPr>
        <w:footnoteReference w:id="104"/>
      </w:r>
      <w:r w:rsidRPr="001156EE">
        <w:rPr>
          <w:rFonts w:ascii="Times New Roman" w:hAnsi="Times New Roman"/>
          <w:noProof/>
          <w:sz w:val="24"/>
          <w:lang w:val="ro-RO"/>
        </w:rPr>
        <w:t xml:space="preserve"> pentru punerea în aplicare a unui trial clinic pentru evaluarea tratamentului pentru variola maimuței, precum și cohortele din proiectul VERDI</w:t>
      </w:r>
      <w:r w:rsidRPr="001156EE">
        <w:rPr>
          <w:rFonts w:ascii="Times New Roman" w:eastAsiaTheme="minorEastAsia" w:hAnsi="Times New Roman" w:cs="Times New Roman"/>
          <w:noProof/>
          <w:sz w:val="24"/>
          <w:vertAlign w:val="superscript"/>
          <w:lang w:val="ro-RO"/>
        </w:rPr>
        <w:footnoteReference w:id="105"/>
      </w:r>
      <w:r w:rsidRPr="001156EE">
        <w:rPr>
          <w:rFonts w:ascii="Times New Roman" w:hAnsi="Times New Roman"/>
          <w:noProof/>
          <w:sz w:val="24"/>
          <w:lang w:val="ro-RO"/>
        </w:rPr>
        <w:t xml:space="preserve"> pentru o mai bună înțelegere a bolii.</w:t>
      </w:r>
    </w:p>
    <w:p w14:paraId="6438EFE1" w14:textId="1892961E" w:rsidR="001F1738" w:rsidRPr="001156EE" w:rsidRDefault="00A96694"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Prin intermediul programului Orizont Europa, Comisia se va baza, în plus, pe trialurile adaptive existente de tip platformă și pe studiile pe bază de cohortă pentru a menține și a consolida mecanismele de coordonare strategică în UE și în afara acesteia. Aceste rețele fac posibilă efectuarea de trialuri perpetue de tip platformă, pivotarea unor cohorte strategice perpetue la boli emergente în cazul izbucnirii unei epidemii și generarea de dovezi științifice cu privire la diferite contramăsuri medicale posibile.</w:t>
      </w:r>
    </w:p>
    <w:p w14:paraId="77578385" w14:textId="0BD29652" w:rsidR="001F1738" w:rsidRPr="001156EE" w:rsidRDefault="00D7634D"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Comisia este implicată, în cooperare cu statele membre, în etapa pregătitoare a parteneriatului UE privind pregătirea pentru pandemii, care va elabora o agendă consolidată de cercetare privind pregătirea pentru pandemii, consolidând colaborarea dintre statele membre, și va pregăti gestionarea răspunsului în materie de cercetare în timpul unei crize prin instituirea unei rețele a UE de amplasamente „pregătite în permanență” pentru desfășurarea studiilor clinice și va alinia investițiile pentru pregătirea pentru pandemii și răspunsul la acestea, de la cercetarea de bază la cercetarea preclinică și clinică.</w:t>
      </w:r>
    </w:p>
    <w:p w14:paraId="735D7E06" w14:textId="5BAAD030" w:rsidR="001F1738" w:rsidRPr="001156EE"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Având în vedere că, într-o pandemie, „nimeni nu este în siguranță până când nu este în siguranță toată lumea pretutindeni”, Strategia UE în domeniul sănătății la nivel mondial</w:t>
      </w:r>
      <w:r w:rsidRPr="001156EE">
        <w:rPr>
          <w:rFonts w:ascii="Times New Roman" w:eastAsiaTheme="minorEastAsia" w:hAnsi="Times New Roman" w:cs="Times New Roman"/>
          <w:noProof/>
          <w:sz w:val="24"/>
          <w:vertAlign w:val="superscript"/>
          <w:lang w:val="ro-RO"/>
        </w:rPr>
        <w:footnoteReference w:id="106"/>
      </w:r>
      <w:r w:rsidRPr="001156EE">
        <w:rPr>
          <w:rFonts w:ascii="Times New Roman" w:hAnsi="Times New Roman"/>
          <w:noProof/>
          <w:sz w:val="24"/>
          <w:lang w:val="ro-RO"/>
        </w:rPr>
        <w:t>, lansată în noiembrie 2022, reprezintă dimensiunea externă a Uniunii europene a sănătății. UE investește în îmbunătățirea pregătirii pentru prevenirea pandemiilor și a capacității de răspuns în țările cu venituri mici și medii, cu un accent deosebit pe Africa Subsahariană, prin diverse instrumente, ca parte a strategiei „Global Gateway”</w:t>
      </w:r>
      <w:r w:rsidRPr="001156EE">
        <w:rPr>
          <w:rStyle w:val="FootnoteReference"/>
          <w:rFonts w:ascii="Times New Roman" w:eastAsiaTheme="minorEastAsia" w:hAnsi="Times New Roman" w:cs="Times New Roman"/>
          <w:noProof/>
          <w:sz w:val="24"/>
          <w:lang w:val="ro-RO"/>
        </w:rPr>
        <w:footnoteReference w:id="107"/>
      </w:r>
      <w:r w:rsidRPr="001156EE">
        <w:rPr>
          <w:rFonts w:ascii="Times New Roman" w:hAnsi="Times New Roman"/>
          <w:noProof/>
          <w:sz w:val="24"/>
          <w:lang w:val="ro-RO"/>
        </w:rPr>
        <w:t>. Întreprinderea comună „Parteneriatul dintre țările europene și cele în curs de dezvoltare privind trialurile clinice”</w:t>
      </w:r>
      <w:r w:rsidRPr="001156EE">
        <w:rPr>
          <w:rStyle w:val="FootnoteReference"/>
          <w:rFonts w:ascii="Times New Roman" w:eastAsiaTheme="minorEastAsia" w:hAnsi="Times New Roman" w:cs="Times New Roman"/>
          <w:noProof/>
          <w:sz w:val="24"/>
          <w:lang w:val="ro-RO"/>
        </w:rPr>
        <w:footnoteReference w:id="108"/>
      </w:r>
      <w:r w:rsidRPr="001156EE">
        <w:rPr>
          <w:rFonts w:ascii="Times New Roman" w:hAnsi="Times New Roman"/>
          <w:noProof/>
          <w:sz w:val="24"/>
          <w:lang w:val="ro-RO"/>
        </w:rPr>
        <w:t xml:space="preserve"> finanțează cercetarea pentru dezvoltarea și testarea contramăsurilor medicale, precum și pentru dezvoltarea de rețele și cohorte de trialuri clinice, corelând rezultatele acestei cercetări cu inițiativa Echipei Europa privind fabricarea vaccinurilor și accesul la acestea, a medicamentelor și a tehnologiilor medicale în Africa (MAV+) și cu Parteneriatul UE-ALC privind producția de vaccinuri și reziliența sistemelor de sănătate.</w:t>
      </w:r>
    </w:p>
    <w:p w14:paraId="64B89DFE" w14:textId="77777777"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p>
    <w:p w14:paraId="1992162E" w14:textId="77777777" w:rsidR="001F1738" w:rsidRPr="001156EE"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ro-RO"/>
        </w:rPr>
      </w:pPr>
      <w:r w:rsidRPr="001156EE">
        <w:rPr>
          <w:rFonts w:ascii="Times New Roman" w:hAnsi="Times New Roman"/>
          <w:noProof/>
          <w:sz w:val="24"/>
          <w:lang w:val="ro-RO"/>
        </w:rPr>
        <w:t xml:space="preserve">7. DIMENSIUNEA INTERNAȚIONALĂ </w:t>
      </w:r>
    </w:p>
    <w:p w14:paraId="1469B4AF" w14:textId="4301B726"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ro-RO"/>
        </w:rPr>
      </w:pPr>
      <w:r w:rsidRPr="001156EE">
        <w:rPr>
          <w:rFonts w:ascii="Times New Roman" w:hAnsi="Times New Roman"/>
          <w:b/>
          <w:noProof/>
          <w:sz w:val="24"/>
          <w:lang w:val="ro-RO"/>
        </w:rPr>
        <w:t xml:space="preserve">Parteneriate internaționale pentru consolidarea cadrului global de securitate sanitară </w:t>
      </w:r>
    </w:p>
    <w:p w14:paraId="36456C7A" w14:textId="5E675E38"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Situațiile de urgență sanitară din trecut au arătat că bolile nu țin cont de frontiere. UE este implicată în abordarea urgențelor sanitare la nivel internațional pentru a atenua posibila răspândire a riscurilor pentru sănătate în UE. Dimensiunea externă a Uniunii europene a sănătății, Strategia UE în domeniul sănătății la nivel mondial, a fost adoptată la 30 noiembrie 2022 și este menită să orienteze toate acțiunile UE care urmăresc să asigure o mai bună sănătate și buna stare a oamenilor pe tot parcursul vieții, pe de o parte, prin consolidarea sistemelor de sănătate și promovarea acoperirii universale cu servicii de sănătate și, pe de altă parte, prin prevenirea și combaterea amenințărilor pentru sănătate, inclusiv a pandemiilor, aplicând o abordare de tip „O singură sănătate”.</w:t>
      </w:r>
    </w:p>
    <w:p w14:paraId="205F4210" w14:textId="0550330D" w:rsidR="001F1738" w:rsidRPr="001156EE"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Cele trei declarații politice în materie de sănătate adoptate în cadrul reuniunilor la nivel înalt din cadrul Adunării Generale a Organizației Națiunilor Unite de la New York din septembrie 2023 privind tuberculoza, acoperirea universală cu servicii de sănătate și prevenirea pandemiilor, pregătirea pentru pandemii și răspunsul la acestea au evidențiat caracterul urgent al acțiunilor de consolidare a sistemelor naționale de sănătate și de îmbunătățire a securității sanitare la nivel mondial în vederea atingerii obiectivelor de dezvoltare durabilă legate de sănătate. În acest context, UE continuă să fie puternic angajată în negocierile aflate în curs de derulare pentru adoptarea unei convenții, a unui acord sau a unui alt instrument internațional al OMS privind prevenirea pandemiilor, pregătirea pentru pandemii și răspunsul la acestea („Acordul privind pandemiile”) și în negocierile complementare pentru revizuirea Regulamentului sanitar internațional. UE a făcut propuneri ambițioase care promovează echitatea și includ dispoziții operative privind întregul ciclu de prevenire, pregătire și răspuns, cu scopul de a aduce îmbunătățiri semnificative și concrete în interesul și în beneficiul tuturor. Obținerea unui rezultat pozitiv pentru ambele procese până la Adunarea Mondială a Sănătății din mai 2024 reprezintă o prioritate pentru UE. </w:t>
      </w:r>
    </w:p>
    <w:p w14:paraId="1AA16188" w14:textId="4B5600C6" w:rsidR="00681330" w:rsidRPr="001156EE" w:rsidRDefault="00681330"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În plus, Comisia este membru fondator al Fondului pentru pandemii lansat de G20 în 2022 și găzduit de Banca Mondială și contribuie la el. Fondul oferă finanțare pe termen lung pentru a consolida capacitatea și capabilitățile de prevenire a pandemiilor, de pregătire pentru pandemii și de răspuns la acestea (PPR) în țările cu venituri mici și medii și abordează lacunele critice prin investiții și sprijin tehnic la nivel național, regional și mondial.</w:t>
      </w:r>
    </w:p>
    <w:p w14:paraId="01762D11" w14:textId="0A95D9EF"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Recunoscând oportunitatea importantă de a consolida angajamentele globale de combatere a rezistenței la antimicrobiene, UE a prezentat o propunere cuprinzătoare de dispoziții concrete privind RAM, ca parte a negocierilor pentru un acord internațional al OMS privind prevenirea pandemiilor, pregătirea pentru pandemii și răspunsul la acestea. UE s-a angajat să coopereze la nivel mondial în ceea ce privește RAM și a găzduit o reuniune cu prezență fizică a Grupului operativ transatlantic privind rezistența la antimicrobiene la 14-15 noiembrie 2023, care a reunit autorități din UE, SUA, Canada, Norvegia și Regatul Unit, pentru a colabora și a face schimb de bune practici în vederea consolidării eforturilor interne și internaționale. De asemenea, UE sprijină eforturile internaționale de combatere a RAM în contextele G7 și G20 și este implicată în pregătirile pentru succesul reuniunii la nivel înalt a Adunării Generale a Organizației Națiunilor Unite privind RAM din 2024. Prin contribuția sa financiară la Fondul fiduciar cu parteneri multipli privind RAM, UE sprijină eforturile din țările cu venituri mici și medii de a-și consolida capacitățile de combatere a RAM.</w:t>
      </w:r>
    </w:p>
    <w:p w14:paraId="2DABA311" w14:textId="1D048347"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ro-RO"/>
        </w:rPr>
      </w:pPr>
      <w:r w:rsidRPr="001156EE">
        <w:rPr>
          <w:rFonts w:ascii="Times New Roman" w:hAnsi="Times New Roman"/>
          <w:b/>
          <w:noProof/>
          <w:sz w:val="24"/>
          <w:lang w:val="ro-RO"/>
        </w:rPr>
        <w:t>Mecanismul de protecție civilă al UE (UCPM)</w:t>
      </w:r>
    </w:p>
    <w:p w14:paraId="2C9B9E5E" w14:textId="512D0EB6"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UCPM se angajează să ofere asistență oricărei țări solicitante, atât în interiorul, cât și în afara UE. Până în prezent, în 2023, au fost primite 10 cereri prin intermediul UCPM din partea țărilor din afara UE pentru produse legate de COVID-19 (vaccinuri, echipamente medicale etc.) și toate au fost satisfăcute integral cu oferte din partea statelor membre ale UE și a statelor participante la UCPM. În plus, dacă este necesar, Comisia poate să sprijine în mod direct partenerii umanitari din domeniul sănătății prin intermediul Capacității europene de răspuns umanitar prin furnizarea de truse de urgență complementare (și anume truse pentru adăposturi, truse de igienă și pentru holeră), precum și trimiterea de experți în domeniul sănătății (în strânsă colaborare cu ECDC) în cazul unei urgențe sanitare într-un context umanitar.</w:t>
      </w:r>
    </w:p>
    <w:p w14:paraId="69173D4C" w14:textId="77777777"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b/>
          <w:noProof/>
          <w:sz w:val="24"/>
          <w:lang w:val="ro-RO"/>
        </w:rPr>
      </w:pPr>
      <w:r w:rsidRPr="001156EE">
        <w:rPr>
          <w:rFonts w:ascii="Times New Roman" w:hAnsi="Times New Roman"/>
          <w:b/>
          <w:noProof/>
          <w:sz w:val="24"/>
          <w:lang w:val="ro-RO"/>
        </w:rPr>
        <w:t>Dimensiunea internațională a cercetării și inovării finanțate de UE</w:t>
      </w:r>
    </w:p>
    <w:p w14:paraId="3B977732" w14:textId="25B83A57"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Pentru a coordona mai bine cercetarea vizând pregătirea pentru pandemii și răspunsul la acestea, UE a contribuit la crearea și finanțarea colaborării la nivel mondial în domeniul cercetării în ceea ce privește pregătirea pentru boli infecțioase (GloPID-R). Foaia sa de parcurs, operațională, pentru coordonarea trialurilor clinice definește rețelele și platformele de trialuri clinice, pregătite pentru epidemii, un răspuns flexibil și eficace în ceea ce privește trialurile clinice și un mediu de cercetare echitabil ca element central al orientărilor pentru finanțatori. Centrele regionale ale GloPID-R din Africa și Asia-Pacific sprijină o coordonare mai strânsă la nivel regional.</w:t>
      </w:r>
    </w:p>
    <w:p w14:paraId="3CC48E95" w14:textId="434BCE15"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Pentru a promova colaborarea la nivel mondial în ceea ce privește trialurile clinice, Asociația EDCTP finanțată de UE reunește 26 de țări din Africa și 15 din Europa în cadrul unui parteneriat privind trialurile clinice, care a fost instituit în 2003 pentru a promova rețelele multinaționale de trialuri clinice în Africa și colaborarea cu Europa. EDCTP se află în prezent la cea de a treia ediție, sub formă de întreprindere comună, și a consolidat capacitatea de cercetare și a accelerat dezvoltarea unor intervenții medicale noi sau îmbunătățite pentru identificarea, tratarea și prevenirea bolilor infecțioase asociate sărăciei, inclusiv a bolilor emergente și reemergente în Africa Subsahariană, prin toate etapele trialurilor clinice și punând accentul pe trialurile de fază II și III.</w:t>
      </w:r>
    </w:p>
    <w:p w14:paraId="5B9EC6AA" w14:textId="5F0689ED"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Implicarea și colaborarea strânsă cu părțile interesate internaționale sunt fundamentale pentru consolidarea eforturilor de pregătire pentru pandemii și de răspuns la acestea la nivel mondial. În ultimul an, a continuat punerea în aplicare a acordului administrativ din 2022 cu Administrația Statelor Unite pentru Pregătire și Răspuns Strategic (ASPR), inclusiv prin intermediul unui schimb de experți și al unui parteneriat în curs de dezvoltare privind finanțarea inovării în sectorul diagnosticării, în special în ceea ce privește tehnologiile de depistare timpurie a focarelor. HERA își extinde, în plus, cooperarea cu partenerii din Asia și a semnat recent acorduri administrative cu Ministerul Sănătății și Bunăstării din Republica Coreea și cu Agenția Japoneză pentru Cercetare și Dezvoltare Medicală. </w:t>
      </w:r>
    </w:p>
    <w:p w14:paraId="75384E1B" w14:textId="7B264729"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Continuă, în plus, cooperarea strânsă cu Ucraina și cu alte țări învecinate, precum și cu partenerii din sudul global, în special din Africa. Obiectivele esențiale în faza de pregătire sunt îmbunătățirea capacității de supraveghere-secvențiere, facilitarea schimbului de date și sprijinirea capacităților sustenabile de producție și distribuție de contramăsuri medicale relevante, astfel încât, în perioade de criză, partenerii să poată identifica și caracteriza rapid agenții patogeni care generează îngrijorare și să aibă acces rapid și pe scară largă la contramăsuri medicale. </w:t>
      </w:r>
    </w:p>
    <w:p w14:paraId="0C1966A9" w14:textId="40328DF9" w:rsidR="001F1738" w:rsidRPr="001156EE" w:rsidRDefault="001F1738" w:rsidP="001F1738">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 xml:space="preserve">Sunt incluse activități desfășurate prin intermediul parteneriatelor internaționale (de exemplu, GH-EDCTP3JU pentru a promova dezvoltarea de contramăsuri medicale pentru bolile infecțioase care afectează Africa). În ceea ce privește în special inițiativele globale, regionale sau naționale în domeniul pregătirii pentru pandemii, Comisia a investit aproximativ 25 de milioane EUR din programul „UE pentru sănătate”. Printre acțiuni se numără sprijinirea trialurilor clinice în stadii avansate vizând vaccinuri și tratamente împotriva amenințărilor prioritare pentru sănătate (de exemplu, virusurile Ebola și Marburg); consolidarea capacităților de secvențiere în Africa, în colaborare cu Centrul african de control al bolilor (CDC); și colectarea de date privind agenții patogeni emergenți în Africa, în colaborare cu centrul pentru pandemii al OMS și cu Biroul regional al OMS pentru Africa. </w:t>
      </w:r>
    </w:p>
    <w:p w14:paraId="458416D2" w14:textId="6416EC75" w:rsidR="001F1738" w:rsidRPr="001156EE" w:rsidRDefault="001F1738" w:rsidP="001F1738">
      <w:pPr>
        <w:keepNext/>
        <w:keepLines/>
        <w:spacing w:before="100" w:beforeAutospacing="1" w:after="100" w:afterAutospacing="1" w:line="240" w:lineRule="auto"/>
        <w:outlineLvl w:val="1"/>
        <w:rPr>
          <w:rFonts w:ascii="Times New Roman" w:eastAsiaTheme="majorEastAsia" w:hAnsi="Times New Roman" w:cs="Times New Roman"/>
          <w:b/>
          <w:noProof/>
          <w:sz w:val="24"/>
          <w:lang w:val="ro-RO"/>
        </w:rPr>
      </w:pPr>
      <w:bookmarkStart w:id="31" w:name="_Hlk156297013"/>
      <w:r w:rsidRPr="001156EE">
        <w:rPr>
          <w:rFonts w:ascii="Times New Roman" w:hAnsi="Times New Roman"/>
          <w:b/>
          <w:noProof/>
          <w:sz w:val="24"/>
          <w:lang w:val="ro-RO"/>
        </w:rPr>
        <w:t>Certificatele digitale ale UE privind COVID și Rețeaua mondială de certificare digitală a sănătății a OMS</w:t>
      </w:r>
    </w:p>
    <w:p w14:paraId="7359B307" w14:textId="76B466CB" w:rsidR="00AC74FE" w:rsidRPr="001156EE" w:rsidRDefault="00AC74FE" w:rsidP="00AC74FE">
      <w:pPr>
        <w:spacing w:before="100" w:beforeAutospacing="1" w:after="100" w:afterAutospacing="1" w:line="240" w:lineRule="auto"/>
        <w:jc w:val="both"/>
        <w:rPr>
          <w:rFonts w:ascii="Times New Roman" w:hAnsi="Times New Roman" w:cs="Times New Roman"/>
          <w:noProof/>
          <w:sz w:val="24"/>
          <w:lang w:val="ro-RO"/>
        </w:rPr>
      </w:pPr>
      <w:r w:rsidRPr="001156EE">
        <w:rPr>
          <w:rFonts w:ascii="Times New Roman" w:hAnsi="Times New Roman"/>
          <w:noProof/>
          <w:sz w:val="24"/>
          <w:lang w:val="ro-RO"/>
        </w:rPr>
        <w:t xml:space="preserve">Dezvoltarea și utilizarea certificatelor digitale ale UE privind COVID au fost esențiale în lupta împotriva pandemiei de COVID-19. În timpul pandemiei, certificatul digital al UE privind COVID a facilitat călătoriile în interiorul UE atunci când a fost considerată necesară impunerea unor restricții de călătorie. În plus, el a permis ridicarea coordonată a acestor restricții la momentul oportun. </w:t>
      </w:r>
    </w:p>
    <w:p w14:paraId="7FDC959C" w14:textId="2B986760" w:rsidR="00AC74FE" w:rsidRPr="001156EE" w:rsidRDefault="00AC74FE" w:rsidP="00AC74FE">
      <w:pPr>
        <w:spacing w:before="100" w:beforeAutospacing="1" w:after="100" w:afterAutospacing="1" w:line="240" w:lineRule="auto"/>
        <w:jc w:val="both"/>
        <w:rPr>
          <w:rFonts w:ascii="Times New Roman" w:hAnsi="Times New Roman" w:cs="Times New Roman"/>
          <w:noProof/>
          <w:sz w:val="24"/>
          <w:lang w:val="ro-RO"/>
        </w:rPr>
      </w:pPr>
      <w:r w:rsidRPr="001156EE">
        <w:rPr>
          <w:rFonts w:ascii="Times New Roman" w:hAnsi="Times New Roman"/>
          <w:noProof/>
          <w:sz w:val="24"/>
          <w:lang w:val="ro-RO"/>
        </w:rPr>
        <w:t xml:space="preserve">Certificatul digital al UE privind COVID a avut și o dimensiune internațională importantă. Pe baza tehnologiilor și a standardelor cu sursă deschisă, el a permis conectarea cu țări din afara UE care au eliberat certificate în conformitate cu standardele și specificațiile pentru certificatul digital al UE privind COVID. Prin conectarea a 78 de țări și teritorii, sistemul de certificate digitale ale UE privind COVID a devenit soluția cea mai utilizată pentru eliberarea și validarea certificatelor digitale privind COVID-19. Prin intermediul acestui sistem, peste 1,8 miliarde de persoane au avut acces la certificate digitale interoperabile și peste 2,3 miliarde de certificate au fost eliberate numai în UE. </w:t>
      </w:r>
    </w:p>
    <w:p w14:paraId="0E795420" w14:textId="4C721827" w:rsidR="001F1738" w:rsidRPr="001156EE" w:rsidRDefault="001F1738" w:rsidP="00AC74FE">
      <w:pPr>
        <w:spacing w:before="100" w:beforeAutospacing="1" w:after="100" w:afterAutospacing="1" w:line="240" w:lineRule="auto"/>
        <w:jc w:val="both"/>
        <w:rPr>
          <w:rFonts w:ascii="Times New Roman" w:eastAsiaTheme="minorEastAsia" w:hAnsi="Times New Roman" w:cs="Times New Roman"/>
          <w:noProof/>
          <w:sz w:val="24"/>
          <w:lang w:val="ro-RO"/>
        </w:rPr>
      </w:pPr>
      <w:r w:rsidRPr="001156EE">
        <w:rPr>
          <w:rFonts w:ascii="Times New Roman" w:hAnsi="Times New Roman"/>
          <w:noProof/>
          <w:sz w:val="24"/>
          <w:lang w:val="ro-RO"/>
        </w:rPr>
        <w:t>De la începutul pandemiei, OMS a colaborat cu toate regiunile OMS pentru a defini orientări generale pentru certificatele privind COVID-19, recunoscând existența unui decalaj și necesitatea continuă a unui mecanism global care să sprijine verificarea bilaterală a provenienței și a autenticității documentelor sanitare pentru pregătirea pentru pandemie și continuitatea îngrijirii. Valorificând experiența certificatului digital al UE privind COVID, OMS a lansat în iunie 2023 o rețea mondială de certificare digitală a sănătății (GDHCN), care se bazează pe fundamentele solide ale cadrului, principiilor, specificațiilor și tehnologiilor deschise ale certificatului digital al UE privind COVID. OMS și Comisia au convenit asupra unui parteneriat pentru a facilita adoptarea certificatului digital al UE privind COVID și asupra colaborării în ceea ce privește funcționarea și dezvoltarea în continuare a GDHCN. GDHCN va permite lumii să beneficieze de convergența certificatelor digitale, respectând și promovând totodată valorile comune și principiile transparenței și deschiderii, incluziunii, responsabilității, protecției datelor și vieții private, securității, scalabilității la nivel mondial și echității. Parteneriatul dintre Comisie și OMS își propune să lucreze la dezvoltarea tehnică a sistemului OMS cu o abordare etapizată pentru a acoperi cazurile de utilizare suplimentară în viitor (aceasta poate include, de exemplu, digitalizarea certificatului internațional de vaccinare sau profilaxie). Extinderea unor astfel de soluții digitale va fi esențială pentru a asigura o sănătate mai bună pentru cetățenii din întreaga lume.</w:t>
      </w:r>
    </w:p>
    <w:bookmarkEnd w:id="31"/>
    <w:p w14:paraId="5F9D014D" w14:textId="394EBDD2" w:rsidR="001F1738" w:rsidRPr="001156EE" w:rsidRDefault="001F1738" w:rsidP="001F1738">
      <w:pPr>
        <w:keepNext/>
        <w:keepLines/>
        <w:spacing w:before="100" w:beforeAutospacing="1" w:after="100" w:afterAutospacing="1" w:line="240" w:lineRule="auto"/>
        <w:jc w:val="both"/>
        <w:outlineLvl w:val="1"/>
        <w:rPr>
          <w:rFonts w:ascii="Times New Roman" w:eastAsia="Times New Roman" w:hAnsi="Times New Roman" w:cs="Times New Roman"/>
          <w:b/>
          <w:noProof/>
          <w:sz w:val="24"/>
          <w:lang w:val="ro-RO"/>
        </w:rPr>
      </w:pPr>
      <w:r w:rsidRPr="001156EE">
        <w:rPr>
          <w:rFonts w:ascii="Times New Roman" w:hAnsi="Times New Roman"/>
          <w:b/>
          <w:noProof/>
          <w:sz w:val="24"/>
          <w:lang w:val="ro-RO"/>
        </w:rPr>
        <w:t>Răspunsul UE în sprijinul Ucrainei</w:t>
      </w:r>
    </w:p>
    <w:p w14:paraId="2547D139" w14:textId="0A0519BE" w:rsidR="001F1738" w:rsidRPr="001156EE" w:rsidRDefault="004A39FC"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Războiul Rusiei împotriva Ucrainei a reprezentat o criză umanitară majoră care a afectat sistemul de sănătate al Ucrainei și a creat riscuri pentru sănătatea publică atât în Ucraina, cât și în afara acesteia. Statele membre ale UE și Comisia au trimis contramăsuri medicale prin intermediul UCPM în vederea protejării împotriva atacurilor chimice, biologice, radiologice și nucleare și a situațiilor de urgență din Ucraina. În plus, Comisia a instituit un sistem pentru a facilita logistica donațiilor de produse medicale de la întreprinderi din UE către Ucraina prin intermediul UCPM.</w:t>
      </w:r>
    </w:p>
    <w:p w14:paraId="4F3240E9" w14:textId="1BF2A794" w:rsidR="001F1738" w:rsidRPr="001156EE" w:rsidRDefault="001F1738" w:rsidP="001F1738">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 xml:space="preserve">Un sistem de evacuare medicală (MEDEVAC) instituit de UCPM este operațional din martie 2022. Până în prezent, el a permis evacuarea în condiții de siguranță a peste 2 800 de pacienți ucraineni răniți și bolnavi critic, atât din Ucraina, cât și din țările învecinate, către spitale din 21 de țări europene. Acest sistem colectiv MEDEVAC este fără precedent la nivelul UE. Comisia a înființat, în plus, o unitate medicală într-un centru special din Polonia pentru a îmbunătăți situația pacienților care așteaptă să fie transportați către spitale europene și pentru a spori fiabilitatea și previzibilitatea MEDEVAC. Din rezerva strategică rescEU, de la începutul invaziei pe scară largă a Ucrainei de către Rusia, au fost trimise în Ucraina articole și echipamente medicale și CBRN în valoare de peste 56 de milioane EUR, inclusiv măști, comprimate de iodură de potasiu, ventilatoare pulmonare și alte articole. </w:t>
      </w:r>
    </w:p>
    <w:p w14:paraId="55F1163E" w14:textId="77777777" w:rsidR="001F1738" w:rsidRPr="001156EE" w:rsidRDefault="001F1738" w:rsidP="001F1738">
      <w:pPr>
        <w:spacing w:before="100" w:beforeAutospacing="1" w:after="100" w:afterAutospacing="1" w:line="240" w:lineRule="auto"/>
        <w:rPr>
          <w:rFonts w:eastAsiaTheme="minorEastAsia"/>
          <w:noProof/>
          <w:sz w:val="20"/>
          <w:lang w:val="ro-RO"/>
        </w:rPr>
      </w:pPr>
    </w:p>
    <w:p w14:paraId="1CEF1C12" w14:textId="77777777" w:rsidR="001F1738" w:rsidRPr="001156EE" w:rsidRDefault="001F1738" w:rsidP="001F1738">
      <w:pPr>
        <w:keepNext/>
        <w:keepLines/>
        <w:spacing w:before="100" w:beforeAutospacing="1" w:after="100" w:afterAutospacing="1" w:line="240" w:lineRule="auto"/>
        <w:jc w:val="both"/>
        <w:outlineLvl w:val="0"/>
        <w:rPr>
          <w:rFonts w:ascii="Times New Roman" w:eastAsiaTheme="majorEastAsia" w:hAnsi="Times New Roman" w:cs="Times New Roman"/>
          <w:noProof/>
          <w:sz w:val="24"/>
          <w:lang w:val="ro-RO"/>
        </w:rPr>
      </w:pPr>
      <w:r w:rsidRPr="001156EE">
        <w:rPr>
          <w:rFonts w:ascii="Times New Roman" w:hAnsi="Times New Roman"/>
          <w:noProof/>
          <w:sz w:val="24"/>
          <w:lang w:val="ro-RO"/>
        </w:rPr>
        <w:t>8. CONCLUZII</w:t>
      </w:r>
    </w:p>
    <w:p w14:paraId="066CC227" w14:textId="463CC433" w:rsidR="00AD0A7E" w:rsidRPr="001156EE" w:rsidRDefault="00AD0A7E">
      <w:pPr>
        <w:spacing w:before="100" w:beforeAutospacing="1" w:after="100" w:afterAutospacing="1" w:line="240" w:lineRule="auto"/>
        <w:jc w:val="both"/>
        <w:rPr>
          <w:rFonts w:ascii="Times New Roman" w:eastAsia="Times New Roman" w:hAnsi="Times New Roman" w:cs="Times New Roman"/>
          <w:noProof/>
          <w:sz w:val="24"/>
          <w:lang w:val="ro-RO"/>
        </w:rPr>
      </w:pPr>
      <w:r w:rsidRPr="001156EE">
        <w:rPr>
          <w:rFonts w:ascii="Times New Roman" w:hAnsi="Times New Roman"/>
          <w:noProof/>
          <w:sz w:val="24"/>
          <w:lang w:val="ro-RO"/>
        </w:rPr>
        <w:t>Prezentul raport a cartografiat acțiunile și capacitățile UE instituite pentru a aborda amenințările transfrontaliere grave pentru sănătate în urma pandemiei de COVID-19 și bazându-se pe arhitectura de securitate sanitară a UE anterioară pandemiei de COVID-19. Accentul s-a pus pe acțiunile care pun în aplicare Regulamentul (UE) 2022/2371, ca răspuns la cerința prevăzută la articolul 9 al acestuia de a raporta cu privire la planificarea UE în materie de prevenire, pregătire și răspuns. În plus, prezentul raport a evidențiat inițiativele și activitățile în curs de derulare care sunt strâns legate de sănătatea publică în alte domenii de politică ale UE, cum ar fi cercetarea, asistența în situații de urgență, cooperarea internațională etc.</w:t>
      </w:r>
    </w:p>
    <w:p w14:paraId="7D00F6F0" w14:textId="0DB40E98" w:rsidR="00791D8B" w:rsidRPr="001156EE" w:rsidRDefault="001F1738" w:rsidP="00BC2F11">
      <w:pPr>
        <w:spacing w:before="100" w:beforeAutospacing="1" w:after="100" w:afterAutospacing="1" w:line="240" w:lineRule="auto"/>
        <w:jc w:val="both"/>
        <w:rPr>
          <w:noProof/>
          <w:lang w:val="ro-RO"/>
        </w:rPr>
      </w:pPr>
      <w:r w:rsidRPr="001156EE">
        <w:rPr>
          <w:rFonts w:ascii="Times New Roman" w:hAnsi="Times New Roman"/>
          <w:noProof/>
          <w:sz w:val="24"/>
          <w:lang w:val="ro-RO"/>
        </w:rPr>
        <w:t>Pandemia de COVID-19 a declanșat o schimbare majoră în sistemele noastre de sănătate și în viața noastră, așa cum o cunoaștem; dar a reprezentat și o oportunitate neașteptată de a ne îmbunătăți cadrul de securitate sanitară, astfel încât acesta să fie mai bine pregătit să facă față viitoarelor amenințări majore pentru sănătate. Deși nu știm cu exactitate ce ne rezervă viitorul – în pofida eforturilor noastre asidue de a anticipa și de a planifica – UE a introdus structuri modernizate de prevenire, pregătire și răspuns, care ne-au îmbunătățit considerabil capacitățile colective de a reacționa la orice situație de urgență viitoare. Cadrul de securitate sanitară la nivelul UE adaugă un nivel suplimentar important funcțiilor de bază ale statelor membre în domeniul sănătății și al prestării asistenței medicale. Amenințările la adresa sănătății nu țin cont de frontiere, dar suntem, împreună, mai bine pregătiți să le combatem, inclusiv prin implicarea în parteneriate la nivel mondial.</w:t>
      </w:r>
    </w:p>
    <w:sectPr w:rsidR="00791D8B" w:rsidRPr="001156EE" w:rsidSect="00424884">
      <w:headerReference w:type="even" r:id="rId15"/>
      <w:headerReference w:type="default" r:id="rId16"/>
      <w:footerReference w:type="even" r:id="rId17"/>
      <w:footerReference w:type="default" r:id="rId18"/>
      <w:headerReference w:type="first" r:id="rId19"/>
      <w:footerReference w:type="first" r:id="rId20"/>
      <w:pgSz w:w="11906" w:h="16838"/>
      <w:pgMar w:top="1417" w:right="120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0125" w14:textId="77777777" w:rsidR="00BE758C" w:rsidRDefault="00BE758C" w:rsidP="00C619B5">
      <w:pPr>
        <w:spacing w:after="0" w:line="240" w:lineRule="auto"/>
      </w:pPr>
      <w:r>
        <w:separator/>
      </w:r>
    </w:p>
  </w:endnote>
  <w:endnote w:type="continuationSeparator" w:id="0">
    <w:p w14:paraId="3296D4B9" w14:textId="77777777" w:rsidR="00BE758C" w:rsidRDefault="00BE758C" w:rsidP="00C6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0094" w14:textId="2D50DEE4" w:rsidR="00B96E6D" w:rsidRPr="00B96E6D" w:rsidRDefault="00B96E6D" w:rsidP="00B96E6D">
    <w:pPr>
      <w:pStyle w:val="FooterCoverPage"/>
      <w:rPr>
        <w:rFonts w:ascii="Arial" w:hAnsi="Arial" w:cs="Arial"/>
        <w:b/>
        <w:sz w:val="48"/>
      </w:rPr>
    </w:pPr>
    <w:r w:rsidRPr="00B96E6D">
      <w:rPr>
        <w:rFonts w:ascii="Arial" w:hAnsi="Arial" w:cs="Arial"/>
        <w:b/>
        <w:sz w:val="48"/>
      </w:rPr>
      <w:t>RO</w:t>
    </w:r>
    <w:r w:rsidRPr="00B96E6D">
      <w:rPr>
        <w:rFonts w:ascii="Arial" w:hAnsi="Arial" w:cs="Arial"/>
        <w:b/>
        <w:sz w:val="48"/>
      </w:rPr>
      <w:tab/>
    </w:r>
    <w:r w:rsidRPr="00B96E6D">
      <w:rPr>
        <w:rFonts w:ascii="Arial" w:hAnsi="Arial" w:cs="Arial"/>
        <w:b/>
        <w:sz w:val="48"/>
      </w:rPr>
      <w:tab/>
    </w:r>
    <w:r w:rsidRPr="00B96E6D">
      <w:tab/>
    </w:r>
    <w:r w:rsidRPr="00B96E6D">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9B1F" w14:textId="413E9EDF" w:rsidR="00B96E6D" w:rsidRPr="00B96E6D" w:rsidRDefault="00B96E6D" w:rsidP="00B96E6D">
    <w:pPr>
      <w:pStyle w:val="FooterCoverPage"/>
      <w:rPr>
        <w:rFonts w:ascii="Arial" w:hAnsi="Arial" w:cs="Arial"/>
        <w:b/>
        <w:sz w:val="48"/>
      </w:rPr>
    </w:pPr>
    <w:r w:rsidRPr="00B96E6D">
      <w:rPr>
        <w:rFonts w:ascii="Arial" w:hAnsi="Arial" w:cs="Arial"/>
        <w:b/>
        <w:sz w:val="48"/>
      </w:rPr>
      <w:t>RO</w:t>
    </w:r>
    <w:r w:rsidRPr="00B96E6D">
      <w:rPr>
        <w:rFonts w:ascii="Arial" w:hAnsi="Arial" w:cs="Arial"/>
        <w:b/>
        <w:sz w:val="48"/>
      </w:rPr>
      <w:tab/>
    </w:r>
    <w:r w:rsidRPr="00B96E6D">
      <w:rPr>
        <w:rFonts w:ascii="Arial" w:hAnsi="Arial" w:cs="Arial"/>
        <w:b/>
        <w:sz w:val="48"/>
      </w:rPr>
      <w:tab/>
    </w:r>
    <w:r w:rsidRPr="00B96E6D">
      <w:tab/>
    </w:r>
    <w:r w:rsidRPr="00B96E6D">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42B4" w14:textId="77777777" w:rsidR="00B96E6D" w:rsidRPr="00B96E6D" w:rsidRDefault="00B96E6D" w:rsidP="00B96E6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4DE8" w14:textId="77777777" w:rsidR="00E63D41" w:rsidRDefault="00E63D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42487145"/>
      <w:docPartObj>
        <w:docPartGallery w:val="Page Numbers (Bottom of Page)"/>
        <w:docPartUnique/>
      </w:docPartObj>
    </w:sdtPr>
    <w:sdtEndPr/>
    <w:sdtContent>
      <w:p w14:paraId="539586E7" w14:textId="1154F3C2" w:rsidR="00E63D41" w:rsidRPr="00E03D97" w:rsidRDefault="00DA2496" w:rsidP="00E03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96E6D">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0603" w14:textId="77777777" w:rsidR="00E63D41" w:rsidRDefault="00E6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3094" w14:textId="77777777" w:rsidR="00BE758C" w:rsidRDefault="00BE758C" w:rsidP="00C619B5">
      <w:pPr>
        <w:spacing w:after="0" w:line="240" w:lineRule="auto"/>
      </w:pPr>
      <w:r>
        <w:separator/>
      </w:r>
    </w:p>
  </w:footnote>
  <w:footnote w:type="continuationSeparator" w:id="0">
    <w:p w14:paraId="69ACB7FA" w14:textId="77777777" w:rsidR="00BE758C" w:rsidRDefault="00BE758C" w:rsidP="00C619B5">
      <w:pPr>
        <w:spacing w:after="0" w:line="240" w:lineRule="auto"/>
      </w:pPr>
      <w:r>
        <w:continuationSeparator/>
      </w:r>
    </w:p>
  </w:footnote>
  <w:footnote w:id="1">
    <w:p w14:paraId="56E651A9" w14:textId="77777777" w:rsidR="00A02810" w:rsidRPr="001156EE" w:rsidRDefault="00A02810"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Regulamentul (UE) 2022/2371 al Parlamentului European și al Consiliului din 23 noiembrie 2022 privind amenințările transfrontaliere grave pentru sănătate și de abrogare a Deciziei nr. 1082/2013/UE, JO L 314, 6.12.2022, p. 26</w:t>
      </w:r>
      <w:r w:rsidRPr="001156EE">
        <w:rPr>
          <w:rStyle w:val="Hyperlink"/>
          <w:rFonts w:ascii="Times New Roman" w:hAnsi="Times New Roman"/>
          <w:lang w:val="ro-RO"/>
        </w:rPr>
        <w:t xml:space="preserve"> (https://eur-lex.europa.eu/legal-content/RO/TXT/?uri=CELEX:32022R2371)</w:t>
      </w:r>
      <w:r w:rsidRPr="001156EE">
        <w:rPr>
          <w:rFonts w:ascii="Times New Roman" w:hAnsi="Times New Roman"/>
          <w:lang w:val="ro-RO"/>
        </w:rPr>
        <w:t>.</w:t>
      </w:r>
    </w:p>
  </w:footnote>
  <w:footnote w:id="2">
    <w:p w14:paraId="2FDA17AE" w14:textId="4CF638C7" w:rsidR="00785B9C" w:rsidRPr="001156EE" w:rsidRDefault="00785B9C"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Decizia Comisiei de înființare a Autorității pentru Pregătire și Răspuns în caz de Urgență Sanitară, COM(2021) 6712 final.</w:t>
      </w:r>
    </w:p>
  </w:footnote>
  <w:footnote w:id="3">
    <w:p w14:paraId="78C1AA37" w14:textId="28C2A779"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COM(2021) 380 final.</w:t>
      </w:r>
    </w:p>
  </w:footnote>
  <w:footnote w:id="4">
    <w:p w14:paraId="38ABF398" w14:textId="4E9F8FB8"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COM(2022) 669 final.</w:t>
      </w:r>
    </w:p>
  </w:footnote>
  <w:footnote w:id="5">
    <w:p w14:paraId="00E1C705" w14:textId="5D3235F7"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Articolul 9 din Regulamentul 2022/2371 prevede că, până la 27 decembrie 2023 și, ulterior, la fiecare trei ani, Comisia transmite Parlamentului European și Consiliului un raport privind situația și progresele înregistrate în ceea ce privește planificarea prevenirii, pregătirii și răspunsului la nivelul UE.</w:t>
      </w:r>
    </w:p>
  </w:footnote>
  <w:footnote w:id="6">
    <w:p w14:paraId="1CEA60F1" w14:textId="77777777" w:rsidR="005B4CF9" w:rsidRPr="001156EE" w:rsidRDefault="005B4CF9"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Conform definiției de la articolul 3 punctul 7 din Regulamentul (UE) 2022/2371: </w:t>
      </w:r>
      <w:r w:rsidRPr="001156EE">
        <w:rPr>
          <w:lang w:val="ro-RO"/>
        </w:rPr>
        <w:tab/>
      </w:r>
    </w:p>
    <w:p w14:paraId="6695C808" w14:textId="77777777" w:rsidR="005B4CF9" w:rsidRPr="001156EE" w:rsidRDefault="005B4CF9" w:rsidP="00031422">
      <w:pPr>
        <w:pStyle w:val="FootnoteText"/>
        <w:spacing w:line="240" w:lineRule="auto"/>
        <w:jc w:val="both"/>
        <w:rPr>
          <w:rFonts w:ascii="Times New Roman" w:hAnsi="Times New Roman" w:cs="Times New Roman"/>
          <w:lang w:val="ro-RO"/>
        </w:rPr>
      </w:pPr>
      <w:r w:rsidRPr="001156EE">
        <w:rPr>
          <w:rFonts w:ascii="Times New Roman" w:hAnsi="Times New Roman"/>
          <w:lang w:val="ro-RO"/>
        </w:rPr>
        <w:t>„O singură sănătate” înseamnă o abordare multisectorială care recunoaște că sănătatea oamenilor, cea a animalelor și a mediului sunt interconectate și că acțiunile de combatere a amenințărilor pentru sănătate trebuie să țină seama de aceste trei dimensiuni.</w:t>
      </w:r>
    </w:p>
  </w:footnote>
  <w:footnote w:id="7">
    <w:p w14:paraId="5B74B73D" w14:textId="77777777" w:rsidR="00A02810" w:rsidRPr="001156EE" w:rsidRDefault="00A02810"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A se vedea articolul 2 alineatul (1) din Regulamentul (UE) 2022/2371.</w:t>
      </w:r>
    </w:p>
  </w:footnote>
  <w:footnote w:id="8">
    <w:p w14:paraId="759B40CA" w14:textId="77777777" w:rsidR="00750E41" w:rsidRPr="001156EE" w:rsidRDefault="00750E41"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
        <w:r w:rsidRPr="001156EE">
          <w:rPr>
            <w:rStyle w:val="Hyperlink"/>
            <w:rFonts w:ascii="Times New Roman" w:hAnsi="Times New Roman"/>
            <w:lang w:val="ro-RO"/>
          </w:rPr>
          <w:t>https://commission.europa.eu/strategy-and-policy/coronavirus-response/public-health/eu-vaccines-strategy_en?prefLang=ro</w:t>
        </w:r>
      </w:hyperlink>
      <w:r w:rsidRPr="001156EE">
        <w:rPr>
          <w:lang w:val="ro-RO"/>
        </w:rPr>
        <w:t>.</w:t>
      </w:r>
      <w:r w:rsidRPr="001156EE">
        <w:rPr>
          <w:rFonts w:ascii="Times New Roman" w:hAnsi="Times New Roman"/>
          <w:lang w:val="ro-RO"/>
        </w:rPr>
        <w:t xml:space="preserve"> </w:t>
      </w:r>
    </w:p>
  </w:footnote>
  <w:footnote w:id="9">
    <w:p w14:paraId="37319F25" w14:textId="5D4CEE27"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 w:history="1">
        <w:r w:rsidRPr="001156EE">
          <w:rPr>
            <w:rStyle w:val="Hyperlink"/>
            <w:rFonts w:ascii="Times New Roman" w:hAnsi="Times New Roman"/>
            <w:lang w:val="ro-RO"/>
          </w:rPr>
          <w:t>https://www.thelancet.com/journals/laninf/article/PIIS1473-3099(22)00320-6/fulltext</w:t>
        </w:r>
      </w:hyperlink>
      <w:r w:rsidRPr="001156EE">
        <w:rPr>
          <w:rFonts w:ascii="Times New Roman" w:hAnsi="Times New Roman"/>
          <w:lang w:val="ro-RO"/>
        </w:rPr>
        <w:t xml:space="preserve"> </w:t>
      </w:r>
    </w:p>
  </w:footnote>
  <w:footnote w:id="10">
    <w:p w14:paraId="05B311E1" w14:textId="6B59418E"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 w:history="1">
        <w:r w:rsidRPr="001156EE">
          <w:rPr>
            <w:rStyle w:val="Hyperlink"/>
            <w:rFonts w:ascii="Times New Roman" w:hAnsi="Times New Roman"/>
            <w:lang w:val="ro-RO"/>
          </w:rPr>
          <w:t>https://www.who.int/publications/i/item/9789241580496</w:t>
        </w:r>
      </w:hyperlink>
      <w:r w:rsidRPr="001156EE">
        <w:rPr>
          <w:rFonts w:ascii="Times New Roman" w:hAnsi="Times New Roman"/>
          <w:lang w:val="ro-RO"/>
        </w:rPr>
        <w:t xml:space="preserve"> </w:t>
      </w:r>
    </w:p>
  </w:footnote>
  <w:footnote w:id="11">
    <w:p w14:paraId="41C1AA7F" w14:textId="5A34DA4C"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 w:history="1">
        <w:r w:rsidRPr="001156EE">
          <w:rPr>
            <w:rStyle w:val="Hyperlink"/>
            <w:rFonts w:ascii="Times New Roman" w:hAnsi="Times New Roman"/>
            <w:lang w:val="ro-RO"/>
          </w:rPr>
          <w:t>https://www.ecdc.europa.eu/en/publications-data/interim-public-health-considerations-covid-19-vaccination-roll-out-during-2023</w:t>
        </w:r>
      </w:hyperlink>
      <w:r w:rsidRPr="001156EE">
        <w:rPr>
          <w:rFonts w:ascii="Times New Roman" w:hAnsi="Times New Roman"/>
          <w:lang w:val="ro-RO"/>
        </w:rPr>
        <w:t xml:space="preserve"> </w:t>
      </w:r>
    </w:p>
  </w:footnote>
  <w:footnote w:id="12">
    <w:p w14:paraId="3F4785BA" w14:textId="3399B56D" w:rsidR="00EE3209" w:rsidRPr="001156EE" w:rsidRDefault="00EE3209" w:rsidP="00031422">
      <w:pPr>
        <w:pStyle w:val="FootnoteText"/>
        <w:spacing w:line="240" w:lineRule="auto"/>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Recomandarea Consiliului din 7 decembrie 2018 privind consolidarea cooperării în combaterea bolilor care pot fi prevenite prin vaccinare, JO C 466, 28.12.2018, p. 1 (</w:t>
      </w:r>
      <w:hyperlink r:id="rId5" w:history="1">
        <w:r w:rsidRPr="001156EE">
          <w:rPr>
            <w:rStyle w:val="Hyperlink"/>
            <w:rFonts w:ascii="Times New Roman" w:hAnsi="Times New Roman"/>
            <w:lang w:val="ro-RO"/>
          </w:rPr>
          <w:t>https://eur-lex.europa.eu/legal-content/RO/TXT/?uri=OJ%3AJOC_2018_466_R_0001</w:t>
        </w:r>
      </w:hyperlink>
      <w:r w:rsidRPr="001156EE">
        <w:rPr>
          <w:rFonts w:ascii="Times New Roman" w:hAnsi="Times New Roman"/>
          <w:lang w:val="ro-RO"/>
        </w:rPr>
        <w:t>).</w:t>
      </w:r>
    </w:p>
  </w:footnote>
  <w:footnote w:id="13">
    <w:p w14:paraId="3DB6A819" w14:textId="38A77D3C"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6" w:history="1">
        <w:r w:rsidRPr="001156EE">
          <w:rPr>
            <w:rStyle w:val="Hyperlink"/>
            <w:rFonts w:ascii="Times New Roman" w:hAnsi="Times New Roman"/>
            <w:lang w:val="ro-RO"/>
          </w:rPr>
          <w:t>https://health.ec.europa.eu/system/files/2022-12/2019-2022_roadmap_en.pdf</w:t>
        </w:r>
      </w:hyperlink>
      <w:r w:rsidRPr="001156EE">
        <w:rPr>
          <w:rFonts w:ascii="Times New Roman" w:hAnsi="Times New Roman"/>
          <w:lang w:val="ro-RO"/>
        </w:rPr>
        <w:t xml:space="preserve"> </w:t>
      </w:r>
    </w:p>
  </w:footnote>
  <w:footnote w:id="14">
    <w:p w14:paraId="235B9862" w14:textId="0C7C48A8"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 w:history="1">
        <w:r w:rsidRPr="001156EE">
          <w:rPr>
            <w:rStyle w:val="Hyperlink"/>
            <w:rFonts w:ascii="Times New Roman" w:hAnsi="Times New Roman"/>
            <w:lang w:val="ro-RO"/>
          </w:rPr>
          <w:t>https://op.europa.eu/en/publication-detail/-/publication/8ba3bd75-7c38-11ed-9887-01aa75ed71a1/language-en</w:t>
        </w:r>
      </w:hyperlink>
      <w:r w:rsidRPr="001156EE">
        <w:rPr>
          <w:rFonts w:ascii="Times New Roman" w:hAnsi="Times New Roman"/>
          <w:lang w:val="ro-RO"/>
        </w:rPr>
        <w:t xml:space="preserve"> </w:t>
      </w:r>
    </w:p>
  </w:footnote>
  <w:footnote w:id="15">
    <w:p w14:paraId="0BF19E27" w14:textId="16FC110D"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 w:history="1">
        <w:r w:rsidRPr="001156EE">
          <w:rPr>
            <w:rStyle w:val="Hyperlink"/>
            <w:rFonts w:ascii="Times New Roman" w:hAnsi="Times New Roman"/>
            <w:lang w:val="ro-RO"/>
          </w:rPr>
          <w:t>https://knowledge4policy.ec.europa.eu/projects-activities/behavioural-insights-eu-bi4eu_en</w:t>
        </w:r>
      </w:hyperlink>
      <w:r w:rsidRPr="001156EE">
        <w:rPr>
          <w:rFonts w:ascii="Times New Roman" w:hAnsi="Times New Roman"/>
          <w:lang w:val="ro-RO"/>
        </w:rPr>
        <w:t xml:space="preserve"> </w:t>
      </w:r>
    </w:p>
  </w:footnote>
  <w:footnote w:id="16">
    <w:p w14:paraId="4F4CFAA2" w14:textId="5F26E627"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9" w:history="1">
        <w:r w:rsidRPr="001156EE">
          <w:rPr>
            <w:rStyle w:val="Hyperlink"/>
            <w:rFonts w:ascii="Times New Roman" w:hAnsi="Times New Roman"/>
            <w:lang w:val="ro-RO"/>
          </w:rPr>
          <w:t>https://vaccination-info.europa.eu/ro</w:t>
        </w:r>
      </w:hyperlink>
      <w:r w:rsidRPr="001156EE">
        <w:rPr>
          <w:lang w:val="ro-RO"/>
        </w:rPr>
        <w:t>.</w:t>
      </w:r>
      <w:r w:rsidRPr="001156EE">
        <w:rPr>
          <w:rFonts w:ascii="Times New Roman" w:hAnsi="Times New Roman"/>
          <w:lang w:val="ro-RO"/>
        </w:rPr>
        <w:t xml:space="preserve"> </w:t>
      </w:r>
    </w:p>
  </w:footnote>
  <w:footnote w:id="17">
    <w:p w14:paraId="57380918" w14:textId="72585C7A"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0" w:history="1">
        <w:r w:rsidRPr="001156EE">
          <w:rPr>
            <w:rStyle w:val="Hyperlink"/>
            <w:rFonts w:ascii="Times New Roman" w:hAnsi="Times New Roman"/>
            <w:lang w:val="ro-RO"/>
          </w:rPr>
          <w:t>https://health.ec.europa.eu/non-communicable-diseases/expert-group-public-health_ro</w:t>
        </w:r>
      </w:hyperlink>
      <w:r w:rsidRPr="001156EE">
        <w:rPr>
          <w:lang w:val="ro-RO"/>
        </w:rPr>
        <w:t>.</w:t>
      </w:r>
      <w:r w:rsidRPr="001156EE">
        <w:rPr>
          <w:rFonts w:ascii="Times New Roman" w:hAnsi="Times New Roman"/>
          <w:lang w:val="ro-RO"/>
        </w:rPr>
        <w:t xml:space="preserve"> </w:t>
      </w:r>
    </w:p>
  </w:footnote>
  <w:footnote w:id="18">
    <w:p w14:paraId="7C32239B" w14:textId="77777777" w:rsidR="00A02810" w:rsidRPr="001156EE" w:rsidRDefault="00A02810"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1" w:history="1">
        <w:r w:rsidRPr="001156EE">
          <w:rPr>
            <w:rStyle w:val="Hyperlink"/>
            <w:rFonts w:ascii="Times New Roman" w:hAnsi="Times New Roman"/>
            <w:lang w:val="ro-RO"/>
          </w:rPr>
          <w:t>https://eva.ecdc.europa.eu/</w:t>
        </w:r>
      </w:hyperlink>
      <w:r w:rsidRPr="001156EE">
        <w:rPr>
          <w:rFonts w:ascii="Times New Roman" w:hAnsi="Times New Roman"/>
          <w:lang w:val="ro-RO"/>
        </w:rPr>
        <w:t xml:space="preserve"> </w:t>
      </w:r>
    </w:p>
  </w:footnote>
  <w:footnote w:id="19">
    <w:p w14:paraId="1BC1BB4F" w14:textId="42E0AD41" w:rsidR="001F1738" w:rsidRPr="001156EE" w:rsidRDefault="001F1738" w:rsidP="00031422">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2" w:history="1">
        <w:r w:rsidRPr="001156EE">
          <w:rPr>
            <w:rStyle w:val="Hyperlink"/>
            <w:rFonts w:ascii="Times New Roman" w:hAnsi="Times New Roman"/>
            <w:lang w:val="ro-RO"/>
          </w:rPr>
          <w:t>https://eur-lex.europa.eu/legal-content/RO/TXT/?uri=COM:2021:44:FIN</w:t>
        </w:r>
      </w:hyperlink>
      <w:r w:rsidRPr="001156EE">
        <w:rPr>
          <w:rFonts w:ascii="Times New Roman" w:hAnsi="Times New Roman"/>
          <w:lang w:val="ro-RO"/>
        </w:rPr>
        <w:t xml:space="preserve"> </w:t>
      </w:r>
    </w:p>
  </w:footnote>
  <w:footnote w:id="20">
    <w:p w14:paraId="6DE3EDAF" w14:textId="09D09FB6" w:rsidR="001F1738" w:rsidRPr="001156EE" w:rsidRDefault="001F1738" w:rsidP="00031422">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3" w:history="1">
        <w:r w:rsidRPr="001156EE">
          <w:rPr>
            <w:rStyle w:val="Hyperlink"/>
            <w:rFonts w:ascii="Times New Roman" w:hAnsi="Times New Roman"/>
            <w:lang w:val="ro-RO"/>
          </w:rPr>
          <w:t>https://www.ecdc.europa.eu/sites/default/files/documents/Health-burden-infections-antibiotic-resistant-bacteria.pdf</w:t>
        </w:r>
      </w:hyperlink>
    </w:p>
  </w:footnote>
  <w:footnote w:id="21">
    <w:p w14:paraId="5C22339B" w14:textId="238BD1E0" w:rsidR="001F1738" w:rsidRPr="001156EE" w:rsidRDefault="001F1738" w:rsidP="00031422">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4" w:history="1">
        <w:r w:rsidRPr="001156EE">
          <w:rPr>
            <w:rStyle w:val="Hyperlink"/>
            <w:rFonts w:ascii="Times New Roman" w:hAnsi="Times New Roman"/>
            <w:lang w:val="ro-RO"/>
          </w:rPr>
          <w:t>https://eur-lex.europa.eu/legal-content/RO/TXT/HTML/?uri=CELEX%3A52017DC0339</w:t>
        </w:r>
      </w:hyperlink>
      <w:r w:rsidRPr="001156EE">
        <w:rPr>
          <w:lang w:val="ro-RO"/>
        </w:rPr>
        <w:t>.</w:t>
      </w:r>
      <w:r w:rsidRPr="001156EE">
        <w:rPr>
          <w:rFonts w:ascii="Times New Roman" w:hAnsi="Times New Roman"/>
          <w:lang w:val="ro-RO"/>
        </w:rPr>
        <w:t xml:space="preserve"> </w:t>
      </w:r>
    </w:p>
  </w:footnote>
  <w:footnote w:id="22">
    <w:p w14:paraId="4872EC60" w14:textId="77777777" w:rsidR="002A5AB8" w:rsidRPr="001156EE" w:rsidRDefault="001F1738" w:rsidP="00031422">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Recomandare a Consiliului privind intensificarea acțiunilor UE de combatere a rezistenței la antimicrobiene în cadrul unei abordări de tip „O singură sănătate” (2023/C 220/01), JO C 220, 22.6.2023, p. 1.</w:t>
      </w:r>
    </w:p>
    <w:p w14:paraId="2722A3D7" w14:textId="3AB4E2F0" w:rsidR="001F1738" w:rsidRPr="001156EE" w:rsidRDefault="00BA233D" w:rsidP="00031422">
      <w:pPr>
        <w:pStyle w:val="FootnoteText"/>
        <w:spacing w:line="240" w:lineRule="auto"/>
        <w:jc w:val="both"/>
        <w:rPr>
          <w:rFonts w:ascii="Times New Roman" w:hAnsi="Times New Roman" w:cs="Times New Roman"/>
          <w:lang w:val="ro-RO"/>
        </w:rPr>
      </w:pPr>
      <w:r w:rsidRPr="001156EE">
        <w:rPr>
          <w:rFonts w:ascii="Times New Roman" w:hAnsi="Times New Roman"/>
          <w:lang w:val="ro-RO"/>
        </w:rPr>
        <w:t xml:space="preserve"> (</w:t>
      </w:r>
      <w:hyperlink r:id="rId15" w:history="1">
        <w:r w:rsidRPr="001156EE">
          <w:rPr>
            <w:rStyle w:val="Hyperlink"/>
            <w:rFonts w:ascii="Times New Roman" w:hAnsi="Times New Roman"/>
            <w:lang w:val="ro-RO"/>
          </w:rPr>
          <w:t>https://eur-lex.europa.eu/legal-content/RO/TXT/?uri=CELEX%3A32023H0622%2801%29</w:t>
        </w:r>
      </w:hyperlink>
      <w:r w:rsidRPr="001156EE">
        <w:rPr>
          <w:rFonts w:ascii="Times New Roman" w:hAnsi="Times New Roman"/>
          <w:lang w:val="ro-RO"/>
        </w:rPr>
        <w:t xml:space="preserve">). </w:t>
      </w:r>
    </w:p>
  </w:footnote>
  <w:footnote w:id="23">
    <w:p w14:paraId="13CD6708" w14:textId="7CFB6739" w:rsidR="001F1738" w:rsidRPr="001156EE" w:rsidRDefault="001F1738"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6" w:history="1">
        <w:r w:rsidRPr="001156EE">
          <w:rPr>
            <w:rStyle w:val="Hyperlink"/>
            <w:rFonts w:ascii="Times New Roman" w:hAnsi="Times New Roman"/>
            <w:lang w:val="ro-RO"/>
          </w:rPr>
          <w:t>https://commission.europa.eu/strategy-and-policy/priorities-2019-2024/promoting-our-european-way-life/european-health-union/reform-eu-pharmaceutical-legislation_ro</w:t>
        </w:r>
      </w:hyperlink>
      <w:r w:rsidRPr="001156EE">
        <w:rPr>
          <w:lang w:val="ro-RO"/>
        </w:rPr>
        <w:t>.</w:t>
      </w:r>
    </w:p>
  </w:footnote>
  <w:footnote w:id="24">
    <w:p w14:paraId="66185EF0" w14:textId="54D06B3F" w:rsidR="004A3885" w:rsidRPr="001156EE" w:rsidRDefault="004A3885"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Voucherul va oferi dezvoltatorului un an suplimentar de protecție a datelor împotriva concurenței pentru medicamentul căruia i se aplică voucherul.</w:t>
      </w:r>
    </w:p>
  </w:footnote>
  <w:footnote w:id="25">
    <w:p w14:paraId="03DE0932" w14:textId="30F7AEA3" w:rsidR="002F4CA6" w:rsidRPr="001156EE" w:rsidRDefault="002F4CA6"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7" w:history="1">
        <w:r w:rsidRPr="001156EE">
          <w:rPr>
            <w:rStyle w:val="Hyperlink"/>
            <w:rFonts w:ascii="Times New Roman" w:hAnsi="Times New Roman"/>
            <w:lang w:val="ro-RO"/>
          </w:rPr>
          <w:t>https://health.ec.europa.eu/funding/eu4health-programme-2021-2027-vision-healthier-european-union_ro</w:t>
        </w:r>
      </w:hyperlink>
      <w:r w:rsidRPr="001156EE">
        <w:rPr>
          <w:lang w:val="ro-RO"/>
        </w:rPr>
        <w:t>.</w:t>
      </w:r>
    </w:p>
  </w:footnote>
  <w:footnote w:id="26">
    <w:p w14:paraId="725E8F96" w14:textId="27D29113" w:rsidR="00831B85" w:rsidRPr="001156EE" w:rsidRDefault="00831B85" w:rsidP="00031422">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A se vedea și secțiunea de mai jos privind medicamentele și dispozitivele medicale sigure și eficace.</w:t>
      </w:r>
    </w:p>
  </w:footnote>
  <w:footnote w:id="27">
    <w:p w14:paraId="24A0A05D" w14:textId="77777777" w:rsidR="009F619B" w:rsidRPr="001156EE" w:rsidRDefault="009F619B" w:rsidP="00031422">
      <w:pPr>
        <w:pStyle w:val="FootnoteText"/>
        <w:spacing w:line="240" w:lineRule="auto"/>
        <w:rPr>
          <w:lang w:val="ro-RO"/>
        </w:rPr>
      </w:pPr>
      <w:r w:rsidRPr="001156EE">
        <w:rPr>
          <w:rStyle w:val="FootnoteReference"/>
          <w:lang w:val="ro-RO"/>
        </w:rPr>
        <w:footnoteRef/>
      </w:r>
      <w:r w:rsidRPr="001156EE">
        <w:rPr>
          <w:rFonts w:ascii="Times New Roman" w:hAnsi="Times New Roman"/>
          <w:lang w:val="ro-RO"/>
        </w:rPr>
        <w:t xml:space="preserve"> Comunicarea Comisiei către Parlamentul European, Consiliu, Comitetul Economic și Social European și Comitetul Regiunilor: Abordarea deficitelor de medicamente în UE, COM(2023) 672 final </w:t>
      </w:r>
      <w:r w:rsidRPr="001156EE">
        <w:rPr>
          <w:lang w:val="ro-RO"/>
        </w:rPr>
        <w:t>[</w:t>
      </w:r>
      <w:hyperlink r:id="rId18" w:history="1">
        <w:r w:rsidRPr="001156EE">
          <w:rPr>
            <w:rStyle w:val="Hyperlink"/>
            <w:rFonts w:ascii="Times New Roman" w:hAnsi="Times New Roman"/>
            <w:lang w:val="ro-RO"/>
          </w:rPr>
          <w:t>https://eur-lex.europa.eu/legal-content/RO/TXT/HTML/?uri=CELEX:52023DC0672R(01)</w:t>
        </w:r>
      </w:hyperlink>
      <w:r w:rsidRPr="001156EE">
        <w:rPr>
          <w:rFonts w:ascii="Times New Roman" w:hAnsi="Times New Roman"/>
          <w:lang w:val="ro-RO"/>
        </w:rPr>
        <w:t xml:space="preserve">]. </w:t>
      </w:r>
    </w:p>
  </w:footnote>
  <w:footnote w:id="28">
    <w:p w14:paraId="49F64AF0" w14:textId="53B3FED3"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19" w:history="1">
        <w:r w:rsidRPr="001156EE">
          <w:rPr>
            <w:rStyle w:val="Hyperlink"/>
            <w:rFonts w:ascii="Times New Roman" w:hAnsi="Times New Roman"/>
            <w:lang w:val="ro-RO"/>
          </w:rPr>
          <w:t>https://gardp.org/</w:t>
        </w:r>
      </w:hyperlink>
      <w:r w:rsidRPr="001156EE">
        <w:rPr>
          <w:lang w:val="ro-RO"/>
        </w:rPr>
        <w:t>.</w:t>
      </w:r>
      <w:r w:rsidRPr="001156EE">
        <w:rPr>
          <w:rFonts w:ascii="Times New Roman" w:hAnsi="Times New Roman"/>
          <w:lang w:val="ro-RO"/>
        </w:rPr>
        <w:t xml:space="preserve"> </w:t>
      </w:r>
    </w:p>
  </w:footnote>
  <w:footnote w:id="29">
    <w:p w14:paraId="08A5B966" w14:textId="33459E8C"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0" w:history="1">
        <w:r w:rsidRPr="001156EE">
          <w:rPr>
            <w:rStyle w:val="Hyperlink"/>
            <w:rFonts w:ascii="Times New Roman" w:hAnsi="Times New Roman"/>
            <w:lang w:val="ro-RO"/>
          </w:rPr>
          <w:t>https://www.who.int/groups/secure-expanding-sustainable-access-to-antibiotics</w:t>
        </w:r>
      </w:hyperlink>
      <w:r w:rsidRPr="001156EE">
        <w:rPr>
          <w:lang w:val="ro-RO"/>
        </w:rPr>
        <w:t>.</w:t>
      </w:r>
    </w:p>
  </w:footnote>
  <w:footnote w:id="30">
    <w:p w14:paraId="58C63A39" w14:textId="0B764C09"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O sumă totală de 8 milioane EUR a fost pusă la dispoziție în cadrul acțiunii CP-g-06.7: „Consolidarea pregătirii și a răspunsului la amenințările transfrontaliere pentru sănătate la nivel mondial” (Programul de lucru al UE pentru sănătate pentru 2021).</w:t>
      </w:r>
    </w:p>
  </w:footnote>
  <w:footnote w:id="31">
    <w:p w14:paraId="47B47113" w14:textId="60737E72"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Comisia a lansat o cerere de oferte în valoare de 82 de milioane EUR: „Accelerarea dezvoltării mijloacelor medicale de contracarare inovatoare și a accesului la acestea”.</w:t>
      </w:r>
    </w:p>
  </w:footnote>
  <w:footnote w:id="32">
    <w:p w14:paraId="7062D3F8" w14:textId="49C6BA59"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1" w:history="1">
        <w:r w:rsidRPr="001156EE">
          <w:rPr>
            <w:rStyle w:val="Hyperlink"/>
            <w:rFonts w:ascii="Times New Roman" w:hAnsi="Times New Roman"/>
            <w:lang w:val="ro-RO"/>
          </w:rPr>
          <w:t>https://www.jpiamr.eu/activities/one-health-amr/design-oh-amr/</w:t>
        </w:r>
      </w:hyperlink>
      <w:r w:rsidRPr="001156EE">
        <w:rPr>
          <w:rFonts w:ascii="Times New Roman" w:hAnsi="Times New Roman"/>
          <w:lang w:val="ro-RO"/>
        </w:rPr>
        <w:t xml:space="preserve"> </w:t>
      </w:r>
    </w:p>
  </w:footnote>
  <w:footnote w:id="33">
    <w:p w14:paraId="670F1A99" w14:textId="0E346AF8" w:rsidR="00E14569" w:rsidRPr="001156EE" w:rsidRDefault="00E14569"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hyperlink r:id="rId22" w:history="1">
        <w:r w:rsidRPr="001156EE">
          <w:rPr>
            <w:rStyle w:val="Hyperlink"/>
            <w:rFonts w:ascii="Times New Roman" w:hAnsi="Times New Roman"/>
            <w:lang w:val="ro-RO"/>
          </w:rPr>
          <w:t>https://ec.europa.eu/info/funding-tenders/opportunities/portal/screen/opportunities/topic-details/horizon-hlth-2024-disease-09-01</w:t>
        </w:r>
      </w:hyperlink>
      <w:r w:rsidRPr="001156EE">
        <w:rPr>
          <w:rFonts w:ascii="Times New Roman" w:hAnsi="Times New Roman"/>
          <w:lang w:val="ro-RO"/>
        </w:rPr>
        <w:t xml:space="preserve"> </w:t>
      </w:r>
    </w:p>
  </w:footnote>
  <w:footnote w:id="34">
    <w:p w14:paraId="4DA55DC2" w14:textId="77777777" w:rsidR="002B1144" w:rsidRPr="001156EE" w:rsidRDefault="002B1144"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3" w:history="1">
        <w:r w:rsidRPr="001156EE">
          <w:rPr>
            <w:rFonts w:ascii="Times New Roman" w:hAnsi="Times New Roman"/>
            <w:color w:val="0000FF"/>
            <w:u w:val="single"/>
            <w:lang w:val="ro-RO"/>
          </w:rPr>
          <w:t>Orizont Europa (europa.eu)</w:t>
        </w:r>
      </w:hyperlink>
      <w:r w:rsidRPr="001156EE">
        <w:rPr>
          <w:lang w:val="ro-RO"/>
        </w:rPr>
        <w:t>.</w:t>
      </w:r>
    </w:p>
  </w:footnote>
  <w:footnote w:id="35">
    <w:p w14:paraId="77F0E460" w14:textId="77777777" w:rsidR="00B554C1" w:rsidRPr="001156EE" w:rsidRDefault="00B554C1"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4" w:history="1">
        <w:r w:rsidRPr="001156EE">
          <w:rPr>
            <w:rStyle w:val="Hyperlink"/>
            <w:rFonts w:ascii="Times New Roman" w:hAnsi="Times New Roman"/>
            <w:lang w:val="ro-RO"/>
          </w:rPr>
          <w:t>eur-lex.europa.eu/legal-content/RO/TXT/PDF/?uri=CELEX:52019DC0128</w:t>
        </w:r>
      </w:hyperlink>
      <w:r w:rsidRPr="001156EE">
        <w:rPr>
          <w:lang w:val="ro-RO"/>
        </w:rPr>
        <w:t>.</w:t>
      </w:r>
    </w:p>
  </w:footnote>
  <w:footnote w:id="36">
    <w:p w14:paraId="1A6ACAC8" w14:textId="67E7C77D"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5" w:history="1">
        <w:r w:rsidRPr="001156EE">
          <w:rPr>
            <w:rStyle w:val="Hyperlink"/>
            <w:rFonts w:ascii="Times New Roman" w:hAnsi="Times New Roman"/>
            <w:lang w:val="ro-RO"/>
          </w:rPr>
          <w:t>https://commission.europa.eu/strategy-and-policy/priorities-2019-2024/european-green-deal_ro</w:t>
        </w:r>
      </w:hyperlink>
      <w:r w:rsidRPr="001156EE">
        <w:rPr>
          <w:lang w:val="ro-RO"/>
        </w:rPr>
        <w:t>.</w:t>
      </w:r>
    </w:p>
  </w:footnote>
  <w:footnote w:id="37">
    <w:p w14:paraId="098435AB" w14:textId="740E8A67" w:rsidR="00B554C1" w:rsidRPr="001156EE" w:rsidRDefault="00B554C1"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6" w:history="1">
        <w:r w:rsidRPr="001156EE">
          <w:rPr>
            <w:rStyle w:val="Hyperlink"/>
            <w:rFonts w:ascii="Times New Roman" w:hAnsi="Times New Roman"/>
            <w:lang w:val="ro-RO"/>
          </w:rPr>
          <w:t>https://eur-lex.europa.eu/legal-content/RO/TXT/?uri=CELEX:52021DC0400</w:t>
        </w:r>
      </w:hyperlink>
      <w:r w:rsidRPr="001156EE">
        <w:rPr>
          <w:lang w:val="ro-RO"/>
        </w:rPr>
        <w:t>.</w:t>
      </w:r>
      <w:r w:rsidRPr="001156EE">
        <w:rPr>
          <w:rFonts w:ascii="Times New Roman" w:hAnsi="Times New Roman"/>
          <w:lang w:val="ro-RO"/>
        </w:rPr>
        <w:t xml:space="preserve"> </w:t>
      </w:r>
    </w:p>
  </w:footnote>
  <w:footnote w:id="38">
    <w:p w14:paraId="0DF20D89" w14:textId="41DCFA79"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7" w:history="1">
        <w:r w:rsidRPr="001156EE">
          <w:rPr>
            <w:rStyle w:val="Hyperlink"/>
            <w:rFonts w:ascii="Times New Roman" w:hAnsi="Times New Roman"/>
            <w:lang w:val="ro-RO"/>
          </w:rPr>
          <w:t>https://environment.ec.europa.eu/publications/proposal-amending-water-directives_en?prefLang=ro</w:t>
        </w:r>
      </w:hyperlink>
    </w:p>
  </w:footnote>
  <w:footnote w:id="39">
    <w:p w14:paraId="19FE0110" w14:textId="5581DBA8"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8" w:history="1">
        <w:r w:rsidRPr="001156EE">
          <w:rPr>
            <w:rStyle w:val="Hyperlink"/>
            <w:rFonts w:ascii="Times New Roman" w:hAnsi="Times New Roman"/>
            <w:lang w:val="ro-RO"/>
          </w:rPr>
          <w:t>https://environment.ec.europa.eu/publications/proposal-revised-urban-wastewater-treatment-directive_en?prefLang=ro</w:t>
        </w:r>
      </w:hyperlink>
    </w:p>
  </w:footnote>
  <w:footnote w:id="40">
    <w:p w14:paraId="014FFBE9" w14:textId="3567D1DB" w:rsidR="00B57523" w:rsidRPr="001156EE" w:rsidRDefault="00B57523"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Studiul-cadru privind utilizarea și ocuparea terenurilor (LUCAS) este un studiu armonizat periodic organizat de Oficiul European de Statistică (EUROSTAT) în cooperare cu alte servicii ale Comisiei, pentru a colecta informații privind utilizarea și ocuparea terenurilor în toate statele membre.</w:t>
      </w:r>
    </w:p>
  </w:footnote>
  <w:footnote w:id="41">
    <w:p w14:paraId="36DACB81" w14:textId="71D4A4DA"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29" w:history="1">
        <w:r w:rsidRPr="001156EE">
          <w:rPr>
            <w:rStyle w:val="Hyperlink"/>
            <w:rFonts w:ascii="Times New Roman" w:hAnsi="Times New Roman"/>
            <w:lang w:val="ro-RO"/>
          </w:rPr>
          <w:t>https://esdac.jrc.ec.europa.eu/projects/lucas</w:t>
        </w:r>
      </w:hyperlink>
    </w:p>
  </w:footnote>
  <w:footnote w:id="42">
    <w:p w14:paraId="2F4B90E3" w14:textId="4312984A" w:rsidR="00D00D56" w:rsidRPr="001156EE" w:rsidRDefault="00D00D56"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0" w:history="1">
        <w:r w:rsidRPr="001156EE">
          <w:rPr>
            <w:rStyle w:val="Hyperlink"/>
            <w:rFonts w:ascii="Times New Roman" w:hAnsi="Times New Roman"/>
            <w:lang w:val="ro-RO"/>
          </w:rPr>
          <w:t>https://esdac.jrc.ec.europa.eu/</w:t>
        </w:r>
      </w:hyperlink>
    </w:p>
  </w:footnote>
  <w:footnote w:id="43">
    <w:p w14:paraId="02BDEB3C" w14:textId="05C543D3"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1" w:history="1">
        <w:r w:rsidRPr="001156EE">
          <w:rPr>
            <w:rStyle w:val="Hyperlink"/>
            <w:rFonts w:ascii="Times New Roman" w:hAnsi="Times New Roman"/>
            <w:lang w:val="ro-RO"/>
          </w:rPr>
          <w:t>https://www.nature.com/articles/nature06536</w:t>
        </w:r>
      </w:hyperlink>
      <w:r w:rsidRPr="001156EE">
        <w:rPr>
          <w:rFonts w:ascii="Times New Roman" w:hAnsi="Times New Roman"/>
          <w:lang w:val="ro-RO"/>
        </w:rPr>
        <w:t xml:space="preserve"> </w:t>
      </w:r>
    </w:p>
  </w:footnote>
  <w:footnote w:id="44">
    <w:p w14:paraId="4AF60854" w14:textId="5AAF3650"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Directiva 2003/99/CE a Parlamentului European și a Consiliului din 17 noiembrie 2003 privind monitorizarea zoonozelor și a agenților zoonotici, de modificare a Deciziei 90/424/CEE a Consiliului și de abrogare a Directivei 92/117/CEE a Consiliului, JO L 325, 12.12.2003, p. 31 (</w:t>
      </w:r>
      <w:hyperlink r:id="rId32" w:history="1">
        <w:r w:rsidRPr="001156EE">
          <w:rPr>
            <w:rStyle w:val="Hyperlink"/>
            <w:rFonts w:ascii="Times New Roman" w:hAnsi="Times New Roman"/>
            <w:lang w:val="ro-RO"/>
          </w:rPr>
          <w:t>https://eur-lex.europa.eu/legal-content/RO/TXT/?uri=celex:32003L0099</w:t>
        </w:r>
      </w:hyperlink>
      <w:r w:rsidRPr="001156EE">
        <w:rPr>
          <w:rFonts w:ascii="Times New Roman" w:hAnsi="Times New Roman"/>
          <w:lang w:val="ro-RO"/>
        </w:rPr>
        <w:t>).</w:t>
      </w:r>
    </w:p>
  </w:footnote>
  <w:footnote w:id="45">
    <w:p w14:paraId="7DC4BAC5" w14:textId="6A12E8D9" w:rsidR="00191C05" w:rsidRPr="001156EE" w:rsidRDefault="00B56A57" w:rsidP="003225E8">
      <w:pPr>
        <w:pStyle w:val="FootnoteText"/>
        <w:jc w:val="both"/>
        <w:rPr>
          <w:rFonts w:ascii="Times New Roman" w:eastAsia="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Regulamentul (UE) 2016/429 al Parlamentului European și al Consiliului din 9 martie 2016 privind bolile transmisibile ale animalelor și de modificare și de abrogare a anumitor acte din domeniul sănătății animalelor („Legea privind sănătatea animală”), JO L 84, 31.3.2016, p. 1.</w:t>
      </w:r>
    </w:p>
    <w:p w14:paraId="0CAA9BB8" w14:textId="0B9D885A" w:rsidR="00B56A57" w:rsidRPr="001156EE" w:rsidRDefault="00B56A57" w:rsidP="003225E8">
      <w:pPr>
        <w:pStyle w:val="FootnoteText"/>
        <w:jc w:val="both"/>
        <w:rPr>
          <w:rFonts w:ascii="Times New Roman" w:hAnsi="Times New Roman" w:cs="Times New Roman"/>
          <w:lang w:val="ro-RO"/>
        </w:rPr>
      </w:pPr>
      <w:r w:rsidRPr="001156EE">
        <w:rPr>
          <w:rFonts w:ascii="Times New Roman" w:hAnsi="Times New Roman"/>
          <w:lang w:val="ro-RO"/>
        </w:rPr>
        <w:t>(</w:t>
      </w:r>
      <w:hyperlink r:id="rId33" w:history="1">
        <w:r w:rsidRPr="001156EE">
          <w:rPr>
            <w:rStyle w:val="Hyperlink"/>
            <w:rFonts w:ascii="Times New Roman" w:hAnsi="Times New Roman"/>
            <w:lang w:val="ro-RO"/>
          </w:rPr>
          <w:t>https://eur-lex.europa.eu/legal-content/RO/TXT/?uri=CELEX%3A32016R0429&amp;qid=1699617422821</w:t>
        </w:r>
      </w:hyperlink>
      <w:r w:rsidRPr="001156EE">
        <w:rPr>
          <w:rFonts w:ascii="Times New Roman" w:hAnsi="Times New Roman"/>
          <w:lang w:val="ro-RO"/>
        </w:rPr>
        <w:t>).</w:t>
      </w:r>
    </w:p>
  </w:footnote>
  <w:footnote w:id="46">
    <w:p w14:paraId="7132E854" w14:textId="31197161" w:rsidR="00831B85" w:rsidRPr="001156EE" w:rsidRDefault="00831B85" w:rsidP="00BC2F11">
      <w:pPr>
        <w:pStyle w:val="FootnoteText"/>
        <w:jc w:val="both"/>
        <w:rPr>
          <w:rFonts w:ascii="Times New Roman" w:hAnsi="Times New Roman" w:cs="Times New Roman"/>
          <w:lang w:val="ro-RO"/>
        </w:rPr>
      </w:pPr>
      <w:r w:rsidRPr="001156EE">
        <w:rPr>
          <w:rStyle w:val="FootnoteReference"/>
          <w:lang w:val="ro-RO"/>
        </w:rPr>
        <w:footnoteRef/>
      </w:r>
      <w:r w:rsidRPr="001156EE">
        <w:rPr>
          <w:lang w:val="ro-RO"/>
        </w:rPr>
        <w:t xml:space="preserve"> </w:t>
      </w:r>
      <w:r w:rsidRPr="001156EE">
        <w:rPr>
          <w:rFonts w:ascii="Times New Roman" w:hAnsi="Times New Roman"/>
          <w:lang w:val="ro-RO"/>
        </w:rPr>
        <w:t>A se vedea, în plus, secțiunea de mai jos privind Comitetul pentru securitate sanitară.</w:t>
      </w:r>
    </w:p>
  </w:footnote>
  <w:footnote w:id="47">
    <w:p w14:paraId="5BAA6CD0" w14:textId="32DBC940"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4" w:history="1">
        <w:r w:rsidRPr="001156EE">
          <w:rPr>
            <w:rStyle w:val="Hyperlink"/>
            <w:rFonts w:ascii="Times New Roman" w:hAnsi="Times New Roman"/>
            <w:lang w:val="ro-RO"/>
          </w:rPr>
          <w:t>https://eur-lex.europa.eu/eli/reg_del/2020/689/oj</w:t>
        </w:r>
      </w:hyperlink>
      <w:r w:rsidRPr="001156EE">
        <w:rPr>
          <w:rFonts w:ascii="Times New Roman" w:hAnsi="Times New Roman"/>
          <w:lang w:val="ro-RO"/>
        </w:rPr>
        <w:t xml:space="preserve"> </w:t>
      </w:r>
    </w:p>
  </w:footnote>
  <w:footnote w:id="48">
    <w:p w14:paraId="341D406E" w14:textId="34C4787D"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5" w:history="1">
        <w:r w:rsidRPr="001156EE">
          <w:rPr>
            <w:rStyle w:val="Hyperlink"/>
            <w:rFonts w:ascii="Times New Roman" w:hAnsi="Times New Roman"/>
            <w:lang w:val="ro-RO"/>
          </w:rPr>
          <w:t>https://www.izsvenezie.com/reference-laboratories/avian-influenza-newcastle-disease/</w:t>
        </w:r>
      </w:hyperlink>
      <w:r w:rsidRPr="001156EE">
        <w:rPr>
          <w:rFonts w:ascii="Times New Roman" w:hAnsi="Times New Roman"/>
          <w:lang w:val="ro-RO"/>
        </w:rPr>
        <w:t xml:space="preserve"> </w:t>
      </w:r>
    </w:p>
  </w:footnote>
  <w:footnote w:id="49">
    <w:p w14:paraId="613D7FC5" w14:textId="1C84B7D8"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r w:rsidRPr="001156EE">
        <w:rPr>
          <w:rFonts w:ascii="Times New Roman" w:hAnsi="Times New Roman"/>
          <w:color w:val="333333"/>
          <w:shd w:val="clear" w:color="auto" w:fill="FFFFFF"/>
          <w:lang w:val="ro-RO"/>
        </w:rPr>
        <w:t>Regulamentul delegat (UE) 2020/689 al Comisiei din 17 decembrie 2019 de completare a Regulamentului (UE) 2016/429 al Parlamentului European și al Consiliului în ceea ce privește normele privind supravegherea, programele de eradicare și statutul de indemn de boală pentru anumite boli listate și emergente, JO L 174, 3.6.2020, p. 211 (</w:t>
      </w:r>
      <w:hyperlink r:id="rId36" w:history="1">
        <w:r w:rsidRPr="001156EE">
          <w:rPr>
            <w:rStyle w:val="Hyperlink"/>
            <w:rFonts w:ascii="Times New Roman" w:hAnsi="Times New Roman"/>
            <w:lang w:val="ro-RO"/>
          </w:rPr>
          <w:t>https://eur-lex.europa.eu/legal-content/RO/TXT/?uri=CELEX%3A32020R0689&amp;qid=1699963567960</w:t>
        </w:r>
      </w:hyperlink>
      <w:r w:rsidRPr="001156EE">
        <w:rPr>
          <w:rFonts w:ascii="Times New Roman" w:hAnsi="Times New Roman"/>
          <w:lang w:val="ro-RO"/>
        </w:rPr>
        <w:t xml:space="preserve">). </w:t>
      </w:r>
    </w:p>
  </w:footnote>
  <w:footnote w:id="50">
    <w:p w14:paraId="46DCE7FA" w14:textId="263A7C70"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7" w:history="1">
        <w:r w:rsidRPr="001156EE">
          <w:rPr>
            <w:rStyle w:val="Hyperlink"/>
            <w:rFonts w:ascii="Times New Roman" w:hAnsi="Times New Roman"/>
            <w:lang w:val="ro-RO"/>
          </w:rPr>
          <w:t>https://climate-adapt.eea.europa.eu/en/observatory</w:t>
        </w:r>
      </w:hyperlink>
      <w:r w:rsidRPr="001156EE">
        <w:rPr>
          <w:rFonts w:ascii="Times New Roman" w:hAnsi="Times New Roman"/>
          <w:lang w:val="ro-RO"/>
        </w:rPr>
        <w:t xml:space="preserve"> </w:t>
      </w:r>
    </w:p>
  </w:footnote>
  <w:footnote w:id="51">
    <w:p w14:paraId="23BC34FE" w14:textId="2CC4889D"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8" w:history="1">
        <w:r w:rsidRPr="001156EE">
          <w:rPr>
            <w:rStyle w:val="Hyperlink"/>
            <w:rFonts w:ascii="Times New Roman" w:hAnsi="Times New Roman"/>
            <w:lang w:val="ro-RO"/>
          </w:rPr>
          <w:t>https://www.who.int/europe/publications/i/item/EURO-Budapest2023-6</w:t>
        </w:r>
      </w:hyperlink>
      <w:r w:rsidRPr="001156EE">
        <w:rPr>
          <w:rFonts w:ascii="Times New Roman" w:hAnsi="Times New Roman"/>
          <w:lang w:val="ro-RO"/>
        </w:rPr>
        <w:t xml:space="preserve"> </w:t>
      </w:r>
    </w:p>
  </w:footnote>
  <w:footnote w:id="52">
    <w:p w14:paraId="72BF0F76" w14:textId="6F7B9C2F" w:rsidR="000A69F5" w:rsidRPr="001156EE" w:rsidRDefault="000A69F5">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39" w:history="1">
        <w:r w:rsidRPr="001156EE">
          <w:rPr>
            <w:rStyle w:val="Hyperlink"/>
            <w:rFonts w:ascii="Times New Roman" w:hAnsi="Times New Roman"/>
            <w:lang w:val="ro-RO"/>
          </w:rPr>
          <w:t>https://www.cop28.com/en/cop28-uae-declaration-on-climate-and-health</w:t>
        </w:r>
      </w:hyperlink>
      <w:r w:rsidRPr="001156EE">
        <w:rPr>
          <w:rFonts w:ascii="Times New Roman" w:hAnsi="Times New Roman"/>
          <w:lang w:val="ro-RO"/>
        </w:rPr>
        <w:t xml:space="preserve"> </w:t>
      </w:r>
    </w:p>
  </w:footnote>
  <w:footnote w:id="53">
    <w:p w14:paraId="0649BF95" w14:textId="0AB9C428" w:rsidR="001F1738" w:rsidRPr="001156EE" w:rsidRDefault="001F1738" w:rsidP="00BC2F11">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0" w:history="1">
        <w:r w:rsidRPr="001156EE">
          <w:rPr>
            <w:rStyle w:val="Hyperlink"/>
            <w:rFonts w:ascii="Times New Roman" w:hAnsi="Times New Roman"/>
            <w:lang w:val="ro-RO"/>
          </w:rPr>
          <w:t>https://www.who.int/publications/i/item/9789289071918</w:t>
        </w:r>
      </w:hyperlink>
      <w:r w:rsidRPr="001156EE">
        <w:rPr>
          <w:rFonts w:ascii="Times New Roman" w:hAnsi="Times New Roman"/>
          <w:lang w:val="ro-RO"/>
        </w:rPr>
        <w:t xml:space="preserve"> </w:t>
      </w:r>
    </w:p>
  </w:footnote>
  <w:footnote w:id="54">
    <w:p w14:paraId="46EFC43B" w14:textId="2A66B00D" w:rsidR="0003452E" w:rsidRPr="001156EE" w:rsidRDefault="0003452E"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1" w:history="1">
        <w:r w:rsidRPr="001156EE">
          <w:rPr>
            <w:rStyle w:val="Hyperlink"/>
            <w:rFonts w:ascii="Times New Roman" w:hAnsi="Times New Roman"/>
            <w:lang w:val="ro-RO"/>
          </w:rPr>
          <w:t>https://cinea.ec.europa.eu/programmes/life_en</w:t>
        </w:r>
      </w:hyperlink>
      <w:r w:rsidRPr="001156EE">
        <w:rPr>
          <w:rFonts w:ascii="Times New Roman" w:hAnsi="Times New Roman"/>
          <w:lang w:val="ro-RO"/>
        </w:rPr>
        <w:t xml:space="preserve"> </w:t>
      </w:r>
    </w:p>
  </w:footnote>
  <w:footnote w:id="55">
    <w:p w14:paraId="5647594C" w14:textId="13A6F333" w:rsidR="001F1738" w:rsidRPr="001156EE" w:rsidRDefault="001F1738" w:rsidP="00BC2F11">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2" w:history="1">
        <w:r w:rsidRPr="001156EE">
          <w:rPr>
            <w:rStyle w:val="Hyperlink"/>
            <w:rFonts w:ascii="Times New Roman" w:hAnsi="Times New Roman"/>
            <w:lang w:val="ro-RO"/>
          </w:rPr>
          <w:t>https://www.eea.europa.eu/en/about/who-we-are/projects-and-cooperation-agreements/european-climate-risk-assessment</w:t>
        </w:r>
      </w:hyperlink>
      <w:r w:rsidRPr="001156EE">
        <w:rPr>
          <w:rFonts w:ascii="Times New Roman" w:hAnsi="Times New Roman"/>
          <w:lang w:val="ro-RO"/>
        </w:rPr>
        <w:t xml:space="preserve"> </w:t>
      </w:r>
    </w:p>
  </w:footnote>
  <w:footnote w:id="56">
    <w:p w14:paraId="0B40A4CA" w14:textId="77777777" w:rsidR="00B554C1" w:rsidRPr="001156EE" w:rsidRDefault="00B554C1" w:rsidP="00B554C1">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r w:rsidRPr="001156EE">
        <w:rPr>
          <w:rStyle w:val="Hyperlink"/>
          <w:rFonts w:ascii="Times New Roman" w:hAnsi="Times New Roman"/>
          <w:lang w:val="ro-RO"/>
        </w:rPr>
        <w:t>A se vedea, de exemplu, https://www.eea.europa.eu/publications/air-quality-in-europe-2022/health-impacts-of-air-pollution</w:t>
      </w:r>
    </w:p>
  </w:footnote>
  <w:footnote w:id="57">
    <w:p w14:paraId="49FE9E3E" w14:textId="36AAEA14" w:rsidR="00B554C1" w:rsidRPr="001156EE" w:rsidRDefault="00B554C1" w:rsidP="00B554C1">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3" w:history="1">
        <w:r w:rsidRPr="001156EE">
          <w:rPr>
            <w:rStyle w:val="Hyperlink"/>
            <w:rFonts w:ascii="Times New Roman" w:hAnsi="Times New Roman"/>
            <w:lang w:val="ro-RO"/>
          </w:rPr>
          <w:t>https://ec.europa.eu/commission/presscorner/detail/en/ip_22_6278</w:t>
        </w:r>
      </w:hyperlink>
      <w:r w:rsidRPr="001156EE">
        <w:rPr>
          <w:lang w:val="ro-RO"/>
        </w:rPr>
        <w:tab/>
      </w:r>
    </w:p>
  </w:footnote>
  <w:footnote w:id="58">
    <w:p w14:paraId="36690947" w14:textId="23518021" w:rsidR="00B554C1" w:rsidRPr="001156EE" w:rsidRDefault="00B554C1">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A se vedea secțiunea privind RAM de mai sus.</w:t>
      </w:r>
    </w:p>
  </w:footnote>
  <w:footnote w:id="59">
    <w:p w14:paraId="6317D8D0" w14:textId="0D59F38C" w:rsidR="00DD489A" w:rsidRPr="001156EE" w:rsidRDefault="00DD489A">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4" w:history="1">
        <w:r w:rsidRPr="001156EE">
          <w:rPr>
            <w:rStyle w:val="Hyperlink"/>
            <w:rFonts w:ascii="Times New Roman" w:hAnsi="Times New Roman"/>
            <w:lang w:val="ro-RO"/>
          </w:rPr>
          <w:t>https://environment.ec.europa.eu/publications/proposal-revision-industrial-emissions-directive_en</w:t>
        </w:r>
      </w:hyperlink>
    </w:p>
  </w:footnote>
  <w:footnote w:id="60">
    <w:p w14:paraId="50A33709" w14:textId="7F6436F6" w:rsidR="00DD489A" w:rsidRPr="001156EE" w:rsidRDefault="00DD489A">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5" w:history="1">
        <w:r w:rsidRPr="001156EE">
          <w:rPr>
            <w:rStyle w:val="Hyperlink"/>
            <w:rFonts w:ascii="Times New Roman" w:hAnsi="Times New Roman"/>
            <w:lang w:val="ro-RO"/>
          </w:rPr>
          <w:t>https://environment.ec.europa.eu/topics/soil-and-land/soil-health_en</w:t>
        </w:r>
      </w:hyperlink>
    </w:p>
  </w:footnote>
  <w:footnote w:id="61">
    <w:p w14:paraId="0A398BDC" w14:textId="06CC95A4" w:rsidR="001F1738" w:rsidRPr="001156EE" w:rsidRDefault="001F1738" w:rsidP="00003506">
      <w:pPr>
        <w:spacing w:after="0" w:line="240" w:lineRule="auto"/>
        <w:contextualSpacing/>
        <w:rPr>
          <w:rFonts w:ascii="Times New Roman" w:hAnsi="Times New Roman" w:cs="Times New Roman"/>
          <w:sz w:val="20"/>
          <w:lang w:val="ro-RO"/>
        </w:rPr>
      </w:pPr>
      <w:r w:rsidRPr="001156EE">
        <w:rPr>
          <w:rStyle w:val="FootnoteReference"/>
          <w:rFonts w:ascii="Times New Roman" w:hAnsi="Times New Roman" w:cs="Times New Roman"/>
          <w:sz w:val="20"/>
          <w:lang w:val="ro-RO"/>
        </w:rPr>
        <w:footnoteRef/>
      </w:r>
      <w:r w:rsidRPr="001156EE">
        <w:rPr>
          <w:rFonts w:ascii="Times New Roman" w:hAnsi="Times New Roman"/>
          <w:sz w:val="20"/>
          <w:lang w:val="ro-RO"/>
        </w:rPr>
        <w:t xml:space="preserve"> </w:t>
      </w:r>
      <w:hyperlink r:id="rId46" w:history="1">
        <w:r w:rsidRPr="001156EE">
          <w:rPr>
            <w:rStyle w:val="Hyperlink"/>
            <w:rFonts w:ascii="Times New Roman" w:hAnsi="Times New Roman"/>
            <w:sz w:val="20"/>
            <w:lang w:val="ro-RO"/>
          </w:rPr>
          <w:t>https://eur-lex.europa.eu/legal-content/RO/TXT/?uri=OJ:L:2023:234:TOC</w:t>
        </w:r>
      </w:hyperlink>
    </w:p>
  </w:footnote>
  <w:footnote w:id="62">
    <w:p w14:paraId="5CB722D4" w14:textId="674F39A0" w:rsidR="001F1738" w:rsidRPr="001156EE" w:rsidRDefault="001F1738" w:rsidP="00003506">
      <w:pPr>
        <w:pStyle w:val="FootnoteText"/>
        <w:spacing w:line="240" w:lineRule="auto"/>
        <w:contextualSpacing/>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UCPM include atât state membre, cât și 10 state participante din afara UE.</w:t>
      </w:r>
    </w:p>
  </w:footnote>
  <w:footnote w:id="63">
    <w:p w14:paraId="78C009C9" w14:textId="5BE06753" w:rsidR="001F1738" w:rsidRPr="001156EE" w:rsidRDefault="001F1738" w:rsidP="00003506">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SWD(2020) 3 final.</w:t>
      </w:r>
    </w:p>
  </w:footnote>
  <w:footnote w:id="64">
    <w:p w14:paraId="33D352B3" w14:textId="7067823F" w:rsidR="00015AC9" w:rsidRPr="001156EE" w:rsidRDefault="00015AC9" w:rsidP="00003506">
      <w:pPr>
        <w:spacing w:after="0" w:line="240" w:lineRule="auto"/>
        <w:contextualSpacing/>
        <w:jc w:val="both"/>
        <w:rPr>
          <w:rFonts w:ascii="Times New Roman" w:hAnsi="Times New Roman" w:cs="Times New Roman"/>
          <w:sz w:val="20"/>
          <w:lang w:val="ro-RO"/>
        </w:rPr>
      </w:pPr>
      <w:r w:rsidRPr="001156EE">
        <w:rPr>
          <w:rStyle w:val="FootnoteReference"/>
          <w:rFonts w:ascii="Times New Roman" w:hAnsi="Times New Roman" w:cs="Times New Roman"/>
          <w:sz w:val="20"/>
          <w:lang w:val="ro-RO"/>
        </w:rPr>
        <w:footnoteRef/>
      </w:r>
      <w:r w:rsidRPr="001156EE">
        <w:rPr>
          <w:rFonts w:ascii="Times New Roman" w:hAnsi="Times New Roman"/>
          <w:sz w:val="20"/>
          <w:lang w:val="ro-RO"/>
        </w:rPr>
        <w:t xml:space="preserve"> Scenariile în caz de dezastru la nivel european reprezintă una dintre inițiativele emblematice ale obiectivelor UE în materie de reziliență la dezastre, stabilite de Comisie, introduse în februarie 2023: </w:t>
      </w:r>
      <w:hyperlink r:id="rId47" w:history="1">
        <w:r w:rsidRPr="001156EE">
          <w:rPr>
            <w:rStyle w:val="Hyperlink"/>
            <w:rFonts w:ascii="Times New Roman" w:hAnsi="Times New Roman"/>
            <w:sz w:val="20"/>
            <w:lang w:val="ro-RO"/>
          </w:rPr>
          <w:t>https://civil-protection-humanitarian-aid.ec.europa.eu/what/civil-protection/european-disaster-risk-management/european-disaster-resilience-goals_en</w:t>
        </w:r>
      </w:hyperlink>
      <w:r w:rsidRPr="001156EE">
        <w:rPr>
          <w:rFonts w:ascii="Times New Roman" w:hAnsi="Times New Roman"/>
          <w:sz w:val="20"/>
          <w:lang w:val="ro-RO"/>
        </w:rPr>
        <w:t>.</w:t>
      </w:r>
    </w:p>
  </w:footnote>
  <w:footnote w:id="65">
    <w:p w14:paraId="2F3474A2" w14:textId="1500A07B" w:rsidR="007D4B14" w:rsidRPr="001156EE" w:rsidRDefault="007D4B14" w:rsidP="00003506">
      <w:pPr>
        <w:pStyle w:val="FootnoteText"/>
        <w:spacing w:line="240" w:lineRule="auto"/>
        <w:contextualSpacing/>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COM(2022) 780 final.</w:t>
      </w:r>
    </w:p>
  </w:footnote>
  <w:footnote w:id="66">
    <w:p w14:paraId="2F3D3768" w14:textId="77777777" w:rsidR="00854E12" w:rsidRPr="001156EE" w:rsidRDefault="00854E12" w:rsidP="00854E12">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8" w:history="1">
        <w:r w:rsidRPr="001156EE">
          <w:rPr>
            <w:rStyle w:val="Hyperlink"/>
            <w:rFonts w:ascii="Times New Roman" w:hAnsi="Times New Roman"/>
            <w:lang w:val="ro-RO"/>
          </w:rPr>
          <w:t>https://health.ec.europa.eu/publications/hera-factsheet-health-union-identifying-top-3-priority-health-threats_en</w:t>
        </w:r>
      </w:hyperlink>
    </w:p>
  </w:footnote>
  <w:footnote w:id="67">
    <w:p w14:paraId="2BD71B1D" w14:textId="4AE8B8BD" w:rsidR="001F1738" w:rsidRPr="001156EE" w:rsidRDefault="001F1738" w:rsidP="00BC2F11">
      <w:pPr>
        <w:pStyle w:val="FootnoteText"/>
        <w:jc w:val="both"/>
        <w:rPr>
          <w:rFonts w:ascii="Times New Roman" w:eastAsia="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49" w:anchor="ensuringtheavailabilityofsuppliesandequipment" w:history="1">
        <w:r w:rsidRPr="001156EE">
          <w:rPr>
            <w:rStyle w:val="Hyperlink"/>
            <w:rFonts w:ascii="Times New Roman" w:hAnsi="Times New Roman"/>
            <w:lang w:val="ro-RO"/>
          </w:rPr>
          <w:t>https://commission.europa.eu/strategy-and-policy/coronavirus-response/public-health_ro</w:t>
        </w:r>
      </w:hyperlink>
      <w:r w:rsidRPr="001156EE">
        <w:rPr>
          <w:lang w:val="ro-RO"/>
        </w:rPr>
        <w:t>.</w:t>
      </w:r>
    </w:p>
  </w:footnote>
  <w:footnote w:id="68">
    <w:p w14:paraId="7637FDC6" w14:textId="35FCAB75" w:rsidR="001F1738" w:rsidRPr="001156EE" w:rsidRDefault="001F1738" w:rsidP="00B769F6">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A se vedea „Surveillance during the COVID-19 epidemic and other epidemics: lessons learnt” (Supravegherea pe durata epidemiei de COVID-19 și a altor epidemii: învățăminte desprinse), </w:t>
      </w:r>
      <w:hyperlink r:id="rId50" w:history="1">
        <w:r w:rsidRPr="001156EE">
          <w:rPr>
            <w:rStyle w:val="Hyperlink"/>
            <w:rFonts w:ascii="Times New Roman" w:hAnsi="Times New Roman"/>
            <w:lang w:val="ro-RO"/>
          </w:rPr>
          <w:t>https://www.nivel.nl/en/project/1920</w:t>
        </w:r>
      </w:hyperlink>
      <w:r w:rsidRPr="001156EE">
        <w:rPr>
          <w:rFonts w:ascii="Times New Roman" w:hAnsi="Times New Roman"/>
          <w:lang w:val="ro-RO"/>
        </w:rPr>
        <w:t>.</w:t>
      </w:r>
    </w:p>
  </w:footnote>
  <w:footnote w:id="69">
    <w:p w14:paraId="73E4B9A9" w14:textId="0E07505C" w:rsidR="00C5325C" w:rsidRPr="001156EE" w:rsidRDefault="00C5325C" w:rsidP="00003506">
      <w:pPr>
        <w:autoSpaceDE w:val="0"/>
        <w:autoSpaceDN w:val="0"/>
        <w:spacing w:after="0" w:line="240" w:lineRule="auto"/>
        <w:rPr>
          <w:rFonts w:ascii="Times New Roman" w:hAnsi="Times New Roman" w:cs="Times New Roman"/>
          <w:sz w:val="20"/>
          <w:lang w:val="ro-RO"/>
        </w:rPr>
      </w:pPr>
      <w:r w:rsidRPr="001156EE">
        <w:rPr>
          <w:rStyle w:val="FootnoteReference"/>
          <w:rFonts w:ascii="Times New Roman" w:hAnsi="Times New Roman" w:cs="Times New Roman"/>
          <w:sz w:val="20"/>
          <w:lang w:val="ro-RO"/>
        </w:rPr>
        <w:footnoteRef/>
      </w:r>
      <w:r w:rsidRPr="001156EE">
        <w:rPr>
          <w:rFonts w:ascii="Times New Roman" w:hAnsi="Times New Roman"/>
          <w:sz w:val="20"/>
          <w:lang w:val="ro-RO"/>
        </w:rPr>
        <w:t xml:space="preserve"> </w:t>
      </w:r>
      <w:hyperlink r:id="rId51" w:history="1">
        <w:r w:rsidRPr="001156EE">
          <w:rPr>
            <w:rStyle w:val="Hyperlink"/>
            <w:rFonts w:ascii="Times New Roman" w:hAnsi="Times New Roman"/>
            <w:sz w:val="20"/>
            <w:lang w:val="ro-RO"/>
          </w:rPr>
          <w:t>https://health.ec.europa.eu/health-security-and-infectious-diseases/surveillance-and-early-warning/eu-reference-laboratories-public-health-calls-application_en</w:t>
        </w:r>
      </w:hyperlink>
    </w:p>
  </w:footnote>
  <w:footnote w:id="70">
    <w:p w14:paraId="5D0F97C1" w14:textId="35C529BA" w:rsidR="001F1738" w:rsidRPr="001156EE" w:rsidRDefault="001F1738" w:rsidP="00003506">
      <w:pPr>
        <w:pStyle w:val="FootnoteText"/>
        <w:spacing w:line="240" w:lineRule="auto"/>
        <w:rPr>
          <w:lang w:val="ro-RO"/>
        </w:rPr>
      </w:pPr>
      <w:r w:rsidRPr="001156EE">
        <w:rPr>
          <w:rStyle w:val="FootnoteReference"/>
          <w:rFonts w:ascii="Times New Roman" w:hAnsi="Times New Roman" w:cs="Times New Roman"/>
          <w:lang w:val="ro-RO"/>
        </w:rPr>
        <w:footnoteRef/>
      </w:r>
      <w:r w:rsidRPr="001156EE">
        <w:rPr>
          <w:lang w:val="ro-RO"/>
        </w:rPr>
        <w:t xml:space="preserve"> </w:t>
      </w:r>
      <w:hyperlink r:id="rId52" w:history="1">
        <w:r w:rsidRPr="001156EE">
          <w:rPr>
            <w:rStyle w:val="Hyperlink"/>
            <w:rFonts w:ascii="Times New Roman" w:hAnsi="Times New Roman"/>
            <w:lang w:val="ro-RO"/>
          </w:rPr>
          <w:t>https://www.pasteur.fr/en/home/institut-pasteur/institut-pasteur-throughout-world/international-research-programs/durable-large-scale-project-emerging-diseases-within-eu4health-european-program</w:t>
        </w:r>
      </w:hyperlink>
      <w:r w:rsidRPr="001156EE">
        <w:rPr>
          <w:rStyle w:val="Hyperlink"/>
          <w:rFonts w:ascii="Times New Roman" w:hAnsi="Times New Roman"/>
          <w:lang w:val="ro-RO"/>
        </w:rPr>
        <w:t xml:space="preserve"> </w:t>
      </w:r>
    </w:p>
  </w:footnote>
  <w:footnote w:id="71">
    <w:p w14:paraId="3A3DA6A6" w14:textId="533DB1C5" w:rsidR="001F1738" w:rsidRPr="001156EE" w:rsidRDefault="001F1738" w:rsidP="00003506">
      <w:pPr>
        <w:pStyle w:val="FootnoteText"/>
        <w:spacing w:line="240" w:lineRule="auto"/>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3" w:history="1">
        <w:r w:rsidRPr="001156EE">
          <w:rPr>
            <w:rStyle w:val="Hyperlink"/>
            <w:rFonts w:ascii="Times New Roman" w:hAnsi="Times New Roman"/>
            <w:lang w:val="ro-RO"/>
          </w:rPr>
          <w:t>https://www.ecdc.europa.eu/en/publications-data/epipulse-european-surveillance-portal-infectious-diseases</w:t>
        </w:r>
      </w:hyperlink>
    </w:p>
  </w:footnote>
  <w:footnote w:id="72">
    <w:p w14:paraId="6A2EF87B" w14:textId="00D9BD32" w:rsidR="001F1738" w:rsidRPr="001156EE" w:rsidRDefault="001F1738" w:rsidP="00003506">
      <w:pPr>
        <w:pStyle w:val="FootnoteText"/>
        <w:spacing w:line="240" w:lineRule="auto"/>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4" w:history="1">
        <w:r w:rsidRPr="001156EE">
          <w:rPr>
            <w:rStyle w:val="Hyperlink"/>
            <w:rFonts w:ascii="Times New Roman" w:hAnsi="Times New Roman"/>
            <w:lang w:val="ro-RO"/>
          </w:rPr>
          <w:t>https://www.ecdc.europa.eu/en/publications-data/european-surveillance-system-tessy</w:t>
        </w:r>
      </w:hyperlink>
      <w:r w:rsidRPr="001156EE">
        <w:rPr>
          <w:rFonts w:ascii="Times New Roman" w:hAnsi="Times New Roman"/>
          <w:lang w:val="ro-RO"/>
        </w:rPr>
        <w:t xml:space="preserve"> </w:t>
      </w:r>
    </w:p>
  </w:footnote>
  <w:footnote w:id="73">
    <w:p w14:paraId="26FF8025" w14:textId="3C3BC67C" w:rsidR="001F1738" w:rsidRPr="001156EE" w:rsidRDefault="001F1738" w:rsidP="00003506">
      <w:pPr>
        <w:pStyle w:val="FootnoteText"/>
        <w:shd w:val="clear" w:color="auto" w:fill="FFFFFF" w:themeFill="background1"/>
        <w:spacing w:line="240" w:lineRule="auto"/>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5" w:history="1">
        <w:r w:rsidRPr="001156EE">
          <w:rPr>
            <w:rStyle w:val="Hyperlink"/>
            <w:rFonts w:ascii="Times New Roman" w:hAnsi="Times New Roman"/>
            <w:lang w:val="ro-RO"/>
          </w:rPr>
          <w:t>https://www.who.int/initiatives/eios</w:t>
        </w:r>
      </w:hyperlink>
      <w:r w:rsidRPr="001156EE">
        <w:rPr>
          <w:rFonts w:ascii="Times New Roman" w:hAnsi="Times New Roman"/>
          <w:color w:val="2B579A"/>
          <w:shd w:val="clear" w:color="auto" w:fill="E6E6E6"/>
          <w:lang w:val="ro-RO"/>
        </w:rPr>
        <w:t xml:space="preserve"> </w:t>
      </w:r>
    </w:p>
  </w:footnote>
  <w:footnote w:id="74">
    <w:p w14:paraId="32E3CFC7" w14:textId="5C3A5A0A" w:rsidR="001F1738" w:rsidRPr="001156EE" w:rsidRDefault="001F1738" w:rsidP="00003506">
      <w:pPr>
        <w:pStyle w:val="FootnoteText"/>
        <w:shd w:val="clear" w:color="auto" w:fill="FFFFFF" w:themeFill="background1"/>
        <w:spacing w:line="240" w:lineRule="auto"/>
        <w:rPr>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6" w:history="1">
        <w:r w:rsidRPr="001156EE">
          <w:rPr>
            <w:rStyle w:val="Hyperlink"/>
            <w:rFonts w:ascii="Times New Roman" w:hAnsi="Times New Roman"/>
            <w:lang w:val="ro-RO"/>
          </w:rPr>
          <w:t>https://health.ec.europa.eu/latest-updates/hera-it-system-athina-collect-intelligence-and-assess-threats-call-tender-published-2023-04-25_en</w:t>
        </w:r>
      </w:hyperlink>
      <w:r w:rsidRPr="001156EE">
        <w:rPr>
          <w:color w:val="2B579A"/>
          <w:shd w:val="clear" w:color="auto" w:fill="E6E6E6"/>
          <w:lang w:val="ro-RO"/>
        </w:rPr>
        <w:t xml:space="preserve"> </w:t>
      </w:r>
    </w:p>
  </w:footnote>
  <w:footnote w:id="75">
    <w:p w14:paraId="353AD981" w14:textId="1C54A971" w:rsidR="00E462D4" w:rsidRPr="001156EE" w:rsidRDefault="00E462D4" w:rsidP="00E462D4">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7" w:history="1">
        <w:r w:rsidRPr="001156EE">
          <w:rPr>
            <w:rStyle w:val="Hyperlink"/>
            <w:rFonts w:ascii="Times New Roman" w:hAnsi="Times New Roman"/>
            <w:lang w:val="ro-RO"/>
          </w:rPr>
          <w:t>https://united4surveillance.eu/</w:t>
        </w:r>
      </w:hyperlink>
      <w:r w:rsidRPr="001156EE">
        <w:rPr>
          <w:rFonts w:ascii="Times New Roman" w:hAnsi="Times New Roman"/>
          <w:lang w:val="ro-RO"/>
        </w:rPr>
        <w:t xml:space="preserve"> </w:t>
      </w:r>
    </w:p>
  </w:footnote>
  <w:footnote w:id="76">
    <w:p w14:paraId="62D103C8" w14:textId="7D261F8A"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CP-g-22-04.01. Se preconizează că acordurile de grant vor fi semnate spre sfârșitul anului 2023.</w:t>
      </w:r>
    </w:p>
  </w:footnote>
  <w:footnote w:id="77">
    <w:p w14:paraId="078B0BD1" w14:textId="35DC2679"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8" w:history="1">
        <w:r w:rsidRPr="001156EE">
          <w:rPr>
            <w:rStyle w:val="Hyperlink"/>
            <w:rFonts w:ascii="Times New Roman" w:hAnsi="Times New Roman"/>
            <w:lang w:val="ro-RO"/>
          </w:rPr>
          <w:t>https://mood-h2020.eu/</w:t>
        </w:r>
      </w:hyperlink>
      <w:r w:rsidRPr="001156EE">
        <w:rPr>
          <w:rFonts w:ascii="Times New Roman" w:hAnsi="Times New Roman"/>
          <w:lang w:val="ro-RO"/>
        </w:rPr>
        <w:t xml:space="preserve"> </w:t>
      </w:r>
    </w:p>
  </w:footnote>
  <w:footnote w:id="78">
    <w:p w14:paraId="7C510393" w14:textId="59BCC599"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59" w:history="1">
        <w:r w:rsidRPr="001156EE">
          <w:rPr>
            <w:rStyle w:val="Hyperlink"/>
            <w:rFonts w:ascii="Times New Roman" w:hAnsi="Times New Roman"/>
            <w:lang w:val="ro-RO"/>
          </w:rPr>
          <w:t>https://www.veo-europe.eu/</w:t>
        </w:r>
      </w:hyperlink>
    </w:p>
  </w:footnote>
  <w:footnote w:id="79">
    <w:p w14:paraId="4B031683" w14:textId="39F57006" w:rsidR="001F1738" w:rsidRPr="001156EE" w:rsidRDefault="001F1738"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60" w:history="1">
        <w:r w:rsidRPr="001156EE">
          <w:rPr>
            <w:rStyle w:val="Hyperlink"/>
            <w:rFonts w:ascii="Times New Roman" w:hAnsi="Times New Roman"/>
            <w:lang w:val="ro-RO"/>
          </w:rPr>
          <w:t>https://www.phiri.eu/</w:t>
        </w:r>
      </w:hyperlink>
      <w:r w:rsidRPr="001156EE">
        <w:rPr>
          <w:rFonts w:ascii="Times New Roman" w:hAnsi="Times New Roman"/>
          <w:lang w:val="ro-RO"/>
        </w:rPr>
        <w:t xml:space="preserve"> </w:t>
      </w:r>
    </w:p>
  </w:footnote>
  <w:footnote w:id="80">
    <w:p w14:paraId="668F56F4" w14:textId="0B2E27A0" w:rsidR="00E66B2E" w:rsidRPr="001156EE" w:rsidRDefault="00E66B2E"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Decizia 2119/98/CE a Parlamentului European și a Consiliului din 24 septembrie 1998 de creare a unei rețele de supraveghere epidemiologică și control al bolilor transmisibile în Comunitate, JO L 268, 3.10.1998, p. 1 (</w:t>
      </w:r>
      <w:hyperlink r:id="rId61" w:history="1">
        <w:r w:rsidRPr="001156EE">
          <w:rPr>
            <w:rStyle w:val="Hyperlink"/>
            <w:rFonts w:ascii="Times New Roman" w:hAnsi="Times New Roman"/>
            <w:lang w:val="ro-RO"/>
          </w:rPr>
          <w:t>https://eur-lex.europa.eu/legal-content/RO/TXT/HTML/?uri=CELEX:31998D2119</w:t>
        </w:r>
      </w:hyperlink>
      <w:r w:rsidRPr="001156EE">
        <w:rPr>
          <w:rFonts w:ascii="Times New Roman" w:hAnsi="Times New Roman"/>
          <w:lang w:val="ro-RO"/>
        </w:rPr>
        <w:t xml:space="preserve">). </w:t>
      </w:r>
    </w:p>
  </w:footnote>
  <w:footnote w:id="81">
    <w:p w14:paraId="3F813258" w14:textId="77777777" w:rsidR="00072774" w:rsidRPr="001156EE" w:rsidRDefault="00072774" w:rsidP="00BC2F11">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Contract specific cu Consorțiul Alboris în cadrul contractului BEACON FWC DIGIT/2020/OP/0005 – BEACON Lot 2.</w:t>
      </w:r>
    </w:p>
  </w:footnote>
  <w:footnote w:id="82">
    <w:p w14:paraId="2A411CFB" w14:textId="0D918387" w:rsidR="00BB198E" w:rsidRPr="001156EE" w:rsidRDefault="00BB198E" w:rsidP="00C6323B">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Instituit prin cele două acte de punere în aplicare adoptate de Comisie în </w:t>
      </w:r>
      <w:hyperlink r:id="rId62" w:history="1">
        <w:r w:rsidRPr="001156EE">
          <w:rPr>
            <w:rFonts w:ascii="Times New Roman" w:hAnsi="Times New Roman"/>
            <w:lang w:val="ro-RO"/>
          </w:rPr>
          <w:t xml:space="preserve">mai </w:t>
        </w:r>
      </w:hyperlink>
      <w:r w:rsidRPr="001156EE">
        <w:rPr>
          <w:rFonts w:ascii="Times New Roman" w:hAnsi="Times New Roman"/>
          <w:lang w:val="ro-RO"/>
        </w:rPr>
        <w:t xml:space="preserve">(C/2021/3921) și </w:t>
      </w:r>
      <w:hyperlink r:id="rId63" w:anchor=":~:text=Implementing%20Decision%20%28EU%29%202021%2F858%20defines%20in%20Annex%20I,effective%20cross-border%20contact%20tracing%20based%20on%20PLF%20data." w:history="1">
        <w:r w:rsidRPr="001156EE">
          <w:rPr>
            <w:rFonts w:ascii="Times New Roman" w:hAnsi="Times New Roman"/>
            <w:lang w:val="ro-RO"/>
          </w:rPr>
          <w:t>iulie</w:t>
        </w:r>
      </w:hyperlink>
      <w:r w:rsidRPr="001156EE">
        <w:rPr>
          <w:rFonts w:ascii="Times New Roman" w:hAnsi="Times New Roman"/>
          <w:lang w:val="ro-RO"/>
        </w:rPr>
        <w:t xml:space="preserve"> 2021 (C/2021/5595).</w:t>
      </w:r>
    </w:p>
  </w:footnote>
  <w:footnote w:id="83">
    <w:p w14:paraId="1F019756" w14:textId="77777777" w:rsidR="00BB198E" w:rsidRPr="001156EE" w:rsidRDefault="00BB198E" w:rsidP="00C6323B">
      <w:pPr>
        <w:pStyle w:val="FootnoteText"/>
        <w:jc w:val="both"/>
        <w:rPr>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În perioada de vârf, ePLF a conectat cinci state membre: Italia, Malta, Slovenia, Spania și – pentru o perioadă scurtă – Franța. Cu toate acestea, utilizarea sa efectivă a rămas foarte limitată, doar 256 de mesaje fiind schimbate între sfârșitul anului 2021 și începutul anului 2022.</w:t>
      </w:r>
    </w:p>
  </w:footnote>
  <w:footnote w:id="84">
    <w:p w14:paraId="1B178307" w14:textId="6DAEDF0F" w:rsidR="00BB198E" w:rsidRPr="001156EE" w:rsidRDefault="00BB198E" w:rsidP="00C6323B">
      <w:pPr>
        <w:pStyle w:val="FootnoteText"/>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Ca urmare a acestui efort, mesajele trimise de statele membre conectate la ePLF ar putea fi transmise din punct de vedere tehnic statelor membre utilizând funcționalitatea de mesagerie selectivă SAPR. În cadrul ECDC se desfășoară încă activități pentru a permite statelor membre care utilizează ePLF să primească mesajele trimise prin funcționalitatea de schimb selectiv SAPR dacă sistemul urmează să fie activat din nou în timpul unei crize viitoare.</w:t>
      </w:r>
    </w:p>
  </w:footnote>
  <w:footnote w:id="85">
    <w:p w14:paraId="50838006" w14:textId="4DAA7484"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64" w:history="1">
        <w:r w:rsidRPr="001156EE">
          <w:rPr>
            <w:rStyle w:val="Hyperlink"/>
            <w:rFonts w:ascii="Times New Roman" w:hAnsi="Times New Roman"/>
            <w:lang w:val="ro-RO"/>
          </w:rPr>
          <w:t>https://health.ec.europa.eu/health-security-and-infectious-diseases/crisis-management/list-authorities-represented-health-security-committee/health-security-committee-reports_en</w:t>
        </w:r>
      </w:hyperlink>
    </w:p>
  </w:footnote>
  <w:footnote w:id="86">
    <w:p w14:paraId="18EB775F" w14:textId="296A42DB" w:rsidR="00542A7E" w:rsidRPr="001156EE" w:rsidRDefault="00542A7E" w:rsidP="00003506">
      <w:pPr>
        <w:spacing w:after="0" w:line="240" w:lineRule="auto"/>
        <w:rPr>
          <w:rFonts w:ascii="Times New Roman" w:hAnsi="Times New Roman" w:cs="Times New Roman"/>
          <w:sz w:val="20"/>
          <w:lang w:val="ro-RO"/>
        </w:rPr>
      </w:pPr>
      <w:r w:rsidRPr="001156EE">
        <w:rPr>
          <w:rStyle w:val="FootnoteReference"/>
          <w:lang w:val="ro-RO"/>
        </w:rPr>
        <w:footnoteRef/>
      </w:r>
      <w:r w:rsidRPr="001156EE">
        <w:rPr>
          <w:lang w:val="ro-RO"/>
        </w:rPr>
        <w:t xml:space="preserve"> </w:t>
      </w:r>
      <w:hyperlink r:id="rId65" w:history="1">
        <w:r w:rsidRPr="001156EE">
          <w:rPr>
            <w:rStyle w:val="Hyperlink"/>
            <w:rFonts w:ascii="Times New Roman" w:hAnsi="Times New Roman"/>
            <w:sz w:val="20"/>
            <w:lang w:val="ro-RO"/>
          </w:rPr>
          <w:t>https://health.ec.europa.eu/publications/preparing-winter-20232024-address-respiratory-infections-caused-sars-cov-2-and-other-viruses_en</w:t>
        </w:r>
      </w:hyperlink>
      <w:r w:rsidRPr="001156EE">
        <w:rPr>
          <w:rFonts w:ascii="Times New Roman" w:hAnsi="Times New Roman"/>
          <w:sz w:val="20"/>
          <w:lang w:val="ro-RO"/>
        </w:rPr>
        <w:t xml:space="preserve"> </w:t>
      </w:r>
    </w:p>
  </w:footnote>
  <w:footnote w:id="87">
    <w:p w14:paraId="44FB809F" w14:textId="04366634" w:rsidR="001F1738" w:rsidRPr="001156EE" w:rsidRDefault="001F1738" w:rsidP="00542A7E">
      <w:pPr>
        <w:pStyle w:val="FootnoteText"/>
        <w:spacing w:line="240" w:lineRule="auto"/>
        <w:jc w:val="both"/>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bookmarkStart w:id="21" w:name="_Hlk150934385"/>
      <w:r w:rsidRPr="001156EE">
        <w:rPr>
          <w:rFonts w:ascii="Times New Roman" w:hAnsi="Times New Roman"/>
          <w:lang w:val="ro-RO"/>
        </w:rPr>
        <w:t xml:space="preserve">Decizia Comisiei din 11.9.2023 de instituire a grupului de experți „Comitetul consultativ pentru situațiile de urgență de sănătate publică” [C(2023) 6017] </w:t>
      </w:r>
      <w:bookmarkEnd w:id="21"/>
      <w:r w:rsidRPr="001156EE">
        <w:rPr>
          <w:rFonts w:ascii="Times New Roman" w:hAnsi="Times New Roman"/>
          <w:lang w:val="ro-RO"/>
        </w:rPr>
        <w:t>(</w:t>
      </w:r>
      <w:hyperlink r:id="rId66" w:history="1">
        <w:r w:rsidRPr="001156EE">
          <w:rPr>
            <w:rStyle w:val="Hyperlink"/>
            <w:rFonts w:ascii="Times New Roman" w:hAnsi="Times New Roman"/>
            <w:lang w:val="ro-RO"/>
          </w:rPr>
          <w:t>https://ec.europa.eu/commission/presscorner/detail/en/mex_23_4442</w:t>
        </w:r>
      </w:hyperlink>
      <w:r w:rsidRPr="001156EE">
        <w:rPr>
          <w:rFonts w:ascii="Times New Roman" w:hAnsi="Times New Roman"/>
          <w:lang w:val="ro-RO"/>
        </w:rPr>
        <w:t xml:space="preserve">). </w:t>
      </w:r>
    </w:p>
  </w:footnote>
  <w:footnote w:id="88">
    <w:p w14:paraId="7F821C97" w14:textId="7265A7EC"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Regulamentul (UE) 2022/123 al Parlamentului European și al Consiliului din 25 ianuarie 2022</w:t>
      </w:r>
      <w:r w:rsidRPr="001156EE">
        <w:rPr>
          <w:b/>
          <w:color w:val="333333"/>
          <w:sz w:val="27"/>
          <w:shd w:val="clear" w:color="auto" w:fill="FFFFFF"/>
          <w:lang w:val="ro-RO"/>
        </w:rPr>
        <w:t xml:space="preserve"> </w:t>
      </w:r>
      <w:r w:rsidRPr="001156EE">
        <w:rPr>
          <w:rFonts w:ascii="Times New Roman" w:hAnsi="Times New Roman"/>
          <w:color w:val="333333"/>
          <w:shd w:val="clear" w:color="auto" w:fill="FFFFFF"/>
          <w:lang w:val="ro-RO"/>
        </w:rPr>
        <w:t>privind consolidarea rolului Agenției Europene pentru Medicamente în ceea ce privește pregătirea pentru situații de criză în domeniul medicamentelor și al dispozitivelor medicale și gestionarea acestora, JO L 20, 31.1.2022, p. 1</w:t>
      </w:r>
      <w:r w:rsidRPr="001156EE">
        <w:rPr>
          <w:rFonts w:ascii="Times New Roman" w:hAnsi="Times New Roman"/>
          <w:lang w:val="ro-RO"/>
        </w:rPr>
        <w:t xml:space="preserve"> (</w:t>
      </w:r>
      <w:hyperlink r:id="rId67" w:history="1">
        <w:r w:rsidRPr="001156EE">
          <w:rPr>
            <w:rStyle w:val="Hyperlink"/>
            <w:rFonts w:ascii="Times New Roman" w:hAnsi="Times New Roman"/>
            <w:lang w:val="ro-RO"/>
          </w:rPr>
          <w:t>https://eur-lex.europa.eu/legal-content/RO/TXT/?uri=CELEX%3A32022R0123</w:t>
        </w:r>
      </w:hyperlink>
      <w:r w:rsidRPr="001156EE">
        <w:rPr>
          <w:rFonts w:ascii="Times New Roman" w:hAnsi="Times New Roman"/>
          <w:lang w:val="ro-RO"/>
        </w:rPr>
        <w:t>).</w:t>
      </w:r>
    </w:p>
  </w:footnote>
  <w:footnote w:id="89">
    <w:p w14:paraId="17DBF08E" w14:textId="49F41535"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Directiva (UE) 2022/2557 a Parlamentului European și a Consiliului privind reziliența entităților critice și de abrogare a Directivei 2008/114/CE a Consiliului, JO L 333, 27.12.2022, p. 164 (</w:t>
      </w:r>
      <w:hyperlink r:id="rId68" w:history="1">
        <w:r w:rsidRPr="001156EE">
          <w:rPr>
            <w:rStyle w:val="Hyperlink"/>
            <w:rFonts w:ascii="Times New Roman" w:hAnsi="Times New Roman"/>
            <w:lang w:val="ro-RO"/>
          </w:rPr>
          <w:t>https://eur-lex.europa.eu/legal-content/RO/TXT/?uri=CELEX%3A32022L2557&amp;qid=1699961915719</w:t>
        </w:r>
      </w:hyperlink>
      <w:r w:rsidRPr="001156EE">
        <w:rPr>
          <w:rFonts w:ascii="Times New Roman" w:hAnsi="Times New Roman"/>
          <w:lang w:val="ro-RO"/>
        </w:rPr>
        <w:t>).</w:t>
      </w:r>
    </w:p>
  </w:footnote>
  <w:footnote w:id="90">
    <w:p w14:paraId="6BA84103" w14:textId="5B633DB2"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Directiva 2008/114/CE a Consiliului din 8 decembrie 2008 privind identificarea și desemnarea infrastructurilor critice europene și evaluarea necesității de îmbunătățire a protecției acestora, JO L 345, 23.12.2008, p. 75 (</w:t>
      </w:r>
      <w:hyperlink r:id="rId69" w:history="1">
        <w:r w:rsidRPr="001156EE">
          <w:rPr>
            <w:rStyle w:val="Hyperlink"/>
            <w:rFonts w:ascii="Times New Roman" w:hAnsi="Times New Roman"/>
            <w:lang w:val="ro-RO"/>
          </w:rPr>
          <w:t>https://eur-lex.europa.eu/legal-content/RO/TXT/?uri=CELEX%3A32008L0114&amp;qid=1699961985226</w:t>
        </w:r>
      </w:hyperlink>
      <w:r w:rsidRPr="001156EE">
        <w:rPr>
          <w:rFonts w:ascii="Times New Roman" w:hAnsi="Times New Roman"/>
          <w:lang w:val="ro-RO"/>
        </w:rPr>
        <w:t>).</w:t>
      </w:r>
    </w:p>
  </w:footnote>
  <w:footnote w:id="91">
    <w:p w14:paraId="1890CDB6" w14:textId="3F306FC7" w:rsidR="00DE1D36" w:rsidRPr="001156EE" w:rsidRDefault="00DE1D36">
      <w:pPr>
        <w:pStyle w:val="FootnoteText"/>
        <w:rPr>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0" w:history="1">
        <w:r w:rsidRPr="001156EE">
          <w:rPr>
            <w:rStyle w:val="Hyperlink"/>
            <w:rFonts w:ascii="Times New Roman" w:hAnsi="Times New Roman"/>
            <w:lang w:val="ro-RO"/>
          </w:rPr>
          <w:t>https://eur-lex.europa.eu/legal-content/RO/TXT/?uri=CELEX:52023DC0526</w:t>
        </w:r>
      </w:hyperlink>
      <w:r w:rsidRPr="001156EE">
        <w:rPr>
          <w:lang w:val="ro-RO"/>
        </w:rPr>
        <w:t xml:space="preserve"> </w:t>
      </w:r>
    </w:p>
  </w:footnote>
  <w:footnote w:id="92">
    <w:p w14:paraId="30D31098" w14:textId="337F5396"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1" w:history="1">
        <w:r w:rsidRPr="001156EE">
          <w:rPr>
            <w:rStyle w:val="Hyperlink"/>
            <w:rFonts w:ascii="Times New Roman" w:hAnsi="Times New Roman"/>
            <w:lang w:val="ro-RO"/>
          </w:rPr>
          <w:t>https://eur-lex.europa.eu/legal-content/RO/TXT/?uri=CELEX:32022R0123</w:t>
        </w:r>
      </w:hyperlink>
      <w:r w:rsidRPr="001156EE">
        <w:rPr>
          <w:rFonts w:ascii="Times New Roman" w:hAnsi="Times New Roman"/>
          <w:lang w:val="ro-RO"/>
        </w:rPr>
        <w:t xml:space="preserve"> </w:t>
      </w:r>
    </w:p>
  </w:footnote>
  <w:footnote w:id="93">
    <w:p w14:paraId="2C305E7A" w14:textId="36B67F01"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2" w:history="1">
        <w:r w:rsidRPr="001156EE">
          <w:rPr>
            <w:rStyle w:val="Hyperlink"/>
            <w:rFonts w:ascii="Times New Roman" w:hAnsi="Times New Roman"/>
            <w:lang w:val="ro-RO"/>
          </w:rPr>
          <w:t>https://www.ecdc.europa.eu/en/publications-data/conducting-after-action-reviews-public-health-response-covid-19-update-0</w:t>
        </w:r>
      </w:hyperlink>
      <w:r w:rsidRPr="001156EE">
        <w:rPr>
          <w:rFonts w:ascii="Times New Roman" w:hAnsi="Times New Roman"/>
          <w:lang w:val="ro-RO"/>
        </w:rPr>
        <w:t xml:space="preserve"> </w:t>
      </w:r>
    </w:p>
  </w:footnote>
  <w:footnote w:id="94">
    <w:p w14:paraId="1C4FCFC5" w14:textId="12331738" w:rsidR="001F1738" w:rsidRPr="001156EE" w:rsidRDefault="001F1738" w:rsidP="00881CF4">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3" w:history="1">
        <w:r w:rsidRPr="001156EE">
          <w:rPr>
            <w:rStyle w:val="Hyperlink"/>
            <w:rFonts w:ascii="Times New Roman" w:hAnsi="Times New Roman"/>
            <w:lang w:val="ro-RO"/>
          </w:rPr>
          <w:t>https://cohesiondata.ec.europa.eu/2021-2027-Categorisation/2021-2027-Finances-details-categorisation-multi-fu/hgyj-gyin</w:t>
        </w:r>
      </w:hyperlink>
      <w:r w:rsidRPr="001156EE">
        <w:rPr>
          <w:rFonts w:ascii="Times New Roman" w:hAnsi="Times New Roman"/>
          <w:lang w:val="ro-RO"/>
        </w:rPr>
        <w:t xml:space="preserve"> </w:t>
      </w:r>
    </w:p>
  </w:footnote>
  <w:footnote w:id="95">
    <w:p w14:paraId="3CE2769C" w14:textId="4D0E6841"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4" w:history="1">
        <w:r w:rsidRPr="001156EE">
          <w:rPr>
            <w:rStyle w:val="Hyperlink"/>
            <w:rFonts w:ascii="Times New Roman" w:hAnsi="Times New Roman"/>
            <w:lang w:val="ro-RO"/>
          </w:rPr>
          <w:t>https://www.oecd-ilibrary.org/social-issues-migration-health/health-at-a-glance-europe-2022_507433b0-en;jsessionid=-ZyVma6ABAN0VaaG5paqz-epR3sPXjuLlFsJ5MXW.ip-10-240-5-108</w:t>
        </w:r>
      </w:hyperlink>
      <w:r w:rsidRPr="001156EE">
        <w:rPr>
          <w:rFonts w:ascii="Times New Roman" w:hAnsi="Times New Roman"/>
          <w:lang w:val="ro-RO"/>
        </w:rPr>
        <w:t xml:space="preserve"> </w:t>
      </w:r>
    </w:p>
  </w:footnote>
  <w:footnote w:id="96">
    <w:p w14:paraId="5D5CD318" w14:textId="3CC26632"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5" w:history="1">
        <w:r w:rsidRPr="001156EE">
          <w:rPr>
            <w:rStyle w:val="Hyperlink"/>
            <w:rFonts w:ascii="Times New Roman" w:hAnsi="Times New Roman"/>
            <w:lang w:val="ro-RO"/>
          </w:rPr>
          <w:t>https://www.who.int/news/item/02-03-2022-covid-19-pandemic-triggers-25-increase-in-prevalence-of-anxiety-and-depression-worldwide</w:t>
        </w:r>
      </w:hyperlink>
      <w:r w:rsidRPr="001156EE">
        <w:rPr>
          <w:rFonts w:ascii="Times New Roman" w:hAnsi="Times New Roman"/>
          <w:lang w:val="ro-RO"/>
        </w:rPr>
        <w:t xml:space="preserve"> </w:t>
      </w:r>
    </w:p>
  </w:footnote>
  <w:footnote w:id="97">
    <w:p w14:paraId="4D1B1C68" w14:textId="08D76B2D"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6" w:history="1">
        <w:r w:rsidRPr="001156EE">
          <w:rPr>
            <w:rStyle w:val="Hyperlink"/>
            <w:rFonts w:ascii="Times New Roman" w:hAnsi="Times New Roman"/>
            <w:lang w:val="ro-RO"/>
          </w:rPr>
          <w:t>https://commission.europa.eu/strategy-and-policy/priorities-2019-2024/promoting-our-european-way-life/european-health-union/comprehensive-approach-mental-health_ro</w:t>
        </w:r>
      </w:hyperlink>
      <w:r w:rsidRPr="001156EE">
        <w:rPr>
          <w:rFonts w:ascii="Times New Roman" w:hAnsi="Times New Roman"/>
          <w:lang w:val="ro-RO"/>
        </w:rPr>
        <w:t xml:space="preserve"> </w:t>
      </w:r>
    </w:p>
  </w:footnote>
  <w:footnote w:id="98">
    <w:p w14:paraId="45DD5B19" w14:textId="4B375D1C" w:rsidR="001F1738" w:rsidRPr="001156EE" w:rsidRDefault="001F1738" w:rsidP="00881CF4">
      <w:pPr>
        <w:pStyle w:val="FootnoteText"/>
        <w:rPr>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7" w:history="1">
        <w:r w:rsidRPr="001156EE">
          <w:rPr>
            <w:rStyle w:val="Hyperlink"/>
            <w:rFonts w:ascii="Times New Roman" w:hAnsi="Times New Roman"/>
            <w:lang w:val="ro-RO"/>
          </w:rPr>
          <w:t>https://research-and-innovation.ec.europa.eu/funding/funding-opportunities/funding-programmes-and-open-calls/horizon-europe/european-partnerships-horizon-europe/health_en</w:t>
        </w:r>
      </w:hyperlink>
      <w:r w:rsidRPr="001156EE">
        <w:rPr>
          <w:rFonts w:ascii="Times New Roman" w:hAnsi="Times New Roman"/>
          <w:lang w:val="ro-RO"/>
        </w:rPr>
        <w:t xml:space="preserve"> </w:t>
      </w:r>
    </w:p>
  </w:footnote>
  <w:footnote w:id="99">
    <w:p w14:paraId="3E0004D5" w14:textId="328409D4" w:rsidR="00627FF6" w:rsidRPr="001156EE" w:rsidRDefault="00627FF6">
      <w:pPr>
        <w:pStyle w:val="FootnoteText"/>
        <w:rPr>
          <w:rFonts w:ascii="Times New Roman" w:hAnsi="Times New Roman" w:cs="Times New Roman"/>
          <w:lang w:val="ro-RO"/>
        </w:rPr>
      </w:pPr>
      <w:r w:rsidRPr="001156EE">
        <w:rPr>
          <w:rStyle w:val="FootnoteReference"/>
          <w:lang w:val="ro-RO"/>
        </w:rPr>
        <w:footnoteRef/>
      </w:r>
      <w:r w:rsidRPr="001156EE">
        <w:rPr>
          <w:lang w:val="ro-RO"/>
        </w:rPr>
        <w:t xml:space="preserve"> </w:t>
      </w:r>
      <w:hyperlink r:id="rId78" w:history="1">
        <w:r w:rsidRPr="001156EE">
          <w:rPr>
            <w:rStyle w:val="Hyperlink"/>
            <w:rFonts w:ascii="Times New Roman" w:hAnsi="Times New Roman"/>
            <w:lang w:val="ro-RO"/>
          </w:rPr>
          <w:t>https://eur-lex.europa.eu/legal-content/RO/TXT/?uri=CELEX:52023DC0298</w:t>
        </w:r>
      </w:hyperlink>
      <w:r w:rsidRPr="001156EE">
        <w:rPr>
          <w:rFonts w:ascii="Times New Roman" w:hAnsi="Times New Roman"/>
          <w:lang w:val="ro-RO"/>
        </w:rPr>
        <w:t xml:space="preserve"> </w:t>
      </w:r>
    </w:p>
  </w:footnote>
  <w:footnote w:id="100">
    <w:p w14:paraId="139790D7" w14:textId="4C779F9C"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79" w:history="1">
        <w:r w:rsidRPr="001156EE">
          <w:rPr>
            <w:rStyle w:val="Hyperlink"/>
            <w:rFonts w:ascii="Times New Roman" w:hAnsi="Times New Roman"/>
            <w:lang w:val="ro-RO"/>
          </w:rPr>
          <w:t>https://www.thelancet.com/journals/lanres/article/PIIS2213-2600(23)00268-0/fulltext</w:t>
        </w:r>
      </w:hyperlink>
      <w:r w:rsidRPr="001156EE">
        <w:rPr>
          <w:rFonts w:ascii="Times New Roman" w:hAnsi="Times New Roman"/>
          <w:lang w:val="ro-RO"/>
        </w:rPr>
        <w:t xml:space="preserve"> </w:t>
      </w:r>
    </w:p>
  </w:footnote>
  <w:footnote w:id="101">
    <w:p w14:paraId="0B70C51B" w14:textId="77777777" w:rsidR="002F1D2B" w:rsidRPr="001156EE" w:rsidRDefault="002F1D2B" w:rsidP="002F1D2B">
      <w:pPr>
        <w:pStyle w:val="FootnoteText"/>
        <w:rPr>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0" w:history="1">
        <w:r w:rsidRPr="001156EE">
          <w:rPr>
            <w:rStyle w:val="Hyperlink"/>
            <w:rFonts w:ascii="Times New Roman" w:hAnsi="Times New Roman"/>
            <w:lang w:val="ro-RO"/>
          </w:rPr>
          <w:t>https://health.ec.europa.eu/health-emergency-preparedness-and-response-hera/hera-invest_en</w:t>
        </w:r>
      </w:hyperlink>
      <w:r w:rsidRPr="001156EE">
        <w:rPr>
          <w:lang w:val="ro-RO"/>
        </w:rPr>
        <w:t xml:space="preserve"> </w:t>
      </w:r>
    </w:p>
  </w:footnote>
  <w:footnote w:id="102">
    <w:p w14:paraId="37E46E06" w14:textId="3937D050" w:rsidR="002F1D2B" w:rsidRPr="001156EE" w:rsidRDefault="002F1D2B">
      <w:pPr>
        <w:pStyle w:val="FootnoteText"/>
        <w:rPr>
          <w:rFonts w:ascii="Times New Roman" w:hAnsi="Times New Roman" w:cs="Times New Roman"/>
          <w:lang w:val="ro-RO"/>
        </w:rPr>
      </w:pPr>
      <w:r w:rsidRPr="001156EE">
        <w:rPr>
          <w:rStyle w:val="FootnoteReference"/>
          <w:lang w:val="ro-RO"/>
        </w:rPr>
        <w:footnoteRef/>
      </w:r>
      <w:r w:rsidRPr="001156EE">
        <w:rPr>
          <w:lang w:val="ro-RO"/>
        </w:rPr>
        <w:t xml:space="preserve"> </w:t>
      </w:r>
      <w:hyperlink r:id="rId81" w:history="1">
        <w:r w:rsidRPr="001156EE">
          <w:rPr>
            <w:rStyle w:val="Hyperlink"/>
            <w:rFonts w:ascii="Times New Roman" w:hAnsi="Times New Roman"/>
            <w:lang w:val="ro-RO"/>
          </w:rPr>
          <w:t>https://investeu.europa.eu/index_en</w:t>
        </w:r>
      </w:hyperlink>
      <w:r w:rsidRPr="001156EE">
        <w:rPr>
          <w:rFonts w:ascii="Times New Roman" w:hAnsi="Times New Roman"/>
          <w:lang w:val="ro-RO"/>
        </w:rPr>
        <w:t xml:space="preserve"> </w:t>
      </w:r>
    </w:p>
  </w:footnote>
  <w:footnote w:id="103">
    <w:p w14:paraId="5CE01236" w14:textId="54EC2879" w:rsidR="001F1738" w:rsidRPr="001156EE" w:rsidRDefault="001F1738" w:rsidP="001F1738">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2" w:history="1">
        <w:r w:rsidRPr="001156EE">
          <w:rPr>
            <w:rStyle w:val="Hyperlink"/>
            <w:rFonts w:ascii="Times New Roman" w:hAnsi="Times New Roman"/>
            <w:lang w:val="ro-RO"/>
          </w:rPr>
          <w:t>https://eic.ec.europa.eu/system/files/2023-08/EIC-WP2023-amended.pdf</w:t>
        </w:r>
      </w:hyperlink>
      <w:r w:rsidRPr="001156EE">
        <w:rPr>
          <w:rFonts w:ascii="Times New Roman" w:hAnsi="Times New Roman"/>
          <w:lang w:val="ro-RO"/>
        </w:rPr>
        <w:t xml:space="preserve"> </w:t>
      </w:r>
    </w:p>
  </w:footnote>
  <w:footnote w:id="104">
    <w:p w14:paraId="6D777E9C" w14:textId="77777777" w:rsidR="00E14569" w:rsidRPr="001156EE" w:rsidRDefault="00E14569" w:rsidP="00E14569">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3" w:history="1">
        <w:r w:rsidRPr="001156EE">
          <w:rPr>
            <w:rStyle w:val="Hyperlink"/>
            <w:rFonts w:ascii="Times New Roman" w:hAnsi="Times New Roman"/>
            <w:lang w:val="ro-RO"/>
          </w:rPr>
          <w:t>https://eu-response.eu/</w:t>
        </w:r>
      </w:hyperlink>
      <w:r w:rsidRPr="001156EE">
        <w:rPr>
          <w:rFonts w:ascii="Times New Roman" w:hAnsi="Times New Roman"/>
          <w:lang w:val="ro-RO"/>
        </w:rPr>
        <w:t xml:space="preserve"> </w:t>
      </w:r>
    </w:p>
  </w:footnote>
  <w:footnote w:id="105">
    <w:p w14:paraId="1C410708" w14:textId="77777777" w:rsidR="00E14569" w:rsidRPr="001156EE" w:rsidRDefault="00E14569" w:rsidP="00E14569">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4" w:history="1">
        <w:r w:rsidRPr="001156EE">
          <w:rPr>
            <w:rStyle w:val="Hyperlink"/>
            <w:rFonts w:ascii="Times New Roman" w:hAnsi="Times New Roman"/>
            <w:lang w:val="ro-RO"/>
          </w:rPr>
          <w:t>https://verdiproject.org/</w:t>
        </w:r>
      </w:hyperlink>
      <w:r w:rsidRPr="001156EE">
        <w:rPr>
          <w:rFonts w:ascii="Times New Roman" w:hAnsi="Times New Roman"/>
          <w:lang w:val="ro-RO"/>
        </w:rPr>
        <w:t xml:space="preserve"> </w:t>
      </w:r>
    </w:p>
  </w:footnote>
  <w:footnote w:id="106">
    <w:p w14:paraId="2E9E84AB" w14:textId="77777777" w:rsidR="008739EF" w:rsidRPr="001156EE" w:rsidRDefault="008739EF" w:rsidP="008739EF">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5" w:history="1">
        <w:r w:rsidRPr="001156EE">
          <w:rPr>
            <w:rStyle w:val="Hyperlink"/>
            <w:rFonts w:ascii="Times New Roman" w:hAnsi="Times New Roman"/>
            <w:lang w:val="ro-RO"/>
          </w:rPr>
          <w:t>https://health.ec.europa.eu/system/files/2023-03/international_ghs-report-2022_en.pdf</w:t>
        </w:r>
      </w:hyperlink>
      <w:r w:rsidRPr="001156EE">
        <w:rPr>
          <w:rFonts w:ascii="Times New Roman" w:hAnsi="Times New Roman"/>
          <w:lang w:val="ro-RO"/>
        </w:rPr>
        <w:t xml:space="preserve"> </w:t>
      </w:r>
    </w:p>
  </w:footnote>
  <w:footnote w:id="107">
    <w:p w14:paraId="7046DCCF" w14:textId="58AB915A" w:rsidR="008739EF" w:rsidRPr="001156EE" w:rsidRDefault="008739EF">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6" w:history="1">
        <w:r w:rsidRPr="001156EE">
          <w:rPr>
            <w:rStyle w:val="Hyperlink"/>
            <w:rFonts w:ascii="Times New Roman" w:hAnsi="Times New Roman"/>
            <w:lang w:val="ro-RO"/>
          </w:rPr>
          <w:t>https://commission.europa.eu/strategy-and-policy/priorities-2019-2024/stronger-europe-world/global-gateway_ro</w:t>
        </w:r>
      </w:hyperlink>
      <w:r w:rsidRPr="001156EE">
        <w:rPr>
          <w:rFonts w:ascii="Times New Roman" w:hAnsi="Times New Roman"/>
          <w:lang w:val="ro-RO"/>
        </w:rPr>
        <w:t xml:space="preserve"> </w:t>
      </w:r>
    </w:p>
  </w:footnote>
  <w:footnote w:id="108">
    <w:p w14:paraId="13D78C91" w14:textId="2F9FD45A" w:rsidR="00180D3E" w:rsidRPr="001156EE" w:rsidRDefault="00180D3E">
      <w:pPr>
        <w:pStyle w:val="FootnoteText"/>
        <w:rPr>
          <w:rFonts w:ascii="Times New Roman" w:hAnsi="Times New Roman" w:cs="Times New Roman"/>
          <w:lang w:val="ro-RO"/>
        </w:rPr>
      </w:pPr>
      <w:r w:rsidRPr="001156EE">
        <w:rPr>
          <w:rStyle w:val="FootnoteReference"/>
          <w:rFonts w:ascii="Times New Roman" w:hAnsi="Times New Roman" w:cs="Times New Roman"/>
          <w:lang w:val="ro-RO"/>
        </w:rPr>
        <w:footnoteRef/>
      </w:r>
      <w:r w:rsidRPr="001156EE">
        <w:rPr>
          <w:rFonts w:ascii="Times New Roman" w:hAnsi="Times New Roman"/>
          <w:lang w:val="ro-RO"/>
        </w:rPr>
        <w:t xml:space="preserve"> </w:t>
      </w:r>
      <w:hyperlink r:id="rId87" w:history="1">
        <w:r w:rsidRPr="001156EE">
          <w:rPr>
            <w:rStyle w:val="Hyperlink"/>
            <w:rFonts w:ascii="Times New Roman" w:hAnsi="Times New Roman"/>
            <w:lang w:val="ro-RO"/>
          </w:rPr>
          <w:t>https://research-and-innovation.ec.europa.eu/research-area/health/edctp_en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87E6" w14:textId="77777777" w:rsidR="00B96E6D" w:rsidRPr="00B96E6D" w:rsidRDefault="00B96E6D" w:rsidP="00B96E6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7D86" w14:textId="77777777" w:rsidR="00B96E6D" w:rsidRPr="00B96E6D" w:rsidRDefault="00B96E6D" w:rsidP="00B96E6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7325" w14:textId="77777777" w:rsidR="00B96E6D" w:rsidRPr="00B96E6D" w:rsidRDefault="00B96E6D" w:rsidP="00B96E6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190" w14:textId="77777777" w:rsidR="00E63D41" w:rsidRDefault="00E63D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C412" w14:textId="77777777" w:rsidR="00E63D41" w:rsidRDefault="00E63D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180E" w14:textId="77777777" w:rsidR="00E63D41" w:rsidRDefault="00E63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5D2"/>
    <w:multiLevelType w:val="multilevel"/>
    <w:tmpl w:val="98021A1A"/>
    <w:lvl w:ilvl="0">
      <w:start w:val="4"/>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A95420"/>
    <w:multiLevelType w:val="multilevel"/>
    <w:tmpl w:val="36A2544E"/>
    <w:lvl w:ilvl="0">
      <w:start w:val="6"/>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73E7F"/>
    <w:multiLevelType w:val="multilevel"/>
    <w:tmpl w:val="A328BA50"/>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F13D7"/>
    <w:multiLevelType w:val="multilevel"/>
    <w:tmpl w:val="B528424A"/>
    <w:lvl w:ilvl="0">
      <w:start w:val="5"/>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723F3"/>
    <w:multiLevelType w:val="hybridMultilevel"/>
    <w:tmpl w:val="C45E0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65391"/>
    <w:multiLevelType w:val="hybridMultilevel"/>
    <w:tmpl w:val="679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C63CD"/>
    <w:multiLevelType w:val="multilevel"/>
    <w:tmpl w:val="D98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D32E2"/>
    <w:multiLevelType w:val="multilevel"/>
    <w:tmpl w:val="AB545EE6"/>
    <w:lvl w:ilvl="0">
      <w:start w:val="5"/>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796E32"/>
    <w:multiLevelType w:val="multilevel"/>
    <w:tmpl w:val="633ED1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524D53"/>
    <w:multiLevelType w:val="multilevel"/>
    <w:tmpl w:val="44FE2046"/>
    <w:lvl w:ilvl="0">
      <w:start w:val="3"/>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252590"/>
    <w:multiLevelType w:val="multilevel"/>
    <w:tmpl w:val="652E07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5091"/>
    <w:multiLevelType w:val="hybridMultilevel"/>
    <w:tmpl w:val="0F70C1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243A15"/>
    <w:multiLevelType w:val="multilevel"/>
    <w:tmpl w:val="E92A9940"/>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3434EB"/>
    <w:multiLevelType w:val="hybridMultilevel"/>
    <w:tmpl w:val="E56C1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DF5272"/>
    <w:multiLevelType w:val="hybridMultilevel"/>
    <w:tmpl w:val="4DFC12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EA4F9A"/>
    <w:multiLevelType w:val="multilevel"/>
    <w:tmpl w:val="3D706F0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5C2798"/>
    <w:multiLevelType w:val="multilevel"/>
    <w:tmpl w:val="F1528616"/>
    <w:styleLink w:val="amprLISTL1-forboxORANGEdashed"/>
    <w:lvl w:ilvl="0">
      <w:start w:val="1"/>
      <w:numFmt w:val="bullet"/>
      <w:pStyle w:val="amprboxORANGEdashed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716E"/>
    <w:multiLevelType w:val="multilevel"/>
    <w:tmpl w:val="B8BEECC0"/>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2241D"/>
    <w:multiLevelType w:val="multilevel"/>
    <w:tmpl w:val="3B0A43D4"/>
    <w:lvl w:ilvl="0">
      <w:start w:val="6"/>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A2249F7"/>
    <w:multiLevelType w:val="multilevel"/>
    <w:tmpl w:val="DC1E05CA"/>
    <w:lvl w:ilvl="0">
      <w:start w:val="1"/>
      <w:numFmt w:val="decimal"/>
      <w:pStyle w:val="Chaptertitle"/>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6549EB"/>
    <w:multiLevelType w:val="multilevel"/>
    <w:tmpl w:val="F2D446E6"/>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DC12C5"/>
    <w:multiLevelType w:val="hybridMultilevel"/>
    <w:tmpl w:val="47C602A4"/>
    <w:lvl w:ilvl="0" w:tplc="984E9680">
      <w:start w:val="4"/>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AE0B09"/>
    <w:multiLevelType w:val="multilevel"/>
    <w:tmpl w:val="1124DB6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335210A"/>
    <w:multiLevelType w:val="hybridMultilevel"/>
    <w:tmpl w:val="52CA72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DA1E3A"/>
    <w:multiLevelType w:val="multilevel"/>
    <w:tmpl w:val="8D708C7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82E7C97"/>
    <w:multiLevelType w:val="multilevel"/>
    <w:tmpl w:val="1C6CD8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7F2A1A"/>
    <w:multiLevelType w:val="multilevel"/>
    <w:tmpl w:val="AA90F6D2"/>
    <w:lvl w:ilvl="0">
      <w:start w:val="4"/>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E1872"/>
    <w:multiLevelType w:val="hybridMultilevel"/>
    <w:tmpl w:val="94C616A0"/>
    <w:lvl w:ilvl="0" w:tplc="C264FF7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D22914"/>
    <w:multiLevelType w:val="hybridMultilevel"/>
    <w:tmpl w:val="3AD42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174191"/>
    <w:multiLevelType w:val="hybridMultilevel"/>
    <w:tmpl w:val="CA6C0A0A"/>
    <w:lvl w:ilvl="0" w:tplc="67663D94">
      <w:start w:val="1"/>
      <w:numFmt w:val="bullet"/>
      <w:pStyle w:val="Briefinglis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246DF"/>
    <w:multiLevelType w:val="multilevel"/>
    <w:tmpl w:val="48C29EDA"/>
    <w:lvl w:ilvl="0">
      <w:start w:val="4"/>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18"/>
  </w:num>
  <w:num w:numId="3">
    <w:abstractNumId w:val="34"/>
  </w:num>
  <w:num w:numId="4">
    <w:abstractNumId w:val="25"/>
  </w:num>
  <w:num w:numId="5">
    <w:abstractNumId w:val="32"/>
  </w:num>
  <w:num w:numId="6">
    <w:abstractNumId w:val="5"/>
  </w:num>
  <w:num w:numId="7">
    <w:abstractNumId w:val="11"/>
  </w:num>
  <w:num w:numId="8">
    <w:abstractNumId w:val="30"/>
  </w:num>
  <w:num w:numId="9">
    <w:abstractNumId w:val="6"/>
  </w:num>
  <w:num w:numId="10">
    <w:abstractNumId w:val="26"/>
  </w:num>
  <w:num w:numId="11">
    <w:abstractNumId w:val="15"/>
  </w:num>
  <w:num w:numId="12">
    <w:abstractNumId w:val="13"/>
  </w:num>
  <w:num w:numId="13">
    <w:abstractNumId w:val="31"/>
  </w:num>
  <w:num w:numId="14">
    <w:abstractNumId w:val="7"/>
  </w:num>
  <w:num w:numId="15">
    <w:abstractNumId w:val="12"/>
  </w:num>
  <w:num w:numId="16">
    <w:abstractNumId w:val="19"/>
  </w:num>
  <w:num w:numId="17">
    <w:abstractNumId w:val="2"/>
  </w:num>
  <w:num w:numId="18">
    <w:abstractNumId w:val="27"/>
  </w:num>
  <w:num w:numId="19">
    <w:abstractNumId w:val="10"/>
  </w:num>
  <w:num w:numId="20">
    <w:abstractNumId w:val="24"/>
  </w:num>
  <w:num w:numId="21">
    <w:abstractNumId w:val="14"/>
  </w:num>
  <w:num w:numId="22">
    <w:abstractNumId w:val="33"/>
  </w:num>
  <w:num w:numId="23">
    <w:abstractNumId w:val="17"/>
  </w:num>
  <w:num w:numId="24">
    <w:abstractNumId w:val="20"/>
  </w:num>
  <w:num w:numId="25">
    <w:abstractNumId w:val="1"/>
  </w:num>
  <w:num w:numId="26">
    <w:abstractNumId w:val="22"/>
  </w:num>
  <w:num w:numId="27">
    <w:abstractNumId w:val="28"/>
  </w:num>
  <w:num w:numId="28">
    <w:abstractNumId w:val="8"/>
  </w:num>
  <w:num w:numId="29">
    <w:abstractNumId w:val="3"/>
  </w:num>
  <w:num w:numId="30">
    <w:abstractNumId w:val="9"/>
  </w:num>
  <w:num w:numId="31">
    <w:abstractNumId w:val="0"/>
  </w:num>
  <w:num w:numId="32">
    <w:abstractNumId w:val="29"/>
  </w:num>
  <w:num w:numId="33">
    <w:abstractNumId w:val="16"/>
  </w:num>
  <w:num w:numId="34">
    <w:abstractNumId w:val="2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017C967-BF58-44F0-8F2C-A1A56B016C2C"/>
    <w:docVar w:name="LW_COVERPAGE_TYPE" w:val="1"/>
    <w:docVar w:name="LW_CROSSREFERENCE" w:val="&lt;UNUSED&gt;"/>
    <w:docVar w:name="LW_DocType" w:val="NORMAL"/>
    <w:docVar w:name="LW_EMISSION" w:val="15.12.2023"/>
    <w:docVar w:name="LW_EMISSION_ISODATE" w:val="2023-12-15"/>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7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portul privind nivelul de preg\u259?tire în materie de s\u259?n\u259?tate, edi\u539?ia 2023"/>
    <w:docVar w:name="LW_TYPE.DOC.CP" w:val="COMUNICARE A COMISIEI C\u258?TRE PARLAMENTUL EUROPEAN, CONSILIU, COMITETUL ECONOMIC \u536?I SOCIAL EUROPEAN \u536?I COMITETUL REGIUNILOR"/>
    <w:docVar w:name="LW_TYPE.DOC.CP.USERTEXT" w:val="&lt;EMPTY&gt;"/>
    <w:docVar w:name="LwApiVersions" w:val="LW4CoDe 1.24.4.0; LW 9.0, Build 20240109"/>
  </w:docVars>
  <w:rsids>
    <w:rsidRoot w:val="00C619B5"/>
    <w:rsid w:val="00002601"/>
    <w:rsid w:val="00003506"/>
    <w:rsid w:val="00011B06"/>
    <w:rsid w:val="000150F5"/>
    <w:rsid w:val="00015AC9"/>
    <w:rsid w:val="000176F6"/>
    <w:rsid w:val="00017A94"/>
    <w:rsid w:val="0002096F"/>
    <w:rsid w:val="000222DA"/>
    <w:rsid w:val="0002315C"/>
    <w:rsid w:val="00026023"/>
    <w:rsid w:val="000262D8"/>
    <w:rsid w:val="0002731F"/>
    <w:rsid w:val="0003074E"/>
    <w:rsid w:val="00031422"/>
    <w:rsid w:val="00031A95"/>
    <w:rsid w:val="00031EDF"/>
    <w:rsid w:val="000332FE"/>
    <w:rsid w:val="0003452E"/>
    <w:rsid w:val="0004586D"/>
    <w:rsid w:val="000459E3"/>
    <w:rsid w:val="00046E2F"/>
    <w:rsid w:val="000554C5"/>
    <w:rsid w:val="00055B9F"/>
    <w:rsid w:val="000624B0"/>
    <w:rsid w:val="00063DC0"/>
    <w:rsid w:val="0006408D"/>
    <w:rsid w:val="00072774"/>
    <w:rsid w:val="00074BB3"/>
    <w:rsid w:val="0007696E"/>
    <w:rsid w:val="00081F8A"/>
    <w:rsid w:val="00082E8A"/>
    <w:rsid w:val="00086138"/>
    <w:rsid w:val="0008657C"/>
    <w:rsid w:val="00095BCD"/>
    <w:rsid w:val="0009613C"/>
    <w:rsid w:val="0009659F"/>
    <w:rsid w:val="00096A4C"/>
    <w:rsid w:val="000A12C4"/>
    <w:rsid w:val="000A69F5"/>
    <w:rsid w:val="000B2D2A"/>
    <w:rsid w:val="000B3DBB"/>
    <w:rsid w:val="000B3FE3"/>
    <w:rsid w:val="000C58E0"/>
    <w:rsid w:val="000C7AC2"/>
    <w:rsid w:val="000D006B"/>
    <w:rsid w:val="000D11EF"/>
    <w:rsid w:val="000D39F4"/>
    <w:rsid w:val="000D48E3"/>
    <w:rsid w:val="000D5412"/>
    <w:rsid w:val="000D6B72"/>
    <w:rsid w:val="000E393B"/>
    <w:rsid w:val="000F0CDA"/>
    <w:rsid w:val="000F1F28"/>
    <w:rsid w:val="000F2866"/>
    <w:rsid w:val="000F2FA6"/>
    <w:rsid w:val="000F7855"/>
    <w:rsid w:val="000F7AAC"/>
    <w:rsid w:val="00101682"/>
    <w:rsid w:val="001021CC"/>
    <w:rsid w:val="00113103"/>
    <w:rsid w:val="001148E5"/>
    <w:rsid w:val="0011500E"/>
    <w:rsid w:val="001156EE"/>
    <w:rsid w:val="00115C50"/>
    <w:rsid w:val="00115C6D"/>
    <w:rsid w:val="00117832"/>
    <w:rsid w:val="0012433A"/>
    <w:rsid w:val="00124BA9"/>
    <w:rsid w:val="00125740"/>
    <w:rsid w:val="001269C1"/>
    <w:rsid w:val="00133667"/>
    <w:rsid w:val="00140841"/>
    <w:rsid w:val="00146A19"/>
    <w:rsid w:val="00147E9B"/>
    <w:rsid w:val="00151227"/>
    <w:rsid w:val="00151F96"/>
    <w:rsid w:val="00153B36"/>
    <w:rsid w:val="00155C4C"/>
    <w:rsid w:val="001609C4"/>
    <w:rsid w:val="0016343E"/>
    <w:rsid w:val="00164E77"/>
    <w:rsid w:val="001667AA"/>
    <w:rsid w:val="00166FAE"/>
    <w:rsid w:val="00172D2B"/>
    <w:rsid w:val="001736F8"/>
    <w:rsid w:val="00175788"/>
    <w:rsid w:val="001776E2"/>
    <w:rsid w:val="00180D3E"/>
    <w:rsid w:val="00182221"/>
    <w:rsid w:val="00183E29"/>
    <w:rsid w:val="0018592C"/>
    <w:rsid w:val="00190020"/>
    <w:rsid w:val="00191C05"/>
    <w:rsid w:val="00192B7C"/>
    <w:rsid w:val="00193936"/>
    <w:rsid w:val="00195A87"/>
    <w:rsid w:val="001960DC"/>
    <w:rsid w:val="001A17EB"/>
    <w:rsid w:val="001A435E"/>
    <w:rsid w:val="001A59BD"/>
    <w:rsid w:val="001A66A5"/>
    <w:rsid w:val="001A7402"/>
    <w:rsid w:val="001B09FA"/>
    <w:rsid w:val="001B2E4C"/>
    <w:rsid w:val="001C1A99"/>
    <w:rsid w:val="001C1AC8"/>
    <w:rsid w:val="001C54A0"/>
    <w:rsid w:val="001D1539"/>
    <w:rsid w:val="001D275C"/>
    <w:rsid w:val="001D3B97"/>
    <w:rsid w:val="001D3ED8"/>
    <w:rsid w:val="001D4C82"/>
    <w:rsid w:val="001D6E54"/>
    <w:rsid w:val="001E0C9F"/>
    <w:rsid w:val="001E14A6"/>
    <w:rsid w:val="001E2076"/>
    <w:rsid w:val="001E261A"/>
    <w:rsid w:val="001E4E6E"/>
    <w:rsid w:val="001E698A"/>
    <w:rsid w:val="001E7A58"/>
    <w:rsid w:val="001F1738"/>
    <w:rsid w:val="001F328E"/>
    <w:rsid w:val="001F79BA"/>
    <w:rsid w:val="002020B4"/>
    <w:rsid w:val="00204A8F"/>
    <w:rsid w:val="00205933"/>
    <w:rsid w:val="00206B34"/>
    <w:rsid w:val="0021356E"/>
    <w:rsid w:val="00215C1F"/>
    <w:rsid w:val="002160BF"/>
    <w:rsid w:val="002168B2"/>
    <w:rsid w:val="002207DE"/>
    <w:rsid w:val="00221E93"/>
    <w:rsid w:val="00222814"/>
    <w:rsid w:val="00223BF7"/>
    <w:rsid w:val="002241F0"/>
    <w:rsid w:val="00224253"/>
    <w:rsid w:val="0022458E"/>
    <w:rsid w:val="00224662"/>
    <w:rsid w:val="002258E7"/>
    <w:rsid w:val="002260F0"/>
    <w:rsid w:val="0023011B"/>
    <w:rsid w:val="00232682"/>
    <w:rsid w:val="00232B24"/>
    <w:rsid w:val="00232FE6"/>
    <w:rsid w:val="00236E4B"/>
    <w:rsid w:val="00237625"/>
    <w:rsid w:val="00240B9B"/>
    <w:rsid w:val="002440B6"/>
    <w:rsid w:val="0024638C"/>
    <w:rsid w:val="00251752"/>
    <w:rsid w:val="00265D6B"/>
    <w:rsid w:val="002703F9"/>
    <w:rsid w:val="002707BC"/>
    <w:rsid w:val="00271C7F"/>
    <w:rsid w:val="002740E4"/>
    <w:rsid w:val="00274557"/>
    <w:rsid w:val="002774E5"/>
    <w:rsid w:val="00283EA0"/>
    <w:rsid w:val="00284404"/>
    <w:rsid w:val="002917C3"/>
    <w:rsid w:val="00291AC6"/>
    <w:rsid w:val="0029373F"/>
    <w:rsid w:val="002A242B"/>
    <w:rsid w:val="002A527A"/>
    <w:rsid w:val="002A5AB8"/>
    <w:rsid w:val="002A5CD7"/>
    <w:rsid w:val="002B1144"/>
    <w:rsid w:val="002B4D6C"/>
    <w:rsid w:val="002B4F8B"/>
    <w:rsid w:val="002B5469"/>
    <w:rsid w:val="002B709F"/>
    <w:rsid w:val="002B7207"/>
    <w:rsid w:val="002C3D87"/>
    <w:rsid w:val="002C56BE"/>
    <w:rsid w:val="002C5C7C"/>
    <w:rsid w:val="002D2465"/>
    <w:rsid w:val="002D4B52"/>
    <w:rsid w:val="002D6120"/>
    <w:rsid w:val="002E0ACE"/>
    <w:rsid w:val="002E1AFB"/>
    <w:rsid w:val="002F1465"/>
    <w:rsid w:val="002F1D2B"/>
    <w:rsid w:val="002F2A32"/>
    <w:rsid w:val="002F47F5"/>
    <w:rsid w:val="002F4CA6"/>
    <w:rsid w:val="002F752C"/>
    <w:rsid w:val="002F79FD"/>
    <w:rsid w:val="00300C2A"/>
    <w:rsid w:val="0030156A"/>
    <w:rsid w:val="0030164B"/>
    <w:rsid w:val="0030184B"/>
    <w:rsid w:val="00302E03"/>
    <w:rsid w:val="00304370"/>
    <w:rsid w:val="003101DD"/>
    <w:rsid w:val="003106A5"/>
    <w:rsid w:val="00312459"/>
    <w:rsid w:val="0031254B"/>
    <w:rsid w:val="00312C13"/>
    <w:rsid w:val="00317A39"/>
    <w:rsid w:val="0032059A"/>
    <w:rsid w:val="003225E8"/>
    <w:rsid w:val="00323831"/>
    <w:rsid w:val="00323EED"/>
    <w:rsid w:val="00325A0A"/>
    <w:rsid w:val="0033212C"/>
    <w:rsid w:val="0033327F"/>
    <w:rsid w:val="003362FD"/>
    <w:rsid w:val="0034181A"/>
    <w:rsid w:val="003432EB"/>
    <w:rsid w:val="00346B4D"/>
    <w:rsid w:val="00346B7E"/>
    <w:rsid w:val="003501C3"/>
    <w:rsid w:val="0035237A"/>
    <w:rsid w:val="003534D7"/>
    <w:rsid w:val="00355CB1"/>
    <w:rsid w:val="00356FB9"/>
    <w:rsid w:val="00357B1E"/>
    <w:rsid w:val="00363EDB"/>
    <w:rsid w:val="00367602"/>
    <w:rsid w:val="00372403"/>
    <w:rsid w:val="00372B0A"/>
    <w:rsid w:val="0038024E"/>
    <w:rsid w:val="00380DD9"/>
    <w:rsid w:val="00382A88"/>
    <w:rsid w:val="003836E7"/>
    <w:rsid w:val="003845E3"/>
    <w:rsid w:val="00384A7B"/>
    <w:rsid w:val="00385C69"/>
    <w:rsid w:val="00392DE5"/>
    <w:rsid w:val="00393857"/>
    <w:rsid w:val="00393EBF"/>
    <w:rsid w:val="003A3505"/>
    <w:rsid w:val="003A35CC"/>
    <w:rsid w:val="003A661B"/>
    <w:rsid w:val="003A7882"/>
    <w:rsid w:val="003B0461"/>
    <w:rsid w:val="003B0750"/>
    <w:rsid w:val="003B35A2"/>
    <w:rsid w:val="003B44E7"/>
    <w:rsid w:val="003B4CBC"/>
    <w:rsid w:val="003C1233"/>
    <w:rsid w:val="003C2E20"/>
    <w:rsid w:val="003C3CFF"/>
    <w:rsid w:val="003C537A"/>
    <w:rsid w:val="003C568F"/>
    <w:rsid w:val="003C5A70"/>
    <w:rsid w:val="003C61EE"/>
    <w:rsid w:val="003D0526"/>
    <w:rsid w:val="003D3524"/>
    <w:rsid w:val="003D5717"/>
    <w:rsid w:val="003E1061"/>
    <w:rsid w:val="003E53D2"/>
    <w:rsid w:val="003E5721"/>
    <w:rsid w:val="003E6744"/>
    <w:rsid w:val="003E6946"/>
    <w:rsid w:val="003E707F"/>
    <w:rsid w:val="003E78CD"/>
    <w:rsid w:val="003F1C3A"/>
    <w:rsid w:val="003F6A4D"/>
    <w:rsid w:val="004006B8"/>
    <w:rsid w:val="00403F00"/>
    <w:rsid w:val="00404A2B"/>
    <w:rsid w:val="0040502F"/>
    <w:rsid w:val="00412481"/>
    <w:rsid w:val="0041768E"/>
    <w:rsid w:val="004205C8"/>
    <w:rsid w:val="004210CF"/>
    <w:rsid w:val="004255C7"/>
    <w:rsid w:val="004256B8"/>
    <w:rsid w:val="00425C94"/>
    <w:rsid w:val="00426A78"/>
    <w:rsid w:val="00430A10"/>
    <w:rsid w:val="00431851"/>
    <w:rsid w:val="00434D7F"/>
    <w:rsid w:val="0043500B"/>
    <w:rsid w:val="00435FDF"/>
    <w:rsid w:val="00437D3A"/>
    <w:rsid w:val="00450ADF"/>
    <w:rsid w:val="00450C04"/>
    <w:rsid w:val="00450C2B"/>
    <w:rsid w:val="00451A7D"/>
    <w:rsid w:val="0045785F"/>
    <w:rsid w:val="00467937"/>
    <w:rsid w:val="00470922"/>
    <w:rsid w:val="00480193"/>
    <w:rsid w:val="00480AD0"/>
    <w:rsid w:val="00482EA7"/>
    <w:rsid w:val="004926A9"/>
    <w:rsid w:val="00496FA3"/>
    <w:rsid w:val="004A35DF"/>
    <w:rsid w:val="004A3885"/>
    <w:rsid w:val="004A39FC"/>
    <w:rsid w:val="004B229A"/>
    <w:rsid w:val="004B63FB"/>
    <w:rsid w:val="004C0890"/>
    <w:rsid w:val="004C3E69"/>
    <w:rsid w:val="004D4672"/>
    <w:rsid w:val="004E183E"/>
    <w:rsid w:val="004E1EBB"/>
    <w:rsid w:val="004E3657"/>
    <w:rsid w:val="004E3FBD"/>
    <w:rsid w:val="004F4EEB"/>
    <w:rsid w:val="004F6F73"/>
    <w:rsid w:val="004F7E4C"/>
    <w:rsid w:val="00501B55"/>
    <w:rsid w:val="00501E31"/>
    <w:rsid w:val="00503DA0"/>
    <w:rsid w:val="0050524F"/>
    <w:rsid w:val="00511B09"/>
    <w:rsid w:val="00517A22"/>
    <w:rsid w:val="00520DA4"/>
    <w:rsid w:val="00524938"/>
    <w:rsid w:val="0052546D"/>
    <w:rsid w:val="00525757"/>
    <w:rsid w:val="00532DC3"/>
    <w:rsid w:val="00532DD6"/>
    <w:rsid w:val="00542A7E"/>
    <w:rsid w:val="0054387A"/>
    <w:rsid w:val="00543A77"/>
    <w:rsid w:val="005442EC"/>
    <w:rsid w:val="00544BD7"/>
    <w:rsid w:val="0055014D"/>
    <w:rsid w:val="005511D7"/>
    <w:rsid w:val="0055491B"/>
    <w:rsid w:val="005670D5"/>
    <w:rsid w:val="005708B4"/>
    <w:rsid w:val="00570908"/>
    <w:rsid w:val="00571AB3"/>
    <w:rsid w:val="00572997"/>
    <w:rsid w:val="005736FA"/>
    <w:rsid w:val="005737A5"/>
    <w:rsid w:val="00585095"/>
    <w:rsid w:val="00590751"/>
    <w:rsid w:val="005967D1"/>
    <w:rsid w:val="005A1AA9"/>
    <w:rsid w:val="005A3A1A"/>
    <w:rsid w:val="005A4F58"/>
    <w:rsid w:val="005B1A5C"/>
    <w:rsid w:val="005B204D"/>
    <w:rsid w:val="005B33AF"/>
    <w:rsid w:val="005B40A9"/>
    <w:rsid w:val="005B469D"/>
    <w:rsid w:val="005B4CF9"/>
    <w:rsid w:val="005B5FC1"/>
    <w:rsid w:val="005C32C3"/>
    <w:rsid w:val="005C393F"/>
    <w:rsid w:val="005C3AB5"/>
    <w:rsid w:val="005C7E6D"/>
    <w:rsid w:val="005E1015"/>
    <w:rsid w:val="005E1ED4"/>
    <w:rsid w:val="005E294F"/>
    <w:rsid w:val="005E332D"/>
    <w:rsid w:val="005E3F96"/>
    <w:rsid w:val="005E456F"/>
    <w:rsid w:val="005E6F2A"/>
    <w:rsid w:val="005F0911"/>
    <w:rsid w:val="005F10DF"/>
    <w:rsid w:val="0060127F"/>
    <w:rsid w:val="00602251"/>
    <w:rsid w:val="00605154"/>
    <w:rsid w:val="00614109"/>
    <w:rsid w:val="0061698F"/>
    <w:rsid w:val="006208F7"/>
    <w:rsid w:val="00621C3D"/>
    <w:rsid w:val="00623356"/>
    <w:rsid w:val="00624B0C"/>
    <w:rsid w:val="00625A59"/>
    <w:rsid w:val="00627FF6"/>
    <w:rsid w:val="00630A39"/>
    <w:rsid w:val="006401D0"/>
    <w:rsid w:val="00643E13"/>
    <w:rsid w:val="006467ED"/>
    <w:rsid w:val="00650C17"/>
    <w:rsid w:val="00650D45"/>
    <w:rsid w:val="00655B7B"/>
    <w:rsid w:val="00657967"/>
    <w:rsid w:val="00661741"/>
    <w:rsid w:val="00665B07"/>
    <w:rsid w:val="00666256"/>
    <w:rsid w:val="0067054E"/>
    <w:rsid w:val="00670CAF"/>
    <w:rsid w:val="00671AA9"/>
    <w:rsid w:val="00674D81"/>
    <w:rsid w:val="00675BCD"/>
    <w:rsid w:val="00676536"/>
    <w:rsid w:val="006771C8"/>
    <w:rsid w:val="00677395"/>
    <w:rsid w:val="00681330"/>
    <w:rsid w:val="006821CF"/>
    <w:rsid w:val="0068381A"/>
    <w:rsid w:val="0068383D"/>
    <w:rsid w:val="006857C6"/>
    <w:rsid w:val="00685E4D"/>
    <w:rsid w:val="006913D6"/>
    <w:rsid w:val="00691A69"/>
    <w:rsid w:val="00696EF8"/>
    <w:rsid w:val="006A69BA"/>
    <w:rsid w:val="006B17B6"/>
    <w:rsid w:val="006B5917"/>
    <w:rsid w:val="006C1420"/>
    <w:rsid w:val="006C4EE3"/>
    <w:rsid w:val="006C6E3F"/>
    <w:rsid w:val="006D0AA3"/>
    <w:rsid w:val="006D0E13"/>
    <w:rsid w:val="006D236C"/>
    <w:rsid w:val="006D2ADD"/>
    <w:rsid w:val="006D3EDF"/>
    <w:rsid w:val="006D698D"/>
    <w:rsid w:val="006D709B"/>
    <w:rsid w:val="006D7E5B"/>
    <w:rsid w:val="006E1686"/>
    <w:rsid w:val="006E5885"/>
    <w:rsid w:val="006E7456"/>
    <w:rsid w:val="006E79AF"/>
    <w:rsid w:val="006F3A7B"/>
    <w:rsid w:val="006F40D0"/>
    <w:rsid w:val="006F6CE9"/>
    <w:rsid w:val="006F7A7A"/>
    <w:rsid w:val="00703CEB"/>
    <w:rsid w:val="00705021"/>
    <w:rsid w:val="00706E28"/>
    <w:rsid w:val="00710F99"/>
    <w:rsid w:val="00716031"/>
    <w:rsid w:val="00720C45"/>
    <w:rsid w:val="00722228"/>
    <w:rsid w:val="007226C9"/>
    <w:rsid w:val="00724709"/>
    <w:rsid w:val="00726AF6"/>
    <w:rsid w:val="00732524"/>
    <w:rsid w:val="0073488A"/>
    <w:rsid w:val="00736200"/>
    <w:rsid w:val="00736C99"/>
    <w:rsid w:val="0074362E"/>
    <w:rsid w:val="00746F38"/>
    <w:rsid w:val="007478A9"/>
    <w:rsid w:val="00750E41"/>
    <w:rsid w:val="00751592"/>
    <w:rsid w:val="00751D8A"/>
    <w:rsid w:val="00754838"/>
    <w:rsid w:val="00755BDD"/>
    <w:rsid w:val="0075635F"/>
    <w:rsid w:val="00757387"/>
    <w:rsid w:val="00760990"/>
    <w:rsid w:val="0076180A"/>
    <w:rsid w:val="00765ABD"/>
    <w:rsid w:val="0077087A"/>
    <w:rsid w:val="00771AFF"/>
    <w:rsid w:val="0077341B"/>
    <w:rsid w:val="00773FF2"/>
    <w:rsid w:val="00774562"/>
    <w:rsid w:val="00774D74"/>
    <w:rsid w:val="00774DBD"/>
    <w:rsid w:val="00774F2C"/>
    <w:rsid w:val="00775850"/>
    <w:rsid w:val="00780847"/>
    <w:rsid w:val="00780E18"/>
    <w:rsid w:val="0078272D"/>
    <w:rsid w:val="00783C05"/>
    <w:rsid w:val="0078495C"/>
    <w:rsid w:val="00785B9C"/>
    <w:rsid w:val="007917D0"/>
    <w:rsid w:val="00791D8B"/>
    <w:rsid w:val="00792503"/>
    <w:rsid w:val="00792554"/>
    <w:rsid w:val="00793ECA"/>
    <w:rsid w:val="00795A08"/>
    <w:rsid w:val="007A13E2"/>
    <w:rsid w:val="007A1DAD"/>
    <w:rsid w:val="007A631E"/>
    <w:rsid w:val="007C3F12"/>
    <w:rsid w:val="007C5356"/>
    <w:rsid w:val="007C75FF"/>
    <w:rsid w:val="007D1C60"/>
    <w:rsid w:val="007D2980"/>
    <w:rsid w:val="007D437A"/>
    <w:rsid w:val="007D4B14"/>
    <w:rsid w:val="007D4EEA"/>
    <w:rsid w:val="007D5BBA"/>
    <w:rsid w:val="007D720E"/>
    <w:rsid w:val="007E1E67"/>
    <w:rsid w:val="007E443B"/>
    <w:rsid w:val="007E4F2E"/>
    <w:rsid w:val="007E7492"/>
    <w:rsid w:val="007F1A59"/>
    <w:rsid w:val="007F5B0B"/>
    <w:rsid w:val="00801039"/>
    <w:rsid w:val="0080452D"/>
    <w:rsid w:val="00804F62"/>
    <w:rsid w:val="00806C5E"/>
    <w:rsid w:val="00813BE4"/>
    <w:rsid w:val="00814216"/>
    <w:rsid w:val="00825EC9"/>
    <w:rsid w:val="00826A36"/>
    <w:rsid w:val="00831B85"/>
    <w:rsid w:val="00832EBF"/>
    <w:rsid w:val="008351E5"/>
    <w:rsid w:val="00835797"/>
    <w:rsid w:val="00835AEA"/>
    <w:rsid w:val="00836E45"/>
    <w:rsid w:val="00837C3C"/>
    <w:rsid w:val="00842A6C"/>
    <w:rsid w:val="008528DC"/>
    <w:rsid w:val="0085365F"/>
    <w:rsid w:val="00853C1B"/>
    <w:rsid w:val="00854E12"/>
    <w:rsid w:val="0086247F"/>
    <w:rsid w:val="008724C3"/>
    <w:rsid w:val="008728DA"/>
    <w:rsid w:val="008739EF"/>
    <w:rsid w:val="00876291"/>
    <w:rsid w:val="008767B7"/>
    <w:rsid w:val="00877E6B"/>
    <w:rsid w:val="00881CF4"/>
    <w:rsid w:val="008864D9"/>
    <w:rsid w:val="0088776C"/>
    <w:rsid w:val="008A1746"/>
    <w:rsid w:val="008A3DCD"/>
    <w:rsid w:val="008B0AD1"/>
    <w:rsid w:val="008B1E9B"/>
    <w:rsid w:val="008B21D4"/>
    <w:rsid w:val="008B26BE"/>
    <w:rsid w:val="008B2847"/>
    <w:rsid w:val="008B36BB"/>
    <w:rsid w:val="008C23E5"/>
    <w:rsid w:val="008C4554"/>
    <w:rsid w:val="008C498B"/>
    <w:rsid w:val="008C6D1D"/>
    <w:rsid w:val="008D0D98"/>
    <w:rsid w:val="008D33B9"/>
    <w:rsid w:val="008E3DB9"/>
    <w:rsid w:val="008E4BC5"/>
    <w:rsid w:val="008F28B8"/>
    <w:rsid w:val="008F2CB5"/>
    <w:rsid w:val="008F4060"/>
    <w:rsid w:val="008F423B"/>
    <w:rsid w:val="00904D1A"/>
    <w:rsid w:val="009070BC"/>
    <w:rsid w:val="00913F80"/>
    <w:rsid w:val="00917145"/>
    <w:rsid w:val="00921698"/>
    <w:rsid w:val="009238AD"/>
    <w:rsid w:val="00923DE0"/>
    <w:rsid w:val="009250AB"/>
    <w:rsid w:val="00930A6E"/>
    <w:rsid w:val="00932C40"/>
    <w:rsid w:val="00935579"/>
    <w:rsid w:val="00937708"/>
    <w:rsid w:val="00937AAF"/>
    <w:rsid w:val="00942BC7"/>
    <w:rsid w:val="009438F6"/>
    <w:rsid w:val="009449D3"/>
    <w:rsid w:val="0094565F"/>
    <w:rsid w:val="009504C3"/>
    <w:rsid w:val="009527BF"/>
    <w:rsid w:val="00953578"/>
    <w:rsid w:val="00953775"/>
    <w:rsid w:val="009561CC"/>
    <w:rsid w:val="00956F8F"/>
    <w:rsid w:val="009613BC"/>
    <w:rsid w:val="00971A8C"/>
    <w:rsid w:val="00983DA1"/>
    <w:rsid w:val="00985687"/>
    <w:rsid w:val="00991EF8"/>
    <w:rsid w:val="00992993"/>
    <w:rsid w:val="00994E7B"/>
    <w:rsid w:val="00994F8D"/>
    <w:rsid w:val="00997171"/>
    <w:rsid w:val="009A7A55"/>
    <w:rsid w:val="009B415A"/>
    <w:rsid w:val="009B5AF1"/>
    <w:rsid w:val="009C088F"/>
    <w:rsid w:val="009C4CDE"/>
    <w:rsid w:val="009C65E8"/>
    <w:rsid w:val="009C7E28"/>
    <w:rsid w:val="009D6411"/>
    <w:rsid w:val="009E1199"/>
    <w:rsid w:val="009E2C58"/>
    <w:rsid w:val="009E49F7"/>
    <w:rsid w:val="009E6237"/>
    <w:rsid w:val="009F0ED9"/>
    <w:rsid w:val="009F2751"/>
    <w:rsid w:val="009F41B2"/>
    <w:rsid w:val="009F619B"/>
    <w:rsid w:val="009F6F8F"/>
    <w:rsid w:val="00A0173C"/>
    <w:rsid w:val="00A02657"/>
    <w:rsid w:val="00A02810"/>
    <w:rsid w:val="00A03DDF"/>
    <w:rsid w:val="00A03ED2"/>
    <w:rsid w:val="00A067D4"/>
    <w:rsid w:val="00A07C06"/>
    <w:rsid w:val="00A126FB"/>
    <w:rsid w:val="00A14D8F"/>
    <w:rsid w:val="00A16E9E"/>
    <w:rsid w:val="00A2069E"/>
    <w:rsid w:val="00A22243"/>
    <w:rsid w:val="00A23B03"/>
    <w:rsid w:val="00A27F6B"/>
    <w:rsid w:val="00A33B43"/>
    <w:rsid w:val="00A346E9"/>
    <w:rsid w:val="00A3498D"/>
    <w:rsid w:val="00A362E4"/>
    <w:rsid w:val="00A4426A"/>
    <w:rsid w:val="00A44AA8"/>
    <w:rsid w:val="00A54A22"/>
    <w:rsid w:val="00A55361"/>
    <w:rsid w:val="00A57838"/>
    <w:rsid w:val="00A60126"/>
    <w:rsid w:val="00A61F69"/>
    <w:rsid w:val="00A64808"/>
    <w:rsid w:val="00A66E30"/>
    <w:rsid w:val="00A67737"/>
    <w:rsid w:val="00A73B4A"/>
    <w:rsid w:val="00A776EE"/>
    <w:rsid w:val="00A80EB7"/>
    <w:rsid w:val="00A8199D"/>
    <w:rsid w:val="00A8495E"/>
    <w:rsid w:val="00A96694"/>
    <w:rsid w:val="00AA3787"/>
    <w:rsid w:val="00AA5DC0"/>
    <w:rsid w:val="00AA7898"/>
    <w:rsid w:val="00AB48FE"/>
    <w:rsid w:val="00AB5837"/>
    <w:rsid w:val="00AB683B"/>
    <w:rsid w:val="00AC0FDC"/>
    <w:rsid w:val="00AC1530"/>
    <w:rsid w:val="00AC74FE"/>
    <w:rsid w:val="00AD0A7E"/>
    <w:rsid w:val="00AE1ECF"/>
    <w:rsid w:val="00AE29DF"/>
    <w:rsid w:val="00AE4ED2"/>
    <w:rsid w:val="00AF1FBC"/>
    <w:rsid w:val="00AF26F4"/>
    <w:rsid w:val="00AF3034"/>
    <w:rsid w:val="00AF4F9C"/>
    <w:rsid w:val="00AF56A3"/>
    <w:rsid w:val="00AF6333"/>
    <w:rsid w:val="00AF7210"/>
    <w:rsid w:val="00B00385"/>
    <w:rsid w:val="00B00464"/>
    <w:rsid w:val="00B01704"/>
    <w:rsid w:val="00B01E1E"/>
    <w:rsid w:val="00B025B1"/>
    <w:rsid w:val="00B025F2"/>
    <w:rsid w:val="00B0410D"/>
    <w:rsid w:val="00B046F4"/>
    <w:rsid w:val="00B0503C"/>
    <w:rsid w:val="00B053A1"/>
    <w:rsid w:val="00B1122E"/>
    <w:rsid w:val="00B143A5"/>
    <w:rsid w:val="00B148CE"/>
    <w:rsid w:val="00B23FC9"/>
    <w:rsid w:val="00B26E0B"/>
    <w:rsid w:val="00B27846"/>
    <w:rsid w:val="00B36AF7"/>
    <w:rsid w:val="00B40B91"/>
    <w:rsid w:val="00B41269"/>
    <w:rsid w:val="00B41CBA"/>
    <w:rsid w:val="00B43F78"/>
    <w:rsid w:val="00B45381"/>
    <w:rsid w:val="00B51085"/>
    <w:rsid w:val="00B51AA3"/>
    <w:rsid w:val="00B52839"/>
    <w:rsid w:val="00B530AB"/>
    <w:rsid w:val="00B54C43"/>
    <w:rsid w:val="00B554C1"/>
    <w:rsid w:val="00B55555"/>
    <w:rsid w:val="00B55BF2"/>
    <w:rsid w:val="00B5645C"/>
    <w:rsid w:val="00B56A57"/>
    <w:rsid w:val="00B57523"/>
    <w:rsid w:val="00B62E9B"/>
    <w:rsid w:val="00B7050A"/>
    <w:rsid w:val="00B720F5"/>
    <w:rsid w:val="00B723E4"/>
    <w:rsid w:val="00B769F6"/>
    <w:rsid w:val="00B816AF"/>
    <w:rsid w:val="00B86669"/>
    <w:rsid w:val="00B86E43"/>
    <w:rsid w:val="00B93283"/>
    <w:rsid w:val="00B934CF"/>
    <w:rsid w:val="00B95E2C"/>
    <w:rsid w:val="00B96E6D"/>
    <w:rsid w:val="00BA233D"/>
    <w:rsid w:val="00BA2C7D"/>
    <w:rsid w:val="00BA32ED"/>
    <w:rsid w:val="00BA55D7"/>
    <w:rsid w:val="00BA5B1A"/>
    <w:rsid w:val="00BB0DE4"/>
    <w:rsid w:val="00BB198E"/>
    <w:rsid w:val="00BB3DFA"/>
    <w:rsid w:val="00BB5600"/>
    <w:rsid w:val="00BC230E"/>
    <w:rsid w:val="00BC2F11"/>
    <w:rsid w:val="00BC4127"/>
    <w:rsid w:val="00BC7FCB"/>
    <w:rsid w:val="00BD317E"/>
    <w:rsid w:val="00BD7B8C"/>
    <w:rsid w:val="00BE1A6C"/>
    <w:rsid w:val="00BE6F4B"/>
    <w:rsid w:val="00BE758C"/>
    <w:rsid w:val="00BF5991"/>
    <w:rsid w:val="00BF5AD6"/>
    <w:rsid w:val="00C05DB3"/>
    <w:rsid w:val="00C06B6B"/>
    <w:rsid w:val="00C078C3"/>
    <w:rsid w:val="00C178E5"/>
    <w:rsid w:val="00C24466"/>
    <w:rsid w:val="00C2498F"/>
    <w:rsid w:val="00C25B50"/>
    <w:rsid w:val="00C267D8"/>
    <w:rsid w:val="00C31A05"/>
    <w:rsid w:val="00C32F4D"/>
    <w:rsid w:val="00C3332F"/>
    <w:rsid w:val="00C34FD6"/>
    <w:rsid w:val="00C3666B"/>
    <w:rsid w:val="00C36FC2"/>
    <w:rsid w:val="00C371B7"/>
    <w:rsid w:val="00C4099F"/>
    <w:rsid w:val="00C41931"/>
    <w:rsid w:val="00C4706C"/>
    <w:rsid w:val="00C5325C"/>
    <w:rsid w:val="00C534B3"/>
    <w:rsid w:val="00C538A1"/>
    <w:rsid w:val="00C619B5"/>
    <w:rsid w:val="00C6323B"/>
    <w:rsid w:val="00C63611"/>
    <w:rsid w:val="00C66759"/>
    <w:rsid w:val="00C7279D"/>
    <w:rsid w:val="00C8006B"/>
    <w:rsid w:val="00C8718E"/>
    <w:rsid w:val="00C872E8"/>
    <w:rsid w:val="00C949DD"/>
    <w:rsid w:val="00C94A9B"/>
    <w:rsid w:val="00C95640"/>
    <w:rsid w:val="00C968F3"/>
    <w:rsid w:val="00CA038A"/>
    <w:rsid w:val="00CA505B"/>
    <w:rsid w:val="00CA6122"/>
    <w:rsid w:val="00CB2301"/>
    <w:rsid w:val="00CB3248"/>
    <w:rsid w:val="00CB64AE"/>
    <w:rsid w:val="00CB6855"/>
    <w:rsid w:val="00CB779E"/>
    <w:rsid w:val="00CC0D13"/>
    <w:rsid w:val="00CC16CD"/>
    <w:rsid w:val="00CC65E1"/>
    <w:rsid w:val="00CC751D"/>
    <w:rsid w:val="00CD1496"/>
    <w:rsid w:val="00CD27C9"/>
    <w:rsid w:val="00CD2EE4"/>
    <w:rsid w:val="00CD77D8"/>
    <w:rsid w:val="00CD7AD9"/>
    <w:rsid w:val="00CE19DD"/>
    <w:rsid w:val="00CE1CCF"/>
    <w:rsid w:val="00CE1DAE"/>
    <w:rsid w:val="00CE70D7"/>
    <w:rsid w:val="00CF0AA8"/>
    <w:rsid w:val="00CF1024"/>
    <w:rsid w:val="00CF28B7"/>
    <w:rsid w:val="00CF3A23"/>
    <w:rsid w:val="00CF5DAE"/>
    <w:rsid w:val="00D00D56"/>
    <w:rsid w:val="00D06064"/>
    <w:rsid w:val="00D07C78"/>
    <w:rsid w:val="00D11B52"/>
    <w:rsid w:val="00D14864"/>
    <w:rsid w:val="00D14D6F"/>
    <w:rsid w:val="00D219E9"/>
    <w:rsid w:val="00D22EA0"/>
    <w:rsid w:val="00D24071"/>
    <w:rsid w:val="00D40880"/>
    <w:rsid w:val="00D4218C"/>
    <w:rsid w:val="00D46546"/>
    <w:rsid w:val="00D53521"/>
    <w:rsid w:val="00D5551D"/>
    <w:rsid w:val="00D6353F"/>
    <w:rsid w:val="00D64EAE"/>
    <w:rsid w:val="00D666BE"/>
    <w:rsid w:val="00D6793D"/>
    <w:rsid w:val="00D714B8"/>
    <w:rsid w:val="00D7634D"/>
    <w:rsid w:val="00D81F69"/>
    <w:rsid w:val="00D837C5"/>
    <w:rsid w:val="00D866C9"/>
    <w:rsid w:val="00D947E1"/>
    <w:rsid w:val="00DA1D72"/>
    <w:rsid w:val="00DA2496"/>
    <w:rsid w:val="00DA5213"/>
    <w:rsid w:val="00DA6408"/>
    <w:rsid w:val="00DA650D"/>
    <w:rsid w:val="00DB309D"/>
    <w:rsid w:val="00DB5E28"/>
    <w:rsid w:val="00DB6B68"/>
    <w:rsid w:val="00DB714D"/>
    <w:rsid w:val="00DC0170"/>
    <w:rsid w:val="00DC0F2F"/>
    <w:rsid w:val="00DC2460"/>
    <w:rsid w:val="00DC2FE4"/>
    <w:rsid w:val="00DC40EF"/>
    <w:rsid w:val="00DC6E2A"/>
    <w:rsid w:val="00DD1E27"/>
    <w:rsid w:val="00DD253E"/>
    <w:rsid w:val="00DD489A"/>
    <w:rsid w:val="00DD51F5"/>
    <w:rsid w:val="00DD5AEB"/>
    <w:rsid w:val="00DE16E3"/>
    <w:rsid w:val="00DE1D36"/>
    <w:rsid w:val="00DE22E2"/>
    <w:rsid w:val="00DE48A2"/>
    <w:rsid w:val="00DE60B4"/>
    <w:rsid w:val="00DE7329"/>
    <w:rsid w:val="00DE7458"/>
    <w:rsid w:val="00DE79CE"/>
    <w:rsid w:val="00DF2935"/>
    <w:rsid w:val="00DF32E2"/>
    <w:rsid w:val="00DF528A"/>
    <w:rsid w:val="00DF5A30"/>
    <w:rsid w:val="00E019DC"/>
    <w:rsid w:val="00E03D97"/>
    <w:rsid w:val="00E06895"/>
    <w:rsid w:val="00E07C3D"/>
    <w:rsid w:val="00E142EC"/>
    <w:rsid w:val="00E143FC"/>
    <w:rsid w:val="00E14569"/>
    <w:rsid w:val="00E21106"/>
    <w:rsid w:val="00E236AC"/>
    <w:rsid w:val="00E253C6"/>
    <w:rsid w:val="00E25652"/>
    <w:rsid w:val="00E2588D"/>
    <w:rsid w:val="00E26DD6"/>
    <w:rsid w:val="00E276EC"/>
    <w:rsid w:val="00E3166F"/>
    <w:rsid w:val="00E34E49"/>
    <w:rsid w:val="00E35E03"/>
    <w:rsid w:val="00E43505"/>
    <w:rsid w:val="00E462D4"/>
    <w:rsid w:val="00E507EA"/>
    <w:rsid w:val="00E560BC"/>
    <w:rsid w:val="00E5751D"/>
    <w:rsid w:val="00E57701"/>
    <w:rsid w:val="00E57A58"/>
    <w:rsid w:val="00E57E84"/>
    <w:rsid w:val="00E61129"/>
    <w:rsid w:val="00E61B3E"/>
    <w:rsid w:val="00E632DB"/>
    <w:rsid w:val="00E63D41"/>
    <w:rsid w:val="00E63FCB"/>
    <w:rsid w:val="00E66AF9"/>
    <w:rsid w:val="00E66B2E"/>
    <w:rsid w:val="00E67B0F"/>
    <w:rsid w:val="00E7260B"/>
    <w:rsid w:val="00E776A7"/>
    <w:rsid w:val="00E80216"/>
    <w:rsid w:val="00E83462"/>
    <w:rsid w:val="00E85022"/>
    <w:rsid w:val="00E85970"/>
    <w:rsid w:val="00E85D9F"/>
    <w:rsid w:val="00E86BEE"/>
    <w:rsid w:val="00EA5BAD"/>
    <w:rsid w:val="00EA7F93"/>
    <w:rsid w:val="00EB2DD7"/>
    <w:rsid w:val="00EB4BAB"/>
    <w:rsid w:val="00EB59F9"/>
    <w:rsid w:val="00EB721D"/>
    <w:rsid w:val="00EC0AFF"/>
    <w:rsid w:val="00EC128A"/>
    <w:rsid w:val="00EC2573"/>
    <w:rsid w:val="00EC27B5"/>
    <w:rsid w:val="00EC2DE9"/>
    <w:rsid w:val="00EC696D"/>
    <w:rsid w:val="00EC6E00"/>
    <w:rsid w:val="00ED1571"/>
    <w:rsid w:val="00ED3240"/>
    <w:rsid w:val="00ED5099"/>
    <w:rsid w:val="00ED5B3E"/>
    <w:rsid w:val="00EE108C"/>
    <w:rsid w:val="00EE2C52"/>
    <w:rsid w:val="00EE3209"/>
    <w:rsid w:val="00EE484F"/>
    <w:rsid w:val="00EE4D10"/>
    <w:rsid w:val="00EE57E8"/>
    <w:rsid w:val="00EE5873"/>
    <w:rsid w:val="00EE6097"/>
    <w:rsid w:val="00EE7498"/>
    <w:rsid w:val="00EF0085"/>
    <w:rsid w:val="00EF2FA1"/>
    <w:rsid w:val="00EF47D3"/>
    <w:rsid w:val="00F03A6A"/>
    <w:rsid w:val="00F03BFB"/>
    <w:rsid w:val="00F03CB3"/>
    <w:rsid w:val="00F06A1E"/>
    <w:rsid w:val="00F11611"/>
    <w:rsid w:val="00F15D9F"/>
    <w:rsid w:val="00F21325"/>
    <w:rsid w:val="00F213C4"/>
    <w:rsid w:val="00F21D35"/>
    <w:rsid w:val="00F22C20"/>
    <w:rsid w:val="00F233F7"/>
    <w:rsid w:val="00F23FA0"/>
    <w:rsid w:val="00F341BA"/>
    <w:rsid w:val="00F357D0"/>
    <w:rsid w:val="00F41B27"/>
    <w:rsid w:val="00F4397F"/>
    <w:rsid w:val="00F444B9"/>
    <w:rsid w:val="00F50D4F"/>
    <w:rsid w:val="00F56A87"/>
    <w:rsid w:val="00F572D5"/>
    <w:rsid w:val="00F62DF1"/>
    <w:rsid w:val="00F63360"/>
    <w:rsid w:val="00F7122F"/>
    <w:rsid w:val="00F7232D"/>
    <w:rsid w:val="00F76493"/>
    <w:rsid w:val="00F764E8"/>
    <w:rsid w:val="00F77DED"/>
    <w:rsid w:val="00F8181D"/>
    <w:rsid w:val="00F82520"/>
    <w:rsid w:val="00F83A8C"/>
    <w:rsid w:val="00F86B9D"/>
    <w:rsid w:val="00F935BF"/>
    <w:rsid w:val="00F96C5A"/>
    <w:rsid w:val="00FA00E5"/>
    <w:rsid w:val="00FA2380"/>
    <w:rsid w:val="00FA7FB6"/>
    <w:rsid w:val="00FB2274"/>
    <w:rsid w:val="00FB4C21"/>
    <w:rsid w:val="00FB67C9"/>
    <w:rsid w:val="00FB73AA"/>
    <w:rsid w:val="00FC03C1"/>
    <w:rsid w:val="00FC193D"/>
    <w:rsid w:val="00FC274F"/>
    <w:rsid w:val="00FC34AB"/>
    <w:rsid w:val="00FC4001"/>
    <w:rsid w:val="00FC45AB"/>
    <w:rsid w:val="00FD012D"/>
    <w:rsid w:val="00FD4907"/>
    <w:rsid w:val="00FD539F"/>
    <w:rsid w:val="00FD68BD"/>
    <w:rsid w:val="00FE01E2"/>
    <w:rsid w:val="00FE1433"/>
    <w:rsid w:val="00FE14B0"/>
    <w:rsid w:val="00FE24D5"/>
    <w:rsid w:val="00FE4CBA"/>
    <w:rsid w:val="00FE6D36"/>
    <w:rsid w:val="00FE71D1"/>
    <w:rsid w:val="00FF4840"/>
    <w:rsid w:val="00FF5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FE121B"/>
  <w15:chartTrackingRefBased/>
  <w15:docId w15:val="{D4295407-B1FF-442A-AF5A-1912ACC4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738"/>
    <w:pPr>
      <w:keepNext/>
      <w:keepLines/>
      <w:spacing w:before="320" w:after="0" w:line="264" w:lineRule="auto"/>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1F1738"/>
    <w:pPr>
      <w:keepNext/>
      <w:keepLines/>
      <w:spacing w:before="80" w:after="0" w:line="264" w:lineRule="auto"/>
      <w:outlineLvl w:val="1"/>
    </w:pPr>
    <w:rPr>
      <w:rFonts w:asciiTheme="majorHAnsi" w:eastAsiaTheme="majorEastAsia" w:hAnsiTheme="majorHAnsi" w:cstheme="majorBidi"/>
      <w:color w:val="404040" w:themeColor="text1" w:themeTint="BF"/>
      <w:sz w:val="28"/>
    </w:rPr>
  </w:style>
  <w:style w:type="paragraph" w:styleId="Heading3">
    <w:name w:val="heading 3"/>
    <w:basedOn w:val="Normal"/>
    <w:next w:val="Normal"/>
    <w:link w:val="Heading3Char"/>
    <w:uiPriority w:val="9"/>
    <w:unhideWhenUsed/>
    <w:qFormat/>
    <w:rsid w:val="001F1738"/>
    <w:pPr>
      <w:keepNext/>
      <w:keepLines/>
      <w:spacing w:before="40" w:after="0" w:line="264" w:lineRule="auto"/>
      <w:outlineLvl w:val="2"/>
    </w:pPr>
    <w:rPr>
      <w:rFonts w:asciiTheme="majorHAnsi" w:eastAsiaTheme="majorEastAsia" w:hAnsiTheme="majorHAnsi" w:cstheme="majorBidi"/>
      <w:color w:val="1F497D" w:themeColor="text2"/>
      <w:sz w:val="24"/>
    </w:rPr>
  </w:style>
  <w:style w:type="paragraph" w:styleId="Heading4">
    <w:name w:val="heading 4"/>
    <w:basedOn w:val="Normal"/>
    <w:next w:val="Normal"/>
    <w:link w:val="Heading4Char"/>
    <w:uiPriority w:val="9"/>
    <w:unhideWhenUsed/>
    <w:qFormat/>
    <w:rsid w:val="001F1738"/>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F1738"/>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Heading6">
    <w:name w:val="heading 6"/>
    <w:basedOn w:val="Normal"/>
    <w:next w:val="Normal"/>
    <w:link w:val="Heading6Char"/>
    <w:uiPriority w:val="9"/>
    <w:semiHidden/>
    <w:unhideWhenUsed/>
    <w:qFormat/>
    <w:rsid w:val="001F1738"/>
    <w:pPr>
      <w:keepNext/>
      <w:keepLines/>
      <w:spacing w:before="40" w:after="0" w:line="264" w:lineRule="auto"/>
      <w:outlineLvl w:val="5"/>
    </w:pPr>
    <w:rPr>
      <w:rFonts w:asciiTheme="majorHAnsi" w:eastAsiaTheme="majorEastAsia" w:hAnsiTheme="majorHAnsi" w:cstheme="majorBidi"/>
      <w:i/>
      <w:color w:val="1F497D" w:themeColor="text2"/>
      <w:sz w:val="21"/>
    </w:rPr>
  </w:style>
  <w:style w:type="paragraph" w:styleId="Heading7">
    <w:name w:val="heading 7"/>
    <w:basedOn w:val="Normal"/>
    <w:next w:val="Normal"/>
    <w:link w:val="Heading7Char"/>
    <w:uiPriority w:val="9"/>
    <w:semiHidden/>
    <w:unhideWhenUsed/>
    <w:qFormat/>
    <w:rsid w:val="001F1738"/>
    <w:pPr>
      <w:keepNext/>
      <w:keepLines/>
      <w:spacing w:before="40" w:after="0" w:line="264" w:lineRule="auto"/>
      <w:outlineLvl w:val="6"/>
    </w:pPr>
    <w:rPr>
      <w:rFonts w:asciiTheme="majorHAnsi" w:eastAsiaTheme="majorEastAsia" w:hAnsiTheme="majorHAnsi" w:cstheme="majorBidi"/>
      <w:i/>
      <w:color w:val="244061" w:themeColor="accent1" w:themeShade="80"/>
      <w:sz w:val="21"/>
    </w:rPr>
  </w:style>
  <w:style w:type="paragraph" w:styleId="Heading8">
    <w:name w:val="heading 8"/>
    <w:basedOn w:val="Normal"/>
    <w:next w:val="Normal"/>
    <w:link w:val="Heading8Char"/>
    <w:uiPriority w:val="9"/>
    <w:semiHidden/>
    <w:unhideWhenUsed/>
    <w:qFormat/>
    <w:rsid w:val="001F1738"/>
    <w:pPr>
      <w:keepNext/>
      <w:keepLines/>
      <w:spacing w:before="40" w:after="0" w:line="264" w:lineRule="auto"/>
      <w:outlineLvl w:val="7"/>
    </w:pPr>
    <w:rPr>
      <w:rFonts w:asciiTheme="majorHAnsi" w:eastAsiaTheme="majorEastAsia" w:hAnsiTheme="majorHAnsi" w:cstheme="majorBidi"/>
      <w:b/>
      <w:color w:val="1F497D" w:themeColor="text2"/>
      <w:sz w:val="20"/>
    </w:rPr>
  </w:style>
  <w:style w:type="paragraph" w:styleId="Heading9">
    <w:name w:val="heading 9"/>
    <w:basedOn w:val="Normal"/>
    <w:next w:val="Normal"/>
    <w:link w:val="Heading9Char"/>
    <w:uiPriority w:val="9"/>
    <w:semiHidden/>
    <w:unhideWhenUsed/>
    <w:qFormat/>
    <w:rsid w:val="001F1738"/>
    <w:pPr>
      <w:keepNext/>
      <w:keepLines/>
      <w:spacing w:before="40" w:after="0" w:line="264" w:lineRule="auto"/>
      <w:outlineLvl w:val="8"/>
    </w:pPr>
    <w:rPr>
      <w:rFonts w:asciiTheme="majorHAnsi" w:eastAsiaTheme="majorEastAsia" w:hAnsiTheme="majorHAnsi" w:cstheme="majorBidi"/>
      <w:b/>
      <w:i/>
      <w:color w:val="1F497D" w:themeColor="text2"/>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619B5"/>
    <w:rPr>
      <w:color w:val="0000FF"/>
      <w:shd w:val="clear" w:color="auto" w:fill="auto"/>
    </w:rPr>
  </w:style>
  <w:style w:type="paragraph" w:styleId="Header">
    <w:name w:val="header"/>
    <w:basedOn w:val="Normal"/>
    <w:link w:val="HeaderChar"/>
    <w:uiPriority w:val="99"/>
    <w:unhideWhenUsed/>
    <w:rsid w:val="00C6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B5"/>
  </w:style>
  <w:style w:type="paragraph" w:styleId="Footer">
    <w:name w:val="footer"/>
    <w:basedOn w:val="Normal"/>
    <w:link w:val="FooterChar"/>
    <w:uiPriority w:val="99"/>
    <w:unhideWhenUsed/>
    <w:rsid w:val="00C6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9B5"/>
  </w:style>
  <w:style w:type="paragraph" w:customStyle="1" w:styleId="Pagedecouverture">
    <w:name w:val="Page de couverture"/>
    <w:basedOn w:val="Normal"/>
    <w:next w:val="Normal"/>
    <w:uiPriority w:val="1"/>
    <w:rsid w:val="00C619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uiPriority w:val="1"/>
    <w:rsid w:val="00C619B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C619B5"/>
    <w:rPr>
      <w:rFonts w:ascii="Times New Roman" w:hAnsi="Times New Roman" w:cs="Times New Roman"/>
      <w:sz w:val="24"/>
    </w:rPr>
  </w:style>
  <w:style w:type="paragraph" w:customStyle="1" w:styleId="FooterSensitivity">
    <w:name w:val="Footer Sensitivity"/>
    <w:basedOn w:val="Normal"/>
    <w:link w:val="FooterSensitivityChar"/>
    <w:uiPriority w:val="1"/>
    <w:rsid w:val="00C619B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C619B5"/>
    <w:rPr>
      <w:rFonts w:ascii="Times New Roman" w:hAnsi="Times New Roman" w:cs="Times New Roman"/>
      <w:b/>
      <w:sz w:val="32"/>
    </w:rPr>
  </w:style>
  <w:style w:type="paragraph" w:customStyle="1" w:styleId="HeaderCoverPage">
    <w:name w:val="Header Cover Page"/>
    <w:basedOn w:val="Normal"/>
    <w:link w:val="HeaderCoverPageChar"/>
    <w:uiPriority w:val="1"/>
    <w:rsid w:val="00C619B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C619B5"/>
    <w:rPr>
      <w:rFonts w:ascii="Times New Roman" w:hAnsi="Times New Roman" w:cs="Times New Roman"/>
      <w:sz w:val="24"/>
    </w:rPr>
  </w:style>
  <w:style w:type="paragraph" w:customStyle="1" w:styleId="HeaderSensitivity">
    <w:name w:val="Header Sensitivity"/>
    <w:basedOn w:val="Normal"/>
    <w:link w:val="HeaderSensitivityChar"/>
    <w:uiPriority w:val="1"/>
    <w:rsid w:val="00C619B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C619B5"/>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00C619B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C619B5"/>
    <w:rPr>
      <w:rFonts w:ascii="Times New Roman" w:hAnsi="Times New Roman" w:cs="Times New Roman"/>
      <w:sz w:val="28"/>
    </w:rPr>
  </w:style>
  <w:style w:type="character" w:customStyle="1" w:styleId="Heading1Char">
    <w:name w:val="Heading 1 Char"/>
    <w:basedOn w:val="DefaultParagraphFont"/>
    <w:link w:val="Heading1"/>
    <w:uiPriority w:val="9"/>
    <w:rsid w:val="001F1738"/>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1F1738"/>
    <w:rPr>
      <w:rFonts w:asciiTheme="majorHAnsi" w:eastAsiaTheme="majorEastAsia" w:hAnsiTheme="majorHAnsi" w:cstheme="majorBidi"/>
      <w:color w:val="404040" w:themeColor="text1" w:themeTint="BF"/>
      <w:sz w:val="28"/>
    </w:rPr>
  </w:style>
  <w:style w:type="character" w:customStyle="1" w:styleId="Heading3Char">
    <w:name w:val="Heading 3 Char"/>
    <w:basedOn w:val="DefaultParagraphFont"/>
    <w:link w:val="Heading3"/>
    <w:uiPriority w:val="9"/>
    <w:rsid w:val="001F1738"/>
    <w:rPr>
      <w:rFonts w:asciiTheme="majorHAnsi" w:eastAsiaTheme="majorEastAsia" w:hAnsiTheme="majorHAnsi" w:cstheme="majorBidi"/>
      <w:color w:val="1F497D" w:themeColor="text2"/>
      <w:sz w:val="24"/>
    </w:rPr>
  </w:style>
  <w:style w:type="character" w:customStyle="1" w:styleId="Heading4Char">
    <w:name w:val="Heading 4 Char"/>
    <w:basedOn w:val="DefaultParagraphFont"/>
    <w:link w:val="Heading4"/>
    <w:uiPriority w:val="9"/>
    <w:rsid w:val="001F173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F1738"/>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semiHidden/>
    <w:rsid w:val="001F1738"/>
    <w:rPr>
      <w:rFonts w:asciiTheme="majorHAnsi" w:eastAsiaTheme="majorEastAsia" w:hAnsiTheme="majorHAnsi" w:cstheme="majorBidi"/>
      <w:i/>
      <w:color w:val="1F497D" w:themeColor="text2"/>
      <w:sz w:val="21"/>
    </w:rPr>
  </w:style>
  <w:style w:type="character" w:customStyle="1" w:styleId="Heading7Char">
    <w:name w:val="Heading 7 Char"/>
    <w:basedOn w:val="DefaultParagraphFont"/>
    <w:link w:val="Heading7"/>
    <w:uiPriority w:val="9"/>
    <w:semiHidden/>
    <w:rsid w:val="001F1738"/>
    <w:rPr>
      <w:rFonts w:asciiTheme="majorHAnsi" w:eastAsiaTheme="majorEastAsia" w:hAnsiTheme="majorHAnsi" w:cstheme="majorBidi"/>
      <w:i/>
      <w:color w:val="244061" w:themeColor="accent1" w:themeShade="80"/>
      <w:sz w:val="21"/>
    </w:rPr>
  </w:style>
  <w:style w:type="character" w:customStyle="1" w:styleId="Heading8Char">
    <w:name w:val="Heading 8 Char"/>
    <w:basedOn w:val="DefaultParagraphFont"/>
    <w:link w:val="Heading8"/>
    <w:uiPriority w:val="9"/>
    <w:semiHidden/>
    <w:rsid w:val="001F1738"/>
    <w:rPr>
      <w:rFonts w:asciiTheme="majorHAnsi" w:eastAsiaTheme="majorEastAsia" w:hAnsiTheme="majorHAnsi" w:cstheme="majorBidi"/>
      <w:b/>
      <w:color w:val="1F497D" w:themeColor="text2"/>
      <w:sz w:val="20"/>
    </w:rPr>
  </w:style>
  <w:style w:type="character" w:customStyle="1" w:styleId="Heading9Char">
    <w:name w:val="Heading 9 Char"/>
    <w:basedOn w:val="DefaultParagraphFont"/>
    <w:link w:val="Heading9"/>
    <w:uiPriority w:val="9"/>
    <w:semiHidden/>
    <w:rsid w:val="001F1738"/>
    <w:rPr>
      <w:rFonts w:asciiTheme="majorHAnsi" w:eastAsiaTheme="majorEastAsia" w:hAnsiTheme="majorHAnsi" w:cstheme="majorBidi"/>
      <w:b/>
      <w:i/>
      <w:color w:val="1F497D" w:themeColor="text2"/>
      <w:sz w:val="20"/>
    </w:rPr>
  </w:style>
  <w:style w:type="numbering" w:customStyle="1" w:styleId="NoList1">
    <w:name w:val="No List1"/>
    <w:next w:val="NoList"/>
    <w:uiPriority w:val="99"/>
    <w:semiHidden/>
    <w:unhideWhenUsed/>
    <w:rsid w:val="001F1738"/>
  </w:style>
  <w:style w:type="paragraph" w:styleId="ListParagraph">
    <w:name w:val="List Paragraph"/>
    <w:basedOn w:val="Normal"/>
    <w:link w:val="ListParagraphChar"/>
    <w:uiPriority w:val="34"/>
    <w:qFormat/>
    <w:rsid w:val="001F1738"/>
    <w:pPr>
      <w:spacing w:after="120" w:line="264" w:lineRule="auto"/>
      <w:ind w:left="720"/>
      <w:contextualSpacing/>
    </w:pPr>
    <w:rPr>
      <w:rFonts w:eastAsiaTheme="minorEastAsia"/>
      <w:sz w:val="20"/>
    </w:rPr>
  </w:style>
  <w:style w:type="paragraph" w:styleId="BalloonText">
    <w:name w:val="Balloon Text"/>
    <w:basedOn w:val="Normal"/>
    <w:link w:val="BalloonTextChar"/>
    <w:uiPriority w:val="99"/>
    <w:semiHidden/>
    <w:unhideWhenUsed/>
    <w:rsid w:val="001F1738"/>
    <w:pPr>
      <w:spacing w:after="0" w:line="264" w:lineRule="auto"/>
    </w:pPr>
    <w:rPr>
      <w:rFonts w:ascii="Segoe UI" w:eastAsiaTheme="minorEastAsia" w:hAnsi="Segoe UI" w:cs="Segoe UI"/>
      <w:sz w:val="18"/>
    </w:rPr>
  </w:style>
  <w:style w:type="character" w:customStyle="1" w:styleId="BalloonTextChar">
    <w:name w:val="Balloon Text Char"/>
    <w:basedOn w:val="DefaultParagraphFont"/>
    <w:link w:val="BalloonText"/>
    <w:uiPriority w:val="99"/>
    <w:semiHidden/>
    <w:rsid w:val="001F1738"/>
    <w:rPr>
      <w:rFonts w:ascii="Segoe UI" w:eastAsiaTheme="minorEastAsia" w:hAnsi="Segoe UI" w:cs="Segoe UI"/>
      <w:sz w:val="18"/>
    </w:rPr>
  </w:style>
  <w:style w:type="character" w:customStyle="1" w:styleId="apple-tab-span">
    <w:name w:val="apple-tab-span"/>
    <w:basedOn w:val="DefaultParagraphFont"/>
    <w:rsid w:val="001F1738"/>
  </w:style>
  <w:style w:type="character" w:styleId="CommentReference">
    <w:name w:val="annotation reference"/>
    <w:basedOn w:val="DefaultParagraphFont"/>
    <w:uiPriority w:val="99"/>
    <w:unhideWhenUsed/>
    <w:rsid w:val="001F1738"/>
    <w:rPr>
      <w:sz w:val="16"/>
    </w:rPr>
  </w:style>
  <w:style w:type="paragraph" w:styleId="CommentText">
    <w:name w:val="annotation text"/>
    <w:basedOn w:val="Normal"/>
    <w:link w:val="CommentTextChar"/>
    <w:uiPriority w:val="99"/>
    <w:unhideWhenUsed/>
    <w:qFormat/>
    <w:rsid w:val="001F1738"/>
    <w:pPr>
      <w:spacing w:after="120" w:line="264" w:lineRule="auto"/>
    </w:pPr>
    <w:rPr>
      <w:rFonts w:eastAsiaTheme="minorEastAsia"/>
      <w:sz w:val="20"/>
    </w:rPr>
  </w:style>
  <w:style w:type="character" w:customStyle="1" w:styleId="CommentTextChar">
    <w:name w:val="Comment Text Char"/>
    <w:basedOn w:val="DefaultParagraphFont"/>
    <w:link w:val="CommentText"/>
    <w:uiPriority w:val="99"/>
    <w:qFormat/>
    <w:rsid w:val="001F1738"/>
    <w:rPr>
      <w:rFonts w:eastAsiaTheme="minorEastAsia"/>
      <w:sz w:val="20"/>
    </w:rPr>
  </w:style>
  <w:style w:type="paragraph" w:styleId="CommentSubject">
    <w:name w:val="annotation subject"/>
    <w:basedOn w:val="CommentText"/>
    <w:next w:val="CommentText"/>
    <w:link w:val="CommentSubjectChar"/>
    <w:uiPriority w:val="99"/>
    <w:semiHidden/>
    <w:unhideWhenUsed/>
    <w:rsid w:val="001F1738"/>
    <w:rPr>
      <w:b/>
    </w:rPr>
  </w:style>
  <w:style w:type="character" w:customStyle="1" w:styleId="CommentSubjectChar">
    <w:name w:val="Comment Subject Char"/>
    <w:basedOn w:val="CommentTextChar"/>
    <w:link w:val="CommentSubject"/>
    <w:uiPriority w:val="99"/>
    <w:semiHidden/>
    <w:rsid w:val="001F1738"/>
    <w:rPr>
      <w:rFonts w:eastAsiaTheme="minorEastAsia"/>
      <w:b/>
      <w:sz w:val="20"/>
    </w:rPr>
  </w:style>
  <w:style w:type="paragraph" w:styleId="FootnoteText">
    <w:name w:val="footnote text"/>
    <w:basedOn w:val="Normal"/>
    <w:link w:val="FootnoteTextChar"/>
    <w:uiPriority w:val="99"/>
    <w:unhideWhenUsed/>
    <w:qFormat/>
    <w:rsid w:val="001F1738"/>
    <w:pPr>
      <w:spacing w:after="0" w:line="264" w:lineRule="auto"/>
    </w:pPr>
    <w:rPr>
      <w:rFonts w:eastAsiaTheme="minorEastAsia"/>
      <w:sz w:val="20"/>
    </w:rPr>
  </w:style>
  <w:style w:type="character" w:customStyle="1" w:styleId="FootnoteTextChar">
    <w:name w:val="Footnote Text Char"/>
    <w:basedOn w:val="DefaultParagraphFont"/>
    <w:link w:val="FootnoteText"/>
    <w:uiPriority w:val="99"/>
    <w:rsid w:val="001F1738"/>
    <w:rPr>
      <w:rFonts w:eastAsiaTheme="minorEastAsia"/>
      <w:sz w:val="20"/>
    </w:rPr>
  </w:style>
  <w:style w:type="character" w:styleId="FootnoteReference">
    <w:name w:val="footnote reference"/>
    <w:basedOn w:val="DefaultParagraphFont"/>
    <w:link w:val="Odwo0142anieprzypisu"/>
    <w:uiPriority w:val="99"/>
    <w:unhideWhenUsed/>
    <w:qFormat/>
    <w:rsid w:val="001F1738"/>
    <w:rPr>
      <w:vertAlign w:val="superscript"/>
    </w:rPr>
  </w:style>
  <w:style w:type="character" w:styleId="Hyperlink">
    <w:name w:val="Hyperlink"/>
    <w:basedOn w:val="DefaultParagraphFont"/>
    <w:uiPriority w:val="99"/>
    <w:unhideWhenUsed/>
    <w:rsid w:val="001F1738"/>
    <w:rPr>
      <w:color w:val="0000FF" w:themeColor="hyperlink"/>
      <w:u w:val="single"/>
    </w:rPr>
  </w:style>
  <w:style w:type="table" w:styleId="TableGrid">
    <w:name w:val="Table Grid"/>
    <w:basedOn w:val="TableNormal"/>
    <w:uiPriority w:val="59"/>
    <w:rsid w:val="001F1738"/>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rboxORANGEdashedbulletlist">
    <w:name w:val="[ampr box ORANGE dashed] bullet list"/>
    <w:basedOn w:val="Normal"/>
    <w:uiPriority w:val="1"/>
    <w:rsid w:val="001F1738"/>
    <w:pPr>
      <w:numPr>
        <w:numId w:val="2"/>
      </w:numPr>
      <w:spacing w:after="120" w:line="264" w:lineRule="auto"/>
      <w:jc w:val="both"/>
    </w:pPr>
    <w:rPr>
      <w:rFonts w:ascii="EC Square Sans Pro" w:eastAsiaTheme="minorEastAsia" w:hAnsi="EC Square Sans Pro" w:cs="Times New Roman"/>
      <w:color w:val="000000" w:themeColor="text1"/>
      <w:sz w:val="20"/>
    </w:rPr>
  </w:style>
  <w:style w:type="character" w:customStyle="1" w:styleId="amprcharBoldBlue">
    <w:name w:val="[ampr char] Bold Blue"/>
    <w:basedOn w:val="DefaultParagraphFont"/>
    <w:uiPriority w:val="1"/>
    <w:rsid w:val="001F1738"/>
    <w:rPr>
      <w:b/>
      <w:color w:val="8064A2"/>
      <w:spacing w:val="1"/>
      <w:bdr w:val="none" w:sz="0" w:space="0" w:color="auto" w:frame="1"/>
    </w:rPr>
  </w:style>
  <w:style w:type="numbering" w:customStyle="1" w:styleId="amprLISTL1-forboxORANGEdashed">
    <w:name w:val="[ampr LIST] L1 - for box ORANGE dashed"/>
    <w:uiPriority w:val="99"/>
    <w:rsid w:val="001F1738"/>
    <w:pPr>
      <w:numPr>
        <w:numId w:val="2"/>
      </w:numPr>
    </w:pPr>
  </w:style>
  <w:style w:type="paragraph" w:styleId="Revision">
    <w:name w:val="Revision"/>
    <w:hidden/>
    <w:uiPriority w:val="99"/>
    <w:semiHidden/>
    <w:rsid w:val="001F1738"/>
    <w:pPr>
      <w:spacing w:after="0" w:line="240" w:lineRule="auto"/>
    </w:pPr>
    <w:rPr>
      <w:rFonts w:eastAsiaTheme="minorEastAsia"/>
      <w:sz w:val="20"/>
    </w:rPr>
  </w:style>
  <w:style w:type="paragraph" w:customStyle="1" w:styleId="Odwo0142anieprzypisu">
    <w:name w:val="Odwo&lt;0142&gt;anie przypisu"/>
    <w:basedOn w:val="Normal"/>
    <w:link w:val="FootnoteReference"/>
    <w:uiPriority w:val="99"/>
    <w:rsid w:val="001F1738"/>
    <w:pPr>
      <w:spacing w:before="120" w:after="160" w:line="240" w:lineRule="exact"/>
      <w:jc w:val="both"/>
    </w:pPr>
    <w:rPr>
      <w:vertAlign w:val="superscript"/>
    </w:rPr>
  </w:style>
  <w:style w:type="character" w:styleId="Strong">
    <w:name w:val="Strong"/>
    <w:basedOn w:val="DefaultParagraphFont"/>
    <w:uiPriority w:val="22"/>
    <w:qFormat/>
    <w:rsid w:val="001F1738"/>
    <w:rPr>
      <w:b/>
    </w:rPr>
  </w:style>
  <w:style w:type="paragraph" w:styleId="NoSpacing">
    <w:name w:val="No Spacing"/>
    <w:link w:val="NoSpacingChar"/>
    <w:uiPriority w:val="1"/>
    <w:qFormat/>
    <w:rsid w:val="001F1738"/>
    <w:pPr>
      <w:spacing w:after="0" w:line="240" w:lineRule="auto"/>
    </w:pPr>
    <w:rPr>
      <w:rFonts w:eastAsiaTheme="minorEastAsia"/>
      <w:sz w:val="20"/>
    </w:rPr>
  </w:style>
  <w:style w:type="character" w:customStyle="1" w:styleId="NoSpacingChar">
    <w:name w:val="No Spacing Char"/>
    <w:basedOn w:val="DefaultParagraphFont"/>
    <w:link w:val="NoSpacing"/>
    <w:uiPriority w:val="1"/>
    <w:rsid w:val="001F1738"/>
    <w:rPr>
      <w:rFonts w:eastAsiaTheme="minorEastAsia"/>
      <w:sz w:val="20"/>
    </w:rPr>
  </w:style>
  <w:style w:type="paragraph" w:customStyle="1" w:styleId="Text1">
    <w:name w:val="Text 1"/>
    <w:basedOn w:val="Normal"/>
    <w:uiPriority w:val="90"/>
    <w:rsid w:val="001F1738"/>
    <w:pPr>
      <w:spacing w:after="240" w:line="264" w:lineRule="auto"/>
      <w:ind w:left="482"/>
      <w:jc w:val="both"/>
    </w:pPr>
    <w:rPr>
      <w:rFonts w:ascii="Times New Roman" w:eastAsia="Times New Roman" w:hAnsi="Times New Roman" w:cs="Times New Roman"/>
      <w:sz w:val="24"/>
    </w:rPr>
  </w:style>
  <w:style w:type="paragraph" w:styleId="NormalWeb">
    <w:name w:val="Normal (Web)"/>
    <w:basedOn w:val="Normal"/>
    <w:uiPriority w:val="99"/>
    <w:unhideWhenUsed/>
    <w:rsid w:val="001F1738"/>
    <w:pPr>
      <w:spacing w:beforeAutospacing="1" w:after="120" w:afterAutospacing="1" w:line="264" w:lineRule="auto"/>
    </w:pPr>
    <w:rPr>
      <w:rFonts w:ascii="Times New Roman" w:eastAsia="Times New Roman" w:hAnsi="Times New Roman" w:cs="Times New Roman"/>
      <w:sz w:val="24"/>
    </w:rPr>
  </w:style>
  <w:style w:type="character" w:customStyle="1" w:styleId="ListParagraphChar">
    <w:name w:val="List Paragraph Char"/>
    <w:link w:val="ListParagraph"/>
    <w:uiPriority w:val="34"/>
    <w:rsid w:val="001F1738"/>
    <w:rPr>
      <w:rFonts w:eastAsiaTheme="minorEastAsia"/>
      <w:sz w:val="20"/>
    </w:rPr>
  </w:style>
  <w:style w:type="character" w:customStyle="1" w:styleId="authors">
    <w:name w:val="authors"/>
    <w:basedOn w:val="DefaultParagraphFont"/>
    <w:rsid w:val="001F1738"/>
  </w:style>
  <w:style w:type="character" w:customStyle="1" w:styleId="arttitle">
    <w:name w:val="art_title"/>
    <w:basedOn w:val="DefaultParagraphFont"/>
    <w:rsid w:val="001F1738"/>
  </w:style>
  <w:style w:type="character" w:customStyle="1" w:styleId="serialtitle">
    <w:name w:val="serial_title"/>
    <w:basedOn w:val="DefaultParagraphFont"/>
    <w:rsid w:val="001F1738"/>
  </w:style>
  <w:style w:type="character" w:customStyle="1" w:styleId="volumeissue">
    <w:name w:val="volume_issue"/>
    <w:basedOn w:val="DefaultParagraphFont"/>
    <w:rsid w:val="001F1738"/>
  </w:style>
  <w:style w:type="character" w:customStyle="1" w:styleId="pagerange">
    <w:name w:val="page_range"/>
    <w:basedOn w:val="DefaultParagraphFont"/>
    <w:rsid w:val="001F1738"/>
  </w:style>
  <w:style w:type="character" w:customStyle="1" w:styleId="doilink">
    <w:name w:val="doi_link"/>
    <w:basedOn w:val="DefaultParagraphFont"/>
    <w:rsid w:val="001F1738"/>
  </w:style>
  <w:style w:type="paragraph" w:customStyle="1" w:styleId="Text2">
    <w:name w:val="Text 2"/>
    <w:basedOn w:val="Normal"/>
    <w:uiPriority w:val="1"/>
    <w:rsid w:val="001F1738"/>
    <w:pPr>
      <w:tabs>
        <w:tab w:val="left" w:pos="2302"/>
      </w:tabs>
      <w:spacing w:after="240" w:line="264" w:lineRule="auto"/>
      <w:ind w:left="1202"/>
      <w:jc w:val="both"/>
    </w:pPr>
    <w:rPr>
      <w:rFonts w:ascii="Times New Roman" w:eastAsia="Times New Roman" w:hAnsi="Times New Roman" w:cs="Times New Roman"/>
      <w:sz w:val="24"/>
    </w:rPr>
  </w:style>
  <w:style w:type="table" w:styleId="GridTable4-Accent1">
    <w:name w:val="Grid Table 4 Accent 1"/>
    <w:basedOn w:val="TableNormal"/>
    <w:uiPriority w:val="49"/>
    <w:rsid w:val="001F1738"/>
    <w:pPr>
      <w:spacing w:after="0" w:line="240" w:lineRule="auto"/>
    </w:pPr>
    <w:rPr>
      <w:rFonts w:eastAsiaTheme="minorEastAsia"/>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1F1738"/>
    <w:pPr>
      <w:spacing w:after="0" w:line="240" w:lineRule="auto"/>
    </w:pPr>
    <w:rPr>
      <w:rFonts w:eastAsiaTheme="minorEastAsia"/>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1F1738"/>
    <w:rPr>
      <w:color w:val="800080" w:themeColor="followedHyperlink"/>
      <w:u w:val="single"/>
    </w:rPr>
  </w:style>
  <w:style w:type="character" w:customStyle="1" w:styleId="italic">
    <w:name w:val="italic"/>
    <w:basedOn w:val="DefaultParagraphFont"/>
    <w:rsid w:val="001F1738"/>
  </w:style>
  <w:style w:type="paragraph" w:customStyle="1" w:styleId="NumPar1">
    <w:name w:val="NumPar 1"/>
    <w:basedOn w:val="Normal"/>
    <w:next w:val="Text1"/>
    <w:uiPriority w:val="1"/>
    <w:rsid w:val="001F1738"/>
    <w:pPr>
      <w:tabs>
        <w:tab w:val="num" w:pos="850"/>
      </w:tabs>
      <w:spacing w:before="120" w:after="120" w:line="264" w:lineRule="auto"/>
      <w:ind w:left="850" w:hanging="850"/>
      <w:jc w:val="both"/>
    </w:pPr>
    <w:rPr>
      <w:rFonts w:ascii="Times New Roman" w:eastAsiaTheme="minorEastAsia" w:hAnsi="Times New Roman" w:cs="Times New Roman"/>
      <w:sz w:val="24"/>
    </w:rPr>
  </w:style>
  <w:style w:type="character" w:customStyle="1" w:styleId="Aucun">
    <w:name w:val="Aucun"/>
    <w:rsid w:val="001F1738"/>
  </w:style>
  <w:style w:type="paragraph" w:customStyle="1" w:styleId="Considrant">
    <w:name w:val="Considérant"/>
    <w:basedOn w:val="Normal"/>
    <w:uiPriority w:val="1"/>
    <w:rsid w:val="001F1738"/>
    <w:pPr>
      <w:numPr>
        <w:numId w:val="3"/>
      </w:numPr>
      <w:spacing w:before="120" w:after="120" w:line="264" w:lineRule="auto"/>
      <w:jc w:val="both"/>
    </w:pPr>
    <w:rPr>
      <w:rFonts w:ascii="Times New Roman" w:eastAsiaTheme="minorEastAsia" w:hAnsi="Times New Roman" w:cs="Times New Roman"/>
      <w:sz w:val="24"/>
    </w:rPr>
  </w:style>
  <w:style w:type="character" w:customStyle="1" w:styleId="highlight">
    <w:name w:val="highlight"/>
    <w:basedOn w:val="DefaultParagraphFont"/>
    <w:rsid w:val="001F1738"/>
  </w:style>
  <w:style w:type="paragraph" w:customStyle="1" w:styleId="Disclaimer">
    <w:name w:val="Disclaimer"/>
    <w:basedOn w:val="Normal"/>
    <w:uiPriority w:val="1"/>
    <w:rsid w:val="001F1738"/>
    <w:pPr>
      <w:spacing w:before="120" w:after="120" w:line="264" w:lineRule="auto"/>
      <w:jc w:val="both"/>
    </w:pPr>
    <w:rPr>
      <w:rFonts w:ascii="Times New Roman" w:eastAsiaTheme="minorEastAsia" w:hAnsi="Times New Roman" w:cs="Times New Roman"/>
      <w:sz w:val="24"/>
    </w:rPr>
  </w:style>
  <w:style w:type="paragraph" w:customStyle="1" w:styleId="SecurityMarking">
    <w:name w:val="SecurityMarking"/>
    <w:basedOn w:val="Normal"/>
    <w:uiPriority w:val="1"/>
    <w:rsid w:val="001F1738"/>
    <w:pPr>
      <w:spacing w:after="0" w:line="264" w:lineRule="auto"/>
      <w:ind w:left="5103"/>
    </w:pPr>
    <w:rPr>
      <w:rFonts w:ascii="Times New Roman" w:eastAsiaTheme="minorEastAsia" w:hAnsi="Times New Roman" w:cs="Times New Roman"/>
      <w:sz w:val="28"/>
    </w:rPr>
  </w:style>
  <w:style w:type="paragraph" w:customStyle="1" w:styleId="DateMarking">
    <w:name w:val="DateMarking"/>
    <w:basedOn w:val="Normal"/>
    <w:uiPriority w:val="1"/>
    <w:rsid w:val="001F1738"/>
    <w:pPr>
      <w:spacing w:after="0" w:line="264" w:lineRule="auto"/>
      <w:ind w:left="5103"/>
    </w:pPr>
    <w:rPr>
      <w:rFonts w:ascii="Times New Roman" w:eastAsiaTheme="minorEastAsia" w:hAnsi="Times New Roman" w:cs="Times New Roman"/>
      <w:i/>
      <w:sz w:val="28"/>
    </w:rPr>
  </w:style>
  <w:style w:type="paragraph" w:customStyle="1" w:styleId="ReleasableTo">
    <w:name w:val="ReleasableTo"/>
    <w:basedOn w:val="Normal"/>
    <w:uiPriority w:val="1"/>
    <w:rsid w:val="001F1738"/>
    <w:pPr>
      <w:spacing w:after="0" w:line="264" w:lineRule="auto"/>
      <w:ind w:left="5103"/>
    </w:pPr>
    <w:rPr>
      <w:rFonts w:ascii="Times New Roman" w:eastAsiaTheme="minorEastAsia" w:hAnsi="Times New Roman" w:cs="Times New Roman"/>
      <w:i/>
      <w:sz w:val="28"/>
    </w:rPr>
  </w:style>
  <w:style w:type="character" w:styleId="Emphasis">
    <w:name w:val="Emphasis"/>
    <w:basedOn w:val="DefaultParagraphFont"/>
    <w:uiPriority w:val="20"/>
    <w:qFormat/>
    <w:rsid w:val="001F1738"/>
    <w:rPr>
      <w:i/>
    </w:rPr>
  </w:style>
  <w:style w:type="paragraph" w:customStyle="1" w:styleId="ListDash1">
    <w:name w:val="List Dash 1"/>
    <w:basedOn w:val="Text1"/>
    <w:uiPriority w:val="1"/>
    <w:rsid w:val="001F1738"/>
    <w:pPr>
      <w:numPr>
        <w:numId w:val="4"/>
      </w:numPr>
    </w:pPr>
  </w:style>
  <w:style w:type="paragraph" w:customStyle="1" w:styleId="Appelnotedebasdep1">
    <w:name w:val="Appel note de bas de p.1"/>
    <w:basedOn w:val="Normal"/>
    <w:uiPriority w:val="99"/>
    <w:rsid w:val="001F1738"/>
    <w:pPr>
      <w:spacing w:after="160" w:line="240" w:lineRule="exact"/>
    </w:pPr>
    <w:rPr>
      <w:rFonts w:eastAsiaTheme="minorEastAsia"/>
      <w:sz w:val="20"/>
      <w:vertAlign w:val="superscript"/>
    </w:rPr>
  </w:style>
  <w:style w:type="paragraph" w:customStyle="1" w:styleId="Briefinglist2">
    <w:name w:val="Briefing list 2"/>
    <w:basedOn w:val="Normal"/>
    <w:link w:val="Briefinglist2Char"/>
    <w:uiPriority w:val="99"/>
    <w:rsid w:val="001F1738"/>
    <w:pPr>
      <w:numPr>
        <w:numId w:val="5"/>
      </w:numPr>
      <w:spacing w:after="120" w:line="264" w:lineRule="auto"/>
      <w:jc w:val="both"/>
    </w:pPr>
    <w:rPr>
      <w:rFonts w:ascii="Arial" w:eastAsia="Times New Roman" w:hAnsi="Arial" w:cs="Times New Roman"/>
      <w:sz w:val="20"/>
    </w:rPr>
  </w:style>
  <w:style w:type="character" w:customStyle="1" w:styleId="Briefinglist2Char">
    <w:name w:val="Briefing list 2 Char"/>
    <w:basedOn w:val="DefaultParagraphFont"/>
    <w:link w:val="Briefinglist2"/>
    <w:uiPriority w:val="99"/>
    <w:rsid w:val="001F1738"/>
    <w:rPr>
      <w:rFonts w:ascii="Arial" w:eastAsia="Times New Roman" w:hAnsi="Arial" w:cs="Times New Roman"/>
      <w:sz w:val="20"/>
    </w:rPr>
  </w:style>
  <w:style w:type="paragraph" w:customStyle="1" w:styleId="Briefinglist1">
    <w:name w:val="Briefing list 1"/>
    <w:basedOn w:val="Normal"/>
    <w:link w:val="Briefinglist1Char"/>
    <w:uiPriority w:val="1"/>
    <w:rsid w:val="001F1738"/>
    <w:pPr>
      <w:keepLines/>
      <w:numPr>
        <w:numId w:val="6"/>
      </w:numPr>
      <w:spacing w:after="120" w:line="264" w:lineRule="auto"/>
      <w:jc w:val="both"/>
    </w:pPr>
    <w:rPr>
      <w:rFonts w:ascii="Arial" w:eastAsia="Times New Roman" w:hAnsi="Arial" w:cs="Times New Roman"/>
      <w:sz w:val="20"/>
    </w:rPr>
  </w:style>
  <w:style w:type="character" w:customStyle="1" w:styleId="Briefinglist1Char">
    <w:name w:val="Briefing list 1 Char"/>
    <w:basedOn w:val="DefaultParagraphFont"/>
    <w:link w:val="Briefinglist1"/>
    <w:uiPriority w:val="1"/>
    <w:rsid w:val="001F1738"/>
    <w:rPr>
      <w:rFonts w:ascii="Arial" w:eastAsia="Times New Roman" w:hAnsi="Arial" w:cs="Times New Roman"/>
      <w:sz w:val="20"/>
    </w:rPr>
  </w:style>
  <w:style w:type="paragraph" w:customStyle="1" w:styleId="Briefingtext">
    <w:name w:val="Briefing text"/>
    <w:basedOn w:val="Normal"/>
    <w:link w:val="BriefingtextChar"/>
    <w:uiPriority w:val="99"/>
    <w:rsid w:val="001F1738"/>
    <w:pPr>
      <w:spacing w:after="120" w:line="264" w:lineRule="auto"/>
      <w:jc w:val="both"/>
    </w:pPr>
    <w:rPr>
      <w:rFonts w:ascii="Arial" w:eastAsia="Times New Roman" w:hAnsi="Arial" w:cs="Arial"/>
      <w:sz w:val="20"/>
    </w:rPr>
  </w:style>
  <w:style w:type="character" w:customStyle="1" w:styleId="BriefingtextChar">
    <w:name w:val="Briefing text Char"/>
    <w:link w:val="Briefingtext"/>
    <w:uiPriority w:val="99"/>
    <w:rsid w:val="001F1738"/>
    <w:rPr>
      <w:rFonts w:ascii="Arial" w:eastAsia="Times New Roman" w:hAnsi="Arial" w:cs="Arial"/>
      <w:sz w:val="20"/>
    </w:rPr>
  </w:style>
  <w:style w:type="character" w:customStyle="1" w:styleId="Mention1">
    <w:name w:val="Mention1"/>
    <w:basedOn w:val="DefaultParagraphFont"/>
    <w:uiPriority w:val="99"/>
    <w:unhideWhenUsed/>
    <w:rsid w:val="001F1738"/>
    <w:rPr>
      <w:color w:val="2B579A"/>
      <w:shd w:val="clear" w:color="auto" w:fill="E6E6E6"/>
    </w:rPr>
  </w:style>
  <w:style w:type="paragraph" w:customStyle="1" w:styleId="CharCharChar">
    <w:name w:val="Char Char Char"/>
    <w:basedOn w:val="Normal"/>
    <w:uiPriority w:val="99"/>
    <w:rsid w:val="001F1738"/>
    <w:pPr>
      <w:spacing w:after="160" w:line="240" w:lineRule="exact"/>
    </w:pPr>
    <w:rPr>
      <w:rFonts w:eastAsiaTheme="minorEastAsia"/>
      <w:sz w:val="20"/>
      <w:vertAlign w:val="superscript"/>
    </w:rPr>
  </w:style>
  <w:style w:type="paragraph" w:customStyle="1" w:styleId="LegalNumPar">
    <w:name w:val="LegalNumPar"/>
    <w:basedOn w:val="Normal"/>
    <w:uiPriority w:val="1"/>
    <w:rsid w:val="001F1738"/>
    <w:pPr>
      <w:numPr>
        <w:numId w:val="7"/>
      </w:numPr>
      <w:spacing w:after="120" w:line="264" w:lineRule="auto"/>
    </w:pPr>
    <w:rPr>
      <w:rFonts w:eastAsiaTheme="minorEastAsia"/>
      <w:sz w:val="24"/>
    </w:rPr>
  </w:style>
  <w:style w:type="paragraph" w:customStyle="1" w:styleId="LegalNumPar2">
    <w:name w:val="LegalNumPar2"/>
    <w:basedOn w:val="Normal"/>
    <w:uiPriority w:val="1"/>
    <w:rsid w:val="001F1738"/>
    <w:pPr>
      <w:numPr>
        <w:ilvl w:val="1"/>
        <w:numId w:val="7"/>
      </w:numPr>
      <w:spacing w:after="120" w:line="264" w:lineRule="auto"/>
    </w:pPr>
    <w:rPr>
      <w:rFonts w:eastAsiaTheme="minorEastAsia"/>
      <w:sz w:val="24"/>
    </w:rPr>
  </w:style>
  <w:style w:type="paragraph" w:customStyle="1" w:styleId="LegalNumPar3">
    <w:name w:val="LegalNumPar3"/>
    <w:basedOn w:val="Normal"/>
    <w:uiPriority w:val="1"/>
    <w:rsid w:val="001F1738"/>
    <w:pPr>
      <w:numPr>
        <w:ilvl w:val="2"/>
        <w:numId w:val="7"/>
      </w:numPr>
      <w:spacing w:after="120" w:line="264" w:lineRule="auto"/>
    </w:pPr>
    <w:rPr>
      <w:rFonts w:eastAsiaTheme="minorEastAsia"/>
      <w:sz w:val="24"/>
    </w:rPr>
  </w:style>
  <w:style w:type="character" w:customStyle="1" w:styleId="UnresolvedMention1">
    <w:name w:val="Unresolved Mention1"/>
    <w:basedOn w:val="DefaultParagraphFont"/>
    <w:uiPriority w:val="99"/>
    <w:semiHidden/>
    <w:unhideWhenUsed/>
    <w:rsid w:val="001F1738"/>
    <w:rPr>
      <w:color w:val="605E5C"/>
      <w:shd w:val="clear" w:color="auto" w:fill="E1DFDD"/>
    </w:rPr>
  </w:style>
  <w:style w:type="paragraph" w:customStyle="1" w:styleId="Body">
    <w:name w:val="Body"/>
    <w:basedOn w:val="Normal"/>
    <w:uiPriority w:val="99"/>
    <w:rsid w:val="001F1738"/>
    <w:pPr>
      <w:spacing w:after="0" w:line="264" w:lineRule="auto"/>
      <w:jc w:val="both"/>
    </w:pPr>
    <w:rPr>
      <w:rFonts w:ascii="Verdana" w:eastAsiaTheme="minorEastAsia" w:hAnsi="Verdana" w:cs="Times New Roman"/>
      <w:color w:val="333333"/>
      <w:sz w:val="20"/>
    </w:rPr>
  </w:style>
  <w:style w:type="paragraph" w:customStyle="1" w:styleId="Default">
    <w:name w:val="Default"/>
    <w:rsid w:val="001F1738"/>
    <w:pPr>
      <w:autoSpaceDE w:val="0"/>
      <w:autoSpaceDN w:val="0"/>
      <w:adjustRightInd w:val="0"/>
      <w:spacing w:after="0" w:line="240" w:lineRule="auto"/>
    </w:pPr>
    <w:rPr>
      <w:rFonts w:ascii="Open Sans" w:eastAsiaTheme="minorEastAsia" w:hAnsi="Open Sans" w:cs="Open Sans"/>
      <w:sz w:val="24"/>
    </w:rPr>
  </w:style>
  <w:style w:type="paragraph" w:customStyle="1" w:styleId="font-copy">
    <w:name w:val="font-copy"/>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paragraph" w:customStyle="1" w:styleId="dcr-xry7m2">
    <w:name w:val="dcr-xry7m2"/>
    <w:basedOn w:val="Normal"/>
    <w:uiPriority w:val="1"/>
    <w:rsid w:val="001F1738"/>
    <w:pPr>
      <w:spacing w:beforeAutospacing="1" w:after="120" w:afterAutospacing="1" w:line="264" w:lineRule="auto"/>
    </w:pPr>
    <w:rPr>
      <w:rFonts w:ascii="Times New Roman" w:eastAsia="Times New Roman" w:hAnsi="Times New Roman" w:cs="Times New Roman"/>
      <w:sz w:val="24"/>
    </w:rPr>
  </w:style>
  <w:style w:type="character" w:customStyle="1" w:styleId="BodytextAgencyChar">
    <w:name w:val="Body text (Agency) Char"/>
    <w:link w:val="BodytextAgency"/>
    <w:uiPriority w:val="1"/>
    <w:rsid w:val="001F1738"/>
    <w:rPr>
      <w:rFonts w:ascii="Verdana" w:eastAsia="Verdana" w:hAnsi="Verdana"/>
      <w:sz w:val="18"/>
    </w:rPr>
  </w:style>
  <w:style w:type="paragraph" w:customStyle="1" w:styleId="BodytextAgency">
    <w:name w:val="Body text (Agency)"/>
    <w:basedOn w:val="Normal"/>
    <w:link w:val="BodytextAgencyChar"/>
    <w:uiPriority w:val="1"/>
    <w:rsid w:val="001F1738"/>
    <w:pPr>
      <w:spacing w:after="140" w:line="280" w:lineRule="atLeast"/>
    </w:pPr>
    <w:rPr>
      <w:rFonts w:ascii="Verdana" w:eastAsia="Verdana" w:hAnsi="Verdana"/>
      <w:sz w:val="18"/>
    </w:rPr>
  </w:style>
  <w:style w:type="paragraph" w:customStyle="1" w:styleId="EC-Para">
    <w:name w:val="EC-Para"/>
    <w:link w:val="EC-ParaCharChar"/>
    <w:rsid w:val="001F1738"/>
    <w:pPr>
      <w:kinsoku w:val="0"/>
      <w:autoSpaceDE w:val="0"/>
      <w:autoSpaceDN w:val="0"/>
      <w:adjustRightInd w:val="0"/>
      <w:spacing w:after="120" w:line="240" w:lineRule="auto"/>
    </w:pPr>
    <w:rPr>
      <w:rFonts w:ascii="Tahoma" w:eastAsia="Arial Unicode MS" w:hAnsi="Tahoma" w:cs="Times New Roman"/>
      <w:kern w:val="22"/>
      <w:sz w:val="18"/>
    </w:rPr>
  </w:style>
  <w:style w:type="character" w:customStyle="1" w:styleId="EC-ParaCharChar">
    <w:name w:val="EC-Para Char Char"/>
    <w:basedOn w:val="DefaultParagraphFont"/>
    <w:link w:val="EC-Para"/>
    <w:rsid w:val="001F1738"/>
    <w:rPr>
      <w:rFonts w:ascii="Tahoma" w:eastAsia="Arial Unicode MS" w:hAnsi="Tahoma" w:cs="Times New Roman"/>
      <w:kern w:val="22"/>
      <w:sz w:val="18"/>
    </w:rPr>
  </w:style>
  <w:style w:type="paragraph" w:styleId="EndnoteText">
    <w:name w:val="endnote text"/>
    <w:basedOn w:val="Normal"/>
    <w:link w:val="EndnoteTextChar"/>
    <w:uiPriority w:val="99"/>
    <w:semiHidden/>
    <w:unhideWhenUsed/>
    <w:rsid w:val="001F1738"/>
    <w:pPr>
      <w:spacing w:after="0" w:line="264" w:lineRule="auto"/>
    </w:pPr>
    <w:rPr>
      <w:rFonts w:eastAsiaTheme="minorEastAsia"/>
      <w:sz w:val="20"/>
    </w:rPr>
  </w:style>
  <w:style w:type="character" w:customStyle="1" w:styleId="EndnoteTextChar">
    <w:name w:val="Endnote Text Char"/>
    <w:basedOn w:val="DefaultParagraphFont"/>
    <w:link w:val="EndnoteText"/>
    <w:uiPriority w:val="99"/>
    <w:semiHidden/>
    <w:rsid w:val="001F1738"/>
    <w:rPr>
      <w:rFonts w:eastAsiaTheme="minorEastAsia"/>
      <w:sz w:val="20"/>
    </w:rPr>
  </w:style>
  <w:style w:type="character" w:styleId="EndnoteReference">
    <w:name w:val="endnote reference"/>
    <w:basedOn w:val="DefaultParagraphFont"/>
    <w:uiPriority w:val="99"/>
    <w:semiHidden/>
    <w:unhideWhenUsed/>
    <w:rsid w:val="001F1738"/>
    <w:rPr>
      <w:vertAlign w:val="superscript"/>
    </w:rPr>
  </w:style>
  <w:style w:type="paragraph" w:customStyle="1" w:styleId="paragraph">
    <w:name w:val="paragraph"/>
    <w:basedOn w:val="Normal"/>
    <w:rsid w:val="001F1738"/>
    <w:pPr>
      <w:spacing w:beforeAutospacing="1" w:after="120" w:afterAutospacing="1" w:line="264" w:lineRule="auto"/>
    </w:pPr>
    <w:rPr>
      <w:rFonts w:ascii="Calibri" w:eastAsiaTheme="minorEastAsia" w:hAnsi="Calibri" w:cs="Calibri"/>
      <w:sz w:val="20"/>
    </w:rPr>
  </w:style>
  <w:style w:type="character" w:customStyle="1" w:styleId="normaltextrun">
    <w:name w:val="normaltextrun"/>
    <w:basedOn w:val="DefaultParagraphFont"/>
    <w:rsid w:val="001F1738"/>
  </w:style>
  <w:style w:type="character" w:customStyle="1" w:styleId="cf01">
    <w:name w:val="cf01"/>
    <w:basedOn w:val="DefaultParagraphFont"/>
    <w:rsid w:val="001F1738"/>
    <w:rPr>
      <w:rFonts w:ascii="Segoe UI" w:hAnsi="Segoe UI" w:cs="Segoe UI" w:hint="default"/>
      <w:sz w:val="18"/>
    </w:rPr>
  </w:style>
  <w:style w:type="character" w:customStyle="1" w:styleId="footnotereference0">
    <w:name w:val="footnotereference"/>
    <w:basedOn w:val="DefaultParagraphFont"/>
    <w:rsid w:val="001F1738"/>
  </w:style>
  <w:style w:type="character" w:customStyle="1" w:styleId="UnresolvedMention2">
    <w:name w:val="Unresolved Mention2"/>
    <w:basedOn w:val="DefaultParagraphFont"/>
    <w:uiPriority w:val="99"/>
    <w:semiHidden/>
    <w:unhideWhenUsed/>
    <w:rsid w:val="001F1738"/>
    <w:rPr>
      <w:color w:val="605E5C"/>
      <w:shd w:val="clear" w:color="auto" w:fill="E1DFDD"/>
    </w:rPr>
  </w:style>
  <w:style w:type="paragraph" w:styleId="TOC1">
    <w:name w:val="toc 1"/>
    <w:basedOn w:val="Normal"/>
    <w:next w:val="Normal"/>
    <w:uiPriority w:val="39"/>
    <w:unhideWhenUsed/>
    <w:rsid w:val="001F1738"/>
    <w:pPr>
      <w:spacing w:after="100" w:line="264" w:lineRule="auto"/>
    </w:pPr>
    <w:rPr>
      <w:rFonts w:eastAsiaTheme="minorEastAsia"/>
      <w:sz w:val="20"/>
    </w:rPr>
  </w:style>
  <w:style w:type="paragraph" w:styleId="Caption">
    <w:name w:val="caption"/>
    <w:basedOn w:val="Normal"/>
    <w:next w:val="Normal"/>
    <w:uiPriority w:val="35"/>
    <w:semiHidden/>
    <w:unhideWhenUsed/>
    <w:qFormat/>
    <w:rsid w:val="001F1738"/>
    <w:pPr>
      <w:spacing w:after="120" w:line="264" w:lineRule="auto"/>
    </w:pPr>
    <w:rPr>
      <w:rFonts w:eastAsiaTheme="minorEastAsia"/>
      <w:b/>
      <w:smallCaps/>
      <w:color w:val="595959" w:themeColor="text1" w:themeTint="A6"/>
      <w:sz w:val="20"/>
    </w:rPr>
  </w:style>
  <w:style w:type="paragraph" w:styleId="Title">
    <w:name w:val="Title"/>
    <w:basedOn w:val="Normal"/>
    <w:next w:val="Normal"/>
    <w:link w:val="TitleChar"/>
    <w:uiPriority w:val="10"/>
    <w:qFormat/>
    <w:rsid w:val="001F1738"/>
    <w:pPr>
      <w:spacing w:after="0" w:line="264" w:lineRule="auto"/>
      <w:contextualSpacing/>
    </w:pPr>
    <w:rPr>
      <w:rFonts w:asciiTheme="majorHAnsi" w:eastAsiaTheme="majorEastAsia" w:hAnsiTheme="majorHAnsi" w:cstheme="majorBidi"/>
      <w:color w:val="4F81BD" w:themeColor="accent1"/>
      <w:sz w:val="56"/>
    </w:rPr>
  </w:style>
  <w:style w:type="character" w:customStyle="1" w:styleId="TitleChar">
    <w:name w:val="Title Char"/>
    <w:basedOn w:val="DefaultParagraphFont"/>
    <w:link w:val="Title"/>
    <w:uiPriority w:val="10"/>
    <w:rsid w:val="001F1738"/>
    <w:rPr>
      <w:rFonts w:asciiTheme="majorHAnsi" w:eastAsiaTheme="majorEastAsia" w:hAnsiTheme="majorHAnsi" w:cstheme="majorBidi"/>
      <w:color w:val="4F81BD" w:themeColor="accent1"/>
      <w:sz w:val="56"/>
    </w:rPr>
  </w:style>
  <w:style w:type="paragraph" w:styleId="Subtitle">
    <w:name w:val="Subtitle"/>
    <w:basedOn w:val="Normal"/>
    <w:next w:val="Normal"/>
    <w:link w:val="SubtitleChar"/>
    <w:uiPriority w:val="11"/>
    <w:qFormat/>
    <w:rsid w:val="001F1738"/>
    <w:pPr>
      <w:spacing w:after="120" w:line="264" w:lineRule="auto"/>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1F1738"/>
    <w:rPr>
      <w:rFonts w:asciiTheme="majorHAnsi" w:eastAsiaTheme="majorEastAsia" w:hAnsiTheme="majorHAnsi" w:cstheme="majorBidi"/>
      <w:sz w:val="24"/>
    </w:rPr>
  </w:style>
  <w:style w:type="paragraph" w:styleId="Quote">
    <w:name w:val="Quote"/>
    <w:basedOn w:val="Normal"/>
    <w:next w:val="Normal"/>
    <w:link w:val="QuoteChar"/>
    <w:uiPriority w:val="29"/>
    <w:qFormat/>
    <w:rsid w:val="001F1738"/>
    <w:pPr>
      <w:spacing w:before="160" w:after="120" w:line="264" w:lineRule="auto"/>
      <w:ind w:left="720" w:right="720"/>
    </w:pPr>
    <w:rPr>
      <w:rFonts w:eastAsiaTheme="minorEastAsia"/>
      <w:i/>
      <w:color w:val="404040" w:themeColor="text1" w:themeTint="BF"/>
      <w:sz w:val="20"/>
    </w:rPr>
  </w:style>
  <w:style w:type="character" w:customStyle="1" w:styleId="QuoteChar">
    <w:name w:val="Quote Char"/>
    <w:basedOn w:val="DefaultParagraphFont"/>
    <w:link w:val="Quote"/>
    <w:uiPriority w:val="29"/>
    <w:rsid w:val="001F1738"/>
    <w:rPr>
      <w:rFonts w:eastAsiaTheme="minorEastAsia"/>
      <w:i/>
      <w:color w:val="404040" w:themeColor="text1" w:themeTint="BF"/>
      <w:sz w:val="20"/>
    </w:rPr>
  </w:style>
  <w:style w:type="paragraph" w:styleId="IntenseQuote">
    <w:name w:val="Intense Quote"/>
    <w:basedOn w:val="Normal"/>
    <w:next w:val="Normal"/>
    <w:link w:val="IntenseQuoteChar"/>
    <w:uiPriority w:val="30"/>
    <w:qFormat/>
    <w:rsid w:val="001F1738"/>
    <w:pPr>
      <w:spacing w:beforeAutospacing="1" w:after="120" w:line="264" w:lineRule="auto"/>
      <w:ind w:left="1224" w:right="1224"/>
    </w:pPr>
    <w:rPr>
      <w:rFonts w:asciiTheme="majorHAnsi" w:eastAsiaTheme="majorEastAsia" w:hAnsiTheme="majorHAnsi" w:cstheme="majorBidi"/>
      <w:color w:val="4F81BD" w:themeColor="accent1"/>
      <w:sz w:val="28"/>
    </w:rPr>
  </w:style>
  <w:style w:type="character" w:customStyle="1" w:styleId="IntenseQuoteChar">
    <w:name w:val="Intense Quote Char"/>
    <w:basedOn w:val="DefaultParagraphFont"/>
    <w:link w:val="IntenseQuote"/>
    <w:uiPriority w:val="30"/>
    <w:rsid w:val="001F1738"/>
    <w:rPr>
      <w:rFonts w:asciiTheme="majorHAnsi" w:eastAsiaTheme="majorEastAsia" w:hAnsiTheme="majorHAnsi" w:cstheme="majorBidi"/>
      <w:color w:val="4F81BD" w:themeColor="accent1"/>
      <w:sz w:val="28"/>
    </w:rPr>
  </w:style>
  <w:style w:type="character" w:styleId="SubtleEmphasis">
    <w:name w:val="Subtle Emphasis"/>
    <w:basedOn w:val="DefaultParagraphFont"/>
    <w:uiPriority w:val="19"/>
    <w:qFormat/>
    <w:rsid w:val="001F1738"/>
    <w:rPr>
      <w:i/>
      <w:color w:val="404040" w:themeColor="text1" w:themeTint="BF"/>
    </w:rPr>
  </w:style>
  <w:style w:type="character" w:styleId="IntenseEmphasis">
    <w:name w:val="Intense Emphasis"/>
    <w:basedOn w:val="DefaultParagraphFont"/>
    <w:uiPriority w:val="21"/>
    <w:qFormat/>
    <w:rsid w:val="001F1738"/>
    <w:rPr>
      <w:b/>
      <w:i/>
    </w:rPr>
  </w:style>
  <w:style w:type="character" w:styleId="SubtleReference">
    <w:name w:val="Subtle Reference"/>
    <w:basedOn w:val="DefaultParagraphFont"/>
    <w:uiPriority w:val="31"/>
    <w:qFormat/>
    <w:rsid w:val="001F173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1738"/>
    <w:rPr>
      <w:b/>
      <w:smallCaps/>
      <w:spacing w:val="5"/>
      <w:u w:val="single"/>
    </w:rPr>
  </w:style>
  <w:style w:type="character" w:styleId="BookTitle">
    <w:name w:val="Book Title"/>
    <w:basedOn w:val="DefaultParagraphFont"/>
    <w:uiPriority w:val="33"/>
    <w:qFormat/>
    <w:rsid w:val="001F1738"/>
    <w:rPr>
      <w:b/>
      <w:smallCaps/>
    </w:rPr>
  </w:style>
  <w:style w:type="paragraph" w:styleId="TOCHeading">
    <w:name w:val="TOC Heading"/>
    <w:basedOn w:val="Heading1"/>
    <w:next w:val="Normal"/>
    <w:uiPriority w:val="39"/>
    <w:unhideWhenUsed/>
    <w:qFormat/>
    <w:rsid w:val="001F1738"/>
  </w:style>
  <w:style w:type="paragraph" w:customStyle="1" w:styleId="Chaptertitle">
    <w:name w:val="Chapter title"/>
    <w:basedOn w:val="ListParagraph"/>
    <w:link w:val="ChaptertitleChar"/>
    <w:uiPriority w:val="1"/>
    <w:rsid w:val="001F1738"/>
    <w:pPr>
      <w:keepNext/>
      <w:numPr>
        <w:numId w:val="1"/>
      </w:numPr>
      <w:spacing w:before="360"/>
      <w:jc w:val="both"/>
    </w:pPr>
    <w:rPr>
      <w:rFonts w:ascii="Times New Roman" w:hAnsi="Times New Roman" w:cs="Times New Roman"/>
      <w:b/>
      <w:sz w:val="24"/>
    </w:rPr>
  </w:style>
  <w:style w:type="table" w:styleId="GridTable4-Accent5">
    <w:name w:val="Grid Table 4 Accent 5"/>
    <w:basedOn w:val="TableNormal"/>
    <w:uiPriority w:val="49"/>
    <w:rsid w:val="001F173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haptertitleChar">
    <w:name w:val="Chapter title Char"/>
    <w:basedOn w:val="ListParagraphChar"/>
    <w:link w:val="Chaptertitle"/>
    <w:uiPriority w:val="1"/>
    <w:rsid w:val="001F1738"/>
    <w:rPr>
      <w:rFonts w:ascii="Times New Roman" w:eastAsiaTheme="minorEastAsia" w:hAnsi="Times New Roman" w:cs="Times New Roman"/>
      <w:b/>
      <w:sz w:val="24"/>
    </w:rPr>
  </w:style>
  <w:style w:type="paragraph" w:styleId="BodyText">
    <w:name w:val="Body Text"/>
    <w:basedOn w:val="Normal"/>
    <w:link w:val="BodyTextChar"/>
    <w:uiPriority w:val="1"/>
    <w:qFormat/>
    <w:rsid w:val="001F1738"/>
    <w:pPr>
      <w:widowControl w:val="0"/>
      <w:spacing w:after="0" w:line="264" w:lineRule="auto"/>
      <w:ind w:left="316"/>
    </w:pPr>
    <w:rPr>
      <w:rFonts w:ascii="Times New Roman" w:eastAsia="Times New Roman" w:hAnsi="Times New Roman"/>
      <w:sz w:val="26"/>
    </w:rPr>
  </w:style>
  <w:style w:type="character" w:customStyle="1" w:styleId="BodyTextChar">
    <w:name w:val="Body Text Char"/>
    <w:basedOn w:val="DefaultParagraphFont"/>
    <w:link w:val="BodyText"/>
    <w:uiPriority w:val="1"/>
    <w:rsid w:val="001F1738"/>
    <w:rPr>
      <w:rFonts w:ascii="Times New Roman" w:eastAsia="Times New Roman" w:hAnsi="Times New Roman"/>
      <w:sz w:val="26"/>
    </w:rPr>
  </w:style>
  <w:style w:type="table" w:styleId="GridTable7Colorful-Accent1">
    <w:name w:val="Grid Table 7 Colorful Accent 1"/>
    <w:basedOn w:val="TableNormal"/>
    <w:uiPriority w:val="52"/>
    <w:rsid w:val="001F1738"/>
    <w:pPr>
      <w:spacing w:after="0" w:line="240" w:lineRule="auto"/>
    </w:pPr>
    <w:rPr>
      <w:rFonts w:eastAsiaTheme="minorEastAsia"/>
      <w:color w:val="365F91" w:themeColor="accent1" w:themeShade="BF"/>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1">
    <w:name w:val="Grid Table 1 Light Accent 1"/>
    <w:basedOn w:val="TableNormal"/>
    <w:uiPriority w:val="46"/>
    <w:rsid w:val="001F1738"/>
    <w:pPr>
      <w:spacing w:after="0" w:line="240" w:lineRule="auto"/>
    </w:pPr>
    <w:rPr>
      <w:rFonts w:eastAsiaTheme="minorEastAsia"/>
      <w:sz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paragraph" w:styleId="TOC2">
    <w:name w:val="toc 2"/>
    <w:basedOn w:val="Normal"/>
    <w:next w:val="Normal"/>
    <w:uiPriority w:val="39"/>
    <w:unhideWhenUsed/>
    <w:rsid w:val="001F1738"/>
    <w:pPr>
      <w:spacing w:after="100" w:line="264" w:lineRule="auto"/>
      <w:ind w:left="220"/>
    </w:pPr>
    <w:rPr>
      <w:rFonts w:eastAsiaTheme="minorEastAsia"/>
      <w:sz w:val="20"/>
    </w:rPr>
  </w:style>
  <w:style w:type="paragraph" w:styleId="TOC3">
    <w:name w:val="toc 3"/>
    <w:basedOn w:val="Normal"/>
    <w:next w:val="Normal"/>
    <w:uiPriority w:val="39"/>
    <w:unhideWhenUsed/>
    <w:rsid w:val="001F1738"/>
    <w:pPr>
      <w:spacing w:after="100" w:line="264" w:lineRule="auto"/>
      <w:ind w:left="440"/>
    </w:pPr>
    <w:rPr>
      <w:rFonts w:eastAsiaTheme="minorEastAsia"/>
      <w:sz w:val="20"/>
    </w:rPr>
  </w:style>
  <w:style w:type="paragraph" w:styleId="TOC4">
    <w:name w:val="toc 4"/>
    <w:basedOn w:val="Normal"/>
    <w:next w:val="Normal"/>
    <w:uiPriority w:val="39"/>
    <w:unhideWhenUsed/>
    <w:rsid w:val="001F1738"/>
    <w:pPr>
      <w:spacing w:after="100" w:line="264" w:lineRule="auto"/>
      <w:ind w:left="660"/>
    </w:pPr>
    <w:rPr>
      <w:rFonts w:eastAsiaTheme="minorEastAsia"/>
      <w:sz w:val="20"/>
    </w:rPr>
  </w:style>
  <w:style w:type="paragraph" w:styleId="TOC5">
    <w:name w:val="toc 5"/>
    <w:basedOn w:val="Normal"/>
    <w:next w:val="Normal"/>
    <w:uiPriority w:val="39"/>
    <w:unhideWhenUsed/>
    <w:rsid w:val="001F1738"/>
    <w:pPr>
      <w:spacing w:after="100" w:line="264" w:lineRule="auto"/>
      <w:ind w:left="880"/>
    </w:pPr>
    <w:rPr>
      <w:rFonts w:eastAsiaTheme="minorEastAsia"/>
      <w:sz w:val="20"/>
    </w:rPr>
  </w:style>
  <w:style w:type="paragraph" w:styleId="TOC6">
    <w:name w:val="toc 6"/>
    <w:basedOn w:val="Normal"/>
    <w:next w:val="Normal"/>
    <w:uiPriority w:val="39"/>
    <w:unhideWhenUsed/>
    <w:rsid w:val="001F1738"/>
    <w:pPr>
      <w:spacing w:after="100" w:line="264" w:lineRule="auto"/>
      <w:ind w:left="1100"/>
    </w:pPr>
    <w:rPr>
      <w:rFonts w:eastAsiaTheme="minorEastAsia"/>
      <w:sz w:val="20"/>
    </w:rPr>
  </w:style>
  <w:style w:type="paragraph" w:styleId="TOC7">
    <w:name w:val="toc 7"/>
    <w:basedOn w:val="Normal"/>
    <w:next w:val="Normal"/>
    <w:uiPriority w:val="39"/>
    <w:unhideWhenUsed/>
    <w:rsid w:val="001F1738"/>
    <w:pPr>
      <w:spacing w:after="100" w:line="264" w:lineRule="auto"/>
      <w:ind w:left="1320"/>
    </w:pPr>
    <w:rPr>
      <w:rFonts w:eastAsiaTheme="minorEastAsia"/>
      <w:sz w:val="20"/>
    </w:rPr>
  </w:style>
  <w:style w:type="paragraph" w:styleId="TOC8">
    <w:name w:val="toc 8"/>
    <w:basedOn w:val="Normal"/>
    <w:next w:val="Normal"/>
    <w:uiPriority w:val="39"/>
    <w:unhideWhenUsed/>
    <w:rsid w:val="001F1738"/>
    <w:pPr>
      <w:spacing w:after="100" w:line="264" w:lineRule="auto"/>
      <w:ind w:left="1540"/>
    </w:pPr>
    <w:rPr>
      <w:rFonts w:eastAsiaTheme="minorEastAsia"/>
      <w:sz w:val="20"/>
    </w:rPr>
  </w:style>
  <w:style w:type="paragraph" w:styleId="TOC9">
    <w:name w:val="toc 9"/>
    <w:basedOn w:val="Normal"/>
    <w:next w:val="Normal"/>
    <w:uiPriority w:val="39"/>
    <w:unhideWhenUsed/>
    <w:rsid w:val="001F1738"/>
    <w:pPr>
      <w:spacing w:after="100" w:line="264" w:lineRule="auto"/>
      <w:ind w:left="1760"/>
    </w:pPr>
    <w:rPr>
      <w:rFonts w:eastAsiaTheme="minorEastAsia"/>
      <w:sz w:val="20"/>
    </w:rPr>
  </w:style>
  <w:style w:type="character" w:customStyle="1" w:styleId="eop">
    <w:name w:val="eop"/>
    <w:basedOn w:val="DefaultParagraphFont"/>
    <w:rsid w:val="001F1738"/>
  </w:style>
  <w:style w:type="character" w:customStyle="1" w:styleId="UnresolvedMention3">
    <w:name w:val="Unresolved Mention3"/>
    <w:basedOn w:val="DefaultParagraphFont"/>
    <w:uiPriority w:val="99"/>
    <w:semiHidden/>
    <w:unhideWhenUsed/>
    <w:rsid w:val="001F1738"/>
    <w:rPr>
      <w:color w:val="605E5C"/>
      <w:shd w:val="clear" w:color="auto" w:fill="E1DFDD"/>
    </w:rPr>
  </w:style>
  <w:style w:type="character" w:customStyle="1" w:styleId="UnresolvedMention">
    <w:name w:val="Unresolved Mention"/>
    <w:basedOn w:val="DefaultParagraphFont"/>
    <w:uiPriority w:val="99"/>
    <w:semiHidden/>
    <w:unhideWhenUsed/>
    <w:rsid w:val="001F1738"/>
    <w:rPr>
      <w:color w:val="605E5C"/>
      <w:shd w:val="clear" w:color="auto" w:fill="E1DFDD"/>
    </w:rPr>
  </w:style>
  <w:style w:type="paragraph" w:customStyle="1" w:styleId="title-bold">
    <w:name w:val="title-bold"/>
    <w:basedOn w:val="Normal"/>
    <w:rsid w:val="0032059A"/>
    <w:pPr>
      <w:spacing w:before="100" w:beforeAutospacing="1" w:after="100" w:afterAutospacing="1" w:line="240" w:lineRule="auto"/>
    </w:pPr>
    <w:rPr>
      <w:rFonts w:ascii="Times New Roman" w:eastAsia="Times New Roman" w:hAnsi="Times New Roman" w:cs="Times New Roman"/>
      <w:sz w:val="24"/>
    </w:rPr>
  </w:style>
  <w:style w:type="character" w:customStyle="1" w:styleId="margintops">
    <w:name w:val="margintop_s"/>
    <w:basedOn w:val="DefaultParagraphFont"/>
    <w:rsid w:val="005C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0581">
      <w:bodyDiv w:val="1"/>
      <w:marLeft w:val="0"/>
      <w:marRight w:val="0"/>
      <w:marTop w:val="0"/>
      <w:marBottom w:val="0"/>
      <w:divBdr>
        <w:top w:val="none" w:sz="0" w:space="0" w:color="auto"/>
        <w:left w:val="none" w:sz="0" w:space="0" w:color="auto"/>
        <w:bottom w:val="none" w:sz="0" w:space="0" w:color="auto"/>
        <w:right w:val="none" w:sz="0" w:space="0" w:color="auto"/>
      </w:divBdr>
    </w:div>
    <w:div w:id="357392686">
      <w:bodyDiv w:val="1"/>
      <w:marLeft w:val="0"/>
      <w:marRight w:val="0"/>
      <w:marTop w:val="0"/>
      <w:marBottom w:val="0"/>
      <w:divBdr>
        <w:top w:val="none" w:sz="0" w:space="0" w:color="auto"/>
        <w:left w:val="none" w:sz="0" w:space="0" w:color="auto"/>
        <w:bottom w:val="none" w:sz="0" w:space="0" w:color="auto"/>
        <w:right w:val="none" w:sz="0" w:space="0" w:color="auto"/>
      </w:divBdr>
    </w:div>
    <w:div w:id="560754890">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909195797">
      <w:bodyDiv w:val="1"/>
      <w:marLeft w:val="0"/>
      <w:marRight w:val="0"/>
      <w:marTop w:val="0"/>
      <w:marBottom w:val="0"/>
      <w:divBdr>
        <w:top w:val="none" w:sz="0" w:space="0" w:color="auto"/>
        <w:left w:val="none" w:sz="0" w:space="0" w:color="auto"/>
        <w:bottom w:val="none" w:sz="0" w:space="0" w:color="auto"/>
        <w:right w:val="none" w:sz="0" w:space="0" w:color="auto"/>
      </w:divBdr>
    </w:div>
    <w:div w:id="1135218904">
      <w:bodyDiv w:val="1"/>
      <w:marLeft w:val="0"/>
      <w:marRight w:val="0"/>
      <w:marTop w:val="0"/>
      <w:marBottom w:val="0"/>
      <w:divBdr>
        <w:top w:val="none" w:sz="0" w:space="0" w:color="auto"/>
        <w:left w:val="none" w:sz="0" w:space="0" w:color="auto"/>
        <w:bottom w:val="none" w:sz="0" w:space="0" w:color="auto"/>
        <w:right w:val="none" w:sz="0" w:space="0" w:color="auto"/>
      </w:divBdr>
    </w:div>
    <w:div w:id="1194225301">
      <w:bodyDiv w:val="1"/>
      <w:marLeft w:val="0"/>
      <w:marRight w:val="0"/>
      <w:marTop w:val="0"/>
      <w:marBottom w:val="0"/>
      <w:divBdr>
        <w:top w:val="none" w:sz="0" w:space="0" w:color="auto"/>
        <w:left w:val="none" w:sz="0" w:space="0" w:color="auto"/>
        <w:bottom w:val="none" w:sz="0" w:space="0" w:color="auto"/>
        <w:right w:val="none" w:sz="0" w:space="0" w:color="auto"/>
      </w:divBdr>
    </w:div>
    <w:div w:id="1215195427">
      <w:bodyDiv w:val="1"/>
      <w:marLeft w:val="0"/>
      <w:marRight w:val="0"/>
      <w:marTop w:val="0"/>
      <w:marBottom w:val="0"/>
      <w:divBdr>
        <w:top w:val="none" w:sz="0" w:space="0" w:color="auto"/>
        <w:left w:val="none" w:sz="0" w:space="0" w:color="auto"/>
        <w:bottom w:val="none" w:sz="0" w:space="0" w:color="auto"/>
        <w:right w:val="none" w:sz="0" w:space="0" w:color="auto"/>
      </w:divBdr>
    </w:div>
    <w:div w:id="1225533563">
      <w:bodyDiv w:val="1"/>
      <w:marLeft w:val="0"/>
      <w:marRight w:val="0"/>
      <w:marTop w:val="0"/>
      <w:marBottom w:val="0"/>
      <w:divBdr>
        <w:top w:val="none" w:sz="0" w:space="0" w:color="auto"/>
        <w:left w:val="none" w:sz="0" w:space="0" w:color="auto"/>
        <w:bottom w:val="none" w:sz="0" w:space="0" w:color="auto"/>
        <w:right w:val="none" w:sz="0" w:space="0" w:color="auto"/>
      </w:divBdr>
    </w:div>
    <w:div w:id="1360938087">
      <w:bodyDiv w:val="1"/>
      <w:marLeft w:val="0"/>
      <w:marRight w:val="0"/>
      <w:marTop w:val="0"/>
      <w:marBottom w:val="0"/>
      <w:divBdr>
        <w:top w:val="none" w:sz="0" w:space="0" w:color="auto"/>
        <w:left w:val="none" w:sz="0" w:space="0" w:color="auto"/>
        <w:bottom w:val="none" w:sz="0" w:space="0" w:color="auto"/>
        <w:right w:val="none" w:sz="0" w:space="0" w:color="auto"/>
      </w:divBdr>
    </w:div>
    <w:div w:id="1483697454">
      <w:bodyDiv w:val="1"/>
      <w:marLeft w:val="0"/>
      <w:marRight w:val="0"/>
      <w:marTop w:val="0"/>
      <w:marBottom w:val="0"/>
      <w:divBdr>
        <w:top w:val="none" w:sz="0" w:space="0" w:color="auto"/>
        <w:left w:val="none" w:sz="0" w:space="0" w:color="auto"/>
        <w:bottom w:val="none" w:sz="0" w:space="0" w:color="auto"/>
        <w:right w:val="none" w:sz="0" w:space="0" w:color="auto"/>
      </w:divBdr>
    </w:div>
    <w:div w:id="1511917182">
      <w:bodyDiv w:val="1"/>
      <w:marLeft w:val="0"/>
      <w:marRight w:val="0"/>
      <w:marTop w:val="0"/>
      <w:marBottom w:val="0"/>
      <w:divBdr>
        <w:top w:val="none" w:sz="0" w:space="0" w:color="auto"/>
        <w:left w:val="none" w:sz="0" w:space="0" w:color="auto"/>
        <w:bottom w:val="none" w:sz="0" w:space="0" w:color="auto"/>
        <w:right w:val="none" w:sz="0" w:space="0" w:color="auto"/>
      </w:divBdr>
    </w:div>
    <w:div w:id="1786077881">
      <w:bodyDiv w:val="1"/>
      <w:marLeft w:val="0"/>
      <w:marRight w:val="0"/>
      <w:marTop w:val="0"/>
      <w:marBottom w:val="0"/>
      <w:divBdr>
        <w:top w:val="none" w:sz="0" w:space="0" w:color="auto"/>
        <w:left w:val="none" w:sz="0" w:space="0" w:color="auto"/>
        <w:bottom w:val="none" w:sz="0" w:space="0" w:color="auto"/>
        <w:right w:val="none" w:sz="0" w:space="0" w:color="auto"/>
      </w:divBdr>
    </w:div>
    <w:div w:id="19698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ecdc.europa.eu/sites/default/files/documents/Health-burden-infections-antibiotic-resistant-bacteria.pdf" TargetMode="External"/><Relationship Id="rId18" Type="http://schemas.openxmlformats.org/officeDocument/2006/relationships/hyperlink" Target="https://eur-lex.europa.eu/legal-content/RO/TXT/HTML/?uri=CELEX:52023DC0672R(01)" TargetMode="External"/><Relationship Id="rId26" Type="http://schemas.openxmlformats.org/officeDocument/2006/relationships/hyperlink" Target="https://eur-lex.europa.eu/legal-content/RO/TXT/?uri=CELEX:52021DC0400" TargetMode="External"/><Relationship Id="rId39" Type="http://schemas.openxmlformats.org/officeDocument/2006/relationships/hyperlink" Target="https://www.cop28.com/en/cop28-uae-declaration-on-climate-and-health" TargetMode="External"/><Relationship Id="rId21" Type="http://schemas.openxmlformats.org/officeDocument/2006/relationships/hyperlink" Target="https://www.jpiamr.eu/activities/one-health-amr/design-oh-amr/" TargetMode="External"/><Relationship Id="rId34" Type="http://schemas.openxmlformats.org/officeDocument/2006/relationships/hyperlink" Target="https://eur-lex.europa.eu/eli/reg_del/2020/689/oj" TargetMode="External"/><Relationship Id="rId42" Type="http://schemas.openxmlformats.org/officeDocument/2006/relationships/hyperlink" Target="https://www.eea.europa.eu/en/about/who-we-are/projects-and-cooperation-agreements/european-climate-risk-assessment" TargetMode="External"/><Relationship Id="rId47" Type="http://schemas.openxmlformats.org/officeDocument/2006/relationships/hyperlink" Target="https://civil-protection-humanitarian-aid.ec.europa.eu/what/civil-protection/european-disaster-risk-management/european-disaster-resilience-goals_en" TargetMode="External"/><Relationship Id="rId50" Type="http://schemas.openxmlformats.org/officeDocument/2006/relationships/hyperlink" Target="https://www.nivel.nl/en/project/1920" TargetMode="External"/><Relationship Id="rId55" Type="http://schemas.openxmlformats.org/officeDocument/2006/relationships/hyperlink" Target="https://www.who.int/initiatives/eios" TargetMode="External"/><Relationship Id="rId63" Type="http://schemas.openxmlformats.org/officeDocument/2006/relationships/hyperlink" Target="https://eur-lex.europa.eu/legal-content/RO/TXT/?uri=CELEX%3A32021D1212" TargetMode="External"/><Relationship Id="rId68" Type="http://schemas.openxmlformats.org/officeDocument/2006/relationships/hyperlink" Target="https://eur-lex.europa.eu/legal-content/RO/TXT/?uri=CELEX%3A32022L2557&amp;qid=1699961915719" TargetMode="External"/><Relationship Id="rId76" Type="http://schemas.openxmlformats.org/officeDocument/2006/relationships/hyperlink" Target="https://commission.europa.eu/strategy-and-policy/priorities-2019-2024/promoting-our-european-way-life/european-health-union/comprehensive-approach-mental-health_ro" TargetMode="External"/><Relationship Id="rId84" Type="http://schemas.openxmlformats.org/officeDocument/2006/relationships/hyperlink" Target="https://verdiproject.org/" TargetMode="External"/><Relationship Id="rId7" Type="http://schemas.openxmlformats.org/officeDocument/2006/relationships/hyperlink" Target="https://op.europa.eu/en/publication-detail/-/publication/8ba3bd75-7c38-11ed-9887-01aa75ed71a1/language-en" TargetMode="External"/><Relationship Id="rId71" Type="http://schemas.openxmlformats.org/officeDocument/2006/relationships/hyperlink" Target="https://eur-lex.europa.eu/legal-content/RO/TXT/?uri=CELEX:32022R0123" TargetMode="External"/><Relationship Id="rId2" Type="http://schemas.openxmlformats.org/officeDocument/2006/relationships/hyperlink" Target="https://www.thelancet.com/journals/laninf/article/PIIS1473-3099(22)00320-6/fulltext" TargetMode="External"/><Relationship Id="rId16" Type="http://schemas.openxmlformats.org/officeDocument/2006/relationships/hyperlink" Target="https://commission.europa.eu/strategy-and-policy/priorities-2019-2024/promoting-our-european-way-life/european-health-union/reform-eu-pharmaceutical-legislation_ro" TargetMode="External"/><Relationship Id="rId29" Type="http://schemas.openxmlformats.org/officeDocument/2006/relationships/hyperlink" Target="https://esdac.jrc.ec.europa.eu/projects/lucas" TargetMode="External"/><Relationship Id="rId11" Type="http://schemas.openxmlformats.org/officeDocument/2006/relationships/hyperlink" Target="https://eva.ecdc.europa.eu/" TargetMode="External"/><Relationship Id="rId24" Type="http://schemas.openxmlformats.org/officeDocument/2006/relationships/hyperlink" Target="https://eur-lex.europa.eu/legal-content/RO/TXT/PDF/?uri=CELEX:52019DC0128" TargetMode="External"/><Relationship Id="rId32" Type="http://schemas.openxmlformats.org/officeDocument/2006/relationships/hyperlink" Target="https://eur-lex.europa.eu/legal-content/RO/TXT/?uri=celex:32003L0099" TargetMode="External"/><Relationship Id="rId37" Type="http://schemas.openxmlformats.org/officeDocument/2006/relationships/hyperlink" Target="https://climate-adapt.eea.europa.eu/en/observatory" TargetMode="External"/><Relationship Id="rId40" Type="http://schemas.openxmlformats.org/officeDocument/2006/relationships/hyperlink" Target="https://www.who.int/publications/i/item/9789289071918" TargetMode="External"/><Relationship Id="rId45" Type="http://schemas.openxmlformats.org/officeDocument/2006/relationships/hyperlink" Target="https://environment.ec.europa.eu/topics/soil-and-land/soil-health_en" TargetMode="External"/><Relationship Id="rId53" Type="http://schemas.openxmlformats.org/officeDocument/2006/relationships/hyperlink" Target="https://www.ecdc.europa.eu/en/publications-data/epipulse-european-surveillance-portal-infectious-diseases" TargetMode="External"/><Relationship Id="rId58" Type="http://schemas.openxmlformats.org/officeDocument/2006/relationships/hyperlink" Target="https://mood-h2020.eu/" TargetMode="External"/><Relationship Id="rId66" Type="http://schemas.openxmlformats.org/officeDocument/2006/relationships/hyperlink" Target="https://ec.europa.eu/commission/presscorner/detail/en/mex_23_4442" TargetMode="External"/><Relationship Id="rId74" Type="http://schemas.openxmlformats.org/officeDocument/2006/relationships/hyperlink" Target="https://www.oecd-ilibrary.org/social-issues-migration-health/health-at-a-glance-europe-2022_507433b0-en;jsessionid=-ZyVma6ABAN0VaaG5paqz-epR3sPXjuLlFsJ5MXW.ip-10-240-5-108" TargetMode="External"/><Relationship Id="rId79" Type="http://schemas.openxmlformats.org/officeDocument/2006/relationships/hyperlink" Target="https://www.thelancet.com/journals/lanres/article/PIIS2213-2600(23)00268-0/fulltext" TargetMode="External"/><Relationship Id="rId87" Type="http://schemas.openxmlformats.org/officeDocument/2006/relationships/hyperlink" Target="https://research-and-innovation.ec.europa.eu/research-area/health/edctp_en" TargetMode="External"/><Relationship Id="rId5" Type="http://schemas.openxmlformats.org/officeDocument/2006/relationships/hyperlink" Target="https://eur-lex.europa.eu/legal-content/RO/TXT/?uri=OJ%3AJOC_2018_466_R_0001" TargetMode="External"/><Relationship Id="rId61" Type="http://schemas.openxmlformats.org/officeDocument/2006/relationships/hyperlink" Target="https://eur-lex.europa.eu/legal-content/RO/TXT/HTML/?uri=CELEX:31998D2119" TargetMode="External"/><Relationship Id="rId82" Type="http://schemas.openxmlformats.org/officeDocument/2006/relationships/hyperlink" Target="https://eic.ec.europa.eu/system/files/2023-08/EIC-WP2023-amended.pdf" TargetMode="External"/><Relationship Id="rId19" Type="http://schemas.openxmlformats.org/officeDocument/2006/relationships/hyperlink" Target="https://gardp.org/" TargetMode="External"/><Relationship Id="rId4" Type="http://schemas.openxmlformats.org/officeDocument/2006/relationships/hyperlink" Target="https://www.ecdc.europa.eu/en/publications-data/interim-public-health-considerations-covid-19-vaccination-roll-out-during-2023" TargetMode="External"/><Relationship Id="rId9" Type="http://schemas.openxmlformats.org/officeDocument/2006/relationships/hyperlink" Target="https://vaccination-info.europa.eu/ro" TargetMode="External"/><Relationship Id="rId14" Type="http://schemas.openxmlformats.org/officeDocument/2006/relationships/hyperlink" Target="https://eur-lex.europa.eu/legal-content/RO/TXT/HTML/?uri=CELEX%3A52017DC0339" TargetMode="External"/><Relationship Id="rId22" Type="http://schemas.openxmlformats.org/officeDocument/2006/relationships/hyperlink" Target="https://ec.europa.eu/info/funding-tenders/opportunities/portal/screen/opportunities/topic-details/horizon-hlth-2024-disease-09-01" TargetMode="External"/><Relationship Id="rId27" Type="http://schemas.openxmlformats.org/officeDocument/2006/relationships/hyperlink" Target="https://environment.ec.europa.eu/publications/proposal-amending-water-directives_en?prefLang=ro" TargetMode="External"/><Relationship Id="rId30" Type="http://schemas.openxmlformats.org/officeDocument/2006/relationships/hyperlink" Target="https://esdac.jrc.ec.europa.eu/" TargetMode="External"/><Relationship Id="rId35" Type="http://schemas.openxmlformats.org/officeDocument/2006/relationships/hyperlink" Target="https://www.izsvenezie.com/reference-laboratories/avian-influenza-newcastle-disease/" TargetMode="External"/><Relationship Id="rId43" Type="http://schemas.openxmlformats.org/officeDocument/2006/relationships/hyperlink" Target="https://ec.europa.eu/commission/presscorner/detail/en/ip_22_6278" TargetMode="External"/><Relationship Id="rId48" Type="http://schemas.openxmlformats.org/officeDocument/2006/relationships/hyperlink" Target="https://health.ec.europa.eu/publications/hera-factsheet-health-union-identifying-top-3-priority-health-threats_en" TargetMode="External"/><Relationship Id="rId56" Type="http://schemas.openxmlformats.org/officeDocument/2006/relationships/hyperlink" Target="https://health.ec.europa.eu/latest-updates/hera-it-system-athina-collect-intelligence-and-assess-threats-call-tender-published-2023-04-25_en" TargetMode="External"/><Relationship Id="rId64" Type="http://schemas.openxmlformats.org/officeDocument/2006/relationships/hyperlink" Target="https://health.ec.europa.eu/health-security-and-infectious-diseases/crisis-management/list-authorities-represented-health-security-committee/health-security-committee-reports_en" TargetMode="External"/><Relationship Id="rId69" Type="http://schemas.openxmlformats.org/officeDocument/2006/relationships/hyperlink" Target="https://eur-lex.europa.eu/legal-content/RO/TXT/?uri=CELEX%3A32008L0114&amp;qid=1699961985226" TargetMode="External"/><Relationship Id="rId77" Type="http://schemas.openxmlformats.org/officeDocument/2006/relationships/hyperlink" Target="https://research-and-innovation.ec.europa.eu/funding/funding-opportunities/funding-programmes-and-open-calls/horizon-europe/european-partnerships-horizon-europe/health_en" TargetMode="External"/><Relationship Id="rId8" Type="http://schemas.openxmlformats.org/officeDocument/2006/relationships/hyperlink" Target="https://knowledge4policy.ec.europa.eu/projects-activities/behavioural-insights-eu-bi4eu_en" TargetMode="External"/><Relationship Id="rId51" Type="http://schemas.openxmlformats.org/officeDocument/2006/relationships/hyperlink" Target="https://health.ec.europa.eu/health-security-and-infectious-diseases/surveillance-and-early-warning/eu-reference-laboratories-public-health-calls-application_en" TargetMode="External"/><Relationship Id="rId72" Type="http://schemas.openxmlformats.org/officeDocument/2006/relationships/hyperlink" Target="https://www.ecdc.europa.eu/en/publications-data/conducting-after-action-reviews-public-health-response-covid-19-update-0" TargetMode="External"/><Relationship Id="rId80" Type="http://schemas.openxmlformats.org/officeDocument/2006/relationships/hyperlink" Target="https://health.ec.europa.eu/health-emergency-preparedness-and-response-hera/hera-invest_en" TargetMode="External"/><Relationship Id="rId85" Type="http://schemas.openxmlformats.org/officeDocument/2006/relationships/hyperlink" Target="https://health.ec.europa.eu/system/files/2023-03/international_ghs-report-2022_en.pdf" TargetMode="External"/><Relationship Id="rId3" Type="http://schemas.openxmlformats.org/officeDocument/2006/relationships/hyperlink" Target="https://www.who.int/publications/i/item/9789241580496" TargetMode="External"/><Relationship Id="rId12" Type="http://schemas.openxmlformats.org/officeDocument/2006/relationships/hyperlink" Target="https://eur-lex.europa.eu/legal-content/RO/TXT/?uri=COM:2021:44:FIN" TargetMode="External"/><Relationship Id="rId17" Type="http://schemas.openxmlformats.org/officeDocument/2006/relationships/hyperlink" Target="https://health.ec.europa.eu/funding/eu4health-programme-2021-2027-vision-healthier-european-union_ro" TargetMode="External"/><Relationship Id="rId25" Type="http://schemas.openxmlformats.org/officeDocument/2006/relationships/hyperlink" Target="https://commission.europa.eu/strategy-and-policy/priorities-2019-2024/european-green-deal_ro" TargetMode="External"/><Relationship Id="rId33" Type="http://schemas.openxmlformats.org/officeDocument/2006/relationships/hyperlink" Target="https://eur-lex.europa.eu/legal-content/RO/TXT/?uri=CELEX%3A32016R0429&amp;qid=1699617422821" TargetMode="External"/><Relationship Id="rId38" Type="http://schemas.openxmlformats.org/officeDocument/2006/relationships/hyperlink" Target="https://www.who.int/europe/publications/i/item/EURO-Budapest2023-6" TargetMode="External"/><Relationship Id="rId46" Type="http://schemas.openxmlformats.org/officeDocument/2006/relationships/hyperlink" Target="https://eur-lex.europa.eu/legal-content/RO/TXT/?uri=OJ:L:2023:234:TOC" TargetMode="External"/><Relationship Id="rId59" Type="http://schemas.openxmlformats.org/officeDocument/2006/relationships/hyperlink" Target="https://www.veo-europe.eu/" TargetMode="External"/><Relationship Id="rId67" Type="http://schemas.openxmlformats.org/officeDocument/2006/relationships/hyperlink" Target="https://eur-lex.europa.eu/legal-content/RO/TXT/?uri=CELEX%3A32022R0123" TargetMode="External"/><Relationship Id="rId20" Type="http://schemas.openxmlformats.org/officeDocument/2006/relationships/hyperlink" Target="https://www.who.int/groups/secure-expanding-sustainable-access-to-antibiotics" TargetMode="External"/><Relationship Id="rId41" Type="http://schemas.openxmlformats.org/officeDocument/2006/relationships/hyperlink" Target="https://cinea.ec.europa.eu/programmes/life_en" TargetMode="External"/><Relationship Id="rId54" Type="http://schemas.openxmlformats.org/officeDocument/2006/relationships/hyperlink" Target="https://www.ecdc.europa.eu/en/publications-data/european-surveillance-system-tessy" TargetMode="External"/><Relationship Id="rId62" Type="http://schemas.openxmlformats.org/officeDocument/2006/relationships/hyperlink" Target="https://eur-lex.europa.eu/legal-content/RO/TXT/HTML/?uri=CELEX:32021D0858" TargetMode="External"/><Relationship Id="rId70" Type="http://schemas.openxmlformats.org/officeDocument/2006/relationships/hyperlink" Target="https://eur-lex.europa.eu/legal-content/RO/TXT/?uri=CELEX:52023DC0526" TargetMode="External"/><Relationship Id="rId75" Type="http://schemas.openxmlformats.org/officeDocument/2006/relationships/hyperlink" Target="https://www.who.int/news/item/02-03-2022-covid-19-pandemic-triggers-25-increase-in-prevalence-of-anxiety-and-depression-worldwide" TargetMode="External"/><Relationship Id="rId83" Type="http://schemas.openxmlformats.org/officeDocument/2006/relationships/hyperlink" Target="https://eu-response.eu/" TargetMode="External"/><Relationship Id="rId1" Type="http://schemas.openxmlformats.org/officeDocument/2006/relationships/hyperlink" Target="https://commission.europa.eu/strategy-and-policy/coronavirus-response/public-health/eu-vaccines-strategy_en?prefLang=ro" TargetMode="External"/><Relationship Id="rId6" Type="http://schemas.openxmlformats.org/officeDocument/2006/relationships/hyperlink" Target="https://health.ec.europa.eu/system/files/2022-12/2019-2022_roadmap_en.pdf" TargetMode="External"/><Relationship Id="rId15" Type="http://schemas.openxmlformats.org/officeDocument/2006/relationships/hyperlink" Target="https://eur-lex.europa.eu/legal-content/RO/TXT/?uri=CELEX%3A32023H0622%2801%29" TargetMode="External"/><Relationship Id="rId23" Type="http://schemas.openxmlformats.org/officeDocument/2006/relationships/hyperlink" Target="https://research-and-innovation.ec.europa.eu/funding/funding-opportunities/funding-programmes-and-open-calls/horizon-europe_en?prefLang=ro" TargetMode="External"/><Relationship Id="rId28" Type="http://schemas.openxmlformats.org/officeDocument/2006/relationships/hyperlink" Target="https://environment.ec.europa.eu/publications/proposal-revised-urban-wastewater-treatment-directive_en?prefLang=ro" TargetMode="External"/><Relationship Id="rId36" Type="http://schemas.openxmlformats.org/officeDocument/2006/relationships/hyperlink" Target="https://eur-lex.europa.eu/legal-content/RO/TXT/?uri=CELEX%3A32020R0689&amp;qid=1699963567960" TargetMode="External"/><Relationship Id="rId49" Type="http://schemas.openxmlformats.org/officeDocument/2006/relationships/hyperlink" Target="https://commission.europa.eu/strategy-and-policy/coronavirus-response/public-health_ro" TargetMode="External"/><Relationship Id="rId57" Type="http://schemas.openxmlformats.org/officeDocument/2006/relationships/hyperlink" Target="https://united4surveillance.eu/" TargetMode="External"/><Relationship Id="rId10" Type="http://schemas.openxmlformats.org/officeDocument/2006/relationships/hyperlink" Target="https://health.ec.europa.eu/non-communicable-diseases/expert-group-public-health_ro" TargetMode="External"/><Relationship Id="rId31" Type="http://schemas.openxmlformats.org/officeDocument/2006/relationships/hyperlink" Target="https://www.nature.com/articles/nature06536" TargetMode="External"/><Relationship Id="rId44" Type="http://schemas.openxmlformats.org/officeDocument/2006/relationships/hyperlink" Target="https://environment.ec.europa.eu/publications/proposal-revision-industrial-emissions-directive_en" TargetMode="External"/><Relationship Id="rId52" Type="http://schemas.openxmlformats.org/officeDocument/2006/relationships/hyperlink" Target="https://www.pasteur.fr/en/home/institut-pasteur/institut-pasteur-throughout-world/international-research-programs/durable-large-scale-project-emerging-diseases-within-eu4health-european-program" TargetMode="External"/><Relationship Id="rId60" Type="http://schemas.openxmlformats.org/officeDocument/2006/relationships/hyperlink" Target="https://www.phiri.eu/" TargetMode="External"/><Relationship Id="rId65" Type="http://schemas.openxmlformats.org/officeDocument/2006/relationships/hyperlink" Target="https://health.ec.europa.eu/publications/preparing-winter-20232024-address-respiratory-infections-caused-sars-cov-2-and-other-viruses_en" TargetMode="External"/><Relationship Id="rId73" Type="http://schemas.openxmlformats.org/officeDocument/2006/relationships/hyperlink" Target="https://cohesiondata.ec.europa.eu/2021-2027-Categorisation/2021-2027-Finances-details-categorisation-multi-fu/hgyj-gyin" TargetMode="External"/><Relationship Id="rId78" Type="http://schemas.openxmlformats.org/officeDocument/2006/relationships/hyperlink" Target="https://eur-lex.europa.eu/legal-content/RO/TXT/?uri=CELEX:52023DC0298" TargetMode="External"/><Relationship Id="rId81" Type="http://schemas.openxmlformats.org/officeDocument/2006/relationships/hyperlink" Target="https://investeu.europa.eu/index_en" TargetMode="External"/><Relationship Id="rId86" Type="http://schemas.openxmlformats.org/officeDocument/2006/relationships/hyperlink" Target="https://commission.europa.eu/strategy-and-policy/priorities-2019-2024/stronger-europe-world/global-gateway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85128-441C-42E8-8DB9-54D304D5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15011</Words>
  <Characters>85568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2023-11-10T09:33:00Z</cp:lastPrinted>
  <dcterms:created xsi:type="dcterms:W3CDTF">2023-12-06T14:47:00Z</dcterms:created>
  <dcterms:modified xsi:type="dcterms:W3CDTF">2024-01-17T08:53:00Z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3f3ee531-c85a-4cd9-865c-b444eab5dd1e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9.0, Build 20230317</vt:lpwstr>
  </property>
  <property fmtid="{D5CDD505-2E9C-101B-9397-08002B2CF9AE}" pid="15" name="Created using">
    <vt:lpwstr>LW 9.0, Build 20230317</vt:lpwstr>
  </property>
</Properties>
</file>