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7820" w14:textId="3E73CBA0" w:rsidR="00455B3D" w:rsidRDefault="008F617D" w:rsidP="008F617D">
      <w:pPr>
        <w:pStyle w:val="Pagedecouverture"/>
        <w:rPr>
          <w:noProof/>
        </w:rPr>
      </w:pPr>
      <w:r>
        <w:rPr>
          <w:noProof/>
        </w:rPr>
        <w:pict w14:anchorId="1B1A2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5DE0D52F-8339-41A4-A1CA-13DCED8DA856" style="width:455.25pt;height:401.25pt">
            <v:imagedata r:id="rId11" o:title=""/>
          </v:shape>
        </w:pict>
      </w:r>
    </w:p>
    <w:p w14:paraId="1E754269" w14:textId="77777777" w:rsidR="00455B3D" w:rsidRDefault="00455B3D" w:rsidP="00455B3D">
      <w:pPr>
        <w:rPr>
          <w:noProof/>
        </w:rPr>
        <w:sectPr w:rsidR="00455B3D" w:rsidSect="008F617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381875F" w14:textId="77777777" w:rsidR="00455B3D" w:rsidRDefault="00455B3D" w:rsidP="00455B3D">
      <w:pPr>
        <w:pStyle w:val="Annexetitre"/>
        <w:rPr>
          <w:noProof/>
        </w:rPr>
      </w:pPr>
      <w:bookmarkStart w:id="0" w:name="_GoBack"/>
      <w:bookmarkEnd w:id="0"/>
      <w:r w:rsidRPr="00455B3D">
        <w:rPr>
          <w:noProof/>
        </w:rPr>
        <w:lastRenderedPageBreak/>
        <w:t>ANNEX</w:t>
      </w:r>
      <w:r>
        <w:rPr>
          <w:noProof/>
        </w:rPr>
        <w:t xml:space="preserve"> I</w:t>
      </w:r>
      <w:r w:rsidRPr="00455B3D">
        <w:rPr>
          <w:noProof/>
        </w:rPr>
        <w:t xml:space="preserve"> </w:t>
      </w:r>
    </w:p>
    <w:p w14:paraId="6B32F717" w14:textId="77777777" w:rsidR="00991DF8" w:rsidRDefault="00991DF8" w:rsidP="00991DF8">
      <w:pPr>
        <w:shd w:val="clear" w:color="auto" w:fill="FFFFFF" w:themeFill="background1"/>
        <w:tabs>
          <w:tab w:val="left" w:pos="5000"/>
        </w:tabs>
        <w:spacing w:after="0"/>
        <w:jc w:val="center"/>
        <w:rPr>
          <w:rFonts w:eastAsia="Times New Roman"/>
          <w:b/>
          <w:noProof/>
          <w:lang w:val="en-IE" w:eastAsia="en-GB"/>
        </w:rPr>
      </w:pPr>
      <w:r>
        <w:rPr>
          <w:rFonts w:eastAsia="Times New Roman"/>
          <w:b/>
          <w:noProof/>
          <w:lang w:val="en-IE" w:eastAsia="en-GB"/>
        </w:rPr>
        <w:t>Projects or programmes of Union interest</w:t>
      </w:r>
    </w:p>
    <w:p w14:paraId="1D3E144F" w14:textId="77777777" w:rsidR="00991DF8" w:rsidRPr="00144C86" w:rsidRDefault="00991DF8" w:rsidP="00E209ED">
      <w:pPr>
        <w:pStyle w:val="NumPar1"/>
        <w:numPr>
          <w:ilvl w:val="0"/>
          <w:numId w:val="6"/>
        </w:numPr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Preparatory Action on Preparing the new EU GOVSATCOM programme</w:t>
      </w:r>
    </w:p>
    <w:p w14:paraId="719DE45A" w14:textId="77777777" w:rsidR="00482747" w:rsidRPr="00041A34" w:rsidRDefault="00991DF8" w:rsidP="00B34E95">
      <w:pPr>
        <w:rPr>
          <w:noProof/>
        </w:rPr>
      </w:pPr>
      <w:r w:rsidRPr="00041A34">
        <w:rPr>
          <w:noProof/>
        </w:rPr>
        <w:t>Regulation (EU, Euratom) 2018/1046 of the European Parliament and of the Council of 18July 2018 on the financial rules applicable to the general budget of the Union, amending Regulations (EU) No 1296/2013, (EU) No 1301/2013, (EU) No 1303/2013, (EU) No 1304/2013, (EU) No 1309/2013, (EU) No 1316/2013, (EU) No 223/2014, (EU) No 283/2014, and Decision No 541/2014/EU and repealing Regulation (EU, Euratom) No 966/2012, and in particular Article 58(2)</w:t>
      </w:r>
      <w:r w:rsidR="00873A11">
        <w:rPr>
          <w:noProof/>
        </w:rPr>
        <w:t xml:space="preserve"> point </w:t>
      </w:r>
      <w:r w:rsidRPr="00041A34">
        <w:rPr>
          <w:noProof/>
        </w:rPr>
        <w:t>(b) thereof (</w:t>
      </w:r>
      <w:hyperlink r:id="rId18" w:history="1">
        <w:r w:rsidRPr="00041A34">
          <w:rPr>
            <w:rStyle w:val="Hyperlink"/>
            <w:rFonts w:eastAsiaTheme="majorEastAsia"/>
            <w:noProof/>
            <w:color w:val="337AB7"/>
          </w:rPr>
          <w:t>OJ L 193, 30.7.2018, p. 1</w:t>
        </w:r>
      </w:hyperlink>
      <w:r w:rsidR="00873A11">
        <w:rPr>
          <w:rStyle w:val="Hyperlink"/>
          <w:rFonts w:eastAsiaTheme="majorEastAsia"/>
          <w:noProof/>
          <w:color w:val="337AB7"/>
        </w:rPr>
        <w:t xml:space="preserve">, </w:t>
      </w:r>
      <w:r w:rsidR="00873A11" w:rsidRPr="00873A11">
        <w:rPr>
          <w:rStyle w:val="Hyperlink"/>
          <w:rFonts w:eastAsiaTheme="majorEastAsia"/>
          <w:noProof/>
          <w:color w:val="337AB7"/>
        </w:rPr>
        <w:t xml:space="preserve">ELI: </w:t>
      </w:r>
      <w:hyperlink r:id="rId19" w:history="1">
        <w:r w:rsidR="00482747" w:rsidRPr="007573CC">
          <w:rPr>
            <w:rStyle w:val="Hyperlink"/>
            <w:rFonts w:eastAsiaTheme="majorEastAsia"/>
            <w:noProof/>
          </w:rPr>
          <w:t>http://data.europa.eu/eli/reg/2018/1046/oj</w:t>
        </w:r>
      </w:hyperlink>
      <w:r w:rsidRPr="00041A34">
        <w:rPr>
          <w:noProof/>
        </w:rPr>
        <w:t>).</w:t>
      </w:r>
    </w:p>
    <w:p w14:paraId="514E3FBD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Space Programme</w:t>
      </w:r>
    </w:p>
    <w:p w14:paraId="41F016FE" w14:textId="77777777" w:rsidR="00991DF8" w:rsidRDefault="00991DF8" w:rsidP="00B34E95">
      <w:pPr>
        <w:rPr>
          <w:noProof/>
        </w:rPr>
      </w:pPr>
      <w:r w:rsidRPr="00041A34">
        <w:rPr>
          <w:noProof/>
        </w:rPr>
        <w:t>Regulation (EU) 2021/696 of the European Parliament and of the Council of 28</w:t>
      </w:r>
      <w:r>
        <w:rPr>
          <w:noProof/>
        </w:rPr>
        <w:t xml:space="preserve"> </w:t>
      </w:r>
      <w:r w:rsidRPr="00041A34">
        <w:rPr>
          <w:noProof/>
        </w:rPr>
        <w:t>April 2021 establishing the Union Space Programme and the European Union Agency for the Space Programme and repealing Regulations (EU) No 912/2010, (EU) No 1285/2013 and (EU) No 377/2014 and Decision No 541/2014/EU (</w:t>
      </w:r>
      <w:hyperlink r:id="rId20" w:history="1">
        <w:r w:rsidRPr="00041A34">
          <w:rPr>
            <w:rStyle w:val="Hyperlink"/>
            <w:rFonts w:eastAsiaTheme="majorEastAsia"/>
            <w:noProof/>
            <w:color w:val="337AB7"/>
          </w:rPr>
          <w:t>OJ L 170, 12.5.2021, p. 69</w:t>
        </w:r>
      </w:hyperlink>
      <w:r w:rsidR="00873A11">
        <w:rPr>
          <w:rStyle w:val="Hyperlink"/>
          <w:rFonts w:eastAsiaTheme="majorEastAsia"/>
          <w:noProof/>
          <w:color w:val="337AB7"/>
        </w:rPr>
        <w:t xml:space="preserve">, </w:t>
      </w:r>
      <w:r w:rsidR="00873A11" w:rsidRPr="00873A11">
        <w:rPr>
          <w:rStyle w:val="Hyperlink"/>
          <w:rFonts w:eastAsiaTheme="majorEastAsia"/>
          <w:noProof/>
          <w:color w:val="337AB7"/>
        </w:rPr>
        <w:t xml:space="preserve">ELI: </w:t>
      </w:r>
      <w:hyperlink r:id="rId21" w:history="1">
        <w:r w:rsidR="00482747" w:rsidRPr="007573CC">
          <w:rPr>
            <w:rStyle w:val="Hyperlink"/>
            <w:rFonts w:eastAsiaTheme="majorEastAsia"/>
            <w:noProof/>
          </w:rPr>
          <w:t>http://data.europa.eu/eli/reg/2021/696/oj</w:t>
        </w:r>
      </w:hyperlink>
      <w:r w:rsidRPr="00041A34">
        <w:rPr>
          <w:noProof/>
        </w:rPr>
        <w:t>).</w:t>
      </w:r>
    </w:p>
    <w:p w14:paraId="32AEE63E" w14:textId="77777777" w:rsidR="00482747" w:rsidRPr="00EC4D84" w:rsidRDefault="00482747" w:rsidP="00482747">
      <w:pPr>
        <w:pStyle w:val="NumPar1"/>
        <w:rPr>
          <w:b/>
          <w:bCs/>
          <w:noProof/>
        </w:rPr>
      </w:pPr>
      <w:r w:rsidRPr="00EC4D84">
        <w:rPr>
          <w:b/>
          <w:bCs/>
          <w:noProof/>
        </w:rPr>
        <w:t>Union secure connectivity programme</w:t>
      </w:r>
      <w:r w:rsidR="00D371B7" w:rsidRPr="00EC4D84">
        <w:rPr>
          <w:b/>
          <w:bCs/>
          <w:noProof/>
        </w:rPr>
        <w:t xml:space="preserve"> </w:t>
      </w:r>
    </w:p>
    <w:p w14:paraId="7AC39570" w14:textId="77777777" w:rsidR="00482747" w:rsidRPr="00041A34" w:rsidRDefault="008F617D" w:rsidP="00C173B2">
      <w:pPr>
        <w:rPr>
          <w:noProof/>
        </w:rPr>
      </w:pPr>
      <w:hyperlink r:id="rId22" w:history="1">
        <w:r w:rsidR="00482747" w:rsidRPr="00482747">
          <w:rPr>
            <w:rStyle w:val="Hyperlink"/>
            <w:noProof/>
            <w:color w:val="auto"/>
            <w:u w:val="none"/>
          </w:rPr>
          <w:t>Regulation (EU) 2023/588 of the European Parliament and of the Council of 15 March 2023 establishing the Union Secure Connectivity Programme for the period 2023-2027</w:t>
        </w:r>
      </w:hyperlink>
      <w:r w:rsidR="00482747" w:rsidRPr="00482747">
        <w:rPr>
          <w:noProof/>
        </w:rPr>
        <w:t xml:space="preserve"> (</w:t>
      </w:r>
      <w:hyperlink r:id="rId23" w:history="1">
        <w:r w:rsidR="00482747" w:rsidRPr="00482747">
          <w:rPr>
            <w:rStyle w:val="Hyperlink"/>
            <w:noProof/>
          </w:rPr>
          <w:t>OJ L 79, 17.3.2023, p.1</w:t>
        </w:r>
      </w:hyperlink>
      <w:r w:rsidR="00482747" w:rsidRPr="00482747">
        <w:rPr>
          <w:noProof/>
        </w:rPr>
        <w:t xml:space="preserve">, </w:t>
      </w:r>
      <w:r w:rsidR="00482747" w:rsidRPr="00FE50F6">
        <w:rPr>
          <w:rStyle w:val="Hyperlink"/>
          <w:rFonts w:eastAsiaTheme="majorEastAsia"/>
          <w:noProof/>
          <w:color w:val="337AB7"/>
        </w:rPr>
        <w:t>ELI:</w:t>
      </w:r>
      <w:r w:rsidR="00482747" w:rsidRPr="00482747">
        <w:rPr>
          <w:noProof/>
        </w:rPr>
        <w:t xml:space="preserve"> </w:t>
      </w:r>
      <w:hyperlink r:id="rId24" w:tooltip="Gives access to this document through its ELI URI." w:history="1">
        <w:r w:rsidR="00482747" w:rsidRPr="00482747">
          <w:rPr>
            <w:rStyle w:val="Hyperlink"/>
            <w:noProof/>
          </w:rPr>
          <w:t>http://data.europa.eu/eli/reg/2023/588/oj</w:t>
        </w:r>
      </w:hyperlink>
      <w:r w:rsidR="00482747" w:rsidRPr="00482747">
        <w:rPr>
          <w:noProof/>
        </w:rPr>
        <w:t>).</w:t>
      </w:r>
    </w:p>
    <w:p w14:paraId="3C48DD61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Horizon 2020 including research and development programmes pursuant to Article 185 TFEU, and joint undertakings or any other structure set up pursuant to Article 187 TFEU</w:t>
      </w:r>
    </w:p>
    <w:p w14:paraId="52619719" w14:textId="77777777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No 1291/2013 of the European Parliament and of the Council of 11 December 2013 establishing Horizon 2020 – the Framework Programme for Research and Innovation (2014-20) and repealing Decision No 1982/2006/EC (</w:t>
      </w:r>
      <w:hyperlink r:id="rId25" w:history="1">
        <w:r w:rsidRPr="00041A34">
          <w:rPr>
            <w:rStyle w:val="Hyperlink"/>
            <w:rFonts w:eastAsiaTheme="majorEastAsia"/>
            <w:noProof/>
            <w:color w:val="337AB7"/>
          </w:rPr>
          <w:t>OJ L 347, 20.12.2013, p. 104</w:t>
        </w:r>
      </w:hyperlink>
      <w:r w:rsidR="00873A11">
        <w:rPr>
          <w:rStyle w:val="Hyperlink"/>
          <w:rFonts w:eastAsiaTheme="majorEastAsia"/>
          <w:noProof/>
          <w:color w:val="337AB7"/>
        </w:rPr>
        <w:t xml:space="preserve">, </w:t>
      </w:r>
      <w:r w:rsidR="00873A11" w:rsidRPr="00873A11">
        <w:rPr>
          <w:rStyle w:val="Hyperlink"/>
          <w:rFonts w:eastAsiaTheme="majorEastAsia"/>
          <w:noProof/>
          <w:color w:val="337AB7"/>
        </w:rPr>
        <w:t xml:space="preserve">ELI: </w:t>
      </w:r>
      <w:hyperlink r:id="rId26" w:history="1">
        <w:r w:rsidR="005B19E5" w:rsidRPr="007573CC">
          <w:rPr>
            <w:rStyle w:val="Hyperlink"/>
            <w:rFonts w:eastAsiaTheme="majorEastAsia"/>
            <w:noProof/>
          </w:rPr>
          <w:t>http://data.europa.eu/eli/reg/2013/1291/oj</w:t>
        </w:r>
      </w:hyperlink>
      <w:r w:rsidRPr="00041A34">
        <w:rPr>
          <w:noProof/>
        </w:rPr>
        <w:t>)</w:t>
      </w:r>
      <w:r w:rsidR="005B19E5">
        <w:rPr>
          <w:noProof/>
        </w:rPr>
        <w:t xml:space="preserve">. </w:t>
      </w:r>
    </w:p>
    <w:p w14:paraId="04EE7127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Horizon Europe, including research and development programmes pursuant to Article 185 TFEU, and joint undertakings or any other structure set up pursuant to Article 187 TFEU</w:t>
      </w:r>
    </w:p>
    <w:p w14:paraId="4A779B31" w14:textId="378BDD01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2021/695 of the European Parliament and of the Council of 28 April 2021 establishing Horizon Europe – the Framework Programme for Research and Innovation, laying down its rules for participation and dissemination, and repealing Regulations (EU) No 1290/2013 and (EU) No 1291/2013 (</w:t>
      </w:r>
      <w:hyperlink r:id="rId27" w:history="1">
        <w:r w:rsidRPr="00041A34">
          <w:rPr>
            <w:rStyle w:val="Hyperlink"/>
            <w:rFonts w:eastAsiaTheme="majorEastAsia"/>
            <w:noProof/>
            <w:color w:val="337AB7"/>
          </w:rPr>
          <w:t>OJ L 170, 12.5.2021, p. 1</w:t>
        </w:r>
      </w:hyperlink>
      <w:r w:rsidR="002B4EAD">
        <w:rPr>
          <w:rStyle w:val="Hyperlink"/>
          <w:rFonts w:eastAsiaTheme="majorEastAsia"/>
          <w:noProof/>
          <w:color w:val="337AB7"/>
        </w:rPr>
        <w:t xml:space="preserve">, </w:t>
      </w:r>
      <w:r w:rsidR="002B4EAD" w:rsidRPr="002B4EAD">
        <w:rPr>
          <w:rStyle w:val="Hyperlink"/>
          <w:rFonts w:eastAsiaTheme="majorEastAsia"/>
          <w:noProof/>
          <w:color w:val="337AB7"/>
        </w:rPr>
        <w:t xml:space="preserve">ELI: </w:t>
      </w:r>
      <w:hyperlink r:id="rId28" w:history="1">
        <w:r w:rsidR="002B4EAD" w:rsidRPr="00DC2EA0">
          <w:rPr>
            <w:rStyle w:val="Hyperlink"/>
            <w:rFonts w:eastAsiaTheme="majorEastAsia"/>
            <w:noProof/>
          </w:rPr>
          <w:t>http://data.europa.eu/eli/reg/2021/695/oj</w:t>
        </w:r>
      </w:hyperlink>
      <w:r w:rsidRPr="00041A34">
        <w:rPr>
          <w:noProof/>
        </w:rPr>
        <w:t>).</w:t>
      </w:r>
    </w:p>
    <w:p w14:paraId="69897F37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Euratom Research and Training Programme 2021-25</w:t>
      </w:r>
    </w:p>
    <w:p w14:paraId="5AE247B5" w14:textId="53749201" w:rsidR="00991DF8" w:rsidRPr="00041A34" w:rsidRDefault="00991DF8" w:rsidP="00B34E95">
      <w:pPr>
        <w:rPr>
          <w:noProof/>
        </w:rPr>
      </w:pPr>
      <w:r w:rsidRPr="00041A34">
        <w:rPr>
          <w:noProof/>
        </w:rPr>
        <w:t>Council Regulation (Euratom) 2021/765 of 10 May 2021 establishing the Research and Training Programme of the European Atomic Energy Community for the period 2021-25 complementing Horizon Europe – the Framework Programme for Research and Innovation and repealing Regulation (Euratom) 2018/1563 (</w:t>
      </w:r>
      <w:hyperlink r:id="rId29" w:history="1">
        <w:r w:rsidRPr="00041A34">
          <w:rPr>
            <w:rStyle w:val="Hyperlink"/>
            <w:rFonts w:eastAsiaTheme="majorEastAsia"/>
            <w:noProof/>
            <w:color w:val="337AB7"/>
          </w:rPr>
          <w:t>OJ L 167I, 12.5.2021, p. 81</w:t>
        </w:r>
      </w:hyperlink>
      <w:r w:rsidR="002B4EAD">
        <w:rPr>
          <w:rStyle w:val="Hyperlink"/>
          <w:rFonts w:eastAsiaTheme="majorEastAsia"/>
          <w:noProof/>
          <w:color w:val="337AB7"/>
        </w:rPr>
        <w:t xml:space="preserve">, </w:t>
      </w:r>
      <w:r w:rsidR="002B4EAD" w:rsidRPr="002B4EAD">
        <w:rPr>
          <w:rStyle w:val="Hyperlink"/>
          <w:rFonts w:eastAsiaTheme="majorEastAsia"/>
          <w:noProof/>
          <w:color w:val="337AB7"/>
        </w:rPr>
        <w:t xml:space="preserve">ELI: </w:t>
      </w:r>
      <w:hyperlink r:id="rId30" w:history="1">
        <w:r w:rsidR="00FE50F6" w:rsidRPr="007573CC">
          <w:rPr>
            <w:rStyle w:val="Hyperlink"/>
            <w:rFonts w:eastAsiaTheme="majorEastAsia"/>
            <w:noProof/>
          </w:rPr>
          <w:t>http://data.europa.eu/eli/reg/2021/765/oj</w:t>
        </w:r>
      </w:hyperlink>
      <w:r w:rsidRPr="00041A34">
        <w:rPr>
          <w:noProof/>
        </w:rPr>
        <w:t>).</w:t>
      </w:r>
    </w:p>
    <w:p w14:paraId="35E5C5B8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Trans-European Networks for Transport (TEN-T)</w:t>
      </w:r>
    </w:p>
    <w:p w14:paraId="4ADEEAF3" w14:textId="3A120722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No 1315/2013 of the European Parliament and of the Council of 11 December 2013 on Union guidelines for the development of the trans-European transport network and repealing Decision No 661/2010/EU (</w:t>
      </w:r>
      <w:hyperlink r:id="rId31" w:history="1">
        <w:r w:rsidRPr="00041A34">
          <w:rPr>
            <w:rStyle w:val="Hyperlink"/>
            <w:rFonts w:eastAsiaTheme="majorEastAsia"/>
            <w:noProof/>
            <w:color w:val="337AB7"/>
          </w:rPr>
          <w:t>OJ L 348, 20.12.2013, p. 1</w:t>
        </w:r>
      </w:hyperlink>
      <w:r w:rsidR="00F51773">
        <w:rPr>
          <w:rStyle w:val="Hyperlink"/>
          <w:rFonts w:eastAsiaTheme="majorEastAsia"/>
          <w:noProof/>
          <w:color w:val="337AB7"/>
        </w:rPr>
        <w:t xml:space="preserve">, </w:t>
      </w:r>
      <w:r w:rsidR="00F51773" w:rsidRPr="00F51773">
        <w:rPr>
          <w:rStyle w:val="Hyperlink"/>
          <w:rFonts w:eastAsiaTheme="majorEastAsia"/>
          <w:noProof/>
          <w:color w:val="337AB7"/>
        </w:rPr>
        <w:t xml:space="preserve">ELI: </w:t>
      </w:r>
      <w:hyperlink r:id="rId32" w:history="1">
        <w:r w:rsidR="009543CF" w:rsidRPr="007573CC">
          <w:rPr>
            <w:rStyle w:val="Hyperlink"/>
            <w:rFonts w:eastAsiaTheme="majorEastAsia"/>
            <w:noProof/>
          </w:rPr>
          <w:t>http://data.europa.eu/eli/reg/2013/1315/oj</w:t>
        </w:r>
      </w:hyperlink>
      <w:r w:rsidRPr="00041A34">
        <w:rPr>
          <w:noProof/>
        </w:rPr>
        <w:t>).</w:t>
      </w:r>
    </w:p>
    <w:p w14:paraId="64E85493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Trans-European Networks for Energy (TEN-E)</w:t>
      </w:r>
    </w:p>
    <w:p w14:paraId="4001859C" w14:textId="60A863DD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No 347/2013 of the European Parliament and of the Council of 17</w:t>
      </w:r>
      <w:r>
        <w:rPr>
          <w:noProof/>
        </w:rPr>
        <w:t xml:space="preserve"> </w:t>
      </w:r>
      <w:r w:rsidRPr="00041A34">
        <w:rPr>
          <w:noProof/>
        </w:rPr>
        <w:t>April 2013 on guidelines for trans-European energy infrastructure and repealing Decision No 1364/2006/EC and amending Regulations (EC) No 713/2009, (EC) No 714/2009 and (EC) No 715/2009 (</w:t>
      </w:r>
      <w:hyperlink r:id="rId33" w:history="1">
        <w:r w:rsidRPr="00041A34">
          <w:rPr>
            <w:rStyle w:val="Hyperlink"/>
            <w:rFonts w:eastAsiaTheme="majorEastAsia"/>
            <w:noProof/>
            <w:color w:val="337AB7"/>
          </w:rPr>
          <w:t>OJ L 115, 25.4.2013, p. 39</w:t>
        </w:r>
      </w:hyperlink>
      <w:r w:rsidR="002B4EAD">
        <w:rPr>
          <w:rStyle w:val="Hyperlink"/>
          <w:rFonts w:eastAsiaTheme="majorEastAsia"/>
          <w:noProof/>
          <w:color w:val="337AB7"/>
        </w:rPr>
        <w:t xml:space="preserve">, </w:t>
      </w:r>
      <w:r w:rsidR="002B4EAD" w:rsidRPr="002B4EAD">
        <w:rPr>
          <w:rStyle w:val="Hyperlink"/>
          <w:rFonts w:eastAsiaTheme="majorEastAsia"/>
          <w:noProof/>
          <w:color w:val="337AB7"/>
        </w:rPr>
        <w:t xml:space="preserve">ELI: </w:t>
      </w:r>
      <w:hyperlink r:id="rId34" w:history="1">
        <w:r w:rsidR="009543CF" w:rsidRPr="007573CC">
          <w:rPr>
            <w:rStyle w:val="Hyperlink"/>
            <w:rFonts w:eastAsiaTheme="majorEastAsia"/>
            <w:noProof/>
          </w:rPr>
          <w:t>http://data.europa.eu/eli/reg/2013/347/oj</w:t>
        </w:r>
      </w:hyperlink>
      <w:r w:rsidRPr="00041A34">
        <w:rPr>
          <w:noProof/>
        </w:rPr>
        <w:t>).</w:t>
      </w:r>
    </w:p>
    <w:p w14:paraId="156F9554" w14:textId="77777777" w:rsidR="00991DF8" w:rsidRPr="00144C86" w:rsidRDefault="00991DF8" w:rsidP="00907F22">
      <w:pPr>
        <w:pStyle w:val="NumPar1"/>
        <w:rPr>
          <w:b/>
          <w:bCs/>
          <w:noProof/>
          <w:color w:val="333333"/>
        </w:rPr>
      </w:pPr>
      <w:bookmarkStart w:id="1" w:name="_Hlk155874190"/>
      <w:r w:rsidRPr="00144C86">
        <w:rPr>
          <w:rStyle w:val="oj-bold"/>
          <w:b/>
          <w:bCs/>
          <w:noProof/>
          <w:color w:val="333333"/>
        </w:rPr>
        <w:t>Trans-European Networks for Telecommunications</w:t>
      </w:r>
      <w:r w:rsidRPr="00144C86">
        <w:rPr>
          <w:b/>
          <w:bCs/>
          <w:noProof/>
          <w:color w:val="333333"/>
        </w:rPr>
        <w:t> </w:t>
      </w:r>
      <w:r w:rsidR="00FE50F6">
        <w:rPr>
          <w:rStyle w:val="FootnoteReference"/>
          <w:b/>
          <w:bCs/>
          <w:noProof/>
          <w:color w:val="333333"/>
        </w:rPr>
        <w:footnoteReference w:id="1"/>
      </w:r>
    </w:p>
    <w:p w14:paraId="74C08151" w14:textId="77777777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No 283/2014 of the European Parliament and of the Council of 11</w:t>
      </w:r>
      <w:r>
        <w:rPr>
          <w:noProof/>
        </w:rPr>
        <w:t xml:space="preserve"> </w:t>
      </w:r>
      <w:r w:rsidRPr="00041A34">
        <w:rPr>
          <w:noProof/>
        </w:rPr>
        <w:t>March 2014 on guidelines for trans-European networks in the area of telecommunications infrastructure and repealing Decision No 1336/97/EC (</w:t>
      </w:r>
      <w:hyperlink r:id="rId35" w:history="1">
        <w:r w:rsidRPr="00041A34">
          <w:rPr>
            <w:rStyle w:val="Hyperlink"/>
            <w:rFonts w:eastAsiaTheme="majorEastAsia"/>
            <w:noProof/>
            <w:color w:val="337AB7"/>
          </w:rPr>
          <w:t>OJ L 86, 21.3.2014, p. 14</w:t>
        </w:r>
      </w:hyperlink>
      <w:r w:rsidR="002B4EAD">
        <w:rPr>
          <w:rStyle w:val="Hyperlink"/>
          <w:rFonts w:eastAsiaTheme="majorEastAsia"/>
          <w:noProof/>
          <w:color w:val="337AB7"/>
        </w:rPr>
        <w:t xml:space="preserve">, </w:t>
      </w:r>
      <w:r w:rsidR="002B4EAD" w:rsidRPr="002B4EAD">
        <w:rPr>
          <w:rStyle w:val="Hyperlink"/>
          <w:rFonts w:eastAsiaTheme="majorEastAsia"/>
          <w:noProof/>
          <w:color w:val="337AB7"/>
        </w:rPr>
        <w:t xml:space="preserve">ELI: </w:t>
      </w:r>
      <w:hyperlink r:id="rId36" w:history="1">
        <w:r w:rsidR="009543CF" w:rsidRPr="007573CC">
          <w:rPr>
            <w:rStyle w:val="Hyperlink"/>
            <w:rFonts w:eastAsiaTheme="majorEastAsia"/>
            <w:noProof/>
          </w:rPr>
          <w:t>http://data.europa.eu/eli/reg/2014/283/oj</w:t>
        </w:r>
      </w:hyperlink>
      <w:r w:rsidR="009543CF">
        <w:rPr>
          <w:rStyle w:val="Hyperlink"/>
          <w:rFonts w:eastAsiaTheme="majorEastAsia"/>
          <w:noProof/>
          <w:color w:val="337AB7"/>
        </w:rPr>
        <w:t xml:space="preserve"> </w:t>
      </w:r>
      <w:r w:rsidRPr="00041A34">
        <w:rPr>
          <w:noProof/>
        </w:rPr>
        <w:t>).</w:t>
      </w:r>
    </w:p>
    <w:bookmarkEnd w:id="1"/>
    <w:p w14:paraId="182DFD69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Connecting Europe Facility</w:t>
      </w:r>
    </w:p>
    <w:p w14:paraId="375F57B9" w14:textId="370BFE30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2021/1153 of the European Parliament and of the Council of 7 July 2021 establishing the Connecting Europe Facility and repealing Regulations (EU) No 1316/2013 and (EU) No 283/2014 (</w:t>
      </w:r>
      <w:hyperlink r:id="rId37" w:history="1">
        <w:r w:rsidRPr="00041A34">
          <w:rPr>
            <w:rStyle w:val="Hyperlink"/>
            <w:rFonts w:eastAsiaTheme="majorEastAsia"/>
            <w:noProof/>
            <w:color w:val="337AB7"/>
          </w:rPr>
          <w:t>OJ L 249, 14.7.2021, p. 38</w:t>
        </w:r>
      </w:hyperlink>
      <w:r w:rsidR="00F51773">
        <w:rPr>
          <w:rStyle w:val="Hyperlink"/>
          <w:rFonts w:eastAsiaTheme="majorEastAsia"/>
          <w:noProof/>
          <w:color w:val="337AB7"/>
        </w:rPr>
        <w:t xml:space="preserve">, </w:t>
      </w:r>
      <w:r w:rsidR="00F51773" w:rsidRPr="00F51773">
        <w:rPr>
          <w:rStyle w:val="Hyperlink"/>
          <w:rFonts w:eastAsiaTheme="majorEastAsia"/>
          <w:noProof/>
          <w:color w:val="337AB7"/>
        </w:rPr>
        <w:t xml:space="preserve">ELI: </w:t>
      </w:r>
      <w:hyperlink r:id="rId38" w:history="1">
        <w:r w:rsidR="009543CF" w:rsidRPr="007573CC">
          <w:rPr>
            <w:rStyle w:val="Hyperlink"/>
            <w:rFonts w:eastAsiaTheme="majorEastAsia"/>
            <w:noProof/>
          </w:rPr>
          <w:t>http://data.europa.eu/eli/reg/2021/1153/oj</w:t>
        </w:r>
      </w:hyperlink>
      <w:r w:rsidRPr="00041A34">
        <w:rPr>
          <w:noProof/>
        </w:rPr>
        <w:t>).</w:t>
      </w:r>
    </w:p>
    <w:p w14:paraId="5FB51EFC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Digital Europe Programme</w:t>
      </w:r>
    </w:p>
    <w:p w14:paraId="42728E07" w14:textId="6223364D" w:rsidR="00991DF8" w:rsidRPr="00041A34" w:rsidRDefault="00991DF8" w:rsidP="00B34E95">
      <w:pPr>
        <w:rPr>
          <w:noProof/>
        </w:rPr>
      </w:pPr>
      <w:r w:rsidRPr="00041A34">
        <w:rPr>
          <w:noProof/>
        </w:rPr>
        <w:t>Regulation (EU) 2021/694 of the European Parliament and of the Council of 29</w:t>
      </w:r>
      <w:r>
        <w:rPr>
          <w:noProof/>
        </w:rPr>
        <w:t xml:space="preserve"> </w:t>
      </w:r>
      <w:r w:rsidRPr="00041A34">
        <w:rPr>
          <w:noProof/>
        </w:rPr>
        <w:t>April 2021 establishing the Digital Europe Programme and repealing Decision (EU) 2015/2240 (</w:t>
      </w:r>
      <w:hyperlink r:id="rId39" w:history="1">
        <w:r w:rsidRPr="00041A34">
          <w:rPr>
            <w:rStyle w:val="Hyperlink"/>
            <w:rFonts w:eastAsiaTheme="majorEastAsia"/>
            <w:noProof/>
            <w:color w:val="337AB7"/>
          </w:rPr>
          <w:t>OJ L 166, 11.5.2021, p. 1</w:t>
        </w:r>
      </w:hyperlink>
      <w:r w:rsidR="00F51773">
        <w:rPr>
          <w:rStyle w:val="Hyperlink"/>
          <w:rFonts w:eastAsiaTheme="majorEastAsia"/>
          <w:noProof/>
          <w:color w:val="337AB7"/>
        </w:rPr>
        <w:t xml:space="preserve">, </w:t>
      </w:r>
      <w:r w:rsidR="00F51773" w:rsidRPr="00F51773">
        <w:rPr>
          <w:rStyle w:val="Hyperlink"/>
          <w:rFonts w:eastAsiaTheme="majorEastAsia"/>
          <w:noProof/>
          <w:color w:val="337AB7"/>
        </w:rPr>
        <w:t xml:space="preserve">ELI: </w:t>
      </w:r>
      <w:hyperlink r:id="rId40" w:history="1">
        <w:r w:rsidR="009543CF" w:rsidRPr="007573CC">
          <w:rPr>
            <w:rStyle w:val="Hyperlink"/>
            <w:rFonts w:eastAsiaTheme="majorEastAsia"/>
            <w:noProof/>
          </w:rPr>
          <w:t>http://data.europa.eu/eli/reg/2021/694/oj</w:t>
        </w:r>
      </w:hyperlink>
      <w:r w:rsidRPr="00041A34">
        <w:rPr>
          <w:noProof/>
        </w:rPr>
        <w:t>).</w:t>
      </w:r>
    </w:p>
    <w:p w14:paraId="3FBF6C46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European Defence Industrial Development Programme</w:t>
      </w:r>
    </w:p>
    <w:p w14:paraId="2DA98914" w14:textId="7BE71105" w:rsidR="00991DF8" w:rsidRPr="00041A34" w:rsidRDefault="00991DF8" w:rsidP="00B34E95">
      <w:pPr>
        <w:rPr>
          <w:noProof/>
        </w:rPr>
      </w:pPr>
      <w:bookmarkStart w:id="2" w:name="_Hlk155968117"/>
      <w:r w:rsidRPr="00041A34">
        <w:rPr>
          <w:noProof/>
        </w:rPr>
        <w:t>Regulation (EU) 2018/1092 of the European Parliament and of the Council of 18</w:t>
      </w:r>
      <w:r>
        <w:rPr>
          <w:noProof/>
        </w:rPr>
        <w:t xml:space="preserve"> </w:t>
      </w:r>
      <w:r w:rsidRPr="00041A34">
        <w:rPr>
          <w:noProof/>
        </w:rPr>
        <w:t>July 2018 establishing the European Defence Industrial Development Programme aiming at supporting the competitiveness and innovation capacity of the Union’s defence industry (</w:t>
      </w:r>
      <w:hyperlink r:id="rId41" w:history="1">
        <w:r w:rsidRPr="00041A34">
          <w:rPr>
            <w:rStyle w:val="Hyperlink"/>
            <w:rFonts w:eastAsiaTheme="majorEastAsia"/>
            <w:noProof/>
            <w:color w:val="337AB7"/>
          </w:rPr>
          <w:t>OJ L 200, 7.8.2018, p. 30</w:t>
        </w:r>
      </w:hyperlink>
      <w:r w:rsidR="00F51773">
        <w:rPr>
          <w:rStyle w:val="Hyperlink"/>
          <w:rFonts w:eastAsiaTheme="majorEastAsia"/>
          <w:noProof/>
          <w:color w:val="337AB7"/>
        </w:rPr>
        <w:t xml:space="preserve">, </w:t>
      </w:r>
      <w:r w:rsidR="00F51773" w:rsidRPr="00F51773">
        <w:rPr>
          <w:rStyle w:val="Hyperlink"/>
          <w:rFonts w:eastAsiaTheme="majorEastAsia"/>
          <w:noProof/>
          <w:color w:val="337AB7"/>
        </w:rPr>
        <w:t xml:space="preserve">ELI: </w:t>
      </w:r>
      <w:bookmarkStart w:id="3" w:name="_Hlk155968214"/>
      <w:r w:rsidR="00385235">
        <w:rPr>
          <w:rStyle w:val="Hyperlink"/>
          <w:rFonts w:eastAsiaTheme="majorEastAsia"/>
          <w:noProof/>
          <w:color w:val="337AB7"/>
        </w:rPr>
        <w:fldChar w:fldCharType="begin"/>
      </w:r>
      <w:r w:rsidR="00385235">
        <w:rPr>
          <w:rStyle w:val="Hyperlink"/>
          <w:rFonts w:eastAsiaTheme="majorEastAsia"/>
          <w:noProof/>
          <w:color w:val="337AB7"/>
        </w:rPr>
        <w:instrText>HYPERLINK "</w:instrText>
      </w:r>
      <w:r w:rsidR="00385235" w:rsidRPr="00F51773">
        <w:rPr>
          <w:rStyle w:val="Hyperlink"/>
          <w:rFonts w:eastAsiaTheme="majorEastAsia"/>
          <w:noProof/>
          <w:color w:val="337AB7"/>
        </w:rPr>
        <w:instrText>http://data.europa.eu/eli/reg/2018/1092/oj</w:instrText>
      </w:r>
      <w:r w:rsidR="00385235">
        <w:rPr>
          <w:rStyle w:val="Hyperlink"/>
          <w:rFonts w:eastAsiaTheme="majorEastAsia"/>
          <w:noProof/>
          <w:color w:val="337AB7"/>
        </w:rPr>
        <w:instrText>"</w:instrText>
      </w:r>
      <w:r w:rsidR="00385235">
        <w:rPr>
          <w:rStyle w:val="Hyperlink"/>
          <w:rFonts w:eastAsiaTheme="majorEastAsia"/>
          <w:noProof/>
          <w:color w:val="337AB7"/>
        </w:rPr>
        <w:fldChar w:fldCharType="separate"/>
      </w:r>
      <w:r w:rsidR="00385235" w:rsidRPr="00254C3C">
        <w:rPr>
          <w:rStyle w:val="Hyperlink"/>
          <w:rFonts w:eastAsiaTheme="majorEastAsia"/>
          <w:noProof/>
        </w:rPr>
        <w:t>http://data.europa.eu/eli/reg/2018/1092/oj</w:t>
      </w:r>
      <w:bookmarkEnd w:id="3"/>
      <w:r w:rsidR="00385235">
        <w:rPr>
          <w:rStyle w:val="Hyperlink"/>
          <w:rFonts w:eastAsiaTheme="majorEastAsia"/>
          <w:noProof/>
          <w:color w:val="337AB7"/>
        </w:rPr>
        <w:fldChar w:fldCharType="end"/>
      </w:r>
      <w:r w:rsidRPr="00041A34">
        <w:rPr>
          <w:noProof/>
        </w:rPr>
        <w:t>).</w:t>
      </w:r>
    </w:p>
    <w:bookmarkEnd w:id="2"/>
    <w:p w14:paraId="5BFCA153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Preparatory Action on Defence Research</w:t>
      </w:r>
    </w:p>
    <w:p w14:paraId="05C5DDEC" w14:textId="656B2D7E" w:rsidR="00991DF8" w:rsidRPr="00041A34" w:rsidRDefault="00991DF8" w:rsidP="00B34E95">
      <w:pPr>
        <w:rPr>
          <w:noProof/>
        </w:rPr>
      </w:pPr>
      <w:bookmarkStart w:id="4" w:name="_Hlk155968298"/>
      <w:r w:rsidRPr="00041A34">
        <w:rPr>
          <w:noProof/>
        </w:rPr>
        <w:t>Regulation (EU, Euratom) 2018/1046 of the European Parliament and of the Council of 18</w:t>
      </w:r>
      <w:r>
        <w:rPr>
          <w:noProof/>
        </w:rPr>
        <w:t xml:space="preserve"> </w:t>
      </w:r>
      <w:r w:rsidRPr="00041A34">
        <w:rPr>
          <w:noProof/>
        </w:rPr>
        <w:t>July 2018 on the financial rules applicable to the general budget of the Union, amending Regulations (EU) No 1296/2013, (EU) No 1301/2013, (EU) No 1303/2013, (EU) No 1304/2013, (EU) No 1309/2013, (EU) No 1316/2013, (EU) No 223/2014, (EU) No 283/2014, and Decision No 541/2014/EU and repealing Regulation (EU, Euratom) No 966/2012, and in particular Article</w:t>
      </w:r>
      <w:r>
        <w:rPr>
          <w:noProof/>
        </w:rPr>
        <w:t xml:space="preserve"> </w:t>
      </w:r>
      <w:r w:rsidRPr="00041A34">
        <w:rPr>
          <w:noProof/>
        </w:rPr>
        <w:t>58(2)</w:t>
      </w:r>
      <w:r w:rsidR="00F51773">
        <w:rPr>
          <w:noProof/>
        </w:rPr>
        <w:t xml:space="preserve"> point </w:t>
      </w:r>
      <w:r w:rsidRPr="00041A34">
        <w:rPr>
          <w:noProof/>
        </w:rPr>
        <w:t>(b) thereof (</w:t>
      </w:r>
      <w:hyperlink r:id="rId42" w:history="1">
        <w:r w:rsidRPr="00041A34">
          <w:rPr>
            <w:rStyle w:val="Hyperlink"/>
            <w:rFonts w:eastAsiaTheme="majorEastAsia"/>
            <w:noProof/>
            <w:color w:val="337AB7"/>
          </w:rPr>
          <w:t>OJ L 193, 30.7.2018, p. 1</w:t>
        </w:r>
      </w:hyperlink>
      <w:r w:rsidR="00F51773">
        <w:rPr>
          <w:rStyle w:val="Hyperlink"/>
          <w:rFonts w:eastAsiaTheme="majorEastAsia"/>
          <w:noProof/>
          <w:color w:val="337AB7"/>
        </w:rPr>
        <w:t xml:space="preserve">, </w:t>
      </w:r>
      <w:r w:rsidR="00F51773" w:rsidRPr="00873A11">
        <w:rPr>
          <w:rStyle w:val="Hyperlink"/>
          <w:rFonts w:eastAsiaTheme="majorEastAsia"/>
          <w:noProof/>
          <w:color w:val="337AB7"/>
        </w:rPr>
        <w:t xml:space="preserve">ELI: </w:t>
      </w:r>
      <w:hyperlink r:id="rId43" w:history="1">
        <w:r w:rsidR="00F51773" w:rsidRPr="00DC2EA0">
          <w:rPr>
            <w:rStyle w:val="Hyperlink"/>
            <w:rFonts w:eastAsiaTheme="majorEastAsia"/>
            <w:noProof/>
          </w:rPr>
          <w:t>http://data.europa.eu/eli/reg/2018/1046/oj</w:t>
        </w:r>
      </w:hyperlink>
      <w:r w:rsidRPr="00041A34">
        <w:rPr>
          <w:noProof/>
        </w:rPr>
        <w:t>).</w:t>
      </w:r>
    </w:p>
    <w:bookmarkEnd w:id="4"/>
    <w:p w14:paraId="12DF6860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European Defence Fund</w:t>
      </w:r>
    </w:p>
    <w:p w14:paraId="1FB3E2D9" w14:textId="230994BF" w:rsidR="00991DF8" w:rsidRPr="00724839" w:rsidRDefault="00991DF8" w:rsidP="00B34E95">
      <w:pPr>
        <w:rPr>
          <w:rFonts w:eastAsia="Calibri"/>
          <w:noProof/>
          <w:szCs w:val="24"/>
        </w:rPr>
      </w:pPr>
      <w:r w:rsidRPr="00041A34">
        <w:rPr>
          <w:noProof/>
        </w:rPr>
        <w:t>Regulation (EU) 2021/697 of the European Parliament and of the Council of 29</w:t>
      </w:r>
      <w:r>
        <w:rPr>
          <w:noProof/>
        </w:rPr>
        <w:t xml:space="preserve"> </w:t>
      </w:r>
      <w:r w:rsidRPr="00041A34">
        <w:rPr>
          <w:noProof/>
        </w:rPr>
        <w:t>April 2021 establishing the European Defence Fund and repealing Regulation (EU) 2018/1092 (</w:t>
      </w:r>
      <w:hyperlink r:id="rId44" w:history="1">
        <w:r w:rsidRPr="00041A34">
          <w:rPr>
            <w:rStyle w:val="Hyperlink"/>
            <w:rFonts w:eastAsiaTheme="majorEastAsia"/>
            <w:noProof/>
            <w:color w:val="337AB7"/>
          </w:rPr>
          <w:t>OJ L 170, 12.5.2021, p. 149</w:t>
        </w:r>
      </w:hyperlink>
      <w:r w:rsidR="00087377">
        <w:rPr>
          <w:rStyle w:val="Hyperlink"/>
          <w:rFonts w:eastAsiaTheme="majorEastAsia"/>
          <w:noProof/>
          <w:color w:val="337AB7"/>
        </w:rPr>
        <w:t xml:space="preserve">, </w:t>
      </w:r>
      <w:r w:rsidR="00087377" w:rsidRPr="00087377">
        <w:rPr>
          <w:rStyle w:val="Hyperlink"/>
          <w:rFonts w:eastAsiaTheme="majorEastAsia"/>
          <w:noProof/>
          <w:color w:val="337AB7"/>
        </w:rPr>
        <w:t xml:space="preserve">ELI: </w:t>
      </w:r>
      <w:hyperlink r:id="rId45" w:history="1">
        <w:r w:rsidR="005B19E5" w:rsidRPr="007573CC">
          <w:rPr>
            <w:rStyle w:val="Hyperlink"/>
            <w:rFonts w:eastAsiaTheme="majorEastAsia"/>
            <w:noProof/>
          </w:rPr>
          <w:t>http://data.europa.eu/eli/reg/2021/697/oj</w:t>
        </w:r>
      </w:hyperlink>
      <w:r w:rsidRPr="00041A34">
        <w:rPr>
          <w:noProof/>
        </w:rPr>
        <w:t>).</w:t>
      </w:r>
      <w:r w:rsidR="004F5875" w:rsidRPr="004F5875">
        <w:rPr>
          <w:rFonts w:eastAsia="Calibri"/>
          <w:noProof/>
          <w:szCs w:val="24"/>
        </w:rPr>
        <w:t xml:space="preserve"> </w:t>
      </w:r>
    </w:p>
    <w:p w14:paraId="53126C9B" w14:textId="77777777" w:rsidR="00D371B7" w:rsidRPr="00EC4D84" w:rsidRDefault="005B19E5" w:rsidP="00D371B7">
      <w:pPr>
        <w:pStyle w:val="NumPar1"/>
        <w:rPr>
          <w:b/>
          <w:bCs/>
          <w:noProof/>
        </w:rPr>
      </w:pPr>
      <w:bookmarkStart w:id="5" w:name="_Hlk155889773"/>
      <w:r w:rsidRPr="00EC4D84">
        <w:rPr>
          <w:rStyle w:val="oj-bold"/>
          <w:b/>
          <w:bCs/>
          <w:noProof/>
          <w:color w:val="333333"/>
        </w:rPr>
        <w:t>Act in Support of Ammunition Production (ASAP)</w:t>
      </w:r>
      <w:r w:rsidR="00D371B7" w:rsidRPr="00EC4D84">
        <w:rPr>
          <w:rStyle w:val="oj-bold"/>
          <w:b/>
          <w:bCs/>
          <w:noProof/>
          <w:color w:val="333333"/>
        </w:rPr>
        <w:t xml:space="preserve"> </w:t>
      </w:r>
    </w:p>
    <w:p w14:paraId="04DD64FB" w14:textId="77777777" w:rsidR="005B19E5" w:rsidRPr="002C71A1" w:rsidRDefault="005B19E5" w:rsidP="005B19E5">
      <w:pPr>
        <w:rPr>
          <w:rFonts w:eastAsia="Times New Roman"/>
          <w:noProof/>
          <w:lang w:val="en-IE"/>
        </w:rPr>
      </w:pPr>
      <w:r w:rsidRPr="00482747">
        <w:rPr>
          <w:rFonts w:eastAsia="Calibri"/>
          <w:noProof/>
        </w:rPr>
        <w:t>Regulation (EU) 2023/1525 of the European Parliament and of the Council of 20 July 2023 on supporting a</w:t>
      </w:r>
      <w:r w:rsidRPr="00482747">
        <w:rPr>
          <w:rFonts w:eastAsia="Times New Roman"/>
          <w:noProof/>
        </w:rPr>
        <w:t xml:space="preserve">mmunition production (ASAP) </w:t>
      </w:r>
      <w:r w:rsidR="00533259" w:rsidRPr="00533259">
        <w:rPr>
          <w:rFonts w:eastAsia="Times New Roman"/>
          <w:noProof/>
          <w:lang w:val="en-IE"/>
        </w:rPr>
        <w:t>(</w:t>
      </w:r>
      <w:hyperlink r:id="rId46" w:history="1">
        <w:r w:rsidR="002C71A1" w:rsidRPr="002C71A1">
          <w:rPr>
            <w:rStyle w:val="Hyperlink"/>
            <w:rFonts w:eastAsia="Times New Roman"/>
            <w:noProof/>
            <w:lang w:val="en-IE"/>
          </w:rPr>
          <w:t>OJ L 185, 24.7.2023, p.7</w:t>
        </w:r>
      </w:hyperlink>
      <w:r w:rsidR="002C71A1">
        <w:rPr>
          <w:rFonts w:eastAsia="Times New Roman"/>
          <w:noProof/>
          <w:lang w:val="en-IE"/>
        </w:rPr>
        <w:t xml:space="preserve">, </w:t>
      </w:r>
      <w:r w:rsidR="00533259" w:rsidRPr="00FE50F6">
        <w:rPr>
          <w:rStyle w:val="Hyperlink"/>
          <w:rFonts w:eastAsiaTheme="majorEastAsia"/>
          <w:noProof/>
          <w:color w:val="337AB7"/>
        </w:rPr>
        <w:t>ELI:</w:t>
      </w:r>
      <w:r w:rsidR="00533259" w:rsidRPr="002C71A1">
        <w:rPr>
          <w:rFonts w:eastAsia="Times New Roman"/>
          <w:noProof/>
          <w:lang w:val="en-IE"/>
        </w:rPr>
        <w:t xml:space="preserve"> </w:t>
      </w:r>
      <w:hyperlink r:id="rId47" w:history="1">
        <w:r w:rsidR="00533259" w:rsidRPr="002C71A1">
          <w:rPr>
            <w:rStyle w:val="Hyperlink"/>
            <w:rFonts w:eastAsia="Times New Roman"/>
            <w:noProof/>
            <w:lang w:val="en-IE"/>
          </w:rPr>
          <w:t>http://data.europa.eu/eli/reg/2023/1525/oj</w:t>
        </w:r>
      </w:hyperlink>
      <w:r w:rsidR="00533259" w:rsidRPr="002C71A1">
        <w:rPr>
          <w:rFonts w:eastAsia="Times New Roman"/>
          <w:noProof/>
          <w:lang w:val="en-IE"/>
        </w:rPr>
        <w:t>). </w:t>
      </w:r>
    </w:p>
    <w:bookmarkEnd w:id="5"/>
    <w:p w14:paraId="3C77AF86" w14:textId="77777777" w:rsidR="00D371B7" w:rsidRPr="00EC4D84" w:rsidRDefault="005B19E5" w:rsidP="00D371B7">
      <w:pPr>
        <w:pStyle w:val="NumPar1"/>
        <w:rPr>
          <w:b/>
          <w:bCs/>
          <w:noProof/>
        </w:rPr>
      </w:pPr>
      <w:r w:rsidRPr="00EC4D84">
        <w:rPr>
          <w:rStyle w:val="oj-bold"/>
          <w:b/>
          <w:bCs/>
          <w:noProof/>
          <w:color w:val="333333"/>
        </w:rPr>
        <w:t xml:space="preserve">European Defence Industry Reinforcement through common Procurement Act (EDIRPA) </w:t>
      </w:r>
    </w:p>
    <w:p w14:paraId="56958650" w14:textId="77777777" w:rsidR="005B19E5" w:rsidRPr="00EE7A21" w:rsidRDefault="005B19E5" w:rsidP="00A03596">
      <w:pPr>
        <w:rPr>
          <w:noProof/>
        </w:rPr>
      </w:pPr>
      <w:r w:rsidRPr="005B19E5">
        <w:rPr>
          <w:noProof/>
        </w:rPr>
        <w:t>Regulation (EU) 2023/2418 of the European Parliament and of the Council of 18 October 2023 on establishing an instrument for the reinforcement of the European defence industry through common procurement (EDIRPA) (</w:t>
      </w:r>
      <w:r w:rsidRPr="00873B81">
        <w:rPr>
          <w:noProof/>
        </w:rPr>
        <w:t>OJ L</w:t>
      </w:r>
      <w:r w:rsidR="00C7128D" w:rsidRPr="00873B81">
        <w:rPr>
          <w:noProof/>
        </w:rPr>
        <w:t xml:space="preserve"> </w:t>
      </w:r>
      <w:r w:rsidRPr="00873B81">
        <w:rPr>
          <w:noProof/>
        </w:rPr>
        <w:t>2023/2418, 26.10.2023</w:t>
      </w:r>
      <w:r>
        <w:rPr>
          <w:noProof/>
        </w:rPr>
        <w:t xml:space="preserve">, </w:t>
      </w:r>
      <w:r w:rsidRPr="00FE50F6">
        <w:rPr>
          <w:rStyle w:val="Hyperlink"/>
          <w:rFonts w:eastAsiaTheme="majorEastAsia"/>
          <w:noProof/>
          <w:color w:val="337AB7"/>
        </w:rPr>
        <w:t>ELI:</w:t>
      </w:r>
      <w:r>
        <w:rPr>
          <w:noProof/>
        </w:rPr>
        <w:t xml:space="preserve"> </w:t>
      </w:r>
      <w:hyperlink r:id="rId48" w:tooltip="Gives access to this document through its ELI URI." w:history="1">
        <w:r w:rsidR="00E128B5" w:rsidRPr="00E128B5">
          <w:rPr>
            <w:rStyle w:val="Hyperlink"/>
            <w:rFonts w:eastAsia="Times New Roman"/>
            <w:noProof/>
          </w:rPr>
          <w:t>http://data.europa.eu/eli/reg/2023/2418/oj</w:t>
        </w:r>
      </w:hyperlink>
      <w:r w:rsidRPr="005B19E5">
        <w:rPr>
          <w:noProof/>
        </w:rPr>
        <w:t>).</w:t>
      </w:r>
    </w:p>
    <w:p w14:paraId="414E94B6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Permanent structured cooperation (PESCO)</w:t>
      </w:r>
    </w:p>
    <w:p w14:paraId="7EABE84C" w14:textId="6A84DFFB" w:rsidR="00D23DB5" w:rsidRPr="00D23DB5" w:rsidRDefault="00D23DB5" w:rsidP="00D23DB5">
      <w:pPr>
        <w:rPr>
          <w:noProof/>
        </w:rPr>
      </w:pPr>
      <w:r w:rsidRPr="00D23DB5">
        <w:rPr>
          <w:noProof/>
        </w:rPr>
        <w:t>Council Decision (CFSP) 2018/340 of 6 March 2018 establishing the list of projects to be developed under PESCO (</w:t>
      </w:r>
      <w:hyperlink r:id="rId49" w:history="1">
        <w:r w:rsidRPr="00D23DB5">
          <w:rPr>
            <w:rStyle w:val="Hyperlink"/>
            <w:noProof/>
          </w:rPr>
          <w:t>OJ L 65, 8.3.2018, p. 24</w:t>
        </w:r>
      </w:hyperlink>
      <w:r w:rsidRPr="00D23DB5">
        <w:rPr>
          <w:noProof/>
          <w:u w:val="single"/>
        </w:rPr>
        <w:t xml:space="preserve">, </w:t>
      </w:r>
      <w:r w:rsidRPr="00FE50F6">
        <w:rPr>
          <w:rStyle w:val="Hyperlink"/>
          <w:rFonts w:eastAsiaTheme="majorEastAsia"/>
          <w:noProof/>
          <w:color w:val="337AB7"/>
        </w:rPr>
        <w:t>ELI:</w:t>
      </w:r>
      <w:r w:rsidRPr="00D23DB5">
        <w:rPr>
          <w:noProof/>
          <w:u w:val="single"/>
        </w:rPr>
        <w:t xml:space="preserve"> </w:t>
      </w:r>
      <w:hyperlink r:id="rId50" w:history="1">
        <w:r w:rsidRPr="007573CC">
          <w:rPr>
            <w:rStyle w:val="Hyperlink"/>
            <w:noProof/>
          </w:rPr>
          <w:t>http://data.europa.eu/eli/dec/2018/340/oj</w:t>
        </w:r>
      </w:hyperlink>
      <w:r w:rsidRPr="00D23DB5">
        <w:rPr>
          <w:noProof/>
        </w:rPr>
        <w:t>).</w:t>
      </w:r>
    </w:p>
    <w:p w14:paraId="23FBB82D" w14:textId="77777777" w:rsidR="00991DF8" w:rsidRPr="00041A34" w:rsidRDefault="00D23DB5" w:rsidP="00EC4D84">
      <w:pPr>
        <w:rPr>
          <w:noProof/>
        </w:rPr>
      </w:pPr>
      <w:r w:rsidRPr="00EC4D84">
        <w:rPr>
          <w:noProof/>
        </w:rPr>
        <w:t>Council Decision (CFSP) 2023/995 of 22 May 2023 amending and updating Decision (CFSP) 2018/340 establishing the list of projects to be developed under PESCO (</w:t>
      </w:r>
      <w:hyperlink r:id="rId51" w:history="1">
        <w:r w:rsidRPr="00EC4D84">
          <w:rPr>
            <w:rStyle w:val="Hyperlink"/>
            <w:noProof/>
          </w:rPr>
          <w:t>OJ L135, 23.5.2023, p. 123</w:t>
        </w:r>
      </w:hyperlink>
      <w:r w:rsidRPr="00EC4D84">
        <w:rPr>
          <w:noProof/>
        </w:rPr>
        <w:t>,</w:t>
      </w:r>
      <w:r w:rsidRPr="003423BC">
        <w:rPr>
          <w:noProof/>
          <w:color w:val="333333"/>
          <w:sz w:val="21"/>
          <w:szCs w:val="21"/>
          <w:shd w:val="clear" w:color="auto" w:fill="FFFFFF"/>
        </w:rPr>
        <w:t xml:space="preserve"> </w:t>
      </w:r>
      <w:r w:rsidRPr="00EC4D84">
        <w:rPr>
          <w:rStyle w:val="Hyperlink"/>
          <w:rFonts w:eastAsiaTheme="majorEastAsia"/>
          <w:noProof/>
          <w:color w:val="337AB7"/>
        </w:rPr>
        <w:t>ELI:</w:t>
      </w:r>
      <w:r w:rsidRPr="00EC4D84">
        <w:rPr>
          <w:noProof/>
        </w:rPr>
        <w:t> </w:t>
      </w:r>
      <w:hyperlink r:id="rId52" w:tooltip="Gives access to this document through its ELI URI." w:history="1">
        <w:r w:rsidRPr="00EC4D84">
          <w:rPr>
            <w:rStyle w:val="Hyperlink"/>
            <w:noProof/>
          </w:rPr>
          <w:t>http://data.europa.eu/eli/dec/2023/995/oj</w:t>
        </w:r>
      </w:hyperlink>
      <w:r w:rsidRPr="00EC4D84">
        <w:rPr>
          <w:noProof/>
        </w:rPr>
        <w:t>)</w:t>
      </w:r>
      <w:r w:rsidR="002C71A1" w:rsidRPr="00EC4D84">
        <w:rPr>
          <w:noProof/>
        </w:rPr>
        <w:t>.</w:t>
      </w:r>
      <w:r w:rsidR="00D371B7">
        <w:rPr>
          <w:noProof/>
        </w:rPr>
        <w:t xml:space="preserve"> </w:t>
      </w:r>
    </w:p>
    <w:p w14:paraId="0AD566E6" w14:textId="77777777" w:rsidR="00991DF8" w:rsidRPr="00144C86" w:rsidRDefault="00991DF8" w:rsidP="00907F22">
      <w:pPr>
        <w:pStyle w:val="NumPar1"/>
        <w:rPr>
          <w:b/>
          <w:bCs/>
          <w:noProof/>
        </w:rPr>
      </w:pPr>
      <w:r w:rsidRPr="00144C86">
        <w:rPr>
          <w:rStyle w:val="oj-bold"/>
          <w:b/>
          <w:bCs/>
          <w:noProof/>
          <w:color w:val="333333"/>
        </w:rPr>
        <w:t>European Joint Undertaking for ITER</w:t>
      </w:r>
    </w:p>
    <w:p w14:paraId="37D94326" w14:textId="77777777" w:rsidR="00991DF8" w:rsidRPr="00041A34" w:rsidRDefault="00991DF8" w:rsidP="00B34E95">
      <w:pPr>
        <w:rPr>
          <w:noProof/>
        </w:rPr>
      </w:pPr>
      <w:r w:rsidRPr="00041A34">
        <w:rPr>
          <w:noProof/>
        </w:rPr>
        <w:t>Council Decision 2007/198/Euratom of 27</w:t>
      </w:r>
      <w:r>
        <w:rPr>
          <w:noProof/>
        </w:rPr>
        <w:t xml:space="preserve"> </w:t>
      </w:r>
      <w:r w:rsidRPr="00041A34">
        <w:rPr>
          <w:noProof/>
        </w:rPr>
        <w:t>March 2007 establishing the European Joint Undertaking for ITER and the Development of Fusion Energy and conferring advantages upon it (</w:t>
      </w:r>
      <w:hyperlink r:id="rId53" w:history="1">
        <w:r w:rsidRPr="00041A34">
          <w:rPr>
            <w:rStyle w:val="Hyperlink"/>
            <w:rFonts w:eastAsiaTheme="majorEastAsia"/>
            <w:noProof/>
            <w:color w:val="337AB7"/>
          </w:rPr>
          <w:t>OJ L 90, 30.3.2007, p. 58</w:t>
        </w:r>
      </w:hyperlink>
      <w:r w:rsidR="004A51A6">
        <w:rPr>
          <w:rStyle w:val="Hyperlink"/>
          <w:rFonts w:eastAsiaTheme="majorEastAsia"/>
          <w:noProof/>
          <w:color w:val="337AB7"/>
        </w:rPr>
        <w:t xml:space="preserve">, </w:t>
      </w:r>
      <w:r w:rsidR="004A51A6" w:rsidRPr="004A51A6">
        <w:rPr>
          <w:rStyle w:val="Hyperlink"/>
          <w:rFonts w:eastAsiaTheme="majorEastAsia"/>
          <w:noProof/>
          <w:color w:val="337AB7"/>
        </w:rPr>
        <w:t>ELI:</w:t>
      </w:r>
      <w:r w:rsidR="000D13E7">
        <w:rPr>
          <w:rStyle w:val="Hyperlink"/>
          <w:rFonts w:eastAsiaTheme="majorEastAsia"/>
          <w:noProof/>
          <w:color w:val="337AB7"/>
        </w:rPr>
        <w:t xml:space="preserve"> </w:t>
      </w:r>
      <w:hyperlink r:id="rId54" w:history="1">
        <w:r w:rsidR="000D13E7" w:rsidRPr="007573CC">
          <w:rPr>
            <w:rStyle w:val="Hyperlink"/>
            <w:rFonts w:eastAsiaTheme="majorEastAsia"/>
            <w:noProof/>
          </w:rPr>
          <w:t>http://data.europa.eu/eli/dec/2007/198/oj</w:t>
        </w:r>
      </w:hyperlink>
      <w:r w:rsidRPr="00041A34">
        <w:rPr>
          <w:noProof/>
        </w:rPr>
        <w:t>).</w:t>
      </w:r>
    </w:p>
    <w:p w14:paraId="24F1C81F" w14:textId="77777777" w:rsidR="00991DF8" w:rsidRPr="00144C86" w:rsidRDefault="00991DF8" w:rsidP="00907F22">
      <w:pPr>
        <w:pStyle w:val="NumPar1"/>
        <w:rPr>
          <w:b/>
          <w:bCs/>
          <w:noProof/>
        </w:rPr>
      </w:pPr>
      <w:bookmarkStart w:id="6" w:name="_Hlk155875913"/>
      <w:r w:rsidRPr="00144C86">
        <w:rPr>
          <w:rStyle w:val="oj-bold"/>
          <w:b/>
          <w:bCs/>
          <w:noProof/>
          <w:color w:val="333333"/>
        </w:rPr>
        <w:t>EU4Health Programme</w:t>
      </w:r>
    </w:p>
    <w:p w14:paraId="6A971364" w14:textId="77777777" w:rsidR="00F439C7" w:rsidRDefault="00991DF8" w:rsidP="00B34E95">
      <w:pPr>
        <w:rPr>
          <w:noProof/>
        </w:rPr>
      </w:pPr>
      <w:r w:rsidRPr="00041A34">
        <w:rPr>
          <w:noProof/>
        </w:rPr>
        <w:t>Regulation (EU) 2021/522 of the European Parliament and of the Council of 24March 2021 establishing a Programme for the Union’s action in the field of health (‘EU4Health Programme’) for the period 2021-27, and repealing Regulation (EU) No 282/2014 (</w:t>
      </w:r>
      <w:hyperlink r:id="rId55" w:history="1">
        <w:r w:rsidRPr="00041A34">
          <w:rPr>
            <w:rStyle w:val="Hyperlink"/>
            <w:rFonts w:eastAsiaTheme="majorEastAsia"/>
            <w:noProof/>
            <w:color w:val="337AB7"/>
          </w:rPr>
          <w:t>OJ L 107, 26.3.2021, p. 1</w:t>
        </w:r>
      </w:hyperlink>
      <w:r w:rsidR="004A51A6">
        <w:rPr>
          <w:rStyle w:val="Hyperlink"/>
          <w:rFonts w:eastAsiaTheme="majorEastAsia"/>
          <w:noProof/>
          <w:color w:val="337AB7"/>
        </w:rPr>
        <w:t xml:space="preserve">, </w:t>
      </w:r>
      <w:r w:rsidR="004A51A6" w:rsidRPr="004A51A6">
        <w:rPr>
          <w:rStyle w:val="Hyperlink"/>
          <w:rFonts w:eastAsiaTheme="majorEastAsia"/>
          <w:noProof/>
          <w:color w:val="337AB7"/>
        </w:rPr>
        <w:t xml:space="preserve">ELI: </w:t>
      </w:r>
      <w:hyperlink r:id="rId56" w:history="1">
        <w:r w:rsidR="00F439C7" w:rsidRPr="007573CC">
          <w:rPr>
            <w:rStyle w:val="Hyperlink"/>
            <w:rFonts w:eastAsiaTheme="majorEastAsia"/>
            <w:noProof/>
          </w:rPr>
          <w:t>http://data.europa.eu/eli/reg/2021/522/oj</w:t>
        </w:r>
      </w:hyperlink>
      <w:r w:rsidRPr="00041A34">
        <w:rPr>
          <w:noProof/>
        </w:rPr>
        <w:t>).</w:t>
      </w:r>
    </w:p>
    <w:p w14:paraId="40CFE421" w14:textId="77777777" w:rsidR="00D371B7" w:rsidRPr="009F2018" w:rsidRDefault="00F439C7" w:rsidP="00D371B7">
      <w:pPr>
        <w:pStyle w:val="NumPar1"/>
        <w:rPr>
          <w:b/>
          <w:bCs/>
          <w:noProof/>
        </w:rPr>
      </w:pPr>
      <w:r w:rsidRPr="009F2018">
        <w:rPr>
          <w:rStyle w:val="oj-bold"/>
          <w:b/>
          <w:bCs/>
          <w:noProof/>
          <w:color w:val="333333"/>
        </w:rPr>
        <w:t>Important Projects of Common European Interest (IPCEI)</w:t>
      </w:r>
      <w:r w:rsidR="00D371B7" w:rsidRPr="009F2018">
        <w:rPr>
          <w:rStyle w:val="oj-bold"/>
          <w:b/>
          <w:bCs/>
          <w:noProof/>
          <w:color w:val="333333"/>
        </w:rPr>
        <w:t xml:space="preserve"> </w:t>
      </w:r>
    </w:p>
    <w:p w14:paraId="026FA90C" w14:textId="77777777" w:rsidR="00F439C7" w:rsidRPr="00041A34" w:rsidRDefault="009F2018" w:rsidP="00A03596">
      <w:pPr>
        <w:rPr>
          <w:noProof/>
        </w:rPr>
      </w:pPr>
      <w:r w:rsidRPr="009F2018">
        <w:rPr>
          <w:noProof/>
        </w:rPr>
        <w:t xml:space="preserve">Described in the </w:t>
      </w:r>
      <w:r w:rsidR="00F439C7" w:rsidRPr="009F2018">
        <w:rPr>
          <w:noProof/>
        </w:rPr>
        <w:t>C</w:t>
      </w:r>
      <w:r w:rsidR="00C7128D" w:rsidRPr="009F2018">
        <w:rPr>
          <w:noProof/>
        </w:rPr>
        <w:t>ommunication from the Commission</w:t>
      </w:r>
      <w:r w:rsidR="00BF0CED" w:rsidRPr="009F2018">
        <w:rPr>
          <w:noProof/>
        </w:rPr>
        <w:t xml:space="preserve"> </w:t>
      </w:r>
      <w:r w:rsidR="00C7128D" w:rsidRPr="009F2018">
        <w:rPr>
          <w:noProof/>
        </w:rPr>
        <w:t xml:space="preserve">- </w:t>
      </w:r>
      <w:r w:rsidR="00F439C7" w:rsidRPr="009F2018">
        <w:rPr>
          <w:noProof/>
        </w:rPr>
        <w:t>Criteria for the analysis of the compatibility with the internal market of State aid to promote the execution of important projects of common European interest (2021/C 528/02) (</w:t>
      </w:r>
      <w:hyperlink r:id="rId57" w:history="1">
        <w:r w:rsidR="00F439C7" w:rsidRPr="009F2018">
          <w:rPr>
            <w:rStyle w:val="Hyperlink"/>
            <w:noProof/>
          </w:rPr>
          <w:t>OJ C 528/10, 30.12.2021, p.10</w:t>
        </w:r>
      </w:hyperlink>
      <w:r w:rsidR="00F439C7" w:rsidRPr="009F2018">
        <w:rPr>
          <w:noProof/>
        </w:rPr>
        <w:t>)</w:t>
      </w:r>
      <w:r w:rsidRPr="009F2018">
        <w:rPr>
          <w:noProof/>
        </w:rPr>
        <w:t xml:space="preserve"> </w:t>
      </w:r>
      <w:r w:rsidRPr="00A3199E">
        <w:rPr>
          <w:noProof/>
        </w:rPr>
        <w:t>a</w:t>
      </w:r>
      <w:r w:rsidR="00084711" w:rsidRPr="00A3199E">
        <w:rPr>
          <w:noProof/>
        </w:rPr>
        <w:t>s referred to on the website of the Commission services.</w:t>
      </w:r>
      <w:r w:rsidR="00084711" w:rsidRPr="00A3199E">
        <w:rPr>
          <w:rStyle w:val="FootnoteReference"/>
          <w:noProof/>
        </w:rPr>
        <w:footnoteReference w:id="2"/>
      </w:r>
      <w:r>
        <w:rPr>
          <w:noProof/>
        </w:rPr>
        <w:t xml:space="preserve"> </w:t>
      </w:r>
    </w:p>
    <w:bookmarkEnd w:id="6"/>
    <w:p w14:paraId="10B4E9C9" w14:textId="77777777" w:rsidR="00F660C7" w:rsidRPr="009C1A89" w:rsidRDefault="00F660C7" w:rsidP="00991DF8">
      <w:pPr>
        <w:rPr>
          <w:noProof/>
          <w:szCs w:val="24"/>
        </w:rPr>
        <w:sectPr w:rsidR="00F660C7" w:rsidRPr="009C1A89" w:rsidSect="008F617D">
          <w:headerReference w:type="even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07796EE2" w14:textId="77777777" w:rsidR="00455B3D" w:rsidRDefault="00455B3D" w:rsidP="00455B3D">
      <w:pPr>
        <w:pStyle w:val="Annexetitre"/>
        <w:rPr>
          <w:noProof/>
        </w:rPr>
      </w:pPr>
      <w:r w:rsidRPr="00455B3D">
        <w:rPr>
          <w:noProof/>
        </w:rPr>
        <w:t>ANNEX</w:t>
      </w:r>
      <w:r>
        <w:rPr>
          <w:noProof/>
        </w:rPr>
        <w:t xml:space="preserve"> II</w:t>
      </w:r>
    </w:p>
    <w:p w14:paraId="589F9AAF" w14:textId="6892E6A4" w:rsidR="00991DF8" w:rsidRDefault="00991DF8" w:rsidP="00E8728D">
      <w:pPr>
        <w:shd w:val="clear" w:color="auto" w:fill="FFFFFF" w:themeFill="background1"/>
        <w:tabs>
          <w:tab w:val="left" w:pos="5000"/>
        </w:tabs>
        <w:spacing w:after="0"/>
        <w:jc w:val="center"/>
        <w:rPr>
          <w:b/>
          <w:noProof/>
          <w:color w:val="333333"/>
          <w:szCs w:val="24"/>
        </w:rPr>
      </w:pPr>
      <w:bookmarkStart w:id="7" w:name="_TocB7751C055C4744A28A002AAF436526DF"/>
      <w:r w:rsidRPr="00A1251A">
        <w:rPr>
          <w:rFonts w:eastAsia="Times New Roman"/>
          <w:b/>
          <w:noProof/>
          <w:lang w:val="en-IE" w:eastAsia="en-GB"/>
        </w:rPr>
        <w:t xml:space="preserve">List </w:t>
      </w:r>
      <w:r w:rsidRPr="00D73266">
        <w:rPr>
          <w:rFonts w:eastAsia="Times New Roman"/>
          <w:b/>
          <w:noProof/>
          <w:lang w:val="en-IE" w:eastAsia="en-GB"/>
        </w:rPr>
        <w:t xml:space="preserve">of </w:t>
      </w:r>
      <w:r w:rsidR="00E8728D" w:rsidRPr="00A3199E">
        <w:rPr>
          <w:rFonts w:eastAsia="Times New Roman"/>
          <w:b/>
          <w:noProof/>
          <w:szCs w:val="24"/>
          <w:lang w:val="en-IE" w:eastAsia="en-GB"/>
        </w:rPr>
        <w:t>technologies, assets, facilities, equipment, networks, systems, services and economic activities</w:t>
      </w:r>
      <w:r w:rsidR="00E8728D" w:rsidRPr="00D73266">
        <w:rPr>
          <w:rFonts w:eastAsia="Times New Roman"/>
          <w:bCs/>
          <w:noProof/>
          <w:szCs w:val="24"/>
          <w:lang w:val="en-IE" w:eastAsia="en-GB"/>
        </w:rPr>
        <w:t xml:space="preserve"> </w:t>
      </w:r>
      <w:r w:rsidRPr="00D73266">
        <w:rPr>
          <w:b/>
          <w:noProof/>
          <w:color w:val="333333"/>
          <w:szCs w:val="24"/>
        </w:rPr>
        <w:t>of particular importance for the security or public order</w:t>
      </w:r>
      <w:r w:rsidRPr="00147561">
        <w:rPr>
          <w:b/>
          <w:noProof/>
          <w:color w:val="333333"/>
          <w:szCs w:val="24"/>
        </w:rPr>
        <w:t xml:space="preserve"> interests of the Union</w:t>
      </w:r>
    </w:p>
    <w:bookmarkEnd w:id="7"/>
    <w:p w14:paraId="7DFE0975" w14:textId="28680BB6" w:rsidR="009E7623" w:rsidRDefault="00845A15" w:rsidP="002A7CE4">
      <w:pPr>
        <w:pStyle w:val="Point0"/>
        <w:rPr>
          <w:noProof/>
        </w:rPr>
      </w:pPr>
      <w:r>
        <w:rPr>
          <w:noProof/>
        </w:rPr>
        <w:t>1.</w:t>
      </w:r>
      <w:r w:rsidRPr="00845A15">
        <w:rPr>
          <w:noProof/>
        </w:rPr>
        <w:tab/>
      </w:r>
      <w:r w:rsidR="009E7623" w:rsidRPr="002A7CE4">
        <w:rPr>
          <w:noProof/>
        </w:rPr>
        <w:t xml:space="preserve">Items listed in Annex I to Regulation (EU) 2021/821 of the European Parliament and of the Council </w:t>
      </w:r>
      <w:r w:rsidR="00C14EB2" w:rsidRPr="002A7CE4">
        <w:rPr>
          <w:noProof/>
        </w:rPr>
        <w:t>(</w:t>
      </w:r>
      <w:r w:rsidR="00E8728D" w:rsidRPr="002A7CE4">
        <w:rPr>
          <w:noProof/>
        </w:rPr>
        <w:t>common list of dual-use items subject to export controls</w:t>
      </w:r>
      <w:r w:rsidR="00C14EB2" w:rsidRPr="002A7CE4">
        <w:rPr>
          <w:noProof/>
        </w:rPr>
        <w:t>)</w:t>
      </w:r>
    </w:p>
    <w:p w14:paraId="15BDBE33" w14:textId="29B8EB00" w:rsidR="00870A96" w:rsidRPr="00D371B7" w:rsidRDefault="00845A15" w:rsidP="002A7CE4">
      <w:pPr>
        <w:pStyle w:val="Point0"/>
        <w:rPr>
          <w:noProof/>
        </w:rPr>
      </w:pPr>
      <w:r>
        <w:rPr>
          <w:noProof/>
        </w:rPr>
        <w:t>2.</w:t>
      </w:r>
      <w:r w:rsidRPr="00845A15">
        <w:rPr>
          <w:noProof/>
        </w:rPr>
        <w:tab/>
      </w:r>
      <w:r w:rsidR="00870A96">
        <w:rPr>
          <w:noProof/>
        </w:rPr>
        <w:t>Equipment covered by Council Common Position 2008/944/CFSP defining common rules governing the control of exports of military technology and equipment (Common Military Li</w:t>
      </w:r>
      <w:r w:rsidR="00870A96" w:rsidRPr="002A7CE4">
        <w:rPr>
          <w:noProof/>
        </w:rPr>
        <w:t>st of the European Union)</w:t>
      </w:r>
    </w:p>
    <w:p w14:paraId="2B366533" w14:textId="70F1A1FA" w:rsidR="00D73266" w:rsidRDefault="00845A15" w:rsidP="002A7CE4">
      <w:pPr>
        <w:pStyle w:val="Point0"/>
        <w:rPr>
          <w:noProof/>
        </w:rPr>
      </w:pPr>
      <w:r>
        <w:rPr>
          <w:noProof/>
        </w:rPr>
        <w:t>3.</w:t>
      </w:r>
      <w:r w:rsidRPr="00845A15">
        <w:rPr>
          <w:noProof/>
        </w:rPr>
        <w:tab/>
      </w:r>
      <w:r w:rsidR="00D73266">
        <w:rPr>
          <w:noProof/>
        </w:rPr>
        <w:t xml:space="preserve">The following </w:t>
      </w:r>
      <w:r w:rsidR="00E8728D" w:rsidRPr="00EC4D84">
        <w:rPr>
          <w:noProof/>
        </w:rPr>
        <w:t>critical technology areas for the EU’s economic security annexed to Commission Recommendation (EU) 2023/2113 of 3 October 2023 on critical technology areas for the EU’s economic security for further risk assessment with Member States</w:t>
      </w:r>
      <w:r w:rsidR="00D73266">
        <w:rPr>
          <w:noProof/>
        </w:rPr>
        <w:t>:</w:t>
      </w:r>
    </w:p>
    <w:p w14:paraId="60D5119E" w14:textId="6B589EA6" w:rsidR="009C2916" w:rsidRDefault="008412DB" w:rsidP="008412DB">
      <w:pPr>
        <w:pStyle w:val="Point10"/>
        <w:rPr>
          <w:noProof/>
        </w:rPr>
      </w:pPr>
      <w:r>
        <w:rPr>
          <w:noProof/>
        </w:rPr>
        <w:t>a.</w:t>
      </w:r>
      <w:r w:rsidRPr="008412DB">
        <w:rPr>
          <w:noProof/>
        </w:rPr>
        <w:tab/>
      </w:r>
      <w:r w:rsidR="009C2916" w:rsidRPr="009C2916">
        <w:rPr>
          <w:noProof/>
        </w:rPr>
        <w:t>Advanced semiconductors technologies:</w:t>
      </w:r>
    </w:p>
    <w:p w14:paraId="6911CE29" w14:textId="77777777" w:rsidR="009C2916" w:rsidRDefault="009C2916" w:rsidP="00CA1388">
      <w:pPr>
        <w:pStyle w:val="Bullet3"/>
        <w:numPr>
          <w:ilvl w:val="0"/>
          <w:numId w:val="7"/>
        </w:numPr>
        <w:rPr>
          <w:noProof/>
        </w:rPr>
      </w:pPr>
      <w:r>
        <w:rPr>
          <w:noProof/>
        </w:rPr>
        <w:t>microelectroics, including processors</w:t>
      </w:r>
    </w:p>
    <w:p w14:paraId="6B1EED15" w14:textId="77777777" w:rsidR="009C2916" w:rsidRDefault="009C2916" w:rsidP="003423BC">
      <w:pPr>
        <w:pStyle w:val="Bullet3"/>
        <w:rPr>
          <w:noProof/>
        </w:rPr>
      </w:pPr>
      <w:r>
        <w:rPr>
          <w:noProof/>
        </w:rPr>
        <w:t>photonics (including high energy laser) technologies</w:t>
      </w:r>
    </w:p>
    <w:p w14:paraId="1C7A37F1" w14:textId="77777777" w:rsidR="009C2916" w:rsidRDefault="009C2916" w:rsidP="003423BC">
      <w:pPr>
        <w:pStyle w:val="Bullet3"/>
        <w:rPr>
          <w:noProof/>
        </w:rPr>
      </w:pPr>
      <w:r>
        <w:rPr>
          <w:noProof/>
        </w:rPr>
        <w:t>high frequency chips</w:t>
      </w:r>
    </w:p>
    <w:p w14:paraId="17C0CF07" w14:textId="77777777" w:rsidR="009C2916" w:rsidRDefault="009C2916" w:rsidP="00CA00F7">
      <w:pPr>
        <w:pStyle w:val="Bullet3"/>
        <w:rPr>
          <w:noProof/>
        </w:rPr>
      </w:pPr>
      <w:r>
        <w:rPr>
          <w:noProof/>
        </w:rPr>
        <w:t>semiconductor manufacturing equipment at very advanced node sizes</w:t>
      </w:r>
    </w:p>
    <w:p w14:paraId="5AD2F50A" w14:textId="01EADA00" w:rsidR="009C2916" w:rsidRDefault="008412DB" w:rsidP="008412DB">
      <w:pPr>
        <w:pStyle w:val="Point10"/>
        <w:rPr>
          <w:noProof/>
        </w:rPr>
      </w:pPr>
      <w:r>
        <w:rPr>
          <w:noProof/>
        </w:rPr>
        <w:t>b.</w:t>
      </w:r>
      <w:r>
        <w:rPr>
          <w:noProof/>
        </w:rPr>
        <w:tab/>
      </w:r>
      <w:r w:rsidR="009C2916" w:rsidRPr="009C2916">
        <w:rPr>
          <w:noProof/>
        </w:rPr>
        <w:t>Artificial intelligence technologies:</w:t>
      </w:r>
    </w:p>
    <w:p w14:paraId="6A0F74FF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high performance computing</w:t>
      </w:r>
    </w:p>
    <w:p w14:paraId="6E0837D8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cloud and edge computing</w:t>
      </w:r>
    </w:p>
    <w:p w14:paraId="4C53582C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data analytics technologies</w:t>
      </w:r>
    </w:p>
    <w:p w14:paraId="346A6FD2" w14:textId="77777777" w:rsidR="009C2916" w:rsidRPr="009C2916" w:rsidRDefault="009C2916" w:rsidP="00E209ED">
      <w:pPr>
        <w:pStyle w:val="Bullet3"/>
        <w:rPr>
          <w:noProof/>
        </w:rPr>
      </w:pPr>
      <w:r w:rsidRPr="009C2916">
        <w:rPr>
          <w:noProof/>
        </w:rPr>
        <w:t>computer vision, language processing, object recognition</w:t>
      </w:r>
    </w:p>
    <w:p w14:paraId="72508AFA" w14:textId="78F85ACE" w:rsidR="009C2916" w:rsidRDefault="00115BA3" w:rsidP="00115BA3">
      <w:pPr>
        <w:pStyle w:val="Point10"/>
        <w:rPr>
          <w:noProof/>
        </w:rPr>
      </w:pPr>
      <w:r>
        <w:rPr>
          <w:noProof/>
        </w:rPr>
        <w:t>c.</w:t>
      </w:r>
      <w:r>
        <w:rPr>
          <w:noProof/>
        </w:rPr>
        <w:tab/>
      </w:r>
      <w:r w:rsidR="009C2916" w:rsidRPr="009C2916">
        <w:rPr>
          <w:noProof/>
        </w:rPr>
        <w:t>Quantum technologies:</w:t>
      </w:r>
    </w:p>
    <w:p w14:paraId="16F081CC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quantum computing</w:t>
      </w:r>
    </w:p>
    <w:p w14:paraId="23B03505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quantum cryptography</w:t>
      </w:r>
    </w:p>
    <w:p w14:paraId="39EEC65A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quantum communications</w:t>
      </w:r>
    </w:p>
    <w:p w14:paraId="183C33C1" w14:textId="77777777" w:rsidR="009C2916" w:rsidRPr="009C2916" w:rsidRDefault="009C2916" w:rsidP="0066433C">
      <w:pPr>
        <w:pStyle w:val="Bullet3"/>
        <w:rPr>
          <w:noProof/>
        </w:rPr>
      </w:pPr>
      <w:r w:rsidRPr="009C2916">
        <w:rPr>
          <w:noProof/>
        </w:rPr>
        <w:t>quantum sensing and radar</w:t>
      </w:r>
    </w:p>
    <w:p w14:paraId="589A2A69" w14:textId="35010062" w:rsidR="009C2916" w:rsidRDefault="00115BA3" w:rsidP="00115BA3">
      <w:pPr>
        <w:pStyle w:val="Point10"/>
        <w:rPr>
          <w:noProof/>
        </w:rPr>
      </w:pPr>
      <w:r>
        <w:rPr>
          <w:noProof/>
        </w:rPr>
        <w:t>d.</w:t>
      </w:r>
      <w:r>
        <w:rPr>
          <w:noProof/>
        </w:rPr>
        <w:tab/>
      </w:r>
      <w:r w:rsidR="009C2916" w:rsidRPr="009C2916">
        <w:rPr>
          <w:noProof/>
        </w:rPr>
        <w:t>Biotechnologies:</w:t>
      </w:r>
    </w:p>
    <w:p w14:paraId="2D59D9EF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techniques of genetic modification</w:t>
      </w:r>
    </w:p>
    <w:p w14:paraId="6B0A6CDB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new genomic techniques</w:t>
      </w:r>
    </w:p>
    <w:p w14:paraId="09FEEEE5" w14:textId="77777777" w:rsidR="009C2916" w:rsidRPr="009C2916" w:rsidRDefault="009C2916" w:rsidP="003423BC">
      <w:pPr>
        <w:pStyle w:val="Bullet3"/>
        <w:rPr>
          <w:noProof/>
        </w:rPr>
      </w:pPr>
      <w:r w:rsidRPr="009C2916">
        <w:rPr>
          <w:noProof/>
        </w:rPr>
        <w:t>gene-drive</w:t>
      </w:r>
    </w:p>
    <w:p w14:paraId="141F78DF" w14:textId="77777777" w:rsidR="009C2916" w:rsidRPr="009C2916" w:rsidRDefault="009C2916" w:rsidP="0066433C">
      <w:pPr>
        <w:pStyle w:val="Bullet3"/>
        <w:rPr>
          <w:noProof/>
        </w:rPr>
      </w:pPr>
      <w:r w:rsidRPr="009C2916">
        <w:rPr>
          <w:noProof/>
        </w:rPr>
        <w:t>synthetic biology</w:t>
      </w:r>
    </w:p>
    <w:p w14:paraId="166CC6E6" w14:textId="37A4DEF8" w:rsidR="009C2916" w:rsidRDefault="00115BA3" w:rsidP="00115BA3">
      <w:pPr>
        <w:pStyle w:val="Point10"/>
        <w:rPr>
          <w:noProof/>
        </w:rPr>
      </w:pPr>
      <w:r>
        <w:rPr>
          <w:noProof/>
        </w:rPr>
        <w:t>e.</w:t>
      </w:r>
      <w:r>
        <w:rPr>
          <w:noProof/>
        </w:rPr>
        <w:tab/>
      </w:r>
      <w:r w:rsidR="00E36985">
        <w:rPr>
          <w:noProof/>
        </w:rPr>
        <w:t xml:space="preserve">Advanced connectivity, navigation and digital technologies: </w:t>
      </w:r>
    </w:p>
    <w:p w14:paraId="66172EC2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Secure digital communications and connectivity, such as RAN &amp; Open RAN (Radio Access Network) and 6G </w:t>
      </w:r>
    </w:p>
    <w:p w14:paraId="2269B413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Cyber security technologies incl. cyber-surveillance, security and intrusion systems, digital forensics </w:t>
      </w:r>
    </w:p>
    <w:p w14:paraId="4C2E1072" w14:textId="77777777" w:rsidR="003402CF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Internet of Things and Virtual Reality </w:t>
      </w:r>
    </w:p>
    <w:p w14:paraId="1E39D390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Distributed ledger and digital identity technologies </w:t>
      </w:r>
    </w:p>
    <w:p w14:paraId="2B75EF3D" w14:textId="77777777" w:rsidR="00867CE1" w:rsidRDefault="00867CE1" w:rsidP="0066433C">
      <w:pPr>
        <w:pStyle w:val="Bullet3"/>
        <w:rPr>
          <w:noProof/>
        </w:rPr>
      </w:pPr>
      <w:r w:rsidRPr="00867CE1">
        <w:rPr>
          <w:noProof/>
        </w:rPr>
        <w:t>Guidance, navigation and control technologies, including avionics and marine positioning</w:t>
      </w:r>
    </w:p>
    <w:p w14:paraId="6667CC47" w14:textId="1C95FCC9" w:rsidR="009C2916" w:rsidRDefault="00115BA3" w:rsidP="00115BA3">
      <w:pPr>
        <w:pStyle w:val="Point10"/>
        <w:rPr>
          <w:noProof/>
        </w:rPr>
      </w:pPr>
      <w:r>
        <w:rPr>
          <w:noProof/>
        </w:rPr>
        <w:t>f.</w:t>
      </w:r>
      <w:r>
        <w:rPr>
          <w:noProof/>
        </w:rPr>
        <w:tab/>
      </w:r>
      <w:r w:rsidR="00E36985">
        <w:rPr>
          <w:noProof/>
        </w:rPr>
        <w:t xml:space="preserve">Advanced sensing technologies: </w:t>
      </w:r>
    </w:p>
    <w:p w14:paraId="3714A6D2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Electro-optical, radar, chemical, biological, radiation and distribu ted sensing </w:t>
      </w:r>
    </w:p>
    <w:p w14:paraId="2E5096C3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Magnetometers, magnetic gradiometers </w:t>
      </w:r>
    </w:p>
    <w:p w14:paraId="64B493D3" w14:textId="77777777" w:rsidR="00E90883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Underwater electric field sensors </w:t>
      </w:r>
    </w:p>
    <w:p w14:paraId="7E97EF73" w14:textId="77777777" w:rsidR="00867CE1" w:rsidRDefault="00867CE1" w:rsidP="0066433C">
      <w:pPr>
        <w:pStyle w:val="Bullet3"/>
        <w:rPr>
          <w:noProof/>
        </w:rPr>
      </w:pPr>
      <w:r w:rsidRPr="00867CE1">
        <w:rPr>
          <w:noProof/>
        </w:rPr>
        <w:t>Gravity meters and gradiometers</w:t>
      </w:r>
    </w:p>
    <w:p w14:paraId="25C9FAE7" w14:textId="0244D7B0" w:rsidR="009C2916" w:rsidRPr="00E209ED" w:rsidRDefault="00115BA3" w:rsidP="00115BA3">
      <w:pPr>
        <w:pStyle w:val="Point10"/>
        <w:rPr>
          <w:noProof/>
        </w:rPr>
      </w:pPr>
      <w:r>
        <w:rPr>
          <w:noProof/>
        </w:rPr>
        <w:t>g.</w:t>
      </w:r>
      <w:r>
        <w:rPr>
          <w:noProof/>
        </w:rPr>
        <w:tab/>
      </w:r>
      <w:r w:rsidR="00E36985" w:rsidRPr="00E209ED">
        <w:rPr>
          <w:noProof/>
        </w:rPr>
        <w:t xml:space="preserve">Space &amp; propulsion technologies: </w:t>
      </w:r>
    </w:p>
    <w:p w14:paraId="50AB2797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Dedicated space-focused technologies, ranging from component to system level </w:t>
      </w:r>
    </w:p>
    <w:p w14:paraId="511AA41F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>Space surveillance and Earth observation technologies</w:t>
      </w:r>
    </w:p>
    <w:p w14:paraId="0617120E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Space positioning, navigation and timing (PNT) </w:t>
      </w:r>
    </w:p>
    <w:p w14:paraId="3E1C5FEE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Secure communications including Low Earth Orbit (LEO) connec tivity </w:t>
      </w:r>
    </w:p>
    <w:p w14:paraId="6198F3D1" w14:textId="77777777" w:rsidR="00867CE1" w:rsidRDefault="00867CE1" w:rsidP="0066433C">
      <w:pPr>
        <w:pStyle w:val="Bullet3"/>
        <w:rPr>
          <w:noProof/>
        </w:rPr>
      </w:pPr>
      <w:r w:rsidRPr="00867CE1">
        <w:rPr>
          <w:noProof/>
        </w:rPr>
        <w:t>Propulsion technologies, including hypersonics and components for military use</w:t>
      </w:r>
    </w:p>
    <w:p w14:paraId="43CE8845" w14:textId="20DFE888" w:rsidR="006A23D4" w:rsidRDefault="00115BA3" w:rsidP="00115BA3">
      <w:pPr>
        <w:pStyle w:val="Point10"/>
        <w:rPr>
          <w:noProof/>
        </w:rPr>
      </w:pPr>
      <w:r>
        <w:rPr>
          <w:noProof/>
        </w:rPr>
        <w:t>h.</w:t>
      </w:r>
      <w:r>
        <w:rPr>
          <w:noProof/>
        </w:rPr>
        <w:tab/>
      </w:r>
      <w:r w:rsidR="00E36985">
        <w:rPr>
          <w:noProof/>
        </w:rPr>
        <w:t xml:space="preserve">Energy technologies: </w:t>
      </w:r>
    </w:p>
    <w:p w14:paraId="654E95C2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Nuclear fusion technologies, reactors and power generation, radi ological conversion/enrichment/recycling technologies </w:t>
      </w:r>
    </w:p>
    <w:p w14:paraId="12D41363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Hydrogen and new fuels </w:t>
      </w:r>
    </w:p>
    <w:p w14:paraId="6CF8839F" w14:textId="77777777" w:rsidR="00E36985" w:rsidRDefault="00867CE1" w:rsidP="003423BC">
      <w:pPr>
        <w:pStyle w:val="Bullet3"/>
        <w:rPr>
          <w:noProof/>
        </w:rPr>
      </w:pPr>
      <w:r w:rsidRPr="00867CE1">
        <w:rPr>
          <w:noProof/>
        </w:rPr>
        <w:t xml:space="preserve">Net-zero technologies, including photovoltaics </w:t>
      </w:r>
    </w:p>
    <w:p w14:paraId="14DE4F9E" w14:textId="77777777" w:rsidR="00867CE1" w:rsidRDefault="00867CE1" w:rsidP="0066433C">
      <w:pPr>
        <w:pStyle w:val="Bullet3"/>
        <w:rPr>
          <w:noProof/>
        </w:rPr>
      </w:pPr>
      <w:r w:rsidRPr="00867CE1">
        <w:rPr>
          <w:noProof/>
        </w:rPr>
        <w:t>Smart grids and energy storage, batteries</w:t>
      </w:r>
    </w:p>
    <w:p w14:paraId="2FA126C2" w14:textId="59519DDB" w:rsidR="006A23D4" w:rsidRDefault="00FE6FB0" w:rsidP="00FE6FB0">
      <w:pPr>
        <w:pStyle w:val="Point10"/>
        <w:rPr>
          <w:noProof/>
        </w:rPr>
      </w:pPr>
      <w:r>
        <w:rPr>
          <w:noProof/>
        </w:rPr>
        <w:t>i.</w:t>
      </w:r>
      <w:r>
        <w:rPr>
          <w:noProof/>
        </w:rPr>
        <w:tab/>
      </w:r>
      <w:r w:rsidR="00E36985">
        <w:rPr>
          <w:noProof/>
        </w:rPr>
        <w:t>Robotics and autonomous systems:</w:t>
      </w:r>
    </w:p>
    <w:p w14:paraId="5458A975" w14:textId="77777777" w:rsidR="00E36985" w:rsidRDefault="002476A7" w:rsidP="003423BC">
      <w:pPr>
        <w:pStyle w:val="Bullet3"/>
        <w:rPr>
          <w:noProof/>
        </w:rPr>
      </w:pPr>
      <w:r w:rsidRPr="002476A7">
        <w:rPr>
          <w:noProof/>
        </w:rPr>
        <w:t xml:space="preserve">Drones and vehicles (air, land, surface and underwater) </w:t>
      </w:r>
    </w:p>
    <w:p w14:paraId="6869C432" w14:textId="77777777" w:rsidR="00E36985" w:rsidRDefault="002476A7" w:rsidP="003423BC">
      <w:pPr>
        <w:pStyle w:val="Bullet3"/>
        <w:rPr>
          <w:noProof/>
        </w:rPr>
      </w:pPr>
      <w:r w:rsidRPr="002476A7">
        <w:rPr>
          <w:noProof/>
        </w:rPr>
        <w:t xml:space="preserve">Robots and robot-controlled precision systems </w:t>
      </w:r>
    </w:p>
    <w:p w14:paraId="3C989213" w14:textId="77777777" w:rsidR="00E36985" w:rsidRDefault="002476A7" w:rsidP="003423BC">
      <w:pPr>
        <w:pStyle w:val="Bullet3"/>
        <w:rPr>
          <w:noProof/>
        </w:rPr>
      </w:pPr>
      <w:r w:rsidRPr="002476A7">
        <w:rPr>
          <w:noProof/>
        </w:rPr>
        <w:t>Exoskeletons</w:t>
      </w:r>
    </w:p>
    <w:p w14:paraId="4428A98F" w14:textId="77777777" w:rsidR="002476A7" w:rsidRDefault="002476A7" w:rsidP="0066433C">
      <w:pPr>
        <w:pStyle w:val="Bullet3"/>
        <w:rPr>
          <w:noProof/>
        </w:rPr>
      </w:pPr>
      <w:r w:rsidRPr="002476A7">
        <w:rPr>
          <w:noProof/>
        </w:rPr>
        <w:t>AI-enabled systems</w:t>
      </w:r>
    </w:p>
    <w:p w14:paraId="66FDB7CD" w14:textId="7E68004F" w:rsidR="00260D9F" w:rsidRDefault="00115BA3" w:rsidP="00115BA3">
      <w:pPr>
        <w:pStyle w:val="Point10"/>
        <w:rPr>
          <w:noProof/>
        </w:rPr>
      </w:pPr>
      <w:r>
        <w:rPr>
          <w:noProof/>
        </w:rPr>
        <w:t>j.</w:t>
      </w:r>
      <w:r>
        <w:rPr>
          <w:noProof/>
        </w:rPr>
        <w:tab/>
      </w:r>
      <w:r w:rsidR="00E36985">
        <w:rPr>
          <w:noProof/>
        </w:rPr>
        <w:t>Advanced materials, manufacturing and recycling technologies:</w:t>
      </w:r>
    </w:p>
    <w:p w14:paraId="2E81200C" w14:textId="77777777" w:rsidR="00E36985" w:rsidRDefault="00E36985" w:rsidP="003423BC">
      <w:pPr>
        <w:pStyle w:val="Bullet3"/>
        <w:rPr>
          <w:noProof/>
        </w:rPr>
      </w:pPr>
      <w:r>
        <w:rPr>
          <w:noProof/>
        </w:rPr>
        <w:t>T</w:t>
      </w:r>
      <w:r w:rsidR="002476A7" w:rsidRPr="002476A7">
        <w:rPr>
          <w:noProof/>
        </w:rPr>
        <w:t xml:space="preserve">echnologies for nanomaterials, smart materials, advanced ceramic materials, stealth materials, safe and sustainable by design materials </w:t>
      </w:r>
    </w:p>
    <w:p w14:paraId="2AB72768" w14:textId="77777777" w:rsidR="00E36985" w:rsidRDefault="002476A7" w:rsidP="003423BC">
      <w:pPr>
        <w:pStyle w:val="Bullet3"/>
        <w:rPr>
          <w:noProof/>
        </w:rPr>
      </w:pPr>
      <w:r w:rsidRPr="002476A7">
        <w:rPr>
          <w:noProof/>
        </w:rPr>
        <w:t xml:space="preserve">Additive manufacturing, including in the field </w:t>
      </w:r>
    </w:p>
    <w:p w14:paraId="4F6F795A" w14:textId="77777777" w:rsidR="00E36985" w:rsidRDefault="002476A7" w:rsidP="003423BC">
      <w:pPr>
        <w:pStyle w:val="Bullet3"/>
        <w:rPr>
          <w:noProof/>
        </w:rPr>
      </w:pPr>
      <w:r w:rsidRPr="002476A7">
        <w:rPr>
          <w:noProof/>
        </w:rPr>
        <w:t xml:space="preserve">Digital controlled micro-precision manufacturing and small-scale laser machining/welding </w:t>
      </w:r>
    </w:p>
    <w:p w14:paraId="028F50DC" w14:textId="77777777" w:rsidR="002476A7" w:rsidRDefault="002476A7" w:rsidP="0066433C">
      <w:pPr>
        <w:pStyle w:val="Bullet3"/>
        <w:rPr>
          <w:noProof/>
        </w:rPr>
      </w:pPr>
      <w:r w:rsidRPr="002476A7">
        <w:rPr>
          <w:noProof/>
        </w:rPr>
        <w:t>Technologies for extraction, processing and recycling of critical raw materials (including hydrometallurgical extraction, bioleaching, nanotechnology-based filtration, electrochemical processing and black mass)</w:t>
      </w:r>
    </w:p>
    <w:p w14:paraId="4F1DAF42" w14:textId="0D91D441" w:rsidR="0012180F" w:rsidRPr="0012180F" w:rsidRDefault="009C6A69" w:rsidP="009C6A69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</w:r>
      <w:r w:rsidR="00EB3E49" w:rsidRPr="0012180F">
        <w:rPr>
          <w:noProof/>
        </w:rPr>
        <w:t>Listed c</w:t>
      </w:r>
      <w:r w:rsidR="00D371B7" w:rsidRPr="0012180F">
        <w:rPr>
          <w:noProof/>
        </w:rPr>
        <w:t>ritical medicines</w:t>
      </w:r>
      <w:r w:rsidR="002C40B3" w:rsidRPr="0012180F">
        <w:rPr>
          <w:noProof/>
        </w:rPr>
        <w:t>: Medicines for human use that are essential for the proper</w:t>
      </w:r>
      <w:r w:rsidR="002C40B3" w:rsidRPr="002A7CE4">
        <w:rPr>
          <w:noProof/>
        </w:rPr>
        <w:t xml:space="preserve"> functioning of the EU healthcare system and whose shortage would lead</w:t>
      </w:r>
      <w:r w:rsidR="002C40B3" w:rsidRPr="0012180F">
        <w:rPr>
          <w:noProof/>
          <w:lang w:val="en"/>
        </w:rPr>
        <w:t xml:space="preserve"> to an interruption in treatment and thus serious harm to patients</w:t>
      </w:r>
      <w:r w:rsidR="00FC2F86" w:rsidRPr="0012180F">
        <w:rPr>
          <w:noProof/>
          <w:lang w:val="en"/>
        </w:rPr>
        <w:t>, as l</w:t>
      </w:r>
      <w:r w:rsidR="00EB3E49" w:rsidRPr="0012180F">
        <w:rPr>
          <w:noProof/>
          <w:lang w:val="en"/>
        </w:rPr>
        <w:t xml:space="preserve">isted in the </w:t>
      </w:r>
      <w:hyperlink r:id="rId63" w:anchor="ema-inpage-item-64278" w:history="1">
        <w:r w:rsidR="00EB3E49" w:rsidRPr="0012180F">
          <w:rPr>
            <w:rStyle w:val="Hyperlink"/>
            <w:rFonts w:eastAsia="Calibri"/>
            <w:noProof/>
            <w:lang w:val="en"/>
          </w:rPr>
          <w:t>Union list for critical medicines</w:t>
        </w:r>
      </w:hyperlink>
      <w:r w:rsidR="00866524" w:rsidRPr="0012180F">
        <w:rPr>
          <w:rStyle w:val="Hyperlink"/>
          <w:rFonts w:eastAsia="Calibri"/>
          <w:noProof/>
          <w:lang w:val="en"/>
        </w:rPr>
        <w:t xml:space="preserve"> </w:t>
      </w:r>
      <w:r w:rsidR="00866524" w:rsidRPr="0012180F">
        <w:rPr>
          <w:rStyle w:val="FootnoteReference"/>
          <w:rFonts w:eastAsia="Calibri"/>
          <w:noProof/>
          <w:color w:val="0000FF"/>
          <w:u w:val="single"/>
          <w:lang w:val="en"/>
        </w:rPr>
        <w:footnoteReference w:id="3"/>
      </w:r>
      <w:r w:rsidR="00EB3E49" w:rsidRPr="0012180F">
        <w:rPr>
          <w:noProof/>
          <w:lang w:val="en"/>
        </w:rPr>
        <w:t xml:space="preserve">. </w:t>
      </w:r>
    </w:p>
    <w:p w14:paraId="40D95EAE" w14:textId="19E66ECB" w:rsidR="0033124D" w:rsidRPr="00067596" w:rsidRDefault="009C6A69" w:rsidP="009C6A69"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</w:r>
      <w:r w:rsidR="00866524" w:rsidRPr="00067596">
        <w:rPr>
          <w:noProof/>
        </w:rPr>
        <w:t>The following c</w:t>
      </w:r>
      <w:r w:rsidR="00F32AA1" w:rsidRPr="00067596">
        <w:rPr>
          <w:noProof/>
        </w:rPr>
        <w:t>ritical entities</w:t>
      </w:r>
      <w:r w:rsidR="00866524" w:rsidRPr="00067596">
        <w:rPr>
          <w:noProof/>
        </w:rPr>
        <w:t xml:space="preserve"> and activities</w:t>
      </w:r>
      <w:r w:rsidR="00F32AA1" w:rsidRPr="00067596">
        <w:rPr>
          <w:noProof/>
        </w:rPr>
        <w:t xml:space="preserve"> in the Union’s financial system</w:t>
      </w:r>
      <w:r w:rsidR="00866524" w:rsidRPr="00067596">
        <w:rPr>
          <w:noProof/>
        </w:rPr>
        <w:t xml:space="preserve">: </w:t>
      </w:r>
      <w:r w:rsidR="006E7705" w:rsidRPr="00067596">
        <w:rPr>
          <w:noProof/>
        </w:rPr>
        <w:t>central counterparties</w:t>
      </w:r>
      <w:r w:rsidR="006E7705" w:rsidRPr="00067596">
        <w:rPr>
          <w:rStyle w:val="FootnoteReference"/>
          <w:rFonts w:eastAsia="Calibri"/>
          <w:noProof/>
        </w:rPr>
        <w:footnoteReference w:id="4"/>
      </w:r>
      <w:r w:rsidR="006E7705" w:rsidRPr="00067596">
        <w:rPr>
          <w:noProof/>
        </w:rPr>
        <w:t>, payment systems and payment institutions</w:t>
      </w:r>
      <w:r w:rsidR="0071147F" w:rsidRPr="00067596">
        <w:rPr>
          <w:rStyle w:val="FootnoteReference"/>
          <w:noProof/>
        </w:rPr>
        <w:footnoteReference w:id="5"/>
      </w:r>
      <w:r w:rsidR="006E7705" w:rsidRPr="00067596">
        <w:rPr>
          <w:noProof/>
        </w:rPr>
        <w:t>, electronic money institutions</w:t>
      </w:r>
      <w:r w:rsidR="0071147F" w:rsidRPr="00067596">
        <w:rPr>
          <w:rStyle w:val="FootnoteReference"/>
          <w:rFonts w:eastAsia="Calibri"/>
          <w:noProof/>
        </w:rPr>
        <w:footnoteReference w:id="6"/>
      </w:r>
      <w:r w:rsidR="006E7705" w:rsidRPr="00067596">
        <w:rPr>
          <w:noProof/>
        </w:rPr>
        <w:t>, market operators and investment firms</w:t>
      </w:r>
      <w:r w:rsidR="0071147F" w:rsidRPr="00067596">
        <w:rPr>
          <w:b/>
          <w:bCs/>
          <w:noProof/>
          <w:szCs w:val="24"/>
          <w:lang w:val="en-IE"/>
        </w:rPr>
        <w:t xml:space="preserve"> </w:t>
      </w:r>
      <w:r w:rsidR="0071147F" w:rsidRPr="00067596">
        <w:rPr>
          <w:noProof/>
          <w:lang w:val="en-IE"/>
        </w:rPr>
        <w:t>that operate a multilateral trading facility or an organised trading facility</w:t>
      </w:r>
      <w:r w:rsidR="0071147F" w:rsidRPr="00067596">
        <w:rPr>
          <w:rStyle w:val="FootnoteReference"/>
          <w:rFonts w:eastAsia="Calibri"/>
          <w:noProof/>
          <w:lang w:val="en-IE"/>
        </w:rPr>
        <w:footnoteReference w:id="7"/>
      </w:r>
      <w:r w:rsidR="006E7705" w:rsidRPr="00067596">
        <w:rPr>
          <w:noProof/>
        </w:rPr>
        <w:t>, central securities depositories</w:t>
      </w:r>
      <w:r w:rsidR="00692DAC" w:rsidRPr="00067596">
        <w:rPr>
          <w:rStyle w:val="FootnoteReference"/>
          <w:rFonts w:eastAsia="Calibri"/>
          <w:noProof/>
        </w:rPr>
        <w:footnoteReference w:id="8"/>
      </w:r>
      <w:r w:rsidR="006E7705" w:rsidRPr="00067596">
        <w:rPr>
          <w:noProof/>
        </w:rPr>
        <w:t xml:space="preserve">, </w:t>
      </w:r>
      <w:r w:rsidR="00C37034" w:rsidRPr="00067596">
        <w:rPr>
          <w:noProof/>
        </w:rPr>
        <w:t xml:space="preserve">significant </w:t>
      </w:r>
      <w:r w:rsidR="006E7705" w:rsidRPr="00067596">
        <w:rPr>
          <w:noProof/>
        </w:rPr>
        <w:t>issuers of asset-referenced tokens or e-money tokens</w:t>
      </w:r>
      <w:r w:rsidR="0039157F" w:rsidRPr="00067596">
        <w:rPr>
          <w:noProof/>
        </w:rPr>
        <w:t xml:space="preserve"> </w:t>
      </w:r>
      <w:r w:rsidR="00C37034" w:rsidRPr="00067596">
        <w:rPr>
          <w:noProof/>
        </w:rPr>
        <w:t>and</w:t>
      </w:r>
      <w:r w:rsidR="006E7705" w:rsidRPr="00067596">
        <w:rPr>
          <w:noProof/>
        </w:rPr>
        <w:t xml:space="preserve"> crypto asset service providers</w:t>
      </w:r>
      <w:r w:rsidR="00C37034" w:rsidRPr="00067596">
        <w:rPr>
          <w:noProof/>
        </w:rPr>
        <w:t xml:space="preserve"> operating trading platforms for crypto-assets</w:t>
      </w:r>
      <w:r w:rsidR="00C37034" w:rsidRPr="00067596">
        <w:rPr>
          <w:rStyle w:val="FootnoteReference"/>
          <w:rFonts w:eastAsia="Calibri"/>
          <w:noProof/>
        </w:rPr>
        <w:footnoteReference w:id="9"/>
      </w:r>
      <w:r w:rsidR="006E7705" w:rsidRPr="00067596">
        <w:rPr>
          <w:noProof/>
        </w:rPr>
        <w:t>, large institutions</w:t>
      </w:r>
      <w:r w:rsidR="00970E5B" w:rsidRPr="00067596">
        <w:rPr>
          <w:rStyle w:val="FootnoteReference"/>
          <w:rFonts w:eastAsia="Calibri"/>
          <w:noProof/>
        </w:rPr>
        <w:footnoteReference w:id="10"/>
      </w:r>
      <w:r w:rsidR="006E7705" w:rsidRPr="00067596">
        <w:rPr>
          <w:noProof/>
        </w:rPr>
        <w:t xml:space="preserve">, </w:t>
      </w:r>
      <w:r w:rsidR="00FC2F86" w:rsidRPr="00067596">
        <w:rPr>
          <w:noProof/>
        </w:rPr>
        <w:t xml:space="preserve">global </w:t>
      </w:r>
      <w:r w:rsidR="006E7705" w:rsidRPr="00067596">
        <w:rPr>
          <w:noProof/>
        </w:rPr>
        <w:t xml:space="preserve">providers of specialised financial messaging services and </w:t>
      </w:r>
      <w:r w:rsidR="00FC2F86" w:rsidRPr="00067596">
        <w:rPr>
          <w:noProof/>
        </w:rPr>
        <w:t xml:space="preserve">designated </w:t>
      </w:r>
      <w:r w:rsidR="006E7705" w:rsidRPr="00067596">
        <w:rPr>
          <w:noProof/>
        </w:rPr>
        <w:t>critical ICT third-party service providers</w:t>
      </w:r>
      <w:r w:rsidR="00970E5B" w:rsidRPr="00067596">
        <w:rPr>
          <w:rStyle w:val="FootnoteReference"/>
          <w:rFonts w:eastAsia="Calibri"/>
          <w:noProof/>
        </w:rPr>
        <w:footnoteReference w:id="11"/>
      </w:r>
      <w:r w:rsidR="006E7705" w:rsidRPr="00067596">
        <w:rPr>
          <w:noProof/>
        </w:rPr>
        <w:t>.</w:t>
      </w:r>
    </w:p>
    <w:sectPr w:rsidR="0033124D" w:rsidRPr="00067596" w:rsidSect="008F617D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E3F1" w14:textId="77777777" w:rsidR="0086583F" w:rsidRDefault="0086583F" w:rsidP="00455B3D">
      <w:pPr>
        <w:spacing w:before="0" w:after="0"/>
      </w:pPr>
      <w:r>
        <w:separator/>
      </w:r>
    </w:p>
  </w:endnote>
  <w:endnote w:type="continuationSeparator" w:id="0">
    <w:p w14:paraId="23B1AB1D" w14:textId="77777777" w:rsidR="0086583F" w:rsidRDefault="0086583F" w:rsidP="00455B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5E82" w14:textId="23AA93A0" w:rsidR="008F617D" w:rsidRPr="008F617D" w:rsidRDefault="008F617D" w:rsidP="008F617D">
    <w:pPr>
      <w:pStyle w:val="Footer"/>
      <w:rPr>
        <w:rFonts w:ascii="Arial" w:hAnsi="Arial" w:cs="Arial"/>
        <w:b/>
        <w:sz w:val="48"/>
      </w:rPr>
    </w:pPr>
    <w:r w:rsidRPr="008F617D">
      <w:rPr>
        <w:rFonts w:ascii="Arial" w:hAnsi="Arial" w:cs="Arial"/>
        <w:b/>
        <w:sz w:val="48"/>
      </w:rPr>
      <w:t>EN</w:t>
    </w:r>
    <w:r w:rsidRPr="008F617D">
      <w:rPr>
        <w:rFonts w:ascii="Arial" w:hAnsi="Arial" w:cs="Arial"/>
        <w:b/>
        <w:sz w:val="48"/>
      </w:rPr>
      <w:tab/>
    </w:r>
    <w:r w:rsidRPr="008F617D">
      <w:rPr>
        <w:rFonts w:ascii="Arial" w:hAnsi="Arial" w:cs="Arial"/>
        <w:b/>
        <w:sz w:val="48"/>
      </w:rPr>
      <w:tab/>
    </w:r>
    <w:r w:rsidRPr="008F617D">
      <w:tab/>
    </w:r>
    <w:r w:rsidRPr="008F617D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0C05" w14:textId="1D2B63D5" w:rsidR="008F617D" w:rsidRPr="008F617D" w:rsidRDefault="008F617D" w:rsidP="008F617D">
    <w:pPr>
      <w:pStyle w:val="Footer"/>
      <w:rPr>
        <w:rFonts w:ascii="Arial" w:hAnsi="Arial" w:cs="Arial"/>
        <w:b/>
        <w:sz w:val="48"/>
      </w:rPr>
    </w:pPr>
    <w:r w:rsidRPr="008F617D">
      <w:rPr>
        <w:rFonts w:ascii="Arial" w:hAnsi="Arial" w:cs="Arial"/>
        <w:b/>
        <w:sz w:val="48"/>
      </w:rPr>
      <w:t>EN</w:t>
    </w:r>
    <w:r w:rsidRPr="008F617D">
      <w:rPr>
        <w:rFonts w:ascii="Arial" w:hAnsi="Arial" w:cs="Arial"/>
        <w:b/>
        <w:sz w:val="48"/>
      </w:rPr>
      <w:tab/>
    </w:r>
    <w:r w:rsidRPr="008F617D">
      <w:rPr>
        <w:rFonts w:ascii="Arial" w:hAnsi="Arial" w:cs="Arial"/>
        <w:b/>
        <w:sz w:val="48"/>
      </w:rPr>
      <w:tab/>
    </w:r>
    <w:r w:rsidRPr="008F617D">
      <w:tab/>
    </w:r>
    <w:r w:rsidRPr="008F617D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B3A0" w14:textId="77777777" w:rsidR="008F617D" w:rsidRPr="008F617D" w:rsidRDefault="008F617D" w:rsidP="008F61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1533" w14:textId="77777777" w:rsidR="008F617D" w:rsidRDefault="008F617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88823" w14:textId="10E41B77" w:rsidR="008F617D" w:rsidRPr="008F617D" w:rsidRDefault="008F617D" w:rsidP="008F617D">
    <w:pPr>
      <w:pStyle w:val="Footer"/>
      <w:rPr>
        <w:rFonts w:ascii="Arial" w:hAnsi="Arial" w:cs="Arial"/>
        <w:b/>
        <w:sz w:val="48"/>
      </w:rPr>
    </w:pPr>
    <w:r w:rsidRPr="008F617D">
      <w:rPr>
        <w:rFonts w:ascii="Arial" w:hAnsi="Arial" w:cs="Arial"/>
        <w:b/>
        <w:sz w:val="48"/>
      </w:rPr>
      <w:t>EN</w:t>
    </w:r>
    <w:r w:rsidRPr="008F617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8F617D">
      <w:tab/>
    </w:r>
    <w:r w:rsidRPr="008F617D">
      <w:rPr>
        <w:rFonts w:ascii="Arial" w:hAnsi="Arial" w:cs="Arial"/>
        <w:b/>
        <w:sz w:val="48"/>
      </w:rPr>
      <w:t>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4119" w14:textId="77777777" w:rsidR="008F617D" w:rsidRDefault="008F617D" w:rsidP="008F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E599" w14:textId="77777777" w:rsidR="0086583F" w:rsidRDefault="0086583F" w:rsidP="00455B3D">
      <w:pPr>
        <w:spacing w:before="0" w:after="0"/>
      </w:pPr>
      <w:r>
        <w:separator/>
      </w:r>
    </w:p>
  </w:footnote>
  <w:footnote w:type="continuationSeparator" w:id="0">
    <w:p w14:paraId="7D732449" w14:textId="77777777" w:rsidR="0086583F" w:rsidRDefault="0086583F" w:rsidP="00455B3D">
      <w:pPr>
        <w:spacing w:before="0" w:after="0"/>
      </w:pPr>
      <w:r>
        <w:continuationSeparator/>
      </w:r>
    </w:p>
  </w:footnote>
  <w:footnote w:id="1">
    <w:p w14:paraId="7E30D24A" w14:textId="77777777" w:rsidR="00FE50F6" w:rsidRPr="003A4F2D" w:rsidRDefault="00FE50F6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 w:rsidR="003A4F2D" w:rsidRPr="003A4F2D">
        <w:t>Regulation (EU) No 283/2014 is maintained in this Annex in view of Article 27(2) of Regulation (EU) 2021/1153 establishing the Connecting Europe Facility and repealing Regulations (EU) No 1316/2013 and (EU) No 283/2014.</w:t>
      </w:r>
    </w:p>
  </w:footnote>
  <w:footnote w:id="2">
    <w:p w14:paraId="32005C97" w14:textId="77777777" w:rsidR="00084711" w:rsidRPr="00084711" w:rsidRDefault="00084711">
      <w:pPr>
        <w:pStyle w:val="FootnoteText"/>
      </w:pPr>
      <w:r w:rsidRPr="003423BC">
        <w:rPr>
          <w:rStyle w:val="FootnoteReference"/>
        </w:rPr>
        <w:footnoteRef/>
      </w:r>
      <w:r w:rsidR="003423BC">
        <w:tab/>
      </w:r>
      <w:hyperlink r:id="rId1" w:history="1">
        <w:r w:rsidRPr="00B076A6">
          <w:rPr>
            <w:rStyle w:val="Hyperlink"/>
          </w:rPr>
          <w:t>https://competition-policy.ec.europa.eu/state-aid/ipcei/approved-ipceis_en</w:t>
        </w:r>
      </w:hyperlink>
      <w:r>
        <w:t xml:space="preserve"> </w:t>
      </w:r>
    </w:p>
  </w:footnote>
  <w:footnote w:id="3">
    <w:p w14:paraId="52ECE27F" w14:textId="77777777" w:rsidR="00866524" w:rsidRPr="00866524" w:rsidRDefault="00866524">
      <w:pPr>
        <w:pStyle w:val="FootnoteText"/>
      </w:pPr>
      <w:r w:rsidRPr="003423BC">
        <w:rPr>
          <w:rStyle w:val="FootnoteReference"/>
        </w:rPr>
        <w:footnoteRef/>
      </w:r>
      <w:r w:rsidR="003423BC">
        <w:tab/>
      </w:r>
      <w:r w:rsidR="00C654D5">
        <w:t xml:space="preserve">Union list of critical medicines </w:t>
      </w:r>
      <w:hyperlink r:id="rId2" w:anchor="ema-inpage-item-64278" w:history="1">
        <w:r w:rsidR="00C654D5" w:rsidRPr="00B076A6">
          <w:rPr>
            <w:rStyle w:val="Hyperlink"/>
          </w:rPr>
          <w:t>https://www.ema.europa.eu/en/human-regulatory-overview/post-authorisation/medicine-shortages-and-availability-issues/availability-critical-medicines#ema-inpage-item-64278</w:t>
        </w:r>
      </w:hyperlink>
      <w:r w:rsidR="00C654D5">
        <w:t xml:space="preserve"> </w:t>
      </w:r>
    </w:p>
  </w:footnote>
  <w:footnote w:id="4">
    <w:p w14:paraId="64BA1394" w14:textId="77777777" w:rsidR="006E7705" w:rsidRPr="006E7705" w:rsidRDefault="006E7705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 w:rsidRPr="006E7705">
        <w:t>Article 2(1) of Regulation (EU) No 648/2012 of the European Parliament and of the Council of 4 July 2012 on OTC derivatives, central counterparties and trade repositories</w:t>
      </w:r>
      <w:r>
        <w:t xml:space="preserve"> (</w:t>
      </w:r>
      <w:hyperlink r:id="rId3" w:history="1">
        <w:r w:rsidRPr="00666385">
          <w:rPr>
            <w:rStyle w:val="Hyperlink"/>
          </w:rPr>
          <w:t xml:space="preserve">OJ </w:t>
        </w:r>
        <w:r w:rsidR="00666385" w:rsidRPr="00666385">
          <w:rPr>
            <w:rStyle w:val="Hyperlink"/>
          </w:rPr>
          <w:t>L 201, 27.7.2012, p.1,</w:t>
        </w:r>
      </w:hyperlink>
      <w:r w:rsidR="00666385">
        <w:t xml:space="preserve"> ELI: </w:t>
      </w:r>
      <w:hyperlink r:id="rId4" w:tooltip="Gives access to this document through its ELI URI." w:history="1">
        <w:r w:rsidR="00666385" w:rsidRPr="00666385">
          <w:rPr>
            <w:rStyle w:val="Hyperlink"/>
          </w:rPr>
          <w:t>http://data.europa.eu/eli/reg/2012/648/oj</w:t>
        </w:r>
      </w:hyperlink>
      <w:r w:rsidR="00666385">
        <w:t xml:space="preserve">. </w:t>
      </w:r>
    </w:p>
  </w:footnote>
  <w:footnote w:id="5">
    <w:p w14:paraId="518DEEC1" w14:textId="77777777" w:rsidR="0071147F" w:rsidRPr="00666385" w:rsidRDefault="0071147F" w:rsidP="0071147F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 w:rsidRPr="00666385">
        <w:t xml:space="preserve">Article 4(7) </w:t>
      </w:r>
      <w:r>
        <w:t>and Art 4(4)</w:t>
      </w:r>
      <w:r w:rsidRPr="00666385">
        <w:t>of Directive (EU) 2015/2366 of the European Parliament and of the Council of 25 November 2015 on payment services in the internal market, amending Directives 2002/65/EC, 2009/110/EC and 2013/36/EU and Regulation (EU) No 1093/2010, and repealing Directive 2007/64/EC</w:t>
      </w:r>
      <w:r>
        <w:t xml:space="preserve"> (</w:t>
      </w:r>
      <w:hyperlink r:id="rId5" w:history="1">
        <w:r w:rsidRPr="00666385">
          <w:rPr>
            <w:rStyle w:val="Hyperlink"/>
          </w:rPr>
          <w:t xml:space="preserve">OJ L 337, 23.12.2015, p. 35, </w:t>
        </w:r>
      </w:hyperlink>
      <w:r>
        <w:t xml:space="preserve">ELI: </w:t>
      </w:r>
      <w:hyperlink r:id="rId6" w:tooltip="Gives access to this document through its ELI URI." w:history="1">
        <w:r w:rsidRPr="00666385">
          <w:rPr>
            <w:rStyle w:val="Hyperlink"/>
          </w:rPr>
          <w:t>http://data.europa.eu/eli/dir/2015/2366/oj</w:t>
        </w:r>
      </w:hyperlink>
      <w:r>
        <w:t xml:space="preserve"> </w:t>
      </w:r>
      <w:r w:rsidRPr="00666385">
        <w:t>.</w:t>
      </w:r>
    </w:p>
  </w:footnote>
  <w:footnote w:id="6">
    <w:p w14:paraId="4D0D41B9" w14:textId="77777777" w:rsidR="0071147F" w:rsidRPr="0071147F" w:rsidRDefault="0071147F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 w:rsidRPr="0071147F">
        <w:t>Article 2(1) of Directive 2009/110/EC of the European Parliament and of the Council of 16 September 2009 on the taking up, pursuit and prudential supervision of the business of electronic money institutions amending Directives 2005/60/EC and 2006/48/EC and repealing Directive 2000/46/EC</w:t>
      </w:r>
      <w:r>
        <w:t xml:space="preserve"> (</w:t>
      </w:r>
      <w:hyperlink r:id="rId7" w:history="1">
        <w:r w:rsidRPr="0071147F">
          <w:rPr>
            <w:rStyle w:val="Hyperlink"/>
          </w:rPr>
          <w:t>OJ L 267, 10.10.2009, p.7,</w:t>
        </w:r>
      </w:hyperlink>
      <w:r>
        <w:t xml:space="preserve"> ELI: </w:t>
      </w:r>
      <w:hyperlink r:id="rId8" w:tooltip="Gives access to this document through its ELI URI." w:history="1">
        <w:r w:rsidRPr="0071147F">
          <w:rPr>
            <w:rStyle w:val="Hyperlink"/>
          </w:rPr>
          <w:t>http://data.europa.eu/eli/dir/2009/110/oj</w:t>
        </w:r>
      </w:hyperlink>
      <w:r w:rsidRPr="0071147F">
        <w:t>.</w:t>
      </w:r>
    </w:p>
  </w:footnote>
  <w:footnote w:id="7">
    <w:p w14:paraId="109F275C" w14:textId="77777777" w:rsidR="0071147F" w:rsidRPr="0071147F" w:rsidRDefault="0071147F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 w:rsidRPr="0071147F">
        <w:t>Article 4(1)(18) of Directive 2014/65/EU of the European Parliament and of the Council of 15 May 2014 on markets in financial instruments and amending Directive 2002/92/EC and Directive 2011/61/EU</w:t>
      </w:r>
      <w:r w:rsidR="007E0B17">
        <w:t xml:space="preserve"> (</w:t>
      </w:r>
      <w:hyperlink r:id="rId9" w:history="1">
        <w:r w:rsidR="007E0B17" w:rsidRPr="007E0B17">
          <w:rPr>
            <w:rStyle w:val="Hyperlink"/>
          </w:rPr>
          <w:t>OJ L 173, 12.6.2014, p. 349,</w:t>
        </w:r>
      </w:hyperlink>
      <w:r w:rsidR="007E0B17">
        <w:t xml:space="preserve"> ELI: </w:t>
      </w:r>
      <w:hyperlink r:id="rId10" w:tooltip="Gives access to this document through its ELI URI." w:history="1">
        <w:r w:rsidR="007E0B17" w:rsidRPr="007E0B17">
          <w:rPr>
            <w:rStyle w:val="Hyperlink"/>
          </w:rPr>
          <w:t>http://data.europa.eu/eli/dir/2014/65/oj</w:t>
        </w:r>
      </w:hyperlink>
      <w:r w:rsidRPr="0071147F">
        <w:t>.</w:t>
      </w:r>
    </w:p>
  </w:footnote>
  <w:footnote w:id="8">
    <w:p w14:paraId="44B59D08" w14:textId="77777777" w:rsidR="00692DAC" w:rsidRPr="00692DAC" w:rsidRDefault="00692DAC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>
        <w:t xml:space="preserve">Article </w:t>
      </w:r>
      <w:r w:rsidRPr="00692DAC">
        <w:t>2(1)(1) of Regulation (EU) No 909/2014 of the European Parliament and of the Council of 23 July 2014 on improving securities settlement in the European Union and on central securities depositories and amending Directives 98/26/EC and 2014/65/EU and Regulation (EU) No 236/2012</w:t>
      </w:r>
      <w:r>
        <w:t xml:space="preserve"> (</w:t>
      </w:r>
      <w:hyperlink r:id="rId11" w:history="1">
        <w:r w:rsidRPr="00692DAC">
          <w:rPr>
            <w:rStyle w:val="Hyperlink"/>
          </w:rPr>
          <w:t>OJ L 257, 28.8.2014, p.1</w:t>
        </w:r>
      </w:hyperlink>
      <w:r>
        <w:t xml:space="preserve">, ELI: </w:t>
      </w:r>
      <w:hyperlink r:id="rId12" w:tooltip="Gives access to this document through its ELI URI." w:history="1">
        <w:r w:rsidRPr="00692DAC">
          <w:rPr>
            <w:rStyle w:val="Hyperlink"/>
          </w:rPr>
          <w:t>http://data.europa.eu/eli/reg/2014/909/oj</w:t>
        </w:r>
      </w:hyperlink>
      <w:r>
        <w:t>.</w:t>
      </w:r>
    </w:p>
  </w:footnote>
  <w:footnote w:id="9">
    <w:p w14:paraId="065626FC" w14:textId="77777777" w:rsidR="00C37034" w:rsidRPr="00C37034" w:rsidRDefault="00C37034">
      <w:pPr>
        <w:pStyle w:val="FootnoteText"/>
      </w:pPr>
      <w:r w:rsidRPr="003423BC">
        <w:rPr>
          <w:rStyle w:val="FootnoteReference"/>
        </w:rPr>
        <w:footnoteRef/>
      </w:r>
      <w:r w:rsidR="003423BC">
        <w:tab/>
      </w:r>
      <w:r w:rsidRPr="00F87665">
        <w:rPr>
          <w:lang w:val="en-IE"/>
        </w:rPr>
        <w:t>Articles 3(1)(6), 3(1)(7) and 3(1)(10), 3(1)(15)</w:t>
      </w:r>
      <w:r>
        <w:rPr>
          <w:lang w:val="en-IE"/>
        </w:rPr>
        <w:t xml:space="preserve"> and </w:t>
      </w:r>
      <w:r w:rsidRPr="00F87665">
        <w:rPr>
          <w:lang w:val="en-IE"/>
        </w:rPr>
        <w:t>Article 3(1)(18) of Regulation (EU) 2023/1114 of the European Parliament and of the Council of 31 May 2023 on markets in crypto-assets, and amending Regulations (EU) No 1093/2010 and (EU) No 1095/2010 and Directives 2013/36/EU and (EU) 2019/1937</w:t>
      </w:r>
      <w:r>
        <w:rPr>
          <w:lang w:val="en-IE"/>
        </w:rPr>
        <w:t xml:space="preserve"> (</w:t>
      </w:r>
      <w:hyperlink r:id="rId13" w:history="1">
        <w:r w:rsidRPr="00C37034">
          <w:rPr>
            <w:rStyle w:val="Hyperlink"/>
            <w:lang w:val="en-IE"/>
          </w:rPr>
          <w:t>OJ L 150, 9.6.2023, p.40</w:t>
        </w:r>
      </w:hyperlink>
      <w:r>
        <w:rPr>
          <w:lang w:val="en-IE"/>
        </w:rPr>
        <w:t>, ELI:</w:t>
      </w:r>
      <w:r w:rsidRPr="00C37034">
        <w:rPr>
          <w:sz w:val="24"/>
          <w:szCs w:val="22"/>
        </w:rPr>
        <w:t xml:space="preserve"> </w:t>
      </w:r>
      <w:hyperlink r:id="rId14" w:tooltip="Gives access to this document through its ELI URI." w:history="1">
        <w:r w:rsidRPr="00C37034">
          <w:rPr>
            <w:rStyle w:val="Hyperlink"/>
          </w:rPr>
          <w:t>http://data.europa.eu/eli/reg/2023/1114/oj</w:t>
        </w:r>
      </w:hyperlink>
      <w:r>
        <w:rPr>
          <w:lang w:val="en-IE"/>
        </w:rPr>
        <w:t xml:space="preserve">. </w:t>
      </w:r>
    </w:p>
  </w:footnote>
  <w:footnote w:id="10">
    <w:p w14:paraId="32223451" w14:textId="77777777" w:rsidR="00970E5B" w:rsidRPr="00970E5B" w:rsidRDefault="00970E5B">
      <w:pPr>
        <w:pStyle w:val="FootnoteText"/>
        <w:rPr>
          <w:lang w:val="en-IE"/>
        </w:rPr>
      </w:pPr>
      <w:r w:rsidRPr="003423BC">
        <w:rPr>
          <w:rStyle w:val="FootnoteReference"/>
        </w:rPr>
        <w:footnoteRef/>
      </w:r>
      <w:r w:rsidR="003423BC">
        <w:tab/>
      </w:r>
      <w:r>
        <w:t xml:space="preserve">Article </w:t>
      </w:r>
      <w:r w:rsidRPr="00970E5B">
        <w:t>4(1)(146) of Regulation (EU) No 575/2013 of the European Parliament and of the Council of 26 June 2013 on prudential requirements for credit institutions and amending Regulation (EU) No 648/2012</w:t>
      </w:r>
      <w:r>
        <w:t xml:space="preserve"> (</w:t>
      </w:r>
      <w:hyperlink r:id="rId15" w:history="1">
        <w:r w:rsidRPr="00970E5B">
          <w:rPr>
            <w:rStyle w:val="Hyperlink"/>
          </w:rPr>
          <w:t>OJ L 176, 27.6.2013, p.1</w:t>
        </w:r>
      </w:hyperlink>
      <w:r>
        <w:t xml:space="preserve">, ELI: </w:t>
      </w:r>
      <w:hyperlink r:id="rId16" w:tooltip="Gives access to this document through its ELI URI." w:history="1">
        <w:r w:rsidRPr="00970E5B">
          <w:rPr>
            <w:rStyle w:val="Hyperlink"/>
          </w:rPr>
          <w:t>http://data.europa.eu/eli/reg/2013/575/oj</w:t>
        </w:r>
      </w:hyperlink>
      <w:r>
        <w:t>.</w:t>
      </w:r>
    </w:p>
  </w:footnote>
  <w:footnote w:id="11">
    <w:p w14:paraId="653DC5B0" w14:textId="77777777" w:rsidR="00A01FFD" w:rsidRDefault="00970E5B" w:rsidP="00293738">
      <w:pPr>
        <w:pStyle w:val="FootnoteText"/>
      </w:pPr>
      <w:r w:rsidRPr="005A39C7">
        <w:rPr>
          <w:rStyle w:val="FootnoteReference"/>
        </w:rPr>
        <w:footnoteRef/>
      </w:r>
      <w:r w:rsidR="003423BC" w:rsidRPr="007D69E5">
        <w:tab/>
      </w:r>
      <w:r w:rsidRPr="007D69E5">
        <w:rPr>
          <w:lang w:val="en-IE"/>
        </w:rPr>
        <w:t>Article 3(23) of Regulation (EU) 2022/2554 of the European Parliament and of the Council of 14 December 2022 on digital operational resilience for the financial sector and amending Regulations (EC) No 1060/2009, (EU) No 648/2012, (EU) No 600/2014, (EU) No 909/2014 and (EU) 2016/1011 (</w:t>
      </w:r>
      <w:hyperlink r:id="rId17" w:history="1">
        <w:r w:rsidRPr="007D69E5">
          <w:rPr>
            <w:rStyle w:val="Hyperlink"/>
            <w:lang w:val="en-IE"/>
          </w:rPr>
          <w:t>OJ L 333, 27.12.2022, p.1</w:t>
        </w:r>
      </w:hyperlink>
      <w:r w:rsidRPr="007D69E5">
        <w:rPr>
          <w:lang w:val="en-IE"/>
        </w:rPr>
        <w:t xml:space="preserve">, ELI: </w:t>
      </w:r>
      <w:hyperlink r:id="rId18" w:tooltip="Gives access to this document through its ELI URI." w:history="1">
        <w:r w:rsidRPr="007D69E5">
          <w:rPr>
            <w:rStyle w:val="Hyperlink"/>
          </w:rPr>
          <w:t>http://data.europa.eu/eli/reg/2022/2554/oj</w:t>
        </w:r>
      </w:hyperlink>
      <w:r w:rsidRPr="007D69E5">
        <w:rPr>
          <w:lang w:val="en-IE"/>
        </w:rPr>
        <w:t>.</w:t>
      </w: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6E75" w14:textId="77777777" w:rsidR="008F617D" w:rsidRPr="008F617D" w:rsidRDefault="008F617D" w:rsidP="008F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8FCF0" w14:textId="77777777" w:rsidR="008F617D" w:rsidRPr="008F617D" w:rsidRDefault="008F617D" w:rsidP="008F6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A26B" w14:textId="77777777" w:rsidR="008F617D" w:rsidRPr="008F617D" w:rsidRDefault="008F617D" w:rsidP="008F61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7D41" w14:textId="77777777" w:rsidR="008F617D" w:rsidRDefault="008F61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E20B" w14:textId="77777777" w:rsidR="008F617D" w:rsidRDefault="008F6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35CF6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2E625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B48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4A2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8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7"/>
  </w:num>
  <w:num w:numId="16">
    <w:abstractNumId w:val="4"/>
  </w:num>
  <w:num w:numId="17">
    <w:abstractNumId w:val="11"/>
  </w:num>
  <w:num w:numId="18">
    <w:abstractNumId w:val="14"/>
  </w:num>
  <w:num w:numId="19">
    <w:abstractNumId w:val="15"/>
  </w:num>
  <w:num w:numId="20">
    <w:abstractNumId w:val="6"/>
  </w:num>
  <w:num w:numId="21">
    <w:abstractNumId w:val="13"/>
  </w:num>
  <w:num w:numId="22">
    <w:abstractNumId w:val="19"/>
  </w:num>
  <w:num w:numId="23">
    <w:abstractNumId w:val="16"/>
  </w:num>
  <w:num w:numId="24">
    <w:abstractNumId w:val="8"/>
  </w:num>
  <w:num w:numId="25">
    <w:abstractNumId w:val="18"/>
  </w:num>
  <w:num w:numId="26">
    <w:abstractNumId w:val="7"/>
  </w:num>
  <w:num w:numId="27">
    <w:abstractNumId w:val="9"/>
  </w:num>
  <w:num w:numId="28">
    <w:abstractNumId w:val="10"/>
  </w:num>
  <w:num w:numId="29">
    <w:abstractNumId w:val="5"/>
  </w:num>
  <w:num w:numId="30">
    <w:abstractNumId w:val="17"/>
  </w:num>
  <w:num w:numId="31">
    <w:abstractNumId w:val="4"/>
  </w:num>
  <w:num w:numId="32">
    <w:abstractNumId w:val="11"/>
  </w:num>
  <w:num w:numId="33">
    <w:abstractNumId w:val="14"/>
  </w:num>
  <w:num w:numId="34">
    <w:abstractNumId w:val="15"/>
  </w:num>
  <w:num w:numId="35">
    <w:abstractNumId w:val="6"/>
  </w:num>
  <w:num w:numId="36">
    <w:abstractNumId w:val="13"/>
  </w:num>
  <w:num w:numId="3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1-18 11:31:4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5DE0D52F-8339-41A4-A1CA-13DCED8DA856"/>
    <w:docVar w:name="LW_COVERPAGE_TYPE" w:val="1"/>
    <w:docVar w:name="LW_CROSSREFERENCE" w:val="{SWD(2024) 23 final} - {SWD(2024) 24 final}"/>
    <w:docVar w:name="LW_DocType" w:val="ANNEX"/>
    <w:docVar w:name="LW_EMISSION" w:val="24.1.2024"/>
    <w:docVar w:name="LW_EMISSION_ISODATE" w:val="2024-01-24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1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on the screening of foreign investments in the Union and repealing Regulation (EU) 2019/452 of the European Parliament and of the Council"/>
    <w:docVar w:name="LW_OBJETACTEPRINCIPAL.CP" w:val="on the screening of foreign investments in the Union and repealing Regulation (EU) 2019/452 of the European Parliament and of the Council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4) 2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ES"/>
    <w:docVar w:name="LW_TYPE.DOC.CP" w:val="ANNEXES"/>
    <w:docVar w:name="LW_TYPEACTEPRINCIPAL" w:val="Proposal for a Regulation of the European Parliament and of the Council"/>
    <w:docVar w:name="LW_TYPEACTEPRINCIPAL.CP" w:val="Proposal for a Regulation of the European Parliament and of the Council"/>
    <w:docVar w:name="LwApiVersions" w:val="LW4CoDe 1.24.4.0; LW 9.0, Build 20240109"/>
  </w:docVars>
  <w:rsids>
    <w:rsidRoot w:val="00455B3D"/>
    <w:rsid w:val="0001013B"/>
    <w:rsid w:val="00016544"/>
    <w:rsid w:val="0004535A"/>
    <w:rsid w:val="0004777D"/>
    <w:rsid w:val="00061791"/>
    <w:rsid w:val="00064236"/>
    <w:rsid w:val="00067596"/>
    <w:rsid w:val="00072CD2"/>
    <w:rsid w:val="00084248"/>
    <w:rsid w:val="00084711"/>
    <w:rsid w:val="00087377"/>
    <w:rsid w:val="000D13E7"/>
    <w:rsid w:val="00115BA3"/>
    <w:rsid w:val="0012180F"/>
    <w:rsid w:val="00144C86"/>
    <w:rsid w:val="00161A4E"/>
    <w:rsid w:val="00165C4F"/>
    <w:rsid w:val="0019366C"/>
    <w:rsid w:val="001A1E4B"/>
    <w:rsid w:val="001A2C88"/>
    <w:rsid w:val="001A5EC1"/>
    <w:rsid w:val="001B0211"/>
    <w:rsid w:val="001D4428"/>
    <w:rsid w:val="001F343E"/>
    <w:rsid w:val="00215295"/>
    <w:rsid w:val="00227599"/>
    <w:rsid w:val="0023033B"/>
    <w:rsid w:val="0023283B"/>
    <w:rsid w:val="00236492"/>
    <w:rsid w:val="0024053E"/>
    <w:rsid w:val="002476A7"/>
    <w:rsid w:val="002519D8"/>
    <w:rsid w:val="00260D9F"/>
    <w:rsid w:val="00277BB2"/>
    <w:rsid w:val="00280547"/>
    <w:rsid w:val="00293738"/>
    <w:rsid w:val="002943EE"/>
    <w:rsid w:val="002A7CE4"/>
    <w:rsid w:val="002B4EAD"/>
    <w:rsid w:val="002B6651"/>
    <w:rsid w:val="002C40B3"/>
    <w:rsid w:val="002C71A1"/>
    <w:rsid w:val="002F1E28"/>
    <w:rsid w:val="00300227"/>
    <w:rsid w:val="00311975"/>
    <w:rsid w:val="0033124D"/>
    <w:rsid w:val="00331FA9"/>
    <w:rsid w:val="00336D4D"/>
    <w:rsid w:val="003402CF"/>
    <w:rsid w:val="00341364"/>
    <w:rsid w:val="00341AB3"/>
    <w:rsid w:val="003423BC"/>
    <w:rsid w:val="00342BD4"/>
    <w:rsid w:val="00353B9B"/>
    <w:rsid w:val="00354A2D"/>
    <w:rsid w:val="00367DF7"/>
    <w:rsid w:val="003766B3"/>
    <w:rsid w:val="00385235"/>
    <w:rsid w:val="0039157F"/>
    <w:rsid w:val="003A1473"/>
    <w:rsid w:val="003A2655"/>
    <w:rsid w:val="003A3AB5"/>
    <w:rsid w:val="003A4F2D"/>
    <w:rsid w:val="003A6BAC"/>
    <w:rsid w:val="003B520E"/>
    <w:rsid w:val="003E4DBA"/>
    <w:rsid w:val="004461AA"/>
    <w:rsid w:val="00455B3D"/>
    <w:rsid w:val="00460084"/>
    <w:rsid w:val="00482747"/>
    <w:rsid w:val="00492EB7"/>
    <w:rsid w:val="004A51A6"/>
    <w:rsid w:val="004B6E57"/>
    <w:rsid w:val="004C1C56"/>
    <w:rsid w:val="004C1D3C"/>
    <w:rsid w:val="004E496D"/>
    <w:rsid w:val="004F4A03"/>
    <w:rsid w:val="004F5875"/>
    <w:rsid w:val="00500308"/>
    <w:rsid w:val="00502CE8"/>
    <w:rsid w:val="00533259"/>
    <w:rsid w:val="0057540E"/>
    <w:rsid w:val="00593E82"/>
    <w:rsid w:val="005A14E1"/>
    <w:rsid w:val="005A39C7"/>
    <w:rsid w:val="005B068B"/>
    <w:rsid w:val="005B19E5"/>
    <w:rsid w:val="005D230A"/>
    <w:rsid w:val="005D4DB0"/>
    <w:rsid w:val="005D69D2"/>
    <w:rsid w:val="005F22B9"/>
    <w:rsid w:val="005F52D7"/>
    <w:rsid w:val="00600C4E"/>
    <w:rsid w:val="00626E37"/>
    <w:rsid w:val="00630F18"/>
    <w:rsid w:val="00640900"/>
    <w:rsid w:val="0066433C"/>
    <w:rsid w:val="00666385"/>
    <w:rsid w:val="006904F5"/>
    <w:rsid w:val="00692DAC"/>
    <w:rsid w:val="0069630F"/>
    <w:rsid w:val="006A23D4"/>
    <w:rsid w:val="006A6BCB"/>
    <w:rsid w:val="006B52AE"/>
    <w:rsid w:val="006E04F9"/>
    <w:rsid w:val="006E7705"/>
    <w:rsid w:val="007103AE"/>
    <w:rsid w:val="0071147F"/>
    <w:rsid w:val="00713189"/>
    <w:rsid w:val="00715E1E"/>
    <w:rsid w:val="00724839"/>
    <w:rsid w:val="007435FA"/>
    <w:rsid w:val="007673C8"/>
    <w:rsid w:val="00767617"/>
    <w:rsid w:val="007804D5"/>
    <w:rsid w:val="00782F50"/>
    <w:rsid w:val="007B5A64"/>
    <w:rsid w:val="007C44FF"/>
    <w:rsid w:val="007D24C0"/>
    <w:rsid w:val="007D69E5"/>
    <w:rsid w:val="007E0B17"/>
    <w:rsid w:val="007E16C9"/>
    <w:rsid w:val="007E1826"/>
    <w:rsid w:val="007F5662"/>
    <w:rsid w:val="0081471F"/>
    <w:rsid w:val="00820D44"/>
    <w:rsid w:val="008412DB"/>
    <w:rsid w:val="00845A15"/>
    <w:rsid w:val="0086583F"/>
    <w:rsid w:val="00866524"/>
    <w:rsid w:val="00867CE1"/>
    <w:rsid w:val="00870A96"/>
    <w:rsid w:val="00873A11"/>
    <w:rsid w:val="00873B81"/>
    <w:rsid w:val="00875E16"/>
    <w:rsid w:val="008846F9"/>
    <w:rsid w:val="008C2ED0"/>
    <w:rsid w:val="008D6398"/>
    <w:rsid w:val="008E3400"/>
    <w:rsid w:val="008F617D"/>
    <w:rsid w:val="00905D22"/>
    <w:rsid w:val="00907F22"/>
    <w:rsid w:val="009543CF"/>
    <w:rsid w:val="0095642D"/>
    <w:rsid w:val="009625AB"/>
    <w:rsid w:val="00970E5B"/>
    <w:rsid w:val="00991DF8"/>
    <w:rsid w:val="00994BAB"/>
    <w:rsid w:val="009B19C3"/>
    <w:rsid w:val="009C1A89"/>
    <w:rsid w:val="009C2916"/>
    <w:rsid w:val="009C383F"/>
    <w:rsid w:val="009C6A69"/>
    <w:rsid w:val="009E7623"/>
    <w:rsid w:val="009F080E"/>
    <w:rsid w:val="009F2018"/>
    <w:rsid w:val="00A00C97"/>
    <w:rsid w:val="00A01FFD"/>
    <w:rsid w:val="00A03596"/>
    <w:rsid w:val="00A23985"/>
    <w:rsid w:val="00A27E20"/>
    <w:rsid w:val="00A3199E"/>
    <w:rsid w:val="00A51C8B"/>
    <w:rsid w:val="00A6243B"/>
    <w:rsid w:val="00A71F6D"/>
    <w:rsid w:val="00A86E0A"/>
    <w:rsid w:val="00AA4ADB"/>
    <w:rsid w:val="00AB2923"/>
    <w:rsid w:val="00AD5E3D"/>
    <w:rsid w:val="00B03B09"/>
    <w:rsid w:val="00B07289"/>
    <w:rsid w:val="00B11E4B"/>
    <w:rsid w:val="00B22390"/>
    <w:rsid w:val="00B34E95"/>
    <w:rsid w:val="00B40DFC"/>
    <w:rsid w:val="00B6793E"/>
    <w:rsid w:val="00BA4F3C"/>
    <w:rsid w:val="00BA79F9"/>
    <w:rsid w:val="00BB30BC"/>
    <w:rsid w:val="00BC352B"/>
    <w:rsid w:val="00BF0CED"/>
    <w:rsid w:val="00C04E94"/>
    <w:rsid w:val="00C14EB2"/>
    <w:rsid w:val="00C173B2"/>
    <w:rsid w:val="00C22B0B"/>
    <w:rsid w:val="00C25B26"/>
    <w:rsid w:val="00C27DC3"/>
    <w:rsid w:val="00C3452F"/>
    <w:rsid w:val="00C37034"/>
    <w:rsid w:val="00C533C9"/>
    <w:rsid w:val="00C654D5"/>
    <w:rsid w:val="00C7128D"/>
    <w:rsid w:val="00C73BEE"/>
    <w:rsid w:val="00C953CA"/>
    <w:rsid w:val="00CA00F7"/>
    <w:rsid w:val="00CA1388"/>
    <w:rsid w:val="00CA4D8A"/>
    <w:rsid w:val="00CE6552"/>
    <w:rsid w:val="00CF2C7B"/>
    <w:rsid w:val="00D01387"/>
    <w:rsid w:val="00D17E93"/>
    <w:rsid w:val="00D23DB5"/>
    <w:rsid w:val="00D328C4"/>
    <w:rsid w:val="00D33986"/>
    <w:rsid w:val="00D34AC4"/>
    <w:rsid w:val="00D371B7"/>
    <w:rsid w:val="00D62584"/>
    <w:rsid w:val="00D73266"/>
    <w:rsid w:val="00D94B7E"/>
    <w:rsid w:val="00DA07A4"/>
    <w:rsid w:val="00DA32BC"/>
    <w:rsid w:val="00DB2B6E"/>
    <w:rsid w:val="00DB5BC2"/>
    <w:rsid w:val="00DC2EA0"/>
    <w:rsid w:val="00E021ED"/>
    <w:rsid w:val="00E128B5"/>
    <w:rsid w:val="00E14A08"/>
    <w:rsid w:val="00E209ED"/>
    <w:rsid w:val="00E27AA6"/>
    <w:rsid w:val="00E3057E"/>
    <w:rsid w:val="00E307C8"/>
    <w:rsid w:val="00E36985"/>
    <w:rsid w:val="00E52FDD"/>
    <w:rsid w:val="00E62AFA"/>
    <w:rsid w:val="00E70C38"/>
    <w:rsid w:val="00E8728D"/>
    <w:rsid w:val="00E90883"/>
    <w:rsid w:val="00EA4E87"/>
    <w:rsid w:val="00EB3E49"/>
    <w:rsid w:val="00EC25C5"/>
    <w:rsid w:val="00EC4D84"/>
    <w:rsid w:val="00EC7323"/>
    <w:rsid w:val="00ED03F6"/>
    <w:rsid w:val="00ED702B"/>
    <w:rsid w:val="00EE7A21"/>
    <w:rsid w:val="00F00FDE"/>
    <w:rsid w:val="00F142C5"/>
    <w:rsid w:val="00F32AA1"/>
    <w:rsid w:val="00F4174B"/>
    <w:rsid w:val="00F439C7"/>
    <w:rsid w:val="00F43C97"/>
    <w:rsid w:val="00F51773"/>
    <w:rsid w:val="00F60295"/>
    <w:rsid w:val="00F660C7"/>
    <w:rsid w:val="00F7024E"/>
    <w:rsid w:val="00F82260"/>
    <w:rsid w:val="00FA2B99"/>
    <w:rsid w:val="00FA3ABC"/>
    <w:rsid w:val="00FC2F86"/>
    <w:rsid w:val="00FE50F6"/>
    <w:rsid w:val="00FE6FB0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4B4363"/>
  <w15:docId w15:val="{89E267E1-DF5C-46D1-845F-198C7C1E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991DF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1DF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DF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DF8"/>
    <w:pPr>
      <w:numPr>
        <w:numId w:val="4"/>
      </w:numPr>
      <w:contextualSpacing/>
    </w:pPr>
  </w:style>
  <w:style w:type="character" w:styleId="Hyperlink">
    <w:name w:val="Hyperlink"/>
    <w:uiPriority w:val="99"/>
    <w:rsid w:val="00991DF8"/>
    <w:rPr>
      <w:color w:val="0000FF"/>
      <w:u w:val="single"/>
    </w:rPr>
  </w:style>
  <w:style w:type="paragraph" w:styleId="ListNumber4">
    <w:name w:val="List Number 4"/>
    <w:basedOn w:val="Normal"/>
    <w:rsid w:val="00991DF8"/>
    <w:pPr>
      <w:numPr>
        <w:numId w:val="5"/>
      </w:numPr>
    </w:pPr>
    <w:rPr>
      <w:rFonts w:eastAsia="Times New Roman"/>
      <w:lang w:val="fr-FR" w:eastAsia="en-GB"/>
    </w:rPr>
  </w:style>
  <w:style w:type="paragraph" w:customStyle="1" w:styleId="ListNumber4Level2">
    <w:name w:val="List Number 4 (Level 2)"/>
    <w:basedOn w:val="Text4"/>
    <w:rsid w:val="00991DF8"/>
    <w:pPr>
      <w:numPr>
        <w:ilvl w:val="1"/>
        <w:numId w:val="5"/>
      </w:numPr>
    </w:pPr>
    <w:rPr>
      <w:rFonts w:eastAsia="Times New Roman"/>
      <w:lang w:val="fr-FR" w:eastAsia="en-GB"/>
    </w:rPr>
  </w:style>
  <w:style w:type="paragraph" w:customStyle="1" w:styleId="ListNumber4Level3">
    <w:name w:val="List Number 4 (Level 3)"/>
    <w:basedOn w:val="Text4"/>
    <w:rsid w:val="00991DF8"/>
    <w:pPr>
      <w:numPr>
        <w:ilvl w:val="2"/>
        <w:numId w:val="5"/>
      </w:numPr>
    </w:pPr>
    <w:rPr>
      <w:rFonts w:eastAsia="Times New Roman"/>
      <w:lang w:val="fr-FR" w:eastAsia="en-GB"/>
    </w:rPr>
  </w:style>
  <w:style w:type="paragraph" w:customStyle="1" w:styleId="ListNumber4Level4">
    <w:name w:val="List Number 4 (Level 4)"/>
    <w:basedOn w:val="Text4"/>
    <w:rsid w:val="00991DF8"/>
    <w:pPr>
      <w:numPr>
        <w:ilvl w:val="3"/>
        <w:numId w:val="5"/>
      </w:numPr>
    </w:pPr>
    <w:rPr>
      <w:rFonts w:eastAsia="Times New Roman"/>
      <w:lang w:val="fr-FR" w:eastAsia="en-GB"/>
    </w:rPr>
  </w:style>
  <w:style w:type="character" w:styleId="CommentReference">
    <w:name w:val="annotation reference"/>
    <w:rsid w:val="00991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91DF8"/>
    <w:rPr>
      <w:rFonts w:eastAsia="Times New Roman"/>
      <w:sz w:val="20"/>
      <w:szCs w:val="20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991DF8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customStyle="1" w:styleId="oj-ti-grseq-1">
    <w:name w:val="oj-ti-grseq-1"/>
    <w:basedOn w:val="Normal"/>
    <w:rsid w:val="00991DF8"/>
    <w:pPr>
      <w:spacing w:before="100" w:beforeAutospacing="1" w:after="100" w:afterAutospacing="1"/>
      <w:jc w:val="left"/>
    </w:pPr>
    <w:rPr>
      <w:rFonts w:eastAsia="Times New Roman"/>
      <w:szCs w:val="24"/>
      <w:lang w:val="en-IE" w:eastAsia="en-IE"/>
    </w:rPr>
  </w:style>
  <w:style w:type="character" w:customStyle="1" w:styleId="oj-bold">
    <w:name w:val="oj-bold"/>
    <w:basedOn w:val="DefaultParagraphFont"/>
    <w:rsid w:val="00991DF8"/>
  </w:style>
  <w:style w:type="character" w:customStyle="1" w:styleId="oj-super">
    <w:name w:val="oj-super"/>
    <w:basedOn w:val="DefaultParagraphFont"/>
    <w:rsid w:val="00991DF8"/>
  </w:style>
  <w:style w:type="paragraph" w:customStyle="1" w:styleId="oj-normal">
    <w:name w:val="oj-normal"/>
    <w:basedOn w:val="Normal"/>
    <w:rsid w:val="00991DF8"/>
    <w:pPr>
      <w:spacing w:before="100" w:beforeAutospacing="1" w:after="100" w:afterAutospacing="1"/>
      <w:jc w:val="left"/>
    </w:pPr>
    <w:rPr>
      <w:rFonts w:eastAsia="Times New Roman"/>
      <w:szCs w:val="24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3E"/>
    <w:rPr>
      <w:rFonts w:eastAsiaTheme="minorHAns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3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9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03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2C7B"/>
    <w:pPr>
      <w:ind w:left="720"/>
      <w:contextualSpacing/>
    </w:pPr>
  </w:style>
  <w:style w:type="paragraph" w:styleId="Revision">
    <w:name w:val="Revision"/>
    <w:hidden/>
    <w:uiPriority w:val="99"/>
    <w:semiHidden/>
    <w:rsid w:val="00B03B0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Emphasis">
    <w:name w:val="Emphasis"/>
    <w:basedOn w:val="DefaultParagraphFont"/>
    <w:uiPriority w:val="20"/>
    <w:qFormat/>
    <w:rsid w:val="00E8728D"/>
    <w:rPr>
      <w:i/>
      <w:iCs/>
    </w:r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character" w:customStyle="1" w:styleId="HeaderChar">
    <w:name w:val="Header Char"/>
    <w:basedOn w:val="DefaultParagraphFont"/>
    <w:link w:val="Header"/>
    <w:uiPriority w:val="99"/>
    <w:rsid w:val="008F617D"/>
    <w:rPr>
      <w:rFonts w:ascii="Times New Roman" w:hAnsi="Times New Roman" w:cs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F617D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8F61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8F617D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8F61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0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0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Tiret5">
    <w:name w:val="Tiret 5"/>
    <w:basedOn w:val="Point5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9"/>
      </w:numPr>
    </w:pPr>
  </w:style>
  <w:style w:type="paragraph" w:customStyle="1" w:styleId="ManualNumPar10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F617D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8F617D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8F617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8F617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eur-lex.europa.eu/legal-content/EN/AUTO/?uri=OJ:L:2018:193:TOC" TargetMode="External"/><Relationship Id="rId26" Type="http://schemas.openxmlformats.org/officeDocument/2006/relationships/hyperlink" Target="http://data.europa.eu/eli/reg/2013/1291/oj" TargetMode="External"/><Relationship Id="rId39" Type="http://schemas.openxmlformats.org/officeDocument/2006/relationships/hyperlink" Target="https://eur-lex.europa.eu/legal-content/EN/AUTO/?uri=OJ:L:2021:166:TOC" TargetMode="External"/><Relationship Id="rId21" Type="http://schemas.openxmlformats.org/officeDocument/2006/relationships/hyperlink" Target="http://data.europa.eu/eli/reg/2021/696/oj" TargetMode="External"/><Relationship Id="rId34" Type="http://schemas.openxmlformats.org/officeDocument/2006/relationships/hyperlink" Target="http://data.europa.eu/eli/reg/2013/347/oj" TargetMode="External"/><Relationship Id="rId42" Type="http://schemas.openxmlformats.org/officeDocument/2006/relationships/hyperlink" Target="https://eur-lex.europa.eu/legal-content/EN/AUTO/?uri=OJ:L:2018:193:TOC" TargetMode="External"/><Relationship Id="rId47" Type="http://schemas.openxmlformats.org/officeDocument/2006/relationships/hyperlink" Target="http://data.europa.eu/eli/reg/2023/1525/oj" TargetMode="External"/><Relationship Id="rId50" Type="http://schemas.openxmlformats.org/officeDocument/2006/relationships/hyperlink" Target="http://data.europa.eu/eli/dec/2018/340/oj" TargetMode="External"/><Relationship Id="rId55" Type="http://schemas.openxmlformats.org/officeDocument/2006/relationships/hyperlink" Target="https://eur-lex.europa.eu/legal-content/EN/AUTO/?uri=OJ:L:2021:107:TOC" TargetMode="External"/><Relationship Id="rId63" Type="http://schemas.openxmlformats.org/officeDocument/2006/relationships/hyperlink" Target="https://www.ema.europa.eu/en/human-regulatory-overview/post-authorisation/medicine-shortages-and-availability-issues/availability-critical-medicin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eur-lex.europa.eu/legal-content/EN/AUTO/?uri=OJ:L:2021:170:TOC" TargetMode="External"/><Relationship Id="rId29" Type="http://schemas.openxmlformats.org/officeDocument/2006/relationships/hyperlink" Target="https://eur-lex.europa.eu/legal-content/EN/AUTO/?uri=OJ:L:2021:167I:TOC" TargetMode="External"/><Relationship Id="rId41" Type="http://schemas.openxmlformats.org/officeDocument/2006/relationships/hyperlink" Target="https://eur-lex.europa.eu/legal-content/EN/AUTO/?uri=OJ:L:2018:200:TOC" TargetMode="External"/><Relationship Id="rId54" Type="http://schemas.openxmlformats.org/officeDocument/2006/relationships/hyperlink" Target="http://data.europa.eu/eli/dec/2007/198/oj" TargetMode="External"/><Relationship Id="rId62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://data.europa.eu/eli/reg/2023/588/oj" TargetMode="External"/><Relationship Id="rId32" Type="http://schemas.openxmlformats.org/officeDocument/2006/relationships/hyperlink" Target="http://data.europa.eu/eli/reg/2013/1315/oj" TargetMode="External"/><Relationship Id="rId37" Type="http://schemas.openxmlformats.org/officeDocument/2006/relationships/hyperlink" Target="https://eur-lex.europa.eu/legal-content/EN/AUTO/?uri=OJ:L:2021:249:TOC" TargetMode="External"/><Relationship Id="rId40" Type="http://schemas.openxmlformats.org/officeDocument/2006/relationships/hyperlink" Target="http://data.europa.eu/eli/reg/2021/694/oj" TargetMode="External"/><Relationship Id="rId45" Type="http://schemas.openxmlformats.org/officeDocument/2006/relationships/hyperlink" Target="http://data.europa.eu/eli/reg/2021/697/oj" TargetMode="External"/><Relationship Id="rId53" Type="http://schemas.openxmlformats.org/officeDocument/2006/relationships/hyperlink" Target="https://eur-lex.europa.eu/legal-content/EN/AUTO/?uri=OJ:L:2007:090:TOC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ur-lex.europa.eu/legal-content/EN/TXT/?uri=OJ:L:2023:079:TOC" TargetMode="External"/><Relationship Id="rId28" Type="http://schemas.openxmlformats.org/officeDocument/2006/relationships/hyperlink" Target="http://data.europa.eu/eli/reg/2021/695/oj" TargetMode="External"/><Relationship Id="rId36" Type="http://schemas.openxmlformats.org/officeDocument/2006/relationships/hyperlink" Target="http://data.europa.eu/eli/reg/2014/283/oj" TargetMode="External"/><Relationship Id="rId49" Type="http://schemas.openxmlformats.org/officeDocument/2006/relationships/hyperlink" Target="https://eur-lex.europa.eu/legal-content/EN/AUTO/?uri=OJ:L:2018:065:TOC" TargetMode="External"/><Relationship Id="rId57" Type="http://schemas.openxmlformats.org/officeDocument/2006/relationships/hyperlink" Target="https://eur-lex.europa.eu/legal-content/EN/TXT/?uri=OJ:C:2021:528:TOC" TargetMode="External"/><Relationship Id="rId61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://data.europa.eu/eli/reg/2018/1046/oj" TargetMode="External"/><Relationship Id="rId31" Type="http://schemas.openxmlformats.org/officeDocument/2006/relationships/hyperlink" Target="https://eur-lex.europa.eu/legal-content/EN/AUTO/?uri=OJ:L:2013:348:TOC" TargetMode="External"/><Relationship Id="rId44" Type="http://schemas.openxmlformats.org/officeDocument/2006/relationships/hyperlink" Target="https://eur-lex.europa.eu/legal-content/EN/AUTO/?uri=OJ:L:2021:170:TOC" TargetMode="External"/><Relationship Id="rId52" Type="http://schemas.openxmlformats.org/officeDocument/2006/relationships/hyperlink" Target="http://data.europa.eu/eli/dec/2023/995/oj" TargetMode="External"/><Relationship Id="rId60" Type="http://schemas.openxmlformats.org/officeDocument/2006/relationships/footer" Target="footer5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eur-lex.europa.eu/legal-content/EN/TXT/?uri=uriserv%3AOJ.L_.2023.079.01.0001.01.ENG&amp;toc=OJ%3AL%3A2023%3A079%3ATOC" TargetMode="External"/><Relationship Id="rId27" Type="http://schemas.openxmlformats.org/officeDocument/2006/relationships/hyperlink" Target="https://eur-lex.europa.eu/legal-content/EN/AUTO/?uri=OJ:L:2021:170:TOC" TargetMode="External"/><Relationship Id="rId30" Type="http://schemas.openxmlformats.org/officeDocument/2006/relationships/hyperlink" Target="http://data.europa.eu/eli/reg/2021/765/oj" TargetMode="External"/><Relationship Id="rId35" Type="http://schemas.openxmlformats.org/officeDocument/2006/relationships/hyperlink" Target="https://eur-lex.europa.eu/legal-content/EN/AUTO/?uri=OJ:L:2014:086:TOC" TargetMode="External"/><Relationship Id="rId43" Type="http://schemas.openxmlformats.org/officeDocument/2006/relationships/hyperlink" Target="http://data.europa.eu/eli/reg/2018/1046/oj" TargetMode="External"/><Relationship Id="rId48" Type="http://schemas.openxmlformats.org/officeDocument/2006/relationships/hyperlink" Target="http://data.europa.eu/eli/reg/2023/2418/oj" TargetMode="External"/><Relationship Id="rId56" Type="http://schemas.openxmlformats.org/officeDocument/2006/relationships/hyperlink" Target="http://data.europa.eu/eli/reg/2021/522/oj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eur-lex.europa.eu/legal-content/EN/TXT/?uri=OJ:L:2023:135:TOC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eur-lex.europa.eu/legal-content/EN/AUTO/?uri=OJ:L:2013:347:TOC" TargetMode="External"/><Relationship Id="rId33" Type="http://schemas.openxmlformats.org/officeDocument/2006/relationships/hyperlink" Target="https://eur-lex.europa.eu/legal-content/EN/AUTO/?uri=OJ:L:2013:115:TOC" TargetMode="External"/><Relationship Id="rId38" Type="http://schemas.openxmlformats.org/officeDocument/2006/relationships/hyperlink" Target="http://data.europa.eu/eli/reg/2021/1153/oj" TargetMode="External"/><Relationship Id="rId46" Type="http://schemas.openxmlformats.org/officeDocument/2006/relationships/hyperlink" Target="https://eur-lex.europa.eu/legal-content/EN/TXT/?uri=OJ:L:2023:185:TOC" TargetMode="External"/><Relationship Id="rId59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09/110/oj" TargetMode="External"/><Relationship Id="rId13" Type="http://schemas.openxmlformats.org/officeDocument/2006/relationships/hyperlink" Target="https://eur-lex.europa.eu/legal-content/EN/TXT/?uri=OJ:L:2023:150:TOC" TargetMode="External"/><Relationship Id="rId18" Type="http://schemas.openxmlformats.org/officeDocument/2006/relationships/hyperlink" Target="http://data.europa.eu/eli/reg/2022/2554/oj" TargetMode="External"/><Relationship Id="rId3" Type="http://schemas.openxmlformats.org/officeDocument/2006/relationships/hyperlink" Target="https://eur-lex.europa.eu/legal-content/EN/TXT/?uri=OJ:L:2012:201:TOC" TargetMode="External"/><Relationship Id="rId7" Type="http://schemas.openxmlformats.org/officeDocument/2006/relationships/hyperlink" Target="https://eur-lex.europa.eu/legal-content/EN/TXT/?uri=OJ:L:2009:267:TOC" TargetMode="External"/><Relationship Id="rId12" Type="http://schemas.openxmlformats.org/officeDocument/2006/relationships/hyperlink" Target="http://data.europa.eu/eli/reg/2014/909/oj" TargetMode="External"/><Relationship Id="rId17" Type="http://schemas.openxmlformats.org/officeDocument/2006/relationships/hyperlink" Target="https://eur-lex.europa.eu/legal-content/EN/TXT/?uri=OJ:L:2022:333:TOC" TargetMode="External"/><Relationship Id="rId2" Type="http://schemas.openxmlformats.org/officeDocument/2006/relationships/hyperlink" Target="https://www.ema.europa.eu/en/human-regulatory-overview/post-authorisation/medicine-shortages-and-availability-issues/availability-critical-medicines" TargetMode="External"/><Relationship Id="rId16" Type="http://schemas.openxmlformats.org/officeDocument/2006/relationships/hyperlink" Target="http://data.europa.eu/eli/reg/2013/575/oj" TargetMode="External"/><Relationship Id="rId1" Type="http://schemas.openxmlformats.org/officeDocument/2006/relationships/hyperlink" Target="https://competition-policy.ec.europa.eu/state-aid/ipcei/approved-ipceis_en" TargetMode="External"/><Relationship Id="rId6" Type="http://schemas.openxmlformats.org/officeDocument/2006/relationships/hyperlink" Target="http://data.europa.eu/eli/dir/2015/2366/oj" TargetMode="External"/><Relationship Id="rId11" Type="http://schemas.openxmlformats.org/officeDocument/2006/relationships/hyperlink" Target="https://eur-lex.europa.eu/legal-content/EN/TXT/?uri=OJ:L:2014:257:TOC" TargetMode="External"/><Relationship Id="rId5" Type="http://schemas.openxmlformats.org/officeDocument/2006/relationships/hyperlink" Target="https://eur-lex.europa.eu/legal-content/EN/TXT/?uri=OJ:L:2015:337:TOC" TargetMode="External"/><Relationship Id="rId15" Type="http://schemas.openxmlformats.org/officeDocument/2006/relationships/hyperlink" Target="https://eur-lex.europa.eu/legal-content/EN/TXT/?uri=OJ:L:2013:176:TOC" TargetMode="External"/><Relationship Id="rId10" Type="http://schemas.openxmlformats.org/officeDocument/2006/relationships/hyperlink" Target="http://data.europa.eu/eli/dir/2014/65/oj" TargetMode="External"/><Relationship Id="rId4" Type="http://schemas.openxmlformats.org/officeDocument/2006/relationships/hyperlink" Target="http://data.europa.eu/eli/reg/2012/648/oj" TargetMode="External"/><Relationship Id="rId9" Type="http://schemas.openxmlformats.org/officeDocument/2006/relationships/hyperlink" Target="https://eur-lex.europa.eu/legal-content/EN/TXT/?uri=OJ:L:2014:173:TOC" TargetMode="External"/><Relationship Id="rId14" Type="http://schemas.openxmlformats.org/officeDocument/2006/relationships/hyperlink" Target="http://data.europa.eu/eli/reg/2023/1114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91101ED19659B489105E64B8BBAA979" ma:contentTypeVersion="1" ma:contentTypeDescription="Create a new document in this library." ma:contentTypeScope="" ma:versionID="6348812c78e7b4996127e4dc2b522d86">
  <xsd:schema xmlns:xsd="http://www.w3.org/2001/XMLSchema" xmlns:xs="http://www.w3.org/2001/XMLSchema" xmlns:p="http://schemas.microsoft.com/office/2006/metadata/properties" xmlns:ns3="94cd775c-4b45-4aff-9377-5f863f412b2c" targetNamespace="http://schemas.microsoft.com/office/2006/metadata/properties" ma:root="true" ma:fieldsID="fc57b65f4d981a58bb4e57930e77b5fc" ns3:_="">
    <xsd:import namespace="94cd775c-4b45-4aff-9377-5f863f412b2c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775c-4b45-4aff-9377-5f863f412b2c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4cd775c-4b45-4aff-9377-5f863f412b2c">EN</EC_Collab_DocumentLanguage>
    <EC_Collab_Status xmlns="94cd775c-4b45-4aff-9377-5f863f412b2c">Not Started</EC_Collab_Status>
    <EC_Collab_Reference xmlns="94cd775c-4b45-4aff-9377-5f863f412b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387E-DB45-4534-884F-482AB4E12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d775c-4b45-4aff-9377-5f863f412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D9513-575F-4819-B0FC-CBDE2A81E5B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4cd775c-4b45-4aff-9377-5f863f412b2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F023F3-C209-4440-BDD9-B2AAC80B5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B475E-BECD-4959-8D65-0A0ADF0E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MELANEN Anri (TRADE)</dc:creator>
  <cp:keywords/>
  <dc:description/>
  <cp:lastModifiedBy>EC CoDe</cp:lastModifiedBy>
  <cp:revision>8</cp:revision>
  <dcterms:created xsi:type="dcterms:W3CDTF">2024-01-21T20:27:00Z</dcterms:created>
  <dcterms:modified xsi:type="dcterms:W3CDTF">2024-01-22T19:26:00Z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2023-11-21T07:46:44Z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04225129-073c-492a-af93-434cc7231d13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First annex">
    <vt:lpwstr>1</vt:lpwstr>
  </property>
  <property fmtid="{D5CDD505-2E9C-101B-9397-08002B2CF9AE}" pid="14" name="Last annex">
    <vt:lpwstr>2</vt:lpwstr>
  </property>
  <property fmtid="{D5CDD505-2E9C-101B-9397-08002B2CF9AE}" pid="15" name="Unique annex">
    <vt:lpwstr>0</vt:lpwstr>
  </property>
  <property fmtid="{D5CDD505-2E9C-101B-9397-08002B2CF9AE}" pid="16" name="Part">
    <vt:lpwstr>&lt;UNUSED&gt;</vt:lpwstr>
  </property>
  <property fmtid="{D5CDD505-2E9C-101B-9397-08002B2CF9AE}" pid="17" name="Total parts">
    <vt:lpwstr>&lt;UNUSED&gt;</vt:lpwstr>
  </property>
  <property fmtid="{D5CDD505-2E9C-101B-9397-08002B2CF9AE}" pid="18" name="Level of sensitivity">
    <vt:lpwstr>Standard treatment</vt:lpwstr>
  </property>
  <property fmtid="{D5CDD505-2E9C-101B-9397-08002B2CF9AE}" pid="19" name="LWTemplateID">
    <vt:lpwstr>SG-017</vt:lpwstr>
  </property>
  <property fmtid="{D5CDD505-2E9C-101B-9397-08002B2CF9AE}" pid="20" name="ContentTypeId">
    <vt:lpwstr>0x010100258AA79CEB83498886A3A0868112325000C91101ED19659B489105E64B8BBAA979</vt:lpwstr>
  </property>
  <property fmtid="{D5CDD505-2E9C-101B-9397-08002B2CF9AE}" pid="21" name="DQCStatus">
    <vt:lpwstr>Yellow (DQC version 03)</vt:lpwstr>
  </property>
</Properties>
</file>